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楷体" w:hAnsi="楷体" w:eastAsia="楷体" w:cs="楷体"/>
          <w:b/>
          <w:bCs/>
          <w:sz w:val="32"/>
          <w:szCs w:val="32"/>
        </w:rPr>
      </w:pPr>
      <w:r>
        <w:rPr>
          <w:rFonts w:hint="eastAsia" w:ascii="楷体" w:hAnsi="楷体" w:eastAsia="楷体" w:cs="楷体"/>
          <w:b/>
          <w:bCs/>
          <w:sz w:val="32"/>
          <w:szCs w:val="32"/>
        </w:rPr>
        <w:t>样品清单</w:t>
      </w:r>
    </w:p>
    <w:tbl>
      <w:tblPr>
        <w:tblStyle w:val="5"/>
        <w:tblpPr w:leftFromText="180" w:rightFromText="180" w:vertAnchor="text" w:horzAnchor="page" w:tblpXSpec="center" w:tblpY="614"/>
        <w:tblOverlap w:val="never"/>
        <w:tblW w:w="9166" w:type="dxa"/>
        <w:jc w:val="center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8"/>
        <w:gridCol w:w="1088"/>
        <w:gridCol w:w="2608"/>
        <w:gridCol w:w="1421"/>
        <w:gridCol w:w="2610"/>
        <w:gridCol w:w="801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  <w:jc w:val="center"/>
        </w:trPr>
        <w:tc>
          <w:tcPr>
            <w:tcW w:w="638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" w:hAnsi="楷体" w:eastAsia="楷体" w:cs="楷体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 w:ascii="楷体" w:hAnsi="楷体" w:eastAsia="楷体" w:cs="楷体"/>
                <w:b/>
                <w:bCs/>
                <w:kern w:val="0"/>
                <w:sz w:val="21"/>
                <w:szCs w:val="21"/>
              </w:rPr>
              <w:t>序号</w:t>
            </w:r>
          </w:p>
        </w:tc>
        <w:tc>
          <w:tcPr>
            <w:tcW w:w="1088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" w:hAnsi="楷体" w:eastAsia="楷体" w:cs="楷体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 w:ascii="楷体" w:hAnsi="楷体" w:eastAsia="楷体" w:cs="楷体"/>
                <w:b/>
                <w:bCs/>
                <w:kern w:val="0"/>
                <w:sz w:val="21"/>
                <w:szCs w:val="21"/>
              </w:rPr>
              <w:t>项目名称</w:t>
            </w:r>
          </w:p>
        </w:tc>
        <w:tc>
          <w:tcPr>
            <w:tcW w:w="2608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" w:hAnsi="楷体" w:eastAsia="楷体" w:cs="楷体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 w:ascii="楷体" w:hAnsi="楷体" w:eastAsia="楷体" w:cs="楷体"/>
                <w:b/>
                <w:bCs/>
                <w:kern w:val="0"/>
                <w:sz w:val="21"/>
                <w:szCs w:val="21"/>
              </w:rPr>
              <w:t>参考图片</w:t>
            </w:r>
          </w:p>
        </w:tc>
        <w:tc>
          <w:tcPr>
            <w:tcW w:w="1421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" w:hAnsi="楷体" w:eastAsia="楷体" w:cs="楷体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 w:ascii="楷体" w:hAnsi="楷体" w:eastAsia="楷体" w:cs="楷体"/>
                <w:b/>
                <w:bCs/>
                <w:kern w:val="0"/>
                <w:sz w:val="21"/>
                <w:szCs w:val="21"/>
              </w:rPr>
              <w:t>规格</w:t>
            </w:r>
          </w:p>
        </w:tc>
        <w:tc>
          <w:tcPr>
            <w:tcW w:w="2610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" w:hAnsi="楷体" w:eastAsia="楷体" w:cs="楷体"/>
                <w:kern w:val="0"/>
                <w:sz w:val="21"/>
                <w:szCs w:val="21"/>
              </w:rPr>
            </w:pPr>
            <w:r>
              <w:rPr>
                <w:rFonts w:hint="eastAsia" w:ascii="楷体" w:hAnsi="楷体" w:eastAsia="楷体" w:cs="楷体"/>
                <w:b/>
                <w:bCs/>
                <w:kern w:val="0"/>
                <w:sz w:val="21"/>
                <w:szCs w:val="21"/>
              </w:rPr>
              <w:t>主要材质及参数</w:t>
            </w:r>
          </w:p>
        </w:tc>
        <w:tc>
          <w:tcPr>
            <w:tcW w:w="801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" w:hAnsi="楷体" w:eastAsia="楷体" w:cs="楷体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 w:ascii="楷体" w:hAnsi="楷体" w:eastAsia="楷体" w:cs="楷体"/>
                <w:b/>
                <w:bCs/>
                <w:kern w:val="0"/>
                <w:sz w:val="21"/>
                <w:szCs w:val="21"/>
              </w:rPr>
              <w:t>备注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8" w:hRule="atLeast"/>
          <w:jc w:val="center"/>
        </w:trPr>
        <w:tc>
          <w:tcPr>
            <w:tcW w:w="638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" w:hAnsi="楷体" w:eastAsia="楷体" w:cs="楷体"/>
                <w:kern w:val="0"/>
                <w:sz w:val="21"/>
                <w:szCs w:val="21"/>
              </w:rPr>
            </w:pPr>
            <w:r>
              <w:rPr>
                <w:rFonts w:hint="eastAsia" w:ascii="楷体" w:hAnsi="楷体" w:eastAsia="楷体" w:cs="楷体"/>
                <w:kern w:val="0"/>
                <w:sz w:val="21"/>
                <w:szCs w:val="21"/>
              </w:rPr>
              <w:t>1</w:t>
            </w:r>
          </w:p>
        </w:tc>
        <w:tc>
          <w:tcPr>
            <w:tcW w:w="1088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" w:hAnsi="楷体" w:eastAsia="楷体" w:cs="楷体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 w:ascii="楷体" w:hAnsi="楷体" w:eastAsia="楷体" w:cs="楷体"/>
                <w:b/>
                <w:bCs/>
                <w:kern w:val="0"/>
                <w:sz w:val="21"/>
                <w:szCs w:val="21"/>
              </w:rPr>
              <w:t>等候椅</w:t>
            </w:r>
          </w:p>
        </w:tc>
        <w:tc>
          <w:tcPr>
            <w:tcW w:w="2608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" w:hAnsi="楷体" w:eastAsia="楷体" w:cs="楷体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 w:ascii="楷体" w:hAnsi="楷体" w:eastAsia="楷体" w:cs="楷体"/>
                <w:b/>
                <w:bCs/>
                <w:kern w:val="0"/>
                <w:sz w:val="20"/>
                <w:szCs w:val="21"/>
              </w:rPr>
              <w:drawing>
                <wp:inline distT="0" distB="0" distL="0" distR="0">
                  <wp:extent cx="1391285" cy="1621790"/>
                  <wp:effectExtent l="0" t="0" r="0" b="0"/>
                  <wp:docPr id="2" name="图片 2" descr="a9e7f659b9813ece01f215b3d9a888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a9e7f659b9813ece01f215b3d9a888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0731" r="221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1285" cy="16217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21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" w:hAnsi="楷体" w:eastAsia="楷体" w:cs="楷体"/>
                <w:kern w:val="0"/>
                <w:sz w:val="21"/>
                <w:szCs w:val="21"/>
              </w:rPr>
            </w:pPr>
            <w:r>
              <w:rPr>
                <w:rFonts w:hint="eastAsia" w:ascii="楷体" w:hAnsi="楷体" w:eastAsia="楷体" w:cs="楷体"/>
                <w:kern w:val="0"/>
                <w:sz w:val="21"/>
                <w:szCs w:val="21"/>
              </w:rPr>
              <w:t>620*620*795</w:t>
            </w:r>
          </w:p>
        </w:tc>
        <w:tc>
          <w:tcPr>
            <w:tcW w:w="2610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楷体"/>
                <w:kern w:val="0"/>
                <w:sz w:val="21"/>
                <w:szCs w:val="21"/>
              </w:rPr>
            </w:pPr>
            <w:r>
              <w:rPr>
                <w:rFonts w:hint="eastAsia" w:ascii="楷体" w:hAnsi="楷体" w:eastAsia="楷体" w:cs="楷体"/>
                <w:kern w:val="0"/>
                <w:sz w:val="21"/>
                <w:szCs w:val="21"/>
              </w:rPr>
              <w:t>扶手、脚：ACC12高强度铝合金压铸成型，可以承受禁止压力800KG,不变形，扎实稳固； 座背板：厚度为30mm高密度超软PU冷固发泡成型； 横梁：1.8厚加厚热轧管材，切割、钻孔、烧焊，八角形方管横梁，具有超强的承重能力和稳定性；                                                        涂层：经防锈处理后静电喷涂，电镀抛光；                           整体坚韧耐磨、颜色鲜艳、防水易清洁；</w:t>
            </w:r>
          </w:p>
        </w:tc>
        <w:tc>
          <w:tcPr>
            <w:tcW w:w="801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" w:hAnsi="楷体" w:eastAsia="楷体" w:cs="楷体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 w:ascii="楷体" w:hAnsi="楷体" w:eastAsia="楷体" w:cs="楷体"/>
                <w:kern w:val="0"/>
                <w:sz w:val="21"/>
                <w:szCs w:val="21"/>
              </w:rPr>
              <w:t>颜色:蓝色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4" w:hRule="atLeast"/>
          <w:jc w:val="center"/>
        </w:trPr>
        <w:tc>
          <w:tcPr>
            <w:tcW w:w="638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" w:hAnsi="楷体" w:eastAsia="楷体" w:cs="楷体"/>
                <w:kern w:val="0"/>
                <w:sz w:val="21"/>
                <w:szCs w:val="21"/>
              </w:rPr>
            </w:pPr>
            <w:r>
              <w:rPr>
                <w:rFonts w:hint="eastAsia" w:ascii="楷体" w:hAnsi="楷体" w:eastAsia="楷体" w:cs="楷体"/>
                <w:kern w:val="0"/>
                <w:sz w:val="21"/>
                <w:szCs w:val="21"/>
              </w:rPr>
              <w:t>2</w:t>
            </w:r>
          </w:p>
        </w:tc>
        <w:tc>
          <w:tcPr>
            <w:tcW w:w="1088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" w:hAnsi="楷体" w:eastAsia="楷体" w:cs="楷体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 w:ascii="楷体" w:hAnsi="楷体" w:eastAsia="楷体" w:cs="楷体"/>
                <w:b/>
                <w:bCs/>
                <w:kern w:val="0"/>
                <w:sz w:val="21"/>
                <w:szCs w:val="21"/>
              </w:rPr>
              <w:t>密集架</w:t>
            </w:r>
          </w:p>
          <w:p>
            <w:pPr>
              <w:jc w:val="center"/>
              <w:rPr>
                <w:rFonts w:ascii="楷体" w:hAnsi="楷体" w:eastAsia="楷体" w:cs="楷体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 w:ascii="楷体" w:hAnsi="楷体" w:eastAsia="楷体" w:cs="楷体"/>
                <w:b/>
                <w:bCs/>
                <w:kern w:val="0"/>
                <w:sz w:val="21"/>
                <w:szCs w:val="21"/>
              </w:rPr>
              <w:t>小样</w:t>
            </w:r>
          </w:p>
        </w:tc>
        <w:tc>
          <w:tcPr>
            <w:tcW w:w="2608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" w:hAnsi="楷体" w:eastAsia="楷体" w:cs="楷体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 w:ascii="楷体" w:hAnsi="楷体" w:eastAsia="楷体" w:cs="楷体"/>
                <w:b/>
                <w:bCs/>
                <w:kern w:val="0"/>
                <w:sz w:val="20"/>
                <w:szCs w:val="21"/>
              </w:rPr>
              <w:drawing>
                <wp:inline distT="0" distB="0" distL="0" distR="0">
                  <wp:extent cx="1574165" cy="2099310"/>
                  <wp:effectExtent l="0" t="0" r="6985" b="0"/>
                  <wp:docPr id="1" name="图片 1" descr="251e920034f9581123db6bda630a3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251e920034f9581123db6bda630a34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74165" cy="20993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21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" w:hAnsi="楷体" w:eastAsia="楷体" w:cs="楷体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 w:ascii="楷体" w:hAnsi="楷体" w:eastAsia="楷体" w:cs="楷体"/>
                <w:b/>
                <w:bCs/>
                <w:kern w:val="0"/>
                <w:sz w:val="21"/>
                <w:szCs w:val="21"/>
                <w:highlight w:val="yellow"/>
              </w:rPr>
              <w:t>见表格</w:t>
            </w:r>
          </w:p>
        </w:tc>
        <w:tc>
          <w:tcPr>
            <w:tcW w:w="2610" w:type="dxa"/>
            <w:tcBorders>
              <w:tl2br w:val="nil"/>
              <w:tr2bl w:val="nil"/>
            </w:tcBorders>
            <w:vAlign w:val="center"/>
          </w:tcPr>
          <w:p>
            <w:pPr>
              <w:jc w:val="left"/>
              <w:rPr>
                <w:rFonts w:ascii="楷体" w:hAnsi="楷体" w:eastAsia="楷体" w:cs="楷体"/>
                <w:kern w:val="0"/>
                <w:sz w:val="21"/>
                <w:szCs w:val="21"/>
              </w:rPr>
            </w:pPr>
            <w:r>
              <w:rPr>
                <w:rFonts w:hint="eastAsia" w:ascii="楷体" w:hAnsi="楷体" w:eastAsia="楷体" w:cs="楷体"/>
                <w:kern w:val="0"/>
                <w:sz w:val="21"/>
                <w:szCs w:val="21"/>
              </w:rPr>
              <w:t>小样包括:1、密集架搁板实样（长870mm*宽260mm*高25mm)6道压筋；2、轴承、大铁轮、组合底盘（550*500mm）各1套；3、密集架立柱1根；4、密封条1根、轨道1根（长1300mm-宽120mm）；5、传动机构及铝合金三叉式摇把1套；6、侧面板直三立板（宽500mm*高300mm*厚65mm）。依据招标文件的要求，对样式与图片符合程度、工艺先进程度、结构稳固程度、配件耐用程度等进行综合评分。</w:t>
            </w:r>
          </w:p>
        </w:tc>
        <w:tc>
          <w:tcPr>
            <w:tcW w:w="801" w:type="dxa"/>
            <w:tcBorders>
              <w:tl2br w:val="nil"/>
              <w:tr2bl w:val="nil"/>
            </w:tcBorders>
            <w:vAlign w:val="center"/>
          </w:tcPr>
          <w:p>
            <w:pPr>
              <w:rPr>
                <w:rFonts w:hint="eastAsia" w:ascii="楷体" w:hAnsi="楷体" w:eastAsia="楷体" w:cs="楷体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楷体" w:hAnsi="楷体" w:eastAsia="楷体" w:cs="楷体"/>
                <w:kern w:val="0"/>
                <w:sz w:val="21"/>
                <w:szCs w:val="21"/>
                <w:lang w:eastAsia="zh-CN"/>
              </w:rPr>
              <w:t>式样颜色详见图片</w:t>
            </w:r>
            <w:bookmarkStart w:id="0" w:name="_GoBack"/>
            <w:bookmarkEnd w:id="0"/>
          </w:p>
        </w:tc>
      </w:tr>
    </w:tbl>
    <w:p>
      <w:pPr>
        <w:spacing w:line="440" w:lineRule="exact"/>
        <w:rPr>
          <w:rFonts w:ascii="宋体" w:hAnsi="宋体"/>
          <w:color w:val="000000"/>
          <w:sz w:val="24"/>
        </w:rPr>
      </w:pPr>
    </w:p>
    <w:p>
      <w:pPr>
        <w:spacing w:line="440" w:lineRule="exact"/>
        <w:rPr>
          <w:rFonts w:ascii="宋体" w:hAnsi="宋体"/>
          <w:color w:val="000000"/>
          <w:sz w:val="24"/>
        </w:rPr>
      </w:pPr>
    </w:p>
    <w:p>
      <w:pPr>
        <w:spacing w:line="440" w:lineRule="exact"/>
        <w:rPr>
          <w:rFonts w:ascii="宋体" w:hAnsi="宋体"/>
          <w:color w:val="000000"/>
          <w:sz w:val="24"/>
        </w:rPr>
      </w:pPr>
    </w:p>
    <w:p>
      <w:pPr>
        <w:spacing w:line="440" w:lineRule="exact"/>
        <w:rPr>
          <w:rFonts w:ascii="宋体" w:hAnsi="宋体"/>
          <w:color w:val="000000"/>
          <w:sz w:val="24"/>
        </w:rPr>
      </w:pPr>
    </w:p>
    <w:p>
      <w:pPr>
        <w:spacing w:line="440" w:lineRule="exact"/>
        <w:rPr>
          <w:rFonts w:ascii="宋体" w:hAnsi="宋体"/>
          <w:color w:val="000000"/>
          <w:sz w:val="24"/>
        </w:rPr>
      </w:pPr>
    </w:p>
    <w:p>
      <w:pPr>
        <w:spacing w:line="440" w:lineRule="exact"/>
        <w:rPr>
          <w:rFonts w:ascii="宋体" w:hAnsi="宋体"/>
          <w:color w:val="000000"/>
          <w:sz w:val="24"/>
        </w:rPr>
      </w:pPr>
    </w:p>
    <w:p>
      <w:pPr>
        <w:spacing w:line="440" w:lineRule="exact"/>
        <w:rPr>
          <w:rFonts w:ascii="宋体" w:hAnsi="宋体"/>
          <w:color w:val="000000"/>
          <w:sz w:val="24"/>
        </w:rPr>
      </w:pPr>
    </w:p>
    <w:p>
      <w:pPr>
        <w:spacing w:line="440" w:lineRule="exact"/>
        <w:rPr>
          <w:rFonts w:ascii="宋体" w:hAnsi="宋体"/>
          <w:color w:val="000000"/>
          <w:sz w:val="24"/>
        </w:rPr>
      </w:pPr>
    </w:p>
    <w:p>
      <w:pPr>
        <w:spacing w:line="440" w:lineRule="exact"/>
        <w:rPr>
          <w:rFonts w:hint="eastAsia" w:ascii="宋体" w:hAnsi="宋体"/>
          <w:color w:val="000000"/>
          <w:sz w:val="24"/>
        </w:rPr>
      </w:pPr>
      <w:r>
        <w:rPr>
          <w:rFonts w:hint="eastAsia" w:ascii="宋体" w:hAnsi="宋体" w:cs="楷体"/>
          <w:b/>
          <w:bCs/>
          <w:sz w:val="24"/>
        </w:rPr>
        <w:t>3</w:t>
      </w:r>
      <w:r>
        <w:rPr>
          <w:rFonts w:ascii="宋体" w:hAnsi="宋体" w:cs="楷体"/>
          <w:b/>
          <w:bCs/>
          <w:sz w:val="24"/>
        </w:rPr>
        <w:t>.</w:t>
      </w:r>
      <w:r>
        <w:rPr>
          <w:rFonts w:hint="eastAsia" w:ascii="宋体" w:hAnsi="宋体" w:cs="楷体"/>
          <w:b/>
          <w:bCs/>
          <w:sz w:val="24"/>
        </w:rPr>
        <w:t>小样：</w:t>
      </w:r>
    </w:p>
    <w:tbl>
      <w:tblPr>
        <w:tblStyle w:val="4"/>
        <w:tblW w:w="9310" w:type="dxa"/>
        <w:jc w:val="center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6"/>
        <w:gridCol w:w="1089"/>
        <w:gridCol w:w="990"/>
        <w:gridCol w:w="3983"/>
        <w:gridCol w:w="520"/>
        <w:gridCol w:w="1350"/>
        <w:gridCol w:w="732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646" w:type="dxa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b/>
                <w:color w:val="000000"/>
                <w:sz w:val="24"/>
              </w:rPr>
            </w:pPr>
            <w:r>
              <w:rPr>
                <w:rFonts w:hint="eastAsia" w:ascii="楷体" w:hAnsi="楷体" w:eastAsia="楷体" w:cs="楷体"/>
                <w:b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1089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b/>
                <w:color w:val="000000"/>
                <w:sz w:val="24"/>
              </w:rPr>
            </w:pPr>
            <w:r>
              <w:rPr>
                <w:rFonts w:hint="eastAsia" w:ascii="楷体" w:hAnsi="楷体" w:eastAsia="楷体" w:cs="楷体"/>
                <w:b/>
                <w:color w:val="000000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990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b/>
                <w:color w:val="000000"/>
                <w:sz w:val="24"/>
              </w:rPr>
            </w:pPr>
            <w:r>
              <w:rPr>
                <w:rFonts w:hint="eastAsia" w:ascii="楷体" w:hAnsi="楷体" w:eastAsia="楷体" w:cs="楷体"/>
                <w:b/>
                <w:color w:val="000000"/>
                <w:kern w:val="0"/>
                <w:sz w:val="24"/>
                <w:lang w:bidi="ar"/>
              </w:rPr>
              <w:t>规格</w:t>
            </w:r>
          </w:p>
        </w:tc>
        <w:tc>
          <w:tcPr>
            <w:tcW w:w="3983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b/>
                <w:color w:val="000000"/>
                <w:sz w:val="24"/>
              </w:rPr>
            </w:pPr>
            <w:r>
              <w:rPr>
                <w:rFonts w:hint="eastAsia" w:ascii="楷体" w:hAnsi="楷体" w:eastAsia="楷体" w:cs="楷体"/>
                <w:b/>
                <w:color w:val="000000"/>
                <w:kern w:val="0"/>
                <w:sz w:val="24"/>
                <w:lang w:bidi="ar"/>
              </w:rPr>
              <w:t>主要材质及参数</w:t>
            </w:r>
          </w:p>
        </w:tc>
        <w:tc>
          <w:tcPr>
            <w:tcW w:w="520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b/>
                <w:color w:val="000000"/>
                <w:sz w:val="24"/>
              </w:rPr>
            </w:pPr>
            <w:r>
              <w:rPr>
                <w:rFonts w:hint="eastAsia" w:ascii="楷体" w:hAnsi="楷体" w:eastAsia="楷体" w:cs="楷体"/>
                <w:b/>
                <w:color w:val="000000"/>
                <w:kern w:val="0"/>
                <w:sz w:val="24"/>
                <w:lang w:bidi="ar"/>
              </w:rPr>
              <w:t>数量</w:t>
            </w:r>
          </w:p>
        </w:tc>
        <w:tc>
          <w:tcPr>
            <w:tcW w:w="1350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b/>
                <w:color w:val="000000"/>
                <w:sz w:val="24"/>
              </w:rPr>
            </w:pPr>
            <w:r>
              <w:rPr>
                <w:rFonts w:hint="eastAsia" w:ascii="楷体" w:hAnsi="楷体" w:eastAsia="楷体" w:cs="楷体"/>
                <w:b/>
                <w:color w:val="000000"/>
                <w:kern w:val="0"/>
                <w:sz w:val="24"/>
                <w:lang w:bidi="ar"/>
              </w:rPr>
              <w:t>品牌</w:t>
            </w:r>
          </w:p>
        </w:tc>
        <w:tc>
          <w:tcPr>
            <w:tcW w:w="732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b/>
                <w:color w:val="000000"/>
                <w:sz w:val="24"/>
              </w:rPr>
            </w:pPr>
            <w:r>
              <w:rPr>
                <w:rFonts w:hint="eastAsia" w:ascii="楷体" w:hAnsi="楷体" w:eastAsia="楷体" w:cs="楷体"/>
                <w:b/>
                <w:color w:val="000000"/>
                <w:kern w:val="0"/>
                <w:sz w:val="24"/>
                <w:lang w:bidi="ar"/>
              </w:rPr>
              <w:t>备注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0" w:hRule="atLeast"/>
          <w:jc w:val="center"/>
        </w:trPr>
        <w:tc>
          <w:tcPr>
            <w:tcW w:w="64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楷体" w:hAnsi="楷体" w:eastAsia="楷体" w:cs="楷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color w:val="000000"/>
                <w:szCs w:val="21"/>
                <w:lang w:val="en-US" w:eastAsia="zh-CN"/>
              </w:rPr>
              <w:t>1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eastAsia="zh-CN" w:bidi="ar"/>
              </w:rPr>
              <w:t>阻燃</w:t>
            </w: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海绵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100*100</w:t>
            </w:r>
          </w:p>
        </w:tc>
        <w:tc>
          <w:tcPr>
            <w:tcW w:w="3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高密度回弹海绵，软硬适中，回弹性能好，不变形，耐用度高。</w:t>
            </w:r>
          </w:p>
        </w:tc>
        <w:tc>
          <w:tcPr>
            <w:tcW w:w="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1块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圣诺盟、中辉、联达</w:t>
            </w:r>
          </w:p>
        </w:tc>
        <w:tc>
          <w:tcPr>
            <w:tcW w:w="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楷体"/>
                <w:color w:val="00000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60" w:hRule="atLeast"/>
          <w:jc w:val="center"/>
        </w:trPr>
        <w:tc>
          <w:tcPr>
            <w:tcW w:w="64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304#不锈钢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100*100</w:t>
            </w:r>
          </w:p>
        </w:tc>
        <w:tc>
          <w:tcPr>
            <w:tcW w:w="3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1.一级冷扎钢符合GB24820-2009《实验室家具通用技术条件》、GB/T3325-2017《金属家具通用技术条件》</w:t>
            </w: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2.金属喷涂涂层理化性能：耐腐蚀，耐腐蚀为10级；附着力1级，硬度3H。</w:t>
            </w: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3.表面处理符合HG/T 3950-2007《抗菌涂料》（I级），标准要求按HG/T 3950-2007标准要求检测，符合抗细菌性能&gt;99.9%，合格。</w:t>
            </w:r>
          </w:p>
        </w:tc>
        <w:tc>
          <w:tcPr>
            <w:tcW w:w="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1块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 xml:space="preserve">上海宝钢、 </w:t>
            </w:r>
            <w:r>
              <w:rPr>
                <w:rFonts w:hint="eastAsia" w:ascii="楷体" w:hAnsi="楷体" w:eastAsia="楷体" w:cs="楷体"/>
                <w:color w:val="333333"/>
                <w:szCs w:val="21"/>
                <w:shd w:val="clear" w:color="auto" w:fill="FFFFFF"/>
              </w:rPr>
              <w:t>东鸿</w:t>
            </w: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、光大 </w:t>
            </w:r>
          </w:p>
        </w:tc>
        <w:tc>
          <w:tcPr>
            <w:tcW w:w="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楷体"/>
                <w:color w:val="00000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20" w:hRule="atLeast"/>
          <w:jc w:val="center"/>
        </w:trPr>
        <w:tc>
          <w:tcPr>
            <w:tcW w:w="64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三合一连接件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常规</w:t>
            </w:r>
          </w:p>
        </w:tc>
        <w:tc>
          <w:tcPr>
            <w:tcW w:w="3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连接处精密度高，采用点焊、碰焊工艺，焊接点少，无疤痕；接触人体或收藏物品的部件无毛刺、刃口和棱角。整体需符合GB/T 3325-2008 金属家具通用技术条件。</w:t>
            </w:r>
          </w:p>
        </w:tc>
        <w:tc>
          <w:tcPr>
            <w:tcW w:w="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1只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家邦、宝利来、泰峰</w:t>
            </w:r>
          </w:p>
        </w:tc>
        <w:tc>
          <w:tcPr>
            <w:tcW w:w="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楷体"/>
                <w:color w:val="00000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20" w:hRule="atLeast"/>
          <w:jc w:val="center"/>
        </w:trPr>
        <w:tc>
          <w:tcPr>
            <w:tcW w:w="64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4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铰链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常规</w:t>
            </w:r>
          </w:p>
        </w:tc>
        <w:tc>
          <w:tcPr>
            <w:tcW w:w="3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采用海福乐、海蒂诗、BMB、嘉祥宝或同等档次品牌优质五金配件。连接处精密度高，采用点焊、碰焊工艺，焊接点少，无疤痕；接触人体或收藏物品的部件无毛刺、刃口和棱角。                                         整体需符合GB/T 3325-2008 金属家具通用技术条件。</w:t>
            </w:r>
          </w:p>
        </w:tc>
        <w:tc>
          <w:tcPr>
            <w:tcW w:w="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1只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海福乐、海蒂诗、BMB、嘉祥宝</w:t>
            </w:r>
          </w:p>
        </w:tc>
        <w:tc>
          <w:tcPr>
            <w:tcW w:w="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楷体"/>
                <w:color w:val="00000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20" w:hRule="atLeast"/>
          <w:jc w:val="center"/>
        </w:trPr>
        <w:tc>
          <w:tcPr>
            <w:tcW w:w="64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PVC封边条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100*25*2</w:t>
            </w:r>
          </w:p>
        </w:tc>
        <w:tc>
          <w:tcPr>
            <w:tcW w:w="3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采用2mm厚同色广东“兄奕”、华立、佳得、硕泰、聚盛等同档次品牌PVC封边，耐干热、耐磨、耐老化，封边严密、平整、无脱胶、表面无胶渍，其中甲醛释放量≤0.1mg/L。</w:t>
            </w:r>
          </w:p>
        </w:tc>
        <w:tc>
          <w:tcPr>
            <w:tcW w:w="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1只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广东“兄奕”、华立、佳得、硕泰、聚盛</w:t>
            </w:r>
          </w:p>
        </w:tc>
        <w:tc>
          <w:tcPr>
            <w:tcW w:w="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楷体"/>
                <w:color w:val="00000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0" w:hRule="atLeast"/>
          <w:jc w:val="center"/>
        </w:trPr>
        <w:tc>
          <w:tcPr>
            <w:tcW w:w="64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楷体" w:hAnsi="楷体" w:eastAsia="楷体" w:cs="楷体"/>
                <w:color w:val="000000"/>
                <w:szCs w:val="21"/>
                <w:lang w:eastAsia="zh-CN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锁</w:t>
            </w: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eastAsia="zh-CN" w:bidi="ar"/>
              </w:rPr>
              <w:t>具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常规</w:t>
            </w:r>
          </w:p>
        </w:tc>
        <w:tc>
          <w:tcPr>
            <w:tcW w:w="3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采用海福乐、海蒂诗、BMB、嘉祥宝或同等档次品牌优质五金配件。连接处精密度高，采用点焊、碰焊工艺，焊接点少，无疤痕；接触人体或收藏物品的部件无毛刺、刃口和棱角。                                         整体需符合GB/T 3325-2008 金属家具通用技术条件。</w:t>
            </w:r>
          </w:p>
        </w:tc>
        <w:tc>
          <w:tcPr>
            <w:tcW w:w="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1只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海福乐、海蒂诗、BMB、嘉祥宝</w:t>
            </w:r>
          </w:p>
        </w:tc>
        <w:tc>
          <w:tcPr>
            <w:tcW w:w="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楷体"/>
                <w:color w:val="00000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0" w:hRule="atLeast"/>
          <w:jc w:val="center"/>
        </w:trPr>
        <w:tc>
          <w:tcPr>
            <w:tcW w:w="64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7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气压棒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常规</w:t>
            </w:r>
          </w:p>
        </w:tc>
        <w:tc>
          <w:tcPr>
            <w:tcW w:w="3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优质气压棒，升降自如，升降时无声响，升降行程60~120mm，可承受250KG压力，升降30万次无破损。</w:t>
            </w:r>
          </w:p>
        </w:tc>
        <w:tc>
          <w:tcPr>
            <w:tcW w:w="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1根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三弘、五鑫、众达</w:t>
            </w:r>
          </w:p>
        </w:tc>
        <w:tc>
          <w:tcPr>
            <w:tcW w:w="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楷体"/>
                <w:color w:val="00000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0" w:hRule="atLeast"/>
          <w:jc w:val="center"/>
        </w:trPr>
        <w:tc>
          <w:tcPr>
            <w:tcW w:w="64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8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实木块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100*100</w:t>
            </w:r>
          </w:p>
        </w:tc>
        <w:tc>
          <w:tcPr>
            <w:tcW w:w="3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材质坚硬刚性强，承托力达300KG，含水率低于9%，经蒸、压、煮、烘干、杀虫、杀菌处理；</w:t>
            </w:r>
          </w:p>
        </w:tc>
        <w:tc>
          <w:tcPr>
            <w:tcW w:w="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1块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szCs w:val="21"/>
              </w:rPr>
              <w:t>/</w:t>
            </w:r>
          </w:p>
        </w:tc>
        <w:tc>
          <w:tcPr>
            <w:tcW w:w="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楷体"/>
                <w:color w:val="00000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0" w:hRule="atLeast"/>
          <w:jc w:val="center"/>
        </w:trPr>
        <w:tc>
          <w:tcPr>
            <w:tcW w:w="64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9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三聚氰胺板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100*100</w:t>
            </w:r>
          </w:p>
        </w:tc>
        <w:tc>
          <w:tcPr>
            <w:tcW w:w="3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采用福人、大亚、露水河、等品牌三聚氰胺饰面人造板，经防潮、防虫、防腐处理，符合GB/T15102-2006浸渍胶膜纸饰面人造板标准要求，其中甲醛释放量≤0.06mg/m3。</w:t>
            </w:r>
          </w:p>
        </w:tc>
        <w:tc>
          <w:tcPr>
            <w:tcW w:w="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1块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福人、大亚、露水河</w:t>
            </w:r>
          </w:p>
        </w:tc>
        <w:tc>
          <w:tcPr>
            <w:tcW w:w="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楷体"/>
                <w:color w:val="00000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0" w:hRule="atLeast"/>
          <w:jc w:val="center"/>
        </w:trPr>
        <w:tc>
          <w:tcPr>
            <w:tcW w:w="64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布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100*100</w:t>
            </w:r>
          </w:p>
        </w:tc>
        <w:tc>
          <w:tcPr>
            <w:tcW w:w="3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 xml:space="preserve">台湾颐达品牌网布/麻绒面料，经过防污、抗菌、抗静电、耐色牢固、抗强度等表面加工处理。     </w:t>
            </w:r>
          </w:p>
        </w:tc>
        <w:tc>
          <w:tcPr>
            <w:tcW w:w="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1块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颐达、巨航、美人</w:t>
            </w:r>
          </w:p>
        </w:tc>
        <w:tc>
          <w:tcPr>
            <w:tcW w:w="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楷体"/>
                <w:color w:val="00000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0" w:hRule="atLeast"/>
          <w:jc w:val="center"/>
        </w:trPr>
        <w:tc>
          <w:tcPr>
            <w:tcW w:w="64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11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抗菌喷涂粉末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常规</w:t>
            </w:r>
          </w:p>
        </w:tc>
        <w:tc>
          <w:tcPr>
            <w:tcW w:w="3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采用经SGS检验合格的环氧塑脂粉末静电喷涂，环保无毒害，无气味。美观大方，光亮平整，表面无颗粒、气泡、渣点，颜色均匀；</w:t>
            </w:r>
          </w:p>
        </w:tc>
        <w:tc>
          <w:tcPr>
            <w:tcW w:w="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1块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szCs w:val="21"/>
              </w:rPr>
              <w:t>/</w:t>
            </w:r>
          </w:p>
        </w:tc>
        <w:tc>
          <w:tcPr>
            <w:tcW w:w="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楷体"/>
                <w:color w:val="00000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80" w:hRule="atLeast"/>
          <w:jc w:val="center"/>
        </w:trPr>
        <w:tc>
          <w:tcPr>
            <w:tcW w:w="64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12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刨花板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100*100</w:t>
            </w:r>
          </w:p>
        </w:tc>
        <w:tc>
          <w:tcPr>
            <w:tcW w:w="3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采用福人、大亚、露水河等品牌环保刨花板，甲醛释放量≤0.06mg/m3，吸水厚度膨胀率≤6.1%，经防潮、防虫、防腐处理，抗弯力强，不易变形。</w:t>
            </w:r>
          </w:p>
        </w:tc>
        <w:tc>
          <w:tcPr>
            <w:tcW w:w="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1块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福人、大亚、露水河</w:t>
            </w:r>
          </w:p>
        </w:tc>
        <w:tc>
          <w:tcPr>
            <w:tcW w:w="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楷体"/>
                <w:color w:val="00000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00" w:hRule="atLeast"/>
          <w:jc w:val="center"/>
        </w:trPr>
        <w:tc>
          <w:tcPr>
            <w:tcW w:w="64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13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中密度纤维板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100*100</w:t>
            </w:r>
          </w:p>
        </w:tc>
        <w:tc>
          <w:tcPr>
            <w:tcW w:w="3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采用露水河、福人、大亚或同档次高密度板,优质绿色环保产品,甲醛含量≤1.0mg/L密度≥760kg/m3,静曲张度≥51.2Mpa,吸水膨胀率≤8.1%；</w:t>
            </w:r>
          </w:p>
        </w:tc>
        <w:tc>
          <w:tcPr>
            <w:tcW w:w="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1块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福人、大亚、露水河</w:t>
            </w:r>
          </w:p>
        </w:tc>
        <w:tc>
          <w:tcPr>
            <w:tcW w:w="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楷体"/>
                <w:color w:val="00000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0" w:hRule="atLeast"/>
          <w:jc w:val="center"/>
        </w:trPr>
        <w:tc>
          <w:tcPr>
            <w:tcW w:w="64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14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脚轮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常规</w:t>
            </w:r>
          </w:p>
        </w:tc>
        <w:tc>
          <w:tcPr>
            <w:tcW w:w="3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合成尼龙纤维树脂材料制成，活动自如。</w:t>
            </w: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整体需符合QB/T 2280-2007办公椅技术条件标准要求。</w:t>
            </w:r>
          </w:p>
        </w:tc>
        <w:tc>
          <w:tcPr>
            <w:tcW w:w="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1只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szCs w:val="21"/>
              </w:rPr>
              <w:t>森恒、韵狮、福美乐</w:t>
            </w:r>
          </w:p>
        </w:tc>
        <w:tc>
          <w:tcPr>
            <w:tcW w:w="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楷体"/>
                <w:color w:val="00000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  <w:jc w:val="center"/>
        </w:trPr>
        <w:tc>
          <w:tcPr>
            <w:tcW w:w="64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15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钢制五星脚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常规</w:t>
            </w:r>
          </w:p>
        </w:tc>
        <w:tc>
          <w:tcPr>
            <w:tcW w:w="3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优质铝合金压铸而成，参考中威或同等品牌，精抛处理。</w:t>
            </w:r>
          </w:p>
        </w:tc>
        <w:tc>
          <w:tcPr>
            <w:tcW w:w="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1只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中威、椅盟、康尼特</w:t>
            </w:r>
          </w:p>
        </w:tc>
        <w:tc>
          <w:tcPr>
            <w:tcW w:w="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楷体"/>
                <w:color w:val="00000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80" w:hRule="atLeast"/>
          <w:jc w:val="center"/>
        </w:trPr>
        <w:tc>
          <w:tcPr>
            <w:tcW w:w="646" w:type="dxa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16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弹簧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常规</w:t>
            </w:r>
          </w:p>
        </w:tc>
        <w:tc>
          <w:tcPr>
            <w:tcW w:w="3983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连接处精密度高，采用点焊、碰焊工艺，焊接点少，无疤痕；接触人体或收藏物品的部件无毛刺、刃口和棱角。整体需符合GB/T 3325-2008 金属家具通用技术条件。</w:t>
            </w:r>
          </w:p>
        </w:tc>
        <w:tc>
          <w:tcPr>
            <w:tcW w:w="520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Cs w:val="21"/>
                <w:lang w:bidi="ar"/>
              </w:rPr>
              <w:t>1只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szCs w:val="21"/>
              </w:rPr>
            </w:pPr>
            <w:r>
              <w:rPr>
                <w:rFonts w:hint="eastAsia" w:ascii="楷体" w:hAnsi="楷体" w:eastAsia="楷体" w:cs="楷体"/>
                <w:color w:val="000000"/>
                <w:szCs w:val="21"/>
              </w:rPr>
              <w:t>邦尼尔、万创、巨鹏</w:t>
            </w:r>
          </w:p>
        </w:tc>
        <w:tc>
          <w:tcPr>
            <w:tcW w:w="732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楷体"/>
                <w:color w:val="000000"/>
                <w:szCs w:val="21"/>
              </w:rPr>
            </w:pPr>
          </w:p>
        </w:tc>
      </w:tr>
    </w:tbl>
    <w:p>
      <w:pPr>
        <w:spacing w:line="440" w:lineRule="exact"/>
        <w:rPr>
          <w:rFonts w:ascii="楷体" w:hAnsi="楷体" w:eastAsia="楷体" w:cs="楷体"/>
          <w:color w:val="000000"/>
          <w:szCs w:val="21"/>
        </w:rPr>
      </w:pPr>
    </w:p>
    <w:p/>
    <w:sectPr>
      <w:pgSz w:w="11906" w:h="16838"/>
      <w:pgMar w:top="1077" w:right="1418" w:bottom="1077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7BA7"/>
    <w:rsid w:val="003F4778"/>
    <w:rsid w:val="007579D0"/>
    <w:rsid w:val="00837BA7"/>
    <w:rsid w:val="00A34A75"/>
    <w:rsid w:val="00C22239"/>
    <w:rsid w:val="26BA5C6A"/>
    <w:rsid w:val="2E373D46"/>
    <w:rsid w:val="417F2F25"/>
    <w:rsid w:val="74B743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7">
    <w:name w:val="页眉 Char"/>
    <w:basedOn w:val="6"/>
    <w:link w:val="3"/>
    <w:uiPriority w:val="99"/>
    <w:rPr>
      <w:sz w:val="18"/>
      <w:szCs w:val="18"/>
    </w:rPr>
  </w:style>
  <w:style w:type="character" w:customStyle="1" w:styleId="8">
    <w:name w:val="页脚 Char"/>
    <w:basedOn w:val="6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3</Pages>
  <Words>361</Words>
  <Characters>2064</Characters>
  <Lines>17</Lines>
  <Paragraphs>4</Paragraphs>
  <TotalTime>15</TotalTime>
  <ScaleCrop>false</ScaleCrop>
  <LinksUpToDate>false</LinksUpToDate>
  <CharactersWithSpaces>2421</CharactersWithSpaces>
  <Application>WPS Office_11.1.0.8976_F1E327BC-269C-435d-A152-05C5408002CA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2019-08-13T01:31:00Z</dcterms:created>
  <dc:creator>熊文宇</dc:creator>
  <cp:lastModifiedBy>拖鞋</cp:lastModifiedBy>
  <cp:lastPrinted>2019-08-18T11:21:54Z</cp:lastPrinted>
  <dcterms:modified xsi:type="dcterms:W3CDTF">2019-08-18T11:39:48Z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2052-11.1.0.8976</vt:lpwstr>
  </property>
</Properties>
</file>