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3"/>
        <w:spacing w:before="0" w:after="0"/>
        <w:ind w:firstLine="0"/>
        <w:rPr>
          <w:rFonts w:asciiTheme="minorEastAsia" w:hAnsiTheme="minorEastAsia" w:eastAsiaTheme="minorEastAsia"/>
        </w:rPr>
      </w:pPr>
    </w:p>
    <w:p>
      <w:pPr>
        <w:pStyle w:val="73"/>
        <w:ind w:firstLine="0"/>
        <w:jc w:val="center"/>
        <w:rPr>
          <w:rFonts w:asciiTheme="minorEastAsia" w:hAnsiTheme="minorEastAsia" w:eastAsiaTheme="minorEastAsia"/>
          <w:b/>
          <w:bCs/>
          <w:sz w:val="32"/>
          <w:szCs w:val="32"/>
        </w:rPr>
      </w:pPr>
    </w:p>
    <w:p>
      <w:pPr>
        <w:widowControl/>
        <w:spacing w:line="360" w:lineRule="auto"/>
        <w:jc w:val="center"/>
        <w:rPr>
          <w:rFonts w:asciiTheme="minorEastAsia" w:hAnsiTheme="minorEastAsia" w:eastAsiaTheme="minorEastAsia"/>
          <w:b/>
          <w:bCs/>
          <w:sz w:val="84"/>
          <w:szCs w:val="84"/>
        </w:rPr>
      </w:pPr>
      <w:r>
        <w:rPr>
          <w:rFonts w:hint="eastAsia" w:asciiTheme="minorEastAsia" w:hAnsiTheme="minorEastAsia" w:eastAsiaTheme="minorEastAsia"/>
          <w:b/>
          <w:bCs/>
          <w:sz w:val="84"/>
          <w:szCs w:val="84"/>
        </w:rPr>
        <w:t>招标文件</w:t>
      </w:r>
    </w:p>
    <w:p>
      <w:pPr>
        <w:widowControl/>
        <w:spacing w:line="360" w:lineRule="auto"/>
        <w:jc w:val="center"/>
        <w:rPr>
          <w:rFonts w:asciiTheme="minorEastAsia" w:hAnsiTheme="minorEastAsia" w:eastAsiaTheme="minorEastAsia"/>
          <w:b/>
          <w:bCs/>
          <w:sz w:val="52"/>
          <w:szCs w:val="52"/>
        </w:rPr>
      </w:pPr>
    </w:p>
    <w:p>
      <w:pPr>
        <w:pStyle w:val="73"/>
        <w:ind w:firstLine="0"/>
        <w:jc w:val="center"/>
        <w:rPr>
          <w:rFonts w:asciiTheme="minorEastAsia" w:hAnsiTheme="minorEastAsia" w:eastAsiaTheme="minorEastAsia"/>
          <w:b/>
          <w:bCs/>
          <w:sz w:val="32"/>
        </w:rPr>
      </w:pPr>
      <w:r>
        <w:rPr>
          <w:rFonts w:hint="eastAsia" w:asciiTheme="minorEastAsia" w:hAnsiTheme="minorEastAsia" w:eastAsiaTheme="minorEastAsia"/>
          <w:b/>
          <w:bCs/>
          <w:sz w:val="32"/>
        </w:rPr>
        <w:t>南京市栖霞区餐厨废弃物处置厂项目</w:t>
      </w:r>
    </w:p>
    <w:p>
      <w:pPr>
        <w:pStyle w:val="73"/>
        <w:ind w:firstLine="0"/>
        <w:jc w:val="center"/>
        <w:rPr>
          <w:rFonts w:asciiTheme="minorEastAsia" w:hAnsiTheme="minorEastAsia" w:eastAsiaTheme="minorEastAsia"/>
          <w:b/>
          <w:sz w:val="28"/>
        </w:rPr>
      </w:pPr>
      <w:r>
        <w:rPr>
          <w:rFonts w:hint="eastAsia" w:asciiTheme="minorEastAsia" w:hAnsiTheme="minorEastAsia" w:eastAsiaTheme="minorEastAsia"/>
          <w:b/>
          <w:sz w:val="28"/>
        </w:rPr>
        <w:t>项目编号：</w:t>
      </w:r>
      <w:r>
        <w:rPr>
          <w:rFonts w:asciiTheme="minorEastAsia" w:hAnsiTheme="minorEastAsia" w:eastAsiaTheme="minorEastAsia"/>
          <w:b/>
          <w:sz w:val="28"/>
        </w:rPr>
        <w:t>NJZC-2020GK0085</w:t>
      </w: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pStyle w:val="73"/>
        <w:spacing w:before="0" w:after="0"/>
        <w:ind w:firstLine="0"/>
        <w:rPr>
          <w:rFonts w:asciiTheme="minorEastAsia" w:hAnsiTheme="minorEastAsia" w:eastAsiaTheme="minorEastAsia"/>
        </w:rPr>
      </w:pP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p>
    <w:p>
      <w:pPr>
        <w:pStyle w:val="73"/>
        <w:ind w:left="210" w:leftChars="100" w:firstLine="1124" w:firstLineChars="350"/>
        <w:rPr>
          <w:rFonts w:asciiTheme="minorEastAsia" w:hAnsiTheme="minorEastAsia" w:eastAsiaTheme="minorEastAsia"/>
          <w:b/>
          <w:bCs/>
          <w:sz w:val="32"/>
        </w:rPr>
      </w:pPr>
      <w:r>
        <w:rPr>
          <w:rFonts w:hint="eastAsia" w:asciiTheme="minorEastAsia" w:hAnsiTheme="minorEastAsia" w:eastAsiaTheme="minorEastAsia"/>
          <w:b/>
          <w:bCs/>
          <w:sz w:val="32"/>
        </w:rPr>
        <w:t>采购人：</w:t>
      </w:r>
      <w:r>
        <w:rPr>
          <w:rFonts w:hint="eastAsia" w:asciiTheme="minorEastAsia" w:hAnsiTheme="minorEastAsia" w:eastAsiaTheme="minorEastAsia"/>
          <w:b/>
          <w:bCs/>
          <w:sz w:val="32"/>
          <w:u w:val="single"/>
        </w:rPr>
        <w:t>南京市栖霞区城市管理局</w:t>
      </w:r>
    </w:p>
    <w:p>
      <w:pPr>
        <w:pStyle w:val="73"/>
        <w:ind w:firstLine="1446" w:firstLineChars="450"/>
        <w:rPr>
          <w:rFonts w:asciiTheme="minorEastAsia" w:hAnsiTheme="minorEastAsia" w:eastAsiaTheme="minorEastAsia"/>
          <w:b/>
          <w:bCs/>
          <w:sz w:val="32"/>
        </w:rPr>
      </w:pPr>
      <w:r>
        <w:rPr>
          <w:rFonts w:hint="eastAsia" w:asciiTheme="minorEastAsia" w:hAnsiTheme="minorEastAsia" w:eastAsiaTheme="minorEastAsia"/>
          <w:b/>
          <w:bCs/>
          <w:sz w:val="32"/>
        </w:rPr>
        <w:t>集中采购机构：</w:t>
      </w:r>
      <w:r>
        <w:rPr>
          <w:rFonts w:hint="eastAsia" w:asciiTheme="minorEastAsia" w:hAnsiTheme="minorEastAsia" w:eastAsiaTheme="minorEastAsia"/>
          <w:b/>
          <w:bCs/>
          <w:sz w:val="32"/>
          <w:u w:val="single"/>
        </w:rPr>
        <w:t>南京市公共资源交易中心</w:t>
      </w:r>
    </w:p>
    <w:p>
      <w:pPr>
        <w:pStyle w:val="73"/>
        <w:ind w:firstLine="0"/>
        <w:jc w:val="center"/>
        <w:rPr>
          <w:rFonts w:asciiTheme="minorEastAsia" w:hAnsiTheme="minorEastAsia" w:eastAsiaTheme="minorEastAsia"/>
          <w:b/>
          <w:bCs/>
          <w:sz w:val="32"/>
        </w:rPr>
      </w:pPr>
      <w:bookmarkStart w:id="0" w:name="_Toc426009715"/>
      <w:bookmarkStart w:id="1" w:name="_Toc426009347"/>
      <w:r>
        <w:rPr>
          <w:rFonts w:hint="eastAsia" w:asciiTheme="minorEastAsia" w:hAnsiTheme="minorEastAsia" w:eastAsiaTheme="minorEastAsia"/>
          <w:b/>
          <w:bCs/>
          <w:sz w:val="32"/>
        </w:rPr>
        <w:t>20</w:t>
      </w:r>
      <w:r>
        <w:rPr>
          <w:rFonts w:asciiTheme="minorEastAsia" w:hAnsiTheme="minorEastAsia" w:eastAsiaTheme="minorEastAsia"/>
          <w:b/>
          <w:bCs/>
          <w:sz w:val="32"/>
        </w:rPr>
        <w:t>20</w:t>
      </w:r>
      <w:r>
        <w:rPr>
          <w:rFonts w:hint="eastAsia" w:asciiTheme="minorEastAsia" w:hAnsiTheme="minorEastAsia" w:eastAsiaTheme="minorEastAsia"/>
          <w:b/>
          <w:bCs/>
          <w:sz w:val="32"/>
        </w:rPr>
        <w:t>年</w:t>
      </w:r>
      <w:r>
        <w:rPr>
          <w:rFonts w:asciiTheme="minorEastAsia" w:hAnsiTheme="minorEastAsia" w:eastAsiaTheme="minorEastAsia"/>
          <w:b/>
          <w:bCs/>
          <w:sz w:val="32"/>
        </w:rPr>
        <w:t>06</w:t>
      </w:r>
      <w:r>
        <w:rPr>
          <w:rFonts w:hint="eastAsia" w:asciiTheme="minorEastAsia" w:hAnsiTheme="minorEastAsia" w:eastAsiaTheme="minorEastAsia"/>
          <w:b/>
          <w:bCs/>
          <w:sz w:val="32"/>
        </w:rPr>
        <w:t>月19日</w:t>
      </w:r>
      <w:bookmarkEnd w:id="0"/>
      <w:bookmarkEnd w:id="1"/>
    </w:p>
    <w:p>
      <w:pPr>
        <w:spacing w:beforeLines="50" w:afterLines="50" w:line="400" w:lineRule="exact"/>
        <w:rPr>
          <w:rFonts w:asciiTheme="minorEastAsia" w:hAnsiTheme="minorEastAsia" w:eastAsiaTheme="minorEastAsia"/>
        </w:rPr>
        <w:sectPr>
          <w:headerReference r:id="rId5" w:type="first"/>
          <w:footerReference r:id="rId8" w:type="first"/>
          <w:headerReference r:id="rId3" w:type="default"/>
          <w:footerReference r:id="rId6" w:type="default"/>
          <w:headerReference r:id="rId4" w:type="even"/>
          <w:footerReference r:id="rId7" w:type="even"/>
          <w:pgSz w:w="11906" w:h="16838"/>
          <w:pgMar w:top="1440" w:right="1797" w:bottom="1440" w:left="1797" w:header="851" w:footer="992" w:gutter="0"/>
          <w:pgNumType w:start="1"/>
          <w:cols w:space="425" w:num="1"/>
          <w:titlePg/>
          <w:docGrid w:type="lines" w:linePitch="312" w:charSpace="0"/>
        </w:sectPr>
      </w:pPr>
      <w:bookmarkStart w:id="2" w:name="_Toc120614210"/>
    </w:p>
    <w:bookmarkEnd w:id="2"/>
    <w:p>
      <w:pPr>
        <w:pStyle w:val="28"/>
        <w:jc w:val="center"/>
        <w:rPr>
          <w:rFonts w:asciiTheme="minorEastAsia" w:hAnsiTheme="minorEastAsia" w:eastAsiaTheme="minorEastAsia"/>
          <w:sz w:val="28"/>
          <w:szCs w:val="28"/>
        </w:rPr>
      </w:pPr>
      <w:r>
        <w:rPr>
          <w:rFonts w:hint="eastAsia" w:asciiTheme="minorEastAsia" w:hAnsiTheme="minorEastAsia" w:eastAsiaTheme="minorEastAsia"/>
          <w:sz w:val="28"/>
          <w:szCs w:val="28"/>
        </w:rPr>
        <w:t>目录</w:t>
      </w:r>
    </w:p>
    <w:p>
      <w:pPr>
        <w:pStyle w:val="28"/>
        <w:tabs>
          <w:tab w:val="left" w:pos="1050"/>
          <w:tab w:val="right" w:leader="dot" w:pos="8302"/>
        </w:tabs>
        <w:rPr>
          <w:rFonts w:ascii="宋体" w:hAnsi="宋体" w:cstheme="minorBidi"/>
          <w:bCs w:val="0"/>
          <w:caps w:val="0"/>
          <w:sz w:val="21"/>
          <w:szCs w:val="22"/>
        </w:rPr>
      </w:pPr>
      <w:r>
        <w:rPr>
          <w:rFonts w:asciiTheme="minorEastAsia" w:hAnsiTheme="minorEastAsia" w:eastAsiaTheme="minorEastAsia"/>
          <w:caps w:val="0"/>
          <w:smallCaps/>
        </w:rPr>
        <w:fldChar w:fldCharType="begin"/>
      </w:r>
      <w:r>
        <w:rPr>
          <w:rFonts w:asciiTheme="minorEastAsia" w:hAnsiTheme="minorEastAsia" w:eastAsiaTheme="minorEastAsia"/>
          <w:caps w:val="0"/>
          <w:smallCaps/>
        </w:rPr>
        <w:instrText xml:space="preserve"> TOC \o "1-3" \h \z \u </w:instrText>
      </w:r>
      <w:r>
        <w:rPr>
          <w:rFonts w:asciiTheme="minorEastAsia" w:hAnsiTheme="minorEastAsia" w:eastAsiaTheme="minorEastAsia"/>
          <w:caps w:val="0"/>
          <w:smallCaps/>
        </w:rPr>
        <w:fldChar w:fldCharType="separate"/>
      </w:r>
      <w:r>
        <w:fldChar w:fldCharType="begin"/>
      </w:r>
      <w:r>
        <w:instrText xml:space="preserve"> HYPERLINK \l "_Toc529805769" </w:instrText>
      </w:r>
      <w:r>
        <w:fldChar w:fldCharType="separate"/>
      </w:r>
      <w:r>
        <w:rPr>
          <w:rStyle w:val="45"/>
          <w:rFonts w:ascii="宋体" w:hAnsi="宋体"/>
          <w:color w:val="auto"/>
        </w:rPr>
        <w:t>第一部分</w:t>
      </w:r>
      <w:r>
        <w:rPr>
          <w:rFonts w:ascii="宋体" w:hAnsi="宋体" w:cstheme="minorBidi"/>
          <w:bCs w:val="0"/>
          <w:caps w:val="0"/>
          <w:sz w:val="21"/>
          <w:szCs w:val="22"/>
        </w:rPr>
        <w:tab/>
      </w:r>
      <w:r>
        <w:rPr>
          <w:rStyle w:val="45"/>
          <w:rFonts w:ascii="宋体" w:hAnsi="宋体"/>
          <w:color w:val="auto"/>
        </w:rPr>
        <w:t>招标公告</w:t>
      </w:r>
      <w:r>
        <w:rPr>
          <w:rFonts w:ascii="宋体" w:hAnsi="宋体"/>
        </w:rPr>
        <w:tab/>
      </w:r>
      <w:r>
        <w:rPr>
          <w:rFonts w:ascii="宋体" w:hAnsi="宋体"/>
        </w:rPr>
        <w:fldChar w:fldCharType="begin"/>
      </w:r>
      <w:r>
        <w:rPr>
          <w:rFonts w:ascii="宋体" w:hAnsi="宋体"/>
        </w:rPr>
        <w:instrText xml:space="preserve"> PAGEREF _Toc529805769 \h </w:instrText>
      </w:r>
      <w:r>
        <w:rPr>
          <w:rFonts w:ascii="宋体" w:hAnsi="宋体"/>
        </w:rPr>
        <w:fldChar w:fldCharType="separate"/>
      </w:r>
      <w:r>
        <w:rPr>
          <w:rFonts w:ascii="宋体" w:hAnsi="宋体"/>
        </w:rPr>
        <w:t>3</w:t>
      </w:r>
      <w:r>
        <w:rPr>
          <w:rFonts w:ascii="宋体" w:hAnsi="宋体"/>
        </w:rPr>
        <w:fldChar w:fldCharType="end"/>
      </w:r>
      <w:r>
        <w:rPr>
          <w:rFonts w:ascii="宋体" w:hAnsi="宋体"/>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"_Toc529805770" </w:instrText>
      </w:r>
      <w:r>
        <w:fldChar w:fldCharType="separate"/>
      </w:r>
      <w:r>
        <w:rPr>
          <w:rStyle w:val="45"/>
          <w:rFonts w:ascii="宋体" w:hAnsi="宋体"/>
          <w:color w:val="auto"/>
        </w:rPr>
        <w:t>第二部分</w:t>
      </w:r>
      <w:r>
        <w:rPr>
          <w:rFonts w:ascii="宋体" w:hAnsi="宋体" w:cstheme="minorBidi"/>
          <w:bCs w:val="0"/>
          <w:caps w:val="0"/>
          <w:sz w:val="21"/>
          <w:szCs w:val="22"/>
        </w:rPr>
        <w:tab/>
      </w:r>
      <w:r>
        <w:rPr>
          <w:rStyle w:val="45"/>
          <w:rFonts w:ascii="宋体" w:hAnsi="宋体"/>
          <w:color w:val="auto"/>
        </w:rPr>
        <w:t>社会资本须知</w:t>
      </w:r>
      <w:r>
        <w:rPr>
          <w:rFonts w:ascii="宋体" w:hAnsi="宋体"/>
        </w:rPr>
        <w:tab/>
      </w:r>
      <w:r>
        <w:rPr>
          <w:rFonts w:ascii="宋体" w:hAnsi="宋体"/>
        </w:rPr>
        <w:fldChar w:fldCharType="begin"/>
      </w:r>
      <w:r>
        <w:rPr>
          <w:rFonts w:ascii="宋体" w:hAnsi="宋体"/>
        </w:rPr>
        <w:instrText xml:space="preserve"> PAGEREF _Toc529805770 \h </w:instrText>
      </w:r>
      <w:r>
        <w:rPr>
          <w:rFonts w:ascii="宋体" w:hAnsi="宋体"/>
        </w:rPr>
        <w:fldChar w:fldCharType="separate"/>
      </w:r>
      <w:r>
        <w:rPr>
          <w:rFonts w:ascii="宋体" w:hAnsi="宋体"/>
        </w:rPr>
        <w:t>6</w:t>
      </w:r>
      <w:r>
        <w:rPr>
          <w:rFonts w:ascii="宋体" w:hAnsi="宋体"/>
        </w:rPr>
        <w:fldChar w:fldCharType="end"/>
      </w:r>
      <w:r>
        <w:rPr>
          <w:rFonts w:ascii="宋体" w:hAnsi="宋体"/>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"_Toc529805771" </w:instrText>
      </w:r>
      <w:r>
        <w:fldChar w:fldCharType="separate"/>
      </w:r>
      <w:r>
        <w:rPr>
          <w:rStyle w:val="45"/>
          <w:rFonts w:ascii="宋体" w:hAnsi="宋体"/>
          <w:b/>
          <w:color w:val="auto"/>
        </w:rPr>
        <w:t>第一章</w:t>
      </w:r>
      <w:r>
        <w:rPr>
          <w:rFonts w:ascii="宋体" w:hAnsi="宋体" w:cstheme="minorBidi"/>
          <w:b/>
          <w:smallCaps w:val="0"/>
          <w:sz w:val="21"/>
          <w:szCs w:val="22"/>
        </w:rPr>
        <w:tab/>
      </w:r>
      <w:r>
        <w:rPr>
          <w:rStyle w:val="45"/>
          <w:rFonts w:ascii="宋体" w:hAnsi="宋体"/>
          <w:b/>
          <w:color w:val="auto"/>
        </w:rPr>
        <w:t>说  明</w:t>
      </w:r>
      <w:r>
        <w:rPr>
          <w:rFonts w:ascii="宋体" w:hAnsi="宋体"/>
          <w:b/>
        </w:rPr>
        <w:tab/>
      </w:r>
      <w:r>
        <w:rPr>
          <w:rFonts w:ascii="宋体" w:hAnsi="宋体"/>
          <w:b/>
        </w:rPr>
        <w:fldChar w:fldCharType="begin"/>
      </w:r>
      <w:r>
        <w:rPr>
          <w:rFonts w:ascii="宋体" w:hAnsi="宋体"/>
          <w:b/>
        </w:rPr>
        <w:instrText xml:space="preserve"> PAGEREF _Toc529805771 \h </w:instrText>
      </w:r>
      <w:r>
        <w:rPr>
          <w:rFonts w:ascii="宋体" w:hAnsi="宋体"/>
          <w:b/>
        </w:rPr>
        <w:fldChar w:fldCharType="separate"/>
      </w:r>
      <w:r>
        <w:rPr>
          <w:rFonts w:ascii="宋体" w:hAnsi="宋体"/>
          <w:b/>
        </w:rPr>
        <w:t>6</w:t>
      </w:r>
      <w:r>
        <w:rPr>
          <w:rFonts w:ascii="宋体" w:hAnsi="宋体"/>
          <w:b/>
        </w:rPr>
        <w:fldChar w:fldCharType="end"/>
      </w:r>
      <w:r>
        <w:rPr>
          <w:rFonts w:ascii="宋体" w:hAnsi="宋体"/>
          <w:b/>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"_Toc529805772" </w:instrText>
      </w:r>
      <w:r>
        <w:fldChar w:fldCharType="separate"/>
      </w:r>
      <w:r>
        <w:rPr>
          <w:rStyle w:val="45"/>
          <w:rFonts w:ascii="宋体" w:hAnsi="宋体"/>
          <w:b/>
          <w:i w:val="0"/>
          <w:color w:val="auto"/>
        </w:rPr>
        <w:t>1.</w:t>
      </w:r>
      <w:r>
        <w:rPr>
          <w:rFonts w:ascii="宋体" w:hAnsi="宋体" w:cstheme="minorBidi"/>
          <w:b/>
          <w:i w:val="0"/>
          <w:iCs w:val="0"/>
          <w:sz w:val="21"/>
          <w:szCs w:val="22"/>
        </w:rPr>
        <w:tab/>
      </w:r>
      <w:r>
        <w:rPr>
          <w:rStyle w:val="45"/>
          <w:rFonts w:ascii="宋体" w:hAnsi="宋体"/>
          <w:b/>
          <w:i w:val="0"/>
          <w:color w:val="auto"/>
        </w:rPr>
        <w:t>定义与解释</w:t>
      </w:r>
      <w:r>
        <w:rPr>
          <w:rFonts w:ascii="宋体" w:hAnsi="宋体"/>
          <w:b/>
          <w:i w:val="0"/>
        </w:rPr>
        <w:tab/>
      </w:r>
      <w:r>
        <w:rPr>
          <w:rFonts w:ascii="宋体" w:hAnsi="宋体"/>
          <w:b/>
          <w:i w:val="0"/>
        </w:rPr>
        <w:fldChar w:fldCharType="begin"/>
      </w:r>
      <w:r>
        <w:rPr>
          <w:rFonts w:ascii="宋体" w:hAnsi="宋体"/>
          <w:b/>
          <w:i w:val="0"/>
        </w:rPr>
        <w:instrText xml:space="preserve"> PAGEREF _Toc529805772 \h </w:instrText>
      </w:r>
      <w:r>
        <w:rPr>
          <w:rFonts w:ascii="宋体" w:hAnsi="宋体"/>
          <w:b/>
          <w:i w:val="0"/>
        </w:rPr>
        <w:fldChar w:fldCharType="separate"/>
      </w:r>
      <w:r>
        <w:rPr>
          <w:rFonts w:ascii="宋体" w:hAnsi="宋体"/>
          <w:b/>
          <w:i w:val="0"/>
        </w:rPr>
        <w:t>6</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"_Toc529805773" </w:instrText>
      </w:r>
      <w:r>
        <w:fldChar w:fldCharType="separate"/>
      </w:r>
      <w:r>
        <w:rPr>
          <w:rStyle w:val="45"/>
          <w:rFonts w:ascii="宋体" w:hAnsi="宋体"/>
          <w:b/>
          <w:i w:val="0"/>
          <w:color w:val="auto"/>
        </w:rPr>
        <w:t>2.</w:t>
      </w:r>
      <w:r>
        <w:rPr>
          <w:rFonts w:ascii="宋体" w:hAnsi="宋体" w:cstheme="minorBidi"/>
          <w:b/>
          <w:i w:val="0"/>
          <w:iCs w:val="0"/>
          <w:sz w:val="21"/>
          <w:szCs w:val="22"/>
        </w:rPr>
        <w:tab/>
      </w:r>
      <w:r>
        <w:rPr>
          <w:rStyle w:val="45"/>
          <w:rFonts w:ascii="宋体" w:hAnsi="宋体"/>
          <w:b/>
          <w:i w:val="0"/>
          <w:color w:val="auto"/>
        </w:rPr>
        <w:t>项目简要描述</w:t>
      </w:r>
      <w:r>
        <w:rPr>
          <w:rFonts w:ascii="宋体" w:hAnsi="宋体"/>
          <w:b/>
          <w:i w:val="0"/>
        </w:rPr>
        <w:tab/>
      </w:r>
      <w:r>
        <w:rPr>
          <w:rFonts w:ascii="宋体" w:hAnsi="宋体"/>
          <w:b/>
          <w:i w:val="0"/>
        </w:rPr>
        <w:fldChar w:fldCharType="begin"/>
      </w:r>
      <w:r>
        <w:rPr>
          <w:rFonts w:ascii="宋体" w:hAnsi="宋体"/>
          <w:b/>
          <w:i w:val="0"/>
        </w:rPr>
        <w:instrText xml:space="preserve"> PAGEREF _Toc529805773 \h </w:instrText>
      </w:r>
      <w:r>
        <w:rPr>
          <w:rFonts w:ascii="宋体" w:hAnsi="宋体"/>
          <w:b/>
          <w:i w:val="0"/>
        </w:rPr>
        <w:fldChar w:fldCharType="separate"/>
      </w:r>
      <w:r>
        <w:rPr>
          <w:rFonts w:ascii="宋体" w:hAnsi="宋体"/>
          <w:b/>
          <w:i w:val="0"/>
        </w:rPr>
        <w:t>8</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"_Toc529805774" </w:instrText>
      </w:r>
      <w:r>
        <w:fldChar w:fldCharType="separate"/>
      </w:r>
      <w:r>
        <w:rPr>
          <w:rStyle w:val="45"/>
          <w:rFonts w:ascii="宋体" w:hAnsi="宋体"/>
          <w:b/>
          <w:i w:val="0"/>
          <w:color w:val="auto"/>
        </w:rPr>
        <w:t>3.</w:t>
      </w:r>
      <w:r>
        <w:rPr>
          <w:rFonts w:ascii="宋体" w:hAnsi="宋体" w:cstheme="minorBidi"/>
          <w:b/>
          <w:i w:val="0"/>
          <w:iCs w:val="0"/>
          <w:sz w:val="21"/>
          <w:szCs w:val="22"/>
        </w:rPr>
        <w:tab/>
      </w:r>
      <w:r>
        <w:rPr>
          <w:rStyle w:val="45"/>
          <w:rFonts w:ascii="宋体" w:hAnsi="宋体"/>
          <w:b/>
          <w:i w:val="0"/>
          <w:color w:val="auto"/>
        </w:rPr>
        <w:t>合格的社会资本</w:t>
      </w:r>
      <w:r>
        <w:rPr>
          <w:rFonts w:ascii="宋体" w:hAnsi="宋体"/>
          <w:b/>
          <w:i w:val="0"/>
        </w:rPr>
        <w:tab/>
      </w:r>
      <w:r>
        <w:rPr>
          <w:rFonts w:ascii="宋体" w:hAnsi="宋体"/>
          <w:b/>
          <w:i w:val="0"/>
        </w:rPr>
        <w:fldChar w:fldCharType="begin"/>
      </w:r>
      <w:r>
        <w:rPr>
          <w:rFonts w:ascii="宋体" w:hAnsi="宋体"/>
          <w:b/>
          <w:i w:val="0"/>
        </w:rPr>
        <w:instrText xml:space="preserve"> PAGEREF _Toc529805774 \h </w:instrText>
      </w:r>
      <w:r>
        <w:rPr>
          <w:rFonts w:ascii="宋体" w:hAnsi="宋体"/>
          <w:b/>
          <w:i w:val="0"/>
        </w:rPr>
        <w:fldChar w:fldCharType="separate"/>
      </w:r>
      <w:r>
        <w:rPr>
          <w:rFonts w:ascii="宋体" w:hAnsi="宋体"/>
          <w:b/>
          <w:i w:val="0"/>
        </w:rPr>
        <w:t>10</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"_Toc529805775" </w:instrText>
      </w:r>
      <w:r>
        <w:fldChar w:fldCharType="separate"/>
      </w:r>
      <w:r>
        <w:rPr>
          <w:rStyle w:val="45"/>
          <w:rFonts w:ascii="宋体" w:hAnsi="宋体"/>
          <w:b/>
          <w:i w:val="0"/>
          <w:color w:val="auto"/>
        </w:rPr>
        <w:t>4.</w:t>
      </w:r>
      <w:r>
        <w:rPr>
          <w:rFonts w:ascii="宋体" w:hAnsi="宋体" w:cstheme="minorBidi"/>
          <w:b/>
          <w:i w:val="0"/>
          <w:iCs w:val="0"/>
          <w:sz w:val="21"/>
          <w:szCs w:val="22"/>
        </w:rPr>
        <w:tab/>
      </w:r>
      <w:r>
        <w:rPr>
          <w:rStyle w:val="45"/>
          <w:rFonts w:ascii="宋体" w:hAnsi="宋体"/>
          <w:b/>
          <w:i w:val="0"/>
          <w:color w:val="auto"/>
        </w:rPr>
        <w:t>投标费用</w:t>
      </w:r>
      <w:r>
        <w:rPr>
          <w:rFonts w:ascii="宋体" w:hAnsi="宋体"/>
          <w:b/>
          <w:i w:val="0"/>
        </w:rPr>
        <w:tab/>
      </w:r>
      <w:r>
        <w:rPr>
          <w:rFonts w:ascii="宋体" w:hAnsi="宋体"/>
          <w:b/>
          <w:i w:val="0"/>
        </w:rPr>
        <w:fldChar w:fldCharType="begin"/>
      </w:r>
      <w:r>
        <w:rPr>
          <w:rFonts w:ascii="宋体" w:hAnsi="宋体"/>
          <w:b/>
          <w:i w:val="0"/>
        </w:rPr>
        <w:instrText xml:space="preserve"> PAGEREF _Toc529805775 \h </w:instrText>
      </w:r>
      <w:r>
        <w:rPr>
          <w:rFonts w:ascii="宋体" w:hAnsi="宋体"/>
          <w:b/>
          <w:i w:val="0"/>
        </w:rPr>
        <w:fldChar w:fldCharType="separate"/>
      </w:r>
      <w:r>
        <w:rPr>
          <w:rFonts w:ascii="宋体" w:hAnsi="宋体"/>
          <w:b/>
          <w:i w:val="0"/>
        </w:rPr>
        <w:t>10</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"_Toc529805776" </w:instrText>
      </w:r>
      <w:r>
        <w:fldChar w:fldCharType="separate"/>
      </w:r>
      <w:r>
        <w:rPr>
          <w:rStyle w:val="45"/>
          <w:rFonts w:ascii="宋体" w:hAnsi="宋体"/>
          <w:b/>
          <w:i w:val="0"/>
          <w:color w:val="auto"/>
        </w:rPr>
        <w:t>5.</w:t>
      </w:r>
      <w:r>
        <w:rPr>
          <w:rFonts w:ascii="宋体" w:hAnsi="宋体" w:cstheme="minorBidi"/>
          <w:b/>
          <w:i w:val="0"/>
          <w:iCs w:val="0"/>
          <w:sz w:val="21"/>
          <w:szCs w:val="22"/>
        </w:rPr>
        <w:tab/>
      </w:r>
      <w:r>
        <w:rPr>
          <w:rStyle w:val="45"/>
          <w:rFonts w:ascii="宋体" w:hAnsi="宋体"/>
          <w:b/>
          <w:i w:val="0"/>
          <w:color w:val="auto"/>
        </w:rPr>
        <w:t>招标工作原则</w:t>
      </w:r>
      <w:r>
        <w:rPr>
          <w:rFonts w:ascii="宋体" w:hAnsi="宋体"/>
          <w:b/>
          <w:i w:val="0"/>
        </w:rPr>
        <w:tab/>
      </w:r>
      <w:r>
        <w:rPr>
          <w:rFonts w:ascii="宋体" w:hAnsi="宋体"/>
          <w:b/>
          <w:i w:val="0"/>
        </w:rPr>
        <w:fldChar w:fldCharType="begin"/>
      </w:r>
      <w:r>
        <w:rPr>
          <w:rFonts w:ascii="宋体" w:hAnsi="宋体"/>
          <w:b/>
          <w:i w:val="0"/>
        </w:rPr>
        <w:instrText xml:space="preserve"> PAGEREF _Toc529805776 \h </w:instrText>
      </w:r>
      <w:r>
        <w:rPr>
          <w:rFonts w:ascii="宋体" w:hAnsi="宋体"/>
          <w:b/>
          <w:i w:val="0"/>
        </w:rPr>
        <w:fldChar w:fldCharType="separate"/>
      </w:r>
      <w:r>
        <w:rPr>
          <w:rFonts w:ascii="宋体" w:hAnsi="宋体"/>
          <w:b/>
          <w:i w:val="0"/>
        </w:rPr>
        <w:t>10</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"_Toc529805777" </w:instrText>
      </w:r>
      <w:r>
        <w:fldChar w:fldCharType="separate"/>
      </w:r>
      <w:r>
        <w:rPr>
          <w:rStyle w:val="45"/>
          <w:rFonts w:ascii="宋体" w:hAnsi="宋体"/>
          <w:b/>
          <w:color w:val="auto"/>
        </w:rPr>
        <w:t>第二章</w:t>
      </w:r>
      <w:r>
        <w:rPr>
          <w:rFonts w:ascii="宋体" w:hAnsi="宋体" w:cstheme="minorBidi"/>
          <w:b/>
          <w:smallCaps w:val="0"/>
          <w:sz w:val="21"/>
          <w:szCs w:val="22"/>
        </w:rPr>
        <w:tab/>
      </w:r>
      <w:r>
        <w:rPr>
          <w:rStyle w:val="45"/>
          <w:rFonts w:ascii="宋体" w:hAnsi="宋体"/>
          <w:b/>
          <w:color w:val="auto"/>
        </w:rPr>
        <w:t>招标文件</w:t>
      </w:r>
      <w:r>
        <w:rPr>
          <w:rFonts w:ascii="宋体" w:hAnsi="宋体"/>
          <w:b/>
        </w:rPr>
        <w:tab/>
      </w:r>
      <w:r>
        <w:rPr>
          <w:rFonts w:ascii="宋体" w:hAnsi="宋体"/>
          <w:b/>
        </w:rPr>
        <w:fldChar w:fldCharType="begin"/>
      </w:r>
      <w:r>
        <w:rPr>
          <w:rFonts w:ascii="宋体" w:hAnsi="宋体"/>
          <w:b/>
        </w:rPr>
        <w:instrText xml:space="preserve"> PAGEREF _Toc529805777 \h </w:instrText>
      </w:r>
      <w:r>
        <w:rPr>
          <w:rFonts w:ascii="宋体" w:hAnsi="宋体"/>
          <w:b/>
        </w:rPr>
        <w:fldChar w:fldCharType="separate"/>
      </w:r>
      <w:r>
        <w:rPr>
          <w:rFonts w:ascii="宋体" w:hAnsi="宋体"/>
          <w:b/>
        </w:rPr>
        <w:t>11</w:t>
      </w:r>
      <w:r>
        <w:rPr>
          <w:rFonts w:ascii="宋体" w:hAnsi="宋体"/>
          <w:b/>
        </w:rPr>
        <w:fldChar w:fldCharType="end"/>
      </w:r>
      <w:r>
        <w:rPr>
          <w:rFonts w:ascii="宋体" w:hAnsi="宋体"/>
          <w:b/>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"_Toc529805778" </w:instrText>
      </w:r>
      <w:r>
        <w:fldChar w:fldCharType="separate"/>
      </w:r>
      <w:r>
        <w:rPr>
          <w:rStyle w:val="45"/>
          <w:rFonts w:ascii="宋体" w:hAnsi="宋体"/>
          <w:b/>
          <w:i w:val="0"/>
          <w:color w:val="auto"/>
        </w:rPr>
        <w:t>6.</w:t>
      </w:r>
      <w:r>
        <w:rPr>
          <w:rFonts w:ascii="宋体" w:hAnsi="宋体" w:cstheme="minorBidi"/>
          <w:b/>
          <w:i w:val="0"/>
          <w:iCs w:val="0"/>
          <w:sz w:val="21"/>
          <w:szCs w:val="22"/>
        </w:rPr>
        <w:tab/>
      </w:r>
      <w:r>
        <w:rPr>
          <w:rStyle w:val="45"/>
          <w:rFonts w:ascii="宋体" w:hAnsi="宋体"/>
          <w:b/>
          <w:i w:val="0"/>
          <w:color w:val="auto"/>
        </w:rPr>
        <w:t>招标文件内容</w:t>
      </w:r>
      <w:r>
        <w:rPr>
          <w:rFonts w:ascii="宋体" w:hAnsi="宋体"/>
          <w:b/>
          <w:i w:val="0"/>
        </w:rPr>
        <w:tab/>
      </w:r>
      <w:r>
        <w:rPr>
          <w:rFonts w:ascii="宋体" w:hAnsi="宋体"/>
          <w:b/>
          <w:i w:val="0"/>
        </w:rPr>
        <w:fldChar w:fldCharType="begin"/>
      </w:r>
      <w:r>
        <w:rPr>
          <w:rFonts w:ascii="宋体" w:hAnsi="宋体"/>
          <w:b/>
          <w:i w:val="0"/>
        </w:rPr>
        <w:instrText xml:space="preserve"> PAGEREF _Toc529805778 \h </w:instrText>
      </w:r>
      <w:r>
        <w:rPr>
          <w:rFonts w:ascii="宋体" w:hAnsi="宋体"/>
          <w:b/>
          <w:i w:val="0"/>
        </w:rPr>
        <w:fldChar w:fldCharType="separate"/>
      </w:r>
      <w:r>
        <w:rPr>
          <w:rFonts w:ascii="宋体" w:hAnsi="宋体"/>
          <w:b/>
          <w:i w:val="0"/>
        </w:rPr>
        <w:t>11</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"_Toc529805779" </w:instrText>
      </w:r>
      <w:r>
        <w:fldChar w:fldCharType="separate"/>
      </w:r>
      <w:r>
        <w:rPr>
          <w:rStyle w:val="45"/>
          <w:rFonts w:ascii="宋体" w:hAnsi="宋体"/>
          <w:b/>
          <w:i w:val="0"/>
          <w:color w:val="auto"/>
        </w:rPr>
        <w:t>7.</w:t>
      </w:r>
      <w:r>
        <w:rPr>
          <w:rFonts w:ascii="宋体" w:hAnsi="宋体" w:cstheme="minorBidi"/>
          <w:b/>
          <w:i w:val="0"/>
          <w:iCs w:val="0"/>
          <w:sz w:val="21"/>
          <w:szCs w:val="22"/>
        </w:rPr>
        <w:tab/>
      </w:r>
      <w:r>
        <w:rPr>
          <w:rStyle w:val="45"/>
          <w:rFonts w:ascii="宋体" w:hAnsi="宋体"/>
          <w:b/>
          <w:i w:val="0"/>
          <w:color w:val="auto"/>
        </w:rPr>
        <w:t>社会资本的责任</w:t>
      </w:r>
      <w:r>
        <w:rPr>
          <w:rFonts w:ascii="宋体" w:hAnsi="宋体"/>
          <w:b/>
          <w:i w:val="0"/>
        </w:rPr>
        <w:tab/>
      </w:r>
      <w:r>
        <w:rPr>
          <w:rFonts w:ascii="宋体" w:hAnsi="宋体"/>
          <w:b/>
          <w:i w:val="0"/>
        </w:rPr>
        <w:fldChar w:fldCharType="begin"/>
      </w:r>
      <w:r>
        <w:rPr>
          <w:rFonts w:ascii="宋体" w:hAnsi="宋体"/>
          <w:b/>
          <w:i w:val="0"/>
        </w:rPr>
        <w:instrText xml:space="preserve"> PAGEREF _Toc529805779 \h </w:instrText>
      </w:r>
      <w:r>
        <w:rPr>
          <w:rFonts w:ascii="宋体" w:hAnsi="宋体"/>
          <w:b/>
          <w:i w:val="0"/>
        </w:rPr>
        <w:fldChar w:fldCharType="separate"/>
      </w:r>
      <w:r>
        <w:rPr>
          <w:rFonts w:ascii="宋体" w:hAnsi="宋体"/>
          <w:b/>
          <w:i w:val="0"/>
        </w:rPr>
        <w:t>12</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"_Toc529805780" </w:instrText>
      </w:r>
      <w:r>
        <w:fldChar w:fldCharType="separate"/>
      </w:r>
      <w:r>
        <w:rPr>
          <w:rStyle w:val="45"/>
          <w:rFonts w:ascii="宋体" w:hAnsi="宋体"/>
          <w:b/>
          <w:i w:val="0"/>
          <w:color w:val="auto"/>
        </w:rPr>
        <w:t>8.</w:t>
      </w:r>
      <w:r>
        <w:rPr>
          <w:rFonts w:ascii="宋体" w:hAnsi="宋体" w:cstheme="minorBidi"/>
          <w:b/>
          <w:i w:val="0"/>
          <w:iCs w:val="0"/>
          <w:sz w:val="21"/>
          <w:szCs w:val="22"/>
        </w:rPr>
        <w:tab/>
      </w:r>
      <w:r>
        <w:rPr>
          <w:rStyle w:val="45"/>
          <w:rFonts w:ascii="宋体" w:hAnsi="宋体"/>
          <w:b/>
          <w:i w:val="0"/>
          <w:color w:val="auto"/>
        </w:rPr>
        <w:t>招标文件的澄清</w:t>
      </w:r>
      <w:r>
        <w:rPr>
          <w:rFonts w:ascii="宋体" w:hAnsi="宋体"/>
          <w:b/>
          <w:i w:val="0"/>
        </w:rPr>
        <w:tab/>
      </w:r>
      <w:r>
        <w:rPr>
          <w:rFonts w:ascii="宋体" w:hAnsi="宋体"/>
          <w:b/>
          <w:i w:val="0"/>
        </w:rPr>
        <w:fldChar w:fldCharType="begin"/>
      </w:r>
      <w:r>
        <w:rPr>
          <w:rFonts w:ascii="宋体" w:hAnsi="宋体"/>
          <w:b/>
          <w:i w:val="0"/>
        </w:rPr>
        <w:instrText xml:space="preserve"> PAGEREF _Toc529805780 \h </w:instrText>
      </w:r>
      <w:r>
        <w:rPr>
          <w:rFonts w:ascii="宋体" w:hAnsi="宋体"/>
          <w:b/>
          <w:i w:val="0"/>
        </w:rPr>
        <w:fldChar w:fldCharType="separate"/>
      </w:r>
      <w:r>
        <w:rPr>
          <w:rFonts w:ascii="宋体" w:hAnsi="宋体"/>
          <w:b/>
          <w:i w:val="0"/>
        </w:rPr>
        <w:t>12</w:t>
      </w:r>
      <w:r>
        <w:rPr>
          <w:rFonts w:ascii="宋体" w:hAnsi="宋体"/>
          <w:b/>
          <w:i w:val="0"/>
        </w:rPr>
        <w:fldChar w:fldCharType="end"/>
      </w:r>
      <w:r>
        <w:rPr>
          <w:rFonts w:ascii="宋体" w:hAnsi="宋体"/>
          <w:b/>
          <w:i w:val="0"/>
        </w:rPr>
        <w:fldChar w:fldCharType="end"/>
      </w:r>
    </w:p>
    <w:p>
      <w:pPr>
        <w:pStyle w:val="19"/>
        <w:tabs>
          <w:tab w:val="left" w:pos="840"/>
          <w:tab w:val="right" w:leader="dot" w:pos="8302"/>
        </w:tabs>
        <w:rPr>
          <w:rFonts w:ascii="宋体" w:hAnsi="宋体" w:cstheme="minorBidi"/>
          <w:b/>
          <w:i w:val="0"/>
          <w:iCs w:val="0"/>
          <w:sz w:val="21"/>
          <w:szCs w:val="22"/>
        </w:rPr>
      </w:pPr>
      <w:r>
        <w:fldChar w:fldCharType="begin"/>
      </w:r>
      <w:r>
        <w:instrText xml:space="preserve"> HYPERLINK \l "_Toc529805781" </w:instrText>
      </w:r>
      <w:r>
        <w:fldChar w:fldCharType="separate"/>
      </w:r>
      <w:r>
        <w:rPr>
          <w:rStyle w:val="45"/>
          <w:rFonts w:ascii="宋体" w:hAnsi="宋体"/>
          <w:b/>
          <w:i w:val="0"/>
          <w:color w:val="auto"/>
        </w:rPr>
        <w:t>9.</w:t>
      </w:r>
      <w:r>
        <w:rPr>
          <w:rFonts w:ascii="宋体" w:hAnsi="宋体" w:cstheme="minorBidi"/>
          <w:b/>
          <w:i w:val="0"/>
          <w:iCs w:val="0"/>
          <w:sz w:val="21"/>
          <w:szCs w:val="22"/>
        </w:rPr>
        <w:tab/>
      </w:r>
      <w:r>
        <w:rPr>
          <w:rStyle w:val="45"/>
          <w:rFonts w:ascii="宋体" w:hAnsi="宋体"/>
          <w:b/>
          <w:i w:val="0"/>
          <w:color w:val="auto"/>
        </w:rPr>
        <w:t>招标文件的修改</w:t>
      </w:r>
      <w:r>
        <w:rPr>
          <w:rFonts w:ascii="宋体" w:hAnsi="宋体"/>
          <w:b/>
          <w:i w:val="0"/>
        </w:rPr>
        <w:tab/>
      </w:r>
      <w:r>
        <w:rPr>
          <w:rFonts w:ascii="宋体" w:hAnsi="宋体"/>
          <w:b/>
          <w:i w:val="0"/>
        </w:rPr>
        <w:fldChar w:fldCharType="begin"/>
      </w:r>
      <w:r>
        <w:rPr>
          <w:rFonts w:ascii="宋体" w:hAnsi="宋体"/>
          <w:b/>
          <w:i w:val="0"/>
        </w:rPr>
        <w:instrText xml:space="preserve"> PAGEREF _Toc529805781 \h </w:instrText>
      </w:r>
      <w:r>
        <w:rPr>
          <w:rFonts w:ascii="宋体" w:hAnsi="宋体"/>
          <w:b/>
          <w:i w:val="0"/>
        </w:rPr>
        <w:fldChar w:fldCharType="separate"/>
      </w:r>
      <w:r>
        <w:rPr>
          <w:rFonts w:ascii="宋体" w:hAnsi="宋体"/>
          <w:b/>
          <w:i w:val="0"/>
        </w:rPr>
        <w:t>12</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"_Toc529805782" </w:instrText>
      </w:r>
      <w:r>
        <w:fldChar w:fldCharType="separate"/>
      </w:r>
      <w:r>
        <w:rPr>
          <w:rStyle w:val="45"/>
          <w:rFonts w:ascii="宋体" w:hAnsi="宋体"/>
          <w:b/>
          <w:i w:val="0"/>
          <w:color w:val="auto"/>
        </w:rPr>
        <w:t>10.</w:t>
      </w:r>
      <w:r>
        <w:rPr>
          <w:rFonts w:ascii="宋体" w:hAnsi="宋体" w:cstheme="minorBidi"/>
          <w:b/>
          <w:i w:val="0"/>
          <w:iCs w:val="0"/>
          <w:sz w:val="21"/>
          <w:szCs w:val="22"/>
        </w:rPr>
        <w:tab/>
      </w:r>
      <w:r>
        <w:rPr>
          <w:rStyle w:val="45"/>
          <w:rFonts w:ascii="宋体" w:hAnsi="宋体"/>
          <w:b/>
          <w:i w:val="0"/>
          <w:color w:val="auto"/>
        </w:rPr>
        <w:t>澄清公告</w:t>
      </w:r>
      <w:r>
        <w:rPr>
          <w:rFonts w:ascii="宋体" w:hAnsi="宋体"/>
          <w:b/>
          <w:i w:val="0"/>
        </w:rPr>
        <w:tab/>
      </w:r>
      <w:r>
        <w:rPr>
          <w:rFonts w:ascii="宋体" w:hAnsi="宋体"/>
          <w:b/>
          <w:i w:val="0"/>
        </w:rPr>
        <w:fldChar w:fldCharType="begin"/>
      </w:r>
      <w:r>
        <w:rPr>
          <w:rFonts w:ascii="宋体" w:hAnsi="宋体"/>
          <w:b/>
          <w:i w:val="0"/>
        </w:rPr>
        <w:instrText xml:space="preserve"> PAGEREF _Toc529805782 \h </w:instrText>
      </w:r>
      <w:r>
        <w:rPr>
          <w:rFonts w:ascii="宋体" w:hAnsi="宋体"/>
          <w:b/>
          <w:i w:val="0"/>
        </w:rPr>
        <w:fldChar w:fldCharType="separate"/>
      </w:r>
      <w:r>
        <w:rPr>
          <w:rFonts w:ascii="宋体" w:hAnsi="宋体"/>
          <w:b/>
          <w:i w:val="0"/>
        </w:rPr>
        <w:t>13</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"_Toc529805783" </w:instrText>
      </w:r>
      <w:r>
        <w:fldChar w:fldCharType="separate"/>
      </w:r>
      <w:r>
        <w:rPr>
          <w:rStyle w:val="45"/>
          <w:rFonts w:ascii="宋体" w:hAnsi="宋体"/>
          <w:b/>
          <w:color w:val="auto"/>
        </w:rPr>
        <w:t>第三章</w:t>
      </w:r>
      <w:r>
        <w:rPr>
          <w:rFonts w:ascii="宋体" w:hAnsi="宋体" w:cstheme="minorBidi"/>
          <w:b/>
          <w:smallCaps w:val="0"/>
          <w:sz w:val="21"/>
          <w:szCs w:val="22"/>
        </w:rPr>
        <w:tab/>
      </w:r>
      <w:r>
        <w:rPr>
          <w:rStyle w:val="45"/>
          <w:rFonts w:ascii="宋体" w:hAnsi="宋体"/>
          <w:b/>
          <w:color w:val="auto"/>
        </w:rPr>
        <w:t>投标文件的准备</w:t>
      </w:r>
      <w:r>
        <w:rPr>
          <w:rFonts w:ascii="宋体" w:hAnsi="宋体"/>
          <w:b/>
        </w:rPr>
        <w:tab/>
      </w:r>
      <w:r>
        <w:rPr>
          <w:rFonts w:ascii="宋体" w:hAnsi="宋体"/>
          <w:b/>
        </w:rPr>
        <w:fldChar w:fldCharType="begin"/>
      </w:r>
      <w:r>
        <w:rPr>
          <w:rFonts w:ascii="宋体" w:hAnsi="宋体"/>
          <w:b/>
        </w:rPr>
        <w:instrText xml:space="preserve"> PAGEREF _Toc529805783 \h </w:instrText>
      </w:r>
      <w:r>
        <w:rPr>
          <w:rFonts w:ascii="宋体" w:hAnsi="宋体"/>
          <w:b/>
        </w:rPr>
        <w:fldChar w:fldCharType="separate"/>
      </w:r>
      <w:r>
        <w:rPr>
          <w:rFonts w:ascii="宋体" w:hAnsi="宋体"/>
          <w:b/>
        </w:rPr>
        <w:t>13</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"_Toc529805784" </w:instrText>
      </w:r>
      <w:r>
        <w:fldChar w:fldCharType="separate"/>
      </w:r>
      <w:r>
        <w:rPr>
          <w:rStyle w:val="45"/>
          <w:rFonts w:ascii="宋体" w:hAnsi="宋体"/>
          <w:b/>
          <w:i w:val="0"/>
          <w:color w:val="auto"/>
        </w:rPr>
        <w:t>11.</w:t>
      </w:r>
      <w:r>
        <w:rPr>
          <w:rFonts w:ascii="宋体" w:hAnsi="宋体" w:cstheme="minorBidi"/>
          <w:b/>
          <w:i w:val="0"/>
          <w:iCs w:val="0"/>
          <w:sz w:val="21"/>
          <w:szCs w:val="22"/>
        </w:rPr>
        <w:tab/>
      </w:r>
      <w:r>
        <w:rPr>
          <w:rStyle w:val="45"/>
          <w:rFonts w:ascii="宋体" w:hAnsi="宋体"/>
          <w:b/>
          <w:i w:val="0"/>
          <w:color w:val="auto"/>
        </w:rPr>
        <w:t>投标文件的格式</w:t>
      </w:r>
      <w:r>
        <w:rPr>
          <w:rFonts w:ascii="宋体" w:hAnsi="宋体"/>
          <w:b/>
          <w:i w:val="0"/>
        </w:rPr>
        <w:tab/>
      </w:r>
      <w:r>
        <w:rPr>
          <w:rFonts w:ascii="宋体" w:hAnsi="宋体"/>
          <w:b/>
          <w:i w:val="0"/>
        </w:rPr>
        <w:fldChar w:fldCharType="begin"/>
      </w:r>
      <w:r>
        <w:rPr>
          <w:rFonts w:ascii="宋体" w:hAnsi="宋体"/>
          <w:b/>
          <w:i w:val="0"/>
        </w:rPr>
        <w:instrText xml:space="preserve"> PAGEREF _Toc529805784 \h </w:instrText>
      </w:r>
      <w:r>
        <w:rPr>
          <w:rFonts w:ascii="宋体" w:hAnsi="宋体"/>
          <w:b/>
          <w:i w:val="0"/>
        </w:rPr>
        <w:fldChar w:fldCharType="separate"/>
      </w:r>
      <w:r>
        <w:rPr>
          <w:rFonts w:ascii="宋体" w:hAnsi="宋体"/>
          <w:b/>
          <w:i w:val="0"/>
        </w:rPr>
        <w:t>13</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"_Toc529805785" </w:instrText>
      </w:r>
      <w:r>
        <w:fldChar w:fldCharType="separate"/>
      </w:r>
      <w:r>
        <w:rPr>
          <w:rStyle w:val="45"/>
          <w:rFonts w:ascii="宋体" w:hAnsi="宋体"/>
          <w:b/>
          <w:i w:val="0"/>
          <w:color w:val="auto"/>
        </w:rPr>
        <w:t>12.</w:t>
      </w:r>
      <w:r>
        <w:rPr>
          <w:rFonts w:ascii="宋体" w:hAnsi="宋体" w:cstheme="minorBidi"/>
          <w:b/>
          <w:i w:val="0"/>
          <w:iCs w:val="0"/>
          <w:sz w:val="21"/>
          <w:szCs w:val="22"/>
        </w:rPr>
        <w:tab/>
      </w:r>
      <w:r>
        <w:rPr>
          <w:rStyle w:val="45"/>
          <w:rFonts w:ascii="宋体" w:hAnsi="宋体"/>
          <w:b/>
          <w:i w:val="0"/>
          <w:color w:val="auto"/>
        </w:rPr>
        <w:t>投标文件的符合程度</w:t>
      </w:r>
      <w:r>
        <w:rPr>
          <w:rFonts w:ascii="宋体" w:hAnsi="宋体"/>
          <w:b/>
          <w:i w:val="0"/>
        </w:rPr>
        <w:tab/>
      </w:r>
      <w:r>
        <w:rPr>
          <w:rFonts w:ascii="宋体" w:hAnsi="宋体"/>
          <w:b/>
          <w:i w:val="0"/>
        </w:rPr>
        <w:fldChar w:fldCharType="begin"/>
      </w:r>
      <w:r>
        <w:rPr>
          <w:rFonts w:ascii="宋体" w:hAnsi="宋体"/>
          <w:b/>
          <w:i w:val="0"/>
        </w:rPr>
        <w:instrText xml:space="preserve"> PAGEREF _Toc529805785 \h </w:instrText>
      </w:r>
      <w:r>
        <w:rPr>
          <w:rFonts w:ascii="宋体" w:hAnsi="宋体"/>
          <w:b/>
          <w:i w:val="0"/>
        </w:rPr>
        <w:fldChar w:fldCharType="separate"/>
      </w:r>
      <w:r>
        <w:rPr>
          <w:rFonts w:ascii="宋体" w:hAnsi="宋体"/>
          <w:b/>
          <w:i w:val="0"/>
        </w:rPr>
        <w:t>13</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"_Toc529805786" </w:instrText>
      </w:r>
      <w:r>
        <w:fldChar w:fldCharType="separate"/>
      </w:r>
      <w:r>
        <w:rPr>
          <w:rStyle w:val="45"/>
          <w:rFonts w:ascii="宋体" w:hAnsi="宋体"/>
          <w:b/>
          <w:i w:val="0"/>
          <w:color w:val="auto"/>
        </w:rPr>
        <w:t>13.</w:t>
      </w:r>
      <w:r>
        <w:rPr>
          <w:rFonts w:ascii="宋体" w:hAnsi="宋体" w:cstheme="minorBidi"/>
          <w:b/>
          <w:i w:val="0"/>
          <w:iCs w:val="0"/>
          <w:sz w:val="21"/>
          <w:szCs w:val="22"/>
        </w:rPr>
        <w:tab/>
      </w:r>
      <w:r>
        <w:rPr>
          <w:rStyle w:val="45"/>
          <w:rFonts w:ascii="宋体" w:hAnsi="宋体"/>
          <w:b/>
          <w:i w:val="0"/>
          <w:color w:val="auto"/>
        </w:rPr>
        <w:t>投标文件综述</w:t>
      </w:r>
      <w:r>
        <w:rPr>
          <w:rFonts w:ascii="宋体" w:hAnsi="宋体"/>
          <w:b/>
          <w:i w:val="0"/>
        </w:rPr>
        <w:tab/>
      </w:r>
      <w:r>
        <w:rPr>
          <w:rFonts w:ascii="宋体" w:hAnsi="宋体"/>
          <w:b/>
          <w:i w:val="0"/>
        </w:rPr>
        <w:fldChar w:fldCharType="begin"/>
      </w:r>
      <w:r>
        <w:rPr>
          <w:rFonts w:ascii="宋体" w:hAnsi="宋体"/>
          <w:b/>
          <w:i w:val="0"/>
        </w:rPr>
        <w:instrText xml:space="preserve"> PAGEREF _Toc529805786 \h </w:instrText>
      </w:r>
      <w:r>
        <w:rPr>
          <w:rFonts w:ascii="宋体" w:hAnsi="宋体"/>
          <w:b/>
          <w:i w:val="0"/>
        </w:rPr>
        <w:fldChar w:fldCharType="separate"/>
      </w:r>
      <w:r>
        <w:rPr>
          <w:rFonts w:ascii="宋体" w:hAnsi="宋体"/>
          <w:b/>
          <w:i w:val="0"/>
        </w:rPr>
        <w:t>13</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"_Toc529805787" </w:instrText>
      </w:r>
      <w:r>
        <w:fldChar w:fldCharType="separate"/>
      </w:r>
      <w:r>
        <w:rPr>
          <w:rStyle w:val="45"/>
          <w:rFonts w:ascii="宋体" w:hAnsi="宋体"/>
          <w:b/>
          <w:i w:val="0"/>
          <w:color w:val="auto"/>
        </w:rPr>
        <w:t>14.</w:t>
      </w:r>
      <w:r>
        <w:rPr>
          <w:rFonts w:ascii="宋体" w:hAnsi="宋体" w:cstheme="minorBidi"/>
          <w:b/>
          <w:i w:val="0"/>
          <w:iCs w:val="0"/>
          <w:sz w:val="21"/>
          <w:szCs w:val="22"/>
        </w:rPr>
        <w:tab/>
      </w:r>
      <w:r>
        <w:rPr>
          <w:rStyle w:val="45"/>
          <w:rFonts w:ascii="宋体" w:hAnsi="宋体"/>
          <w:b/>
          <w:i w:val="0"/>
          <w:color w:val="auto"/>
        </w:rPr>
        <w:t>技术方案</w:t>
      </w:r>
      <w:r>
        <w:rPr>
          <w:rFonts w:ascii="宋体" w:hAnsi="宋体"/>
          <w:b/>
          <w:i w:val="0"/>
        </w:rPr>
        <w:tab/>
      </w:r>
      <w:r>
        <w:rPr>
          <w:rFonts w:ascii="宋体" w:hAnsi="宋体"/>
          <w:b/>
          <w:i w:val="0"/>
        </w:rPr>
        <w:fldChar w:fldCharType="begin"/>
      </w:r>
      <w:r>
        <w:rPr>
          <w:rFonts w:ascii="宋体" w:hAnsi="宋体"/>
          <w:b/>
          <w:i w:val="0"/>
        </w:rPr>
        <w:instrText xml:space="preserve"> PAGEREF _Toc529805787 \h </w:instrText>
      </w:r>
      <w:r>
        <w:rPr>
          <w:rFonts w:ascii="宋体" w:hAnsi="宋体"/>
          <w:b/>
          <w:i w:val="0"/>
        </w:rPr>
        <w:fldChar w:fldCharType="separate"/>
      </w:r>
      <w:r>
        <w:rPr>
          <w:rFonts w:ascii="宋体" w:hAnsi="宋体"/>
          <w:b/>
          <w:i w:val="0"/>
        </w:rPr>
        <w:t>14</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"_Toc529805788" </w:instrText>
      </w:r>
      <w:r>
        <w:fldChar w:fldCharType="separate"/>
      </w:r>
      <w:r>
        <w:rPr>
          <w:rStyle w:val="45"/>
          <w:rFonts w:ascii="宋体" w:hAnsi="宋体"/>
          <w:b/>
          <w:i w:val="0"/>
          <w:color w:val="auto"/>
        </w:rPr>
        <w:t>15.</w:t>
      </w:r>
      <w:r>
        <w:rPr>
          <w:rFonts w:ascii="宋体" w:hAnsi="宋体" w:cstheme="minorBidi"/>
          <w:b/>
          <w:i w:val="0"/>
          <w:iCs w:val="0"/>
          <w:sz w:val="21"/>
          <w:szCs w:val="22"/>
        </w:rPr>
        <w:tab/>
      </w:r>
      <w:r>
        <w:rPr>
          <w:rStyle w:val="45"/>
          <w:rFonts w:ascii="宋体" w:hAnsi="宋体"/>
          <w:b/>
          <w:i w:val="0"/>
          <w:color w:val="auto"/>
        </w:rPr>
        <w:t>财务方案和法律方案</w:t>
      </w:r>
      <w:r>
        <w:rPr>
          <w:rFonts w:ascii="宋体" w:hAnsi="宋体"/>
          <w:b/>
          <w:i w:val="0"/>
        </w:rPr>
        <w:tab/>
      </w:r>
      <w:r>
        <w:rPr>
          <w:rFonts w:ascii="宋体" w:hAnsi="宋体"/>
          <w:b/>
          <w:i w:val="0"/>
        </w:rPr>
        <w:fldChar w:fldCharType="begin"/>
      </w:r>
      <w:r>
        <w:rPr>
          <w:rFonts w:ascii="宋体" w:hAnsi="宋体"/>
          <w:b/>
          <w:i w:val="0"/>
        </w:rPr>
        <w:instrText xml:space="preserve"> PAGEREF _Toc529805788 \h </w:instrText>
      </w:r>
      <w:r>
        <w:rPr>
          <w:rFonts w:ascii="宋体" w:hAnsi="宋体"/>
          <w:b/>
          <w:i w:val="0"/>
        </w:rPr>
        <w:fldChar w:fldCharType="separate"/>
      </w:r>
      <w:r>
        <w:rPr>
          <w:rFonts w:ascii="宋体" w:hAnsi="宋体"/>
          <w:b/>
          <w:i w:val="0"/>
        </w:rPr>
        <w:t>14</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"_Toc529805789" </w:instrText>
      </w:r>
      <w:r>
        <w:fldChar w:fldCharType="separate"/>
      </w:r>
      <w:r>
        <w:rPr>
          <w:rStyle w:val="45"/>
          <w:rFonts w:ascii="宋体" w:hAnsi="宋体"/>
          <w:b/>
          <w:i w:val="0"/>
          <w:color w:val="auto"/>
        </w:rPr>
        <w:t>16.</w:t>
      </w:r>
      <w:r>
        <w:rPr>
          <w:rFonts w:ascii="宋体" w:hAnsi="宋体" w:cstheme="minorBidi"/>
          <w:b/>
          <w:i w:val="0"/>
          <w:iCs w:val="0"/>
          <w:sz w:val="21"/>
          <w:szCs w:val="22"/>
        </w:rPr>
        <w:tab/>
      </w:r>
      <w:r>
        <w:rPr>
          <w:rStyle w:val="45"/>
          <w:rFonts w:ascii="宋体" w:hAnsi="宋体"/>
          <w:b/>
          <w:i w:val="0"/>
          <w:color w:val="auto"/>
        </w:rPr>
        <w:t>投标保证金</w:t>
      </w:r>
      <w:r>
        <w:rPr>
          <w:rFonts w:ascii="宋体" w:hAnsi="宋体"/>
          <w:b/>
          <w:i w:val="0"/>
        </w:rPr>
        <w:tab/>
      </w:r>
      <w:r>
        <w:rPr>
          <w:rFonts w:ascii="宋体" w:hAnsi="宋体"/>
          <w:b/>
          <w:i w:val="0"/>
        </w:rPr>
        <w:fldChar w:fldCharType="begin"/>
      </w:r>
      <w:r>
        <w:rPr>
          <w:rFonts w:ascii="宋体" w:hAnsi="宋体"/>
          <w:b/>
          <w:i w:val="0"/>
        </w:rPr>
        <w:instrText xml:space="preserve"> PAGEREF _Toc529805789 \h </w:instrText>
      </w:r>
      <w:r>
        <w:rPr>
          <w:rFonts w:ascii="宋体" w:hAnsi="宋体"/>
          <w:b/>
          <w:i w:val="0"/>
        </w:rPr>
        <w:fldChar w:fldCharType="separate"/>
      </w:r>
      <w:r>
        <w:rPr>
          <w:rFonts w:ascii="宋体" w:hAnsi="宋体"/>
          <w:b/>
          <w:i w:val="0"/>
        </w:rPr>
        <w:t>15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"_Toc529805790" </w:instrText>
      </w:r>
      <w:r>
        <w:fldChar w:fldCharType="separate"/>
      </w:r>
      <w:r>
        <w:rPr>
          <w:rStyle w:val="45"/>
          <w:rFonts w:ascii="宋体" w:hAnsi="宋体"/>
          <w:b/>
          <w:i w:val="0"/>
          <w:color w:val="auto"/>
        </w:rPr>
        <w:t>17.</w:t>
      </w:r>
      <w:r>
        <w:rPr>
          <w:rFonts w:ascii="宋体" w:hAnsi="宋体" w:cstheme="minorBidi"/>
          <w:b/>
          <w:i w:val="0"/>
          <w:iCs w:val="0"/>
          <w:sz w:val="21"/>
          <w:szCs w:val="22"/>
        </w:rPr>
        <w:tab/>
      </w:r>
      <w:r>
        <w:rPr>
          <w:rStyle w:val="45"/>
          <w:rFonts w:ascii="宋体" w:hAnsi="宋体"/>
          <w:b/>
          <w:i w:val="0"/>
          <w:color w:val="auto"/>
        </w:rPr>
        <w:t>投标文件的语言</w:t>
      </w:r>
      <w:r>
        <w:rPr>
          <w:rFonts w:ascii="宋体" w:hAnsi="宋体"/>
          <w:b/>
          <w:i w:val="0"/>
        </w:rPr>
        <w:tab/>
      </w:r>
      <w:r>
        <w:rPr>
          <w:rFonts w:ascii="宋体" w:hAnsi="宋体"/>
          <w:b/>
          <w:i w:val="0"/>
        </w:rPr>
        <w:fldChar w:fldCharType="begin"/>
      </w:r>
      <w:r>
        <w:rPr>
          <w:rFonts w:ascii="宋体" w:hAnsi="宋体"/>
          <w:b/>
          <w:i w:val="0"/>
        </w:rPr>
        <w:instrText xml:space="preserve"> PAGEREF _Toc529805790 \h </w:instrText>
      </w:r>
      <w:r>
        <w:rPr>
          <w:rFonts w:ascii="宋体" w:hAnsi="宋体"/>
          <w:b/>
          <w:i w:val="0"/>
        </w:rPr>
        <w:fldChar w:fldCharType="separate"/>
      </w:r>
      <w:r>
        <w:rPr>
          <w:rFonts w:ascii="宋体" w:hAnsi="宋体"/>
          <w:b/>
          <w:i w:val="0"/>
        </w:rPr>
        <w:t>15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"_Toc529805791" </w:instrText>
      </w:r>
      <w:r>
        <w:fldChar w:fldCharType="separate"/>
      </w:r>
      <w:r>
        <w:rPr>
          <w:rStyle w:val="45"/>
          <w:rFonts w:ascii="宋体" w:hAnsi="宋体"/>
          <w:b/>
          <w:i w:val="0"/>
          <w:color w:val="auto"/>
        </w:rPr>
        <w:t>18.</w:t>
      </w:r>
      <w:r>
        <w:rPr>
          <w:rFonts w:ascii="宋体" w:hAnsi="宋体" w:cstheme="minorBidi"/>
          <w:b/>
          <w:i w:val="0"/>
          <w:iCs w:val="0"/>
          <w:sz w:val="21"/>
          <w:szCs w:val="22"/>
        </w:rPr>
        <w:tab/>
      </w:r>
      <w:r>
        <w:rPr>
          <w:rStyle w:val="45"/>
          <w:rFonts w:ascii="宋体" w:hAnsi="宋体"/>
          <w:b/>
          <w:i w:val="0"/>
          <w:color w:val="auto"/>
        </w:rPr>
        <w:t>投标文件的份数</w:t>
      </w:r>
      <w:r>
        <w:rPr>
          <w:rFonts w:ascii="宋体" w:hAnsi="宋体"/>
          <w:b/>
          <w:i w:val="0"/>
        </w:rPr>
        <w:tab/>
      </w:r>
      <w:r>
        <w:rPr>
          <w:rFonts w:ascii="宋体" w:hAnsi="宋体"/>
          <w:b/>
          <w:i w:val="0"/>
        </w:rPr>
        <w:fldChar w:fldCharType="begin"/>
      </w:r>
      <w:r>
        <w:rPr>
          <w:rFonts w:ascii="宋体" w:hAnsi="宋体"/>
          <w:b/>
          <w:i w:val="0"/>
        </w:rPr>
        <w:instrText xml:space="preserve"> PAGEREF _Toc529805791 \h </w:instrText>
      </w:r>
      <w:r>
        <w:rPr>
          <w:rFonts w:ascii="宋体" w:hAnsi="宋体"/>
          <w:b/>
          <w:i w:val="0"/>
        </w:rPr>
        <w:fldChar w:fldCharType="separate"/>
      </w:r>
      <w:r>
        <w:rPr>
          <w:rFonts w:ascii="宋体" w:hAnsi="宋体"/>
          <w:b/>
          <w:i w:val="0"/>
        </w:rPr>
        <w:t>15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"_Toc529805792" </w:instrText>
      </w:r>
      <w:r>
        <w:fldChar w:fldCharType="separate"/>
      </w:r>
      <w:r>
        <w:rPr>
          <w:rStyle w:val="45"/>
          <w:rFonts w:ascii="宋体" w:hAnsi="宋体"/>
          <w:b/>
          <w:i w:val="0"/>
          <w:color w:val="auto"/>
        </w:rPr>
        <w:t>19.</w:t>
      </w:r>
      <w:r>
        <w:rPr>
          <w:rFonts w:ascii="宋体" w:hAnsi="宋体" w:cstheme="minorBidi"/>
          <w:b/>
          <w:i w:val="0"/>
          <w:iCs w:val="0"/>
          <w:sz w:val="21"/>
          <w:szCs w:val="22"/>
        </w:rPr>
        <w:tab/>
      </w:r>
      <w:r>
        <w:rPr>
          <w:rStyle w:val="45"/>
          <w:rFonts w:ascii="宋体" w:hAnsi="宋体"/>
          <w:b/>
          <w:i w:val="0"/>
          <w:color w:val="auto"/>
        </w:rPr>
        <w:t>投标文件的式样和签署</w:t>
      </w:r>
      <w:r>
        <w:rPr>
          <w:rFonts w:ascii="宋体" w:hAnsi="宋体"/>
          <w:b/>
          <w:i w:val="0"/>
        </w:rPr>
        <w:tab/>
      </w:r>
      <w:r>
        <w:rPr>
          <w:rFonts w:ascii="宋体" w:hAnsi="宋体"/>
          <w:b/>
          <w:i w:val="0"/>
        </w:rPr>
        <w:fldChar w:fldCharType="begin"/>
      </w:r>
      <w:r>
        <w:rPr>
          <w:rFonts w:ascii="宋体" w:hAnsi="宋体"/>
          <w:b/>
          <w:i w:val="0"/>
        </w:rPr>
        <w:instrText xml:space="preserve"> PAGEREF _Toc529805792 \h </w:instrText>
      </w:r>
      <w:r>
        <w:rPr>
          <w:rFonts w:ascii="宋体" w:hAnsi="宋体"/>
          <w:b/>
          <w:i w:val="0"/>
        </w:rPr>
        <w:fldChar w:fldCharType="separate"/>
      </w:r>
      <w:r>
        <w:rPr>
          <w:rFonts w:ascii="宋体" w:hAnsi="宋体"/>
          <w:b/>
          <w:i w:val="0"/>
        </w:rPr>
        <w:t>15</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"_Toc529805793" </w:instrText>
      </w:r>
      <w:r>
        <w:fldChar w:fldCharType="separate"/>
      </w:r>
      <w:r>
        <w:rPr>
          <w:rStyle w:val="45"/>
          <w:rFonts w:ascii="宋体" w:hAnsi="宋体"/>
          <w:b/>
          <w:color w:val="auto"/>
        </w:rPr>
        <w:t>第四章</w:t>
      </w:r>
      <w:r>
        <w:rPr>
          <w:rFonts w:ascii="宋体" w:hAnsi="宋体" w:cstheme="minorBidi"/>
          <w:b/>
          <w:smallCaps w:val="0"/>
          <w:sz w:val="21"/>
          <w:szCs w:val="22"/>
        </w:rPr>
        <w:tab/>
      </w:r>
      <w:r>
        <w:rPr>
          <w:rStyle w:val="45"/>
          <w:rFonts w:ascii="宋体" w:hAnsi="宋体"/>
          <w:b/>
          <w:color w:val="auto"/>
        </w:rPr>
        <w:t>现场考察和答疑会</w:t>
      </w:r>
      <w:r>
        <w:rPr>
          <w:rFonts w:ascii="宋体" w:hAnsi="宋体"/>
          <w:b/>
        </w:rPr>
        <w:tab/>
      </w:r>
      <w:r>
        <w:rPr>
          <w:rFonts w:ascii="宋体" w:hAnsi="宋体"/>
          <w:b/>
        </w:rPr>
        <w:fldChar w:fldCharType="begin"/>
      </w:r>
      <w:r>
        <w:rPr>
          <w:rFonts w:ascii="宋体" w:hAnsi="宋体"/>
          <w:b/>
        </w:rPr>
        <w:instrText xml:space="preserve"> PAGEREF _Toc529805793 \h </w:instrText>
      </w:r>
      <w:r>
        <w:rPr>
          <w:rFonts w:ascii="宋体" w:hAnsi="宋体"/>
          <w:b/>
        </w:rPr>
        <w:fldChar w:fldCharType="separate"/>
      </w:r>
      <w:r>
        <w:rPr>
          <w:rFonts w:ascii="宋体" w:hAnsi="宋体"/>
          <w:b/>
        </w:rPr>
        <w:t>15</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"_Toc529805794" </w:instrText>
      </w:r>
      <w:r>
        <w:fldChar w:fldCharType="separate"/>
      </w:r>
      <w:r>
        <w:rPr>
          <w:rStyle w:val="45"/>
          <w:rFonts w:ascii="宋体" w:hAnsi="宋体"/>
          <w:b/>
          <w:i w:val="0"/>
          <w:color w:val="auto"/>
        </w:rPr>
        <w:t>20.</w:t>
      </w:r>
      <w:r>
        <w:rPr>
          <w:rFonts w:ascii="宋体" w:hAnsi="宋体" w:cstheme="minorBidi"/>
          <w:b/>
          <w:i w:val="0"/>
          <w:iCs w:val="0"/>
          <w:sz w:val="21"/>
          <w:szCs w:val="22"/>
        </w:rPr>
        <w:tab/>
      </w:r>
      <w:r>
        <w:rPr>
          <w:rStyle w:val="45"/>
          <w:rFonts w:ascii="宋体" w:hAnsi="宋体"/>
          <w:b/>
          <w:i w:val="0"/>
          <w:color w:val="auto"/>
        </w:rPr>
        <w:t>现场考察和答疑会</w:t>
      </w:r>
      <w:r>
        <w:rPr>
          <w:rFonts w:ascii="宋体" w:hAnsi="宋体"/>
          <w:b/>
          <w:i w:val="0"/>
        </w:rPr>
        <w:tab/>
      </w:r>
      <w:r>
        <w:rPr>
          <w:rFonts w:ascii="宋体" w:hAnsi="宋体"/>
          <w:b/>
          <w:i w:val="0"/>
        </w:rPr>
        <w:fldChar w:fldCharType="begin"/>
      </w:r>
      <w:r>
        <w:rPr>
          <w:rFonts w:ascii="宋体" w:hAnsi="宋体"/>
          <w:b/>
          <w:i w:val="0"/>
        </w:rPr>
        <w:instrText xml:space="preserve"> PAGEREF _Toc529805794 \h </w:instrText>
      </w:r>
      <w:r>
        <w:rPr>
          <w:rFonts w:ascii="宋体" w:hAnsi="宋体"/>
          <w:b/>
          <w:i w:val="0"/>
        </w:rPr>
        <w:fldChar w:fldCharType="separate"/>
      </w:r>
      <w:r>
        <w:rPr>
          <w:rFonts w:ascii="宋体" w:hAnsi="宋体"/>
          <w:b/>
          <w:i w:val="0"/>
        </w:rPr>
        <w:t>15</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"_Toc529805795" </w:instrText>
      </w:r>
      <w:r>
        <w:fldChar w:fldCharType="separate"/>
      </w:r>
      <w:r>
        <w:rPr>
          <w:rStyle w:val="45"/>
          <w:rFonts w:ascii="宋体" w:hAnsi="宋体"/>
          <w:b/>
          <w:color w:val="auto"/>
        </w:rPr>
        <w:t>第五章</w:t>
      </w:r>
      <w:r>
        <w:rPr>
          <w:rFonts w:ascii="宋体" w:hAnsi="宋体" w:cstheme="minorBidi"/>
          <w:b/>
          <w:smallCaps w:val="0"/>
          <w:sz w:val="21"/>
          <w:szCs w:val="22"/>
        </w:rPr>
        <w:tab/>
      </w:r>
      <w:r>
        <w:rPr>
          <w:rStyle w:val="45"/>
          <w:rFonts w:ascii="宋体" w:hAnsi="宋体"/>
          <w:b/>
          <w:color w:val="auto"/>
        </w:rPr>
        <w:t>投标文件的提交</w:t>
      </w:r>
      <w:r>
        <w:rPr>
          <w:rFonts w:ascii="宋体" w:hAnsi="宋体"/>
          <w:b/>
        </w:rPr>
        <w:tab/>
      </w:r>
      <w:r>
        <w:rPr>
          <w:rFonts w:ascii="宋体" w:hAnsi="宋体"/>
          <w:b/>
        </w:rPr>
        <w:fldChar w:fldCharType="begin"/>
      </w:r>
      <w:r>
        <w:rPr>
          <w:rFonts w:ascii="宋体" w:hAnsi="宋体"/>
          <w:b/>
        </w:rPr>
        <w:instrText xml:space="preserve"> PAGEREF _Toc529805795 \h </w:instrText>
      </w:r>
      <w:r>
        <w:rPr>
          <w:rFonts w:ascii="宋体" w:hAnsi="宋体"/>
          <w:b/>
        </w:rPr>
        <w:fldChar w:fldCharType="separate"/>
      </w:r>
      <w:r>
        <w:rPr>
          <w:rFonts w:ascii="宋体" w:hAnsi="宋体"/>
          <w:b/>
        </w:rPr>
        <w:t>16</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"_Toc529805796" </w:instrText>
      </w:r>
      <w:r>
        <w:fldChar w:fldCharType="separate"/>
      </w:r>
      <w:r>
        <w:rPr>
          <w:rStyle w:val="45"/>
          <w:rFonts w:ascii="宋体" w:hAnsi="宋体"/>
          <w:b/>
          <w:i w:val="0"/>
          <w:color w:val="auto"/>
        </w:rPr>
        <w:t>21.</w:t>
      </w:r>
      <w:r>
        <w:rPr>
          <w:rFonts w:ascii="宋体" w:hAnsi="宋体" w:cstheme="minorBidi"/>
          <w:b/>
          <w:i w:val="0"/>
          <w:iCs w:val="0"/>
          <w:sz w:val="21"/>
          <w:szCs w:val="22"/>
        </w:rPr>
        <w:tab/>
      </w:r>
      <w:r>
        <w:rPr>
          <w:rStyle w:val="45"/>
          <w:rFonts w:ascii="宋体" w:hAnsi="宋体"/>
          <w:b/>
          <w:i w:val="0"/>
          <w:color w:val="auto"/>
        </w:rPr>
        <w:t>提交截止时间</w:t>
      </w:r>
      <w:r>
        <w:rPr>
          <w:rFonts w:ascii="宋体" w:hAnsi="宋体"/>
          <w:b/>
          <w:i w:val="0"/>
        </w:rPr>
        <w:tab/>
      </w:r>
      <w:r>
        <w:rPr>
          <w:rFonts w:ascii="宋体" w:hAnsi="宋体"/>
          <w:b/>
          <w:i w:val="0"/>
        </w:rPr>
        <w:fldChar w:fldCharType="begin"/>
      </w:r>
      <w:r>
        <w:rPr>
          <w:rFonts w:ascii="宋体" w:hAnsi="宋体"/>
          <w:b/>
          <w:i w:val="0"/>
        </w:rPr>
        <w:instrText xml:space="preserve"> PAGEREF _Toc529805796 \h </w:instrText>
      </w:r>
      <w:r>
        <w:rPr>
          <w:rFonts w:ascii="宋体" w:hAnsi="宋体"/>
          <w:b/>
          <w:i w:val="0"/>
        </w:rPr>
        <w:fldChar w:fldCharType="separate"/>
      </w:r>
      <w:r>
        <w:rPr>
          <w:rFonts w:ascii="宋体" w:hAnsi="宋体"/>
          <w:b/>
          <w:i w:val="0"/>
        </w:rPr>
        <w:t>16</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"_Toc529805797" </w:instrText>
      </w:r>
      <w:r>
        <w:fldChar w:fldCharType="separate"/>
      </w:r>
      <w:r>
        <w:rPr>
          <w:rStyle w:val="45"/>
          <w:rFonts w:ascii="宋体" w:hAnsi="宋体"/>
          <w:b/>
          <w:i w:val="0"/>
          <w:color w:val="auto"/>
        </w:rPr>
        <w:t>22.</w:t>
      </w:r>
      <w:r>
        <w:rPr>
          <w:rFonts w:ascii="宋体" w:hAnsi="宋体" w:cstheme="minorBidi"/>
          <w:b/>
          <w:i w:val="0"/>
          <w:iCs w:val="0"/>
          <w:sz w:val="21"/>
          <w:szCs w:val="22"/>
        </w:rPr>
        <w:tab/>
      </w:r>
      <w:r>
        <w:rPr>
          <w:rStyle w:val="45"/>
          <w:rFonts w:ascii="宋体" w:hAnsi="宋体"/>
          <w:b/>
          <w:i w:val="0"/>
          <w:color w:val="auto"/>
        </w:rPr>
        <w:t>提交截止时间的推迟</w:t>
      </w:r>
      <w:r>
        <w:rPr>
          <w:rFonts w:ascii="宋体" w:hAnsi="宋体"/>
          <w:b/>
          <w:i w:val="0"/>
        </w:rPr>
        <w:tab/>
      </w:r>
      <w:r>
        <w:rPr>
          <w:rFonts w:ascii="宋体" w:hAnsi="宋体"/>
          <w:b/>
          <w:i w:val="0"/>
        </w:rPr>
        <w:fldChar w:fldCharType="begin"/>
      </w:r>
      <w:r>
        <w:rPr>
          <w:rFonts w:ascii="宋体" w:hAnsi="宋体"/>
          <w:b/>
          <w:i w:val="0"/>
        </w:rPr>
        <w:instrText xml:space="preserve"> PAGEREF _Toc529805797 \h </w:instrText>
      </w:r>
      <w:r>
        <w:rPr>
          <w:rFonts w:ascii="宋体" w:hAnsi="宋体"/>
          <w:b/>
          <w:i w:val="0"/>
        </w:rPr>
        <w:fldChar w:fldCharType="separate"/>
      </w:r>
      <w:r>
        <w:rPr>
          <w:rFonts w:ascii="宋体" w:hAnsi="宋体"/>
          <w:b/>
          <w:i w:val="0"/>
        </w:rPr>
        <w:t>16</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"_Toc529805798" </w:instrText>
      </w:r>
      <w:r>
        <w:fldChar w:fldCharType="separate"/>
      </w:r>
      <w:r>
        <w:rPr>
          <w:rStyle w:val="45"/>
          <w:rFonts w:ascii="宋体" w:hAnsi="宋体"/>
          <w:b/>
          <w:i w:val="0"/>
          <w:color w:val="auto"/>
        </w:rPr>
        <w:t>23.</w:t>
      </w:r>
      <w:r>
        <w:rPr>
          <w:rFonts w:ascii="宋体" w:hAnsi="宋体" w:cstheme="minorBidi"/>
          <w:b/>
          <w:i w:val="0"/>
          <w:iCs w:val="0"/>
          <w:sz w:val="21"/>
          <w:szCs w:val="22"/>
        </w:rPr>
        <w:tab/>
      </w:r>
      <w:r>
        <w:rPr>
          <w:rStyle w:val="45"/>
          <w:rFonts w:ascii="宋体" w:hAnsi="宋体"/>
          <w:b/>
          <w:i w:val="0"/>
          <w:color w:val="auto"/>
        </w:rPr>
        <w:t>投标文件的封装与标识</w:t>
      </w:r>
      <w:r>
        <w:rPr>
          <w:rFonts w:ascii="宋体" w:hAnsi="宋体"/>
          <w:b/>
          <w:i w:val="0"/>
        </w:rPr>
        <w:tab/>
      </w:r>
      <w:r>
        <w:rPr>
          <w:rFonts w:ascii="宋体" w:hAnsi="宋体"/>
          <w:b/>
          <w:i w:val="0"/>
        </w:rPr>
        <w:fldChar w:fldCharType="begin"/>
      </w:r>
      <w:r>
        <w:rPr>
          <w:rFonts w:ascii="宋体" w:hAnsi="宋体"/>
          <w:b/>
          <w:i w:val="0"/>
        </w:rPr>
        <w:instrText xml:space="preserve"> PAGEREF _Toc529805798 \h </w:instrText>
      </w:r>
      <w:r>
        <w:rPr>
          <w:rFonts w:ascii="宋体" w:hAnsi="宋体"/>
          <w:b/>
          <w:i w:val="0"/>
        </w:rPr>
        <w:fldChar w:fldCharType="separate"/>
      </w:r>
      <w:r>
        <w:rPr>
          <w:rFonts w:ascii="宋体" w:hAnsi="宋体"/>
          <w:b/>
          <w:i w:val="0"/>
        </w:rPr>
        <w:t>16</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"_Toc529805799" </w:instrText>
      </w:r>
      <w:r>
        <w:fldChar w:fldCharType="separate"/>
      </w:r>
      <w:r>
        <w:rPr>
          <w:rStyle w:val="45"/>
          <w:rFonts w:ascii="宋体" w:hAnsi="宋体"/>
          <w:b/>
          <w:i w:val="0"/>
          <w:color w:val="auto"/>
        </w:rPr>
        <w:t>24.</w:t>
      </w:r>
      <w:r>
        <w:rPr>
          <w:rFonts w:ascii="宋体" w:hAnsi="宋体" w:cstheme="minorBidi"/>
          <w:b/>
          <w:i w:val="0"/>
          <w:iCs w:val="0"/>
          <w:sz w:val="21"/>
          <w:szCs w:val="22"/>
        </w:rPr>
        <w:tab/>
      </w:r>
      <w:r>
        <w:rPr>
          <w:rStyle w:val="45"/>
          <w:rFonts w:ascii="宋体" w:hAnsi="宋体"/>
          <w:b/>
          <w:i w:val="0"/>
          <w:color w:val="auto"/>
        </w:rPr>
        <w:t>投标文件的提交</w:t>
      </w:r>
      <w:r>
        <w:rPr>
          <w:rFonts w:ascii="宋体" w:hAnsi="宋体"/>
          <w:b/>
          <w:i w:val="0"/>
        </w:rPr>
        <w:tab/>
      </w:r>
      <w:r>
        <w:rPr>
          <w:rFonts w:ascii="宋体" w:hAnsi="宋体"/>
          <w:b/>
          <w:i w:val="0"/>
        </w:rPr>
        <w:fldChar w:fldCharType="begin"/>
      </w:r>
      <w:r>
        <w:rPr>
          <w:rFonts w:ascii="宋体" w:hAnsi="宋体"/>
          <w:b/>
          <w:i w:val="0"/>
        </w:rPr>
        <w:instrText xml:space="preserve"> PAGEREF _Toc529805799 \h </w:instrText>
      </w:r>
      <w:r>
        <w:rPr>
          <w:rFonts w:ascii="宋体" w:hAnsi="宋体"/>
          <w:b/>
          <w:i w:val="0"/>
        </w:rPr>
        <w:fldChar w:fldCharType="separate"/>
      </w:r>
      <w:r>
        <w:rPr>
          <w:rFonts w:ascii="宋体" w:hAnsi="宋体"/>
          <w:b/>
          <w:i w:val="0"/>
        </w:rPr>
        <w:t>16</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"_Toc529805800" </w:instrText>
      </w:r>
      <w:r>
        <w:fldChar w:fldCharType="separate"/>
      </w:r>
      <w:r>
        <w:rPr>
          <w:rStyle w:val="45"/>
          <w:rFonts w:ascii="宋体" w:hAnsi="宋体"/>
          <w:b/>
          <w:i w:val="0"/>
          <w:color w:val="auto"/>
        </w:rPr>
        <w:t>25.</w:t>
      </w:r>
      <w:r>
        <w:rPr>
          <w:rFonts w:ascii="宋体" w:hAnsi="宋体" w:cstheme="minorBidi"/>
          <w:b/>
          <w:i w:val="0"/>
          <w:iCs w:val="0"/>
          <w:sz w:val="21"/>
          <w:szCs w:val="22"/>
        </w:rPr>
        <w:tab/>
      </w:r>
      <w:r>
        <w:rPr>
          <w:rStyle w:val="45"/>
          <w:rFonts w:ascii="宋体" w:hAnsi="宋体"/>
          <w:b/>
          <w:i w:val="0"/>
          <w:color w:val="auto"/>
        </w:rPr>
        <w:t>向融资机构提交项目协议</w:t>
      </w:r>
      <w:r>
        <w:rPr>
          <w:rFonts w:ascii="宋体" w:hAnsi="宋体"/>
          <w:b/>
          <w:i w:val="0"/>
        </w:rPr>
        <w:tab/>
      </w:r>
      <w:r>
        <w:rPr>
          <w:rFonts w:ascii="宋体" w:hAnsi="宋体"/>
          <w:b/>
          <w:i w:val="0"/>
        </w:rPr>
        <w:fldChar w:fldCharType="begin"/>
      </w:r>
      <w:r>
        <w:rPr>
          <w:rFonts w:ascii="宋体" w:hAnsi="宋体"/>
          <w:b/>
          <w:i w:val="0"/>
        </w:rPr>
        <w:instrText xml:space="preserve"> PAGEREF _Toc529805800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"_Toc529805801" </w:instrText>
      </w:r>
      <w:r>
        <w:fldChar w:fldCharType="separate"/>
      </w:r>
      <w:r>
        <w:rPr>
          <w:rStyle w:val="45"/>
          <w:rFonts w:ascii="宋体" w:hAnsi="宋体"/>
          <w:b/>
          <w:color w:val="auto"/>
        </w:rPr>
        <w:t>第六章</w:t>
      </w:r>
      <w:r>
        <w:rPr>
          <w:rFonts w:ascii="宋体" w:hAnsi="宋体" w:cstheme="minorBidi"/>
          <w:b/>
          <w:smallCaps w:val="0"/>
          <w:sz w:val="21"/>
          <w:szCs w:val="22"/>
        </w:rPr>
        <w:tab/>
      </w:r>
      <w:r>
        <w:rPr>
          <w:rStyle w:val="45"/>
          <w:rFonts w:ascii="宋体" w:hAnsi="宋体"/>
          <w:b/>
          <w:color w:val="auto"/>
        </w:rPr>
        <w:t>有效期</w:t>
      </w:r>
      <w:r>
        <w:rPr>
          <w:rFonts w:ascii="宋体" w:hAnsi="宋体"/>
          <w:b/>
        </w:rPr>
        <w:tab/>
      </w:r>
      <w:r>
        <w:rPr>
          <w:rFonts w:ascii="宋体" w:hAnsi="宋体"/>
          <w:b/>
        </w:rPr>
        <w:fldChar w:fldCharType="begin"/>
      </w:r>
      <w:r>
        <w:rPr>
          <w:rFonts w:ascii="宋体" w:hAnsi="宋体"/>
          <w:b/>
        </w:rPr>
        <w:instrText xml:space="preserve"> PAGEREF _Toc529805801 \h </w:instrText>
      </w:r>
      <w:r>
        <w:rPr>
          <w:rFonts w:ascii="宋体" w:hAnsi="宋体"/>
          <w:b/>
        </w:rPr>
        <w:fldChar w:fldCharType="separate"/>
      </w:r>
      <w:r>
        <w:rPr>
          <w:rFonts w:ascii="宋体" w:hAnsi="宋体"/>
          <w:b/>
        </w:rPr>
        <w:t>17</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"_Toc529805802" </w:instrText>
      </w:r>
      <w:r>
        <w:fldChar w:fldCharType="separate"/>
      </w:r>
      <w:r>
        <w:rPr>
          <w:rStyle w:val="45"/>
          <w:rFonts w:ascii="宋体" w:hAnsi="宋体"/>
          <w:b/>
          <w:i w:val="0"/>
          <w:color w:val="auto"/>
        </w:rPr>
        <w:t>26.</w:t>
      </w:r>
      <w:r>
        <w:rPr>
          <w:rFonts w:ascii="宋体" w:hAnsi="宋体" w:cstheme="minorBidi"/>
          <w:b/>
          <w:i w:val="0"/>
          <w:iCs w:val="0"/>
          <w:sz w:val="21"/>
          <w:szCs w:val="22"/>
        </w:rPr>
        <w:tab/>
      </w:r>
      <w:r>
        <w:rPr>
          <w:rStyle w:val="45"/>
          <w:rFonts w:ascii="宋体" w:hAnsi="宋体"/>
          <w:b/>
          <w:i w:val="0"/>
          <w:color w:val="auto"/>
        </w:rPr>
        <w:t>投标有效期</w:t>
      </w:r>
      <w:r>
        <w:rPr>
          <w:rFonts w:ascii="宋体" w:hAnsi="宋体"/>
          <w:b/>
          <w:i w:val="0"/>
        </w:rPr>
        <w:tab/>
      </w:r>
      <w:r>
        <w:rPr>
          <w:rFonts w:ascii="宋体" w:hAnsi="宋体"/>
          <w:b/>
          <w:i w:val="0"/>
        </w:rPr>
        <w:fldChar w:fldCharType="begin"/>
      </w:r>
      <w:r>
        <w:rPr>
          <w:rFonts w:ascii="宋体" w:hAnsi="宋体"/>
          <w:b/>
          <w:i w:val="0"/>
        </w:rPr>
        <w:instrText xml:space="preserve"> PAGEREF _Toc529805802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"_Toc529805803" </w:instrText>
      </w:r>
      <w:r>
        <w:fldChar w:fldCharType="separate"/>
      </w:r>
      <w:r>
        <w:rPr>
          <w:rStyle w:val="45"/>
          <w:rFonts w:ascii="宋体" w:hAnsi="宋体"/>
          <w:b/>
          <w:i w:val="0"/>
          <w:color w:val="auto"/>
        </w:rPr>
        <w:t>27.</w:t>
      </w:r>
      <w:r>
        <w:rPr>
          <w:rFonts w:ascii="宋体" w:hAnsi="宋体" w:cstheme="minorBidi"/>
          <w:b/>
          <w:i w:val="0"/>
          <w:iCs w:val="0"/>
          <w:sz w:val="21"/>
          <w:szCs w:val="22"/>
        </w:rPr>
        <w:tab/>
      </w:r>
      <w:r>
        <w:rPr>
          <w:rStyle w:val="45"/>
          <w:rFonts w:ascii="宋体" w:hAnsi="宋体"/>
          <w:b/>
          <w:i w:val="0"/>
          <w:color w:val="auto"/>
        </w:rPr>
        <w:t>投标有效期的延长</w:t>
      </w:r>
      <w:r>
        <w:rPr>
          <w:rFonts w:ascii="宋体" w:hAnsi="宋体"/>
          <w:b/>
          <w:i w:val="0"/>
        </w:rPr>
        <w:tab/>
      </w:r>
      <w:r>
        <w:rPr>
          <w:rFonts w:ascii="宋体" w:hAnsi="宋体"/>
          <w:b/>
          <w:i w:val="0"/>
        </w:rPr>
        <w:fldChar w:fldCharType="begin"/>
      </w:r>
      <w:r>
        <w:rPr>
          <w:rFonts w:ascii="宋体" w:hAnsi="宋体"/>
          <w:b/>
          <w:i w:val="0"/>
        </w:rPr>
        <w:instrText xml:space="preserve"> PAGEREF _Toc529805803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"_Toc529805804" </w:instrText>
      </w:r>
      <w:r>
        <w:fldChar w:fldCharType="separate"/>
      </w:r>
      <w:r>
        <w:rPr>
          <w:rStyle w:val="45"/>
          <w:rFonts w:ascii="宋体" w:hAnsi="宋体"/>
          <w:b/>
          <w:i w:val="0"/>
          <w:color w:val="auto"/>
        </w:rPr>
        <w:t>28.</w:t>
      </w:r>
      <w:r>
        <w:rPr>
          <w:rFonts w:ascii="宋体" w:hAnsi="宋体" w:cstheme="minorBidi"/>
          <w:b/>
          <w:i w:val="0"/>
          <w:iCs w:val="0"/>
          <w:sz w:val="21"/>
          <w:szCs w:val="22"/>
        </w:rPr>
        <w:tab/>
      </w:r>
      <w:r>
        <w:rPr>
          <w:rStyle w:val="45"/>
          <w:rFonts w:ascii="宋体" w:hAnsi="宋体"/>
          <w:b/>
          <w:i w:val="0"/>
          <w:color w:val="auto"/>
        </w:rPr>
        <w:t>投标保证金的有效期和退还</w:t>
      </w:r>
      <w:r>
        <w:rPr>
          <w:rFonts w:ascii="宋体" w:hAnsi="宋体"/>
          <w:b/>
          <w:i w:val="0"/>
        </w:rPr>
        <w:tab/>
      </w:r>
      <w:r>
        <w:rPr>
          <w:rFonts w:ascii="宋体" w:hAnsi="宋体"/>
          <w:b/>
          <w:i w:val="0"/>
        </w:rPr>
        <w:fldChar w:fldCharType="begin"/>
      </w:r>
      <w:r>
        <w:rPr>
          <w:rFonts w:ascii="宋体" w:hAnsi="宋体"/>
          <w:b/>
          <w:i w:val="0"/>
        </w:rPr>
        <w:instrText xml:space="preserve"> PAGEREF _Toc529805804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"_Toc529805805" </w:instrText>
      </w:r>
      <w:r>
        <w:fldChar w:fldCharType="separate"/>
      </w:r>
      <w:r>
        <w:rPr>
          <w:rStyle w:val="45"/>
          <w:rFonts w:ascii="宋体" w:hAnsi="宋体"/>
          <w:b/>
          <w:color w:val="auto"/>
        </w:rPr>
        <w:t>第七章</w:t>
      </w:r>
      <w:r>
        <w:rPr>
          <w:rFonts w:ascii="宋体" w:hAnsi="宋体" w:cstheme="minorBidi"/>
          <w:b/>
          <w:smallCaps w:val="0"/>
          <w:sz w:val="21"/>
          <w:szCs w:val="22"/>
        </w:rPr>
        <w:tab/>
      </w:r>
      <w:r>
        <w:rPr>
          <w:rStyle w:val="45"/>
          <w:rFonts w:ascii="宋体" w:hAnsi="宋体"/>
          <w:b/>
          <w:color w:val="auto"/>
        </w:rPr>
        <w:t>投标文件的澄清和拒绝</w:t>
      </w:r>
      <w:r>
        <w:rPr>
          <w:rFonts w:ascii="宋体" w:hAnsi="宋体"/>
          <w:b/>
        </w:rPr>
        <w:tab/>
      </w:r>
      <w:r>
        <w:rPr>
          <w:rFonts w:ascii="宋体" w:hAnsi="宋体"/>
          <w:b/>
        </w:rPr>
        <w:fldChar w:fldCharType="begin"/>
      </w:r>
      <w:r>
        <w:rPr>
          <w:rFonts w:ascii="宋体" w:hAnsi="宋体"/>
          <w:b/>
        </w:rPr>
        <w:instrText xml:space="preserve"> PAGEREF _Toc529805805 \h </w:instrText>
      </w:r>
      <w:r>
        <w:rPr>
          <w:rFonts w:ascii="宋体" w:hAnsi="宋体"/>
          <w:b/>
        </w:rPr>
        <w:fldChar w:fldCharType="separate"/>
      </w:r>
      <w:r>
        <w:rPr>
          <w:rFonts w:ascii="宋体" w:hAnsi="宋体"/>
          <w:b/>
        </w:rPr>
        <w:t>17</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"_Toc529805806" </w:instrText>
      </w:r>
      <w:r>
        <w:fldChar w:fldCharType="separate"/>
      </w:r>
      <w:r>
        <w:rPr>
          <w:rStyle w:val="45"/>
          <w:rFonts w:ascii="宋体" w:hAnsi="宋体"/>
          <w:b/>
          <w:i w:val="0"/>
          <w:color w:val="auto"/>
        </w:rPr>
        <w:t>29.</w:t>
      </w:r>
      <w:r>
        <w:rPr>
          <w:rFonts w:ascii="宋体" w:hAnsi="宋体" w:cstheme="minorBidi"/>
          <w:b/>
          <w:i w:val="0"/>
          <w:iCs w:val="0"/>
          <w:sz w:val="21"/>
          <w:szCs w:val="22"/>
        </w:rPr>
        <w:tab/>
      </w:r>
      <w:r>
        <w:rPr>
          <w:rStyle w:val="45"/>
          <w:rFonts w:ascii="宋体" w:hAnsi="宋体"/>
          <w:b/>
          <w:i w:val="0"/>
          <w:color w:val="auto"/>
        </w:rPr>
        <w:t>对错误的纠正</w:t>
      </w:r>
      <w:r>
        <w:rPr>
          <w:rFonts w:ascii="宋体" w:hAnsi="宋体"/>
          <w:b/>
          <w:i w:val="0"/>
        </w:rPr>
        <w:tab/>
      </w:r>
      <w:r>
        <w:rPr>
          <w:rFonts w:ascii="宋体" w:hAnsi="宋体"/>
          <w:b/>
          <w:i w:val="0"/>
        </w:rPr>
        <w:fldChar w:fldCharType="begin"/>
      </w:r>
      <w:r>
        <w:rPr>
          <w:rFonts w:ascii="宋体" w:hAnsi="宋体"/>
          <w:b/>
          <w:i w:val="0"/>
        </w:rPr>
        <w:instrText xml:space="preserve"> PAGEREF _Toc529805806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"_Toc529805807" </w:instrText>
      </w:r>
      <w:r>
        <w:fldChar w:fldCharType="separate"/>
      </w:r>
      <w:r>
        <w:rPr>
          <w:rStyle w:val="45"/>
          <w:rFonts w:ascii="宋体" w:hAnsi="宋体"/>
          <w:b/>
          <w:i w:val="0"/>
          <w:color w:val="auto"/>
        </w:rPr>
        <w:t>30.</w:t>
      </w:r>
      <w:r>
        <w:rPr>
          <w:rFonts w:ascii="宋体" w:hAnsi="宋体" w:cstheme="minorBidi"/>
          <w:b/>
          <w:i w:val="0"/>
          <w:iCs w:val="0"/>
          <w:sz w:val="21"/>
          <w:szCs w:val="22"/>
        </w:rPr>
        <w:tab/>
      </w:r>
      <w:r>
        <w:rPr>
          <w:rStyle w:val="45"/>
          <w:rFonts w:ascii="宋体" w:hAnsi="宋体"/>
          <w:b/>
          <w:i w:val="0"/>
          <w:color w:val="auto"/>
        </w:rPr>
        <w:t>投标文件的澄清</w:t>
      </w:r>
      <w:r>
        <w:rPr>
          <w:rFonts w:ascii="宋体" w:hAnsi="宋体"/>
          <w:b/>
          <w:i w:val="0"/>
        </w:rPr>
        <w:tab/>
      </w:r>
      <w:r>
        <w:rPr>
          <w:rFonts w:ascii="宋体" w:hAnsi="宋体"/>
          <w:b/>
          <w:i w:val="0"/>
        </w:rPr>
        <w:fldChar w:fldCharType="begin"/>
      </w:r>
      <w:r>
        <w:rPr>
          <w:rFonts w:ascii="宋体" w:hAnsi="宋体"/>
          <w:b/>
          <w:i w:val="0"/>
        </w:rPr>
        <w:instrText xml:space="preserve"> PAGEREF _Toc529805807 \h </w:instrText>
      </w:r>
      <w:r>
        <w:rPr>
          <w:rFonts w:ascii="宋体" w:hAnsi="宋体"/>
          <w:b/>
          <w:i w:val="0"/>
        </w:rPr>
        <w:fldChar w:fldCharType="separate"/>
      </w:r>
      <w:r>
        <w:rPr>
          <w:rFonts w:ascii="宋体" w:hAnsi="宋体"/>
          <w:b/>
          <w:i w:val="0"/>
        </w:rPr>
        <w:t>17</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"_Toc529805808" </w:instrText>
      </w:r>
      <w:r>
        <w:fldChar w:fldCharType="separate"/>
      </w:r>
      <w:r>
        <w:rPr>
          <w:rStyle w:val="45"/>
          <w:rFonts w:ascii="宋体" w:hAnsi="宋体"/>
          <w:b/>
          <w:i w:val="0"/>
          <w:color w:val="auto"/>
        </w:rPr>
        <w:t>31.</w:t>
      </w:r>
      <w:r>
        <w:rPr>
          <w:rFonts w:ascii="宋体" w:hAnsi="宋体" w:cstheme="minorBidi"/>
          <w:b/>
          <w:i w:val="0"/>
          <w:iCs w:val="0"/>
          <w:sz w:val="21"/>
          <w:szCs w:val="22"/>
        </w:rPr>
        <w:tab/>
      </w:r>
      <w:r>
        <w:rPr>
          <w:rStyle w:val="45"/>
          <w:rFonts w:ascii="宋体" w:hAnsi="宋体"/>
          <w:b/>
          <w:i w:val="0"/>
          <w:color w:val="auto"/>
        </w:rPr>
        <w:t>投标无效条款和废标条款</w:t>
      </w:r>
      <w:r>
        <w:rPr>
          <w:rFonts w:ascii="宋体" w:hAnsi="宋体"/>
          <w:b/>
          <w:i w:val="0"/>
        </w:rPr>
        <w:tab/>
      </w:r>
      <w:r>
        <w:rPr>
          <w:rFonts w:ascii="宋体" w:hAnsi="宋体"/>
          <w:b/>
          <w:i w:val="0"/>
        </w:rPr>
        <w:fldChar w:fldCharType="begin"/>
      </w:r>
      <w:r>
        <w:rPr>
          <w:rFonts w:ascii="宋体" w:hAnsi="宋体"/>
          <w:b/>
          <w:i w:val="0"/>
        </w:rPr>
        <w:instrText xml:space="preserve"> PAGEREF _Toc529805808 \h </w:instrText>
      </w:r>
      <w:r>
        <w:rPr>
          <w:rFonts w:ascii="宋体" w:hAnsi="宋体"/>
          <w:b/>
          <w:i w:val="0"/>
        </w:rPr>
        <w:fldChar w:fldCharType="separate"/>
      </w:r>
      <w:r>
        <w:rPr>
          <w:rFonts w:ascii="宋体" w:hAnsi="宋体"/>
          <w:b/>
          <w:i w:val="0"/>
        </w:rPr>
        <w:t>18</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"_Toc529805809" </w:instrText>
      </w:r>
      <w:r>
        <w:fldChar w:fldCharType="separate"/>
      </w:r>
      <w:r>
        <w:rPr>
          <w:rStyle w:val="45"/>
          <w:rFonts w:ascii="宋体" w:hAnsi="宋体"/>
          <w:b/>
          <w:i w:val="0"/>
          <w:color w:val="auto"/>
        </w:rPr>
        <w:t>32.</w:t>
      </w:r>
      <w:r>
        <w:rPr>
          <w:rFonts w:ascii="宋体" w:hAnsi="宋体" w:cstheme="minorBidi"/>
          <w:b/>
          <w:i w:val="0"/>
          <w:iCs w:val="0"/>
          <w:sz w:val="21"/>
          <w:szCs w:val="22"/>
        </w:rPr>
        <w:tab/>
      </w:r>
      <w:r>
        <w:rPr>
          <w:rStyle w:val="45"/>
          <w:rFonts w:ascii="宋体" w:hAnsi="宋体"/>
          <w:b/>
          <w:i w:val="0"/>
          <w:color w:val="auto"/>
        </w:rPr>
        <w:t>拒绝投标文件</w:t>
      </w:r>
      <w:r>
        <w:rPr>
          <w:rFonts w:ascii="宋体" w:hAnsi="宋体"/>
          <w:b/>
          <w:i w:val="0"/>
        </w:rPr>
        <w:tab/>
      </w:r>
      <w:r>
        <w:rPr>
          <w:rFonts w:ascii="宋体" w:hAnsi="宋体"/>
          <w:b/>
          <w:i w:val="0"/>
        </w:rPr>
        <w:fldChar w:fldCharType="begin"/>
      </w:r>
      <w:r>
        <w:rPr>
          <w:rFonts w:ascii="宋体" w:hAnsi="宋体"/>
          <w:b/>
          <w:i w:val="0"/>
        </w:rPr>
        <w:instrText xml:space="preserve"> PAGEREF _Toc529805809 \h </w:instrText>
      </w:r>
      <w:r>
        <w:rPr>
          <w:rFonts w:ascii="宋体" w:hAnsi="宋体"/>
          <w:b/>
          <w:i w:val="0"/>
        </w:rPr>
        <w:fldChar w:fldCharType="separate"/>
      </w:r>
      <w:r>
        <w:rPr>
          <w:rFonts w:ascii="宋体" w:hAnsi="宋体"/>
          <w:b/>
          <w:i w:val="0"/>
        </w:rPr>
        <w:t>19</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"_Toc529805810" </w:instrText>
      </w:r>
      <w:r>
        <w:fldChar w:fldCharType="separate"/>
      </w:r>
      <w:r>
        <w:rPr>
          <w:rStyle w:val="45"/>
          <w:rFonts w:ascii="宋体" w:hAnsi="宋体"/>
          <w:b/>
          <w:color w:val="auto"/>
        </w:rPr>
        <w:t>第八章</w:t>
      </w:r>
      <w:r>
        <w:rPr>
          <w:rFonts w:ascii="宋体" w:hAnsi="宋体" w:cstheme="minorBidi"/>
          <w:b/>
          <w:smallCaps w:val="0"/>
          <w:sz w:val="21"/>
          <w:szCs w:val="22"/>
        </w:rPr>
        <w:tab/>
      </w:r>
      <w:r>
        <w:rPr>
          <w:rStyle w:val="45"/>
          <w:rFonts w:ascii="宋体" w:hAnsi="宋体"/>
          <w:b/>
          <w:color w:val="auto"/>
        </w:rPr>
        <w:t>开标和评标</w:t>
      </w:r>
      <w:r>
        <w:rPr>
          <w:rFonts w:ascii="宋体" w:hAnsi="宋体"/>
          <w:b/>
        </w:rPr>
        <w:tab/>
      </w:r>
      <w:r>
        <w:rPr>
          <w:rFonts w:ascii="宋体" w:hAnsi="宋体"/>
          <w:b/>
        </w:rPr>
        <w:fldChar w:fldCharType="begin"/>
      </w:r>
      <w:r>
        <w:rPr>
          <w:rFonts w:ascii="宋体" w:hAnsi="宋体"/>
          <w:b/>
        </w:rPr>
        <w:instrText xml:space="preserve"> PAGEREF _Toc529805810 \h </w:instrText>
      </w:r>
      <w:r>
        <w:rPr>
          <w:rFonts w:ascii="宋体" w:hAnsi="宋体"/>
          <w:b/>
        </w:rPr>
        <w:fldChar w:fldCharType="separate"/>
      </w:r>
      <w:r>
        <w:rPr>
          <w:rFonts w:ascii="宋体" w:hAnsi="宋体"/>
          <w:b/>
        </w:rPr>
        <w:t>19</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"_Toc529805811" </w:instrText>
      </w:r>
      <w:r>
        <w:fldChar w:fldCharType="separate"/>
      </w:r>
      <w:r>
        <w:rPr>
          <w:rStyle w:val="45"/>
          <w:rFonts w:ascii="宋体" w:hAnsi="宋体"/>
          <w:b/>
          <w:i w:val="0"/>
          <w:color w:val="auto"/>
        </w:rPr>
        <w:t>33.</w:t>
      </w:r>
      <w:r>
        <w:rPr>
          <w:rFonts w:ascii="宋体" w:hAnsi="宋体" w:cstheme="minorBidi"/>
          <w:b/>
          <w:i w:val="0"/>
          <w:iCs w:val="0"/>
          <w:sz w:val="21"/>
          <w:szCs w:val="22"/>
        </w:rPr>
        <w:tab/>
      </w:r>
      <w:r>
        <w:rPr>
          <w:rStyle w:val="45"/>
          <w:rFonts w:ascii="宋体" w:hAnsi="宋体"/>
          <w:b/>
          <w:i w:val="0"/>
          <w:color w:val="auto"/>
        </w:rPr>
        <w:t>开标</w:t>
      </w:r>
      <w:r>
        <w:rPr>
          <w:rFonts w:ascii="宋体" w:hAnsi="宋体"/>
          <w:b/>
          <w:i w:val="0"/>
        </w:rPr>
        <w:tab/>
      </w:r>
      <w:r>
        <w:rPr>
          <w:rFonts w:ascii="宋体" w:hAnsi="宋体"/>
          <w:b/>
          <w:i w:val="0"/>
        </w:rPr>
        <w:fldChar w:fldCharType="begin"/>
      </w:r>
      <w:r>
        <w:rPr>
          <w:rFonts w:ascii="宋体" w:hAnsi="宋体"/>
          <w:b/>
          <w:i w:val="0"/>
        </w:rPr>
        <w:instrText xml:space="preserve"> PAGEREF _Toc529805811 \h </w:instrText>
      </w:r>
      <w:r>
        <w:rPr>
          <w:rFonts w:ascii="宋体" w:hAnsi="宋体"/>
          <w:b/>
          <w:i w:val="0"/>
        </w:rPr>
        <w:fldChar w:fldCharType="separate"/>
      </w:r>
      <w:r>
        <w:rPr>
          <w:rFonts w:ascii="宋体" w:hAnsi="宋体"/>
          <w:b/>
          <w:i w:val="0"/>
        </w:rPr>
        <w:t>19</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"_Toc529805812" </w:instrText>
      </w:r>
      <w:r>
        <w:fldChar w:fldCharType="separate"/>
      </w:r>
      <w:r>
        <w:rPr>
          <w:rStyle w:val="45"/>
          <w:rFonts w:ascii="宋体" w:hAnsi="宋体"/>
          <w:b/>
          <w:i w:val="0"/>
          <w:color w:val="auto"/>
        </w:rPr>
        <w:t>34.</w:t>
      </w:r>
      <w:r>
        <w:rPr>
          <w:rFonts w:ascii="宋体" w:hAnsi="宋体" w:cstheme="minorBidi"/>
          <w:b/>
          <w:i w:val="0"/>
          <w:iCs w:val="0"/>
          <w:sz w:val="21"/>
          <w:szCs w:val="22"/>
        </w:rPr>
        <w:tab/>
      </w:r>
      <w:r>
        <w:rPr>
          <w:rStyle w:val="45"/>
          <w:rFonts w:ascii="宋体" w:hAnsi="宋体"/>
          <w:b/>
          <w:i w:val="0"/>
          <w:color w:val="auto"/>
        </w:rPr>
        <w:t>评审</w:t>
      </w:r>
      <w:r>
        <w:rPr>
          <w:rFonts w:ascii="宋体" w:hAnsi="宋体"/>
          <w:b/>
          <w:i w:val="0"/>
        </w:rPr>
        <w:tab/>
      </w:r>
      <w:r>
        <w:rPr>
          <w:rFonts w:ascii="宋体" w:hAnsi="宋体"/>
          <w:b/>
          <w:i w:val="0"/>
        </w:rPr>
        <w:fldChar w:fldCharType="begin"/>
      </w:r>
      <w:r>
        <w:rPr>
          <w:rFonts w:ascii="宋体" w:hAnsi="宋体"/>
          <w:b/>
          <w:i w:val="0"/>
        </w:rPr>
        <w:instrText xml:space="preserve"> PAGEREF _Toc529805812 \h </w:instrText>
      </w:r>
      <w:r>
        <w:rPr>
          <w:rFonts w:ascii="宋体" w:hAnsi="宋体"/>
          <w:b/>
          <w:i w:val="0"/>
        </w:rPr>
        <w:fldChar w:fldCharType="separate"/>
      </w:r>
      <w:r>
        <w:rPr>
          <w:rFonts w:ascii="宋体" w:hAnsi="宋体"/>
          <w:b/>
          <w:i w:val="0"/>
        </w:rPr>
        <w:t>20</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"_Toc529805813" </w:instrText>
      </w:r>
      <w:r>
        <w:fldChar w:fldCharType="separate"/>
      </w:r>
      <w:r>
        <w:rPr>
          <w:rStyle w:val="45"/>
          <w:rFonts w:ascii="宋体" w:hAnsi="宋体"/>
          <w:b/>
          <w:i w:val="0"/>
          <w:color w:val="auto"/>
        </w:rPr>
        <w:t>35.</w:t>
      </w:r>
      <w:r>
        <w:rPr>
          <w:rFonts w:ascii="宋体" w:hAnsi="宋体" w:cstheme="minorBidi"/>
          <w:b/>
          <w:i w:val="0"/>
          <w:iCs w:val="0"/>
          <w:sz w:val="21"/>
          <w:szCs w:val="22"/>
        </w:rPr>
        <w:tab/>
      </w:r>
      <w:r>
        <w:rPr>
          <w:rStyle w:val="45"/>
          <w:rFonts w:ascii="宋体" w:hAnsi="宋体"/>
          <w:b/>
          <w:i w:val="0"/>
          <w:color w:val="auto"/>
        </w:rPr>
        <w:t>社会资本排序</w:t>
      </w:r>
      <w:r>
        <w:rPr>
          <w:rFonts w:ascii="宋体" w:hAnsi="宋体"/>
          <w:b/>
          <w:i w:val="0"/>
        </w:rPr>
        <w:tab/>
      </w:r>
      <w:r>
        <w:rPr>
          <w:rFonts w:ascii="宋体" w:hAnsi="宋体"/>
          <w:b/>
          <w:i w:val="0"/>
        </w:rPr>
        <w:fldChar w:fldCharType="begin"/>
      </w:r>
      <w:r>
        <w:rPr>
          <w:rFonts w:ascii="宋体" w:hAnsi="宋体"/>
          <w:b/>
          <w:i w:val="0"/>
        </w:rPr>
        <w:instrText xml:space="preserve"> PAGEREF _Toc529805813 \h </w:instrText>
      </w:r>
      <w:r>
        <w:rPr>
          <w:rFonts w:ascii="宋体" w:hAnsi="宋体"/>
          <w:b/>
          <w:i w:val="0"/>
        </w:rPr>
        <w:fldChar w:fldCharType="separate"/>
      </w:r>
      <w:r>
        <w:rPr>
          <w:rFonts w:ascii="宋体" w:hAnsi="宋体"/>
          <w:b/>
          <w:i w:val="0"/>
        </w:rPr>
        <w:t>21</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"_Toc529805814" </w:instrText>
      </w:r>
      <w:r>
        <w:fldChar w:fldCharType="separate"/>
      </w:r>
      <w:r>
        <w:rPr>
          <w:rStyle w:val="45"/>
          <w:rFonts w:ascii="宋体" w:hAnsi="宋体"/>
          <w:b/>
          <w:i w:val="0"/>
          <w:color w:val="auto"/>
        </w:rPr>
        <w:t>36.</w:t>
      </w:r>
      <w:r>
        <w:rPr>
          <w:rFonts w:ascii="宋体" w:hAnsi="宋体" w:cstheme="minorBidi"/>
          <w:b/>
          <w:i w:val="0"/>
          <w:iCs w:val="0"/>
          <w:sz w:val="21"/>
          <w:szCs w:val="22"/>
        </w:rPr>
        <w:tab/>
      </w:r>
      <w:r>
        <w:rPr>
          <w:rStyle w:val="45"/>
          <w:rFonts w:ascii="宋体" w:hAnsi="宋体"/>
          <w:b/>
          <w:i w:val="0"/>
          <w:color w:val="auto"/>
        </w:rPr>
        <w:t>采购结果确认谈判</w:t>
      </w:r>
      <w:r>
        <w:rPr>
          <w:rFonts w:ascii="宋体" w:hAnsi="宋体"/>
          <w:b/>
          <w:i w:val="0"/>
        </w:rPr>
        <w:tab/>
      </w:r>
      <w:r>
        <w:rPr>
          <w:rFonts w:ascii="宋体" w:hAnsi="宋体"/>
          <w:b/>
          <w:i w:val="0"/>
        </w:rPr>
        <w:fldChar w:fldCharType="begin"/>
      </w:r>
      <w:r>
        <w:rPr>
          <w:rFonts w:ascii="宋体" w:hAnsi="宋体"/>
          <w:b/>
          <w:i w:val="0"/>
        </w:rPr>
        <w:instrText xml:space="preserve"> PAGEREF _Toc529805814 \h </w:instrText>
      </w:r>
      <w:r>
        <w:rPr>
          <w:rFonts w:ascii="宋体" w:hAnsi="宋体"/>
          <w:b/>
          <w:i w:val="0"/>
        </w:rPr>
        <w:fldChar w:fldCharType="separate"/>
      </w:r>
      <w:r>
        <w:rPr>
          <w:rFonts w:ascii="宋体" w:hAnsi="宋体"/>
          <w:b/>
          <w:i w:val="0"/>
        </w:rPr>
        <w:t>22</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"_Toc529805815" </w:instrText>
      </w:r>
      <w:r>
        <w:fldChar w:fldCharType="separate"/>
      </w:r>
      <w:r>
        <w:rPr>
          <w:rStyle w:val="45"/>
          <w:rFonts w:ascii="宋体" w:hAnsi="宋体"/>
          <w:b/>
          <w:color w:val="auto"/>
        </w:rPr>
        <w:t>第九章</w:t>
      </w:r>
      <w:r>
        <w:rPr>
          <w:rFonts w:ascii="宋体" w:hAnsi="宋体" w:cstheme="minorBidi"/>
          <w:b/>
          <w:smallCaps w:val="0"/>
          <w:sz w:val="21"/>
          <w:szCs w:val="22"/>
        </w:rPr>
        <w:tab/>
      </w:r>
      <w:r>
        <w:rPr>
          <w:rStyle w:val="45"/>
          <w:rFonts w:ascii="宋体" w:hAnsi="宋体"/>
          <w:b/>
          <w:color w:val="auto"/>
        </w:rPr>
        <w:t>中标社会资本选定</w:t>
      </w:r>
      <w:r>
        <w:rPr>
          <w:rFonts w:ascii="宋体" w:hAnsi="宋体"/>
          <w:b/>
        </w:rPr>
        <w:tab/>
      </w:r>
      <w:r>
        <w:rPr>
          <w:rFonts w:ascii="宋体" w:hAnsi="宋体"/>
          <w:b/>
        </w:rPr>
        <w:fldChar w:fldCharType="begin"/>
      </w:r>
      <w:r>
        <w:rPr>
          <w:rFonts w:ascii="宋体" w:hAnsi="宋体"/>
          <w:b/>
        </w:rPr>
        <w:instrText xml:space="preserve"> PAGEREF _Toc529805815 \h </w:instrText>
      </w:r>
      <w:r>
        <w:rPr>
          <w:rFonts w:ascii="宋体" w:hAnsi="宋体"/>
          <w:b/>
        </w:rPr>
        <w:fldChar w:fldCharType="separate"/>
      </w:r>
      <w:r>
        <w:rPr>
          <w:rFonts w:ascii="宋体" w:hAnsi="宋体"/>
          <w:b/>
        </w:rPr>
        <w:t>22</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"_Toc529805816" </w:instrText>
      </w:r>
      <w:r>
        <w:fldChar w:fldCharType="separate"/>
      </w:r>
      <w:r>
        <w:rPr>
          <w:rStyle w:val="45"/>
          <w:rFonts w:ascii="宋体" w:hAnsi="宋体"/>
          <w:b/>
          <w:i w:val="0"/>
          <w:color w:val="auto"/>
        </w:rPr>
        <w:t>37.</w:t>
      </w:r>
      <w:r>
        <w:rPr>
          <w:rFonts w:ascii="宋体" w:hAnsi="宋体" w:cstheme="minorBidi"/>
          <w:b/>
          <w:i w:val="0"/>
          <w:iCs w:val="0"/>
          <w:sz w:val="21"/>
          <w:szCs w:val="22"/>
        </w:rPr>
        <w:tab/>
      </w:r>
      <w:r>
        <w:rPr>
          <w:rStyle w:val="45"/>
          <w:rFonts w:ascii="宋体" w:hAnsi="宋体"/>
          <w:b/>
          <w:i w:val="0"/>
          <w:color w:val="auto"/>
        </w:rPr>
        <w:t>资格确认</w:t>
      </w:r>
      <w:r>
        <w:rPr>
          <w:rFonts w:ascii="宋体" w:hAnsi="宋体"/>
          <w:b/>
          <w:i w:val="0"/>
        </w:rPr>
        <w:tab/>
      </w:r>
      <w:r>
        <w:rPr>
          <w:rFonts w:ascii="宋体" w:hAnsi="宋体"/>
          <w:b/>
          <w:i w:val="0"/>
        </w:rPr>
        <w:fldChar w:fldCharType="begin"/>
      </w:r>
      <w:r>
        <w:rPr>
          <w:rFonts w:ascii="宋体" w:hAnsi="宋体"/>
          <w:b/>
          <w:i w:val="0"/>
        </w:rPr>
        <w:instrText xml:space="preserve"> PAGEREF _Toc529805816 \h </w:instrText>
      </w:r>
      <w:r>
        <w:rPr>
          <w:rFonts w:ascii="宋体" w:hAnsi="宋体"/>
          <w:b/>
          <w:i w:val="0"/>
        </w:rPr>
        <w:fldChar w:fldCharType="separate"/>
      </w:r>
      <w:r>
        <w:rPr>
          <w:rFonts w:ascii="宋体" w:hAnsi="宋体"/>
          <w:b/>
          <w:i w:val="0"/>
        </w:rPr>
        <w:t>22</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"_Toc529805817" </w:instrText>
      </w:r>
      <w:r>
        <w:fldChar w:fldCharType="separate"/>
      </w:r>
      <w:r>
        <w:rPr>
          <w:rStyle w:val="45"/>
          <w:rFonts w:ascii="宋体" w:hAnsi="宋体"/>
          <w:b/>
          <w:i w:val="0"/>
          <w:color w:val="auto"/>
        </w:rPr>
        <w:t>38.</w:t>
      </w:r>
      <w:r>
        <w:rPr>
          <w:rFonts w:ascii="宋体" w:hAnsi="宋体" w:cstheme="minorBidi"/>
          <w:b/>
          <w:i w:val="0"/>
          <w:iCs w:val="0"/>
          <w:sz w:val="21"/>
          <w:szCs w:val="22"/>
        </w:rPr>
        <w:tab/>
      </w:r>
      <w:r>
        <w:rPr>
          <w:rStyle w:val="45"/>
          <w:rFonts w:ascii="宋体" w:hAnsi="宋体"/>
          <w:b/>
          <w:i w:val="0"/>
          <w:color w:val="auto"/>
        </w:rPr>
        <w:t>中标社会资本选定</w:t>
      </w:r>
      <w:r>
        <w:rPr>
          <w:rFonts w:ascii="宋体" w:hAnsi="宋体"/>
          <w:b/>
          <w:i w:val="0"/>
        </w:rPr>
        <w:tab/>
      </w:r>
      <w:r>
        <w:rPr>
          <w:rFonts w:ascii="宋体" w:hAnsi="宋体"/>
          <w:b/>
          <w:i w:val="0"/>
        </w:rPr>
        <w:fldChar w:fldCharType="begin"/>
      </w:r>
      <w:r>
        <w:rPr>
          <w:rFonts w:ascii="宋体" w:hAnsi="宋体"/>
          <w:b/>
          <w:i w:val="0"/>
        </w:rPr>
        <w:instrText xml:space="preserve"> PAGEREF _Toc529805817 \h </w:instrText>
      </w:r>
      <w:r>
        <w:rPr>
          <w:rFonts w:ascii="宋体" w:hAnsi="宋体"/>
          <w:b/>
          <w:i w:val="0"/>
        </w:rPr>
        <w:fldChar w:fldCharType="separate"/>
      </w:r>
      <w:r>
        <w:rPr>
          <w:rFonts w:ascii="宋体" w:hAnsi="宋体"/>
          <w:b/>
          <w:i w:val="0"/>
        </w:rPr>
        <w:t>22</w:t>
      </w:r>
      <w:r>
        <w:rPr>
          <w:rFonts w:ascii="宋体" w:hAnsi="宋体"/>
          <w:b/>
          <w:i w:val="0"/>
        </w:rPr>
        <w:fldChar w:fldCharType="end"/>
      </w:r>
      <w:r>
        <w:rPr>
          <w:rFonts w:ascii="宋体" w:hAnsi="宋体"/>
          <w:b/>
          <w:i w:val="0"/>
        </w:rPr>
        <w:fldChar w:fldCharType="end"/>
      </w:r>
    </w:p>
    <w:p>
      <w:pPr>
        <w:pStyle w:val="33"/>
        <w:tabs>
          <w:tab w:val="left" w:pos="1050"/>
          <w:tab w:val="right" w:leader="dot" w:pos="8302"/>
        </w:tabs>
        <w:rPr>
          <w:rFonts w:ascii="宋体" w:hAnsi="宋体" w:cstheme="minorBidi"/>
          <w:b/>
          <w:smallCaps w:val="0"/>
          <w:sz w:val="21"/>
          <w:szCs w:val="22"/>
        </w:rPr>
      </w:pPr>
      <w:r>
        <w:fldChar w:fldCharType="begin"/>
      </w:r>
      <w:r>
        <w:instrText xml:space="preserve"> HYPERLINK \l "_Toc529805818" </w:instrText>
      </w:r>
      <w:r>
        <w:fldChar w:fldCharType="separate"/>
      </w:r>
      <w:r>
        <w:rPr>
          <w:rStyle w:val="45"/>
          <w:rFonts w:ascii="宋体" w:hAnsi="宋体"/>
          <w:b/>
          <w:color w:val="auto"/>
        </w:rPr>
        <w:t>第十章</w:t>
      </w:r>
      <w:r>
        <w:rPr>
          <w:rFonts w:ascii="宋体" w:hAnsi="宋体" w:cstheme="minorBidi"/>
          <w:b/>
          <w:smallCaps w:val="0"/>
          <w:sz w:val="21"/>
          <w:szCs w:val="22"/>
        </w:rPr>
        <w:tab/>
      </w:r>
      <w:r>
        <w:rPr>
          <w:rStyle w:val="45"/>
          <w:rFonts w:ascii="宋体" w:hAnsi="宋体"/>
          <w:b/>
          <w:color w:val="auto"/>
        </w:rPr>
        <w:t>中标社会资本选定后的程序</w:t>
      </w:r>
      <w:r>
        <w:rPr>
          <w:rFonts w:ascii="宋体" w:hAnsi="宋体"/>
          <w:b/>
        </w:rPr>
        <w:tab/>
      </w:r>
      <w:r>
        <w:rPr>
          <w:rFonts w:ascii="宋体" w:hAnsi="宋体"/>
          <w:b/>
        </w:rPr>
        <w:fldChar w:fldCharType="begin"/>
      </w:r>
      <w:r>
        <w:rPr>
          <w:rFonts w:ascii="宋体" w:hAnsi="宋体"/>
          <w:b/>
        </w:rPr>
        <w:instrText xml:space="preserve"> PAGEREF _Toc529805818 \h </w:instrText>
      </w:r>
      <w:r>
        <w:rPr>
          <w:rFonts w:ascii="宋体" w:hAnsi="宋体"/>
          <w:b/>
        </w:rPr>
        <w:fldChar w:fldCharType="separate"/>
      </w:r>
      <w:r>
        <w:rPr>
          <w:rFonts w:ascii="宋体" w:hAnsi="宋体"/>
          <w:b/>
        </w:rPr>
        <w:t>25</w:t>
      </w:r>
      <w:r>
        <w:rPr>
          <w:rFonts w:ascii="宋体" w:hAnsi="宋体"/>
          <w:b/>
        </w:rPr>
        <w:fldChar w:fldCharType="end"/>
      </w:r>
      <w:r>
        <w:rPr>
          <w:rFonts w:ascii="宋体" w:hAnsi="宋体"/>
          <w:b/>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"_Toc529805819" </w:instrText>
      </w:r>
      <w:r>
        <w:fldChar w:fldCharType="separate"/>
      </w:r>
      <w:r>
        <w:rPr>
          <w:rStyle w:val="45"/>
          <w:rFonts w:ascii="宋体" w:hAnsi="宋体"/>
          <w:b/>
          <w:i w:val="0"/>
          <w:color w:val="auto"/>
        </w:rPr>
        <w:t>39.</w:t>
      </w:r>
      <w:r>
        <w:rPr>
          <w:rFonts w:ascii="宋体" w:hAnsi="宋体" w:cstheme="minorBidi"/>
          <w:b/>
          <w:i w:val="0"/>
          <w:iCs w:val="0"/>
          <w:sz w:val="21"/>
          <w:szCs w:val="22"/>
        </w:rPr>
        <w:tab/>
      </w:r>
      <w:r>
        <w:rPr>
          <w:rStyle w:val="45"/>
          <w:rFonts w:ascii="宋体" w:hAnsi="宋体"/>
          <w:b/>
          <w:i w:val="0"/>
          <w:color w:val="auto"/>
        </w:rPr>
        <w:t>签订谈判备忘录和公告</w:t>
      </w:r>
      <w:r>
        <w:rPr>
          <w:rFonts w:ascii="宋体" w:hAnsi="宋体"/>
          <w:b/>
          <w:i w:val="0"/>
        </w:rPr>
        <w:tab/>
      </w:r>
      <w:r>
        <w:rPr>
          <w:rFonts w:ascii="宋体" w:hAnsi="宋体"/>
          <w:b/>
          <w:i w:val="0"/>
        </w:rPr>
        <w:fldChar w:fldCharType="begin"/>
      </w:r>
      <w:r>
        <w:rPr>
          <w:rFonts w:ascii="宋体" w:hAnsi="宋体"/>
          <w:b/>
          <w:i w:val="0"/>
        </w:rPr>
        <w:instrText xml:space="preserve"> PAGEREF _Toc529805819 \h </w:instrText>
      </w:r>
      <w:r>
        <w:rPr>
          <w:rFonts w:ascii="宋体" w:hAnsi="宋体"/>
          <w:b/>
          <w:i w:val="0"/>
        </w:rPr>
        <w:fldChar w:fldCharType="separate"/>
      </w:r>
      <w:r>
        <w:rPr>
          <w:rFonts w:ascii="宋体" w:hAnsi="宋体"/>
          <w:b/>
          <w:i w:val="0"/>
        </w:rPr>
        <w:t>25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"_Toc529805820" </w:instrText>
      </w:r>
      <w:r>
        <w:fldChar w:fldCharType="separate"/>
      </w:r>
      <w:r>
        <w:rPr>
          <w:rStyle w:val="45"/>
          <w:rFonts w:ascii="宋体" w:hAnsi="宋体"/>
          <w:b/>
          <w:i w:val="0"/>
          <w:color w:val="auto"/>
        </w:rPr>
        <w:t>40.</w:t>
      </w:r>
      <w:r>
        <w:rPr>
          <w:rFonts w:ascii="宋体" w:hAnsi="宋体" w:cstheme="minorBidi"/>
          <w:b/>
          <w:i w:val="0"/>
          <w:iCs w:val="0"/>
          <w:sz w:val="21"/>
          <w:szCs w:val="22"/>
        </w:rPr>
        <w:tab/>
      </w:r>
      <w:r>
        <w:rPr>
          <w:rStyle w:val="45"/>
          <w:rFonts w:ascii="宋体" w:hAnsi="宋体"/>
          <w:b/>
          <w:i w:val="0"/>
          <w:color w:val="auto"/>
        </w:rPr>
        <w:t>中标社会资本选定后的通知</w:t>
      </w:r>
      <w:r>
        <w:rPr>
          <w:rFonts w:ascii="宋体" w:hAnsi="宋体"/>
          <w:b/>
          <w:i w:val="0"/>
        </w:rPr>
        <w:tab/>
      </w:r>
      <w:r>
        <w:rPr>
          <w:rFonts w:ascii="宋体" w:hAnsi="宋体"/>
          <w:b/>
          <w:i w:val="0"/>
        </w:rPr>
        <w:fldChar w:fldCharType="begin"/>
      </w:r>
      <w:r>
        <w:rPr>
          <w:rFonts w:ascii="宋体" w:hAnsi="宋体"/>
          <w:b/>
          <w:i w:val="0"/>
        </w:rPr>
        <w:instrText xml:space="preserve"> PAGEREF _Toc529805820 \h </w:instrText>
      </w:r>
      <w:r>
        <w:rPr>
          <w:rFonts w:ascii="宋体" w:hAnsi="宋体"/>
          <w:b/>
          <w:i w:val="0"/>
        </w:rPr>
        <w:fldChar w:fldCharType="separate"/>
      </w:r>
      <w:r>
        <w:rPr>
          <w:rFonts w:ascii="宋体" w:hAnsi="宋体"/>
          <w:b/>
          <w:i w:val="0"/>
        </w:rPr>
        <w:t>25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"_Toc529805821" </w:instrText>
      </w:r>
      <w:r>
        <w:fldChar w:fldCharType="separate"/>
      </w:r>
      <w:r>
        <w:rPr>
          <w:rStyle w:val="45"/>
          <w:rFonts w:ascii="宋体" w:hAnsi="宋体"/>
          <w:b/>
          <w:i w:val="0"/>
          <w:color w:val="auto"/>
        </w:rPr>
        <w:t>41.</w:t>
      </w:r>
      <w:r>
        <w:rPr>
          <w:rFonts w:ascii="宋体" w:hAnsi="宋体" w:cstheme="minorBidi"/>
          <w:b/>
          <w:i w:val="0"/>
          <w:iCs w:val="0"/>
          <w:sz w:val="21"/>
          <w:szCs w:val="22"/>
        </w:rPr>
        <w:tab/>
      </w:r>
      <w:r>
        <w:rPr>
          <w:rStyle w:val="45"/>
          <w:rFonts w:ascii="宋体" w:hAnsi="宋体"/>
          <w:b/>
          <w:i w:val="0"/>
          <w:color w:val="auto"/>
        </w:rPr>
        <w:t>签署项目协议</w:t>
      </w:r>
      <w:r>
        <w:rPr>
          <w:rFonts w:ascii="宋体" w:hAnsi="宋体"/>
          <w:b/>
          <w:i w:val="0"/>
        </w:rPr>
        <w:tab/>
      </w:r>
      <w:r>
        <w:rPr>
          <w:rFonts w:ascii="宋体" w:hAnsi="宋体"/>
          <w:b/>
          <w:i w:val="0"/>
        </w:rPr>
        <w:fldChar w:fldCharType="begin"/>
      </w:r>
      <w:r>
        <w:rPr>
          <w:rFonts w:ascii="宋体" w:hAnsi="宋体"/>
          <w:b/>
          <w:i w:val="0"/>
        </w:rPr>
        <w:instrText xml:space="preserve"> PAGEREF _Toc529805821 \h </w:instrText>
      </w:r>
      <w:r>
        <w:rPr>
          <w:rFonts w:ascii="宋体" w:hAnsi="宋体"/>
          <w:b/>
          <w:i w:val="0"/>
        </w:rPr>
        <w:fldChar w:fldCharType="separate"/>
      </w:r>
      <w:r>
        <w:rPr>
          <w:rFonts w:ascii="宋体" w:hAnsi="宋体"/>
          <w:b/>
          <w:i w:val="0"/>
        </w:rPr>
        <w:t>25</w:t>
      </w:r>
      <w:r>
        <w:rPr>
          <w:rFonts w:ascii="宋体" w:hAnsi="宋体"/>
          <w:b/>
          <w:i w:val="0"/>
        </w:rPr>
        <w:fldChar w:fldCharType="end"/>
      </w:r>
      <w:r>
        <w:rPr>
          <w:rFonts w:ascii="宋体" w:hAnsi="宋体"/>
          <w:b/>
          <w:i w:val="0"/>
        </w:rPr>
        <w:fldChar w:fldCharType="end"/>
      </w:r>
    </w:p>
    <w:p>
      <w:pPr>
        <w:pStyle w:val="19"/>
        <w:tabs>
          <w:tab w:val="left" w:pos="1050"/>
          <w:tab w:val="right" w:leader="dot" w:pos="8302"/>
        </w:tabs>
        <w:rPr>
          <w:rFonts w:ascii="宋体" w:hAnsi="宋体" w:cstheme="minorBidi"/>
          <w:b/>
          <w:i w:val="0"/>
          <w:iCs w:val="0"/>
          <w:sz w:val="21"/>
          <w:szCs w:val="22"/>
        </w:rPr>
      </w:pPr>
      <w:r>
        <w:fldChar w:fldCharType="begin"/>
      </w:r>
      <w:r>
        <w:instrText xml:space="preserve"> HYPERLINK \l "_Toc529805822" </w:instrText>
      </w:r>
      <w:r>
        <w:fldChar w:fldCharType="separate"/>
      </w:r>
      <w:r>
        <w:rPr>
          <w:rStyle w:val="45"/>
          <w:rFonts w:ascii="宋体" w:hAnsi="宋体"/>
          <w:b/>
          <w:i w:val="0"/>
          <w:color w:val="auto"/>
        </w:rPr>
        <w:t>42.</w:t>
      </w:r>
      <w:r>
        <w:rPr>
          <w:rFonts w:ascii="宋体" w:hAnsi="宋体" w:cstheme="minorBidi"/>
          <w:b/>
          <w:i w:val="0"/>
          <w:iCs w:val="0"/>
          <w:sz w:val="21"/>
          <w:szCs w:val="22"/>
        </w:rPr>
        <w:tab/>
      </w:r>
      <w:r>
        <w:rPr>
          <w:rStyle w:val="45"/>
          <w:rFonts w:ascii="宋体" w:hAnsi="宋体"/>
          <w:b/>
          <w:i w:val="0"/>
          <w:color w:val="auto"/>
        </w:rPr>
        <w:t>履约保证金</w:t>
      </w:r>
      <w:r>
        <w:rPr>
          <w:rFonts w:ascii="宋体" w:hAnsi="宋体"/>
          <w:b/>
          <w:i w:val="0"/>
        </w:rPr>
        <w:tab/>
      </w:r>
      <w:r>
        <w:rPr>
          <w:rFonts w:ascii="宋体" w:hAnsi="宋体"/>
          <w:b/>
          <w:i w:val="0"/>
        </w:rPr>
        <w:fldChar w:fldCharType="begin"/>
      </w:r>
      <w:r>
        <w:rPr>
          <w:rFonts w:ascii="宋体" w:hAnsi="宋体"/>
          <w:b/>
          <w:i w:val="0"/>
        </w:rPr>
        <w:instrText xml:space="preserve"> PAGEREF _Toc529805822 \h </w:instrText>
      </w:r>
      <w:r>
        <w:rPr>
          <w:rFonts w:ascii="宋体" w:hAnsi="宋体"/>
          <w:b/>
          <w:i w:val="0"/>
        </w:rPr>
        <w:fldChar w:fldCharType="separate"/>
      </w:r>
      <w:r>
        <w:rPr>
          <w:rFonts w:ascii="宋体" w:hAnsi="宋体"/>
          <w:b/>
          <w:i w:val="0"/>
        </w:rPr>
        <w:t>26</w:t>
      </w:r>
      <w:r>
        <w:rPr>
          <w:rFonts w:ascii="宋体" w:hAnsi="宋体"/>
          <w:b/>
          <w:i w:val="0"/>
        </w:rPr>
        <w:fldChar w:fldCharType="end"/>
      </w:r>
      <w:r>
        <w:rPr>
          <w:rFonts w:ascii="宋体" w:hAnsi="宋体"/>
          <w:b/>
          <w:i w:val="0"/>
        </w:rPr>
        <w:fldChar w:fldCharType="end"/>
      </w:r>
    </w:p>
    <w:p>
      <w:pPr>
        <w:pStyle w:val="33"/>
        <w:tabs>
          <w:tab w:val="left" w:pos="1260"/>
          <w:tab w:val="right" w:leader="dot" w:pos="8302"/>
        </w:tabs>
        <w:rPr>
          <w:rFonts w:ascii="宋体" w:hAnsi="宋体" w:cstheme="minorBidi"/>
          <w:b/>
          <w:smallCaps w:val="0"/>
          <w:sz w:val="21"/>
          <w:szCs w:val="22"/>
        </w:rPr>
      </w:pPr>
      <w:r>
        <w:fldChar w:fldCharType="begin"/>
      </w:r>
      <w:r>
        <w:instrText xml:space="preserve"> HYPERLINK \l "_Toc529805823" </w:instrText>
      </w:r>
      <w:r>
        <w:fldChar w:fldCharType="separate"/>
      </w:r>
      <w:r>
        <w:rPr>
          <w:rStyle w:val="45"/>
          <w:rFonts w:ascii="宋体" w:hAnsi="宋体"/>
          <w:b/>
          <w:color w:val="auto"/>
        </w:rPr>
        <w:t>第十一章</w:t>
      </w:r>
      <w:r>
        <w:rPr>
          <w:rFonts w:ascii="宋体" w:hAnsi="宋体" w:cstheme="minorBidi"/>
          <w:b/>
          <w:smallCaps w:val="0"/>
          <w:sz w:val="21"/>
          <w:szCs w:val="22"/>
        </w:rPr>
        <w:tab/>
      </w:r>
      <w:r>
        <w:rPr>
          <w:rStyle w:val="45"/>
          <w:rFonts w:ascii="宋体" w:hAnsi="宋体"/>
          <w:b/>
          <w:color w:val="auto"/>
        </w:rPr>
        <w:t>投标文件格式</w:t>
      </w:r>
      <w:r>
        <w:rPr>
          <w:rFonts w:ascii="宋体" w:hAnsi="宋体"/>
          <w:b/>
        </w:rPr>
        <w:tab/>
      </w:r>
      <w:r>
        <w:rPr>
          <w:rFonts w:ascii="宋体" w:hAnsi="宋体"/>
          <w:b/>
        </w:rPr>
        <w:fldChar w:fldCharType="begin"/>
      </w:r>
      <w:r>
        <w:rPr>
          <w:rFonts w:ascii="宋体" w:hAnsi="宋体"/>
          <w:b/>
        </w:rPr>
        <w:instrText xml:space="preserve"> PAGEREF _Toc529805823 \h </w:instrText>
      </w:r>
      <w:r>
        <w:rPr>
          <w:rFonts w:ascii="宋体" w:hAnsi="宋体"/>
          <w:b/>
        </w:rPr>
        <w:fldChar w:fldCharType="separate"/>
      </w:r>
      <w:r>
        <w:rPr>
          <w:rFonts w:ascii="宋体" w:hAnsi="宋体"/>
          <w:b/>
        </w:rPr>
        <w:t>27</w:t>
      </w:r>
      <w:r>
        <w:rPr>
          <w:rFonts w:ascii="宋体" w:hAnsi="宋体"/>
          <w:b/>
        </w:rPr>
        <w:fldChar w:fldCharType="end"/>
      </w:r>
      <w:r>
        <w:rPr>
          <w:rFonts w:ascii="宋体" w:hAnsi="宋体"/>
          <w:b/>
        </w:rPr>
        <w:fldChar w:fldCharType="end"/>
      </w:r>
    </w:p>
    <w:p>
      <w:pPr>
        <w:pStyle w:val="19"/>
        <w:tabs>
          <w:tab w:val="left" w:pos="1470"/>
          <w:tab w:val="right" w:leader="dot" w:pos="8302"/>
        </w:tabs>
        <w:rPr>
          <w:rFonts w:ascii="宋体" w:hAnsi="宋体" w:cstheme="minorBidi"/>
          <w:b/>
          <w:i w:val="0"/>
          <w:iCs w:val="0"/>
          <w:sz w:val="21"/>
          <w:szCs w:val="22"/>
        </w:rPr>
      </w:pPr>
      <w:r>
        <w:fldChar w:fldCharType="begin"/>
      </w:r>
      <w:r>
        <w:instrText xml:space="preserve"> HYPERLINK \l "_Toc529805824" </w:instrText>
      </w:r>
      <w:r>
        <w:fldChar w:fldCharType="separate"/>
      </w:r>
      <w:r>
        <w:rPr>
          <w:rStyle w:val="45"/>
          <w:rFonts w:ascii="宋体" w:hAnsi="宋体"/>
          <w:b/>
          <w:bCs/>
          <w:i w:val="0"/>
          <w:color w:val="auto"/>
        </w:rPr>
        <w:t>第一分册</w:t>
      </w:r>
      <w:r>
        <w:rPr>
          <w:rFonts w:ascii="宋体" w:hAnsi="宋体" w:cstheme="minorBidi"/>
          <w:b/>
          <w:i w:val="0"/>
          <w:iCs w:val="0"/>
          <w:sz w:val="21"/>
          <w:szCs w:val="22"/>
        </w:rPr>
        <w:tab/>
      </w:r>
      <w:r>
        <w:rPr>
          <w:rStyle w:val="45"/>
          <w:rFonts w:ascii="宋体" w:hAnsi="宋体"/>
          <w:b/>
          <w:bCs/>
          <w:i w:val="0"/>
          <w:color w:val="auto"/>
        </w:rPr>
        <w:t>投标文件综述</w:t>
      </w:r>
      <w:r>
        <w:rPr>
          <w:rFonts w:ascii="宋体" w:hAnsi="宋体"/>
          <w:b/>
          <w:i w:val="0"/>
        </w:rPr>
        <w:tab/>
      </w:r>
      <w:r>
        <w:rPr>
          <w:rFonts w:ascii="宋体" w:hAnsi="宋体"/>
          <w:b/>
          <w:i w:val="0"/>
        </w:rPr>
        <w:fldChar w:fldCharType="begin"/>
      </w:r>
      <w:r>
        <w:rPr>
          <w:rFonts w:ascii="宋体" w:hAnsi="宋体"/>
          <w:b/>
          <w:i w:val="0"/>
        </w:rPr>
        <w:instrText xml:space="preserve"> PAGEREF _Toc529805824 \h </w:instrText>
      </w:r>
      <w:r>
        <w:rPr>
          <w:rFonts w:ascii="宋体" w:hAnsi="宋体"/>
          <w:b/>
          <w:i w:val="0"/>
        </w:rPr>
        <w:fldChar w:fldCharType="separate"/>
      </w:r>
      <w:r>
        <w:rPr>
          <w:rFonts w:ascii="宋体" w:hAnsi="宋体"/>
          <w:b/>
          <w:i w:val="0"/>
        </w:rPr>
        <w:t>27</w:t>
      </w:r>
      <w:r>
        <w:rPr>
          <w:rFonts w:ascii="宋体" w:hAnsi="宋体"/>
          <w:b/>
          <w:i w:val="0"/>
        </w:rPr>
        <w:fldChar w:fldCharType="end"/>
      </w:r>
      <w:r>
        <w:rPr>
          <w:rFonts w:ascii="宋体" w:hAnsi="宋体"/>
          <w:b/>
          <w:i w:val="0"/>
        </w:rPr>
        <w:fldChar w:fldCharType="end"/>
      </w:r>
    </w:p>
    <w:p>
      <w:pPr>
        <w:pStyle w:val="19"/>
        <w:tabs>
          <w:tab w:val="left" w:pos="1470"/>
          <w:tab w:val="right" w:leader="dot" w:pos="8302"/>
        </w:tabs>
        <w:rPr>
          <w:rFonts w:ascii="宋体" w:hAnsi="宋体" w:cstheme="minorBidi"/>
          <w:b/>
          <w:i w:val="0"/>
          <w:iCs w:val="0"/>
          <w:sz w:val="21"/>
          <w:szCs w:val="22"/>
        </w:rPr>
      </w:pPr>
      <w:r>
        <w:fldChar w:fldCharType="begin"/>
      </w:r>
      <w:r>
        <w:instrText xml:space="preserve"> HYPERLINK \l "_Toc529805825" </w:instrText>
      </w:r>
      <w:r>
        <w:fldChar w:fldCharType="separate"/>
      </w:r>
      <w:r>
        <w:rPr>
          <w:rStyle w:val="45"/>
          <w:rFonts w:ascii="宋体" w:hAnsi="宋体"/>
          <w:b/>
          <w:bCs/>
          <w:i w:val="0"/>
          <w:color w:val="auto"/>
        </w:rPr>
        <w:t>第二分册</w:t>
      </w:r>
      <w:r>
        <w:rPr>
          <w:rFonts w:ascii="宋体" w:hAnsi="宋体" w:cstheme="minorBidi"/>
          <w:b/>
          <w:i w:val="0"/>
          <w:iCs w:val="0"/>
          <w:sz w:val="21"/>
          <w:szCs w:val="22"/>
        </w:rPr>
        <w:tab/>
      </w:r>
      <w:r>
        <w:rPr>
          <w:rStyle w:val="45"/>
          <w:rFonts w:ascii="宋体" w:hAnsi="宋体"/>
          <w:b/>
          <w:bCs/>
          <w:i w:val="0"/>
          <w:color w:val="auto"/>
        </w:rPr>
        <w:t>技术方案</w:t>
      </w:r>
      <w:r>
        <w:rPr>
          <w:rFonts w:ascii="宋体" w:hAnsi="宋体"/>
          <w:b/>
          <w:i w:val="0"/>
        </w:rPr>
        <w:tab/>
      </w:r>
      <w:r>
        <w:rPr>
          <w:rFonts w:ascii="宋体" w:hAnsi="宋体"/>
          <w:b/>
          <w:i w:val="0"/>
        </w:rPr>
        <w:fldChar w:fldCharType="begin"/>
      </w:r>
      <w:r>
        <w:rPr>
          <w:rFonts w:ascii="宋体" w:hAnsi="宋体"/>
          <w:b/>
          <w:i w:val="0"/>
        </w:rPr>
        <w:instrText xml:space="preserve"> PAGEREF _Toc529805825 \h </w:instrText>
      </w:r>
      <w:r>
        <w:rPr>
          <w:rFonts w:ascii="宋体" w:hAnsi="宋体"/>
          <w:b/>
          <w:i w:val="0"/>
        </w:rPr>
        <w:fldChar w:fldCharType="separate"/>
      </w:r>
      <w:r>
        <w:rPr>
          <w:rFonts w:ascii="宋体" w:hAnsi="宋体"/>
          <w:b/>
          <w:i w:val="0"/>
        </w:rPr>
        <w:t>35</w:t>
      </w:r>
      <w:r>
        <w:rPr>
          <w:rFonts w:ascii="宋体" w:hAnsi="宋体"/>
          <w:b/>
          <w:i w:val="0"/>
        </w:rPr>
        <w:fldChar w:fldCharType="end"/>
      </w:r>
      <w:r>
        <w:rPr>
          <w:rFonts w:ascii="宋体" w:hAnsi="宋体"/>
          <w:b/>
          <w:i w:val="0"/>
        </w:rPr>
        <w:fldChar w:fldCharType="end"/>
      </w:r>
    </w:p>
    <w:p>
      <w:pPr>
        <w:pStyle w:val="19"/>
        <w:tabs>
          <w:tab w:val="left" w:pos="1470"/>
          <w:tab w:val="right" w:leader="dot" w:pos="8302"/>
        </w:tabs>
        <w:rPr>
          <w:rFonts w:ascii="宋体" w:hAnsi="宋体" w:cstheme="minorBidi"/>
          <w:b/>
          <w:i w:val="0"/>
          <w:iCs w:val="0"/>
          <w:sz w:val="21"/>
          <w:szCs w:val="22"/>
        </w:rPr>
      </w:pPr>
      <w:r>
        <w:fldChar w:fldCharType="begin"/>
      </w:r>
      <w:r>
        <w:instrText xml:space="preserve"> HYPERLINK \l "_Toc529805826" </w:instrText>
      </w:r>
      <w:r>
        <w:fldChar w:fldCharType="separate"/>
      </w:r>
      <w:r>
        <w:rPr>
          <w:rStyle w:val="45"/>
          <w:rFonts w:ascii="宋体" w:hAnsi="宋体"/>
          <w:b/>
          <w:i w:val="0"/>
          <w:color w:val="auto"/>
        </w:rPr>
        <w:t>第三分册</w:t>
      </w:r>
      <w:r>
        <w:rPr>
          <w:rFonts w:ascii="宋体" w:hAnsi="宋体" w:cstheme="minorBidi"/>
          <w:b/>
          <w:i w:val="0"/>
          <w:iCs w:val="0"/>
          <w:sz w:val="21"/>
          <w:szCs w:val="22"/>
        </w:rPr>
        <w:tab/>
      </w:r>
      <w:r>
        <w:rPr>
          <w:rStyle w:val="45"/>
          <w:rFonts w:ascii="宋体" w:hAnsi="宋体"/>
          <w:b/>
          <w:bCs/>
          <w:i w:val="0"/>
          <w:color w:val="auto"/>
        </w:rPr>
        <w:t>财务方案与法律方案</w:t>
      </w:r>
      <w:r>
        <w:rPr>
          <w:rFonts w:ascii="宋体" w:hAnsi="宋体"/>
          <w:b/>
          <w:i w:val="0"/>
        </w:rPr>
        <w:tab/>
      </w:r>
      <w:r>
        <w:rPr>
          <w:rFonts w:ascii="宋体" w:hAnsi="宋体"/>
          <w:b/>
          <w:i w:val="0"/>
        </w:rPr>
        <w:fldChar w:fldCharType="begin"/>
      </w:r>
      <w:r>
        <w:rPr>
          <w:rFonts w:ascii="宋体" w:hAnsi="宋体"/>
          <w:b/>
          <w:i w:val="0"/>
        </w:rPr>
        <w:instrText xml:space="preserve"> PAGEREF _Toc529805826 \h </w:instrText>
      </w:r>
      <w:r>
        <w:rPr>
          <w:rFonts w:ascii="宋体" w:hAnsi="宋体"/>
          <w:b/>
          <w:i w:val="0"/>
        </w:rPr>
        <w:fldChar w:fldCharType="separate"/>
      </w:r>
      <w:r>
        <w:rPr>
          <w:rFonts w:ascii="宋体" w:hAnsi="宋体"/>
          <w:b/>
          <w:i w:val="0"/>
        </w:rPr>
        <w:t>36</w:t>
      </w:r>
      <w:r>
        <w:rPr>
          <w:rFonts w:ascii="宋体" w:hAnsi="宋体"/>
          <w:b/>
          <w:i w:val="0"/>
        </w:rPr>
        <w:fldChar w:fldCharType="end"/>
      </w:r>
      <w:r>
        <w:rPr>
          <w:rFonts w:ascii="宋体" w:hAnsi="宋体"/>
          <w:b/>
          <w:i w:val="0"/>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"_Toc529805827" </w:instrText>
      </w:r>
      <w:r>
        <w:fldChar w:fldCharType="separate"/>
      </w:r>
      <w:r>
        <w:rPr>
          <w:rStyle w:val="45"/>
          <w:rFonts w:ascii="宋体" w:hAnsi="宋体"/>
          <w:color w:val="auto"/>
        </w:rPr>
        <w:t>第三部分</w:t>
      </w:r>
      <w:r>
        <w:rPr>
          <w:rFonts w:ascii="宋体" w:hAnsi="宋体" w:cstheme="minorBidi"/>
          <w:bCs w:val="0"/>
          <w:caps w:val="0"/>
          <w:sz w:val="21"/>
          <w:szCs w:val="22"/>
        </w:rPr>
        <w:tab/>
      </w:r>
      <w:r>
        <w:rPr>
          <w:rStyle w:val="45"/>
          <w:rFonts w:ascii="宋体" w:hAnsi="宋体"/>
          <w:color w:val="auto"/>
        </w:rPr>
        <w:t>不可谈判的核心条款</w:t>
      </w:r>
      <w:r>
        <w:rPr>
          <w:rFonts w:ascii="宋体" w:hAnsi="宋体"/>
        </w:rPr>
        <w:tab/>
      </w:r>
      <w:r>
        <w:rPr>
          <w:rFonts w:ascii="宋体" w:hAnsi="宋体"/>
        </w:rPr>
        <w:fldChar w:fldCharType="begin"/>
      </w:r>
      <w:r>
        <w:rPr>
          <w:rFonts w:ascii="宋体" w:hAnsi="宋体"/>
        </w:rPr>
        <w:instrText xml:space="preserve"> PAGEREF _Toc529805827 \h </w:instrText>
      </w:r>
      <w:r>
        <w:rPr>
          <w:rFonts w:ascii="宋体" w:hAnsi="宋体"/>
        </w:rPr>
        <w:fldChar w:fldCharType="separate"/>
      </w:r>
      <w:r>
        <w:rPr>
          <w:rFonts w:ascii="宋体" w:hAnsi="宋体"/>
        </w:rPr>
        <w:t>45</w:t>
      </w:r>
      <w:r>
        <w:rPr>
          <w:rFonts w:ascii="宋体" w:hAnsi="宋体"/>
        </w:rPr>
        <w:fldChar w:fldCharType="end"/>
      </w:r>
      <w:r>
        <w:rPr>
          <w:rFonts w:ascii="宋体" w:hAnsi="宋体"/>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"_Toc529805828" </w:instrText>
      </w:r>
      <w:r>
        <w:fldChar w:fldCharType="separate"/>
      </w:r>
      <w:r>
        <w:rPr>
          <w:rStyle w:val="45"/>
          <w:rFonts w:ascii="宋体" w:hAnsi="宋体"/>
          <w:color w:val="auto"/>
        </w:rPr>
        <w:t>第四部分</w:t>
      </w:r>
      <w:r>
        <w:rPr>
          <w:rFonts w:ascii="宋体" w:hAnsi="宋体" w:cstheme="minorBidi"/>
          <w:bCs w:val="0"/>
          <w:caps w:val="0"/>
          <w:sz w:val="21"/>
          <w:szCs w:val="22"/>
        </w:rPr>
        <w:tab/>
      </w:r>
      <w:r>
        <w:rPr>
          <w:rStyle w:val="45"/>
          <w:rFonts w:ascii="宋体" w:hAnsi="宋体"/>
          <w:color w:val="auto"/>
        </w:rPr>
        <w:t>采购需求</w:t>
      </w:r>
      <w:r>
        <w:rPr>
          <w:rFonts w:ascii="宋体" w:hAnsi="宋体"/>
        </w:rPr>
        <w:tab/>
      </w:r>
      <w:r>
        <w:rPr>
          <w:rFonts w:ascii="宋体" w:hAnsi="宋体"/>
        </w:rPr>
        <w:fldChar w:fldCharType="begin"/>
      </w:r>
      <w:r>
        <w:rPr>
          <w:rFonts w:ascii="宋体" w:hAnsi="宋体"/>
        </w:rPr>
        <w:instrText xml:space="preserve"> PAGEREF _Toc529805828 \h </w:instrText>
      </w:r>
      <w:r>
        <w:rPr>
          <w:rFonts w:ascii="宋体" w:hAnsi="宋体"/>
        </w:rPr>
        <w:fldChar w:fldCharType="separate"/>
      </w:r>
      <w:r>
        <w:rPr>
          <w:rFonts w:ascii="宋体" w:hAnsi="宋体"/>
        </w:rPr>
        <w:t>46</w:t>
      </w:r>
      <w:r>
        <w:rPr>
          <w:rFonts w:ascii="宋体" w:hAnsi="宋体"/>
        </w:rPr>
        <w:fldChar w:fldCharType="end"/>
      </w:r>
      <w:r>
        <w:rPr>
          <w:rFonts w:ascii="宋体" w:hAnsi="宋体"/>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"_Toc529805829" </w:instrText>
      </w:r>
      <w:r>
        <w:fldChar w:fldCharType="separate"/>
      </w:r>
      <w:r>
        <w:rPr>
          <w:rStyle w:val="45"/>
          <w:rFonts w:ascii="宋体" w:hAnsi="宋体"/>
          <w:color w:val="auto"/>
        </w:rPr>
        <w:t>第五部分</w:t>
      </w:r>
      <w:r>
        <w:rPr>
          <w:rFonts w:ascii="宋体" w:hAnsi="宋体" w:cstheme="minorBidi"/>
          <w:bCs w:val="0"/>
          <w:caps w:val="0"/>
          <w:sz w:val="21"/>
          <w:szCs w:val="22"/>
        </w:rPr>
        <w:tab/>
      </w:r>
      <w:r>
        <w:rPr>
          <w:rStyle w:val="45"/>
          <w:rFonts w:ascii="宋体" w:hAnsi="宋体"/>
          <w:color w:val="auto"/>
        </w:rPr>
        <w:t>项目协议</w:t>
      </w:r>
      <w:r>
        <w:rPr>
          <w:rFonts w:ascii="宋体" w:hAnsi="宋体"/>
        </w:rPr>
        <w:tab/>
      </w:r>
      <w:r>
        <w:rPr>
          <w:rFonts w:ascii="宋体" w:hAnsi="宋体"/>
        </w:rPr>
        <w:fldChar w:fldCharType="begin"/>
      </w:r>
      <w:r>
        <w:rPr>
          <w:rFonts w:ascii="宋体" w:hAnsi="宋体"/>
        </w:rPr>
        <w:instrText xml:space="preserve"> PAGEREF _Toc529805829 \h </w:instrText>
      </w:r>
      <w:r>
        <w:rPr>
          <w:rFonts w:ascii="宋体" w:hAnsi="宋体"/>
        </w:rPr>
        <w:fldChar w:fldCharType="separate"/>
      </w:r>
      <w:r>
        <w:rPr>
          <w:rFonts w:ascii="宋体" w:hAnsi="宋体"/>
        </w:rPr>
        <w:t>69</w:t>
      </w:r>
      <w:r>
        <w:rPr>
          <w:rFonts w:ascii="宋体" w:hAnsi="宋体"/>
        </w:rPr>
        <w:fldChar w:fldCharType="end"/>
      </w:r>
      <w:r>
        <w:rPr>
          <w:rFonts w:ascii="宋体" w:hAnsi="宋体"/>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"_Toc529805830" </w:instrText>
      </w:r>
      <w:r>
        <w:fldChar w:fldCharType="separate"/>
      </w:r>
      <w:r>
        <w:rPr>
          <w:rStyle w:val="45"/>
          <w:rFonts w:ascii="宋体" w:hAnsi="宋体"/>
          <w:color w:val="auto"/>
        </w:rPr>
        <w:t>第六部分</w:t>
      </w:r>
      <w:r>
        <w:rPr>
          <w:rFonts w:ascii="宋体" w:hAnsi="宋体" w:cstheme="minorBidi"/>
          <w:bCs w:val="0"/>
          <w:caps w:val="0"/>
          <w:sz w:val="21"/>
          <w:szCs w:val="22"/>
        </w:rPr>
        <w:tab/>
      </w:r>
      <w:r>
        <w:rPr>
          <w:rStyle w:val="45"/>
          <w:rFonts w:ascii="宋体" w:hAnsi="宋体"/>
          <w:color w:val="auto"/>
        </w:rPr>
        <w:t>评标方法和标准</w:t>
      </w:r>
      <w:r>
        <w:rPr>
          <w:rFonts w:ascii="宋体" w:hAnsi="宋体"/>
        </w:rPr>
        <w:tab/>
      </w:r>
      <w:r>
        <w:rPr>
          <w:rFonts w:ascii="宋体" w:hAnsi="宋体"/>
        </w:rPr>
        <w:fldChar w:fldCharType="begin"/>
      </w:r>
      <w:r>
        <w:rPr>
          <w:rFonts w:ascii="宋体" w:hAnsi="宋体"/>
        </w:rPr>
        <w:instrText xml:space="preserve"> PAGEREF _Toc529805830 \h </w:instrText>
      </w:r>
      <w:r>
        <w:rPr>
          <w:rFonts w:ascii="宋体" w:hAnsi="宋体"/>
        </w:rPr>
        <w:fldChar w:fldCharType="separate"/>
      </w:r>
      <w:r>
        <w:rPr>
          <w:rFonts w:ascii="宋体" w:hAnsi="宋体"/>
        </w:rPr>
        <w:t>70</w:t>
      </w:r>
      <w:r>
        <w:rPr>
          <w:rFonts w:ascii="宋体" w:hAnsi="宋体"/>
        </w:rPr>
        <w:fldChar w:fldCharType="end"/>
      </w:r>
      <w:r>
        <w:rPr>
          <w:rFonts w:ascii="宋体" w:hAnsi="宋体"/>
        </w:rPr>
        <w:fldChar w:fldCharType="end"/>
      </w:r>
    </w:p>
    <w:p>
      <w:pPr>
        <w:pStyle w:val="28"/>
        <w:tabs>
          <w:tab w:val="left" w:pos="1050"/>
          <w:tab w:val="right" w:leader="dot" w:pos="8302"/>
        </w:tabs>
        <w:rPr>
          <w:rFonts w:ascii="宋体" w:hAnsi="宋体" w:cstheme="minorBidi"/>
          <w:bCs w:val="0"/>
          <w:caps w:val="0"/>
          <w:sz w:val="21"/>
          <w:szCs w:val="22"/>
        </w:rPr>
      </w:pPr>
      <w:r>
        <w:fldChar w:fldCharType="begin"/>
      </w:r>
      <w:r>
        <w:instrText xml:space="preserve"> HYPERLINK \l "_Toc529805831" </w:instrText>
      </w:r>
      <w:r>
        <w:fldChar w:fldCharType="separate"/>
      </w:r>
      <w:r>
        <w:rPr>
          <w:rStyle w:val="45"/>
          <w:rFonts w:ascii="宋体" w:hAnsi="宋体"/>
          <w:color w:val="auto"/>
        </w:rPr>
        <w:t>第七部分</w:t>
      </w:r>
      <w:r>
        <w:rPr>
          <w:rFonts w:ascii="宋体" w:hAnsi="宋体" w:cstheme="minorBidi"/>
          <w:bCs w:val="0"/>
          <w:caps w:val="0"/>
          <w:sz w:val="21"/>
          <w:szCs w:val="22"/>
        </w:rPr>
        <w:tab/>
      </w:r>
      <w:r>
        <w:rPr>
          <w:rStyle w:val="45"/>
          <w:rFonts w:ascii="宋体" w:hAnsi="宋体"/>
          <w:color w:val="auto"/>
        </w:rPr>
        <w:t>项目资料库</w:t>
      </w:r>
      <w:r>
        <w:rPr>
          <w:rFonts w:ascii="宋体" w:hAnsi="宋体"/>
        </w:rPr>
        <w:tab/>
      </w:r>
      <w:r>
        <w:rPr>
          <w:rFonts w:ascii="宋体" w:hAnsi="宋体"/>
        </w:rPr>
        <w:fldChar w:fldCharType="begin"/>
      </w:r>
      <w:r>
        <w:rPr>
          <w:rFonts w:ascii="宋体" w:hAnsi="宋体"/>
        </w:rPr>
        <w:instrText xml:space="preserve"> PAGEREF _Toc529805831 \h </w:instrText>
      </w:r>
      <w:r>
        <w:rPr>
          <w:rFonts w:ascii="宋体" w:hAnsi="宋体"/>
        </w:rPr>
        <w:fldChar w:fldCharType="separate"/>
      </w:r>
      <w:r>
        <w:rPr>
          <w:rFonts w:ascii="宋体" w:hAnsi="宋体"/>
        </w:rPr>
        <w:t>73</w:t>
      </w:r>
      <w:r>
        <w:rPr>
          <w:rFonts w:ascii="宋体" w:hAnsi="宋体"/>
        </w:rPr>
        <w:fldChar w:fldCharType="end"/>
      </w:r>
      <w:r>
        <w:rPr>
          <w:rFonts w:ascii="宋体" w:hAnsi="宋体"/>
        </w:rPr>
        <w:fldChar w:fldCharType="end"/>
      </w:r>
    </w:p>
    <w:p>
      <w:pPr>
        <w:widowControl/>
        <w:jc w:val="left"/>
        <w:rPr>
          <w:rFonts w:asciiTheme="minorEastAsia" w:hAnsiTheme="minorEastAsia" w:eastAsiaTheme="minorEastAsia"/>
          <w:b/>
          <w:bCs/>
        </w:rPr>
      </w:pPr>
      <w:r>
        <w:rPr>
          <w:rFonts w:asciiTheme="minorEastAsia" w:hAnsiTheme="minorEastAsia" w:eastAsiaTheme="minorEastAsia"/>
          <w:b/>
          <w:caps/>
          <w:smallCaps/>
        </w:rPr>
        <w:fldChar w:fldCharType="end"/>
      </w:r>
    </w:p>
    <w:p>
      <w:pPr>
        <w:widowControl/>
        <w:jc w:val="left"/>
        <w:rPr>
          <w:rFonts w:asciiTheme="minorEastAsia" w:hAnsiTheme="minorEastAsia" w:eastAsiaTheme="minorEastAsia"/>
          <w:b/>
          <w:bCs/>
          <w:kern w:val="0"/>
          <w:sz w:val="28"/>
          <w:szCs w:val="28"/>
        </w:rPr>
      </w:pPr>
    </w:p>
    <w:p>
      <w:pPr>
        <w:rPr>
          <w:rFonts w:asciiTheme="minorEastAsia" w:hAnsiTheme="minorEastAsia" w:eastAsiaTheme="minorEastAsia"/>
        </w:rPr>
      </w:pPr>
      <w:bookmarkStart w:id="3" w:name="_Toc455565181"/>
      <w:r>
        <w:rPr>
          <w:rFonts w:asciiTheme="minorEastAsia" w:hAnsiTheme="minorEastAsia" w:eastAsiaTheme="minorEastAsia"/>
        </w:rPr>
        <w:br w:type="page"/>
      </w:r>
    </w:p>
    <w:bookmarkEnd w:id="3"/>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4" w:name="_Toc529805769"/>
      <w:r>
        <w:rPr>
          <w:rFonts w:hint="eastAsia" w:asciiTheme="minorEastAsia" w:hAnsiTheme="minorEastAsia" w:eastAsiaTheme="minorEastAsia"/>
          <w:b/>
          <w:sz w:val="28"/>
          <w:szCs w:val="28"/>
        </w:rPr>
        <w:t>招标公告</w:t>
      </w:r>
      <w:bookmarkEnd w:id="4"/>
    </w:p>
    <w:p>
      <w:pPr>
        <w:adjustRightInd w:val="0"/>
        <w:snapToGrid w:val="0"/>
        <w:spacing w:line="360" w:lineRule="auto"/>
        <w:ind w:firstLine="420" w:firstLineChars="200"/>
        <w:rPr>
          <w:rFonts w:asciiTheme="minorEastAsia" w:hAnsiTheme="minorEastAsia" w:eastAsiaTheme="minorEastAsia"/>
        </w:rPr>
      </w:pPr>
      <w:bookmarkStart w:id="5" w:name="OLE_LINK2"/>
      <w:bookmarkStart w:id="6" w:name="OLE_LINK1"/>
      <w:r>
        <w:rPr>
          <w:rFonts w:hint="eastAsia" w:asciiTheme="minorEastAsia" w:hAnsiTheme="minorEastAsia" w:eastAsiaTheme="minorEastAsia"/>
        </w:rPr>
        <w:t>南京市公共资源交易中心受南京市栖霞区城市管理局的委托，决定就其实施的南京市栖霞区餐厨废弃物处置厂项目进行公开招标，现欢迎已经通过本项目资格预审并符合相关条件的社会资本参与投标。</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南京市栖霞区餐厨废弃物处置厂项目的资格预审合格的社会资本应在“中国政府采购网”、“江苏省政府采购网”、“南京市政府采购网”或“南京市公共资源交易中心网”采购公告栏下载招标文件及相关附件，并于</w:t>
      </w:r>
      <w:r>
        <w:rPr>
          <w:rFonts w:asciiTheme="minorEastAsia" w:hAnsiTheme="minorEastAsia" w:eastAsiaTheme="minorEastAsia"/>
          <w:u w:val="single"/>
        </w:rPr>
        <w:t>2020</w:t>
      </w:r>
      <w:r>
        <w:rPr>
          <w:rFonts w:hint="eastAsia" w:asciiTheme="minorEastAsia" w:hAnsiTheme="minorEastAsia" w:eastAsiaTheme="minorEastAsia"/>
          <w:u w:val="single"/>
        </w:rPr>
        <w:t>年</w:t>
      </w:r>
      <w:r>
        <w:rPr>
          <w:rFonts w:asciiTheme="minorEastAsia" w:hAnsiTheme="minorEastAsia" w:eastAsiaTheme="minorEastAsia"/>
          <w:u w:val="single"/>
        </w:rPr>
        <w:t>07</w:t>
      </w:r>
      <w:r>
        <w:rPr>
          <w:rFonts w:hint="eastAsia" w:asciiTheme="minorEastAsia" w:hAnsiTheme="minorEastAsia" w:eastAsiaTheme="minorEastAsia"/>
          <w:u w:val="single"/>
        </w:rPr>
        <w:t>月</w:t>
      </w:r>
      <w:r>
        <w:rPr>
          <w:rFonts w:asciiTheme="minorEastAsia" w:hAnsiTheme="minorEastAsia" w:eastAsiaTheme="minorEastAsia"/>
          <w:u w:val="single"/>
        </w:rPr>
        <w:t>10</w:t>
      </w:r>
      <w:r>
        <w:rPr>
          <w:rFonts w:hint="eastAsia" w:asciiTheme="minorEastAsia" w:hAnsiTheme="minorEastAsia" w:eastAsiaTheme="minorEastAsia"/>
          <w:u w:val="single"/>
        </w:rPr>
        <w:t>日</w:t>
      </w:r>
      <w:r>
        <w:rPr>
          <w:rFonts w:asciiTheme="minorEastAsia" w:hAnsiTheme="minorEastAsia" w:eastAsiaTheme="minorEastAsia"/>
          <w:u w:val="single"/>
        </w:rPr>
        <w:t>09</w:t>
      </w:r>
      <w:r>
        <w:rPr>
          <w:rFonts w:hint="eastAsia" w:asciiTheme="minorEastAsia" w:hAnsiTheme="minorEastAsia" w:eastAsiaTheme="minorEastAsia"/>
          <w:u w:val="single"/>
        </w:rPr>
        <w:t>时</w:t>
      </w:r>
      <w:r>
        <w:rPr>
          <w:rFonts w:asciiTheme="minorEastAsia" w:hAnsiTheme="minorEastAsia" w:eastAsiaTheme="minorEastAsia"/>
          <w:u w:val="single"/>
        </w:rPr>
        <w:t>40</w:t>
      </w:r>
      <w:r>
        <w:rPr>
          <w:rFonts w:hint="eastAsia" w:asciiTheme="minorEastAsia" w:hAnsiTheme="minorEastAsia" w:eastAsiaTheme="minorEastAsia"/>
          <w:u w:val="single"/>
        </w:rPr>
        <w:t>分（北京时间）</w:t>
      </w:r>
      <w:r>
        <w:rPr>
          <w:rFonts w:hint="eastAsia" w:asciiTheme="minorEastAsia" w:hAnsiTheme="minorEastAsia" w:eastAsiaTheme="minorEastAsia"/>
        </w:rPr>
        <w:t>前递交投标文件。</w:t>
      </w:r>
    </w:p>
    <w:p>
      <w:pPr>
        <w:adjustRightInd w:val="0"/>
        <w:snapToGrid w:val="0"/>
        <w:spacing w:line="360" w:lineRule="auto"/>
        <w:rPr>
          <w:rFonts w:asciiTheme="minorEastAsia" w:hAnsiTheme="minorEastAsia" w:eastAsiaTheme="minorEastAsia"/>
          <w:b/>
        </w:rPr>
      </w:pPr>
      <w:bookmarkStart w:id="7" w:name="_Toc436924061"/>
      <w:bookmarkStart w:id="8" w:name="_Toc435777878"/>
      <w:bookmarkStart w:id="9" w:name="_Toc430096430"/>
      <w:bookmarkStart w:id="10" w:name="_Toc430096724"/>
      <w:bookmarkStart w:id="11" w:name="_Toc436952190"/>
      <w:bookmarkStart w:id="12" w:name="_Toc430619799"/>
      <w:bookmarkStart w:id="13" w:name="_Toc434826811"/>
      <w:bookmarkStart w:id="14" w:name="_Toc430595281"/>
      <w:bookmarkStart w:id="15" w:name="_Toc428893982"/>
      <w:bookmarkStart w:id="16" w:name="_Toc426009717"/>
      <w:bookmarkStart w:id="17" w:name="_Toc426010829"/>
      <w:bookmarkStart w:id="18" w:name="_Toc434827208"/>
      <w:bookmarkStart w:id="19" w:name="_Toc426011930"/>
      <w:bookmarkStart w:id="20" w:name="_Toc430093581"/>
      <w:bookmarkStart w:id="21" w:name="_Toc426009349"/>
      <w:bookmarkStart w:id="22" w:name="_Toc428894422"/>
      <w:bookmarkStart w:id="23" w:name="_Toc434827213"/>
      <w:bookmarkStart w:id="24" w:name="_Toc430620505"/>
      <w:bookmarkStart w:id="25" w:name="_Toc434827912"/>
      <w:bookmarkStart w:id="26" w:name="_Toc435777488"/>
      <w:bookmarkStart w:id="27" w:name="_Toc428893179"/>
      <w:bookmarkStart w:id="28" w:name="_Toc426012297"/>
      <w:r>
        <w:rPr>
          <w:rFonts w:hint="eastAsia" w:asciiTheme="minorEastAsia" w:hAnsiTheme="minorEastAsia" w:eastAsiaTheme="minorEastAsia"/>
          <w:b/>
        </w:rPr>
        <w:t>一、项目</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r>
        <w:rPr>
          <w:rFonts w:hint="eastAsia" w:asciiTheme="minorEastAsia" w:hAnsiTheme="minorEastAsia" w:eastAsiaTheme="minorEastAsia"/>
          <w:b/>
        </w:rPr>
        <w:t>基本情况</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1、项目编号：</w:t>
      </w:r>
      <w:r>
        <w:rPr>
          <w:rFonts w:asciiTheme="minorEastAsia" w:hAnsiTheme="minorEastAsia" w:eastAsiaTheme="minorEastAsia"/>
        </w:rPr>
        <w:t>NJZC-2020GK0085</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2、项目名称：南京市栖霞区餐厨废弃物处置厂项目</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asciiTheme="minorEastAsia" w:hAnsiTheme="minorEastAsia" w:eastAsiaTheme="minorEastAsia"/>
        </w:rPr>
        <w:t>3</w:t>
      </w:r>
      <w:r>
        <w:rPr>
          <w:rFonts w:hint="eastAsia" w:asciiTheme="minorEastAsia" w:hAnsiTheme="minorEastAsia" w:eastAsiaTheme="minorEastAsia"/>
        </w:rPr>
        <w:t>、采购项目预算金额：约2.48亿元。</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4、最高限价：本项目社会资本所报的餐厨废弃物综合处置单价不得高于317.56元/吨，否则其投标无效。</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asciiTheme="minorEastAsia" w:hAnsiTheme="minorEastAsia" w:eastAsiaTheme="minorEastAsia"/>
        </w:rPr>
        <w:t>5</w:t>
      </w:r>
      <w:r>
        <w:rPr>
          <w:rFonts w:hint="eastAsia" w:asciiTheme="minorEastAsia" w:hAnsiTheme="minorEastAsia" w:eastAsiaTheme="minorEastAsia"/>
        </w:rPr>
        <w:t>、采购需求：</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（1）项目地点：本项目位于南京市栖霞区龙潭，东至排洪水路、南至科港路、北至龙北大道、西至陈店路，规划总用地约40亩。</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（2）项目建设内容及规模：</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1）建设餐厨废弃物智能化收运系统和数字化管理平台；</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2）建设处理能力餐厨废弃物200吨/日+地沟油30吨/日的餐厨废弃物处置厂；</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3）建设项目范围内的配套设施。</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3）拟采购一家社会资本与政府方出资代表共同设立项目公司，项目公司负责项目范围内相关设施投融资、建设、运营维护的工作，期限届满将相关设施及权利移交给栖霞区人民政府或其指定机构。详细内容见招标文件的采购需求章节。</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（4）政府和社会资本合作模式</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asciiTheme="minorEastAsia" w:hAnsiTheme="minorEastAsia" w:eastAsiaTheme="minorEastAsia"/>
        </w:rPr>
        <w:t>1</w:t>
      </w:r>
      <w:r>
        <w:rPr>
          <w:rFonts w:hint="eastAsia" w:asciiTheme="minorEastAsia" w:hAnsiTheme="minorEastAsia" w:eastAsiaTheme="minorEastAsia"/>
        </w:rPr>
        <w:t>）运作方式：采用BOT的运作模式。</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asciiTheme="minorEastAsia" w:hAnsiTheme="minorEastAsia" w:eastAsiaTheme="minorEastAsia"/>
        </w:rPr>
        <w:t>2</w:t>
      </w:r>
      <w:r>
        <w:rPr>
          <w:rFonts w:hint="eastAsia" w:asciiTheme="minorEastAsia" w:hAnsiTheme="minorEastAsia" w:eastAsiaTheme="minorEastAsia"/>
        </w:rPr>
        <w:t>）由社会资本与政府方出资代表共同设立项目公司；项目公司注册资本为项目总投资的20%，其中政府方出资代表出资比例为5%，社会资本出资比例为95%。</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asciiTheme="minorEastAsia" w:hAnsiTheme="minorEastAsia" w:eastAsiaTheme="minorEastAsia"/>
        </w:rPr>
        <w:t>3</w:t>
      </w:r>
      <w:r>
        <w:rPr>
          <w:rFonts w:hint="eastAsia" w:asciiTheme="minorEastAsia" w:hAnsiTheme="minorEastAsia" w:eastAsiaTheme="minorEastAsia"/>
        </w:rPr>
        <w:t>）合作范围：项目公司系专门负责本项目的投融资、建设、运营维护及移交的特殊目的主体，未经实施机构书面同意不得从事本项目以外的其他任何经营活动。</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4）回报机制：本项目的回报机制为可行性缺口补助。</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6、合同履行期限：合作期限：共28年，其中建设期为1年。</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7、本项目接受联合体投标，且已经完成资格预审。</w:t>
      </w:r>
    </w:p>
    <w:p>
      <w:pPr>
        <w:adjustRightInd w:val="0"/>
        <w:snapToGrid w:val="0"/>
        <w:spacing w:line="360" w:lineRule="auto"/>
        <w:rPr>
          <w:rFonts w:asciiTheme="minorEastAsia" w:hAnsiTheme="minorEastAsia" w:eastAsiaTheme="minorEastAsia"/>
        </w:rPr>
      </w:pPr>
      <w:bookmarkStart w:id="29" w:name="_Toc430096725"/>
      <w:bookmarkStart w:id="30" w:name="_Toc426011931"/>
      <w:bookmarkStart w:id="31" w:name="_Toc430096431"/>
      <w:bookmarkStart w:id="32" w:name="_Toc426012298"/>
      <w:bookmarkStart w:id="33" w:name="_Toc430619800"/>
      <w:bookmarkStart w:id="34" w:name="_Toc430620506"/>
      <w:bookmarkStart w:id="35" w:name="_Toc434826812"/>
      <w:bookmarkStart w:id="36" w:name="_Toc426009718"/>
      <w:bookmarkStart w:id="37" w:name="_Toc430595282"/>
      <w:bookmarkStart w:id="38" w:name="_Toc426009350"/>
      <w:bookmarkStart w:id="39" w:name="_Toc428893180"/>
      <w:bookmarkStart w:id="40" w:name="_Toc430093582"/>
      <w:bookmarkStart w:id="41" w:name="_Toc428893983"/>
      <w:bookmarkStart w:id="42" w:name="_Toc426010830"/>
      <w:bookmarkStart w:id="43" w:name="_Toc428894423"/>
      <w:bookmarkStart w:id="44" w:name="_Toc436924062"/>
      <w:bookmarkStart w:id="45" w:name="_Toc434827913"/>
      <w:bookmarkStart w:id="46" w:name="_Toc434827209"/>
      <w:bookmarkStart w:id="47" w:name="_Toc436952191"/>
      <w:bookmarkStart w:id="48" w:name="_Toc434827214"/>
      <w:bookmarkStart w:id="49" w:name="_Toc435777489"/>
      <w:bookmarkStart w:id="50" w:name="_Toc435777879"/>
      <w:r>
        <w:rPr>
          <w:rFonts w:hint="eastAsia" w:asciiTheme="minorEastAsia" w:hAnsiTheme="minorEastAsia" w:eastAsiaTheme="minorEastAsia"/>
          <w:b/>
        </w:rPr>
        <w:t>二、</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Pr>
          <w:rFonts w:hint="eastAsia" w:asciiTheme="minorEastAsia" w:hAnsiTheme="minorEastAsia" w:eastAsiaTheme="minorEastAsia"/>
          <w:b/>
        </w:rPr>
        <w:t>申请人的资格要求</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本项目已经完成资格预审工作，资格预审的结果已经公告。凡通过资格预审的社会资本，皆有资格参与本项目投标。本项目不接受任何未通过资格预审的社会资本参与投标。</w:t>
      </w:r>
    </w:p>
    <w:p>
      <w:pPr>
        <w:adjustRightInd w:val="0"/>
        <w:snapToGrid w:val="0"/>
        <w:spacing w:line="360" w:lineRule="auto"/>
        <w:rPr>
          <w:rFonts w:asciiTheme="minorEastAsia" w:hAnsiTheme="minorEastAsia" w:eastAsiaTheme="minorEastAsia"/>
          <w:b/>
        </w:rPr>
      </w:pPr>
      <w:bookmarkStart w:id="51" w:name="_Toc428893984"/>
      <w:bookmarkStart w:id="52" w:name="_Toc430620507"/>
      <w:bookmarkStart w:id="53" w:name="_Toc434827210"/>
      <w:bookmarkStart w:id="54" w:name="_Toc435777880"/>
      <w:bookmarkStart w:id="55" w:name="_Toc430093583"/>
      <w:bookmarkStart w:id="56" w:name="_Toc428894424"/>
      <w:bookmarkStart w:id="57" w:name="_Toc426011932"/>
      <w:bookmarkStart w:id="58" w:name="_Toc430096726"/>
      <w:bookmarkStart w:id="59" w:name="_Toc436924063"/>
      <w:bookmarkStart w:id="60" w:name="_Toc436952192"/>
      <w:bookmarkStart w:id="61" w:name="_Toc430096432"/>
      <w:bookmarkStart w:id="62" w:name="_Toc426012299"/>
      <w:bookmarkStart w:id="63" w:name="_Toc434827914"/>
      <w:bookmarkStart w:id="64" w:name="_Toc435777490"/>
      <w:bookmarkStart w:id="65" w:name="_Toc426009351"/>
      <w:bookmarkStart w:id="66" w:name="_Toc434826813"/>
      <w:bookmarkStart w:id="67" w:name="_Toc426009719"/>
      <w:bookmarkStart w:id="68" w:name="_Toc430619801"/>
      <w:bookmarkStart w:id="69" w:name="_Toc428893181"/>
      <w:bookmarkStart w:id="70" w:name="_Toc430595283"/>
      <w:bookmarkStart w:id="71" w:name="_Toc426010831"/>
      <w:bookmarkStart w:id="72" w:name="_Toc434827215"/>
      <w:r>
        <w:rPr>
          <w:rFonts w:hint="eastAsia" w:asciiTheme="minorEastAsia" w:hAnsiTheme="minorEastAsia" w:eastAsiaTheme="minorEastAsia"/>
          <w:b/>
        </w:rPr>
        <w:t>三、</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Pr>
          <w:rFonts w:hint="eastAsia" w:asciiTheme="minorEastAsia" w:hAnsiTheme="minorEastAsia" w:eastAsiaTheme="minorEastAsia"/>
          <w:b/>
        </w:rPr>
        <w:t>获取招标文件</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时间：自本公告在“中国政府采购网”、“江苏省政府采购网”、“南京市政府采购网”和“南京市公共资源交易中心网”发布之日起至递交投标文件截止时间止。</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地点和方式：通过资格预审的社会资本请自行在“中国政府采购网”、“江苏省政府采购网”、“南京市政府采购网”或“南京市公共资源交易中心网”采购公告栏下载招标文件及相关附件(社会资本应登陆南京市公共资源交易中心用户平台进行注册登记，否则，影响中标公告发布)。</w:t>
      </w:r>
    </w:p>
    <w:p>
      <w:pPr>
        <w:tabs>
          <w:tab w:val="left" w:pos="720"/>
          <w:tab w:val="left" w:pos="2940"/>
        </w:tabs>
        <w:adjustRightInd w:val="0"/>
        <w:snapToGrid w:val="0"/>
        <w:spacing w:line="360" w:lineRule="auto"/>
        <w:ind w:left="2" w:leftChars="1" w:firstLine="420" w:firstLineChars="200"/>
        <w:rPr>
          <w:rFonts w:asciiTheme="minorEastAsia" w:hAnsiTheme="minorEastAsia" w:eastAsiaTheme="minorEastAsia"/>
        </w:rPr>
      </w:pPr>
      <w:r>
        <w:rPr>
          <w:rFonts w:hint="eastAsia" w:asciiTheme="minorEastAsia" w:hAnsiTheme="minorEastAsia" w:eastAsiaTheme="minorEastAsia"/>
        </w:rPr>
        <w:t>售价：不收取招标文件费。</w:t>
      </w:r>
    </w:p>
    <w:p>
      <w:pPr>
        <w:adjustRightInd w:val="0"/>
        <w:snapToGrid w:val="0"/>
        <w:spacing w:line="360" w:lineRule="auto"/>
        <w:rPr>
          <w:rFonts w:asciiTheme="minorEastAsia" w:hAnsiTheme="minorEastAsia" w:eastAsiaTheme="minorEastAsia"/>
          <w:b/>
        </w:rPr>
      </w:pPr>
      <w:bookmarkStart w:id="73" w:name="_Toc430096727"/>
      <w:bookmarkStart w:id="74" w:name="_Toc434826814"/>
      <w:bookmarkStart w:id="75" w:name="_Toc428894425"/>
      <w:bookmarkStart w:id="76" w:name="_Toc426012300"/>
      <w:bookmarkStart w:id="77" w:name="_Toc426011933"/>
      <w:bookmarkStart w:id="78" w:name="_Toc430096433"/>
      <w:bookmarkStart w:id="79" w:name="_Toc430619802"/>
      <w:bookmarkStart w:id="80" w:name="_Toc430093584"/>
      <w:bookmarkStart w:id="81" w:name="_Toc428893985"/>
      <w:bookmarkStart w:id="82" w:name="_Toc426010832"/>
      <w:bookmarkStart w:id="83" w:name="_Toc430620508"/>
      <w:bookmarkStart w:id="84" w:name="_Toc436952193"/>
      <w:bookmarkStart w:id="85" w:name="_Toc430595284"/>
      <w:bookmarkStart w:id="86" w:name="_Toc435777881"/>
      <w:bookmarkStart w:id="87" w:name="_Toc435777491"/>
      <w:bookmarkStart w:id="88" w:name="_Toc434827211"/>
      <w:bookmarkStart w:id="89" w:name="_Toc426009720"/>
      <w:bookmarkStart w:id="90" w:name="_Toc428893182"/>
      <w:bookmarkStart w:id="91" w:name="_Toc426009352"/>
      <w:bookmarkStart w:id="92" w:name="_Toc434827915"/>
      <w:bookmarkStart w:id="93" w:name="_Toc434827216"/>
      <w:bookmarkStart w:id="94" w:name="_Toc436924064"/>
      <w:r>
        <w:rPr>
          <w:rFonts w:hint="eastAsia" w:asciiTheme="minorEastAsia" w:hAnsiTheme="minorEastAsia" w:eastAsiaTheme="minorEastAsia"/>
          <w:b/>
        </w:rPr>
        <w:t>四、</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r>
        <w:rPr>
          <w:rFonts w:hint="eastAsia" w:asciiTheme="minorEastAsia" w:hAnsiTheme="minorEastAsia" w:eastAsiaTheme="minorEastAsia"/>
          <w:b/>
        </w:rPr>
        <w:t>提交投标文件截止时间、开标时间和地点</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投标开始时间：2020年</w:t>
      </w:r>
      <w:r>
        <w:rPr>
          <w:rFonts w:asciiTheme="minorEastAsia" w:hAnsiTheme="minorEastAsia" w:eastAsiaTheme="minorEastAsia"/>
        </w:rPr>
        <w:t>07</w:t>
      </w:r>
      <w:r>
        <w:rPr>
          <w:rFonts w:hint="eastAsia" w:asciiTheme="minorEastAsia" w:hAnsiTheme="minorEastAsia" w:eastAsiaTheme="minorEastAsia"/>
        </w:rPr>
        <w:t>月</w:t>
      </w:r>
      <w:r>
        <w:rPr>
          <w:rFonts w:asciiTheme="minorEastAsia" w:hAnsiTheme="minorEastAsia" w:eastAsiaTheme="minorEastAsia"/>
        </w:rPr>
        <w:t>10</w:t>
      </w:r>
      <w:r>
        <w:rPr>
          <w:rFonts w:hint="eastAsia" w:asciiTheme="minorEastAsia" w:hAnsiTheme="minorEastAsia" w:eastAsiaTheme="minorEastAsia"/>
        </w:rPr>
        <w:t>日09点</w:t>
      </w:r>
      <w:r>
        <w:rPr>
          <w:rFonts w:asciiTheme="minorEastAsia" w:hAnsiTheme="minorEastAsia" w:eastAsiaTheme="minorEastAsia"/>
        </w:rPr>
        <w:t>1</w:t>
      </w:r>
      <w:r>
        <w:rPr>
          <w:rFonts w:hint="eastAsia" w:asciiTheme="minorEastAsia" w:hAnsiTheme="minorEastAsia" w:eastAsiaTheme="minorEastAsia"/>
        </w:rPr>
        <w:t>0分，投标截止时间及开标时间：2020年</w:t>
      </w:r>
      <w:r>
        <w:rPr>
          <w:rFonts w:asciiTheme="minorEastAsia" w:hAnsiTheme="minorEastAsia" w:eastAsiaTheme="minorEastAsia"/>
        </w:rPr>
        <w:t>07</w:t>
      </w:r>
      <w:r>
        <w:rPr>
          <w:rFonts w:hint="eastAsia" w:asciiTheme="minorEastAsia" w:hAnsiTheme="minorEastAsia" w:eastAsiaTheme="minorEastAsia"/>
        </w:rPr>
        <w:t>月1</w:t>
      </w:r>
      <w:r>
        <w:rPr>
          <w:rFonts w:asciiTheme="minorEastAsia" w:hAnsiTheme="minorEastAsia" w:eastAsiaTheme="minorEastAsia"/>
        </w:rPr>
        <w:t>0</w:t>
      </w:r>
      <w:r>
        <w:rPr>
          <w:rFonts w:hint="eastAsia" w:asciiTheme="minorEastAsia" w:hAnsiTheme="minorEastAsia" w:eastAsiaTheme="minorEastAsia"/>
        </w:rPr>
        <w:t>日09点40分（北京时间）。</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地点：南京市江东中路265号南京市政务服务中心（南京市公共资源交易中心）一楼B区中心北门指定区域（疫情期间，每位供应商派一人携带本人身份证参与投标，请供应商配合，集中进入中心开标室）。</w:t>
      </w: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五、公告期限</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自本公告自发布之日起5个工作日。</w:t>
      </w: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六、其他补充事宜</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1、如招标文件需要修改、澄清、更正或采购事项发生变动，采购人或集中采购机构将在原公告发布媒体进行公告，各拟参加投标的社会资本在递交投标文件截止时间前注意查看“中国政府采购网”、 “江苏省政府采购网”、“南京市政府采购网”和“南京市公共资源交易中心网”采购公告栏，如未查看或未及时查看，其后果由社会资本自行承担。</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2、社会资本如确定参加投标，请如实填写《社会资本参与投标确认函》并按要求于</w:t>
      </w:r>
      <w:r>
        <w:rPr>
          <w:rFonts w:hint="eastAsia" w:asciiTheme="minorEastAsia" w:hAnsiTheme="minorEastAsia" w:eastAsiaTheme="minorEastAsia"/>
          <w:b/>
          <w:u w:val="single"/>
        </w:rPr>
        <w:t>20</w:t>
      </w:r>
      <w:r>
        <w:rPr>
          <w:rFonts w:asciiTheme="minorEastAsia" w:hAnsiTheme="minorEastAsia" w:eastAsiaTheme="minorEastAsia"/>
          <w:b/>
          <w:u w:val="single"/>
        </w:rPr>
        <w:t>20</w:t>
      </w:r>
      <w:r>
        <w:rPr>
          <w:rFonts w:hint="eastAsia" w:asciiTheme="minorEastAsia" w:hAnsiTheme="minorEastAsia" w:eastAsiaTheme="minorEastAsia"/>
          <w:b/>
        </w:rPr>
        <w:t xml:space="preserve">年 </w:t>
      </w:r>
      <w:r>
        <w:rPr>
          <w:rFonts w:asciiTheme="minorEastAsia" w:hAnsiTheme="minorEastAsia" w:eastAsiaTheme="minorEastAsia"/>
          <w:b/>
          <w:u w:val="single"/>
        </w:rPr>
        <w:t>06</w:t>
      </w:r>
      <w:r>
        <w:rPr>
          <w:rFonts w:hint="eastAsia" w:asciiTheme="minorEastAsia" w:hAnsiTheme="minorEastAsia" w:eastAsiaTheme="minorEastAsia"/>
          <w:b/>
        </w:rPr>
        <w:t>月</w:t>
      </w:r>
      <w:r>
        <w:rPr>
          <w:rFonts w:asciiTheme="minorEastAsia" w:hAnsiTheme="minorEastAsia" w:eastAsiaTheme="minorEastAsia"/>
          <w:b/>
          <w:u w:val="single"/>
        </w:rPr>
        <w:t xml:space="preserve"> </w:t>
      </w:r>
      <w:r>
        <w:rPr>
          <w:rFonts w:hint="eastAsia" w:asciiTheme="minorEastAsia" w:hAnsiTheme="minorEastAsia" w:eastAsiaTheme="minorEastAsia"/>
          <w:b/>
          <w:u w:val="single"/>
        </w:rPr>
        <w:t>30</w:t>
      </w:r>
      <w:r>
        <w:rPr>
          <w:rFonts w:asciiTheme="minorEastAsia" w:hAnsiTheme="minorEastAsia" w:eastAsiaTheme="minorEastAsia"/>
          <w:b/>
          <w:u w:val="single"/>
        </w:rPr>
        <w:t xml:space="preserve"> </w:t>
      </w:r>
      <w:r>
        <w:rPr>
          <w:rFonts w:hint="eastAsia" w:asciiTheme="minorEastAsia" w:hAnsiTheme="minorEastAsia" w:eastAsiaTheme="minorEastAsia"/>
          <w:b/>
        </w:rPr>
        <w:t>日</w:t>
      </w:r>
      <w:r>
        <w:rPr>
          <w:rFonts w:hint="eastAsia" w:asciiTheme="minorEastAsia" w:hAnsiTheme="minorEastAsia" w:eastAsiaTheme="minorEastAsia"/>
        </w:rPr>
        <w:t>前电子邮件和传真回复(电子邮箱：</w:t>
      </w:r>
      <w:r>
        <w:rPr>
          <w:rFonts w:asciiTheme="minorEastAsia" w:hAnsiTheme="minorEastAsia" w:eastAsiaTheme="minorEastAsia"/>
          <w:b/>
          <w:bCs/>
          <w:u w:val="single"/>
        </w:rPr>
        <w:t>418973230@qq.com</w:t>
      </w:r>
      <w:r>
        <w:rPr>
          <w:rFonts w:hint="eastAsia" w:asciiTheme="minorEastAsia" w:hAnsiTheme="minorEastAsia" w:eastAsiaTheme="minorEastAsia"/>
        </w:rPr>
        <w:t>；传真号码：</w:t>
      </w:r>
      <w:r>
        <w:rPr>
          <w:rFonts w:asciiTheme="minorEastAsia" w:hAnsiTheme="minorEastAsia" w:eastAsiaTheme="minorEastAsia"/>
          <w:b/>
          <w:bCs/>
          <w:u w:val="single"/>
        </w:rPr>
        <w:t>025-86510582</w:t>
      </w:r>
      <w:r>
        <w:rPr>
          <w:rFonts w:hint="eastAsia" w:asciiTheme="minorEastAsia" w:hAnsiTheme="minorEastAsia" w:eastAsiaTheme="minorEastAsia"/>
        </w:rPr>
        <w:t>)。如社会资本未按上述要求发函，其投标文件有可能被拒绝。</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《社会资本参与投标确认函》格式如下：</w:t>
      </w:r>
    </w:p>
    <w:p>
      <w:pPr>
        <w:adjustRightInd w:val="0"/>
        <w:snapToGrid w:val="0"/>
        <w:spacing w:line="360" w:lineRule="auto"/>
        <w:ind w:firstLine="420" w:firstLineChars="200"/>
        <w:jc w:val="center"/>
        <w:rPr>
          <w:rFonts w:asciiTheme="minorEastAsia" w:hAnsiTheme="minorEastAsia" w:eastAsiaTheme="minorEastAsia"/>
        </w:rPr>
      </w:pPr>
      <w:r>
        <w:rPr>
          <w:rFonts w:hint="eastAsia" w:asciiTheme="minorEastAsia" w:hAnsiTheme="minorEastAsia" w:eastAsiaTheme="minorEastAsia"/>
        </w:rPr>
        <w:t>社会资本参与投标确认函</w:t>
      </w:r>
    </w:p>
    <w:p>
      <w:pPr>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南京市公共资源交易中心：</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本单位将参与南京市栖霞区餐厨废弃物处置厂项目的投标，并已从“南京市公共资源交易中心网”下载了该项目招标文件及相关附件，特发函确认。</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单位名称(盖单位公章)：</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代理人：   联系电话：</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20</w:t>
      </w:r>
      <w:r>
        <w:rPr>
          <w:rFonts w:asciiTheme="minorEastAsia" w:hAnsiTheme="minorEastAsia" w:eastAsiaTheme="minorEastAsia"/>
        </w:rPr>
        <w:t>20</w:t>
      </w:r>
      <w:r>
        <w:rPr>
          <w:rFonts w:hint="eastAsia" w:asciiTheme="minorEastAsia" w:hAnsiTheme="minorEastAsia" w:eastAsiaTheme="minorEastAsia"/>
        </w:rPr>
        <w:t>年  月  日</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注：若社会资本为联合体，则由联合体牵头方填写《社会资本参与投标确认函》并按要求传真回复。</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3、投标文件份数：正本份数：</w:t>
      </w:r>
      <w:r>
        <w:rPr>
          <w:rFonts w:asciiTheme="minorEastAsia" w:hAnsiTheme="minorEastAsia" w:eastAsiaTheme="minorEastAsia"/>
        </w:rPr>
        <w:t>1</w:t>
      </w:r>
      <w:r>
        <w:rPr>
          <w:rFonts w:hint="eastAsia" w:asciiTheme="minorEastAsia" w:hAnsiTheme="minorEastAsia" w:eastAsiaTheme="minorEastAsia"/>
        </w:rPr>
        <w:t>份，副本份数：6份，电子版一套（</w:t>
      </w:r>
      <w:r>
        <w:rPr>
          <w:rFonts w:asciiTheme="minorEastAsia" w:hAnsiTheme="minorEastAsia" w:eastAsiaTheme="minorEastAsia"/>
        </w:rPr>
        <w:t>U</w:t>
      </w:r>
      <w:r>
        <w:rPr>
          <w:rFonts w:hint="eastAsia" w:asciiTheme="minorEastAsia" w:hAnsiTheme="minorEastAsia" w:eastAsiaTheme="minorEastAsia"/>
        </w:rPr>
        <w:t>盘）。</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4、投标保证金</w:t>
      </w:r>
      <w:bookmarkEnd w:id="5"/>
      <w:bookmarkEnd w:id="6"/>
      <w:bookmarkStart w:id="95" w:name="_Toc426009726"/>
      <w:bookmarkStart w:id="96" w:name="_Toc426012306"/>
      <w:bookmarkStart w:id="97" w:name="_Toc426009358"/>
      <w:bookmarkStart w:id="98" w:name="_Toc426011939"/>
      <w:bookmarkStart w:id="99" w:name="_Toc426010838"/>
      <w:r>
        <w:rPr>
          <w:rFonts w:hint="eastAsia" w:asciiTheme="minorEastAsia" w:hAnsiTheme="minorEastAsia" w:eastAsiaTheme="minorEastAsia"/>
        </w:rPr>
        <w:t>：本项目投标不需要缴纳投标保证金。</w:t>
      </w:r>
    </w:p>
    <w:p>
      <w:pPr>
        <w:adjustRightInd w:val="0"/>
        <w:snapToGrid w:val="0"/>
        <w:spacing w:line="360" w:lineRule="auto"/>
        <w:ind w:firstLine="420" w:firstLineChars="200"/>
        <w:rPr>
          <w:rFonts w:asciiTheme="minorEastAsia" w:hAnsiTheme="minorEastAsia" w:eastAsiaTheme="minorEastAsia"/>
        </w:rPr>
      </w:pPr>
      <w:r>
        <w:rPr>
          <w:rFonts w:asciiTheme="minorEastAsia" w:hAnsiTheme="minorEastAsia" w:eastAsiaTheme="minorEastAsia"/>
        </w:rPr>
        <w:t>5</w:t>
      </w:r>
      <w:r>
        <w:rPr>
          <w:rFonts w:hint="eastAsia" w:asciiTheme="minorEastAsia" w:hAnsiTheme="minorEastAsia" w:eastAsiaTheme="minorEastAsia"/>
        </w:rPr>
        <w:t>、供应商诚信档案</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获取招标文件，但必须在提交投标文件截止日两天前办理。</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供应商参加本次政府采购活动时，在招标文件发布之日起至递交投标文件截止日前，应先登录“信用南京”在线打印其“南京市政府采购供应商信用记录表”，经法定代表人签字、加盖单位公章后作为投标文件的组成部分，“南京市政府采购供应商信用记录表”是参加本次政府采购活动的必备材料。</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lang w:val="en-US" w:eastAsia="zh-CN"/>
        </w:rPr>
        <w:t>6</w:t>
      </w:r>
      <w:r>
        <w:rPr>
          <w:rFonts w:hint="eastAsia" w:asciiTheme="minorEastAsia" w:hAnsiTheme="minorEastAsia" w:eastAsiaTheme="minorEastAsia"/>
        </w:rPr>
        <w:t>.供应商应登陆南京市公共资源交易平台（http://njggzy.nanjing.gov.cn/njweb/）注册登记，否则，影响发布中</w:t>
      </w:r>
      <w:bookmarkStart w:id="527" w:name="_GoBack"/>
      <w:bookmarkEnd w:id="527"/>
      <w:r>
        <w:rPr>
          <w:rFonts w:hint="eastAsia" w:asciiTheme="minorEastAsia" w:hAnsiTheme="minorEastAsia" w:eastAsiaTheme="minorEastAsia"/>
        </w:rPr>
        <w:t>标结果公告。</w:t>
      </w:r>
    </w:p>
    <w:p>
      <w:pPr>
        <w:adjustRightInd w:val="0"/>
        <w:snapToGrid w:val="0"/>
        <w:spacing w:line="360" w:lineRule="auto"/>
        <w:rPr>
          <w:rFonts w:asciiTheme="minorEastAsia" w:hAnsiTheme="minorEastAsia" w:eastAsiaTheme="minorEastAsia"/>
          <w:b/>
        </w:rPr>
      </w:pPr>
      <w:bookmarkStart w:id="100" w:name="_Toc426009723"/>
      <w:bookmarkStart w:id="101" w:name="_Toc426009355"/>
      <w:bookmarkStart w:id="102" w:name="_Toc426011936"/>
      <w:bookmarkStart w:id="103" w:name="_Toc426012303"/>
      <w:bookmarkStart w:id="104" w:name="_Toc428893185"/>
      <w:bookmarkStart w:id="105" w:name="_Toc426010835"/>
      <w:bookmarkStart w:id="106" w:name="_Toc436924067"/>
      <w:bookmarkStart w:id="107" w:name="_Toc430096730"/>
      <w:bookmarkStart w:id="108" w:name="_Toc434827918"/>
      <w:bookmarkStart w:id="109" w:name="_Toc430595287"/>
      <w:bookmarkStart w:id="110" w:name="_Toc434826817"/>
      <w:bookmarkStart w:id="111" w:name="_Toc430619805"/>
      <w:bookmarkStart w:id="112" w:name="_Toc430093587"/>
      <w:bookmarkStart w:id="113" w:name="_Toc430620511"/>
      <w:bookmarkStart w:id="114" w:name="_Toc434827219"/>
      <w:bookmarkStart w:id="115" w:name="_Toc430096436"/>
      <w:bookmarkStart w:id="116" w:name="_Toc434827484"/>
      <w:bookmarkStart w:id="117" w:name="_Toc435777494"/>
      <w:bookmarkStart w:id="118" w:name="_Toc428894428"/>
      <w:bookmarkStart w:id="119" w:name="_Toc435777884"/>
      <w:bookmarkStart w:id="120" w:name="_Toc428893988"/>
      <w:bookmarkStart w:id="121" w:name="_Toc436952196"/>
      <w:r>
        <w:rPr>
          <w:rFonts w:hint="eastAsia" w:asciiTheme="minorEastAsia" w:hAnsiTheme="minorEastAsia" w:eastAsiaTheme="minorEastAsia"/>
          <w:b/>
        </w:rPr>
        <w:t>七、对本次招标提出询问，请按以下方式</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pPr>
        <w:adjustRightInd w:val="0"/>
        <w:snapToGrid w:val="0"/>
        <w:spacing w:line="360" w:lineRule="auto"/>
        <w:ind w:firstLine="420" w:firstLineChars="200"/>
        <w:rPr>
          <w:rFonts w:ascii="宋体" w:hAnsi="宋体"/>
        </w:rPr>
      </w:pPr>
      <w:r>
        <w:rPr>
          <w:rFonts w:hint="eastAsia" w:ascii="宋体" w:hAnsi="宋体"/>
        </w:rPr>
        <w:t>1、采购人信息</w:t>
      </w:r>
    </w:p>
    <w:p>
      <w:pPr>
        <w:adjustRightInd w:val="0"/>
        <w:snapToGrid w:val="0"/>
        <w:spacing w:line="360" w:lineRule="auto"/>
        <w:ind w:firstLine="420" w:firstLineChars="200"/>
        <w:rPr>
          <w:rFonts w:ascii="宋体" w:hAnsi="宋体"/>
        </w:rPr>
      </w:pPr>
      <w:r>
        <w:rPr>
          <w:rFonts w:hint="eastAsia" w:ascii="宋体" w:hAnsi="宋体"/>
        </w:rPr>
        <w:t>名称：南京市栖霞区城市管理局</w:t>
      </w:r>
    </w:p>
    <w:p>
      <w:pPr>
        <w:adjustRightInd w:val="0"/>
        <w:snapToGrid w:val="0"/>
        <w:spacing w:line="360" w:lineRule="auto"/>
        <w:ind w:firstLine="420" w:firstLineChars="200"/>
        <w:rPr>
          <w:rFonts w:ascii="宋体" w:hAnsi="宋体"/>
        </w:rPr>
      </w:pPr>
      <w:r>
        <w:rPr>
          <w:rFonts w:hint="eastAsia" w:ascii="宋体" w:hAnsi="宋体"/>
        </w:rPr>
        <w:t>地址：南京市栖霞区文成路1号</w:t>
      </w:r>
    </w:p>
    <w:p>
      <w:pPr>
        <w:adjustRightInd w:val="0"/>
        <w:snapToGrid w:val="0"/>
        <w:spacing w:line="360" w:lineRule="auto"/>
        <w:ind w:firstLine="420" w:firstLineChars="200"/>
        <w:rPr>
          <w:rFonts w:ascii="宋体" w:hAnsi="宋体"/>
        </w:rPr>
      </w:pPr>
      <w:r>
        <w:rPr>
          <w:rFonts w:hint="eastAsia" w:ascii="宋体" w:hAnsi="宋体"/>
        </w:rPr>
        <w:t>联系人：黄毅；联系电话：025-85580430</w:t>
      </w:r>
    </w:p>
    <w:p>
      <w:pPr>
        <w:adjustRightInd w:val="0"/>
        <w:snapToGrid w:val="0"/>
        <w:spacing w:line="360" w:lineRule="auto"/>
        <w:ind w:firstLine="420" w:firstLineChars="200"/>
        <w:rPr>
          <w:rFonts w:ascii="宋体" w:hAnsi="宋体"/>
        </w:rPr>
      </w:pPr>
      <w:r>
        <w:rPr>
          <w:rFonts w:hint="eastAsia" w:ascii="宋体" w:hAnsi="宋体"/>
        </w:rPr>
        <w:t>2、采购代理机构信息</w:t>
      </w:r>
    </w:p>
    <w:p>
      <w:pPr>
        <w:adjustRightInd w:val="0"/>
        <w:snapToGrid w:val="0"/>
        <w:spacing w:line="360" w:lineRule="auto"/>
        <w:ind w:firstLine="420" w:firstLineChars="200"/>
        <w:rPr>
          <w:rFonts w:ascii="宋体" w:hAnsi="宋体"/>
        </w:rPr>
      </w:pPr>
      <w:r>
        <w:rPr>
          <w:rFonts w:hint="eastAsia" w:ascii="宋体" w:hAnsi="宋体"/>
        </w:rPr>
        <w:t>名称：南京市公共资源交易中心</w:t>
      </w:r>
    </w:p>
    <w:p>
      <w:pPr>
        <w:adjustRightInd w:val="0"/>
        <w:snapToGrid w:val="0"/>
        <w:spacing w:line="360" w:lineRule="auto"/>
        <w:ind w:firstLine="420" w:firstLineChars="200"/>
        <w:rPr>
          <w:rFonts w:ascii="宋体" w:hAnsi="宋体"/>
        </w:rPr>
      </w:pPr>
      <w:r>
        <w:rPr>
          <w:rFonts w:hint="eastAsia" w:ascii="宋体" w:hAnsi="宋体"/>
        </w:rPr>
        <w:t>地址：南京市建邺区江东中路265号南京市公共资源交易中心</w:t>
      </w:r>
    </w:p>
    <w:p>
      <w:pPr>
        <w:adjustRightInd w:val="0"/>
        <w:snapToGrid w:val="0"/>
        <w:spacing w:line="360" w:lineRule="auto"/>
        <w:ind w:firstLine="420" w:firstLineChars="200"/>
        <w:rPr>
          <w:rFonts w:ascii="宋体" w:hAnsi="宋体"/>
        </w:rPr>
      </w:pPr>
      <w:r>
        <w:rPr>
          <w:rFonts w:hint="eastAsia" w:ascii="宋体" w:hAnsi="宋体"/>
        </w:rPr>
        <w:t>联系人：马健；联系电话：025-68505916</w:t>
      </w:r>
    </w:p>
    <w:p>
      <w:pPr>
        <w:adjustRightInd w:val="0"/>
        <w:snapToGrid w:val="0"/>
        <w:spacing w:line="360" w:lineRule="auto"/>
        <w:ind w:firstLine="420" w:firstLineChars="200"/>
        <w:rPr>
          <w:rFonts w:ascii="宋体" w:hAnsi="宋体"/>
        </w:rPr>
      </w:pPr>
      <w:r>
        <w:rPr>
          <w:rFonts w:hint="eastAsia" w:ascii="宋体" w:hAnsi="宋体"/>
        </w:rPr>
        <w:t>3、项目联系方式</w:t>
      </w:r>
    </w:p>
    <w:p>
      <w:pPr>
        <w:adjustRightInd w:val="0"/>
        <w:snapToGrid w:val="0"/>
        <w:spacing w:line="360" w:lineRule="auto"/>
        <w:ind w:firstLine="420" w:firstLineChars="200"/>
        <w:rPr>
          <w:rFonts w:ascii="宋体" w:hAnsi="宋体"/>
        </w:rPr>
      </w:pPr>
      <w:r>
        <w:rPr>
          <w:rFonts w:hint="eastAsia" w:ascii="宋体" w:hAnsi="宋体"/>
        </w:rPr>
        <w:t>项目联系人：黄毅</w:t>
      </w:r>
    </w:p>
    <w:p>
      <w:pPr>
        <w:adjustRightInd w:val="0"/>
        <w:snapToGrid w:val="0"/>
        <w:spacing w:line="360" w:lineRule="auto"/>
        <w:ind w:firstLine="420" w:firstLineChars="200"/>
        <w:rPr>
          <w:rFonts w:ascii="宋体" w:hAnsi="宋体"/>
        </w:rPr>
      </w:pPr>
      <w:r>
        <w:rPr>
          <w:rFonts w:hint="eastAsia" w:ascii="宋体" w:hAnsi="宋体"/>
        </w:rPr>
        <w:t>电话：025-85580430</w:t>
      </w:r>
    </w:p>
    <w:p>
      <w:pPr>
        <w:adjustRightInd w:val="0"/>
        <w:snapToGrid w:val="0"/>
        <w:spacing w:line="360" w:lineRule="auto"/>
        <w:ind w:firstLine="420" w:firstLineChars="200"/>
        <w:rPr>
          <w:rFonts w:ascii="宋体" w:hAnsi="宋体"/>
        </w:rPr>
      </w:pPr>
      <w:r>
        <w:rPr>
          <w:rFonts w:hint="eastAsia" w:ascii="宋体" w:hAnsi="宋体"/>
        </w:rPr>
        <w:t>4、咨询机构信息</w:t>
      </w:r>
    </w:p>
    <w:p>
      <w:pPr>
        <w:adjustRightInd w:val="0"/>
        <w:snapToGrid w:val="0"/>
        <w:spacing w:line="360" w:lineRule="auto"/>
        <w:ind w:firstLine="420" w:firstLineChars="200"/>
        <w:rPr>
          <w:rFonts w:ascii="宋体" w:hAnsi="宋体"/>
        </w:rPr>
      </w:pPr>
      <w:r>
        <w:rPr>
          <w:rFonts w:hint="eastAsia" w:ascii="宋体" w:hAnsi="宋体"/>
        </w:rPr>
        <w:t>名称：江苏全成工程造价咨询有限公司</w:t>
      </w:r>
    </w:p>
    <w:p>
      <w:pPr>
        <w:adjustRightInd w:val="0"/>
        <w:snapToGrid w:val="0"/>
        <w:spacing w:line="360" w:lineRule="auto"/>
        <w:ind w:firstLine="420" w:firstLineChars="200"/>
        <w:rPr>
          <w:rFonts w:ascii="宋体" w:hAnsi="宋体"/>
        </w:rPr>
      </w:pPr>
      <w:r>
        <w:rPr>
          <w:rFonts w:hint="eastAsia" w:ascii="宋体" w:hAnsi="宋体"/>
        </w:rPr>
        <w:t>联系人：马杰；联系电话：025-83248662-8025</w:t>
      </w:r>
    </w:p>
    <w:p>
      <w:pPr>
        <w:widowControl/>
        <w:jc w:val="left"/>
        <w:rPr>
          <w:rFonts w:asciiTheme="minorEastAsia" w:hAnsiTheme="minorEastAsia" w:eastAsiaTheme="minorEastAsia"/>
          <w:b/>
          <w:bCs/>
          <w:kern w:val="0"/>
          <w:sz w:val="28"/>
          <w:szCs w:val="28"/>
        </w:rPr>
      </w:pPr>
      <w:bookmarkStart w:id="122" w:name="_Toc435777887"/>
      <w:bookmarkStart w:id="123" w:name="_Toc436924070"/>
      <w:bookmarkStart w:id="124" w:name="_Toc428893188"/>
      <w:bookmarkStart w:id="125" w:name="_Toc434826820"/>
      <w:bookmarkStart w:id="126" w:name="_Toc434827487"/>
      <w:bookmarkStart w:id="127" w:name="_Toc436952199"/>
      <w:bookmarkStart w:id="128" w:name="_Toc430096439"/>
      <w:bookmarkStart w:id="129" w:name="_Toc434827921"/>
      <w:bookmarkStart w:id="130" w:name="_Toc430096733"/>
      <w:bookmarkStart w:id="131" w:name="_Toc428893991"/>
      <w:bookmarkStart w:id="132" w:name="_Toc430093590"/>
      <w:bookmarkStart w:id="133" w:name="_Toc435777497"/>
      <w:bookmarkStart w:id="134" w:name="_Toc434827222"/>
      <w:bookmarkStart w:id="135" w:name="_Toc430619808"/>
      <w:bookmarkStart w:id="136" w:name="_Toc430620514"/>
      <w:bookmarkStart w:id="137" w:name="_Toc455565182"/>
      <w:bookmarkStart w:id="138" w:name="_Toc428894431"/>
      <w:r>
        <w:rPr>
          <w:rFonts w:asciiTheme="minorEastAsia" w:hAnsiTheme="minorEastAsia" w:eastAsiaTheme="minorEastAsia"/>
          <w:b/>
          <w:bCs/>
          <w:kern w:val="0"/>
          <w:sz w:val="28"/>
          <w:szCs w:val="28"/>
        </w:rPr>
        <w:br w:type="page"/>
      </w:r>
    </w:p>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139" w:name="_Toc529805770"/>
      <w:r>
        <w:rPr>
          <w:rFonts w:hint="eastAsia" w:asciiTheme="minorEastAsia" w:hAnsiTheme="minorEastAsia" w:eastAsiaTheme="minorEastAsia"/>
          <w:b/>
          <w:sz w:val="28"/>
          <w:szCs w:val="28"/>
        </w:rPr>
        <w:t>社会资本须知</w:t>
      </w:r>
      <w:bookmarkEnd w:id="95"/>
      <w:bookmarkEnd w:id="96"/>
      <w:bookmarkEnd w:id="97"/>
      <w:bookmarkEnd w:id="98"/>
      <w:bookmarkEnd w:id="99"/>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40" w:name="_Toc529805771"/>
      <w:r>
        <w:rPr>
          <w:rFonts w:hint="eastAsia" w:asciiTheme="minorEastAsia" w:hAnsiTheme="minorEastAsia" w:eastAsiaTheme="minorEastAsia"/>
          <w:b/>
          <w:sz w:val="28"/>
          <w:szCs w:val="28"/>
        </w:rPr>
        <w:t>说  明</w:t>
      </w:r>
      <w:bookmarkEnd w:id="140"/>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1" w:name="_Toc529805772"/>
      <w:r>
        <w:rPr>
          <w:rFonts w:hint="eastAsia" w:asciiTheme="minorEastAsia" w:hAnsiTheme="minorEastAsia" w:eastAsiaTheme="minorEastAsia"/>
          <w:b/>
        </w:rPr>
        <w:t>定义与解释</w:t>
      </w:r>
      <w:bookmarkEnd w:id="141"/>
    </w:p>
    <w:p>
      <w:pPr>
        <w:pStyle w:val="118"/>
        <w:numPr>
          <w:ilvl w:val="0"/>
          <w:numId w:val="8"/>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定义</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采购人</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指南京市栖霞区城市管理局。</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集中采购机构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指南京市公共资源交易中心。</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指已通过资格预审，并参加本项目下一步投标的企业法人，也称为“投标人”、“供应商”。</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候选社会资本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指根据本须知第</w:t>
      </w:r>
      <w:r>
        <w:fldChar w:fldCharType="begin"/>
      </w:r>
      <w:r>
        <w:instrText xml:space="preserve"> REF _Ref494370252 \r \h  \* MERGEFORMAT </w:instrText>
      </w:r>
      <w:r>
        <w:fldChar w:fldCharType="separate"/>
      </w:r>
      <w:r>
        <w:rPr>
          <w:rFonts w:asciiTheme="minorEastAsia" w:hAnsiTheme="minorEastAsia" w:eastAsiaTheme="minorEastAsia"/>
        </w:rPr>
        <w:t>35</w:t>
      </w:r>
      <w:r>
        <w:rPr>
          <w:rFonts w:asciiTheme="minorEastAsia" w:hAnsiTheme="minorEastAsia" w:eastAsiaTheme="minorEastAsia"/>
        </w:rPr>
        <w:fldChar w:fldCharType="end"/>
      </w:r>
      <w:r>
        <w:rPr>
          <w:rFonts w:hint="eastAsia" w:asciiTheme="minorEastAsia" w:hAnsiTheme="minorEastAsia" w:eastAsiaTheme="minorEastAsia"/>
        </w:rPr>
        <w:t>条选定的、最具竞争力的前三家社会资本。</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预中标社会资本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指按照本须知第</w:t>
      </w:r>
      <w:r>
        <w:fldChar w:fldCharType="begin"/>
      </w:r>
      <w:r>
        <w:instrText xml:space="preserve"> REF _Ref494370462 \r \h  \* MERGEFORMAT </w:instrText>
      </w:r>
      <w:r>
        <w:fldChar w:fldCharType="separate"/>
      </w:r>
      <w:r>
        <w:rPr>
          <w:rFonts w:asciiTheme="minorEastAsia" w:hAnsiTheme="minorEastAsia" w:eastAsiaTheme="minorEastAsia"/>
        </w:rPr>
        <w:t>36</w:t>
      </w:r>
      <w:r>
        <w:rPr>
          <w:rFonts w:asciiTheme="minorEastAsia" w:hAnsiTheme="minorEastAsia" w:eastAsiaTheme="minorEastAsia"/>
        </w:rPr>
        <w:fldChar w:fldCharType="end"/>
      </w:r>
      <w:r>
        <w:rPr>
          <w:rFonts w:hint="eastAsia" w:asciiTheme="minorEastAsia" w:hAnsiTheme="minorEastAsia" w:eastAsiaTheme="minorEastAsia"/>
        </w:rPr>
        <w:t>条的规定，在采购结果确认谈判中率先达成一致的候选社会资本。</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指按照本须知第</w:t>
      </w:r>
      <w:r>
        <w:fldChar w:fldCharType="begin"/>
      </w:r>
      <w:r>
        <w:instrText xml:space="preserve"> REF _Ref494370489 \r \h  \* MERGEFORMAT </w:instrText>
      </w:r>
      <w:r>
        <w:fldChar w:fldCharType="separate"/>
      </w:r>
      <w:r>
        <w:rPr>
          <w:rFonts w:asciiTheme="minorEastAsia" w:hAnsiTheme="minorEastAsia" w:eastAsiaTheme="minorEastAsia"/>
        </w:rPr>
        <w:t>38</w:t>
      </w:r>
      <w:r>
        <w:rPr>
          <w:rFonts w:asciiTheme="minorEastAsia" w:hAnsiTheme="minorEastAsia" w:eastAsiaTheme="minorEastAsia"/>
        </w:rPr>
        <w:fldChar w:fldCharType="end"/>
      </w:r>
      <w:r>
        <w:rPr>
          <w:rFonts w:hint="eastAsia" w:asciiTheme="minorEastAsia" w:hAnsiTheme="minorEastAsia" w:eastAsiaTheme="minorEastAsia"/>
        </w:rPr>
        <w:t>条规定，预中标社会资本在预中标结果公示期满且无异议后即被定为中标社会资本。</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政府方出资代表</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指将来与中标社会资本共同出资设立项目公司的单位。</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项目公司</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指本项目的中标社会资本依据《公司法》、项目协议的约定在项目所在地设立的、具有独立法人资格的有限责任公司。</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提交截止时间</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指社会资本向集中采购机构提交投标文件的截止时间,详见本招标文件招标公告。</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bookmarkStart w:id="142" w:name="_Ref494371003"/>
      <w:r>
        <w:rPr>
          <w:rFonts w:hint="eastAsia" w:asciiTheme="minorEastAsia" w:hAnsiTheme="minorEastAsia" w:eastAsiaTheme="minorEastAsia"/>
          <w:b/>
        </w:rPr>
        <w:t>投标有效期</w:t>
      </w:r>
      <w:bookmarkEnd w:id="142"/>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自提交截止时间起12个月，社会资本可应集中采购机构的书面要求延长投标文件的有效期。</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招标文件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指本须知第</w:t>
      </w:r>
      <w:r>
        <w:fldChar w:fldCharType="begin"/>
      </w:r>
      <w:r>
        <w:instrText xml:space="preserve"> REF _Ref494370550 \r \h  \* MERGEFORMAT </w:instrText>
      </w:r>
      <w:r>
        <w:fldChar w:fldCharType="separate"/>
      </w:r>
      <w:r>
        <w:rPr>
          <w:rFonts w:asciiTheme="minorEastAsia" w:hAnsiTheme="minorEastAsia" w:eastAsiaTheme="minorEastAsia"/>
        </w:rPr>
        <w:t>6</w:t>
      </w:r>
      <w:r>
        <w:rPr>
          <w:rFonts w:asciiTheme="minorEastAsia" w:hAnsiTheme="minorEastAsia" w:eastAsiaTheme="minorEastAsia"/>
        </w:rPr>
        <w:fldChar w:fldCharType="end"/>
      </w:r>
      <w:r>
        <w:rPr>
          <w:rFonts w:hint="eastAsia" w:asciiTheme="minorEastAsia" w:hAnsiTheme="minorEastAsia" w:eastAsiaTheme="minorEastAsia"/>
        </w:rPr>
        <w:t>条所列的文件及其所有的澄清公告或澄清文件。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项目协议</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项目协议是指本项目的《合作协议》、《项目合同》、《承继协议》、《股东协议》和《公司章程》的总称。</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合作期限</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本项目合作期限共计</w:t>
      </w:r>
      <w:r>
        <w:rPr>
          <w:rFonts w:asciiTheme="minorEastAsia" w:hAnsiTheme="minorEastAsia" w:eastAsiaTheme="minorEastAsia"/>
        </w:rPr>
        <w:t>28</w:t>
      </w:r>
      <w:r>
        <w:rPr>
          <w:rFonts w:hint="eastAsia" w:asciiTheme="minorEastAsia" w:hAnsiTheme="minorEastAsia" w:eastAsiaTheme="minorEastAsia"/>
        </w:rPr>
        <w:t>年，包括建设期</w:t>
      </w:r>
      <w:r>
        <w:rPr>
          <w:rFonts w:asciiTheme="minorEastAsia" w:hAnsiTheme="minorEastAsia" w:eastAsiaTheme="minorEastAsia"/>
        </w:rPr>
        <w:t>1</w:t>
      </w:r>
      <w:r>
        <w:rPr>
          <w:rFonts w:hint="eastAsia" w:asciiTheme="minorEastAsia" w:hAnsiTheme="minorEastAsia" w:eastAsiaTheme="minorEastAsia"/>
        </w:rPr>
        <w:t>年、运营期</w:t>
      </w:r>
      <w:r>
        <w:rPr>
          <w:rFonts w:asciiTheme="minorEastAsia" w:hAnsiTheme="minorEastAsia" w:eastAsiaTheme="minorEastAsia"/>
        </w:rPr>
        <w:t>2</w:t>
      </w:r>
      <w:r>
        <w:rPr>
          <w:rFonts w:hint="eastAsia" w:asciiTheme="minorEastAsia" w:hAnsiTheme="minorEastAsia" w:eastAsiaTheme="minorEastAsia"/>
        </w:rPr>
        <w:t>7年。</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融资机构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指将为本项目提供资金的银行或其他金融机构。</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指社会资本在提交截止时间前提交的、由其根据本须知要求准备的有关本项目的申请文件，以及经集中采购机构随时要求而提供的书面澄清和补充文件。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投标文件综述</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 xml:space="preserve">指社会资本按照本须知 </w:t>
      </w:r>
      <w:r>
        <w:fldChar w:fldCharType="begin"/>
      </w:r>
      <w:r>
        <w:instrText xml:space="preserve"> REF _Ref458781238 \r \h  \* MERGEFORMAT </w:instrText>
      </w:r>
      <w:r>
        <w:fldChar w:fldCharType="separate"/>
      </w:r>
      <w:r>
        <w:rPr>
          <w:rFonts w:hint="eastAsia" w:asciiTheme="minorEastAsia" w:hAnsiTheme="minorEastAsia" w:eastAsiaTheme="minorEastAsia"/>
        </w:rPr>
        <w:t>第十一章</w:t>
      </w:r>
      <w:r>
        <w:rPr>
          <w:rFonts w:hint="eastAsia" w:asciiTheme="minorEastAsia" w:hAnsiTheme="minorEastAsia" w:eastAsiaTheme="minorEastAsia"/>
        </w:rPr>
        <w:fldChar w:fldCharType="end"/>
      </w:r>
      <w:r>
        <w:rPr>
          <w:rFonts w:hint="eastAsia" w:asciiTheme="minorEastAsia" w:hAnsiTheme="minorEastAsia" w:eastAsiaTheme="minorEastAsia"/>
        </w:rPr>
        <w:t xml:space="preserve">投标文件格式 </w:t>
      </w:r>
      <w:r>
        <w:fldChar w:fldCharType="begin"/>
      </w:r>
      <w:r>
        <w:instrText xml:space="preserve"> REF _Ref458779220 \r \h  \* MERGEFORMAT </w:instrText>
      </w:r>
      <w:r>
        <w:fldChar w:fldCharType="separate"/>
      </w:r>
      <w:r>
        <w:rPr>
          <w:rFonts w:hint="eastAsia" w:asciiTheme="minorEastAsia" w:hAnsiTheme="minorEastAsia" w:eastAsiaTheme="minorEastAsia"/>
        </w:rPr>
        <w:t>第一分册</w:t>
      </w:r>
      <w:r>
        <w:rPr>
          <w:rFonts w:hint="eastAsia" w:asciiTheme="minorEastAsia" w:hAnsiTheme="minorEastAsia" w:eastAsiaTheme="minorEastAsia"/>
        </w:rPr>
        <w:fldChar w:fldCharType="end"/>
      </w:r>
      <w:r>
        <w:rPr>
          <w:rFonts w:hint="eastAsia" w:asciiTheme="minorEastAsia" w:hAnsiTheme="minorEastAsia" w:eastAsiaTheme="minorEastAsia"/>
        </w:rPr>
        <w:t>投标文件综述格式准备的文件。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技术方案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指社会资本按本须知第</w:t>
      </w:r>
      <w:r>
        <w:fldChar w:fldCharType="begin"/>
      </w:r>
      <w:r>
        <w:instrText xml:space="preserve"> REF _Ref494370654 \r \h  \* MERGEFORMAT </w:instrText>
      </w:r>
      <w:r>
        <w:fldChar w:fldCharType="separate"/>
      </w:r>
      <w:r>
        <w:rPr>
          <w:rFonts w:asciiTheme="minorEastAsia" w:hAnsiTheme="minorEastAsia" w:eastAsiaTheme="minorEastAsia"/>
        </w:rPr>
        <w:t>14</w:t>
      </w:r>
      <w:r>
        <w:rPr>
          <w:rFonts w:asciiTheme="minorEastAsia" w:hAnsiTheme="minorEastAsia" w:eastAsiaTheme="minorEastAsia"/>
        </w:rPr>
        <w:fldChar w:fldCharType="end"/>
      </w:r>
      <w:r>
        <w:rPr>
          <w:rFonts w:hint="eastAsia" w:asciiTheme="minorEastAsia" w:hAnsiTheme="minorEastAsia" w:eastAsiaTheme="minorEastAsia"/>
        </w:rPr>
        <w:t>条规定提交的，作为其投标文件的一部分的技术方案，包括双方以书面形式对此可能做出的任何修订或补充，并将作为项目协议的附件。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财务方案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指社会资本按本须知第</w:t>
      </w:r>
      <w:r>
        <w:fldChar w:fldCharType="begin"/>
      </w:r>
      <w:r>
        <w:instrText xml:space="preserve"> REF _Ref494370663 \r \h  \* MERGEFORMAT </w:instrText>
      </w:r>
      <w:r>
        <w:fldChar w:fldCharType="separate"/>
      </w:r>
      <w:r>
        <w:rPr>
          <w:rFonts w:asciiTheme="minorEastAsia" w:hAnsiTheme="minorEastAsia" w:eastAsiaTheme="minorEastAsia"/>
        </w:rPr>
        <w:t>15</w:t>
      </w:r>
      <w:r>
        <w:rPr>
          <w:rFonts w:asciiTheme="minorEastAsia" w:hAnsiTheme="minorEastAsia" w:eastAsiaTheme="minorEastAsia"/>
        </w:rPr>
        <w:fldChar w:fldCharType="end"/>
      </w:r>
      <w:r>
        <w:rPr>
          <w:rFonts w:hint="eastAsia" w:asciiTheme="minorEastAsia" w:hAnsiTheme="minorEastAsia" w:eastAsiaTheme="minorEastAsia"/>
        </w:rPr>
        <w:t>条规定提交的，作为其投标文件的一部分的财务方案，包括双方以书面形式对此可能做出的任何修订或补充，并将作为项目协议的附件。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法律方案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指社会资本按本须知第</w:t>
      </w:r>
      <w:r>
        <w:fldChar w:fldCharType="begin"/>
      </w:r>
      <w:r>
        <w:instrText xml:space="preserve"> REF _Ref494370663 \r \h  \* MERGEFORMAT </w:instrText>
      </w:r>
      <w:r>
        <w:fldChar w:fldCharType="separate"/>
      </w:r>
      <w:r>
        <w:rPr>
          <w:rFonts w:asciiTheme="minorEastAsia" w:hAnsiTheme="minorEastAsia" w:eastAsiaTheme="minorEastAsia"/>
        </w:rPr>
        <w:t>15</w:t>
      </w:r>
      <w:r>
        <w:rPr>
          <w:rFonts w:asciiTheme="minorEastAsia" w:hAnsiTheme="minorEastAsia" w:eastAsiaTheme="minorEastAsia"/>
        </w:rPr>
        <w:fldChar w:fldCharType="end"/>
      </w:r>
      <w:r>
        <w:rPr>
          <w:rFonts w:hint="eastAsia" w:asciiTheme="minorEastAsia" w:hAnsiTheme="minorEastAsia" w:eastAsiaTheme="minorEastAsia"/>
        </w:rPr>
        <w:t>条规定提交的, 作为其投标文件的一部分的法律方案，包括双方以书面形式对此可能做出的任何修订或补充，并将作为项目协议的附件。</w:t>
      </w:r>
    </w:p>
    <w:p>
      <w:pPr>
        <w:pStyle w:val="118"/>
        <w:numPr>
          <w:ilvl w:val="0"/>
          <w:numId w:val="9"/>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关联机构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就本须知任何一方而言，指控制该方、受该方控制以及与该方共同受某一第三方控制的公司或任何其它实体。上述定义中的一方对另一方的“控制”是指一方直接或间接地控制另一方决策机构（即股东大会和/或董事会，视情况而定）的决策权。</w:t>
      </w:r>
    </w:p>
    <w:p>
      <w:pPr>
        <w:pStyle w:val="118"/>
        <w:numPr>
          <w:ilvl w:val="0"/>
          <w:numId w:val="8"/>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解释</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对本招标文件的解释应依照以下原则进行：</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（1）除非本招标文件另有规定，其中提到的条款和附件均指本招标文件的条款和附件。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（2）除非本招标文件另有规定，提及的一方或双方均为本文件的一方或双方及其正当的继任者或受让人。</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（3）除非本招标文件另有明确规定，当使用词组“包括”时，无论其是否包含“但不限于”字样，仍应视为包括本招标文件全部其它相关条款。</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（4）本招标文件任何章、条或款的小标题不应视为对招标文件的当然解释，本招标文件的各个组成部分都具有同样的法律效力和同等的重要性。</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（5）在本招标文件中，无论何处及由任何人发出或颁发任何通知、同意、批准、证明或决定，除另有说明外，均指其书面形式。</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（6）除本招标文件另有规定外，本文件中使用的“天”、“日”均指日历天。</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（7）提及本招标文件时应包括以任何方式修改、补充和替代的本招标文件及其附件。本招标文件的附件为招标文件不可分割的组成部分。</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3" w:name="_Toc529805773"/>
      <w:r>
        <w:rPr>
          <w:rFonts w:hint="eastAsia" w:asciiTheme="minorEastAsia" w:hAnsiTheme="minorEastAsia" w:eastAsiaTheme="minorEastAsia"/>
          <w:b/>
        </w:rPr>
        <w:t>项目简要描述</w:t>
      </w:r>
      <w:bookmarkEnd w:id="143"/>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项目具体内容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详见招标公告和采购需求。</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项目的实施模式</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详见招标公告和采购需求。</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项目批复</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本项目的项目可行性研究报告已经编制完成且已批复。</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本项目已被列为江苏省2</w:t>
      </w:r>
      <w:r>
        <w:rPr>
          <w:rFonts w:asciiTheme="minorEastAsia" w:hAnsiTheme="minorEastAsia" w:eastAsiaTheme="minorEastAsia"/>
        </w:rPr>
        <w:t>020</w:t>
      </w:r>
      <w:r>
        <w:rPr>
          <w:rFonts w:hint="eastAsia" w:asciiTheme="minorEastAsia" w:hAnsiTheme="minorEastAsia" w:eastAsiaTheme="minorEastAsia"/>
        </w:rPr>
        <w:t>年度第二批P</w:t>
      </w:r>
      <w:r>
        <w:rPr>
          <w:rFonts w:asciiTheme="minorEastAsia" w:hAnsiTheme="minorEastAsia" w:eastAsiaTheme="minorEastAsia"/>
        </w:rPr>
        <w:t>PP</w:t>
      </w:r>
      <w:r>
        <w:rPr>
          <w:rFonts w:hint="eastAsia" w:asciiTheme="minorEastAsia" w:hAnsiTheme="minorEastAsia" w:eastAsiaTheme="minorEastAsia"/>
        </w:rPr>
        <w:t>入库项目。</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项目设施</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指与本项目建设和运营管理相关的设施，包括但不限于全部构筑物、建筑物、设施、设备、系统和平台等财产。</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项目资产权属</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由项目公司负责投资建设的设施在合作期限内由项目公司占用，项目公司仅在合作期限内拥有该等资产的使用权，合作期满，全部无偿移交给栖霞区人民政府或其指定机构。</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配套条件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采购人或其委托的其他机构负责协助项目公司以不高于其它商业用户的条件，获得运营和维护项目设施所需的所有公用设施条件的供应，包括电、水、配套设施和通讯等。</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前期费用</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采购人已完成项目立项、稳评、两评一案咨询、造价咨询以及财务复核等工作，已取得建议书批复、可研批复、稳评及节能承诺表、用地预审及规划选址意见书、两评一案、造价咨询报告及财务复核报告，相关费用以合同价纳入项目总投资，由项目公司承担。项目公司成立后6个月内将上述费用以及项目公司成立前发生的费用（包括土地费用等）支付给采购人或其指定的机构。</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回报机制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回报机制为“可行性缺口补助”，使用者付费主要为餐厨废弃物处置收入及项目产出物销售收入，经测算，项目经营收入不能覆盖项目建设成本、运营成本以及项目公司合理回报水平的情况下，政府支付可行性缺口补助（餐厨废弃物综合处置补贴）。</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回报来源为可行性缺口补助和使用者付费，详细内容见项目协议。</w:t>
      </w:r>
    </w:p>
    <w:p>
      <w:pPr>
        <w:pStyle w:val="118"/>
        <w:numPr>
          <w:ilvl w:val="1"/>
          <w:numId w:val="10"/>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权利义务的承受</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项目公司成立前，采购人或其指定的机构如果已就项目的一些工作与相关单位签署了合同或协议，如果采购人要求，项目公司成立后应与采购人或其指定的机构以及相关单位在已签合同或协议基础上补签有关合同，依法受让采购人或其指定的机构在所签署合同或协议项下的所有权利和义务。</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政府部门的审批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签署确认谈判备忘录后，南京市栖霞区人民政府或有关部门将按相关审批程序审批本项目。</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项目实施中的相关政策</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项目实施过程中的用水政策、用电政策、税收政策等由社会资本或项目公司根据项目内容和合作期限自行调查。</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适用法律</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本次招标及由此形成的合同体系，受中华人民共和国法律、法规制约和保护；受相关部门规章和政策规定制约。</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采购方式</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本项目采取公开招标方式确定社会资本，本招标文件仅适用于本项目资格预审公告和招标公告中所述项目。</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评审程序</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因本项目采用政府和社会资本模式实施，根据有关文件规定本项目评审程序分为两个阶段：第一阶段由评审小组根据社会资本的投标文件进行打分评比，根据评分结果由高至低排列选出前三名候选社会资本进入采购结果确认谈判程序；第二阶段由项目实施机构（即本项目采购人）成立采购结果确认谈判工作组，按照评审报告推荐的候选社会资本排名，依次与候选社会资本（可包括其合作的融资机构）就项目协议中可变的细节问题进行项目协议签署前的确认谈判，最终率先达成一致的候选社会资本即为本项目预中标社会资本。</w:t>
      </w:r>
    </w:p>
    <w:p>
      <w:pPr>
        <w:pStyle w:val="118"/>
        <w:numPr>
          <w:ilvl w:val="1"/>
          <w:numId w:val="1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招标工作时间表</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本项目招标工作时间安排如下：</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（1）招标文件的提供：</w:t>
      </w:r>
      <w:r>
        <w:rPr>
          <w:rFonts w:hint="eastAsia" w:asciiTheme="minorEastAsia" w:hAnsiTheme="minorEastAsia" w:eastAsiaTheme="minorEastAsia"/>
          <w:u w:val="single"/>
        </w:rPr>
        <w:t>详见招标公告</w:t>
      </w:r>
      <w:r>
        <w:rPr>
          <w:rFonts w:hint="eastAsia" w:asciiTheme="minorEastAsia" w:hAnsiTheme="minorEastAsia" w:eastAsiaTheme="minorEastAsia"/>
        </w:rPr>
        <w:t>；</w:t>
      </w:r>
    </w:p>
    <w:p>
      <w:pPr>
        <w:pStyle w:val="118"/>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rPr>
        <w:t>（2）现场考察的时间：</w:t>
      </w:r>
      <w:r>
        <w:rPr>
          <w:rFonts w:hint="eastAsia" w:asciiTheme="minorEastAsia" w:hAnsiTheme="minorEastAsia" w:eastAsiaTheme="minorEastAsia"/>
          <w:bCs/>
          <w:u w:val="single"/>
        </w:rPr>
        <w:t>20</w:t>
      </w:r>
      <w:r>
        <w:rPr>
          <w:rFonts w:asciiTheme="minorEastAsia" w:hAnsiTheme="minorEastAsia" w:eastAsiaTheme="minorEastAsia"/>
          <w:bCs/>
          <w:u w:val="single"/>
        </w:rPr>
        <w:t>20</w:t>
      </w:r>
      <w:r>
        <w:rPr>
          <w:rFonts w:hint="eastAsia" w:asciiTheme="minorEastAsia" w:hAnsiTheme="minorEastAsia" w:eastAsiaTheme="minorEastAsia"/>
          <w:bCs/>
          <w:u w:val="single"/>
        </w:rPr>
        <w:t>年</w:t>
      </w:r>
      <w:r>
        <w:rPr>
          <w:rFonts w:asciiTheme="minorEastAsia" w:hAnsiTheme="minorEastAsia" w:eastAsiaTheme="minorEastAsia"/>
          <w:bCs/>
          <w:u w:val="single"/>
        </w:rPr>
        <w:t>06</w:t>
      </w:r>
      <w:r>
        <w:rPr>
          <w:rFonts w:hint="eastAsia" w:asciiTheme="minorEastAsia" w:hAnsiTheme="minorEastAsia" w:eastAsiaTheme="minorEastAsia"/>
          <w:bCs/>
          <w:u w:val="single"/>
        </w:rPr>
        <w:t>月30日</w:t>
      </w:r>
      <w:r>
        <w:rPr>
          <w:rFonts w:asciiTheme="minorEastAsia" w:hAnsiTheme="minorEastAsia" w:eastAsiaTheme="minorEastAsia"/>
          <w:bCs/>
          <w:u w:val="single"/>
        </w:rPr>
        <w:t>09</w:t>
      </w:r>
      <w:r>
        <w:rPr>
          <w:rFonts w:hint="eastAsia" w:asciiTheme="minorEastAsia" w:hAnsiTheme="minorEastAsia" w:eastAsiaTheme="minorEastAsia"/>
          <w:bCs/>
          <w:u w:val="single"/>
        </w:rPr>
        <w:t>时</w:t>
      </w:r>
      <w:r>
        <w:rPr>
          <w:rFonts w:asciiTheme="minorEastAsia" w:hAnsiTheme="minorEastAsia" w:eastAsiaTheme="minorEastAsia"/>
          <w:bCs/>
          <w:u w:val="single"/>
        </w:rPr>
        <w:t>3</w:t>
      </w:r>
      <w:r>
        <w:rPr>
          <w:rFonts w:hint="eastAsia" w:asciiTheme="minorEastAsia" w:hAnsiTheme="minorEastAsia" w:eastAsiaTheme="minorEastAsia"/>
          <w:bCs/>
          <w:u w:val="single"/>
        </w:rPr>
        <w:t>0分（北京时间）</w:t>
      </w:r>
      <w:r>
        <w:rPr>
          <w:rFonts w:hint="eastAsia" w:asciiTheme="minorEastAsia" w:hAnsiTheme="minorEastAsia" w:eastAsiaTheme="minorEastAsia"/>
          <w:bCs/>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现场考察集合地点：</w:t>
      </w:r>
      <w:r>
        <w:rPr>
          <w:rFonts w:hint="eastAsia" w:asciiTheme="minorEastAsia" w:hAnsiTheme="minorEastAsia" w:eastAsiaTheme="minorEastAsia"/>
          <w:u w:val="single"/>
        </w:rPr>
        <w:t>南京市栖霞区文成路1号</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答疑会时间：</w:t>
      </w:r>
      <w:r>
        <w:rPr>
          <w:rFonts w:hint="eastAsia" w:asciiTheme="minorEastAsia" w:hAnsiTheme="minorEastAsia" w:eastAsiaTheme="minorEastAsia"/>
          <w:bCs/>
          <w:u w:val="single"/>
        </w:rPr>
        <w:t>20</w:t>
      </w:r>
      <w:r>
        <w:rPr>
          <w:rFonts w:asciiTheme="minorEastAsia" w:hAnsiTheme="minorEastAsia" w:eastAsiaTheme="minorEastAsia"/>
          <w:bCs/>
          <w:u w:val="single"/>
        </w:rPr>
        <w:t>20</w:t>
      </w:r>
      <w:r>
        <w:rPr>
          <w:rFonts w:hint="eastAsia" w:asciiTheme="minorEastAsia" w:hAnsiTheme="minorEastAsia" w:eastAsiaTheme="minorEastAsia"/>
          <w:bCs/>
          <w:u w:val="single"/>
        </w:rPr>
        <w:t>年</w:t>
      </w:r>
      <w:r>
        <w:rPr>
          <w:rFonts w:asciiTheme="minorEastAsia" w:hAnsiTheme="minorEastAsia" w:eastAsiaTheme="minorEastAsia"/>
          <w:bCs/>
          <w:u w:val="single"/>
        </w:rPr>
        <w:t>06</w:t>
      </w:r>
      <w:r>
        <w:rPr>
          <w:rFonts w:hint="eastAsia" w:asciiTheme="minorEastAsia" w:hAnsiTheme="minorEastAsia" w:eastAsiaTheme="minorEastAsia"/>
          <w:bCs/>
          <w:u w:val="single"/>
        </w:rPr>
        <w:t>月30日</w:t>
      </w:r>
      <w:r>
        <w:rPr>
          <w:rFonts w:asciiTheme="minorEastAsia" w:hAnsiTheme="minorEastAsia" w:eastAsiaTheme="minorEastAsia"/>
          <w:bCs/>
          <w:u w:val="single"/>
        </w:rPr>
        <w:t>10</w:t>
      </w:r>
      <w:r>
        <w:rPr>
          <w:rFonts w:hint="eastAsia" w:asciiTheme="minorEastAsia" w:hAnsiTheme="minorEastAsia" w:eastAsiaTheme="minorEastAsia"/>
          <w:bCs/>
          <w:u w:val="single"/>
        </w:rPr>
        <w:t>时</w:t>
      </w:r>
      <w:r>
        <w:rPr>
          <w:rFonts w:asciiTheme="minorEastAsia" w:hAnsiTheme="minorEastAsia" w:eastAsiaTheme="minorEastAsia"/>
          <w:bCs/>
          <w:u w:val="single"/>
        </w:rPr>
        <w:t>3</w:t>
      </w:r>
      <w:r>
        <w:rPr>
          <w:rFonts w:hint="eastAsia" w:asciiTheme="minorEastAsia" w:hAnsiTheme="minorEastAsia" w:eastAsiaTheme="minorEastAsia"/>
          <w:bCs/>
          <w:u w:val="single"/>
        </w:rPr>
        <w:t>0分（北京时间）</w:t>
      </w:r>
      <w:r>
        <w:rPr>
          <w:rFonts w:hint="eastAsia" w:asciiTheme="minorEastAsia" w:hAnsiTheme="minorEastAsia" w:eastAsiaTheme="minorEastAsia"/>
          <w:bCs/>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答疑会地点：</w:t>
      </w:r>
      <w:r>
        <w:rPr>
          <w:rFonts w:hint="eastAsia" w:asciiTheme="minorEastAsia" w:hAnsiTheme="minorEastAsia" w:eastAsiaTheme="minorEastAsia"/>
          <w:u w:val="single"/>
        </w:rPr>
        <w:t>南京市栖霞区文成路1号会议室</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联系人：</w:t>
      </w:r>
      <w:r>
        <w:rPr>
          <w:rFonts w:hint="eastAsia" w:asciiTheme="minorEastAsia" w:hAnsiTheme="minorEastAsia" w:eastAsiaTheme="minorEastAsia"/>
          <w:u w:val="single"/>
        </w:rPr>
        <w:t>黄毅</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电话：</w:t>
      </w:r>
      <w:r>
        <w:rPr>
          <w:rFonts w:asciiTheme="minorEastAsia" w:hAnsiTheme="minorEastAsia" w:eastAsiaTheme="minorEastAsia"/>
          <w:u w:val="single"/>
        </w:rPr>
        <w:t xml:space="preserve">  025</w:t>
      </w:r>
      <w:r>
        <w:rPr>
          <w:rFonts w:hint="eastAsia" w:asciiTheme="minorEastAsia" w:hAnsiTheme="minorEastAsia" w:eastAsiaTheme="minorEastAsia"/>
          <w:u w:val="single"/>
        </w:rPr>
        <w:t>-</w:t>
      </w:r>
      <w:r>
        <w:rPr>
          <w:rFonts w:asciiTheme="minorEastAsia" w:hAnsiTheme="minorEastAsia" w:eastAsiaTheme="minorEastAsia"/>
          <w:u w:val="single"/>
        </w:rPr>
        <w:t xml:space="preserve">85580430  </w:t>
      </w:r>
      <w:r>
        <w:rPr>
          <w:rFonts w:hint="eastAsia" w:asciiTheme="minorEastAsia" w:hAnsiTheme="minorEastAsia" w:eastAsiaTheme="minorEastAsia"/>
        </w:rPr>
        <w:t>。</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（3）投标文件提交时间：</w:t>
      </w:r>
      <w:r>
        <w:rPr>
          <w:rFonts w:hint="eastAsia" w:asciiTheme="minorEastAsia" w:hAnsiTheme="minorEastAsia" w:eastAsiaTheme="minorEastAsia"/>
          <w:u w:val="single"/>
        </w:rPr>
        <w:t>详见招标公告</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投标文件提交截止时间：</w:t>
      </w:r>
      <w:r>
        <w:rPr>
          <w:rFonts w:hint="eastAsia" w:asciiTheme="minorEastAsia" w:hAnsiTheme="minorEastAsia" w:eastAsiaTheme="minorEastAsia"/>
          <w:u w:val="single"/>
        </w:rPr>
        <w:t>详见招标公告</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投标文件提交地点：</w:t>
      </w:r>
      <w:r>
        <w:rPr>
          <w:rFonts w:hint="eastAsia" w:asciiTheme="minorEastAsia" w:hAnsiTheme="minorEastAsia" w:eastAsiaTheme="minorEastAsia"/>
          <w:u w:val="single"/>
        </w:rPr>
        <w:t>详见招标公告</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投标文件接收人：</w:t>
      </w:r>
      <w:r>
        <w:rPr>
          <w:rFonts w:hint="eastAsia" w:asciiTheme="minorEastAsia" w:hAnsiTheme="minorEastAsia" w:eastAsiaTheme="minorEastAsia"/>
          <w:u w:val="single"/>
        </w:rPr>
        <w:t>详见招标公告</w:t>
      </w:r>
      <w:r>
        <w:rPr>
          <w:rFonts w:hint="eastAsia" w:asciiTheme="minorEastAsia" w:hAnsiTheme="minorEastAsia" w:eastAsiaTheme="minorEastAsia"/>
        </w:rPr>
        <w:t>；</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（4）开标时间：</w:t>
      </w:r>
      <w:r>
        <w:rPr>
          <w:rFonts w:hint="eastAsia" w:asciiTheme="minorEastAsia" w:hAnsiTheme="minorEastAsia" w:eastAsiaTheme="minorEastAsia"/>
          <w:u w:val="single"/>
        </w:rPr>
        <w:t>2020年07月10日09点40分（北京时间）</w:t>
      </w:r>
      <w:r>
        <w:rPr>
          <w:rFonts w:hint="eastAsia" w:asciiTheme="minorEastAsia" w:hAnsiTheme="minorEastAsia" w:eastAsiaTheme="minorEastAsia"/>
        </w:rPr>
        <w:t>；</w:t>
      </w:r>
    </w:p>
    <w:p>
      <w:pPr>
        <w:pStyle w:val="118"/>
        <w:adjustRightInd w:val="0"/>
        <w:snapToGrid w:val="0"/>
        <w:spacing w:line="360" w:lineRule="auto"/>
        <w:ind w:firstLine="945" w:firstLineChars="450"/>
        <w:rPr>
          <w:rFonts w:asciiTheme="minorEastAsia" w:hAnsiTheme="minorEastAsia" w:eastAsiaTheme="minorEastAsia"/>
        </w:rPr>
      </w:pPr>
      <w:r>
        <w:rPr>
          <w:rFonts w:hint="eastAsia" w:asciiTheme="minorEastAsia" w:hAnsiTheme="minorEastAsia" w:eastAsiaTheme="minorEastAsia"/>
        </w:rPr>
        <w:t>开标地点：</w:t>
      </w:r>
      <w:r>
        <w:rPr>
          <w:rFonts w:hint="eastAsia" w:asciiTheme="minorEastAsia" w:hAnsiTheme="minorEastAsia" w:eastAsiaTheme="minorEastAsia"/>
          <w:u w:val="single"/>
        </w:rPr>
        <w:t>南京市江东中路265号南京市政务服务中心（南京市公共资源交易中心）一楼</w:t>
      </w:r>
      <w:r>
        <w:rPr>
          <w:rFonts w:hint="eastAsia" w:asciiTheme="minorEastAsia" w:hAnsiTheme="minorEastAsia" w:eastAsiaTheme="minorEastAsia"/>
        </w:rPr>
        <w:t>；</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（5）投标文件评审日期：</w:t>
      </w:r>
      <w:r>
        <w:rPr>
          <w:rFonts w:hint="eastAsia" w:asciiTheme="minorEastAsia" w:hAnsiTheme="minorEastAsia" w:eastAsiaTheme="minorEastAsia"/>
          <w:bCs/>
          <w:u w:val="single"/>
        </w:rPr>
        <w:t>20</w:t>
      </w:r>
      <w:r>
        <w:rPr>
          <w:rFonts w:asciiTheme="minorEastAsia" w:hAnsiTheme="minorEastAsia" w:eastAsiaTheme="minorEastAsia"/>
          <w:bCs/>
          <w:u w:val="single"/>
        </w:rPr>
        <w:t>20</w:t>
      </w:r>
      <w:r>
        <w:rPr>
          <w:rFonts w:hint="eastAsia" w:asciiTheme="minorEastAsia" w:hAnsiTheme="minorEastAsia" w:eastAsiaTheme="minorEastAsia"/>
          <w:bCs/>
          <w:u w:val="single"/>
        </w:rPr>
        <w:t>年</w:t>
      </w:r>
      <w:r>
        <w:rPr>
          <w:rFonts w:asciiTheme="minorEastAsia" w:hAnsiTheme="minorEastAsia" w:eastAsiaTheme="minorEastAsia"/>
          <w:bCs/>
          <w:u w:val="single"/>
        </w:rPr>
        <w:t>07</w:t>
      </w:r>
      <w:r>
        <w:rPr>
          <w:rFonts w:hint="eastAsia" w:asciiTheme="minorEastAsia" w:hAnsiTheme="minorEastAsia" w:eastAsiaTheme="minorEastAsia"/>
          <w:bCs/>
          <w:u w:val="single"/>
        </w:rPr>
        <w:t>月</w:t>
      </w:r>
      <w:r>
        <w:rPr>
          <w:rFonts w:asciiTheme="minorEastAsia" w:hAnsiTheme="minorEastAsia" w:eastAsiaTheme="minorEastAsia"/>
          <w:bCs/>
          <w:u w:val="single"/>
        </w:rPr>
        <w:t xml:space="preserve"> 10 </w:t>
      </w:r>
      <w:r>
        <w:rPr>
          <w:rFonts w:hint="eastAsia" w:asciiTheme="minorEastAsia" w:hAnsiTheme="minorEastAsia" w:eastAsiaTheme="minorEastAsia"/>
          <w:bCs/>
          <w:u w:val="single"/>
        </w:rPr>
        <w:t>日</w:t>
      </w:r>
      <w:r>
        <w:rPr>
          <w:rFonts w:hint="eastAsia" w:asciiTheme="minorEastAsia" w:hAnsiTheme="minorEastAsia" w:eastAsiaTheme="minorEastAsia"/>
          <w:bCs/>
        </w:rPr>
        <w:t>；</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（6）采购结果确认谈判：</w:t>
      </w:r>
      <w:r>
        <w:rPr>
          <w:rFonts w:hint="eastAsia" w:asciiTheme="minorEastAsia" w:hAnsiTheme="minorEastAsia" w:eastAsiaTheme="minorEastAsia"/>
          <w:u w:val="single"/>
        </w:rPr>
        <w:t>投标文件评审结束后，采购人另行通知采购结果确认谈判事项</w:t>
      </w:r>
      <w:r>
        <w:rPr>
          <w:rFonts w:hint="eastAsia" w:asciiTheme="minorEastAsia" w:hAnsiTheme="minorEastAsia" w:eastAsiaTheme="minorEastAsia"/>
        </w:rPr>
        <w:t>。</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如上述时间安排有变动，集中采购机构将及时提前通知所有社会资本。</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4" w:name="_Toc529805774"/>
      <w:r>
        <w:rPr>
          <w:rFonts w:hint="eastAsia" w:asciiTheme="minorEastAsia" w:hAnsiTheme="minorEastAsia" w:eastAsiaTheme="minorEastAsia"/>
          <w:b/>
        </w:rPr>
        <w:t>合格的社会资本</w:t>
      </w:r>
      <w:bookmarkEnd w:id="144"/>
    </w:p>
    <w:p>
      <w:pPr>
        <w:pStyle w:val="118"/>
        <w:numPr>
          <w:ilvl w:val="1"/>
          <w:numId w:val="1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满足资格要求的社会资本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满足资格预审文件中资格要求并通过资格预审的社会资本。</w:t>
      </w:r>
    </w:p>
    <w:p>
      <w:pPr>
        <w:pStyle w:val="118"/>
        <w:numPr>
          <w:ilvl w:val="1"/>
          <w:numId w:val="1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资格预审合格的社会资本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只有在资格预审结果公示中通过资格预审或收到集中采购机构发出的资格预审合格通知书的社会资本才能参加投标。本项目招标不设置资格后审环节，不接受未通过资格预审的任何社会资本参加投标。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资格预审合格的社会资本在签订项目协议前资格发生变化的，应当及时通知采购人，否则造成的后果自行承担。</w:t>
      </w:r>
    </w:p>
    <w:p>
      <w:pPr>
        <w:pStyle w:val="118"/>
        <w:numPr>
          <w:ilvl w:val="1"/>
          <w:numId w:val="1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资格预审合格的社会资本的变更限制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（1）通过资格预审的社会资本，不得被其子公司代替，或另行设立专门的公司代替其完成按照本文件应由其自身完成的谈判、签约及其它后续程序；否则集中采购机构保留依照本须知规定采取一切措施的权利。</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（2）集中采购机构在必要时可以要求已通过资格预审的社会资本，以集中采购机构能接受的方式，另行提供社会资本履行股权出资及融资等义务的保证。</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5" w:name="_Toc529805775"/>
      <w:r>
        <w:rPr>
          <w:rFonts w:hint="eastAsia" w:asciiTheme="minorEastAsia" w:hAnsiTheme="minorEastAsia" w:eastAsiaTheme="minorEastAsia"/>
          <w:b/>
        </w:rPr>
        <w:t>投标费用</w:t>
      </w:r>
      <w:bookmarkEnd w:id="145"/>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社会资本应自行承担所有与参加投标有关的费用，无论招标过程中的做法和结果如何，采购人和集中采购机构在任何情况下均无义务和责任承担这些费用。</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6" w:name="_Toc529805776"/>
      <w:r>
        <w:rPr>
          <w:rFonts w:hint="eastAsia" w:asciiTheme="minorEastAsia" w:hAnsiTheme="minorEastAsia" w:eastAsiaTheme="minorEastAsia"/>
          <w:b/>
        </w:rPr>
        <w:t>招标工作原则</w:t>
      </w:r>
      <w:bookmarkEnd w:id="146"/>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无差别待遇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（1）采购人和集中采购机构将以无差别待遇和客观的态度确保项目的招标工作规范有序。</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（2）采购人和集中采购机构不向任何社会资本提供可能导致限制投标的有关项目或招标工作的信息。</w:t>
      </w:r>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禁止与其他社会资本串通</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每一个社会资本保证其投标文件内容是独立完成的。任何含有出于限制投标目的而与其他潜在的社会资本商议、串通或取得他方理解的投标文件将被视作无效。</w:t>
      </w:r>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禁止行贿</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如果社会资本（或其雇员、代理人或顾问）参与了：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（1）采用金钱或其他任何形式对采购人和集中采购机构（或其雇员、代理人）行贿；或者</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（2）对采购人和集中采购机构在招标过程中所采取的行动或决定，或对采购人和集中采购机构所遵循的程序采取其他不正当手段或违法行为，则该社会资本的投标文件将被视为无效。</w:t>
      </w:r>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社会资本与采购人和政府部门之间的联系</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（1）除非事先得到采购人的同意，社会资本与任何政府部门或任何有关政府官员之间的所有与本项目投标有关的联系必须通过集中采购机构进行。</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（2）采购人和集中采购机构对不是由集中采购机构提供给社会资本的信息不承担任何责任。</w:t>
      </w:r>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bookmarkStart w:id="147" w:name="_Ref494370956"/>
      <w:r>
        <w:rPr>
          <w:rFonts w:hint="eastAsia" w:asciiTheme="minorEastAsia" w:hAnsiTheme="minorEastAsia" w:eastAsiaTheme="minorEastAsia"/>
          <w:b/>
        </w:rPr>
        <w:t>保密</w:t>
      </w:r>
      <w:bookmarkEnd w:id="14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（1）采购人和集中采购机构将对所有社会资本提交的投标文件和信息保密，并将采取合理谨慎措施不予披露；未经有关社会资本的书面同意，不得使用上述投标文件和信息。</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（2）为评选和谈判之目的，采购人和集中采购机构可以向其顾问提供本款所述的投标文件和信息。</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（3）每个社会资本为准备投标和谈判之目的，有权向其顾问或融资机构提供本款所述的投标文件和信息。</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（4）采购人或集中采购机构或社会资本应确保其顾问或融资机构受本条项下适用于采购人或集中采购机构或社会资本的保密义务的约束。</w:t>
      </w:r>
    </w:p>
    <w:p>
      <w:pPr>
        <w:pStyle w:val="118"/>
        <w:numPr>
          <w:ilvl w:val="1"/>
          <w:numId w:val="12"/>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采购人的保留权利</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（1）采购人保留因为政策法律的变化或因公共利益的需要而在任何时候中止本次招标的权利，不承诺本次招标一定要产生中标社会资本，并且不因此对社会资本承担任何赔偿责任。</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（2）采购人保留依照本须知规定采取一切措施的权利。</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48" w:name="_Toc529805777"/>
      <w:r>
        <w:rPr>
          <w:rFonts w:hint="eastAsia" w:asciiTheme="minorEastAsia" w:hAnsiTheme="minorEastAsia" w:eastAsiaTheme="minorEastAsia"/>
          <w:b/>
          <w:sz w:val="28"/>
          <w:szCs w:val="28"/>
        </w:rPr>
        <w:t>招标文件</w:t>
      </w:r>
      <w:bookmarkEnd w:id="148"/>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49" w:name="_Ref494370550"/>
      <w:bookmarkStart w:id="150" w:name="_Toc529805778"/>
      <w:r>
        <w:rPr>
          <w:rFonts w:hint="eastAsia" w:asciiTheme="minorEastAsia" w:hAnsiTheme="minorEastAsia" w:eastAsiaTheme="minorEastAsia"/>
          <w:b/>
        </w:rPr>
        <w:t>招标文件内容</w:t>
      </w:r>
      <w:bookmarkEnd w:id="149"/>
      <w:bookmarkEnd w:id="150"/>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（1）招标文件包括以下内容：</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第一部分 招标公告</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第二部分 社会资本须知</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第一章 说明</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第二章 招标文件</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第三章 投标文件的准备</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第四章 现场考察和答疑会</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第五章 投标文件的提交</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第六章 有效期</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第七章 投标文件的澄清和拒绝</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第八章 开标和评标</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第九章 中标社会资本选定</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第十章 中标社会资本选定后的程序</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第十一章 投标文件格式</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第三部分 不可谈判的核心条款</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第四部分 采购需求</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第五部分 项目协议</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第六部分 评标方法和标准</w:t>
      </w:r>
    </w:p>
    <w:p>
      <w:pPr>
        <w:pStyle w:val="118"/>
        <w:adjustRightInd w:val="0"/>
        <w:snapToGrid w:val="0"/>
        <w:spacing w:line="360" w:lineRule="auto"/>
        <w:ind w:firstLine="630" w:firstLineChars="300"/>
        <w:rPr>
          <w:rFonts w:asciiTheme="minorEastAsia" w:hAnsiTheme="minorEastAsia" w:eastAsiaTheme="minorEastAsia"/>
        </w:rPr>
      </w:pPr>
      <w:r>
        <w:rPr>
          <w:rFonts w:hint="eastAsia" w:asciiTheme="minorEastAsia" w:hAnsiTheme="minorEastAsia" w:eastAsiaTheme="minorEastAsia"/>
        </w:rPr>
        <w:t>第七部分 项目资料库</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请仔细检查招标文件是否齐全，如有缺漏，请立即与集中采购机构联系解决。</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社会资本应认真阅读招标文件中所有的事项、格式、条款和规范等要求。按招标文件要求和规定编制投标文件，并保证所提供的全部资料的真实性，以使其投标文件对招标文件作出实质性响应，否则其风险由社会资本自行承担。</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（3）招标文件的约束力</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社会资本一旦参加本项目投标，即被认为接受了本招标文件的规定和约束。</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1" w:name="_Toc529805779"/>
      <w:r>
        <w:rPr>
          <w:rFonts w:hint="eastAsia" w:asciiTheme="minorEastAsia" w:hAnsiTheme="minorEastAsia" w:eastAsiaTheme="minorEastAsia"/>
          <w:b/>
        </w:rPr>
        <w:t>社会资本的责任</w:t>
      </w:r>
      <w:bookmarkEnd w:id="151"/>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（1）社会资本须采取一切必要的步骤仔细审查并熟悉招标文件的要求和条款。</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（2）采购人和集中采购机构不承担社会资本对招标文件做出的任何错误的理解或结论的责任。</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（3）社会资本对在招标文件中或其他文件中提供的资料或材料应进行核实，否则，采购人和集中采购机构对上述资料或材料中任何错误、遗漏、有失准确之处，或判断上的错误不承担任何责任。</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社会资本应认真阅读招标文件中所有的事项、条款和要求，没有按照招标文件要求提交全部资料，或者投标文件没有对招标文件做出实质性响应，可能导致投标文件被判定为无效投标或使投标文件在评审中处于不利地位，这些风险、后果以及责任应由社会资本自行承担。</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2" w:name="_Toc529805780"/>
      <w:r>
        <w:rPr>
          <w:rFonts w:hint="eastAsia" w:asciiTheme="minorEastAsia" w:hAnsiTheme="minorEastAsia" w:eastAsiaTheme="minorEastAsia"/>
          <w:b/>
        </w:rPr>
        <w:t>招标文件的澄清</w:t>
      </w:r>
      <w:bookmarkEnd w:id="152"/>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集中采购机构对已发出的招标文件进行必要澄清的，将在招标文件要求提交投标文件截止时间十五日前，在原招标公告媒体发布更正公告，该澄清的内容为招标文件的组成部分。</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3" w:name="_Toc529805781"/>
      <w:r>
        <w:rPr>
          <w:rFonts w:hint="eastAsia" w:asciiTheme="minorEastAsia" w:hAnsiTheme="minorEastAsia" w:eastAsiaTheme="minorEastAsia"/>
          <w:b/>
        </w:rPr>
        <w:t>招标文件的修改</w:t>
      </w:r>
      <w:bookmarkEnd w:id="153"/>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（1）在提交截止时间前，集中采购机构均可以对招标文件进行修改。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（2）集中采购机构有权按照法定的要求推迟提交截止时间和开标时间。</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（3）招标文件的修改将以本须知第10条的形式在招标公告发布网站进行公布，修改文件将作为招标文件的组成部分，并对社会资本具有约束力。</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4" w:name="_Toc529805782"/>
      <w:r>
        <w:rPr>
          <w:rFonts w:hint="eastAsia" w:asciiTheme="minorEastAsia" w:hAnsiTheme="minorEastAsia" w:eastAsiaTheme="minorEastAsia"/>
          <w:b/>
        </w:rPr>
        <w:t>更正公告</w:t>
      </w:r>
      <w:bookmarkEnd w:id="154"/>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招标文件的澄清或修改将以更正公告的形式在招标公告发布网站进行公布，更正公告为招标文件的组成部分，社会资本应在投标截止时间前关注原招标公告发布媒体上有关本招标项目有无变更公告，关注招标系统招标文件有无变化。</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55" w:name="_Toc529805783"/>
      <w:r>
        <w:rPr>
          <w:rFonts w:hint="eastAsia" w:asciiTheme="minorEastAsia" w:hAnsiTheme="minorEastAsia" w:eastAsiaTheme="minorEastAsia"/>
          <w:b/>
          <w:sz w:val="28"/>
          <w:szCs w:val="28"/>
        </w:rPr>
        <w:t>投标文件的准备</w:t>
      </w:r>
      <w:bookmarkEnd w:id="155"/>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6" w:name="_Toc529805784"/>
      <w:r>
        <w:rPr>
          <w:rFonts w:hint="eastAsia" w:asciiTheme="minorEastAsia" w:hAnsiTheme="minorEastAsia" w:eastAsiaTheme="minorEastAsia"/>
          <w:b/>
        </w:rPr>
        <w:t>投标文件的格式</w:t>
      </w:r>
      <w:bookmarkEnd w:id="156"/>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每一社会资本应严格按照本须知</w:t>
      </w:r>
      <w:r>
        <w:fldChar w:fldCharType="begin"/>
      </w:r>
      <w:r>
        <w:instrText xml:space="preserve"> REF _Ref458781238 \r \h  \* MERGEFORMAT </w:instrText>
      </w:r>
      <w:r>
        <w:fldChar w:fldCharType="separate"/>
      </w:r>
      <w:r>
        <w:rPr>
          <w:rFonts w:hint="eastAsia" w:asciiTheme="minorEastAsia" w:hAnsiTheme="minorEastAsia" w:eastAsiaTheme="minorEastAsia"/>
        </w:rPr>
        <w:t>第十一章</w:t>
      </w:r>
      <w:r>
        <w:rPr>
          <w:rFonts w:hint="eastAsia" w:asciiTheme="minorEastAsia" w:hAnsiTheme="minorEastAsia" w:eastAsiaTheme="minorEastAsia"/>
        </w:rPr>
        <w:fldChar w:fldCharType="end"/>
      </w:r>
      <w:r>
        <w:rPr>
          <w:rFonts w:hint="eastAsia" w:asciiTheme="minorEastAsia" w:hAnsiTheme="minorEastAsia" w:eastAsiaTheme="minorEastAsia"/>
        </w:rPr>
        <w:t>规定的格式填写并提交投资申请书及其他附件。</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7" w:name="_Toc529805785"/>
      <w:r>
        <w:rPr>
          <w:rFonts w:hint="eastAsia" w:asciiTheme="minorEastAsia" w:hAnsiTheme="minorEastAsia" w:eastAsiaTheme="minorEastAsia"/>
          <w:b/>
        </w:rPr>
        <w:t>投标文件的符合程度</w:t>
      </w:r>
      <w:bookmarkEnd w:id="157"/>
    </w:p>
    <w:p>
      <w:pPr>
        <w:pStyle w:val="118"/>
        <w:numPr>
          <w:ilvl w:val="1"/>
          <w:numId w:val="13"/>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拒绝实质性变更</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以第</w:t>
      </w:r>
      <w:r>
        <w:fldChar w:fldCharType="begin"/>
      </w:r>
      <w:r>
        <w:instrText xml:space="preserve"> REF _Ref494370778 \r \h  \* MERGEFORMAT </w:instrText>
      </w:r>
      <w:r>
        <w:fldChar w:fldCharType="separate"/>
      </w:r>
      <w:r>
        <w:rPr>
          <w:rFonts w:asciiTheme="minorEastAsia" w:hAnsiTheme="minorEastAsia" w:eastAsiaTheme="minorEastAsia"/>
        </w:rPr>
        <w:t>12.2</w:t>
      </w:r>
      <w:r>
        <w:rPr>
          <w:rFonts w:asciiTheme="minorEastAsia" w:hAnsiTheme="minorEastAsia" w:eastAsiaTheme="minorEastAsia"/>
        </w:rPr>
        <w:fldChar w:fldCharType="end"/>
      </w:r>
      <w:r>
        <w:rPr>
          <w:rFonts w:hint="eastAsia" w:asciiTheme="minorEastAsia" w:hAnsiTheme="minorEastAsia" w:eastAsiaTheme="minorEastAsia"/>
        </w:rPr>
        <w:t>款的规定为条件，投标文件应与招标文件的条款和要求一致，若投标文件提出的变更建议实质上影响了招标文件在项目结构、投资主体及项目协议的实质性内容等方面的条款和要求，则会因无效而被拒绝。</w:t>
      </w:r>
    </w:p>
    <w:p>
      <w:pPr>
        <w:pStyle w:val="118"/>
        <w:numPr>
          <w:ilvl w:val="1"/>
          <w:numId w:val="13"/>
        </w:numPr>
        <w:tabs>
          <w:tab w:val="left" w:pos="567"/>
        </w:tabs>
        <w:adjustRightInd w:val="0"/>
        <w:snapToGrid w:val="0"/>
        <w:spacing w:line="360" w:lineRule="auto"/>
        <w:ind w:left="0" w:firstLine="0" w:firstLineChars="0"/>
        <w:rPr>
          <w:rFonts w:asciiTheme="minorEastAsia" w:hAnsiTheme="minorEastAsia" w:eastAsiaTheme="minorEastAsia"/>
          <w:b/>
        </w:rPr>
      </w:pPr>
      <w:bookmarkStart w:id="158" w:name="_Ref494370778"/>
      <w:r>
        <w:rPr>
          <w:rFonts w:hint="eastAsia" w:asciiTheme="minorEastAsia" w:hAnsiTheme="minorEastAsia" w:eastAsiaTheme="minorEastAsia"/>
          <w:b/>
        </w:rPr>
        <w:t>符合性要求</w:t>
      </w:r>
      <w:bookmarkEnd w:id="158"/>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每一社会资本均有义务在投标文件中提交符合如下标准的信息资料：</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（1）完整、准确，完全与招标文件相对应；</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（2）足够详尽，以使采购人和集中采购机构能认定资料准确无误。</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如果社会资本提交的部分信息资料不清晰，集中采购机构可以但无义务要求社会资本给予书面澄清。</w:t>
      </w:r>
    </w:p>
    <w:p>
      <w:pPr>
        <w:pStyle w:val="118"/>
        <w:numPr>
          <w:ilvl w:val="1"/>
          <w:numId w:val="13"/>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真实性要求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社会资本应保证其投标文件中所提供的所有有关资料、信息是真实的，并且来源于合法的渠道。因投标文件中所提供的有关资料、信息不真实、或者其来源不合法而导致的所有法律责任，由社会资本自行承担。</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59" w:name="_Toc529805786"/>
      <w:r>
        <w:rPr>
          <w:rFonts w:hint="eastAsia" w:asciiTheme="minorEastAsia" w:hAnsiTheme="minorEastAsia" w:eastAsiaTheme="minorEastAsia"/>
          <w:b/>
        </w:rPr>
        <w:t>投标文件综述</w:t>
      </w:r>
      <w:bookmarkEnd w:id="159"/>
    </w:p>
    <w:p>
      <w:pPr>
        <w:pStyle w:val="118"/>
        <w:numPr>
          <w:ilvl w:val="3"/>
          <w:numId w:val="14"/>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投标文件综述的编制基础</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社会资本须在投标文件格式第一分册、评标办法和标准的基础上准备投标文件综述。</w:t>
      </w:r>
    </w:p>
    <w:p>
      <w:pPr>
        <w:pStyle w:val="118"/>
        <w:numPr>
          <w:ilvl w:val="3"/>
          <w:numId w:val="14"/>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投标文件综述的编制要求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投资申请书、开标一览表和授权委托书必须符合投标文件格式要求；根据评标办法和标准的规定提供有关证明材料必须完整、详细、清晰。</w:t>
      </w:r>
    </w:p>
    <w:p>
      <w:pPr>
        <w:pStyle w:val="118"/>
        <w:numPr>
          <w:ilvl w:val="3"/>
          <w:numId w:val="14"/>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投标文件综述的编制内容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投标文件格式第一分册、评标办法和标准规定以及社会资本认为需要补充的内容</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0" w:name="_Toc529805787"/>
      <w:bookmarkStart w:id="161" w:name="_Ref494370654"/>
      <w:r>
        <w:rPr>
          <w:rFonts w:hint="eastAsia" w:asciiTheme="minorEastAsia" w:hAnsiTheme="minorEastAsia" w:eastAsiaTheme="minorEastAsia"/>
          <w:b/>
        </w:rPr>
        <w:t>技术方案</w:t>
      </w:r>
      <w:bookmarkEnd w:id="160"/>
      <w:bookmarkEnd w:id="161"/>
    </w:p>
    <w:p>
      <w:pPr>
        <w:pStyle w:val="118"/>
        <w:numPr>
          <w:ilvl w:val="1"/>
          <w:numId w:val="15"/>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技术方案的编制基础</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社会资本须在投标文件格式第二分册、招标文件《项目合同》中项目技术规范和要求以及项目资料库所提供的项目资料以及自行调研的基础上准备技术方案。</w:t>
      </w:r>
    </w:p>
    <w:p>
      <w:pPr>
        <w:pStyle w:val="118"/>
        <w:numPr>
          <w:ilvl w:val="1"/>
          <w:numId w:val="15"/>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技术方案的编制要求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技术方案的编制必须完整，且达到《项目合同》附件中所列规范、标准和要求；同时足够详细，使采购人和集中采购机构能够：</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（1）理解社会资本将如何实现项目的建设与运营；</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（2）以客观和公开的标准，与招标文件相一致的方式对投标文件进行比较。</w:t>
      </w:r>
    </w:p>
    <w:p>
      <w:pPr>
        <w:pStyle w:val="118"/>
        <w:numPr>
          <w:ilvl w:val="1"/>
          <w:numId w:val="15"/>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技术方案的编制内容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投标文件格式、评标办法和标准规定以及社会资本认为需要补充的内容。</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2" w:name="_Ref494370663"/>
      <w:bookmarkStart w:id="163" w:name="_Toc529805788"/>
      <w:r>
        <w:rPr>
          <w:rFonts w:hint="eastAsia" w:asciiTheme="minorEastAsia" w:hAnsiTheme="minorEastAsia" w:eastAsiaTheme="minorEastAsia"/>
          <w:b/>
        </w:rPr>
        <w:t>财务方案</w:t>
      </w:r>
      <w:bookmarkEnd w:id="162"/>
      <w:r>
        <w:rPr>
          <w:rFonts w:hint="eastAsia" w:asciiTheme="minorEastAsia" w:hAnsiTheme="minorEastAsia" w:eastAsiaTheme="minorEastAsia"/>
          <w:b/>
        </w:rPr>
        <w:t>和法律方案</w:t>
      </w:r>
      <w:bookmarkEnd w:id="163"/>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财务方案的编制基础</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社会资本须根据投标文件格式第三分册、《项目合同》中有关费用计算公式、以及实施第</w:t>
      </w:r>
      <w:r>
        <w:fldChar w:fldCharType="begin"/>
      </w:r>
      <w:r>
        <w:instrText xml:space="preserve"> REF _Ref494370654 \r \h  \* MERGEFORMAT </w:instrText>
      </w:r>
      <w:r>
        <w:fldChar w:fldCharType="separate"/>
      </w:r>
      <w:r>
        <w:rPr>
          <w:rFonts w:asciiTheme="minorEastAsia" w:hAnsiTheme="minorEastAsia" w:eastAsiaTheme="minorEastAsia"/>
        </w:rPr>
        <w:t>14</w:t>
      </w:r>
      <w:r>
        <w:rPr>
          <w:rFonts w:asciiTheme="minorEastAsia" w:hAnsiTheme="minorEastAsia" w:eastAsiaTheme="minorEastAsia"/>
        </w:rPr>
        <w:fldChar w:fldCharType="end"/>
      </w:r>
      <w:r>
        <w:rPr>
          <w:rFonts w:hint="eastAsia" w:asciiTheme="minorEastAsia" w:hAnsiTheme="minorEastAsia" w:eastAsiaTheme="minorEastAsia"/>
        </w:rPr>
        <w:t>条所述技术方案需要的基础上，准备本项目完整的财务方案。</w:t>
      </w:r>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财务方案的编制要求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财务方案要做到内容全面、测算科学合理、计算无错误，与所提供的技术方案有关内容相匹配。</w:t>
      </w:r>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财务方案的编制内容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详见投标文件格式、评标办法和标准规定以及社会资本认为需要补充的内容。</w:t>
      </w:r>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法律方案的编制基础</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社会资本须根据投标文件格式第三分册、项目协议及其附件。</w:t>
      </w:r>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bookmarkStart w:id="164" w:name="_Ref494370842"/>
      <w:r>
        <w:rPr>
          <w:rFonts w:hint="eastAsia" w:asciiTheme="minorEastAsia" w:hAnsiTheme="minorEastAsia" w:eastAsiaTheme="minorEastAsia"/>
          <w:b/>
        </w:rPr>
        <w:t>法律方案的编制内容</w:t>
      </w:r>
      <w:bookmarkEnd w:id="164"/>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 xml:space="preserve">（1）法律方案须包括：社会资本是否接受项目协议各项条款内容的明确陈述。 </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（2）若其在对法律协议的内容不提出不利于采购人的实质性修改的前提下，对该项目协议内容有变更建议，则社会资本可在其投标文件中说明对所提出的项目协议条款之变更建议。</w:t>
      </w:r>
    </w:p>
    <w:p>
      <w:pPr>
        <w:pStyle w:val="118"/>
        <w:numPr>
          <w:ilvl w:val="1"/>
          <w:numId w:val="16"/>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不可接受之变更建议</w:t>
      </w:r>
    </w:p>
    <w:p>
      <w:pPr>
        <w:pStyle w:val="118"/>
        <w:adjustRightInd w:val="0"/>
        <w:snapToGrid w:val="0"/>
        <w:spacing w:line="360" w:lineRule="auto"/>
        <w:ind w:firstLine="422"/>
        <w:rPr>
          <w:rFonts w:asciiTheme="minorEastAsia" w:hAnsiTheme="minorEastAsia" w:eastAsiaTheme="minorEastAsia"/>
          <w:b/>
          <w:i/>
          <w:u w:val="single"/>
        </w:rPr>
      </w:pPr>
      <w:r>
        <w:rPr>
          <w:rFonts w:hint="eastAsia" w:asciiTheme="minorEastAsia" w:hAnsiTheme="minorEastAsia" w:eastAsiaTheme="minorEastAsia"/>
          <w:b/>
          <w:i/>
          <w:u w:val="single"/>
        </w:rPr>
        <w:t>如果社会资本在投标文件及其中的法律方案中提出包括但不限于下列任一变更要求，则第</w:t>
      </w:r>
      <w:r>
        <w:fldChar w:fldCharType="begin"/>
      </w:r>
      <w:r>
        <w:instrText xml:space="preserve"> REF _Ref494370842 \r \h  \* MERGEFORMAT </w:instrText>
      </w:r>
      <w:r>
        <w:fldChar w:fldCharType="separate"/>
      </w:r>
      <w:r>
        <w:rPr>
          <w:rFonts w:asciiTheme="minorEastAsia" w:hAnsiTheme="minorEastAsia" w:eastAsiaTheme="minorEastAsia"/>
          <w:b/>
          <w:i/>
          <w:u w:val="single"/>
        </w:rPr>
        <w:t>15.5</w:t>
      </w:r>
      <w:r>
        <w:rPr>
          <w:rFonts w:asciiTheme="minorEastAsia" w:hAnsiTheme="minorEastAsia" w:eastAsiaTheme="minorEastAsia"/>
          <w:b/>
          <w:i/>
          <w:u w:val="single"/>
        </w:rPr>
        <w:fldChar w:fldCharType="end"/>
      </w:r>
      <w:r>
        <w:rPr>
          <w:rFonts w:hint="eastAsia" w:asciiTheme="minorEastAsia" w:hAnsiTheme="minorEastAsia" w:eastAsiaTheme="minorEastAsia"/>
          <w:b/>
          <w:i/>
          <w:u w:val="single"/>
        </w:rPr>
        <w:t>条所述的实质性变更建议将不会被接受，并且会导致采购人和集中采购机构拒绝其整份投标文件；</w:t>
      </w:r>
    </w:p>
    <w:p>
      <w:pPr>
        <w:pStyle w:val="118"/>
        <w:adjustRightInd w:val="0"/>
        <w:snapToGrid w:val="0"/>
        <w:spacing w:line="360" w:lineRule="auto"/>
        <w:ind w:firstLine="422"/>
        <w:rPr>
          <w:rFonts w:asciiTheme="minorEastAsia" w:hAnsiTheme="minorEastAsia" w:eastAsiaTheme="minorEastAsia"/>
          <w:b/>
          <w:i/>
          <w:u w:val="single"/>
        </w:rPr>
      </w:pPr>
      <w:r>
        <w:rPr>
          <w:rFonts w:hint="eastAsia" w:asciiTheme="minorEastAsia" w:hAnsiTheme="minorEastAsia" w:eastAsiaTheme="minorEastAsia"/>
          <w:b/>
          <w:i/>
          <w:u w:val="single"/>
        </w:rPr>
        <w:t>（1）要求采购人或南京市栖霞区相关职能部门提供本项目内部收益率或其他固定回报的保证；</w:t>
      </w:r>
    </w:p>
    <w:p>
      <w:pPr>
        <w:pStyle w:val="118"/>
        <w:adjustRightInd w:val="0"/>
        <w:snapToGrid w:val="0"/>
        <w:spacing w:line="360" w:lineRule="auto"/>
        <w:ind w:firstLine="422"/>
        <w:rPr>
          <w:rFonts w:asciiTheme="minorEastAsia" w:hAnsiTheme="minorEastAsia" w:eastAsiaTheme="minorEastAsia"/>
          <w:b/>
          <w:i/>
          <w:u w:val="single"/>
        </w:rPr>
      </w:pPr>
      <w:r>
        <w:rPr>
          <w:rFonts w:hint="eastAsia" w:asciiTheme="minorEastAsia" w:hAnsiTheme="minorEastAsia" w:eastAsiaTheme="minorEastAsia"/>
          <w:b/>
          <w:i/>
          <w:u w:val="single"/>
        </w:rPr>
        <w:t>（</w:t>
      </w:r>
      <w:r>
        <w:rPr>
          <w:rFonts w:asciiTheme="minorEastAsia" w:hAnsiTheme="minorEastAsia" w:eastAsiaTheme="minorEastAsia"/>
          <w:b/>
          <w:i/>
          <w:u w:val="single"/>
        </w:rPr>
        <w:t>2</w:t>
      </w:r>
      <w:r>
        <w:rPr>
          <w:rFonts w:hint="eastAsia" w:asciiTheme="minorEastAsia" w:hAnsiTheme="minorEastAsia" w:eastAsiaTheme="minorEastAsia"/>
          <w:b/>
          <w:i/>
          <w:u w:val="single"/>
        </w:rPr>
        <w:t>）要求改变本招标文件第三部分（不可谈判的核心条款）；</w:t>
      </w:r>
    </w:p>
    <w:p>
      <w:pPr>
        <w:pStyle w:val="118"/>
        <w:adjustRightInd w:val="0"/>
        <w:snapToGrid w:val="0"/>
        <w:spacing w:line="360" w:lineRule="auto"/>
        <w:ind w:firstLine="422"/>
        <w:rPr>
          <w:rFonts w:asciiTheme="minorEastAsia" w:hAnsiTheme="minorEastAsia" w:eastAsiaTheme="minorEastAsia"/>
          <w:b/>
          <w:i/>
          <w:u w:val="single"/>
        </w:rPr>
      </w:pPr>
      <w:r>
        <w:rPr>
          <w:rFonts w:hint="eastAsia" w:asciiTheme="minorEastAsia" w:hAnsiTheme="minorEastAsia" w:eastAsiaTheme="minorEastAsia"/>
          <w:b/>
          <w:i/>
          <w:u w:val="single"/>
        </w:rPr>
        <w:t>（</w:t>
      </w:r>
      <w:r>
        <w:rPr>
          <w:rFonts w:asciiTheme="minorEastAsia" w:hAnsiTheme="minorEastAsia" w:eastAsiaTheme="minorEastAsia"/>
          <w:b/>
          <w:i/>
          <w:u w:val="single"/>
        </w:rPr>
        <w:t>3</w:t>
      </w:r>
      <w:r>
        <w:rPr>
          <w:rFonts w:hint="eastAsia" w:asciiTheme="minorEastAsia" w:hAnsiTheme="minorEastAsia" w:eastAsiaTheme="minorEastAsia"/>
          <w:b/>
          <w:i/>
          <w:u w:val="single"/>
        </w:rPr>
        <w:t>）要求改变招标文件中描述的项目投资结构和变更投资主体；</w:t>
      </w:r>
    </w:p>
    <w:p>
      <w:pPr>
        <w:pStyle w:val="118"/>
        <w:adjustRightInd w:val="0"/>
        <w:snapToGrid w:val="0"/>
        <w:spacing w:line="360" w:lineRule="auto"/>
        <w:ind w:firstLine="422"/>
        <w:rPr>
          <w:rFonts w:asciiTheme="minorEastAsia" w:hAnsiTheme="minorEastAsia" w:eastAsiaTheme="minorEastAsia"/>
          <w:b/>
        </w:rPr>
      </w:pPr>
      <w:r>
        <w:rPr>
          <w:rFonts w:hint="eastAsia" w:asciiTheme="minorEastAsia" w:hAnsiTheme="minorEastAsia" w:eastAsiaTheme="minorEastAsia"/>
          <w:b/>
          <w:i/>
          <w:u w:val="single"/>
        </w:rPr>
        <w:t>（</w:t>
      </w:r>
      <w:r>
        <w:rPr>
          <w:rFonts w:asciiTheme="minorEastAsia" w:hAnsiTheme="minorEastAsia" w:eastAsiaTheme="minorEastAsia"/>
          <w:b/>
          <w:i/>
          <w:u w:val="single"/>
        </w:rPr>
        <w:t>4</w:t>
      </w:r>
      <w:r>
        <w:rPr>
          <w:rFonts w:hint="eastAsia" w:asciiTheme="minorEastAsia" w:hAnsiTheme="minorEastAsia" w:eastAsiaTheme="minorEastAsia"/>
          <w:b/>
          <w:i/>
          <w:u w:val="single"/>
        </w:rPr>
        <w:t>）对招标文件中的项目协议的条款提出不利于采购人的其他实质性变更。</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5" w:name="_Toc529805789"/>
      <w:r>
        <w:rPr>
          <w:rFonts w:hint="eastAsia" w:asciiTheme="minorEastAsia" w:hAnsiTheme="minorEastAsia" w:eastAsiaTheme="minorEastAsia"/>
          <w:b/>
        </w:rPr>
        <w:t>投标保证金</w:t>
      </w:r>
      <w:bookmarkEnd w:id="165"/>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本项目投标不需要缴纳投标保证金。</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6" w:name="_Toc529805790"/>
      <w:r>
        <w:rPr>
          <w:rFonts w:hint="eastAsia" w:asciiTheme="minorEastAsia" w:hAnsiTheme="minorEastAsia" w:eastAsiaTheme="minorEastAsia"/>
          <w:b/>
        </w:rPr>
        <w:t>投标文件的语言</w:t>
      </w:r>
      <w:bookmarkEnd w:id="166"/>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（1）社会资本提交的投标文件以及社会资本与集中采购机构就有关采购活动的所有来往通知、函件和文件均应使用简体中文。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（2）除技术性能另有规定外，投标文件所使用的度量衡单位，均须采用国家法定计量单位。</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7" w:name="_Toc529805791"/>
      <w:r>
        <w:rPr>
          <w:rFonts w:hint="eastAsia" w:asciiTheme="minorEastAsia" w:hAnsiTheme="minorEastAsia" w:eastAsiaTheme="minorEastAsia"/>
          <w:b/>
        </w:rPr>
        <w:t>投标文件的份数</w:t>
      </w:r>
      <w:bookmarkEnd w:id="16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（1）社会资本应准备投标文件份数详见招标公告，每份投标文件须清楚地标明“正本”或“副本”字样。一旦正本和副本不符，以正本为准。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投标文件正本中，除招标文件规定的可提交复印件外，其他文件均须提交原件，文字材料需打印或用不褪色墨水书写。投标文件的正本须经法定代表人或代理人签署和加盖社会资本公章。本招标文件所表述的公章是指法定名称章，不包括合同专用章、业务专用章等印章。</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68" w:name="_Toc529805792"/>
      <w:r>
        <w:rPr>
          <w:rFonts w:hint="eastAsia" w:asciiTheme="minorEastAsia" w:hAnsiTheme="minorEastAsia" w:eastAsiaTheme="minorEastAsia"/>
          <w:b/>
        </w:rPr>
        <w:t>投标文件的式样和签署</w:t>
      </w:r>
      <w:bookmarkEnd w:id="168"/>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（1）投标文件正本必须打印，副本可以正本为底本进行复印。投标文件正本中的“投资申请书”、“授权委托书”、“开标一览表”必须为按照格式要求提供的原件。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（2）除社会资本对差错处做必要修改外，投标文件不得行间插字、涂改和增删。如有修改错漏处，必须由社会资本的法定代表人或其代理人签字确认。</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（3）开标一览表另行准备一份单独密封在信封中，在投标截止时间前与投标文件分别提交。</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69" w:name="_Toc529805793"/>
      <w:r>
        <w:rPr>
          <w:rFonts w:hint="eastAsia" w:asciiTheme="minorEastAsia" w:hAnsiTheme="minorEastAsia" w:eastAsiaTheme="minorEastAsia"/>
          <w:b/>
          <w:sz w:val="28"/>
          <w:szCs w:val="28"/>
        </w:rPr>
        <w:t>现场考察和答疑会</w:t>
      </w:r>
      <w:bookmarkEnd w:id="169"/>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0" w:name="_Toc529805794"/>
      <w:r>
        <w:rPr>
          <w:rFonts w:hint="eastAsia" w:asciiTheme="minorEastAsia" w:hAnsiTheme="minorEastAsia" w:eastAsiaTheme="minorEastAsia"/>
          <w:b/>
        </w:rPr>
        <w:t>现场考察和答疑会</w:t>
      </w:r>
      <w:bookmarkEnd w:id="170"/>
    </w:p>
    <w:p>
      <w:pPr>
        <w:pStyle w:val="118"/>
        <w:numPr>
          <w:ilvl w:val="1"/>
          <w:numId w:val="17"/>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现场考察</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（1）社会资本在认真研究招标文件中的有关资料和附件后可参加现场考察。</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（2）社会资本须自行验证在招标文件中由采购人和集中采购机构提供的信息和材料，并承担因此发生的一切费用。</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w:t>
      </w:r>
      <w:bookmarkStart w:id="171" w:name="_Hlk527452747"/>
      <w:r>
        <w:rPr>
          <w:rFonts w:hint="eastAsia" w:asciiTheme="minorEastAsia" w:hAnsiTheme="minorEastAsia" w:eastAsiaTheme="minorEastAsia"/>
        </w:rPr>
        <w:t>采购人统一组织现场考察，请社会资本在现场考察日期到场参加。</w:t>
      </w:r>
      <w:bookmarkEnd w:id="171"/>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（4）为便于社会资本全面了解本项目的情况，采购人设立了项目资料库。资料库汇集了与本次采购有关的各类文件和资料。社会资本与采购人事先联系后，可前往采购人项目资料库查阅文件和资料。</w:t>
      </w:r>
    </w:p>
    <w:p>
      <w:pPr>
        <w:pStyle w:val="118"/>
        <w:numPr>
          <w:ilvl w:val="1"/>
          <w:numId w:val="17"/>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答疑会</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（1）通过资格预审的社会资本可按照本招标文件规定的时间和地点参加答疑会,并在答疑会现场提交书面的答疑问题。</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（2）采购人和集中采购机构将对招标文件的相关规定、要求做出说明。</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（3）参加答疑会并非是对社会资本的强制性要求。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（4）采购人和集中采购机构将根据答疑会的问询和答复制作澄清或修改文件，并发布变更公告，社会资本应将该澄清或修改文件作为准备投标文件的基础之一。</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（5）澄清或修改文件应视作招标文件的组成部分。除非澄清或修改文件中已作明确说明，否则，答疑会上的口头陈述不构成招标文件组成部分。</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72" w:name="_Toc529805795"/>
      <w:r>
        <w:rPr>
          <w:rFonts w:hint="eastAsia" w:asciiTheme="minorEastAsia" w:hAnsiTheme="minorEastAsia" w:eastAsiaTheme="minorEastAsia"/>
          <w:b/>
          <w:sz w:val="28"/>
          <w:szCs w:val="28"/>
        </w:rPr>
        <w:t>投标文件的提交</w:t>
      </w:r>
      <w:bookmarkEnd w:id="172"/>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3" w:name="_Ref494370521"/>
      <w:bookmarkStart w:id="174" w:name="_Toc529805796"/>
      <w:r>
        <w:rPr>
          <w:rFonts w:hint="eastAsia" w:asciiTheme="minorEastAsia" w:hAnsiTheme="minorEastAsia" w:eastAsiaTheme="minorEastAsia"/>
          <w:b/>
        </w:rPr>
        <w:t>提交截止时间</w:t>
      </w:r>
      <w:bookmarkEnd w:id="173"/>
      <w:bookmarkEnd w:id="174"/>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（1）提交截止时间指社会资本提交投标文件的截止时间，详见本招标文件招标公告。</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（2）集中采购机构拒绝接收在本招标文件招标公告中规定的提交截止时间后提交的任何文件。</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5" w:name="_Toc529805797"/>
      <w:r>
        <w:rPr>
          <w:rFonts w:hint="eastAsia" w:asciiTheme="minorEastAsia" w:hAnsiTheme="minorEastAsia" w:eastAsiaTheme="minorEastAsia"/>
          <w:b/>
        </w:rPr>
        <w:t>提交截止时间的推迟</w:t>
      </w:r>
      <w:bookmarkEnd w:id="175"/>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（1）集中采购机构可以按照规定，通过修改招标文件有权酌情延长提交截止时间，在此情况下，社会资本的所有权利和义务以及社会资本受制的截止时间均应以延长后新的截止时间为准。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（2）集中采购机构将以变更公告和澄清文件的形式及时通知所有的社会资本推迟的提交截止时间。</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6" w:name="_Toc529805798"/>
      <w:r>
        <w:rPr>
          <w:rFonts w:hint="eastAsia" w:asciiTheme="minorEastAsia" w:hAnsiTheme="minorEastAsia" w:eastAsiaTheme="minorEastAsia"/>
          <w:b/>
        </w:rPr>
        <w:t>投标文件的封装与标识</w:t>
      </w:r>
      <w:bookmarkEnd w:id="176"/>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（1）社会资本应将投标文件所有正本和副本密封，不论社会资本中标与否，投标文件均不退回。</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（2）提交的投标文件分为如下三个分册装订：</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第一分册：投标文件综述</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第二分册：技术方案</w:t>
      </w:r>
    </w:p>
    <w:p>
      <w:pPr>
        <w:pStyle w:val="118"/>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第三分册：财务方案与法律方案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（3）密封的投标文件应注明社会资本名称、社会资本地址、项目名称和项目编号。</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（4）未按要求密封和加写标记，集中采购机构对误投或过早启封概不负责。对由此造成提前开封的投标文件，集中采购机构将予以拒绝，作无效投标处理。</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7" w:name="_Toc529805799"/>
      <w:r>
        <w:rPr>
          <w:rFonts w:hint="eastAsia" w:asciiTheme="minorEastAsia" w:hAnsiTheme="minorEastAsia" w:eastAsiaTheme="minorEastAsia"/>
          <w:b/>
        </w:rPr>
        <w:t>投标文件的提交</w:t>
      </w:r>
      <w:bookmarkEnd w:id="17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（1）提交投标文件应派代理人面呈，代理人携带有效居民身份证原件到场提交投标文件。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）社会资本必须按照本招标文件招标公告中规定的提交截止时间、地点提交投标文件。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3</w:t>
      </w:r>
      <w:r>
        <w:rPr>
          <w:rFonts w:hint="eastAsia" w:asciiTheme="minorEastAsia" w:hAnsiTheme="minorEastAsia" w:eastAsiaTheme="minorEastAsia"/>
        </w:rPr>
        <w:t>）逾期送达或未密封的投标文件，采购人、集中采购机构拒收。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4</w:t>
      </w:r>
      <w:r>
        <w:rPr>
          <w:rFonts w:hint="eastAsia" w:asciiTheme="minorEastAsia" w:hAnsiTheme="minorEastAsia" w:eastAsiaTheme="minorEastAsia"/>
        </w:rPr>
        <w:t>）在提交截止时间之后，集中采购机构不允许或不得要求社会资本修改其已提交的投标文件。</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78" w:name="_Toc529805800"/>
      <w:r>
        <w:rPr>
          <w:rFonts w:hint="eastAsia" w:asciiTheme="minorEastAsia" w:hAnsiTheme="minorEastAsia" w:eastAsiaTheme="minorEastAsia"/>
          <w:b/>
        </w:rPr>
        <w:t>向融资机构提交项目协议</w:t>
      </w:r>
      <w:bookmarkEnd w:id="178"/>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（1）社会资本可在第</w:t>
      </w:r>
      <w:r>
        <w:fldChar w:fldCharType="begin"/>
      </w:r>
      <w:r>
        <w:instrText xml:space="preserve"> REF _Ref494370956 \r \h  \* MERGEFORMAT </w:instrText>
      </w:r>
      <w:r>
        <w:fldChar w:fldCharType="separate"/>
      </w:r>
      <w:r>
        <w:rPr>
          <w:rFonts w:asciiTheme="minorEastAsia" w:hAnsiTheme="minorEastAsia" w:eastAsiaTheme="minorEastAsia"/>
        </w:rPr>
        <w:t>5.5</w:t>
      </w:r>
      <w:r>
        <w:rPr>
          <w:rFonts w:asciiTheme="minorEastAsia" w:hAnsiTheme="minorEastAsia" w:eastAsiaTheme="minorEastAsia"/>
        </w:rPr>
        <w:fldChar w:fldCharType="end"/>
      </w:r>
      <w:r>
        <w:rPr>
          <w:rFonts w:hint="eastAsia" w:asciiTheme="minorEastAsia" w:hAnsiTheme="minorEastAsia" w:eastAsiaTheme="minorEastAsia"/>
        </w:rPr>
        <w:t>款前提下将项目协议提交给将为项目提供资金的融资机构。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（2）除非得到明确的书面说明，采购人和集中采购机构假定其所收到的投标文件的所有条款和条件已提交给该社会资本的融资机构并被该社会资本的融资机构所接受。</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79" w:name="_Toc529805801"/>
      <w:r>
        <w:rPr>
          <w:rFonts w:hint="eastAsia" w:asciiTheme="minorEastAsia" w:hAnsiTheme="minorEastAsia" w:eastAsiaTheme="minorEastAsia"/>
          <w:b/>
          <w:sz w:val="28"/>
          <w:szCs w:val="28"/>
        </w:rPr>
        <w:t>有效期</w:t>
      </w:r>
      <w:bookmarkEnd w:id="179"/>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0" w:name="_Toc529805802"/>
      <w:bookmarkStart w:id="181" w:name="_Ref494371127"/>
      <w:r>
        <w:rPr>
          <w:rFonts w:hint="eastAsia" w:asciiTheme="minorEastAsia" w:hAnsiTheme="minorEastAsia" w:eastAsiaTheme="minorEastAsia"/>
          <w:b/>
        </w:rPr>
        <w:t>投标有效期</w:t>
      </w:r>
      <w:bookmarkEnd w:id="180"/>
      <w:bookmarkEnd w:id="181"/>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投标有效期见第</w:t>
      </w:r>
      <w:r>
        <w:fldChar w:fldCharType="begin"/>
      </w:r>
      <w:r>
        <w:instrText xml:space="preserve"> REF _Ref494371003 \r \h  \* MERGEFORMAT </w:instrText>
      </w:r>
      <w:r>
        <w:fldChar w:fldCharType="separate"/>
      </w:r>
      <w:r>
        <w:rPr>
          <w:rFonts w:asciiTheme="minorEastAsia" w:hAnsiTheme="minorEastAsia" w:eastAsiaTheme="minorEastAsia"/>
        </w:rPr>
        <w:t>1.1.10</w:t>
      </w:r>
      <w:r>
        <w:rPr>
          <w:rFonts w:asciiTheme="minorEastAsia" w:hAnsiTheme="minorEastAsia" w:eastAsiaTheme="minorEastAsia"/>
        </w:rPr>
        <w:fldChar w:fldCharType="end"/>
      </w:r>
      <w:r>
        <w:rPr>
          <w:rFonts w:hint="eastAsia" w:asciiTheme="minorEastAsia" w:hAnsiTheme="minorEastAsia" w:eastAsiaTheme="minorEastAsia"/>
        </w:rPr>
        <w:t>条款。投标有效期比招标文件规定期限短的将被视为非响应性文件而被拒绝。</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2" w:name="_Toc529805803"/>
      <w:bookmarkStart w:id="183" w:name="_Ref494371133"/>
      <w:r>
        <w:rPr>
          <w:rFonts w:hint="eastAsia" w:asciiTheme="minorEastAsia" w:hAnsiTheme="minorEastAsia" w:eastAsiaTheme="minorEastAsia"/>
          <w:b/>
        </w:rPr>
        <w:t>投标有效期的延长</w:t>
      </w:r>
      <w:bookmarkEnd w:id="182"/>
      <w:bookmarkEnd w:id="183"/>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在特殊情况下，集中采购机构于原投标有效期满之前，可向社会资本提出延长投标有效期的要求。这种要求与答复均应采用书面形式。社会资本可以拒绝集中采购机构的这一要求而放弃投标。同意延长投标有效期的社会资本既不能要求也不允许修改其投标文件，同时受投标有效期约束的所有权利与义务均延长至新的有效期。</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4" w:name="_Toc529805804"/>
      <w:r>
        <w:rPr>
          <w:rFonts w:hint="eastAsia" w:asciiTheme="minorEastAsia" w:hAnsiTheme="minorEastAsia" w:eastAsiaTheme="minorEastAsia"/>
          <w:b/>
        </w:rPr>
        <w:t>投标保证金的有效期和退还</w:t>
      </w:r>
      <w:bookmarkEnd w:id="184"/>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本项目不需缴纳投标保证金</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85" w:name="_Toc529805805"/>
      <w:r>
        <w:rPr>
          <w:rFonts w:hint="eastAsia" w:asciiTheme="minorEastAsia" w:hAnsiTheme="minorEastAsia" w:eastAsiaTheme="minorEastAsia"/>
          <w:b/>
          <w:sz w:val="28"/>
          <w:szCs w:val="28"/>
        </w:rPr>
        <w:t>投标文件的澄清和拒绝</w:t>
      </w:r>
      <w:bookmarkEnd w:id="185"/>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6" w:name="_Toc529805806"/>
      <w:r>
        <w:rPr>
          <w:rFonts w:hint="eastAsia" w:asciiTheme="minorEastAsia" w:hAnsiTheme="minorEastAsia" w:eastAsiaTheme="minorEastAsia"/>
          <w:b/>
        </w:rPr>
        <w:t>对错误的纠正</w:t>
      </w:r>
      <w:bookmarkEnd w:id="186"/>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对于实质性响应的投标文件计算上或累加上的算术错误修正原则如下参见本须知第</w:t>
      </w:r>
      <w:r>
        <w:fldChar w:fldCharType="begin"/>
      </w:r>
      <w:r>
        <w:instrText xml:space="preserve"> REF _Ref494371598 \r \h  \* MERGEFORMAT </w:instrText>
      </w:r>
      <w:r>
        <w:fldChar w:fldCharType="separate"/>
      </w:r>
      <w:r>
        <w:rPr>
          <w:rFonts w:asciiTheme="minorEastAsia" w:hAnsiTheme="minorEastAsia" w:eastAsiaTheme="minorEastAsia"/>
        </w:rPr>
        <w:t>35.134.3</w:t>
      </w:r>
      <w:r>
        <w:rPr>
          <w:rFonts w:asciiTheme="minorEastAsia" w:hAnsiTheme="minorEastAsia" w:eastAsiaTheme="minorEastAsia"/>
        </w:rPr>
        <w:fldChar w:fldCharType="end"/>
      </w:r>
      <w:r>
        <w:rPr>
          <w:rFonts w:hint="eastAsia" w:asciiTheme="minorEastAsia" w:hAnsiTheme="minorEastAsia" w:eastAsiaTheme="minorEastAsia"/>
        </w:rPr>
        <w:t>条。</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7" w:name="_Toc529805807"/>
      <w:r>
        <w:rPr>
          <w:rFonts w:hint="eastAsia" w:asciiTheme="minorEastAsia" w:hAnsiTheme="minorEastAsia" w:eastAsiaTheme="minorEastAsia"/>
          <w:b/>
        </w:rPr>
        <w:t>投标文件的澄清</w:t>
      </w:r>
      <w:bookmarkEnd w:id="18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（1）评审期间，为有助于对投标文件的审查、评价和比较，评审小组有权要求社会资本对其投标文件进行澄清，但并非对每个社会资本都作澄清要求。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对投标文件中含义不明确、同类问题表述不一致或者有明显文字和计算错误的内容，评审小组可以书面形式要求社会资本作出必要的澄清、说明或者补正。但不得超出投标文件的范围或者改变投标文件的实质性内容。社会资本提交的用以澄清其投标文件的进一步的资料应在不影响其投标文件实质性内容的前提下被接受。</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接到评审小组澄清要求的社会资本应派人按评审小组通知的时间和地点做出书面澄清，社会资本的澄清、说明或补正应当采用书面形式，并加盖公章或者由其法定代表人或代理人签字，并作为投标文件的补充部分，社会资本的澄清、说明或补正不得超出投标文件范围或者改变投标文件的实质性内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（3）接到评审小组澄清要求的社会资本如未按规定做出澄清，其风险由社会资本自行承担。</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8" w:name="_Toc529805808"/>
      <w:r>
        <w:rPr>
          <w:rFonts w:hint="eastAsia" w:asciiTheme="minorEastAsia" w:hAnsiTheme="minorEastAsia" w:eastAsiaTheme="minorEastAsia"/>
          <w:b/>
        </w:rPr>
        <w:t>投标无效条款和废标条款</w:t>
      </w:r>
      <w:bookmarkEnd w:id="188"/>
    </w:p>
    <w:p>
      <w:pPr>
        <w:pStyle w:val="118"/>
        <w:numPr>
          <w:ilvl w:val="1"/>
          <w:numId w:val="18"/>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投标无效条款</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社会资本存在下列情况之一的，投标无效：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）投标文件未按招标文件要求密封、签署、盖章的；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）不具备招标文件中规定的资格要求的；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3</w:t>
      </w:r>
      <w:r>
        <w:rPr>
          <w:rFonts w:hint="eastAsia" w:asciiTheme="minorEastAsia" w:hAnsiTheme="minorEastAsia" w:eastAsiaTheme="minorEastAsia"/>
        </w:rPr>
        <w:t>）报价超过招标文件中规定的预算金额或者最高限价的；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4</w:t>
      </w:r>
      <w:r>
        <w:rPr>
          <w:rFonts w:hint="eastAsia" w:asciiTheme="minorEastAsia" w:hAnsiTheme="minorEastAsia" w:eastAsiaTheme="minorEastAsia"/>
        </w:rPr>
        <w:t>）投标文件含有采购人不能接受的附加条件的；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5</w:t>
      </w:r>
      <w:r>
        <w:rPr>
          <w:rFonts w:hint="eastAsia" w:asciiTheme="minorEastAsia" w:hAnsiTheme="minorEastAsia" w:eastAsiaTheme="minorEastAsia"/>
        </w:rPr>
        <w:t>）报价时采用选择性报价的；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6</w:t>
      </w:r>
      <w:r>
        <w:rPr>
          <w:rFonts w:hint="eastAsia" w:asciiTheme="minorEastAsia" w:hAnsiTheme="minorEastAsia" w:eastAsiaTheme="minorEastAsia"/>
        </w:rPr>
        <w:t>）未通过初步评审的；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（7）不符合招标文件中规定的其他实质性要求和条件的（本招标文件中斜体且有下划线部分为实质性要求和条件）；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（8）建安工程费下浮率低于5%的；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（9）资本金预期回报率高于7%的；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0）借入资金综合融资成本高于2020年1月20日公布的五年期贷款市场报价利率LPR（4.80%）加上108</w:t>
      </w:r>
      <w:r>
        <w:rPr>
          <w:rFonts w:hint="eastAsia" w:asciiTheme="minorEastAsia" w:hAnsiTheme="minorEastAsia" w:eastAsiaTheme="minorEastAsia"/>
          <w:color w:val="000000" w:themeColor="text1"/>
        </w:rPr>
        <w:t>个BP（1</w:t>
      </w:r>
      <w:r>
        <w:rPr>
          <w:rFonts w:hint="eastAsia" w:asciiTheme="minorEastAsia" w:hAnsiTheme="minorEastAsia" w:eastAsiaTheme="minorEastAsia"/>
        </w:rPr>
        <w:t>个BP等于0.01个百分点），即5.88%的；</w:t>
      </w:r>
    </w:p>
    <w:p>
      <w:pPr>
        <w:pStyle w:val="118"/>
        <w:adjustRightInd w:val="0"/>
        <w:snapToGrid w:val="0"/>
        <w:spacing w:line="360" w:lineRule="auto"/>
        <w:rPr>
          <w:rFonts w:asciiTheme="minorEastAsia" w:hAnsiTheme="minorEastAsia" w:eastAsiaTheme="minorEastAsia"/>
          <w:color w:val="FF0000"/>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1）运营成本合理利润率高于7%的。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2）项目产出物销售收入低于 56270.29 万元的；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3）运营成本高于 58753.95 万元的；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4）运营期内餐厨废弃物收运低于 2166457.50 吨的。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5）其他法律、法规及本招标文件规定的属无效投标的情形。</w:t>
      </w:r>
    </w:p>
    <w:p>
      <w:pPr>
        <w:pStyle w:val="118"/>
        <w:adjustRightInd w:val="0"/>
        <w:snapToGrid w:val="0"/>
        <w:spacing w:line="360" w:lineRule="auto"/>
        <w:rPr>
          <w:rFonts w:ascii="宋体" w:hAnsi="宋体"/>
          <w:lang w:val="zh-CN"/>
        </w:rPr>
      </w:pPr>
      <w:r>
        <w:rPr>
          <w:rFonts w:hint="eastAsia" w:ascii="宋体" w:hAnsi="宋体"/>
          <w:lang w:val="zh-CN"/>
        </w:rPr>
        <w:t>（</w:t>
      </w:r>
      <w:r>
        <w:rPr>
          <w:rFonts w:ascii="宋体" w:hAnsi="宋体"/>
          <w:lang w:val="zh-CN"/>
        </w:rPr>
        <w:t>1</w:t>
      </w:r>
      <w:r>
        <w:rPr>
          <w:rFonts w:hint="eastAsia" w:ascii="宋体" w:hAnsi="宋体"/>
          <w:lang w:val="zh-CN"/>
        </w:rPr>
        <w:t>6）没有《开标一览表》或《开标一览表》未按招标文件要求盖章的；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7）不同投标人的投标文件由同一单位或者个人编制；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w:t>
      </w:r>
      <w:r>
        <w:rPr>
          <w:rFonts w:hint="eastAsia" w:asciiTheme="minorEastAsia" w:hAnsiTheme="minorEastAsia" w:eastAsiaTheme="minorEastAsia"/>
        </w:rPr>
        <w:t>8）不同投标人委托同一单位或者个人办理投标事宜；</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（19）不同投标人的投标文件载明的项目管理成员或者联系人员为同一人；</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0）不同投标人的投标文件异常一致或者投标报价呈规律性差异；</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1）不同投标人的投标文件相互混装；</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2）不同投标人的投标保证金从同一单位或者个人的帐户转出；</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3）不同投标人的法定代表人或委托代理人有夫妻、直系血亲关系的；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4）不同投标人的负责人为同一人或者存在控股、管理关系的；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5）投标文件含有采购人不能接受的附加条件的；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6）评标委员会认为投标人的报价明显低于其他通过符合性审查投标人的报价，有可能影响服务质量或者不能诚信履约的，未在评标现场合理的时间内提供书面说明或相关证明材料，不能证明其报价合理的。</w:t>
      </w:r>
    </w:p>
    <w:p>
      <w:pPr>
        <w:pStyle w:val="118"/>
        <w:numPr>
          <w:ilvl w:val="1"/>
          <w:numId w:val="18"/>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废标条款</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本项目的废标条款如下：</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（1）符合资格条件的社会资本或者对招标文件作实质响应的社会资本不足三家的；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（2）出现影响采购公正的违法、违规行为的；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（3）因重大变故，采购任务取消的；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（4）评审小组认定招标文件存在歧义、重大缺陷导致评审工作无法进行。</w:t>
      </w:r>
    </w:p>
    <w:p>
      <w:pPr>
        <w:pStyle w:val="118"/>
        <w:numPr>
          <w:ilvl w:val="1"/>
          <w:numId w:val="18"/>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提交截止时间结束后参加竞争的社会资本不足3家的处理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如提交截止时间结束后参加投标的社会资本或者在评审期间对招标文件做出实质响应的社会资本不足3家，将按照政府采购的相关法律、行政法规处理。</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89" w:name="_Toc529805809"/>
      <w:r>
        <w:rPr>
          <w:rFonts w:hint="eastAsia" w:asciiTheme="minorEastAsia" w:hAnsiTheme="minorEastAsia" w:eastAsiaTheme="minorEastAsia"/>
          <w:b/>
        </w:rPr>
        <w:t>拒绝投标文件</w:t>
      </w:r>
      <w:bookmarkEnd w:id="189"/>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如采购人有理由，可拒绝任何一份投标文件或拒绝所有投标文件。</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90" w:name="_Toc529805810"/>
      <w:r>
        <w:rPr>
          <w:rFonts w:hint="eastAsia" w:asciiTheme="minorEastAsia" w:hAnsiTheme="minorEastAsia" w:eastAsiaTheme="minorEastAsia"/>
          <w:b/>
          <w:sz w:val="28"/>
          <w:szCs w:val="28"/>
        </w:rPr>
        <w:t>开标和评标</w:t>
      </w:r>
      <w:bookmarkEnd w:id="190"/>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91" w:name="_Toc529805811"/>
      <w:r>
        <w:rPr>
          <w:rFonts w:hint="eastAsia" w:asciiTheme="minorEastAsia" w:hAnsiTheme="minorEastAsia" w:eastAsiaTheme="minorEastAsia"/>
          <w:b/>
        </w:rPr>
        <w:t>开标</w:t>
      </w:r>
      <w:bookmarkEnd w:id="191"/>
    </w:p>
    <w:p>
      <w:pPr>
        <w:pStyle w:val="118"/>
        <w:numPr>
          <w:ilvl w:val="1"/>
          <w:numId w:val="19"/>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开标前准备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（1）集中采购机构将在招标文件中规定的时间和地点组织公开开标。开标仪式由集中采购机构组织，采购人、公证员（如有）、监管、社会资本等参加。</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（2）所有已提交投标文件的社会资本的法定代表人或其代理人须准时出席开标仪式，且在集中采购机构准备的签到簿上签名，以证明其出席。</w:t>
      </w:r>
    </w:p>
    <w:p>
      <w:pPr>
        <w:pStyle w:val="118"/>
        <w:numPr>
          <w:ilvl w:val="1"/>
          <w:numId w:val="19"/>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开标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（1）在开标仪式上，集中采购机构将当众宣布投标文件的提交情况，提交投标文件的社会资本不足3家的，不得开标。</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（2）开标时，由社会资本或其推选的代表检查投标文件的密封情况。</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社会资本的投标文件密封情况经确认无误后，由采购人或集中采购机构工作人员按照提交投标文件的顺序当众依次拆封，宣布“开标一览表”中的社会资本名称、投标价格和招标文件规定的需要宣布的其他内容。未宣读的投标价格、价格折扣和招标文件允许提供的备选投标方案等实质性内容，评标时不予承认。</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（4）集中采购机构将指定专人负责开标记录，由参加开标的社会资本代理人和相关工作人员签字确认后随招标文件一并存档。</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社会资本代理人对开标过程或开标记录有疑义，以及认为采购人、集中采购机构相关工作人员有需要回避情形的，应当场提出询问或者回避申请。采购人或集中采购机构对社会资本代理人提出的询问或者回避申请应当及时处理。社会资本未参加开标的，视同认可开标结果。</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92" w:name="_Toc529805812"/>
      <w:r>
        <w:rPr>
          <w:rFonts w:hint="eastAsia" w:asciiTheme="minorEastAsia" w:hAnsiTheme="minorEastAsia" w:eastAsiaTheme="minorEastAsia"/>
          <w:b/>
        </w:rPr>
        <w:t>评审</w:t>
      </w:r>
      <w:bookmarkEnd w:id="192"/>
    </w:p>
    <w:p>
      <w:pPr>
        <w:pStyle w:val="118"/>
        <w:numPr>
          <w:ilvl w:val="1"/>
          <w:numId w:val="2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评审小组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（1）开标后，采购人和集中采购机构将立即组织评审小组对社会资本的投标文件进行评审。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（2）评审小组由采购人代表和评审专家共</w:t>
      </w:r>
      <w:r>
        <w:rPr>
          <w:rFonts w:asciiTheme="minorEastAsia" w:hAnsiTheme="minorEastAsia" w:eastAsiaTheme="minorEastAsia"/>
        </w:rPr>
        <w:t>7</w:t>
      </w:r>
      <w:r>
        <w:rPr>
          <w:rFonts w:hint="eastAsia" w:asciiTheme="minorEastAsia" w:hAnsiTheme="minorEastAsia" w:eastAsiaTheme="minorEastAsia"/>
        </w:rPr>
        <w:t>人以上单数组成，且成员数量、构成及组建方式符合政府采购相关法律、法规和规章等文件的规定。</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（3）评审小组独立工作，负责评审所有投标文件并确定候选社会资本及排名。</w:t>
      </w:r>
    </w:p>
    <w:p>
      <w:pPr>
        <w:pStyle w:val="118"/>
        <w:numPr>
          <w:ilvl w:val="1"/>
          <w:numId w:val="2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评审基本原则和方法</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（1）由采购人和集中采购机构组建的评审小组对社会资本提交的投标文件进行评审，评审将严格按照“公平、公正、科学、择优”的原则进行。</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（2）本项目采用综合评分法，评审小组将对投标文件进行综合评审，具体评审方法和社会资本的选择方法和程序将按照本须知的相关规定进行。</w:t>
      </w:r>
    </w:p>
    <w:p>
      <w:pPr>
        <w:pStyle w:val="118"/>
        <w:numPr>
          <w:ilvl w:val="1"/>
          <w:numId w:val="20"/>
        </w:numPr>
        <w:tabs>
          <w:tab w:val="left" w:pos="567"/>
        </w:tabs>
        <w:adjustRightInd w:val="0"/>
        <w:snapToGrid w:val="0"/>
        <w:spacing w:line="360" w:lineRule="auto"/>
        <w:ind w:left="0" w:firstLine="0" w:firstLineChars="0"/>
        <w:rPr>
          <w:rFonts w:asciiTheme="minorEastAsia" w:hAnsiTheme="minorEastAsia" w:eastAsiaTheme="minorEastAsia"/>
          <w:b/>
        </w:rPr>
      </w:pPr>
      <w:bookmarkStart w:id="193" w:name="_Ref494371598"/>
      <w:r>
        <w:rPr>
          <w:rFonts w:hint="eastAsia" w:asciiTheme="minorEastAsia" w:hAnsiTheme="minorEastAsia" w:eastAsiaTheme="minorEastAsia"/>
          <w:b/>
        </w:rPr>
        <w:t>投标文件的初步评审</w:t>
      </w:r>
      <w:bookmarkEnd w:id="193"/>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（1）在详细评标之前，评审小组将首先审查每份投标文件是否实质性响应了招标文件的要求。实质性响应的投标文件应该是与招标文件要求的全部条款、条件和规格相符，没有重大偏离或保留的投标文件。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所谓重大偏离或保留是指与招标文件规定的实质性要求存在负偏离，或者在实质上与招标文件不一致，而且限制了合同中采购人的权利或社会资本的义务，纠正这些偏离或保留将会对其他实质性响应要求的社会资本的竞争地位产生不公正的影响。重大偏离的认定需经过评审小组三分之二及以上成员的认定。评审小组决定投标文件的响应性只根据投标文件本身的内容，而不寻求外部的证据。</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（3）如果投标文件实质上没有响应招标文件的要求，评审小组将予以拒绝，社会资本不得通过修改或撤销不合要求的偏离或保留而使其投标文件成为实质性响应的文件。</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（4）评审小组将对确定为实质性响应的投标文件进行进一步审核，看其是否有计算上或累加上的算术错误，投标文件报价出现前后不一致的，按照下列规定修正：</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1）开标时，开标一览表（报价表）内容与投标文件中相应内容不一致的，以开标一览表（报价表）为准；</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2）投标文件、开标一览表（报价表）中报价的大写金额和小写金额不一致的，以大写金额为准；</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3）单价金额小数点或者百分比有明显错位的，以开标一览表（报价表）总价为准，并修改单价；</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4）总价金额与按单价汇总金额不一致的，以单价金额计算结果为准；</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5）对不同文字文本投标文件的解释发生异议的，以中文文本为准。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（5）同时出现两种以上不一致的，按照前款规定的顺序修正，修正后的报价按照本须知第30条的规定经社会资本确认后产生约束力，社会资本不确认的，其投标无效。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（6）评审小组将允许修正投标文件中不构成重大偏离的、微小的、非正规的、不一致的或不规则的地方，但这些修改不能影响任何社会资本相应的名次排列。</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7）评审小组认为社会资本的报价明显低于其他通过符合性审查社会资本的报价，有可能影响产品质量或者不能诚信履约的，应当要求其在评标现场合理的时间内提供书面说明，必要时提交相关证明资料；社会资本不能证明其报价合理性的，评审小组应当将其作为无效投标处理。</w:t>
      </w:r>
    </w:p>
    <w:p>
      <w:pPr>
        <w:pStyle w:val="118"/>
        <w:numPr>
          <w:ilvl w:val="1"/>
          <w:numId w:val="20"/>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投标文件的详细评审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详细评审是综合性评审，评审小组将按照招标文件中的评标办法和标准以对各社会资本投标文件中的投标报价、综合实力、技术方案、财务方案和法律方案进行评审。</w:t>
      </w:r>
    </w:p>
    <w:p>
      <w:pPr>
        <w:pStyle w:val="118"/>
        <w:numPr>
          <w:ilvl w:val="0"/>
          <w:numId w:val="2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投标报价的评审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评审小组根据评标办法和标准的规定对社会资本的投标报价进行详细评审，并给出投标报价的得分。</w:t>
      </w:r>
    </w:p>
    <w:p>
      <w:pPr>
        <w:pStyle w:val="118"/>
        <w:numPr>
          <w:ilvl w:val="0"/>
          <w:numId w:val="2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综合实力的评审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评审小组根据评标办法和标准的规定对社会资本的综合实力进行详细评审，并给出综合实力的得分。</w:t>
      </w:r>
    </w:p>
    <w:p>
      <w:pPr>
        <w:pStyle w:val="118"/>
        <w:numPr>
          <w:ilvl w:val="0"/>
          <w:numId w:val="2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技术方案的评审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评审小组根据评标办法和标准的规定对社会资本的技术方案进行详细评审，并给出技术方案的得分。</w:t>
      </w:r>
    </w:p>
    <w:p>
      <w:pPr>
        <w:pStyle w:val="118"/>
        <w:numPr>
          <w:ilvl w:val="0"/>
          <w:numId w:val="2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财务方案的评审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评审小组根据评标办法和标准的规定对社会资本的财务方案进行详细评审，并给出财务方案的得分。</w:t>
      </w:r>
    </w:p>
    <w:p>
      <w:pPr>
        <w:pStyle w:val="118"/>
        <w:numPr>
          <w:ilvl w:val="0"/>
          <w:numId w:val="21"/>
        </w:numPr>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法律方案的评审</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评审小组根据评标办法和标准的规定对社会资本的法律方案进行详细评审，并给出法律方案的得分。</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94" w:name="_Ref494370252"/>
      <w:bookmarkStart w:id="195" w:name="_Toc529805813"/>
      <w:r>
        <w:rPr>
          <w:rFonts w:hint="eastAsia" w:asciiTheme="minorEastAsia" w:hAnsiTheme="minorEastAsia" w:eastAsiaTheme="minorEastAsia"/>
          <w:b/>
        </w:rPr>
        <w:t>社会资本排序</w:t>
      </w:r>
      <w:bookmarkEnd w:id="194"/>
      <w:bookmarkEnd w:id="195"/>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（1）评审专家将在投标报价、综合实力、技术方案、财务方案、法律方案、供应商诚信档案记录评分的评审基础上，对各社会资本给出综合得分。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（2）评审小组将按给出的综合得分从高到低对社会资本进行排序，选出前三家作为候选社会资本。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（3）如果社会资本综合得分相同，则投标报价得分高的社会资本会排在前面；综合得分相同且投标报价得分相同的，按技术方案得分由高到低顺序排列。</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（4）中标社会资本将从候选社会资本中选出。</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96" w:name="_Ref494370462"/>
      <w:bookmarkStart w:id="197" w:name="_Toc529805814"/>
      <w:r>
        <w:rPr>
          <w:rFonts w:hint="eastAsia" w:asciiTheme="minorEastAsia" w:hAnsiTheme="minorEastAsia" w:eastAsiaTheme="minorEastAsia"/>
          <w:b/>
        </w:rPr>
        <w:t>采购结果确认谈判</w:t>
      </w:r>
      <w:bookmarkEnd w:id="196"/>
      <w:bookmarkEnd w:id="19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采购人应成立专门的采购结果确认谈判工作组。按照候选社会资本的排名，依次与候选社会资本及与其合作的融资机构就合同中可变的细节问题进行合同签署前的确认谈判，率先达成一致的即为预中标社会资本。确认谈判不得涉及合同中不可谈判的核心条款（即招标文件第三部分不可谈判的核心条款），不得与排序在前但已终止谈判的候选社会资本进行再次谈判。</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198" w:name="_Toc529805815"/>
      <w:r>
        <w:rPr>
          <w:rFonts w:hint="eastAsia" w:asciiTheme="minorEastAsia" w:hAnsiTheme="minorEastAsia" w:eastAsiaTheme="minorEastAsia"/>
          <w:b/>
          <w:sz w:val="28"/>
          <w:szCs w:val="28"/>
        </w:rPr>
        <w:t>中标社会资本选定</w:t>
      </w:r>
      <w:bookmarkEnd w:id="198"/>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199" w:name="_Ref494371861"/>
      <w:bookmarkStart w:id="200" w:name="_Toc529805816"/>
      <w:r>
        <w:rPr>
          <w:rFonts w:hint="eastAsia" w:asciiTheme="minorEastAsia" w:hAnsiTheme="minorEastAsia" w:eastAsiaTheme="minorEastAsia"/>
          <w:b/>
        </w:rPr>
        <w:t>资格确认</w:t>
      </w:r>
      <w:bookmarkEnd w:id="199"/>
      <w:bookmarkEnd w:id="200"/>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采购人可在必要时要预中标社会资本对其通过资格预审时需要满足或承诺的各项条件进行再次书面确认。</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201" w:name="_Ref494370489"/>
      <w:bookmarkStart w:id="202" w:name="_Toc529805817"/>
      <w:r>
        <w:rPr>
          <w:rFonts w:hint="eastAsia" w:asciiTheme="minorEastAsia" w:hAnsiTheme="minorEastAsia" w:eastAsiaTheme="minorEastAsia"/>
          <w:b/>
        </w:rPr>
        <w:t>中标社会资本选定</w:t>
      </w:r>
      <w:bookmarkEnd w:id="201"/>
      <w:bookmarkEnd w:id="202"/>
    </w:p>
    <w:p>
      <w:pPr>
        <w:pStyle w:val="118"/>
        <w:numPr>
          <w:ilvl w:val="1"/>
          <w:numId w:val="22"/>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确定中标社会资本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（1）采购人将根据第</w:t>
      </w:r>
      <w:r>
        <w:fldChar w:fldCharType="begin"/>
      </w:r>
      <w:r>
        <w:instrText xml:space="preserve"> REF _Ref494370252 \r \h  \* MERGEFORMAT </w:instrText>
      </w:r>
      <w:r>
        <w:fldChar w:fldCharType="separate"/>
      </w:r>
      <w:r>
        <w:rPr>
          <w:rFonts w:asciiTheme="minorEastAsia" w:hAnsiTheme="minorEastAsia" w:eastAsiaTheme="minorEastAsia"/>
        </w:rPr>
        <w:t>35</w:t>
      </w:r>
      <w:r>
        <w:rPr>
          <w:rFonts w:asciiTheme="minorEastAsia" w:hAnsiTheme="minorEastAsia" w:eastAsiaTheme="minorEastAsia"/>
        </w:rPr>
        <w:fldChar w:fldCharType="end"/>
      </w:r>
      <w:r>
        <w:rPr>
          <w:rFonts w:hint="eastAsia" w:asciiTheme="minorEastAsia" w:hAnsiTheme="minorEastAsia" w:eastAsiaTheme="minorEastAsia"/>
        </w:rPr>
        <w:t>、</w:t>
      </w:r>
      <w:r>
        <w:fldChar w:fldCharType="begin"/>
      </w:r>
      <w:r>
        <w:instrText xml:space="preserve"> REF _Ref494370462 \r \h  \* MERGEFORMAT </w:instrText>
      </w:r>
      <w:r>
        <w:fldChar w:fldCharType="separate"/>
      </w:r>
      <w:r>
        <w:rPr>
          <w:rFonts w:asciiTheme="minorEastAsia" w:hAnsiTheme="minorEastAsia" w:eastAsiaTheme="minorEastAsia"/>
        </w:rPr>
        <w:t>36</w:t>
      </w:r>
      <w:r>
        <w:rPr>
          <w:rFonts w:asciiTheme="minorEastAsia" w:hAnsiTheme="minorEastAsia" w:eastAsiaTheme="minorEastAsia"/>
        </w:rPr>
        <w:fldChar w:fldCharType="end"/>
      </w:r>
      <w:r>
        <w:rPr>
          <w:rFonts w:hint="eastAsia" w:asciiTheme="minorEastAsia" w:hAnsiTheme="minorEastAsia" w:eastAsiaTheme="minorEastAsia"/>
        </w:rPr>
        <w:t>条的规定确定预中标社会资本。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（2）定为预中标社会资本通过第</w:t>
      </w:r>
      <w:r>
        <w:fldChar w:fldCharType="begin"/>
      </w:r>
      <w:r>
        <w:instrText xml:space="preserve"> REF _Ref494371861 \r \h  \* MERGEFORMAT </w:instrText>
      </w:r>
      <w:r>
        <w:fldChar w:fldCharType="separate"/>
      </w:r>
      <w:r>
        <w:rPr>
          <w:rFonts w:asciiTheme="minorEastAsia" w:hAnsiTheme="minorEastAsia" w:eastAsiaTheme="minorEastAsia"/>
        </w:rPr>
        <w:t>37</w:t>
      </w:r>
      <w:r>
        <w:rPr>
          <w:rFonts w:asciiTheme="minorEastAsia" w:hAnsiTheme="minorEastAsia" w:eastAsiaTheme="minorEastAsia"/>
        </w:rPr>
        <w:fldChar w:fldCharType="end"/>
      </w:r>
      <w:r>
        <w:rPr>
          <w:rFonts w:hint="eastAsia" w:asciiTheme="minorEastAsia" w:hAnsiTheme="minorEastAsia" w:eastAsiaTheme="minorEastAsia"/>
        </w:rPr>
        <w:t>条资格确认，并且预中标结果公示期满且无异议后即被定为中标社会资本。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（3）若有充分证据证明中标社会资本出现下列情况之一的，一经查实，将被取消中标资格：</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1）提供虚假材料谋取中标的；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2）采取不正当手段诋毁、排挤其他社会资本的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3）与采购人、其他社会资本或集中采购机构恶意串通的；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4）向采购人、集中采购机构行贿或者提供其他不正当利益的；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5）在招标采购过程中与采购人进行协商谈判的；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6）属于本文件规定的无效投标条款，但在评审过程中又未被评审小组发现的；</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7）不符合法律、法规的规定的。</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（4）有下列情形之一的，属于恶意串通:</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1）社会资本直接或者间接从采购人或者集中采购机构处获得其他社会资本的相关情况并修改其投标文件或者响应文件。</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2）社会资本按照采购人或者集中采购机构的授意撤换、修改投标文件或者响应文件。</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3）社会资本之间协商报价、技术方案等投标文件或者响应文件的实质性内容。</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4）属于同一集团、协会、商会等组织成员的社会资本按照该组织要求协同参加政府采购活动。</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5）社会资本之间事先约定由某一特定社会资本中标。</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6）社会资本之间商定部分社会资本放弃参加政府采购活动或者放弃中标。</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7）社会资本与采购人和集中采购机构之间、社会资本相互之间，为谋求特定社会资本中标或者排斥其他社会资本的其他串通行为。</w:t>
      </w:r>
    </w:p>
    <w:p>
      <w:pPr>
        <w:pStyle w:val="118"/>
        <w:numPr>
          <w:ilvl w:val="1"/>
          <w:numId w:val="22"/>
        </w:numPr>
        <w:tabs>
          <w:tab w:val="left" w:pos="567"/>
        </w:tabs>
        <w:adjustRightInd w:val="0"/>
        <w:snapToGrid w:val="0"/>
        <w:spacing w:line="360" w:lineRule="auto"/>
        <w:ind w:left="0" w:firstLine="0" w:firstLineChars="0"/>
        <w:rPr>
          <w:rFonts w:asciiTheme="minorEastAsia" w:hAnsiTheme="minorEastAsia" w:eastAsiaTheme="minorEastAsia"/>
          <w:b/>
        </w:rPr>
      </w:pPr>
      <w:r>
        <w:rPr>
          <w:rFonts w:hint="eastAsia" w:asciiTheme="minorEastAsia" w:hAnsiTheme="minorEastAsia" w:eastAsiaTheme="minorEastAsia"/>
          <w:b/>
        </w:rPr>
        <w:t>质疑</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参加投标的社会资本认为招标文件、招标过程和中标结果使自己的权益受到损害的，可以在知道或者应当知道其权益受到损害之日起7个工作日内，以书面形式向集中采购机构提出质疑，社会资本应当知道其权益受到损害之日，是指：</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1）对可以质疑的招标文件提出质疑的，为收到招标文件之日或者招标文件公告期限届满之日；</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2）对采购过程提出质疑的，为各采购程序环节结束之日；</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3）对中标结果提出质疑的，为中标结果公告期限届满之日。</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（2）提出质疑的社会资本应当是参与所质疑项目采购活动的社会资本，未参加投标的社会资本或在投标活动中自身权益未受到损害的社会资本所提出的质疑不予受理。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（3）社会资本提出质疑应当提交质疑函和必要的证明材料。质疑函应当包括下列内容：</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1）社会资本的姓名或者名称、地址、邮编、联系人、联系电话；</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2）质疑项目的名称和编号；</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3）具体、明确的质疑事项及与质疑事项相关的请求；</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4）事实依据；</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5）必要的法律依据；</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6）提起质疑的日期。</w:t>
      </w:r>
    </w:p>
    <w:p>
      <w:pPr>
        <w:pStyle w:val="118"/>
        <w:adjustRightInd w:val="0"/>
        <w:snapToGrid w:val="0"/>
        <w:spacing w:line="360" w:lineRule="auto"/>
        <w:ind w:left="420" w:leftChars="200"/>
        <w:rPr>
          <w:rFonts w:asciiTheme="minorEastAsia" w:hAnsiTheme="minorEastAsia" w:eastAsiaTheme="minorEastAsia"/>
        </w:rPr>
      </w:pPr>
      <w:bookmarkStart w:id="203" w:name="_Hlk527453902"/>
      <w:r>
        <w:rPr>
          <w:rFonts w:hint="eastAsia" w:asciiTheme="minorEastAsia" w:hAnsiTheme="minorEastAsia" w:eastAsiaTheme="minorEastAsia"/>
        </w:rPr>
        <w:t>社会资本为自然人的，应当由本人签字并附有效身份证明；社会资本为法人或其他组织的，应当由法定代表人、主要负责人，或者其授权的代理人签字或盖章，并加盖公章。</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社会资本委托代理人进行质疑的，应当向集中采购机构提交授权委托书，授权委托书应当载明代理人的姓名或者名称、代理事项、具体权限、期限和相关事项。社会资本为自然人的，应当由本人签字并附有效身份证明；社会资本为法人或其他组织的，应当由法定代表人、主要负责人，或者其授权的代理人签字或盖章，并加盖公章。</w:t>
      </w:r>
      <w:bookmarkEnd w:id="203"/>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提出质疑的社会资本应凭CA锁登录政府采购交易系统，进入“我要质疑”栏目，按照系统提示完成质疑提交和回复查看，或将质疑函及相关证明材料送至交易中心北门窗口。质疑函必须以参加投标的社会资本法定代表人或代理人（投标文件中所确定的）原件送达的方式提交，未按上述要求提交的质疑函（含传真、电子邮件等）集中采购机构有权不予受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（5）集中采购机构收到质疑函后，将对质疑的形式和内容进行审查，如质疑函内容、格式不符合规定，集中采购机构将告知质疑人进行补正。</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（6）质疑人应当在法定质疑期限内进行补正并重新提交质疑函，拒不补正或者在法定期限内未重新提交质疑函的，为无效质疑，集中采购机构有权不予受理。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（7）对于内容、格式符合规定的质疑函，集中采购机构应当在收到社会资本的书面质疑后7个工作日内作出答复，并以书面形式通知提出质疑的社会资本和其他有关社会资本，但答复的内容不得涉及商业秘密。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（8）社会资本提出书面质疑必须有理、有据，不得恶意质疑或提交虚假质疑。否则，一经查实，集中采购机构有权依据政府采购的有关规定，报请政府采购监管部门对该社会资本进行相应的行政处罚。</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9</w:t>
      </w:r>
      <w:r>
        <w:rPr>
          <w:rFonts w:hint="eastAsia" w:asciiTheme="minorEastAsia" w:hAnsiTheme="minorEastAsia" w:eastAsiaTheme="minorEastAsia"/>
        </w:rPr>
        <w:t>）交易中心遵循“谁过错谁负担”的原则，有过错的一方承担调查论证费用。查无实据或质疑不成立的，将报财政部门记入供应商诚信档案。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10</w:t>
      </w:r>
      <w:r>
        <w:rPr>
          <w:rFonts w:hint="eastAsia" w:asciiTheme="minorEastAsia" w:hAnsiTheme="minorEastAsia" w:eastAsiaTheme="minorEastAsia"/>
        </w:rPr>
        <w:t>）质疑社会资本在法定质疑期内应当一次性提出针对同一招标环节的质疑事项。</w:t>
      </w:r>
    </w:p>
    <w:p>
      <w:pPr>
        <w:pStyle w:val="118"/>
        <w:adjustRightInd w:val="0"/>
        <w:snapToGrid w:val="0"/>
        <w:spacing w:line="360" w:lineRule="auto"/>
        <w:rPr>
          <w:rFonts w:asciiTheme="minorEastAsia" w:hAnsiTheme="minorEastAsia" w:eastAsiaTheme="minorEastAsia"/>
        </w:rPr>
      </w:pPr>
      <w:r>
        <w:rPr>
          <w:rFonts w:asciiTheme="minorEastAsia" w:hAnsiTheme="minorEastAsia" w:eastAsiaTheme="minorEastAsia"/>
        </w:rPr>
        <w:t>38.3</w:t>
      </w:r>
      <w:r>
        <w:rPr>
          <w:rFonts w:hint="eastAsia" w:asciiTheme="minorEastAsia" w:hAnsiTheme="minorEastAsia" w:eastAsiaTheme="minorEastAsia"/>
        </w:rPr>
        <w:t>询问</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社会资本对招标活动事项有疑问的，可以在投标截止日期十五日前向集中采购机构或采购人提出询问（凡涉及采购需求和项目协议的疑问，社会资本应直接向采购人提出询问），集中采购机构或采购人将在两个工作日内作出答复，但答复的内容不涉及商业秘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w:t>
      </w:r>
      <w:r>
        <w:rPr>
          <w:rFonts w:asciiTheme="minorEastAsia" w:hAnsiTheme="minorEastAsia" w:eastAsiaTheme="minorEastAsia"/>
        </w:rPr>
        <w:t>8.4</w:t>
      </w:r>
      <w:r>
        <w:rPr>
          <w:rFonts w:hint="eastAsia" w:asciiTheme="minorEastAsia" w:hAnsiTheme="minorEastAsia" w:eastAsiaTheme="minorEastAsia"/>
        </w:rPr>
        <w:t>投诉</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提出质疑的社会资本对交易中心的答复不满意，或交易中心未在规定的时间内作出答复的，可以在答复期满后十五个工作日内向采购项目同级财政部门投诉。</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w:t>
      </w:r>
      <w:r>
        <w:rPr>
          <w:rFonts w:asciiTheme="minorEastAsia" w:hAnsiTheme="minorEastAsia" w:eastAsiaTheme="minorEastAsia"/>
        </w:rPr>
        <w:t>8.5</w:t>
      </w:r>
      <w:r>
        <w:rPr>
          <w:rFonts w:hint="eastAsia" w:asciiTheme="minorEastAsia" w:hAnsiTheme="minorEastAsia" w:eastAsiaTheme="minorEastAsia"/>
        </w:rPr>
        <w:t>诚实信用</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（1）社会资本之间不得相互串通投标报价，不得妨碍其他社会资本的公平竞争，不得损害采购人和其他社会资本的合法权益。</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社会资本不得以向交易中心工作人员、评标委员会成员行贿或者采取其他不正当手段谋取中标。经查实社会资本有此行为的，政府采购管理部门将社会资本列入不良行为记录名单，按照《政府采购法》有关规定处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社会资本提出书面质疑必须有理、有据，不得虚假质疑和恶意质疑，并对质疑内容的真实性承担责任。否则，一经查实，交易中心有权依据政府采购的有关规定，报请政府采购监管部门对该社会资本进行相应的行政处罚并予以公示。如果社会资本或者其他利害关系人通过捏造事实、伪造证明材料等方式提出质疑，干扰政府采购活动正常进行的，属于严重不良行为，交易中心将提请财政部门将其列入不良行为记录名单，并依法予以处罚。</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（4）社会资本不得虚假承诺，否则，按照提供虚假材料谋取中标处理。</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（5）社会资本应自觉遵守开标、评标纪律，扰乱开标评标现场秩序的，属于失信行为，根据《江苏省政府采购供应商监督管理暂行办法》，失信行为将被记入诚信档案。</w:t>
      </w: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204" w:name="_Toc529805818"/>
      <w:r>
        <w:rPr>
          <w:rFonts w:hint="eastAsia" w:asciiTheme="minorEastAsia" w:hAnsiTheme="minorEastAsia" w:eastAsiaTheme="minorEastAsia"/>
          <w:b/>
          <w:sz w:val="28"/>
          <w:szCs w:val="28"/>
        </w:rPr>
        <w:t>中标社会资本选定后的程序</w:t>
      </w:r>
      <w:bookmarkEnd w:id="204"/>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205" w:name="_Toc529805819"/>
      <w:r>
        <w:rPr>
          <w:rFonts w:hint="eastAsia" w:asciiTheme="minorEastAsia" w:hAnsiTheme="minorEastAsia" w:eastAsiaTheme="minorEastAsia"/>
          <w:b/>
        </w:rPr>
        <w:t>签订谈判备忘录和公告</w:t>
      </w:r>
      <w:bookmarkEnd w:id="205"/>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（1）在预中标社会资本确定后的2个工作日内，预中标社会资本应与采购人或其指定职能部门签订谈判备忘录（包括谈判期间达成的所有修改）。</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集中采购机构应当在预中标社会资本确定后2个工作日内，将预中标结果和根据招标文件、投标文件及有关补遗文件和谈判备忘录拟定的《项目合同》文本在招标公告发布网站进行公示，公示期限为7个工作日。《项目合同》文本应当将预中标社会资本投标文件中的重要承诺和技术文件等作为附件。《项目合同》文本涉及国家秘密、商业秘密的内容可以不公示。</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（3）集中采购机构应当在公示期满无异议后2个工作日内，将中标结果在招标公告发布网站进行公告，同时发出中标通知书。</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（4）由采购人和集中采购机构接受的投标文件对中标社会资本和采购人和集中采购机构均具有约束力。</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206" w:name="_Toc529805820"/>
      <w:r>
        <w:rPr>
          <w:rFonts w:hint="eastAsia" w:asciiTheme="minorEastAsia" w:hAnsiTheme="minorEastAsia" w:eastAsiaTheme="minorEastAsia"/>
          <w:b/>
        </w:rPr>
        <w:t>中标社会资本选定后的通知</w:t>
      </w:r>
      <w:bookmarkEnd w:id="206"/>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（1）中标结果在招标公告发布网站进行公告的同时，集中采购机构将向中标社会资本发出中标通知书。</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）中标通知书将是合同的一个组成部分。对采购人和中标社会资本均具有法律效力。中标通知书发出后，采购人不得违法改变中标结果，中标社会资本不得放弃中标，否则将依法承担法律责任。</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207" w:name="_Toc529805821"/>
      <w:r>
        <w:rPr>
          <w:rFonts w:hint="eastAsia" w:asciiTheme="minorEastAsia" w:hAnsiTheme="minorEastAsia" w:eastAsiaTheme="minorEastAsia"/>
          <w:b/>
        </w:rPr>
        <w:t>签署项目协议</w:t>
      </w:r>
      <w:bookmarkEnd w:id="207"/>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（1）在中标通知书发出后</w:t>
      </w:r>
      <w:r>
        <w:rPr>
          <w:rFonts w:asciiTheme="minorEastAsia" w:hAnsiTheme="minorEastAsia" w:eastAsiaTheme="minorEastAsia"/>
        </w:rPr>
        <w:t>30</w:t>
      </w:r>
      <w:r>
        <w:rPr>
          <w:rFonts w:hint="eastAsia" w:asciiTheme="minorEastAsia" w:hAnsiTheme="minorEastAsia" w:eastAsiaTheme="minorEastAsia"/>
        </w:rPr>
        <w:t>日内，中标社会资本须按照其投标文件中的承诺与采购人签署《合作协议》、《项目合同》；签署《合作协议》后的30日内，完成项目公司的设立。</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（2）项目公司成立后</w:t>
      </w:r>
      <w:r>
        <w:rPr>
          <w:rFonts w:asciiTheme="minorEastAsia" w:hAnsiTheme="minorEastAsia" w:eastAsiaTheme="minorEastAsia"/>
        </w:rPr>
        <w:t>30</w:t>
      </w:r>
      <w:r>
        <w:rPr>
          <w:rFonts w:hint="eastAsia" w:asciiTheme="minorEastAsia" w:hAnsiTheme="minorEastAsia" w:eastAsiaTheme="minorEastAsia"/>
        </w:rPr>
        <w:t>日内，采购人、社会资本与项目公司签署《承继协议》。</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（3）项目协议须报经本级人民政府审核同意，在获得同意后项目协议方可签署并生效。</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4</w:t>
      </w:r>
      <w:r>
        <w:rPr>
          <w:rFonts w:hint="eastAsia" w:asciiTheme="minorEastAsia" w:hAnsiTheme="minorEastAsia" w:eastAsiaTheme="minorEastAsia"/>
        </w:rPr>
        <w:t>）采购人应当在《项目合同》签署之日起2个工作日内，将《项目合同》在招标公告发布网站公告，但《项目合同》中涉及国家秘密、商业秘密的内容除外。</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5</w:t>
      </w:r>
      <w:r>
        <w:rPr>
          <w:rFonts w:hint="eastAsia" w:asciiTheme="minorEastAsia" w:hAnsiTheme="minorEastAsia" w:eastAsiaTheme="minorEastAsia"/>
        </w:rPr>
        <w:t>）中标社会资本应确保项目公司按第（</w:t>
      </w:r>
      <w:r>
        <w:rPr>
          <w:rFonts w:asciiTheme="minorEastAsia" w:hAnsiTheme="minorEastAsia" w:eastAsiaTheme="minorEastAsia"/>
        </w:rPr>
        <w:t>2</w:t>
      </w:r>
      <w:r>
        <w:rPr>
          <w:rFonts w:hint="eastAsia" w:asciiTheme="minorEastAsia" w:hAnsiTheme="minorEastAsia" w:eastAsiaTheme="minorEastAsia"/>
        </w:rPr>
        <w:t>）款签署《项目合同》。</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6</w:t>
      </w:r>
      <w:r>
        <w:rPr>
          <w:rFonts w:hint="eastAsia" w:asciiTheme="minorEastAsia" w:hAnsiTheme="minorEastAsia" w:eastAsiaTheme="minorEastAsia"/>
        </w:rPr>
        <w:t>）以本条规定为条件，如项目公司因其自身原因未能按第（</w:t>
      </w:r>
      <w:r>
        <w:rPr>
          <w:rFonts w:asciiTheme="minorEastAsia" w:hAnsiTheme="minorEastAsia" w:eastAsiaTheme="minorEastAsia"/>
        </w:rPr>
        <w:t>2</w:t>
      </w:r>
      <w:r>
        <w:rPr>
          <w:rFonts w:hint="eastAsia" w:asciiTheme="minorEastAsia" w:hAnsiTheme="minorEastAsia" w:eastAsiaTheme="minorEastAsia"/>
        </w:rPr>
        <w:t>）款规定签署《P</w:t>
      </w:r>
      <w:r>
        <w:rPr>
          <w:rFonts w:asciiTheme="minorEastAsia" w:hAnsiTheme="minorEastAsia" w:eastAsiaTheme="minorEastAsia"/>
        </w:rPr>
        <w:t>PP</w:t>
      </w:r>
      <w:r>
        <w:rPr>
          <w:rFonts w:hint="eastAsia" w:asciiTheme="minorEastAsia" w:hAnsiTheme="minorEastAsia" w:eastAsiaTheme="minorEastAsia"/>
        </w:rPr>
        <w:t>项目合同》，则采购人可以取消其中标资格。</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7</w:t>
      </w:r>
      <w:r>
        <w:rPr>
          <w:rFonts w:hint="eastAsia" w:asciiTheme="minorEastAsia" w:hAnsiTheme="minorEastAsia" w:eastAsiaTheme="minorEastAsia"/>
        </w:rPr>
        <w:t>）中标社会资本如果根据本条按第（</w:t>
      </w:r>
      <w:r>
        <w:rPr>
          <w:rFonts w:asciiTheme="minorEastAsia" w:hAnsiTheme="minorEastAsia" w:eastAsiaTheme="minorEastAsia"/>
        </w:rPr>
        <w:t>6</w:t>
      </w:r>
      <w:r>
        <w:rPr>
          <w:rFonts w:hint="eastAsia" w:asciiTheme="minorEastAsia" w:hAnsiTheme="minorEastAsia" w:eastAsiaTheme="minorEastAsia"/>
        </w:rPr>
        <w:t>）款的规定被通知取消中标资格，采购人可以确定另一候选社会资本为中标社会资本。</w:t>
      </w:r>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w:t>
      </w:r>
      <w:r>
        <w:rPr>
          <w:rFonts w:asciiTheme="minorEastAsia" w:hAnsiTheme="minorEastAsia" w:eastAsiaTheme="minorEastAsia"/>
        </w:rPr>
        <w:t>8</w:t>
      </w:r>
      <w:r>
        <w:rPr>
          <w:rFonts w:hint="eastAsia" w:asciiTheme="minorEastAsia" w:hAnsiTheme="minorEastAsia" w:eastAsiaTheme="minorEastAsia"/>
        </w:rPr>
        <w:t>）如果采购人未按照本条签署《合作协议》或《项目合同》或《承继协议》，则：</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1）中标社会资本可以撤回其投标文件；此时</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2）采购人将无需承担未能签署《合作协议》或《项目合同》或《承继协议》的责任，也无需支付任何与此有关的赔偿。</w:t>
      </w:r>
    </w:p>
    <w:p>
      <w:pPr>
        <w:pStyle w:val="118"/>
        <w:numPr>
          <w:ilvl w:val="0"/>
          <w:numId w:val="7"/>
        </w:numPr>
        <w:adjustRightInd w:val="0"/>
        <w:snapToGrid w:val="0"/>
        <w:spacing w:line="360" w:lineRule="auto"/>
        <w:ind w:left="0" w:firstLine="0" w:firstLineChars="0"/>
        <w:outlineLvl w:val="2"/>
        <w:rPr>
          <w:rFonts w:asciiTheme="minorEastAsia" w:hAnsiTheme="minorEastAsia" w:eastAsiaTheme="minorEastAsia"/>
          <w:b/>
        </w:rPr>
      </w:pPr>
      <w:bookmarkStart w:id="208" w:name="_Toc504650128"/>
      <w:bookmarkEnd w:id="208"/>
      <w:bookmarkStart w:id="209" w:name="_Toc504650131"/>
      <w:bookmarkEnd w:id="209"/>
      <w:bookmarkStart w:id="210" w:name="_Toc504650130"/>
      <w:bookmarkEnd w:id="210"/>
      <w:bookmarkStart w:id="211" w:name="_Toc504650129"/>
      <w:bookmarkEnd w:id="211"/>
      <w:bookmarkStart w:id="212" w:name="_Toc504650132"/>
      <w:bookmarkEnd w:id="212"/>
      <w:bookmarkStart w:id="213" w:name="_Toc504650127"/>
      <w:bookmarkEnd w:id="213"/>
      <w:bookmarkStart w:id="214" w:name="_Toc529805822"/>
      <w:r>
        <w:rPr>
          <w:rFonts w:hint="eastAsia" w:asciiTheme="minorEastAsia" w:hAnsiTheme="minorEastAsia" w:eastAsiaTheme="minorEastAsia"/>
          <w:b/>
        </w:rPr>
        <w:t>履约保证金</w:t>
      </w:r>
      <w:bookmarkEnd w:id="214"/>
    </w:p>
    <w:p>
      <w:pPr>
        <w:pStyle w:val="118"/>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本项目设置的履约保证金如下：</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1）建设期履约保函的担保金额为</w:t>
      </w:r>
      <w:r>
        <w:rPr>
          <w:rFonts w:asciiTheme="minorEastAsia" w:hAnsiTheme="minorEastAsia" w:eastAsiaTheme="minorEastAsia"/>
        </w:rPr>
        <w:t>1000</w:t>
      </w:r>
      <w:r>
        <w:rPr>
          <w:rFonts w:hint="eastAsia" w:asciiTheme="minorEastAsia" w:hAnsiTheme="minorEastAsia" w:eastAsiaTheme="minorEastAsia"/>
        </w:rPr>
        <w:t>万元，受益人为采购人，由中标社会资本在签署《项目合同》之日提交。</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2）运营维护保函的担保金额为</w:t>
      </w:r>
      <w:r>
        <w:rPr>
          <w:rFonts w:asciiTheme="minorEastAsia" w:hAnsiTheme="minorEastAsia" w:eastAsiaTheme="minorEastAsia"/>
        </w:rPr>
        <w:t>1</w:t>
      </w:r>
      <w:r>
        <w:rPr>
          <w:rFonts w:hint="eastAsia" w:asciiTheme="minorEastAsia" w:hAnsiTheme="minorEastAsia" w:eastAsiaTheme="minorEastAsia"/>
        </w:rPr>
        <w:t>000万元，受益人为采购人，由项目公司在合资获得商业运营许可的同时提交。</w:t>
      </w:r>
    </w:p>
    <w:p>
      <w:pPr>
        <w:pStyle w:val="118"/>
        <w:adjustRightInd w:val="0"/>
        <w:snapToGrid w:val="0"/>
        <w:spacing w:line="360" w:lineRule="auto"/>
        <w:ind w:left="420" w:leftChars="200"/>
        <w:rPr>
          <w:rFonts w:asciiTheme="minorEastAsia" w:hAnsiTheme="minorEastAsia" w:eastAsiaTheme="minorEastAsia"/>
        </w:rPr>
      </w:pPr>
      <w:r>
        <w:rPr>
          <w:rFonts w:asciiTheme="minorEastAsia" w:hAnsiTheme="minorEastAsia" w:eastAsiaTheme="minorEastAsia"/>
        </w:rPr>
        <w:t>3</w:t>
      </w:r>
      <w:r>
        <w:rPr>
          <w:rFonts w:hint="eastAsia" w:asciiTheme="minorEastAsia" w:hAnsiTheme="minorEastAsia" w:eastAsiaTheme="minorEastAsia"/>
        </w:rPr>
        <w:t>）移交期履约保函的担保金额为</w:t>
      </w:r>
      <w:r>
        <w:rPr>
          <w:rFonts w:asciiTheme="minorEastAsia" w:hAnsiTheme="minorEastAsia" w:eastAsiaTheme="minorEastAsia"/>
        </w:rPr>
        <w:t>1</w:t>
      </w:r>
      <w:r>
        <w:rPr>
          <w:rFonts w:hint="eastAsia" w:asciiTheme="minorEastAsia" w:hAnsiTheme="minorEastAsia" w:eastAsiaTheme="minorEastAsia"/>
        </w:rPr>
        <w:t>000万元，受益人为采购人，由中标社会资本在最后一个运营年开始前提交。</w:t>
      </w:r>
    </w:p>
    <w:p>
      <w:pPr>
        <w:pStyle w:val="118"/>
        <w:adjustRightInd w:val="0"/>
        <w:snapToGrid w:val="0"/>
        <w:spacing w:line="360" w:lineRule="auto"/>
        <w:ind w:left="420" w:leftChars="200"/>
        <w:rPr>
          <w:rFonts w:asciiTheme="minorEastAsia" w:hAnsiTheme="minorEastAsia" w:eastAsiaTheme="minorEastAsia"/>
        </w:rPr>
      </w:pPr>
      <w:r>
        <w:rPr>
          <w:rFonts w:hint="eastAsia" w:asciiTheme="minorEastAsia" w:hAnsiTheme="minorEastAsia" w:eastAsiaTheme="minorEastAsia"/>
        </w:rPr>
        <w:t>履约保函的其他事项详见《项目合同》。</w:t>
      </w:r>
    </w:p>
    <w:p>
      <w:pPr>
        <w:widowControl/>
        <w:jc w:val="left"/>
        <w:rPr>
          <w:rFonts w:asciiTheme="minorEastAsia" w:hAnsiTheme="minorEastAsia" w:eastAsiaTheme="minorEastAsia"/>
        </w:rPr>
      </w:pPr>
      <w:r>
        <w:rPr>
          <w:rFonts w:asciiTheme="minorEastAsia" w:hAnsiTheme="minorEastAsia" w:eastAsiaTheme="minorEastAsia"/>
        </w:rPr>
        <w:br w:type="page"/>
      </w:r>
    </w:p>
    <w:p>
      <w:pPr>
        <w:widowControl/>
        <w:jc w:val="left"/>
        <w:rPr>
          <w:rFonts w:asciiTheme="minorEastAsia" w:hAnsiTheme="minorEastAsia" w:eastAsiaTheme="minorEastAsia"/>
        </w:rPr>
      </w:pPr>
    </w:p>
    <w:p>
      <w:pPr>
        <w:pStyle w:val="118"/>
        <w:numPr>
          <w:ilvl w:val="0"/>
          <w:numId w:val="6"/>
        </w:numPr>
        <w:adjustRightInd w:val="0"/>
        <w:snapToGrid w:val="0"/>
        <w:spacing w:beforeLines="50" w:afterLines="50" w:line="360" w:lineRule="auto"/>
        <w:ind w:left="0" w:firstLine="0" w:firstLineChars="0"/>
        <w:jc w:val="center"/>
        <w:outlineLvl w:val="1"/>
        <w:rPr>
          <w:rFonts w:asciiTheme="minorEastAsia" w:hAnsiTheme="minorEastAsia" w:eastAsiaTheme="minorEastAsia"/>
          <w:b/>
          <w:sz w:val="28"/>
          <w:szCs w:val="28"/>
        </w:rPr>
      </w:pPr>
      <w:bookmarkStart w:id="215" w:name="_Ref458779191"/>
      <w:bookmarkStart w:id="216" w:name="_Toc529805823"/>
      <w:bookmarkStart w:id="217" w:name="_Ref458781238"/>
      <w:bookmarkStart w:id="218" w:name="_Toc434827488"/>
      <w:bookmarkStart w:id="219" w:name="_Toc430620526"/>
      <w:bookmarkStart w:id="220" w:name="_Toc435777498"/>
      <w:bookmarkStart w:id="221" w:name="_Toc428894443"/>
      <w:bookmarkStart w:id="222" w:name="_Toc430093602"/>
      <w:bookmarkStart w:id="223" w:name="_Toc426012318"/>
      <w:bookmarkStart w:id="224" w:name="_Toc430096451"/>
      <w:bookmarkStart w:id="225" w:name="_Toc426011951"/>
      <w:bookmarkStart w:id="226" w:name="_Toc426009738"/>
      <w:bookmarkStart w:id="227" w:name="_Toc435777888"/>
      <w:bookmarkStart w:id="228" w:name="_Toc434827223"/>
      <w:bookmarkStart w:id="229" w:name="_Toc434827922"/>
      <w:bookmarkStart w:id="230" w:name="_Toc428894003"/>
      <w:bookmarkStart w:id="231" w:name="_Toc428893200"/>
      <w:bookmarkStart w:id="232" w:name="_Toc430619820"/>
      <w:bookmarkStart w:id="233" w:name="_Toc430096745"/>
      <w:bookmarkStart w:id="234" w:name="_Toc434826821"/>
      <w:bookmarkStart w:id="235" w:name="_Toc426009370"/>
      <w:bookmarkStart w:id="236" w:name="_Toc426010850"/>
      <w:bookmarkStart w:id="237" w:name="_Toc455565242"/>
      <w:bookmarkStart w:id="238" w:name="_Toc436952200"/>
      <w:bookmarkStart w:id="239" w:name="_Toc436924071"/>
      <w:r>
        <w:rPr>
          <w:rFonts w:hint="eastAsia" w:asciiTheme="minorEastAsia" w:hAnsiTheme="minorEastAsia" w:eastAsiaTheme="minorEastAsia"/>
          <w:b/>
          <w:sz w:val="28"/>
          <w:szCs w:val="28"/>
        </w:rPr>
        <w:t>投标文件格式</w:t>
      </w:r>
      <w:bookmarkEnd w:id="215"/>
      <w:bookmarkEnd w:id="216"/>
      <w:bookmarkEnd w:id="217"/>
    </w:p>
    <w:p>
      <w:pPr>
        <w:numPr>
          <w:ilvl w:val="0"/>
          <w:numId w:val="23"/>
        </w:numPr>
        <w:adjustRightInd w:val="0"/>
        <w:snapToGrid w:val="0"/>
        <w:spacing w:line="360" w:lineRule="auto"/>
        <w:ind w:left="0" w:firstLine="0"/>
        <w:jc w:val="center"/>
        <w:outlineLvl w:val="2"/>
        <w:rPr>
          <w:rFonts w:asciiTheme="minorEastAsia" w:hAnsiTheme="minorEastAsia" w:eastAsiaTheme="minorEastAsia"/>
          <w:b/>
          <w:bCs/>
          <w:sz w:val="28"/>
        </w:rPr>
      </w:pPr>
      <w:bookmarkStart w:id="240" w:name="_Toc529805824"/>
      <w:bookmarkStart w:id="241" w:name="_Ref458779220"/>
      <w:r>
        <w:rPr>
          <w:rFonts w:hint="eastAsia" w:asciiTheme="minorEastAsia" w:hAnsiTheme="minorEastAsia" w:eastAsiaTheme="minorEastAsia"/>
          <w:b/>
          <w:bCs/>
          <w:sz w:val="28"/>
        </w:rPr>
        <w:t>投标文件综述</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b/>
          <w:sz w:val="28"/>
        </w:rPr>
      </w:pPr>
      <w:bookmarkStart w:id="242" w:name="_Toc435777499"/>
      <w:bookmarkStart w:id="243" w:name="_Toc434826822"/>
      <w:bookmarkStart w:id="244" w:name="_Toc435777889"/>
      <w:bookmarkStart w:id="245" w:name="_Toc434827224"/>
      <w:bookmarkStart w:id="246" w:name="_Toc426012319"/>
      <w:bookmarkStart w:id="247" w:name="_Toc426011952"/>
      <w:bookmarkStart w:id="248" w:name="_Toc430619821"/>
      <w:bookmarkStart w:id="249" w:name="_Toc430620527"/>
      <w:bookmarkStart w:id="250" w:name="_Toc430096746"/>
      <w:bookmarkStart w:id="251" w:name="_Toc430096452"/>
      <w:bookmarkStart w:id="252" w:name="_Toc430093603"/>
      <w:bookmarkStart w:id="253" w:name="_Toc434827923"/>
      <w:bookmarkStart w:id="254" w:name="_Toc426010851"/>
      <w:bookmarkStart w:id="255" w:name="_Toc436952201"/>
      <w:bookmarkStart w:id="256" w:name="_Toc426009371"/>
      <w:bookmarkStart w:id="257" w:name="_Toc428894004"/>
      <w:bookmarkStart w:id="258" w:name="_Toc426009739"/>
      <w:bookmarkStart w:id="259" w:name="_Toc428893201"/>
      <w:bookmarkStart w:id="260" w:name="_Toc434827489"/>
      <w:bookmarkStart w:id="261" w:name="_Toc436924072"/>
      <w:bookmarkStart w:id="262" w:name="_Toc428894444"/>
      <w:r>
        <w:rPr>
          <w:rFonts w:hint="eastAsia" w:asciiTheme="minorEastAsia" w:hAnsiTheme="minorEastAsia" w:eastAsiaTheme="minorEastAsia"/>
          <w:b/>
          <w:bCs/>
          <w:sz w:val="28"/>
        </w:rPr>
        <w:t>投资申请书</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pPr>
        <w:pStyle w:val="14"/>
        <w:tabs>
          <w:tab w:val="left" w:pos="422"/>
        </w:tabs>
        <w:adjustRightInd w:val="0"/>
        <w:snapToGrid w:val="0"/>
        <w:spacing w:line="360" w:lineRule="auto"/>
        <w:rPr>
          <w:rFonts w:asciiTheme="minorEastAsia" w:hAnsiTheme="minorEastAsia" w:eastAsiaTheme="minorEastAsia"/>
          <w:color w:val="auto"/>
          <w:sz w:val="21"/>
          <w:szCs w:val="21"/>
        </w:rPr>
      </w:pPr>
      <w:r>
        <w:rPr>
          <w:rFonts w:hint="eastAsia" w:asciiTheme="minorEastAsia" w:hAnsiTheme="minorEastAsia" w:eastAsiaTheme="minorEastAsia"/>
          <w:color w:val="auto"/>
          <w:sz w:val="21"/>
          <w:szCs w:val="21"/>
        </w:rPr>
        <w:t>致：南京市栖霞区城市管理局</w:t>
      </w:r>
    </w:p>
    <w:p>
      <w:pPr>
        <w:pStyle w:val="14"/>
        <w:tabs>
          <w:tab w:val="left" w:pos="422"/>
        </w:tabs>
        <w:adjustRightInd w:val="0"/>
        <w:snapToGrid w:val="0"/>
        <w:spacing w:line="360" w:lineRule="auto"/>
        <w:ind w:firstLine="420" w:firstLineChars="200"/>
        <w:rPr>
          <w:rFonts w:asciiTheme="minorEastAsia" w:hAnsiTheme="minorEastAsia" w:eastAsiaTheme="minorEastAsia"/>
          <w:color w:val="auto"/>
          <w:sz w:val="21"/>
          <w:szCs w:val="21"/>
        </w:rPr>
      </w:pPr>
      <w:r>
        <w:rPr>
          <w:rFonts w:hint="eastAsia" w:asciiTheme="minorEastAsia" w:hAnsiTheme="minorEastAsia" w:eastAsiaTheme="minorEastAsia"/>
          <w:color w:val="auto"/>
          <w:kern w:val="2"/>
          <w:sz w:val="21"/>
          <w:szCs w:val="21"/>
        </w:rPr>
        <w:t>南京市公共资源交易中心</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一、我们非常荣幸参与</w:t>
      </w:r>
      <w:r>
        <w:rPr>
          <w:rFonts w:hint="eastAsia" w:asciiTheme="minorEastAsia" w:hAnsiTheme="minorEastAsia" w:eastAsiaTheme="minorEastAsia"/>
          <w:u w:val="single"/>
        </w:rPr>
        <w:t>南京市栖霞区餐厨废弃物处置厂项目</w:t>
      </w:r>
      <w:r>
        <w:rPr>
          <w:rFonts w:hint="eastAsia" w:asciiTheme="minorEastAsia" w:hAnsiTheme="minorEastAsia" w:eastAsiaTheme="minorEastAsia"/>
        </w:rPr>
        <w:t>的投标，以下签字人</w:t>
      </w:r>
      <w:r>
        <w:rPr>
          <w:rFonts w:asciiTheme="minorEastAsia" w:hAnsiTheme="minorEastAsia" w:eastAsiaTheme="minorEastAsia"/>
        </w:rPr>
        <w:t>[</w:t>
      </w:r>
      <w:r>
        <w:rPr>
          <w:rFonts w:hint="eastAsia" w:asciiTheme="minorEastAsia" w:hAnsiTheme="minorEastAsia" w:eastAsiaTheme="minorEastAsia"/>
          <w:u w:val="single"/>
        </w:rPr>
        <w:t>插入社会资本名称</w:t>
      </w:r>
      <w:r>
        <w:rPr>
          <w:rFonts w:asciiTheme="minorEastAsia" w:hAnsiTheme="minorEastAsia" w:eastAsiaTheme="minorEastAsia"/>
        </w:rPr>
        <w:t xml:space="preserve">] </w:t>
      </w:r>
      <w:r>
        <w:rPr>
          <w:rFonts w:hint="eastAsia" w:asciiTheme="minorEastAsia" w:hAnsiTheme="minorEastAsia" w:eastAsiaTheme="minorEastAsia"/>
        </w:rPr>
        <w:t>，依照招标文件、项目协议的条款和条件，在此提交完全符合招标文件（包括各自的附件和附录）规定的关于实施南京市栖霞区餐厨废弃物处置厂项目的投标文件。</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二、我们确认，我们已仔细阅读并研究了年月日发布的</w:t>
      </w:r>
      <w:r>
        <w:rPr>
          <w:rFonts w:hint="eastAsia" w:asciiTheme="minorEastAsia" w:hAnsiTheme="minorEastAsia" w:eastAsiaTheme="minorEastAsia"/>
          <w:u w:val="single"/>
        </w:rPr>
        <w:t>南京市栖霞区餐厨废弃物处置厂项目（</w:t>
      </w:r>
      <w:r>
        <w:rPr>
          <w:rFonts w:asciiTheme="minorEastAsia" w:hAnsiTheme="minorEastAsia" w:eastAsiaTheme="minorEastAsia"/>
          <w:u w:val="single"/>
        </w:rPr>
        <w:t>NJZC-2020GK0085</w:t>
      </w:r>
      <w:r>
        <w:rPr>
          <w:rFonts w:hint="eastAsia" w:asciiTheme="minorEastAsia" w:hAnsiTheme="minorEastAsia" w:eastAsiaTheme="minorEastAsia"/>
          <w:u w:val="single"/>
        </w:rPr>
        <w:t>）</w:t>
      </w:r>
      <w:r>
        <w:rPr>
          <w:rFonts w:hint="eastAsia" w:asciiTheme="minorEastAsia" w:hAnsiTheme="minorEastAsia" w:eastAsiaTheme="minorEastAsia"/>
        </w:rPr>
        <w:t>招标文件，以及于年月日发出的澄清或修改文件（如有），我们知道必须在整个投标阶段放弃以对上述文件和资料的所有条款存有含糊不清或不理解之处为由而要求免于承担责任的权利。</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三、我们确认，本投标文件的有效期为自投标文件提交截止时间起的</w:t>
      </w:r>
      <w:r>
        <w:rPr>
          <w:rFonts w:hint="eastAsia" w:asciiTheme="minorEastAsia" w:hAnsiTheme="minorEastAsia" w:eastAsiaTheme="minorEastAsia"/>
          <w:u w:val="single"/>
        </w:rPr>
        <w:t>12</w:t>
      </w:r>
      <w:r>
        <w:rPr>
          <w:rFonts w:hint="eastAsia" w:asciiTheme="minorEastAsia" w:hAnsiTheme="minorEastAsia" w:eastAsiaTheme="minorEastAsia"/>
        </w:rPr>
        <w:t>个月，且根据社会资本须知，该期限可以延长。在任何延长期内，我们的投标文件对我们仍有约束力，可以在任何时候被贵方接受。</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四、我们确认，我们完全同意招标文件制定的招标规则，并承诺按照这些规则履行我们的所有义务，包括一旦投标文件被贵方接受，将履行社会资本的义务。</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五、根据社会资本须知，我们在此与本投资申请书一并提交的作为投标文件一部分的文件和资料有：</w:t>
      </w:r>
    </w:p>
    <w:p>
      <w:pPr>
        <w:adjustRightInd w:val="0"/>
        <w:snapToGrid w:val="0"/>
        <w:spacing w:line="360" w:lineRule="auto"/>
        <w:ind w:firstLine="738" w:firstLineChars="350"/>
        <w:rPr>
          <w:rFonts w:asciiTheme="minorEastAsia" w:hAnsiTheme="minorEastAsia" w:eastAsiaTheme="minorEastAsia"/>
          <w:b/>
        </w:rPr>
      </w:pPr>
      <w:r>
        <w:rPr>
          <w:rFonts w:hint="eastAsia" w:asciiTheme="minorEastAsia" w:hAnsiTheme="minorEastAsia" w:eastAsiaTheme="minorEastAsia"/>
          <w:b/>
        </w:rPr>
        <w:t>第一分册投标文件综述</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一、投资申请书</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二、开标一览表</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三、授权委托书</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四、承诺书</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五、其他评审投标文件必要和适当的材料</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六、评分索引表</w:t>
      </w:r>
    </w:p>
    <w:p>
      <w:pPr>
        <w:adjustRightInd w:val="0"/>
        <w:snapToGrid w:val="0"/>
        <w:spacing w:line="360" w:lineRule="auto"/>
        <w:ind w:firstLine="738" w:firstLineChars="350"/>
        <w:rPr>
          <w:rFonts w:asciiTheme="minorEastAsia" w:hAnsiTheme="minorEastAsia" w:eastAsiaTheme="minorEastAsia"/>
          <w:b/>
        </w:rPr>
      </w:pPr>
      <w:r>
        <w:rPr>
          <w:rFonts w:hint="eastAsia" w:asciiTheme="minorEastAsia" w:hAnsiTheme="minorEastAsia" w:eastAsiaTheme="minorEastAsia"/>
          <w:b/>
        </w:rPr>
        <w:t>第二分册技术方案</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一、技术方案</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二、评分索引表</w:t>
      </w:r>
    </w:p>
    <w:p>
      <w:pPr>
        <w:adjustRightInd w:val="0"/>
        <w:snapToGrid w:val="0"/>
        <w:spacing w:line="360" w:lineRule="auto"/>
        <w:ind w:firstLine="738" w:firstLineChars="350"/>
        <w:rPr>
          <w:rFonts w:asciiTheme="minorEastAsia" w:hAnsiTheme="minorEastAsia" w:eastAsiaTheme="minorEastAsia"/>
          <w:b/>
        </w:rPr>
      </w:pPr>
      <w:r>
        <w:rPr>
          <w:rFonts w:hint="eastAsia" w:asciiTheme="minorEastAsia" w:hAnsiTheme="minorEastAsia" w:eastAsiaTheme="minorEastAsia"/>
          <w:b/>
        </w:rPr>
        <w:t>第三分册财务方案和法律方案</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一、财务方案</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二、法律方案</w:t>
      </w:r>
    </w:p>
    <w:p>
      <w:pPr>
        <w:adjustRightInd w:val="0"/>
        <w:snapToGrid w:val="0"/>
        <w:spacing w:line="360" w:lineRule="auto"/>
        <w:ind w:firstLine="1160" w:firstLineChars="550"/>
        <w:rPr>
          <w:rFonts w:asciiTheme="minorEastAsia" w:hAnsiTheme="minorEastAsia" w:eastAsiaTheme="minorEastAsia"/>
          <w:b/>
        </w:rPr>
      </w:pPr>
      <w:r>
        <w:rPr>
          <w:rFonts w:hint="eastAsia" w:asciiTheme="minorEastAsia" w:hAnsiTheme="minorEastAsia" w:eastAsiaTheme="minorEastAsia"/>
          <w:b/>
        </w:rPr>
        <w:t>三、评分索引表</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六、我们同意，如果我们的投标文件在其有效期内被贵方接受，将按照贵方所接受的格式以及社会资本须知的规定，确保我方及项目公司签署所有项目协议。</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七、在项目协议最终签署以前，以我们与采购人之间就可能达成协议作出任何修改为条件，本投标文件对我们有约束力。我们同意贵方不一定要接受我们的投标文件或接受任何一份投标文件的约束。</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八、我们确认，我们对作为投标文件一部分提交的项目协议中的条款和条件作出的任何承诺，并对任何项目协议的条款所提出的任何变更建议已全部在本投标文件中明确标出。</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九、我们在此保证，本投标文件的所有内容均属独立完成，未经与其他社会资本以限制对本项目的投标为目的进行协商、合作或达成谅解后完成。</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十、我们证实，本投标文件中陈述和资料是完整、真实和准确的。</w:t>
      </w:r>
    </w:p>
    <w:p>
      <w:pPr>
        <w:spacing w:line="360" w:lineRule="auto"/>
        <w:rPr>
          <w:rFonts w:asciiTheme="minorEastAsia" w:hAnsiTheme="minorEastAsia" w:eastAsiaTheme="minorEastAsia"/>
          <w:bCs/>
          <w:sz w:val="28"/>
          <w:szCs w:val="28"/>
        </w:rPr>
      </w:pP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与本次招标有关的正式通讯地址为：</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邮寄地址：</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邮政编码：</w:t>
      </w:r>
    </w:p>
    <w:p>
      <w:pPr>
        <w:spacing w:line="360" w:lineRule="auto"/>
        <w:rPr>
          <w:rFonts w:asciiTheme="minorEastAsia" w:hAnsiTheme="minorEastAsia" w:eastAsiaTheme="minorEastAsia"/>
          <w:bCs/>
        </w:rPr>
      </w:pPr>
      <w:r>
        <w:rPr>
          <w:rFonts w:hint="eastAsia" w:asciiTheme="minorEastAsia" w:hAnsiTheme="minorEastAsia" w:eastAsiaTheme="minorEastAsia"/>
        </w:rPr>
        <w:t>法定代表人（签字或盖章）：</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职务：</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电话号码：</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传真号码：</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电子邮件：</w:t>
      </w:r>
    </w:p>
    <w:p>
      <w:pPr>
        <w:spacing w:line="360" w:lineRule="auto"/>
        <w:rPr>
          <w:rFonts w:asciiTheme="minorEastAsia" w:hAnsiTheme="minorEastAsia" w:eastAsiaTheme="minorEastAsia"/>
          <w:bCs/>
          <w:u w:val="single"/>
        </w:rPr>
      </w:pPr>
      <w:r>
        <w:rPr>
          <w:rFonts w:hint="eastAsia" w:asciiTheme="minorEastAsia" w:hAnsiTheme="minorEastAsia" w:eastAsiaTheme="minorEastAsia"/>
        </w:rPr>
        <w:t>公章：</w:t>
      </w:r>
    </w:p>
    <w:p>
      <w:pPr>
        <w:spacing w:beforeLines="50" w:afterLines="50" w:line="400" w:lineRule="exact"/>
        <w:rPr>
          <w:rFonts w:asciiTheme="minorEastAsia" w:hAnsiTheme="minorEastAsia" w:eastAsiaTheme="minorEastAsia"/>
        </w:rPr>
      </w:pPr>
      <w:r>
        <w:rPr>
          <w:rFonts w:hint="eastAsia" w:asciiTheme="minorEastAsia" w:hAnsiTheme="minorEastAsia" w:eastAsiaTheme="minorEastAsia"/>
        </w:rPr>
        <w:t>日期：年月日</w:t>
      </w:r>
    </w:p>
    <w:p>
      <w:pPr>
        <w:widowControl/>
        <w:jc w:val="left"/>
        <w:rPr>
          <w:rFonts w:asciiTheme="minorEastAsia" w:hAnsiTheme="minorEastAsia" w:eastAsiaTheme="minorEastAsia"/>
        </w:rPr>
      </w:pPr>
    </w:p>
    <w:p>
      <w:pPr>
        <w:widowControl/>
        <w:jc w:val="left"/>
        <w:rPr>
          <w:rFonts w:asciiTheme="minorEastAsia" w:hAnsiTheme="minorEastAsia" w:eastAsiaTheme="minorEastAsia"/>
        </w:rPr>
      </w:pPr>
    </w:p>
    <w:p>
      <w:pPr>
        <w:widowControl/>
        <w:jc w:val="left"/>
        <w:rPr>
          <w:rFonts w:asciiTheme="minorEastAsia" w:hAnsiTheme="minorEastAsia" w:eastAsiaTheme="minorEastAsia"/>
        </w:rPr>
      </w:pPr>
    </w:p>
    <w:p>
      <w:pPr>
        <w:widowControl/>
        <w:jc w:val="left"/>
        <w:rPr>
          <w:rFonts w:asciiTheme="minorEastAsia" w:hAnsiTheme="minorEastAsia" w:eastAsiaTheme="minorEastAsia"/>
          <w:i/>
          <w:iCs/>
          <w:u w:val="single"/>
        </w:rPr>
      </w:pPr>
      <w:r>
        <w:rPr>
          <w:rFonts w:hint="eastAsia" w:asciiTheme="minorEastAsia" w:hAnsiTheme="minorEastAsia" w:eastAsiaTheme="minorEastAsia"/>
          <w:i/>
          <w:iCs/>
          <w:u w:val="single"/>
        </w:rPr>
        <w:t>注：若社会资本为联合体，则投资申请书中社会资本名称应插入全体成员名称，落款填写联合体牵头方信息并加盖牵头方公章。</w:t>
      </w:r>
    </w:p>
    <w:p>
      <w:pPr>
        <w:widowControl/>
        <w:jc w:val="left"/>
        <w:rPr>
          <w:rFonts w:asciiTheme="minorEastAsia" w:hAnsiTheme="minorEastAsia" w:eastAsiaTheme="minorEastAsia"/>
        </w:rPr>
      </w:pPr>
      <w:r>
        <w:rPr>
          <w:rFonts w:asciiTheme="minorEastAsia" w:hAnsiTheme="minorEastAsia" w:eastAsiaTheme="minorEastAsia"/>
        </w:rPr>
        <w:br w:type="page"/>
      </w:r>
    </w:p>
    <w:p>
      <w:pPr>
        <w:widowControl/>
        <w:jc w:val="left"/>
        <w:rPr>
          <w:rFonts w:asciiTheme="minorEastAsia" w:hAnsiTheme="minorEastAsia" w:eastAsiaTheme="minorEastAsia"/>
          <w:b/>
        </w:rPr>
      </w:pPr>
      <w:r>
        <w:rPr>
          <w:rFonts w:hint="eastAsia" w:asciiTheme="minorEastAsia" w:hAnsiTheme="minorEastAsia" w:eastAsiaTheme="minorEastAsia"/>
          <w:b/>
        </w:rPr>
        <w:t>附录</w:t>
      </w:r>
    </w:p>
    <w:p>
      <w:pPr>
        <w:widowControl/>
        <w:adjustRightInd w:val="0"/>
        <w:snapToGrid w:val="0"/>
        <w:spacing w:beforeLines="100" w:afterLines="100"/>
        <w:jc w:val="center"/>
        <w:rPr>
          <w:rFonts w:asciiTheme="minorEastAsia" w:hAnsiTheme="minorEastAsia" w:eastAsiaTheme="minorEastAsia"/>
          <w:b/>
          <w:sz w:val="28"/>
          <w:szCs w:val="28"/>
        </w:rPr>
      </w:pPr>
      <w:r>
        <w:rPr>
          <w:rFonts w:hint="eastAsia" w:asciiTheme="minorEastAsia" w:hAnsiTheme="minorEastAsia" w:eastAsiaTheme="minorEastAsia"/>
          <w:b/>
          <w:sz w:val="28"/>
          <w:szCs w:val="28"/>
        </w:rPr>
        <w:t>联合体协议书</w:t>
      </w:r>
    </w:p>
    <w:p>
      <w:pPr>
        <w:widowControl/>
        <w:jc w:val="center"/>
        <w:rPr>
          <w:rFonts w:asciiTheme="minorEastAsia" w:hAnsiTheme="minorEastAsia" w:eastAsiaTheme="minorEastAsia"/>
        </w:rPr>
      </w:pPr>
      <w:r>
        <w:rPr>
          <w:rFonts w:hint="eastAsia" w:asciiTheme="minorEastAsia" w:hAnsiTheme="minorEastAsia" w:eastAsiaTheme="minorEastAsia"/>
        </w:rPr>
        <w:t>（</w:t>
      </w:r>
      <w:r>
        <w:rPr>
          <w:rFonts w:hint="eastAsia" w:asciiTheme="minorEastAsia" w:hAnsiTheme="minorEastAsia" w:eastAsiaTheme="minorEastAsia"/>
          <w:i/>
          <w:u w:val="single"/>
        </w:rPr>
        <w:t>如果社会资本是联合体，将资格预审时的联合体协议书复印件装订在此处，内容必须与资格预审申请书中内容一致</w:t>
      </w:r>
      <w:r>
        <w:rPr>
          <w:rFonts w:hint="eastAsia" w:asciiTheme="minorEastAsia" w:hAnsiTheme="minorEastAsia" w:eastAsiaTheme="minorEastAsia"/>
        </w:rPr>
        <w:t>）</w:t>
      </w:r>
    </w:p>
    <w:p>
      <w:pPr>
        <w:widowControl/>
        <w:jc w:val="left"/>
        <w:rPr>
          <w:rFonts w:asciiTheme="minorEastAsia" w:hAnsiTheme="minorEastAsia" w:eastAsiaTheme="minorEastAsia"/>
        </w:rPr>
      </w:pPr>
    </w:p>
    <w:p>
      <w:pPr>
        <w:widowControl/>
        <w:jc w:val="left"/>
        <w:rPr>
          <w:rFonts w:asciiTheme="minorEastAsia" w:hAnsiTheme="minorEastAsia" w:eastAsiaTheme="minorEastAsia"/>
        </w:rPr>
      </w:pPr>
    </w:p>
    <w:p>
      <w:pPr>
        <w:widowControl/>
        <w:jc w:val="left"/>
        <w:rPr>
          <w:rFonts w:asciiTheme="minorEastAsia" w:hAnsiTheme="minorEastAsia" w:eastAsiaTheme="minorEastAsia"/>
          <w:b/>
          <w:bCs/>
          <w:sz w:val="28"/>
        </w:rPr>
      </w:pPr>
      <w:bookmarkStart w:id="263" w:name="_Toc436952203"/>
      <w:bookmarkStart w:id="264" w:name="_Toc435777891"/>
      <w:bookmarkStart w:id="265" w:name="_Toc435777501"/>
      <w:bookmarkStart w:id="266" w:name="_Toc434827491"/>
      <w:bookmarkStart w:id="267" w:name="_Toc436924074"/>
      <w:bookmarkStart w:id="268" w:name="_Toc434827226"/>
      <w:bookmarkStart w:id="269" w:name="_Toc434827925"/>
      <w:bookmarkStart w:id="270" w:name="_Toc434826824"/>
      <w:r>
        <w:rPr>
          <w:rFonts w:asciiTheme="minorEastAsia" w:hAnsiTheme="minorEastAsia" w:eastAsiaTheme="minorEastAsia"/>
          <w:b/>
          <w:bCs/>
          <w:sz w:val="28"/>
        </w:rPr>
        <w:br w:type="page"/>
      </w:r>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b/>
          <w:bCs/>
          <w:sz w:val="28"/>
        </w:rPr>
      </w:pPr>
      <w:r>
        <w:rPr>
          <w:rFonts w:hint="eastAsia" w:asciiTheme="minorEastAsia" w:hAnsiTheme="minorEastAsia" w:eastAsiaTheme="minorEastAsia"/>
          <w:b/>
          <w:bCs/>
          <w:sz w:val="28"/>
        </w:rPr>
        <w:t>开标一览表</w:t>
      </w:r>
      <w:bookmarkEnd w:id="263"/>
      <w:bookmarkEnd w:id="264"/>
      <w:bookmarkEnd w:id="265"/>
      <w:bookmarkEnd w:id="266"/>
      <w:bookmarkEnd w:id="267"/>
      <w:bookmarkEnd w:id="268"/>
      <w:bookmarkEnd w:id="269"/>
      <w:bookmarkEnd w:id="270"/>
    </w:p>
    <w:p>
      <w:pPr>
        <w:adjustRightInd w:val="0"/>
        <w:snapToGrid w:val="0"/>
        <w:jc w:val="center"/>
        <w:rPr>
          <w:rFonts w:asciiTheme="minorEastAsia" w:hAnsiTheme="minorEastAsia" w:eastAsiaTheme="minorEastAsia"/>
          <w:bCs/>
          <w:sz w:val="28"/>
          <w:szCs w:val="28"/>
        </w:rPr>
      </w:pPr>
    </w:p>
    <w:p>
      <w:pPr>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南京市栖霞区城市管理局：</w:t>
      </w:r>
    </w:p>
    <w:p>
      <w:pPr>
        <w:widowControl/>
        <w:adjustRightInd w:val="0"/>
        <w:snapToGrid w:val="0"/>
        <w:spacing w:line="360" w:lineRule="auto"/>
        <w:ind w:firstLine="420" w:firstLineChars="200"/>
        <w:rPr>
          <w:rFonts w:asciiTheme="minorEastAsia" w:hAnsiTheme="minorEastAsia" w:eastAsiaTheme="minorEastAsia"/>
          <w:bCs/>
        </w:rPr>
      </w:pPr>
      <w:r>
        <w:rPr>
          <w:rFonts w:hint="eastAsia" w:asciiTheme="minorEastAsia" w:hAnsiTheme="minorEastAsia" w:eastAsiaTheme="minorEastAsia"/>
        </w:rPr>
        <w:t>我们对实施南京市栖霞区餐厨废弃物处置厂项目的</w:t>
      </w:r>
      <w:r>
        <w:rPr>
          <w:rFonts w:hint="eastAsia" w:asciiTheme="minorEastAsia" w:hAnsiTheme="minorEastAsia" w:eastAsiaTheme="minorEastAsia"/>
          <w:bCs/>
        </w:rPr>
        <w:t>报价</w:t>
      </w:r>
      <w:r>
        <w:rPr>
          <w:rFonts w:hint="eastAsia" w:asciiTheme="minorEastAsia" w:hAnsiTheme="minorEastAsia" w:eastAsiaTheme="minorEastAsia"/>
        </w:rPr>
        <w:t>如下：</w:t>
      </w:r>
    </w:p>
    <w:tbl>
      <w:tblPr>
        <w:tblStyle w:val="40"/>
        <w:tblW w:w="84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24"/>
        <w:gridCol w:w="41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736" w:hRule="atLeast"/>
          <w:jc w:val="center"/>
        </w:trPr>
        <w:tc>
          <w:tcPr>
            <w:tcW w:w="4324" w:type="dxa"/>
            <w:tcBorders>
              <w:top w:val="single" w:color="auto" w:sz="12" w:space="0"/>
            </w:tcBorders>
            <w:vAlign w:val="center"/>
          </w:tcPr>
          <w:p>
            <w:pPr>
              <w:spacing w:line="400" w:lineRule="exact"/>
              <w:jc w:val="center"/>
              <w:rPr>
                <w:rFonts w:asciiTheme="minorEastAsia" w:hAnsiTheme="minorEastAsia" w:eastAsiaTheme="minorEastAsia"/>
                <w:b/>
                <w:bCs/>
              </w:rPr>
            </w:pPr>
            <w:r>
              <w:rPr>
                <w:rFonts w:hint="eastAsia" w:asciiTheme="minorEastAsia" w:hAnsiTheme="minorEastAsia" w:eastAsiaTheme="minorEastAsia"/>
                <w:b/>
                <w:bCs/>
              </w:rPr>
              <w:t>报价内容</w:t>
            </w:r>
          </w:p>
        </w:tc>
        <w:tc>
          <w:tcPr>
            <w:tcW w:w="4123" w:type="dxa"/>
            <w:tcBorders>
              <w:top w:val="single" w:color="auto" w:sz="12" w:space="0"/>
            </w:tcBorders>
            <w:vAlign w:val="center"/>
          </w:tcPr>
          <w:p>
            <w:pPr>
              <w:spacing w:line="400" w:lineRule="exact"/>
              <w:jc w:val="center"/>
              <w:rPr>
                <w:rFonts w:asciiTheme="minorEastAsia" w:hAnsiTheme="minorEastAsia" w:eastAsiaTheme="minorEastAsia"/>
                <w:b/>
              </w:rPr>
            </w:pPr>
            <w:r>
              <w:rPr>
                <w:rFonts w:hint="eastAsia" w:asciiTheme="minorEastAsia" w:hAnsiTheme="minorEastAsia" w:eastAsiaTheme="minorEastAsia"/>
                <w:b/>
              </w:rPr>
              <w:t>报价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4324" w:type="dxa"/>
            <w:vAlign w:val="center"/>
          </w:tcPr>
          <w:p>
            <w:pPr>
              <w:spacing w:line="360" w:lineRule="auto"/>
              <w:jc w:val="left"/>
              <w:rPr>
                <w:rFonts w:asciiTheme="minorEastAsia" w:hAnsiTheme="minorEastAsia" w:eastAsiaTheme="minorEastAsia"/>
                <w:bCs/>
              </w:rPr>
            </w:pPr>
            <w:r>
              <w:rPr>
                <w:rFonts w:hint="eastAsia" w:asciiTheme="minorEastAsia" w:hAnsiTheme="minorEastAsia" w:eastAsiaTheme="minorEastAsia"/>
              </w:rPr>
              <w:t>餐厨废弃物综合处置单价</w:t>
            </w:r>
          </w:p>
        </w:tc>
        <w:tc>
          <w:tcPr>
            <w:tcW w:w="4123" w:type="dxa"/>
            <w:vAlign w:val="center"/>
          </w:tcPr>
          <w:p>
            <w:pPr>
              <w:spacing w:line="400" w:lineRule="exact"/>
              <w:jc w:val="center"/>
              <w:rPr>
                <w:rFonts w:asciiTheme="minorEastAsia" w:hAnsiTheme="minorEastAsia" w:eastAsiaTheme="minorEastAsia"/>
              </w:rPr>
            </w:pPr>
            <w:r>
              <w:rPr>
                <w:rFonts w:ascii="宋体" w:hAnsi="宋体" w:cs="Arial"/>
                <w:kern w:val="0"/>
              </w:rPr>
              <w:t>人民币</w:t>
            </w:r>
            <w:r>
              <w:rPr>
                <w:rFonts w:hint="eastAsia" w:ascii="宋体" w:hAnsi="宋体" w:cs="Arial"/>
                <w:kern w:val="0"/>
              </w:rPr>
              <w:t>（大写）</w:t>
            </w:r>
            <w:r>
              <w:rPr>
                <w:rFonts w:hint="eastAsia" w:ascii="宋体" w:hAnsi="宋体" w:cs="Arial"/>
                <w:kern w:val="0"/>
                <w:u w:val="single"/>
              </w:rPr>
              <w:t xml:space="preserve">    元每吨</w:t>
            </w:r>
            <w:r>
              <w:rPr>
                <w:rFonts w:hint="eastAsia" w:ascii="宋体" w:hAnsi="宋体" w:cs="Arial"/>
                <w:kern w:val="0"/>
              </w:rPr>
              <w:t xml:space="preserve">  （¥</w:t>
            </w:r>
            <w:r>
              <w:rPr>
                <w:rFonts w:hint="eastAsia" w:ascii="宋体" w:hAnsi="宋体" w:cs="Arial"/>
                <w:kern w:val="0"/>
                <w:u w:val="single"/>
              </w:rPr>
              <w:t xml:space="preserve">   </w:t>
            </w:r>
            <w:r>
              <w:rPr>
                <w:rFonts w:hint="eastAsia" w:asciiTheme="minorEastAsia" w:hAnsiTheme="minorEastAsia" w:eastAsiaTheme="minorEastAsia"/>
                <w:bCs/>
                <w:iCs/>
                <w:u w:val="single"/>
              </w:rPr>
              <w:t>元/吨</w:t>
            </w:r>
            <w:r>
              <w:rPr>
                <w:rFonts w:hint="eastAsia" w:ascii="宋体" w:hAnsi="宋体" w:cs="Arial"/>
                <w:kern w:val="0"/>
              </w:rPr>
              <w:t>）</w:t>
            </w:r>
          </w:p>
        </w:tc>
      </w:tr>
    </w:tbl>
    <w:p>
      <w:pPr>
        <w:adjustRightInd w:val="0"/>
        <w:snapToGrid w:val="0"/>
        <w:spacing w:line="360" w:lineRule="auto"/>
        <w:ind w:firstLine="4515" w:firstLineChars="2150"/>
        <w:rPr>
          <w:rFonts w:asciiTheme="minorEastAsia" w:hAnsiTheme="minorEastAsia" w:eastAsiaTheme="minorEastAsia"/>
        </w:rPr>
      </w:pPr>
    </w:p>
    <w:p>
      <w:pPr>
        <w:adjustRightInd w:val="0"/>
        <w:snapToGrid w:val="0"/>
        <w:spacing w:line="360" w:lineRule="auto"/>
        <w:ind w:firstLine="3780" w:firstLineChars="1800"/>
        <w:rPr>
          <w:rFonts w:asciiTheme="minorEastAsia" w:hAnsiTheme="minorEastAsia" w:eastAsiaTheme="minorEastAsia"/>
          <w:u w:val="single"/>
        </w:rPr>
      </w:pPr>
      <w:r>
        <w:rPr>
          <w:rFonts w:hint="eastAsia" w:asciiTheme="minorEastAsia" w:hAnsiTheme="minorEastAsia" w:eastAsiaTheme="minorEastAsia"/>
        </w:rPr>
        <w:t>社会资本名称（公章）：</w:t>
      </w:r>
    </w:p>
    <w:p>
      <w:pPr>
        <w:adjustRightInd w:val="0"/>
        <w:snapToGrid w:val="0"/>
        <w:spacing w:line="360" w:lineRule="auto"/>
        <w:ind w:firstLine="3780" w:firstLineChars="1800"/>
        <w:rPr>
          <w:rFonts w:asciiTheme="minorEastAsia" w:hAnsiTheme="minorEastAsia" w:eastAsiaTheme="minorEastAsia"/>
        </w:rPr>
      </w:pPr>
      <w:r>
        <w:rPr>
          <w:rFonts w:hint="eastAsia" w:asciiTheme="minorEastAsia" w:hAnsiTheme="minorEastAsia" w:eastAsiaTheme="minorEastAsia"/>
        </w:rPr>
        <w:t>法定代表人（签字或盖章）：</w:t>
      </w:r>
    </w:p>
    <w:p>
      <w:pPr>
        <w:adjustRightInd w:val="0"/>
        <w:snapToGrid w:val="0"/>
        <w:spacing w:line="360" w:lineRule="auto"/>
        <w:ind w:firstLine="3780" w:firstLineChars="1800"/>
        <w:rPr>
          <w:rFonts w:asciiTheme="minorEastAsia" w:hAnsiTheme="minorEastAsia" w:eastAsiaTheme="minorEastAsia"/>
          <w:u w:val="single"/>
        </w:rPr>
      </w:pPr>
      <w:r>
        <w:rPr>
          <w:rFonts w:hint="eastAsia" w:asciiTheme="minorEastAsia" w:hAnsiTheme="minorEastAsia" w:eastAsiaTheme="minorEastAsia"/>
        </w:rPr>
        <w:t>日期：</w:t>
      </w: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填写说明：</w:t>
      </w:r>
    </w:p>
    <w:p>
      <w:pPr>
        <w:adjustRightInd w:val="0"/>
        <w:snapToGrid w:val="0"/>
        <w:spacing w:line="360" w:lineRule="auto"/>
        <w:ind w:firstLine="420" w:firstLineChars="200"/>
        <w:rPr>
          <w:rFonts w:asciiTheme="minorEastAsia" w:hAnsiTheme="minorEastAsia" w:eastAsiaTheme="minorEastAsia"/>
        </w:rPr>
      </w:pPr>
      <w:r>
        <w:rPr>
          <w:rFonts w:asciiTheme="minorEastAsia" w:hAnsiTheme="minorEastAsia" w:eastAsiaTheme="minorEastAsia"/>
        </w:rPr>
        <w:t>1</w:t>
      </w:r>
      <w:r>
        <w:rPr>
          <w:rFonts w:hint="eastAsia" w:asciiTheme="minorEastAsia" w:hAnsiTheme="minorEastAsia" w:eastAsiaTheme="minorEastAsia"/>
        </w:rPr>
        <w:t>、开标一览表另行准备一份单独密封在信封中，在投标截止时间前与投标文件分别提交。</w:t>
      </w:r>
    </w:p>
    <w:p>
      <w:pPr>
        <w:adjustRightInd w:val="0"/>
        <w:snapToGrid w:val="0"/>
        <w:spacing w:line="360" w:lineRule="auto"/>
        <w:ind w:firstLine="420" w:firstLineChars="200"/>
        <w:rPr>
          <w:rFonts w:asciiTheme="minorEastAsia" w:hAnsiTheme="minorEastAsia" w:eastAsiaTheme="minorEastAsia"/>
          <w:i/>
          <w:u w:val="single"/>
        </w:rPr>
      </w:pPr>
      <w:r>
        <w:rPr>
          <w:rFonts w:asciiTheme="minorEastAsia" w:hAnsiTheme="minorEastAsia" w:eastAsiaTheme="minorEastAsia"/>
          <w:i/>
          <w:u w:val="single"/>
        </w:rPr>
        <w:t>2</w:t>
      </w:r>
      <w:r>
        <w:rPr>
          <w:rFonts w:hint="eastAsia" w:asciiTheme="minorEastAsia" w:hAnsiTheme="minorEastAsia" w:eastAsiaTheme="minorEastAsia"/>
          <w:i/>
          <w:u w:val="single"/>
        </w:rPr>
        <w:t>、开标一览表必须加盖社会资本公章（复印件无效）。</w:t>
      </w:r>
    </w:p>
    <w:p>
      <w:pPr>
        <w:adjustRightInd w:val="0"/>
        <w:snapToGrid w:val="0"/>
        <w:spacing w:line="360" w:lineRule="auto"/>
        <w:ind w:firstLine="420" w:firstLineChars="200"/>
        <w:rPr>
          <w:rFonts w:asciiTheme="minorEastAsia" w:hAnsiTheme="minorEastAsia" w:eastAsiaTheme="minorEastAsia"/>
          <w:i/>
          <w:u w:val="single"/>
        </w:rPr>
      </w:pPr>
      <w:r>
        <w:rPr>
          <w:rFonts w:hint="eastAsia" w:asciiTheme="minorEastAsia" w:hAnsiTheme="minorEastAsia" w:eastAsiaTheme="minorEastAsia"/>
          <w:i/>
          <w:u w:val="single"/>
        </w:rPr>
        <w:t>3、本项目社会资本所报的餐厨废弃物综合处置单价不得高于317.56元/吨，否则其投标无效。</w:t>
      </w:r>
    </w:p>
    <w:p>
      <w:pPr>
        <w:adjustRightInd w:val="0"/>
        <w:snapToGrid w:val="0"/>
        <w:spacing w:line="360" w:lineRule="auto"/>
        <w:ind w:firstLine="420" w:firstLineChars="200"/>
        <w:rPr>
          <w:rFonts w:asciiTheme="minorEastAsia" w:hAnsiTheme="minorEastAsia" w:eastAsiaTheme="minorEastAsia"/>
          <w:i/>
          <w:u w:val="single"/>
        </w:rPr>
      </w:pPr>
      <w:r>
        <w:rPr>
          <w:rFonts w:hint="eastAsia" w:asciiTheme="minorEastAsia" w:hAnsiTheme="minorEastAsia" w:eastAsiaTheme="minorEastAsia"/>
          <w:i/>
          <w:u w:val="single"/>
        </w:rPr>
        <w:t>4、若社会资本为联合体，则由联合体牵头方提供并加盖公章。</w:t>
      </w:r>
    </w:p>
    <w:p>
      <w:pPr>
        <w:adjustRightInd w:val="0"/>
        <w:snapToGrid w:val="0"/>
        <w:spacing w:line="360" w:lineRule="auto"/>
        <w:rPr>
          <w:rFonts w:asciiTheme="minorEastAsia" w:hAnsiTheme="minorEastAsia" w:eastAsiaTheme="minorEastAsia"/>
          <w:i/>
        </w:rPr>
      </w:pPr>
    </w:p>
    <w:p>
      <w:pPr>
        <w:spacing w:line="480" w:lineRule="auto"/>
        <w:jc w:val="center"/>
        <w:rPr>
          <w:rFonts w:asciiTheme="minorEastAsia" w:hAnsiTheme="minorEastAsia" w:eastAsiaTheme="minorEastAsia"/>
          <w:bCs/>
          <w:i/>
          <w:sz w:val="18"/>
          <w:szCs w:val="18"/>
          <w:u w:val="single"/>
        </w:rPr>
      </w:pPr>
      <w:r>
        <w:rPr>
          <w:rFonts w:asciiTheme="minorEastAsia" w:hAnsiTheme="minorEastAsia" w:eastAsiaTheme="minorEastAsia"/>
        </w:rPr>
        <w:br w:type="page"/>
      </w:r>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rPr>
      </w:pPr>
      <w:bookmarkStart w:id="271" w:name="_Toc434827225"/>
      <w:bookmarkStart w:id="272" w:name="_Toc434826823"/>
      <w:bookmarkStart w:id="273" w:name="_Toc430620528"/>
      <w:bookmarkStart w:id="274" w:name="_Toc430619822"/>
      <w:bookmarkStart w:id="275" w:name="_Toc430096747"/>
      <w:bookmarkStart w:id="276" w:name="_Toc430096453"/>
      <w:bookmarkStart w:id="277" w:name="_Toc428894445"/>
      <w:bookmarkStart w:id="278" w:name="_Toc428893202"/>
      <w:bookmarkStart w:id="279" w:name="_Toc430093604"/>
      <w:bookmarkStart w:id="280" w:name="_Toc428894005"/>
      <w:bookmarkStart w:id="281" w:name="_Toc426012320"/>
      <w:bookmarkStart w:id="282" w:name="_Toc426011953"/>
      <w:bookmarkStart w:id="283" w:name="_Toc426010852"/>
      <w:bookmarkStart w:id="284" w:name="_Toc426009740"/>
      <w:bookmarkStart w:id="285" w:name="_Toc426009372"/>
      <w:bookmarkStart w:id="286" w:name="_Toc434827490"/>
      <w:bookmarkStart w:id="287" w:name="_Toc435777890"/>
      <w:bookmarkStart w:id="288" w:name="_Toc436924073"/>
      <w:bookmarkStart w:id="289" w:name="_Toc436952202"/>
      <w:bookmarkStart w:id="290" w:name="_Toc435777500"/>
      <w:bookmarkStart w:id="291" w:name="_Toc434827924"/>
      <w:r>
        <w:rPr>
          <w:rFonts w:hint="eastAsia" w:asciiTheme="minorEastAsia" w:hAnsiTheme="minorEastAsia" w:eastAsiaTheme="minorEastAsia"/>
          <w:b/>
          <w:bCs/>
          <w:sz w:val="28"/>
        </w:rPr>
        <w:t>授权委托书</w:t>
      </w:r>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pPr>
        <w:spacing w:line="600" w:lineRule="exact"/>
        <w:rPr>
          <w:rFonts w:asciiTheme="minorEastAsia" w:hAnsiTheme="minorEastAsia" w:eastAsiaTheme="minorEastAsia"/>
          <w:sz w:val="28"/>
          <w:szCs w:val="28"/>
        </w:rPr>
      </w:pP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本授权书声明：</w:t>
      </w:r>
      <w:r>
        <w:rPr>
          <w:rFonts w:hint="eastAsia" w:asciiTheme="minorEastAsia" w:hAnsiTheme="minorEastAsia" w:eastAsiaTheme="minorEastAsia"/>
          <w:sz w:val="21"/>
          <w:szCs w:val="21"/>
          <w:u w:val="single"/>
        </w:rPr>
        <w:t>（社会资本名称）</w:t>
      </w:r>
      <w:r>
        <w:rPr>
          <w:rFonts w:hint="eastAsia" w:asciiTheme="minorEastAsia" w:hAnsiTheme="minorEastAsia" w:eastAsiaTheme="minorEastAsia"/>
          <w:sz w:val="21"/>
          <w:szCs w:val="21"/>
        </w:rPr>
        <w:t>授权</w:t>
      </w:r>
      <w:r>
        <w:rPr>
          <w:rFonts w:hint="eastAsia" w:asciiTheme="minorEastAsia" w:hAnsiTheme="minorEastAsia" w:eastAsiaTheme="minorEastAsia"/>
          <w:sz w:val="21"/>
          <w:szCs w:val="21"/>
          <w:u w:val="single"/>
        </w:rPr>
        <w:t>（代理人的姓名）</w:t>
      </w:r>
      <w:r>
        <w:rPr>
          <w:rFonts w:hint="eastAsia" w:asciiTheme="minorEastAsia" w:hAnsiTheme="minorEastAsia" w:eastAsiaTheme="minorEastAsia"/>
          <w:sz w:val="21"/>
          <w:szCs w:val="21"/>
        </w:rPr>
        <w:t>为我方就</w:t>
      </w:r>
      <w:r>
        <w:rPr>
          <w:rFonts w:asciiTheme="minorEastAsia" w:hAnsiTheme="minorEastAsia" w:eastAsiaTheme="minorEastAsia"/>
          <w:sz w:val="21"/>
          <w:szCs w:val="21"/>
          <w:u w:val="single"/>
        </w:rPr>
        <w:t>NJZC-2020GK0085</w:t>
      </w:r>
      <w:r>
        <w:rPr>
          <w:rFonts w:hint="eastAsia" w:asciiTheme="minorEastAsia" w:hAnsiTheme="minorEastAsia" w:eastAsiaTheme="minorEastAsia"/>
          <w:sz w:val="21"/>
          <w:szCs w:val="21"/>
        </w:rPr>
        <w:t>号项目投标活动的合法代理人，以我方名义全权处理一切与该项目投标有关的事务（包括但不限于提交投标文件、澄清、谈判、签署谈判备忘录等）。</w:t>
      </w: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本授权书于年月日起生效，特此声明。</w:t>
      </w:r>
    </w:p>
    <w:p>
      <w:pPr>
        <w:pStyle w:val="84"/>
        <w:adjustRightInd w:val="0"/>
        <w:snapToGrid w:val="0"/>
        <w:spacing w:line="360" w:lineRule="auto"/>
        <w:ind w:firstLine="840" w:firstLineChars="400"/>
        <w:rPr>
          <w:rFonts w:asciiTheme="minorEastAsia" w:hAnsiTheme="minorEastAsia" w:eastAsiaTheme="minorEastAsia"/>
          <w:sz w:val="21"/>
          <w:szCs w:val="21"/>
        </w:rPr>
      </w:pPr>
    </w:p>
    <w:p>
      <w:pPr>
        <w:pStyle w:val="84"/>
        <w:adjustRightInd w:val="0"/>
        <w:snapToGrid w:val="0"/>
        <w:spacing w:line="360" w:lineRule="auto"/>
        <w:ind w:firstLine="840" w:firstLineChars="400"/>
        <w:rPr>
          <w:rFonts w:asciiTheme="minorEastAsia" w:hAnsiTheme="minorEastAsia" w:eastAsiaTheme="minorEastAsia"/>
          <w:sz w:val="21"/>
          <w:szCs w:val="21"/>
        </w:rPr>
      </w:pPr>
      <w:r>
        <w:rPr>
          <w:rFonts w:hint="eastAsia" w:asciiTheme="minorEastAsia" w:hAnsiTheme="minorEastAsia" w:eastAsiaTheme="minorEastAsia"/>
          <w:sz w:val="21"/>
          <w:szCs w:val="21"/>
        </w:rPr>
        <w:t>代理人签字：</w:t>
      </w:r>
    </w:p>
    <w:p>
      <w:pPr>
        <w:pStyle w:val="84"/>
        <w:adjustRightInd w:val="0"/>
        <w:snapToGrid w:val="0"/>
        <w:spacing w:line="360" w:lineRule="auto"/>
        <w:ind w:firstLine="840" w:firstLineChars="400"/>
        <w:rPr>
          <w:rFonts w:asciiTheme="minorEastAsia" w:hAnsiTheme="minorEastAsia" w:eastAsiaTheme="minorEastAsia"/>
          <w:sz w:val="21"/>
          <w:szCs w:val="21"/>
        </w:rPr>
      </w:pPr>
      <w:r>
        <w:rPr>
          <w:rFonts w:hint="eastAsia" w:asciiTheme="minorEastAsia" w:hAnsiTheme="minorEastAsia" w:eastAsiaTheme="minorEastAsia"/>
          <w:sz w:val="21"/>
          <w:szCs w:val="21"/>
        </w:rPr>
        <w:t>单位名称：</w:t>
      </w:r>
    </w:p>
    <w:p>
      <w:pPr>
        <w:pStyle w:val="84"/>
        <w:adjustRightInd w:val="0"/>
        <w:snapToGrid w:val="0"/>
        <w:spacing w:line="360" w:lineRule="auto"/>
        <w:ind w:firstLine="840" w:firstLineChars="400"/>
        <w:rPr>
          <w:rFonts w:asciiTheme="minorEastAsia" w:hAnsiTheme="minorEastAsia" w:eastAsiaTheme="minorEastAsia"/>
          <w:sz w:val="21"/>
          <w:szCs w:val="21"/>
        </w:rPr>
      </w:pPr>
    </w:p>
    <w:p>
      <w:pPr>
        <w:pStyle w:val="84"/>
        <w:adjustRightInd w:val="0"/>
        <w:snapToGrid w:val="0"/>
        <w:spacing w:line="360" w:lineRule="auto"/>
        <w:ind w:firstLine="840" w:firstLineChars="400"/>
        <w:rPr>
          <w:rFonts w:asciiTheme="minorEastAsia" w:hAnsiTheme="minorEastAsia" w:eastAsiaTheme="minorEastAsia"/>
          <w:sz w:val="21"/>
          <w:szCs w:val="21"/>
        </w:rPr>
      </w:pPr>
      <w:r>
        <w:rPr>
          <w:rFonts w:hint="eastAsia" w:asciiTheme="minorEastAsia" w:hAnsiTheme="minorEastAsia" w:eastAsiaTheme="minorEastAsia"/>
          <w:sz w:val="21"/>
          <w:szCs w:val="21"/>
        </w:rPr>
        <w:t>授权单位盖章：</w:t>
      </w:r>
    </w:p>
    <w:p>
      <w:pPr>
        <w:pStyle w:val="84"/>
        <w:adjustRightInd w:val="0"/>
        <w:snapToGrid w:val="0"/>
        <w:spacing w:line="360" w:lineRule="auto"/>
        <w:ind w:firstLine="840" w:firstLineChars="400"/>
        <w:rPr>
          <w:rFonts w:asciiTheme="minorEastAsia" w:hAnsiTheme="minorEastAsia" w:eastAsiaTheme="minorEastAsia"/>
          <w:sz w:val="21"/>
          <w:szCs w:val="21"/>
        </w:rPr>
      </w:pPr>
      <w:r>
        <w:rPr>
          <w:rFonts w:hint="eastAsia" w:asciiTheme="minorEastAsia" w:hAnsiTheme="minorEastAsia" w:eastAsiaTheme="minorEastAsia"/>
          <w:sz w:val="21"/>
          <w:szCs w:val="21"/>
        </w:rPr>
        <w:t>单位名称：</w:t>
      </w:r>
    </w:p>
    <w:p>
      <w:pPr>
        <w:pStyle w:val="84"/>
        <w:adjustRightInd w:val="0"/>
        <w:snapToGrid w:val="0"/>
        <w:spacing w:line="360" w:lineRule="auto"/>
        <w:ind w:firstLine="840" w:firstLineChars="400"/>
        <w:rPr>
          <w:rFonts w:asciiTheme="minorEastAsia" w:hAnsiTheme="minorEastAsia" w:eastAsiaTheme="minorEastAsia"/>
          <w:sz w:val="21"/>
          <w:szCs w:val="21"/>
          <w:u w:val="single"/>
        </w:rPr>
      </w:pPr>
      <w:r>
        <w:rPr>
          <w:rFonts w:hint="eastAsia" w:asciiTheme="minorEastAsia" w:hAnsiTheme="minorEastAsia" w:eastAsiaTheme="minorEastAsia"/>
          <w:sz w:val="21"/>
          <w:szCs w:val="21"/>
        </w:rPr>
        <w:t>地址：</w:t>
      </w:r>
    </w:p>
    <w:p>
      <w:pPr>
        <w:pStyle w:val="84"/>
        <w:adjustRightInd w:val="0"/>
        <w:snapToGrid w:val="0"/>
        <w:spacing w:line="360" w:lineRule="auto"/>
        <w:ind w:firstLine="840" w:firstLineChars="400"/>
        <w:rPr>
          <w:rFonts w:asciiTheme="minorEastAsia" w:hAnsiTheme="minorEastAsia" w:eastAsiaTheme="minorEastAsia"/>
          <w:sz w:val="21"/>
          <w:szCs w:val="21"/>
        </w:rPr>
      </w:pPr>
      <w:r>
        <w:rPr>
          <w:rFonts w:hint="eastAsia" w:asciiTheme="minorEastAsia" w:hAnsiTheme="minorEastAsia" w:eastAsiaTheme="minorEastAsia"/>
          <w:sz w:val="21"/>
          <w:szCs w:val="21"/>
        </w:rPr>
        <w:t>日期：</w:t>
      </w:r>
    </w:p>
    <w:p>
      <w:pPr>
        <w:adjustRightInd w:val="0"/>
        <w:snapToGrid w:val="0"/>
        <w:spacing w:line="360" w:lineRule="auto"/>
        <w:ind w:firstLine="420" w:firstLineChars="200"/>
        <w:rPr>
          <w:rFonts w:asciiTheme="minorEastAsia" w:hAnsiTheme="minorEastAsia" w:eastAsiaTheme="minorEastAsia"/>
          <w:bCs/>
        </w:rPr>
      </w:pPr>
      <w:r>
        <w:rPr>
          <w:rFonts w:hint="eastAsia" w:asciiTheme="minorEastAsia" w:hAnsiTheme="minorEastAsia" w:eastAsiaTheme="minorEastAsia"/>
          <w:bCs/>
        </w:rPr>
        <w:t>该授权委托书后附代理人身份证复印件。</w:t>
      </w: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560"/>
        <w:rPr>
          <w:rFonts w:asciiTheme="minorEastAsia" w:hAnsiTheme="minorEastAsia" w:eastAsiaTheme="minorEastAsia"/>
          <w:szCs w:val="28"/>
        </w:rPr>
      </w:pP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注：若社会资本为联合体，则由联合体牵头方提供并加盖公章。</w:t>
      </w: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p>
    <w:p>
      <w:pPr>
        <w:widowControl/>
        <w:jc w:val="left"/>
        <w:rPr>
          <w:rFonts w:asciiTheme="minorEastAsia" w:hAnsiTheme="minorEastAsia" w:eastAsiaTheme="minorEastAsia"/>
        </w:rPr>
      </w:pPr>
      <w:r>
        <w:rPr>
          <w:rFonts w:asciiTheme="minorEastAsia" w:hAnsiTheme="minorEastAsia" w:eastAsiaTheme="minorEastAsia"/>
        </w:rPr>
        <w:br w:type="page"/>
      </w:r>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rPr>
      </w:pPr>
      <w:r>
        <w:rPr>
          <w:rFonts w:hint="eastAsia" w:asciiTheme="minorEastAsia" w:hAnsiTheme="minorEastAsia" w:eastAsiaTheme="minorEastAsia"/>
          <w:b/>
          <w:bCs/>
          <w:sz w:val="28"/>
        </w:rPr>
        <w:t>承诺书</w:t>
      </w:r>
    </w:p>
    <w:p>
      <w:pPr>
        <w:pStyle w:val="84"/>
        <w:adjustRightInd w:val="0"/>
        <w:snapToGrid w:val="0"/>
        <w:spacing w:line="360" w:lineRule="auto"/>
        <w:ind w:firstLine="0" w:firstLineChars="0"/>
        <w:rPr>
          <w:rFonts w:asciiTheme="minorEastAsia" w:hAnsiTheme="minorEastAsia" w:eastAsiaTheme="minorEastAsia"/>
          <w:sz w:val="21"/>
          <w:szCs w:val="21"/>
        </w:rPr>
      </w:pPr>
    </w:p>
    <w:p>
      <w:pPr>
        <w:pStyle w:val="84"/>
        <w:adjustRightInd w:val="0"/>
        <w:snapToGrid w:val="0"/>
        <w:spacing w:line="360" w:lineRule="auto"/>
        <w:ind w:firstLine="0" w:firstLineChars="0"/>
        <w:rPr>
          <w:rFonts w:asciiTheme="minorEastAsia" w:hAnsiTheme="minorEastAsia" w:eastAsiaTheme="minorEastAsia"/>
          <w:sz w:val="21"/>
          <w:szCs w:val="21"/>
        </w:rPr>
      </w:pPr>
      <w:r>
        <w:rPr>
          <w:rFonts w:hint="eastAsia" w:asciiTheme="minorEastAsia" w:hAnsiTheme="minorEastAsia" w:eastAsiaTheme="minorEastAsia"/>
          <w:sz w:val="21"/>
          <w:szCs w:val="21"/>
        </w:rPr>
        <w:t>南京市栖霞区城市管理局：</w:t>
      </w: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我方承诺我方资本金来源合法合规，不会存在以“名股实债”、股东借款、借贷资金等债务性资金和以公益性资产、储备土地等方式违规出资或出资不实的问题，且出资不由第三方代持。</w:t>
      </w: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我方承诺不会将项目运营责任返包给政府方出资代表承担或另行指定社会资本股东以外的第三方承担。</w:t>
      </w:r>
    </w:p>
    <w:p>
      <w:pPr>
        <w:pStyle w:val="84"/>
        <w:adjustRightInd w:val="0"/>
        <w:snapToGrid w:val="0"/>
        <w:spacing w:line="360" w:lineRule="auto"/>
        <w:ind w:firstLine="420"/>
        <w:rPr>
          <w:rFonts w:asciiTheme="minorEastAsia" w:hAnsiTheme="minorEastAsia" w:eastAsiaTheme="minorEastAsia"/>
          <w:sz w:val="21"/>
          <w:szCs w:val="21"/>
        </w:rPr>
      </w:pPr>
    </w:p>
    <w:p>
      <w:pPr>
        <w:adjustRightInd w:val="0"/>
        <w:snapToGrid w:val="0"/>
        <w:spacing w:line="360" w:lineRule="auto"/>
        <w:ind w:firstLine="3780" w:firstLineChars="1800"/>
        <w:rPr>
          <w:rFonts w:asciiTheme="minorEastAsia" w:hAnsiTheme="minorEastAsia" w:eastAsiaTheme="minorEastAsia"/>
          <w:u w:val="single"/>
        </w:rPr>
      </w:pPr>
      <w:r>
        <w:rPr>
          <w:rFonts w:hint="eastAsia" w:asciiTheme="minorEastAsia" w:hAnsiTheme="minorEastAsia" w:eastAsiaTheme="minorEastAsia"/>
        </w:rPr>
        <w:t>社会资本名称（公章）：</w:t>
      </w:r>
    </w:p>
    <w:p>
      <w:pPr>
        <w:adjustRightInd w:val="0"/>
        <w:snapToGrid w:val="0"/>
        <w:spacing w:line="360" w:lineRule="auto"/>
        <w:ind w:firstLine="3780" w:firstLineChars="1800"/>
        <w:rPr>
          <w:rFonts w:asciiTheme="minorEastAsia" w:hAnsiTheme="minorEastAsia" w:eastAsiaTheme="minorEastAsia"/>
        </w:rPr>
      </w:pPr>
      <w:r>
        <w:rPr>
          <w:rFonts w:hint="eastAsia" w:asciiTheme="minorEastAsia" w:hAnsiTheme="minorEastAsia" w:eastAsiaTheme="minorEastAsia"/>
        </w:rPr>
        <w:t>法定代表人（签字或盖章）：</w:t>
      </w:r>
    </w:p>
    <w:p>
      <w:pPr>
        <w:pStyle w:val="84"/>
        <w:adjustRightInd w:val="0"/>
        <w:snapToGrid w:val="0"/>
        <w:spacing w:line="360" w:lineRule="auto"/>
        <w:ind w:firstLine="3780" w:firstLineChars="1800"/>
        <w:rPr>
          <w:rFonts w:asciiTheme="minorEastAsia" w:hAnsiTheme="minorEastAsia" w:eastAsiaTheme="minorEastAsia"/>
          <w:sz w:val="21"/>
          <w:szCs w:val="21"/>
        </w:rPr>
      </w:pPr>
      <w:r>
        <w:rPr>
          <w:rFonts w:hint="eastAsia" w:asciiTheme="minorEastAsia" w:hAnsiTheme="minorEastAsia" w:eastAsiaTheme="minorEastAsia"/>
          <w:sz w:val="21"/>
          <w:szCs w:val="21"/>
        </w:rPr>
        <w:t>日期：</w:t>
      </w: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p>
    <w:p>
      <w:pPr>
        <w:pStyle w:val="84"/>
        <w:adjustRightInd w:val="0"/>
        <w:snapToGrid w:val="0"/>
        <w:spacing w:line="360" w:lineRule="auto"/>
        <w:ind w:firstLine="420"/>
        <w:rPr>
          <w:rFonts w:asciiTheme="minorEastAsia" w:hAnsiTheme="minorEastAsia" w:eastAsiaTheme="minorEastAsia"/>
          <w:sz w:val="21"/>
          <w:szCs w:val="21"/>
        </w:rPr>
      </w:pPr>
      <w:r>
        <w:rPr>
          <w:rFonts w:hint="eastAsia" w:asciiTheme="minorEastAsia" w:hAnsiTheme="minorEastAsia" w:eastAsiaTheme="minorEastAsia"/>
          <w:sz w:val="21"/>
          <w:szCs w:val="21"/>
        </w:rPr>
        <w:t>注：若社会资本为联合体，则由联合体牵头方和成员均要提供并分别盖公章。</w:t>
      </w:r>
    </w:p>
    <w:p>
      <w:pPr>
        <w:widowControl/>
        <w:jc w:val="left"/>
        <w:rPr>
          <w:rFonts w:asciiTheme="minorEastAsia" w:hAnsiTheme="minorEastAsia" w:eastAsiaTheme="minorEastAsia"/>
          <w:sz w:val="28"/>
          <w:szCs w:val="28"/>
        </w:rPr>
      </w:pPr>
      <w:r>
        <w:rPr>
          <w:rFonts w:asciiTheme="minorEastAsia" w:hAnsiTheme="minorEastAsia" w:eastAsiaTheme="minorEastAsia"/>
          <w:sz w:val="28"/>
          <w:szCs w:val="28"/>
        </w:rPr>
        <w:br w:type="page"/>
      </w:r>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b/>
          <w:bCs/>
          <w:sz w:val="28"/>
        </w:rPr>
      </w:pPr>
      <w:r>
        <w:rPr>
          <w:rFonts w:hint="eastAsia" w:asciiTheme="minorEastAsia" w:hAnsiTheme="minorEastAsia" w:eastAsiaTheme="minorEastAsia"/>
          <w:b/>
          <w:bCs/>
          <w:sz w:val="28"/>
        </w:rPr>
        <w:t>其他评审投标文件必要和适当的材料</w:t>
      </w:r>
    </w:p>
    <w:p>
      <w:pPr>
        <w:adjustRightInd w:val="0"/>
        <w:snapToGrid w:val="0"/>
        <w:spacing w:line="360" w:lineRule="auto"/>
        <w:jc w:val="center"/>
        <w:rPr>
          <w:rFonts w:asciiTheme="minorEastAsia" w:hAnsiTheme="minorEastAsia" w:eastAsiaTheme="minorEastAsia"/>
        </w:rPr>
      </w:pPr>
      <w:r>
        <w:rPr>
          <w:rFonts w:hint="eastAsia" w:asciiTheme="minorEastAsia" w:hAnsiTheme="minorEastAsia" w:eastAsiaTheme="minorEastAsia"/>
        </w:rPr>
        <w:t>（招标文件规定的评审需要的材料，以及社会资本认为需要补充的材料）</w:t>
      </w:r>
    </w:p>
    <w:p>
      <w:pPr>
        <w:pStyle w:val="114"/>
        <w:numPr>
          <w:ilvl w:val="1"/>
          <w:numId w:val="23"/>
        </w:numPr>
        <w:adjustRightInd w:val="0"/>
        <w:snapToGrid w:val="0"/>
        <w:spacing w:beforeLines="50" w:afterLines="50" w:line="360" w:lineRule="auto"/>
        <w:ind w:left="0" w:firstLine="0" w:firstLineChars="0"/>
        <w:jc w:val="center"/>
        <w:outlineLvl w:val="3"/>
        <w:rPr>
          <w:rFonts w:asciiTheme="minorEastAsia" w:hAnsiTheme="minorEastAsia" w:eastAsiaTheme="minorEastAsia"/>
          <w:b/>
          <w:sz w:val="28"/>
        </w:rPr>
      </w:pPr>
      <w:r>
        <w:rPr>
          <w:rFonts w:asciiTheme="minorEastAsia" w:hAnsiTheme="minorEastAsia" w:eastAsiaTheme="minorEastAsia"/>
          <w:i/>
          <w:sz w:val="24"/>
          <w:szCs w:val="24"/>
        </w:rPr>
        <w:br w:type="page"/>
      </w:r>
      <w:bookmarkStart w:id="292" w:name="_Toc426010854"/>
      <w:bookmarkStart w:id="293" w:name="_Toc428893204"/>
      <w:bookmarkStart w:id="294" w:name="_Toc428894447"/>
      <w:bookmarkStart w:id="295" w:name="_Toc428894007"/>
      <w:bookmarkStart w:id="296" w:name="_Toc430093607"/>
      <w:bookmarkStart w:id="297" w:name="_Toc430096455"/>
      <w:bookmarkStart w:id="298" w:name="_Toc426009374"/>
      <w:bookmarkStart w:id="299" w:name="_Toc426011955"/>
      <w:bookmarkStart w:id="300" w:name="_Toc426012322"/>
      <w:bookmarkStart w:id="301" w:name="_Toc426009742"/>
      <w:bookmarkStart w:id="302" w:name="_Toc430619825"/>
      <w:bookmarkStart w:id="303" w:name="_Toc435777503"/>
      <w:bookmarkStart w:id="304" w:name="_Toc436952205"/>
      <w:bookmarkStart w:id="305" w:name="_Toc436924076"/>
      <w:bookmarkStart w:id="306" w:name="_Toc434827228"/>
      <w:bookmarkStart w:id="307" w:name="_Toc430096749"/>
      <w:bookmarkStart w:id="308" w:name="_Toc434827927"/>
      <w:bookmarkStart w:id="309" w:name="_Toc435777893"/>
      <w:bookmarkStart w:id="310" w:name="_Toc434826826"/>
      <w:bookmarkStart w:id="311" w:name="_Toc430620531"/>
      <w:bookmarkStart w:id="312" w:name="_Toc434827493"/>
      <w:r>
        <w:rPr>
          <w:rFonts w:hint="eastAsia" w:asciiTheme="minorEastAsia" w:hAnsiTheme="minorEastAsia" w:eastAsiaTheme="minorEastAsia"/>
          <w:b/>
          <w:bCs/>
          <w:sz w:val="28"/>
        </w:rPr>
        <w:t>评分索引表</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pPr>
        <w:jc w:val="center"/>
        <w:rPr>
          <w:rFonts w:asciiTheme="minorEastAsia" w:hAnsiTheme="minorEastAsia" w:eastAsiaTheme="minorEastAsia"/>
          <w:b/>
          <w:sz w:val="30"/>
          <w:szCs w:val="30"/>
        </w:rPr>
      </w:pPr>
    </w:p>
    <w:tbl>
      <w:tblPr>
        <w:tblStyle w:val="40"/>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4"/>
        <w:gridCol w:w="55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b/>
                <w:bCs/>
                <w:lang w:val="zh-CN"/>
              </w:rPr>
            </w:pPr>
            <w:r>
              <w:rPr>
                <w:rFonts w:hint="eastAsia" w:asciiTheme="minorEastAsia" w:hAnsiTheme="minorEastAsia" w:eastAsiaTheme="minorEastAsia"/>
                <w:b/>
                <w:lang w:val="zh-CN" w:eastAsia="en-US"/>
              </w:rPr>
              <w:t>评分项目</w:t>
            </w:r>
          </w:p>
        </w:tc>
        <w:tc>
          <w:tcPr>
            <w:tcW w:w="5564" w:type="dxa"/>
            <w:vAlign w:val="center"/>
          </w:tcPr>
          <w:p>
            <w:pPr>
              <w:rPr>
                <w:rFonts w:asciiTheme="minorEastAsia" w:hAnsiTheme="minorEastAsia" w:eastAsiaTheme="minorEastAsia"/>
                <w:b/>
              </w:rPr>
            </w:pPr>
            <w:r>
              <w:rPr>
                <w:rFonts w:hint="eastAsia" w:asciiTheme="minorEastAsia" w:hAnsiTheme="minorEastAsia" w:eastAsiaTheme="minorEastAsia"/>
                <w:b/>
                <w:kern w:val="0"/>
              </w:rPr>
              <w:t>在投标文件中的页码位置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b/>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b/>
                <w:bCs/>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bl>
    <w:p>
      <w:pPr>
        <w:rPr>
          <w:rFonts w:asciiTheme="minorEastAsia" w:hAnsiTheme="minorEastAsia" w:eastAsiaTheme="minorEastAsia"/>
          <w:b/>
          <w:sz w:val="28"/>
        </w:rPr>
      </w:pPr>
    </w:p>
    <w:p>
      <w:pPr>
        <w:numPr>
          <w:ilvl w:val="0"/>
          <w:numId w:val="23"/>
        </w:numPr>
        <w:adjustRightInd w:val="0"/>
        <w:snapToGrid w:val="0"/>
        <w:spacing w:line="360" w:lineRule="auto"/>
        <w:ind w:left="0" w:firstLine="0"/>
        <w:jc w:val="center"/>
        <w:outlineLvl w:val="2"/>
        <w:rPr>
          <w:rFonts w:asciiTheme="minorEastAsia" w:hAnsiTheme="minorEastAsia" w:eastAsiaTheme="minorEastAsia"/>
          <w:b/>
          <w:bCs/>
          <w:sz w:val="28"/>
        </w:rPr>
      </w:pPr>
      <w:bookmarkStart w:id="313" w:name="_Toc434827229"/>
      <w:bookmarkStart w:id="314" w:name="_Toc436952206"/>
      <w:bookmarkStart w:id="315" w:name="_Toc435777504"/>
      <w:bookmarkStart w:id="316" w:name="_Toc435777894"/>
      <w:bookmarkStart w:id="317" w:name="_Toc434827494"/>
      <w:bookmarkStart w:id="318" w:name="_Toc426009743"/>
      <w:bookmarkStart w:id="319" w:name="_Toc426012323"/>
      <w:bookmarkStart w:id="320" w:name="_Toc430096750"/>
      <w:bookmarkStart w:id="321" w:name="_Toc430620532"/>
      <w:bookmarkStart w:id="322" w:name="_Toc426009375"/>
      <w:bookmarkStart w:id="323" w:name="_Toc428893205"/>
      <w:bookmarkStart w:id="324" w:name="_Toc428894448"/>
      <w:bookmarkStart w:id="325" w:name="_Toc426011956"/>
      <w:bookmarkStart w:id="326" w:name="_Toc430093608"/>
      <w:bookmarkStart w:id="327" w:name="_Toc428894008"/>
      <w:bookmarkStart w:id="328" w:name="_Toc430096456"/>
      <w:bookmarkStart w:id="329" w:name="_Toc436924077"/>
      <w:bookmarkStart w:id="330" w:name="_Toc434827928"/>
      <w:bookmarkStart w:id="331" w:name="_Toc430619826"/>
      <w:bookmarkStart w:id="332" w:name="_Toc434826827"/>
      <w:bookmarkStart w:id="333" w:name="_Toc426010855"/>
      <w:r>
        <w:rPr>
          <w:rFonts w:asciiTheme="minorEastAsia" w:hAnsiTheme="minorEastAsia" w:eastAsiaTheme="minorEastAsia"/>
          <w:b/>
          <w:bCs/>
          <w:sz w:val="28"/>
        </w:rPr>
        <w:br w:type="page"/>
      </w:r>
      <w:bookmarkStart w:id="334" w:name="_Toc529805825"/>
      <w:bookmarkStart w:id="335" w:name="_Toc455565243"/>
      <w:r>
        <w:rPr>
          <w:rFonts w:hint="eastAsia" w:asciiTheme="minorEastAsia" w:hAnsiTheme="minorEastAsia" w:eastAsiaTheme="minorEastAsia"/>
          <w:b/>
          <w:bCs/>
          <w:sz w:val="28"/>
        </w:rPr>
        <w:t>技术方案</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pPr>
        <w:pStyle w:val="118"/>
        <w:numPr>
          <w:ilvl w:val="1"/>
          <w:numId w:val="24"/>
        </w:numPr>
        <w:tabs>
          <w:tab w:val="left" w:pos="947"/>
        </w:tabs>
        <w:adjustRightInd w:val="0"/>
        <w:snapToGrid w:val="0"/>
        <w:spacing w:line="360" w:lineRule="auto"/>
        <w:ind w:left="0" w:firstLine="0" w:firstLineChars="0"/>
        <w:jc w:val="center"/>
        <w:outlineLvl w:val="3"/>
        <w:rPr>
          <w:rFonts w:asciiTheme="minorEastAsia" w:hAnsiTheme="minorEastAsia" w:eastAsiaTheme="minorEastAsia"/>
          <w:b/>
          <w:sz w:val="28"/>
          <w:szCs w:val="28"/>
        </w:rPr>
      </w:pPr>
      <w:bookmarkStart w:id="336" w:name="_Toc436924078"/>
      <w:bookmarkStart w:id="337" w:name="_Toc426009744"/>
      <w:bookmarkStart w:id="338" w:name="_Toc434827929"/>
      <w:bookmarkStart w:id="339" w:name="_Toc430620533"/>
      <w:bookmarkStart w:id="340" w:name="_Toc428894009"/>
      <w:bookmarkStart w:id="341" w:name="_Toc426012324"/>
      <w:bookmarkStart w:id="342" w:name="_Toc435777505"/>
      <w:bookmarkStart w:id="343" w:name="_Toc430619827"/>
      <w:bookmarkStart w:id="344" w:name="_Toc428894449"/>
      <w:bookmarkStart w:id="345" w:name="_Toc434827230"/>
      <w:bookmarkStart w:id="346" w:name="_Toc434826828"/>
      <w:bookmarkStart w:id="347" w:name="_Toc430096457"/>
      <w:bookmarkStart w:id="348" w:name="_Toc430096751"/>
      <w:bookmarkStart w:id="349" w:name="_Toc430093609"/>
      <w:bookmarkStart w:id="350" w:name="_Toc426011957"/>
      <w:bookmarkStart w:id="351" w:name="_Toc436952207"/>
      <w:bookmarkStart w:id="352" w:name="_Toc435777895"/>
      <w:bookmarkStart w:id="353" w:name="_Toc428893206"/>
      <w:bookmarkStart w:id="354" w:name="_Toc426010856"/>
      <w:bookmarkStart w:id="355" w:name="_Toc426009376"/>
      <w:bookmarkStart w:id="356" w:name="_Toc434827495"/>
      <w:r>
        <w:rPr>
          <w:rFonts w:hint="eastAsia" w:asciiTheme="minorEastAsia" w:hAnsiTheme="minorEastAsia" w:eastAsiaTheme="minorEastAsia"/>
          <w:b/>
          <w:sz w:val="28"/>
          <w:szCs w:val="28"/>
        </w:rPr>
        <w:t>技术方案</w:t>
      </w:r>
    </w:p>
    <w:p>
      <w:pPr>
        <w:tabs>
          <w:tab w:val="left" w:pos="947"/>
        </w:tabs>
        <w:adjustRightInd w:val="0"/>
        <w:snapToGrid w:val="0"/>
        <w:spacing w:line="360" w:lineRule="auto"/>
        <w:rPr>
          <w:rFonts w:asciiTheme="minorEastAsia" w:hAnsiTheme="minorEastAsia" w:eastAsiaTheme="minorEastAsia"/>
        </w:rPr>
      </w:pPr>
      <w:r>
        <w:rPr>
          <w:rFonts w:hint="eastAsia" w:asciiTheme="minorEastAsia" w:hAnsiTheme="minorEastAsia" w:eastAsiaTheme="minorEastAsia"/>
        </w:rPr>
        <w:t>技术方案的内容应包括但不限于以下内容：</w:t>
      </w: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（1）项目公司组建</w:t>
      </w:r>
    </w:p>
    <w:p>
      <w:pPr>
        <w:adjustRightInd w:val="0"/>
        <w:snapToGrid w:val="0"/>
        <w:spacing w:line="360" w:lineRule="auto"/>
        <w:rPr>
          <w:rFonts w:asciiTheme="minorEastAsia" w:hAnsiTheme="minorEastAsia" w:eastAsiaTheme="minorEastAsia"/>
          <w:b/>
        </w:rPr>
      </w:pP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（2）设计方案</w:t>
      </w:r>
    </w:p>
    <w:p>
      <w:pPr>
        <w:adjustRightInd w:val="0"/>
        <w:snapToGrid w:val="0"/>
        <w:spacing w:line="360" w:lineRule="auto"/>
        <w:rPr>
          <w:rFonts w:asciiTheme="minorEastAsia" w:hAnsiTheme="minorEastAsia" w:eastAsiaTheme="minorEastAsia"/>
          <w:b/>
        </w:rPr>
      </w:pP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（3）建设方案</w:t>
      </w:r>
    </w:p>
    <w:p>
      <w:pPr>
        <w:adjustRightInd w:val="0"/>
        <w:snapToGrid w:val="0"/>
        <w:spacing w:line="360" w:lineRule="auto"/>
        <w:rPr>
          <w:rFonts w:asciiTheme="minorEastAsia" w:hAnsiTheme="minorEastAsia" w:eastAsiaTheme="minorEastAsia"/>
        </w:rPr>
      </w:pP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w:t>
      </w:r>
      <w:r>
        <w:rPr>
          <w:rFonts w:asciiTheme="minorEastAsia" w:hAnsiTheme="minorEastAsia" w:eastAsiaTheme="minorEastAsia"/>
          <w:b/>
        </w:rPr>
        <w:t>4</w:t>
      </w:r>
      <w:r>
        <w:rPr>
          <w:rFonts w:hint="eastAsia" w:asciiTheme="minorEastAsia" w:hAnsiTheme="minorEastAsia" w:eastAsiaTheme="minorEastAsia"/>
          <w:b/>
        </w:rPr>
        <w:t>）运营方案</w:t>
      </w:r>
    </w:p>
    <w:p>
      <w:pPr>
        <w:adjustRightInd w:val="0"/>
        <w:snapToGrid w:val="0"/>
        <w:spacing w:line="360" w:lineRule="auto"/>
        <w:rPr>
          <w:rFonts w:asciiTheme="minorEastAsia" w:hAnsiTheme="minorEastAsia" w:eastAsiaTheme="minorEastAsia"/>
          <w:b/>
        </w:rPr>
      </w:pPr>
    </w:p>
    <w:p>
      <w:pPr>
        <w:adjustRightInd w:val="0"/>
        <w:snapToGrid w:val="0"/>
        <w:spacing w:line="360" w:lineRule="auto"/>
        <w:rPr>
          <w:rFonts w:asciiTheme="minorEastAsia" w:hAnsiTheme="minorEastAsia" w:eastAsiaTheme="minorEastAsia"/>
          <w:b/>
        </w:rPr>
      </w:pPr>
      <w:r>
        <w:rPr>
          <w:rFonts w:hint="eastAsia" w:asciiTheme="minorEastAsia" w:hAnsiTheme="minorEastAsia" w:eastAsiaTheme="minorEastAsia"/>
          <w:b/>
        </w:rPr>
        <w:t>（</w:t>
      </w:r>
      <w:r>
        <w:rPr>
          <w:rFonts w:asciiTheme="minorEastAsia" w:hAnsiTheme="minorEastAsia" w:eastAsiaTheme="minorEastAsia"/>
          <w:b/>
        </w:rPr>
        <w:t>5</w:t>
      </w:r>
      <w:r>
        <w:rPr>
          <w:rFonts w:hint="eastAsia" w:asciiTheme="minorEastAsia" w:hAnsiTheme="minorEastAsia" w:eastAsiaTheme="minorEastAsia"/>
          <w:b/>
        </w:rPr>
        <w:t>）移交方案</w:t>
      </w:r>
    </w:p>
    <w:p>
      <w:pPr>
        <w:adjustRightInd w:val="0"/>
        <w:snapToGrid w:val="0"/>
        <w:spacing w:line="360" w:lineRule="auto"/>
        <w:ind w:firstLine="420" w:firstLineChars="200"/>
        <w:rPr>
          <w:rFonts w:asciiTheme="minorEastAsia" w:hAnsiTheme="minorEastAsia" w:eastAsiaTheme="minorEastAsia"/>
        </w:rPr>
      </w:pPr>
    </w:p>
    <w:p>
      <w:pPr>
        <w:adjustRightInd w:val="0"/>
        <w:snapToGrid w:val="0"/>
        <w:spacing w:line="360" w:lineRule="auto"/>
        <w:rPr>
          <w:rFonts w:asciiTheme="minorEastAsia" w:hAnsiTheme="minorEastAsia" w:eastAsiaTheme="minorEastAsia"/>
          <w:b/>
        </w:rPr>
      </w:pPr>
    </w:p>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p>
      <w:pPr>
        <w:adjustRightInd w:val="0"/>
        <w:snapToGrid w:val="0"/>
        <w:spacing w:line="360" w:lineRule="auto"/>
        <w:ind w:firstLine="422" w:firstLineChars="200"/>
        <w:rPr>
          <w:rFonts w:asciiTheme="minorEastAsia" w:hAnsiTheme="minorEastAsia" w:eastAsiaTheme="minorEastAsia"/>
          <w:b/>
        </w:rPr>
      </w:pPr>
      <w:bookmarkStart w:id="357" w:name="_Toc435777508"/>
      <w:bookmarkStart w:id="358" w:name="_Toc436924081"/>
      <w:bookmarkStart w:id="359" w:name="_Toc434827934"/>
      <w:bookmarkStart w:id="360" w:name="_Toc434826833"/>
      <w:bookmarkStart w:id="361" w:name="_Toc435777898"/>
      <w:bookmarkStart w:id="362" w:name="_Toc434827500"/>
      <w:bookmarkStart w:id="363" w:name="_Toc436952210"/>
      <w:bookmarkStart w:id="364" w:name="_Toc434827235"/>
    </w:p>
    <w:p>
      <w:pPr>
        <w:pStyle w:val="118"/>
        <w:numPr>
          <w:ilvl w:val="1"/>
          <w:numId w:val="24"/>
        </w:numPr>
        <w:tabs>
          <w:tab w:val="left" w:pos="947"/>
        </w:tabs>
        <w:adjustRightInd w:val="0"/>
        <w:snapToGrid w:val="0"/>
        <w:spacing w:line="360" w:lineRule="auto"/>
        <w:ind w:left="0" w:firstLine="0" w:firstLineChars="0"/>
        <w:jc w:val="center"/>
        <w:outlineLvl w:val="3"/>
        <w:rPr>
          <w:rFonts w:asciiTheme="minorEastAsia" w:hAnsiTheme="minorEastAsia" w:eastAsiaTheme="minorEastAsia"/>
          <w:b/>
          <w:sz w:val="28"/>
          <w:szCs w:val="28"/>
        </w:rPr>
      </w:pPr>
      <w:r>
        <w:rPr>
          <w:rFonts w:hint="eastAsia" w:asciiTheme="minorEastAsia" w:hAnsiTheme="minorEastAsia" w:eastAsiaTheme="minorEastAsia"/>
          <w:b/>
          <w:sz w:val="28"/>
          <w:szCs w:val="28"/>
        </w:rPr>
        <w:t>评分索引表</w:t>
      </w:r>
      <w:bookmarkEnd w:id="357"/>
      <w:bookmarkEnd w:id="358"/>
      <w:bookmarkEnd w:id="359"/>
      <w:bookmarkEnd w:id="360"/>
      <w:bookmarkEnd w:id="361"/>
      <w:bookmarkEnd w:id="362"/>
      <w:bookmarkEnd w:id="363"/>
      <w:bookmarkEnd w:id="364"/>
    </w:p>
    <w:tbl>
      <w:tblPr>
        <w:tblStyle w:val="40"/>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4"/>
        <w:gridCol w:w="55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contextualSpacing/>
              <w:jc w:val="center"/>
              <w:rPr>
                <w:rFonts w:asciiTheme="minorEastAsia" w:hAnsiTheme="minorEastAsia" w:eastAsiaTheme="minorEastAsia"/>
                <w:b/>
                <w:bCs/>
                <w:lang w:val="zh-CN"/>
              </w:rPr>
            </w:pPr>
            <w:r>
              <w:rPr>
                <w:rFonts w:hint="eastAsia" w:asciiTheme="minorEastAsia" w:hAnsiTheme="minorEastAsia" w:eastAsiaTheme="minorEastAsia"/>
                <w:b/>
                <w:lang w:val="zh-CN" w:eastAsia="en-US"/>
              </w:rPr>
              <w:t>评分项目</w:t>
            </w:r>
          </w:p>
        </w:tc>
        <w:tc>
          <w:tcPr>
            <w:tcW w:w="5564" w:type="dxa"/>
            <w:vAlign w:val="center"/>
          </w:tcPr>
          <w:p>
            <w:pPr>
              <w:jc w:val="center"/>
              <w:rPr>
                <w:rFonts w:asciiTheme="minorEastAsia" w:hAnsiTheme="minorEastAsia" w:eastAsiaTheme="minorEastAsia"/>
                <w:b/>
              </w:rPr>
            </w:pPr>
            <w:r>
              <w:rPr>
                <w:rFonts w:hint="eastAsia" w:asciiTheme="minorEastAsia" w:hAnsiTheme="minorEastAsia" w:eastAsiaTheme="minorEastAsia"/>
                <w:b/>
                <w:kern w:val="0"/>
              </w:rPr>
              <w:t>在投标文件中的页码位置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b/>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b/>
                <w:bCs/>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bl>
    <w:p>
      <w:pPr>
        <w:rPr>
          <w:rFonts w:asciiTheme="minorEastAsia" w:hAnsiTheme="minorEastAsia" w:eastAsiaTheme="minorEastAsia"/>
        </w:rPr>
      </w:pPr>
    </w:p>
    <w:p>
      <w:pPr>
        <w:numPr>
          <w:ilvl w:val="0"/>
          <w:numId w:val="23"/>
        </w:numPr>
        <w:adjustRightInd w:val="0"/>
        <w:snapToGrid w:val="0"/>
        <w:spacing w:line="360" w:lineRule="auto"/>
        <w:ind w:left="0" w:firstLine="0"/>
        <w:jc w:val="center"/>
        <w:outlineLvl w:val="2"/>
        <w:rPr>
          <w:rFonts w:asciiTheme="minorEastAsia" w:hAnsiTheme="minorEastAsia" w:eastAsiaTheme="minorEastAsia"/>
          <w:b/>
          <w:sz w:val="28"/>
          <w:szCs w:val="28"/>
        </w:rPr>
      </w:pPr>
      <w:r>
        <w:rPr>
          <w:rFonts w:asciiTheme="minorEastAsia" w:hAnsiTheme="minorEastAsia" w:eastAsiaTheme="minorEastAsia"/>
          <w:b/>
          <w:bCs/>
        </w:rPr>
        <w:br w:type="page"/>
      </w:r>
      <w:bookmarkStart w:id="365" w:name="_Toc430096756"/>
      <w:bookmarkStart w:id="366" w:name="_Toc428893213"/>
      <w:bookmarkStart w:id="367" w:name="_Toc428894456"/>
      <w:bookmarkStart w:id="368" w:name="_Toc430096460"/>
      <w:bookmarkStart w:id="369" w:name="_Toc430619834"/>
      <w:bookmarkStart w:id="370" w:name="_Toc430620540"/>
      <w:bookmarkStart w:id="371" w:name="_Toc434826834"/>
      <w:bookmarkStart w:id="372" w:name="_Toc435777899"/>
      <w:bookmarkStart w:id="373" w:name="_Toc529805826"/>
      <w:bookmarkStart w:id="374" w:name="_Toc426010859"/>
      <w:bookmarkStart w:id="375" w:name="_Toc426009379"/>
      <w:bookmarkStart w:id="376" w:name="_Toc436952211"/>
      <w:bookmarkStart w:id="377" w:name="_Toc426012327"/>
      <w:bookmarkStart w:id="378" w:name="_Toc436924082"/>
      <w:bookmarkStart w:id="379" w:name="_Toc434827236"/>
      <w:bookmarkStart w:id="380" w:name="_Toc434827935"/>
      <w:bookmarkStart w:id="381" w:name="_Toc426011960"/>
      <w:bookmarkStart w:id="382" w:name="_Toc434827501"/>
      <w:bookmarkStart w:id="383" w:name="_Toc435777509"/>
      <w:bookmarkStart w:id="384" w:name="_Toc455565244"/>
      <w:bookmarkStart w:id="385" w:name="_Toc428894016"/>
      <w:bookmarkStart w:id="386" w:name="_Toc426009747"/>
      <w:bookmarkStart w:id="387" w:name="_Toc430093617"/>
      <w:bookmarkStart w:id="388" w:name="_Toc426012347"/>
      <w:bookmarkStart w:id="389" w:name="_Toc426009399"/>
      <w:bookmarkStart w:id="390" w:name="_Toc426010879"/>
      <w:bookmarkStart w:id="391" w:name="_Toc426009767"/>
      <w:bookmarkStart w:id="392" w:name="_Toc426011980"/>
      <w:r>
        <w:rPr>
          <w:rFonts w:hint="eastAsia" w:asciiTheme="minorEastAsia" w:hAnsiTheme="minorEastAsia" w:eastAsiaTheme="minorEastAsia"/>
          <w:b/>
          <w:bCs/>
          <w:sz w:val="28"/>
        </w:rPr>
        <w:t>财务方案与法律方案</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pPr>
        <w:numPr>
          <w:ilvl w:val="1"/>
          <w:numId w:val="25"/>
        </w:numPr>
        <w:adjustRightInd w:val="0"/>
        <w:snapToGrid w:val="0"/>
        <w:spacing w:beforeLines="50" w:afterLines="50" w:line="360" w:lineRule="auto"/>
        <w:ind w:left="0" w:firstLine="0"/>
        <w:jc w:val="center"/>
        <w:outlineLvl w:val="3"/>
        <w:rPr>
          <w:rFonts w:asciiTheme="minorEastAsia" w:hAnsiTheme="minorEastAsia" w:eastAsiaTheme="minorEastAsia"/>
          <w:b/>
          <w:bCs/>
          <w:sz w:val="28"/>
        </w:rPr>
      </w:pPr>
      <w:bookmarkStart w:id="393" w:name="_Toc430096757"/>
      <w:bookmarkStart w:id="394" w:name="_Toc426009380"/>
      <w:bookmarkStart w:id="395" w:name="_Toc426012328"/>
      <w:bookmarkStart w:id="396" w:name="_Toc428894457"/>
      <w:bookmarkStart w:id="397" w:name="_Toc435777510"/>
      <w:bookmarkStart w:id="398" w:name="_Toc436952212"/>
      <w:bookmarkStart w:id="399" w:name="_Toc430619835"/>
      <w:bookmarkStart w:id="400" w:name="_Toc434827237"/>
      <w:bookmarkStart w:id="401" w:name="_Toc426011961"/>
      <w:bookmarkStart w:id="402" w:name="_Toc430096461"/>
      <w:bookmarkStart w:id="403" w:name="_Toc430620541"/>
      <w:bookmarkStart w:id="404" w:name="_Toc434826835"/>
      <w:bookmarkStart w:id="405" w:name="_Toc430093618"/>
      <w:bookmarkStart w:id="406" w:name="_Toc434827502"/>
      <w:bookmarkStart w:id="407" w:name="_Toc434827936"/>
      <w:bookmarkStart w:id="408" w:name="_Toc428893214"/>
      <w:bookmarkStart w:id="409" w:name="_Toc426010860"/>
      <w:bookmarkStart w:id="410" w:name="_Toc435777900"/>
      <w:bookmarkStart w:id="411" w:name="_Toc436924083"/>
      <w:bookmarkStart w:id="412" w:name="_Toc428894017"/>
      <w:bookmarkStart w:id="413" w:name="_Toc426009748"/>
      <w:r>
        <w:rPr>
          <w:rFonts w:hint="eastAsia" w:asciiTheme="minorEastAsia" w:hAnsiTheme="minorEastAsia" w:eastAsiaTheme="minorEastAsia"/>
          <w:b/>
          <w:bCs/>
          <w:sz w:val="28"/>
        </w:rPr>
        <w:t>财务方案</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pPr>
        <w:adjustRightInd w:val="0"/>
        <w:snapToGrid w:val="0"/>
        <w:spacing w:line="360" w:lineRule="auto"/>
        <w:ind w:firstLine="420" w:firstLineChars="200"/>
        <w:jc w:val="left"/>
        <w:rPr>
          <w:rFonts w:asciiTheme="minorEastAsia" w:hAnsiTheme="minorEastAsia" w:eastAsiaTheme="minorEastAsia" w:cstheme="minorBidi"/>
        </w:rPr>
      </w:pPr>
      <w:r>
        <w:rPr>
          <w:rFonts w:hint="eastAsia" w:asciiTheme="minorEastAsia" w:hAnsiTheme="minorEastAsia" w:eastAsiaTheme="minorEastAsia" w:cstheme="minorBidi"/>
        </w:rPr>
        <w:t>财务方案应包括财务测算表、</w:t>
      </w:r>
      <w:bookmarkStart w:id="414" w:name="_Hlk532283955"/>
      <w:r>
        <w:rPr>
          <w:rFonts w:hint="eastAsia" w:asciiTheme="minorEastAsia" w:hAnsiTheme="minorEastAsia" w:eastAsiaTheme="minorEastAsia" w:cstheme="minorBidi"/>
        </w:rPr>
        <w:t>财务方案详细内容及有关证明材料</w:t>
      </w:r>
      <w:bookmarkEnd w:id="414"/>
      <w:r>
        <w:rPr>
          <w:rFonts w:hint="eastAsia" w:asciiTheme="minorEastAsia" w:hAnsiTheme="minorEastAsia" w:eastAsiaTheme="minorEastAsia" w:cstheme="minorBidi"/>
        </w:rPr>
        <w:t>等。</w:t>
      </w:r>
    </w:p>
    <w:p>
      <w:pPr>
        <w:adjustRightInd w:val="0"/>
        <w:snapToGrid w:val="0"/>
        <w:spacing w:line="360" w:lineRule="auto"/>
        <w:jc w:val="left"/>
        <w:rPr>
          <w:rFonts w:asciiTheme="minorEastAsia" w:hAnsiTheme="minorEastAsia" w:eastAsiaTheme="minorEastAsia"/>
        </w:rPr>
      </w:pPr>
      <w:r>
        <w:rPr>
          <w:rFonts w:hint="eastAsia" w:asciiTheme="minorEastAsia" w:hAnsiTheme="minorEastAsia" w:eastAsiaTheme="minorEastAsia"/>
        </w:rPr>
        <w:t>附表</w:t>
      </w:r>
      <w:r>
        <w:rPr>
          <w:rFonts w:asciiTheme="minorEastAsia" w:hAnsiTheme="minorEastAsia" w:eastAsiaTheme="minorEastAsia"/>
        </w:rPr>
        <w:t xml:space="preserve">1 </w:t>
      </w:r>
      <w:r>
        <w:rPr>
          <w:rFonts w:hint="eastAsia" w:asciiTheme="minorEastAsia" w:hAnsiTheme="minorEastAsia" w:eastAsiaTheme="minorEastAsia"/>
        </w:rPr>
        <w:t>项目资本金来源和金额</w:t>
      </w:r>
    </w:p>
    <w:tbl>
      <w:tblPr>
        <w:tblStyle w:val="40"/>
        <w:tblW w:w="852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2"/>
        <w:gridCol w:w="4006"/>
        <w:gridCol w:w="1984"/>
        <w:gridCol w:w="161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22" w:type="dxa"/>
            <w:tcBorders>
              <w:top w:val="single" w:color="auto" w:sz="12" w:space="0"/>
              <w:right w:val="single" w:color="auto" w:sz="4" w:space="0"/>
            </w:tcBorders>
            <w:vAlign w:val="center"/>
          </w:tcPr>
          <w:p>
            <w:pPr>
              <w:jc w:val="center"/>
              <w:rPr>
                <w:rFonts w:asciiTheme="minorEastAsia" w:hAnsiTheme="minorEastAsia" w:eastAsiaTheme="minorEastAsia"/>
              </w:rPr>
            </w:pPr>
            <w:r>
              <w:rPr>
                <w:rFonts w:hint="eastAsia" w:asciiTheme="minorEastAsia" w:hAnsiTheme="minorEastAsia" w:eastAsiaTheme="minorEastAsia"/>
              </w:rPr>
              <w:t>序号</w:t>
            </w:r>
          </w:p>
        </w:tc>
        <w:tc>
          <w:tcPr>
            <w:tcW w:w="4006" w:type="dxa"/>
            <w:tcBorders>
              <w:top w:val="single" w:color="auto" w:sz="12" w:space="0"/>
              <w:left w:val="single" w:color="auto" w:sz="4" w:space="0"/>
            </w:tcBorders>
            <w:vAlign w:val="center"/>
          </w:tcPr>
          <w:p>
            <w:pPr>
              <w:jc w:val="center"/>
              <w:rPr>
                <w:rFonts w:asciiTheme="minorEastAsia" w:hAnsiTheme="minorEastAsia" w:eastAsiaTheme="minorEastAsia"/>
              </w:rPr>
            </w:pPr>
            <w:r>
              <w:rPr>
                <w:rFonts w:hint="eastAsia" w:asciiTheme="minorEastAsia" w:hAnsiTheme="minorEastAsia" w:eastAsiaTheme="minorEastAsia"/>
              </w:rPr>
              <w:t>项目资本金来源</w:t>
            </w:r>
          </w:p>
        </w:tc>
        <w:tc>
          <w:tcPr>
            <w:tcW w:w="1984" w:type="dxa"/>
            <w:tcBorders>
              <w:top w:val="single" w:color="auto" w:sz="12" w:space="0"/>
            </w:tcBorders>
            <w:vAlign w:val="center"/>
          </w:tcPr>
          <w:p>
            <w:pPr>
              <w:jc w:val="center"/>
              <w:rPr>
                <w:rFonts w:asciiTheme="minorEastAsia" w:hAnsiTheme="minorEastAsia" w:eastAsiaTheme="minorEastAsia"/>
              </w:rPr>
            </w:pPr>
            <w:r>
              <w:rPr>
                <w:rFonts w:hint="eastAsia" w:asciiTheme="minorEastAsia" w:hAnsiTheme="minorEastAsia" w:eastAsiaTheme="minorEastAsia"/>
              </w:rPr>
              <w:t>金额</w:t>
            </w:r>
            <w:r>
              <w:rPr>
                <w:rFonts w:asciiTheme="minorEastAsia" w:hAnsiTheme="minorEastAsia" w:eastAsiaTheme="minorEastAsia"/>
              </w:rPr>
              <w:t>(</w:t>
            </w:r>
            <w:r>
              <w:rPr>
                <w:rFonts w:hint="eastAsia" w:asciiTheme="minorEastAsia" w:hAnsiTheme="minorEastAsia" w:eastAsiaTheme="minorEastAsia"/>
              </w:rPr>
              <w:t>万元</w:t>
            </w:r>
            <w:r>
              <w:rPr>
                <w:rFonts w:asciiTheme="minorEastAsia" w:hAnsiTheme="minorEastAsia" w:eastAsiaTheme="minorEastAsia"/>
              </w:rPr>
              <w:t>)</w:t>
            </w:r>
          </w:p>
        </w:tc>
        <w:tc>
          <w:tcPr>
            <w:tcW w:w="1616" w:type="dxa"/>
            <w:tcBorders>
              <w:top w:val="single" w:color="auto" w:sz="12" w:space="0"/>
            </w:tcBorders>
            <w:vAlign w:val="center"/>
          </w:tcPr>
          <w:p>
            <w:pPr>
              <w:jc w:val="center"/>
              <w:rPr>
                <w:rFonts w:asciiTheme="minorEastAsia" w:hAnsiTheme="minorEastAsia" w:eastAsiaTheme="minorEastAsia"/>
              </w:rPr>
            </w:pPr>
            <w:r>
              <w:rPr>
                <w:rFonts w:hint="eastAsia" w:asciiTheme="minorEastAsia" w:hAnsiTheme="minorEastAsia" w:eastAsiaTheme="minorEastAsia"/>
              </w:rPr>
              <w:t>占总投资的百分比（</w:t>
            </w:r>
            <w:r>
              <w:rPr>
                <w:rFonts w:asciiTheme="minorEastAsia" w:hAnsiTheme="minorEastAsia" w:eastAsiaTheme="minorEastAsia"/>
              </w:rPr>
              <w:t>%</w:t>
            </w:r>
            <w:r>
              <w:rPr>
                <w:rFonts w:hint="eastAsia" w:asciiTheme="minorEastAsia" w:hAnsiTheme="minorEastAsia" w:eastAsiaTheme="minor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22" w:type="dxa"/>
            <w:tcBorders>
              <w:right w:val="single" w:color="auto" w:sz="4" w:space="0"/>
            </w:tcBorders>
            <w:vAlign w:val="center"/>
          </w:tcPr>
          <w:p>
            <w:pPr>
              <w:spacing w:line="300" w:lineRule="auto"/>
              <w:jc w:val="center"/>
              <w:rPr>
                <w:rFonts w:asciiTheme="minorEastAsia" w:hAnsiTheme="minorEastAsia" w:eastAsiaTheme="minorEastAsia"/>
                <w:bCs/>
              </w:rPr>
            </w:pPr>
            <w:r>
              <w:rPr>
                <w:rFonts w:asciiTheme="minorEastAsia" w:hAnsiTheme="minorEastAsia" w:eastAsiaTheme="minorEastAsia"/>
                <w:bCs/>
              </w:rPr>
              <w:t>1</w:t>
            </w:r>
          </w:p>
        </w:tc>
        <w:tc>
          <w:tcPr>
            <w:tcW w:w="4006" w:type="dxa"/>
            <w:tcBorders>
              <w:left w:val="single" w:color="auto" w:sz="4" w:space="0"/>
            </w:tcBorders>
            <w:vAlign w:val="center"/>
          </w:tcPr>
          <w:p>
            <w:pPr>
              <w:spacing w:line="300" w:lineRule="auto"/>
              <w:ind w:left="103"/>
              <w:jc w:val="center"/>
              <w:rPr>
                <w:rFonts w:asciiTheme="minorEastAsia" w:hAnsiTheme="minorEastAsia" w:eastAsiaTheme="minorEastAsia"/>
                <w:bCs/>
              </w:rPr>
            </w:pPr>
          </w:p>
        </w:tc>
        <w:tc>
          <w:tcPr>
            <w:tcW w:w="1984" w:type="dxa"/>
            <w:vAlign w:val="center"/>
          </w:tcPr>
          <w:p>
            <w:pPr>
              <w:spacing w:line="300" w:lineRule="auto"/>
              <w:ind w:left="103"/>
              <w:jc w:val="center"/>
              <w:rPr>
                <w:rFonts w:asciiTheme="minorEastAsia" w:hAnsiTheme="minorEastAsia" w:eastAsiaTheme="minorEastAsia"/>
                <w:bCs/>
              </w:rPr>
            </w:pPr>
          </w:p>
        </w:tc>
        <w:tc>
          <w:tcPr>
            <w:tcW w:w="1616" w:type="dxa"/>
            <w:vAlign w:val="center"/>
          </w:tcPr>
          <w:p>
            <w:pPr>
              <w:spacing w:line="300" w:lineRule="auto"/>
              <w:ind w:left="102"/>
              <w:jc w:val="center"/>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22" w:type="dxa"/>
            <w:tcBorders>
              <w:right w:val="single" w:color="auto" w:sz="4" w:space="0"/>
            </w:tcBorders>
            <w:vAlign w:val="center"/>
          </w:tcPr>
          <w:p>
            <w:pPr>
              <w:spacing w:line="300" w:lineRule="auto"/>
              <w:jc w:val="center"/>
              <w:rPr>
                <w:rFonts w:asciiTheme="minorEastAsia" w:hAnsiTheme="minorEastAsia" w:eastAsiaTheme="minorEastAsia"/>
                <w:bCs/>
              </w:rPr>
            </w:pPr>
            <w:r>
              <w:rPr>
                <w:rFonts w:asciiTheme="minorEastAsia" w:hAnsiTheme="minorEastAsia" w:eastAsiaTheme="minorEastAsia"/>
                <w:bCs/>
              </w:rPr>
              <w:t>2</w:t>
            </w:r>
          </w:p>
        </w:tc>
        <w:tc>
          <w:tcPr>
            <w:tcW w:w="4006" w:type="dxa"/>
            <w:tcBorders>
              <w:left w:val="single" w:color="auto" w:sz="4" w:space="0"/>
            </w:tcBorders>
            <w:vAlign w:val="center"/>
          </w:tcPr>
          <w:p>
            <w:pPr>
              <w:spacing w:line="300" w:lineRule="auto"/>
              <w:ind w:left="103"/>
              <w:jc w:val="center"/>
              <w:rPr>
                <w:rFonts w:asciiTheme="minorEastAsia" w:hAnsiTheme="minorEastAsia" w:eastAsiaTheme="minorEastAsia"/>
                <w:bCs/>
              </w:rPr>
            </w:pPr>
          </w:p>
        </w:tc>
        <w:tc>
          <w:tcPr>
            <w:tcW w:w="1984" w:type="dxa"/>
            <w:vAlign w:val="center"/>
          </w:tcPr>
          <w:p>
            <w:pPr>
              <w:spacing w:line="300" w:lineRule="auto"/>
              <w:ind w:left="103"/>
              <w:jc w:val="center"/>
              <w:rPr>
                <w:rFonts w:asciiTheme="minorEastAsia" w:hAnsiTheme="minorEastAsia" w:eastAsiaTheme="minorEastAsia"/>
                <w:bCs/>
              </w:rPr>
            </w:pPr>
          </w:p>
        </w:tc>
        <w:tc>
          <w:tcPr>
            <w:tcW w:w="1616" w:type="dxa"/>
            <w:vAlign w:val="center"/>
          </w:tcPr>
          <w:p>
            <w:pPr>
              <w:spacing w:line="300" w:lineRule="auto"/>
              <w:ind w:left="102"/>
              <w:jc w:val="center"/>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22" w:type="dxa"/>
            <w:tcBorders>
              <w:right w:val="single" w:color="auto" w:sz="4" w:space="0"/>
            </w:tcBorders>
            <w:vAlign w:val="center"/>
          </w:tcPr>
          <w:p>
            <w:pPr>
              <w:spacing w:line="300" w:lineRule="auto"/>
              <w:jc w:val="center"/>
              <w:rPr>
                <w:rFonts w:asciiTheme="minorEastAsia" w:hAnsiTheme="minorEastAsia" w:eastAsiaTheme="minorEastAsia"/>
                <w:bCs/>
              </w:rPr>
            </w:pPr>
            <w:r>
              <w:rPr>
                <w:rFonts w:hint="eastAsia" w:asciiTheme="minorEastAsia" w:hAnsiTheme="minorEastAsia" w:eastAsiaTheme="minorEastAsia"/>
                <w:bCs/>
              </w:rPr>
              <w:t>…</w:t>
            </w:r>
          </w:p>
        </w:tc>
        <w:tc>
          <w:tcPr>
            <w:tcW w:w="4006" w:type="dxa"/>
            <w:tcBorders>
              <w:left w:val="single" w:color="auto" w:sz="4" w:space="0"/>
            </w:tcBorders>
            <w:vAlign w:val="center"/>
          </w:tcPr>
          <w:p>
            <w:pPr>
              <w:spacing w:line="300" w:lineRule="auto"/>
              <w:ind w:left="103"/>
              <w:jc w:val="center"/>
              <w:rPr>
                <w:rFonts w:asciiTheme="minorEastAsia" w:hAnsiTheme="minorEastAsia" w:eastAsiaTheme="minorEastAsia"/>
                <w:bCs/>
              </w:rPr>
            </w:pPr>
          </w:p>
        </w:tc>
        <w:tc>
          <w:tcPr>
            <w:tcW w:w="1984" w:type="dxa"/>
            <w:vAlign w:val="center"/>
          </w:tcPr>
          <w:p>
            <w:pPr>
              <w:spacing w:line="300" w:lineRule="auto"/>
              <w:ind w:left="103"/>
              <w:jc w:val="center"/>
              <w:rPr>
                <w:rFonts w:asciiTheme="minorEastAsia" w:hAnsiTheme="minorEastAsia" w:eastAsiaTheme="minorEastAsia"/>
                <w:bCs/>
              </w:rPr>
            </w:pPr>
          </w:p>
        </w:tc>
        <w:tc>
          <w:tcPr>
            <w:tcW w:w="1616" w:type="dxa"/>
            <w:vAlign w:val="center"/>
          </w:tcPr>
          <w:p>
            <w:pPr>
              <w:spacing w:line="300" w:lineRule="auto"/>
              <w:ind w:left="102"/>
              <w:jc w:val="center"/>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22" w:type="dxa"/>
            <w:tcBorders>
              <w:bottom w:val="single" w:color="auto" w:sz="12" w:space="0"/>
              <w:right w:val="single" w:color="auto" w:sz="4" w:space="0"/>
            </w:tcBorders>
            <w:vAlign w:val="center"/>
          </w:tcPr>
          <w:p>
            <w:pPr>
              <w:spacing w:line="300" w:lineRule="auto"/>
              <w:jc w:val="center"/>
              <w:rPr>
                <w:rFonts w:asciiTheme="minorEastAsia" w:hAnsiTheme="minorEastAsia" w:eastAsiaTheme="minorEastAsia"/>
                <w:bCs/>
              </w:rPr>
            </w:pPr>
            <w:r>
              <w:rPr>
                <w:rFonts w:asciiTheme="minorEastAsia" w:hAnsiTheme="minorEastAsia" w:eastAsiaTheme="minorEastAsia"/>
                <w:bCs/>
              </w:rPr>
              <w:t>4</w:t>
            </w:r>
          </w:p>
        </w:tc>
        <w:tc>
          <w:tcPr>
            <w:tcW w:w="4006" w:type="dxa"/>
            <w:tcBorders>
              <w:left w:val="single" w:color="auto" w:sz="4" w:space="0"/>
              <w:bottom w:val="single" w:color="auto" w:sz="12" w:space="0"/>
            </w:tcBorders>
            <w:vAlign w:val="center"/>
          </w:tcPr>
          <w:p>
            <w:pPr>
              <w:spacing w:line="300" w:lineRule="auto"/>
              <w:ind w:left="103"/>
              <w:jc w:val="center"/>
              <w:rPr>
                <w:rFonts w:asciiTheme="minorEastAsia" w:hAnsiTheme="minorEastAsia" w:eastAsiaTheme="minorEastAsia"/>
                <w:bCs/>
              </w:rPr>
            </w:pPr>
            <w:r>
              <w:rPr>
                <w:rFonts w:hint="eastAsia" w:asciiTheme="minorEastAsia" w:hAnsiTheme="minorEastAsia" w:eastAsiaTheme="minorEastAsia"/>
                <w:bCs/>
              </w:rPr>
              <w:t>合计</w:t>
            </w:r>
          </w:p>
        </w:tc>
        <w:tc>
          <w:tcPr>
            <w:tcW w:w="1984" w:type="dxa"/>
            <w:tcBorders>
              <w:bottom w:val="single" w:color="auto" w:sz="12" w:space="0"/>
            </w:tcBorders>
            <w:vAlign w:val="center"/>
          </w:tcPr>
          <w:p>
            <w:pPr>
              <w:spacing w:line="300" w:lineRule="auto"/>
              <w:ind w:left="103"/>
              <w:jc w:val="center"/>
              <w:rPr>
                <w:rFonts w:asciiTheme="minorEastAsia" w:hAnsiTheme="minorEastAsia" w:eastAsiaTheme="minorEastAsia"/>
                <w:bCs/>
              </w:rPr>
            </w:pPr>
          </w:p>
        </w:tc>
        <w:tc>
          <w:tcPr>
            <w:tcW w:w="1616" w:type="dxa"/>
            <w:tcBorders>
              <w:bottom w:val="single" w:color="auto" w:sz="12" w:space="0"/>
            </w:tcBorders>
            <w:vAlign w:val="center"/>
          </w:tcPr>
          <w:p>
            <w:pPr>
              <w:spacing w:line="300" w:lineRule="auto"/>
              <w:ind w:left="102"/>
              <w:jc w:val="center"/>
              <w:rPr>
                <w:rFonts w:asciiTheme="minorEastAsia" w:hAnsiTheme="minorEastAsia" w:eastAsiaTheme="minorEastAsia"/>
                <w:bCs/>
              </w:rPr>
            </w:pPr>
          </w:p>
        </w:tc>
      </w:tr>
    </w:tbl>
    <w:p>
      <w:pPr>
        <w:adjustRightInd w:val="0"/>
        <w:snapToGrid w:val="0"/>
        <w:spacing w:line="360" w:lineRule="auto"/>
        <w:ind w:firstLine="420" w:firstLineChars="200"/>
        <w:rPr>
          <w:rFonts w:asciiTheme="minorEastAsia" w:hAnsiTheme="minorEastAsia" w:eastAsiaTheme="minorEastAsia"/>
          <w:bCs/>
        </w:rPr>
      </w:pPr>
      <w:r>
        <w:rPr>
          <w:rFonts w:hint="eastAsia" w:asciiTheme="minorEastAsia" w:hAnsiTheme="minorEastAsia" w:eastAsiaTheme="minorEastAsia"/>
        </w:rPr>
        <w:t>注：项目资本金占项目总投资的比例为不低于20%。</w:t>
      </w:r>
    </w:p>
    <w:p>
      <w:pPr>
        <w:adjustRightInd w:val="0"/>
        <w:snapToGrid w:val="0"/>
        <w:spacing w:line="360" w:lineRule="auto"/>
        <w:ind w:firstLine="420" w:firstLineChars="200"/>
        <w:rPr>
          <w:rFonts w:asciiTheme="minorEastAsia" w:hAnsiTheme="minorEastAsia" w:eastAsiaTheme="minorEastAsia"/>
          <w:bCs/>
        </w:rPr>
      </w:pPr>
    </w:p>
    <w:p>
      <w:pPr>
        <w:adjustRightInd w:val="0"/>
        <w:snapToGrid w:val="0"/>
        <w:spacing w:line="360" w:lineRule="auto"/>
        <w:jc w:val="left"/>
        <w:rPr>
          <w:rFonts w:asciiTheme="minorEastAsia" w:hAnsiTheme="minorEastAsia" w:eastAsiaTheme="minorEastAsia"/>
          <w:szCs w:val="22"/>
        </w:rPr>
      </w:pPr>
      <w:r>
        <w:rPr>
          <w:rFonts w:hint="eastAsia" w:asciiTheme="minorEastAsia" w:hAnsiTheme="minorEastAsia" w:eastAsiaTheme="minorEastAsia"/>
          <w:szCs w:val="22"/>
        </w:rPr>
        <w:t>附表2项目投资估算表（单位：人民币万元）</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2"/>
        <w:gridCol w:w="1857"/>
        <w:gridCol w:w="2340"/>
        <w:gridCol w:w="1620"/>
        <w:gridCol w:w="1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rFonts w:eastAsia="黑体"/>
                <w:kern w:val="0"/>
              </w:rPr>
            </w:pPr>
            <w:r>
              <w:rPr>
                <w:rFonts w:eastAsia="黑体"/>
                <w:kern w:val="0"/>
              </w:rPr>
              <w:t>序号</w:t>
            </w:r>
          </w:p>
        </w:tc>
        <w:tc>
          <w:tcPr>
            <w:tcW w:w="1089" w:type="pct"/>
            <w:shd w:val="clear" w:color="auto" w:fill="FFFFFF"/>
            <w:vAlign w:val="center"/>
          </w:tcPr>
          <w:p>
            <w:pPr>
              <w:widowControl/>
              <w:adjustRightInd w:val="0"/>
              <w:snapToGrid w:val="0"/>
              <w:jc w:val="center"/>
              <w:rPr>
                <w:rFonts w:eastAsia="黑体"/>
                <w:kern w:val="0"/>
              </w:rPr>
            </w:pPr>
            <w:r>
              <w:rPr>
                <w:rFonts w:eastAsia="黑体"/>
                <w:kern w:val="0"/>
              </w:rPr>
              <w:t>费用名称</w:t>
            </w:r>
          </w:p>
        </w:tc>
        <w:tc>
          <w:tcPr>
            <w:tcW w:w="1372" w:type="pct"/>
            <w:shd w:val="clear" w:color="auto" w:fill="FFFFFF"/>
            <w:vAlign w:val="center"/>
          </w:tcPr>
          <w:p>
            <w:pPr>
              <w:widowControl/>
              <w:adjustRightInd w:val="0"/>
              <w:snapToGrid w:val="0"/>
              <w:jc w:val="center"/>
              <w:rPr>
                <w:rFonts w:eastAsia="黑体"/>
                <w:kern w:val="0"/>
              </w:rPr>
            </w:pPr>
            <w:r>
              <w:rPr>
                <w:rFonts w:hint="eastAsia" w:eastAsia="黑体"/>
                <w:kern w:val="0"/>
              </w:rPr>
              <w:t>①</w:t>
            </w:r>
            <w:r>
              <w:rPr>
                <w:rFonts w:eastAsia="黑体"/>
                <w:kern w:val="0"/>
              </w:rPr>
              <w:t>总投资（万元）</w:t>
            </w:r>
          </w:p>
          <w:p>
            <w:pPr>
              <w:widowControl/>
              <w:adjustRightInd w:val="0"/>
              <w:snapToGrid w:val="0"/>
              <w:jc w:val="center"/>
              <w:rPr>
                <w:rFonts w:eastAsia="黑体"/>
                <w:kern w:val="0"/>
              </w:rPr>
            </w:pPr>
            <w:r>
              <w:rPr>
                <w:rFonts w:hint="eastAsia" w:eastAsia="黑体"/>
                <w:kern w:val="0"/>
              </w:rPr>
              <w:t>下浮前</w:t>
            </w:r>
          </w:p>
        </w:tc>
        <w:tc>
          <w:tcPr>
            <w:tcW w:w="950" w:type="pct"/>
            <w:shd w:val="clear" w:color="auto" w:fill="FFFFFF"/>
            <w:vAlign w:val="center"/>
          </w:tcPr>
          <w:p>
            <w:pPr>
              <w:widowControl/>
              <w:adjustRightInd w:val="0"/>
              <w:snapToGrid w:val="0"/>
              <w:jc w:val="center"/>
              <w:rPr>
                <w:rFonts w:eastAsia="黑体"/>
                <w:kern w:val="0"/>
              </w:rPr>
            </w:pPr>
            <w:r>
              <w:rPr>
                <w:rFonts w:hint="eastAsia" w:eastAsia="黑体"/>
                <w:kern w:val="0"/>
              </w:rPr>
              <w:t>②下浮率</w:t>
            </w:r>
          </w:p>
        </w:tc>
        <w:tc>
          <w:tcPr>
            <w:tcW w:w="949" w:type="pct"/>
            <w:shd w:val="clear" w:color="auto" w:fill="FFFFFF"/>
            <w:vAlign w:val="center"/>
          </w:tcPr>
          <w:p>
            <w:pPr>
              <w:widowControl/>
              <w:adjustRightInd w:val="0"/>
              <w:snapToGrid w:val="0"/>
              <w:jc w:val="center"/>
              <w:rPr>
                <w:kern w:val="0"/>
                <w:sz w:val="22"/>
                <w:szCs w:val="22"/>
              </w:rPr>
            </w:pPr>
            <w:r>
              <w:rPr>
                <w:rFonts w:hint="eastAsia"/>
                <w:kern w:val="0"/>
                <w:sz w:val="22"/>
                <w:szCs w:val="22"/>
              </w:rPr>
              <w:t>③下浮后投资额</w:t>
            </w:r>
          </w:p>
          <w:p>
            <w:pPr>
              <w:widowControl/>
              <w:adjustRightInd w:val="0"/>
              <w:snapToGrid w:val="0"/>
              <w:jc w:val="center"/>
              <w:rPr>
                <w:rFonts w:eastAsia="黑体"/>
                <w:kern w:val="0"/>
              </w:rPr>
            </w:pPr>
            <w:r>
              <w:rPr>
                <w:rFonts w:hint="eastAsia"/>
                <w:kern w:val="0"/>
                <w:sz w:val="22"/>
                <w:szCs w:val="22"/>
              </w:rPr>
              <w:t>③=①×（1-②）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kern w:val="0"/>
              </w:rPr>
            </w:pPr>
            <w:r>
              <w:rPr>
                <w:rFonts w:hint="eastAsia"/>
                <w:kern w:val="0"/>
              </w:rPr>
              <w:t>第</w:t>
            </w:r>
            <w:r>
              <w:rPr>
                <w:kern w:val="0"/>
              </w:rPr>
              <w:t>一</w:t>
            </w:r>
            <w:r>
              <w:rPr>
                <w:rFonts w:hint="eastAsia"/>
                <w:kern w:val="0"/>
              </w:rPr>
              <w:t>部分</w:t>
            </w:r>
          </w:p>
        </w:tc>
        <w:tc>
          <w:tcPr>
            <w:tcW w:w="1089" w:type="pct"/>
            <w:shd w:val="clear" w:color="auto" w:fill="FFFFFF"/>
            <w:vAlign w:val="center"/>
          </w:tcPr>
          <w:p>
            <w:pPr>
              <w:widowControl/>
              <w:adjustRightInd w:val="0"/>
              <w:snapToGrid w:val="0"/>
              <w:jc w:val="center"/>
              <w:rPr>
                <w:kern w:val="0"/>
              </w:rPr>
            </w:pPr>
            <w:r>
              <w:rPr>
                <w:kern w:val="0"/>
              </w:rPr>
              <w:t>工程费用</w:t>
            </w:r>
          </w:p>
        </w:tc>
        <w:tc>
          <w:tcPr>
            <w:tcW w:w="1372" w:type="pct"/>
            <w:shd w:val="clear" w:color="auto" w:fill="FFFFFF"/>
            <w:vAlign w:val="center"/>
          </w:tcPr>
          <w:p>
            <w:pPr>
              <w:widowControl/>
              <w:adjustRightInd w:val="0"/>
              <w:snapToGrid w:val="0"/>
              <w:jc w:val="center"/>
              <w:rPr>
                <w:kern w:val="0"/>
              </w:rPr>
            </w:pPr>
            <w:r>
              <w:rPr>
                <w:kern w:val="0"/>
              </w:rPr>
              <w:t>15471.49</w:t>
            </w:r>
          </w:p>
        </w:tc>
        <w:tc>
          <w:tcPr>
            <w:tcW w:w="950" w:type="pct"/>
            <w:shd w:val="clear" w:color="auto" w:fill="FFFFFF"/>
            <w:vAlign w:val="center"/>
          </w:tcPr>
          <w:p>
            <w:pPr>
              <w:widowControl/>
              <w:adjustRightInd w:val="0"/>
              <w:snapToGrid w:val="0"/>
              <w:jc w:val="center"/>
              <w:rPr>
                <w:kern w:val="0"/>
              </w:rPr>
            </w:pPr>
            <w:r>
              <w:rPr>
                <w:rFonts w:asciiTheme="minorEastAsia" w:hAnsiTheme="minorEastAsia" w:eastAsiaTheme="minorEastAsia"/>
                <w:kern w:val="0"/>
                <w:sz w:val="24"/>
                <w:szCs w:val="22"/>
              </w:rPr>
              <w:t>/</w:t>
            </w:r>
          </w:p>
        </w:tc>
        <w:tc>
          <w:tcPr>
            <w:tcW w:w="949" w:type="pct"/>
            <w:shd w:val="clear" w:color="auto" w:fill="FFFFFF"/>
            <w:vAlign w:val="center"/>
          </w:tcPr>
          <w:p>
            <w:pPr>
              <w:widowControl/>
              <w:adjustRightInd w:val="0"/>
              <w:snapToGrid w:val="0"/>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rPr>
                <w:kern w:val="0"/>
              </w:rPr>
            </w:pPr>
            <w:r>
              <w:rPr>
                <w:kern w:val="0"/>
                <w:sz w:val="22"/>
                <w:szCs w:val="22"/>
              </w:rPr>
              <w:t>(</w:t>
            </w:r>
            <w:r>
              <w:rPr>
                <w:rFonts w:hint="eastAsia" w:ascii="宋体" w:hAnsi="宋体"/>
                <w:kern w:val="0"/>
                <w:sz w:val="22"/>
                <w:szCs w:val="22"/>
              </w:rPr>
              <w:t>一</w:t>
            </w:r>
            <w:r>
              <w:rPr>
                <w:kern w:val="0"/>
                <w:sz w:val="22"/>
                <w:szCs w:val="22"/>
              </w:rPr>
              <w:t>)</w:t>
            </w:r>
          </w:p>
        </w:tc>
        <w:tc>
          <w:tcPr>
            <w:tcW w:w="1089" w:type="pct"/>
            <w:shd w:val="clear" w:color="auto" w:fill="FFFFFF"/>
            <w:vAlign w:val="center"/>
          </w:tcPr>
          <w:p>
            <w:pPr>
              <w:widowControl/>
              <w:adjustRightInd w:val="0"/>
              <w:snapToGrid w:val="0"/>
              <w:jc w:val="center"/>
              <w:rPr>
                <w:kern w:val="0"/>
              </w:rPr>
            </w:pPr>
            <w:r>
              <w:rPr>
                <w:rFonts w:hint="eastAsia" w:ascii="宋体" w:hAnsi="宋体"/>
                <w:kern w:val="0"/>
                <w:sz w:val="22"/>
                <w:szCs w:val="22"/>
              </w:rPr>
              <w:t>建筑工程费用</w:t>
            </w:r>
          </w:p>
        </w:tc>
        <w:tc>
          <w:tcPr>
            <w:tcW w:w="1372" w:type="pct"/>
            <w:shd w:val="clear" w:color="auto" w:fill="FFFFFF"/>
            <w:vAlign w:val="center"/>
          </w:tcPr>
          <w:p>
            <w:pPr>
              <w:widowControl/>
              <w:adjustRightInd w:val="0"/>
              <w:snapToGrid w:val="0"/>
              <w:jc w:val="center"/>
              <w:rPr>
                <w:kern w:val="0"/>
              </w:rPr>
            </w:pPr>
            <w:r>
              <w:rPr>
                <w:kern w:val="0"/>
                <w:sz w:val="22"/>
                <w:szCs w:val="22"/>
              </w:rPr>
              <w:t>5,084.00</w:t>
            </w:r>
          </w:p>
        </w:tc>
        <w:tc>
          <w:tcPr>
            <w:tcW w:w="950" w:type="pct"/>
            <w:shd w:val="clear" w:color="auto" w:fill="FFFFFF"/>
            <w:vAlign w:val="center"/>
          </w:tcPr>
          <w:p>
            <w:pPr>
              <w:widowControl/>
              <w:adjustRightInd w:val="0"/>
              <w:snapToGrid w:val="0"/>
              <w:jc w:val="center"/>
              <w:rPr>
                <w:kern w:val="0"/>
                <w:sz w:val="22"/>
                <w:u w:val="single"/>
              </w:rPr>
            </w:pPr>
          </w:p>
        </w:tc>
        <w:tc>
          <w:tcPr>
            <w:tcW w:w="949" w:type="pct"/>
            <w:shd w:val="clear" w:color="auto" w:fill="FFFFFF"/>
            <w:vAlign w:val="center"/>
          </w:tcPr>
          <w:p>
            <w:pPr>
              <w:widowControl/>
              <w:adjustRightInd w:val="0"/>
              <w:snapToGrid w:val="0"/>
              <w:jc w:val="center"/>
              <w:rPr>
                <w:kern w:val="0"/>
                <w:sz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rPr>
                <w:kern w:val="0"/>
              </w:rPr>
            </w:pPr>
            <w:r>
              <w:rPr>
                <w:kern w:val="0"/>
                <w:sz w:val="22"/>
                <w:szCs w:val="22"/>
              </w:rPr>
              <w:t>(</w:t>
            </w:r>
            <w:r>
              <w:rPr>
                <w:rFonts w:hint="eastAsia" w:ascii="宋体" w:hAnsi="宋体"/>
                <w:kern w:val="0"/>
                <w:sz w:val="22"/>
                <w:szCs w:val="22"/>
              </w:rPr>
              <w:t>二）</w:t>
            </w:r>
          </w:p>
        </w:tc>
        <w:tc>
          <w:tcPr>
            <w:tcW w:w="1089" w:type="pct"/>
            <w:shd w:val="clear" w:color="auto" w:fill="FFFFFF"/>
            <w:vAlign w:val="center"/>
          </w:tcPr>
          <w:p>
            <w:pPr>
              <w:widowControl/>
              <w:adjustRightInd w:val="0"/>
              <w:snapToGrid w:val="0"/>
              <w:jc w:val="center"/>
              <w:rPr>
                <w:kern w:val="0"/>
              </w:rPr>
            </w:pPr>
            <w:r>
              <w:rPr>
                <w:rFonts w:hint="eastAsia" w:ascii="宋体" w:hAnsi="宋体"/>
                <w:kern w:val="0"/>
                <w:sz w:val="22"/>
                <w:szCs w:val="22"/>
              </w:rPr>
              <w:t>设备购置费</w:t>
            </w:r>
          </w:p>
        </w:tc>
        <w:tc>
          <w:tcPr>
            <w:tcW w:w="1372" w:type="pct"/>
            <w:shd w:val="clear" w:color="auto" w:fill="FFFFFF"/>
            <w:vAlign w:val="center"/>
          </w:tcPr>
          <w:p>
            <w:pPr>
              <w:widowControl/>
              <w:adjustRightInd w:val="0"/>
              <w:snapToGrid w:val="0"/>
              <w:jc w:val="center"/>
              <w:rPr>
                <w:kern w:val="0"/>
              </w:rPr>
            </w:pPr>
            <w:r>
              <w:rPr>
                <w:kern w:val="0"/>
                <w:sz w:val="22"/>
                <w:szCs w:val="22"/>
              </w:rPr>
              <w:t>9,139.99</w:t>
            </w:r>
          </w:p>
        </w:tc>
        <w:tc>
          <w:tcPr>
            <w:tcW w:w="950" w:type="pct"/>
            <w:shd w:val="clear" w:color="auto" w:fill="FFFFFF"/>
            <w:vAlign w:val="center"/>
          </w:tcPr>
          <w:p>
            <w:pPr>
              <w:widowControl/>
              <w:adjustRightInd w:val="0"/>
              <w:snapToGrid w:val="0"/>
              <w:jc w:val="center"/>
              <w:rPr>
                <w:kern w:val="0"/>
                <w:sz w:val="22"/>
                <w:u w:val="single"/>
              </w:rPr>
            </w:pPr>
            <w:r>
              <w:rPr>
                <w:rFonts w:asciiTheme="minorEastAsia" w:hAnsiTheme="minorEastAsia" w:eastAsiaTheme="minorEastAsia"/>
                <w:kern w:val="0"/>
                <w:sz w:val="24"/>
                <w:szCs w:val="22"/>
              </w:rPr>
              <w:t>/</w:t>
            </w:r>
          </w:p>
        </w:tc>
        <w:tc>
          <w:tcPr>
            <w:tcW w:w="949" w:type="pct"/>
            <w:shd w:val="clear" w:color="auto" w:fill="FFFFFF"/>
            <w:vAlign w:val="center"/>
          </w:tcPr>
          <w:p>
            <w:pPr>
              <w:widowControl/>
              <w:adjustRightInd w:val="0"/>
              <w:snapToGrid w:val="0"/>
              <w:jc w:val="center"/>
              <w:rPr>
                <w:kern w:val="0"/>
                <w:sz w:val="22"/>
                <w:u w:val="single"/>
              </w:rPr>
            </w:pPr>
            <w:r>
              <w:rPr>
                <w:kern w:val="0"/>
                <w:sz w:val="22"/>
                <w:szCs w:val="22"/>
              </w:rPr>
              <w:t>9,139.99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rPr>
                <w:kern w:val="0"/>
              </w:rPr>
            </w:pPr>
            <w:r>
              <w:rPr>
                <w:kern w:val="0"/>
                <w:sz w:val="22"/>
                <w:szCs w:val="22"/>
              </w:rPr>
              <w:t>(</w:t>
            </w:r>
            <w:r>
              <w:rPr>
                <w:rFonts w:hint="eastAsia" w:ascii="宋体" w:hAnsi="宋体"/>
                <w:kern w:val="0"/>
                <w:sz w:val="22"/>
                <w:szCs w:val="22"/>
              </w:rPr>
              <w:t>三）</w:t>
            </w:r>
          </w:p>
        </w:tc>
        <w:tc>
          <w:tcPr>
            <w:tcW w:w="1089" w:type="pct"/>
            <w:shd w:val="clear" w:color="auto" w:fill="FFFFFF"/>
            <w:vAlign w:val="center"/>
          </w:tcPr>
          <w:p>
            <w:pPr>
              <w:widowControl/>
              <w:adjustRightInd w:val="0"/>
              <w:snapToGrid w:val="0"/>
              <w:jc w:val="center"/>
              <w:rPr>
                <w:kern w:val="0"/>
              </w:rPr>
            </w:pPr>
            <w:r>
              <w:rPr>
                <w:rFonts w:hint="eastAsia" w:ascii="宋体" w:hAnsi="宋体"/>
                <w:kern w:val="0"/>
                <w:sz w:val="22"/>
                <w:szCs w:val="22"/>
              </w:rPr>
              <w:t>电线杆迁移场外道等</w:t>
            </w:r>
          </w:p>
        </w:tc>
        <w:tc>
          <w:tcPr>
            <w:tcW w:w="1372" w:type="pct"/>
            <w:shd w:val="clear" w:color="auto" w:fill="FFFFFF"/>
            <w:vAlign w:val="center"/>
          </w:tcPr>
          <w:p>
            <w:pPr>
              <w:widowControl/>
              <w:adjustRightInd w:val="0"/>
              <w:snapToGrid w:val="0"/>
              <w:jc w:val="center"/>
              <w:rPr>
                <w:kern w:val="0"/>
              </w:rPr>
            </w:pPr>
            <w:r>
              <w:rPr>
                <w:kern w:val="0"/>
                <w:sz w:val="22"/>
                <w:szCs w:val="22"/>
              </w:rPr>
              <w:t>1,247.50</w:t>
            </w:r>
          </w:p>
        </w:tc>
        <w:tc>
          <w:tcPr>
            <w:tcW w:w="950" w:type="pct"/>
            <w:shd w:val="clear" w:color="auto" w:fill="FFFFFF"/>
            <w:vAlign w:val="center"/>
          </w:tcPr>
          <w:p>
            <w:pPr>
              <w:widowControl/>
              <w:adjustRightInd w:val="0"/>
              <w:snapToGrid w:val="0"/>
              <w:jc w:val="center"/>
              <w:rPr>
                <w:kern w:val="0"/>
                <w:sz w:val="22"/>
                <w:u w:val="single"/>
              </w:rPr>
            </w:pPr>
          </w:p>
        </w:tc>
        <w:tc>
          <w:tcPr>
            <w:tcW w:w="949" w:type="pct"/>
            <w:shd w:val="clear" w:color="auto" w:fill="FFFFFF"/>
            <w:vAlign w:val="center"/>
          </w:tcPr>
          <w:p>
            <w:pPr>
              <w:widowControl/>
              <w:adjustRightInd w:val="0"/>
              <w:snapToGrid w:val="0"/>
              <w:jc w:val="center"/>
              <w:rPr>
                <w:kern w:val="0"/>
                <w:sz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kern w:val="0"/>
              </w:rPr>
            </w:pPr>
            <w:r>
              <w:rPr>
                <w:rFonts w:hint="eastAsia"/>
                <w:kern w:val="0"/>
              </w:rPr>
              <w:t>第二部分</w:t>
            </w:r>
          </w:p>
        </w:tc>
        <w:tc>
          <w:tcPr>
            <w:tcW w:w="1089" w:type="pct"/>
            <w:shd w:val="clear" w:color="auto" w:fill="FFFFFF"/>
            <w:vAlign w:val="center"/>
          </w:tcPr>
          <w:p>
            <w:pPr>
              <w:widowControl/>
              <w:adjustRightInd w:val="0"/>
              <w:snapToGrid w:val="0"/>
              <w:jc w:val="center"/>
              <w:rPr>
                <w:kern w:val="0"/>
              </w:rPr>
            </w:pPr>
            <w:r>
              <w:rPr>
                <w:kern w:val="0"/>
              </w:rPr>
              <w:t>工程建设其他费用</w:t>
            </w:r>
          </w:p>
        </w:tc>
        <w:tc>
          <w:tcPr>
            <w:tcW w:w="1372" w:type="pct"/>
            <w:shd w:val="clear" w:color="auto" w:fill="FFFFFF"/>
            <w:vAlign w:val="center"/>
          </w:tcPr>
          <w:p>
            <w:pPr>
              <w:widowControl/>
              <w:adjustRightInd w:val="0"/>
              <w:snapToGrid w:val="0"/>
              <w:jc w:val="center"/>
              <w:rPr>
                <w:kern w:val="0"/>
              </w:rPr>
            </w:pPr>
            <w:r>
              <w:rPr>
                <w:kern w:val="0"/>
              </w:rPr>
              <w:t>6,555.71</w:t>
            </w:r>
          </w:p>
        </w:tc>
        <w:tc>
          <w:tcPr>
            <w:tcW w:w="950" w:type="pct"/>
            <w:shd w:val="clear" w:color="auto" w:fill="FFFFFF"/>
            <w:vAlign w:val="center"/>
          </w:tcPr>
          <w:p>
            <w:pPr>
              <w:widowControl/>
              <w:adjustRightInd w:val="0"/>
              <w:snapToGrid w:val="0"/>
              <w:jc w:val="center"/>
              <w:rPr>
                <w:kern w:val="0"/>
              </w:rPr>
            </w:pPr>
            <w:r>
              <w:rPr>
                <w:rFonts w:ascii="等线" w:hAnsi="等线" w:eastAsia="等线"/>
                <w:kern w:val="0"/>
                <w:sz w:val="24"/>
                <w:szCs w:val="22"/>
              </w:rPr>
              <w:t>/</w:t>
            </w:r>
          </w:p>
        </w:tc>
        <w:tc>
          <w:tcPr>
            <w:tcW w:w="949" w:type="pct"/>
            <w:shd w:val="clear" w:color="auto" w:fill="FFFFFF"/>
            <w:vAlign w:val="center"/>
          </w:tcPr>
          <w:p>
            <w:pPr>
              <w:widowControl/>
              <w:adjustRightInd w:val="0"/>
              <w:snapToGrid w:val="0"/>
              <w:jc w:val="center"/>
              <w:rPr>
                <w:kern w:val="0"/>
              </w:rPr>
            </w:pPr>
            <w:r>
              <w:rPr>
                <w:kern w:val="0"/>
              </w:rPr>
              <w:t>6,555.71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kern w:val="0"/>
              </w:rPr>
            </w:pPr>
            <w:r>
              <w:rPr>
                <w:rFonts w:hint="eastAsia"/>
              </w:rPr>
              <w:t>第三部分</w:t>
            </w:r>
          </w:p>
        </w:tc>
        <w:tc>
          <w:tcPr>
            <w:tcW w:w="1089" w:type="pct"/>
            <w:shd w:val="clear" w:color="auto" w:fill="FFFFFF"/>
            <w:vAlign w:val="center"/>
          </w:tcPr>
          <w:p>
            <w:pPr>
              <w:widowControl/>
              <w:adjustRightInd w:val="0"/>
              <w:snapToGrid w:val="0"/>
              <w:jc w:val="center"/>
              <w:rPr>
                <w:kern w:val="0"/>
              </w:rPr>
            </w:pPr>
            <w:r>
              <w:rPr>
                <w:kern w:val="0"/>
              </w:rPr>
              <w:t>预备费</w:t>
            </w:r>
          </w:p>
        </w:tc>
        <w:tc>
          <w:tcPr>
            <w:tcW w:w="1372" w:type="pct"/>
            <w:shd w:val="clear" w:color="auto" w:fill="FFFFFF"/>
            <w:vAlign w:val="center"/>
          </w:tcPr>
          <w:p>
            <w:pPr>
              <w:widowControl/>
              <w:adjustRightInd w:val="0"/>
              <w:snapToGrid w:val="0"/>
              <w:jc w:val="center"/>
              <w:rPr>
                <w:kern w:val="0"/>
              </w:rPr>
            </w:pPr>
            <w:r>
              <w:rPr>
                <w:kern w:val="0"/>
              </w:rPr>
              <w:t>2193.94</w:t>
            </w:r>
          </w:p>
        </w:tc>
        <w:tc>
          <w:tcPr>
            <w:tcW w:w="950" w:type="pct"/>
            <w:shd w:val="clear" w:color="auto" w:fill="FFFFFF"/>
            <w:vAlign w:val="center"/>
          </w:tcPr>
          <w:p>
            <w:pPr>
              <w:widowControl/>
              <w:adjustRightInd w:val="0"/>
              <w:snapToGrid w:val="0"/>
              <w:jc w:val="center"/>
              <w:rPr>
                <w:kern w:val="0"/>
              </w:rPr>
            </w:pPr>
            <w:r>
              <w:rPr>
                <w:rFonts w:ascii="等线" w:hAnsi="等线" w:eastAsia="等线"/>
                <w:kern w:val="0"/>
                <w:sz w:val="24"/>
                <w:szCs w:val="22"/>
              </w:rPr>
              <w:t>/</w:t>
            </w:r>
          </w:p>
        </w:tc>
        <w:tc>
          <w:tcPr>
            <w:tcW w:w="949" w:type="pct"/>
            <w:shd w:val="clear" w:color="auto" w:fill="FFFFFF"/>
            <w:vAlign w:val="center"/>
          </w:tcPr>
          <w:p>
            <w:pPr>
              <w:widowControl/>
              <w:adjustRightInd w:val="0"/>
              <w:snapToGrid w:val="0"/>
              <w:jc w:val="center"/>
              <w:rPr>
                <w:kern w:val="0"/>
                <w:u w:val="single"/>
              </w:rPr>
            </w:pPr>
            <w:r>
              <w:rPr>
                <w:rFonts w:hint="eastAsia"/>
                <w:kern w:val="0"/>
                <w:u w:val="single"/>
              </w:rPr>
              <w:t>按第一、第二部分1</w:t>
            </w:r>
            <w:r>
              <w:rPr>
                <w:kern w:val="0"/>
                <w:u w:val="single"/>
              </w:rPr>
              <w:t>0</w:t>
            </w:r>
            <w:r>
              <w:rPr>
                <w:rFonts w:hint="eastAsia"/>
                <w:kern w:val="0"/>
                <w:u w:val="single"/>
              </w:rPr>
              <w:t>%填列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kern w:val="0"/>
              </w:rPr>
            </w:pPr>
            <w:r>
              <w:rPr>
                <w:rFonts w:hint="eastAsia"/>
              </w:rPr>
              <w:t>第四部分</w:t>
            </w:r>
          </w:p>
        </w:tc>
        <w:tc>
          <w:tcPr>
            <w:tcW w:w="1089" w:type="pct"/>
            <w:shd w:val="clear" w:color="auto" w:fill="FFFFFF"/>
            <w:vAlign w:val="center"/>
          </w:tcPr>
          <w:p>
            <w:pPr>
              <w:widowControl/>
              <w:adjustRightInd w:val="0"/>
              <w:snapToGrid w:val="0"/>
              <w:jc w:val="center"/>
              <w:rPr>
                <w:kern w:val="0"/>
              </w:rPr>
            </w:pPr>
            <w:r>
              <w:rPr>
                <w:kern w:val="0"/>
              </w:rPr>
              <w:t>建设期融资成本</w:t>
            </w:r>
          </w:p>
        </w:tc>
        <w:tc>
          <w:tcPr>
            <w:tcW w:w="1372" w:type="pct"/>
            <w:shd w:val="clear" w:color="auto" w:fill="FFFFFF"/>
            <w:vAlign w:val="center"/>
          </w:tcPr>
          <w:p>
            <w:pPr>
              <w:widowControl/>
              <w:adjustRightInd w:val="0"/>
              <w:snapToGrid w:val="0"/>
              <w:jc w:val="center"/>
              <w:rPr>
                <w:kern w:val="0"/>
              </w:rPr>
            </w:pPr>
            <w:r>
              <w:rPr>
                <w:kern w:val="0"/>
              </w:rPr>
              <w:t>583.40</w:t>
            </w:r>
          </w:p>
        </w:tc>
        <w:tc>
          <w:tcPr>
            <w:tcW w:w="950" w:type="pct"/>
            <w:shd w:val="clear" w:color="auto" w:fill="FFFFFF"/>
            <w:vAlign w:val="center"/>
          </w:tcPr>
          <w:p>
            <w:pPr>
              <w:widowControl/>
              <w:adjustRightInd w:val="0"/>
              <w:snapToGrid w:val="0"/>
              <w:jc w:val="center"/>
              <w:rPr>
                <w:kern w:val="0"/>
              </w:rPr>
            </w:pPr>
            <w:r>
              <w:rPr>
                <w:rFonts w:ascii="等线" w:hAnsi="等线" w:eastAsia="等线"/>
                <w:kern w:val="0"/>
                <w:sz w:val="24"/>
                <w:szCs w:val="22"/>
              </w:rPr>
              <w:t>/</w:t>
            </w:r>
          </w:p>
        </w:tc>
        <w:tc>
          <w:tcPr>
            <w:tcW w:w="949" w:type="pct"/>
            <w:shd w:val="clear" w:color="auto" w:fill="FFFFFF"/>
            <w:vAlign w:val="center"/>
          </w:tcPr>
          <w:p>
            <w:pPr>
              <w:widowControl/>
              <w:adjustRightInd w:val="0"/>
              <w:snapToGrid w:val="0"/>
              <w:jc w:val="center"/>
              <w:rPr>
                <w:kern w:val="0"/>
                <w:u w:val="single"/>
              </w:rPr>
            </w:pPr>
            <w:r>
              <w:rPr>
                <w:rFonts w:hint="eastAsia"/>
                <w:kern w:val="0"/>
                <w:u w:val="single"/>
              </w:rPr>
              <w:t>根据附表3填列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40" w:type="pct"/>
            <w:shd w:val="clear" w:color="auto" w:fill="FFFFFF"/>
            <w:vAlign w:val="center"/>
          </w:tcPr>
          <w:p>
            <w:pPr>
              <w:widowControl/>
              <w:adjustRightInd w:val="0"/>
              <w:snapToGrid w:val="0"/>
              <w:jc w:val="center"/>
              <w:rPr>
                <w:kern w:val="0"/>
              </w:rPr>
            </w:pPr>
            <w:r>
              <w:rPr>
                <w:kern w:val="0"/>
              </w:rPr>
              <w:t>*</w:t>
            </w:r>
          </w:p>
        </w:tc>
        <w:tc>
          <w:tcPr>
            <w:tcW w:w="1089" w:type="pct"/>
            <w:shd w:val="clear" w:color="auto" w:fill="FFFFFF"/>
            <w:vAlign w:val="center"/>
          </w:tcPr>
          <w:p>
            <w:pPr>
              <w:widowControl/>
              <w:adjustRightInd w:val="0"/>
              <w:snapToGrid w:val="0"/>
              <w:jc w:val="center"/>
              <w:rPr>
                <w:kern w:val="0"/>
              </w:rPr>
            </w:pPr>
            <w:r>
              <w:rPr>
                <w:kern w:val="0"/>
              </w:rPr>
              <w:t>合计</w:t>
            </w:r>
          </w:p>
        </w:tc>
        <w:tc>
          <w:tcPr>
            <w:tcW w:w="1372" w:type="pct"/>
            <w:shd w:val="clear" w:color="auto" w:fill="FFFFFF"/>
            <w:vAlign w:val="center"/>
          </w:tcPr>
          <w:p>
            <w:pPr>
              <w:widowControl/>
              <w:adjustRightInd w:val="0"/>
              <w:snapToGrid w:val="0"/>
              <w:jc w:val="center"/>
              <w:rPr>
                <w:kern w:val="0"/>
              </w:rPr>
            </w:pPr>
            <w:r>
              <w:rPr>
                <w:kern w:val="0"/>
              </w:rPr>
              <w:t>24,804.54</w:t>
            </w:r>
          </w:p>
        </w:tc>
        <w:tc>
          <w:tcPr>
            <w:tcW w:w="950" w:type="pct"/>
            <w:shd w:val="clear" w:color="auto" w:fill="FFFFFF"/>
            <w:vAlign w:val="center"/>
          </w:tcPr>
          <w:p>
            <w:pPr>
              <w:widowControl/>
              <w:adjustRightInd w:val="0"/>
              <w:snapToGrid w:val="0"/>
              <w:jc w:val="center"/>
              <w:rPr>
                <w:kern w:val="0"/>
              </w:rPr>
            </w:pPr>
            <w:r>
              <w:rPr>
                <w:rFonts w:ascii="等线" w:hAnsi="等线" w:eastAsia="等线"/>
                <w:kern w:val="0"/>
                <w:sz w:val="24"/>
                <w:szCs w:val="22"/>
              </w:rPr>
              <w:t>/</w:t>
            </w:r>
          </w:p>
        </w:tc>
        <w:tc>
          <w:tcPr>
            <w:tcW w:w="949" w:type="pct"/>
            <w:shd w:val="clear" w:color="auto" w:fill="FFFFFF"/>
            <w:vAlign w:val="center"/>
          </w:tcPr>
          <w:p>
            <w:pPr>
              <w:widowControl/>
              <w:adjustRightInd w:val="0"/>
              <w:snapToGrid w:val="0"/>
              <w:jc w:val="center"/>
              <w:rPr>
                <w:kern w:val="0"/>
              </w:rPr>
            </w:pPr>
          </w:p>
        </w:tc>
      </w:tr>
    </w:tbl>
    <w:p>
      <w:pPr>
        <w:spacing w:line="300" w:lineRule="auto"/>
        <w:ind w:firstLine="210" w:firstLineChars="100"/>
        <w:rPr>
          <w:rFonts w:asciiTheme="minorEastAsia" w:hAnsiTheme="minorEastAsia" w:eastAsiaTheme="minorEastAsia"/>
          <w:i/>
          <w:u w:val="single"/>
        </w:rPr>
      </w:pPr>
      <w:r>
        <w:rPr>
          <w:rFonts w:hint="eastAsia" w:asciiTheme="minorEastAsia" w:hAnsiTheme="minorEastAsia" w:eastAsiaTheme="minorEastAsia"/>
          <w:i/>
          <w:u w:val="single"/>
        </w:rPr>
        <w:t>备注：社会资本方自行报价下浮率,下浮率不低于5%。下浮比率是指本项目施工图全部建设工作内容，按现行工程量清单计价规范、工程量计算规范、工程计价定额编制的施工图预算价基础上的下浮比率。</w:t>
      </w:r>
    </w:p>
    <w:p>
      <w:pPr>
        <w:adjustRightInd w:val="0"/>
        <w:snapToGrid w:val="0"/>
        <w:spacing w:line="360" w:lineRule="auto"/>
        <w:jc w:val="left"/>
        <w:rPr>
          <w:rFonts w:asciiTheme="minorEastAsia" w:hAnsiTheme="minorEastAsia" w:eastAsiaTheme="minorEastAsia"/>
          <w:szCs w:val="22"/>
        </w:rPr>
      </w:pPr>
    </w:p>
    <w:p>
      <w:pPr>
        <w:adjustRightInd w:val="0"/>
        <w:snapToGrid w:val="0"/>
        <w:spacing w:line="360" w:lineRule="auto"/>
        <w:jc w:val="left"/>
        <w:rPr>
          <w:rFonts w:asciiTheme="minorEastAsia" w:hAnsiTheme="minorEastAsia" w:eastAsiaTheme="minorEastAsia"/>
          <w:szCs w:val="22"/>
        </w:rPr>
      </w:pPr>
      <w:r>
        <w:rPr>
          <w:rFonts w:hint="eastAsia" w:asciiTheme="minorEastAsia" w:hAnsiTheme="minorEastAsia" w:eastAsiaTheme="minorEastAsia"/>
          <w:szCs w:val="22"/>
        </w:rPr>
        <w:t>附表2-</w:t>
      </w:r>
      <w:r>
        <w:rPr>
          <w:rFonts w:asciiTheme="minorEastAsia" w:hAnsiTheme="minorEastAsia" w:eastAsiaTheme="minorEastAsia"/>
          <w:szCs w:val="22"/>
        </w:rPr>
        <w:t xml:space="preserve">1 </w:t>
      </w:r>
      <w:r>
        <w:rPr>
          <w:rFonts w:hint="eastAsia" w:asciiTheme="minorEastAsia" w:hAnsiTheme="minorEastAsia" w:eastAsiaTheme="minorEastAsia"/>
          <w:szCs w:val="22"/>
        </w:rPr>
        <w:t>下浮前项目总投资估算表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8"/>
        <w:gridCol w:w="1445"/>
        <w:gridCol w:w="1787"/>
        <w:gridCol w:w="1820"/>
        <w:gridCol w:w="1368"/>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rFonts w:eastAsia="黑体"/>
                <w:kern w:val="0"/>
              </w:rPr>
            </w:pPr>
            <w:bookmarkStart w:id="415" w:name="_Hlk40691532"/>
            <w:r>
              <w:rPr>
                <w:rFonts w:eastAsia="黑体"/>
                <w:kern w:val="0"/>
              </w:rPr>
              <w:t>序号</w:t>
            </w:r>
          </w:p>
        </w:tc>
        <w:tc>
          <w:tcPr>
            <w:tcW w:w="847" w:type="pct"/>
            <w:shd w:val="clear" w:color="auto" w:fill="FFFFFF"/>
            <w:vAlign w:val="center"/>
          </w:tcPr>
          <w:p>
            <w:pPr>
              <w:widowControl/>
              <w:adjustRightInd w:val="0"/>
              <w:snapToGrid w:val="0"/>
              <w:jc w:val="center"/>
              <w:rPr>
                <w:rFonts w:eastAsia="黑体"/>
                <w:kern w:val="0"/>
              </w:rPr>
            </w:pPr>
            <w:r>
              <w:rPr>
                <w:rFonts w:eastAsia="黑体"/>
                <w:kern w:val="0"/>
              </w:rPr>
              <w:t>费用名称</w:t>
            </w:r>
          </w:p>
        </w:tc>
        <w:tc>
          <w:tcPr>
            <w:tcW w:w="1048" w:type="pct"/>
            <w:shd w:val="clear" w:color="auto" w:fill="FFFFFF"/>
          </w:tcPr>
          <w:p>
            <w:pPr>
              <w:widowControl/>
              <w:adjustRightInd w:val="0"/>
              <w:snapToGrid w:val="0"/>
              <w:jc w:val="center"/>
              <w:rPr>
                <w:rFonts w:eastAsia="黑体"/>
                <w:kern w:val="0"/>
              </w:rPr>
            </w:pPr>
            <w:r>
              <w:rPr>
                <w:rFonts w:eastAsia="黑体"/>
                <w:kern w:val="0"/>
              </w:rPr>
              <w:t>可行性研究报告</w:t>
            </w:r>
          </w:p>
          <w:p>
            <w:pPr>
              <w:widowControl/>
              <w:adjustRightInd w:val="0"/>
              <w:snapToGrid w:val="0"/>
              <w:jc w:val="center"/>
              <w:rPr>
                <w:rFonts w:eastAsia="黑体"/>
                <w:kern w:val="0"/>
              </w:rPr>
            </w:pPr>
            <w:r>
              <w:rPr>
                <w:rFonts w:eastAsia="黑体"/>
                <w:kern w:val="0"/>
              </w:rPr>
              <w:t>总投资（万元）</w:t>
            </w:r>
            <w:r>
              <w:rPr>
                <w:rFonts w:hint="eastAsia" w:ascii="宋体" w:hAnsi="宋体" w:cs="宋体"/>
                <w:kern w:val="0"/>
              </w:rPr>
              <w:t>①</w:t>
            </w:r>
          </w:p>
        </w:tc>
        <w:tc>
          <w:tcPr>
            <w:tcW w:w="1067" w:type="pct"/>
            <w:shd w:val="clear" w:color="auto" w:fill="FFFFFF"/>
          </w:tcPr>
          <w:p>
            <w:pPr>
              <w:widowControl/>
              <w:adjustRightInd w:val="0"/>
              <w:snapToGrid w:val="0"/>
              <w:jc w:val="center"/>
              <w:rPr>
                <w:rFonts w:eastAsia="黑体"/>
                <w:kern w:val="0"/>
              </w:rPr>
            </w:pPr>
            <w:r>
              <w:rPr>
                <w:rFonts w:hint="eastAsia" w:eastAsia="黑体"/>
                <w:kern w:val="0"/>
              </w:rPr>
              <w:t>本合同</w:t>
            </w:r>
          </w:p>
          <w:p>
            <w:pPr>
              <w:widowControl/>
              <w:adjustRightInd w:val="0"/>
              <w:snapToGrid w:val="0"/>
              <w:jc w:val="center"/>
              <w:rPr>
                <w:rFonts w:eastAsia="黑体"/>
                <w:kern w:val="0"/>
              </w:rPr>
            </w:pPr>
            <w:r>
              <w:rPr>
                <w:rFonts w:hint="eastAsia" w:eastAsia="黑体"/>
                <w:kern w:val="0"/>
              </w:rPr>
              <w:t>下浮前项目</w:t>
            </w:r>
            <w:r>
              <w:rPr>
                <w:rFonts w:eastAsia="黑体"/>
                <w:kern w:val="0"/>
              </w:rPr>
              <w:t>总投资（万元）</w:t>
            </w:r>
          </w:p>
          <w:p>
            <w:pPr>
              <w:widowControl/>
              <w:adjustRightInd w:val="0"/>
              <w:snapToGrid w:val="0"/>
              <w:jc w:val="center"/>
              <w:rPr>
                <w:rFonts w:eastAsia="黑体"/>
                <w:kern w:val="0"/>
              </w:rPr>
            </w:pPr>
            <w:r>
              <w:rPr>
                <w:rFonts w:hint="eastAsia" w:ascii="宋体" w:hAnsi="宋体" w:cs="宋体"/>
                <w:kern w:val="0"/>
              </w:rPr>
              <w:t>②</w:t>
            </w:r>
          </w:p>
        </w:tc>
        <w:tc>
          <w:tcPr>
            <w:tcW w:w="802" w:type="pct"/>
            <w:shd w:val="clear" w:color="auto" w:fill="FFFFFF"/>
            <w:vAlign w:val="center"/>
          </w:tcPr>
          <w:p>
            <w:pPr>
              <w:widowControl/>
              <w:adjustRightInd w:val="0"/>
              <w:snapToGrid w:val="0"/>
              <w:jc w:val="center"/>
              <w:rPr>
                <w:rFonts w:eastAsia="黑体"/>
                <w:kern w:val="0"/>
              </w:rPr>
            </w:pPr>
            <w:r>
              <w:rPr>
                <w:rFonts w:eastAsia="黑体"/>
                <w:kern w:val="0"/>
              </w:rPr>
              <w:t>差异（万元）</w:t>
            </w:r>
          </w:p>
          <w:p>
            <w:pPr>
              <w:widowControl/>
              <w:adjustRightInd w:val="0"/>
              <w:snapToGrid w:val="0"/>
              <w:jc w:val="center"/>
              <w:rPr>
                <w:rFonts w:eastAsia="黑体"/>
                <w:kern w:val="0"/>
              </w:rPr>
            </w:pPr>
            <w:r>
              <w:rPr>
                <w:rFonts w:hint="eastAsia" w:ascii="宋体" w:hAnsi="宋体" w:cs="宋体"/>
                <w:kern w:val="0"/>
              </w:rPr>
              <w:t>③</w:t>
            </w:r>
            <w:r>
              <w:rPr>
                <w:rFonts w:eastAsia="黑体"/>
                <w:kern w:val="0"/>
              </w:rPr>
              <w:t>＝</w:t>
            </w:r>
            <w:r>
              <w:rPr>
                <w:rFonts w:hint="eastAsia" w:ascii="宋体" w:hAnsi="宋体" w:cs="宋体"/>
                <w:kern w:val="0"/>
              </w:rPr>
              <w:t>②</w:t>
            </w:r>
            <w:r>
              <w:rPr>
                <w:rFonts w:eastAsia="黑体"/>
                <w:kern w:val="0"/>
              </w:rPr>
              <w:t>－</w:t>
            </w:r>
            <w:r>
              <w:rPr>
                <w:rFonts w:hint="eastAsia" w:ascii="宋体" w:hAnsi="宋体" w:cs="宋体"/>
                <w:kern w:val="0"/>
              </w:rPr>
              <w:t>①</w:t>
            </w:r>
          </w:p>
        </w:tc>
        <w:tc>
          <w:tcPr>
            <w:tcW w:w="739" w:type="pct"/>
            <w:shd w:val="clear" w:color="auto" w:fill="FFFFFF"/>
            <w:vAlign w:val="center"/>
          </w:tcPr>
          <w:p>
            <w:pPr>
              <w:widowControl/>
              <w:adjustRightInd w:val="0"/>
              <w:snapToGrid w:val="0"/>
              <w:jc w:val="center"/>
              <w:rPr>
                <w:rFonts w:eastAsia="黑体"/>
                <w:kern w:val="0"/>
              </w:rPr>
            </w:pPr>
            <w:r>
              <w:rPr>
                <w:rFonts w:eastAsia="黑体"/>
                <w:kern w:val="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一</w:t>
            </w:r>
          </w:p>
        </w:tc>
        <w:tc>
          <w:tcPr>
            <w:tcW w:w="847" w:type="pct"/>
            <w:shd w:val="clear" w:color="auto" w:fill="FFFFFF"/>
            <w:vAlign w:val="center"/>
          </w:tcPr>
          <w:p>
            <w:pPr>
              <w:widowControl/>
              <w:adjustRightInd w:val="0"/>
              <w:snapToGrid w:val="0"/>
              <w:jc w:val="center"/>
              <w:rPr>
                <w:b/>
                <w:bCs/>
                <w:kern w:val="0"/>
              </w:rPr>
            </w:pPr>
            <w:r>
              <w:rPr>
                <w:b/>
                <w:bCs/>
                <w:kern w:val="0"/>
              </w:rPr>
              <w:t>工程费用</w:t>
            </w:r>
          </w:p>
        </w:tc>
        <w:tc>
          <w:tcPr>
            <w:tcW w:w="1048" w:type="pct"/>
            <w:shd w:val="clear" w:color="auto" w:fill="FFFFFF"/>
            <w:vAlign w:val="center"/>
          </w:tcPr>
          <w:p>
            <w:pPr>
              <w:widowControl/>
              <w:adjustRightInd w:val="0"/>
              <w:snapToGrid w:val="0"/>
              <w:jc w:val="center"/>
              <w:rPr>
                <w:b/>
                <w:bCs/>
                <w:kern w:val="0"/>
              </w:rPr>
            </w:pPr>
            <w:r>
              <w:rPr>
                <w:b/>
                <w:bCs/>
                <w:kern w:val="0"/>
              </w:rPr>
              <w:t>15471.49</w:t>
            </w:r>
          </w:p>
        </w:tc>
        <w:tc>
          <w:tcPr>
            <w:tcW w:w="1067" w:type="pct"/>
            <w:shd w:val="clear" w:color="auto" w:fill="FFFFFF"/>
            <w:vAlign w:val="center"/>
          </w:tcPr>
          <w:p>
            <w:pPr>
              <w:widowControl/>
              <w:adjustRightInd w:val="0"/>
              <w:snapToGrid w:val="0"/>
              <w:jc w:val="center"/>
              <w:rPr>
                <w:b/>
                <w:bCs/>
                <w:kern w:val="0"/>
              </w:rPr>
            </w:pPr>
            <w:r>
              <w:rPr>
                <w:b/>
                <w:bCs/>
                <w:kern w:val="0"/>
              </w:rPr>
              <w:t>15471.49</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（一）</w:t>
            </w:r>
          </w:p>
        </w:tc>
        <w:tc>
          <w:tcPr>
            <w:tcW w:w="847" w:type="pct"/>
            <w:shd w:val="clear" w:color="auto" w:fill="FFFFFF"/>
            <w:vAlign w:val="center"/>
          </w:tcPr>
          <w:p>
            <w:pPr>
              <w:widowControl/>
              <w:adjustRightInd w:val="0"/>
              <w:snapToGrid w:val="0"/>
              <w:jc w:val="center"/>
              <w:rPr>
                <w:kern w:val="0"/>
              </w:rPr>
            </w:pPr>
            <w:r>
              <w:rPr>
                <w:kern w:val="0"/>
              </w:rPr>
              <w:t>建筑工程</w:t>
            </w:r>
          </w:p>
        </w:tc>
        <w:tc>
          <w:tcPr>
            <w:tcW w:w="1048" w:type="pct"/>
            <w:shd w:val="clear" w:color="auto" w:fill="FFFFFF"/>
            <w:vAlign w:val="center"/>
          </w:tcPr>
          <w:p>
            <w:pPr>
              <w:widowControl/>
              <w:adjustRightInd w:val="0"/>
              <w:snapToGrid w:val="0"/>
              <w:jc w:val="center"/>
              <w:rPr>
                <w:kern w:val="0"/>
              </w:rPr>
            </w:pPr>
            <w:r>
              <w:rPr>
                <w:kern w:val="0"/>
              </w:rPr>
              <w:t>5084.00</w:t>
            </w:r>
          </w:p>
        </w:tc>
        <w:tc>
          <w:tcPr>
            <w:tcW w:w="1067" w:type="pct"/>
            <w:shd w:val="clear" w:color="auto" w:fill="FFFFFF"/>
            <w:vAlign w:val="center"/>
          </w:tcPr>
          <w:p>
            <w:pPr>
              <w:widowControl/>
              <w:adjustRightInd w:val="0"/>
              <w:snapToGrid w:val="0"/>
              <w:jc w:val="center"/>
              <w:rPr>
                <w:kern w:val="0"/>
              </w:rPr>
            </w:pPr>
            <w:r>
              <w:rPr>
                <w:kern w:val="0"/>
              </w:rPr>
              <w:t>5084.00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kern w:val="0"/>
              </w:rPr>
              <w:t>生活管理区</w:t>
            </w:r>
          </w:p>
        </w:tc>
        <w:tc>
          <w:tcPr>
            <w:tcW w:w="1048" w:type="pct"/>
            <w:shd w:val="clear" w:color="auto" w:fill="FFFFFF"/>
            <w:vAlign w:val="center"/>
          </w:tcPr>
          <w:p>
            <w:pPr>
              <w:widowControl/>
              <w:adjustRightInd w:val="0"/>
              <w:snapToGrid w:val="0"/>
              <w:jc w:val="center"/>
              <w:rPr>
                <w:kern w:val="0"/>
              </w:rPr>
            </w:pPr>
            <w:r>
              <w:rPr>
                <w:kern w:val="0"/>
              </w:rPr>
              <w:t>755.46</w:t>
            </w:r>
          </w:p>
        </w:tc>
        <w:tc>
          <w:tcPr>
            <w:tcW w:w="1067" w:type="pct"/>
            <w:shd w:val="clear" w:color="auto" w:fill="FFFFFF"/>
            <w:vAlign w:val="center"/>
          </w:tcPr>
          <w:p>
            <w:pPr>
              <w:widowControl/>
              <w:adjustRightInd w:val="0"/>
              <w:snapToGrid w:val="0"/>
              <w:jc w:val="center"/>
              <w:rPr>
                <w:kern w:val="0"/>
              </w:rPr>
            </w:pPr>
            <w:r>
              <w:rPr>
                <w:kern w:val="0"/>
              </w:rPr>
              <w:t>755.46</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kern w:val="0"/>
              </w:rPr>
              <w:t>餐厨废弃物处理区</w:t>
            </w:r>
          </w:p>
        </w:tc>
        <w:tc>
          <w:tcPr>
            <w:tcW w:w="1048" w:type="pct"/>
            <w:shd w:val="clear" w:color="auto" w:fill="FFFFFF"/>
            <w:vAlign w:val="center"/>
          </w:tcPr>
          <w:p>
            <w:pPr>
              <w:widowControl/>
              <w:adjustRightInd w:val="0"/>
              <w:snapToGrid w:val="0"/>
              <w:jc w:val="center"/>
              <w:rPr>
                <w:kern w:val="0"/>
              </w:rPr>
            </w:pPr>
            <w:r>
              <w:rPr>
                <w:kern w:val="0"/>
              </w:rPr>
              <w:t>1896.14</w:t>
            </w:r>
          </w:p>
        </w:tc>
        <w:tc>
          <w:tcPr>
            <w:tcW w:w="1067" w:type="pct"/>
            <w:shd w:val="clear" w:color="auto" w:fill="FFFFFF"/>
            <w:vAlign w:val="center"/>
          </w:tcPr>
          <w:p>
            <w:pPr>
              <w:widowControl/>
              <w:adjustRightInd w:val="0"/>
              <w:snapToGrid w:val="0"/>
              <w:jc w:val="center"/>
              <w:rPr>
                <w:kern w:val="0"/>
              </w:rPr>
            </w:pPr>
            <w:r>
              <w:rPr>
                <w:kern w:val="0"/>
              </w:rPr>
              <w:t>1896.14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3</w:t>
            </w:r>
          </w:p>
        </w:tc>
        <w:tc>
          <w:tcPr>
            <w:tcW w:w="847" w:type="pct"/>
            <w:shd w:val="clear" w:color="auto" w:fill="FFFFFF"/>
            <w:vAlign w:val="center"/>
          </w:tcPr>
          <w:p>
            <w:pPr>
              <w:widowControl/>
              <w:adjustRightInd w:val="0"/>
              <w:snapToGrid w:val="0"/>
              <w:jc w:val="center"/>
              <w:rPr>
                <w:kern w:val="0"/>
              </w:rPr>
            </w:pPr>
            <w:r>
              <w:rPr>
                <w:kern w:val="0"/>
              </w:rPr>
              <w:t>沼气发电区</w:t>
            </w:r>
          </w:p>
        </w:tc>
        <w:tc>
          <w:tcPr>
            <w:tcW w:w="1048" w:type="pct"/>
            <w:shd w:val="clear" w:color="auto" w:fill="FFFFFF"/>
            <w:vAlign w:val="center"/>
          </w:tcPr>
          <w:p>
            <w:pPr>
              <w:widowControl/>
              <w:adjustRightInd w:val="0"/>
              <w:snapToGrid w:val="0"/>
              <w:jc w:val="center"/>
              <w:rPr>
                <w:kern w:val="0"/>
              </w:rPr>
            </w:pPr>
            <w:r>
              <w:rPr>
                <w:kern w:val="0"/>
              </w:rPr>
              <w:t>197.30</w:t>
            </w:r>
          </w:p>
        </w:tc>
        <w:tc>
          <w:tcPr>
            <w:tcW w:w="1067" w:type="pct"/>
            <w:shd w:val="clear" w:color="auto" w:fill="FFFFFF"/>
            <w:vAlign w:val="center"/>
          </w:tcPr>
          <w:p>
            <w:pPr>
              <w:widowControl/>
              <w:adjustRightInd w:val="0"/>
              <w:snapToGrid w:val="0"/>
              <w:jc w:val="center"/>
              <w:rPr>
                <w:kern w:val="0"/>
              </w:rPr>
            </w:pPr>
            <w:r>
              <w:rPr>
                <w:kern w:val="0"/>
              </w:rPr>
              <w:t>197.30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4</w:t>
            </w:r>
          </w:p>
        </w:tc>
        <w:tc>
          <w:tcPr>
            <w:tcW w:w="847" w:type="pct"/>
            <w:shd w:val="clear" w:color="auto" w:fill="FFFFFF"/>
            <w:vAlign w:val="center"/>
          </w:tcPr>
          <w:p>
            <w:pPr>
              <w:widowControl/>
              <w:adjustRightInd w:val="0"/>
              <w:snapToGrid w:val="0"/>
              <w:jc w:val="center"/>
              <w:rPr>
                <w:kern w:val="0"/>
              </w:rPr>
            </w:pPr>
            <w:r>
              <w:rPr>
                <w:kern w:val="0"/>
              </w:rPr>
              <w:t>污水处理区</w:t>
            </w:r>
          </w:p>
        </w:tc>
        <w:tc>
          <w:tcPr>
            <w:tcW w:w="1048" w:type="pct"/>
            <w:shd w:val="clear" w:color="auto" w:fill="FFFFFF"/>
            <w:vAlign w:val="center"/>
          </w:tcPr>
          <w:p>
            <w:pPr>
              <w:widowControl/>
              <w:adjustRightInd w:val="0"/>
              <w:snapToGrid w:val="0"/>
              <w:jc w:val="center"/>
              <w:rPr>
                <w:kern w:val="0"/>
              </w:rPr>
            </w:pPr>
            <w:r>
              <w:rPr>
                <w:kern w:val="0"/>
              </w:rPr>
              <w:t>636.80</w:t>
            </w:r>
          </w:p>
        </w:tc>
        <w:tc>
          <w:tcPr>
            <w:tcW w:w="1067" w:type="pct"/>
            <w:shd w:val="clear" w:color="auto" w:fill="FFFFFF"/>
            <w:vAlign w:val="center"/>
          </w:tcPr>
          <w:p>
            <w:pPr>
              <w:widowControl/>
              <w:adjustRightInd w:val="0"/>
              <w:snapToGrid w:val="0"/>
              <w:jc w:val="center"/>
              <w:rPr>
                <w:kern w:val="0"/>
              </w:rPr>
            </w:pPr>
            <w:r>
              <w:rPr>
                <w:kern w:val="0"/>
              </w:rPr>
              <w:t>636.80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5</w:t>
            </w:r>
          </w:p>
        </w:tc>
        <w:tc>
          <w:tcPr>
            <w:tcW w:w="847" w:type="pct"/>
            <w:shd w:val="clear" w:color="auto" w:fill="FFFFFF"/>
            <w:vAlign w:val="center"/>
          </w:tcPr>
          <w:p>
            <w:pPr>
              <w:widowControl/>
              <w:adjustRightInd w:val="0"/>
              <w:snapToGrid w:val="0"/>
              <w:jc w:val="center"/>
              <w:rPr>
                <w:kern w:val="0"/>
              </w:rPr>
            </w:pPr>
            <w:r>
              <w:rPr>
                <w:kern w:val="0"/>
              </w:rPr>
              <w:t>厌氧发酵区</w:t>
            </w:r>
          </w:p>
        </w:tc>
        <w:tc>
          <w:tcPr>
            <w:tcW w:w="1048" w:type="pct"/>
            <w:shd w:val="clear" w:color="auto" w:fill="FFFFFF"/>
            <w:vAlign w:val="center"/>
          </w:tcPr>
          <w:p>
            <w:pPr>
              <w:widowControl/>
              <w:adjustRightInd w:val="0"/>
              <w:snapToGrid w:val="0"/>
              <w:jc w:val="center"/>
              <w:rPr>
                <w:kern w:val="0"/>
              </w:rPr>
            </w:pPr>
            <w:r>
              <w:rPr>
                <w:kern w:val="0"/>
              </w:rPr>
              <w:t>738.30</w:t>
            </w:r>
          </w:p>
        </w:tc>
        <w:tc>
          <w:tcPr>
            <w:tcW w:w="1067" w:type="pct"/>
            <w:shd w:val="clear" w:color="auto" w:fill="FFFFFF"/>
            <w:vAlign w:val="center"/>
          </w:tcPr>
          <w:p>
            <w:pPr>
              <w:widowControl/>
              <w:adjustRightInd w:val="0"/>
              <w:snapToGrid w:val="0"/>
              <w:jc w:val="center"/>
              <w:rPr>
                <w:kern w:val="0"/>
              </w:rPr>
            </w:pPr>
            <w:r>
              <w:rPr>
                <w:kern w:val="0"/>
              </w:rPr>
              <w:t>738.30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6</w:t>
            </w:r>
          </w:p>
        </w:tc>
        <w:tc>
          <w:tcPr>
            <w:tcW w:w="847" w:type="pct"/>
            <w:shd w:val="clear" w:color="auto" w:fill="FFFFFF"/>
            <w:vAlign w:val="center"/>
          </w:tcPr>
          <w:p>
            <w:pPr>
              <w:widowControl/>
              <w:adjustRightInd w:val="0"/>
              <w:snapToGrid w:val="0"/>
              <w:jc w:val="center"/>
              <w:rPr>
                <w:kern w:val="0"/>
              </w:rPr>
            </w:pPr>
            <w:r>
              <w:rPr>
                <w:kern w:val="0"/>
              </w:rPr>
              <w:t>总图配套工程</w:t>
            </w:r>
          </w:p>
        </w:tc>
        <w:tc>
          <w:tcPr>
            <w:tcW w:w="1048" w:type="pct"/>
            <w:shd w:val="clear" w:color="auto" w:fill="FFFFFF"/>
            <w:vAlign w:val="center"/>
          </w:tcPr>
          <w:p>
            <w:pPr>
              <w:widowControl/>
              <w:adjustRightInd w:val="0"/>
              <w:snapToGrid w:val="0"/>
              <w:jc w:val="center"/>
              <w:rPr>
                <w:kern w:val="0"/>
              </w:rPr>
            </w:pPr>
            <w:r>
              <w:rPr>
                <w:kern w:val="0"/>
              </w:rPr>
              <w:t>860.00</w:t>
            </w:r>
          </w:p>
        </w:tc>
        <w:tc>
          <w:tcPr>
            <w:tcW w:w="1067" w:type="pct"/>
            <w:shd w:val="clear" w:color="auto" w:fill="FFFFFF"/>
            <w:vAlign w:val="center"/>
          </w:tcPr>
          <w:p>
            <w:pPr>
              <w:widowControl/>
              <w:adjustRightInd w:val="0"/>
              <w:snapToGrid w:val="0"/>
              <w:jc w:val="center"/>
              <w:rPr>
                <w:kern w:val="0"/>
              </w:rPr>
            </w:pPr>
            <w:r>
              <w:rPr>
                <w:kern w:val="0"/>
              </w:rPr>
              <w:t>860.00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（二）</w:t>
            </w:r>
          </w:p>
        </w:tc>
        <w:tc>
          <w:tcPr>
            <w:tcW w:w="847" w:type="pct"/>
            <w:shd w:val="clear" w:color="auto" w:fill="FFFFFF"/>
            <w:vAlign w:val="center"/>
          </w:tcPr>
          <w:p>
            <w:pPr>
              <w:widowControl/>
              <w:adjustRightInd w:val="0"/>
              <w:snapToGrid w:val="0"/>
              <w:jc w:val="center"/>
              <w:rPr>
                <w:kern w:val="0"/>
              </w:rPr>
            </w:pPr>
            <w:r>
              <w:rPr>
                <w:kern w:val="0"/>
              </w:rPr>
              <w:t>设备购置</w:t>
            </w:r>
          </w:p>
        </w:tc>
        <w:tc>
          <w:tcPr>
            <w:tcW w:w="1048" w:type="pct"/>
            <w:shd w:val="clear" w:color="auto" w:fill="FFFFFF"/>
            <w:vAlign w:val="center"/>
          </w:tcPr>
          <w:p>
            <w:pPr>
              <w:widowControl/>
              <w:adjustRightInd w:val="0"/>
              <w:snapToGrid w:val="0"/>
              <w:jc w:val="center"/>
              <w:rPr>
                <w:kern w:val="0"/>
              </w:rPr>
            </w:pPr>
            <w:r>
              <w:rPr>
                <w:kern w:val="0"/>
              </w:rPr>
              <w:t>9139.99</w:t>
            </w:r>
          </w:p>
        </w:tc>
        <w:tc>
          <w:tcPr>
            <w:tcW w:w="1067" w:type="pct"/>
            <w:shd w:val="clear" w:color="auto" w:fill="FFFFFF"/>
            <w:vAlign w:val="center"/>
          </w:tcPr>
          <w:p>
            <w:pPr>
              <w:widowControl/>
              <w:adjustRightInd w:val="0"/>
              <w:snapToGrid w:val="0"/>
              <w:jc w:val="center"/>
              <w:rPr>
                <w:kern w:val="0"/>
              </w:rPr>
            </w:pPr>
            <w:r>
              <w:rPr>
                <w:kern w:val="0"/>
              </w:rPr>
              <w:t>9139.99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（三）</w:t>
            </w:r>
          </w:p>
        </w:tc>
        <w:tc>
          <w:tcPr>
            <w:tcW w:w="847" w:type="pct"/>
            <w:shd w:val="clear" w:color="auto" w:fill="FFFFFF"/>
            <w:vAlign w:val="center"/>
          </w:tcPr>
          <w:p>
            <w:pPr>
              <w:widowControl/>
              <w:adjustRightInd w:val="0"/>
              <w:snapToGrid w:val="0"/>
              <w:jc w:val="center"/>
              <w:rPr>
                <w:kern w:val="0"/>
              </w:rPr>
            </w:pPr>
            <w:r>
              <w:rPr>
                <w:kern w:val="0"/>
              </w:rPr>
              <w:t>电线杆迁移场外道等</w:t>
            </w:r>
          </w:p>
        </w:tc>
        <w:tc>
          <w:tcPr>
            <w:tcW w:w="1048" w:type="pct"/>
            <w:shd w:val="clear" w:color="auto" w:fill="FFFFFF"/>
            <w:vAlign w:val="center"/>
          </w:tcPr>
          <w:p>
            <w:pPr>
              <w:widowControl/>
              <w:adjustRightInd w:val="0"/>
              <w:snapToGrid w:val="0"/>
              <w:jc w:val="center"/>
              <w:rPr>
                <w:kern w:val="0"/>
              </w:rPr>
            </w:pPr>
            <w:r>
              <w:rPr>
                <w:kern w:val="0"/>
              </w:rPr>
              <w:t>1247.5</w:t>
            </w:r>
          </w:p>
        </w:tc>
        <w:tc>
          <w:tcPr>
            <w:tcW w:w="1067" w:type="pct"/>
            <w:shd w:val="clear" w:color="auto" w:fill="FFFFFF"/>
            <w:vAlign w:val="center"/>
          </w:tcPr>
          <w:p>
            <w:pPr>
              <w:widowControl/>
              <w:adjustRightInd w:val="0"/>
              <w:snapToGrid w:val="0"/>
              <w:jc w:val="center"/>
              <w:rPr>
                <w:kern w:val="0"/>
              </w:rPr>
            </w:pPr>
            <w:r>
              <w:rPr>
                <w:kern w:val="0"/>
              </w:rPr>
              <w:t>1247.5</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二</w:t>
            </w:r>
          </w:p>
        </w:tc>
        <w:tc>
          <w:tcPr>
            <w:tcW w:w="847" w:type="pct"/>
            <w:shd w:val="clear" w:color="auto" w:fill="FFFFFF"/>
            <w:vAlign w:val="center"/>
          </w:tcPr>
          <w:p>
            <w:pPr>
              <w:widowControl/>
              <w:adjustRightInd w:val="0"/>
              <w:snapToGrid w:val="0"/>
              <w:jc w:val="center"/>
              <w:rPr>
                <w:b/>
                <w:bCs/>
                <w:kern w:val="0"/>
              </w:rPr>
            </w:pPr>
            <w:r>
              <w:rPr>
                <w:b/>
                <w:bCs/>
                <w:kern w:val="0"/>
              </w:rPr>
              <w:t>工程建设其他费用</w:t>
            </w:r>
          </w:p>
        </w:tc>
        <w:tc>
          <w:tcPr>
            <w:tcW w:w="1048" w:type="pct"/>
            <w:shd w:val="clear" w:color="auto" w:fill="FFFFFF"/>
            <w:vAlign w:val="center"/>
          </w:tcPr>
          <w:p>
            <w:pPr>
              <w:widowControl/>
              <w:adjustRightInd w:val="0"/>
              <w:snapToGrid w:val="0"/>
              <w:jc w:val="center"/>
              <w:rPr>
                <w:b/>
                <w:bCs/>
                <w:kern w:val="0"/>
              </w:rPr>
            </w:pPr>
            <w:r>
              <w:rPr>
                <w:b/>
                <w:bCs/>
                <w:kern w:val="0"/>
              </w:rPr>
              <w:t>6,467.93</w:t>
            </w:r>
          </w:p>
        </w:tc>
        <w:tc>
          <w:tcPr>
            <w:tcW w:w="1067" w:type="pct"/>
            <w:shd w:val="clear" w:color="auto" w:fill="FFFFFF"/>
            <w:vAlign w:val="center"/>
          </w:tcPr>
          <w:p>
            <w:pPr>
              <w:widowControl/>
              <w:adjustRightInd w:val="0"/>
              <w:snapToGrid w:val="0"/>
              <w:jc w:val="center"/>
              <w:rPr>
                <w:b/>
                <w:bCs/>
                <w:kern w:val="0"/>
              </w:rPr>
            </w:pPr>
            <w:r>
              <w:rPr>
                <w:b/>
                <w:bCs/>
                <w:kern w:val="0"/>
              </w:rPr>
              <w:t>6,555.71</w:t>
            </w:r>
          </w:p>
        </w:tc>
        <w:tc>
          <w:tcPr>
            <w:tcW w:w="802" w:type="pct"/>
            <w:shd w:val="clear" w:color="auto" w:fill="FFFFFF"/>
            <w:vAlign w:val="center"/>
          </w:tcPr>
          <w:p>
            <w:pPr>
              <w:widowControl/>
              <w:adjustRightInd w:val="0"/>
              <w:snapToGrid w:val="0"/>
              <w:jc w:val="center"/>
              <w:rPr>
                <w:b/>
                <w:bCs/>
                <w:kern w:val="0"/>
              </w:rPr>
            </w:pPr>
            <w:r>
              <w:rPr>
                <w:b/>
                <w:bCs/>
                <w:kern w:val="0"/>
              </w:rPr>
              <w:t>87.78</w:t>
            </w: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（一）</w:t>
            </w:r>
          </w:p>
        </w:tc>
        <w:tc>
          <w:tcPr>
            <w:tcW w:w="847" w:type="pct"/>
            <w:shd w:val="clear" w:color="auto" w:fill="FFFFFF"/>
            <w:vAlign w:val="center"/>
          </w:tcPr>
          <w:p>
            <w:pPr>
              <w:widowControl/>
              <w:adjustRightInd w:val="0"/>
              <w:snapToGrid w:val="0"/>
              <w:jc w:val="center"/>
              <w:rPr>
                <w:kern w:val="0"/>
              </w:rPr>
            </w:pPr>
            <w:r>
              <w:rPr>
                <w:rFonts w:hint="eastAsia"/>
              </w:rPr>
              <w:t>前期费用</w:t>
            </w:r>
          </w:p>
        </w:tc>
        <w:tc>
          <w:tcPr>
            <w:tcW w:w="1048" w:type="pct"/>
            <w:shd w:val="clear" w:color="auto" w:fill="FFFFFF"/>
            <w:vAlign w:val="center"/>
          </w:tcPr>
          <w:p>
            <w:pPr>
              <w:widowControl/>
              <w:adjustRightInd w:val="0"/>
              <w:snapToGrid w:val="0"/>
              <w:jc w:val="center"/>
              <w:rPr>
                <w:kern w:val="0"/>
              </w:rPr>
            </w:pPr>
            <w:r>
              <w:rPr>
                <w:rFonts w:eastAsia="等线"/>
              </w:rPr>
              <w:t>85</w:t>
            </w:r>
          </w:p>
        </w:tc>
        <w:tc>
          <w:tcPr>
            <w:tcW w:w="1067" w:type="pct"/>
            <w:shd w:val="clear" w:color="auto" w:fill="FFFFFF"/>
            <w:vAlign w:val="center"/>
          </w:tcPr>
          <w:p>
            <w:pPr>
              <w:widowControl/>
              <w:adjustRightInd w:val="0"/>
              <w:snapToGrid w:val="0"/>
              <w:jc w:val="center"/>
              <w:rPr>
                <w:kern w:val="0"/>
              </w:rPr>
            </w:pPr>
            <w:r>
              <w:rPr>
                <w:rFonts w:eastAsia="等线"/>
              </w:rPr>
              <w:t>417.58</w:t>
            </w:r>
          </w:p>
        </w:tc>
        <w:tc>
          <w:tcPr>
            <w:tcW w:w="802" w:type="pct"/>
            <w:shd w:val="clear" w:color="auto" w:fill="FFFFFF"/>
            <w:vAlign w:val="center"/>
          </w:tcPr>
          <w:p>
            <w:pPr>
              <w:widowControl/>
              <w:adjustRightInd w:val="0"/>
              <w:snapToGrid w:val="0"/>
              <w:jc w:val="center"/>
              <w:rPr>
                <w:kern w:val="0"/>
              </w:rPr>
            </w:pPr>
            <w:r>
              <w:rPr>
                <w:rFonts w:eastAsia="等线"/>
              </w:rPr>
              <w:t>332.58</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sz w:val="22"/>
                <w:szCs w:val="22"/>
              </w:rPr>
            </w:pPr>
            <w:r>
              <w:rPr>
                <w:rFonts w:hint="eastAsia"/>
              </w:rPr>
              <w:t>可行性研究报告编制</w:t>
            </w:r>
          </w:p>
        </w:tc>
        <w:tc>
          <w:tcPr>
            <w:tcW w:w="1048" w:type="pct"/>
            <w:shd w:val="clear" w:color="auto" w:fill="FFFFFF"/>
            <w:vAlign w:val="center"/>
          </w:tcPr>
          <w:p>
            <w:pPr>
              <w:widowControl/>
              <w:adjustRightInd w:val="0"/>
              <w:snapToGrid w:val="0"/>
              <w:jc w:val="center"/>
              <w:rPr>
                <w:kern w:val="0"/>
              </w:rPr>
            </w:pPr>
            <w:r>
              <w:rPr>
                <w:rFonts w:eastAsia="等线"/>
              </w:rPr>
              <w:t>28</w:t>
            </w:r>
          </w:p>
        </w:tc>
        <w:tc>
          <w:tcPr>
            <w:tcW w:w="1067" w:type="pct"/>
            <w:shd w:val="clear" w:color="auto" w:fill="FFFFFF"/>
            <w:vAlign w:val="center"/>
          </w:tcPr>
          <w:p>
            <w:pPr>
              <w:widowControl/>
              <w:adjustRightInd w:val="0"/>
              <w:snapToGrid w:val="0"/>
              <w:jc w:val="center"/>
              <w:rPr>
                <w:kern w:val="0"/>
              </w:rPr>
            </w:pPr>
            <w:r>
              <w:rPr>
                <w:rFonts w:eastAsia="等线"/>
              </w:rPr>
              <w:t>28</w:t>
            </w:r>
          </w:p>
        </w:tc>
        <w:tc>
          <w:tcPr>
            <w:tcW w:w="802" w:type="pct"/>
            <w:shd w:val="clear" w:color="auto" w:fill="FFFFFF"/>
            <w:vAlign w:val="center"/>
          </w:tcPr>
          <w:p>
            <w:pPr>
              <w:widowControl/>
              <w:adjustRightInd w:val="0"/>
              <w:snapToGrid w:val="0"/>
              <w:jc w:val="center"/>
              <w:rPr>
                <w:kern w:val="0"/>
              </w:rPr>
            </w:pPr>
            <w:r>
              <w:rPr>
                <w:rFonts w:eastAsia="等线"/>
              </w:rPr>
              <w:t>　</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rFonts w:hint="eastAsia"/>
              </w:rPr>
              <w:t>环境影响评价费</w:t>
            </w:r>
          </w:p>
        </w:tc>
        <w:tc>
          <w:tcPr>
            <w:tcW w:w="1048" w:type="pct"/>
            <w:shd w:val="clear" w:color="auto" w:fill="FFFFFF"/>
            <w:vAlign w:val="center"/>
          </w:tcPr>
          <w:p>
            <w:pPr>
              <w:widowControl/>
              <w:adjustRightInd w:val="0"/>
              <w:snapToGrid w:val="0"/>
              <w:jc w:val="center"/>
              <w:rPr>
                <w:kern w:val="0"/>
              </w:rPr>
            </w:pPr>
            <w:r>
              <w:rPr>
                <w:rFonts w:eastAsia="等线"/>
              </w:rPr>
              <w:t>57</w:t>
            </w:r>
          </w:p>
        </w:tc>
        <w:tc>
          <w:tcPr>
            <w:tcW w:w="1067" w:type="pct"/>
            <w:shd w:val="clear" w:color="auto" w:fill="FFFFFF"/>
            <w:vAlign w:val="center"/>
          </w:tcPr>
          <w:p>
            <w:pPr>
              <w:widowControl/>
              <w:adjustRightInd w:val="0"/>
              <w:snapToGrid w:val="0"/>
              <w:jc w:val="center"/>
              <w:rPr>
                <w:kern w:val="0"/>
              </w:rPr>
            </w:pPr>
            <w:r>
              <w:rPr>
                <w:rFonts w:eastAsia="等线"/>
              </w:rPr>
              <w:t>57</w:t>
            </w:r>
          </w:p>
        </w:tc>
        <w:tc>
          <w:tcPr>
            <w:tcW w:w="802" w:type="pct"/>
            <w:shd w:val="clear" w:color="auto" w:fill="FFFFFF"/>
            <w:vAlign w:val="center"/>
          </w:tcPr>
          <w:p>
            <w:pPr>
              <w:widowControl/>
              <w:adjustRightInd w:val="0"/>
              <w:snapToGrid w:val="0"/>
              <w:jc w:val="center"/>
              <w:rPr>
                <w:kern w:val="0"/>
              </w:rPr>
            </w:pPr>
            <w:r>
              <w:rPr>
                <w:rFonts w:eastAsia="等线"/>
              </w:rPr>
              <w:t>　</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3</w:t>
            </w:r>
          </w:p>
        </w:tc>
        <w:tc>
          <w:tcPr>
            <w:tcW w:w="847" w:type="pct"/>
            <w:shd w:val="clear" w:color="auto" w:fill="FFFFFF"/>
            <w:vAlign w:val="center"/>
          </w:tcPr>
          <w:p>
            <w:pPr>
              <w:widowControl/>
              <w:adjustRightInd w:val="0"/>
              <w:snapToGrid w:val="0"/>
              <w:jc w:val="center"/>
              <w:rPr>
                <w:kern w:val="0"/>
              </w:rPr>
            </w:pPr>
            <w:r>
              <w:rPr>
                <w:rFonts w:hint="eastAsia"/>
              </w:rPr>
              <w:t>立项的社会稳评</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19.18</w:t>
            </w:r>
          </w:p>
        </w:tc>
        <w:tc>
          <w:tcPr>
            <w:tcW w:w="802" w:type="pct"/>
            <w:shd w:val="clear" w:color="auto" w:fill="FFFFFF"/>
            <w:vAlign w:val="center"/>
          </w:tcPr>
          <w:p>
            <w:pPr>
              <w:widowControl/>
              <w:adjustRightInd w:val="0"/>
              <w:snapToGrid w:val="0"/>
              <w:jc w:val="center"/>
              <w:rPr>
                <w:kern w:val="0"/>
              </w:rPr>
            </w:pPr>
            <w:r>
              <w:rPr>
                <w:rFonts w:eastAsia="等线"/>
              </w:rPr>
              <w:t>19.18</w:t>
            </w:r>
          </w:p>
        </w:tc>
        <w:tc>
          <w:tcPr>
            <w:tcW w:w="739" w:type="pct"/>
            <w:vMerge w:val="restart"/>
            <w:shd w:val="clear" w:color="auto" w:fill="FFFFFF"/>
            <w:vAlign w:val="center"/>
          </w:tcPr>
          <w:p>
            <w:pPr>
              <w:widowControl/>
              <w:adjustRightInd w:val="0"/>
              <w:snapToGrid w:val="0"/>
              <w:jc w:val="center"/>
              <w:rPr>
                <w:kern w:val="0"/>
              </w:rPr>
            </w:pPr>
            <w:r>
              <w:rPr>
                <w:b/>
                <w:bCs/>
                <w:kern w:val="0"/>
              </w:rPr>
              <w:t>可研未包含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4</w:t>
            </w:r>
          </w:p>
        </w:tc>
        <w:tc>
          <w:tcPr>
            <w:tcW w:w="847" w:type="pct"/>
            <w:shd w:val="clear" w:color="auto" w:fill="FFFFFF"/>
            <w:vAlign w:val="center"/>
          </w:tcPr>
          <w:p>
            <w:pPr>
              <w:widowControl/>
              <w:adjustRightInd w:val="0"/>
              <w:snapToGrid w:val="0"/>
              <w:jc w:val="center"/>
              <w:rPr>
                <w:kern w:val="0"/>
              </w:rPr>
            </w:pPr>
            <w:r>
              <w:rPr>
                <w:rFonts w:hint="eastAsia"/>
                <w:sz w:val="22"/>
                <w:szCs w:val="22"/>
              </w:rPr>
              <w:t>两评一案咨询</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49</w:t>
            </w:r>
          </w:p>
        </w:tc>
        <w:tc>
          <w:tcPr>
            <w:tcW w:w="802" w:type="pct"/>
            <w:shd w:val="clear" w:color="auto" w:fill="FFFFFF"/>
            <w:vAlign w:val="center"/>
          </w:tcPr>
          <w:p>
            <w:pPr>
              <w:widowControl/>
              <w:adjustRightInd w:val="0"/>
              <w:snapToGrid w:val="0"/>
              <w:jc w:val="center"/>
              <w:rPr>
                <w:kern w:val="0"/>
              </w:rPr>
            </w:pPr>
            <w:r>
              <w:rPr>
                <w:rFonts w:eastAsia="等线"/>
              </w:rPr>
              <w:t>49</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5</w:t>
            </w:r>
          </w:p>
        </w:tc>
        <w:tc>
          <w:tcPr>
            <w:tcW w:w="847" w:type="pct"/>
            <w:shd w:val="clear" w:color="auto" w:fill="FFFFFF"/>
            <w:vAlign w:val="center"/>
          </w:tcPr>
          <w:p>
            <w:pPr>
              <w:widowControl/>
              <w:adjustRightInd w:val="0"/>
              <w:snapToGrid w:val="0"/>
              <w:jc w:val="center"/>
              <w:rPr>
                <w:kern w:val="0"/>
              </w:rPr>
            </w:pPr>
            <w:r>
              <w:rPr>
                <w:rFonts w:hint="eastAsia"/>
                <w:sz w:val="22"/>
                <w:szCs w:val="22"/>
              </w:rPr>
              <w:t>造价咨询</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9.8</w:t>
            </w:r>
          </w:p>
        </w:tc>
        <w:tc>
          <w:tcPr>
            <w:tcW w:w="802" w:type="pct"/>
            <w:shd w:val="clear" w:color="auto" w:fill="FFFFFF"/>
            <w:vAlign w:val="center"/>
          </w:tcPr>
          <w:p>
            <w:pPr>
              <w:widowControl/>
              <w:adjustRightInd w:val="0"/>
              <w:snapToGrid w:val="0"/>
              <w:jc w:val="center"/>
              <w:rPr>
                <w:kern w:val="0"/>
              </w:rPr>
            </w:pPr>
            <w:r>
              <w:rPr>
                <w:rFonts w:eastAsia="等线"/>
              </w:rPr>
              <w:t>9.8</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6</w:t>
            </w:r>
          </w:p>
        </w:tc>
        <w:tc>
          <w:tcPr>
            <w:tcW w:w="847" w:type="pct"/>
            <w:shd w:val="clear" w:color="auto" w:fill="FFFFFF"/>
            <w:vAlign w:val="center"/>
          </w:tcPr>
          <w:p>
            <w:pPr>
              <w:widowControl/>
              <w:adjustRightInd w:val="0"/>
              <w:snapToGrid w:val="0"/>
              <w:jc w:val="center"/>
              <w:rPr>
                <w:kern w:val="0"/>
              </w:rPr>
            </w:pPr>
            <w:r>
              <w:rPr>
                <w:rFonts w:hint="eastAsia"/>
                <w:sz w:val="22"/>
                <w:szCs w:val="22"/>
              </w:rPr>
              <w:t>财务复核</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9.8</w:t>
            </w:r>
          </w:p>
        </w:tc>
        <w:tc>
          <w:tcPr>
            <w:tcW w:w="802" w:type="pct"/>
            <w:shd w:val="clear" w:color="auto" w:fill="FFFFFF"/>
            <w:vAlign w:val="center"/>
          </w:tcPr>
          <w:p>
            <w:pPr>
              <w:widowControl/>
              <w:adjustRightInd w:val="0"/>
              <w:snapToGrid w:val="0"/>
              <w:jc w:val="center"/>
              <w:rPr>
                <w:kern w:val="0"/>
              </w:rPr>
            </w:pPr>
            <w:r>
              <w:rPr>
                <w:rFonts w:eastAsia="等线"/>
              </w:rPr>
              <w:t>9.8</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rFonts w:hint="eastAsia"/>
                <w:kern w:val="0"/>
              </w:rPr>
              <w:t>7</w:t>
            </w:r>
          </w:p>
        </w:tc>
        <w:tc>
          <w:tcPr>
            <w:tcW w:w="847" w:type="pct"/>
            <w:shd w:val="clear" w:color="auto" w:fill="FFFFFF"/>
            <w:vAlign w:val="center"/>
          </w:tcPr>
          <w:p>
            <w:pPr>
              <w:widowControl/>
              <w:adjustRightInd w:val="0"/>
              <w:snapToGrid w:val="0"/>
              <w:jc w:val="center"/>
              <w:rPr>
                <w:sz w:val="22"/>
                <w:szCs w:val="22"/>
              </w:rPr>
            </w:pPr>
            <w:r>
              <w:rPr>
                <w:rFonts w:hint="eastAsia"/>
              </w:rPr>
              <w:t>初步勘察</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4.8</w:t>
            </w:r>
          </w:p>
        </w:tc>
        <w:tc>
          <w:tcPr>
            <w:tcW w:w="802" w:type="pct"/>
            <w:shd w:val="clear" w:color="auto" w:fill="FFFFFF"/>
            <w:vAlign w:val="center"/>
          </w:tcPr>
          <w:p>
            <w:pPr>
              <w:widowControl/>
              <w:adjustRightInd w:val="0"/>
              <w:snapToGrid w:val="0"/>
              <w:jc w:val="center"/>
              <w:rPr>
                <w:kern w:val="0"/>
              </w:rPr>
            </w:pPr>
            <w:r>
              <w:rPr>
                <w:rFonts w:eastAsia="等线"/>
              </w:rPr>
              <w:t>4.8</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rFonts w:hint="eastAsia"/>
                <w:kern w:val="0"/>
              </w:rPr>
              <w:t>8</w:t>
            </w:r>
          </w:p>
        </w:tc>
        <w:tc>
          <w:tcPr>
            <w:tcW w:w="847" w:type="pct"/>
            <w:shd w:val="clear" w:color="auto" w:fill="FFFFFF"/>
            <w:vAlign w:val="center"/>
          </w:tcPr>
          <w:p>
            <w:pPr>
              <w:widowControl/>
              <w:adjustRightInd w:val="0"/>
              <w:snapToGrid w:val="0"/>
              <w:jc w:val="center"/>
            </w:pPr>
            <w:r>
              <w:rPr>
                <w:rFonts w:hint="eastAsia"/>
              </w:rPr>
              <w:t>初步设计及施工图</w:t>
            </w:r>
          </w:p>
        </w:tc>
        <w:tc>
          <w:tcPr>
            <w:tcW w:w="1048" w:type="pct"/>
            <w:shd w:val="clear" w:color="auto" w:fill="FFFFFF"/>
            <w:vAlign w:val="center"/>
          </w:tcPr>
          <w:p>
            <w:pPr>
              <w:widowControl/>
              <w:adjustRightInd w:val="0"/>
              <w:snapToGrid w:val="0"/>
              <w:jc w:val="center"/>
              <w:rPr>
                <w:rFonts w:eastAsia="等线"/>
              </w:rPr>
            </w:pPr>
            <w:r>
              <w:rPr>
                <w:rFonts w:eastAsia="等线"/>
              </w:rPr>
              <w:t>　</w:t>
            </w:r>
          </w:p>
        </w:tc>
        <w:tc>
          <w:tcPr>
            <w:tcW w:w="1067" w:type="pct"/>
            <w:shd w:val="clear" w:color="auto" w:fill="FFFFFF"/>
            <w:vAlign w:val="center"/>
          </w:tcPr>
          <w:p>
            <w:pPr>
              <w:widowControl/>
              <w:adjustRightInd w:val="0"/>
              <w:snapToGrid w:val="0"/>
              <w:jc w:val="center"/>
              <w:rPr>
                <w:rFonts w:eastAsia="等线"/>
              </w:rPr>
            </w:pPr>
            <w:r>
              <w:rPr>
                <w:rFonts w:eastAsia="等线"/>
              </w:rPr>
              <w:t>240</w:t>
            </w:r>
          </w:p>
        </w:tc>
        <w:tc>
          <w:tcPr>
            <w:tcW w:w="802" w:type="pct"/>
            <w:shd w:val="clear" w:color="auto" w:fill="FFFFFF"/>
            <w:vAlign w:val="center"/>
          </w:tcPr>
          <w:p>
            <w:pPr>
              <w:widowControl/>
              <w:adjustRightInd w:val="0"/>
              <w:snapToGrid w:val="0"/>
              <w:jc w:val="center"/>
              <w:rPr>
                <w:rFonts w:eastAsia="等线"/>
              </w:rPr>
            </w:pPr>
            <w:r>
              <w:rPr>
                <w:rFonts w:eastAsia="等线"/>
              </w:rPr>
              <w:t>240</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（二）</w:t>
            </w:r>
          </w:p>
        </w:tc>
        <w:tc>
          <w:tcPr>
            <w:tcW w:w="847" w:type="pct"/>
            <w:shd w:val="clear" w:color="auto" w:fill="FFFFFF"/>
            <w:vAlign w:val="center"/>
          </w:tcPr>
          <w:p>
            <w:pPr>
              <w:widowControl/>
              <w:adjustRightInd w:val="0"/>
              <w:snapToGrid w:val="0"/>
              <w:jc w:val="center"/>
              <w:rPr>
                <w:kern w:val="0"/>
              </w:rPr>
            </w:pPr>
            <w:r>
              <w:rPr>
                <w:kern w:val="0"/>
              </w:rPr>
              <w:t>建设管理费</w:t>
            </w:r>
          </w:p>
        </w:tc>
        <w:tc>
          <w:tcPr>
            <w:tcW w:w="1048" w:type="pct"/>
            <w:shd w:val="clear" w:color="auto" w:fill="FFFFFF"/>
            <w:vAlign w:val="center"/>
          </w:tcPr>
          <w:p>
            <w:pPr>
              <w:widowControl/>
              <w:adjustRightInd w:val="0"/>
              <w:snapToGrid w:val="0"/>
              <w:jc w:val="center"/>
              <w:rPr>
                <w:kern w:val="0"/>
              </w:rPr>
            </w:pPr>
            <w:r>
              <w:rPr>
                <w:kern w:val="0"/>
              </w:rPr>
              <w:t>504.14</w:t>
            </w:r>
          </w:p>
        </w:tc>
        <w:tc>
          <w:tcPr>
            <w:tcW w:w="1067" w:type="pct"/>
            <w:shd w:val="clear" w:color="auto" w:fill="FFFFFF"/>
            <w:vAlign w:val="center"/>
          </w:tcPr>
          <w:p>
            <w:pPr>
              <w:widowControl/>
              <w:adjustRightInd w:val="0"/>
              <w:snapToGrid w:val="0"/>
              <w:jc w:val="center"/>
              <w:rPr>
                <w:kern w:val="0"/>
              </w:rPr>
            </w:pPr>
            <w:r>
              <w:rPr>
                <w:kern w:val="0"/>
              </w:rPr>
              <w:t>504.14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kern w:val="0"/>
              </w:rPr>
              <w:t>建设单位管理费</w:t>
            </w:r>
          </w:p>
        </w:tc>
        <w:tc>
          <w:tcPr>
            <w:tcW w:w="1048" w:type="pct"/>
            <w:shd w:val="clear" w:color="auto" w:fill="FFFFFF"/>
            <w:vAlign w:val="center"/>
          </w:tcPr>
          <w:p>
            <w:pPr>
              <w:widowControl/>
              <w:adjustRightInd w:val="0"/>
              <w:snapToGrid w:val="0"/>
              <w:jc w:val="center"/>
              <w:rPr>
                <w:kern w:val="0"/>
              </w:rPr>
            </w:pPr>
            <w:r>
              <w:rPr>
                <w:kern w:val="0"/>
              </w:rPr>
              <w:t>194.71</w:t>
            </w:r>
          </w:p>
        </w:tc>
        <w:tc>
          <w:tcPr>
            <w:tcW w:w="1067" w:type="pct"/>
            <w:shd w:val="clear" w:color="auto" w:fill="FFFFFF"/>
            <w:vAlign w:val="center"/>
          </w:tcPr>
          <w:p>
            <w:pPr>
              <w:widowControl/>
              <w:adjustRightInd w:val="0"/>
              <w:snapToGrid w:val="0"/>
              <w:jc w:val="center"/>
              <w:rPr>
                <w:kern w:val="0"/>
              </w:rPr>
            </w:pPr>
            <w:r>
              <w:rPr>
                <w:kern w:val="0"/>
              </w:rPr>
              <w:t>194.71</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kern w:val="0"/>
              </w:rPr>
              <w:t>工程监理费</w:t>
            </w:r>
          </w:p>
        </w:tc>
        <w:tc>
          <w:tcPr>
            <w:tcW w:w="1048" w:type="pct"/>
            <w:shd w:val="clear" w:color="auto" w:fill="FFFFFF"/>
            <w:vAlign w:val="center"/>
          </w:tcPr>
          <w:p>
            <w:pPr>
              <w:widowControl/>
              <w:adjustRightInd w:val="0"/>
              <w:snapToGrid w:val="0"/>
              <w:jc w:val="center"/>
              <w:rPr>
                <w:kern w:val="0"/>
              </w:rPr>
            </w:pPr>
            <w:r>
              <w:rPr>
                <w:kern w:val="0"/>
              </w:rPr>
              <w:t>309.43</w:t>
            </w:r>
          </w:p>
        </w:tc>
        <w:tc>
          <w:tcPr>
            <w:tcW w:w="1067" w:type="pct"/>
            <w:shd w:val="clear" w:color="auto" w:fill="FFFFFF"/>
            <w:vAlign w:val="center"/>
          </w:tcPr>
          <w:p>
            <w:pPr>
              <w:widowControl/>
              <w:adjustRightInd w:val="0"/>
              <w:snapToGrid w:val="0"/>
              <w:jc w:val="center"/>
              <w:rPr>
                <w:kern w:val="0"/>
              </w:rPr>
            </w:pPr>
            <w:r>
              <w:rPr>
                <w:kern w:val="0"/>
              </w:rPr>
              <w:t>309.43</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（三）</w:t>
            </w:r>
          </w:p>
        </w:tc>
        <w:tc>
          <w:tcPr>
            <w:tcW w:w="847" w:type="pct"/>
            <w:shd w:val="clear" w:color="auto" w:fill="FFFFFF"/>
            <w:vAlign w:val="center"/>
          </w:tcPr>
          <w:p>
            <w:pPr>
              <w:widowControl/>
              <w:adjustRightInd w:val="0"/>
              <w:snapToGrid w:val="0"/>
              <w:jc w:val="center"/>
              <w:rPr>
                <w:kern w:val="0"/>
              </w:rPr>
            </w:pPr>
            <w:r>
              <w:rPr>
                <w:rFonts w:hint="eastAsia"/>
              </w:rPr>
              <w:t>勘察、设计费</w:t>
            </w:r>
          </w:p>
        </w:tc>
        <w:tc>
          <w:tcPr>
            <w:tcW w:w="1048" w:type="pct"/>
            <w:shd w:val="clear" w:color="auto" w:fill="FFFFFF"/>
            <w:vAlign w:val="center"/>
          </w:tcPr>
          <w:p>
            <w:pPr>
              <w:widowControl/>
              <w:adjustRightInd w:val="0"/>
              <w:snapToGrid w:val="0"/>
              <w:jc w:val="center"/>
              <w:rPr>
                <w:kern w:val="0"/>
              </w:rPr>
            </w:pPr>
            <w:r>
              <w:rPr>
                <w:rFonts w:eastAsia="等线"/>
              </w:rPr>
              <w:t>358.58</w:t>
            </w:r>
          </w:p>
        </w:tc>
        <w:tc>
          <w:tcPr>
            <w:tcW w:w="1067" w:type="pct"/>
            <w:shd w:val="clear" w:color="auto" w:fill="FFFFFF"/>
            <w:vAlign w:val="center"/>
          </w:tcPr>
          <w:p>
            <w:pPr>
              <w:widowControl/>
              <w:adjustRightInd w:val="0"/>
              <w:snapToGrid w:val="0"/>
              <w:jc w:val="center"/>
              <w:rPr>
                <w:kern w:val="0"/>
              </w:rPr>
            </w:pPr>
            <w:r>
              <w:rPr>
                <w:rFonts w:eastAsia="等线"/>
              </w:rPr>
              <w:t>358.58</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rFonts w:hint="eastAsia"/>
              </w:rPr>
              <w:t>勘察费</w:t>
            </w:r>
          </w:p>
        </w:tc>
        <w:tc>
          <w:tcPr>
            <w:tcW w:w="1048" w:type="pct"/>
            <w:shd w:val="clear" w:color="auto" w:fill="FFFFFF"/>
            <w:vAlign w:val="center"/>
          </w:tcPr>
          <w:p>
            <w:pPr>
              <w:widowControl/>
              <w:adjustRightInd w:val="0"/>
              <w:snapToGrid w:val="0"/>
              <w:jc w:val="center"/>
              <w:rPr>
                <w:kern w:val="0"/>
              </w:rPr>
            </w:pPr>
            <w:r>
              <w:rPr>
                <w:rFonts w:eastAsia="等线"/>
              </w:rPr>
              <w:t>134.44</w:t>
            </w:r>
          </w:p>
        </w:tc>
        <w:tc>
          <w:tcPr>
            <w:tcW w:w="1067" w:type="pct"/>
            <w:shd w:val="clear" w:color="auto" w:fill="FFFFFF"/>
            <w:vAlign w:val="center"/>
          </w:tcPr>
          <w:p>
            <w:pPr>
              <w:widowControl/>
              <w:adjustRightInd w:val="0"/>
              <w:snapToGrid w:val="0"/>
              <w:jc w:val="center"/>
              <w:rPr>
                <w:kern w:val="0"/>
              </w:rPr>
            </w:pPr>
            <w:r>
              <w:rPr>
                <w:rFonts w:eastAsia="等线"/>
              </w:rPr>
              <w:t>134.44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rFonts w:hint="eastAsia"/>
              </w:rPr>
              <w:t>设计费</w:t>
            </w:r>
          </w:p>
        </w:tc>
        <w:tc>
          <w:tcPr>
            <w:tcW w:w="1048" w:type="pct"/>
            <w:shd w:val="clear" w:color="auto" w:fill="FFFFFF"/>
            <w:vAlign w:val="center"/>
          </w:tcPr>
          <w:p>
            <w:pPr>
              <w:widowControl/>
              <w:adjustRightInd w:val="0"/>
              <w:snapToGrid w:val="0"/>
              <w:jc w:val="center"/>
              <w:rPr>
                <w:kern w:val="0"/>
              </w:rPr>
            </w:pPr>
            <w:r>
              <w:rPr>
                <w:rFonts w:eastAsia="等线"/>
              </w:rPr>
              <w:t>224.14</w:t>
            </w:r>
          </w:p>
        </w:tc>
        <w:tc>
          <w:tcPr>
            <w:tcW w:w="1067" w:type="pct"/>
            <w:shd w:val="clear" w:color="auto" w:fill="FFFFFF"/>
            <w:vAlign w:val="center"/>
          </w:tcPr>
          <w:p>
            <w:pPr>
              <w:widowControl/>
              <w:adjustRightInd w:val="0"/>
              <w:snapToGrid w:val="0"/>
              <w:jc w:val="center"/>
              <w:rPr>
                <w:kern w:val="0"/>
              </w:rPr>
            </w:pPr>
            <w:r>
              <w:rPr>
                <w:rFonts w:eastAsia="等线"/>
              </w:rPr>
              <w:t>224.14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（四）</w:t>
            </w:r>
          </w:p>
        </w:tc>
        <w:tc>
          <w:tcPr>
            <w:tcW w:w="847" w:type="pct"/>
            <w:shd w:val="clear" w:color="auto" w:fill="FFFFFF"/>
            <w:vAlign w:val="center"/>
          </w:tcPr>
          <w:p>
            <w:pPr>
              <w:widowControl/>
              <w:adjustRightInd w:val="0"/>
              <w:snapToGrid w:val="0"/>
              <w:jc w:val="center"/>
              <w:rPr>
                <w:kern w:val="0"/>
              </w:rPr>
            </w:pPr>
            <w:r>
              <w:rPr>
                <w:kern w:val="0"/>
              </w:rPr>
              <w:t>施工图审查费</w:t>
            </w:r>
          </w:p>
        </w:tc>
        <w:tc>
          <w:tcPr>
            <w:tcW w:w="1048" w:type="pct"/>
            <w:shd w:val="clear" w:color="auto" w:fill="FFFFFF"/>
            <w:vAlign w:val="center"/>
          </w:tcPr>
          <w:p>
            <w:pPr>
              <w:widowControl/>
              <w:adjustRightInd w:val="0"/>
              <w:snapToGrid w:val="0"/>
              <w:jc w:val="center"/>
              <w:rPr>
                <w:kern w:val="0"/>
              </w:rPr>
            </w:pPr>
            <w:r>
              <w:rPr>
                <w:kern w:val="0"/>
              </w:rPr>
              <w:t>30.94</w:t>
            </w:r>
          </w:p>
        </w:tc>
        <w:tc>
          <w:tcPr>
            <w:tcW w:w="1067" w:type="pct"/>
            <w:shd w:val="clear" w:color="auto" w:fill="FFFFFF"/>
            <w:vAlign w:val="center"/>
          </w:tcPr>
          <w:p>
            <w:pPr>
              <w:widowControl/>
              <w:adjustRightInd w:val="0"/>
              <w:snapToGrid w:val="0"/>
              <w:jc w:val="center"/>
              <w:rPr>
                <w:kern w:val="0"/>
              </w:rPr>
            </w:pPr>
            <w:r>
              <w:rPr>
                <w:kern w:val="0"/>
              </w:rPr>
              <w:t>30.94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（五）</w:t>
            </w:r>
          </w:p>
        </w:tc>
        <w:tc>
          <w:tcPr>
            <w:tcW w:w="847" w:type="pct"/>
            <w:shd w:val="clear" w:color="auto" w:fill="FFFFFF"/>
            <w:vAlign w:val="center"/>
          </w:tcPr>
          <w:p>
            <w:pPr>
              <w:widowControl/>
              <w:adjustRightInd w:val="0"/>
              <w:snapToGrid w:val="0"/>
              <w:jc w:val="center"/>
              <w:rPr>
                <w:kern w:val="0"/>
              </w:rPr>
            </w:pPr>
            <w:r>
              <w:rPr>
                <w:kern w:val="0"/>
              </w:rPr>
              <w:t>场地准备费及临时设施费</w:t>
            </w:r>
          </w:p>
        </w:tc>
        <w:tc>
          <w:tcPr>
            <w:tcW w:w="1048" w:type="pct"/>
            <w:shd w:val="clear" w:color="auto" w:fill="FFFFFF"/>
            <w:vAlign w:val="center"/>
          </w:tcPr>
          <w:p>
            <w:pPr>
              <w:widowControl/>
              <w:adjustRightInd w:val="0"/>
              <w:snapToGrid w:val="0"/>
              <w:jc w:val="center"/>
              <w:rPr>
                <w:kern w:val="0"/>
              </w:rPr>
            </w:pPr>
            <w:r>
              <w:rPr>
                <w:kern w:val="0"/>
              </w:rPr>
              <w:t>193.39</w:t>
            </w:r>
          </w:p>
        </w:tc>
        <w:tc>
          <w:tcPr>
            <w:tcW w:w="1067" w:type="pct"/>
            <w:shd w:val="clear" w:color="auto" w:fill="FFFFFF"/>
            <w:vAlign w:val="center"/>
          </w:tcPr>
          <w:p>
            <w:pPr>
              <w:widowControl/>
              <w:adjustRightInd w:val="0"/>
              <w:snapToGrid w:val="0"/>
              <w:jc w:val="center"/>
              <w:rPr>
                <w:kern w:val="0"/>
              </w:rPr>
            </w:pPr>
            <w:r>
              <w:rPr>
                <w:kern w:val="0"/>
              </w:rPr>
              <w:t>193.39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（六）</w:t>
            </w:r>
          </w:p>
        </w:tc>
        <w:tc>
          <w:tcPr>
            <w:tcW w:w="847" w:type="pct"/>
            <w:shd w:val="clear" w:color="auto" w:fill="FFFFFF"/>
            <w:vAlign w:val="center"/>
          </w:tcPr>
          <w:p>
            <w:pPr>
              <w:widowControl/>
              <w:adjustRightInd w:val="0"/>
              <w:snapToGrid w:val="0"/>
              <w:jc w:val="center"/>
              <w:rPr>
                <w:kern w:val="0"/>
              </w:rPr>
            </w:pPr>
            <w:r>
              <w:rPr>
                <w:kern w:val="0"/>
              </w:rPr>
              <w:t>工程招标管理费及代理服务费</w:t>
            </w:r>
          </w:p>
        </w:tc>
        <w:tc>
          <w:tcPr>
            <w:tcW w:w="1048" w:type="pct"/>
            <w:shd w:val="clear" w:color="auto" w:fill="FFFFFF"/>
            <w:vAlign w:val="center"/>
          </w:tcPr>
          <w:p>
            <w:pPr>
              <w:widowControl/>
              <w:adjustRightInd w:val="0"/>
              <w:snapToGrid w:val="0"/>
              <w:jc w:val="center"/>
              <w:rPr>
                <w:kern w:val="0"/>
              </w:rPr>
            </w:pPr>
            <w:r>
              <w:rPr>
                <w:kern w:val="0"/>
              </w:rPr>
              <w:t>7.74</w:t>
            </w:r>
          </w:p>
        </w:tc>
        <w:tc>
          <w:tcPr>
            <w:tcW w:w="1067" w:type="pct"/>
            <w:shd w:val="clear" w:color="auto" w:fill="FFFFFF"/>
            <w:vAlign w:val="center"/>
          </w:tcPr>
          <w:p>
            <w:pPr>
              <w:widowControl/>
              <w:adjustRightInd w:val="0"/>
              <w:snapToGrid w:val="0"/>
              <w:jc w:val="center"/>
              <w:rPr>
                <w:kern w:val="0"/>
              </w:rPr>
            </w:pPr>
            <w:r>
              <w:rPr>
                <w:kern w:val="0"/>
              </w:rPr>
              <w:t>7.74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（七）</w:t>
            </w:r>
          </w:p>
        </w:tc>
        <w:tc>
          <w:tcPr>
            <w:tcW w:w="847" w:type="pct"/>
            <w:shd w:val="clear" w:color="auto" w:fill="FFFFFF"/>
            <w:vAlign w:val="center"/>
          </w:tcPr>
          <w:p>
            <w:pPr>
              <w:widowControl/>
              <w:adjustRightInd w:val="0"/>
              <w:snapToGrid w:val="0"/>
              <w:jc w:val="center"/>
              <w:rPr>
                <w:kern w:val="0"/>
              </w:rPr>
            </w:pPr>
            <w:r>
              <w:rPr>
                <w:kern w:val="0"/>
              </w:rPr>
              <w:t>工程量清单及招标控制价编制</w:t>
            </w:r>
          </w:p>
        </w:tc>
        <w:tc>
          <w:tcPr>
            <w:tcW w:w="1048" w:type="pct"/>
            <w:shd w:val="clear" w:color="auto" w:fill="FFFFFF"/>
            <w:vAlign w:val="center"/>
          </w:tcPr>
          <w:p>
            <w:pPr>
              <w:widowControl/>
              <w:adjustRightInd w:val="0"/>
              <w:snapToGrid w:val="0"/>
              <w:jc w:val="center"/>
              <w:rPr>
                <w:kern w:val="0"/>
              </w:rPr>
            </w:pPr>
            <w:r>
              <w:rPr>
                <w:kern w:val="0"/>
              </w:rPr>
              <w:t>26.30</w:t>
            </w:r>
          </w:p>
        </w:tc>
        <w:tc>
          <w:tcPr>
            <w:tcW w:w="1067" w:type="pct"/>
            <w:shd w:val="clear" w:color="auto" w:fill="FFFFFF"/>
            <w:vAlign w:val="center"/>
          </w:tcPr>
          <w:p>
            <w:pPr>
              <w:widowControl/>
              <w:adjustRightInd w:val="0"/>
              <w:snapToGrid w:val="0"/>
              <w:jc w:val="center"/>
              <w:rPr>
                <w:kern w:val="0"/>
              </w:rPr>
            </w:pPr>
            <w:r>
              <w:rPr>
                <w:kern w:val="0"/>
              </w:rPr>
              <w:t>26.30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（八）</w:t>
            </w:r>
          </w:p>
        </w:tc>
        <w:tc>
          <w:tcPr>
            <w:tcW w:w="847" w:type="pct"/>
            <w:shd w:val="clear" w:color="auto" w:fill="FFFFFF"/>
            <w:vAlign w:val="center"/>
          </w:tcPr>
          <w:p>
            <w:pPr>
              <w:widowControl/>
              <w:adjustRightInd w:val="0"/>
              <w:snapToGrid w:val="0"/>
              <w:jc w:val="center"/>
              <w:rPr>
                <w:kern w:val="0"/>
              </w:rPr>
            </w:pPr>
            <w:r>
              <w:rPr>
                <w:kern w:val="0"/>
              </w:rPr>
              <w:t>审核工程预算(招标控制价或标底)</w:t>
            </w:r>
          </w:p>
        </w:tc>
        <w:tc>
          <w:tcPr>
            <w:tcW w:w="1048" w:type="pct"/>
            <w:shd w:val="clear" w:color="auto" w:fill="FFFFFF"/>
            <w:vAlign w:val="center"/>
          </w:tcPr>
          <w:p>
            <w:pPr>
              <w:widowControl/>
              <w:adjustRightInd w:val="0"/>
              <w:snapToGrid w:val="0"/>
              <w:jc w:val="center"/>
              <w:rPr>
                <w:kern w:val="0"/>
              </w:rPr>
            </w:pPr>
            <w:r>
              <w:rPr>
                <w:kern w:val="0"/>
              </w:rPr>
              <w:t>6.19</w:t>
            </w:r>
          </w:p>
        </w:tc>
        <w:tc>
          <w:tcPr>
            <w:tcW w:w="1067" w:type="pct"/>
            <w:shd w:val="clear" w:color="auto" w:fill="FFFFFF"/>
            <w:vAlign w:val="center"/>
          </w:tcPr>
          <w:p>
            <w:pPr>
              <w:widowControl/>
              <w:adjustRightInd w:val="0"/>
              <w:snapToGrid w:val="0"/>
              <w:jc w:val="center"/>
              <w:rPr>
                <w:kern w:val="0"/>
              </w:rPr>
            </w:pPr>
            <w:r>
              <w:rPr>
                <w:kern w:val="0"/>
              </w:rPr>
              <w:t>6.19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（九）</w:t>
            </w:r>
          </w:p>
        </w:tc>
        <w:tc>
          <w:tcPr>
            <w:tcW w:w="847" w:type="pct"/>
            <w:shd w:val="clear" w:color="auto" w:fill="FFFFFF"/>
            <w:vAlign w:val="center"/>
          </w:tcPr>
          <w:p>
            <w:pPr>
              <w:widowControl/>
              <w:adjustRightInd w:val="0"/>
              <w:snapToGrid w:val="0"/>
              <w:jc w:val="center"/>
              <w:rPr>
                <w:kern w:val="0"/>
              </w:rPr>
            </w:pPr>
            <w:r>
              <w:rPr>
                <w:kern w:val="0"/>
              </w:rPr>
              <w:t>工程结算审计费</w:t>
            </w:r>
          </w:p>
        </w:tc>
        <w:tc>
          <w:tcPr>
            <w:tcW w:w="1048" w:type="pct"/>
            <w:shd w:val="clear" w:color="auto" w:fill="FFFFFF"/>
            <w:vAlign w:val="center"/>
          </w:tcPr>
          <w:p>
            <w:pPr>
              <w:widowControl/>
              <w:adjustRightInd w:val="0"/>
              <w:snapToGrid w:val="0"/>
              <w:jc w:val="center"/>
              <w:rPr>
                <w:kern w:val="0"/>
              </w:rPr>
            </w:pPr>
            <w:r>
              <w:rPr>
                <w:kern w:val="0"/>
              </w:rPr>
              <w:t>10.83</w:t>
            </w:r>
          </w:p>
        </w:tc>
        <w:tc>
          <w:tcPr>
            <w:tcW w:w="1067" w:type="pct"/>
            <w:shd w:val="clear" w:color="auto" w:fill="FFFFFF"/>
            <w:vAlign w:val="center"/>
          </w:tcPr>
          <w:p>
            <w:pPr>
              <w:widowControl/>
              <w:adjustRightInd w:val="0"/>
              <w:snapToGrid w:val="0"/>
              <w:jc w:val="center"/>
              <w:rPr>
                <w:kern w:val="0"/>
              </w:rPr>
            </w:pPr>
            <w:r>
              <w:rPr>
                <w:kern w:val="0"/>
              </w:rPr>
              <w:t>10.83</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（十）</w:t>
            </w:r>
          </w:p>
        </w:tc>
        <w:tc>
          <w:tcPr>
            <w:tcW w:w="847" w:type="pct"/>
            <w:shd w:val="clear" w:color="auto" w:fill="FFFFFF"/>
            <w:vAlign w:val="center"/>
          </w:tcPr>
          <w:p>
            <w:pPr>
              <w:widowControl/>
              <w:adjustRightInd w:val="0"/>
              <w:snapToGrid w:val="0"/>
              <w:jc w:val="center"/>
              <w:rPr>
                <w:kern w:val="0"/>
              </w:rPr>
            </w:pPr>
            <w:r>
              <w:rPr>
                <w:kern w:val="0"/>
              </w:rPr>
              <w:t>土地费用</w:t>
            </w:r>
          </w:p>
        </w:tc>
        <w:tc>
          <w:tcPr>
            <w:tcW w:w="1048" w:type="pct"/>
            <w:shd w:val="clear" w:color="auto" w:fill="FFFFFF"/>
            <w:vAlign w:val="center"/>
          </w:tcPr>
          <w:p>
            <w:pPr>
              <w:widowControl/>
              <w:adjustRightInd w:val="0"/>
              <w:snapToGrid w:val="0"/>
              <w:jc w:val="center"/>
              <w:rPr>
                <w:kern w:val="0"/>
              </w:rPr>
            </w:pPr>
            <w:r>
              <w:rPr>
                <w:kern w:val="0"/>
              </w:rPr>
              <w:t>5000.00</w:t>
            </w:r>
          </w:p>
        </w:tc>
        <w:tc>
          <w:tcPr>
            <w:tcW w:w="1067" w:type="pct"/>
            <w:shd w:val="clear" w:color="auto" w:fill="FFFFFF"/>
            <w:vAlign w:val="center"/>
          </w:tcPr>
          <w:p>
            <w:pPr>
              <w:widowControl/>
              <w:adjustRightInd w:val="0"/>
              <w:snapToGrid w:val="0"/>
              <w:jc w:val="center"/>
              <w:rPr>
                <w:kern w:val="0"/>
              </w:rPr>
            </w:pPr>
            <w:r>
              <w:rPr>
                <w:kern w:val="0"/>
              </w:rPr>
              <w:t>5000.00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三</w:t>
            </w:r>
          </w:p>
        </w:tc>
        <w:tc>
          <w:tcPr>
            <w:tcW w:w="847" w:type="pct"/>
            <w:shd w:val="clear" w:color="auto" w:fill="FFFFFF"/>
            <w:vAlign w:val="center"/>
          </w:tcPr>
          <w:p>
            <w:pPr>
              <w:widowControl/>
              <w:adjustRightInd w:val="0"/>
              <w:snapToGrid w:val="0"/>
              <w:jc w:val="center"/>
              <w:rPr>
                <w:b/>
                <w:bCs/>
                <w:kern w:val="0"/>
              </w:rPr>
            </w:pPr>
            <w:r>
              <w:rPr>
                <w:b/>
                <w:bCs/>
                <w:kern w:val="0"/>
              </w:rPr>
              <w:t>预备费</w:t>
            </w:r>
          </w:p>
        </w:tc>
        <w:tc>
          <w:tcPr>
            <w:tcW w:w="1048" w:type="pct"/>
            <w:shd w:val="clear" w:color="auto" w:fill="FFFFFF"/>
            <w:vAlign w:val="center"/>
          </w:tcPr>
          <w:p>
            <w:pPr>
              <w:widowControl/>
              <w:adjustRightInd w:val="0"/>
              <w:snapToGrid w:val="0"/>
              <w:jc w:val="center"/>
              <w:rPr>
                <w:b/>
                <w:bCs/>
                <w:kern w:val="0"/>
              </w:rPr>
            </w:pPr>
            <w:r>
              <w:rPr>
                <w:b/>
                <w:bCs/>
                <w:kern w:val="0"/>
              </w:rPr>
              <w:t>2193.94</w:t>
            </w:r>
          </w:p>
        </w:tc>
        <w:tc>
          <w:tcPr>
            <w:tcW w:w="1067" w:type="pct"/>
            <w:shd w:val="clear" w:color="auto" w:fill="FFFFFF"/>
            <w:vAlign w:val="center"/>
          </w:tcPr>
          <w:p>
            <w:pPr>
              <w:widowControl/>
              <w:adjustRightInd w:val="0"/>
              <w:snapToGrid w:val="0"/>
              <w:jc w:val="center"/>
              <w:rPr>
                <w:b/>
                <w:bCs/>
                <w:kern w:val="0"/>
              </w:rPr>
            </w:pPr>
            <w:r>
              <w:rPr>
                <w:b/>
                <w:bCs/>
                <w:kern w:val="0"/>
              </w:rPr>
              <w:t>2193.94</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p>
        </w:tc>
        <w:tc>
          <w:tcPr>
            <w:tcW w:w="847" w:type="pct"/>
            <w:shd w:val="clear" w:color="auto" w:fill="FFFFFF"/>
            <w:vAlign w:val="center"/>
          </w:tcPr>
          <w:p>
            <w:pPr>
              <w:widowControl/>
              <w:adjustRightInd w:val="0"/>
              <w:snapToGrid w:val="0"/>
              <w:jc w:val="center"/>
              <w:rPr>
                <w:b/>
                <w:bCs/>
                <w:kern w:val="0"/>
              </w:rPr>
            </w:pPr>
            <w:r>
              <w:rPr>
                <w:kern w:val="0"/>
              </w:rPr>
              <w:t>基本预备费</w:t>
            </w:r>
          </w:p>
        </w:tc>
        <w:tc>
          <w:tcPr>
            <w:tcW w:w="1048" w:type="pct"/>
            <w:shd w:val="clear" w:color="auto" w:fill="FFFFFF"/>
            <w:vAlign w:val="center"/>
          </w:tcPr>
          <w:p>
            <w:pPr>
              <w:widowControl/>
              <w:adjustRightInd w:val="0"/>
              <w:snapToGrid w:val="0"/>
              <w:jc w:val="center"/>
              <w:rPr>
                <w:b/>
                <w:bCs/>
                <w:kern w:val="0"/>
              </w:rPr>
            </w:pPr>
            <w:r>
              <w:rPr>
                <w:kern w:val="0"/>
              </w:rPr>
              <w:t>2193.94</w:t>
            </w:r>
          </w:p>
        </w:tc>
        <w:tc>
          <w:tcPr>
            <w:tcW w:w="1067" w:type="pct"/>
            <w:shd w:val="clear" w:color="auto" w:fill="FFFFFF"/>
            <w:vAlign w:val="center"/>
          </w:tcPr>
          <w:p>
            <w:pPr>
              <w:widowControl/>
              <w:adjustRightInd w:val="0"/>
              <w:snapToGrid w:val="0"/>
              <w:jc w:val="center"/>
              <w:rPr>
                <w:b/>
                <w:bCs/>
                <w:kern w:val="0"/>
              </w:rPr>
            </w:pPr>
            <w:r>
              <w:rPr>
                <w:kern w:val="0"/>
              </w:rPr>
              <w:t>2193.94</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四</w:t>
            </w:r>
          </w:p>
        </w:tc>
        <w:tc>
          <w:tcPr>
            <w:tcW w:w="847" w:type="pct"/>
            <w:shd w:val="clear" w:color="auto" w:fill="FFFFFF"/>
            <w:vAlign w:val="center"/>
          </w:tcPr>
          <w:p>
            <w:pPr>
              <w:widowControl/>
              <w:adjustRightInd w:val="0"/>
              <w:snapToGrid w:val="0"/>
              <w:jc w:val="center"/>
              <w:rPr>
                <w:b/>
                <w:bCs/>
                <w:kern w:val="0"/>
              </w:rPr>
            </w:pPr>
            <w:r>
              <w:rPr>
                <w:b/>
                <w:bCs/>
                <w:kern w:val="0"/>
              </w:rPr>
              <w:t>建设期融资成本</w:t>
            </w:r>
          </w:p>
        </w:tc>
        <w:tc>
          <w:tcPr>
            <w:tcW w:w="1048" w:type="pct"/>
            <w:shd w:val="clear" w:color="auto" w:fill="FFFFFF"/>
            <w:vAlign w:val="center"/>
          </w:tcPr>
          <w:p>
            <w:pPr>
              <w:widowControl/>
              <w:adjustRightInd w:val="0"/>
              <w:snapToGrid w:val="0"/>
              <w:jc w:val="center"/>
              <w:rPr>
                <w:b/>
                <w:bCs/>
                <w:kern w:val="0"/>
              </w:rPr>
            </w:pPr>
          </w:p>
        </w:tc>
        <w:tc>
          <w:tcPr>
            <w:tcW w:w="1067" w:type="pct"/>
            <w:shd w:val="clear" w:color="auto" w:fill="FFFFFF"/>
            <w:vAlign w:val="center"/>
          </w:tcPr>
          <w:p>
            <w:pPr>
              <w:widowControl/>
              <w:adjustRightInd w:val="0"/>
              <w:snapToGrid w:val="0"/>
              <w:jc w:val="center"/>
              <w:rPr>
                <w:b/>
                <w:bCs/>
                <w:kern w:val="0"/>
              </w:rPr>
            </w:pPr>
            <w:r>
              <w:rPr>
                <w:b/>
                <w:bCs/>
                <w:kern w:val="0"/>
              </w:rPr>
              <w:t>583.40</w:t>
            </w:r>
          </w:p>
        </w:tc>
        <w:tc>
          <w:tcPr>
            <w:tcW w:w="802" w:type="pct"/>
            <w:shd w:val="clear" w:color="auto" w:fill="FFFFFF"/>
            <w:vAlign w:val="center"/>
          </w:tcPr>
          <w:p>
            <w:pPr>
              <w:widowControl/>
              <w:adjustRightInd w:val="0"/>
              <w:snapToGrid w:val="0"/>
              <w:jc w:val="center"/>
              <w:rPr>
                <w:b/>
                <w:bCs/>
                <w:kern w:val="0"/>
              </w:rPr>
            </w:pPr>
            <w:r>
              <w:rPr>
                <w:b/>
                <w:bCs/>
                <w:kern w:val="0"/>
              </w:rPr>
              <w:t>583.40</w:t>
            </w:r>
          </w:p>
        </w:tc>
        <w:tc>
          <w:tcPr>
            <w:tcW w:w="739" w:type="pct"/>
            <w:shd w:val="clear" w:color="auto" w:fill="FFFFFF"/>
            <w:vAlign w:val="center"/>
          </w:tcPr>
          <w:p>
            <w:pPr>
              <w:widowControl/>
              <w:adjustRightInd w:val="0"/>
              <w:snapToGrid w:val="0"/>
              <w:jc w:val="center"/>
              <w:rPr>
                <w:b/>
                <w:bCs/>
                <w:kern w:val="0"/>
              </w:rPr>
            </w:pPr>
            <w:r>
              <w:rPr>
                <w:b/>
                <w:bCs/>
                <w:kern w:val="0"/>
              </w:rPr>
              <w:t>可研未包含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w:t>
            </w:r>
          </w:p>
        </w:tc>
        <w:tc>
          <w:tcPr>
            <w:tcW w:w="847" w:type="pct"/>
            <w:shd w:val="clear" w:color="auto" w:fill="FFFFFF"/>
            <w:vAlign w:val="center"/>
          </w:tcPr>
          <w:p>
            <w:pPr>
              <w:widowControl/>
              <w:adjustRightInd w:val="0"/>
              <w:snapToGrid w:val="0"/>
              <w:jc w:val="center"/>
              <w:rPr>
                <w:b/>
                <w:bCs/>
                <w:kern w:val="0"/>
              </w:rPr>
            </w:pPr>
            <w:r>
              <w:rPr>
                <w:b/>
                <w:bCs/>
                <w:kern w:val="0"/>
              </w:rPr>
              <w:t>合计</w:t>
            </w:r>
          </w:p>
        </w:tc>
        <w:tc>
          <w:tcPr>
            <w:tcW w:w="1048" w:type="pct"/>
            <w:shd w:val="clear" w:color="auto" w:fill="FFFFFF"/>
            <w:vAlign w:val="center"/>
          </w:tcPr>
          <w:p>
            <w:pPr>
              <w:widowControl/>
              <w:adjustRightInd w:val="0"/>
              <w:snapToGrid w:val="0"/>
              <w:jc w:val="center"/>
              <w:rPr>
                <w:b/>
                <w:bCs/>
                <w:kern w:val="0"/>
              </w:rPr>
            </w:pPr>
            <w:r>
              <w:rPr>
                <w:b/>
                <w:bCs/>
                <w:kern w:val="0"/>
              </w:rPr>
              <w:t>24,133.35</w:t>
            </w:r>
          </w:p>
        </w:tc>
        <w:tc>
          <w:tcPr>
            <w:tcW w:w="1067" w:type="pct"/>
            <w:shd w:val="clear" w:color="auto" w:fill="FFFFFF"/>
            <w:vAlign w:val="center"/>
          </w:tcPr>
          <w:p>
            <w:pPr>
              <w:widowControl/>
              <w:adjustRightInd w:val="0"/>
              <w:snapToGrid w:val="0"/>
              <w:jc w:val="center"/>
              <w:rPr>
                <w:b/>
                <w:bCs/>
                <w:kern w:val="0"/>
              </w:rPr>
            </w:pPr>
            <w:r>
              <w:rPr>
                <w:b/>
                <w:bCs/>
                <w:kern w:val="0"/>
              </w:rPr>
              <w:t>24,804.54</w:t>
            </w:r>
          </w:p>
        </w:tc>
        <w:tc>
          <w:tcPr>
            <w:tcW w:w="802" w:type="pct"/>
            <w:shd w:val="clear" w:color="auto" w:fill="FFFFFF"/>
            <w:vAlign w:val="center"/>
          </w:tcPr>
          <w:p>
            <w:pPr>
              <w:widowControl/>
              <w:adjustRightInd w:val="0"/>
              <w:snapToGrid w:val="0"/>
              <w:jc w:val="center"/>
              <w:rPr>
                <w:b/>
                <w:bCs/>
                <w:kern w:val="0"/>
              </w:rPr>
            </w:pPr>
            <w:r>
              <w:rPr>
                <w:b/>
                <w:bCs/>
                <w:kern w:val="0"/>
              </w:rPr>
              <w:t>671.19</w:t>
            </w:r>
          </w:p>
        </w:tc>
        <w:tc>
          <w:tcPr>
            <w:tcW w:w="739" w:type="pct"/>
            <w:shd w:val="clear" w:color="auto" w:fill="FFFFFF"/>
            <w:vAlign w:val="center"/>
          </w:tcPr>
          <w:p>
            <w:pPr>
              <w:widowControl/>
              <w:adjustRightInd w:val="0"/>
              <w:snapToGrid w:val="0"/>
              <w:jc w:val="center"/>
              <w:rPr>
                <w:b/>
                <w:bCs/>
                <w:kern w:val="0"/>
              </w:rPr>
            </w:pPr>
          </w:p>
        </w:tc>
      </w:tr>
      <w:bookmarkEnd w:id="415"/>
    </w:tbl>
    <w:p>
      <w:pPr>
        <w:spacing w:line="300" w:lineRule="auto"/>
        <w:ind w:firstLine="210" w:firstLineChars="100"/>
        <w:rPr>
          <w:rFonts w:asciiTheme="minorEastAsia" w:hAnsiTheme="minorEastAsia" w:eastAsiaTheme="minorEastAsia"/>
          <w:i/>
          <w:u w:val="single"/>
        </w:rPr>
      </w:pPr>
    </w:p>
    <w:p>
      <w:pPr>
        <w:adjustRightInd w:val="0"/>
        <w:snapToGrid w:val="0"/>
        <w:spacing w:line="360" w:lineRule="auto"/>
        <w:jc w:val="left"/>
        <w:rPr>
          <w:rFonts w:asciiTheme="minorEastAsia" w:hAnsiTheme="minorEastAsia" w:eastAsiaTheme="minorEastAsia"/>
          <w:szCs w:val="22"/>
        </w:rPr>
      </w:pPr>
      <w:r>
        <w:rPr>
          <w:rFonts w:hint="eastAsia" w:asciiTheme="minorEastAsia" w:hAnsiTheme="minorEastAsia" w:eastAsiaTheme="minorEastAsia"/>
          <w:szCs w:val="22"/>
        </w:rPr>
        <w:t>附表2-</w:t>
      </w:r>
      <w:r>
        <w:rPr>
          <w:rFonts w:asciiTheme="minorEastAsia" w:hAnsiTheme="minorEastAsia" w:eastAsiaTheme="minorEastAsia"/>
          <w:szCs w:val="22"/>
        </w:rPr>
        <w:t>2 餐厨废弃物处理设备及购置费明细</w:t>
      </w:r>
    </w:p>
    <w:tbl>
      <w:tblPr>
        <w:tblStyle w:val="40"/>
        <w:tblW w:w="5000" w:type="pct"/>
        <w:tblInd w:w="0" w:type="dxa"/>
        <w:tblLayout w:type="autofit"/>
        <w:tblCellMar>
          <w:top w:w="0" w:type="dxa"/>
          <w:left w:w="108" w:type="dxa"/>
          <w:bottom w:w="0" w:type="dxa"/>
          <w:right w:w="108" w:type="dxa"/>
        </w:tblCellMar>
      </w:tblPr>
      <w:tblGrid>
        <w:gridCol w:w="856"/>
        <w:gridCol w:w="4253"/>
        <w:gridCol w:w="1706"/>
        <w:gridCol w:w="856"/>
        <w:gridCol w:w="857"/>
      </w:tblGrid>
      <w:tr>
        <w:tblPrEx>
          <w:tblCellMar>
            <w:top w:w="0" w:type="dxa"/>
            <w:left w:w="108" w:type="dxa"/>
            <w:bottom w:w="0" w:type="dxa"/>
            <w:right w:w="108" w:type="dxa"/>
          </w:tblCellMar>
        </w:tblPrEx>
        <w:trPr>
          <w:trHeight w:val="280" w:hRule="atLeast"/>
          <w:tblHeader/>
        </w:trPr>
        <w:tc>
          <w:tcPr>
            <w:tcW w:w="502"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eastAsia="黑体"/>
                <w:kern w:val="0"/>
              </w:rPr>
            </w:pPr>
            <w:r>
              <w:rPr>
                <w:rFonts w:eastAsia="黑体"/>
                <w:kern w:val="0"/>
              </w:rPr>
              <w:t>序号</w:t>
            </w:r>
          </w:p>
        </w:tc>
        <w:tc>
          <w:tcPr>
            <w:tcW w:w="2493"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eastAsia="黑体"/>
                <w:kern w:val="0"/>
              </w:rPr>
            </w:pPr>
            <w:r>
              <w:rPr>
                <w:rFonts w:eastAsia="黑体"/>
                <w:kern w:val="0"/>
              </w:rPr>
              <w:t>项目</w:t>
            </w:r>
          </w:p>
        </w:tc>
        <w:tc>
          <w:tcPr>
            <w:tcW w:w="1000"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eastAsia="黑体"/>
                <w:kern w:val="0"/>
              </w:rPr>
            </w:pPr>
            <w:r>
              <w:rPr>
                <w:rFonts w:eastAsia="黑体"/>
                <w:kern w:val="0"/>
              </w:rPr>
              <w:t>设备购置费</w:t>
            </w:r>
          </w:p>
        </w:tc>
        <w:tc>
          <w:tcPr>
            <w:tcW w:w="502"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eastAsia="黑体"/>
                <w:kern w:val="0"/>
              </w:rPr>
            </w:pPr>
            <w:r>
              <w:rPr>
                <w:rFonts w:eastAsia="黑体"/>
                <w:kern w:val="0"/>
              </w:rPr>
              <w:t>单位</w:t>
            </w:r>
          </w:p>
        </w:tc>
        <w:tc>
          <w:tcPr>
            <w:tcW w:w="502"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eastAsia="黑体"/>
                <w:kern w:val="0"/>
              </w:rPr>
            </w:pPr>
            <w:r>
              <w:rPr>
                <w:rFonts w:eastAsia="黑体"/>
                <w:kern w:val="0"/>
              </w:rPr>
              <w:t>数量</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b/>
                <w:bCs/>
                <w:kern w:val="0"/>
              </w:rPr>
            </w:pPr>
            <w:r>
              <w:rPr>
                <w:b/>
                <w:bCs/>
                <w:kern w:val="0"/>
              </w:rPr>
              <w:t>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餐饮预处理系统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2361.76</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　</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餐厨投料及初分系统（含螺旋）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214.38</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筛分系统（含螺旋）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202.25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破碎装置</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143.50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杂质螺旋输送</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29.81</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沥水存储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212.81</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1.6</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蒸煮装置</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168.00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4</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1.7</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油脂提取及配套（含螺旋）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225.76</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1.8</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油脂存储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96.30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1.9</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热水存储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80.20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1.10</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废水存储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100.10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清洗单元</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3.60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设备平台</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216.00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电气自控及仪表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299.00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地沟油投料装置（含螺旋）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67.30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筛分装置</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75.00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1.16</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蒸煮提油装置</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125.25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1.17</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油脂暂存及存储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102.51</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b/>
                <w:bCs/>
                <w:kern w:val="0"/>
              </w:rPr>
            </w:pPr>
            <w:r>
              <w:rPr>
                <w:b/>
                <w:bCs/>
                <w:kern w:val="0"/>
              </w:rPr>
              <w:t>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厌氧系统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1948.58</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进料池搅拌及配套</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21.23</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除砂装置（含输砂螺旋）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225.00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进料泵</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21.90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台</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厌氧反应器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998.95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厌氧换热器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52.00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2.6</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二次发酵罐</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162.00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2.7</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固液分离机</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275.00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2.8</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沼液缓冲池</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2.9</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电气自控及仪表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187.50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0</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b/>
                <w:bCs/>
                <w:kern w:val="0"/>
              </w:rPr>
            </w:pPr>
            <w:r>
              <w:rPr>
                <w:b/>
                <w:bCs/>
                <w:kern w:val="0"/>
              </w:rPr>
              <w:t>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废水处理系统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654.15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预处理系统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31.50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MBR两级A/O池</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183.00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超滤膜系统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190.65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污泥处理系统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99.00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自控系统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112.50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3.6</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仪器仪表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37.50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b/>
                <w:bCs/>
                <w:kern w:val="0"/>
              </w:rPr>
            </w:pPr>
            <w:r>
              <w:rPr>
                <w:b/>
                <w:bCs/>
                <w:kern w:val="0"/>
              </w:rPr>
              <w:t>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公用工程</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1889.55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电力引入系统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37.50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高低压配电系统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512.50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中控及监控系统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125.00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除臭系统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400.00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避雷装置</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50.00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4.6</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实验室仪器</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37.50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4.7</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消防水泵房</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150.00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4.8</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VI系统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75.00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4.9</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排污泵</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2.05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4.10</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地磅</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31.25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4.11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杂质转运车</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75.00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辆</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4.12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叉车</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18.75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辆</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4.13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给排水、消防、蒸汽等管道</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375.00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b/>
                <w:bCs/>
                <w:kern w:val="0"/>
              </w:rPr>
            </w:pPr>
            <w:r>
              <w:rPr>
                <w:b/>
                <w:bCs/>
                <w:kern w:val="0"/>
              </w:rPr>
              <w:t>5</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沼气净化及利用系统</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776.75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　</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5.1</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沼气净化</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162.50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5.2</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双膜气柜</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78.00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5.3</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发电机及配套</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455.00</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5.4</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锅炉及配套</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81.25</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套</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1</w:t>
            </w:r>
          </w:p>
        </w:tc>
      </w:tr>
      <w:tr>
        <w:tblPrEx>
          <w:tblCellMar>
            <w:top w:w="0" w:type="dxa"/>
            <w:left w:w="108" w:type="dxa"/>
            <w:bottom w:w="0" w:type="dxa"/>
            <w:right w:w="108" w:type="dxa"/>
          </w:tblCellMar>
        </w:tblPrEx>
        <w:trPr>
          <w:trHeight w:val="280" w:hRule="atLeast"/>
        </w:trPr>
        <w:tc>
          <w:tcPr>
            <w:tcW w:w="502"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kern w:val="0"/>
              </w:rPr>
            </w:pPr>
            <w:r>
              <w:rPr>
                <w:kern w:val="0"/>
              </w:rPr>
              <w:t>*　</w:t>
            </w:r>
          </w:p>
        </w:tc>
        <w:tc>
          <w:tcPr>
            <w:tcW w:w="2493"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合计</w:t>
            </w:r>
          </w:p>
        </w:tc>
        <w:tc>
          <w:tcPr>
            <w:tcW w:w="1000" w:type="pct"/>
            <w:tcBorders>
              <w:top w:val="nil"/>
              <w:left w:val="nil"/>
              <w:bottom w:val="single" w:color="auto" w:sz="4" w:space="0"/>
              <w:right w:val="single" w:color="auto" w:sz="4" w:space="0"/>
            </w:tcBorders>
            <w:shd w:val="clear" w:color="auto" w:fill="auto"/>
            <w:noWrap/>
            <w:vAlign w:val="center"/>
          </w:tcPr>
          <w:p>
            <w:pPr>
              <w:widowControl/>
              <w:jc w:val="center"/>
              <w:rPr>
                <w:b/>
                <w:bCs/>
                <w:kern w:val="0"/>
              </w:rPr>
            </w:pPr>
            <w:r>
              <w:rPr>
                <w:b/>
                <w:bCs/>
                <w:kern w:val="0"/>
              </w:rPr>
              <w:t>7630.79</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　</w:t>
            </w:r>
          </w:p>
        </w:tc>
        <w:tc>
          <w:tcPr>
            <w:tcW w:w="502" w:type="pct"/>
            <w:tcBorders>
              <w:top w:val="nil"/>
              <w:left w:val="nil"/>
              <w:bottom w:val="single" w:color="auto" w:sz="4" w:space="0"/>
              <w:right w:val="single" w:color="auto" w:sz="4" w:space="0"/>
            </w:tcBorders>
            <w:shd w:val="clear" w:color="auto" w:fill="auto"/>
            <w:noWrap/>
            <w:vAlign w:val="center"/>
          </w:tcPr>
          <w:p>
            <w:pPr>
              <w:widowControl/>
              <w:jc w:val="center"/>
              <w:rPr>
                <w:kern w:val="0"/>
              </w:rPr>
            </w:pPr>
            <w:r>
              <w:rPr>
                <w:kern w:val="0"/>
              </w:rPr>
              <w:t>　</w:t>
            </w:r>
          </w:p>
        </w:tc>
      </w:tr>
    </w:tbl>
    <w:p>
      <w:pPr>
        <w:snapToGrid w:val="0"/>
        <w:spacing w:line="500" w:lineRule="exact"/>
        <w:ind w:firstLine="480" w:firstLineChars="200"/>
        <w:jc w:val="center"/>
        <w:rPr>
          <w:sz w:val="24"/>
        </w:rPr>
      </w:pPr>
    </w:p>
    <w:p>
      <w:pPr>
        <w:adjustRightInd w:val="0"/>
        <w:snapToGrid w:val="0"/>
        <w:spacing w:line="360" w:lineRule="auto"/>
        <w:jc w:val="left"/>
        <w:rPr>
          <w:rFonts w:asciiTheme="minorEastAsia" w:hAnsiTheme="minorEastAsia" w:eastAsiaTheme="minorEastAsia"/>
          <w:szCs w:val="22"/>
        </w:rPr>
      </w:pPr>
      <w:r>
        <w:rPr>
          <w:rFonts w:hint="eastAsia" w:asciiTheme="minorEastAsia" w:hAnsiTheme="minorEastAsia" w:eastAsiaTheme="minorEastAsia"/>
          <w:szCs w:val="22"/>
        </w:rPr>
        <w:t>附表2-</w:t>
      </w:r>
      <w:r>
        <w:rPr>
          <w:rFonts w:asciiTheme="minorEastAsia" w:hAnsiTheme="minorEastAsia" w:eastAsiaTheme="minorEastAsia"/>
          <w:szCs w:val="22"/>
        </w:rPr>
        <w:t>3收运设备及购置费明细</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4673"/>
        <w:gridCol w:w="1661"/>
        <w:gridCol w:w="732"/>
        <w:gridCol w:w="7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429" w:type="pct"/>
            <w:shd w:val="clear" w:color="auto" w:fill="auto"/>
            <w:noWrap/>
            <w:vAlign w:val="center"/>
          </w:tcPr>
          <w:p>
            <w:pPr>
              <w:widowControl/>
              <w:jc w:val="center"/>
              <w:rPr>
                <w:rFonts w:eastAsia="黑体"/>
                <w:kern w:val="0"/>
              </w:rPr>
            </w:pPr>
            <w:r>
              <w:rPr>
                <w:rFonts w:eastAsia="黑体"/>
                <w:kern w:val="0"/>
              </w:rPr>
              <w:t>序号</w:t>
            </w:r>
          </w:p>
        </w:tc>
        <w:tc>
          <w:tcPr>
            <w:tcW w:w="2740" w:type="pct"/>
            <w:shd w:val="clear" w:color="auto" w:fill="auto"/>
            <w:noWrap/>
            <w:vAlign w:val="center"/>
          </w:tcPr>
          <w:p>
            <w:pPr>
              <w:widowControl/>
              <w:jc w:val="center"/>
              <w:rPr>
                <w:rFonts w:eastAsia="黑体"/>
                <w:kern w:val="0"/>
              </w:rPr>
            </w:pPr>
            <w:r>
              <w:rPr>
                <w:rFonts w:eastAsia="黑体"/>
                <w:kern w:val="0"/>
              </w:rPr>
              <w:t>项目</w:t>
            </w:r>
          </w:p>
        </w:tc>
        <w:tc>
          <w:tcPr>
            <w:tcW w:w="974" w:type="pct"/>
            <w:shd w:val="clear" w:color="auto" w:fill="auto"/>
            <w:noWrap/>
            <w:vAlign w:val="center"/>
          </w:tcPr>
          <w:p>
            <w:pPr>
              <w:widowControl/>
              <w:jc w:val="center"/>
              <w:rPr>
                <w:rFonts w:eastAsia="黑体"/>
                <w:kern w:val="0"/>
              </w:rPr>
            </w:pPr>
            <w:r>
              <w:rPr>
                <w:rFonts w:eastAsia="黑体"/>
                <w:kern w:val="0"/>
              </w:rPr>
              <w:t>设备购置费</w:t>
            </w:r>
          </w:p>
        </w:tc>
        <w:tc>
          <w:tcPr>
            <w:tcW w:w="429" w:type="pct"/>
            <w:shd w:val="clear" w:color="auto" w:fill="auto"/>
            <w:noWrap/>
            <w:vAlign w:val="center"/>
          </w:tcPr>
          <w:p>
            <w:pPr>
              <w:widowControl/>
              <w:jc w:val="center"/>
              <w:rPr>
                <w:rFonts w:eastAsia="黑体"/>
                <w:kern w:val="0"/>
              </w:rPr>
            </w:pPr>
            <w:r>
              <w:rPr>
                <w:rFonts w:eastAsia="黑体"/>
                <w:kern w:val="0"/>
              </w:rPr>
              <w:t>单位</w:t>
            </w:r>
          </w:p>
        </w:tc>
        <w:tc>
          <w:tcPr>
            <w:tcW w:w="428" w:type="pct"/>
            <w:shd w:val="clear" w:color="auto" w:fill="auto"/>
            <w:noWrap/>
            <w:vAlign w:val="center"/>
          </w:tcPr>
          <w:p>
            <w:pPr>
              <w:widowControl/>
              <w:jc w:val="center"/>
              <w:rPr>
                <w:rFonts w:eastAsia="黑体"/>
                <w:kern w:val="0"/>
              </w:rPr>
            </w:pPr>
            <w:r>
              <w:rPr>
                <w:rFonts w:eastAsia="黑体"/>
                <w:kern w:val="0"/>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6.1</w:t>
            </w:r>
          </w:p>
        </w:tc>
        <w:tc>
          <w:tcPr>
            <w:tcW w:w="2740" w:type="pct"/>
            <w:shd w:val="clear" w:color="auto" w:fill="auto"/>
            <w:noWrap/>
            <w:vAlign w:val="center"/>
          </w:tcPr>
          <w:p>
            <w:pPr>
              <w:widowControl/>
              <w:jc w:val="center"/>
              <w:rPr>
                <w:kern w:val="0"/>
                <w:sz w:val="22"/>
                <w:szCs w:val="22"/>
              </w:rPr>
            </w:pPr>
            <w:r>
              <w:rPr>
                <w:kern w:val="0"/>
                <w:sz w:val="22"/>
                <w:szCs w:val="22"/>
              </w:rPr>
              <w:t>3t桶式收集车</w:t>
            </w:r>
          </w:p>
        </w:tc>
        <w:tc>
          <w:tcPr>
            <w:tcW w:w="974" w:type="pct"/>
            <w:shd w:val="clear" w:color="auto" w:fill="auto"/>
            <w:noWrap/>
            <w:vAlign w:val="center"/>
          </w:tcPr>
          <w:p>
            <w:pPr>
              <w:widowControl/>
              <w:jc w:val="center"/>
              <w:rPr>
                <w:kern w:val="0"/>
                <w:sz w:val="22"/>
                <w:szCs w:val="22"/>
              </w:rPr>
            </w:pPr>
            <w:r>
              <w:rPr>
                <w:kern w:val="0"/>
                <w:sz w:val="22"/>
                <w:szCs w:val="22"/>
              </w:rPr>
              <w:t>850.00</w:t>
            </w:r>
          </w:p>
        </w:tc>
        <w:tc>
          <w:tcPr>
            <w:tcW w:w="429" w:type="pct"/>
            <w:shd w:val="clear" w:color="auto" w:fill="auto"/>
            <w:noWrap/>
            <w:vAlign w:val="center"/>
          </w:tcPr>
          <w:p>
            <w:pPr>
              <w:widowControl/>
              <w:jc w:val="center"/>
              <w:rPr>
                <w:kern w:val="0"/>
                <w:sz w:val="22"/>
                <w:szCs w:val="22"/>
              </w:rPr>
            </w:pPr>
            <w:r>
              <w:rPr>
                <w:kern w:val="0"/>
                <w:sz w:val="22"/>
                <w:szCs w:val="22"/>
              </w:rPr>
              <w:t>辆</w:t>
            </w:r>
          </w:p>
        </w:tc>
        <w:tc>
          <w:tcPr>
            <w:tcW w:w="428" w:type="pct"/>
            <w:shd w:val="clear" w:color="auto" w:fill="auto"/>
            <w:noWrap/>
            <w:vAlign w:val="center"/>
          </w:tcPr>
          <w:p>
            <w:pPr>
              <w:widowControl/>
              <w:jc w:val="center"/>
              <w:rPr>
                <w:kern w:val="0"/>
                <w:sz w:val="22"/>
                <w:szCs w:val="22"/>
              </w:rPr>
            </w:pPr>
            <w:r>
              <w:rPr>
                <w:kern w:val="0"/>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6.2</w:t>
            </w:r>
          </w:p>
        </w:tc>
        <w:tc>
          <w:tcPr>
            <w:tcW w:w="2740" w:type="pct"/>
            <w:shd w:val="clear" w:color="auto" w:fill="auto"/>
            <w:noWrap/>
            <w:vAlign w:val="center"/>
          </w:tcPr>
          <w:p>
            <w:pPr>
              <w:widowControl/>
              <w:jc w:val="center"/>
              <w:rPr>
                <w:kern w:val="0"/>
                <w:sz w:val="22"/>
                <w:szCs w:val="22"/>
              </w:rPr>
            </w:pPr>
            <w:r>
              <w:rPr>
                <w:kern w:val="0"/>
                <w:sz w:val="22"/>
                <w:szCs w:val="22"/>
              </w:rPr>
              <w:t>5t桶式收集车</w:t>
            </w:r>
          </w:p>
        </w:tc>
        <w:tc>
          <w:tcPr>
            <w:tcW w:w="974" w:type="pct"/>
            <w:shd w:val="clear" w:color="auto" w:fill="auto"/>
            <w:noWrap/>
            <w:vAlign w:val="center"/>
          </w:tcPr>
          <w:p>
            <w:pPr>
              <w:widowControl/>
              <w:jc w:val="center"/>
              <w:rPr>
                <w:kern w:val="0"/>
                <w:sz w:val="22"/>
                <w:szCs w:val="22"/>
              </w:rPr>
            </w:pPr>
            <w:r>
              <w:rPr>
                <w:kern w:val="0"/>
                <w:sz w:val="22"/>
                <w:szCs w:val="22"/>
              </w:rPr>
              <w:t>360.00</w:t>
            </w:r>
          </w:p>
        </w:tc>
        <w:tc>
          <w:tcPr>
            <w:tcW w:w="429" w:type="pct"/>
            <w:shd w:val="clear" w:color="auto" w:fill="auto"/>
            <w:noWrap/>
            <w:vAlign w:val="center"/>
          </w:tcPr>
          <w:p>
            <w:pPr>
              <w:widowControl/>
              <w:jc w:val="center"/>
              <w:rPr>
                <w:kern w:val="0"/>
                <w:sz w:val="22"/>
                <w:szCs w:val="22"/>
              </w:rPr>
            </w:pPr>
            <w:r>
              <w:rPr>
                <w:kern w:val="0"/>
                <w:sz w:val="22"/>
                <w:szCs w:val="22"/>
              </w:rPr>
              <w:t>辆</w:t>
            </w:r>
          </w:p>
        </w:tc>
        <w:tc>
          <w:tcPr>
            <w:tcW w:w="428" w:type="pct"/>
            <w:shd w:val="clear" w:color="auto" w:fill="auto"/>
            <w:noWrap/>
            <w:vAlign w:val="center"/>
          </w:tcPr>
          <w:p>
            <w:pPr>
              <w:widowControl/>
              <w:jc w:val="center"/>
              <w:rPr>
                <w:kern w:val="0"/>
                <w:sz w:val="22"/>
                <w:szCs w:val="22"/>
              </w:rPr>
            </w:pPr>
            <w:r>
              <w:rPr>
                <w:kern w:val="0"/>
                <w:sz w:val="22"/>
                <w:szCs w:val="22"/>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6.3</w:t>
            </w:r>
          </w:p>
        </w:tc>
        <w:tc>
          <w:tcPr>
            <w:tcW w:w="2740" w:type="pct"/>
            <w:shd w:val="clear" w:color="auto" w:fill="auto"/>
            <w:noWrap/>
            <w:vAlign w:val="center"/>
          </w:tcPr>
          <w:p>
            <w:pPr>
              <w:widowControl/>
              <w:jc w:val="center"/>
              <w:rPr>
                <w:kern w:val="0"/>
                <w:sz w:val="22"/>
                <w:szCs w:val="22"/>
              </w:rPr>
            </w:pPr>
            <w:r>
              <w:rPr>
                <w:kern w:val="0"/>
                <w:sz w:val="22"/>
                <w:szCs w:val="22"/>
              </w:rPr>
              <w:t>地沟油收集车</w:t>
            </w:r>
          </w:p>
        </w:tc>
        <w:tc>
          <w:tcPr>
            <w:tcW w:w="974" w:type="pct"/>
            <w:shd w:val="clear" w:color="auto" w:fill="auto"/>
            <w:noWrap/>
            <w:vAlign w:val="center"/>
          </w:tcPr>
          <w:p>
            <w:pPr>
              <w:widowControl/>
              <w:jc w:val="center"/>
              <w:rPr>
                <w:kern w:val="0"/>
                <w:sz w:val="22"/>
                <w:szCs w:val="22"/>
              </w:rPr>
            </w:pPr>
            <w:r>
              <w:rPr>
                <w:kern w:val="0"/>
                <w:sz w:val="22"/>
                <w:szCs w:val="22"/>
              </w:rPr>
              <w:t>60.00</w:t>
            </w:r>
          </w:p>
        </w:tc>
        <w:tc>
          <w:tcPr>
            <w:tcW w:w="429" w:type="pct"/>
            <w:shd w:val="clear" w:color="auto" w:fill="auto"/>
            <w:noWrap/>
            <w:vAlign w:val="center"/>
          </w:tcPr>
          <w:p>
            <w:pPr>
              <w:widowControl/>
              <w:jc w:val="center"/>
              <w:rPr>
                <w:kern w:val="0"/>
                <w:sz w:val="22"/>
                <w:szCs w:val="22"/>
              </w:rPr>
            </w:pPr>
            <w:r>
              <w:rPr>
                <w:kern w:val="0"/>
                <w:sz w:val="22"/>
                <w:szCs w:val="22"/>
              </w:rPr>
              <w:t>辆</w:t>
            </w:r>
          </w:p>
        </w:tc>
        <w:tc>
          <w:tcPr>
            <w:tcW w:w="428" w:type="pct"/>
            <w:shd w:val="clear" w:color="auto" w:fill="auto"/>
            <w:noWrap/>
            <w:vAlign w:val="center"/>
          </w:tcPr>
          <w:p>
            <w:pPr>
              <w:widowControl/>
              <w:jc w:val="center"/>
              <w:rPr>
                <w:kern w:val="0"/>
                <w:sz w:val="22"/>
                <w:szCs w:val="22"/>
              </w:rPr>
            </w:pPr>
            <w:r>
              <w:rPr>
                <w:kern w:val="0"/>
                <w:sz w:val="22"/>
                <w:szCs w:val="22"/>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6.4</w:t>
            </w:r>
          </w:p>
        </w:tc>
        <w:tc>
          <w:tcPr>
            <w:tcW w:w="2740" w:type="pct"/>
            <w:shd w:val="clear" w:color="auto" w:fill="auto"/>
            <w:noWrap/>
            <w:vAlign w:val="center"/>
          </w:tcPr>
          <w:p>
            <w:pPr>
              <w:widowControl/>
              <w:jc w:val="center"/>
              <w:rPr>
                <w:kern w:val="0"/>
                <w:sz w:val="22"/>
                <w:szCs w:val="22"/>
              </w:rPr>
            </w:pPr>
            <w:r>
              <w:rPr>
                <w:kern w:val="0"/>
                <w:sz w:val="22"/>
                <w:szCs w:val="22"/>
              </w:rPr>
              <w:t>商务车</w:t>
            </w:r>
          </w:p>
        </w:tc>
        <w:tc>
          <w:tcPr>
            <w:tcW w:w="974" w:type="pct"/>
            <w:shd w:val="clear" w:color="auto" w:fill="auto"/>
            <w:noWrap/>
            <w:vAlign w:val="center"/>
          </w:tcPr>
          <w:p>
            <w:pPr>
              <w:widowControl/>
              <w:jc w:val="center"/>
              <w:rPr>
                <w:kern w:val="0"/>
                <w:sz w:val="22"/>
                <w:szCs w:val="22"/>
              </w:rPr>
            </w:pPr>
            <w:r>
              <w:rPr>
                <w:kern w:val="0"/>
                <w:sz w:val="22"/>
                <w:szCs w:val="22"/>
              </w:rPr>
              <w:t>60.00</w:t>
            </w:r>
          </w:p>
        </w:tc>
        <w:tc>
          <w:tcPr>
            <w:tcW w:w="429" w:type="pct"/>
            <w:shd w:val="clear" w:color="auto" w:fill="auto"/>
            <w:noWrap/>
            <w:vAlign w:val="center"/>
          </w:tcPr>
          <w:p>
            <w:pPr>
              <w:widowControl/>
              <w:jc w:val="center"/>
              <w:rPr>
                <w:kern w:val="0"/>
                <w:sz w:val="22"/>
                <w:szCs w:val="22"/>
              </w:rPr>
            </w:pPr>
            <w:r>
              <w:rPr>
                <w:kern w:val="0"/>
                <w:sz w:val="22"/>
                <w:szCs w:val="22"/>
              </w:rPr>
              <w:t>辆</w:t>
            </w:r>
          </w:p>
        </w:tc>
        <w:tc>
          <w:tcPr>
            <w:tcW w:w="428" w:type="pct"/>
            <w:shd w:val="clear" w:color="auto" w:fill="auto"/>
            <w:noWrap/>
            <w:vAlign w:val="center"/>
          </w:tcPr>
          <w:p>
            <w:pPr>
              <w:widowControl/>
              <w:jc w:val="center"/>
              <w:rPr>
                <w:kern w:val="0"/>
                <w:sz w:val="22"/>
                <w:szCs w:val="22"/>
              </w:rPr>
            </w:pPr>
            <w:r>
              <w:rPr>
                <w:kern w:val="0"/>
                <w:sz w:val="22"/>
                <w:szCs w:val="2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6.5</w:t>
            </w:r>
          </w:p>
        </w:tc>
        <w:tc>
          <w:tcPr>
            <w:tcW w:w="2740" w:type="pct"/>
            <w:shd w:val="clear" w:color="auto" w:fill="auto"/>
            <w:noWrap/>
            <w:vAlign w:val="center"/>
          </w:tcPr>
          <w:p>
            <w:pPr>
              <w:widowControl/>
              <w:jc w:val="center"/>
              <w:rPr>
                <w:kern w:val="0"/>
                <w:sz w:val="22"/>
                <w:szCs w:val="22"/>
              </w:rPr>
            </w:pPr>
            <w:r>
              <w:rPr>
                <w:kern w:val="0"/>
                <w:sz w:val="22"/>
                <w:szCs w:val="22"/>
              </w:rPr>
              <w:t>信息平台</w:t>
            </w:r>
          </w:p>
        </w:tc>
        <w:tc>
          <w:tcPr>
            <w:tcW w:w="974" w:type="pct"/>
            <w:shd w:val="clear" w:color="auto" w:fill="auto"/>
            <w:noWrap/>
            <w:vAlign w:val="center"/>
          </w:tcPr>
          <w:p>
            <w:pPr>
              <w:widowControl/>
              <w:jc w:val="center"/>
              <w:rPr>
                <w:kern w:val="0"/>
                <w:sz w:val="22"/>
                <w:szCs w:val="22"/>
              </w:rPr>
            </w:pPr>
            <w:r>
              <w:rPr>
                <w:kern w:val="0"/>
                <w:sz w:val="22"/>
                <w:szCs w:val="22"/>
              </w:rPr>
              <w:t>100.00</w:t>
            </w:r>
          </w:p>
        </w:tc>
        <w:tc>
          <w:tcPr>
            <w:tcW w:w="429" w:type="pct"/>
            <w:shd w:val="clear" w:color="auto" w:fill="auto"/>
            <w:noWrap/>
            <w:vAlign w:val="center"/>
          </w:tcPr>
          <w:p>
            <w:pPr>
              <w:widowControl/>
              <w:jc w:val="center"/>
              <w:rPr>
                <w:kern w:val="0"/>
                <w:sz w:val="22"/>
                <w:szCs w:val="22"/>
              </w:rPr>
            </w:pPr>
            <w:r>
              <w:rPr>
                <w:kern w:val="0"/>
                <w:sz w:val="22"/>
                <w:szCs w:val="22"/>
              </w:rPr>
              <w:t>套</w:t>
            </w:r>
          </w:p>
        </w:tc>
        <w:tc>
          <w:tcPr>
            <w:tcW w:w="428" w:type="pct"/>
            <w:shd w:val="clear" w:color="auto" w:fill="auto"/>
            <w:noWrap/>
            <w:vAlign w:val="center"/>
          </w:tcPr>
          <w:p>
            <w:pPr>
              <w:widowControl/>
              <w:jc w:val="center"/>
              <w:rPr>
                <w:kern w:val="0"/>
                <w:sz w:val="22"/>
                <w:szCs w:val="22"/>
              </w:rPr>
            </w:pPr>
            <w:r>
              <w:rPr>
                <w:kern w:val="0"/>
                <w:sz w:val="22"/>
                <w:szCs w:val="2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6.6</w:t>
            </w:r>
          </w:p>
        </w:tc>
        <w:tc>
          <w:tcPr>
            <w:tcW w:w="2740" w:type="pct"/>
            <w:shd w:val="clear" w:color="auto" w:fill="auto"/>
            <w:noWrap/>
            <w:vAlign w:val="center"/>
          </w:tcPr>
          <w:p>
            <w:pPr>
              <w:widowControl/>
              <w:jc w:val="center"/>
              <w:rPr>
                <w:kern w:val="0"/>
                <w:sz w:val="22"/>
                <w:szCs w:val="22"/>
              </w:rPr>
            </w:pPr>
            <w:r>
              <w:rPr>
                <w:kern w:val="0"/>
                <w:sz w:val="22"/>
                <w:szCs w:val="22"/>
              </w:rPr>
              <w:t>地沟油收集容器（50L）</w:t>
            </w:r>
          </w:p>
        </w:tc>
        <w:tc>
          <w:tcPr>
            <w:tcW w:w="974" w:type="pct"/>
            <w:shd w:val="clear" w:color="auto" w:fill="auto"/>
            <w:noWrap/>
            <w:vAlign w:val="center"/>
          </w:tcPr>
          <w:p>
            <w:pPr>
              <w:widowControl/>
              <w:jc w:val="center"/>
              <w:rPr>
                <w:kern w:val="0"/>
                <w:sz w:val="22"/>
                <w:szCs w:val="22"/>
              </w:rPr>
            </w:pPr>
            <w:r>
              <w:rPr>
                <w:kern w:val="0"/>
                <w:sz w:val="22"/>
                <w:szCs w:val="22"/>
              </w:rPr>
              <w:t>13.20</w:t>
            </w:r>
          </w:p>
        </w:tc>
        <w:tc>
          <w:tcPr>
            <w:tcW w:w="429" w:type="pct"/>
            <w:shd w:val="clear" w:color="auto" w:fill="auto"/>
            <w:noWrap/>
            <w:vAlign w:val="center"/>
          </w:tcPr>
          <w:p>
            <w:pPr>
              <w:widowControl/>
              <w:jc w:val="center"/>
              <w:rPr>
                <w:kern w:val="0"/>
                <w:sz w:val="22"/>
                <w:szCs w:val="22"/>
              </w:rPr>
            </w:pPr>
            <w:r>
              <w:rPr>
                <w:kern w:val="0"/>
                <w:sz w:val="22"/>
                <w:szCs w:val="22"/>
              </w:rPr>
              <w:t>个</w:t>
            </w:r>
          </w:p>
        </w:tc>
        <w:tc>
          <w:tcPr>
            <w:tcW w:w="428" w:type="pct"/>
            <w:shd w:val="clear" w:color="auto" w:fill="auto"/>
            <w:noWrap/>
            <w:vAlign w:val="center"/>
          </w:tcPr>
          <w:p>
            <w:pPr>
              <w:widowControl/>
              <w:jc w:val="center"/>
              <w:rPr>
                <w:kern w:val="0"/>
                <w:sz w:val="22"/>
                <w:szCs w:val="22"/>
              </w:rPr>
            </w:pPr>
            <w:r>
              <w:rPr>
                <w:kern w:val="0"/>
                <w:sz w:val="22"/>
                <w:szCs w:val="22"/>
              </w:rPr>
              <w:t>1320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6.7</w:t>
            </w:r>
          </w:p>
        </w:tc>
        <w:tc>
          <w:tcPr>
            <w:tcW w:w="2740" w:type="pct"/>
            <w:shd w:val="clear" w:color="auto" w:fill="auto"/>
            <w:noWrap/>
            <w:vAlign w:val="center"/>
          </w:tcPr>
          <w:p>
            <w:pPr>
              <w:widowControl/>
              <w:jc w:val="center"/>
              <w:rPr>
                <w:kern w:val="0"/>
                <w:sz w:val="22"/>
                <w:szCs w:val="22"/>
              </w:rPr>
            </w:pPr>
            <w:r>
              <w:rPr>
                <w:kern w:val="0"/>
                <w:sz w:val="22"/>
                <w:szCs w:val="22"/>
              </w:rPr>
              <w:t>餐厨废弃物收集容器（120L）</w:t>
            </w:r>
          </w:p>
        </w:tc>
        <w:tc>
          <w:tcPr>
            <w:tcW w:w="974" w:type="pct"/>
            <w:shd w:val="clear" w:color="auto" w:fill="auto"/>
            <w:noWrap/>
            <w:vAlign w:val="center"/>
          </w:tcPr>
          <w:p>
            <w:pPr>
              <w:widowControl/>
              <w:jc w:val="center"/>
              <w:rPr>
                <w:kern w:val="0"/>
                <w:sz w:val="22"/>
                <w:szCs w:val="22"/>
              </w:rPr>
            </w:pPr>
            <w:r>
              <w:rPr>
                <w:kern w:val="0"/>
                <w:sz w:val="22"/>
                <w:szCs w:val="22"/>
              </w:rPr>
              <w:t>66.00</w:t>
            </w:r>
          </w:p>
        </w:tc>
        <w:tc>
          <w:tcPr>
            <w:tcW w:w="429" w:type="pct"/>
            <w:shd w:val="clear" w:color="auto" w:fill="auto"/>
            <w:noWrap/>
            <w:vAlign w:val="center"/>
          </w:tcPr>
          <w:p>
            <w:pPr>
              <w:widowControl/>
              <w:jc w:val="center"/>
              <w:rPr>
                <w:kern w:val="0"/>
                <w:sz w:val="22"/>
                <w:szCs w:val="22"/>
              </w:rPr>
            </w:pPr>
            <w:r>
              <w:rPr>
                <w:kern w:val="0"/>
                <w:sz w:val="22"/>
                <w:szCs w:val="22"/>
              </w:rPr>
              <w:t>个</w:t>
            </w:r>
          </w:p>
        </w:tc>
        <w:tc>
          <w:tcPr>
            <w:tcW w:w="428" w:type="pct"/>
            <w:shd w:val="clear" w:color="auto" w:fill="auto"/>
            <w:noWrap/>
            <w:vAlign w:val="center"/>
          </w:tcPr>
          <w:p>
            <w:pPr>
              <w:widowControl/>
              <w:jc w:val="center"/>
              <w:rPr>
                <w:kern w:val="0"/>
                <w:sz w:val="22"/>
                <w:szCs w:val="22"/>
              </w:rPr>
            </w:pPr>
            <w:r>
              <w:rPr>
                <w:kern w:val="0"/>
                <w:sz w:val="22"/>
                <w:szCs w:val="22"/>
              </w:rPr>
              <w:t>4400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29" w:type="pct"/>
            <w:shd w:val="clear" w:color="auto" w:fill="auto"/>
            <w:noWrap/>
            <w:vAlign w:val="center"/>
          </w:tcPr>
          <w:p>
            <w:pPr>
              <w:widowControl/>
              <w:jc w:val="center"/>
              <w:rPr>
                <w:kern w:val="0"/>
                <w:sz w:val="22"/>
                <w:szCs w:val="22"/>
              </w:rPr>
            </w:pPr>
            <w:r>
              <w:rPr>
                <w:kern w:val="0"/>
                <w:sz w:val="22"/>
                <w:szCs w:val="22"/>
              </w:rPr>
              <w:t>*</w:t>
            </w:r>
          </w:p>
        </w:tc>
        <w:tc>
          <w:tcPr>
            <w:tcW w:w="2740" w:type="pct"/>
            <w:shd w:val="clear" w:color="auto" w:fill="auto"/>
            <w:noWrap/>
            <w:vAlign w:val="center"/>
          </w:tcPr>
          <w:p>
            <w:pPr>
              <w:widowControl/>
              <w:jc w:val="center"/>
              <w:rPr>
                <w:kern w:val="0"/>
                <w:sz w:val="22"/>
                <w:szCs w:val="22"/>
              </w:rPr>
            </w:pPr>
            <w:r>
              <w:rPr>
                <w:kern w:val="0"/>
                <w:sz w:val="22"/>
                <w:szCs w:val="22"/>
              </w:rPr>
              <w:t>合计</w:t>
            </w:r>
          </w:p>
        </w:tc>
        <w:tc>
          <w:tcPr>
            <w:tcW w:w="974" w:type="pct"/>
            <w:shd w:val="clear" w:color="auto" w:fill="auto"/>
            <w:noWrap/>
            <w:vAlign w:val="center"/>
          </w:tcPr>
          <w:p>
            <w:pPr>
              <w:widowControl/>
              <w:jc w:val="center"/>
              <w:rPr>
                <w:kern w:val="0"/>
                <w:sz w:val="22"/>
                <w:szCs w:val="22"/>
              </w:rPr>
            </w:pPr>
            <w:r>
              <w:rPr>
                <w:b/>
                <w:bCs/>
                <w:kern w:val="0"/>
                <w:sz w:val="22"/>
                <w:szCs w:val="22"/>
              </w:rPr>
              <w:t>1509.20</w:t>
            </w:r>
          </w:p>
        </w:tc>
        <w:tc>
          <w:tcPr>
            <w:tcW w:w="429" w:type="pct"/>
            <w:shd w:val="clear" w:color="auto" w:fill="auto"/>
            <w:noWrap/>
            <w:vAlign w:val="center"/>
          </w:tcPr>
          <w:p>
            <w:pPr>
              <w:widowControl/>
              <w:jc w:val="center"/>
              <w:rPr>
                <w:kern w:val="0"/>
                <w:sz w:val="22"/>
                <w:szCs w:val="22"/>
              </w:rPr>
            </w:pPr>
          </w:p>
        </w:tc>
        <w:tc>
          <w:tcPr>
            <w:tcW w:w="428" w:type="pct"/>
            <w:shd w:val="clear" w:color="auto" w:fill="auto"/>
            <w:noWrap/>
            <w:vAlign w:val="center"/>
          </w:tcPr>
          <w:p>
            <w:pPr>
              <w:widowControl/>
              <w:jc w:val="center"/>
              <w:rPr>
                <w:kern w:val="0"/>
                <w:sz w:val="22"/>
                <w:szCs w:val="22"/>
              </w:rPr>
            </w:pPr>
          </w:p>
        </w:tc>
      </w:tr>
    </w:tbl>
    <w:p>
      <w:pPr>
        <w:spacing w:line="300" w:lineRule="auto"/>
        <w:ind w:firstLine="210" w:firstLineChars="100"/>
        <w:rPr>
          <w:rFonts w:asciiTheme="minorEastAsia" w:hAnsiTheme="minorEastAsia" w:eastAsiaTheme="minorEastAsia"/>
          <w:i/>
          <w:u w:val="single"/>
        </w:rPr>
      </w:pPr>
    </w:p>
    <w:p>
      <w:pPr>
        <w:spacing w:line="300" w:lineRule="auto"/>
        <w:ind w:firstLine="210" w:firstLineChars="100"/>
        <w:rPr>
          <w:rFonts w:asciiTheme="minorEastAsia" w:hAnsiTheme="minorEastAsia" w:eastAsiaTheme="minorEastAsia"/>
          <w:i/>
          <w:u w:val="single"/>
        </w:rPr>
      </w:pPr>
    </w:p>
    <w:p>
      <w:pPr>
        <w:spacing w:line="300" w:lineRule="auto"/>
        <w:ind w:firstLine="210" w:firstLineChars="100"/>
        <w:rPr>
          <w:rFonts w:asciiTheme="minorEastAsia" w:hAnsiTheme="minorEastAsia" w:eastAsiaTheme="minorEastAsia"/>
          <w:i/>
          <w:u w:val="single"/>
        </w:rPr>
      </w:pPr>
    </w:p>
    <w:p>
      <w:pPr>
        <w:adjustRightInd w:val="0"/>
        <w:snapToGrid w:val="0"/>
        <w:spacing w:line="360" w:lineRule="auto"/>
        <w:jc w:val="left"/>
        <w:rPr>
          <w:rFonts w:asciiTheme="minorEastAsia" w:hAnsiTheme="minorEastAsia" w:eastAsiaTheme="minorEastAsia"/>
          <w:szCs w:val="22"/>
        </w:rPr>
      </w:pPr>
      <w:r>
        <w:rPr>
          <w:rFonts w:hint="eastAsia" w:asciiTheme="minorEastAsia" w:hAnsiTheme="minorEastAsia" w:eastAsiaTheme="minorEastAsia"/>
          <w:szCs w:val="22"/>
        </w:rPr>
        <w:t>附表3项目总投资使用计划表及资金筹措计划（单位：人民币万元）</w:t>
      </w:r>
    </w:p>
    <w:tbl>
      <w:tblPr>
        <w:tblStyle w:val="40"/>
        <w:tblW w:w="5000"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17"/>
        <w:gridCol w:w="2129"/>
        <w:gridCol w:w="2287"/>
        <w:gridCol w:w="329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0" w:hRule="atLeast"/>
        </w:trPr>
        <w:tc>
          <w:tcPr>
            <w:tcW w:w="479" w:type="pct"/>
            <w:shd w:val="clear" w:color="auto" w:fill="auto"/>
            <w:noWrap/>
            <w:vAlign w:val="center"/>
          </w:tcPr>
          <w:p>
            <w:pPr>
              <w:widowControl/>
              <w:jc w:val="center"/>
              <w:rPr>
                <w:kern w:val="0"/>
                <w:sz w:val="20"/>
                <w:szCs w:val="20"/>
              </w:rPr>
            </w:pPr>
            <w:r>
              <w:rPr>
                <w:rFonts w:hint="eastAsia" w:ascii="黑体" w:hAnsi="黑体" w:eastAsia="黑体"/>
                <w:kern w:val="0"/>
                <w:sz w:val="20"/>
                <w:szCs w:val="20"/>
              </w:rPr>
              <w:t>序号</w:t>
            </w:r>
          </w:p>
        </w:tc>
        <w:tc>
          <w:tcPr>
            <w:tcW w:w="1248" w:type="pct"/>
            <w:shd w:val="clear" w:color="auto" w:fill="auto"/>
            <w:noWrap/>
            <w:vAlign w:val="center"/>
          </w:tcPr>
          <w:p>
            <w:pPr>
              <w:widowControl/>
              <w:jc w:val="center"/>
              <w:rPr>
                <w:kern w:val="0"/>
                <w:sz w:val="20"/>
                <w:szCs w:val="20"/>
              </w:rPr>
            </w:pPr>
            <w:r>
              <w:rPr>
                <w:rFonts w:hint="eastAsia" w:ascii="黑体" w:hAnsi="黑体" w:eastAsia="黑体"/>
                <w:kern w:val="0"/>
                <w:sz w:val="20"/>
                <w:szCs w:val="20"/>
              </w:rPr>
              <w:t>项目</w:t>
            </w:r>
          </w:p>
        </w:tc>
        <w:tc>
          <w:tcPr>
            <w:tcW w:w="1341" w:type="pct"/>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合计 </w:t>
            </w:r>
          </w:p>
        </w:tc>
        <w:tc>
          <w:tcPr>
            <w:tcW w:w="1932" w:type="pct"/>
            <w:shd w:val="clear" w:color="auto" w:fill="auto"/>
            <w:noWrap/>
            <w:vAlign w:val="center"/>
          </w:tcPr>
          <w:p>
            <w:pPr>
              <w:widowControl/>
              <w:jc w:val="center"/>
              <w:rPr>
                <w:rFonts w:ascii="宋体" w:hAnsi="宋体" w:cs="宋体"/>
                <w:kern w:val="0"/>
                <w:sz w:val="22"/>
                <w:szCs w:val="22"/>
              </w:rPr>
            </w:pPr>
            <w:r>
              <w:rPr>
                <w:rFonts w:hint="eastAsia" w:ascii="宋体" w:hAnsi="宋体" w:cs="宋体"/>
                <w:kern w:val="0"/>
                <w:sz w:val="22"/>
                <w:szCs w:val="22"/>
              </w:rPr>
              <w:t xml:space="preserve"> 第一年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trPr>
        <w:tc>
          <w:tcPr>
            <w:tcW w:w="479" w:type="pct"/>
            <w:shd w:val="clear" w:color="000000" w:fill="FFFFFF"/>
            <w:noWrap/>
            <w:vAlign w:val="center"/>
          </w:tcPr>
          <w:p>
            <w:pPr>
              <w:widowControl/>
              <w:jc w:val="left"/>
              <w:rPr>
                <w:kern w:val="0"/>
                <w:sz w:val="20"/>
                <w:szCs w:val="20"/>
              </w:rPr>
            </w:pPr>
            <w:r>
              <w:rPr>
                <w:kern w:val="0"/>
                <w:sz w:val="20"/>
                <w:szCs w:val="20"/>
              </w:rPr>
              <w:t>1</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总投资</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000000" w:fill="FFFFFF"/>
            <w:noWrap/>
            <w:vAlign w:val="center"/>
          </w:tcPr>
          <w:p>
            <w:pPr>
              <w:widowControl/>
              <w:jc w:val="left"/>
              <w:rPr>
                <w:kern w:val="0"/>
                <w:sz w:val="20"/>
                <w:szCs w:val="20"/>
              </w:rPr>
            </w:pPr>
            <w:r>
              <w:rPr>
                <w:kern w:val="0"/>
                <w:sz w:val="20"/>
                <w:szCs w:val="20"/>
              </w:rPr>
              <w:t>1.1</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建设投资</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000000" w:fill="FFFFFF"/>
            <w:noWrap/>
            <w:vAlign w:val="center"/>
          </w:tcPr>
          <w:p>
            <w:pPr>
              <w:widowControl/>
              <w:jc w:val="left"/>
              <w:rPr>
                <w:kern w:val="0"/>
                <w:sz w:val="20"/>
                <w:szCs w:val="20"/>
              </w:rPr>
            </w:pPr>
            <w:r>
              <w:rPr>
                <w:kern w:val="0"/>
                <w:sz w:val="20"/>
                <w:szCs w:val="20"/>
              </w:rPr>
              <w:t>1.2</w:t>
            </w:r>
          </w:p>
        </w:tc>
        <w:tc>
          <w:tcPr>
            <w:tcW w:w="1248" w:type="pct"/>
            <w:shd w:val="clear" w:color="auto" w:fill="auto"/>
            <w:noWrap/>
            <w:vAlign w:val="center"/>
          </w:tcPr>
          <w:p>
            <w:pPr>
              <w:widowControl/>
              <w:jc w:val="center"/>
              <w:rPr>
                <w:kern w:val="0"/>
                <w:sz w:val="20"/>
                <w:szCs w:val="20"/>
              </w:rPr>
            </w:pPr>
            <w:r>
              <w:rPr>
                <w:kern w:val="0"/>
                <w:sz w:val="20"/>
                <w:szCs w:val="20"/>
              </w:rPr>
              <w:t>建设期</w:t>
            </w:r>
            <w:r>
              <w:rPr>
                <w:rFonts w:hint="eastAsia"/>
                <w:kern w:val="0"/>
                <w:sz w:val="20"/>
                <w:szCs w:val="20"/>
              </w:rPr>
              <w:t>融资成本</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资金筹措</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2.1</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项目资本金</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2.1.1</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用于建设投资</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2.1.3</w:t>
            </w:r>
          </w:p>
        </w:tc>
        <w:tc>
          <w:tcPr>
            <w:tcW w:w="1248" w:type="pct"/>
            <w:shd w:val="clear" w:color="auto" w:fill="auto"/>
            <w:noWrap/>
            <w:vAlign w:val="center"/>
          </w:tcPr>
          <w:p>
            <w:pPr>
              <w:widowControl/>
              <w:jc w:val="center"/>
              <w:rPr>
                <w:kern w:val="0"/>
                <w:sz w:val="20"/>
                <w:szCs w:val="20"/>
              </w:rPr>
            </w:pPr>
            <w:r>
              <w:rPr>
                <w:kern w:val="0"/>
                <w:sz w:val="20"/>
                <w:szCs w:val="20"/>
              </w:rPr>
              <w:t>用于</w:t>
            </w:r>
            <w:r>
              <w:rPr>
                <w:rFonts w:hint="eastAsia"/>
                <w:kern w:val="0"/>
                <w:sz w:val="20"/>
                <w:szCs w:val="20"/>
              </w:rPr>
              <w:t>支付</w:t>
            </w:r>
            <w:r>
              <w:rPr>
                <w:kern w:val="0"/>
                <w:sz w:val="20"/>
                <w:szCs w:val="20"/>
              </w:rPr>
              <w:t>建设期</w:t>
            </w:r>
            <w:r>
              <w:rPr>
                <w:rFonts w:hint="eastAsia"/>
                <w:kern w:val="0"/>
                <w:sz w:val="20"/>
                <w:szCs w:val="20"/>
              </w:rPr>
              <w:t>融资成本</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2.2</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债务资金</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trPr>
        <w:tc>
          <w:tcPr>
            <w:tcW w:w="479" w:type="pct"/>
            <w:shd w:val="clear" w:color="auto" w:fill="auto"/>
            <w:noWrap/>
            <w:vAlign w:val="center"/>
          </w:tcPr>
          <w:p>
            <w:pPr>
              <w:widowControl/>
              <w:jc w:val="left"/>
              <w:rPr>
                <w:kern w:val="0"/>
                <w:sz w:val="20"/>
                <w:szCs w:val="20"/>
              </w:rPr>
            </w:pPr>
            <w:r>
              <w:rPr>
                <w:kern w:val="0"/>
                <w:sz w:val="20"/>
                <w:szCs w:val="20"/>
              </w:rPr>
              <w:t>2.2.1</w:t>
            </w:r>
          </w:p>
        </w:tc>
        <w:tc>
          <w:tcPr>
            <w:tcW w:w="1248" w:type="pct"/>
            <w:shd w:val="clear" w:color="auto" w:fill="auto"/>
            <w:noWrap/>
            <w:vAlign w:val="center"/>
          </w:tcPr>
          <w:p>
            <w:pPr>
              <w:widowControl/>
              <w:jc w:val="center"/>
              <w:rPr>
                <w:kern w:val="0"/>
                <w:sz w:val="20"/>
                <w:szCs w:val="20"/>
              </w:rPr>
            </w:pPr>
            <w:r>
              <w:rPr>
                <w:rFonts w:hint="eastAsia" w:ascii="宋体" w:hAnsi="宋体"/>
                <w:kern w:val="0"/>
                <w:sz w:val="20"/>
                <w:szCs w:val="20"/>
              </w:rPr>
              <w:t>用于建设投资</w:t>
            </w:r>
          </w:p>
        </w:tc>
        <w:tc>
          <w:tcPr>
            <w:tcW w:w="1341" w:type="pct"/>
            <w:shd w:val="clear" w:color="auto" w:fill="auto"/>
            <w:noWrap/>
            <w:vAlign w:val="center"/>
          </w:tcPr>
          <w:p>
            <w:pPr>
              <w:widowControl/>
              <w:jc w:val="center"/>
              <w:rPr>
                <w:kern w:val="0"/>
                <w:sz w:val="22"/>
                <w:szCs w:val="22"/>
              </w:rPr>
            </w:pPr>
          </w:p>
        </w:tc>
        <w:tc>
          <w:tcPr>
            <w:tcW w:w="1932" w:type="pct"/>
            <w:shd w:val="clear" w:color="auto" w:fill="auto"/>
            <w:noWrap/>
            <w:vAlign w:val="center"/>
          </w:tcPr>
          <w:p>
            <w:pPr>
              <w:widowControl/>
              <w:jc w:val="center"/>
              <w:rPr>
                <w:kern w:val="0"/>
                <w:sz w:val="22"/>
                <w:szCs w:val="22"/>
              </w:rPr>
            </w:pPr>
          </w:p>
        </w:tc>
      </w:tr>
    </w:tbl>
    <w:p>
      <w:pPr>
        <w:spacing w:line="300" w:lineRule="auto"/>
        <w:ind w:firstLine="210" w:firstLineChars="100"/>
        <w:rPr>
          <w:rFonts w:asciiTheme="minorEastAsia" w:hAnsiTheme="minorEastAsia" w:eastAsiaTheme="minorEastAsia"/>
          <w:i/>
          <w:u w:val="single"/>
        </w:rPr>
      </w:pPr>
      <w:r>
        <w:rPr>
          <w:rFonts w:hint="eastAsia" w:asciiTheme="minorEastAsia" w:hAnsiTheme="minorEastAsia" w:eastAsiaTheme="minorEastAsia"/>
          <w:i/>
          <w:u w:val="single"/>
        </w:rPr>
        <w:t>注：建设期融资成本＝Σ（建设期内每次融资额×借入资金综合融资成本×建设期内实际使用借入资金天数÷365）。因便于计算，本表中建设期融资成本＝项目总投资中融资额×借入资金综合融资成本÷2。</w:t>
      </w:r>
    </w:p>
    <w:p>
      <w:pPr>
        <w:spacing w:line="300" w:lineRule="auto"/>
        <w:ind w:firstLine="210" w:firstLineChars="100"/>
        <w:rPr>
          <w:rFonts w:asciiTheme="minorEastAsia" w:hAnsiTheme="minorEastAsia" w:eastAsiaTheme="minorEastAsia"/>
          <w:i/>
          <w:u w:val="single"/>
        </w:rPr>
      </w:pPr>
    </w:p>
    <w:p>
      <w:pPr>
        <w:spacing w:line="300" w:lineRule="auto"/>
        <w:ind w:firstLine="210" w:firstLineChars="100"/>
        <w:rPr>
          <w:rFonts w:asciiTheme="minorEastAsia" w:hAnsiTheme="minorEastAsia" w:eastAsiaTheme="minorEastAsia"/>
          <w:szCs w:val="22"/>
        </w:rPr>
      </w:pPr>
      <w:r>
        <w:rPr>
          <w:rFonts w:hint="eastAsia" w:asciiTheme="minorEastAsia" w:hAnsiTheme="minorEastAsia" w:eastAsiaTheme="minorEastAsia"/>
          <w:szCs w:val="22"/>
        </w:rPr>
        <w:t>附表</w:t>
      </w:r>
      <w:r>
        <w:rPr>
          <w:rFonts w:asciiTheme="minorEastAsia" w:hAnsiTheme="minorEastAsia" w:eastAsiaTheme="minorEastAsia"/>
          <w:szCs w:val="22"/>
        </w:rPr>
        <w:t>4</w:t>
      </w:r>
      <w:r>
        <w:rPr>
          <w:rFonts w:hint="eastAsia" w:asciiTheme="minorEastAsia" w:hAnsiTheme="minorEastAsia" w:eastAsiaTheme="minorEastAsia"/>
          <w:szCs w:val="22"/>
        </w:rPr>
        <w:t>借还款计划表（单位：人民币万元）</w:t>
      </w:r>
    </w:p>
    <w:tbl>
      <w:tblPr>
        <w:tblStyle w:val="40"/>
        <w:tblW w:w="856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2109"/>
        <w:gridCol w:w="1418"/>
        <w:gridCol w:w="1417"/>
        <w:gridCol w:w="1276"/>
        <w:gridCol w:w="134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序号</w:t>
            </w:r>
          </w:p>
        </w:tc>
        <w:tc>
          <w:tcPr>
            <w:tcW w:w="2109" w:type="dxa"/>
            <w:vMerge w:val="restart"/>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项目</w:t>
            </w:r>
          </w:p>
        </w:tc>
        <w:tc>
          <w:tcPr>
            <w:tcW w:w="5460" w:type="dxa"/>
            <w:gridSpan w:val="4"/>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合作期</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shd w:val="clear" w:color="auto" w:fill="auto"/>
            <w:noWrap/>
            <w:vAlign w:val="center"/>
          </w:tcPr>
          <w:p>
            <w:pPr>
              <w:widowControl/>
              <w:jc w:val="center"/>
              <w:rPr>
                <w:rFonts w:asciiTheme="minorEastAsia" w:hAnsiTheme="minorEastAsia" w:eastAsiaTheme="minorEastAsia"/>
              </w:rPr>
            </w:pPr>
          </w:p>
        </w:tc>
        <w:tc>
          <w:tcPr>
            <w:tcW w:w="2109" w:type="dxa"/>
            <w:vMerge w:val="continue"/>
            <w:shd w:val="clear" w:color="auto" w:fill="auto"/>
            <w:noWrap/>
            <w:vAlign w:val="center"/>
          </w:tcPr>
          <w:p>
            <w:pPr>
              <w:widowControl/>
              <w:jc w:val="center"/>
              <w:rPr>
                <w:rFonts w:asciiTheme="minorEastAsia" w:hAnsiTheme="minorEastAsia" w:eastAsiaTheme="minorEastAsia"/>
              </w:rPr>
            </w:pPr>
          </w:p>
        </w:tc>
        <w:tc>
          <w:tcPr>
            <w:tcW w:w="1418" w:type="dxa"/>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第1年</w:t>
            </w:r>
          </w:p>
        </w:tc>
        <w:tc>
          <w:tcPr>
            <w:tcW w:w="1417" w:type="dxa"/>
          </w:tcPr>
          <w:p>
            <w:pPr>
              <w:widowControl/>
              <w:jc w:val="center"/>
              <w:rPr>
                <w:rFonts w:asciiTheme="minorEastAsia" w:hAnsiTheme="minorEastAsia" w:eastAsiaTheme="minorEastAsia"/>
              </w:rPr>
            </w:pPr>
            <w:r>
              <w:rPr>
                <w:rFonts w:hint="eastAsia" w:asciiTheme="minorEastAsia" w:hAnsiTheme="minorEastAsia" w:eastAsiaTheme="minorEastAsia"/>
              </w:rPr>
              <w:t>第2年</w:t>
            </w:r>
          </w:p>
        </w:tc>
        <w:tc>
          <w:tcPr>
            <w:tcW w:w="1276" w:type="dxa"/>
          </w:tcPr>
          <w:p>
            <w:pPr>
              <w:widowControl/>
              <w:jc w:val="center"/>
              <w:rPr>
                <w:rFonts w:asciiTheme="minorEastAsia" w:hAnsiTheme="minorEastAsia" w:eastAsiaTheme="minorEastAsia"/>
              </w:rPr>
            </w:pPr>
            <w:r>
              <w:rPr>
                <w:rFonts w:hint="eastAsia" w:asciiTheme="minorEastAsia" w:hAnsiTheme="minorEastAsia" w:eastAsiaTheme="minorEastAsia"/>
              </w:rPr>
              <w:t>……</w:t>
            </w:r>
          </w:p>
        </w:tc>
        <w:tc>
          <w:tcPr>
            <w:tcW w:w="1349" w:type="dxa"/>
            <w:vAlign w:val="center"/>
          </w:tcPr>
          <w:p>
            <w:pPr>
              <w:widowControl/>
              <w:jc w:val="center"/>
              <w:rPr>
                <w:rFonts w:asciiTheme="minorEastAsia" w:hAnsiTheme="minorEastAsia" w:eastAsiaTheme="minorEastAsia"/>
              </w:rPr>
            </w:pPr>
            <w:r>
              <w:rPr>
                <w:rFonts w:hint="eastAsia" w:asciiTheme="minorEastAsia" w:hAnsiTheme="minorEastAsia" w:eastAsiaTheme="minorEastAsia"/>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1</w:t>
            </w:r>
          </w:p>
        </w:tc>
        <w:tc>
          <w:tcPr>
            <w:tcW w:w="2109" w:type="dxa"/>
            <w:shd w:val="clear" w:color="auto" w:fill="auto"/>
            <w:noWrap/>
            <w:vAlign w:val="center"/>
          </w:tcPr>
          <w:p>
            <w:pPr>
              <w:widowControl/>
              <w:jc w:val="left"/>
              <w:rPr>
                <w:rFonts w:asciiTheme="minorEastAsia" w:hAnsiTheme="minorEastAsia" w:eastAsiaTheme="minorEastAsia"/>
              </w:rPr>
            </w:pPr>
            <w:r>
              <w:rPr>
                <w:rFonts w:hint="eastAsia" w:asciiTheme="minorEastAsia" w:hAnsiTheme="minorEastAsia" w:eastAsiaTheme="minorEastAsia"/>
              </w:rPr>
              <w:t>长期贷款余额</w:t>
            </w:r>
          </w:p>
        </w:tc>
        <w:tc>
          <w:tcPr>
            <w:tcW w:w="1418" w:type="dxa"/>
            <w:shd w:val="clear" w:color="auto" w:fill="auto"/>
            <w:noWrap/>
            <w:vAlign w:val="center"/>
          </w:tcPr>
          <w:p>
            <w:pPr>
              <w:widowControl/>
              <w:jc w:val="center"/>
              <w:rPr>
                <w:rFonts w:asciiTheme="minorEastAsia" w:hAnsiTheme="minorEastAsia" w:eastAsiaTheme="minorEastAsia"/>
              </w:rPr>
            </w:pPr>
          </w:p>
        </w:tc>
        <w:tc>
          <w:tcPr>
            <w:tcW w:w="1417" w:type="dxa"/>
          </w:tcPr>
          <w:p>
            <w:pPr>
              <w:widowControl/>
              <w:jc w:val="center"/>
              <w:rPr>
                <w:rFonts w:asciiTheme="minorEastAsia" w:hAnsiTheme="minorEastAsia" w:eastAsiaTheme="minorEastAsia"/>
              </w:rPr>
            </w:pPr>
          </w:p>
        </w:tc>
        <w:tc>
          <w:tcPr>
            <w:tcW w:w="1276" w:type="dxa"/>
          </w:tcPr>
          <w:p>
            <w:pPr>
              <w:widowControl/>
              <w:jc w:val="center"/>
              <w:rPr>
                <w:rFonts w:asciiTheme="minorEastAsia" w:hAnsiTheme="minorEastAsia" w:eastAsiaTheme="minorEastAsia"/>
              </w:rPr>
            </w:pPr>
          </w:p>
        </w:tc>
        <w:tc>
          <w:tcPr>
            <w:tcW w:w="1349" w:type="dxa"/>
          </w:tcPr>
          <w:p>
            <w:pPr>
              <w:widowControl/>
              <w:jc w:val="center"/>
              <w:rPr>
                <w:rFonts w:asciiTheme="minorEastAsia" w:hAnsiTheme="minorEastAsia" w:eastAsiaTheme="minorEastAsia"/>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2</w:t>
            </w:r>
          </w:p>
        </w:tc>
        <w:tc>
          <w:tcPr>
            <w:tcW w:w="2109" w:type="dxa"/>
            <w:shd w:val="clear" w:color="auto" w:fill="auto"/>
            <w:noWrap/>
            <w:vAlign w:val="center"/>
          </w:tcPr>
          <w:p>
            <w:pPr>
              <w:widowControl/>
              <w:jc w:val="left"/>
              <w:rPr>
                <w:rFonts w:asciiTheme="minorEastAsia" w:hAnsiTheme="minorEastAsia" w:eastAsiaTheme="minorEastAsia"/>
              </w:rPr>
            </w:pPr>
            <w:r>
              <w:rPr>
                <w:rFonts w:hint="eastAsia" w:asciiTheme="minorEastAsia" w:hAnsiTheme="minorEastAsia" w:eastAsiaTheme="minorEastAsia"/>
              </w:rPr>
              <w:t>新增贷款</w:t>
            </w:r>
          </w:p>
        </w:tc>
        <w:tc>
          <w:tcPr>
            <w:tcW w:w="1418" w:type="dxa"/>
            <w:shd w:val="clear" w:color="auto" w:fill="auto"/>
            <w:noWrap/>
            <w:vAlign w:val="center"/>
          </w:tcPr>
          <w:p>
            <w:pPr>
              <w:jc w:val="center"/>
              <w:rPr>
                <w:rFonts w:asciiTheme="minorEastAsia" w:hAnsiTheme="minorEastAsia" w:eastAsiaTheme="minorEastAsia"/>
              </w:rPr>
            </w:pPr>
          </w:p>
        </w:tc>
        <w:tc>
          <w:tcPr>
            <w:tcW w:w="1417" w:type="dxa"/>
          </w:tcPr>
          <w:p>
            <w:pPr>
              <w:jc w:val="center"/>
              <w:rPr>
                <w:rFonts w:asciiTheme="minorEastAsia" w:hAnsiTheme="minorEastAsia" w:eastAsiaTheme="minorEastAsia"/>
              </w:rPr>
            </w:pPr>
          </w:p>
        </w:tc>
        <w:tc>
          <w:tcPr>
            <w:tcW w:w="1276" w:type="dxa"/>
          </w:tcPr>
          <w:p>
            <w:pPr>
              <w:jc w:val="center"/>
              <w:rPr>
                <w:rFonts w:asciiTheme="minorEastAsia" w:hAnsiTheme="minorEastAsia" w:eastAsiaTheme="minorEastAsia"/>
              </w:rPr>
            </w:pPr>
          </w:p>
        </w:tc>
        <w:tc>
          <w:tcPr>
            <w:tcW w:w="1349" w:type="dxa"/>
            <w:vAlign w:val="center"/>
          </w:tcPr>
          <w:p>
            <w:pPr>
              <w:jc w:val="center"/>
              <w:rPr>
                <w:rFonts w:asciiTheme="minorEastAsia" w:hAnsiTheme="minorEastAsia" w:eastAsiaTheme="minorEastAsia"/>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3</w:t>
            </w:r>
          </w:p>
        </w:tc>
        <w:tc>
          <w:tcPr>
            <w:tcW w:w="2109" w:type="dxa"/>
            <w:shd w:val="clear" w:color="auto" w:fill="auto"/>
            <w:noWrap/>
            <w:vAlign w:val="center"/>
          </w:tcPr>
          <w:p>
            <w:pPr>
              <w:widowControl/>
              <w:jc w:val="left"/>
              <w:rPr>
                <w:rFonts w:asciiTheme="minorEastAsia" w:hAnsiTheme="minorEastAsia" w:eastAsiaTheme="minorEastAsia"/>
              </w:rPr>
            </w:pPr>
            <w:r>
              <w:rPr>
                <w:rFonts w:hint="eastAsia" w:asciiTheme="minorEastAsia" w:hAnsiTheme="minorEastAsia" w:eastAsiaTheme="minorEastAsia"/>
              </w:rPr>
              <w:t>贷款还本</w:t>
            </w:r>
          </w:p>
        </w:tc>
        <w:tc>
          <w:tcPr>
            <w:tcW w:w="1418" w:type="dxa"/>
            <w:shd w:val="clear" w:color="auto" w:fill="auto"/>
            <w:noWrap/>
            <w:vAlign w:val="center"/>
          </w:tcPr>
          <w:p>
            <w:pPr>
              <w:jc w:val="center"/>
              <w:rPr>
                <w:rFonts w:asciiTheme="minorEastAsia" w:hAnsiTheme="minorEastAsia" w:eastAsiaTheme="minorEastAsia"/>
              </w:rPr>
            </w:pPr>
          </w:p>
        </w:tc>
        <w:tc>
          <w:tcPr>
            <w:tcW w:w="1417" w:type="dxa"/>
          </w:tcPr>
          <w:p>
            <w:pPr>
              <w:jc w:val="center"/>
              <w:rPr>
                <w:rFonts w:asciiTheme="minorEastAsia" w:hAnsiTheme="minorEastAsia" w:eastAsiaTheme="minorEastAsia"/>
              </w:rPr>
            </w:pPr>
          </w:p>
        </w:tc>
        <w:tc>
          <w:tcPr>
            <w:tcW w:w="1276" w:type="dxa"/>
          </w:tcPr>
          <w:p>
            <w:pPr>
              <w:jc w:val="center"/>
              <w:rPr>
                <w:rFonts w:asciiTheme="minorEastAsia" w:hAnsiTheme="minorEastAsia" w:eastAsiaTheme="minorEastAsia"/>
              </w:rPr>
            </w:pPr>
          </w:p>
        </w:tc>
        <w:tc>
          <w:tcPr>
            <w:tcW w:w="1349" w:type="dxa"/>
            <w:vAlign w:val="center"/>
          </w:tcPr>
          <w:p>
            <w:pPr>
              <w:jc w:val="center"/>
              <w:rPr>
                <w:rFonts w:asciiTheme="minorEastAsia" w:hAnsiTheme="minorEastAsia" w:eastAsiaTheme="minorEastAsia"/>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shd w:val="clear" w:color="auto" w:fill="auto"/>
            <w:noWrap/>
            <w:vAlign w:val="center"/>
          </w:tcPr>
          <w:p>
            <w:pPr>
              <w:widowControl/>
              <w:jc w:val="center"/>
              <w:rPr>
                <w:rFonts w:asciiTheme="minorEastAsia" w:hAnsiTheme="minorEastAsia" w:eastAsiaTheme="minorEastAsia"/>
              </w:rPr>
            </w:pPr>
            <w:r>
              <w:rPr>
                <w:rFonts w:hint="eastAsia" w:asciiTheme="minorEastAsia" w:hAnsiTheme="minorEastAsia" w:eastAsiaTheme="minorEastAsia"/>
              </w:rPr>
              <w:t>4</w:t>
            </w:r>
          </w:p>
        </w:tc>
        <w:tc>
          <w:tcPr>
            <w:tcW w:w="2109" w:type="dxa"/>
            <w:shd w:val="clear" w:color="auto" w:fill="auto"/>
            <w:noWrap/>
            <w:vAlign w:val="center"/>
          </w:tcPr>
          <w:p>
            <w:pPr>
              <w:widowControl/>
              <w:jc w:val="left"/>
              <w:rPr>
                <w:rFonts w:asciiTheme="minorEastAsia" w:hAnsiTheme="minorEastAsia" w:eastAsiaTheme="minorEastAsia"/>
              </w:rPr>
            </w:pPr>
            <w:r>
              <w:rPr>
                <w:rFonts w:hint="eastAsia" w:asciiTheme="minorEastAsia" w:hAnsiTheme="minorEastAsia" w:eastAsiaTheme="minorEastAsia"/>
              </w:rPr>
              <w:t>借入资金综合融资成本</w:t>
            </w:r>
          </w:p>
        </w:tc>
        <w:tc>
          <w:tcPr>
            <w:tcW w:w="5460" w:type="dxa"/>
            <w:gridSpan w:val="4"/>
            <w:shd w:val="clear" w:color="auto" w:fill="auto"/>
            <w:noWrap/>
            <w:vAlign w:val="center"/>
          </w:tcPr>
          <w:p>
            <w:pPr>
              <w:jc w:val="center"/>
              <w:rPr>
                <w:rFonts w:asciiTheme="minorEastAsia" w:hAnsiTheme="minorEastAsia" w:eastAsiaTheme="minorEastAsia"/>
                <w:u w:val="single"/>
              </w:rPr>
            </w:pPr>
            <w:r>
              <w:rPr>
                <w:rFonts w:hint="eastAsia" w:asciiTheme="minorEastAsia" w:hAnsiTheme="minorEastAsia" w:eastAsiaTheme="minorEastAsia"/>
                <w:u w:val="single"/>
              </w:rPr>
              <w:t xml:space="preserve">       %</w:t>
            </w:r>
          </w:p>
        </w:tc>
      </w:tr>
    </w:tbl>
    <w:p>
      <w:pPr>
        <w:spacing w:line="300" w:lineRule="auto"/>
        <w:ind w:firstLine="210" w:firstLineChars="100"/>
        <w:rPr>
          <w:rFonts w:asciiTheme="minorEastAsia" w:hAnsiTheme="minorEastAsia" w:eastAsiaTheme="minorEastAsia"/>
          <w:i/>
          <w:u w:val="single"/>
        </w:rPr>
      </w:pPr>
      <w:r>
        <w:rPr>
          <w:rFonts w:hint="eastAsia" w:asciiTheme="minorEastAsia" w:hAnsiTheme="minorEastAsia" w:eastAsiaTheme="minorEastAsia"/>
          <w:i/>
          <w:u w:val="single"/>
        </w:rPr>
        <w:t>注：借入资金综合融资成本不得高于2020年1月20日公布的五年期贷款市场报价利率LPR（4.80%）加上108个BP（1个BP等于0.01个百分点），即5.88%；</w:t>
      </w:r>
    </w:p>
    <w:p>
      <w:pPr>
        <w:spacing w:line="300" w:lineRule="auto"/>
        <w:rPr>
          <w:rFonts w:asciiTheme="minorEastAsia" w:hAnsiTheme="minorEastAsia" w:eastAsiaTheme="minorEastAsia"/>
          <w:b/>
        </w:rPr>
      </w:pPr>
    </w:p>
    <w:p>
      <w:pPr>
        <w:adjustRightInd w:val="0"/>
        <w:snapToGrid w:val="0"/>
        <w:spacing w:line="360" w:lineRule="auto"/>
        <w:jc w:val="left"/>
        <w:rPr>
          <w:rFonts w:asciiTheme="minorEastAsia" w:hAnsiTheme="minorEastAsia" w:eastAsiaTheme="minorEastAsia"/>
          <w:szCs w:val="22"/>
        </w:rPr>
      </w:pPr>
      <w:r>
        <w:rPr>
          <w:rFonts w:asciiTheme="minorEastAsia" w:hAnsiTheme="minorEastAsia" w:eastAsiaTheme="minorEastAsia"/>
          <w:szCs w:val="22"/>
        </w:rPr>
        <w:t>附表5</w:t>
      </w:r>
      <w:r>
        <w:rPr>
          <w:rFonts w:hint="eastAsia" w:asciiTheme="minorEastAsia" w:hAnsiTheme="minorEastAsia" w:eastAsiaTheme="minorEastAsia"/>
          <w:szCs w:val="22"/>
        </w:rPr>
        <w:t>项目产出物销售收入估算表（单位：人民币万元）</w:t>
      </w:r>
    </w:p>
    <w:tbl>
      <w:tblPr>
        <w:tblStyle w:val="40"/>
        <w:tblW w:w="8415" w:type="dxa"/>
        <w:tblInd w:w="113" w:type="dxa"/>
        <w:tblLayout w:type="autofit"/>
        <w:tblCellMar>
          <w:top w:w="0" w:type="dxa"/>
          <w:left w:w="108" w:type="dxa"/>
          <w:bottom w:w="0" w:type="dxa"/>
          <w:right w:w="108" w:type="dxa"/>
        </w:tblCellMar>
      </w:tblPr>
      <w:tblGrid>
        <w:gridCol w:w="2161"/>
        <w:gridCol w:w="1910"/>
        <w:gridCol w:w="960"/>
        <w:gridCol w:w="1210"/>
        <w:gridCol w:w="1087"/>
        <w:gridCol w:w="1087"/>
      </w:tblGrid>
      <w:tr>
        <w:tblPrEx>
          <w:tblCellMar>
            <w:top w:w="0" w:type="dxa"/>
            <w:left w:w="108" w:type="dxa"/>
            <w:bottom w:w="0" w:type="dxa"/>
            <w:right w:w="108" w:type="dxa"/>
          </w:tblCellMar>
        </w:tblPrEx>
        <w:trPr>
          <w:trHeight w:val="345" w:hRule="atLeast"/>
        </w:trPr>
        <w:tc>
          <w:tcPr>
            <w:tcW w:w="216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cs="宋体"/>
                <w:kern w:val="0"/>
                <w:sz w:val="20"/>
                <w:szCs w:val="20"/>
              </w:rPr>
            </w:pPr>
          </w:p>
        </w:tc>
        <w:tc>
          <w:tcPr>
            <w:tcW w:w="19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合计</w:t>
            </w:r>
          </w:p>
        </w:tc>
        <w:tc>
          <w:tcPr>
            <w:tcW w:w="96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运营期</w:t>
            </w:r>
          </w:p>
          <w:p>
            <w:pPr>
              <w:widowControl/>
              <w:jc w:val="center"/>
              <w:rPr>
                <w:kern w:val="0"/>
                <w:sz w:val="20"/>
                <w:szCs w:val="20"/>
              </w:rPr>
            </w:pPr>
            <w:r>
              <w:rPr>
                <w:rFonts w:hint="eastAsia"/>
                <w:kern w:val="0"/>
                <w:sz w:val="20"/>
                <w:szCs w:val="20"/>
              </w:rPr>
              <w:t>第1年</w:t>
            </w:r>
          </w:p>
        </w:tc>
        <w:tc>
          <w:tcPr>
            <w:tcW w:w="12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运营期</w:t>
            </w:r>
          </w:p>
          <w:p>
            <w:pPr>
              <w:widowControl/>
              <w:jc w:val="center"/>
              <w:rPr>
                <w:kern w:val="0"/>
                <w:sz w:val="20"/>
                <w:szCs w:val="20"/>
              </w:rPr>
            </w:pPr>
            <w:r>
              <w:rPr>
                <w:rFonts w:hint="eastAsia"/>
                <w:kern w:val="0"/>
                <w:sz w:val="20"/>
                <w:szCs w:val="20"/>
              </w:rPr>
              <w:t>第2年</w:t>
            </w:r>
          </w:p>
        </w:tc>
        <w:tc>
          <w:tcPr>
            <w:tcW w:w="1087" w:type="dxa"/>
            <w:tcBorders>
              <w:top w:val="single" w:color="auto" w:sz="4" w:space="0"/>
              <w:left w:val="nil"/>
              <w:bottom w:val="single" w:color="auto" w:sz="4" w:space="0"/>
              <w:right w:val="single" w:color="auto" w:sz="4" w:space="0"/>
            </w:tcBorders>
            <w:shd w:val="clear" w:color="000000" w:fill="FFFFFF"/>
            <w:vAlign w:val="center"/>
          </w:tcPr>
          <w:p>
            <w:pPr>
              <w:widowControl/>
              <w:jc w:val="center"/>
              <w:rPr>
                <w:kern w:val="0"/>
                <w:sz w:val="20"/>
                <w:szCs w:val="20"/>
              </w:rPr>
            </w:pPr>
            <w:r>
              <w:rPr>
                <w:rFonts w:hint="eastAsia" w:asciiTheme="minorEastAsia" w:hAnsiTheme="minorEastAsia" w:eastAsiaTheme="minorEastAsia"/>
              </w:rPr>
              <w:t>……</w:t>
            </w:r>
          </w:p>
        </w:tc>
        <w:tc>
          <w:tcPr>
            <w:tcW w:w="1087" w:type="dxa"/>
            <w:tcBorders>
              <w:top w:val="single" w:color="auto" w:sz="4" w:space="0"/>
              <w:left w:val="nil"/>
              <w:bottom w:val="single" w:color="auto" w:sz="4" w:space="0"/>
              <w:right w:val="single" w:color="auto" w:sz="4" w:space="0"/>
            </w:tcBorders>
            <w:shd w:val="clear" w:color="000000" w:fill="FFFFFF"/>
            <w:vAlign w:val="center"/>
          </w:tcPr>
          <w:p>
            <w:pPr>
              <w:widowControl/>
              <w:jc w:val="center"/>
              <w:rPr>
                <w:kern w:val="0"/>
                <w:sz w:val="20"/>
                <w:szCs w:val="20"/>
              </w:rPr>
            </w:pPr>
            <w:r>
              <w:rPr>
                <w:rFonts w:hint="eastAsia"/>
                <w:kern w:val="0"/>
                <w:sz w:val="20"/>
                <w:szCs w:val="20"/>
              </w:rPr>
              <w:t>运营期第2</w:t>
            </w:r>
            <w:r>
              <w:rPr>
                <w:kern w:val="0"/>
                <w:sz w:val="20"/>
                <w:szCs w:val="20"/>
              </w:rPr>
              <w:t>7</w:t>
            </w:r>
            <w:r>
              <w:rPr>
                <w:rFonts w:hint="eastAsia"/>
                <w:kern w:val="0"/>
                <w:sz w:val="20"/>
                <w:szCs w:val="20"/>
              </w:rPr>
              <w:t>年</w:t>
            </w:r>
          </w:p>
        </w:tc>
      </w:tr>
      <w:tr>
        <w:tblPrEx>
          <w:tblCellMar>
            <w:top w:w="0" w:type="dxa"/>
            <w:left w:w="108" w:type="dxa"/>
            <w:bottom w:w="0" w:type="dxa"/>
            <w:right w:w="108" w:type="dxa"/>
          </w:tblCellMar>
        </w:tblPrEx>
        <w:trPr>
          <w:trHeight w:val="345" w:hRule="atLeast"/>
        </w:trPr>
        <w:tc>
          <w:tcPr>
            <w:tcW w:w="216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xml:space="preserve">油脂销售收入 </w:t>
            </w:r>
          </w:p>
        </w:tc>
        <w:tc>
          <w:tcPr>
            <w:tcW w:w="19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96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single" w:color="auto" w:sz="4" w:space="0"/>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single" w:color="auto" w:sz="4" w:space="0"/>
              <w:left w:val="nil"/>
              <w:bottom w:val="single" w:color="auto" w:sz="4" w:space="0"/>
              <w:right w:val="single" w:color="auto" w:sz="4" w:space="0"/>
            </w:tcBorders>
            <w:shd w:val="clear" w:color="000000" w:fill="FFFFFF"/>
          </w:tcPr>
          <w:p>
            <w:pPr>
              <w:widowControl/>
              <w:jc w:val="center"/>
              <w:rPr>
                <w:kern w:val="0"/>
                <w:sz w:val="20"/>
                <w:szCs w:val="20"/>
              </w:rPr>
            </w:pPr>
          </w:p>
        </w:tc>
      </w:tr>
      <w:tr>
        <w:tblPrEx>
          <w:tblCellMar>
            <w:top w:w="0" w:type="dxa"/>
            <w:left w:w="108" w:type="dxa"/>
            <w:bottom w:w="0" w:type="dxa"/>
            <w:right w:w="108" w:type="dxa"/>
          </w:tblCellMar>
        </w:tblPrEx>
        <w:trPr>
          <w:trHeight w:val="345" w:hRule="atLeast"/>
        </w:trPr>
        <w:tc>
          <w:tcPr>
            <w:tcW w:w="2161"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宋体"/>
                <w:kern w:val="0"/>
                <w:sz w:val="20"/>
                <w:szCs w:val="20"/>
              </w:rPr>
            </w:pPr>
            <w:r>
              <w:rPr>
                <w:rFonts w:hint="eastAsia" w:ascii="宋体" w:hAnsi="宋体" w:cs="宋体"/>
                <w:kern w:val="0"/>
                <w:sz w:val="20"/>
                <w:szCs w:val="20"/>
              </w:rPr>
              <w:t xml:space="preserve"> 油脂吨数 </w:t>
            </w:r>
          </w:p>
        </w:tc>
        <w:tc>
          <w:tcPr>
            <w:tcW w:w="19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96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r>
      <w:tr>
        <w:tblPrEx>
          <w:tblCellMar>
            <w:top w:w="0" w:type="dxa"/>
            <w:left w:w="108" w:type="dxa"/>
            <w:bottom w:w="0" w:type="dxa"/>
            <w:right w:w="108" w:type="dxa"/>
          </w:tblCellMar>
        </w:tblPrEx>
        <w:trPr>
          <w:trHeight w:val="345" w:hRule="atLeast"/>
        </w:trPr>
        <w:tc>
          <w:tcPr>
            <w:tcW w:w="2161"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宋体"/>
                <w:kern w:val="0"/>
                <w:sz w:val="20"/>
                <w:szCs w:val="20"/>
              </w:rPr>
            </w:pPr>
            <w:r>
              <w:rPr>
                <w:rFonts w:hint="eastAsia" w:ascii="宋体" w:hAnsi="宋体" w:cs="宋体"/>
                <w:kern w:val="0"/>
                <w:sz w:val="20"/>
                <w:szCs w:val="20"/>
              </w:rPr>
              <w:t xml:space="preserve"> 出售单价 </w:t>
            </w:r>
          </w:p>
        </w:tc>
        <w:tc>
          <w:tcPr>
            <w:tcW w:w="19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96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r>
    </w:tbl>
    <w:p>
      <w:pPr>
        <w:adjustRightInd w:val="0"/>
        <w:snapToGrid w:val="0"/>
        <w:spacing w:line="360" w:lineRule="auto"/>
        <w:jc w:val="left"/>
        <w:rPr>
          <w:rFonts w:asciiTheme="minorEastAsia" w:hAnsiTheme="minorEastAsia" w:eastAsiaTheme="minorEastAsia"/>
          <w:i/>
          <w:u w:val="single"/>
        </w:rPr>
      </w:pPr>
      <w:r>
        <w:rPr>
          <w:rFonts w:hint="eastAsia" w:asciiTheme="minorEastAsia" w:hAnsiTheme="minorEastAsia" w:eastAsiaTheme="minorEastAsia"/>
          <w:i/>
          <w:u w:val="single"/>
        </w:rPr>
        <w:t>注：（1）每年油脂吨数根据计算确定</w:t>
      </w:r>
    </w:p>
    <w:p>
      <w:pPr>
        <w:adjustRightInd w:val="0"/>
        <w:snapToGrid w:val="0"/>
        <w:spacing w:line="360" w:lineRule="auto"/>
        <w:jc w:val="left"/>
        <w:rPr>
          <w:rFonts w:asciiTheme="minorEastAsia" w:hAnsiTheme="minorEastAsia" w:eastAsiaTheme="minorEastAsia"/>
          <w:i/>
          <w:u w:val="single"/>
        </w:rPr>
      </w:pPr>
      <w:r>
        <w:rPr>
          <w:rFonts w:hint="eastAsia" w:asciiTheme="minorEastAsia" w:hAnsiTheme="minorEastAsia" w:eastAsiaTheme="minorEastAsia"/>
          <w:i/>
          <w:u w:val="single"/>
        </w:rPr>
        <w:t>（2）运营期第1年出售单价不低于3</w:t>
      </w:r>
      <w:r>
        <w:rPr>
          <w:rFonts w:asciiTheme="minorEastAsia" w:hAnsiTheme="minorEastAsia" w:eastAsiaTheme="minorEastAsia"/>
          <w:i/>
          <w:u w:val="single"/>
        </w:rPr>
        <w:t>165</w:t>
      </w:r>
      <w:r>
        <w:rPr>
          <w:rFonts w:hint="eastAsia" w:asciiTheme="minorEastAsia" w:hAnsiTheme="minorEastAsia" w:eastAsiaTheme="minorEastAsia"/>
          <w:i/>
          <w:u w:val="single"/>
        </w:rPr>
        <w:t>元/吨，单价增长率每四年不低于5%</w:t>
      </w:r>
    </w:p>
    <w:p>
      <w:pPr>
        <w:adjustRightInd w:val="0"/>
        <w:snapToGrid w:val="0"/>
        <w:spacing w:line="360" w:lineRule="auto"/>
        <w:jc w:val="left"/>
        <w:rPr>
          <w:rFonts w:asciiTheme="minorEastAsia" w:hAnsiTheme="minorEastAsia" w:eastAsiaTheme="minorEastAsia"/>
          <w:i/>
          <w:u w:val="single"/>
        </w:rPr>
      </w:pPr>
      <w:r>
        <w:rPr>
          <w:rFonts w:hint="eastAsia" w:asciiTheme="minorEastAsia" w:hAnsiTheme="minorEastAsia" w:eastAsiaTheme="minorEastAsia"/>
          <w:i/>
          <w:u w:val="single"/>
        </w:rPr>
        <w:t>（3）运营期内油脂销售收入不低于</w:t>
      </w:r>
      <w:r>
        <w:rPr>
          <w:rFonts w:asciiTheme="minorEastAsia" w:hAnsiTheme="minorEastAsia" w:eastAsiaTheme="minorEastAsia"/>
          <w:i/>
          <w:u w:val="single"/>
        </w:rPr>
        <w:t>56,270.29</w:t>
      </w:r>
      <w:r>
        <w:rPr>
          <w:rFonts w:hint="eastAsia" w:asciiTheme="minorEastAsia" w:hAnsiTheme="minorEastAsia" w:eastAsiaTheme="minorEastAsia"/>
          <w:i/>
          <w:u w:val="single"/>
        </w:rPr>
        <w:t>万元</w:t>
      </w:r>
    </w:p>
    <w:p>
      <w:pPr>
        <w:overflowPunct w:val="0"/>
        <w:spacing w:beforeLines="50"/>
        <w:jc w:val="left"/>
        <w:rPr>
          <w:sz w:val="24"/>
        </w:rPr>
      </w:pPr>
      <w:r>
        <w:rPr>
          <w:rFonts w:asciiTheme="minorEastAsia" w:hAnsiTheme="minorEastAsia" w:eastAsiaTheme="minorEastAsia"/>
          <w:szCs w:val="22"/>
        </w:rPr>
        <w:t>附表5</w:t>
      </w:r>
      <w:r>
        <w:rPr>
          <w:rFonts w:hint="eastAsia" w:asciiTheme="minorEastAsia" w:hAnsiTheme="minorEastAsia" w:eastAsiaTheme="minorEastAsia"/>
          <w:szCs w:val="22"/>
        </w:rPr>
        <w:t>-</w:t>
      </w:r>
      <w:r>
        <w:rPr>
          <w:rFonts w:asciiTheme="minorEastAsia" w:hAnsiTheme="minorEastAsia" w:eastAsiaTheme="minorEastAsia"/>
          <w:szCs w:val="22"/>
        </w:rPr>
        <w:t>1</w:t>
      </w:r>
      <w:r>
        <w:rPr>
          <w:sz w:val="24"/>
        </w:rPr>
        <w:t>运营期内餐厨废弃物收运情况一览表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2"/>
        <w:gridCol w:w="1027"/>
        <w:gridCol w:w="1025"/>
        <w:gridCol w:w="1025"/>
        <w:gridCol w:w="1025"/>
        <w:gridCol w:w="20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1" w:type="pct"/>
            <w:shd w:val="clear" w:color="auto" w:fill="auto"/>
          </w:tcPr>
          <w:p>
            <w:pPr>
              <w:adjustRightInd w:val="0"/>
              <w:snapToGrid w:val="0"/>
              <w:jc w:val="center"/>
              <w:rPr>
                <w:rFonts w:eastAsia="黑体"/>
              </w:rPr>
            </w:pPr>
            <w:r>
              <w:rPr>
                <w:rFonts w:eastAsia="黑体"/>
              </w:rPr>
              <w:t>运营期</w:t>
            </w:r>
          </w:p>
        </w:tc>
        <w:tc>
          <w:tcPr>
            <w:tcW w:w="602" w:type="pct"/>
            <w:shd w:val="clear" w:color="auto" w:fill="auto"/>
          </w:tcPr>
          <w:p>
            <w:pPr>
              <w:adjustRightInd w:val="0"/>
              <w:snapToGrid w:val="0"/>
              <w:jc w:val="center"/>
              <w:rPr>
                <w:rFonts w:eastAsia="黑体"/>
              </w:rPr>
            </w:pPr>
            <w:r>
              <w:rPr>
                <w:rFonts w:eastAsia="黑体"/>
              </w:rPr>
              <w:t>第1年</w:t>
            </w:r>
          </w:p>
        </w:tc>
        <w:tc>
          <w:tcPr>
            <w:tcW w:w="601" w:type="pct"/>
            <w:shd w:val="clear" w:color="auto" w:fill="auto"/>
          </w:tcPr>
          <w:p>
            <w:pPr>
              <w:adjustRightInd w:val="0"/>
              <w:snapToGrid w:val="0"/>
              <w:jc w:val="center"/>
              <w:rPr>
                <w:rFonts w:eastAsia="黑体"/>
              </w:rPr>
            </w:pPr>
            <w:r>
              <w:rPr>
                <w:rFonts w:eastAsia="黑体"/>
              </w:rPr>
              <w:t>第2年</w:t>
            </w:r>
          </w:p>
        </w:tc>
        <w:tc>
          <w:tcPr>
            <w:tcW w:w="601" w:type="pct"/>
            <w:shd w:val="clear" w:color="auto" w:fill="auto"/>
          </w:tcPr>
          <w:p>
            <w:pPr>
              <w:adjustRightInd w:val="0"/>
              <w:snapToGrid w:val="0"/>
              <w:jc w:val="center"/>
              <w:rPr>
                <w:rFonts w:eastAsia="黑体"/>
              </w:rPr>
            </w:pPr>
            <w:r>
              <w:rPr>
                <w:rFonts w:eastAsia="黑体"/>
              </w:rPr>
              <w:t>第3年</w:t>
            </w:r>
          </w:p>
        </w:tc>
        <w:tc>
          <w:tcPr>
            <w:tcW w:w="601" w:type="pct"/>
            <w:shd w:val="clear" w:color="auto" w:fill="auto"/>
          </w:tcPr>
          <w:p>
            <w:pPr>
              <w:adjustRightInd w:val="0"/>
              <w:snapToGrid w:val="0"/>
              <w:jc w:val="center"/>
              <w:rPr>
                <w:rFonts w:eastAsia="黑体"/>
              </w:rPr>
            </w:pPr>
            <w:r>
              <w:rPr>
                <w:rFonts w:eastAsia="黑体"/>
              </w:rPr>
              <w:t>第4年</w:t>
            </w:r>
          </w:p>
        </w:tc>
        <w:tc>
          <w:tcPr>
            <w:tcW w:w="1205" w:type="pct"/>
            <w:shd w:val="clear" w:color="auto" w:fill="auto"/>
          </w:tcPr>
          <w:p>
            <w:pPr>
              <w:adjustRightInd w:val="0"/>
              <w:snapToGrid w:val="0"/>
              <w:jc w:val="center"/>
              <w:rPr>
                <w:rFonts w:eastAsia="黑体"/>
              </w:rPr>
            </w:pPr>
            <w:r>
              <w:rPr>
                <w:rFonts w:eastAsia="黑体"/>
              </w:rPr>
              <w:t>第5年~第27年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1" w:type="pct"/>
            <w:shd w:val="clear" w:color="auto" w:fill="auto"/>
          </w:tcPr>
          <w:p>
            <w:pPr>
              <w:adjustRightInd w:val="0"/>
              <w:snapToGrid w:val="0"/>
              <w:jc w:val="center"/>
            </w:pPr>
            <w:r>
              <w:t>餐厨废弃物（吨/日）</w:t>
            </w:r>
          </w:p>
        </w:tc>
        <w:tc>
          <w:tcPr>
            <w:tcW w:w="602" w:type="pct"/>
            <w:shd w:val="clear" w:color="auto" w:fill="auto"/>
            <w:vAlign w:val="center"/>
          </w:tcPr>
          <w:p>
            <w:pPr>
              <w:adjustRightInd w:val="0"/>
              <w:snapToGrid w:val="0"/>
              <w:jc w:val="center"/>
            </w:pPr>
            <w:r>
              <w:t>100.00</w:t>
            </w:r>
          </w:p>
        </w:tc>
        <w:tc>
          <w:tcPr>
            <w:tcW w:w="601" w:type="pct"/>
            <w:shd w:val="clear" w:color="auto" w:fill="auto"/>
            <w:vAlign w:val="center"/>
          </w:tcPr>
          <w:p>
            <w:pPr>
              <w:adjustRightInd w:val="0"/>
              <w:snapToGrid w:val="0"/>
              <w:jc w:val="center"/>
            </w:pPr>
            <w:r>
              <w:t>150.00</w:t>
            </w:r>
          </w:p>
        </w:tc>
        <w:tc>
          <w:tcPr>
            <w:tcW w:w="601" w:type="pct"/>
            <w:shd w:val="clear" w:color="auto" w:fill="auto"/>
            <w:vAlign w:val="center"/>
          </w:tcPr>
          <w:p>
            <w:pPr>
              <w:adjustRightInd w:val="0"/>
              <w:snapToGrid w:val="0"/>
              <w:jc w:val="center"/>
            </w:pPr>
            <w:r>
              <w:t>160.00</w:t>
            </w:r>
          </w:p>
        </w:tc>
        <w:tc>
          <w:tcPr>
            <w:tcW w:w="601" w:type="pct"/>
            <w:shd w:val="clear" w:color="auto" w:fill="auto"/>
            <w:vAlign w:val="center"/>
          </w:tcPr>
          <w:p>
            <w:pPr>
              <w:adjustRightInd w:val="0"/>
              <w:snapToGrid w:val="0"/>
              <w:jc w:val="center"/>
            </w:pPr>
            <w:r>
              <w:t>180.00</w:t>
            </w:r>
          </w:p>
        </w:tc>
        <w:tc>
          <w:tcPr>
            <w:tcW w:w="1205" w:type="pct"/>
            <w:shd w:val="clear" w:color="auto" w:fill="auto"/>
            <w:vAlign w:val="center"/>
          </w:tcPr>
          <w:p>
            <w:pPr>
              <w:adjustRightInd w:val="0"/>
              <w:snapToGrid w:val="0"/>
              <w:jc w:val="center"/>
            </w:pPr>
            <w: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1" w:type="pct"/>
            <w:shd w:val="clear" w:color="auto" w:fill="auto"/>
          </w:tcPr>
          <w:p>
            <w:pPr>
              <w:adjustRightInd w:val="0"/>
              <w:snapToGrid w:val="0"/>
              <w:jc w:val="center"/>
            </w:pPr>
            <w:r>
              <w:t>地沟油（吨/日）</w:t>
            </w:r>
          </w:p>
        </w:tc>
        <w:tc>
          <w:tcPr>
            <w:tcW w:w="602" w:type="pct"/>
            <w:shd w:val="clear" w:color="auto" w:fill="auto"/>
            <w:vAlign w:val="center"/>
          </w:tcPr>
          <w:p>
            <w:pPr>
              <w:adjustRightInd w:val="0"/>
              <w:snapToGrid w:val="0"/>
              <w:jc w:val="center"/>
            </w:pPr>
            <w:r>
              <w:t>4.50</w:t>
            </w:r>
          </w:p>
        </w:tc>
        <w:tc>
          <w:tcPr>
            <w:tcW w:w="601" w:type="pct"/>
            <w:shd w:val="clear" w:color="auto" w:fill="auto"/>
            <w:vAlign w:val="center"/>
          </w:tcPr>
          <w:p>
            <w:pPr>
              <w:adjustRightInd w:val="0"/>
              <w:snapToGrid w:val="0"/>
              <w:jc w:val="center"/>
            </w:pPr>
            <w:r>
              <w:t>9.00</w:t>
            </w:r>
          </w:p>
        </w:tc>
        <w:tc>
          <w:tcPr>
            <w:tcW w:w="601" w:type="pct"/>
            <w:shd w:val="clear" w:color="auto" w:fill="auto"/>
            <w:vAlign w:val="center"/>
          </w:tcPr>
          <w:p>
            <w:pPr>
              <w:adjustRightInd w:val="0"/>
              <w:snapToGrid w:val="0"/>
              <w:jc w:val="center"/>
            </w:pPr>
            <w:r>
              <w:t>18.00</w:t>
            </w:r>
          </w:p>
        </w:tc>
        <w:tc>
          <w:tcPr>
            <w:tcW w:w="601" w:type="pct"/>
            <w:shd w:val="clear" w:color="auto" w:fill="auto"/>
            <w:vAlign w:val="center"/>
          </w:tcPr>
          <w:p>
            <w:pPr>
              <w:adjustRightInd w:val="0"/>
              <w:snapToGrid w:val="0"/>
              <w:jc w:val="center"/>
            </w:pPr>
            <w:r>
              <w:t>24.00</w:t>
            </w:r>
          </w:p>
        </w:tc>
        <w:tc>
          <w:tcPr>
            <w:tcW w:w="1205" w:type="pct"/>
            <w:shd w:val="clear" w:color="auto" w:fill="auto"/>
            <w:vAlign w:val="center"/>
          </w:tcPr>
          <w:p>
            <w:pPr>
              <w:adjustRightInd w:val="0"/>
              <w:snapToGrid w:val="0"/>
              <w:jc w:val="center"/>
            </w:pPr>
            <w:r>
              <w:t>30.00</w:t>
            </w:r>
          </w:p>
        </w:tc>
      </w:tr>
    </w:tbl>
    <w:p>
      <w:pPr>
        <w:adjustRightInd w:val="0"/>
        <w:snapToGrid w:val="0"/>
        <w:spacing w:line="360" w:lineRule="auto"/>
        <w:jc w:val="left"/>
        <w:rPr>
          <w:rFonts w:asciiTheme="minorEastAsia" w:hAnsiTheme="minorEastAsia" w:eastAsiaTheme="minorEastAsia"/>
          <w:i/>
          <w:u w:val="single"/>
        </w:rPr>
      </w:pPr>
      <w:r>
        <w:rPr>
          <w:rFonts w:hint="eastAsia" w:asciiTheme="minorEastAsia" w:hAnsiTheme="minorEastAsia" w:eastAsiaTheme="minorEastAsia"/>
          <w:i/>
          <w:u w:val="single"/>
        </w:rPr>
        <w:t>注：根据项目工艺，本项目处理地沟油可产生40%的可销售油脂，处理餐厨废弃物可产生2%的可销售油脂。</w:t>
      </w:r>
    </w:p>
    <w:p>
      <w:pPr>
        <w:adjustRightInd w:val="0"/>
        <w:snapToGrid w:val="0"/>
        <w:spacing w:line="360" w:lineRule="auto"/>
        <w:jc w:val="left"/>
        <w:rPr>
          <w:rFonts w:asciiTheme="minorEastAsia" w:hAnsiTheme="minorEastAsia" w:eastAsiaTheme="minorEastAsia"/>
          <w:szCs w:val="22"/>
        </w:rPr>
      </w:pPr>
    </w:p>
    <w:p>
      <w:pPr>
        <w:adjustRightInd w:val="0"/>
        <w:snapToGrid w:val="0"/>
        <w:spacing w:line="360" w:lineRule="auto"/>
        <w:jc w:val="left"/>
        <w:rPr>
          <w:rFonts w:asciiTheme="minorEastAsia" w:hAnsiTheme="minorEastAsia" w:eastAsiaTheme="minorEastAsia"/>
        </w:rPr>
      </w:pPr>
      <w:r>
        <w:rPr>
          <w:rFonts w:hint="eastAsia" w:asciiTheme="minorEastAsia" w:hAnsiTheme="minorEastAsia" w:eastAsiaTheme="minorEastAsia"/>
        </w:rPr>
        <w:t>附表6运营维护成本估算表（单位：人民币万元）</w:t>
      </w:r>
    </w:p>
    <w:tbl>
      <w:tblPr>
        <w:tblStyle w:val="40"/>
        <w:tblW w:w="8415" w:type="dxa"/>
        <w:tblInd w:w="113" w:type="dxa"/>
        <w:tblLayout w:type="autofit"/>
        <w:tblCellMar>
          <w:top w:w="0" w:type="dxa"/>
          <w:left w:w="108" w:type="dxa"/>
          <w:bottom w:w="0" w:type="dxa"/>
          <w:right w:w="108" w:type="dxa"/>
        </w:tblCellMar>
      </w:tblPr>
      <w:tblGrid>
        <w:gridCol w:w="2161"/>
        <w:gridCol w:w="1910"/>
        <w:gridCol w:w="960"/>
        <w:gridCol w:w="1210"/>
        <w:gridCol w:w="1087"/>
        <w:gridCol w:w="1087"/>
      </w:tblGrid>
      <w:tr>
        <w:tblPrEx>
          <w:tblCellMar>
            <w:top w:w="0" w:type="dxa"/>
            <w:left w:w="108" w:type="dxa"/>
            <w:bottom w:w="0" w:type="dxa"/>
            <w:right w:w="108" w:type="dxa"/>
          </w:tblCellMar>
        </w:tblPrEx>
        <w:trPr>
          <w:trHeight w:val="345" w:hRule="atLeast"/>
        </w:trPr>
        <w:tc>
          <w:tcPr>
            <w:tcW w:w="216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项目</w:t>
            </w:r>
          </w:p>
        </w:tc>
        <w:tc>
          <w:tcPr>
            <w:tcW w:w="19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合计</w:t>
            </w:r>
          </w:p>
        </w:tc>
        <w:tc>
          <w:tcPr>
            <w:tcW w:w="96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运营期</w:t>
            </w:r>
          </w:p>
          <w:p>
            <w:pPr>
              <w:widowControl/>
              <w:jc w:val="center"/>
              <w:rPr>
                <w:kern w:val="0"/>
                <w:sz w:val="20"/>
                <w:szCs w:val="20"/>
              </w:rPr>
            </w:pPr>
            <w:r>
              <w:rPr>
                <w:rFonts w:hint="eastAsia"/>
                <w:kern w:val="0"/>
                <w:sz w:val="20"/>
                <w:szCs w:val="20"/>
              </w:rPr>
              <w:t>第1年</w:t>
            </w:r>
          </w:p>
        </w:tc>
        <w:tc>
          <w:tcPr>
            <w:tcW w:w="12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rFonts w:hint="eastAsia"/>
                <w:kern w:val="0"/>
                <w:sz w:val="20"/>
                <w:szCs w:val="20"/>
              </w:rPr>
              <w:t>运营期</w:t>
            </w:r>
          </w:p>
          <w:p>
            <w:pPr>
              <w:widowControl/>
              <w:jc w:val="center"/>
              <w:rPr>
                <w:kern w:val="0"/>
                <w:sz w:val="20"/>
                <w:szCs w:val="20"/>
              </w:rPr>
            </w:pPr>
            <w:r>
              <w:rPr>
                <w:rFonts w:hint="eastAsia"/>
                <w:kern w:val="0"/>
                <w:sz w:val="20"/>
                <w:szCs w:val="20"/>
              </w:rPr>
              <w:t>第2年</w:t>
            </w:r>
          </w:p>
        </w:tc>
        <w:tc>
          <w:tcPr>
            <w:tcW w:w="1087" w:type="dxa"/>
            <w:tcBorders>
              <w:top w:val="single" w:color="auto" w:sz="4" w:space="0"/>
              <w:left w:val="nil"/>
              <w:bottom w:val="single" w:color="auto" w:sz="4" w:space="0"/>
              <w:right w:val="single" w:color="auto" w:sz="4" w:space="0"/>
            </w:tcBorders>
            <w:shd w:val="clear" w:color="000000" w:fill="FFFFFF"/>
            <w:vAlign w:val="center"/>
          </w:tcPr>
          <w:p>
            <w:pPr>
              <w:widowControl/>
              <w:jc w:val="center"/>
              <w:rPr>
                <w:kern w:val="0"/>
                <w:sz w:val="20"/>
                <w:szCs w:val="20"/>
              </w:rPr>
            </w:pPr>
            <w:r>
              <w:rPr>
                <w:rFonts w:hint="eastAsia" w:asciiTheme="minorEastAsia" w:hAnsiTheme="minorEastAsia" w:eastAsiaTheme="minorEastAsia"/>
              </w:rPr>
              <w:t>……</w:t>
            </w:r>
          </w:p>
        </w:tc>
        <w:tc>
          <w:tcPr>
            <w:tcW w:w="1087" w:type="dxa"/>
            <w:tcBorders>
              <w:top w:val="single" w:color="auto" w:sz="4" w:space="0"/>
              <w:left w:val="nil"/>
              <w:bottom w:val="single" w:color="auto" w:sz="4" w:space="0"/>
              <w:right w:val="single" w:color="auto" w:sz="4" w:space="0"/>
            </w:tcBorders>
            <w:shd w:val="clear" w:color="000000" w:fill="FFFFFF"/>
            <w:vAlign w:val="center"/>
          </w:tcPr>
          <w:p>
            <w:pPr>
              <w:widowControl/>
              <w:jc w:val="center"/>
              <w:rPr>
                <w:kern w:val="0"/>
                <w:sz w:val="20"/>
                <w:szCs w:val="20"/>
              </w:rPr>
            </w:pPr>
            <w:r>
              <w:rPr>
                <w:rFonts w:hint="eastAsia"/>
                <w:kern w:val="0"/>
                <w:sz w:val="20"/>
                <w:szCs w:val="20"/>
              </w:rPr>
              <w:t>运营期第2</w:t>
            </w:r>
            <w:r>
              <w:rPr>
                <w:kern w:val="0"/>
                <w:sz w:val="20"/>
                <w:szCs w:val="20"/>
              </w:rPr>
              <w:t>7</w:t>
            </w:r>
            <w:r>
              <w:rPr>
                <w:rFonts w:hint="eastAsia"/>
                <w:kern w:val="0"/>
                <w:sz w:val="20"/>
                <w:szCs w:val="20"/>
              </w:rPr>
              <w:t>年</w:t>
            </w:r>
          </w:p>
        </w:tc>
      </w:tr>
      <w:tr>
        <w:tblPrEx>
          <w:tblCellMar>
            <w:top w:w="0" w:type="dxa"/>
            <w:left w:w="108" w:type="dxa"/>
            <w:bottom w:w="0" w:type="dxa"/>
            <w:right w:w="108" w:type="dxa"/>
          </w:tblCellMar>
        </w:tblPrEx>
        <w:trPr>
          <w:trHeight w:val="345" w:hRule="atLeast"/>
        </w:trPr>
        <w:tc>
          <w:tcPr>
            <w:tcW w:w="216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宋体" w:hAnsi="宋体" w:cs="宋体"/>
                <w:kern w:val="0"/>
                <w:sz w:val="20"/>
                <w:szCs w:val="20"/>
              </w:rPr>
            </w:pPr>
          </w:p>
        </w:tc>
        <w:tc>
          <w:tcPr>
            <w:tcW w:w="19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96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single" w:color="auto" w:sz="4" w:space="0"/>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single" w:color="auto" w:sz="4" w:space="0"/>
              <w:left w:val="nil"/>
              <w:bottom w:val="single" w:color="auto" w:sz="4" w:space="0"/>
              <w:right w:val="single" w:color="auto" w:sz="4" w:space="0"/>
            </w:tcBorders>
            <w:shd w:val="clear" w:color="000000" w:fill="FFFFFF"/>
          </w:tcPr>
          <w:p>
            <w:pPr>
              <w:widowControl/>
              <w:jc w:val="center"/>
              <w:rPr>
                <w:kern w:val="0"/>
                <w:sz w:val="20"/>
                <w:szCs w:val="20"/>
              </w:rPr>
            </w:pPr>
          </w:p>
        </w:tc>
      </w:tr>
      <w:tr>
        <w:tblPrEx>
          <w:tblCellMar>
            <w:top w:w="0" w:type="dxa"/>
            <w:left w:w="108" w:type="dxa"/>
            <w:bottom w:w="0" w:type="dxa"/>
            <w:right w:w="108" w:type="dxa"/>
          </w:tblCellMar>
        </w:tblPrEx>
        <w:trPr>
          <w:trHeight w:val="345" w:hRule="atLeast"/>
        </w:trPr>
        <w:tc>
          <w:tcPr>
            <w:tcW w:w="2161"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宋体"/>
                <w:kern w:val="0"/>
                <w:sz w:val="20"/>
                <w:szCs w:val="20"/>
              </w:rPr>
            </w:pPr>
          </w:p>
        </w:tc>
        <w:tc>
          <w:tcPr>
            <w:tcW w:w="19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96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r>
      <w:tr>
        <w:tblPrEx>
          <w:tblCellMar>
            <w:top w:w="0" w:type="dxa"/>
            <w:left w:w="108" w:type="dxa"/>
            <w:bottom w:w="0" w:type="dxa"/>
            <w:right w:w="108" w:type="dxa"/>
          </w:tblCellMar>
        </w:tblPrEx>
        <w:trPr>
          <w:trHeight w:val="345" w:hRule="atLeast"/>
        </w:trPr>
        <w:tc>
          <w:tcPr>
            <w:tcW w:w="2161"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宋体"/>
                <w:kern w:val="0"/>
                <w:sz w:val="20"/>
                <w:szCs w:val="20"/>
              </w:rPr>
            </w:pPr>
          </w:p>
        </w:tc>
        <w:tc>
          <w:tcPr>
            <w:tcW w:w="19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96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r>
              <w:rPr>
                <w:kern w:val="0"/>
                <w:sz w:val="20"/>
                <w:szCs w:val="20"/>
              </w:rPr>
              <w:t>　</w:t>
            </w:r>
          </w:p>
        </w:tc>
        <w:tc>
          <w:tcPr>
            <w:tcW w:w="1210" w:type="dxa"/>
            <w:tcBorders>
              <w:top w:val="nil"/>
              <w:left w:val="nil"/>
              <w:bottom w:val="single" w:color="auto" w:sz="4" w:space="0"/>
              <w:right w:val="single" w:color="auto" w:sz="4" w:space="0"/>
            </w:tcBorders>
            <w:shd w:val="clear" w:color="000000" w:fill="FFFFFF"/>
            <w:noWrap/>
            <w:vAlign w:val="center"/>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c>
          <w:tcPr>
            <w:tcW w:w="1087" w:type="dxa"/>
            <w:tcBorders>
              <w:top w:val="nil"/>
              <w:left w:val="nil"/>
              <w:bottom w:val="single" w:color="auto" w:sz="4" w:space="0"/>
              <w:right w:val="single" w:color="auto" w:sz="4" w:space="0"/>
            </w:tcBorders>
            <w:shd w:val="clear" w:color="000000" w:fill="FFFFFF"/>
          </w:tcPr>
          <w:p>
            <w:pPr>
              <w:widowControl/>
              <w:jc w:val="center"/>
              <w:rPr>
                <w:kern w:val="0"/>
                <w:sz w:val="20"/>
                <w:szCs w:val="20"/>
              </w:rPr>
            </w:pPr>
          </w:p>
        </w:tc>
      </w:tr>
    </w:tbl>
    <w:p>
      <w:pPr>
        <w:spacing w:line="300" w:lineRule="auto"/>
        <w:rPr>
          <w:rFonts w:asciiTheme="minorEastAsia" w:hAnsiTheme="minorEastAsia" w:eastAsiaTheme="minorEastAsia"/>
          <w:i/>
          <w:u w:val="single"/>
        </w:rPr>
      </w:pPr>
      <w:r>
        <w:rPr>
          <w:rFonts w:hint="eastAsia" w:asciiTheme="minorEastAsia" w:hAnsiTheme="minorEastAsia" w:eastAsiaTheme="minorEastAsia"/>
          <w:i/>
          <w:u w:val="single"/>
        </w:rPr>
        <w:t>注：（1）运营成本为收运及处置成本，不包括折旧摊销、融资成本等</w:t>
      </w:r>
    </w:p>
    <w:p>
      <w:pPr>
        <w:spacing w:line="300" w:lineRule="auto"/>
        <w:rPr>
          <w:rFonts w:asciiTheme="minorEastAsia" w:hAnsiTheme="minorEastAsia" w:eastAsiaTheme="minorEastAsia"/>
          <w:i/>
          <w:u w:val="single"/>
        </w:rPr>
      </w:pPr>
      <w:r>
        <w:rPr>
          <w:rFonts w:hint="eastAsia" w:asciiTheme="minorEastAsia" w:hAnsiTheme="minorEastAsia" w:eastAsiaTheme="minorEastAsia"/>
          <w:i/>
          <w:u w:val="single"/>
        </w:rPr>
        <w:t>（2）运营期内运营维护成本不高于</w:t>
      </w:r>
      <w:r>
        <w:rPr>
          <w:rFonts w:asciiTheme="minorEastAsia" w:hAnsiTheme="minorEastAsia" w:eastAsiaTheme="minorEastAsia"/>
          <w:i/>
          <w:u w:val="single"/>
        </w:rPr>
        <w:t>58,753.95</w:t>
      </w:r>
      <w:r>
        <w:rPr>
          <w:rFonts w:hint="eastAsia" w:asciiTheme="minorEastAsia" w:hAnsiTheme="minorEastAsia" w:eastAsiaTheme="minorEastAsia"/>
          <w:i/>
          <w:u w:val="single"/>
        </w:rPr>
        <w:t>万元。</w:t>
      </w:r>
    </w:p>
    <w:p>
      <w:pPr>
        <w:adjustRightInd w:val="0"/>
        <w:snapToGrid w:val="0"/>
        <w:spacing w:line="360" w:lineRule="auto"/>
        <w:ind w:firstLine="420" w:firstLineChars="200"/>
        <w:jc w:val="left"/>
        <w:rPr>
          <w:rFonts w:asciiTheme="minorEastAsia" w:hAnsiTheme="minorEastAsia" w:eastAsiaTheme="minorEastAsia" w:cstheme="minorBidi"/>
        </w:rPr>
      </w:pPr>
      <w:r>
        <w:rPr>
          <w:rFonts w:hint="eastAsia" w:asciiTheme="minorEastAsia" w:hAnsiTheme="minorEastAsia" w:eastAsiaTheme="minorEastAsia" w:cstheme="minorBidi"/>
        </w:rPr>
        <w:t>（二）可行性缺口补助计算方式</w:t>
      </w:r>
    </w:p>
    <w:p>
      <w:pPr>
        <w:snapToGrid w:val="0"/>
        <w:spacing w:line="500" w:lineRule="exact"/>
        <w:ind w:firstLine="420" w:firstLineChars="200"/>
        <w:rPr>
          <w:kern w:val="0"/>
        </w:rPr>
      </w:pPr>
      <w:r>
        <w:rPr>
          <w:kern w:val="0"/>
        </w:rPr>
        <w:t>本项目可行性缺口补助为政府支付给项目公司的</w:t>
      </w:r>
      <w:bookmarkStart w:id="416" w:name="_Hlk28415554"/>
      <w:r>
        <w:rPr>
          <w:kern w:val="0"/>
        </w:rPr>
        <w:t>餐厨废弃物综合处置补贴</w:t>
      </w:r>
      <w:bookmarkEnd w:id="416"/>
      <w:r>
        <w:rPr>
          <w:kern w:val="0"/>
        </w:rPr>
        <w:t>，根据项目公司处置的餐厨废弃物吨数及社会资本方报出的餐厨废弃物综合处置单价计算补贴额，计算公式如下：</w:t>
      </w:r>
    </w:p>
    <w:p>
      <w:pPr>
        <w:adjustRightInd w:val="0"/>
        <w:snapToGrid w:val="0"/>
        <w:spacing w:line="500" w:lineRule="exact"/>
        <w:ind w:firstLine="420" w:firstLineChars="200"/>
      </w:pPr>
      <w:r>
        <w:t>餐厨废弃物综合处置总额＝</w:t>
      </w:r>
      <w:bookmarkStart w:id="417" w:name="_Hlk33448509"/>
      <w:r>
        <w:rPr>
          <w:rFonts w:hint="eastAsia"/>
        </w:rPr>
        <w:t>项目建设成本、设备重置更新投资及回报</w:t>
      </w:r>
      <w:bookmarkEnd w:id="417"/>
      <w:r>
        <w:t>＋运营成本</w:t>
      </w:r>
      <w:r>
        <w:rPr>
          <w:rFonts w:hint="eastAsia"/>
        </w:rPr>
        <w:t>×（</w:t>
      </w:r>
      <w:r>
        <w:t>1</w:t>
      </w:r>
      <w:r>
        <w:rPr>
          <w:rFonts w:hint="eastAsia"/>
        </w:rPr>
        <w:t>+合理利润率）</w:t>
      </w:r>
      <w:r>
        <w:t>－</w:t>
      </w:r>
      <w:bookmarkStart w:id="418" w:name="_Hlk33436214"/>
      <w:r>
        <w:rPr>
          <w:rFonts w:hint="eastAsia"/>
        </w:rPr>
        <w:t>项目产出物销售收入</w:t>
      </w:r>
      <w:bookmarkEnd w:id="418"/>
      <w:r>
        <w:t xml:space="preserve">    </w:t>
      </w:r>
    </w:p>
    <w:p>
      <w:pPr>
        <w:adjustRightInd w:val="0"/>
        <w:snapToGrid w:val="0"/>
        <w:spacing w:line="500" w:lineRule="exact"/>
        <w:ind w:firstLine="420" w:firstLineChars="200"/>
      </w:pPr>
      <w:r>
        <w:t>餐厨废弃物综合处置单价＝餐厨废弃物综合处置总额÷处置总吨数</w:t>
      </w:r>
    </w:p>
    <w:p>
      <w:pPr>
        <w:adjustRightInd w:val="0"/>
        <w:snapToGrid w:val="0"/>
        <w:spacing w:line="500" w:lineRule="exact"/>
        <w:ind w:firstLine="420" w:firstLineChars="200"/>
      </w:pPr>
      <w:r>
        <w:t>餐厨废弃物</w:t>
      </w:r>
      <w:r>
        <w:rPr>
          <w:rFonts w:hint="eastAsia"/>
        </w:rPr>
        <w:t>综合</w:t>
      </w:r>
      <w:r>
        <w:t>处置补贴</w:t>
      </w:r>
      <w:r>
        <w:rPr>
          <w:kern w:val="0"/>
        </w:rPr>
        <w:t>计算数额</w:t>
      </w:r>
      <w:r>
        <w:t>＝栖霞区行政区处置吨数×餐厨废弃物综合处置单价</w:t>
      </w:r>
    </w:p>
    <w:p>
      <w:pPr>
        <w:adjustRightInd w:val="0"/>
        <w:snapToGrid w:val="0"/>
        <w:spacing w:line="500" w:lineRule="exact"/>
        <w:ind w:firstLine="420" w:firstLineChars="200"/>
      </w:pPr>
      <w:r>
        <w:t>餐厨废弃物</w:t>
      </w:r>
      <w:r>
        <w:rPr>
          <w:rFonts w:hint="eastAsia"/>
        </w:rPr>
        <w:t>综合</w:t>
      </w:r>
      <w:r>
        <w:t>处置收入＝除栖霞区行政区以外处置吨数×餐厨废弃物综合处置单价</w:t>
      </w:r>
    </w:p>
    <w:p>
      <w:pPr>
        <w:adjustRightInd w:val="0"/>
        <w:snapToGrid w:val="0"/>
        <w:spacing w:line="500" w:lineRule="exact"/>
        <w:ind w:firstLine="420" w:firstLineChars="200"/>
      </w:pPr>
      <w:r>
        <w:rPr>
          <w:rFonts w:hint="eastAsia"/>
        </w:rPr>
        <w:t>项目建设成本、设备重置更新投资及回报</w:t>
      </w:r>
      <w:r>
        <w:t>＝〔</w:t>
      </w:r>
      <w:r>
        <w:rPr>
          <w:rFonts w:hint="eastAsia"/>
        </w:rPr>
        <w:t>（项目总投资－设备购置费）×2</w:t>
      </w:r>
      <w:r>
        <w:t>0</w:t>
      </w:r>
      <w:r>
        <w:rPr>
          <w:rFonts w:hint="eastAsia"/>
        </w:rPr>
        <w:t>%</w:t>
      </w:r>
      <w:r>
        <w:t>÷（P/A,i</w:t>
      </w:r>
      <w:r>
        <w:rPr>
          <w:vertAlign w:val="subscript"/>
        </w:rPr>
        <w:t>1</w:t>
      </w:r>
      <w:r>
        <w:t>,n）＋</w:t>
      </w:r>
      <w:r>
        <w:rPr>
          <w:rFonts w:hint="eastAsia"/>
        </w:rPr>
        <w:t>（项目总投资－设备购置费）×</w:t>
      </w:r>
      <w:r>
        <w:t>80</w:t>
      </w:r>
      <w:r>
        <w:rPr>
          <w:rFonts w:hint="eastAsia"/>
        </w:rPr>
        <w:t>%</w:t>
      </w:r>
      <w:r>
        <w:t>÷（P/A,i</w:t>
      </w:r>
      <w:r>
        <w:rPr>
          <w:vertAlign w:val="subscript"/>
        </w:rPr>
        <w:t>2</w:t>
      </w:r>
      <w:r>
        <w:t>,n）〕×n＋〔</w:t>
      </w:r>
      <w:r>
        <w:rPr>
          <w:rFonts w:hint="eastAsia"/>
        </w:rPr>
        <w:t>设备购置费×2</w:t>
      </w:r>
      <w:r>
        <w:t>0</w:t>
      </w:r>
      <w:r>
        <w:rPr>
          <w:rFonts w:hint="eastAsia"/>
        </w:rPr>
        <w:t>%</w:t>
      </w:r>
      <w:r>
        <w:t>÷（P/A,i</w:t>
      </w:r>
      <w:r>
        <w:rPr>
          <w:vertAlign w:val="subscript"/>
        </w:rPr>
        <w:t>1</w:t>
      </w:r>
      <w:r>
        <w:t>,</w:t>
      </w:r>
      <w:r>
        <w:rPr>
          <w:rFonts w:hint="eastAsia"/>
        </w:rPr>
        <w:t>m</w:t>
      </w:r>
      <w:r>
        <w:t>）＋</w:t>
      </w:r>
      <w:r>
        <w:rPr>
          <w:rFonts w:hint="eastAsia"/>
        </w:rPr>
        <w:t>设备购置费×</w:t>
      </w:r>
      <w:r>
        <w:t>80</w:t>
      </w:r>
      <w:r>
        <w:rPr>
          <w:rFonts w:hint="eastAsia"/>
        </w:rPr>
        <w:t>%</w:t>
      </w:r>
      <w:r>
        <w:t>÷（P/A,i</w:t>
      </w:r>
      <w:r>
        <w:rPr>
          <w:vertAlign w:val="subscript"/>
        </w:rPr>
        <w:t>2</w:t>
      </w:r>
      <w:r>
        <w:t>,</w:t>
      </w:r>
      <w:r>
        <w:rPr>
          <w:rFonts w:hint="eastAsia"/>
        </w:rPr>
        <w:t>m</w:t>
      </w:r>
      <w:r>
        <w:t>）〕</w:t>
      </w:r>
      <w:r>
        <w:rPr>
          <w:rFonts w:hint="eastAsia"/>
        </w:rPr>
        <w:t>×m</w:t>
      </w:r>
      <w:r>
        <w:t>＋</w:t>
      </w:r>
      <w:r>
        <w:rPr>
          <w:rFonts w:hint="eastAsia"/>
        </w:rPr>
        <w:t>∑</w:t>
      </w:r>
      <w:r>
        <w:t>〔</w:t>
      </w:r>
      <w:r>
        <w:rPr>
          <w:rFonts w:hint="eastAsia"/>
        </w:rPr>
        <w:t>设备重置更新投资×2</w:t>
      </w:r>
      <w:r>
        <w:t>0</w:t>
      </w:r>
      <w:r>
        <w:rPr>
          <w:rFonts w:hint="eastAsia"/>
        </w:rPr>
        <w:t>%</w:t>
      </w:r>
      <w:r>
        <w:t>÷（P/A,i</w:t>
      </w:r>
      <w:r>
        <w:rPr>
          <w:vertAlign w:val="subscript"/>
        </w:rPr>
        <w:t>1</w:t>
      </w:r>
      <w:r>
        <w:t>,</w:t>
      </w:r>
      <w:r>
        <w:rPr>
          <w:rFonts w:hint="eastAsia"/>
        </w:rPr>
        <w:t>m</w:t>
      </w:r>
      <w:r>
        <w:t>）＋</w:t>
      </w:r>
      <w:r>
        <w:rPr>
          <w:rFonts w:hint="eastAsia"/>
        </w:rPr>
        <w:t>设备重置更新投资×</w:t>
      </w:r>
      <w:r>
        <w:t>80</w:t>
      </w:r>
      <w:r>
        <w:rPr>
          <w:rFonts w:hint="eastAsia"/>
        </w:rPr>
        <w:t>%</w:t>
      </w:r>
      <w:r>
        <w:t>÷（P/A,i</w:t>
      </w:r>
      <w:r>
        <w:rPr>
          <w:vertAlign w:val="subscript"/>
        </w:rPr>
        <w:t>2</w:t>
      </w:r>
      <w:r>
        <w:t>,</w:t>
      </w:r>
      <w:r>
        <w:rPr>
          <w:rFonts w:hint="eastAsia"/>
        </w:rPr>
        <w:t>m</w:t>
      </w:r>
      <w:r>
        <w:t>）〕</w:t>
      </w:r>
      <w:r>
        <w:rPr>
          <w:rFonts w:hint="eastAsia"/>
        </w:rPr>
        <w:t>×m</w:t>
      </w:r>
    </w:p>
    <w:p>
      <w:pPr>
        <w:snapToGrid w:val="0"/>
        <w:spacing w:line="500" w:lineRule="exact"/>
        <w:ind w:firstLine="420" w:firstLineChars="200"/>
      </w:pPr>
      <w:r>
        <w:t>其中：</w:t>
      </w:r>
    </w:p>
    <w:p>
      <w:pPr>
        <w:snapToGrid w:val="0"/>
        <w:spacing w:line="500" w:lineRule="exact"/>
        <w:ind w:firstLine="420" w:firstLineChars="200"/>
      </w:pPr>
      <w:r>
        <w:t>（1）</w:t>
      </w:r>
      <w:r>
        <w:rPr>
          <w:rFonts w:hint="eastAsia"/>
        </w:rPr>
        <w:t>项目建设成本，即项目总投资，取附表1数据</w:t>
      </w:r>
      <w:r>
        <w:t>。</w:t>
      </w:r>
    </w:p>
    <w:p>
      <w:pPr>
        <w:snapToGrid w:val="0"/>
        <w:spacing w:line="500" w:lineRule="exact"/>
        <w:ind w:firstLine="420" w:firstLineChars="200"/>
      </w:pPr>
      <w:r>
        <w:t>（2）</w:t>
      </w:r>
      <w:r>
        <w:rPr>
          <w:kern w:val="0"/>
        </w:rPr>
        <w:t>运营成本，</w:t>
      </w:r>
      <w:r>
        <w:rPr>
          <w:szCs w:val="16"/>
        </w:rPr>
        <w:t>包括人工费用、维护保养费、废渣处理费、外购药剂费、水费、油耗等</w:t>
      </w:r>
      <w:r>
        <w:t>，</w:t>
      </w:r>
      <w:r>
        <w:rPr>
          <w:rFonts w:hint="eastAsia"/>
        </w:rPr>
        <w:t>取附表6数据；运营成本合理利润率为</w:t>
      </w:r>
      <w:r>
        <w:rPr>
          <w:rFonts w:hint="eastAsia"/>
          <w:u w:val="single"/>
        </w:rPr>
        <w:t>【插入投标人报价</w:t>
      </w:r>
      <w:r>
        <w:rPr>
          <w:u w:val="single"/>
        </w:rPr>
        <w:t>，且不得高于7%</w:t>
      </w:r>
      <w:r>
        <w:rPr>
          <w:rFonts w:hint="eastAsia"/>
          <w:u w:val="single"/>
        </w:rPr>
        <w:t>】</w:t>
      </w:r>
      <w:r>
        <w:t>。</w:t>
      </w:r>
    </w:p>
    <w:p>
      <w:pPr>
        <w:snapToGrid w:val="0"/>
        <w:spacing w:line="500" w:lineRule="exact"/>
        <w:ind w:firstLine="420" w:firstLineChars="200"/>
      </w:pPr>
      <w:r>
        <w:t>（3）</w:t>
      </w:r>
      <w:r>
        <w:rPr>
          <w:rFonts w:hint="eastAsia"/>
        </w:rPr>
        <w:t>项目产出物销售收入，包括油脂销售收入和电能销售收入等，其中电能暂考虑自用。取附表5数据。</w:t>
      </w:r>
    </w:p>
    <w:p>
      <w:pPr>
        <w:snapToGrid w:val="0"/>
        <w:spacing w:line="500" w:lineRule="exact"/>
        <w:ind w:firstLine="420" w:firstLineChars="200"/>
      </w:pPr>
      <w:r>
        <w:t>（4）i</w:t>
      </w:r>
      <w:r>
        <w:rPr>
          <w:vertAlign w:val="subscript"/>
        </w:rPr>
        <w:t>1</w:t>
      </w:r>
      <w:r>
        <w:t>，自有资金预期回报率，</w:t>
      </w:r>
      <w:r>
        <w:rPr>
          <w:rFonts w:hint="eastAsia"/>
        </w:rPr>
        <w:t>为【</w:t>
      </w:r>
      <w:r>
        <w:rPr>
          <w:rFonts w:hint="eastAsia"/>
          <w:u w:val="single"/>
        </w:rPr>
        <w:t>插入投标人报价，</w:t>
      </w:r>
      <w:r>
        <w:rPr>
          <w:u w:val="single"/>
        </w:rPr>
        <w:t>不得高于7%</w:t>
      </w:r>
      <w:r>
        <w:rPr>
          <w:rFonts w:hint="eastAsia"/>
        </w:rPr>
        <w:t>】</w:t>
      </w:r>
      <w:r>
        <w:t>。</w:t>
      </w:r>
    </w:p>
    <w:p>
      <w:pPr>
        <w:snapToGrid w:val="0"/>
        <w:spacing w:line="500" w:lineRule="exact"/>
        <w:ind w:firstLine="420" w:firstLineChars="200"/>
        <w:rPr>
          <w:u w:val="single"/>
        </w:rPr>
      </w:pPr>
      <w:r>
        <w:t>（5）i</w:t>
      </w:r>
      <w:r>
        <w:rPr>
          <w:vertAlign w:val="subscript"/>
        </w:rPr>
        <w:t>2</w:t>
      </w:r>
      <w:r>
        <w:t>，借入资金综合融资成本，</w:t>
      </w:r>
      <w:r>
        <w:rPr>
          <w:rFonts w:hint="eastAsia"/>
        </w:rPr>
        <w:t>为</w:t>
      </w:r>
      <w:r>
        <w:rPr>
          <w:u w:val="single"/>
        </w:rPr>
        <w:t>五年期贷款市场报价利率LPR</w:t>
      </w:r>
      <w:r>
        <w:rPr>
          <w:rFonts w:hint="eastAsia"/>
          <w:u w:val="single"/>
        </w:rPr>
        <w:t>+【插入投标人报价，且不超过1</w:t>
      </w:r>
      <w:r>
        <w:rPr>
          <w:u w:val="single"/>
        </w:rPr>
        <w:t>08</w:t>
      </w:r>
      <w:r>
        <w:rPr>
          <w:rFonts w:hint="eastAsia"/>
          <w:u w:val="single"/>
        </w:rPr>
        <w:t>】</w:t>
      </w:r>
      <w:r>
        <w:rPr>
          <w:u w:val="single"/>
        </w:rPr>
        <w:t>BP</w:t>
      </w:r>
      <w:r>
        <w:rPr>
          <w:rFonts w:hint="eastAsia"/>
          <w:u w:val="single"/>
        </w:rPr>
        <w:t>，即%</w:t>
      </w:r>
      <w:r>
        <w:rPr>
          <w:u w:val="single"/>
        </w:rPr>
        <w:t>。</w:t>
      </w:r>
    </w:p>
    <w:p>
      <w:pPr>
        <w:snapToGrid w:val="0"/>
        <w:spacing w:line="500" w:lineRule="exact"/>
        <w:ind w:firstLine="420" w:firstLineChars="200"/>
      </w:pPr>
      <w:r>
        <w:rPr>
          <w:rFonts w:hint="eastAsia"/>
        </w:rPr>
        <w:t>项目正式运营后调整</w:t>
      </w:r>
      <w:r>
        <w:t>借入资金综合融资成本</w:t>
      </w:r>
      <w:r>
        <w:rPr>
          <w:rFonts w:hint="eastAsia"/>
        </w:rPr>
        <w:t>，</w:t>
      </w:r>
      <w:r>
        <w:t>调整公式如下</w:t>
      </w:r>
      <w:r>
        <w:rPr>
          <w:rFonts w:hint="eastAsia"/>
        </w:rPr>
        <w:t>：</w:t>
      </w:r>
    </w:p>
    <w:p>
      <w:pPr>
        <w:snapToGrid w:val="0"/>
        <w:spacing w:line="500" w:lineRule="exact"/>
        <w:ind w:firstLine="420" w:firstLineChars="200"/>
      </w:pPr>
      <w:r>
        <w:rPr>
          <w:rFonts w:hint="eastAsia"/>
        </w:rPr>
        <w:t>借入资金</w:t>
      </w:r>
      <w:r>
        <w:t>综合融资成本＝</w:t>
      </w:r>
      <w:r>
        <w:rPr>
          <w:rFonts w:hint="eastAsia"/>
        </w:rPr>
        <w:t>正式运营日</w:t>
      </w:r>
      <w:r>
        <w:t>前12个月LPR算术平均值＋社会资本方投标文件报出的数据</w:t>
      </w:r>
    </w:p>
    <w:p>
      <w:pPr>
        <w:snapToGrid w:val="0"/>
        <w:spacing w:line="500" w:lineRule="exact"/>
        <w:ind w:firstLine="420" w:firstLineChars="200"/>
      </w:pPr>
      <w:r>
        <w:t>（6）n，</w:t>
      </w:r>
      <w:r>
        <w:rPr>
          <w:rFonts w:hint="eastAsia"/>
        </w:rPr>
        <w:t>取项目运营年限，本报告按</w:t>
      </w:r>
      <w:r>
        <w:t>27</w:t>
      </w:r>
      <w:r>
        <w:rPr>
          <w:rFonts w:hint="eastAsia"/>
        </w:rPr>
        <w:t>年测算</w:t>
      </w:r>
      <w:r>
        <w:t>。</w:t>
      </w:r>
    </w:p>
    <w:p>
      <w:pPr>
        <w:snapToGrid w:val="0"/>
        <w:spacing w:line="500" w:lineRule="exact"/>
        <w:ind w:firstLine="420" w:firstLineChars="200"/>
      </w:pPr>
      <w:r>
        <w:rPr>
          <w:rFonts w:hint="eastAsia"/>
        </w:rPr>
        <w:t>（</w:t>
      </w:r>
      <w:r>
        <w:t>7</w:t>
      </w:r>
      <w:r>
        <w:rPr>
          <w:rFonts w:hint="eastAsia"/>
        </w:rPr>
        <w:t>）m，取设备折旧年限，当剩余运营年限小于折旧年限，m取剩余运营年限。餐厨废弃物处理设备、收运设备折旧年限详见下表：</w:t>
      </w:r>
    </w:p>
    <w:p>
      <w:pPr>
        <w:snapToGrid w:val="0"/>
        <w:spacing w:line="500" w:lineRule="exact"/>
        <w:ind w:firstLine="400" w:firstLineChars="200"/>
        <w:jc w:val="center"/>
        <w:rPr>
          <w:sz w:val="20"/>
          <w:szCs w:val="16"/>
        </w:rPr>
      </w:pPr>
      <w:r>
        <w:rPr>
          <w:sz w:val="20"/>
          <w:szCs w:val="16"/>
        </w:rPr>
        <w:t>餐厨废弃物处理设备</w:t>
      </w:r>
      <w:r>
        <w:rPr>
          <w:rFonts w:hint="eastAsia"/>
          <w:sz w:val="20"/>
          <w:szCs w:val="16"/>
        </w:rPr>
        <w:t>折旧年限取值一览表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108" w:type="dxa"/>
          <w:bottom w:w="0" w:type="dxa"/>
          <w:right w:w="108" w:type="dxa"/>
        </w:tblCellMar>
      </w:tblPr>
      <w:tblGrid>
        <w:gridCol w:w="1266"/>
        <w:gridCol w:w="3631"/>
        <w:gridCol w:w="3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280" w:hRule="atLeast"/>
          <w:tblHeader/>
        </w:trPr>
        <w:tc>
          <w:tcPr>
            <w:tcW w:w="742" w:type="pct"/>
            <w:shd w:val="clear" w:color="auto" w:fill="FFFFFF"/>
            <w:vAlign w:val="center"/>
          </w:tcPr>
          <w:p>
            <w:pPr>
              <w:widowControl/>
              <w:jc w:val="center"/>
              <w:rPr>
                <w:rFonts w:eastAsia="黑体"/>
                <w:kern w:val="0"/>
                <w:sz w:val="16"/>
                <w:szCs w:val="16"/>
              </w:rPr>
            </w:pPr>
            <w:r>
              <w:rPr>
                <w:rFonts w:eastAsia="黑体"/>
                <w:kern w:val="0"/>
                <w:sz w:val="16"/>
                <w:szCs w:val="16"/>
              </w:rPr>
              <w:t>序号</w:t>
            </w:r>
          </w:p>
        </w:tc>
        <w:tc>
          <w:tcPr>
            <w:tcW w:w="2129" w:type="pct"/>
            <w:shd w:val="clear" w:color="auto" w:fill="FFFFFF"/>
            <w:noWrap/>
            <w:vAlign w:val="center"/>
          </w:tcPr>
          <w:p>
            <w:pPr>
              <w:widowControl/>
              <w:jc w:val="center"/>
              <w:rPr>
                <w:rFonts w:eastAsia="黑体"/>
                <w:kern w:val="0"/>
                <w:sz w:val="16"/>
                <w:szCs w:val="16"/>
              </w:rPr>
            </w:pPr>
            <w:r>
              <w:rPr>
                <w:rFonts w:eastAsia="黑体"/>
                <w:kern w:val="0"/>
                <w:sz w:val="16"/>
                <w:szCs w:val="16"/>
              </w:rPr>
              <w:t>购置费占比</w:t>
            </w:r>
          </w:p>
        </w:tc>
        <w:tc>
          <w:tcPr>
            <w:tcW w:w="2129" w:type="pct"/>
            <w:shd w:val="clear" w:color="auto" w:fill="FFFFFF"/>
            <w:vAlign w:val="center"/>
          </w:tcPr>
          <w:p>
            <w:pPr>
              <w:widowControl/>
              <w:jc w:val="center"/>
              <w:rPr>
                <w:rFonts w:eastAsia="黑体"/>
                <w:kern w:val="0"/>
                <w:sz w:val="16"/>
                <w:szCs w:val="16"/>
              </w:rPr>
            </w:pPr>
            <w:r>
              <w:rPr>
                <w:rFonts w:hint="eastAsia" w:eastAsia="黑体"/>
                <w:kern w:val="0"/>
                <w:sz w:val="16"/>
                <w:szCs w:val="16"/>
              </w:rPr>
              <w:t>m（</w:t>
            </w:r>
            <w:r>
              <w:rPr>
                <w:rFonts w:eastAsia="黑体"/>
                <w:kern w:val="0"/>
                <w:sz w:val="16"/>
                <w:szCs w:val="16"/>
              </w:rPr>
              <w:t>折旧年限</w:t>
            </w:r>
            <w:r>
              <w:rPr>
                <w:rFonts w:hint="eastAsia" w:eastAsia="黑体"/>
                <w:kern w:val="0"/>
                <w:sz w:val="16"/>
                <w:szCs w:val="16"/>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 xml:space="preserve"> 1</w:t>
            </w:r>
          </w:p>
        </w:tc>
        <w:tc>
          <w:tcPr>
            <w:tcW w:w="2129" w:type="pct"/>
            <w:shd w:val="clear" w:color="auto" w:fill="FFFFFF"/>
            <w:noWrap/>
            <w:vAlign w:val="center"/>
          </w:tcPr>
          <w:p>
            <w:pPr>
              <w:widowControl/>
              <w:jc w:val="center"/>
              <w:rPr>
                <w:kern w:val="0"/>
                <w:sz w:val="18"/>
                <w:szCs w:val="18"/>
              </w:rPr>
            </w:pPr>
            <w:r>
              <w:rPr>
                <w:kern w:val="0"/>
                <w:sz w:val="18"/>
                <w:szCs w:val="18"/>
              </w:rPr>
              <w:t>51.75%</w:t>
            </w:r>
          </w:p>
        </w:tc>
        <w:tc>
          <w:tcPr>
            <w:tcW w:w="2129" w:type="pct"/>
            <w:shd w:val="clear" w:color="auto" w:fill="FFFFFF"/>
            <w:vAlign w:val="center"/>
          </w:tcPr>
          <w:p>
            <w:pPr>
              <w:widowControl/>
              <w:jc w:val="center"/>
              <w:rPr>
                <w:kern w:val="0"/>
                <w:sz w:val="18"/>
                <w:szCs w:val="18"/>
              </w:rPr>
            </w:pPr>
            <w:r>
              <w:rPr>
                <w:kern w:val="0"/>
                <w:sz w:val="18"/>
                <w:szCs w:val="18"/>
              </w:rPr>
              <w:t>运营期内不需重置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2</w:t>
            </w:r>
          </w:p>
        </w:tc>
        <w:tc>
          <w:tcPr>
            <w:tcW w:w="2129" w:type="pct"/>
            <w:shd w:val="clear" w:color="auto" w:fill="FFFFFF"/>
            <w:noWrap/>
            <w:vAlign w:val="center"/>
          </w:tcPr>
          <w:p>
            <w:pPr>
              <w:widowControl/>
              <w:jc w:val="center"/>
              <w:rPr>
                <w:kern w:val="0"/>
                <w:sz w:val="18"/>
                <w:szCs w:val="18"/>
              </w:rPr>
            </w:pPr>
            <w:r>
              <w:rPr>
                <w:kern w:val="0"/>
                <w:sz w:val="18"/>
                <w:szCs w:val="18"/>
              </w:rPr>
              <w:t>32.74%</w:t>
            </w:r>
          </w:p>
        </w:tc>
        <w:tc>
          <w:tcPr>
            <w:tcW w:w="2129" w:type="pct"/>
            <w:shd w:val="clear" w:color="auto" w:fill="FFFFFF"/>
            <w:vAlign w:val="center"/>
          </w:tcPr>
          <w:p>
            <w:pPr>
              <w:widowControl/>
              <w:jc w:val="center"/>
              <w:rPr>
                <w:kern w:val="0"/>
                <w:sz w:val="18"/>
                <w:szCs w:val="18"/>
              </w:rPr>
            </w:pPr>
            <w:r>
              <w:rPr>
                <w:kern w:val="0"/>
                <w:sz w:val="18"/>
                <w:szCs w:val="18"/>
              </w:rPr>
              <w:t>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3</w:t>
            </w:r>
          </w:p>
        </w:tc>
        <w:tc>
          <w:tcPr>
            <w:tcW w:w="2129" w:type="pct"/>
            <w:shd w:val="clear" w:color="auto" w:fill="FFFFFF"/>
            <w:noWrap/>
            <w:vAlign w:val="center"/>
          </w:tcPr>
          <w:p>
            <w:pPr>
              <w:widowControl/>
              <w:jc w:val="center"/>
              <w:rPr>
                <w:kern w:val="0"/>
                <w:sz w:val="18"/>
                <w:szCs w:val="18"/>
              </w:rPr>
            </w:pPr>
            <w:r>
              <w:rPr>
                <w:kern w:val="0"/>
                <w:sz w:val="18"/>
                <w:szCs w:val="18"/>
              </w:rPr>
              <w:t>1.10%</w:t>
            </w:r>
          </w:p>
        </w:tc>
        <w:tc>
          <w:tcPr>
            <w:tcW w:w="2129" w:type="pct"/>
            <w:shd w:val="clear" w:color="auto" w:fill="FFFFFF"/>
            <w:vAlign w:val="center"/>
          </w:tcPr>
          <w:p>
            <w:pPr>
              <w:widowControl/>
              <w:jc w:val="center"/>
              <w:rPr>
                <w:kern w:val="0"/>
                <w:sz w:val="18"/>
                <w:szCs w:val="18"/>
              </w:rPr>
            </w:pPr>
            <w:r>
              <w:rPr>
                <w:kern w:val="0"/>
                <w:sz w:val="18"/>
                <w:szCs w:val="18"/>
              </w:rPr>
              <w:t>10年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4</w:t>
            </w:r>
          </w:p>
        </w:tc>
        <w:tc>
          <w:tcPr>
            <w:tcW w:w="2129" w:type="pct"/>
            <w:shd w:val="clear" w:color="auto" w:fill="FFFFFF"/>
            <w:noWrap/>
            <w:vAlign w:val="center"/>
          </w:tcPr>
          <w:p>
            <w:pPr>
              <w:widowControl/>
              <w:jc w:val="center"/>
              <w:rPr>
                <w:kern w:val="0"/>
                <w:sz w:val="18"/>
                <w:szCs w:val="18"/>
              </w:rPr>
            </w:pPr>
            <w:r>
              <w:rPr>
                <w:kern w:val="0"/>
                <w:sz w:val="18"/>
                <w:szCs w:val="18"/>
              </w:rPr>
              <w:t>13.20%</w:t>
            </w:r>
          </w:p>
        </w:tc>
        <w:tc>
          <w:tcPr>
            <w:tcW w:w="2129" w:type="pct"/>
            <w:shd w:val="clear" w:color="auto" w:fill="FFFFFF"/>
            <w:vAlign w:val="center"/>
          </w:tcPr>
          <w:p>
            <w:pPr>
              <w:widowControl/>
              <w:jc w:val="center"/>
              <w:rPr>
                <w:kern w:val="0"/>
                <w:sz w:val="18"/>
                <w:szCs w:val="18"/>
              </w:rPr>
            </w:pPr>
            <w:r>
              <w:rPr>
                <w:kern w:val="0"/>
                <w:sz w:val="18"/>
                <w:szCs w:val="18"/>
              </w:rPr>
              <w:t>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5</w:t>
            </w:r>
          </w:p>
        </w:tc>
        <w:tc>
          <w:tcPr>
            <w:tcW w:w="2129" w:type="pct"/>
            <w:shd w:val="clear" w:color="auto" w:fill="FFFFFF"/>
            <w:noWrap/>
            <w:vAlign w:val="center"/>
          </w:tcPr>
          <w:p>
            <w:pPr>
              <w:widowControl/>
              <w:jc w:val="center"/>
              <w:rPr>
                <w:kern w:val="0"/>
                <w:sz w:val="18"/>
                <w:szCs w:val="18"/>
              </w:rPr>
            </w:pPr>
            <w:r>
              <w:rPr>
                <w:kern w:val="0"/>
                <w:sz w:val="18"/>
                <w:szCs w:val="18"/>
              </w:rPr>
              <w:t>1.21%</w:t>
            </w:r>
          </w:p>
        </w:tc>
        <w:tc>
          <w:tcPr>
            <w:tcW w:w="2129" w:type="pct"/>
            <w:shd w:val="clear" w:color="auto" w:fill="FFFFFF"/>
            <w:vAlign w:val="center"/>
          </w:tcPr>
          <w:p>
            <w:pPr>
              <w:widowControl/>
              <w:jc w:val="center"/>
              <w:rPr>
                <w:kern w:val="0"/>
                <w:sz w:val="18"/>
                <w:szCs w:val="18"/>
              </w:rPr>
            </w:pPr>
            <w:r>
              <w:rPr>
                <w:kern w:val="0"/>
                <w:sz w:val="18"/>
                <w:szCs w:val="18"/>
              </w:rPr>
              <w:t>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742" w:type="pct"/>
            <w:shd w:val="clear" w:color="auto" w:fill="FFFFFF"/>
            <w:vAlign w:val="center"/>
          </w:tcPr>
          <w:p>
            <w:pPr>
              <w:widowControl/>
              <w:jc w:val="center"/>
              <w:rPr>
                <w:kern w:val="0"/>
                <w:sz w:val="18"/>
                <w:szCs w:val="18"/>
              </w:rPr>
            </w:pPr>
            <w:r>
              <w:rPr>
                <w:kern w:val="0"/>
                <w:sz w:val="18"/>
                <w:szCs w:val="18"/>
              </w:rPr>
              <w:t>*</w:t>
            </w:r>
          </w:p>
        </w:tc>
        <w:tc>
          <w:tcPr>
            <w:tcW w:w="2129" w:type="pct"/>
            <w:shd w:val="clear" w:color="auto" w:fill="FFFFFF"/>
            <w:noWrap/>
            <w:vAlign w:val="center"/>
          </w:tcPr>
          <w:p>
            <w:pPr>
              <w:widowControl/>
              <w:jc w:val="center"/>
              <w:rPr>
                <w:kern w:val="0"/>
                <w:sz w:val="18"/>
                <w:szCs w:val="18"/>
              </w:rPr>
            </w:pPr>
            <w:r>
              <w:rPr>
                <w:kern w:val="0"/>
                <w:sz w:val="18"/>
                <w:szCs w:val="18"/>
              </w:rPr>
              <w:t>100%</w:t>
            </w:r>
          </w:p>
        </w:tc>
        <w:tc>
          <w:tcPr>
            <w:tcW w:w="2129" w:type="pct"/>
            <w:shd w:val="clear" w:color="auto" w:fill="FFFFFF"/>
            <w:vAlign w:val="center"/>
          </w:tcPr>
          <w:p>
            <w:pPr>
              <w:widowControl/>
              <w:jc w:val="center"/>
              <w:rPr>
                <w:kern w:val="0"/>
                <w:sz w:val="18"/>
                <w:szCs w:val="18"/>
              </w:rPr>
            </w:pPr>
          </w:p>
        </w:tc>
      </w:tr>
    </w:tbl>
    <w:p>
      <w:pPr>
        <w:snapToGrid w:val="0"/>
        <w:spacing w:line="500" w:lineRule="exact"/>
        <w:ind w:firstLine="400" w:firstLineChars="200"/>
        <w:jc w:val="center"/>
        <w:rPr>
          <w:sz w:val="20"/>
          <w:szCs w:val="16"/>
        </w:rPr>
      </w:pPr>
      <w:r>
        <w:rPr>
          <w:sz w:val="20"/>
          <w:szCs w:val="16"/>
        </w:rPr>
        <w:t>餐厨废弃物收运设备</w:t>
      </w:r>
      <w:r>
        <w:rPr>
          <w:rFonts w:hint="eastAsia"/>
          <w:sz w:val="20"/>
          <w:szCs w:val="16"/>
        </w:rPr>
        <w:t>折旧年限取值一览表</w:t>
      </w:r>
    </w:p>
    <w:tbl>
      <w:tblPr>
        <w:tblStyle w:val="40"/>
        <w:tblW w:w="492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6"/>
        <w:gridCol w:w="3560"/>
        <w:gridCol w:w="3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65" w:type="pct"/>
            <w:shd w:val="clear" w:color="auto" w:fill="auto"/>
            <w:noWrap/>
            <w:vAlign w:val="center"/>
          </w:tcPr>
          <w:p>
            <w:pPr>
              <w:widowControl/>
              <w:jc w:val="center"/>
              <w:rPr>
                <w:rFonts w:eastAsia="黑体"/>
                <w:kern w:val="0"/>
                <w:sz w:val="16"/>
                <w:szCs w:val="16"/>
              </w:rPr>
            </w:pPr>
            <w:r>
              <w:rPr>
                <w:rFonts w:eastAsia="黑体"/>
                <w:kern w:val="0"/>
                <w:sz w:val="16"/>
                <w:szCs w:val="16"/>
              </w:rPr>
              <w:t>序号</w:t>
            </w:r>
          </w:p>
        </w:tc>
        <w:tc>
          <w:tcPr>
            <w:tcW w:w="2118" w:type="pct"/>
            <w:vAlign w:val="center"/>
          </w:tcPr>
          <w:p>
            <w:pPr>
              <w:widowControl/>
              <w:jc w:val="center"/>
              <w:rPr>
                <w:rFonts w:eastAsia="黑体"/>
                <w:kern w:val="0"/>
                <w:sz w:val="16"/>
                <w:szCs w:val="16"/>
              </w:rPr>
            </w:pPr>
            <w:r>
              <w:rPr>
                <w:rFonts w:eastAsia="黑体"/>
                <w:kern w:val="0"/>
                <w:sz w:val="16"/>
                <w:szCs w:val="16"/>
              </w:rPr>
              <w:t>购置费占比</w:t>
            </w:r>
          </w:p>
        </w:tc>
        <w:tc>
          <w:tcPr>
            <w:tcW w:w="2118" w:type="pct"/>
            <w:vAlign w:val="center"/>
          </w:tcPr>
          <w:p>
            <w:pPr>
              <w:widowControl/>
              <w:jc w:val="center"/>
              <w:rPr>
                <w:rFonts w:eastAsia="黑体"/>
                <w:kern w:val="0"/>
                <w:sz w:val="16"/>
                <w:szCs w:val="16"/>
              </w:rPr>
            </w:pPr>
            <w:r>
              <w:rPr>
                <w:rFonts w:hint="eastAsia" w:eastAsia="黑体"/>
                <w:kern w:val="0"/>
                <w:sz w:val="16"/>
                <w:szCs w:val="16"/>
              </w:rPr>
              <w:t>m（</w:t>
            </w:r>
            <w:r>
              <w:rPr>
                <w:rFonts w:eastAsia="黑体"/>
                <w:kern w:val="0"/>
                <w:sz w:val="16"/>
                <w:szCs w:val="16"/>
              </w:rPr>
              <w:t>折旧年限</w:t>
            </w:r>
            <w:r>
              <w:rPr>
                <w:rFonts w:hint="eastAsia" w:eastAsia="黑体"/>
                <w:kern w:val="0"/>
                <w:sz w:val="16"/>
                <w:szCs w:val="16"/>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65" w:type="pct"/>
            <w:shd w:val="clear" w:color="auto" w:fill="auto"/>
            <w:noWrap/>
            <w:vAlign w:val="center"/>
          </w:tcPr>
          <w:p>
            <w:pPr>
              <w:widowControl/>
              <w:jc w:val="center"/>
              <w:rPr>
                <w:kern w:val="0"/>
                <w:sz w:val="18"/>
                <w:szCs w:val="18"/>
              </w:rPr>
            </w:pPr>
            <w:r>
              <w:rPr>
                <w:kern w:val="0"/>
                <w:sz w:val="18"/>
                <w:szCs w:val="18"/>
              </w:rPr>
              <w:t>1</w:t>
            </w:r>
          </w:p>
        </w:tc>
        <w:tc>
          <w:tcPr>
            <w:tcW w:w="2118" w:type="pct"/>
            <w:vAlign w:val="center"/>
          </w:tcPr>
          <w:p>
            <w:pPr>
              <w:widowControl/>
              <w:jc w:val="center"/>
              <w:rPr>
                <w:kern w:val="0"/>
                <w:sz w:val="18"/>
                <w:szCs w:val="18"/>
              </w:rPr>
            </w:pPr>
            <w:r>
              <w:rPr>
                <w:kern w:val="0"/>
                <w:sz w:val="18"/>
                <w:szCs w:val="18"/>
              </w:rPr>
              <w:t>6.63%</w:t>
            </w:r>
          </w:p>
        </w:tc>
        <w:tc>
          <w:tcPr>
            <w:tcW w:w="2118" w:type="pct"/>
            <w:vAlign w:val="center"/>
          </w:tcPr>
          <w:p>
            <w:pPr>
              <w:widowControl/>
              <w:jc w:val="center"/>
              <w:rPr>
                <w:kern w:val="0"/>
                <w:sz w:val="18"/>
                <w:szCs w:val="18"/>
              </w:rPr>
            </w:pPr>
            <w:r>
              <w:rPr>
                <w:kern w:val="0"/>
                <w:sz w:val="18"/>
                <w:szCs w:val="1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65" w:type="pct"/>
            <w:shd w:val="clear" w:color="auto" w:fill="auto"/>
            <w:noWrap/>
            <w:vAlign w:val="center"/>
          </w:tcPr>
          <w:p>
            <w:pPr>
              <w:widowControl/>
              <w:jc w:val="center"/>
              <w:rPr>
                <w:kern w:val="0"/>
                <w:sz w:val="18"/>
                <w:szCs w:val="18"/>
              </w:rPr>
            </w:pPr>
            <w:r>
              <w:rPr>
                <w:kern w:val="0"/>
                <w:sz w:val="18"/>
                <w:szCs w:val="18"/>
              </w:rPr>
              <w:t>2</w:t>
            </w:r>
          </w:p>
        </w:tc>
        <w:tc>
          <w:tcPr>
            <w:tcW w:w="2118" w:type="pct"/>
            <w:vAlign w:val="center"/>
          </w:tcPr>
          <w:p>
            <w:pPr>
              <w:widowControl/>
              <w:jc w:val="center"/>
              <w:rPr>
                <w:kern w:val="0"/>
                <w:sz w:val="18"/>
                <w:szCs w:val="18"/>
              </w:rPr>
            </w:pPr>
            <w:r>
              <w:rPr>
                <w:kern w:val="0"/>
                <w:sz w:val="18"/>
                <w:szCs w:val="18"/>
              </w:rPr>
              <w:t>88.12%</w:t>
            </w:r>
          </w:p>
        </w:tc>
        <w:tc>
          <w:tcPr>
            <w:tcW w:w="2118" w:type="pct"/>
            <w:vAlign w:val="center"/>
          </w:tcPr>
          <w:p>
            <w:pPr>
              <w:widowControl/>
              <w:jc w:val="center"/>
              <w:rPr>
                <w:kern w:val="0"/>
                <w:sz w:val="18"/>
                <w:szCs w:val="18"/>
              </w:rPr>
            </w:pPr>
            <w:r>
              <w:rPr>
                <w:kern w:val="0"/>
                <w:sz w:val="18"/>
                <w:szCs w:val="18"/>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65" w:type="pct"/>
            <w:shd w:val="clear" w:color="auto" w:fill="auto"/>
            <w:noWrap/>
            <w:vAlign w:val="center"/>
          </w:tcPr>
          <w:p>
            <w:pPr>
              <w:widowControl/>
              <w:jc w:val="center"/>
              <w:rPr>
                <w:kern w:val="0"/>
                <w:sz w:val="18"/>
                <w:szCs w:val="18"/>
              </w:rPr>
            </w:pPr>
            <w:r>
              <w:rPr>
                <w:kern w:val="0"/>
                <w:sz w:val="18"/>
                <w:szCs w:val="18"/>
              </w:rPr>
              <w:t>3</w:t>
            </w:r>
          </w:p>
        </w:tc>
        <w:tc>
          <w:tcPr>
            <w:tcW w:w="2118" w:type="pct"/>
            <w:vAlign w:val="center"/>
          </w:tcPr>
          <w:p>
            <w:pPr>
              <w:widowControl/>
              <w:jc w:val="center"/>
              <w:rPr>
                <w:kern w:val="0"/>
                <w:sz w:val="18"/>
                <w:szCs w:val="18"/>
              </w:rPr>
            </w:pPr>
            <w:r>
              <w:rPr>
                <w:kern w:val="0"/>
                <w:sz w:val="18"/>
                <w:szCs w:val="18"/>
              </w:rPr>
              <w:t>5.25%</w:t>
            </w:r>
          </w:p>
        </w:tc>
        <w:tc>
          <w:tcPr>
            <w:tcW w:w="2118" w:type="pct"/>
            <w:vAlign w:val="center"/>
          </w:tcPr>
          <w:p>
            <w:pPr>
              <w:widowControl/>
              <w:jc w:val="center"/>
              <w:rPr>
                <w:kern w:val="0"/>
                <w:sz w:val="18"/>
                <w:szCs w:val="18"/>
              </w:rPr>
            </w:pPr>
            <w:r>
              <w:rPr>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765" w:type="pct"/>
            <w:shd w:val="clear" w:color="auto" w:fill="auto"/>
            <w:noWrap/>
            <w:vAlign w:val="center"/>
          </w:tcPr>
          <w:p>
            <w:pPr>
              <w:widowControl/>
              <w:jc w:val="center"/>
              <w:rPr>
                <w:kern w:val="0"/>
                <w:sz w:val="18"/>
                <w:szCs w:val="18"/>
              </w:rPr>
            </w:pPr>
            <w:r>
              <w:rPr>
                <w:kern w:val="0"/>
                <w:sz w:val="18"/>
                <w:szCs w:val="18"/>
              </w:rPr>
              <w:t>*</w:t>
            </w:r>
          </w:p>
        </w:tc>
        <w:tc>
          <w:tcPr>
            <w:tcW w:w="2118" w:type="pct"/>
            <w:vAlign w:val="center"/>
          </w:tcPr>
          <w:p>
            <w:pPr>
              <w:widowControl/>
              <w:jc w:val="center"/>
              <w:rPr>
                <w:kern w:val="0"/>
                <w:sz w:val="18"/>
                <w:szCs w:val="18"/>
              </w:rPr>
            </w:pPr>
            <w:r>
              <w:rPr>
                <w:kern w:val="0"/>
                <w:sz w:val="18"/>
                <w:szCs w:val="18"/>
              </w:rPr>
              <w:t>100%</w:t>
            </w:r>
          </w:p>
        </w:tc>
        <w:tc>
          <w:tcPr>
            <w:tcW w:w="2118" w:type="pct"/>
            <w:vAlign w:val="center"/>
          </w:tcPr>
          <w:p>
            <w:pPr>
              <w:widowControl/>
              <w:jc w:val="center"/>
              <w:rPr>
                <w:kern w:val="0"/>
                <w:sz w:val="18"/>
                <w:szCs w:val="18"/>
              </w:rPr>
            </w:pPr>
          </w:p>
        </w:tc>
      </w:tr>
    </w:tbl>
    <w:p>
      <w:pPr>
        <w:adjustRightInd w:val="0"/>
        <w:snapToGrid w:val="0"/>
        <w:rPr>
          <w:rFonts w:asciiTheme="minorEastAsia" w:hAnsiTheme="minorEastAsia" w:eastAsiaTheme="minorEastAsia"/>
          <w:bCs/>
        </w:rPr>
      </w:pPr>
    </w:p>
    <w:p>
      <w:pPr>
        <w:adjustRightInd w:val="0"/>
        <w:snapToGrid w:val="0"/>
        <w:spacing w:line="360" w:lineRule="auto"/>
        <w:rPr>
          <w:rFonts w:ascii="宋体" w:hAnsi="宋体"/>
          <w:bCs/>
        </w:rPr>
      </w:pPr>
    </w:p>
    <w:p>
      <w:pPr>
        <w:adjustRightInd w:val="0"/>
        <w:snapToGrid w:val="0"/>
        <w:spacing w:line="360" w:lineRule="auto"/>
        <w:ind w:firstLine="422" w:firstLineChars="200"/>
        <w:rPr>
          <w:rFonts w:asciiTheme="minorEastAsia" w:hAnsiTheme="minorEastAsia" w:eastAsiaTheme="minorEastAsia" w:cstheme="minorBidi"/>
          <w:b/>
        </w:rPr>
      </w:pPr>
      <w:r>
        <w:rPr>
          <w:rFonts w:hint="eastAsia" w:asciiTheme="minorEastAsia" w:hAnsiTheme="minorEastAsia" w:eastAsiaTheme="minorEastAsia" w:cstheme="minorBidi"/>
          <w:b/>
        </w:rPr>
        <w:t>二</w:t>
      </w:r>
      <w:r>
        <w:rPr>
          <w:rFonts w:asciiTheme="minorEastAsia" w:hAnsiTheme="minorEastAsia" w:eastAsiaTheme="minorEastAsia" w:cstheme="minorBidi"/>
          <w:b/>
        </w:rPr>
        <w:t>、</w:t>
      </w:r>
      <w:r>
        <w:rPr>
          <w:rFonts w:hint="eastAsia" w:asciiTheme="minorEastAsia" w:hAnsiTheme="minorEastAsia" w:eastAsiaTheme="minorEastAsia" w:cstheme="minorBidi"/>
          <w:b/>
        </w:rPr>
        <w:t>财务方案详细内容及有关证明材料</w:t>
      </w:r>
    </w:p>
    <w:p>
      <w:pPr>
        <w:adjustRightInd w:val="0"/>
        <w:snapToGrid w:val="0"/>
        <w:spacing w:line="360" w:lineRule="auto"/>
        <w:rPr>
          <w:rFonts w:asciiTheme="minorEastAsia" w:hAnsiTheme="minorEastAsia" w:eastAsiaTheme="minorEastAsia"/>
          <w:bCs/>
        </w:rPr>
      </w:pPr>
      <w:r>
        <w:rPr>
          <w:rFonts w:hint="eastAsia" w:ascii="宋体" w:hAnsi="宋体"/>
          <w:bCs/>
        </w:rPr>
        <w:t>（请按照评标办法中的评审标准的内容编写）</w:t>
      </w:r>
    </w:p>
    <w:p>
      <w:pPr>
        <w:adjustRightInd w:val="0"/>
        <w:snapToGrid w:val="0"/>
        <w:spacing w:afterLines="50" w:line="480" w:lineRule="auto"/>
        <w:rPr>
          <w:rFonts w:asciiTheme="minorEastAsia" w:hAnsiTheme="minorEastAsia" w:eastAsiaTheme="minorEastAsia"/>
          <w:bCs/>
        </w:rPr>
        <w:sectPr>
          <w:footerReference r:id="rId9" w:type="default"/>
          <w:pgSz w:w="11906" w:h="16838"/>
          <w:pgMar w:top="1440" w:right="1797" w:bottom="1440" w:left="1797" w:header="851" w:footer="992" w:gutter="0"/>
          <w:pgNumType w:start="1"/>
          <w:cols w:space="720" w:num="1"/>
          <w:docGrid w:linePitch="312" w:charSpace="0"/>
        </w:sectPr>
      </w:pPr>
    </w:p>
    <w:p>
      <w:pPr>
        <w:widowControl/>
        <w:jc w:val="left"/>
        <w:rPr>
          <w:rFonts w:asciiTheme="minorEastAsia" w:hAnsiTheme="minorEastAsia" w:eastAsiaTheme="minorEastAsia"/>
          <w:b/>
          <w:kern w:val="0"/>
        </w:rPr>
      </w:pPr>
    </w:p>
    <w:p>
      <w:pPr>
        <w:numPr>
          <w:ilvl w:val="1"/>
          <w:numId w:val="25"/>
        </w:numPr>
        <w:adjustRightInd w:val="0"/>
        <w:snapToGrid w:val="0"/>
        <w:spacing w:beforeLines="50" w:afterLines="50" w:line="360" w:lineRule="auto"/>
        <w:ind w:left="0" w:firstLine="0"/>
        <w:jc w:val="center"/>
        <w:outlineLvl w:val="3"/>
        <w:rPr>
          <w:rFonts w:asciiTheme="minorEastAsia" w:hAnsiTheme="minorEastAsia" w:eastAsiaTheme="minorEastAsia"/>
          <w:b/>
          <w:bCs/>
          <w:sz w:val="28"/>
        </w:rPr>
      </w:pPr>
      <w:bookmarkStart w:id="419" w:name="_Toc426009766"/>
      <w:bookmarkStart w:id="420" w:name="_Toc426012346"/>
      <w:bookmarkStart w:id="421" w:name="_Toc430096778"/>
      <w:bookmarkStart w:id="422" w:name="_Toc430093621"/>
      <w:bookmarkStart w:id="423" w:name="_Toc426010878"/>
      <w:bookmarkStart w:id="424" w:name="_Toc426009398"/>
      <w:bookmarkStart w:id="425" w:name="_Toc428894038"/>
      <w:bookmarkStart w:id="426" w:name="_Toc430096464"/>
      <w:bookmarkStart w:id="427" w:name="_Toc428894478"/>
      <w:bookmarkStart w:id="428" w:name="_Toc430619842"/>
      <w:bookmarkStart w:id="429" w:name="_Toc426011979"/>
      <w:bookmarkStart w:id="430" w:name="_Toc428893217"/>
      <w:bookmarkStart w:id="431" w:name="_Toc434826846"/>
      <w:bookmarkStart w:id="432" w:name="_Toc430620548"/>
      <w:bookmarkStart w:id="433" w:name="_Toc434827248"/>
      <w:bookmarkStart w:id="434" w:name="_Toc435777521"/>
      <w:bookmarkStart w:id="435" w:name="_Toc436952223"/>
      <w:bookmarkStart w:id="436" w:name="_Toc435777911"/>
      <w:bookmarkStart w:id="437" w:name="_Toc436924094"/>
      <w:bookmarkStart w:id="438" w:name="_Toc434827513"/>
      <w:bookmarkStart w:id="439" w:name="_Toc434827947"/>
      <w:r>
        <w:rPr>
          <w:rFonts w:hint="eastAsia" w:asciiTheme="minorEastAsia" w:hAnsiTheme="minorEastAsia" w:eastAsiaTheme="minorEastAsia"/>
          <w:b/>
          <w:bCs/>
          <w:sz w:val="28"/>
        </w:rPr>
        <w:t>法律方案</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pPr>
        <w:spacing w:line="300" w:lineRule="auto"/>
        <w:ind w:firstLine="422"/>
        <w:rPr>
          <w:rFonts w:asciiTheme="minorEastAsia" w:hAnsiTheme="minorEastAsia" w:eastAsiaTheme="minorEastAsia"/>
          <w:bCs/>
        </w:rPr>
      </w:pPr>
      <w:r>
        <w:rPr>
          <w:rFonts w:hint="eastAsia" w:asciiTheme="minorEastAsia" w:hAnsiTheme="minorEastAsia" w:eastAsiaTheme="minorEastAsia"/>
        </w:rPr>
        <w:t>我们对招标文件中项目协议的修改建议对照表如下（如有）：</w:t>
      </w:r>
    </w:p>
    <w:tbl>
      <w:tblPr>
        <w:tblStyle w:val="40"/>
        <w:tblW w:w="852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81"/>
        <w:gridCol w:w="2357"/>
        <w:gridCol w:w="1767"/>
        <w:gridCol w:w="1943"/>
        <w:gridCol w:w="118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Borders>
              <w:top w:val="single" w:color="auto" w:sz="12" w:space="0"/>
            </w:tcBorders>
          </w:tcPr>
          <w:p>
            <w:pPr>
              <w:spacing w:line="300" w:lineRule="auto"/>
              <w:jc w:val="center"/>
              <w:rPr>
                <w:rFonts w:asciiTheme="minorEastAsia" w:hAnsiTheme="minorEastAsia" w:eastAsiaTheme="minorEastAsia"/>
                <w:bCs/>
              </w:rPr>
            </w:pPr>
            <w:r>
              <w:rPr>
                <w:rFonts w:hint="eastAsia" w:asciiTheme="minorEastAsia" w:hAnsiTheme="minorEastAsia" w:eastAsiaTheme="minorEastAsia"/>
              </w:rPr>
              <w:t>协议名称</w:t>
            </w:r>
          </w:p>
        </w:tc>
        <w:tc>
          <w:tcPr>
            <w:tcW w:w="2357" w:type="dxa"/>
            <w:tcBorders>
              <w:top w:val="single" w:color="auto" w:sz="12" w:space="0"/>
            </w:tcBorders>
          </w:tcPr>
          <w:p>
            <w:pPr>
              <w:spacing w:line="300" w:lineRule="auto"/>
              <w:jc w:val="center"/>
              <w:rPr>
                <w:rFonts w:asciiTheme="minorEastAsia" w:hAnsiTheme="minorEastAsia" w:eastAsiaTheme="minorEastAsia"/>
                <w:bCs/>
              </w:rPr>
            </w:pPr>
            <w:r>
              <w:rPr>
                <w:rFonts w:hint="eastAsia" w:asciiTheme="minorEastAsia" w:hAnsiTheme="minorEastAsia" w:eastAsiaTheme="minorEastAsia"/>
              </w:rPr>
              <w:t>原条款号和协议规定</w:t>
            </w:r>
          </w:p>
        </w:tc>
        <w:tc>
          <w:tcPr>
            <w:tcW w:w="1767" w:type="dxa"/>
            <w:tcBorders>
              <w:top w:val="single" w:color="auto" w:sz="12" w:space="0"/>
            </w:tcBorders>
          </w:tcPr>
          <w:p>
            <w:pPr>
              <w:spacing w:line="300" w:lineRule="auto"/>
              <w:jc w:val="center"/>
              <w:rPr>
                <w:rFonts w:asciiTheme="minorEastAsia" w:hAnsiTheme="minorEastAsia" w:eastAsiaTheme="minorEastAsia"/>
                <w:bCs/>
              </w:rPr>
            </w:pPr>
            <w:r>
              <w:rPr>
                <w:rFonts w:hint="eastAsia" w:asciiTheme="minorEastAsia" w:hAnsiTheme="minorEastAsia" w:eastAsiaTheme="minorEastAsia"/>
              </w:rPr>
              <w:t>建议修改内容</w:t>
            </w:r>
          </w:p>
        </w:tc>
        <w:tc>
          <w:tcPr>
            <w:tcW w:w="1943" w:type="dxa"/>
            <w:tcBorders>
              <w:top w:val="single" w:color="auto" w:sz="12" w:space="0"/>
            </w:tcBorders>
          </w:tcPr>
          <w:p>
            <w:pPr>
              <w:spacing w:line="300" w:lineRule="auto"/>
              <w:jc w:val="center"/>
              <w:rPr>
                <w:rFonts w:asciiTheme="minorEastAsia" w:hAnsiTheme="minorEastAsia" w:eastAsiaTheme="minorEastAsia"/>
                <w:bCs/>
              </w:rPr>
            </w:pPr>
            <w:r>
              <w:rPr>
                <w:rFonts w:hint="eastAsia" w:asciiTheme="minorEastAsia" w:hAnsiTheme="minorEastAsia" w:eastAsiaTheme="minorEastAsia"/>
              </w:rPr>
              <w:t>建议修改的原因</w:t>
            </w:r>
          </w:p>
        </w:tc>
        <w:tc>
          <w:tcPr>
            <w:tcW w:w="1180" w:type="dxa"/>
            <w:tcBorders>
              <w:top w:val="single" w:color="auto" w:sz="12" w:space="0"/>
            </w:tcBorders>
          </w:tcPr>
          <w:p>
            <w:pPr>
              <w:spacing w:line="300" w:lineRule="auto"/>
              <w:jc w:val="center"/>
              <w:rPr>
                <w:rFonts w:asciiTheme="minorEastAsia" w:hAnsiTheme="minorEastAsia" w:eastAsiaTheme="minorEastAsia"/>
                <w:bCs/>
              </w:rPr>
            </w:pPr>
            <w:r>
              <w:rPr>
                <w:rFonts w:hint="eastAsia" w:asciiTheme="minorEastAsia" w:hAnsiTheme="minorEastAsia" w:eastAsiaTheme="minorEastAsia"/>
              </w:rPr>
              <w:t>其它说明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Pr>
          <w:p>
            <w:pPr>
              <w:spacing w:line="300" w:lineRule="auto"/>
              <w:rPr>
                <w:rFonts w:asciiTheme="minorEastAsia" w:hAnsiTheme="minorEastAsia" w:eastAsiaTheme="minorEastAsia"/>
                <w:bCs/>
              </w:rPr>
            </w:pPr>
          </w:p>
        </w:tc>
        <w:tc>
          <w:tcPr>
            <w:tcW w:w="2357" w:type="dxa"/>
          </w:tcPr>
          <w:p>
            <w:pPr>
              <w:spacing w:line="300" w:lineRule="auto"/>
              <w:rPr>
                <w:rFonts w:asciiTheme="minorEastAsia" w:hAnsiTheme="minorEastAsia" w:eastAsiaTheme="minorEastAsia"/>
                <w:bCs/>
              </w:rPr>
            </w:pPr>
          </w:p>
        </w:tc>
        <w:tc>
          <w:tcPr>
            <w:tcW w:w="1767" w:type="dxa"/>
          </w:tcPr>
          <w:p>
            <w:pPr>
              <w:spacing w:line="300" w:lineRule="auto"/>
              <w:rPr>
                <w:rFonts w:asciiTheme="minorEastAsia" w:hAnsiTheme="minorEastAsia" w:eastAsiaTheme="minorEastAsia"/>
                <w:bCs/>
              </w:rPr>
            </w:pPr>
          </w:p>
        </w:tc>
        <w:tc>
          <w:tcPr>
            <w:tcW w:w="1943" w:type="dxa"/>
          </w:tcPr>
          <w:p>
            <w:pPr>
              <w:spacing w:line="300" w:lineRule="auto"/>
              <w:rPr>
                <w:rFonts w:asciiTheme="minorEastAsia" w:hAnsiTheme="minorEastAsia" w:eastAsiaTheme="minorEastAsia"/>
                <w:bCs/>
              </w:rPr>
            </w:pPr>
          </w:p>
        </w:tc>
        <w:tc>
          <w:tcPr>
            <w:tcW w:w="1180" w:type="dxa"/>
          </w:tcPr>
          <w:p>
            <w:pPr>
              <w:spacing w:line="300" w:lineRule="auto"/>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Pr>
          <w:p>
            <w:pPr>
              <w:spacing w:line="300" w:lineRule="auto"/>
              <w:rPr>
                <w:rFonts w:asciiTheme="minorEastAsia" w:hAnsiTheme="minorEastAsia" w:eastAsiaTheme="minorEastAsia"/>
                <w:bCs/>
              </w:rPr>
            </w:pPr>
          </w:p>
        </w:tc>
        <w:tc>
          <w:tcPr>
            <w:tcW w:w="2357" w:type="dxa"/>
          </w:tcPr>
          <w:p>
            <w:pPr>
              <w:spacing w:line="300" w:lineRule="auto"/>
              <w:rPr>
                <w:rFonts w:asciiTheme="minorEastAsia" w:hAnsiTheme="minorEastAsia" w:eastAsiaTheme="minorEastAsia"/>
                <w:bCs/>
              </w:rPr>
            </w:pPr>
          </w:p>
        </w:tc>
        <w:tc>
          <w:tcPr>
            <w:tcW w:w="1767" w:type="dxa"/>
          </w:tcPr>
          <w:p>
            <w:pPr>
              <w:spacing w:line="300" w:lineRule="auto"/>
              <w:rPr>
                <w:rFonts w:asciiTheme="minorEastAsia" w:hAnsiTheme="minorEastAsia" w:eastAsiaTheme="minorEastAsia"/>
                <w:bCs/>
              </w:rPr>
            </w:pPr>
          </w:p>
        </w:tc>
        <w:tc>
          <w:tcPr>
            <w:tcW w:w="1943" w:type="dxa"/>
          </w:tcPr>
          <w:p>
            <w:pPr>
              <w:spacing w:line="300" w:lineRule="auto"/>
              <w:rPr>
                <w:rFonts w:asciiTheme="minorEastAsia" w:hAnsiTheme="minorEastAsia" w:eastAsiaTheme="minorEastAsia"/>
                <w:bCs/>
              </w:rPr>
            </w:pPr>
          </w:p>
        </w:tc>
        <w:tc>
          <w:tcPr>
            <w:tcW w:w="1180" w:type="dxa"/>
          </w:tcPr>
          <w:p>
            <w:pPr>
              <w:spacing w:line="300" w:lineRule="auto"/>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Pr>
          <w:p>
            <w:pPr>
              <w:spacing w:line="300" w:lineRule="auto"/>
              <w:rPr>
                <w:rFonts w:asciiTheme="minorEastAsia" w:hAnsiTheme="minorEastAsia" w:eastAsiaTheme="minorEastAsia"/>
                <w:bCs/>
              </w:rPr>
            </w:pPr>
          </w:p>
        </w:tc>
        <w:tc>
          <w:tcPr>
            <w:tcW w:w="2357" w:type="dxa"/>
          </w:tcPr>
          <w:p>
            <w:pPr>
              <w:pStyle w:val="14"/>
              <w:rPr>
                <w:rFonts w:asciiTheme="minorEastAsia" w:hAnsiTheme="minorEastAsia" w:eastAsiaTheme="minorEastAsia"/>
                <w:bCs/>
                <w:color w:val="auto"/>
                <w:sz w:val="21"/>
                <w:szCs w:val="21"/>
                <w:lang w:val="zh-CN"/>
              </w:rPr>
            </w:pPr>
          </w:p>
        </w:tc>
        <w:tc>
          <w:tcPr>
            <w:tcW w:w="1767" w:type="dxa"/>
          </w:tcPr>
          <w:p>
            <w:pPr>
              <w:spacing w:line="300" w:lineRule="auto"/>
              <w:rPr>
                <w:rFonts w:asciiTheme="minorEastAsia" w:hAnsiTheme="minorEastAsia" w:eastAsiaTheme="minorEastAsia"/>
                <w:bCs/>
              </w:rPr>
            </w:pPr>
          </w:p>
        </w:tc>
        <w:tc>
          <w:tcPr>
            <w:tcW w:w="1943" w:type="dxa"/>
          </w:tcPr>
          <w:p>
            <w:pPr>
              <w:spacing w:line="300" w:lineRule="auto"/>
              <w:rPr>
                <w:rFonts w:asciiTheme="minorEastAsia" w:hAnsiTheme="minorEastAsia" w:eastAsiaTheme="minorEastAsia"/>
                <w:bCs/>
              </w:rPr>
            </w:pPr>
          </w:p>
        </w:tc>
        <w:tc>
          <w:tcPr>
            <w:tcW w:w="1180" w:type="dxa"/>
          </w:tcPr>
          <w:p>
            <w:pPr>
              <w:spacing w:line="300" w:lineRule="auto"/>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Pr>
          <w:p>
            <w:pPr>
              <w:spacing w:line="300" w:lineRule="auto"/>
              <w:rPr>
                <w:rFonts w:asciiTheme="minorEastAsia" w:hAnsiTheme="minorEastAsia" w:eastAsiaTheme="minorEastAsia"/>
                <w:bCs/>
              </w:rPr>
            </w:pPr>
          </w:p>
        </w:tc>
        <w:tc>
          <w:tcPr>
            <w:tcW w:w="2357" w:type="dxa"/>
          </w:tcPr>
          <w:p>
            <w:pPr>
              <w:pStyle w:val="14"/>
              <w:rPr>
                <w:rFonts w:asciiTheme="minorEastAsia" w:hAnsiTheme="minorEastAsia" w:eastAsiaTheme="minorEastAsia"/>
                <w:bCs/>
                <w:color w:val="auto"/>
                <w:sz w:val="21"/>
                <w:szCs w:val="21"/>
                <w:lang w:val="zh-CN"/>
              </w:rPr>
            </w:pPr>
          </w:p>
        </w:tc>
        <w:tc>
          <w:tcPr>
            <w:tcW w:w="1767" w:type="dxa"/>
          </w:tcPr>
          <w:p>
            <w:pPr>
              <w:spacing w:line="300" w:lineRule="auto"/>
              <w:rPr>
                <w:rFonts w:asciiTheme="minorEastAsia" w:hAnsiTheme="minorEastAsia" w:eastAsiaTheme="minorEastAsia"/>
                <w:bCs/>
              </w:rPr>
            </w:pPr>
          </w:p>
        </w:tc>
        <w:tc>
          <w:tcPr>
            <w:tcW w:w="1943" w:type="dxa"/>
          </w:tcPr>
          <w:p>
            <w:pPr>
              <w:spacing w:line="300" w:lineRule="auto"/>
              <w:rPr>
                <w:rFonts w:asciiTheme="minorEastAsia" w:hAnsiTheme="minorEastAsia" w:eastAsiaTheme="minorEastAsia"/>
                <w:bCs/>
              </w:rPr>
            </w:pPr>
          </w:p>
        </w:tc>
        <w:tc>
          <w:tcPr>
            <w:tcW w:w="1180" w:type="dxa"/>
          </w:tcPr>
          <w:p>
            <w:pPr>
              <w:spacing w:line="300" w:lineRule="auto"/>
              <w:rPr>
                <w:rFonts w:asciiTheme="minorEastAsia" w:hAnsiTheme="minorEastAsia" w:eastAsiaTheme="minorEastAsia"/>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1281" w:type="dxa"/>
            <w:tcBorders>
              <w:bottom w:val="single" w:color="auto" w:sz="12" w:space="0"/>
            </w:tcBorders>
          </w:tcPr>
          <w:p>
            <w:pPr>
              <w:spacing w:line="300" w:lineRule="auto"/>
              <w:rPr>
                <w:rFonts w:asciiTheme="minorEastAsia" w:hAnsiTheme="minorEastAsia" w:eastAsiaTheme="minorEastAsia"/>
                <w:bCs/>
              </w:rPr>
            </w:pPr>
          </w:p>
        </w:tc>
        <w:tc>
          <w:tcPr>
            <w:tcW w:w="2357" w:type="dxa"/>
            <w:tcBorders>
              <w:bottom w:val="single" w:color="auto" w:sz="12" w:space="0"/>
            </w:tcBorders>
          </w:tcPr>
          <w:p>
            <w:pPr>
              <w:pStyle w:val="14"/>
              <w:rPr>
                <w:rFonts w:asciiTheme="minorEastAsia" w:hAnsiTheme="minorEastAsia" w:eastAsiaTheme="minorEastAsia"/>
                <w:bCs/>
                <w:color w:val="auto"/>
                <w:sz w:val="21"/>
                <w:szCs w:val="21"/>
                <w:lang w:val="zh-CN"/>
              </w:rPr>
            </w:pPr>
          </w:p>
        </w:tc>
        <w:tc>
          <w:tcPr>
            <w:tcW w:w="1767" w:type="dxa"/>
            <w:tcBorders>
              <w:bottom w:val="single" w:color="auto" w:sz="12" w:space="0"/>
            </w:tcBorders>
          </w:tcPr>
          <w:p>
            <w:pPr>
              <w:spacing w:line="300" w:lineRule="auto"/>
              <w:rPr>
                <w:rFonts w:asciiTheme="minorEastAsia" w:hAnsiTheme="minorEastAsia" w:eastAsiaTheme="minorEastAsia"/>
                <w:bCs/>
              </w:rPr>
            </w:pPr>
          </w:p>
        </w:tc>
        <w:tc>
          <w:tcPr>
            <w:tcW w:w="1943" w:type="dxa"/>
            <w:tcBorders>
              <w:bottom w:val="single" w:color="auto" w:sz="12" w:space="0"/>
            </w:tcBorders>
          </w:tcPr>
          <w:p>
            <w:pPr>
              <w:spacing w:line="300" w:lineRule="auto"/>
              <w:rPr>
                <w:rFonts w:asciiTheme="minorEastAsia" w:hAnsiTheme="minorEastAsia" w:eastAsiaTheme="minorEastAsia"/>
                <w:bCs/>
              </w:rPr>
            </w:pPr>
          </w:p>
        </w:tc>
        <w:tc>
          <w:tcPr>
            <w:tcW w:w="1180" w:type="dxa"/>
            <w:tcBorders>
              <w:bottom w:val="single" w:color="auto" w:sz="12" w:space="0"/>
            </w:tcBorders>
          </w:tcPr>
          <w:p>
            <w:pPr>
              <w:spacing w:line="300" w:lineRule="auto"/>
              <w:rPr>
                <w:rFonts w:asciiTheme="minorEastAsia" w:hAnsiTheme="minorEastAsia" w:eastAsiaTheme="minorEastAsia"/>
                <w:bCs/>
              </w:rPr>
            </w:pPr>
          </w:p>
        </w:tc>
      </w:tr>
    </w:tbl>
    <w:p>
      <w:pPr>
        <w:adjustRightInd w:val="0"/>
        <w:snapToGrid w:val="0"/>
        <w:spacing w:line="360" w:lineRule="auto"/>
        <w:ind w:firstLine="422" w:firstLineChars="200"/>
        <w:rPr>
          <w:rFonts w:asciiTheme="minorEastAsia" w:hAnsiTheme="minorEastAsia" w:eastAsiaTheme="minorEastAsia"/>
        </w:rPr>
      </w:pPr>
      <w:r>
        <w:rPr>
          <w:rFonts w:hint="eastAsia" w:asciiTheme="minorEastAsia" w:hAnsiTheme="minorEastAsia" w:eastAsiaTheme="minorEastAsia"/>
          <w:b/>
        </w:rPr>
        <w:t>社会资本声明：</w:t>
      </w:r>
      <w:r>
        <w:rPr>
          <w:rFonts w:hint="eastAsia" w:asciiTheme="minorEastAsia" w:hAnsiTheme="minorEastAsia" w:eastAsiaTheme="minorEastAsia"/>
        </w:rPr>
        <w:t>除本偏差表所列出的偏差外，我方完全接受项目协议的其他条款内容。</w:t>
      </w:r>
    </w:p>
    <w:p>
      <w:pPr>
        <w:adjustRightInd w:val="0"/>
        <w:snapToGrid w:val="0"/>
        <w:spacing w:line="360" w:lineRule="auto"/>
        <w:ind w:firstLine="420" w:firstLineChars="200"/>
        <w:rPr>
          <w:rFonts w:asciiTheme="minorEastAsia" w:hAnsiTheme="minorEastAsia" w:eastAsiaTheme="minorEastAsia"/>
        </w:rPr>
      </w:pP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社会资本名称（盖章）：</w:t>
      </w:r>
    </w:p>
    <w:p>
      <w:pPr>
        <w:adjustRightInd w:val="0"/>
        <w:snapToGrid w:val="0"/>
        <w:spacing w:line="360" w:lineRule="auto"/>
        <w:ind w:firstLine="420" w:firstLineChars="200"/>
        <w:rPr>
          <w:rFonts w:asciiTheme="minorEastAsia" w:hAnsiTheme="minorEastAsia" w:eastAsiaTheme="minorEastAsia"/>
        </w:rPr>
      </w:pPr>
    </w:p>
    <w:p>
      <w:pPr>
        <w:adjustRightInd w:val="0"/>
        <w:snapToGrid w:val="0"/>
        <w:spacing w:line="360" w:lineRule="auto"/>
        <w:ind w:firstLine="420" w:firstLineChars="200"/>
        <w:rPr>
          <w:rFonts w:asciiTheme="minorEastAsia" w:hAnsiTheme="minorEastAsia" w:eastAsiaTheme="minorEastAsia"/>
        </w:rPr>
      </w:pPr>
      <w:r>
        <w:rPr>
          <w:rFonts w:hint="eastAsia" w:asciiTheme="minorEastAsia" w:hAnsiTheme="minorEastAsia" w:eastAsiaTheme="minorEastAsia"/>
        </w:rPr>
        <w:t>法定代表人（签字或盖章）：</w:t>
      </w:r>
    </w:p>
    <w:p>
      <w:pPr>
        <w:adjustRightInd w:val="0"/>
        <w:snapToGrid w:val="0"/>
        <w:spacing w:line="360" w:lineRule="auto"/>
        <w:ind w:firstLine="420" w:firstLineChars="200"/>
        <w:rPr>
          <w:rFonts w:asciiTheme="minorEastAsia" w:hAnsiTheme="minorEastAsia" w:eastAsiaTheme="minorEastAsia"/>
        </w:rPr>
      </w:pPr>
    </w:p>
    <w:p>
      <w:pPr>
        <w:adjustRightInd w:val="0"/>
        <w:snapToGrid w:val="0"/>
        <w:spacing w:line="360" w:lineRule="auto"/>
        <w:rPr>
          <w:rFonts w:asciiTheme="minorEastAsia" w:hAnsiTheme="minorEastAsia" w:eastAsiaTheme="minorEastAsia"/>
        </w:rPr>
      </w:pPr>
    </w:p>
    <w:p>
      <w:pPr>
        <w:adjustRightInd w:val="0"/>
        <w:snapToGrid w:val="0"/>
        <w:spacing w:line="360" w:lineRule="auto"/>
        <w:ind w:firstLine="420" w:firstLineChars="200"/>
        <w:rPr>
          <w:rFonts w:asciiTheme="minorEastAsia" w:hAnsiTheme="minorEastAsia" w:eastAsiaTheme="minorEastAsia"/>
          <w:iCs/>
        </w:rPr>
      </w:pPr>
      <w:r>
        <w:rPr>
          <w:rFonts w:hint="eastAsia" w:asciiTheme="minorEastAsia" w:hAnsiTheme="minorEastAsia" w:eastAsiaTheme="minorEastAsia"/>
          <w:iCs/>
        </w:rPr>
        <w:t>注：</w:t>
      </w:r>
      <w:r>
        <w:rPr>
          <w:rFonts w:asciiTheme="minorEastAsia" w:hAnsiTheme="minorEastAsia" w:eastAsiaTheme="minorEastAsia"/>
          <w:iCs/>
        </w:rPr>
        <w:t>1</w:t>
      </w:r>
      <w:r>
        <w:rPr>
          <w:rFonts w:hint="eastAsia" w:asciiTheme="minorEastAsia" w:hAnsiTheme="minorEastAsia" w:eastAsiaTheme="minorEastAsia"/>
          <w:iCs/>
        </w:rPr>
        <w:t>、增加或删除条款，请在本表中标明删除条款位置或添加位置；</w:t>
      </w:r>
    </w:p>
    <w:p>
      <w:pPr>
        <w:adjustRightInd w:val="0"/>
        <w:snapToGrid w:val="0"/>
        <w:spacing w:line="360" w:lineRule="auto"/>
        <w:ind w:firstLine="420" w:firstLineChars="200"/>
        <w:rPr>
          <w:rFonts w:asciiTheme="minorEastAsia" w:hAnsiTheme="minorEastAsia" w:eastAsiaTheme="minorEastAsia"/>
          <w:iCs/>
        </w:rPr>
      </w:pPr>
      <w:r>
        <w:rPr>
          <w:rFonts w:asciiTheme="minorEastAsia" w:hAnsiTheme="minorEastAsia" w:eastAsiaTheme="minorEastAsia"/>
          <w:iCs/>
        </w:rPr>
        <w:t xml:space="preserve">    2</w:t>
      </w:r>
      <w:r>
        <w:rPr>
          <w:rFonts w:hint="eastAsia" w:asciiTheme="minorEastAsia" w:hAnsiTheme="minorEastAsia" w:eastAsiaTheme="minorEastAsia"/>
          <w:iCs/>
        </w:rPr>
        <w:t>、对《合作协议》、《项目合同》、《承继协议》、《股东协议》和《公司章程》分别列明。</w:t>
      </w:r>
    </w:p>
    <w:p>
      <w:pPr>
        <w:adjustRightInd w:val="0"/>
        <w:snapToGrid w:val="0"/>
        <w:spacing w:line="360" w:lineRule="auto"/>
        <w:ind w:firstLine="840" w:firstLineChars="400"/>
        <w:rPr>
          <w:rFonts w:asciiTheme="minorEastAsia" w:hAnsiTheme="minorEastAsia" w:eastAsiaTheme="minorEastAsia"/>
        </w:rPr>
      </w:pPr>
      <w:r>
        <w:rPr>
          <w:rFonts w:hint="eastAsia" w:asciiTheme="minorEastAsia" w:hAnsiTheme="minorEastAsia" w:eastAsiaTheme="minorEastAsia"/>
        </w:rPr>
        <w:t>3、若社会资本为联合体，则由联合体牵头方提供并加盖公章。</w:t>
      </w:r>
    </w:p>
    <w:p>
      <w:pPr>
        <w:widowControl/>
        <w:jc w:val="left"/>
        <w:rPr>
          <w:rFonts w:asciiTheme="minorEastAsia" w:hAnsiTheme="minorEastAsia" w:eastAsiaTheme="minorEastAsia"/>
        </w:rPr>
      </w:pPr>
      <w:bookmarkStart w:id="440" w:name="_Toc434826847"/>
      <w:bookmarkStart w:id="441" w:name="_Toc435777912"/>
      <w:bookmarkStart w:id="442" w:name="_Toc436952224"/>
      <w:bookmarkStart w:id="443" w:name="_Toc435777522"/>
      <w:bookmarkStart w:id="444" w:name="_Toc436924095"/>
      <w:bookmarkStart w:id="445" w:name="_Toc434827249"/>
      <w:bookmarkStart w:id="446" w:name="_Toc434827948"/>
      <w:bookmarkStart w:id="447" w:name="_Toc434827514"/>
      <w:bookmarkStart w:id="448" w:name="_Toc428894479"/>
      <w:bookmarkStart w:id="449" w:name="_Toc430093622"/>
      <w:bookmarkStart w:id="450" w:name="_Toc428894039"/>
      <w:bookmarkStart w:id="451" w:name="_Toc428893218"/>
      <w:r>
        <w:rPr>
          <w:rFonts w:asciiTheme="minorEastAsia" w:hAnsiTheme="minorEastAsia" w:eastAsiaTheme="minorEastAsia"/>
        </w:rPr>
        <w:br w:type="page"/>
      </w:r>
    </w:p>
    <w:p>
      <w:pPr>
        <w:adjustRightInd w:val="0"/>
        <w:snapToGrid w:val="0"/>
        <w:spacing w:line="360" w:lineRule="auto"/>
        <w:ind w:firstLine="420" w:firstLineChars="200"/>
        <w:rPr>
          <w:rFonts w:asciiTheme="minorEastAsia" w:hAnsiTheme="minorEastAsia" w:eastAsiaTheme="minorEastAsia"/>
        </w:rPr>
      </w:pPr>
    </w:p>
    <w:p>
      <w:pPr>
        <w:numPr>
          <w:ilvl w:val="1"/>
          <w:numId w:val="25"/>
        </w:numPr>
        <w:adjustRightInd w:val="0"/>
        <w:snapToGrid w:val="0"/>
        <w:spacing w:beforeLines="50" w:afterLines="50" w:line="360" w:lineRule="auto"/>
        <w:ind w:left="0" w:firstLine="0"/>
        <w:jc w:val="center"/>
        <w:outlineLvl w:val="3"/>
        <w:rPr>
          <w:rFonts w:asciiTheme="minorEastAsia" w:hAnsiTheme="minorEastAsia" w:eastAsiaTheme="minorEastAsia"/>
          <w:b/>
          <w:bCs/>
          <w:sz w:val="28"/>
        </w:rPr>
      </w:pPr>
      <w:r>
        <w:rPr>
          <w:rFonts w:hint="eastAsia" w:asciiTheme="minorEastAsia" w:hAnsiTheme="minorEastAsia" w:eastAsiaTheme="minorEastAsia"/>
          <w:b/>
          <w:bCs/>
          <w:sz w:val="28"/>
        </w:rPr>
        <w:t>评分索引表</w:t>
      </w:r>
      <w:bookmarkEnd w:id="440"/>
      <w:bookmarkEnd w:id="441"/>
      <w:bookmarkEnd w:id="442"/>
      <w:bookmarkEnd w:id="443"/>
      <w:bookmarkEnd w:id="444"/>
      <w:bookmarkEnd w:id="445"/>
      <w:bookmarkEnd w:id="446"/>
      <w:bookmarkEnd w:id="447"/>
    </w:p>
    <w:tbl>
      <w:tblPr>
        <w:tblStyle w:val="40"/>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4"/>
        <w:gridCol w:w="55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b/>
                <w:bCs/>
                <w:lang w:val="zh-CN"/>
              </w:rPr>
            </w:pPr>
            <w:r>
              <w:rPr>
                <w:rFonts w:hint="eastAsia" w:asciiTheme="minorEastAsia" w:hAnsiTheme="minorEastAsia" w:eastAsiaTheme="minorEastAsia"/>
                <w:b/>
                <w:lang w:val="zh-CN" w:eastAsia="en-US"/>
              </w:rPr>
              <w:t>评分项目</w:t>
            </w:r>
          </w:p>
        </w:tc>
        <w:tc>
          <w:tcPr>
            <w:tcW w:w="5564" w:type="dxa"/>
            <w:vAlign w:val="center"/>
          </w:tcPr>
          <w:p>
            <w:pPr>
              <w:rPr>
                <w:rFonts w:asciiTheme="minorEastAsia" w:hAnsiTheme="minorEastAsia" w:eastAsiaTheme="minorEastAsia"/>
                <w:b/>
              </w:rPr>
            </w:pPr>
            <w:r>
              <w:rPr>
                <w:rFonts w:hint="eastAsia" w:asciiTheme="minorEastAsia" w:hAnsiTheme="minorEastAsia" w:eastAsiaTheme="minorEastAsia"/>
                <w:b/>
                <w:kern w:val="0"/>
              </w:rPr>
              <w:t>在投标文件中的页码位置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8528" w:type="dxa"/>
            <w:gridSpan w:val="2"/>
            <w:vAlign w:val="center"/>
          </w:tcPr>
          <w:p>
            <w:pPr>
              <w:widowControl/>
              <w:spacing w:line="265" w:lineRule="atLeast"/>
              <w:ind w:left="420"/>
              <w:contextualSpacing/>
              <w:rPr>
                <w:rFonts w:asciiTheme="minorEastAsia" w:hAnsiTheme="minorEastAsia" w:eastAsiaTheme="minorEastAsia"/>
                <w:b/>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b/>
                <w:bCs/>
                <w:lang w:val="zh-CN"/>
              </w:rPr>
            </w:pPr>
          </w:p>
        </w:tc>
        <w:tc>
          <w:tcPr>
            <w:tcW w:w="5564" w:type="dxa"/>
            <w:vAlign w:val="center"/>
          </w:tcPr>
          <w:p>
            <w:pPr>
              <w:rPr>
                <w:rFonts w:asciiTheme="minorEastAsia" w:hAnsiTheme="minorEastAsia" w:eastAsia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964" w:type="dxa"/>
            <w:vAlign w:val="center"/>
          </w:tcPr>
          <w:p>
            <w:pPr>
              <w:widowControl/>
              <w:spacing w:line="265" w:lineRule="atLeast"/>
              <w:ind w:left="420"/>
              <w:contextualSpacing/>
              <w:rPr>
                <w:rFonts w:asciiTheme="minorEastAsia" w:hAnsiTheme="minorEastAsia" w:eastAsiaTheme="minorEastAsia"/>
                <w:lang w:val="zh-CN"/>
              </w:rPr>
            </w:pPr>
          </w:p>
        </w:tc>
        <w:tc>
          <w:tcPr>
            <w:tcW w:w="5564" w:type="dxa"/>
            <w:vAlign w:val="center"/>
          </w:tcPr>
          <w:p>
            <w:pPr>
              <w:rPr>
                <w:rFonts w:asciiTheme="minorEastAsia" w:hAnsiTheme="minorEastAsia" w:eastAsiaTheme="minorEastAsia"/>
              </w:rPr>
            </w:pPr>
          </w:p>
        </w:tc>
      </w:tr>
    </w:tbl>
    <w:p>
      <w:pPr>
        <w:rPr>
          <w:rFonts w:asciiTheme="minorEastAsia" w:hAnsiTheme="minorEastAsia" w:eastAsiaTheme="minorEastAsia"/>
        </w:rPr>
      </w:pPr>
    </w:p>
    <w:p>
      <w:pPr>
        <w:adjustRightInd w:val="0"/>
        <w:snapToGrid w:val="0"/>
        <w:spacing w:line="360" w:lineRule="auto"/>
        <w:rPr>
          <w:rFonts w:asciiTheme="minorEastAsia" w:hAnsiTheme="minorEastAsia" w:eastAsiaTheme="minorEastAsia"/>
        </w:rPr>
      </w:pPr>
      <w:r>
        <w:rPr>
          <w:rFonts w:asciiTheme="minorEastAsia" w:hAnsiTheme="minorEastAsia" w:eastAsiaTheme="minorEastAsia"/>
        </w:rPr>
        <w:br w:type="page"/>
      </w:r>
    </w:p>
    <w:bookmarkEnd w:id="388"/>
    <w:bookmarkEnd w:id="389"/>
    <w:bookmarkEnd w:id="390"/>
    <w:bookmarkEnd w:id="391"/>
    <w:bookmarkEnd w:id="392"/>
    <w:bookmarkEnd w:id="448"/>
    <w:bookmarkEnd w:id="449"/>
    <w:bookmarkEnd w:id="450"/>
    <w:bookmarkEnd w:id="451"/>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452" w:name="_Toc529805827"/>
      <w:bookmarkStart w:id="453" w:name="_Hlk532816225"/>
      <w:r>
        <w:rPr>
          <w:rFonts w:hint="eastAsia" w:asciiTheme="minorEastAsia" w:hAnsiTheme="minorEastAsia" w:eastAsiaTheme="minorEastAsia"/>
          <w:b/>
          <w:sz w:val="28"/>
          <w:szCs w:val="28"/>
        </w:rPr>
        <w:t>不可谈判的核心条款</w:t>
      </w:r>
      <w:bookmarkEnd w:id="452"/>
    </w:p>
    <w:p>
      <w:pPr>
        <w:adjustRightInd w:val="0"/>
        <w:snapToGrid w:val="0"/>
        <w:spacing w:line="360" w:lineRule="auto"/>
        <w:ind w:firstLine="422" w:firstLineChars="200"/>
        <w:rPr>
          <w:rFonts w:asciiTheme="minorEastAsia" w:hAnsiTheme="minorEastAsia" w:eastAsiaTheme="minorEastAsia"/>
        </w:rPr>
      </w:pPr>
      <w:r>
        <w:rPr>
          <w:rFonts w:hint="eastAsia" w:asciiTheme="minorEastAsia" w:hAnsiTheme="minorEastAsia" w:eastAsiaTheme="minorEastAsia"/>
          <w:b/>
        </w:rPr>
        <w:t>提示：</w:t>
      </w:r>
      <w:r>
        <w:rPr>
          <w:rFonts w:hint="eastAsia" w:asciiTheme="minorEastAsia" w:hAnsiTheme="minorEastAsia" w:eastAsiaTheme="minorEastAsia"/>
        </w:rPr>
        <w:t>社会资本必须实质性同意项目协议中的下述不可谈判的核心条款，否则其投标文件将被拒绝。</w:t>
      </w:r>
    </w:p>
    <w:bookmarkEnd w:id="453"/>
    <w:p>
      <w:pPr>
        <w:adjustRightInd w:val="0"/>
        <w:snapToGrid w:val="0"/>
        <w:spacing w:line="360" w:lineRule="auto"/>
        <w:ind w:firstLine="420" w:firstLineChars="200"/>
        <w:rPr>
          <w:rFonts w:asciiTheme="minorEastAsia" w:hAnsiTheme="minorEastAsia" w:eastAsiaTheme="minorEastAsia"/>
          <w:lang w:val="en-GB"/>
        </w:rPr>
      </w:pPr>
      <w:r>
        <w:rPr>
          <w:rFonts w:asciiTheme="minorEastAsia" w:hAnsiTheme="minorEastAsia" w:eastAsiaTheme="minorEastAsia"/>
          <w:lang w:val="en-GB"/>
        </w:rPr>
        <w:t>1</w:t>
      </w:r>
      <w:r>
        <w:rPr>
          <w:rFonts w:hint="eastAsia" w:asciiTheme="minorEastAsia" w:hAnsiTheme="minorEastAsia" w:eastAsiaTheme="minorEastAsia"/>
          <w:lang w:val="en-GB"/>
        </w:rPr>
        <w:t>、由社会资本与政府方出资代表共同设立项目公司；项目公司注册资本为项目总投资的20%，其中政府方出资代表出资比例为5%，社会资本出资比例为95%。</w:t>
      </w:r>
    </w:p>
    <w:p>
      <w:pPr>
        <w:adjustRightInd w:val="0"/>
        <w:snapToGrid w:val="0"/>
        <w:spacing w:line="360" w:lineRule="auto"/>
        <w:ind w:firstLine="420" w:firstLineChars="200"/>
        <w:rPr>
          <w:rFonts w:asciiTheme="minorEastAsia" w:hAnsiTheme="minorEastAsia" w:eastAsiaTheme="minorEastAsia"/>
          <w:lang w:val="en-GB"/>
        </w:rPr>
      </w:pPr>
      <w:r>
        <w:rPr>
          <w:rFonts w:asciiTheme="minorEastAsia" w:hAnsiTheme="minorEastAsia" w:eastAsiaTheme="minorEastAsia"/>
          <w:lang w:val="en-GB"/>
        </w:rPr>
        <w:t>2</w:t>
      </w:r>
      <w:r>
        <w:rPr>
          <w:rFonts w:hint="eastAsia" w:asciiTheme="minorEastAsia" w:hAnsiTheme="minorEastAsia" w:eastAsiaTheme="minorEastAsia"/>
          <w:lang w:val="en-GB"/>
        </w:rPr>
        <w:t>、合作范围：项目公司系专门负责本项目的投融资、建设、运营维护及移交的特殊目的主体，未经实施机构书面同意不得从事本项目以外的其他任何经营活动。</w:t>
      </w:r>
    </w:p>
    <w:p>
      <w:pPr>
        <w:adjustRightInd w:val="0"/>
        <w:snapToGrid w:val="0"/>
        <w:spacing w:line="360" w:lineRule="auto"/>
        <w:ind w:firstLine="420" w:firstLineChars="200"/>
        <w:rPr>
          <w:rFonts w:asciiTheme="minorEastAsia" w:hAnsiTheme="minorEastAsia" w:eastAsiaTheme="minorEastAsia"/>
          <w:lang w:val="en-GB"/>
        </w:rPr>
      </w:pPr>
      <w:r>
        <w:rPr>
          <w:rFonts w:asciiTheme="minorEastAsia" w:hAnsiTheme="minorEastAsia" w:eastAsiaTheme="minorEastAsia"/>
          <w:lang w:val="en-GB"/>
        </w:rPr>
        <w:t>3</w:t>
      </w:r>
      <w:r>
        <w:rPr>
          <w:rFonts w:hint="eastAsia" w:asciiTheme="minorEastAsia" w:hAnsiTheme="minorEastAsia" w:eastAsiaTheme="minorEastAsia"/>
          <w:lang w:val="en-GB"/>
        </w:rPr>
        <w:t>、合作期限：共28年，其中建设期为1年。</w:t>
      </w:r>
    </w:p>
    <w:p>
      <w:pPr>
        <w:widowControl/>
        <w:jc w:val="left"/>
        <w:rPr>
          <w:rFonts w:asciiTheme="minorEastAsia" w:hAnsiTheme="minorEastAsia" w:eastAsiaTheme="minorEastAsia"/>
        </w:rPr>
      </w:pPr>
      <w:r>
        <w:rPr>
          <w:rFonts w:asciiTheme="minorEastAsia" w:hAnsiTheme="minorEastAsia" w:eastAsiaTheme="minorEastAsia"/>
        </w:rPr>
        <w:br w:type="page"/>
      </w:r>
    </w:p>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454" w:name="_Toc529805828"/>
      <w:r>
        <w:rPr>
          <w:rFonts w:hint="eastAsia" w:asciiTheme="minorEastAsia" w:hAnsiTheme="minorEastAsia" w:eastAsiaTheme="minorEastAsia"/>
          <w:b/>
          <w:sz w:val="28"/>
          <w:szCs w:val="28"/>
        </w:rPr>
        <w:t>采购需求</w:t>
      </w:r>
      <w:bookmarkEnd w:id="454"/>
    </w:p>
    <w:p>
      <w:pPr>
        <w:adjustRightInd w:val="0"/>
        <w:snapToGrid w:val="0"/>
        <w:spacing w:line="360" w:lineRule="auto"/>
        <w:ind w:firstLine="420" w:firstLineChars="200"/>
      </w:pPr>
    </w:p>
    <w:p>
      <w:pPr>
        <w:adjustRightInd w:val="0"/>
        <w:snapToGrid w:val="0"/>
        <w:spacing w:line="360" w:lineRule="auto"/>
        <w:ind w:firstLine="422" w:firstLineChars="200"/>
        <w:rPr>
          <w:rFonts w:ascii="宋体" w:hAnsi="宋体"/>
          <w:b/>
          <w:bCs/>
        </w:rPr>
      </w:pPr>
      <w:bookmarkStart w:id="455" w:name="_Toc421697147"/>
      <w:bookmarkStart w:id="456" w:name="_Toc416516205"/>
      <w:bookmarkStart w:id="457" w:name="_Hlk32424056"/>
      <w:bookmarkStart w:id="458" w:name="_Hlk28431011"/>
      <w:r>
        <w:rPr>
          <w:rFonts w:hint="eastAsia" w:ascii="宋体" w:hAnsi="宋体"/>
          <w:b/>
          <w:bCs/>
        </w:rPr>
        <w:t>第1节 项目资本情况</w:t>
      </w:r>
    </w:p>
    <w:p>
      <w:pPr>
        <w:adjustRightInd w:val="0"/>
        <w:snapToGrid w:val="0"/>
        <w:spacing w:line="360" w:lineRule="auto"/>
        <w:ind w:firstLine="422" w:firstLineChars="200"/>
        <w:rPr>
          <w:rFonts w:ascii="宋体" w:hAnsi="宋体"/>
          <w:b/>
          <w:bCs/>
        </w:rPr>
      </w:pPr>
      <w:r>
        <w:rPr>
          <w:rFonts w:ascii="宋体" w:hAnsi="宋体"/>
          <w:b/>
          <w:bCs/>
        </w:rPr>
        <w:t>一、项目情况介绍</w:t>
      </w:r>
    </w:p>
    <w:p>
      <w:pPr>
        <w:adjustRightInd w:val="0"/>
        <w:snapToGrid w:val="0"/>
        <w:spacing w:line="360" w:lineRule="auto"/>
        <w:ind w:firstLine="420" w:firstLineChars="200"/>
        <w:rPr>
          <w:rFonts w:ascii="宋体" w:hAnsi="宋体"/>
        </w:rPr>
      </w:pPr>
      <w:r>
        <w:rPr>
          <w:rFonts w:ascii="宋体" w:hAnsi="宋体"/>
        </w:rPr>
        <w:t>1、项目名称</w:t>
      </w:r>
    </w:p>
    <w:p>
      <w:pPr>
        <w:adjustRightInd w:val="0"/>
        <w:snapToGrid w:val="0"/>
        <w:spacing w:line="360" w:lineRule="auto"/>
        <w:ind w:firstLine="420" w:firstLineChars="200"/>
        <w:rPr>
          <w:rFonts w:ascii="宋体" w:hAnsi="宋体"/>
        </w:rPr>
      </w:pPr>
      <w:r>
        <w:rPr>
          <w:rFonts w:ascii="宋体" w:hAnsi="宋体"/>
        </w:rPr>
        <w:t>南京市栖霞区餐厨废弃物处置厂项目（以下简称“本项目”）。</w:t>
      </w:r>
    </w:p>
    <w:p>
      <w:pPr>
        <w:adjustRightInd w:val="0"/>
        <w:snapToGrid w:val="0"/>
        <w:spacing w:line="360" w:lineRule="auto"/>
        <w:ind w:firstLine="420" w:firstLineChars="200"/>
        <w:rPr>
          <w:rFonts w:ascii="宋体" w:hAnsi="宋体"/>
        </w:rPr>
      </w:pPr>
      <w:r>
        <w:rPr>
          <w:rFonts w:ascii="宋体" w:hAnsi="宋体"/>
        </w:rPr>
        <w:t>2、项目类型</w:t>
      </w:r>
    </w:p>
    <w:p>
      <w:pPr>
        <w:adjustRightInd w:val="0"/>
        <w:snapToGrid w:val="0"/>
        <w:spacing w:line="360" w:lineRule="auto"/>
        <w:ind w:firstLine="420" w:firstLineChars="200"/>
        <w:rPr>
          <w:rFonts w:ascii="宋体" w:hAnsi="宋体"/>
        </w:rPr>
      </w:pPr>
      <w:r>
        <w:rPr>
          <w:rFonts w:ascii="宋体" w:hAnsi="宋体"/>
        </w:rPr>
        <w:t>新建项目。</w:t>
      </w:r>
    </w:p>
    <w:p>
      <w:pPr>
        <w:adjustRightInd w:val="0"/>
        <w:snapToGrid w:val="0"/>
        <w:spacing w:line="360" w:lineRule="auto"/>
        <w:ind w:firstLine="420" w:firstLineChars="200"/>
        <w:rPr>
          <w:rFonts w:ascii="宋体" w:hAnsi="宋体"/>
        </w:rPr>
      </w:pPr>
      <w:r>
        <w:rPr>
          <w:rFonts w:ascii="宋体" w:hAnsi="宋体"/>
        </w:rPr>
        <w:t>3、项目所属行业</w:t>
      </w:r>
    </w:p>
    <w:p>
      <w:pPr>
        <w:adjustRightInd w:val="0"/>
        <w:snapToGrid w:val="0"/>
        <w:spacing w:line="360" w:lineRule="auto"/>
        <w:ind w:firstLine="420" w:firstLineChars="200"/>
        <w:rPr>
          <w:rFonts w:ascii="宋体" w:hAnsi="宋体"/>
        </w:rPr>
      </w:pPr>
      <w:r>
        <w:rPr>
          <w:rFonts w:ascii="宋体" w:hAnsi="宋体"/>
        </w:rPr>
        <w:t>环境保护类。</w:t>
      </w:r>
    </w:p>
    <w:p>
      <w:pPr>
        <w:adjustRightInd w:val="0"/>
        <w:snapToGrid w:val="0"/>
        <w:spacing w:line="360" w:lineRule="auto"/>
        <w:ind w:firstLine="420" w:firstLineChars="200"/>
        <w:rPr>
          <w:rFonts w:ascii="宋体" w:hAnsi="宋体"/>
        </w:rPr>
      </w:pPr>
      <w:r>
        <w:rPr>
          <w:rFonts w:ascii="宋体" w:hAnsi="宋体"/>
        </w:rPr>
        <w:t>4、实施机构</w:t>
      </w:r>
    </w:p>
    <w:p>
      <w:pPr>
        <w:adjustRightInd w:val="0"/>
        <w:snapToGrid w:val="0"/>
        <w:spacing w:line="360" w:lineRule="auto"/>
        <w:ind w:firstLine="420" w:firstLineChars="200"/>
        <w:rPr>
          <w:rFonts w:ascii="宋体" w:hAnsi="宋体"/>
        </w:rPr>
      </w:pPr>
      <w:r>
        <w:rPr>
          <w:rFonts w:ascii="宋体" w:hAnsi="宋体"/>
        </w:rPr>
        <w:t>南京市栖霞区人民政府授权栖霞区城市管理局（以下简称“区城管局”）为实施机构，负责组织项目前期准备、采购、代表政府签订项目合同（本方案中未加书名号的项目合同均指合同体系，包括《</w:t>
      </w:r>
      <w:r>
        <w:rPr>
          <w:rFonts w:hint="eastAsia" w:ascii="宋体" w:hAnsi="宋体"/>
        </w:rPr>
        <w:t>合作</w:t>
      </w:r>
      <w:r>
        <w:rPr>
          <w:rFonts w:ascii="宋体" w:hAnsi="宋体"/>
        </w:rPr>
        <w:t>协议》</w:t>
      </w:r>
      <w:r>
        <w:rPr>
          <w:rFonts w:hint="eastAsia" w:ascii="宋体" w:hAnsi="宋体"/>
        </w:rPr>
        <w:t>、</w:t>
      </w:r>
      <w:r>
        <w:rPr>
          <w:rFonts w:ascii="宋体" w:hAnsi="宋体"/>
        </w:rPr>
        <w:t>《项目合同》等内容）。合作期内对社会资本及项目公司进行履约监管以及合作期满项目资产移交等工作。</w:t>
      </w:r>
    </w:p>
    <w:p>
      <w:pPr>
        <w:adjustRightInd w:val="0"/>
        <w:snapToGrid w:val="0"/>
        <w:spacing w:line="360" w:lineRule="auto"/>
        <w:ind w:firstLine="420" w:firstLineChars="200"/>
        <w:rPr>
          <w:rFonts w:ascii="宋体" w:hAnsi="宋体"/>
        </w:rPr>
      </w:pPr>
      <w:r>
        <w:rPr>
          <w:rFonts w:ascii="宋体" w:hAnsi="宋体"/>
        </w:rPr>
        <w:t>5、合作期限</w:t>
      </w:r>
    </w:p>
    <w:p>
      <w:pPr>
        <w:adjustRightInd w:val="0"/>
        <w:snapToGrid w:val="0"/>
        <w:spacing w:line="360" w:lineRule="auto"/>
        <w:ind w:firstLine="420" w:firstLineChars="200"/>
        <w:rPr>
          <w:rFonts w:ascii="宋体" w:hAnsi="宋体"/>
        </w:rPr>
      </w:pPr>
      <w:r>
        <w:rPr>
          <w:rFonts w:ascii="宋体" w:hAnsi="宋体"/>
        </w:rPr>
        <w:t>本项目合作期共计28年，含建设期1年。</w:t>
      </w:r>
    </w:p>
    <w:p>
      <w:pPr>
        <w:adjustRightInd w:val="0"/>
        <w:snapToGrid w:val="0"/>
        <w:spacing w:line="360" w:lineRule="auto"/>
        <w:ind w:firstLine="420" w:firstLineChars="200"/>
        <w:rPr>
          <w:rFonts w:ascii="宋体" w:hAnsi="宋体"/>
        </w:rPr>
      </w:pPr>
      <w:r>
        <w:rPr>
          <w:rFonts w:ascii="宋体" w:hAnsi="宋体"/>
        </w:rPr>
        <w:t>6、运作方式</w:t>
      </w:r>
    </w:p>
    <w:p>
      <w:pPr>
        <w:adjustRightInd w:val="0"/>
        <w:snapToGrid w:val="0"/>
        <w:spacing w:line="360" w:lineRule="auto"/>
        <w:ind w:firstLine="420" w:firstLineChars="200"/>
        <w:rPr>
          <w:rFonts w:ascii="宋体" w:hAnsi="宋体"/>
        </w:rPr>
      </w:pPr>
      <w:r>
        <w:rPr>
          <w:rFonts w:ascii="宋体" w:hAnsi="宋体"/>
        </w:rPr>
        <w:t>本项目运作方式为“建设-运营-移交（BOT）”。合作期内，项目公司负责项目范围内相关设施投融资、建设、运营维护的工作，期限届满将相关设施及权利移交给栖霞区人民政府或其指定机构。</w:t>
      </w:r>
    </w:p>
    <w:p>
      <w:pPr>
        <w:adjustRightInd w:val="0"/>
        <w:snapToGrid w:val="0"/>
        <w:spacing w:line="360" w:lineRule="auto"/>
        <w:ind w:firstLine="420" w:firstLineChars="200"/>
        <w:rPr>
          <w:rFonts w:ascii="宋体" w:hAnsi="宋体"/>
        </w:rPr>
      </w:pPr>
      <w:r>
        <w:rPr>
          <w:rFonts w:ascii="宋体" w:hAnsi="宋体"/>
        </w:rPr>
        <w:t>7、项目合作内容</w:t>
      </w:r>
    </w:p>
    <w:p>
      <w:pPr>
        <w:adjustRightInd w:val="0"/>
        <w:snapToGrid w:val="0"/>
        <w:spacing w:line="360" w:lineRule="auto"/>
        <w:ind w:firstLine="420" w:firstLineChars="200"/>
        <w:rPr>
          <w:rFonts w:ascii="宋体" w:hAnsi="宋体"/>
        </w:rPr>
      </w:pPr>
      <w:r>
        <w:rPr>
          <w:rFonts w:ascii="宋体" w:hAnsi="宋体"/>
        </w:rPr>
        <w:t>本项目位于南京市栖霞区龙潭，东至排洪水路、南至科港路、北至龙北大道、西至陈店路，规划总用地约40亩。合作内容主要包括餐厨废弃物收运、处置两部分，收运处置对象主要为栖霞区范围内居民日常生活以外的食品加工、餐饮服务、集中供餐等活动中产生的餐厨废弃物和废弃油脂等废弃物。</w:t>
      </w:r>
    </w:p>
    <w:p>
      <w:pPr>
        <w:adjustRightInd w:val="0"/>
        <w:snapToGrid w:val="0"/>
        <w:spacing w:line="360" w:lineRule="auto"/>
        <w:ind w:firstLine="420" w:firstLineChars="200"/>
        <w:rPr>
          <w:rFonts w:ascii="宋体" w:hAnsi="宋体"/>
        </w:rPr>
      </w:pPr>
      <w:r>
        <w:rPr>
          <w:rFonts w:ascii="宋体" w:hAnsi="宋体"/>
        </w:rPr>
        <w:t>（1）餐厨废弃物收运</w:t>
      </w:r>
    </w:p>
    <w:p>
      <w:pPr>
        <w:adjustRightInd w:val="0"/>
        <w:snapToGrid w:val="0"/>
        <w:spacing w:line="360" w:lineRule="auto"/>
        <w:ind w:firstLine="420" w:firstLineChars="200"/>
        <w:rPr>
          <w:rFonts w:ascii="宋体" w:hAnsi="宋体"/>
        </w:rPr>
      </w:pPr>
      <w:r>
        <w:rPr>
          <w:rFonts w:ascii="宋体" w:hAnsi="宋体"/>
        </w:rPr>
        <w:t>本项目建设餐厨废弃物智能化收运系统和数字化管理平台，分年实现栖霞区餐厨废弃物集中收运，</w:t>
      </w:r>
      <w:r>
        <w:rPr>
          <w:rFonts w:hint="eastAsia" w:ascii="宋体" w:hAnsi="宋体"/>
        </w:rPr>
        <w:t>本项目不设政府保底垃圾收运量，</w:t>
      </w:r>
      <w:r>
        <w:rPr>
          <w:rFonts w:ascii="宋体" w:hAnsi="宋体"/>
        </w:rPr>
        <w:t>项目运营期前5年（含试运营期）逐步实现日收运量200吨餐厨废弃物+30吨地沟油。运营期收运情况详见下表：</w:t>
      </w:r>
    </w:p>
    <w:p>
      <w:r>
        <w:t>表1-1  运营期内餐厨废弃物收运情况一览表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1"/>
        <w:gridCol w:w="1025"/>
        <w:gridCol w:w="1025"/>
        <w:gridCol w:w="1025"/>
        <w:gridCol w:w="1025"/>
        <w:gridCol w:w="20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0" w:type="pct"/>
            <w:shd w:val="clear" w:color="auto" w:fill="auto"/>
          </w:tcPr>
          <w:p>
            <w:r>
              <w:t>运营期</w:t>
            </w:r>
          </w:p>
        </w:tc>
        <w:tc>
          <w:tcPr>
            <w:tcW w:w="601" w:type="pct"/>
            <w:shd w:val="clear" w:color="auto" w:fill="auto"/>
          </w:tcPr>
          <w:p>
            <w:r>
              <w:t>第1年</w:t>
            </w:r>
          </w:p>
        </w:tc>
        <w:tc>
          <w:tcPr>
            <w:tcW w:w="601" w:type="pct"/>
            <w:shd w:val="clear" w:color="auto" w:fill="auto"/>
          </w:tcPr>
          <w:p>
            <w:r>
              <w:t>第2年</w:t>
            </w:r>
          </w:p>
        </w:tc>
        <w:tc>
          <w:tcPr>
            <w:tcW w:w="601" w:type="pct"/>
            <w:shd w:val="clear" w:color="auto" w:fill="auto"/>
          </w:tcPr>
          <w:p>
            <w:r>
              <w:t>第3年</w:t>
            </w:r>
          </w:p>
        </w:tc>
        <w:tc>
          <w:tcPr>
            <w:tcW w:w="601" w:type="pct"/>
            <w:shd w:val="clear" w:color="auto" w:fill="auto"/>
          </w:tcPr>
          <w:p>
            <w:r>
              <w:t>第4年</w:t>
            </w:r>
          </w:p>
        </w:tc>
        <w:tc>
          <w:tcPr>
            <w:tcW w:w="1205" w:type="pct"/>
            <w:shd w:val="clear" w:color="auto" w:fill="auto"/>
          </w:tcPr>
          <w:p>
            <w:r>
              <w:t>第5年~第27年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0" w:type="pct"/>
            <w:shd w:val="clear" w:color="auto" w:fill="auto"/>
          </w:tcPr>
          <w:p>
            <w:r>
              <w:t>餐厨废弃物（吨/日）</w:t>
            </w:r>
          </w:p>
        </w:tc>
        <w:tc>
          <w:tcPr>
            <w:tcW w:w="601" w:type="pct"/>
            <w:shd w:val="clear" w:color="auto" w:fill="auto"/>
            <w:vAlign w:val="center"/>
          </w:tcPr>
          <w:p>
            <w:r>
              <w:t>100.00</w:t>
            </w:r>
          </w:p>
        </w:tc>
        <w:tc>
          <w:tcPr>
            <w:tcW w:w="601" w:type="pct"/>
            <w:shd w:val="clear" w:color="auto" w:fill="auto"/>
            <w:vAlign w:val="center"/>
          </w:tcPr>
          <w:p>
            <w:r>
              <w:t>150.00</w:t>
            </w:r>
          </w:p>
        </w:tc>
        <w:tc>
          <w:tcPr>
            <w:tcW w:w="601" w:type="pct"/>
            <w:shd w:val="clear" w:color="auto" w:fill="auto"/>
            <w:vAlign w:val="center"/>
          </w:tcPr>
          <w:p>
            <w:r>
              <w:t>160.00</w:t>
            </w:r>
          </w:p>
        </w:tc>
        <w:tc>
          <w:tcPr>
            <w:tcW w:w="601" w:type="pct"/>
            <w:shd w:val="clear" w:color="auto" w:fill="auto"/>
            <w:vAlign w:val="center"/>
          </w:tcPr>
          <w:p>
            <w:r>
              <w:t>180.00</w:t>
            </w:r>
          </w:p>
        </w:tc>
        <w:tc>
          <w:tcPr>
            <w:tcW w:w="1205" w:type="pct"/>
            <w:shd w:val="clear" w:color="auto" w:fill="auto"/>
            <w:vAlign w:val="center"/>
          </w:tcPr>
          <w:p>
            <w: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0" w:type="pct"/>
            <w:shd w:val="clear" w:color="auto" w:fill="auto"/>
          </w:tcPr>
          <w:p>
            <w:r>
              <w:t>地沟油（吨/日）</w:t>
            </w:r>
          </w:p>
        </w:tc>
        <w:tc>
          <w:tcPr>
            <w:tcW w:w="601" w:type="pct"/>
            <w:shd w:val="clear" w:color="auto" w:fill="auto"/>
            <w:vAlign w:val="center"/>
          </w:tcPr>
          <w:p>
            <w:r>
              <w:t>4.50</w:t>
            </w:r>
          </w:p>
        </w:tc>
        <w:tc>
          <w:tcPr>
            <w:tcW w:w="601" w:type="pct"/>
            <w:shd w:val="clear" w:color="auto" w:fill="auto"/>
            <w:vAlign w:val="center"/>
          </w:tcPr>
          <w:p>
            <w:r>
              <w:t>9.00</w:t>
            </w:r>
          </w:p>
        </w:tc>
        <w:tc>
          <w:tcPr>
            <w:tcW w:w="601" w:type="pct"/>
            <w:shd w:val="clear" w:color="auto" w:fill="auto"/>
            <w:vAlign w:val="center"/>
          </w:tcPr>
          <w:p>
            <w:r>
              <w:t>18.00</w:t>
            </w:r>
          </w:p>
        </w:tc>
        <w:tc>
          <w:tcPr>
            <w:tcW w:w="601" w:type="pct"/>
            <w:shd w:val="clear" w:color="auto" w:fill="auto"/>
            <w:vAlign w:val="center"/>
          </w:tcPr>
          <w:p>
            <w:r>
              <w:t>24.00</w:t>
            </w:r>
          </w:p>
        </w:tc>
        <w:tc>
          <w:tcPr>
            <w:tcW w:w="1205" w:type="pct"/>
            <w:shd w:val="clear" w:color="auto" w:fill="auto"/>
            <w:vAlign w:val="center"/>
          </w:tcPr>
          <w:p>
            <w:r>
              <w:t>30.00</w:t>
            </w:r>
          </w:p>
        </w:tc>
      </w:tr>
    </w:tbl>
    <w:p>
      <w:pPr>
        <w:adjustRightInd w:val="0"/>
        <w:snapToGrid w:val="0"/>
        <w:spacing w:line="360" w:lineRule="auto"/>
        <w:ind w:firstLine="420" w:firstLineChars="200"/>
      </w:pPr>
      <w:r>
        <w:rPr>
          <w:rFonts w:hint="eastAsia"/>
        </w:rPr>
        <w:t>本项目区域内约1</w:t>
      </w:r>
      <w:r>
        <w:t>000</w:t>
      </w:r>
      <w:r>
        <w:rPr>
          <w:rFonts w:hint="eastAsia"/>
        </w:rPr>
        <w:t>户餐饮企业，为保证本项目运营</w:t>
      </w:r>
      <w:r>
        <w:t>期内，餐厨废弃物收运</w:t>
      </w:r>
      <w:r>
        <w:rPr>
          <w:rFonts w:hint="eastAsia"/>
        </w:rPr>
        <w:t>量</w:t>
      </w:r>
      <w:r>
        <w:t>尽快达到</w:t>
      </w:r>
      <w:r>
        <w:rPr>
          <w:rFonts w:hint="eastAsia"/>
        </w:rPr>
        <w:t>上述</w:t>
      </w:r>
      <w:r>
        <w:t>要求，</w:t>
      </w:r>
      <w:r>
        <w:rPr>
          <w:rFonts w:hint="eastAsia"/>
        </w:rPr>
        <w:t>建议投标人对</w:t>
      </w:r>
      <w:r>
        <w:t>本项目区域内餐饮企业及餐厨废弃物产量进行调研，</w:t>
      </w:r>
      <w:r>
        <w:rPr>
          <w:rFonts w:hint="eastAsia"/>
        </w:rPr>
        <w:t>评估是否</w:t>
      </w:r>
      <w:r>
        <w:t>有能力在中标后，短时间内与</w:t>
      </w:r>
      <w:r>
        <w:rPr>
          <w:rFonts w:hint="eastAsia"/>
        </w:rPr>
        <w:t>本</w:t>
      </w:r>
      <w:r>
        <w:t>项目区域内餐饮企业签订餐厨</w:t>
      </w:r>
      <w:r>
        <w:rPr>
          <w:rFonts w:hint="eastAsia"/>
        </w:rPr>
        <w:t>废弃物</w:t>
      </w:r>
      <w:r>
        <w:t>收运协议</w:t>
      </w:r>
      <w:r>
        <w:rPr>
          <w:rFonts w:hint="eastAsia"/>
        </w:rPr>
        <w:t>；</w:t>
      </w:r>
      <w:r>
        <w:t>或</w:t>
      </w:r>
      <w:r>
        <w:rPr>
          <w:rFonts w:hint="eastAsia"/>
        </w:rPr>
        <w:t>投标人在</w:t>
      </w:r>
      <w:r>
        <w:t>本项目周边拥有完善的餐厨废弃物收运体系</w:t>
      </w:r>
      <w:r>
        <w:rPr>
          <w:rFonts w:hint="eastAsia"/>
        </w:rPr>
        <w:t>，</w:t>
      </w:r>
      <w:r>
        <w:t>以</w:t>
      </w:r>
      <w:r>
        <w:rPr>
          <w:rFonts w:hint="eastAsia"/>
        </w:rPr>
        <w:t>弥补</w:t>
      </w:r>
      <w:r>
        <w:t>运营初期餐厨废弃物收运</w:t>
      </w:r>
      <w:r>
        <w:rPr>
          <w:rFonts w:hint="eastAsia"/>
        </w:rPr>
        <w:t>量</w:t>
      </w:r>
      <w:r>
        <w:t>不足的现象。</w:t>
      </w:r>
    </w:p>
    <w:p>
      <w:pPr>
        <w:adjustRightInd w:val="0"/>
        <w:snapToGrid w:val="0"/>
        <w:spacing w:line="360" w:lineRule="auto"/>
        <w:ind w:firstLine="420" w:firstLineChars="200"/>
      </w:pPr>
      <w:r>
        <w:t>（2）餐厨废弃物处置</w:t>
      </w:r>
    </w:p>
    <w:p>
      <w:pPr>
        <w:adjustRightInd w:val="0"/>
        <w:snapToGrid w:val="0"/>
        <w:spacing w:line="360" w:lineRule="auto"/>
        <w:ind w:firstLine="420" w:firstLineChars="200"/>
      </w:pPr>
      <w:r>
        <w:t>本项目建设处理能力餐厨废弃物200吨/日+地沟油30吨/日的餐厨废弃物处置厂。本项目采用“预处理+湿式中温厌氧消化+生物质气体能源化利用”处理工艺，主要由五大部分组成，包括：前处理系统、厌氧消化产沼气系统、沼气净化存储利用系统、臭气处理系统、污水处理系统。</w:t>
      </w:r>
    </w:p>
    <w:p>
      <w:pPr>
        <w:adjustRightInd w:val="0"/>
        <w:snapToGrid w:val="0"/>
        <w:spacing w:line="360" w:lineRule="auto"/>
        <w:ind w:firstLine="420" w:firstLineChars="200"/>
      </w:pPr>
      <w:r>
        <w:t>1）预处理：由破碎、分选、制浆、湿热处理及油脂分离等部分构成。</w:t>
      </w:r>
    </w:p>
    <w:p>
      <w:pPr>
        <w:adjustRightInd w:val="0"/>
        <w:snapToGrid w:val="0"/>
        <w:spacing w:line="360" w:lineRule="auto"/>
        <w:ind w:firstLine="422" w:firstLineChars="200"/>
        <w:rPr>
          <w:b/>
        </w:rPr>
      </w:pPr>
      <w:r>
        <w:rPr>
          <w:rFonts w:hint="eastAsia"/>
          <w:b/>
        </w:rPr>
        <w:t>预处理系统</w:t>
      </w:r>
      <w:r>
        <w:rPr>
          <w:b/>
        </w:rPr>
        <w:t>产出物</w:t>
      </w:r>
      <w:r>
        <w:rPr>
          <w:rFonts w:hint="eastAsia"/>
          <w:b/>
        </w:rPr>
        <w:t>参数</w:t>
      </w:r>
    </w:p>
    <w:tbl>
      <w:tblPr>
        <w:tblStyle w:val="1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3"/>
        <w:gridCol w:w="2283"/>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b/>
                <w:sz w:val="22"/>
              </w:rPr>
            </w:pPr>
            <w:r>
              <w:rPr>
                <w:rFonts w:hint="eastAsia"/>
                <w:b/>
                <w:sz w:val="22"/>
              </w:rPr>
              <w:t>参数</w:t>
            </w:r>
          </w:p>
        </w:tc>
        <w:tc>
          <w:tcPr>
            <w:tcW w:w="2283" w:type="dxa"/>
            <w:vAlign w:val="center"/>
          </w:tcPr>
          <w:p>
            <w:pPr>
              <w:widowControl/>
              <w:jc w:val="center"/>
              <w:rPr>
                <w:b/>
                <w:sz w:val="22"/>
              </w:rPr>
            </w:pPr>
            <w:r>
              <w:rPr>
                <w:rFonts w:hint="eastAsia"/>
                <w:b/>
                <w:sz w:val="22"/>
              </w:rPr>
              <w:t>要求</w:t>
            </w:r>
          </w:p>
        </w:tc>
        <w:tc>
          <w:tcPr>
            <w:tcW w:w="936" w:type="dxa"/>
          </w:tcPr>
          <w:p>
            <w:pPr>
              <w:widowControl/>
              <w:jc w:val="center"/>
              <w:rPr>
                <w:b/>
                <w:sz w:val="22"/>
              </w:rPr>
            </w:pPr>
            <w:r>
              <w:rPr>
                <w:rFonts w:hint="eastAsia"/>
                <w:b/>
                <w:sz w:val="2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杂质</w:t>
            </w:r>
            <w:r>
              <w:rPr>
                <w:sz w:val="22"/>
              </w:rPr>
              <w:t>（</w:t>
            </w:r>
            <w:r>
              <w:rPr>
                <w:rFonts w:hint="eastAsia"/>
                <w:sz w:val="22"/>
              </w:rPr>
              <w:t>无机</w:t>
            </w:r>
            <w:r>
              <w:rPr>
                <w:sz w:val="22"/>
              </w:rPr>
              <w:t>固型物、塑料及织物等）</w:t>
            </w:r>
            <w:r>
              <w:rPr>
                <w:rFonts w:hint="eastAsia"/>
                <w:sz w:val="22"/>
              </w:rPr>
              <w:t>的</w:t>
            </w:r>
            <w:r>
              <w:rPr>
                <w:sz w:val="22"/>
              </w:rPr>
              <w:t>去除率</w:t>
            </w:r>
          </w:p>
        </w:tc>
        <w:tc>
          <w:tcPr>
            <w:tcW w:w="2283" w:type="dxa"/>
            <w:vAlign w:val="center"/>
          </w:tcPr>
          <w:p>
            <w:pPr>
              <w:widowControl/>
              <w:jc w:val="center"/>
              <w:rPr>
                <w:sz w:val="22"/>
              </w:rPr>
            </w:pPr>
            <w:r>
              <w:rPr>
                <w:rFonts w:hint="eastAsia" w:ascii="宋体" w:hAnsi="宋体"/>
                <w:sz w:val="22"/>
              </w:rPr>
              <w:t>≥</w:t>
            </w:r>
            <w:r>
              <w:rPr>
                <w:rFonts w:hint="eastAsia"/>
                <w:sz w:val="22"/>
              </w:rPr>
              <w:t>90</w:t>
            </w:r>
            <w:r>
              <w:rPr>
                <w:sz w:val="22"/>
              </w:rPr>
              <w:t>%</w:t>
            </w:r>
          </w:p>
        </w:tc>
        <w:tc>
          <w:tcPr>
            <w:tcW w:w="936" w:type="dxa"/>
          </w:tcPr>
          <w:p>
            <w:pPr>
              <w:widowControl/>
              <w:jc w:val="center"/>
              <w:rPr>
                <w:rFonts w:ascii="宋体" w:hAnsi="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液相</w:t>
            </w:r>
            <w:r>
              <w:rPr>
                <w:sz w:val="22"/>
              </w:rPr>
              <w:t>浆料粒径</w:t>
            </w:r>
          </w:p>
        </w:tc>
        <w:tc>
          <w:tcPr>
            <w:tcW w:w="2283" w:type="dxa"/>
            <w:vAlign w:val="center"/>
          </w:tcPr>
          <w:p>
            <w:pPr>
              <w:widowControl/>
              <w:jc w:val="center"/>
              <w:rPr>
                <w:sz w:val="22"/>
              </w:rPr>
            </w:pPr>
            <w:r>
              <w:rPr>
                <w:rFonts w:hint="eastAsia" w:ascii="宋体" w:hAnsi="宋体"/>
                <w:sz w:val="22"/>
              </w:rPr>
              <w:t>≤</w:t>
            </w:r>
            <w:r>
              <w:rPr>
                <w:rFonts w:hint="eastAsia"/>
                <w:sz w:val="22"/>
              </w:rPr>
              <w:t>8mm</w:t>
            </w:r>
          </w:p>
        </w:tc>
        <w:tc>
          <w:tcPr>
            <w:tcW w:w="936" w:type="dxa"/>
          </w:tcPr>
          <w:p>
            <w:pPr>
              <w:widowControl/>
              <w:jc w:val="center"/>
              <w:rPr>
                <w:rFonts w:ascii="宋体" w:hAnsi="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油中水</w:t>
            </w:r>
            <w:r>
              <w:rPr>
                <w:sz w:val="22"/>
              </w:rPr>
              <w:t>、杂含量</w:t>
            </w:r>
          </w:p>
        </w:tc>
        <w:tc>
          <w:tcPr>
            <w:tcW w:w="2283" w:type="dxa"/>
            <w:vAlign w:val="center"/>
          </w:tcPr>
          <w:p>
            <w:pPr>
              <w:widowControl/>
              <w:jc w:val="center"/>
              <w:rPr>
                <w:sz w:val="22"/>
              </w:rPr>
            </w:pPr>
            <w:r>
              <w:rPr>
                <w:rFonts w:hint="eastAsia" w:ascii="宋体" w:hAnsi="宋体"/>
                <w:sz w:val="22"/>
              </w:rPr>
              <w:t>≤</w:t>
            </w:r>
            <w:r>
              <w:rPr>
                <w:rFonts w:ascii="宋体" w:hAnsi="宋体"/>
                <w:sz w:val="22"/>
              </w:rPr>
              <w:t>8</w:t>
            </w:r>
            <w:r>
              <w:rPr>
                <w:rFonts w:hint="eastAsia" w:ascii="宋体" w:hAnsi="宋体"/>
                <w:sz w:val="22"/>
              </w:rPr>
              <w:t>%</w:t>
            </w:r>
          </w:p>
        </w:tc>
        <w:tc>
          <w:tcPr>
            <w:tcW w:w="936" w:type="dxa"/>
          </w:tcPr>
          <w:p>
            <w:pPr>
              <w:widowControl/>
              <w:jc w:val="center"/>
              <w:rPr>
                <w:rFonts w:ascii="宋体" w:hAnsi="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水相中</w:t>
            </w:r>
            <w:r>
              <w:rPr>
                <w:sz w:val="22"/>
              </w:rPr>
              <w:t>含油量</w:t>
            </w:r>
          </w:p>
        </w:tc>
        <w:tc>
          <w:tcPr>
            <w:tcW w:w="2283" w:type="dxa"/>
            <w:vAlign w:val="center"/>
          </w:tcPr>
          <w:p>
            <w:pPr>
              <w:widowControl/>
              <w:jc w:val="center"/>
              <w:rPr>
                <w:sz w:val="22"/>
              </w:rPr>
            </w:pPr>
            <w:r>
              <w:rPr>
                <w:rFonts w:hint="eastAsia" w:ascii="宋体" w:hAnsi="宋体"/>
                <w:sz w:val="22"/>
              </w:rPr>
              <w:t>≤1%</w:t>
            </w:r>
          </w:p>
        </w:tc>
        <w:tc>
          <w:tcPr>
            <w:tcW w:w="936" w:type="dxa"/>
          </w:tcPr>
          <w:p>
            <w:pPr>
              <w:widowControl/>
              <w:jc w:val="center"/>
              <w:rPr>
                <w:rFonts w:ascii="宋体" w:hAnsi="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处理后</w:t>
            </w:r>
            <w:r>
              <w:rPr>
                <w:sz w:val="22"/>
              </w:rPr>
              <w:t>有机损失率</w:t>
            </w:r>
          </w:p>
        </w:tc>
        <w:tc>
          <w:tcPr>
            <w:tcW w:w="2283" w:type="dxa"/>
            <w:vAlign w:val="center"/>
          </w:tcPr>
          <w:p>
            <w:pPr>
              <w:widowControl/>
              <w:jc w:val="center"/>
              <w:rPr>
                <w:sz w:val="22"/>
              </w:rPr>
            </w:pPr>
            <w:r>
              <w:rPr>
                <w:rFonts w:hint="eastAsia" w:ascii="宋体" w:hAnsi="宋体"/>
                <w:sz w:val="22"/>
              </w:rPr>
              <w:t>≤1</w:t>
            </w:r>
            <w:r>
              <w:rPr>
                <w:rFonts w:ascii="宋体" w:hAnsi="宋体"/>
                <w:sz w:val="22"/>
              </w:rPr>
              <w:t>5</w:t>
            </w:r>
            <w:r>
              <w:rPr>
                <w:rFonts w:hint="eastAsia" w:ascii="宋体" w:hAnsi="宋体"/>
                <w:sz w:val="22"/>
              </w:rPr>
              <w:t>%</w:t>
            </w:r>
          </w:p>
        </w:tc>
        <w:tc>
          <w:tcPr>
            <w:tcW w:w="936" w:type="dxa"/>
          </w:tcPr>
          <w:p>
            <w:pPr>
              <w:widowControl/>
              <w:jc w:val="center"/>
              <w:rPr>
                <w:rFonts w:ascii="宋体" w:hAnsi="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3" w:type="dxa"/>
            <w:vAlign w:val="center"/>
          </w:tcPr>
          <w:p>
            <w:pPr>
              <w:widowControl/>
              <w:jc w:val="center"/>
              <w:rPr>
                <w:sz w:val="22"/>
              </w:rPr>
            </w:pPr>
            <w:r>
              <w:rPr>
                <w:rFonts w:hint="eastAsia"/>
                <w:sz w:val="22"/>
              </w:rPr>
              <w:t>浆液</w:t>
            </w:r>
            <w:r>
              <w:rPr>
                <w:sz w:val="22"/>
              </w:rPr>
              <w:t>中有机含量</w:t>
            </w:r>
          </w:p>
        </w:tc>
        <w:tc>
          <w:tcPr>
            <w:tcW w:w="2283" w:type="dxa"/>
            <w:vAlign w:val="center"/>
          </w:tcPr>
          <w:p>
            <w:pPr>
              <w:widowControl/>
              <w:jc w:val="center"/>
              <w:rPr>
                <w:sz w:val="22"/>
              </w:rPr>
            </w:pPr>
            <w:r>
              <w:rPr>
                <w:rFonts w:hint="eastAsia" w:ascii="宋体" w:hAnsi="宋体"/>
                <w:sz w:val="22"/>
              </w:rPr>
              <w:t>≥</w:t>
            </w:r>
            <w:r>
              <w:rPr>
                <w:rFonts w:hint="eastAsia"/>
                <w:sz w:val="22"/>
              </w:rPr>
              <w:t>90</w:t>
            </w:r>
            <w:r>
              <w:rPr>
                <w:sz w:val="22"/>
              </w:rPr>
              <w:t>%</w:t>
            </w:r>
          </w:p>
        </w:tc>
        <w:tc>
          <w:tcPr>
            <w:tcW w:w="936" w:type="dxa"/>
          </w:tcPr>
          <w:p>
            <w:pPr>
              <w:widowControl/>
              <w:jc w:val="center"/>
              <w:rPr>
                <w:rFonts w:ascii="宋体" w:hAnsi="宋体"/>
                <w:sz w:val="22"/>
              </w:rPr>
            </w:pPr>
          </w:p>
        </w:tc>
      </w:tr>
    </w:tbl>
    <w:p>
      <w:pPr>
        <w:adjustRightInd w:val="0"/>
        <w:snapToGrid w:val="0"/>
        <w:spacing w:line="360" w:lineRule="auto"/>
        <w:ind w:firstLine="420" w:firstLineChars="200"/>
      </w:pPr>
    </w:p>
    <w:p>
      <w:pPr>
        <w:adjustRightInd w:val="0"/>
        <w:snapToGrid w:val="0"/>
        <w:spacing w:line="360" w:lineRule="auto"/>
        <w:ind w:firstLine="422" w:firstLineChars="200"/>
        <w:rPr>
          <w:b/>
        </w:rPr>
      </w:pPr>
      <w:r>
        <w:rPr>
          <w:rFonts w:hint="eastAsia"/>
          <w:b/>
        </w:rPr>
        <w:t>餐厨预处理</w:t>
      </w:r>
      <w:r>
        <w:rPr>
          <w:b/>
        </w:rPr>
        <w:t>系统主要设备参数</w:t>
      </w:r>
    </w:p>
    <w:tbl>
      <w:tblPr>
        <w:tblStyle w:val="40"/>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09"/>
        <w:gridCol w:w="2806"/>
        <w:gridCol w:w="4012"/>
        <w:gridCol w:w="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tblHeader/>
          <w:jc w:val="center"/>
        </w:trPr>
        <w:tc>
          <w:tcPr>
            <w:tcW w:w="475" w:type="pct"/>
            <w:vAlign w:val="center"/>
          </w:tcPr>
          <w:p>
            <w:pPr>
              <w:widowControl/>
              <w:jc w:val="center"/>
              <w:rPr>
                <w:b/>
                <w:bCs/>
                <w:sz w:val="22"/>
              </w:rPr>
            </w:pPr>
            <w:r>
              <w:rPr>
                <w:b/>
                <w:bCs/>
                <w:sz w:val="22"/>
              </w:rPr>
              <w:t>序号</w:t>
            </w:r>
          </w:p>
        </w:tc>
        <w:tc>
          <w:tcPr>
            <w:tcW w:w="1645" w:type="pct"/>
            <w:vAlign w:val="center"/>
          </w:tcPr>
          <w:p>
            <w:pPr>
              <w:widowControl/>
              <w:jc w:val="center"/>
              <w:rPr>
                <w:b/>
                <w:bCs/>
                <w:sz w:val="22"/>
              </w:rPr>
            </w:pPr>
            <w:r>
              <w:rPr>
                <w:b/>
                <w:bCs/>
                <w:sz w:val="22"/>
              </w:rPr>
              <w:t>设备名称</w:t>
            </w:r>
          </w:p>
        </w:tc>
        <w:tc>
          <w:tcPr>
            <w:tcW w:w="2352" w:type="pct"/>
            <w:vAlign w:val="center"/>
          </w:tcPr>
          <w:p>
            <w:pPr>
              <w:widowControl/>
              <w:jc w:val="center"/>
              <w:rPr>
                <w:b/>
                <w:bCs/>
                <w:sz w:val="22"/>
              </w:rPr>
            </w:pPr>
            <w:r>
              <w:rPr>
                <w:b/>
                <w:bCs/>
                <w:sz w:val="22"/>
              </w:rPr>
              <w:t>性能参数</w:t>
            </w:r>
          </w:p>
        </w:tc>
        <w:tc>
          <w:tcPr>
            <w:tcW w:w="528" w:type="pct"/>
            <w:vAlign w:val="center"/>
          </w:tcPr>
          <w:p>
            <w:pPr>
              <w:widowControl/>
              <w:jc w:val="center"/>
              <w:rPr>
                <w:b/>
                <w:bCs/>
                <w:sz w:val="22"/>
              </w:rPr>
            </w:pPr>
            <w:r>
              <w:rPr>
                <w:rFonts w:hint="eastAsia"/>
                <w:b/>
                <w:bCs/>
                <w:sz w:val="22"/>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5" w:type="pct"/>
            <w:vAlign w:val="center"/>
          </w:tcPr>
          <w:p>
            <w:pPr>
              <w:widowControl/>
              <w:jc w:val="center"/>
              <w:rPr>
                <w:bCs/>
                <w:sz w:val="22"/>
              </w:rPr>
            </w:pPr>
            <w:r>
              <w:rPr>
                <w:bCs/>
                <w:sz w:val="22"/>
              </w:rPr>
              <w:t>1</w:t>
            </w:r>
          </w:p>
        </w:tc>
        <w:tc>
          <w:tcPr>
            <w:tcW w:w="1645" w:type="pct"/>
            <w:vAlign w:val="center"/>
          </w:tcPr>
          <w:p>
            <w:pPr>
              <w:widowControl/>
              <w:jc w:val="center"/>
              <w:rPr>
                <w:bCs/>
                <w:sz w:val="22"/>
              </w:rPr>
            </w:pPr>
            <w:r>
              <w:rPr>
                <w:rFonts w:hint="eastAsia"/>
                <w:bCs/>
                <w:sz w:val="22"/>
              </w:rPr>
              <w:t>分拣机</w:t>
            </w:r>
          </w:p>
        </w:tc>
        <w:tc>
          <w:tcPr>
            <w:tcW w:w="2352" w:type="pct"/>
            <w:vAlign w:val="center"/>
          </w:tcPr>
          <w:p>
            <w:pPr>
              <w:jc w:val="center"/>
              <w:rPr>
                <w:bCs/>
                <w:sz w:val="22"/>
              </w:rPr>
            </w:pPr>
            <w:r>
              <w:rPr>
                <w:rFonts w:hint="eastAsia"/>
                <w:bCs/>
                <w:sz w:val="22"/>
              </w:rPr>
              <w:t>Q=10t/h</w:t>
            </w:r>
          </w:p>
        </w:tc>
        <w:tc>
          <w:tcPr>
            <w:tcW w:w="528" w:type="pct"/>
            <w:vAlign w:val="center"/>
          </w:tcPr>
          <w:p>
            <w:pPr>
              <w:widowControl/>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5" w:type="pct"/>
            <w:vAlign w:val="center"/>
          </w:tcPr>
          <w:p>
            <w:pPr>
              <w:widowControl/>
              <w:jc w:val="center"/>
              <w:rPr>
                <w:bCs/>
                <w:sz w:val="22"/>
              </w:rPr>
            </w:pPr>
            <w:r>
              <w:rPr>
                <w:bCs/>
                <w:sz w:val="22"/>
              </w:rPr>
              <w:t>2</w:t>
            </w:r>
          </w:p>
        </w:tc>
        <w:tc>
          <w:tcPr>
            <w:tcW w:w="1645" w:type="pct"/>
            <w:vAlign w:val="center"/>
          </w:tcPr>
          <w:p>
            <w:pPr>
              <w:widowControl/>
              <w:jc w:val="center"/>
              <w:rPr>
                <w:bCs/>
                <w:sz w:val="22"/>
              </w:rPr>
            </w:pPr>
            <w:r>
              <w:rPr>
                <w:rFonts w:hint="eastAsia"/>
                <w:bCs/>
                <w:sz w:val="22"/>
              </w:rPr>
              <w:t>精分制浆机</w:t>
            </w:r>
          </w:p>
        </w:tc>
        <w:tc>
          <w:tcPr>
            <w:tcW w:w="2352" w:type="pct"/>
            <w:vAlign w:val="center"/>
          </w:tcPr>
          <w:p>
            <w:pPr>
              <w:jc w:val="center"/>
              <w:rPr>
                <w:bCs/>
                <w:sz w:val="22"/>
              </w:rPr>
            </w:pPr>
            <w:r>
              <w:rPr>
                <w:rFonts w:hint="eastAsia"/>
                <w:bCs/>
                <w:sz w:val="22"/>
              </w:rPr>
              <w:t>Q=10t/h</w:t>
            </w:r>
          </w:p>
        </w:tc>
        <w:tc>
          <w:tcPr>
            <w:tcW w:w="528" w:type="pct"/>
            <w:vAlign w:val="center"/>
          </w:tcPr>
          <w:p>
            <w:pPr>
              <w:widowControl/>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5" w:type="pct"/>
            <w:vAlign w:val="center"/>
          </w:tcPr>
          <w:p>
            <w:pPr>
              <w:widowControl/>
              <w:jc w:val="center"/>
              <w:rPr>
                <w:bCs/>
                <w:sz w:val="22"/>
              </w:rPr>
            </w:pPr>
            <w:r>
              <w:rPr>
                <w:bCs/>
                <w:sz w:val="22"/>
              </w:rPr>
              <w:t>3</w:t>
            </w:r>
          </w:p>
        </w:tc>
        <w:tc>
          <w:tcPr>
            <w:tcW w:w="1645" w:type="pct"/>
            <w:vAlign w:val="center"/>
          </w:tcPr>
          <w:p>
            <w:pPr>
              <w:widowControl/>
              <w:jc w:val="center"/>
              <w:rPr>
                <w:bCs/>
                <w:sz w:val="22"/>
              </w:rPr>
            </w:pPr>
            <w:r>
              <w:rPr>
                <w:rFonts w:hint="eastAsia"/>
                <w:bCs/>
                <w:sz w:val="22"/>
              </w:rPr>
              <w:t>碟式离心机</w:t>
            </w:r>
          </w:p>
        </w:tc>
        <w:tc>
          <w:tcPr>
            <w:tcW w:w="2352" w:type="pct"/>
            <w:vAlign w:val="center"/>
          </w:tcPr>
          <w:p>
            <w:pPr>
              <w:jc w:val="center"/>
              <w:rPr>
                <w:bCs/>
                <w:sz w:val="22"/>
              </w:rPr>
            </w:pPr>
            <w:r>
              <w:rPr>
                <w:bCs/>
                <w:sz w:val="22"/>
              </w:rPr>
              <w:t>Q=3t/h</w:t>
            </w:r>
          </w:p>
        </w:tc>
        <w:tc>
          <w:tcPr>
            <w:tcW w:w="528" w:type="pct"/>
            <w:vAlign w:val="center"/>
          </w:tcPr>
          <w:p>
            <w:pPr>
              <w:widowControl/>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5" w:type="pct"/>
            <w:vAlign w:val="center"/>
          </w:tcPr>
          <w:p>
            <w:pPr>
              <w:widowControl/>
              <w:jc w:val="center"/>
              <w:rPr>
                <w:bCs/>
                <w:sz w:val="22"/>
              </w:rPr>
            </w:pPr>
            <w:r>
              <w:rPr>
                <w:bCs/>
                <w:sz w:val="22"/>
              </w:rPr>
              <w:t>4</w:t>
            </w:r>
          </w:p>
        </w:tc>
        <w:tc>
          <w:tcPr>
            <w:tcW w:w="1645" w:type="pct"/>
            <w:vAlign w:val="center"/>
          </w:tcPr>
          <w:p>
            <w:pPr>
              <w:widowControl/>
              <w:jc w:val="center"/>
              <w:rPr>
                <w:bCs/>
                <w:sz w:val="22"/>
              </w:rPr>
            </w:pPr>
            <w:r>
              <w:rPr>
                <w:rFonts w:hint="eastAsia"/>
                <w:bCs/>
                <w:sz w:val="22"/>
              </w:rPr>
              <w:t>卧式离心机</w:t>
            </w:r>
          </w:p>
        </w:tc>
        <w:tc>
          <w:tcPr>
            <w:tcW w:w="2352" w:type="pct"/>
            <w:vAlign w:val="center"/>
          </w:tcPr>
          <w:p>
            <w:pPr>
              <w:jc w:val="center"/>
              <w:rPr>
                <w:bCs/>
                <w:sz w:val="22"/>
              </w:rPr>
            </w:pPr>
            <w:r>
              <w:rPr>
                <w:bCs/>
                <w:sz w:val="22"/>
              </w:rPr>
              <w:t>Q=8-10t/h</w:t>
            </w:r>
          </w:p>
        </w:tc>
        <w:tc>
          <w:tcPr>
            <w:tcW w:w="528" w:type="pct"/>
            <w:vAlign w:val="center"/>
          </w:tcPr>
          <w:p>
            <w:pPr>
              <w:widowControl/>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5" w:type="pct"/>
            <w:vAlign w:val="center"/>
          </w:tcPr>
          <w:p>
            <w:pPr>
              <w:widowControl/>
              <w:jc w:val="center"/>
              <w:rPr>
                <w:bCs/>
                <w:sz w:val="22"/>
              </w:rPr>
            </w:pPr>
            <w:r>
              <w:rPr>
                <w:bCs/>
                <w:sz w:val="22"/>
              </w:rPr>
              <w:t>5</w:t>
            </w:r>
          </w:p>
        </w:tc>
        <w:tc>
          <w:tcPr>
            <w:tcW w:w="1645" w:type="pct"/>
            <w:vAlign w:val="center"/>
          </w:tcPr>
          <w:p>
            <w:pPr>
              <w:widowControl/>
              <w:jc w:val="center"/>
              <w:rPr>
                <w:bCs/>
                <w:sz w:val="22"/>
              </w:rPr>
            </w:pPr>
            <w:r>
              <w:rPr>
                <w:rFonts w:hint="eastAsia"/>
                <w:bCs/>
                <w:sz w:val="22"/>
              </w:rPr>
              <w:t>除杂分离机</w:t>
            </w:r>
          </w:p>
        </w:tc>
        <w:tc>
          <w:tcPr>
            <w:tcW w:w="2352" w:type="pct"/>
            <w:vAlign w:val="center"/>
          </w:tcPr>
          <w:p>
            <w:pPr>
              <w:jc w:val="center"/>
              <w:rPr>
                <w:bCs/>
                <w:sz w:val="22"/>
              </w:rPr>
            </w:pPr>
            <w:r>
              <w:rPr>
                <w:bCs/>
                <w:sz w:val="22"/>
              </w:rPr>
              <w:t>Q=15t/h</w:t>
            </w:r>
          </w:p>
        </w:tc>
        <w:tc>
          <w:tcPr>
            <w:tcW w:w="528" w:type="pct"/>
            <w:vAlign w:val="center"/>
          </w:tcPr>
          <w:p>
            <w:pPr>
              <w:widowControl/>
              <w:jc w:val="center"/>
              <w:rPr>
                <w:bCs/>
                <w:sz w:val="22"/>
              </w:rPr>
            </w:pPr>
          </w:p>
        </w:tc>
      </w:tr>
    </w:tbl>
    <w:p>
      <w:pPr>
        <w:adjustRightInd w:val="0"/>
        <w:snapToGrid w:val="0"/>
        <w:spacing w:line="360" w:lineRule="auto"/>
        <w:ind w:firstLine="420" w:firstLineChars="200"/>
      </w:pPr>
    </w:p>
    <w:p>
      <w:pPr>
        <w:adjustRightInd w:val="0"/>
        <w:snapToGrid w:val="0"/>
        <w:spacing w:line="360" w:lineRule="auto"/>
        <w:ind w:firstLine="422" w:firstLineChars="200"/>
        <w:rPr>
          <w:b/>
        </w:rPr>
      </w:pPr>
      <w:r>
        <w:rPr>
          <w:rFonts w:hint="eastAsia"/>
          <w:b/>
        </w:rPr>
        <w:t>地沟油预处理系统主要设备参数</w:t>
      </w:r>
    </w:p>
    <w:tbl>
      <w:tblPr>
        <w:tblStyle w:val="40"/>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17"/>
        <w:gridCol w:w="2824"/>
        <w:gridCol w:w="4042"/>
        <w:gridCol w:w="8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tblHeader/>
          <w:jc w:val="center"/>
        </w:trPr>
        <w:tc>
          <w:tcPr>
            <w:tcW w:w="479" w:type="pct"/>
            <w:vAlign w:val="center"/>
          </w:tcPr>
          <w:p>
            <w:pPr>
              <w:widowControl/>
              <w:snapToGrid w:val="0"/>
              <w:jc w:val="center"/>
              <w:rPr>
                <w:b/>
                <w:bCs/>
                <w:sz w:val="22"/>
              </w:rPr>
            </w:pPr>
            <w:r>
              <w:rPr>
                <w:b/>
                <w:bCs/>
                <w:sz w:val="22"/>
              </w:rPr>
              <w:t>序号</w:t>
            </w:r>
          </w:p>
        </w:tc>
        <w:tc>
          <w:tcPr>
            <w:tcW w:w="1656" w:type="pct"/>
            <w:vAlign w:val="center"/>
          </w:tcPr>
          <w:p>
            <w:pPr>
              <w:widowControl/>
              <w:snapToGrid w:val="0"/>
              <w:jc w:val="center"/>
              <w:rPr>
                <w:b/>
                <w:bCs/>
                <w:sz w:val="22"/>
              </w:rPr>
            </w:pPr>
            <w:r>
              <w:rPr>
                <w:b/>
                <w:bCs/>
                <w:sz w:val="22"/>
              </w:rPr>
              <w:t>设备名称</w:t>
            </w:r>
          </w:p>
        </w:tc>
        <w:tc>
          <w:tcPr>
            <w:tcW w:w="2370" w:type="pct"/>
            <w:vAlign w:val="center"/>
          </w:tcPr>
          <w:p>
            <w:pPr>
              <w:widowControl/>
              <w:snapToGrid w:val="0"/>
              <w:jc w:val="center"/>
              <w:rPr>
                <w:b/>
                <w:bCs/>
                <w:sz w:val="22"/>
              </w:rPr>
            </w:pPr>
            <w:r>
              <w:rPr>
                <w:b/>
                <w:bCs/>
                <w:sz w:val="22"/>
              </w:rPr>
              <w:t>规格性能参数及主要材质</w:t>
            </w:r>
          </w:p>
        </w:tc>
        <w:tc>
          <w:tcPr>
            <w:tcW w:w="495" w:type="pct"/>
            <w:vAlign w:val="center"/>
          </w:tcPr>
          <w:p>
            <w:pPr>
              <w:widowControl/>
              <w:snapToGrid w:val="0"/>
              <w:jc w:val="center"/>
              <w:rPr>
                <w:b/>
                <w:bCs/>
                <w:sz w:val="22"/>
              </w:rPr>
            </w:pPr>
            <w:r>
              <w:rPr>
                <w:rFonts w:hint="eastAsia"/>
                <w:b/>
                <w:bCs/>
                <w:sz w:val="22"/>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9" w:type="pct"/>
            <w:vAlign w:val="center"/>
          </w:tcPr>
          <w:p>
            <w:pPr>
              <w:widowControl/>
              <w:snapToGrid w:val="0"/>
              <w:jc w:val="center"/>
              <w:rPr>
                <w:bCs/>
                <w:sz w:val="22"/>
              </w:rPr>
            </w:pPr>
            <w:r>
              <w:rPr>
                <w:rFonts w:hint="eastAsia"/>
                <w:bCs/>
                <w:sz w:val="22"/>
              </w:rPr>
              <w:t>1.2</w:t>
            </w:r>
          </w:p>
        </w:tc>
        <w:tc>
          <w:tcPr>
            <w:tcW w:w="1656" w:type="pct"/>
            <w:vAlign w:val="center"/>
          </w:tcPr>
          <w:p>
            <w:pPr>
              <w:snapToGrid w:val="0"/>
              <w:jc w:val="center"/>
              <w:rPr>
                <w:bCs/>
                <w:sz w:val="22"/>
              </w:rPr>
            </w:pPr>
            <w:r>
              <w:rPr>
                <w:rFonts w:hint="eastAsia"/>
                <w:bCs/>
                <w:sz w:val="22"/>
              </w:rPr>
              <w:t>初筛机</w:t>
            </w:r>
          </w:p>
        </w:tc>
        <w:tc>
          <w:tcPr>
            <w:tcW w:w="2370" w:type="pct"/>
            <w:vAlign w:val="center"/>
          </w:tcPr>
          <w:p>
            <w:pPr>
              <w:snapToGrid w:val="0"/>
              <w:jc w:val="center"/>
              <w:rPr>
                <w:bCs/>
                <w:sz w:val="22"/>
              </w:rPr>
            </w:pPr>
            <w:r>
              <w:rPr>
                <w:rFonts w:hint="eastAsia"/>
                <w:bCs/>
                <w:sz w:val="22"/>
              </w:rPr>
              <w:t>Q=5t/h</w:t>
            </w:r>
          </w:p>
        </w:tc>
        <w:tc>
          <w:tcPr>
            <w:tcW w:w="495" w:type="pct"/>
            <w:vAlign w:val="center"/>
          </w:tcPr>
          <w:p>
            <w:pPr>
              <w:widowControl/>
              <w:snapToGrid w:val="0"/>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9" w:type="pct"/>
            <w:vAlign w:val="center"/>
          </w:tcPr>
          <w:p>
            <w:pPr>
              <w:widowControl/>
              <w:snapToGrid w:val="0"/>
              <w:jc w:val="center"/>
              <w:rPr>
                <w:bCs/>
                <w:sz w:val="22"/>
              </w:rPr>
            </w:pPr>
            <w:r>
              <w:rPr>
                <w:rFonts w:hint="eastAsia"/>
                <w:bCs/>
                <w:sz w:val="22"/>
              </w:rPr>
              <w:t>1.8</w:t>
            </w:r>
          </w:p>
        </w:tc>
        <w:tc>
          <w:tcPr>
            <w:tcW w:w="1656" w:type="pct"/>
            <w:vAlign w:val="center"/>
          </w:tcPr>
          <w:p>
            <w:pPr>
              <w:snapToGrid w:val="0"/>
              <w:jc w:val="center"/>
              <w:rPr>
                <w:bCs/>
                <w:sz w:val="22"/>
              </w:rPr>
            </w:pPr>
            <w:r>
              <w:rPr>
                <w:rFonts w:hint="eastAsia"/>
                <w:bCs/>
                <w:sz w:val="22"/>
              </w:rPr>
              <w:t>进料泵</w:t>
            </w:r>
          </w:p>
        </w:tc>
        <w:tc>
          <w:tcPr>
            <w:tcW w:w="2370" w:type="pct"/>
            <w:vAlign w:val="center"/>
          </w:tcPr>
          <w:p>
            <w:pPr>
              <w:snapToGrid w:val="0"/>
              <w:jc w:val="center"/>
              <w:rPr>
                <w:bCs/>
                <w:sz w:val="22"/>
              </w:rPr>
            </w:pPr>
            <w:r>
              <w:rPr>
                <w:rFonts w:hint="eastAsia"/>
                <w:bCs/>
                <w:sz w:val="22"/>
              </w:rPr>
              <w:t>Q=8t/h</w:t>
            </w:r>
          </w:p>
        </w:tc>
        <w:tc>
          <w:tcPr>
            <w:tcW w:w="495" w:type="pct"/>
            <w:vAlign w:val="center"/>
          </w:tcPr>
          <w:p>
            <w:pPr>
              <w:widowControl/>
              <w:snapToGrid w:val="0"/>
              <w:jc w:val="center"/>
              <w:rPr>
                <w:bCs/>
                <w:sz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479" w:type="pct"/>
            <w:vAlign w:val="center"/>
          </w:tcPr>
          <w:p>
            <w:pPr>
              <w:widowControl/>
              <w:snapToGrid w:val="0"/>
              <w:jc w:val="center"/>
              <w:rPr>
                <w:bCs/>
                <w:sz w:val="22"/>
              </w:rPr>
            </w:pPr>
            <w:r>
              <w:rPr>
                <w:rFonts w:hint="eastAsia"/>
                <w:bCs/>
                <w:sz w:val="22"/>
              </w:rPr>
              <w:t>1.9</w:t>
            </w:r>
          </w:p>
        </w:tc>
        <w:tc>
          <w:tcPr>
            <w:tcW w:w="1656" w:type="pct"/>
            <w:vAlign w:val="center"/>
          </w:tcPr>
          <w:p>
            <w:pPr>
              <w:snapToGrid w:val="0"/>
              <w:jc w:val="center"/>
              <w:rPr>
                <w:bCs/>
                <w:sz w:val="22"/>
              </w:rPr>
            </w:pPr>
            <w:r>
              <w:rPr>
                <w:rFonts w:hint="eastAsia"/>
                <w:bCs/>
                <w:sz w:val="22"/>
              </w:rPr>
              <w:t>卧式离心机</w:t>
            </w:r>
          </w:p>
        </w:tc>
        <w:tc>
          <w:tcPr>
            <w:tcW w:w="2370" w:type="pct"/>
            <w:vAlign w:val="center"/>
          </w:tcPr>
          <w:p>
            <w:pPr>
              <w:snapToGrid w:val="0"/>
              <w:jc w:val="center"/>
              <w:rPr>
                <w:bCs/>
                <w:sz w:val="22"/>
              </w:rPr>
            </w:pPr>
            <w:r>
              <w:rPr>
                <w:rFonts w:hint="eastAsia"/>
                <w:bCs/>
                <w:sz w:val="22"/>
              </w:rPr>
              <w:t>Q=5t/h</w:t>
            </w:r>
          </w:p>
        </w:tc>
        <w:tc>
          <w:tcPr>
            <w:tcW w:w="495" w:type="pct"/>
            <w:vAlign w:val="center"/>
          </w:tcPr>
          <w:p>
            <w:pPr>
              <w:widowControl/>
              <w:snapToGrid w:val="0"/>
              <w:jc w:val="center"/>
              <w:rPr>
                <w:bCs/>
                <w:sz w:val="22"/>
              </w:rPr>
            </w:pPr>
          </w:p>
        </w:tc>
      </w:tr>
    </w:tbl>
    <w:p>
      <w:pPr>
        <w:adjustRightInd w:val="0"/>
        <w:snapToGrid w:val="0"/>
        <w:spacing w:line="360" w:lineRule="auto"/>
        <w:ind w:firstLine="420" w:firstLineChars="200"/>
      </w:pPr>
    </w:p>
    <w:p>
      <w:pPr>
        <w:adjustRightInd w:val="0"/>
        <w:snapToGrid w:val="0"/>
        <w:spacing w:line="360" w:lineRule="auto"/>
        <w:ind w:firstLine="420" w:firstLineChars="200"/>
      </w:pPr>
      <w:r>
        <w:t>2）厌氧消化：采用中温厌氧消化技术，建成后处理量可达到200吨/日。</w:t>
      </w:r>
      <w:r>
        <w:rPr>
          <w:rFonts w:hint="eastAsia"/>
        </w:rPr>
        <w:t>湿式厌氧发酵工艺设计2个</w:t>
      </w:r>
      <w:r>
        <w:t>5000</w:t>
      </w:r>
      <w:r>
        <w:rPr>
          <w:rFonts w:hint="eastAsia"/>
        </w:rPr>
        <w:t>m3以上厌氧罐及其相应配套系统</w:t>
      </w:r>
      <w:r>
        <w:t>沼气经处理净化后发电</w:t>
      </w:r>
      <w:r>
        <w:rPr>
          <w:rFonts w:hint="eastAsia"/>
        </w:rPr>
        <w:t>优先</w:t>
      </w:r>
      <w:r>
        <w:t>考虑自用</w:t>
      </w:r>
      <w:r>
        <w:rPr>
          <w:rFonts w:hint="eastAsia"/>
        </w:rPr>
        <w:t>。</w:t>
      </w:r>
      <w:r>
        <w:t>产生余热供湿热处理系统和厌氧消化系统使用。</w:t>
      </w:r>
    </w:p>
    <w:tbl>
      <w:tblPr>
        <w:tblStyle w:val="40"/>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742"/>
        <w:gridCol w:w="47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b/>
                <w:sz w:val="22"/>
                <w:szCs w:val="24"/>
              </w:rPr>
            </w:pPr>
            <w:r>
              <w:rPr>
                <w:b/>
                <w:sz w:val="22"/>
                <w:szCs w:val="24"/>
              </w:rPr>
              <w:t>主要设计参数项目</w:t>
            </w:r>
          </w:p>
        </w:tc>
        <w:tc>
          <w:tcPr>
            <w:tcW w:w="2806" w:type="pct"/>
            <w:vAlign w:val="center"/>
          </w:tcPr>
          <w:p>
            <w:pPr>
              <w:spacing w:line="264" w:lineRule="auto"/>
              <w:jc w:val="center"/>
              <w:rPr>
                <w:b/>
                <w:sz w:val="22"/>
                <w:szCs w:val="24"/>
              </w:rPr>
            </w:pPr>
            <w:r>
              <w:rPr>
                <w:b/>
                <w:sz w:val="22"/>
                <w:szCs w:val="24"/>
              </w:rPr>
              <w:t>设计参数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sz w:val="22"/>
                <w:szCs w:val="24"/>
              </w:rPr>
            </w:pPr>
            <w:r>
              <w:rPr>
                <w:sz w:val="22"/>
                <w:szCs w:val="24"/>
              </w:rPr>
              <w:t>反应器形式</w:t>
            </w:r>
          </w:p>
        </w:tc>
        <w:tc>
          <w:tcPr>
            <w:tcW w:w="2806" w:type="pct"/>
            <w:vAlign w:val="center"/>
          </w:tcPr>
          <w:p>
            <w:pPr>
              <w:spacing w:line="264" w:lineRule="auto"/>
              <w:jc w:val="center"/>
              <w:rPr>
                <w:sz w:val="22"/>
                <w:szCs w:val="24"/>
              </w:rPr>
            </w:pPr>
            <w:r>
              <w:rPr>
                <w:sz w:val="22"/>
                <w:szCs w:val="24"/>
              </w:rPr>
              <w:t>钢制罐体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sz w:val="22"/>
                <w:szCs w:val="24"/>
              </w:rPr>
            </w:pPr>
            <w:r>
              <w:rPr>
                <w:sz w:val="22"/>
                <w:szCs w:val="24"/>
              </w:rPr>
              <w:t>尺寸</w:t>
            </w:r>
          </w:p>
        </w:tc>
        <w:tc>
          <w:tcPr>
            <w:tcW w:w="2806" w:type="pct"/>
            <w:vAlign w:val="center"/>
          </w:tcPr>
          <w:p>
            <w:pPr>
              <w:spacing w:line="264" w:lineRule="auto"/>
              <w:jc w:val="center"/>
              <w:rPr>
                <w:sz w:val="22"/>
                <w:szCs w:val="24"/>
              </w:rPr>
            </w:pPr>
            <w:r>
              <w:rPr>
                <w:sz w:val="22"/>
                <w:szCs w:val="24"/>
              </w:rPr>
              <w:t>Φ×H=18</w:t>
            </w:r>
            <w:r>
              <w:rPr>
                <w:rFonts w:hint="eastAsia"/>
                <w:sz w:val="22"/>
                <w:szCs w:val="24"/>
              </w:rPr>
              <w:t>.5</w:t>
            </w:r>
            <w:r>
              <w:rPr>
                <w:sz w:val="22"/>
                <w:szCs w:val="24"/>
              </w:rPr>
              <w:t>×1</w:t>
            </w:r>
            <w:r>
              <w:rPr>
                <w:rFonts w:hint="eastAsia"/>
                <w:sz w:val="22"/>
                <w:szCs w:val="24"/>
              </w:rPr>
              <w:t>9</w:t>
            </w:r>
            <w:r>
              <w:rPr>
                <w:sz w:val="22"/>
                <w:szCs w:val="24"/>
              </w:rPr>
              <w:t>m</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sz w:val="22"/>
                <w:szCs w:val="24"/>
              </w:rPr>
            </w:pPr>
            <w:r>
              <w:rPr>
                <w:sz w:val="22"/>
                <w:szCs w:val="24"/>
              </w:rPr>
              <w:t>数量</w:t>
            </w:r>
          </w:p>
        </w:tc>
        <w:tc>
          <w:tcPr>
            <w:tcW w:w="2806" w:type="pct"/>
            <w:vAlign w:val="center"/>
          </w:tcPr>
          <w:p>
            <w:pPr>
              <w:spacing w:line="264" w:lineRule="auto"/>
              <w:jc w:val="center"/>
              <w:rPr>
                <w:sz w:val="22"/>
                <w:szCs w:val="24"/>
              </w:rPr>
            </w:pPr>
            <w:r>
              <w:rPr>
                <w:sz w:val="22"/>
                <w:szCs w:val="24"/>
              </w:rPr>
              <w:t>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sz w:val="22"/>
                <w:szCs w:val="24"/>
              </w:rPr>
            </w:pPr>
            <w:r>
              <w:rPr>
                <w:sz w:val="22"/>
                <w:szCs w:val="24"/>
              </w:rPr>
              <w:t>反应器结构</w:t>
            </w:r>
          </w:p>
        </w:tc>
        <w:tc>
          <w:tcPr>
            <w:tcW w:w="2806" w:type="pct"/>
            <w:vAlign w:val="center"/>
          </w:tcPr>
          <w:p>
            <w:pPr>
              <w:spacing w:line="264" w:lineRule="auto"/>
              <w:jc w:val="center"/>
              <w:rPr>
                <w:sz w:val="22"/>
                <w:szCs w:val="24"/>
              </w:rPr>
            </w:pPr>
            <w:r>
              <w:rPr>
                <w:sz w:val="22"/>
                <w:szCs w:val="24"/>
              </w:rPr>
              <w:t>防腐，外敷保温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194" w:type="pct"/>
            <w:vAlign w:val="center"/>
          </w:tcPr>
          <w:p>
            <w:pPr>
              <w:spacing w:line="264" w:lineRule="auto"/>
              <w:jc w:val="center"/>
              <w:rPr>
                <w:sz w:val="22"/>
                <w:szCs w:val="24"/>
              </w:rPr>
            </w:pPr>
            <w:r>
              <w:rPr>
                <w:sz w:val="22"/>
                <w:szCs w:val="24"/>
              </w:rPr>
              <w:t>设计进料温度（°C）</w:t>
            </w:r>
          </w:p>
        </w:tc>
        <w:tc>
          <w:tcPr>
            <w:tcW w:w="2806" w:type="pct"/>
            <w:vAlign w:val="center"/>
          </w:tcPr>
          <w:p>
            <w:pPr>
              <w:spacing w:line="264" w:lineRule="auto"/>
              <w:jc w:val="center"/>
              <w:rPr>
                <w:sz w:val="22"/>
                <w:szCs w:val="24"/>
              </w:rPr>
            </w:pPr>
            <w:r>
              <w:rPr>
                <w:sz w:val="22"/>
                <w:szCs w:val="24"/>
              </w:rPr>
              <w:t>32-38</w:t>
            </w:r>
          </w:p>
        </w:tc>
      </w:tr>
    </w:tbl>
    <w:p>
      <w:pPr>
        <w:adjustRightInd w:val="0"/>
        <w:snapToGrid w:val="0"/>
        <w:spacing w:line="360" w:lineRule="auto"/>
        <w:ind w:firstLine="420" w:firstLineChars="200"/>
      </w:pPr>
      <w:r>
        <w:rPr>
          <w:rFonts w:hint="eastAsia"/>
        </w:rPr>
        <w:t>3）除臭</w:t>
      </w:r>
      <w:r>
        <w:t>系统</w:t>
      </w:r>
      <w:r>
        <w:rPr>
          <w:rFonts w:hint="eastAsia"/>
        </w:rPr>
        <w:t>处理</w:t>
      </w:r>
      <w:r>
        <w:t>系统参数指标</w:t>
      </w:r>
    </w:p>
    <w:tbl>
      <w:tblPr>
        <w:tblStyle w:val="40"/>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3708"/>
        <w:gridCol w:w="1179"/>
        <w:gridCol w:w="1506"/>
        <w:gridCol w:w="21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3708" w:type="dxa"/>
            <w:vAlign w:val="center"/>
          </w:tcPr>
          <w:p>
            <w:pPr>
              <w:widowControl/>
              <w:snapToGrid w:val="0"/>
              <w:jc w:val="center"/>
              <w:rPr>
                <w:b/>
                <w:sz w:val="22"/>
                <w:szCs w:val="24"/>
              </w:rPr>
            </w:pPr>
            <w:r>
              <w:rPr>
                <w:b/>
                <w:sz w:val="22"/>
                <w:szCs w:val="24"/>
              </w:rPr>
              <w:t>臭气污染物指标</w:t>
            </w:r>
          </w:p>
        </w:tc>
        <w:tc>
          <w:tcPr>
            <w:tcW w:w="1179" w:type="dxa"/>
            <w:vAlign w:val="center"/>
          </w:tcPr>
          <w:p>
            <w:pPr>
              <w:widowControl/>
              <w:snapToGrid w:val="0"/>
              <w:jc w:val="center"/>
              <w:rPr>
                <w:b/>
                <w:sz w:val="22"/>
                <w:szCs w:val="24"/>
              </w:rPr>
            </w:pPr>
            <w:r>
              <w:rPr>
                <w:b/>
                <w:sz w:val="22"/>
                <w:szCs w:val="24"/>
              </w:rPr>
              <w:t>H</w:t>
            </w:r>
            <w:r>
              <w:rPr>
                <w:b/>
                <w:sz w:val="22"/>
                <w:szCs w:val="24"/>
                <w:vertAlign w:val="subscript"/>
              </w:rPr>
              <w:t>2</w:t>
            </w:r>
            <w:r>
              <w:rPr>
                <w:b/>
                <w:sz w:val="22"/>
                <w:szCs w:val="24"/>
              </w:rPr>
              <w:t>S</w:t>
            </w:r>
          </w:p>
        </w:tc>
        <w:tc>
          <w:tcPr>
            <w:tcW w:w="1506" w:type="dxa"/>
            <w:vAlign w:val="center"/>
          </w:tcPr>
          <w:p>
            <w:pPr>
              <w:widowControl/>
              <w:snapToGrid w:val="0"/>
              <w:jc w:val="center"/>
              <w:rPr>
                <w:b/>
                <w:sz w:val="22"/>
                <w:szCs w:val="24"/>
              </w:rPr>
            </w:pPr>
            <w:r>
              <w:rPr>
                <w:b/>
                <w:sz w:val="22"/>
                <w:szCs w:val="24"/>
              </w:rPr>
              <w:t>NH</w:t>
            </w:r>
            <w:r>
              <w:rPr>
                <w:b/>
                <w:sz w:val="22"/>
                <w:szCs w:val="24"/>
                <w:vertAlign w:val="subscript"/>
              </w:rPr>
              <w:t>3</w:t>
            </w:r>
          </w:p>
        </w:tc>
        <w:tc>
          <w:tcPr>
            <w:tcW w:w="2136" w:type="dxa"/>
            <w:vAlign w:val="center"/>
          </w:tcPr>
          <w:p>
            <w:pPr>
              <w:widowControl/>
              <w:snapToGrid w:val="0"/>
              <w:jc w:val="center"/>
              <w:rPr>
                <w:b/>
                <w:sz w:val="22"/>
                <w:szCs w:val="24"/>
              </w:rPr>
            </w:pPr>
            <w:r>
              <w:rPr>
                <w:b/>
                <w:sz w:val="22"/>
                <w:szCs w:val="24"/>
              </w:rPr>
              <w:t>臭气（无量纲）</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708" w:type="dxa"/>
            <w:vAlign w:val="center"/>
          </w:tcPr>
          <w:p>
            <w:pPr>
              <w:widowControl/>
              <w:snapToGrid w:val="0"/>
              <w:jc w:val="center"/>
              <w:rPr>
                <w:sz w:val="22"/>
                <w:szCs w:val="24"/>
              </w:rPr>
            </w:pPr>
            <w:r>
              <w:rPr>
                <w:sz w:val="22"/>
                <w:szCs w:val="24"/>
              </w:rPr>
              <w:t>收集气体</w:t>
            </w:r>
          </w:p>
          <w:p>
            <w:pPr>
              <w:widowControl/>
              <w:snapToGrid w:val="0"/>
              <w:jc w:val="center"/>
              <w:rPr>
                <w:sz w:val="22"/>
                <w:szCs w:val="24"/>
              </w:rPr>
            </w:pPr>
            <w:r>
              <w:rPr>
                <w:sz w:val="22"/>
                <w:szCs w:val="24"/>
              </w:rPr>
              <w:t>臭气污染物浓度(mg/m3)</w:t>
            </w:r>
          </w:p>
        </w:tc>
        <w:tc>
          <w:tcPr>
            <w:tcW w:w="1179" w:type="dxa"/>
            <w:vAlign w:val="center"/>
          </w:tcPr>
          <w:p>
            <w:pPr>
              <w:widowControl/>
              <w:snapToGrid w:val="0"/>
              <w:jc w:val="center"/>
              <w:rPr>
                <w:sz w:val="22"/>
                <w:szCs w:val="24"/>
              </w:rPr>
            </w:pPr>
            <w:r>
              <w:rPr>
                <w:sz w:val="22"/>
                <w:szCs w:val="24"/>
              </w:rPr>
              <w:t>2.5</w:t>
            </w:r>
          </w:p>
        </w:tc>
        <w:tc>
          <w:tcPr>
            <w:tcW w:w="1506" w:type="dxa"/>
            <w:vAlign w:val="center"/>
          </w:tcPr>
          <w:p>
            <w:pPr>
              <w:widowControl/>
              <w:snapToGrid w:val="0"/>
              <w:jc w:val="center"/>
              <w:rPr>
                <w:sz w:val="22"/>
                <w:szCs w:val="24"/>
              </w:rPr>
            </w:pPr>
            <w:r>
              <w:rPr>
                <w:sz w:val="22"/>
                <w:szCs w:val="24"/>
              </w:rPr>
              <w:t>20</w:t>
            </w:r>
          </w:p>
        </w:tc>
        <w:tc>
          <w:tcPr>
            <w:tcW w:w="2136" w:type="dxa"/>
            <w:vAlign w:val="center"/>
          </w:tcPr>
          <w:p>
            <w:pPr>
              <w:widowControl/>
              <w:snapToGrid w:val="0"/>
              <w:jc w:val="center"/>
              <w:rPr>
                <w:sz w:val="22"/>
                <w:szCs w:val="24"/>
              </w:rPr>
            </w:pPr>
            <w:r>
              <w:rPr>
                <w:sz w:val="22"/>
                <w:szCs w:val="24"/>
              </w:rP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708" w:type="dxa"/>
            <w:vAlign w:val="center"/>
          </w:tcPr>
          <w:p>
            <w:pPr>
              <w:widowControl/>
              <w:snapToGrid w:val="0"/>
              <w:jc w:val="center"/>
              <w:rPr>
                <w:sz w:val="22"/>
                <w:szCs w:val="24"/>
              </w:rPr>
            </w:pPr>
            <w:r>
              <w:rPr>
                <w:sz w:val="22"/>
                <w:szCs w:val="24"/>
              </w:rPr>
              <w:t>喷淋洗涤塔效率</w:t>
            </w:r>
          </w:p>
        </w:tc>
        <w:tc>
          <w:tcPr>
            <w:tcW w:w="1179" w:type="dxa"/>
            <w:vAlign w:val="center"/>
          </w:tcPr>
          <w:p>
            <w:pPr>
              <w:widowControl/>
              <w:snapToGrid w:val="0"/>
              <w:jc w:val="center"/>
              <w:rPr>
                <w:sz w:val="22"/>
                <w:szCs w:val="24"/>
              </w:rPr>
            </w:pPr>
            <w:r>
              <w:rPr>
                <w:sz w:val="22"/>
                <w:szCs w:val="24"/>
              </w:rPr>
              <w:t>1.5</w:t>
            </w:r>
          </w:p>
        </w:tc>
        <w:tc>
          <w:tcPr>
            <w:tcW w:w="1506" w:type="dxa"/>
            <w:vAlign w:val="center"/>
          </w:tcPr>
          <w:p>
            <w:pPr>
              <w:widowControl/>
              <w:snapToGrid w:val="0"/>
              <w:jc w:val="center"/>
              <w:rPr>
                <w:sz w:val="22"/>
                <w:szCs w:val="24"/>
              </w:rPr>
            </w:pPr>
            <w:r>
              <w:rPr>
                <w:sz w:val="22"/>
                <w:szCs w:val="24"/>
              </w:rPr>
              <w:t>10.0</w:t>
            </w:r>
          </w:p>
        </w:tc>
        <w:tc>
          <w:tcPr>
            <w:tcW w:w="2136" w:type="dxa"/>
            <w:vAlign w:val="center"/>
          </w:tcPr>
          <w:p>
            <w:pPr>
              <w:widowControl/>
              <w:snapToGrid w:val="0"/>
              <w:jc w:val="center"/>
              <w:rPr>
                <w:sz w:val="22"/>
                <w:szCs w:val="24"/>
              </w:rPr>
            </w:pPr>
            <w:r>
              <w:rPr>
                <w:sz w:val="22"/>
                <w:szCs w:val="24"/>
              </w:rP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708" w:type="dxa"/>
            <w:vAlign w:val="center"/>
          </w:tcPr>
          <w:p>
            <w:pPr>
              <w:widowControl/>
              <w:snapToGrid w:val="0"/>
              <w:jc w:val="center"/>
              <w:rPr>
                <w:sz w:val="22"/>
                <w:szCs w:val="24"/>
              </w:rPr>
            </w:pPr>
            <w:r>
              <w:rPr>
                <w:sz w:val="22"/>
                <w:szCs w:val="24"/>
              </w:rPr>
              <w:t>生物滤池出口</w:t>
            </w:r>
          </w:p>
          <w:p>
            <w:pPr>
              <w:widowControl/>
              <w:snapToGrid w:val="0"/>
              <w:jc w:val="center"/>
              <w:rPr>
                <w:sz w:val="22"/>
                <w:szCs w:val="24"/>
              </w:rPr>
            </w:pPr>
            <w:r>
              <w:rPr>
                <w:sz w:val="22"/>
                <w:szCs w:val="24"/>
              </w:rPr>
              <w:t>臭气污染物浓度(PPM)</w:t>
            </w:r>
          </w:p>
        </w:tc>
        <w:tc>
          <w:tcPr>
            <w:tcW w:w="1179" w:type="dxa"/>
            <w:vAlign w:val="center"/>
          </w:tcPr>
          <w:p>
            <w:pPr>
              <w:widowControl/>
              <w:snapToGrid w:val="0"/>
              <w:jc w:val="center"/>
              <w:rPr>
                <w:sz w:val="22"/>
                <w:szCs w:val="24"/>
              </w:rPr>
            </w:pPr>
            <w:r>
              <w:rPr>
                <w:sz w:val="22"/>
                <w:szCs w:val="24"/>
              </w:rPr>
              <w:t>1.0</w:t>
            </w:r>
          </w:p>
        </w:tc>
        <w:tc>
          <w:tcPr>
            <w:tcW w:w="1506" w:type="dxa"/>
            <w:vAlign w:val="center"/>
          </w:tcPr>
          <w:p>
            <w:pPr>
              <w:widowControl/>
              <w:snapToGrid w:val="0"/>
              <w:jc w:val="center"/>
              <w:rPr>
                <w:sz w:val="22"/>
                <w:szCs w:val="24"/>
              </w:rPr>
            </w:pPr>
            <w:r>
              <w:rPr>
                <w:sz w:val="22"/>
                <w:szCs w:val="24"/>
              </w:rPr>
              <w:t>8.0</w:t>
            </w:r>
          </w:p>
        </w:tc>
        <w:tc>
          <w:tcPr>
            <w:tcW w:w="2136" w:type="dxa"/>
            <w:vAlign w:val="center"/>
          </w:tcPr>
          <w:p>
            <w:pPr>
              <w:widowControl/>
              <w:snapToGrid w:val="0"/>
              <w:jc w:val="center"/>
              <w:rPr>
                <w:sz w:val="22"/>
                <w:szCs w:val="24"/>
              </w:rPr>
            </w:pPr>
            <w:r>
              <w:rPr>
                <w:sz w:val="22"/>
                <w:szCs w:val="24"/>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708" w:type="dxa"/>
            <w:vAlign w:val="center"/>
          </w:tcPr>
          <w:p>
            <w:pPr>
              <w:widowControl/>
              <w:snapToGrid w:val="0"/>
              <w:jc w:val="center"/>
              <w:rPr>
                <w:sz w:val="22"/>
                <w:szCs w:val="24"/>
              </w:rPr>
            </w:pPr>
            <w:r>
              <w:rPr>
                <w:sz w:val="22"/>
                <w:szCs w:val="24"/>
              </w:rPr>
              <w:t>15m 高空排放标准(kg/h)</w:t>
            </w:r>
          </w:p>
        </w:tc>
        <w:tc>
          <w:tcPr>
            <w:tcW w:w="1179" w:type="dxa"/>
            <w:vAlign w:val="center"/>
          </w:tcPr>
          <w:p>
            <w:pPr>
              <w:widowControl/>
              <w:snapToGrid w:val="0"/>
              <w:jc w:val="center"/>
              <w:rPr>
                <w:sz w:val="22"/>
                <w:szCs w:val="24"/>
              </w:rPr>
            </w:pPr>
            <w:r>
              <w:rPr>
                <w:sz w:val="22"/>
                <w:szCs w:val="24"/>
              </w:rPr>
              <w:t>4.9</w:t>
            </w:r>
          </w:p>
        </w:tc>
        <w:tc>
          <w:tcPr>
            <w:tcW w:w="1506" w:type="dxa"/>
            <w:vAlign w:val="center"/>
          </w:tcPr>
          <w:p>
            <w:pPr>
              <w:widowControl/>
              <w:snapToGrid w:val="0"/>
              <w:jc w:val="center"/>
              <w:rPr>
                <w:sz w:val="22"/>
                <w:szCs w:val="24"/>
              </w:rPr>
            </w:pPr>
            <w:r>
              <w:rPr>
                <w:sz w:val="22"/>
                <w:szCs w:val="24"/>
              </w:rPr>
              <w:t>0.33</w:t>
            </w:r>
          </w:p>
        </w:tc>
        <w:tc>
          <w:tcPr>
            <w:tcW w:w="2136" w:type="dxa"/>
            <w:vAlign w:val="center"/>
          </w:tcPr>
          <w:p>
            <w:pPr>
              <w:widowControl/>
              <w:snapToGrid w:val="0"/>
              <w:jc w:val="center"/>
              <w:rPr>
                <w:sz w:val="22"/>
                <w:szCs w:val="24"/>
              </w:rPr>
            </w:pPr>
            <w:r>
              <w:rPr>
                <w:sz w:val="22"/>
                <w:szCs w:val="24"/>
              </w:rPr>
              <w:t>2000(无量纲)</w:t>
            </w:r>
          </w:p>
        </w:tc>
      </w:tr>
    </w:tbl>
    <w:p>
      <w:pPr>
        <w:adjustRightInd w:val="0"/>
        <w:snapToGrid w:val="0"/>
        <w:spacing w:line="360" w:lineRule="auto"/>
        <w:ind w:firstLine="420" w:firstLineChars="200"/>
      </w:pPr>
    </w:p>
    <w:p>
      <w:pPr>
        <w:adjustRightInd w:val="0"/>
        <w:snapToGrid w:val="0"/>
        <w:spacing w:line="360" w:lineRule="auto"/>
        <w:ind w:firstLine="420" w:firstLineChars="200"/>
      </w:pPr>
      <w:r>
        <w:rPr>
          <w:rFonts w:hint="eastAsia"/>
        </w:rPr>
        <w:t>4）沼气净化存储利用系统参数</w:t>
      </w:r>
      <w:r>
        <w:t>指标</w:t>
      </w:r>
    </w:p>
    <w:tbl>
      <w:tblPr>
        <w:tblStyle w:val="40"/>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4286"/>
        <w:gridCol w:w="424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tblHeader/>
          <w:jc w:val="center"/>
        </w:trPr>
        <w:tc>
          <w:tcPr>
            <w:tcW w:w="2513" w:type="pct"/>
            <w:vAlign w:val="center"/>
          </w:tcPr>
          <w:p>
            <w:pPr>
              <w:ind w:firstLine="440" w:firstLineChars="200"/>
              <w:jc w:val="center"/>
              <w:rPr>
                <w:sz w:val="22"/>
                <w:szCs w:val="24"/>
              </w:rPr>
            </w:pPr>
            <w:r>
              <w:rPr>
                <w:sz w:val="22"/>
                <w:szCs w:val="24"/>
              </w:rPr>
              <w:t>项目名称</w:t>
            </w:r>
          </w:p>
        </w:tc>
        <w:tc>
          <w:tcPr>
            <w:tcW w:w="2487" w:type="pct"/>
            <w:vAlign w:val="center"/>
          </w:tcPr>
          <w:p>
            <w:pPr>
              <w:ind w:firstLine="440" w:firstLineChars="200"/>
              <w:jc w:val="center"/>
              <w:rPr>
                <w:sz w:val="22"/>
                <w:szCs w:val="24"/>
              </w:rPr>
            </w:pPr>
            <w:r>
              <w:rPr>
                <w:sz w:val="22"/>
                <w:szCs w:val="24"/>
              </w:rPr>
              <w:t>设计参数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沼气产量（m</w:t>
            </w:r>
            <w:r>
              <w:rPr>
                <w:sz w:val="22"/>
                <w:szCs w:val="24"/>
                <w:vertAlign w:val="superscript"/>
              </w:rPr>
              <w:t>3</w:t>
            </w:r>
            <w:r>
              <w:rPr>
                <w:sz w:val="22"/>
                <w:szCs w:val="24"/>
              </w:rPr>
              <w:t>/h）</w:t>
            </w:r>
          </w:p>
        </w:tc>
        <w:tc>
          <w:tcPr>
            <w:tcW w:w="2487" w:type="pct"/>
            <w:vAlign w:val="center"/>
          </w:tcPr>
          <w:p>
            <w:pPr>
              <w:ind w:firstLine="440" w:firstLineChars="200"/>
              <w:jc w:val="center"/>
              <w:rPr>
                <w:sz w:val="22"/>
                <w:szCs w:val="24"/>
              </w:rPr>
            </w:pPr>
            <w:r>
              <w:rPr>
                <w:sz w:val="22"/>
                <w:szCs w:val="24"/>
              </w:rP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CH4含量（%）</w:t>
            </w:r>
          </w:p>
        </w:tc>
        <w:tc>
          <w:tcPr>
            <w:tcW w:w="2487" w:type="pct"/>
            <w:vAlign w:val="center"/>
          </w:tcPr>
          <w:p>
            <w:pPr>
              <w:ind w:firstLine="440" w:firstLineChars="200"/>
              <w:jc w:val="center"/>
              <w:rPr>
                <w:sz w:val="22"/>
                <w:szCs w:val="24"/>
              </w:rPr>
            </w:pPr>
            <w:r>
              <w:rPr>
                <w:sz w:val="22"/>
                <w:szCs w:val="24"/>
              </w:rPr>
              <w:t>50-70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CO2含量（%）</w:t>
            </w:r>
          </w:p>
        </w:tc>
        <w:tc>
          <w:tcPr>
            <w:tcW w:w="2487" w:type="pct"/>
            <w:vAlign w:val="center"/>
          </w:tcPr>
          <w:p>
            <w:pPr>
              <w:ind w:firstLine="440" w:firstLineChars="200"/>
              <w:jc w:val="center"/>
              <w:rPr>
                <w:sz w:val="22"/>
                <w:szCs w:val="24"/>
              </w:rPr>
            </w:pPr>
            <w:r>
              <w:rPr>
                <w:sz w:val="22"/>
                <w:szCs w:val="24"/>
              </w:rPr>
              <w:t>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含湿量（%）</w:t>
            </w:r>
          </w:p>
        </w:tc>
        <w:tc>
          <w:tcPr>
            <w:tcW w:w="2487" w:type="pct"/>
            <w:vAlign w:val="center"/>
          </w:tcPr>
          <w:p>
            <w:pPr>
              <w:ind w:firstLine="440" w:firstLineChars="200"/>
              <w:jc w:val="center"/>
              <w:rPr>
                <w:sz w:val="22"/>
                <w:szCs w:val="24"/>
              </w:rPr>
            </w:pPr>
            <w:r>
              <w:rPr>
                <w:sz w:val="22"/>
                <w:szCs w:val="24"/>
              </w:rPr>
              <w:t>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H2S含量（mg/L）</w:t>
            </w:r>
          </w:p>
        </w:tc>
        <w:tc>
          <w:tcPr>
            <w:tcW w:w="2487" w:type="pct"/>
            <w:vAlign w:val="center"/>
          </w:tcPr>
          <w:p>
            <w:pPr>
              <w:ind w:firstLine="440" w:firstLineChars="200"/>
              <w:jc w:val="center"/>
              <w:rPr>
                <w:sz w:val="22"/>
                <w:szCs w:val="24"/>
              </w:rPr>
            </w:pPr>
            <w:r>
              <w:rPr>
                <w:sz w:val="22"/>
                <w:szCs w:val="24"/>
              </w:rPr>
              <w:t>1500~2500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温度</w:t>
            </w:r>
          </w:p>
        </w:tc>
        <w:tc>
          <w:tcPr>
            <w:tcW w:w="2487" w:type="pct"/>
            <w:vAlign w:val="center"/>
          </w:tcPr>
          <w:p>
            <w:pPr>
              <w:ind w:firstLine="440" w:firstLineChars="200"/>
              <w:jc w:val="center"/>
              <w:rPr>
                <w:sz w:val="22"/>
                <w:szCs w:val="24"/>
              </w:rPr>
            </w:pPr>
            <w:r>
              <w:rPr>
                <w:sz w:val="22"/>
                <w:szCs w:val="24"/>
              </w:rPr>
              <w:t>常温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2513" w:type="pct"/>
            <w:vAlign w:val="center"/>
          </w:tcPr>
          <w:p>
            <w:pPr>
              <w:ind w:firstLine="440" w:firstLineChars="200"/>
              <w:jc w:val="center"/>
              <w:rPr>
                <w:sz w:val="22"/>
                <w:szCs w:val="24"/>
              </w:rPr>
            </w:pPr>
            <w:r>
              <w:rPr>
                <w:sz w:val="22"/>
                <w:szCs w:val="24"/>
              </w:rPr>
              <w:t>出口压力</w:t>
            </w:r>
          </w:p>
        </w:tc>
        <w:tc>
          <w:tcPr>
            <w:tcW w:w="2487" w:type="pct"/>
            <w:vAlign w:val="center"/>
          </w:tcPr>
          <w:p>
            <w:pPr>
              <w:ind w:firstLine="440" w:firstLineChars="200"/>
              <w:jc w:val="center"/>
              <w:rPr>
                <w:sz w:val="22"/>
                <w:szCs w:val="24"/>
              </w:rPr>
            </w:pPr>
            <w:r>
              <w:rPr>
                <w:sz w:val="22"/>
                <w:szCs w:val="24"/>
              </w:rPr>
              <w:t>3kPa以下</w:t>
            </w:r>
          </w:p>
        </w:tc>
      </w:tr>
    </w:tbl>
    <w:p>
      <w:pPr>
        <w:adjustRightInd w:val="0"/>
        <w:snapToGrid w:val="0"/>
        <w:spacing w:line="360" w:lineRule="auto"/>
        <w:ind w:firstLine="420" w:firstLineChars="200"/>
      </w:pPr>
      <w:r>
        <w:t>5</w:t>
      </w:r>
      <w:r>
        <w:rPr>
          <w:rFonts w:hint="eastAsia"/>
        </w:rPr>
        <w:t>）沼渣及污泥排放标准</w:t>
      </w:r>
    </w:p>
    <w:p>
      <w:pPr>
        <w:adjustRightInd w:val="0"/>
        <w:snapToGrid w:val="0"/>
        <w:spacing w:line="360" w:lineRule="auto"/>
        <w:ind w:firstLine="420" w:firstLineChars="200"/>
      </w:pPr>
      <w:r>
        <w:rPr>
          <w:rFonts w:hint="eastAsia"/>
        </w:rPr>
        <w:t>沼渣及污泥一同外运至垃圾焚烧厂进行处理，运送至垃圾焚烧厂的沼渣及污泥含水率不高于</w:t>
      </w:r>
      <w:r>
        <w:t>70</w:t>
      </w:r>
      <w:r>
        <w:rPr>
          <w:rFonts w:hint="eastAsia"/>
        </w:rPr>
        <w:t>%。</w:t>
      </w:r>
    </w:p>
    <w:p>
      <w:pPr>
        <w:adjustRightInd w:val="0"/>
        <w:snapToGrid w:val="0"/>
        <w:spacing w:line="360" w:lineRule="auto"/>
        <w:ind w:firstLine="420" w:firstLineChars="200"/>
      </w:pPr>
      <w:r>
        <w:t>6）污水处理：选用“预处理+MBR+</w:t>
      </w:r>
      <w:r>
        <w:rPr>
          <w:rFonts w:hint="eastAsia"/>
        </w:rPr>
        <w:t>N</w:t>
      </w:r>
      <w:r>
        <w:t>F”组合处理工艺，废水通过预处理进入膜生物反应器，之后采用强氧化剂对废水中的污染物进行强氧化，将有害的有机化合物转变为无害的无机化合物，彻底实现对污染物的完全去除和无害化。</w:t>
      </w:r>
      <w:r>
        <w:rPr>
          <w:rFonts w:hint="eastAsia"/>
        </w:rPr>
        <w:t>本项目</w:t>
      </w:r>
      <w:r>
        <w:t>出水排放标准</w:t>
      </w:r>
      <w:r>
        <w:rPr>
          <w:rFonts w:hint="eastAsia"/>
        </w:rPr>
        <w:t>按照《污水综合排放标准》三级</w:t>
      </w:r>
      <w:r>
        <w:t>标准</w:t>
      </w:r>
      <w:r>
        <w:rPr>
          <w:rFonts w:hint="eastAsia"/>
        </w:rPr>
        <w:t>执行，污水处理规模</w:t>
      </w:r>
      <w:r>
        <w:t>250m3/d</w:t>
      </w:r>
      <w:r>
        <w:rPr>
          <w:rFonts w:hint="eastAsia"/>
        </w:rPr>
        <w:t>。</w:t>
      </w:r>
    </w:p>
    <w:p>
      <w:pPr>
        <w:adjustRightInd w:val="0"/>
        <w:snapToGrid w:val="0"/>
        <w:spacing w:line="360" w:lineRule="auto"/>
        <w:ind w:firstLine="420" w:firstLineChars="200"/>
      </w:pPr>
      <w:r>
        <w:t>（3）项目范围内配套设施建设及维护。</w:t>
      </w:r>
    </w:p>
    <w:bookmarkEnd w:id="455"/>
    <w:bookmarkEnd w:id="456"/>
    <w:p>
      <w:pPr>
        <w:adjustRightInd w:val="0"/>
        <w:snapToGrid w:val="0"/>
        <w:spacing w:line="360" w:lineRule="auto"/>
        <w:ind w:firstLine="420" w:firstLineChars="200"/>
      </w:pPr>
      <w:bookmarkStart w:id="459" w:name="_Hlk10040316"/>
      <w:r>
        <w:t>8、项目总投资及资金筹措</w:t>
      </w:r>
    </w:p>
    <w:bookmarkEnd w:id="459"/>
    <w:p>
      <w:pPr>
        <w:adjustRightInd w:val="0"/>
        <w:snapToGrid w:val="0"/>
        <w:spacing w:line="360" w:lineRule="auto"/>
        <w:ind w:firstLine="420" w:firstLineChars="200"/>
      </w:pPr>
      <w:bookmarkStart w:id="460" w:name="_Hlk21683770"/>
      <w:r>
        <w:t>（1）项目总投资</w:t>
      </w:r>
    </w:p>
    <w:p>
      <w:pPr>
        <w:adjustRightInd w:val="0"/>
        <w:snapToGrid w:val="0"/>
        <w:spacing w:line="360" w:lineRule="auto"/>
        <w:ind w:firstLine="420" w:firstLineChars="200"/>
      </w:pPr>
      <w:r>
        <w:t>根据《关于南京市栖霞区餐厨废弃物处置厂项目可行性研究报告的批复》（宁栖发改字〔2020〕4号），项目总投资约为24,133.35万元，包括工程费用15,471.49万元、工程建设其他费用6,467.93万元（含土地费用5,000万元）、基本预备费2,193.94万元。本方案中项目总投资约为</w:t>
      </w:r>
      <w:r>
        <w:fldChar w:fldCharType="begin"/>
      </w:r>
      <w:r>
        <w:instrText xml:space="preserve"> LINK Excel.Sheet.12 "D:\\005栖霞餐厨\\1、实施方案\\南京市栖霞区餐厨废弃物处置厂项目财务测算表（1226）.xlsx" "表3!R5C4" \a \t  \* MERGEFORMAT </w:instrText>
      </w:r>
      <w:r>
        <w:fldChar w:fldCharType="separate"/>
      </w:r>
      <w:r>
        <w:rPr>
          <w:rFonts w:hint="eastAsia"/>
        </w:rPr>
        <w:t xml:space="preserve"> 24,804.54 </w:t>
      </w:r>
      <w:r>
        <w:fldChar w:fldCharType="end"/>
      </w:r>
      <w:r>
        <w:t>万元，经分析，可行性研究报告中不包含立项的社会稳定性评价咨询费、采用PPP模式实施的两评一案咨询费、项目投资及造价审核咨询费、财务数据复核咨询费及建设期融资成本，可行性研究报告及实施方案投资额对比详见下表。</w:t>
      </w:r>
    </w:p>
    <w:p>
      <w:pPr>
        <w:adjustRightInd w:val="0"/>
        <w:snapToGrid w:val="0"/>
        <w:spacing w:line="360" w:lineRule="auto"/>
        <w:ind w:firstLine="420" w:firstLineChars="200"/>
      </w:pPr>
      <w:bookmarkStart w:id="461" w:name="_Hlk33101111"/>
      <w:r>
        <w:t>本方案项目总投资中，工程费用</w:t>
      </w:r>
      <w:r>
        <w:fldChar w:fldCharType="begin"/>
      </w:r>
      <w:r>
        <w:instrText xml:space="preserve"> LINK Excel.Sheet.12 "D:\\005栖霞餐厨\\1、实施方案\\南京市栖霞区餐厨废弃物处置厂项目财务测算表（1226）.xlsx" "表1（含拆迁）!R5C5" \a \t  \* MERGEFORMAT </w:instrText>
      </w:r>
      <w:r>
        <w:fldChar w:fldCharType="separate"/>
      </w:r>
      <w:r>
        <w:t xml:space="preserve"> 15,471.49 </w:t>
      </w:r>
      <w:r>
        <w:fldChar w:fldCharType="end"/>
      </w:r>
      <w:r>
        <w:fldChar w:fldCharType="begin"/>
      </w:r>
      <w:r>
        <w:instrText xml:space="preserve"> LINK Excel.Sheet.12 D:\\005栖霞餐厨\\1、实施方案\\方案备份-前期\\2019年方案\\南京市栖霞区餐厨废弃物处置厂项目财务测算表（1226）改2.xlsx 表1（含拆迁）!R3C5 \a \t  \* MERGEFORMAT </w:instrText>
      </w:r>
      <w:r>
        <w:fldChar w:fldCharType="end"/>
      </w:r>
      <w:r>
        <w:t>万元、工程建设其他费用</w:t>
      </w:r>
      <w:r>
        <w:fldChar w:fldCharType="begin"/>
      </w:r>
      <w:r>
        <w:instrText xml:space="preserve"> LINK Excel.Sheet.12 "D:\\005栖霞餐厨\\1、实施方案\\南京市栖霞区餐厨废弃物处置厂项目财务测算表（1226）.xlsx" "表3!R79C3" \a \t  \* MERGEFORMAT </w:instrText>
      </w:r>
      <w:r>
        <w:fldChar w:fldCharType="separate"/>
      </w:r>
      <w:r>
        <w:rPr>
          <w:rFonts w:hint="eastAsia"/>
        </w:rPr>
        <w:t xml:space="preserve"> 6,555.71 </w:t>
      </w:r>
      <w:r>
        <w:fldChar w:fldCharType="end"/>
      </w:r>
      <w:r>
        <w:fldChar w:fldCharType="begin"/>
      </w:r>
      <w:r>
        <w:instrText xml:space="preserve"> LINK Excel.Sheet.12 "D:\\005栖霞餐厨\\1、实施方案\\南京市栖霞区餐厨废弃物处置厂项目财务测算表（1226）.xlsx" "表1（含拆迁）!R39C5" \a \t  \* MERGEFORMAT </w:instrText>
      </w:r>
      <w:r>
        <w:fldChar w:fldCharType="end"/>
      </w:r>
      <w:r>
        <w:fldChar w:fldCharType="begin"/>
      </w:r>
      <w:r>
        <w:instrText xml:space="preserve"> LINK Excel.Sheet.12 D:\\005栖霞餐厨\\1、实施方案\\方案备份-前期\\2019年方案\\南京市栖霞区餐厨废弃物处置厂项目财务测算表（1226）改2.xlsx 表1（含拆迁）!R37C5 \a \t  \* MERGEFORMAT </w:instrText>
      </w:r>
      <w:r>
        <w:fldChar w:fldCharType="end"/>
      </w:r>
      <w:r>
        <w:t>万元（含土地费用5000万元），基本预备费</w:t>
      </w:r>
      <w:r>
        <w:fldChar w:fldCharType="begin"/>
      </w:r>
      <w:r>
        <w:instrText xml:space="preserve"> LINK Excel.Sheet.12 "D:\\005栖霞餐厨\\1、实施方案\\南京市栖霞区餐厨废弃物处置厂项目财务测算表（1226）.xlsx" "表1!R57C5" \a \t  \* MERGEFORMAT </w:instrText>
      </w:r>
      <w:r>
        <w:fldChar w:fldCharType="separate"/>
      </w:r>
      <w:r>
        <w:rPr>
          <w:rFonts w:hint="eastAsia"/>
        </w:rPr>
        <w:t xml:space="preserve"> 2,193.94 </w:t>
      </w:r>
      <w:r>
        <w:fldChar w:fldCharType="end"/>
      </w:r>
      <w:r>
        <w:t>万元，建设期融资成本</w:t>
      </w:r>
      <w:r>
        <w:fldChar w:fldCharType="begin"/>
      </w:r>
      <w:r>
        <w:instrText xml:space="preserve"> LINK Excel.Sheet.12 D:\\005栖霞餐厨\\1、实施方案\\方案备份-前期\\2019年方案\\南京市栖霞区餐厨废弃物处置厂项目财务测算表（1226）改.xlsx 表3!R33C4 \a \t  \* MERGEFORMAT </w:instrText>
      </w:r>
      <w:r>
        <w:fldChar w:fldCharType="separate"/>
      </w:r>
      <w:r>
        <w:rPr>
          <w:rFonts w:hint="eastAsia"/>
        </w:rPr>
        <w:t xml:space="preserve"> 583.40 </w:t>
      </w:r>
      <w:r>
        <w:fldChar w:fldCharType="end"/>
      </w:r>
      <w:r>
        <w:t>万元。</w:t>
      </w:r>
      <w:bookmarkEnd w:id="461"/>
    </w:p>
    <w:p>
      <w:pPr>
        <w:adjustRightInd w:val="0"/>
        <w:snapToGrid w:val="0"/>
        <w:spacing w:line="360" w:lineRule="auto"/>
        <w:ind w:firstLine="420" w:firstLineChars="200"/>
      </w:pPr>
      <w:r>
        <w:t>（2）资金筹措</w:t>
      </w:r>
    </w:p>
    <w:p>
      <w:pPr>
        <w:adjustRightInd w:val="0"/>
        <w:snapToGrid w:val="0"/>
        <w:spacing w:line="360" w:lineRule="auto"/>
        <w:ind w:firstLine="420" w:firstLineChars="200"/>
      </w:pPr>
      <w:r>
        <w:t>本方案项目总投资中，项目资本金占总投资比例为20%，为</w:t>
      </w:r>
      <w:r>
        <w:fldChar w:fldCharType="begin"/>
      </w:r>
      <w:r>
        <w:instrText xml:space="preserve"> LINK Excel.Sheet.12 D:\\005栖霞餐厨\\1、实施方案\\2019年方案\\南京市栖霞区餐厨废弃物处置厂项目财务测算表（1226）改.xlsx 表3!R24C4 \a \t  \* MERGEFORMAT </w:instrText>
      </w:r>
      <w:r>
        <w:fldChar w:fldCharType="separate"/>
      </w:r>
      <w:r>
        <w:fldChar w:fldCharType="begin"/>
      </w:r>
      <w:r>
        <w:instrText xml:space="preserve"> LINK Excel.Sheet.12 "D:\\005栖霞餐厨\\1、实施方案\\南京市栖霞区餐厨废弃物处置厂项目财务测算表（1226）.xlsx" "表3!R24C4" \a \t  \* MERGEFORMAT </w:instrText>
      </w:r>
      <w:r>
        <w:fldChar w:fldCharType="separate"/>
      </w:r>
      <w:r>
        <w:rPr>
          <w:rFonts w:hint="eastAsia"/>
        </w:rPr>
        <w:t xml:space="preserve"> 4,960.91 </w:t>
      </w:r>
      <w:r>
        <w:fldChar w:fldCharType="end"/>
      </w:r>
      <w:r>
        <w:fldChar w:fldCharType="end"/>
      </w:r>
      <w:r>
        <w:t>万元，符合《国务院关于加强固定资产投资项目资本金管理的通知》（国发〔2019〕26号）的规定。融资部分占总投资的比例为80%，项目公司为融资主体，社会资本方承担补充融资责任，政府不作担保。</w:t>
      </w:r>
    </w:p>
    <w:p>
      <w:pPr>
        <w:adjustRightInd w:val="0"/>
        <w:snapToGrid w:val="0"/>
        <w:spacing w:line="360" w:lineRule="auto"/>
        <w:ind w:firstLine="420" w:firstLineChars="200"/>
      </w:pPr>
      <w:r>
        <w:rPr>
          <w:rFonts w:hint="eastAsia"/>
        </w:rPr>
        <w:t>项目公司不得以任何原因对外提供担保。</w:t>
      </w:r>
    </w:p>
    <w:p>
      <w:r>
        <w:t>表</w:t>
      </w:r>
      <w:r>
        <w:rPr>
          <w:rFonts w:hint="eastAsia"/>
        </w:rPr>
        <w:t>1</w:t>
      </w:r>
      <w:r>
        <w:t xml:space="preserve">-2 </w:t>
      </w:r>
      <w:bookmarkStart w:id="462" w:name="_Hlk32935107"/>
      <w:r>
        <w:t>可行性研究报告及实施方案投资额对比一览表</w:t>
      </w:r>
      <w:bookmarkEnd w:id="462"/>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8"/>
        <w:gridCol w:w="1445"/>
        <w:gridCol w:w="1787"/>
        <w:gridCol w:w="1820"/>
        <w:gridCol w:w="1368"/>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rFonts w:eastAsia="黑体"/>
                <w:kern w:val="0"/>
              </w:rPr>
            </w:pPr>
            <w:r>
              <w:rPr>
                <w:rFonts w:eastAsia="黑体"/>
                <w:kern w:val="0"/>
              </w:rPr>
              <w:t>序号</w:t>
            </w:r>
          </w:p>
        </w:tc>
        <w:tc>
          <w:tcPr>
            <w:tcW w:w="847" w:type="pct"/>
            <w:shd w:val="clear" w:color="auto" w:fill="FFFFFF"/>
            <w:vAlign w:val="center"/>
          </w:tcPr>
          <w:p>
            <w:pPr>
              <w:widowControl/>
              <w:adjustRightInd w:val="0"/>
              <w:snapToGrid w:val="0"/>
              <w:jc w:val="center"/>
              <w:rPr>
                <w:rFonts w:eastAsia="黑体"/>
                <w:kern w:val="0"/>
              </w:rPr>
            </w:pPr>
            <w:r>
              <w:rPr>
                <w:rFonts w:eastAsia="黑体"/>
                <w:kern w:val="0"/>
              </w:rPr>
              <w:t>费用名称</w:t>
            </w:r>
          </w:p>
        </w:tc>
        <w:tc>
          <w:tcPr>
            <w:tcW w:w="1048" w:type="pct"/>
            <w:shd w:val="clear" w:color="auto" w:fill="FFFFFF"/>
          </w:tcPr>
          <w:p>
            <w:pPr>
              <w:widowControl/>
              <w:adjustRightInd w:val="0"/>
              <w:snapToGrid w:val="0"/>
              <w:jc w:val="center"/>
              <w:rPr>
                <w:rFonts w:eastAsia="黑体"/>
                <w:kern w:val="0"/>
              </w:rPr>
            </w:pPr>
            <w:r>
              <w:rPr>
                <w:rFonts w:eastAsia="黑体"/>
                <w:kern w:val="0"/>
              </w:rPr>
              <w:t>可行性研究报告</w:t>
            </w:r>
          </w:p>
          <w:p>
            <w:pPr>
              <w:widowControl/>
              <w:adjustRightInd w:val="0"/>
              <w:snapToGrid w:val="0"/>
              <w:jc w:val="center"/>
              <w:rPr>
                <w:rFonts w:eastAsia="黑体"/>
                <w:kern w:val="0"/>
              </w:rPr>
            </w:pPr>
            <w:r>
              <w:rPr>
                <w:rFonts w:eastAsia="黑体"/>
                <w:kern w:val="0"/>
              </w:rPr>
              <w:t>总投资（万元）</w:t>
            </w:r>
            <w:r>
              <w:rPr>
                <w:rFonts w:hint="eastAsia" w:ascii="宋体" w:hAnsi="宋体" w:cs="宋体"/>
                <w:kern w:val="0"/>
              </w:rPr>
              <w:t>①</w:t>
            </w:r>
          </w:p>
        </w:tc>
        <w:tc>
          <w:tcPr>
            <w:tcW w:w="1067" w:type="pct"/>
            <w:shd w:val="clear" w:color="auto" w:fill="FFFFFF"/>
          </w:tcPr>
          <w:p>
            <w:pPr>
              <w:widowControl/>
              <w:adjustRightInd w:val="0"/>
              <w:snapToGrid w:val="0"/>
              <w:jc w:val="center"/>
              <w:rPr>
                <w:rFonts w:eastAsia="黑体"/>
                <w:kern w:val="0"/>
              </w:rPr>
            </w:pPr>
            <w:r>
              <w:rPr>
                <w:rFonts w:eastAsia="黑体"/>
                <w:kern w:val="0"/>
              </w:rPr>
              <w:t>实施方案</w:t>
            </w:r>
          </w:p>
          <w:p>
            <w:pPr>
              <w:widowControl/>
              <w:adjustRightInd w:val="0"/>
              <w:snapToGrid w:val="0"/>
              <w:jc w:val="center"/>
              <w:rPr>
                <w:rFonts w:eastAsia="黑体"/>
                <w:kern w:val="0"/>
              </w:rPr>
            </w:pPr>
            <w:r>
              <w:rPr>
                <w:rFonts w:eastAsia="黑体"/>
                <w:kern w:val="0"/>
              </w:rPr>
              <w:t>总投资（万元）</w:t>
            </w:r>
            <w:r>
              <w:rPr>
                <w:rFonts w:hint="eastAsia" w:ascii="宋体" w:hAnsi="宋体" w:cs="宋体"/>
                <w:kern w:val="0"/>
              </w:rPr>
              <w:t>②</w:t>
            </w:r>
          </w:p>
        </w:tc>
        <w:tc>
          <w:tcPr>
            <w:tcW w:w="802" w:type="pct"/>
            <w:shd w:val="clear" w:color="auto" w:fill="FFFFFF"/>
            <w:vAlign w:val="center"/>
          </w:tcPr>
          <w:p>
            <w:pPr>
              <w:widowControl/>
              <w:adjustRightInd w:val="0"/>
              <w:snapToGrid w:val="0"/>
              <w:jc w:val="center"/>
              <w:rPr>
                <w:rFonts w:eastAsia="黑体"/>
                <w:kern w:val="0"/>
              </w:rPr>
            </w:pPr>
            <w:r>
              <w:rPr>
                <w:rFonts w:eastAsia="黑体"/>
                <w:kern w:val="0"/>
              </w:rPr>
              <w:t>差异（万元）</w:t>
            </w:r>
          </w:p>
          <w:p>
            <w:pPr>
              <w:widowControl/>
              <w:adjustRightInd w:val="0"/>
              <w:snapToGrid w:val="0"/>
              <w:jc w:val="center"/>
              <w:rPr>
                <w:rFonts w:eastAsia="黑体"/>
                <w:kern w:val="0"/>
              </w:rPr>
            </w:pPr>
            <w:r>
              <w:rPr>
                <w:rFonts w:hint="eastAsia" w:ascii="宋体" w:hAnsi="宋体" w:cs="宋体"/>
                <w:kern w:val="0"/>
              </w:rPr>
              <w:t>③</w:t>
            </w:r>
            <w:r>
              <w:rPr>
                <w:rFonts w:eastAsia="黑体"/>
                <w:kern w:val="0"/>
              </w:rPr>
              <w:t>＝</w:t>
            </w:r>
            <w:r>
              <w:rPr>
                <w:rFonts w:hint="eastAsia" w:ascii="宋体" w:hAnsi="宋体" w:cs="宋体"/>
                <w:kern w:val="0"/>
              </w:rPr>
              <w:t>②</w:t>
            </w:r>
            <w:r>
              <w:rPr>
                <w:rFonts w:eastAsia="黑体"/>
                <w:kern w:val="0"/>
              </w:rPr>
              <w:t>－</w:t>
            </w:r>
            <w:r>
              <w:rPr>
                <w:rFonts w:hint="eastAsia" w:ascii="宋体" w:hAnsi="宋体" w:cs="宋体"/>
                <w:kern w:val="0"/>
              </w:rPr>
              <w:t>①</w:t>
            </w:r>
          </w:p>
        </w:tc>
        <w:tc>
          <w:tcPr>
            <w:tcW w:w="739" w:type="pct"/>
            <w:shd w:val="clear" w:color="auto" w:fill="FFFFFF"/>
            <w:vAlign w:val="center"/>
          </w:tcPr>
          <w:p>
            <w:pPr>
              <w:widowControl/>
              <w:adjustRightInd w:val="0"/>
              <w:snapToGrid w:val="0"/>
              <w:jc w:val="center"/>
              <w:rPr>
                <w:rFonts w:eastAsia="黑体"/>
                <w:kern w:val="0"/>
              </w:rPr>
            </w:pPr>
            <w:r>
              <w:rPr>
                <w:rFonts w:eastAsia="黑体"/>
                <w:kern w:val="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一</w:t>
            </w:r>
          </w:p>
        </w:tc>
        <w:tc>
          <w:tcPr>
            <w:tcW w:w="847" w:type="pct"/>
            <w:shd w:val="clear" w:color="auto" w:fill="FFFFFF"/>
            <w:vAlign w:val="center"/>
          </w:tcPr>
          <w:p>
            <w:pPr>
              <w:widowControl/>
              <w:adjustRightInd w:val="0"/>
              <w:snapToGrid w:val="0"/>
              <w:jc w:val="center"/>
              <w:rPr>
                <w:b/>
                <w:bCs/>
                <w:kern w:val="0"/>
              </w:rPr>
            </w:pPr>
            <w:r>
              <w:rPr>
                <w:b/>
                <w:bCs/>
                <w:kern w:val="0"/>
              </w:rPr>
              <w:t>工程费用</w:t>
            </w:r>
          </w:p>
        </w:tc>
        <w:tc>
          <w:tcPr>
            <w:tcW w:w="1048" w:type="pct"/>
            <w:shd w:val="clear" w:color="auto" w:fill="FFFFFF"/>
            <w:vAlign w:val="center"/>
          </w:tcPr>
          <w:p>
            <w:pPr>
              <w:widowControl/>
              <w:adjustRightInd w:val="0"/>
              <w:snapToGrid w:val="0"/>
              <w:jc w:val="center"/>
              <w:rPr>
                <w:b/>
                <w:bCs/>
                <w:kern w:val="0"/>
              </w:rPr>
            </w:pPr>
            <w:r>
              <w:rPr>
                <w:b/>
                <w:bCs/>
                <w:kern w:val="0"/>
              </w:rPr>
              <w:t>15471.49</w:t>
            </w:r>
          </w:p>
        </w:tc>
        <w:tc>
          <w:tcPr>
            <w:tcW w:w="1067" w:type="pct"/>
            <w:shd w:val="clear" w:color="auto" w:fill="FFFFFF"/>
            <w:vAlign w:val="center"/>
          </w:tcPr>
          <w:p>
            <w:pPr>
              <w:widowControl/>
              <w:adjustRightInd w:val="0"/>
              <w:snapToGrid w:val="0"/>
              <w:jc w:val="center"/>
              <w:rPr>
                <w:b/>
                <w:bCs/>
                <w:kern w:val="0"/>
              </w:rPr>
            </w:pPr>
            <w:r>
              <w:rPr>
                <w:b/>
                <w:bCs/>
                <w:kern w:val="0"/>
              </w:rPr>
              <w:t>15471.49</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（一）</w:t>
            </w:r>
          </w:p>
        </w:tc>
        <w:tc>
          <w:tcPr>
            <w:tcW w:w="847" w:type="pct"/>
            <w:shd w:val="clear" w:color="auto" w:fill="FFFFFF"/>
            <w:vAlign w:val="center"/>
          </w:tcPr>
          <w:p>
            <w:pPr>
              <w:widowControl/>
              <w:adjustRightInd w:val="0"/>
              <w:snapToGrid w:val="0"/>
              <w:jc w:val="center"/>
              <w:rPr>
                <w:kern w:val="0"/>
              </w:rPr>
            </w:pPr>
            <w:r>
              <w:rPr>
                <w:kern w:val="0"/>
              </w:rPr>
              <w:t>建筑工程</w:t>
            </w:r>
          </w:p>
        </w:tc>
        <w:tc>
          <w:tcPr>
            <w:tcW w:w="1048" w:type="pct"/>
            <w:shd w:val="clear" w:color="auto" w:fill="FFFFFF"/>
            <w:vAlign w:val="center"/>
          </w:tcPr>
          <w:p>
            <w:pPr>
              <w:widowControl/>
              <w:adjustRightInd w:val="0"/>
              <w:snapToGrid w:val="0"/>
              <w:jc w:val="center"/>
              <w:rPr>
                <w:kern w:val="0"/>
              </w:rPr>
            </w:pPr>
            <w:r>
              <w:rPr>
                <w:kern w:val="0"/>
              </w:rPr>
              <w:t>5084.00</w:t>
            </w:r>
          </w:p>
        </w:tc>
        <w:tc>
          <w:tcPr>
            <w:tcW w:w="1067" w:type="pct"/>
            <w:shd w:val="clear" w:color="auto" w:fill="FFFFFF"/>
            <w:vAlign w:val="center"/>
          </w:tcPr>
          <w:p>
            <w:pPr>
              <w:widowControl/>
              <w:adjustRightInd w:val="0"/>
              <w:snapToGrid w:val="0"/>
              <w:jc w:val="center"/>
              <w:rPr>
                <w:kern w:val="0"/>
              </w:rPr>
            </w:pPr>
            <w:r>
              <w:rPr>
                <w:kern w:val="0"/>
              </w:rPr>
              <w:t>5084.00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kern w:val="0"/>
              </w:rPr>
              <w:t>生活管理区</w:t>
            </w:r>
          </w:p>
        </w:tc>
        <w:tc>
          <w:tcPr>
            <w:tcW w:w="1048" w:type="pct"/>
            <w:shd w:val="clear" w:color="auto" w:fill="FFFFFF"/>
            <w:vAlign w:val="center"/>
          </w:tcPr>
          <w:p>
            <w:pPr>
              <w:widowControl/>
              <w:adjustRightInd w:val="0"/>
              <w:snapToGrid w:val="0"/>
              <w:jc w:val="center"/>
              <w:rPr>
                <w:kern w:val="0"/>
              </w:rPr>
            </w:pPr>
            <w:r>
              <w:rPr>
                <w:kern w:val="0"/>
              </w:rPr>
              <w:t>755.46</w:t>
            </w:r>
          </w:p>
        </w:tc>
        <w:tc>
          <w:tcPr>
            <w:tcW w:w="1067" w:type="pct"/>
            <w:shd w:val="clear" w:color="auto" w:fill="FFFFFF"/>
            <w:vAlign w:val="center"/>
          </w:tcPr>
          <w:p>
            <w:pPr>
              <w:widowControl/>
              <w:adjustRightInd w:val="0"/>
              <w:snapToGrid w:val="0"/>
              <w:jc w:val="center"/>
              <w:rPr>
                <w:kern w:val="0"/>
              </w:rPr>
            </w:pPr>
            <w:r>
              <w:rPr>
                <w:kern w:val="0"/>
              </w:rPr>
              <w:t>755.46</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kern w:val="0"/>
              </w:rPr>
              <w:t>餐厨废弃物处理区</w:t>
            </w:r>
          </w:p>
        </w:tc>
        <w:tc>
          <w:tcPr>
            <w:tcW w:w="1048" w:type="pct"/>
            <w:shd w:val="clear" w:color="auto" w:fill="FFFFFF"/>
            <w:vAlign w:val="center"/>
          </w:tcPr>
          <w:p>
            <w:pPr>
              <w:widowControl/>
              <w:adjustRightInd w:val="0"/>
              <w:snapToGrid w:val="0"/>
              <w:jc w:val="center"/>
              <w:rPr>
                <w:kern w:val="0"/>
              </w:rPr>
            </w:pPr>
            <w:r>
              <w:rPr>
                <w:kern w:val="0"/>
              </w:rPr>
              <w:t>1896.14</w:t>
            </w:r>
          </w:p>
        </w:tc>
        <w:tc>
          <w:tcPr>
            <w:tcW w:w="1067" w:type="pct"/>
            <w:shd w:val="clear" w:color="auto" w:fill="FFFFFF"/>
            <w:vAlign w:val="center"/>
          </w:tcPr>
          <w:p>
            <w:pPr>
              <w:widowControl/>
              <w:adjustRightInd w:val="0"/>
              <w:snapToGrid w:val="0"/>
              <w:jc w:val="center"/>
              <w:rPr>
                <w:kern w:val="0"/>
              </w:rPr>
            </w:pPr>
            <w:r>
              <w:rPr>
                <w:kern w:val="0"/>
              </w:rPr>
              <w:t>1896.14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3</w:t>
            </w:r>
          </w:p>
        </w:tc>
        <w:tc>
          <w:tcPr>
            <w:tcW w:w="847" w:type="pct"/>
            <w:shd w:val="clear" w:color="auto" w:fill="FFFFFF"/>
            <w:vAlign w:val="center"/>
          </w:tcPr>
          <w:p>
            <w:pPr>
              <w:widowControl/>
              <w:adjustRightInd w:val="0"/>
              <w:snapToGrid w:val="0"/>
              <w:jc w:val="center"/>
              <w:rPr>
                <w:kern w:val="0"/>
              </w:rPr>
            </w:pPr>
            <w:r>
              <w:rPr>
                <w:kern w:val="0"/>
              </w:rPr>
              <w:t>沼气发电区</w:t>
            </w:r>
          </w:p>
        </w:tc>
        <w:tc>
          <w:tcPr>
            <w:tcW w:w="1048" w:type="pct"/>
            <w:shd w:val="clear" w:color="auto" w:fill="FFFFFF"/>
            <w:vAlign w:val="center"/>
          </w:tcPr>
          <w:p>
            <w:pPr>
              <w:widowControl/>
              <w:adjustRightInd w:val="0"/>
              <w:snapToGrid w:val="0"/>
              <w:jc w:val="center"/>
              <w:rPr>
                <w:kern w:val="0"/>
              </w:rPr>
            </w:pPr>
            <w:r>
              <w:rPr>
                <w:kern w:val="0"/>
              </w:rPr>
              <w:t>197.30</w:t>
            </w:r>
          </w:p>
        </w:tc>
        <w:tc>
          <w:tcPr>
            <w:tcW w:w="1067" w:type="pct"/>
            <w:shd w:val="clear" w:color="auto" w:fill="FFFFFF"/>
            <w:vAlign w:val="center"/>
          </w:tcPr>
          <w:p>
            <w:pPr>
              <w:widowControl/>
              <w:adjustRightInd w:val="0"/>
              <w:snapToGrid w:val="0"/>
              <w:jc w:val="center"/>
              <w:rPr>
                <w:kern w:val="0"/>
              </w:rPr>
            </w:pPr>
            <w:r>
              <w:rPr>
                <w:kern w:val="0"/>
              </w:rPr>
              <w:t>197.30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4</w:t>
            </w:r>
          </w:p>
        </w:tc>
        <w:tc>
          <w:tcPr>
            <w:tcW w:w="847" w:type="pct"/>
            <w:shd w:val="clear" w:color="auto" w:fill="FFFFFF"/>
            <w:vAlign w:val="center"/>
          </w:tcPr>
          <w:p>
            <w:pPr>
              <w:widowControl/>
              <w:adjustRightInd w:val="0"/>
              <w:snapToGrid w:val="0"/>
              <w:jc w:val="center"/>
              <w:rPr>
                <w:kern w:val="0"/>
              </w:rPr>
            </w:pPr>
            <w:r>
              <w:rPr>
                <w:kern w:val="0"/>
              </w:rPr>
              <w:t>污水处理区</w:t>
            </w:r>
          </w:p>
        </w:tc>
        <w:tc>
          <w:tcPr>
            <w:tcW w:w="1048" w:type="pct"/>
            <w:shd w:val="clear" w:color="auto" w:fill="FFFFFF"/>
            <w:vAlign w:val="center"/>
          </w:tcPr>
          <w:p>
            <w:pPr>
              <w:widowControl/>
              <w:adjustRightInd w:val="0"/>
              <w:snapToGrid w:val="0"/>
              <w:jc w:val="center"/>
              <w:rPr>
                <w:kern w:val="0"/>
              </w:rPr>
            </w:pPr>
            <w:r>
              <w:rPr>
                <w:kern w:val="0"/>
              </w:rPr>
              <w:t>636.80</w:t>
            </w:r>
          </w:p>
        </w:tc>
        <w:tc>
          <w:tcPr>
            <w:tcW w:w="1067" w:type="pct"/>
            <w:shd w:val="clear" w:color="auto" w:fill="FFFFFF"/>
            <w:vAlign w:val="center"/>
          </w:tcPr>
          <w:p>
            <w:pPr>
              <w:widowControl/>
              <w:adjustRightInd w:val="0"/>
              <w:snapToGrid w:val="0"/>
              <w:jc w:val="center"/>
              <w:rPr>
                <w:kern w:val="0"/>
              </w:rPr>
            </w:pPr>
            <w:r>
              <w:rPr>
                <w:kern w:val="0"/>
              </w:rPr>
              <w:t>636.80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5</w:t>
            </w:r>
          </w:p>
        </w:tc>
        <w:tc>
          <w:tcPr>
            <w:tcW w:w="847" w:type="pct"/>
            <w:shd w:val="clear" w:color="auto" w:fill="FFFFFF"/>
            <w:vAlign w:val="center"/>
          </w:tcPr>
          <w:p>
            <w:pPr>
              <w:widowControl/>
              <w:adjustRightInd w:val="0"/>
              <w:snapToGrid w:val="0"/>
              <w:jc w:val="center"/>
              <w:rPr>
                <w:kern w:val="0"/>
              </w:rPr>
            </w:pPr>
            <w:r>
              <w:rPr>
                <w:kern w:val="0"/>
              </w:rPr>
              <w:t>厌氧发酵区</w:t>
            </w:r>
          </w:p>
        </w:tc>
        <w:tc>
          <w:tcPr>
            <w:tcW w:w="1048" w:type="pct"/>
            <w:shd w:val="clear" w:color="auto" w:fill="FFFFFF"/>
            <w:vAlign w:val="center"/>
          </w:tcPr>
          <w:p>
            <w:pPr>
              <w:widowControl/>
              <w:adjustRightInd w:val="0"/>
              <w:snapToGrid w:val="0"/>
              <w:jc w:val="center"/>
              <w:rPr>
                <w:kern w:val="0"/>
              </w:rPr>
            </w:pPr>
            <w:r>
              <w:rPr>
                <w:kern w:val="0"/>
              </w:rPr>
              <w:t>738.30</w:t>
            </w:r>
          </w:p>
        </w:tc>
        <w:tc>
          <w:tcPr>
            <w:tcW w:w="1067" w:type="pct"/>
            <w:shd w:val="clear" w:color="auto" w:fill="FFFFFF"/>
            <w:vAlign w:val="center"/>
          </w:tcPr>
          <w:p>
            <w:pPr>
              <w:widowControl/>
              <w:adjustRightInd w:val="0"/>
              <w:snapToGrid w:val="0"/>
              <w:jc w:val="center"/>
              <w:rPr>
                <w:kern w:val="0"/>
              </w:rPr>
            </w:pPr>
            <w:r>
              <w:rPr>
                <w:kern w:val="0"/>
              </w:rPr>
              <w:t>738.30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6</w:t>
            </w:r>
          </w:p>
        </w:tc>
        <w:tc>
          <w:tcPr>
            <w:tcW w:w="847" w:type="pct"/>
            <w:shd w:val="clear" w:color="auto" w:fill="FFFFFF"/>
            <w:vAlign w:val="center"/>
          </w:tcPr>
          <w:p>
            <w:pPr>
              <w:widowControl/>
              <w:adjustRightInd w:val="0"/>
              <w:snapToGrid w:val="0"/>
              <w:jc w:val="center"/>
              <w:rPr>
                <w:kern w:val="0"/>
              </w:rPr>
            </w:pPr>
            <w:r>
              <w:rPr>
                <w:kern w:val="0"/>
              </w:rPr>
              <w:t>总图配套工程</w:t>
            </w:r>
          </w:p>
        </w:tc>
        <w:tc>
          <w:tcPr>
            <w:tcW w:w="1048" w:type="pct"/>
            <w:shd w:val="clear" w:color="auto" w:fill="FFFFFF"/>
            <w:vAlign w:val="center"/>
          </w:tcPr>
          <w:p>
            <w:pPr>
              <w:widowControl/>
              <w:adjustRightInd w:val="0"/>
              <w:snapToGrid w:val="0"/>
              <w:jc w:val="center"/>
              <w:rPr>
                <w:kern w:val="0"/>
              </w:rPr>
            </w:pPr>
            <w:r>
              <w:rPr>
                <w:kern w:val="0"/>
              </w:rPr>
              <w:t>860.00</w:t>
            </w:r>
          </w:p>
        </w:tc>
        <w:tc>
          <w:tcPr>
            <w:tcW w:w="1067" w:type="pct"/>
            <w:shd w:val="clear" w:color="auto" w:fill="FFFFFF"/>
            <w:vAlign w:val="center"/>
          </w:tcPr>
          <w:p>
            <w:pPr>
              <w:widowControl/>
              <w:adjustRightInd w:val="0"/>
              <w:snapToGrid w:val="0"/>
              <w:jc w:val="center"/>
              <w:rPr>
                <w:kern w:val="0"/>
              </w:rPr>
            </w:pPr>
            <w:r>
              <w:rPr>
                <w:kern w:val="0"/>
              </w:rPr>
              <w:t>860.00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（二）</w:t>
            </w:r>
          </w:p>
        </w:tc>
        <w:tc>
          <w:tcPr>
            <w:tcW w:w="847" w:type="pct"/>
            <w:shd w:val="clear" w:color="auto" w:fill="FFFFFF"/>
            <w:vAlign w:val="center"/>
          </w:tcPr>
          <w:p>
            <w:pPr>
              <w:widowControl/>
              <w:adjustRightInd w:val="0"/>
              <w:snapToGrid w:val="0"/>
              <w:jc w:val="center"/>
              <w:rPr>
                <w:kern w:val="0"/>
              </w:rPr>
            </w:pPr>
            <w:r>
              <w:rPr>
                <w:kern w:val="0"/>
              </w:rPr>
              <w:t>设备购置</w:t>
            </w:r>
          </w:p>
        </w:tc>
        <w:tc>
          <w:tcPr>
            <w:tcW w:w="1048" w:type="pct"/>
            <w:shd w:val="clear" w:color="auto" w:fill="FFFFFF"/>
            <w:vAlign w:val="center"/>
          </w:tcPr>
          <w:p>
            <w:pPr>
              <w:widowControl/>
              <w:adjustRightInd w:val="0"/>
              <w:snapToGrid w:val="0"/>
              <w:jc w:val="center"/>
              <w:rPr>
                <w:kern w:val="0"/>
              </w:rPr>
            </w:pPr>
            <w:r>
              <w:rPr>
                <w:kern w:val="0"/>
              </w:rPr>
              <w:t>9139.99</w:t>
            </w:r>
          </w:p>
        </w:tc>
        <w:tc>
          <w:tcPr>
            <w:tcW w:w="1067" w:type="pct"/>
            <w:shd w:val="clear" w:color="auto" w:fill="FFFFFF"/>
            <w:vAlign w:val="center"/>
          </w:tcPr>
          <w:p>
            <w:pPr>
              <w:widowControl/>
              <w:adjustRightInd w:val="0"/>
              <w:snapToGrid w:val="0"/>
              <w:jc w:val="center"/>
              <w:rPr>
                <w:kern w:val="0"/>
              </w:rPr>
            </w:pPr>
            <w:r>
              <w:rPr>
                <w:kern w:val="0"/>
              </w:rPr>
              <w:t>9139.99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（三）</w:t>
            </w:r>
          </w:p>
        </w:tc>
        <w:tc>
          <w:tcPr>
            <w:tcW w:w="847" w:type="pct"/>
            <w:shd w:val="clear" w:color="auto" w:fill="FFFFFF"/>
            <w:vAlign w:val="center"/>
          </w:tcPr>
          <w:p>
            <w:pPr>
              <w:widowControl/>
              <w:adjustRightInd w:val="0"/>
              <w:snapToGrid w:val="0"/>
              <w:jc w:val="center"/>
              <w:rPr>
                <w:kern w:val="0"/>
              </w:rPr>
            </w:pPr>
            <w:r>
              <w:rPr>
                <w:kern w:val="0"/>
              </w:rPr>
              <w:t>电线杆迁移场外道等</w:t>
            </w:r>
          </w:p>
        </w:tc>
        <w:tc>
          <w:tcPr>
            <w:tcW w:w="1048" w:type="pct"/>
            <w:shd w:val="clear" w:color="auto" w:fill="FFFFFF"/>
            <w:vAlign w:val="center"/>
          </w:tcPr>
          <w:p>
            <w:pPr>
              <w:widowControl/>
              <w:adjustRightInd w:val="0"/>
              <w:snapToGrid w:val="0"/>
              <w:jc w:val="center"/>
              <w:rPr>
                <w:kern w:val="0"/>
              </w:rPr>
            </w:pPr>
            <w:r>
              <w:rPr>
                <w:kern w:val="0"/>
              </w:rPr>
              <w:t>1247.5</w:t>
            </w:r>
          </w:p>
        </w:tc>
        <w:tc>
          <w:tcPr>
            <w:tcW w:w="1067" w:type="pct"/>
            <w:shd w:val="clear" w:color="auto" w:fill="FFFFFF"/>
            <w:vAlign w:val="center"/>
          </w:tcPr>
          <w:p>
            <w:pPr>
              <w:widowControl/>
              <w:adjustRightInd w:val="0"/>
              <w:snapToGrid w:val="0"/>
              <w:jc w:val="center"/>
              <w:rPr>
                <w:kern w:val="0"/>
              </w:rPr>
            </w:pPr>
            <w:r>
              <w:rPr>
                <w:kern w:val="0"/>
              </w:rPr>
              <w:t>1247.5</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二</w:t>
            </w:r>
          </w:p>
        </w:tc>
        <w:tc>
          <w:tcPr>
            <w:tcW w:w="847" w:type="pct"/>
            <w:shd w:val="clear" w:color="auto" w:fill="FFFFFF"/>
            <w:vAlign w:val="center"/>
          </w:tcPr>
          <w:p>
            <w:pPr>
              <w:widowControl/>
              <w:adjustRightInd w:val="0"/>
              <w:snapToGrid w:val="0"/>
              <w:jc w:val="center"/>
              <w:rPr>
                <w:b/>
                <w:bCs/>
                <w:kern w:val="0"/>
              </w:rPr>
            </w:pPr>
            <w:r>
              <w:rPr>
                <w:b/>
                <w:bCs/>
                <w:kern w:val="0"/>
              </w:rPr>
              <w:t>工程建设其他费用</w:t>
            </w:r>
          </w:p>
        </w:tc>
        <w:tc>
          <w:tcPr>
            <w:tcW w:w="1048" w:type="pct"/>
            <w:shd w:val="clear" w:color="auto" w:fill="FFFFFF"/>
            <w:vAlign w:val="center"/>
          </w:tcPr>
          <w:p>
            <w:pPr>
              <w:widowControl/>
              <w:adjustRightInd w:val="0"/>
              <w:snapToGrid w:val="0"/>
              <w:jc w:val="center"/>
              <w:rPr>
                <w:b/>
                <w:bCs/>
                <w:kern w:val="0"/>
              </w:rPr>
            </w:pPr>
            <w:r>
              <w:rPr>
                <w:b/>
                <w:bCs/>
                <w:kern w:val="0"/>
              </w:rPr>
              <w:t>6,467.93</w:t>
            </w:r>
          </w:p>
        </w:tc>
        <w:tc>
          <w:tcPr>
            <w:tcW w:w="1067" w:type="pct"/>
            <w:shd w:val="clear" w:color="auto" w:fill="FFFFFF"/>
            <w:vAlign w:val="center"/>
          </w:tcPr>
          <w:p>
            <w:pPr>
              <w:widowControl/>
              <w:adjustRightInd w:val="0"/>
              <w:snapToGrid w:val="0"/>
              <w:jc w:val="center"/>
              <w:rPr>
                <w:b/>
                <w:bCs/>
                <w:kern w:val="0"/>
              </w:rPr>
            </w:pPr>
            <w:r>
              <w:rPr>
                <w:b/>
                <w:bCs/>
                <w:kern w:val="0"/>
              </w:rPr>
              <w:t>6,555.71</w:t>
            </w:r>
          </w:p>
        </w:tc>
        <w:tc>
          <w:tcPr>
            <w:tcW w:w="802" w:type="pct"/>
            <w:shd w:val="clear" w:color="auto" w:fill="FFFFFF"/>
            <w:vAlign w:val="center"/>
          </w:tcPr>
          <w:p>
            <w:pPr>
              <w:widowControl/>
              <w:adjustRightInd w:val="0"/>
              <w:snapToGrid w:val="0"/>
              <w:jc w:val="center"/>
              <w:rPr>
                <w:b/>
                <w:bCs/>
                <w:kern w:val="0"/>
              </w:rPr>
            </w:pPr>
            <w:r>
              <w:rPr>
                <w:b/>
                <w:bCs/>
                <w:kern w:val="0"/>
              </w:rPr>
              <w:t>87.78</w:t>
            </w: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（一）</w:t>
            </w:r>
          </w:p>
        </w:tc>
        <w:tc>
          <w:tcPr>
            <w:tcW w:w="847" w:type="pct"/>
            <w:shd w:val="clear" w:color="auto" w:fill="FFFFFF"/>
            <w:vAlign w:val="center"/>
          </w:tcPr>
          <w:p>
            <w:pPr>
              <w:widowControl/>
              <w:adjustRightInd w:val="0"/>
              <w:snapToGrid w:val="0"/>
              <w:jc w:val="center"/>
              <w:rPr>
                <w:kern w:val="0"/>
              </w:rPr>
            </w:pPr>
            <w:r>
              <w:rPr>
                <w:rFonts w:hint="eastAsia"/>
              </w:rPr>
              <w:t>前期费用</w:t>
            </w:r>
          </w:p>
        </w:tc>
        <w:tc>
          <w:tcPr>
            <w:tcW w:w="1048" w:type="pct"/>
            <w:shd w:val="clear" w:color="auto" w:fill="FFFFFF"/>
            <w:vAlign w:val="center"/>
          </w:tcPr>
          <w:p>
            <w:pPr>
              <w:widowControl/>
              <w:adjustRightInd w:val="0"/>
              <w:snapToGrid w:val="0"/>
              <w:jc w:val="center"/>
              <w:rPr>
                <w:kern w:val="0"/>
              </w:rPr>
            </w:pPr>
            <w:r>
              <w:rPr>
                <w:rFonts w:eastAsia="等线"/>
              </w:rPr>
              <w:t>85</w:t>
            </w:r>
          </w:p>
        </w:tc>
        <w:tc>
          <w:tcPr>
            <w:tcW w:w="1067" w:type="pct"/>
            <w:shd w:val="clear" w:color="auto" w:fill="FFFFFF"/>
            <w:vAlign w:val="center"/>
          </w:tcPr>
          <w:p>
            <w:pPr>
              <w:widowControl/>
              <w:adjustRightInd w:val="0"/>
              <w:snapToGrid w:val="0"/>
              <w:jc w:val="center"/>
              <w:rPr>
                <w:kern w:val="0"/>
              </w:rPr>
            </w:pPr>
            <w:r>
              <w:rPr>
                <w:rFonts w:eastAsia="等线"/>
              </w:rPr>
              <w:t>417.58</w:t>
            </w:r>
          </w:p>
        </w:tc>
        <w:tc>
          <w:tcPr>
            <w:tcW w:w="802" w:type="pct"/>
            <w:shd w:val="clear" w:color="auto" w:fill="FFFFFF"/>
            <w:vAlign w:val="center"/>
          </w:tcPr>
          <w:p>
            <w:pPr>
              <w:widowControl/>
              <w:adjustRightInd w:val="0"/>
              <w:snapToGrid w:val="0"/>
              <w:jc w:val="center"/>
              <w:rPr>
                <w:kern w:val="0"/>
              </w:rPr>
            </w:pPr>
            <w:r>
              <w:rPr>
                <w:rFonts w:eastAsia="等线"/>
              </w:rPr>
              <w:t>332.58</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sz w:val="22"/>
                <w:szCs w:val="22"/>
              </w:rPr>
            </w:pPr>
            <w:r>
              <w:rPr>
                <w:rFonts w:hint="eastAsia"/>
              </w:rPr>
              <w:t>可行性研究报告编制</w:t>
            </w:r>
          </w:p>
        </w:tc>
        <w:tc>
          <w:tcPr>
            <w:tcW w:w="1048" w:type="pct"/>
            <w:shd w:val="clear" w:color="auto" w:fill="FFFFFF"/>
            <w:vAlign w:val="center"/>
          </w:tcPr>
          <w:p>
            <w:pPr>
              <w:widowControl/>
              <w:adjustRightInd w:val="0"/>
              <w:snapToGrid w:val="0"/>
              <w:jc w:val="center"/>
              <w:rPr>
                <w:kern w:val="0"/>
              </w:rPr>
            </w:pPr>
            <w:r>
              <w:rPr>
                <w:rFonts w:eastAsia="等线"/>
              </w:rPr>
              <w:t>28</w:t>
            </w:r>
          </w:p>
        </w:tc>
        <w:tc>
          <w:tcPr>
            <w:tcW w:w="1067" w:type="pct"/>
            <w:shd w:val="clear" w:color="auto" w:fill="FFFFFF"/>
            <w:vAlign w:val="center"/>
          </w:tcPr>
          <w:p>
            <w:pPr>
              <w:widowControl/>
              <w:adjustRightInd w:val="0"/>
              <w:snapToGrid w:val="0"/>
              <w:jc w:val="center"/>
              <w:rPr>
                <w:kern w:val="0"/>
              </w:rPr>
            </w:pPr>
            <w:r>
              <w:rPr>
                <w:rFonts w:eastAsia="等线"/>
              </w:rPr>
              <w:t>28</w:t>
            </w:r>
          </w:p>
        </w:tc>
        <w:tc>
          <w:tcPr>
            <w:tcW w:w="802" w:type="pct"/>
            <w:shd w:val="clear" w:color="auto" w:fill="FFFFFF"/>
            <w:vAlign w:val="center"/>
          </w:tcPr>
          <w:p>
            <w:pPr>
              <w:widowControl/>
              <w:adjustRightInd w:val="0"/>
              <w:snapToGrid w:val="0"/>
              <w:jc w:val="center"/>
              <w:rPr>
                <w:kern w:val="0"/>
              </w:rPr>
            </w:pPr>
            <w:r>
              <w:rPr>
                <w:rFonts w:eastAsia="等线"/>
              </w:rPr>
              <w:t>　</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rFonts w:hint="eastAsia"/>
              </w:rPr>
              <w:t>环境影响评价费</w:t>
            </w:r>
          </w:p>
        </w:tc>
        <w:tc>
          <w:tcPr>
            <w:tcW w:w="1048" w:type="pct"/>
            <w:shd w:val="clear" w:color="auto" w:fill="FFFFFF"/>
            <w:vAlign w:val="center"/>
          </w:tcPr>
          <w:p>
            <w:pPr>
              <w:widowControl/>
              <w:adjustRightInd w:val="0"/>
              <w:snapToGrid w:val="0"/>
              <w:jc w:val="center"/>
              <w:rPr>
                <w:kern w:val="0"/>
              </w:rPr>
            </w:pPr>
            <w:r>
              <w:rPr>
                <w:rFonts w:eastAsia="等线"/>
              </w:rPr>
              <w:t>57</w:t>
            </w:r>
          </w:p>
        </w:tc>
        <w:tc>
          <w:tcPr>
            <w:tcW w:w="1067" w:type="pct"/>
            <w:shd w:val="clear" w:color="auto" w:fill="FFFFFF"/>
            <w:vAlign w:val="center"/>
          </w:tcPr>
          <w:p>
            <w:pPr>
              <w:widowControl/>
              <w:adjustRightInd w:val="0"/>
              <w:snapToGrid w:val="0"/>
              <w:jc w:val="center"/>
              <w:rPr>
                <w:kern w:val="0"/>
              </w:rPr>
            </w:pPr>
            <w:r>
              <w:rPr>
                <w:rFonts w:eastAsia="等线"/>
              </w:rPr>
              <w:t>57</w:t>
            </w:r>
          </w:p>
        </w:tc>
        <w:tc>
          <w:tcPr>
            <w:tcW w:w="802" w:type="pct"/>
            <w:shd w:val="clear" w:color="auto" w:fill="FFFFFF"/>
            <w:vAlign w:val="center"/>
          </w:tcPr>
          <w:p>
            <w:pPr>
              <w:widowControl/>
              <w:adjustRightInd w:val="0"/>
              <w:snapToGrid w:val="0"/>
              <w:jc w:val="center"/>
              <w:rPr>
                <w:kern w:val="0"/>
              </w:rPr>
            </w:pPr>
            <w:r>
              <w:rPr>
                <w:rFonts w:eastAsia="等线"/>
              </w:rPr>
              <w:t>　</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3</w:t>
            </w:r>
          </w:p>
        </w:tc>
        <w:tc>
          <w:tcPr>
            <w:tcW w:w="847" w:type="pct"/>
            <w:shd w:val="clear" w:color="auto" w:fill="FFFFFF"/>
            <w:vAlign w:val="center"/>
          </w:tcPr>
          <w:p>
            <w:pPr>
              <w:widowControl/>
              <w:adjustRightInd w:val="0"/>
              <w:snapToGrid w:val="0"/>
              <w:jc w:val="center"/>
              <w:rPr>
                <w:kern w:val="0"/>
              </w:rPr>
            </w:pPr>
            <w:r>
              <w:rPr>
                <w:rFonts w:hint="eastAsia"/>
              </w:rPr>
              <w:t>立项的社会稳评</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19.18</w:t>
            </w:r>
          </w:p>
        </w:tc>
        <w:tc>
          <w:tcPr>
            <w:tcW w:w="802" w:type="pct"/>
            <w:shd w:val="clear" w:color="auto" w:fill="FFFFFF"/>
            <w:vAlign w:val="center"/>
          </w:tcPr>
          <w:p>
            <w:pPr>
              <w:widowControl/>
              <w:adjustRightInd w:val="0"/>
              <w:snapToGrid w:val="0"/>
              <w:jc w:val="center"/>
              <w:rPr>
                <w:kern w:val="0"/>
              </w:rPr>
            </w:pPr>
            <w:r>
              <w:rPr>
                <w:rFonts w:eastAsia="等线"/>
              </w:rPr>
              <w:t>19.18</w:t>
            </w:r>
          </w:p>
        </w:tc>
        <w:tc>
          <w:tcPr>
            <w:tcW w:w="739" w:type="pct"/>
            <w:vMerge w:val="restart"/>
            <w:shd w:val="clear" w:color="auto" w:fill="FFFFFF"/>
            <w:vAlign w:val="center"/>
          </w:tcPr>
          <w:p>
            <w:pPr>
              <w:widowControl/>
              <w:adjustRightInd w:val="0"/>
              <w:snapToGrid w:val="0"/>
              <w:jc w:val="center"/>
              <w:rPr>
                <w:kern w:val="0"/>
              </w:rPr>
            </w:pPr>
            <w:r>
              <w:rPr>
                <w:b/>
                <w:bCs/>
                <w:kern w:val="0"/>
              </w:rPr>
              <w:t>可研未包含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4</w:t>
            </w:r>
          </w:p>
        </w:tc>
        <w:tc>
          <w:tcPr>
            <w:tcW w:w="847" w:type="pct"/>
            <w:shd w:val="clear" w:color="auto" w:fill="FFFFFF"/>
            <w:vAlign w:val="center"/>
          </w:tcPr>
          <w:p>
            <w:pPr>
              <w:widowControl/>
              <w:adjustRightInd w:val="0"/>
              <w:snapToGrid w:val="0"/>
              <w:jc w:val="center"/>
              <w:rPr>
                <w:kern w:val="0"/>
              </w:rPr>
            </w:pPr>
            <w:r>
              <w:rPr>
                <w:rFonts w:hint="eastAsia"/>
                <w:sz w:val="22"/>
                <w:szCs w:val="22"/>
              </w:rPr>
              <w:t>两评一案咨询</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49</w:t>
            </w:r>
          </w:p>
        </w:tc>
        <w:tc>
          <w:tcPr>
            <w:tcW w:w="802" w:type="pct"/>
            <w:shd w:val="clear" w:color="auto" w:fill="FFFFFF"/>
            <w:vAlign w:val="center"/>
          </w:tcPr>
          <w:p>
            <w:pPr>
              <w:widowControl/>
              <w:adjustRightInd w:val="0"/>
              <w:snapToGrid w:val="0"/>
              <w:jc w:val="center"/>
              <w:rPr>
                <w:kern w:val="0"/>
              </w:rPr>
            </w:pPr>
            <w:r>
              <w:rPr>
                <w:rFonts w:eastAsia="等线"/>
              </w:rPr>
              <w:t>49</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5</w:t>
            </w:r>
          </w:p>
        </w:tc>
        <w:tc>
          <w:tcPr>
            <w:tcW w:w="847" w:type="pct"/>
            <w:shd w:val="clear" w:color="auto" w:fill="FFFFFF"/>
            <w:vAlign w:val="center"/>
          </w:tcPr>
          <w:p>
            <w:pPr>
              <w:widowControl/>
              <w:adjustRightInd w:val="0"/>
              <w:snapToGrid w:val="0"/>
              <w:jc w:val="center"/>
              <w:rPr>
                <w:kern w:val="0"/>
              </w:rPr>
            </w:pPr>
            <w:r>
              <w:rPr>
                <w:rFonts w:hint="eastAsia"/>
                <w:sz w:val="22"/>
                <w:szCs w:val="22"/>
              </w:rPr>
              <w:t>造价咨询</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9.8</w:t>
            </w:r>
          </w:p>
        </w:tc>
        <w:tc>
          <w:tcPr>
            <w:tcW w:w="802" w:type="pct"/>
            <w:shd w:val="clear" w:color="auto" w:fill="FFFFFF"/>
            <w:vAlign w:val="center"/>
          </w:tcPr>
          <w:p>
            <w:pPr>
              <w:widowControl/>
              <w:adjustRightInd w:val="0"/>
              <w:snapToGrid w:val="0"/>
              <w:jc w:val="center"/>
              <w:rPr>
                <w:kern w:val="0"/>
              </w:rPr>
            </w:pPr>
            <w:r>
              <w:rPr>
                <w:rFonts w:eastAsia="等线"/>
              </w:rPr>
              <w:t>9.8</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6</w:t>
            </w:r>
          </w:p>
        </w:tc>
        <w:tc>
          <w:tcPr>
            <w:tcW w:w="847" w:type="pct"/>
            <w:shd w:val="clear" w:color="auto" w:fill="FFFFFF"/>
            <w:vAlign w:val="center"/>
          </w:tcPr>
          <w:p>
            <w:pPr>
              <w:widowControl/>
              <w:adjustRightInd w:val="0"/>
              <w:snapToGrid w:val="0"/>
              <w:jc w:val="center"/>
              <w:rPr>
                <w:kern w:val="0"/>
              </w:rPr>
            </w:pPr>
            <w:r>
              <w:rPr>
                <w:rFonts w:hint="eastAsia"/>
                <w:sz w:val="22"/>
                <w:szCs w:val="22"/>
              </w:rPr>
              <w:t>财务复核</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9.8</w:t>
            </w:r>
          </w:p>
        </w:tc>
        <w:tc>
          <w:tcPr>
            <w:tcW w:w="802" w:type="pct"/>
            <w:shd w:val="clear" w:color="auto" w:fill="FFFFFF"/>
            <w:vAlign w:val="center"/>
          </w:tcPr>
          <w:p>
            <w:pPr>
              <w:widowControl/>
              <w:adjustRightInd w:val="0"/>
              <w:snapToGrid w:val="0"/>
              <w:jc w:val="center"/>
              <w:rPr>
                <w:kern w:val="0"/>
              </w:rPr>
            </w:pPr>
            <w:r>
              <w:rPr>
                <w:rFonts w:eastAsia="等线"/>
              </w:rPr>
              <w:t>9.8</w:t>
            </w:r>
          </w:p>
        </w:tc>
        <w:tc>
          <w:tcPr>
            <w:tcW w:w="739" w:type="pct"/>
            <w:vMerge w:val="continue"/>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rFonts w:hint="eastAsia"/>
                <w:kern w:val="0"/>
              </w:rPr>
              <w:t>7</w:t>
            </w:r>
          </w:p>
        </w:tc>
        <w:tc>
          <w:tcPr>
            <w:tcW w:w="847" w:type="pct"/>
            <w:shd w:val="clear" w:color="auto" w:fill="FFFFFF"/>
            <w:vAlign w:val="center"/>
          </w:tcPr>
          <w:p>
            <w:pPr>
              <w:widowControl/>
              <w:adjustRightInd w:val="0"/>
              <w:snapToGrid w:val="0"/>
              <w:jc w:val="center"/>
              <w:rPr>
                <w:sz w:val="22"/>
                <w:szCs w:val="22"/>
              </w:rPr>
            </w:pPr>
            <w:r>
              <w:rPr>
                <w:rFonts w:hint="eastAsia"/>
              </w:rPr>
              <w:t>初步勘察</w:t>
            </w:r>
          </w:p>
        </w:tc>
        <w:tc>
          <w:tcPr>
            <w:tcW w:w="1048" w:type="pct"/>
            <w:shd w:val="clear" w:color="auto" w:fill="FFFFFF"/>
            <w:vAlign w:val="center"/>
          </w:tcPr>
          <w:p>
            <w:pPr>
              <w:widowControl/>
              <w:adjustRightInd w:val="0"/>
              <w:snapToGrid w:val="0"/>
              <w:jc w:val="center"/>
              <w:rPr>
                <w:kern w:val="0"/>
              </w:rPr>
            </w:pPr>
            <w:r>
              <w:rPr>
                <w:rFonts w:eastAsia="等线"/>
              </w:rPr>
              <w:t>　</w:t>
            </w:r>
          </w:p>
        </w:tc>
        <w:tc>
          <w:tcPr>
            <w:tcW w:w="1067" w:type="pct"/>
            <w:shd w:val="clear" w:color="auto" w:fill="FFFFFF"/>
            <w:vAlign w:val="center"/>
          </w:tcPr>
          <w:p>
            <w:pPr>
              <w:widowControl/>
              <w:adjustRightInd w:val="0"/>
              <w:snapToGrid w:val="0"/>
              <w:jc w:val="center"/>
              <w:rPr>
                <w:kern w:val="0"/>
              </w:rPr>
            </w:pPr>
            <w:r>
              <w:rPr>
                <w:rFonts w:eastAsia="等线"/>
              </w:rPr>
              <w:t>4.8</w:t>
            </w:r>
          </w:p>
        </w:tc>
        <w:tc>
          <w:tcPr>
            <w:tcW w:w="802" w:type="pct"/>
            <w:shd w:val="clear" w:color="auto" w:fill="FFFFFF"/>
            <w:vAlign w:val="center"/>
          </w:tcPr>
          <w:p>
            <w:pPr>
              <w:widowControl/>
              <w:adjustRightInd w:val="0"/>
              <w:snapToGrid w:val="0"/>
              <w:jc w:val="center"/>
              <w:rPr>
                <w:kern w:val="0"/>
              </w:rPr>
            </w:pPr>
            <w:r>
              <w:rPr>
                <w:rFonts w:eastAsia="等线"/>
              </w:rPr>
              <w:t>4.8</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rFonts w:hint="eastAsia"/>
                <w:kern w:val="0"/>
              </w:rPr>
              <w:t>8</w:t>
            </w:r>
          </w:p>
        </w:tc>
        <w:tc>
          <w:tcPr>
            <w:tcW w:w="847" w:type="pct"/>
            <w:shd w:val="clear" w:color="auto" w:fill="FFFFFF"/>
            <w:vAlign w:val="center"/>
          </w:tcPr>
          <w:p>
            <w:pPr>
              <w:widowControl/>
              <w:adjustRightInd w:val="0"/>
              <w:snapToGrid w:val="0"/>
              <w:jc w:val="center"/>
            </w:pPr>
            <w:r>
              <w:rPr>
                <w:rFonts w:hint="eastAsia"/>
              </w:rPr>
              <w:t>初步设计及施工图设计</w:t>
            </w:r>
          </w:p>
        </w:tc>
        <w:tc>
          <w:tcPr>
            <w:tcW w:w="1048" w:type="pct"/>
            <w:shd w:val="clear" w:color="auto" w:fill="FFFFFF"/>
            <w:vAlign w:val="center"/>
          </w:tcPr>
          <w:p>
            <w:pPr>
              <w:widowControl/>
              <w:adjustRightInd w:val="0"/>
              <w:snapToGrid w:val="0"/>
              <w:jc w:val="center"/>
              <w:rPr>
                <w:rFonts w:eastAsia="等线"/>
              </w:rPr>
            </w:pPr>
            <w:r>
              <w:rPr>
                <w:rFonts w:eastAsia="等线"/>
              </w:rPr>
              <w:t>　</w:t>
            </w:r>
          </w:p>
        </w:tc>
        <w:tc>
          <w:tcPr>
            <w:tcW w:w="1067" w:type="pct"/>
            <w:shd w:val="clear" w:color="auto" w:fill="FFFFFF"/>
            <w:vAlign w:val="center"/>
          </w:tcPr>
          <w:p>
            <w:pPr>
              <w:widowControl/>
              <w:adjustRightInd w:val="0"/>
              <w:snapToGrid w:val="0"/>
              <w:jc w:val="center"/>
              <w:rPr>
                <w:rFonts w:eastAsia="等线"/>
              </w:rPr>
            </w:pPr>
            <w:r>
              <w:rPr>
                <w:rFonts w:eastAsia="等线"/>
              </w:rPr>
              <w:t>240</w:t>
            </w:r>
          </w:p>
        </w:tc>
        <w:tc>
          <w:tcPr>
            <w:tcW w:w="802" w:type="pct"/>
            <w:shd w:val="clear" w:color="auto" w:fill="FFFFFF"/>
            <w:vAlign w:val="center"/>
          </w:tcPr>
          <w:p>
            <w:pPr>
              <w:widowControl/>
              <w:adjustRightInd w:val="0"/>
              <w:snapToGrid w:val="0"/>
              <w:jc w:val="center"/>
              <w:rPr>
                <w:rFonts w:eastAsia="等线"/>
              </w:rPr>
            </w:pPr>
            <w:r>
              <w:rPr>
                <w:rFonts w:eastAsia="等线"/>
              </w:rPr>
              <w:t>240</w:t>
            </w: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（二）</w:t>
            </w:r>
          </w:p>
        </w:tc>
        <w:tc>
          <w:tcPr>
            <w:tcW w:w="847" w:type="pct"/>
            <w:shd w:val="clear" w:color="auto" w:fill="FFFFFF"/>
            <w:vAlign w:val="center"/>
          </w:tcPr>
          <w:p>
            <w:pPr>
              <w:widowControl/>
              <w:adjustRightInd w:val="0"/>
              <w:snapToGrid w:val="0"/>
              <w:jc w:val="center"/>
              <w:rPr>
                <w:kern w:val="0"/>
              </w:rPr>
            </w:pPr>
            <w:r>
              <w:rPr>
                <w:kern w:val="0"/>
              </w:rPr>
              <w:t>建设管理费</w:t>
            </w:r>
          </w:p>
        </w:tc>
        <w:tc>
          <w:tcPr>
            <w:tcW w:w="1048" w:type="pct"/>
            <w:shd w:val="clear" w:color="auto" w:fill="FFFFFF"/>
            <w:vAlign w:val="center"/>
          </w:tcPr>
          <w:p>
            <w:pPr>
              <w:widowControl/>
              <w:adjustRightInd w:val="0"/>
              <w:snapToGrid w:val="0"/>
              <w:jc w:val="center"/>
              <w:rPr>
                <w:kern w:val="0"/>
              </w:rPr>
            </w:pPr>
            <w:r>
              <w:rPr>
                <w:kern w:val="0"/>
              </w:rPr>
              <w:t>504.14</w:t>
            </w:r>
          </w:p>
        </w:tc>
        <w:tc>
          <w:tcPr>
            <w:tcW w:w="1067" w:type="pct"/>
            <w:shd w:val="clear" w:color="auto" w:fill="FFFFFF"/>
            <w:vAlign w:val="center"/>
          </w:tcPr>
          <w:p>
            <w:pPr>
              <w:widowControl/>
              <w:adjustRightInd w:val="0"/>
              <w:snapToGrid w:val="0"/>
              <w:jc w:val="center"/>
              <w:rPr>
                <w:kern w:val="0"/>
              </w:rPr>
            </w:pPr>
            <w:r>
              <w:rPr>
                <w:kern w:val="0"/>
              </w:rPr>
              <w:t>504.14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kern w:val="0"/>
              </w:rPr>
              <w:t>建设单位管理费</w:t>
            </w:r>
          </w:p>
        </w:tc>
        <w:tc>
          <w:tcPr>
            <w:tcW w:w="1048" w:type="pct"/>
            <w:shd w:val="clear" w:color="auto" w:fill="FFFFFF"/>
            <w:vAlign w:val="center"/>
          </w:tcPr>
          <w:p>
            <w:pPr>
              <w:widowControl/>
              <w:adjustRightInd w:val="0"/>
              <w:snapToGrid w:val="0"/>
              <w:jc w:val="center"/>
              <w:rPr>
                <w:kern w:val="0"/>
              </w:rPr>
            </w:pPr>
            <w:r>
              <w:rPr>
                <w:kern w:val="0"/>
              </w:rPr>
              <w:t>194.71</w:t>
            </w:r>
          </w:p>
        </w:tc>
        <w:tc>
          <w:tcPr>
            <w:tcW w:w="1067" w:type="pct"/>
            <w:shd w:val="clear" w:color="auto" w:fill="FFFFFF"/>
            <w:vAlign w:val="center"/>
          </w:tcPr>
          <w:p>
            <w:pPr>
              <w:widowControl/>
              <w:adjustRightInd w:val="0"/>
              <w:snapToGrid w:val="0"/>
              <w:jc w:val="center"/>
              <w:rPr>
                <w:kern w:val="0"/>
              </w:rPr>
            </w:pPr>
            <w:r>
              <w:rPr>
                <w:kern w:val="0"/>
              </w:rPr>
              <w:t>194.71</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kern w:val="0"/>
              </w:rPr>
              <w:t>工程监理费</w:t>
            </w:r>
          </w:p>
        </w:tc>
        <w:tc>
          <w:tcPr>
            <w:tcW w:w="1048" w:type="pct"/>
            <w:shd w:val="clear" w:color="auto" w:fill="FFFFFF"/>
            <w:vAlign w:val="center"/>
          </w:tcPr>
          <w:p>
            <w:pPr>
              <w:widowControl/>
              <w:adjustRightInd w:val="0"/>
              <w:snapToGrid w:val="0"/>
              <w:jc w:val="center"/>
              <w:rPr>
                <w:kern w:val="0"/>
              </w:rPr>
            </w:pPr>
            <w:r>
              <w:rPr>
                <w:kern w:val="0"/>
              </w:rPr>
              <w:t>309.43</w:t>
            </w:r>
          </w:p>
        </w:tc>
        <w:tc>
          <w:tcPr>
            <w:tcW w:w="1067" w:type="pct"/>
            <w:shd w:val="clear" w:color="auto" w:fill="FFFFFF"/>
            <w:vAlign w:val="center"/>
          </w:tcPr>
          <w:p>
            <w:pPr>
              <w:widowControl/>
              <w:adjustRightInd w:val="0"/>
              <w:snapToGrid w:val="0"/>
              <w:jc w:val="center"/>
              <w:rPr>
                <w:kern w:val="0"/>
              </w:rPr>
            </w:pPr>
            <w:r>
              <w:rPr>
                <w:kern w:val="0"/>
              </w:rPr>
              <w:t>309.43</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（三）</w:t>
            </w:r>
          </w:p>
        </w:tc>
        <w:tc>
          <w:tcPr>
            <w:tcW w:w="847" w:type="pct"/>
            <w:shd w:val="clear" w:color="auto" w:fill="FFFFFF"/>
            <w:vAlign w:val="center"/>
          </w:tcPr>
          <w:p>
            <w:pPr>
              <w:widowControl/>
              <w:adjustRightInd w:val="0"/>
              <w:snapToGrid w:val="0"/>
              <w:jc w:val="center"/>
              <w:rPr>
                <w:kern w:val="0"/>
              </w:rPr>
            </w:pPr>
            <w:r>
              <w:rPr>
                <w:rFonts w:hint="eastAsia"/>
              </w:rPr>
              <w:t>勘察、设计费</w:t>
            </w:r>
          </w:p>
        </w:tc>
        <w:tc>
          <w:tcPr>
            <w:tcW w:w="1048" w:type="pct"/>
            <w:shd w:val="clear" w:color="auto" w:fill="FFFFFF"/>
            <w:vAlign w:val="center"/>
          </w:tcPr>
          <w:p>
            <w:pPr>
              <w:widowControl/>
              <w:adjustRightInd w:val="0"/>
              <w:snapToGrid w:val="0"/>
              <w:jc w:val="center"/>
              <w:rPr>
                <w:kern w:val="0"/>
              </w:rPr>
            </w:pPr>
            <w:r>
              <w:rPr>
                <w:rFonts w:eastAsia="等线"/>
              </w:rPr>
              <w:t>358.58</w:t>
            </w:r>
          </w:p>
        </w:tc>
        <w:tc>
          <w:tcPr>
            <w:tcW w:w="1067" w:type="pct"/>
            <w:shd w:val="clear" w:color="auto" w:fill="FFFFFF"/>
            <w:vAlign w:val="center"/>
          </w:tcPr>
          <w:p>
            <w:pPr>
              <w:widowControl/>
              <w:adjustRightInd w:val="0"/>
              <w:snapToGrid w:val="0"/>
              <w:jc w:val="center"/>
              <w:rPr>
                <w:kern w:val="0"/>
              </w:rPr>
            </w:pPr>
            <w:r>
              <w:rPr>
                <w:rFonts w:eastAsia="等线"/>
              </w:rPr>
              <w:t>358.58</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1</w:t>
            </w:r>
          </w:p>
        </w:tc>
        <w:tc>
          <w:tcPr>
            <w:tcW w:w="847" w:type="pct"/>
            <w:shd w:val="clear" w:color="auto" w:fill="FFFFFF"/>
            <w:vAlign w:val="center"/>
          </w:tcPr>
          <w:p>
            <w:pPr>
              <w:widowControl/>
              <w:adjustRightInd w:val="0"/>
              <w:snapToGrid w:val="0"/>
              <w:jc w:val="center"/>
              <w:rPr>
                <w:kern w:val="0"/>
              </w:rPr>
            </w:pPr>
            <w:r>
              <w:rPr>
                <w:rFonts w:hint="eastAsia"/>
              </w:rPr>
              <w:t>勘察费</w:t>
            </w:r>
          </w:p>
        </w:tc>
        <w:tc>
          <w:tcPr>
            <w:tcW w:w="1048" w:type="pct"/>
            <w:shd w:val="clear" w:color="auto" w:fill="FFFFFF"/>
            <w:vAlign w:val="center"/>
          </w:tcPr>
          <w:p>
            <w:pPr>
              <w:widowControl/>
              <w:adjustRightInd w:val="0"/>
              <w:snapToGrid w:val="0"/>
              <w:jc w:val="center"/>
              <w:rPr>
                <w:kern w:val="0"/>
              </w:rPr>
            </w:pPr>
            <w:r>
              <w:rPr>
                <w:rFonts w:eastAsia="等线"/>
              </w:rPr>
              <w:t>134.44</w:t>
            </w:r>
          </w:p>
        </w:tc>
        <w:tc>
          <w:tcPr>
            <w:tcW w:w="1067" w:type="pct"/>
            <w:shd w:val="clear" w:color="auto" w:fill="FFFFFF"/>
            <w:vAlign w:val="center"/>
          </w:tcPr>
          <w:p>
            <w:pPr>
              <w:widowControl/>
              <w:adjustRightInd w:val="0"/>
              <w:snapToGrid w:val="0"/>
              <w:jc w:val="center"/>
              <w:rPr>
                <w:kern w:val="0"/>
              </w:rPr>
            </w:pPr>
            <w:r>
              <w:rPr>
                <w:rFonts w:eastAsia="等线"/>
              </w:rPr>
              <w:t>134.44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2</w:t>
            </w:r>
          </w:p>
        </w:tc>
        <w:tc>
          <w:tcPr>
            <w:tcW w:w="847" w:type="pct"/>
            <w:shd w:val="clear" w:color="auto" w:fill="FFFFFF"/>
            <w:vAlign w:val="center"/>
          </w:tcPr>
          <w:p>
            <w:pPr>
              <w:widowControl/>
              <w:adjustRightInd w:val="0"/>
              <w:snapToGrid w:val="0"/>
              <w:jc w:val="center"/>
              <w:rPr>
                <w:kern w:val="0"/>
              </w:rPr>
            </w:pPr>
            <w:r>
              <w:rPr>
                <w:rFonts w:hint="eastAsia"/>
              </w:rPr>
              <w:t>设计费</w:t>
            </w:r>
          </w:p>
        </w:tc>
        <w:tc>
          <w:tcPr>
            <w:tcW w:w="1048" w:type="pct"/>
            <w:shd w:val="clear" w:color="auto" w:fill="FFFFFF"/>
            <w:vAlign w:val="center"/>
          </w:tcPr>
          <w:p>
            <w:pPr>
              <w:widowControl/>
              <w:adjustRightInd w:val="0"/>
              <w:snapToGrid w:val="0"/>
              <w:jc w:val="center"/>
              <w:rPr>
                <w:kern w:val="0"/>
              </w:rPr>
            </w:pPr>
            <w:r>
              <w:rPr>
                <w:rFonts w:eastAsia="等线"/>
              </w:rPr>
              <w:t>224.14</w:t>
            </w:r>
          </w:p>
        </w:tc>
        <w:tc>
          <w:tcPr>
            <w:tcW w:w="1067" w:type="pct"/>
            <w:shd w:val="clear" w:color="auto" w:fill="FFFFFF"/>
            <w:vAlign w:val="center"/>
          </w:tcPr>
          <w:p>
            <w:pPr>
              <w:widowControl/>
              <w:adjustRightInd w:val="0"/>
              <w:snapToGrid w:val="0"/>
              <w:jc w:val="center"/>
              <w:rPr>
                <w:kern w:val="0"/>
              </w:rPr>
            </w:pPr>
            <w:r>
              <w:rPr>
                <w:rFonts w:eastAsia="等线"/>
              </w:rPr>
              <w:t>224.14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（四）</w:t>
            </w:r>
          </w:p>
        </w:tc>
        <w:tc>
          <w:tcPr>
            <w:tcW w:w="847" w:type="pct"/>
            <w:shd w:val="clear" w:color="auto" w:fill="FFFFFF"/>
            <w:vAlign w:val="center"/>
          </w:tcPr>
          <w:p>
            <w:pPr>
              <w:widowControl/>
              <w:adjustRightInd w:val="0"/>
              <w:snapToGrid w:val="0"/>
              <w:jc w:val="center"/>
              <w:rPr>
                <w:kern w:val="0"/>
              </w:rPr>
            </w:pPr>
            <w:r>
              <w:rPr>
                <w:kern w:val="0"/>
              </w:rPr>
              <w:t>施工图审查费</w:t>
            </w:r>
          </w:p>
        </w:tc>
        <w:tc>
          <w:tcPr>
            <w:tcW w:w="1048" w:type="pct"/>
            <w:shd w:val="clear" w:color="auto" w:fill="FFFFFF"/>
            <w:vAlign w:val="center"/>
          </w:tcPr>
          <w:p>
            <w:pPr>
              <w:widowControl/>
              <w:adjustRightInd w:val="0"/>
              <w:snapToGrid w:val="0"/>
              <w:jc w:val="center"/>
              <w:rPr>
                <w:kern w:val="0"/>
              </w:rPr>
            </w:pPr>
            <w:r>
              <w:rPr>
                <w:kern w:val="0"/>
              </w:rPr>
              <w:t>30.94</w:t>
            </w:r>
          </w:p>
        </w:tc>
        <w:tc>
          <w:tcPr>
            <w:tcW w:w="1067" w:type="pct"/>
            <w:shd w:val="clear" w:color="auto" w:fill="FFFFFF"/>
            <w:vAlign w:val="center"/>
          </w:tcPr>
          <w:p>
            <w:pPr>
              <w:widowControl/>
              <w:adjustRightInd w:val="0"/>
              <w:snapToGrid w:val="0"/>
              <w:jc w:val="center"/>
              <w:rPr>
                <w:kern w:val="0"/>
              </w:rPr>
            </w:pPr>
            <w:r>
              <w:rPr>
                <w:kern w:val="0"/>
              </w:rPr>
              <w:t>30.94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（五）</w:t>
            </w:r>
          </w:p>
        </w:tc>
        <w:tc>
          <w:tcPr>
            <w:tcW w:w="847" w:type="pct"/>
            <w:shd w:val="clear" w:color="auto" w:fill="FFFFFF"/>
            <w:vAlign w:val="center"/>
          </w:tcPr>
          <w:p>
            <w:pPr>
              <w:widowControl/>
              <w:adjustRightInd w:val="0"/>
              <w:snapToGrid w:val="0"/>
              <w:jc w:val="center"/>
              <w:rPr>
                <w:kern w:val="0"/>
              </w:rPr>
            </w:pPr>
            <w:r>
              <w:rPr>
                <w:kern w:val="0"/>
              </w:rPr>
              <w:t>场地准备费及临时设施费</w:t>
            </w:r>
          </w:p>
        </w:tc>
        <w:tc>
          <w:tcPr>
            <w:tcW w:w="1048" w:type="pct"/>
            <w:shd w:val="clear" w:color="auto" w:fill="FFFFFF"/>
            <w:vAlign w:val="center"/>
          </w:tcPr>
          <w:p>
            <w:pPr>
              <w:widowControl/>
              <w:adjustRightInd w:val="0"/>
              <w:snapToGrid w:val="0"/>
              <w:jc w:val="center"/>
              <w:rPr>
                <w:kern w:val="0"/>
              </w:rPr>
            </w:pPr>
            <w:r>
              <w:rPr>
                <w:kern w:val="0"/>
              </w:rPr>
              <w:t>193.39</w:t>
            </w:r>
          </w:p>
        </w:tc>
        <w:tc>
          <w:tcPr>
            <w:tcW w:w="1067" w:type="pct"/>
            <w:shd w:val="clear" w:color="auto" w:fill="FFFFFF"/>
            <w:vAlign w:val="center"/>
          </w:tcPr>
          <w:p>
            <w:pPr>
              <w:widowControl/>
              <w:adjustRightInd w:val="0"/>
              <w:snapToGrid w:val="0"/>
              <w:jc w:val="center"/>
              <w:rPr>
                <w:kern w:val="0"/>
              </w:rPr>
            </w:pPr>
            <w:r>
              <w:rPr>
                <w:kern w:val="0"/>
              </w:rPr>
              <w:t>193.39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（六）</w:t>
            </w:r>
          </w:p>
        </w:tc>
        <w:tc>
          <w:tcPr>
            <w:tcW w:w="847" w:type="pct"/>
            <w:shd w:val="clear" w:color="auto" w:fill="FFFFFF"/>
            <w:vAlign w:val="center"/>
          </w:tcPr>
          <w:p>
            <w:pPr>
              <w:widowControl/>
              <w:adjustRightInd w:val="0"/>
              <w:snapToGrid w:val="0"/>
              <w:jc w:val="center"/>
              <w:rPr>
                <w:kern w:val="0"/>
              </w:rPr>
            </w:pPr>
            <w:r>
              <w:rPr>
                <w:kern w:val="0"/>
              </w:rPr>
              <w:t>工程招标管理费及代理服务费</w:t>
            </w:r>
          </w:p>
        </w:tc>
        <w:tc>
          <w:tcPr>
            <w:tcW w:w="1048" w:type="pct"/>
            <w:shd w:val="clear" w:color="auto" w:fill="FFFFFF"/>
            <w:vAlign w:val="center"/>
          </w:tcPr>
          <w:p>
            <w:pPr>
              <w:widowControl/>
              <w:adjustRightInd w:val="0"/>
              <w:snapToGrid w:val="0"/>
              <w:jc w:val="center"/>
              <w:rPr>
                <w:kern w:val="0"/>
              </w:rPr>
            </w:pPr>
            <w:r>
              <w:rPr>
                <w:kern w:val="0"/>
              </w:rPr>
              <w:t>7.74</w:t>
            </w:r>
          </w:p>
        </w:tc>
        <w:tc>
          <w:tcPr>
            <w:tcW w:w="1067" w:type="pct"/>
            <w:shd w:val="clear" w:color="auto" w:fill="FFFFFF"/>
            <w:vAlign w:val="center"/>
          </w:tcPr>
          <w:p>
            <w:pPr>
              <w:widowControl/>
              <w:adjustRightInd w:val="0"/>
              <w:snapToGrid w:val="0"/>
              <w:jc w:val="center"/>
              <w:rPr>
                <w:kern w:val="0"/>
              </w:rPr>
            </w:pPr>
            <w:r>
              <w:rPr>
                <w:kern w:val="0"/>
              </w:rPr>
              <w:t>7.74</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（七）</w:t>
            </w:r>
          </w:p>
        </w:tc>
        <w:tc>
          <w:tcPr>
            <w:tcW w:w="847" w:type="pct"/>
            <w:shd w:val="clear" w:color="auto" w:fill="FFFFFF"/>
            <w:vAlign w:val="center"/>
          </w:tcPr>
          <w:p>
            <w:pPr>
              <w:widowControl/>
              <w:adjustRightInd w:val="0"/>
              <w:snapToGrid w:val="0"/>
              <w:jc w:val="center"/>
              <w:rPr>
                <w:kern w:val="0"/>
              </w:rPr>
            </w:pPr>
            <w:r>
              <w:rPr>
                <w:kern w:val="0"/>
              </w:rPr>
              <w:t>工程量清单及招标控制价编制</w:t>
            </w:r>
          </w:p>
        </w:tc>
        <w:tc>
          <w:tcPr>
            <w:tcW w:w="1048" w:type="pct"/>
            <w:shd w:val="clear" w:color="auto" w:fill="FFFFFF"/>
            <w:vAlign w:val="center"/>
          </w:tcPr>
          <w:p>
            <w:pPr>
              <w:widowControl/>
              <w:adjustRightInd w:val="0"/>
              <w:snapToGrid w:val="0"/>
              <w:jc w:val="center"/>
              <w:rPr>
                <w:kern w:val="0"/>
              </w:rPr>
            </w:pPr>
            <w:r>
              <w:rPr>
                <w:kern w:val="0"/>
              </w:rPr>
              <w:t>26.30</w:t>
            </w:r>
          </w:p>
        </w:tc>
        <w:tc>
          <w:tcPr>
            <w:tcW w:w="1067" w:type="pct"/>
            <w:shd w:val="clear" w:color="auto" w:fill="FFFFFF"/>
            <w:vAlign w:val="center"/>
          </w:tcPr>
          <w:p>
            <w:pPr>
              <w:widowControl/>
              <w:adjustRightInd w:val="0"/>
              <w:snapToGrid w:val="0"/>
              <w:jc w:val="center"/>
              <w:rPr>
                <w:kern w:val="0"/>
              </w:rPr>
            </w:pPr>
            <w:r>
              <w:rPr>
                <w:kern w:val="0"/>
              </w:rPr>
              <w:t>26.30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（八）</w:t>
            </w:r>
          </w:p>
        </w:tc>
        <w:tc>
          <w:tcPr>
            <w:tcW w:w="847" w:type="pct"/>
            <w:shd w:val="clear" w:color="auto" w:fill="FFFFFF"/>
            <w:vAlign w:val="center"/>
          </w:tcPr>
          <w:p>
            <w:pPr>
              <w:widowControl/>
              <w:adjustRightInd w:val="0"/>
              <w:snapToGrid w:val="0"/>
              <w:jc w:val="center"/>
              <w:rPr>
                <w:kern w:val="0"/>
              </w:rPr>
            </w:pPr>
            <w:r>
              <w:rPr>
                <w:kern w:val="0"/>
              </w:rPr>
              <w:t>审核工程预算(招标控制价或标底)</w:t>
            </w:r>
          </w:p>
        </w:tc>
        <w:tc>
          <w:tcPr>
            <w:tcW w:w="1048" w:type="pct"/>
            <w:shd w:val="clear" w:color="auto" w:fill="FFFFFF"/>
            <w:vAlign w:val="center"/>
          </w:tcPr>
          <w:p>
            <w:pPr>
              <w:widowControl/>
              <w:adjustRightInd w:val="0"/>
              <w:snapToGrid w:val="0"/>
              <w:jc w:val="center"/>
              <w:rPr>
                <w:kern w:val="0"/>
              </w:rPr>
            </w:pPr>
            <w:r>
              <w:rPr>
                <w:kern w:val="0"/>
              </w:rPr>
              <w:t>6.19</w:t>
            </w:r>
          </w:p>
        </w:tc>
        <w:tc>
          <w:tcPr>
            <w:tcW w:w="1067" w:type="pct"/>
            <w:shd w:val="clear" w:color="auto" w:fill="FFFFFF"/>
            <w:vAlign w:val="center"/>
          </w:tcPr>
          <w:p>
            <w:pPr>
              <w:widowControl/>
              <w:adjustRightInd w:val="0"/>
              <w:snapToGrid w:val="0"/>
              <w:jc w:val="center"/>
              <w:rPr>
                <w:kern w:val="0"/>
              </w:rPr>
            </w:pPr>
            <w:r>
              <w:rPr>
                <w:kern w:val="0"/>
              </w:rPr>
              <w:t>6.19</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（九）</w:t>
            </w:r>
          </w:p>
        </w:tc>
        <w:tc>
          <w:tcPr>
            <w:tcW w:w="847" w:type="pct"/>
            <w:shd w:val="clear" w:color="auto" w:fill="FFFFFF"/>
            <w:vAlign w:val="center"/>
          </w:tcPr>
          <w:p>
            <w:pPr>
              <w:widowControl/>
              <w:adjustRightInd w:val="0"/>
              <w:snapToGrid w:val="0"/>
              <w:jc w:val="center"/>
              <w:rPr>
                <w:kern w:val="0"/>
              </w:rPr>
            </w:pPr>
            <w:r>
              <w:rPr>
                <w:kern w:val="0"/>
              </w:rPr>
              <w:t>工程结算审计费</w:t>
            </w:r>
          </w:p>
        </w:tc>
        <w:tc>
          <w:tcPr>
            <w:tcW w:w="1048" w:type="pct"/>
            <w:shd w:val="clear" w:color="auto" w:fill="FFFFFF"/>
            <w:vAlign w:val="center"/>
          </w:tcPr>
          <w:p>
            <w:pPr>
              <w:widowControl/>
              <w:adjustRightInd w:val="0"/>
              <w:snapToGrid w:val="0"/>
              <w:jc w:val="center"/>
              <w:rPr>
                <w:kern w:val="0"/>
              </w:rPr>
            </w:pPr>
            <w:r>
              <w:rPr>
                <w:kern w:val="0"/>
              </w:rPr>
              <w:t>10.83</w:t>
            </w:r>
          </w:p>
        </w:tc>
        <w:tc>
          <w:tcPr>
            <w:tcW w:w="1067" w:type="pct"/>
            <w:shd w:val="clear" w:color="auto" w:fill="FFFFFF"/>
            <w:vAlign w:val="center"/>
          </w:tcPr>
          <w:p>
            <w:pPr>
              <w:widowControl/>
              <w:adjustRightInd w:val="0"/>
              <w:snapToGrid w:val="0"/>
              <w:jc w:val="center"/>
              <w:rPr>
                <w:kern w:val="0"/>
              </w:rPr>
            </w:pPr>
            <w:r>
              <w:rPr>
                <w:kern w:val="0"/>
              </w:rPr>
              <w:t>10.83</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kern w:val="0"/>
              </w:rPr>
            </w:pPr>
            <w:r>
              <w:rPr>
                <w:kern w:val="0"/>
              </w:rPr>
              <w:t>（十）</w:t>
            </w:r>
          </w:p>
        </w:tc>
        <w:tc>
          <w:tcPr>
            <w:tcW w:w="847" w:type="pct"/>
            <w:shd w:val="clear" w:color="auto" w:fill="FFFFFF"/>
            <w:vAlign w:val="center"/>
          </w:tcPr>
          <w:p>
            <w:pPr>
              <w:widowControl/>
              <w:adjustRightInd w:val="0"/>
              <w:snapToGrid w:val="0"/>
              <w:jc w:val="center"/>
              <w:rPr>
                <w:kern w:val="0"/>
              </w:rPr>
            </w:pPr>
            <w:r>
              <w:rPr>
                <w:kern w:val="0"/>
              </w:rPr>
              <w:t>土地费用</w:t>
            </w:r>
          </w:p>
        </w:tc>
        <w:tc>
          <w:tcPr>
            <w:tcW w:w="1048" w:type="pct"/>
            <w:shd w:val="clear" w:color="auto" w:fill="FFFFFF"/>
            <w:vAlign w:val="center"/>
          </w:tcPr>
          <w:p>
            <w:pPr>
              <w:widowControl/>
              <w:adjustRightInd w:val="0"/>
              <w:snapToGrid w:val="0"/>
              <w:jc w:val="center"/>
              <w:rPr>
                <w:kern w:val="0"/>
              </w:rPr>
            </w:pPr>
            <w:r>
              <w:rPr>
                <w:kern w:val="0"/>
              </w:rPr>
              <w:t>5000.00</w:t>
            </w:r>
          </w:p>
        </w:tc>
        <w:tc>
          <w:tcPr>
            <w:tcW w:w="1067" w:type="pct"/>
            <w:shd w:val="clear" w:color="auto" w:fill="FFFFFF"/>
            <w:vAlign w:val="center"/>
          </w:tcPr>
          <w:p>
            <w:pPr>
              <w:widowControl/>
              <w:adjustRightInd w:val="0"/>
              <w:snapToGrid w:val="0"/>
              <w:jc w:val="center"/>
              <w:rPr>
                <w:kern w:val="0"/>
              </w:rPr>
            </w:pPr>
            <w:r>
              <w:rPr>
                <w:kern w:val="0"/>
              </w:rPr>
              <w:t>5000.00</w:t>
            </w:r>
          </w:p>
        </w:tc>
        <w:tc>
          <w:tcPr>
            <w:tcW w:w="802" w:type="pct"/>
            <w:shd w:val="clear" w:color="auto" w:fill="FFFFFF"/>
            <w:vAlign w:val="center"/>
          </w:tcPr>
          <w:p>
            <w:pPr>
              <w:widowControl/>
              <w:adjustRightInd w:val="0"/>
              <w:snapToGrid w:val="0"/>
              <w:jc w:val="center"/>
              <w:rPr>
                <w:kern w:val="0"/>
              </w:rPr>
            </w:pPr>
          </w:p>
        </w:tc>
        <w:tc>
          <w:tcPr>
            <w:tcW w:w="739" w:type="pct"/>
            <w:shd w:val="clear" w:color="auto" w:fill="FFFFFF"/>
            <w:vAlign w:val="center"/>
          </w:tcPr>
          <w:p>
            <w:pPr>
              <w:widowControl/>
              <w:adjustRightInd w:val="0"/>
              <w:snapToGrid w:val="0"/>
              <w:jc w:val="center"/>
              <w:rPr>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三</w:t>
            </w:r>
          </w:p>
        </w:tc>
        <w:tc>
          <w:tcPr>
            <w:tcW w:w="847" w:type="pct"/>
            <w:shd w:val="clear" w:color="auto" w:fill="FFFFFF"/>
            <w:vAlign w:val="center"/>
          </w:tcPr>
          <w:p>
            <w:pPr>
              <w:widowControl/>
              <w:adjustRightInd w:val="0"/>
              <w:snapToGrid w:val="0"/>
              <w:jc w:val="center"/>
              <w:rPr>
                <w:b/>
                <w:bCs/>
                <w:kern w:val="0"/>
              </w:rPr>
            </w:pPr>
            <w:r>
              <w:rPr>
                <w:b/>
                <w:bCs/>
                <w:kern w:val="0"/>
              </w:rPr>
              <w:t>预备费</w:t>
            </w:r>
          </w:p>
        </w:tc>
        <w:tc>
          <w:tcPr>
            <w:tcW w:w="1048" w:type="pct"/>
            <w:shd w:val="clear" w:color="auto" w:fill="FFFFFF"/>
            <w:vAlign w:val="center"/>
          </w:tcPr>
          <w:p>
            <w:pPr>
              <w:widowControl/>
              <w:adjustRightInd w:val="0"/>
              <w:snapToGrid w:val="0"/>
              <w:jc w:val="center"/>
              <w:rPr>
                <w:b/>
                <w:bCs/>
                <w:kern w:val="0"/>
              </w:rPr>
            </w:pPr>
            <w:r>
              <w:rPr>
                <w:b/>
                <w:bCs/>
                <w:kern w:val="0"/>
              </w:rPr>
              <w:t>2193.94</w:t>
            </w:r>
          </w:p>
        </w:tc>
        <w:tc>
          <w:tcPr>
            <w:tcW w:w="1067" w:type="pct"/>
            <w:shd w:val="clear" w:color="auto" w:fill="FFFFFF"/>
            <w:vAlign w:val="center"/>
          </w:tcPr>
          <w:p>
            <w:pPr>
              <w:widowControl/>
              <w:adjustRightInd w:val="0"/>
              <w:snapToGrid w:val="0"/>
              <w:jc w:val="center"/>
              <w:rPr>
                <w:b/>
                <w:bCs/>
                <w:kern w:val="0"/>
              </w:rPr>
            </w:pPr>
            <w:r>
              <w:rPr>
                <w:b/>
                <w:bCs/>
                <w:kern w:val="0"/>
              </w:rPr>
              <w:t>2193.94</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p>
        </w:tc>
        <w:tc>
          <w:tcPr>
            <w:tcW w:w="847" w:type="pct"/>
            <w:shd w:val="clear" w:color="auto" w:fill="FFFFFF"/>
            <w:vAlign w:val="center"/>
          </w:tcPr>
          <w:p>
            <w:pPr>
              <w:widowControl/>
              <w:adjustRightInd w:val="0"/>
              <w:snapToGrid w:val="0"/>
              <w:jc w:val="center"/>
              <w:rPr>
                <w:b/>
                <w:bCs/>
                <w:kern w:val="0"/>
              </w:rPr>
            </w:pPr>
            <w:r>
              <w:rPr>
                <w:kern w:val="0"/>
              </w:rPr>
              <w:t>基本预备费</w:t>
            </w:r>
          </w:p>
        </w:tc>
        <w:tc>
          <w:tcPr>
            <w:tcW w:w="1048" w:type="pct"/>
            <w:shd w:val="clear" w:color="auto" w:fill="FFFFFF"/>
            <w:vAlign w:val="center"/>
          </w:tcPr>
          <w:p>
            <w:pPr>
              <w:widowControl/>
              <w:adjustRightInd w:val="0"/>
              <w:snapToGrid w:val="0"/>
              <w:jc w:val="center"/>
              <w:rPr>
                <w:b/>
                <w:bCs/>
                <w:kern w:val="0"/>
              </w:rPr>
            </w:pPr>
            <w:r>
              <w:rPr>
                <w:kern w:val="0"/>
              </w:rPr>
              <w:t>2193.94</w:t>
            </w:r>
          </w:p>
        </w:tc>
        <w:tc>
          <w:tcPr>
            <w:tcW w:w="1067" w:type="pct"/>
            <w:shd w:val="clear" w:color="auto" w:fill="FFFFFF"/>
            <w:vAlign w:val="center"/>
          </w:tcPr>
          <w:p>
            <w:pPr>
              <w:widowControl/>
              <w:adjustRightInd w:val="0"/>
              <w:snapToGrid w:val="0"/>
              <w:jc w:val="center"/>
              <w:rPr>
                <w:b/>
                <w:bCs/>
                <w:kern w:val="0"/>
              </w:rPr>
            </w:pPr>
            <w:r>
              <w:rPr>
                <w:kern w:val="0"/>
              </w:rPr>
              <w:t>2193.94</w:t>
            </w:r>
          </w:p>
        </w:tc>
        <w:tc>
          <w:tcPr>
            <w:tcW w:w="802" w:type="pct"/>
            <w:shd w:val="clear" w:color="auto" w:fill="FFFFFF"/>
            <w:vAlign w:val="center"/>
          </w:tcPr>
          <w:p>
            <w:pPr>
              <w:widowControl/>
              <w:adjustRightInd w:val="0"/>
              <w:snapToGrid w:val="0"/>
              <w:jc w:val="center"/>
              <w:rPr>
                <w:b/>
                <w:bCs/>
                <w:kern w:val="0"/>
              </w:rPr>
            </w:pPr>
          </w:p>
        </w:tc>
        <w:tc>
          <w:tcPr>
            <w:tcW w:w="739" w:type="pct"/>
            <w:shd w:val="clear" w:color="auto" w:fill="FFFFFF"/>
            <w:vAlign w:val="center"/>
          </w:tcPr>
          <w:p>
            <w:pPr>
              <w:widowControl/>
              <w:adjustRightInd w:val="0"/>
              <w:snapToGrid w:val="0"/>
              <w:jc w:val="center"/>
              <w:rPr>
                <w:b/>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四</w:t>
            </w:r>
          </w:p>
        </w:tc>
        <w:tc>
          <w:tcPr>
            <w:tcW w:w="847" w:type="pct"/>
            <w:shd w:val="clear" w:color="auto" w:fill="FFFFFF"/>
            <w:vAlign w:val="center"/>
          </w:tcPr>
          <w:p>
            <w:pPr>
              <w:widowControl/>
              <w:adjustRightInd w:val="0"/>
              <w:snapToGrid w:val="0"/>
              <w:jc w:val="center"/>
              <w:rPr>
                <w:b/>
                <w:bCs/>
                <w:kern w:val="0"/>
              </w:rPr>
            </w:pPr>
            <w:r>
              <w:rPr>
                <w:b/>
                <w:bCs/>
                <w:kern w:val="0"/>
              </w:rPr>
              <w:t>建设期融资成本</w:t>
            </w:r>
          </w:p>
        </w:tc>
        <w:tc>
          <w:tcPr>
            <w:tcW w:w="1048" w:type="pct"/>
            <w:shd w:val="clear" w:color="auto" w:fill="FFFFFF"/>
            <w:vAlign w:val="center"/>
          </w:tcPr>
          <w:p>
            <w:pPr>
              <w:widowControl/>
              <w:adjustRightInd w:val="0"/>
              <w:snapToGrid w:val="0"/>
              <w:jc w:val="center"/>
              <w:rPr>
                <w:b/>
                <w:bCs/>
                <w:kern w:val="0"/>
              </w:rPr>
            </w:pPr>
          </w:p>
        </w:tc>
        <w:tc>
          <w:tcPr>
            <w:tcW w:w="1067" w:type="pct"/>
            <w:shd w:val="clear" w:color="auto" w:fill="FFFFFF"/>
            <w:vAlign w:val="center"/>
          </w:tcPr>
          <w:p>
            <w:pPr>
              <w:widowControl/>
              <w:adjustRightInd w:val="0"/>
              <w:snapToGrid w:val="0"/>
              <w:jc w:val="center"/>
              <w:rPr>
                <w:b/>
                <w:bCs/>
                <w:kern w:val="0"/>
              </w:rPr>
            </w:pPr>
            <w:r>
              <w:rPr>
                <w:b/>
                <w:bCs/>
                <w:kern w:val="0"/>
              </w:rPr>
              <w:t>583.40</w:t>
            </w:r>
          </w:p>
        </w:tc>
        <w:tc>
          <w:tcPr>
            <w:tcW w:w="802" w:type="pct"/>
            <w:shd w:val="clear" w:color="auto" w:fill="FFFFFF"/>
            <w:vAlign w:val="center"/>
          </w:tcPr>
          <w:p>
            <w:pPr>
              <w:widowControl/>
              <w:adjustRightInd w:val="0"/>
              <w:snapToGrid w:val="0"/>
              <w:jc w:val="center"/>
              <w:rPr>
                <w:b/>
                <w:bCs/>
                <w:kern w:val="0"/>
              </w:rPr>
            </w:pPr>
            <w:r>
              <w:rPr>
                <w:b/>
                <w:bCs/>
                <w:kern w:val="0"/>
              </w:rPr>
              <w:t>583.40</w:t>
            </w:r>
          </w:p>
        </w:tc>
        <w:tc>
          <w:tcPr>
            <w:tcW w:w="739" w:type="pct"/>
            <w:shd w:val="clear" w:color="auto" w:fill="FFFFFF"/>
            <w:vAlign w:val="center"/>
          </w:tcPr>
          <w:p>
            <w:pPr>
              <w:widowControl/>
              <w:adjustRightInd w:val="0"/>
              <w:snapToGrid w:val="0"/>
              <w:jc w:val="center"/>
              <w:rPr>
                <w:b/>
                <w:bCs/>
                <w:kern w:val="0"/>
              </w:rPr>
            </w:pPr>
            <w:r>
              <w:rPr>
                <w:b/>
                <w:bCs/>
                <w:kern w:val="0"/>
              </w:rPr>
              <w:t>可研未包含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497" w:type="pct"/>
            <w:shd w:val="clear" w:color="auto" w:fill="FFFFFF"/>
            <w:vAlign w:val="center"/>
          </w:tcPr>
          <w:p>
            <w:pPr>
              <w:widowControl/>
              <w:adjustRightInd w:val="0"/>
              <w:snapToGrid w:val="0"/>
              <w:jc w:val="center"/>
              <w:rPr>
                <w:b/>
                <w:bCs/>
                <w:kern w:val="0"/>
              </w:rPr>
            </w:pPr>
            <w:r>
              <w:rPr>
                <w:b/>
                <w:bCs/>
                <w:kern w:val="0"/>
              </w:rPr>
              <w:t>*</w:t>
            </w:r>
          </w:p>
        </w:tc>
        <w:tc>
          <w:tcPr>
            <w:tcW w:w="847" w:type="pct"/>
            <w:shd w:val="clear" w:color="auto" w:fill="FFFFFF"/>
            <w:vAlign w:val="center"/>
          </w:tcPr>
          <w:p>
            <w:pPr>
              <w:widowControl/>
              <w:adjustRightInd w:val="0"/>
              <w:snapToGrid w:val="0"/>
              <w:jc w:val="center"/>
              <w:rPr>
                <w:b/>
                <w:bCs/>
                <w:kern w:val="0"/>
              </w:rPr>
            </w:pPr>
            <w:r>
              <w:rPr>
                <w:b/>
                <w:bCs/>
                <w:kern w:val="0"/>
              </w:rPr>
              <w:t>合计</w:t>
            </w:r>
          </w:p>
        </w:tc>
        <w:tc>
          <w:tcPr>
            <w:tcW w:w="1048" w:type="pct"/>
            <w:shd w:val="clear" w:color="auto" w:fill="FFFFFF"/>
            <w:vAlign w:val="center"/>
          </w:tcPr>
          <w:p>
            <w:pPr>
              <w:widowControl/>
              <w:adjustRightInd w:val="0"/>
              <w:snapToGrid w:val="0"/>
              <w:jc w:val="center"/>
              <w:rPr>
                <w:b/>
                <w:bCs/>
                <w:kern w:val="0"/>
              </w:rPr>
            </w:pPr>
            <w:r>
              <w:rPr>
                <w:b/>
                <w:bCs/>
                <w:kern w:val="0"/>
              </w:rPr>
              <w:t>24,133.35</w:t>
            </w:r>
          </w:p>
        </w:tc>
        <w:tc>
          <w:tcPr>
            <w:tcW w:w="1067" w:type="pct"/>
            <w:shd w:val="clear" w:color="auto" w:fill="FFFFFF"/>
            <w:vAlign w:val="center"/>
          </w:tcPr>
          <w:p>
            <w:pPr>
              <w:widowControl/>
              <w:adjustRightInd w:val="0"/>
              <w:snapToGrid w:val="0"/>
              <w:jc w:val="center"/>
              <w:rPr>
                <w:b/>
                <w:bCs/>
                <w:kern w:val="0"/>
              </w:rPr>
            </w:pPr>
            <w:r>
              <w:rPr>
                <w:b/>
                <w:bCs/>
                <w:kern w:val="0"/>
              </w:rPr>
              <w:t>24,804.54</w:t>
            </w:r>
          </w:p>
        </w:tc>
        <w:tc>
          <w:tcPr>
            <w:tcW w:w="802" w:type="pct"/>
            <w:shd w:val="clear" w:color="auto" w:fill="FFFFFF"/>
            <w:vAlign w:val="center"/>
          </w:tcPr>
          <w:p>
            <w:pPr>
              <w:widowControl/>
              <w:adjustRightInd w:val="0"/>
              <w:snapToGrid w:val="0"/>
              <w:jc w:val="center"/>
              <w:rPr>
                <w:b/>
                <w:bCs/>
                <w:kern w:val="0"/>
              </w:rPr>
            </w:pPr>
            <w:r>
              <w:rPr>
                <w:b/>
                <w:bCs/>
                <w:kern w:val="0"/>
              </w:rPr>
              <w:t>671.19</w:t>
            </w:r>
          </w:p>
        </w:tc>
        <w:tc>
          <w:tcPr>
            <w:tcW w:w="739" w:type="pct"/>
            <w:shd w:val="clear" w:color="auto" w:fill="FFFFFF"/>
            <w:vAlign w:val="center"/>
          </w:tcPr>
          <w:p>
            <w:pPr>
              <w:widowControl/>
              <w:adjustRightInd w:val="0"/>
              <w:snapToGrid w:val="0"/>
              <w:jc w:val="center"/>
              <w:rPr>
                <w:b/>
                <w:bCs/>
                <w:kern w:val="0"/>
              </w:rPr>
            </w:pPr>
          </w:p>
        </w:tc>
      </w:tr>
      <w:bookmarkEnd w:id="460"/>
    </w:tbl>
    <w:p>
      <w:pPr>
        <w:adjustRightInd w:val="0"/>
        <w:snapToGrid w:val="0"/>
        <w:spacing w:line="360" w:lineRule="auto"/>
        <w:ind w:firstLine="420" w:firstLineChars="200"/>
      </w:pPr>
      <w:bookmarkStart w:id="463" w:name="_Hlk10040590"/>
      <w:r>
        <w:t>9、项目公司</w:t>
      </w:r>
    </w:p>
    <w:p>
      <w:pPr>
        <w:adjustRightInd w:val="0"/>
        <w:snapToGrid w:val="0"/>
        <w:spacing w:line="360" w:lineRule="auto"/>
        <w:ind w:firstLine="420" w:firstLineChars="200"/>
      </w:pPr>
      <w:r>
        <w:t>项目公司由政府方出资代表与通过法定方式选择的社会资本方共同出资成立。项目公司注册资金与项目资本金保持一致，为总投资的20%，约</w:t>
      </w:r>
      <w:r>
        <w:fldChar w:fldCharType="begin"/>
      </w:r>
      <w:r>
        <w:instrText xml:space="preserve"> LINK Excel.Sheet.12 "D:\\005栖霞餐厨\\1、实施方案\\南京市栖霞区餐厨废弃物处置厂项目财务测算表（1226）.xlsx" "表3!R24C4" \a \t  \* MERGEFORMAT </w:instrText>
      </w:r>
      <w:r>
        <w:fldChar w:fldCharType="separate"/>
      </w:r>
      <w:r>
        <w:rPr>
          <w:rFonts w:hint="eastAsia"/>
        </w:rPr>
        <w:t xml:space="preserve"> 4,960.91 </w:t>
      </w:r>
      <w:r>
        <w:fldChar w:fldCharType="end"/>
      </w:r>
      <w:r>
        <w:t>万元，其中政府方出资代表出资</w:t>
      </w:r>
      <w:r>
        <w:fldChar w:fldCharType="begin"/>
      </w:r>
      <w:r>
        <w:instrText xml:space="preserve"> LINK Excel.Sheet.12 "D:\\005栖霞餐厨\\1、实施方案\\南京市栖霞区餐厨废弃物处置厂项目财务测算表（1226）.xlsx" "表3!R46C3" \a \t  \* MERGEFORMAT </w:instrText>
      </w:r>
      <w:r>
        <w:fldChar w:fldCharType="separate"/>
      </w:r>
      <w:r>
        <w:rPr>
          <w:rFonts w:hint="eastAsia"/>
        </w:rPr>
        <w:t xml:space="preserve"> 248.05 </w:t>
      </w:r>
      <w:r>
        <w:fldChar w:fldCharType="end"/>
      </w:r>
      <w:r>
        <w:fldChar w:fldCharType="begin"/>
      </w:r>
      <w:r>
        <w:instrText xml:space="preserve"> LINK Excel.Sheet.12 D:\\005栖霞餐厨\\1、实施方案\\2019年方案\\南京市栖霞区餐厨废弃物处置厂项目财务测算表（1226）改.xlsx 表3!R25C4 \a \t  \* MERGEFORMAT </w:instrText>
      </w:r>
      <w:r>
        <w:fldChar w:fldCharType="end"/>
      </w:r>
      <w:r>
        <w:t>万元，占比5%，社会资本出资</w:t>
      </w:r>
      <w:r>
        <w:fldChar w:fldCharType="begin"/>
      </w:r>
      <w:r>
        <w:instrText xml:space="preserve"> LINK Excel.Sheet.12 "D:\\005栖霞餐厨\\1、实施方案\\南京市栖霞区餐厨废弃物处置厂项目财务测算表（1226）.xlsx" "表3!R46C4" \a \t  \* MERGEFORMAT </w:instrText>
      </w:r>
      <w:r>
        <w:fldChar w:fldCharType="separate"/>
      </w:r>
      <w:r>
        <w:rPr>
          <w:rFonts w:hint="eastAsia"/>
        </w:rPr>
        <w:t xml:space="preserve"> 4,712.86 </w:t>
      </w:r>
      <w:r>
        <w:fldChar w:fldCharType="end"/>
      </w:r>
      <w:r>
        <w:fldChar w:fldCharType="begin"/>
      </w:r>
      <w:r>
        <w:instrText xml:space="preserve"> LINK Excel.Sheet.12 D:\\005栖霞餐厨\\1、实施方案\\2019年方案\\南京市栖霞区餐厨废弃物处置厂项目财务测算表（1226）改.xlsx 表3!R26C4 \a \t  \* MERGEFORMAT </w:instrText>
      </w:r>
      <w:r>
        <w:fldChar w:fldCharType="end"/>
      </w:r>
      <w:r>
        <w:t>万元，占比95%。</w:t>
      </w:r>
    </w:p>
    <w:p/>
    <w:p>
      <w:pPr>
        <w:rPr>
          <w:b/>
          <w:bCs/>
        </w:rPr>
      </w:pPr>
      <w:r>
        <w:rPr>
          <w:rFonts w:hint="eastAsia"/>
          <w:b/>
          <w:bCs/>
        </w:rPr>
        <w:t>第2节</w:t>
      </w:r>
      <w:r>
        <w:rPr>
          <w:b/>
          <w:bCs/>
        </w:rPr>
        <w:t>项目产出</w:t>
      </w:r>
    </w:p>
    <w:p>
      <w:pPr>
        <w:adjustRightInd w:val="0"/>
        <w:snapToGrid w:val="0"/>
        <w:spacing w:line="360" w:lineRule="auto"/>
        <w:ind w:firstLine="420" w:firstLineChars="200"/>
      </w:pPr>
      <w:bookmarkStart w:id="464" w:name="_Toc33448565"/>
      <w:r>
        <w:t>一、基础设施</w:t>
      </w:r>
      <w:bookmarkEnd w:id="464"/>
    </w:p>
    <w:p>
      <w:pPr>
        <w:adjustRightInd w:val="0"/>
        <w:snapToGrid w:val="0"/>
        <w:spacing w:line="360" w:lineRule="auto"/>
        <w:ind w:firstLine="420" w:firstLineChars="200"/>
      </w:pPr>
      <w:bookmarkStart w:id="465" w:name="_Hlk28610078"/>
      <w:r>
        <w:t>本项目建设生活管理区、餐厨废弃物处理区、沼气发电区、污水处理区、厌氧发酵区、总图配套区、电线杆迁移场外道，以及餐饮预处理系统、厌氧系统、废水处理系统、公用工程、沼气净化及利用系统、收运系统及信息平台。</w:t>
      </w:r>
      <w:bookmarkEnd w:id="465"/>
    </w:p>
    <w:p>
      <w:r>
        <w:t>表1-4  项目建设内容一览表</w:t>
      </w:r>
    </w:p>
    <w:tbl>
      <w:tblPr>
        <w:tblStyle w:val="40"/>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Layout w:type="autofit"/>
        <w:tblCellMar>
          <w:top w:w="0" w:type="dxa"/>
          <w:left w:w="108" w:type="dxa"/>
          <w:bottom w:w="0" w:type="dxa"/>
          <w:right w:w="108" w:type="dxa"/>
        </w:tblCellMar>
      </w:tblPr>
      <w:tblGrid>
        <w:gridCol w:w="1376"/>
        <w:gridCol w:w="4574"/>
        <w:gridCol w:w="1085"/>
        <w:gridCol w:w="14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240" w:hRule="atLeast"/>
          <w:tblHeader/>
        </w:trPr>
        <w:tc>
          <w:tcPr>
            <w:tcW w:w="807" w:type="pct"/>
            <w:shd w:val="clear" w:color="auto" w:fill="FFFFFF"/>
            <w:noWrap/>
            <w:vAlign w:val="center"/>
          </w:tcPr>
          <w:p>
            <w:r>
              <w:t>序号</w:t>
            </w:r>
          </w:p>
        </w:tc>
        <w:tc>
          <w:tcPr>
            <w:tcW w:w="2682" w:type="pct"/>
            <w:shd w:val="clear" w:color="auto" w:fill="FFFFFF"/>
            <w:noWrap/>
            <w:vAlign w:val="center"/>
          </w:tcPr>
          <w:p>
            <w:r>
              <w:t>名称</w:t>
            </w:r>
          </w:p>
        </w:tc>
        <w:tc>
          <w:tcPr>
            <w:tcW w:w="636" w:type="pct"/>
            <w:shd w:val="clear" w:color="auto" w:fill="FFFFFF"/>
            <w:noWrap/>
            <w:vAlign w:val="center"/>
          </w:tcPr>
          <w:p>
            <w:r>
              <w:t>单位</w:t>
            </w:r>
          </w:p>
        </w:tc>
        <w:tc>
          <w:tcPr>
            <w:tcW w:w="875" w:type="pct"/>
            <w:shd w:val="clear" w:color="auto" w:fill="FFFFFF"/>
            <w:noWrap/>
            <w:vAlign w:val="center"/>
          </w:tcPr>
          <w:p>
            <w:r>
              <w:t>工程量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（一）</w:t>
            </w:r>
          </w:p>
        </w:tc>
        <w:tc>
          <w:tcPr>
            <w:tcW w:w="2682" w:type="pct"/>
            <w:shd w:val="clear" w:color="auto" w:fill="FFFFFF"/>
            <w:noWrap/>
            <w:vAlign w:val="center"/>
          </w:tcPr>
          <w:p>
            <w:r>
              <w:t>土建工程</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1</w:t>
            </w:r>
          </w:p>
        </w:tc>
        <w:tc>
          <w:tcPr>
            <w:tcW w:w="2682" w:type="pct"/>
            <w:shd w:val="clear" w:color="auto" w:fill="FFFFFF"/>
            <w:noWrap/>
            <w:vAlign w:val="center"/>
          </w:tcPr>
          <w:p>
            <w:r>
              <w:t>生活管理区</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1.1</w:t>
            </w:r>
          </w:p>
        </w:tc>
        <w:tc>
          <w:tcPr>
            <w:tcW w:w="2682" w:type="pct"/>
            <w:shd w:val="clear" w:color="auto" w:fill="FFFFFF"/>
            <w:noWrap/>
            <w:vAlign w:val="center"/>
          </w:tcPr>
          <w:p>
            <w:r>
              <w:t>主体工程</w:t>
            </w:r>
          </w:p>
        </w:tc>
        <w:tc>
          <w:tcPr>
            <w:tcW w:w="636" w:type="pct"/>
            <w:shd w:val="clear" w:color="auto" w:fill="FFFFFF"/>
            <w:noWrap/>
            <w:vAlign w:val="center"/>
          </w:tcPr>
          <w:p>
            <w:r>
              <w:t>m2</w:t>
            </w:r>
          </w:p>
        </w:tc>
        <w:tc>
          <w:tcPr>
            <w:tcW w:w="875" w:type="pct"/>
            <w:shd w:val="clear" w:color="auto" w:fill="FFFFFF"/>
            <w:noWrap/>
            <w:vAlign w:val="center"/>
          </w:tcPr>
          <w:p>
            <w:r>
              <w:t>1898.13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1.2</w:t>
            </w:r>
          </w:p>
        </w:tc>
        <w:tc>
          <w:tcPr>
            <w:tcW w:w="2682" w:type="pct"/>
            <w:shd w:val="clear" w:color="auto" w:fill="FFFFFF"/>
            <w:noWrap/>
            <w:vAlign w:val="center"/>
          </w:tcPr>
          <w:p>
            <w:r>
              <w:t>安装工程</w:t>
            </w:r>
          </w:p>
        </w:tc>
        <w:tc>
          <w:tcPr>
            <w:tcW w:w="636" w:type="pct"/>
            <w:shd w:val="clear" w:color="auto" w:fill="FFFFFF"/>
            <w:noWrap/>
            <w:vAlign w:val="center"/>
          </w:tcPr>
          <w:p>
            <w:r>
              <w:t>m2</w:t>
            </w:r>
          </w:p>
        </w:tc>
        <w:tc>
          <w:tcPr>
            <w:tcW w:w="875" w:type="pct"/>
            <w:shd w:val="clear" w:color="auto" w:fill="FFFFFF"/>
            <w:noWrap/>
            <w:vAlign w:val="center"/>
          </w:tcPr>
          <w:p>
            <w:r>
              <w:t>1898.13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1.3</w:t>
            </w:r>
          </w:p>
        </w:tc>
        <w:tc>
          <w:tcPr>
            <w:tcW w:w="2682" w:type="pct"/>
            <w:shd w:val="clear" w:color="auto" w:fill="FFFFFF"/>
            <w:noWrap/>
            <w:vAlign w:val="center"/>
          </w:tcPr>
          <w:p>
            <w:r>
              <w:t>其他工程</w:t>
            </w:r>
          </w:p>
        </w:tc>
        <w:tc>
          <w:tcPr>
            <w:tcW w:w="636" w:type="pct"/>
            <w:shd w:val="clear" w:color="auto" w:fill="FFFFFF"/>
            <w:noWrap/>
            <w:vAlign w:val="center"/>
          </w:tcPr>
          <w:p>
            <w:r>
              <w:t>m2</w:t>
            </w:r>
          </w:p>
        </w:tc>
        <w:tc>
          <w:tcPr>
            <w:tcW w:w="875" w:type="pct"/>
            <w:shd w:val="clear" w:color="auto" w:fill="FFFFFF"/>
            <w:noWrap/>
            <w:vAlign w:val="center"/>
          </w:tcPr>
          <w:p>
            <w:r>
              <w:t>1898.13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2</w:t>
            </w:r>
          </w:p>
        </w:tc>
        <w:tc>
          <w:tcPr>
            <w:tcW w:w="2682" w:type="pct"/>
            <w:shd w:val="clear" w:color="auto" w:fill="FFFFFF"/>
            <w:noWrap/>
            <w:vAlign w:val="center"/>
          </w:tcPr>
          <w:p>
            <w:r>
              <w:t>餐厨废弃物处理区</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2.1</w:t>
            </w:r>
          </w:p>
        </w:tc>
        <w:tc>
          <w:tcPr>
            <w:tcW w:w="2682" w:type="pct"/>
            <w:shd w:val="clear" w:color="auto" w:fill="FFFFFF"/>
            <w:noWrap/>
            <w:vAlign w:val="center"/>
          </w:tcPr>
          <w:p>
            <w:r>
              <w:t>主体工程</w:t>
            </w:r>
          </w:p>
        </w:tc>
        <w:tc>
          <w:tcPr>
            <w:tcW w:w="636" w:type="pct"/>
            <w:shd w:val="clear" w:color="auto" w:fill="FFFFFF"/>
            <w:noWrap/>
            <w:vAlign w:val="center"/>
          </w:tcPr>
          <w:p>
            <w:r>
              <w:t>m2</w:t>
            </w:r>
          </w:p>
        </w:tc>
        <w:tc>
          <w:tcPr>
            <w:tcW w:w="875" w:type="pct"/>
            <w:shd w:val="clear" w:color="auto" w:fill="FFFFFF"/>
            <w:noWrap/>
            <w:vAlign w:val="center"/>
          </w:tcPr>
          <w:p>
            <w:r>
              <w:t>4580.04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2.2</w:t>
            </w:r>
          </w:p>
        </w:tc>
        <w:tc>
          <w:tcPr>
            <w:tcW w:w="2682" w:type="pct"/>
            <w:shd w:val="clear" w:color="auto" w:fill="FFFFFF"/>
            <w:noWrap/>
            <w:vAlign w:val="center"/>
          </w:tcPr>
          <w:p>
            <w:r>
              <w:t>安装工程</w:t>
            </w:r>
          </w:p>
        </w:tc>
        <w:tc>
          <w:tcPr>
            <w:tcW w:w="636" w:type="pct"/>
            <w:shd w:val="clear" w:color="auto" w:fill="FFFFFF"/>
            <w:noWrap/>
            <w:vAlign w:val="center"/>
          </w:tcPr>
          <w:p>
            <w:r>
              <w:t>m2</w:t>
            </w:r>
          </w:p>
        </w:tc>
        <w:tc>
          <w:tcPr>
            <w:tcW w:w="875" w:type="pct"/>
            <w:shd w:val="clear" w:color="auto" w:fill="FFFFFF"/>
            <w:noWrap/>
            <w:vAlign w:val="center"/>
          </w:tcPr>
          <w:p>
            <w:r>
              <w:t>4580.04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2.3</w:t>
            </w:r>
          </w:p>
        </w:tc>
        <w:tc>
          <w:tcPr>
            <w:tcW w:w="2682" w:type="pct"/>
            <w:shd w:val="clear" w:color="auto" w:fill="FFFFFF"/>
            <w:noWrap/>
            <w:vAlign w:val="center"/>
          </w:tcPr>
          <w:p>
            <w:r>
              <w:t>其他工程</w:t>
            </w:r>
          </w:p>
        </w:tc>
        <w:tc>
          <w:tcPr>
            <w:tcW w:w="636" w:type="pct"/>
            <w:shd w:val="clear" w:color="auto" w:fill="FFFFFF"/>
            <w:noWrap/>
            <w:vAlign w:val="center"/>
          </w:tcPr>
          <w:p>
            <w:r>
              <w:t>m2</w:t>
            </w:r>
          </w:p>
        </w:tc>
        <w:tc>
          <w:tcPr>
            <w:tcW w:w="875" w:type="pct"/>
            <w:shd w:val="clear" w:color="auto" w:fill="FFFFFF"/>
            <w:noWrap/>
            <w:vAlign w:val="center"/>
          </w:tcPr>
          <w:p>
            <w:r>
              <w:t>4580.04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3</w:t>
            </w:r>
          </w:p>
        </w:tc>
        <w:tc>
          <w:tcPr>
            <w:tcW w:w="2682" w:type="pct"/>
            <w:shd w:val="clear" w:color="auto" w:fill="FFFFFF"/>
            <w:noWrap/>
            <w:vAlign w:val="center"/>
          </w:tcPr>
          <w:p>
            <w:r>
              <w:t>沼气发电区</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3.1</w:t>
            </w:r>
          </w:p>
        </w:tc>
        <w:tc>
          <w:tcPr>
            <w:tcW w:w="2682" w:type="pct"/>
            <w:shd w:val="clear" w:color="auto" w:fill="FFFFFF"/>
            <w:noWrap/>
            <w:vAlign w:val="center"/>
          </w:tcPr>
          <w:p>
            <w:r>
              <w:t>主体工程</w:t>
            </w:r>
          </w:p>
        </w:tc>
        <w:tc>
          <w:tcPr>
            <w:tcW w:w="636" w:type="pct"/>
            <w:shd w:val="clear" w:color="auto" w:fill="FFFFFF"/>
            <w:noWrap/>
            <w:vAlign w:val="center"/>
          </w:tcPr>
          <w:p>
            <w:r>
              <w:t>m2</w:t>
            </w:r>
          </w:p>
        </w:tc>
        <w:tc>
          <w:tcPr>
            <w:tcW w:w="875" w:type="pct"/>
            <w:shd w:val="clear" w:color="auto" w:fill="FFFFFF"/>
            <w:noWrap/>
            <w:vAlign w:val="center"/>
          </w:tcPr>
          <w:p>
            <w:r>
              <w:t>495.74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3.2</w:t>
            </w:r>
          </w:p>
        </w:tc>
        <w:tc>
          <w:tcPr>
            <w:tcW w:w="2682" w:type="pct"/>
            <w:shd w:val="clear" w:color="auto" w:fill="FFFFFF"/>
            <w:noWrap/>
            <w:vAlign w:val="center"/>
          </w:tcPr>
          <w:p>
            <w:r>
              <w:t>安装工程</w:t>
            </w:r>
          </w:p>
        </w:tc>
        <w:tc>
          <w:tcPr>
            <w:tcW w:w="636" w:type="pct"/>
            <w:shd w:val="clear" w:color="auto" w:fill="FFFFFF"/>
            <w:noWrap/>
            <w:vAlign w:val="center"/>
          </w:tcPr>
          <w:p>
            <w:r>
              <w:t>m2</w:t>
            </w:r>
          </w:p>
        </w:tc>
        <w:tc>
          <w:tcPr>
            <w:tcW w:w="875" w:type="pct"/>
            <w:shd w:val="clear" w:color="auto" w:fill="FFFFFF"/>
            <w:noWrap/>
            <w:vAlign w:val="center"/>
          </w:tcPr>
          <w:p>
            <w:r>
              <w:t>495.74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3.3</w:t>
            </w:r>
          </w:p>
        </w:tc>
        <w:tc>
          <w:tcPr>
            <w:tcW w:w="2682" w:type="pct"/>
            <w:shd w:val="clear" w:color="auto" w:fill="FFFFFF"/>
            <w:noWrap/>
            <w:vAlign w:val="center"/>
          </w:tcPr>
          <w:p>
            <w:r>
              <w:t>其他工程</w:t>
            </w:r>
          </w:p>
        </w:tc>
        <w:tc>
          <w:tcPr>
            <w:tcW w:w="636" w:type="pct"/>
            <w:shd w:val="clear" w:color="auto" w:fill="FFFFFF"/>
            <w:noWrap/>
            <w:vAlign w:val="center"/>
          </w:tcPr>
          <w:p>
            <w:r>
              <w:t>m2</w:t>
            </w:r>
          </w:p>
        </w:tc>
        <w:tc>
          <w:tcPr>
            <w:tcW w:w="875" w:type="pct"/>
            <w:shd w:val="clear" w:color="auto" w:fill="FFFFFF"/>
            <w:noWrap/>
            <w:vAlign w:val="center"/>
          </w:tcPr>
          <w:p>
            <w:r>
              <w:t>495.74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4</w:t>
            </w:r>
          </w:p>
        </w:tc>
        <w:tc>
          <w:tcPr>
            <w:tcW w:w="2682" w:type="pct"/>
            <w:shd w:val="clear" w:color="auto" w:fill="FFFFFF"/>
            <w:noWrap/>
            <w:vAlign w:val="center"/>
          </w:tcPr>
          <w:p>
            <w:r>
              <w:t>污水处理区</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4.1</w:t>
            </w:r>
          </w:p>
        </w:tc>
        <w:tc>
          <w:tcPr>
            <w:tcW w:w="2682" w:type="pct"/>
            <w:shd w:val="clear" w:color="auto" w:fill="FFFFFF"/>
            <w:noWrap/>
            <w:vAlign w:val="center"/>
          </w:tcPr>
          <w:p>
            <w:r>
              <w:t>主体工程</w:t>
            </w:r>
          </w:p>
        </w:tc>
        <w:tc>
          <w:tcPr>
            <w:tcW w:w="636" w:type="pct"/>
            <w:shd w:val="clear" w:color="auto" w:fill="FFFFFF"/>
            <w:noWrap/>
            <w:vAlign w:val="center"/>
          </w:tcPr>
          <w:p>
            <w:r>
              <w:t>m2</w:t>
            </w:r>
          </w:p>
        </w:tc>
        <w:tc>
          <w:tcPr>
            <w:tcW w:w="875" w:type="pct"/>
            <w:shd w:val="clear" w:color="auto" w:fill="FFFFFF"/>
            <w:noWrap/>
            <w:vAlign w:val="center"/>
          </w:tcPr>
          <w:p>
            <w:r>
              <w:t>1600.00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4.2</w:t>
            </w:r>
          </w:p>
        </w:tc>
        <w:tc>
          <w:tcPr>
            <w:tcW w:w="2682" w:type="pct"/>
            <w:shd w:val="clear" w:color="auto" w:fill="FFFFFF"/>
            <w:noWrap/>
            <w:vAlign w:val="center"/>
          </w:tcPr>
          <w:p>
            <w:r>
              <w:t>安装工程</w:t>
            </w:r>
          </w:p>
        </w:tc>
        <w:tc>
          <w:tcPr>
            <w:tcW w:w="636" w:type="pct"/>
            <w:shd w:val="clear" w:color="auto" w:fill="FFFFFF"/>
            <w:noWrap/>
            <w:vAlign w:val="center"/>
          </w:tcPr>
          <w:p>
            <w:r>
              <w:t>m2</w:t>
            </w:r>
          </w:p>
        </w:tc>
        <w:tc>
          <w:tcPr>
            <w:tcW w:w="875" w:type="pct"/>
            <w:shd w:val="clear" w:color="auto" w:fill="FFFFFF"/>
            <w:noWrap/>
            <w:vAlign w:val="center"/>
          </w:tcPr>
          <w:p>
            <w:r>
              <w:t>1600.00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4.3</w:t>
            </w:r>
          </w:p>
        </w:tc>
        <w:tc>
          <w:tcPr>
            <w:tcW w:w="2682" w:type="pct"/>
            <w:shd w:val="clear" w:color="auto" w:fill="FFFFFF"/>
            <w:noWrap/>
            <w:vAlign w:val="center"/>
          </w:tcPr>
          <w:p>
            <w:r>
              <w:t>其他工程</w:t>
            </w:r>
          </w:p>
        </w:tc>
        <w:tc>
          <w:tcPr>
            <w:tcW w:w="636" w:type="pct"/>
            <w:shd w:val="clear" w:color="auto" w:fill="FFFFFF"/>
            <w:noWrap/>
            <w:vAlign w:val="center"/>
          </w:tcPr>
          <w:p>
            <w:r>
              <w:t>m2</w:t>
            </w:r>
          </w:p>
        </w:tc>
        <w:tc>
          <w:tcPr>
            <w:tcW w:w="875" w:type="pct"/>
            <w:shd w:val="clear" w:color="auto" w:fill="FFFFFF"/>
            <w:noWrap/>
            <w:vAlign w:val="center"/>
          </w:tcPr>
          <w:p>
            <w:r>
              <w:t>1600.00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5</w:t>
            </w:r>
          </w:p>
        </w:tc>
        <w:tc>
          <w:tcPr>
            <w:tcW w:w="2682" w:type="pct"/>
            <w:shd w:val="clear" w:color="auto" w:fill="FFFFFF"/>
            <w:noWrap/>
            <w:vAlign w:val="center"/>
          </w:tcPr>
          <w:p>
            <w:r>
              <w:t>厌氧发酵区</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5.1</w:t>
            </w:r>
          </w:p>
        </w:tc>
        <w:tc>
          <w:tcPr>
            <w:tcW w:w="2682" w:type="pct"/>
            <w:shd w:val="clear" w:color="auto" w:fill="FFFFFF"/>
            <w:noWrap/>
            <w:vAlign w:val="center"/>
          </w:tcPr>
          <w:p>
            <w:r>
              <w:t>主体工程</w:t>
            </w:r>
          </w:p>
        </w:tc>
        <w:tc>
          <w:tcPr>
            <w:tcW w:w="636" w:type="pct"/>
            <w:shd w:val="clear" w:color="auto" w:fill="FFFFFF"/>
            <w:noWrap/>
            <w:vAlign w:val="center"/>
          </w:tcPr>
          <w:p>
            <w:r>
              <w:t>m2</w:t>
            </w:r>
          </w:p>
        </w:tc>
        <w:tc>
          <w:tcPr>
            <w:tcW w:w="875" w:type="pct"/>
            <w:shd w:val="clear" w:color="auto" w:fill="FFFFFF"/>
            <w:noWrap/>
            <w:vAlign w:val="center"/>
          </w:tcPr>
          <w:p>
            <w:r>
              <w:t>5350.00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5.2</w:t>
            </w:r>
          </w:p>
        </w:tc>
        <w:tc>
          <w:tcPr>
            <w:tcW w:w="2682" w:type="pct"/>
            <w:shd w:val="clear" w:color="auto" w:fill="FFFFFF"/>
            <w:noWrap/>
            <w:vAlign w:val="center"/>
          </w:tcPr>
          <w:p>
            <w:r>
              <w:t>安装工程</w:t>
            </w:r>
          </w:p>
        </w:tc>
        <w:tc>
          <w:tcPr>
            <w:tcW w:w="636" w:type="pct"/>
            <w:shd w:val="clear" w:color="auto" w:fill="FFFFFF"/>
            <w:noWrap/>
            <w:vAlign w:val="center"/>
          </w:tcPr>
          <w:p>
            <w:r>
              <w:t>m2</w:t>
            </w:r>
          </w:p>
        </w:tc>
        <w:tc>
          <w:tcPr>
            <w:tcW w:w="875" w:type="pct"/>
            <w:shd w:val="clear" w:color="auto" w:fill="FFFFFF"/>
            <w:noWrap/>
            <w:vAlign w:val="center"/>
          </w:tcPr>
          <w:p>
            <w:r>
              <w:t>5350.00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5.3</w:t>
            </w:r>
          </w:p>
        </w:tc>
        <w:tc>
          <w:tcPr>
            <w:tcW w:w="2682" w:type="pct"/>
            <w:shd w:val="clear" w:color="auto" w:fill="FFFFFF"/>
            <w:noWrap/>
            <w:vAlign w:val="center"/>
          </w:tcPr>
          <w:p>
            <w:r>
              <w:t>其他工程</w:t>
            </w:r>
          </w:p>
        </w:tc>
        <w:tc>
          <w:tcPr>
            <w:tcW w:w="636" w:type="pct"/>
            <w:shd w:val="clear" w:color="auto" w:fill="FFFFFF"/>
            <w:noWrap/>
            <w:vAlign w:val="center"/>
          </w:tcPr>
          <w:p>
            <w:r>
              <w:t>m2</w:t>
            </w:r>
          </w:p>
        </w:tc>
        <w:tc>
          <w:tcPr>
            <w:tcW w:w="875" w:type="pct"/>
            <w:shd w:val="clear" w:color="auto" w:fill="FFFFFF"/>
            <w:noWrap/>
            <w:vAlign w:val="center"/>
          </w:tcPr>
          <w:p>
            <w:r>
              <w:t>5350.00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6</w:t>
            </w:r>
          </w:p>
        </w:tc>
        <w:tc>
          <w:tcPr>
            <w:tcW w:w="2682" w:type="pct"/>
            <w:shd w:val="clear" w:color="auto" w:fill="FFFFFF"/>
            <w:noWrap/>
            <w:vAlign w:val="center"/>
          </w:tcPr>
          <w:p>
            <w:r>
              <w:t>总图配套工程</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6.1</w:t>
            </w:r>
          </w:p>
        </w:tc>
        <w:tc>
          <w:tcPr>
            <w:tcW w:w="2682" w:type="pct"/>
            <w:shd w:val="clear" w:color="auto" w:fill="FFFFFF"/>
            <w:noWrap/>
            <w:vAlign w:val="center"/>
          </w:tcPr>
          <w:p>
            <w:r>
              <w:t>道路硬化</w:t>
            </w:r>
          </w:p>
        </w:tc>
        <w:tc>
          <w:tcPr>
            <w:tcW w:w="636" w:type="pct"/>
            <w:shd w:val="clear" w:color="auto" w:fill="FFFFFF"/>
            <w:noWrap/>
            <w:vAlign w:val="center"/>
          </w:tcPr>
          <w:p>
            <w:r>
              <w:t>m2</w:t>
            </w:r>
          </w:p>
        </w:tc>
        <w:tc>
          <w:tcPr>
            <w:tcW w:w="875" w:type="pct"/>
            <w:shd w:val="clear" w:color="auto" w:fill="FFFFFF"/>
            <w:noWrap/>
            <w:vAlign w:val="center"/>
          </w:tcPr>
          <w:p>
            <w:r>
              <w:t>9000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6.2</w:t>
            </w:r>
          </w:p>
        </w:tc>
        <w:tc>
          <w:tcPr>
            <w:tcW w:w="2682" w:type="pct"/>
            <w:shd w:val="clear" w:color="auto" w:fill="FFFFFF"/>
            <w:noWrap/>
            <w:vAlign w:val="center"/>
          </w:tcPr>
          <w:p>
            <w:r>
              <w:t>绿化</w:t>
            </w:r>
          </w:p>
        </w:tc>
        <w:tc>
          <w:tcPr>
            <w:tcW w:w="636" w:type="pct"/>
            <w:shd w:val="clear" w:color="auto" w:fill="FFFFFF"/>
            <w:noWrap/>
            <w:vAlign w:val="center"/>
          </w:tcPr>
          <w:p>
            <w:r>
              <w:t>m2</w:t>
            </w:r>
          </w:p>
        </w:tc>
        <w:tc>
          <w:tcPr>
            <w:tcW w:w="875" w:type="pct"/>
            <w:shd w:val="clear" w:color="auto" w:fill="FFFFFF"/>
            <w:noWrap/>
            <w:vAlign w:val="center"/>
          </w:tcPr>
          <w:p>
            <w: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6.3</w:t>
            </w:r>
          </w:p>
        </w:tc>
        <w:tc>
          <w:tcPr>
            <w:tcW w:w="2682" w:type="pct"/>
            <w:shd w:val="clear" w:color="auto" w:fill="FFFFFF"/>
            <w:noWrap/>
            <w:vAlign w:val="center"/>
          </w:tcPr>
          <w:p>
            <w:r>
              <w:t>照明工程</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6.4</w:t>
            </w:r>
          </w:p>
        </w:tc>
        <w:tc>
          <w:tcPr>
            <w:tcW w:w="2682" w:type="pct"/>
            <w:shd w:val="clear" w:color="auto" w:fill="FFFFFF"/>
            <w:noWrap/>
            <w:vAlign w:val="center"/>
          </w:tcPr>
          <w:p>
            <w:r>
              <w:t>给排水工程</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（二）</w:t>
            </w:r>
          </w:p>
        </w:tc>
        <w:tc>
          <w:tcPr>
            <w:tcW w:w="2682" w:type="pct"/>
            <w:shd w:val="clear" w:color="auto" w:fill="FFFFFF"/>
            <w:noWrap/>
            <w:vAlign w:val="center"/>
          </w:tcPr>
          <w:p>
            <w:r>
              <w:t>收运、处置设备</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1</w:t>
            </w:r>
          </w:p>
        </w:tc>
        <w:tc>
          <w:tcPr>
            <w:tcW w:w="2682" w:type="pct"/>
            <w:shd w:val="clear" w:color="auto" w:fill="FFFFFF"/>
            <w:noWrap/>
            <w:vAlign w:val="center"/>
          </w:tcPr>
          <w:p>
            <w:r>
              <w:t>餐饮预处理系统</w:t>
            </w:r>
          </w:p>
        </w:tc>
        <w:tc>
          <w:tcPr>
            <w:tcW w:w="636" w:type="pct"/>
            <w:shd w:val="clear" w:color="auto" w:fill="FFFFFF"/>
            <w:noWrap/>
            <w:vAlign w:val="center"/>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2</w:t>
            </w:r>
          </w:p>
        </w:tc>
        <w:tc>
          <w:tcPr>
            <w:tcW w:w="2682" w:type="pct"/>
            <w:shd w:val="clear" w:color="auto" w:fill="FFFFFF"/>
            <w:noWrap/>
            <w:vAlign w:val="center"/>
          </w:tcPr>
          <w:p>
            <w:r>
              <w:t>厌氧系统</w:t>
            </w:r>
          </w:p>
        </w:tc>
        <w:tc>
          <w:tcPr>
            <w:tcW w:w="636" w:type="pct"/>
            <w:shd w:val="clear" w:color="auto" w:fill="FFFFFF"/>
            <w:noWrap/>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3</w:t>
            </w:r>
          </w:p>
        </w:tc>
        <w:tc>
          <w:tcPr>
            <w:tcW w:w="2682" w:type="pct"/>
            <w:shd w:val="clear" w:color="auto" w:fill="FFFFFF"/>
            <w:noWrap/>
            <w:vAlign w:val="center"/>
          </w:tcPr>
          <w:p>
            <w:r>
              <w:t>废水处理系统</w:t>
            </w:r>
          </w:p>
        </w:tc>
        <w:tc>
          <w:tcPr>
            <w:tcW w:w="636" w:type="pct"/>
            <w:shd w:val="clear" w:color="auto" w:fill="FFFFFF"/>
            <w:noWrap/>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4</w:t>
            </w:r>
          </w:p>
        </w:tc>
        <w:tc>
          <w:tcPr>
            <w:tcW w:w="2682" w:type="pct"/>
            <w:shd w:val="clear" w:color="auto" w:fill="FFFFFF"/>
            <w:noWrap/>
            <w:vAlign w:val="center"/>
          </w:tcPr>
          <w:p>
            <w:r>
              <w:t>公用工程</w:t>
            </w:r>
          </w:p>
        </w:tc>
        <w:tc>
          <w:tcPr>
            <w:tcW w:w="636" w:type="pct"/>
            <w:shd w:val="clear" w:color="auto" w:fill="FFFFFF"/>
            <w:noWrap/>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5</w:t>
            </w:r>
          </w:p>
        </w:tc>
        <w:tc>
          <w:tcPr>
            <w:tcW w:w="2682" w:type="pct"/>
            <w:shd w:val="clear" w:color="auto" w:fill="FFFFFF"/>
            <w:noWrap/>
            <w:vAlign w:val="center"/>
          </w:tcPr>
          <w:p>
            <w:r>
              <w:t>沼气净化及利用系统</w:t>
            </w:r>
          </w:p>
        </w:tc>
        <w:tc>
          <w:tcPr>
            <w:tcW w:w="636" w:type="pct"/>
            <w:shd w:val="clear" w:color="auto" w:fill="FFFFFF"/>
            <w:noWrap/>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6</w:t>
            </w:r>
          </w:p>
        </w:tc>
        <w:tc>
          <w:tcPr>
            <w:tcW w:w="2682" w:type="pct"/>
            <w:shd w:val="clear" w:color="auto" w:fill="FFFFFF"/>
            <w:noWrap/>
            <w:vAlign w:val="center"/>
          </w:tcPr>
          <w:p>
            <w:r>
              <w:t>收运系统及信息平台</w:t>
            </w:r>
          </w:p>
        </w:tc>
        <w:tc>
          <w:tcPr>
            <w:tcW w:w="636" w:type="pct"/>
            <w:shd w:val="clear" w:color="auto" w:fill="FFFFFF"/>
            <w:noWrap/>
          </w:tcPr>
          <w:p>
            <w:r>
              <w:t>套</w:t>
            </w:r>
          </w:p>
        </w:tc>
        <w:tc>
          <w:tcPr>
            <w:tcW w:w="875" w:type="pct"/>
            <w:shd w:val="clear" w:color="auto" w:fill="FFFFFF"/>
            <w:noWrap/>
            <w:vAlign w:val="center"/>
          </w:tcPr>
          <w:p>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（三）</w:t>
            </w:r>
          </w:p>
        </w:tc>
        <w:tc>
          <w:tcPr>
            <w:tcW w:w="2682" w:type="pct"/>
            <w:shd w:val="clear" w:color="auto" w:fill="FFFFFF"/>
            <w:noWrap/>
            <w:vAlign w:val="center"/>
          </w:tcPr>
          <w:p>
            <w:r>
              <w:t>电线杆迁移场外道</w:t>
            </w:r>
          </w:p>
        </w:tc>
        <w:tc>
          <w:tcPr>
            <w:tcW w:w="636" w:type="pct"/>
            <w:shd w:val="clear" w:color="auto" w:fill="FFFFFF"/>
            <w:noWrap/>
            <w:vAlign w:val="center"/>
          </w:tcPr>
          <w:p/>
        </w:tc>
        <w:tc>
          <w:tcPr>
            <w:tcW w:w="875" w:type="pct"/>
            <w:shd w:val="clear" w:color="auto" w:fill="FFFFFF"/>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1</w:t>
            </w:r>
          </w:p>
        </w:tc>
        <w:tc>
          <w:tcPr>
            <w:tcW w:w="2682" w:type="pct"/>
            <w:shd w:val="clear" w:color="auto" w:fill="FFFFFF"/>
            <w:noWrap/>
            <w:vAlign w:val="center"/>
          </w:tcPr>
          <w:p>
            <w:r>
              <w:t>电线杆迁移</w:t>
            </w:r>
          </w:p>
        </w:tc>
        <w:tc>
          <w:tcPr>
            <w:tcW w:w="636" w:type="pct"/>
            <w:shd w:val="clear" w:color="auto" w:fill="FFFFFF"/>
            <w:noWrap/>
            <w:vAlign w:val="center"/>
          </w:tcPr>
          <w:p>
            <w:r>
              <w:t>个</w:t>
            </w:r>
          </w:p>
        </w:tc>
        <w:tc>
          <w:tcPr>
            <w:tcW w:w="875" w:type="pct"/>
            <w:shd w:val="clear" w:color="auto" w:fill="FFFFFF"/>
            <w:noWrap/>
            <w:vAlign w:val="center"/>
          </w:tcPr>
          <w:p>
            <w: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807" w:type="pct"/>
            <w:shd w:val="clear" w:color="auto" w:fill="FFFFFF"/>
            <w:noWrap/>
            <w:vAlign w:val="center"/>
          </w:tcPr>
          <w:p>
            <w:r>
              <w:t>2</w:t>
            </w:r>
          </w:p>
        </w:tc>
        <w:tc>
          <w:tcPr>
            <w:tcW w:w="2682" w:type="pct"/>
            <w:shd w:val="clear" w:color="auto" w:fill="FFFFFF"/>
            <w:noWrap/>
            <w:vAlign w:val="center"/>
          </w:tcPr>
          <w:p>
            <w:r>
              <w:t>场地平整</w:t>
            </w:r>
          </w:p>
        </w:tc>
        <w:tc>
          <w:tcPr>
            <w:tcW w:w="636" w:type="pct"/>
            <w:shd w:val="clear" w:color="auto" w:fill="FFFFFF"/>
            <w:noWrap/>
            <w:vAlign w:val="center"/>
          </w:tcPr>
          <w:p>
            <w:r>
              <w:t>亩</w:t>
            </w:r>
          </w:p>
        </w:tc>
        <w:tc>
          <w:tcPr>
            <w:tcW w:w="875" w:type="pct"/>
            <w:shd w:val="clear" w:color="auto" w:fill="FFFFFF"/>
            <w:noWrap/>
            <w:vAlign w:val="center"/>
          </w:tcPr>
          <w:p>
            <w: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807" w:type="pct"/>
            <w:shd w:val="clear" w:color="auto" w:fill="FFFFFF"/>
            <w:noWrap/>
            <w:vAlign w:val="center"/>
          </w:tcPr>
          <w:p>
            <w:r>
              <w:t>3</w:t>
            </w:r>
          </w:p>
        </w:tc>
        <w:tc>
          <w:tcPr>
            <w:tcW w:w="2682" w:type="pct"/>
            <w:shd w:val="clear" w:color="auto" w:fill="FFFFFF"/>
            <w:noWrap/>
            <w:vAlign w:val="center"/>
          </w:tcPr>
          <w:p>
            <w:r>
              <w:t>场外道路</w:t>
            </w:r>
          </w:p>
        </w:tc>
        <w:tc>
          <w:tcPr>
            <w:tcW w:w="636" w:type="pct"/>
            <w:shd w:val="clear" w:color="auto" w:fill="FFFFFF"/>
            <w:noWrap/>
            <w:vAlign w:val="center"/>
          </w:tcPr>
          <w:p>
            <w:r>
              <w:t>m2</w:t>
            </w:r>
          </w:p>
        </w:tc>
        <w:tc>
          <w:tcPr>
            <w:tcW w:w="875" w:type="pct"/>
            <w:shd w:val="clear" w:color="auto" w:fill="FFFFFF"/>
            <w:noWrap/>
            <w:vAlign w:val="center"/>
          </w:tcPr>
          <w:p>
            <w:r>
              <w:t>16625</w:t>
            </w:r>
          </w:p>
        </w:tc>
      </w:tr>
    </w:tbl>
    <w:p>
      <w:pPr>
        <w:adjustRightInd w:val="0"/>
        <w:snapToGrid w:val="0"/>
        <w:spacing w:line="360" w:lineRule="auto"/>
        <w:ind w:firstLine="420" w:firstLineChars="200"/>
      </w:pPr>
      <w:bookmarkStart w:id="466" w:name="_Toc33448566"/>
      <w:bookmarkStart w:id="467" w:name="_Toc29805512"/>
      <w:bookmarkStart w:id="468" w:name="_Toc44"/>
      <w:bookmarkStart w:id="469" w:name="_Toc329097205"/>
      <w:bookmarkStart w:id="470" w:name="_Toc185992313"/>
      <w:bookmarkStart w:id="471" w:name="_Toc463864246"/>
      <w:bookmarkStart w:id="472" w:name="_Toc17450154"/>
      <w:bookmarkStart w:id="473" w:name="_Toc29805513"/>
      <w:bookmarkStart w:id="474" w:name="_Toc21071"/>
      <w:bookmarkStart w:id="475" w:name="_Hlk28610088"/>
      <w:r>
        <w:t>二、智能化收运系统和数字化管理平台</w:t>
      </w:r>
      <w:bookmarkEnd w:id="466"/>
    </w:p>
    <w:p>
      <w:pPr>
        <w:adjustRightInd w:val="0"/>
        <w:snapToGrid w:val="0"/>
        <w:spacing w:line="360" w:lineRule="auto"/>
        <w:ind w:firstLine="420" w:firstLineChars="200"/>
      </w:pPr>
      <w:r>
        <w:t>1、系统功能总述</w:t>
      </w:r>
    </w:p>
    <w:p>
      <w:pPr>
        <w:adjustRightInd w:val="0"/>
        <w:snapToGrid w:val="0"/>
        <w:spacing w:line="360" w:lineRule="auto"/>
        <w:ind w:firstLine="420" w:firstLineChars="200"/>
      </w:pPr>
      <w:r>
        <w:t>餐厨废弃物智能管控系统提供垃圾从收运到处理的全过程管理，实时获取各项数据。为项目公司和实施机构提供管理、监控和相互稽核功能。系统主要包括餐饮企业注册管理、车辆人员管理、收运任务分配、收运过程监控、数据统计分析、异常报警、投诉管理等功能。</w:t>
      </w:r>
    </w:p>
    <w:p>
      <w:pPr>
        <w:adjustRightInd w:val="0"/>
        <w:snapToGrid w:val="0"/>
        <w:spacing w:line="360" w:lineRule="auto"/>
        <w:ind w:firstLine="420" w:firstLineChars="200"/>
      </w:pPr>
      <w:r>
        <w:t>2、信息化管理</w:t>
      </w:r>
      <w:bookmarkEnd w:id="467"/>
    </w:p>
    <w:p>
      <w:pPr>
        <w:adjustRightInd w:val="0"/>
        <w:snapToGrid w:val="0"/>
        <w:spacing w:line="360" w:lineRule="auto"/>
        <w:ind w:firstLine="420" w:firstLineChars="200"/>
      </w:pPr>
      <w:r>
        <w:t>从集中管控的思路出发，根据本项目的具体特点和要求开发出符合餐厨废弃物处理全流程跟踪，服务于企业业务监控和政府行政监管执法的智能化的软硬一体的系统。建立统一的、易扩展的架构平台。</w:t>
      </w:r>
    </w:p>
    <w:p>
      <w:pPr>
        <w:adjustRightInd w:val="0"/>
        <w:snapToGrid w:val="0"/>
        <w:spacing w:line="360" w:lineRule="auto"/>
        <w:ind w:firstLine="420" w:firstLineChars="200"/>
      </w:pPr>
      <w:r>
        <w:t>（1）收运系统</w:t>
      </w:r>
    </w:p>
    <w:p>
      <w:pPr>
        <w:adjustRightInd w:val="0"/>
        <w:snapToGrid w:val="0"/>
        <w:spacing w:line="360" w:lineRule="auto"/>
        <w:ind w:firstLine="420" w:firstLineChars="200"/>
      </w:pPr>
      <w:r>
        <w:t>平台为整个业务流程的企业监控、政府监管、民众监督提供三位一体的系统管控。</w:t>
      </w:r>
      <w:bookmarkStart w:id="476" w:name="_Toc185992308"/>
      <w:bookmarkStart w:id="477" w:name="_Toc329097203"/>
      <w:r>
        <w:t>系统架构设计</w:t>
      </w:r>
      <w:bookmarkEnd w:id="476"/>
      <w:bookmarkEnd w:id="477"/>
      <w:r>
        <w:t>系统架构图如下：</w:t>
      </w:r>
    </w:p>
    <w:p>
      <w:r>
        <w:object>
          <v:shape id="_x0000_i1025" o:spt="75" type="#_x0000_t75" style="height:247.3pt;width:334.95pt;" o:ole="t" filled="f" o:preferrelative="t" stroked="f" coordsize="21600,21600">
            <v:path/>
            <v:fill on="f" focussize="0,0"/>
            <v:stroke on="f" joinstyle="miter"/>
            <v:imagedata r:id="rId17" o:title=""/>
            <o:lock v:ext="edit" aspectratio="t"/>
            <w10:wrap type="none"/>
            <w10:anchorlock/>
          </v:shape>
          <o:OLEObject Type="Embed" ProgID="Visio.Drawing.11" ShapeID="_x0000_i1025" DrawAspect="Content" ObjectID="_1468075725" r:id="rId16">
            <o:LockedField>false</o:LockedField>
          </o:OLEObject>
        </w:object>
      </w:r>
    </w:p>
    <w:p>
      <w:bookmarkStart w:id="478" w:name="_Toc13737"/>
      <w:r>
        <w:t>图1-1系统架构设计系统架构图</w:t>
      </w:r>
      <w:bookmarkEnd w:id="478"/>
    </w:p>
    <w:p>
      <w:pPr>
        <w:adjustRightInd w:val="0"/>
        <w:snapToGrid w:val="0"/>
        <w:spacing w:line="360" w:lineRule="auto"/>
        <w:ind w:firstLine="420" w:firstLineChars="200"/>
      </w:pPr>
      <w:r>
        <w:t>（2）系统架构说明</w:t>
      </w:r>
    </w:p>
    <w:p>
      <w:pPr>
        <w:adjustRightInd w:val="0"/>
        <w:snapToGrid w:val="0"/>
        <w:spacing w:line="360" w:lineRule="auto"/>
        <w:ind w:firstLine="420" w:firstLineChars="200"/>
      </w:pPr>
      <w:r>
        <w:t>整个系统采用云计算、物联网、互联网、GPS、3G/4G无线网络技术，按照B/S方式架构。具有技术先进性、部署容易性、管理维护简单性、易扩展性和访问方便性。系统主要由云端服务器集群系统、车载数据采集传输系统、工厂内自动汽车衡系统组成。提供从餐厨废弃物的派工、收集、运输、入厂计量全过程的管理。实现人员、车辆、路径、重量、商户地点等所有要素的记录跟踪。</w:t>
      </w:r>
    </w:p>
    <w:p>
      <w:pPr>
        <w:adjustRightInd w:val="0"/>
        <w:snapToGrid w:val="0"/>
        <w:spacing w:line="360" w:lineRule="auto"/>
        <w:ind w:firstLine="420" w:firstLineChars="200"/>
      </w:pPr>
      <w:r>
        <w:t>（3）云端服务器集群系统</w:t>
      </w:r>
    </w:p>
    <w:p>
      <w:pPr>
        <w:adjustRightInd w:val="0"/>
        <w:snapToGrid w:val="0"/>
        <w:spacing w:line="360" w:lineRule="auto"/>
        <w:ind w:firstLine="420" w:firstLineChars="200"/>
      </w:pPr>
      <w:r>
        <w:t>系统和所有的数据最终存储在位于云端的服务器集群上。云计算服务由第三方云服务供应商提供。这种部署方式要求具有电信级的系统稳定性、安全性和可靠性。成本比自建机房和架设服务器低很多，而且云端的资源可以根据需要增加而不用改变整个系统。如果有新建设的公司需要加入到系统中，只要申请增加云端的资源就可以了，可以做到按需部署。所有的系统都驻留于云端，处于同一个数据中心同一个服务器中，便于将来从集团视角进行数据处理和集中管控。</w:t>
      </w:r>
    </w:p>
    <w:p>
      <w:pPr>
        <w:adjustRightInd w:val="0"/>
        <w:snapToGrid w:val="0"/>
        <w:spacing w:line="360" w:lineRule="auto"/>
        <w:ind w:firstLine="420" w:firstLineChars="200"/>
      </w:pPr>
      <w:r>
        <w:t>应用系统采用B/S(服务器/浏览器)架构部署。用户只要能上网，就可以登录系统。无论何时何地都可以使用系统。B/S架构的使用使得用户端不需要任何的安装配置工作，大大减轻了系统维护的工作量。</w:t>
      </w:r>
    </w:p>
    <w:p>
      <w:pPr>
        <w:adjustRightInd w:val="0"/>
        <w:snapToGrid w:val="0"/>
        <w:spacing w:line="360" w:lineRule="auto"/>
        <w:ind w:firstLine="420" w:firstLineChars="200"/>
      </w:pPr>
      <w:r>
        <w:t>（4）车载数据采集传输系统</w:t>
      </w:r>
    </w:p>
    <w:p>
      <w:pPr>
        <w:adjustRightInd w:val="0"/>
        <w:snapToGrid w:val="0"/>
        <w:spacing w:line="360" w:lineRule="auto"/>
        <w:ind w:firstLine="420" w:firstLineChars="200"/>
      </w:pPr>
      <w:r>
        <w:t>车载系统是整个管控系统主要的数据来源和管理着力点。它集称重、RFID读卡、视频、GPS位置数据的采集于一身。并通过3G/4G无线网络把以上的数据实时的传送到云端的服务器中。为实现各项管理要求提供数据基础。</w:t>
      </w:r>
    </w:p>
    <w:p>
      <w:pPr>
        <w:adjustRightInd w:val="0"/>
        <w:snapToGrid w:val="0"/>
        <w:spacing w:line="360" w:lineRule="auto"/>
        <w:ind w:firstLine="420" w:firstLineChars="200"/>
      </w:pPr>
      <w:r>
        <w:t>称重和RFID读卡功能作为一个分系统一起实现。这套系统曾经在上海世博会和北京奥运会以及全国其它多个城市使用。</w:t>
      </w:r>
    </w:p>
    <w:p>
      <w:pPr>
        <w:adjustRightInd w:val="0"/>
        <w:snapToGrid w:val="0"/>
        <w:spacing w:line="360" w:lineRule="auto"/>
        <w:ind w:firstLine="420" w:firstLineChars="200"/>
      </w:pPr>
      <w:r>
        <w:t>通过对垃圾收运车辆的举升装置做细微的改动，把秤体安装到举升架子上，然后把垃圾桶挂到秤体上。从而实现在垃圾桶举升的过程中称量出桶中重物的重量。整个称量过程不需要人工干预没有停顿，在运动中实现称量。</w:t>
      </w:r>
    </w:p>
    <w:p>
      <w:pPr>
        <w:adjustRightInd w:val="0"/>
        <w:snapToGrid w:val="0"/>
        <w:spacing w:line="360" w:lineRule="auto"/>
        <w:ind w:firstLine="420" w:firstLineChars="200"/>
      </w:pPr>
      <w:r>
        <w:t>桶的侧面和秤体配合。RFID标签装在筒体上，RFID读卡器在桶到达最高点时读取标签信息。</w:t>
      </w:r>
    </w:p>
    <w:p>
      <w:pPr>
        <w:adjustRightInd w:val="0"/>
        <w:snapToGrid w:val="0"/>
        <w:spacing w:line="360" w:lineRule="auto"/>
        <w:ind w:firstLine="420" w:firstLineChars="200"/>
      </w:pPr>
      <w:r>
        <w:t>称重和RFID标签信息由称重控制仪表自动记录和存储。可以通过3G/4G模块传到服务器也可以通过RS232接口传送车载中控台，和GPS数据、视频数据一起传送服务器端。称重仪表同时提供数据显示、报错提醒、单据打印等功能。</w:t>
      </w:r>
    </w:p>
    <w:p>
      <w:pPr>
        <w:adjustRightInd w:val="0"/>
        <w:snapToGrid w:val="0"/>
        <w:spacing w:line="360" w:lineRule="auto"/>
        <w:ind w:firstLine="420" w:firstLineChars="200"/>
      </w:pPr>
      <w:r>
        <w:t>视频、称重、RFID标签数据统一接入到车载总控台。总控台内置GPS和3G/4G模块。总控台把所有的信息按照系统要求的格式和关联关系整理打包后发送给云端的服务器。总控台采用成熟的嵌入式系统。该系统具有众多的标准接口可以连接视频、声音、UBS、RS2332等接口设备。作为一个标准系统具备良好的扩展性。内置操作系统，可以根据具体要求开发相应的功能。</w:t>
      </w:r>
    </w:p>
    <w:p>
      <w:pPr>
        <w:adjustRightInd w:val="0"/>
        <w:snapToGrid w:val="0"/>
        <w:spacing w:line="360" w:lineRule="auto"/>
        <w:ind w:firstLine="420" w:firstLineChars="200"/>
      </w:pPr>
      <w:r>
        <w:t>（4）自动汽车衡系统</w:t>
      </w:r>
    </w:p>
    <w:p>
      <w:pPr>
        <w:adjustRightInd w:val="0"/>
        <w:snapToGrid w:val="0"/>
        <w:spacing w:line="360" w:lineRule="auto"/>
        <w:ind w:firstLine="420" w:firstLineChars="200"/>
      </w:pPr>
      <w:r>
        <w:t>收运车辆回到公司时，通过汽车衡系统自动称量出餐厨废弃物的重量。这个数据用来和每一个商户处的数据做分总稽核。汽车衡系统的数据通过公司的局域网连上Internet进而把数据传送到服务器中。整个系统的组成如下图</w:t>
      </w:r>
      <w:r>
        <w:rPr>
          <w:rFonts w:hint="eastAsia"/>
        </w:rPr>
        <w:t>：</w:t>
      </w:r>
    </w:p>
    <w:p>
      <w:r>
        <w:drawing>
          <wp:inline distT="0" distB="0" distL="0" distR="0">
            <wp:extent cx="4447540" cy="384048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4447540" cy="3840480"/>
                    </a:xfrm>
                    <a:prstGeom prst="rect">
                      <a:avLst/>
                    </a:prstGeom>
                    <a:noFill/>
                    <a:ln>
                      <a:noFill/>
                    </a:ln>
                  </pic:spPr>
                </pic:pic>
              </a:graphicData>
            </a:graphic>
          </wp:inline>
        </w:drawing>
      </w:r>
    </w:p>
    <w:p>
      <w:pPr>
        <w:adjustRightInd w:val="0"/>
        <w:snapToGrid w:val="0"/>
        <w:spacing w:line="360" w:lineRule="auto"/>
        <w:ind w:firstLine="420" w:firstLineChars="200"/>
      </w:pPr>
      <w:bookmarkStart w:id="479" w:name="_Toc20799"/>
      <w:r>
        <w:t>图1-2收运系统组成图</w:t>
      </w:r>
      <w:bookmarkEnd w:id="479"/>
    </w:p>
    <w:bookmarkEnd w:id="468"/>
    <w:bookmarkEnd w:id="469"/>
    <w:bookmarkEnd w:id="470"/>
    <w:bookmarkEnd w:id="471"/>
    <w:bookmarkEnd w:id="472"/>
    <w:bookmarkEnd w:id="473"/>
    <w:bookmarkEnd w:id="474"/>
    <w:p>
      <w:pPr>
        <w:adjustRightInd w:val="0"/>
        <w:snapToGrid w:val="0"/>
        <w:spacing w:line="360" w:lineRule="auto"/>
        <w:ind w:firstLine="420" w:firstLineChars="200"/>
      </w:pPr>
      <w:bookmarkStart w:id="480" w:name="_Toc33448567"/>
      <w:r>
        <w:t>三、公共服务</w:t>
      </w:r>
      <w:bookmarkEnd w:id="480"/>
    </w:p>
    <w:p>
      <w:pPr>
        <w:adjustRightInd w:val="0"/>
        <w:snapToGrid w:val="0"/>
        <w:spacing w:line="360" w:lineRule="auto"/>
        <w:ind w:firstLine="420" w:firstLineChars="200"/>
      </w:pPr>
      <w:r>
        <w:t>通过项目的实施，可为南京市栖霞区提供处理能力餐厨废弃物200吨/日+地沟油30吨/日的餐厨废弃物处置厂，同时建立一套收、运、处完整衔接的餐厨废弃物处置系统。项目的餐厨废弃物处置厂和处置系统可服务于栖霞区100余万人口，实现餐厨废弃物的资源化、减量化、无害化处理，规范餐厨废弃物的管理，改善市容环境卫生。</w:t>
      </w:r>
    </w:p>
    <w:p>
      <w:pPr>
        <w:adjustRightInd w:val="0"/>
        <w:snapToGrid w:val="0"/>
        <w:spacing w:line="360" w:lineRule="auto"/>
        <w:ind w:firstLine="420" w:firstLineChars="200"/>
      </w:pPr>
      <w:r>
        <w:t>本项目的产出物主要有电能、油脂</w:t>
      </w:r>
      <w:r>
        <w:rPr>
          <w:rFonts w:hint="eastAsia"/>
        </w:rPr>
        <w:t>等</w:t>
      </w:r>
      <w:r>
        <w:t>。</w:t>
      </w:r>
    </w:p>
    <w:p>
      <w:r>
        <w:t>表1-5  项目产出物一览表</w:t>
      </w:r>
    </w:p>
    <w:tbl>
      <w:tblPr>
        <w:tblStyle w:val="40"/>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Layout w:type="autofit"/>
        <w:tblCellMar>
          <w:top w:w="0" w:type="dxa"/>
          <w:left w:w="108" w:type="dxa"/>
          <w:bottom w:w="0" w:type="dxa"/>
          <w:right w:w="108" w:type="dxa"/>
        </w:tblCellMar>
      </w:tblPr>
      <w:tblGrid>
        <w:gridCol w:w="1376"/>
        <w:gridCol w:w="4574"/>
        <w:gridCol w:w="1085"/>
        <w:gridCol w:w="14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807" w:type="pct"/>
            <w:shd w:val="clear" w:color="auto" w:fill="FFFFFF"/>
            <w:noWrap/>
            <w:vAlign w:val="center"/>
          </w:tcPr>
          <w:p>
            <w:r>
              <w:t>序号</w:t>
            </w:r>
          </w:p>
        </w:tc>
        <w:tc>
          <w:tcPr>
            <w:tcW w:w="2682" w:type="pct"/>
            <w:shd w:val="clear" w:color="auto" w:fill="FFFFFF"/>
            <w:noWrap/>
            <w:vAlign w:val="center"/>
          </w:tcPr>
          <w:p>
            <w:r>
              <w:t>产品名称</w:t>
            </w:r>
          </w:p>
        </w:tc>
        <w:tc>
          <w:tcPr>
            <w:tcW w:w="636" w:type="pct"/>
            <w:shd w:val="clear" w:color="auto" w:fill="FFFFFF"/>
            <w:noWrap/>
            <w:vAlign w:val="center"/>
          </w:tcPr>
          <w:p>
            <w:r>
              <w:t>单位</w:t>
            </w:r>
          </w:p>
        </w:tc>
        <w:tc>
          <w:tcPr>
            <w:tcW w:w="875" w:type="pct"/>
            <w:shd w:val="clear" w:color="auto" w:fill="FFFFFF"/>
            <w:noWrap/>
            <w:vAlign w:val="center"/>
          </w:tcPr>
          <w:p>
            <w:r>
              <w:t>产量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240" w:hRule="atLeast"/>
        </w:trPr>
        <w:tc>
          <w:tcPr>
            <w:tcW w:w="807" w:type="pct"/>
            <w:shd w:val="clear" w:color="auto" w:fill="FFFFFF"/>
            <w:noWrap/>
            <w:vAlign w:val="center"/>
          </w:tcPr>
          <w:p>
            <w:r>
              <w:t>1</w:t>
            </w:r>
          </w:p>
        </w:tc>
        <w:tc>
          <w:tcPr>
            <w:tcW w:w="2682" w:type="pct"/>
            <w:shd w:val="clear" w:color="auto" w:fill="FFFFFF"/>
            <w:noWrap/>
            <w:vAlign w:val="center"/>
          </w:tcPr>
          <w:p>
            <w:r>
              <w:t>油脂</w:t>
            </w:r>
          </w:p>
        </w:tc>
        <w:tc>
          <w:tcPr>
            <w:tcW w:w="636" w:type="pct"/>
            <w:shd w:val="clear" w:color="auto" w:fill="FFFFFF"/>
            <w:noWrap/>
            <w:vAlign w:val="center"/>
          </w:tcPr>
          <w:p>
            <w:r>
              <w:t>吨</w:t>
            </w:r>
          </w:p>
        </w:tc>
        <w:tc>
          <w:tcPr>
            <w:tcW w:w="875" w:type="pct"/>
            <w:shd w:val="clear" w:color="auto" w:fill="FFFFFF"/>
            <w:noWrap/>
            <w:vAlign w:val="center"/>
          </w:tcPr>
          <w:p>
            <w:r>
              <w:t>152,172.15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240" w:hRule="atLeast"/>
        </w:trPr>
        <w:tc>
          <w:tcPr>
            <w:tcW w:w="807" w:type="pct"/>
            <w:shd w:val="clear" w:color="auto" w:fill="FFFFFF"/>
            <w:noWrap/>
            <w:vAlign w:val="center"/>
          </w:tcPr>
          <w:p>
            <w:r>
              <w:t>2</w:t>
            </w:r>
          </w:p>
        </w:tc>
        <w:tc>
          <w:tcPr>
            <w:tcW w:w="2682" w:type="pct"/>
            <w:shd w:val="clear" w:color="auto" w:fill="FFFFFF"/>
            <w:noWrap/>
            <w:vAlign w:val="center"/>
          </w:tcPr>
          <w:p>
            <w:r>
              <w:t>电能</w:t>
            </w:r>
          </w:p>
        </w:tc>
        <w:tc>
          <w:tcPr>
            <w:tcW w:w="636" w:type="pct"/>
            <w:shd w:val="clear" w:color="auto" w:fill="FFFFFF"/>
            <w:noWrap/>
            <w:vAlign w:val="center"/>
          </w:tcPr>
          <w:p>
            <w:r>
              <w:t>万kW·h</w:t>
            </w:r>
          </w:p>
        </w:tc>
        <w:tc>
          <w:tcPr>
            <w:tcW w:w="875" w:type="pct"/>
            <w:shd w:val="clear" w:color="auto" w:fill="FFFFFF"/>
            <w:noWrap/>
            <w:vAlign w:val="center"/>
          </w:tcPr>
          <w:p>
            <w:r>
              <w:t>21,785.03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240" w:hRule="atLeast"/>
        </w:trPr>
        <w:tc>
          <w:tcPr>
            <w:tcW w:w="807" w:type="pct"/>
            <w:shd w:val="clear" w:color="auto" w:fill="FFFFFF"/>
            <w:noWrap/>
            <w:vAlign w:val="center"/>
          </w:tcPr>
          <w:p>
            <w:r>
              <w:t>3</w:t>
            </w:r>
          </w:p>
        </w:tc>
        <w:tc>
          <w:tcPr>
            <w:tcW w:w="2682" w:type="pct"/>
            <w:shd w:val="clear" w:color="auto" w:fill="FFFFFF"/>
            <w:noWrap/>
            <w:vAlign w:val="center"/>
          </w:tcPr>
          <w:p>
            <w:r>
              <w:t>场地平整</w:t>
            </w:r>
          </w:p>
        </w:tc>
        <w:tc>
          <w:tcPr>
            <w:tcW w:w="636" w:type="pct"/>
            <w:shd w:val="clear" w:color="auto" w:fill="FFFFFF"/>
            <w:noWrap/>
            <w:vAlign w:val="center"/>
          </w:tcPr>
          <w:p>
            <w:r>
              <w:t>亩</w:t>
            </w:r>
          </w:p>
        </w:tc>
        <w:tc>
          <w:tcPr>
            <w:tcW w:w="875" w:type="pct"/>
            <w:shd w:val="clear" w:color="auto" w:fill="FFFFFF"/>
            <w:noWrap/>
            <w:vAlign w:val="center"/>
          </w:tcPr>
          <w:p>
            <w: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240" w:hRule="atLeast"/>
        </w:trPr>
        <w:tc>
          <w:tcPr>
            <w:tcW w:w="807" w:type="pct"/>
            <w:shd w:val="clear" w:color="auto" w:fill="FFFFFF"/>
            <w:noWrap/>
            <w:vAlign w:val="center"/>
          </w:tcPr>
          <w:p>
            <w:r>
              <w:t>4</w:t>
            </w:r>
          </w:p>
        </w:tc>
        <w:tc>
          <w:tcPr>
            <w:tcW w:w="2682" w:type="pct"/>
            <w:shd w:val="clear" w:color="auto" w:fill="FFFFFF"/>
            <w:noWrap/>
            <w:vAlign w:val="center"/>
          </w:tcPr>
          <w:p>
            <w:r>
              <w:t>电线杆迁移</w:t>
            </w:r>
          </w:p>
        </w:tc>
        <w:tc>
          <w:tcPr>
            <w:tcW w:w="636" w:type="pct"/>
            <w:shd w:val="clear" w:color="auto" w:fill="FFFFFF"/>
            <w:noWrap/>
            <w:vAlign w:val="center"/>
          </w:tcPr>
          <w:p>
            <w:r>
              <w:t>个</w:t>
            </w:r>
          </w:p>
        </w:tc>
        <w:tc>
          <w:tcPr>
            <w:tcW w:w="875" w:type="pct"/>
            <w:shd w:val="clear" w:color="auto" w:fill="FFFFFF"/>
            <w:noWrap/>
            <w:vAlign w:val="center"/>
          </w:tcPr>
          <w:p>
            <w:r>
              <w:t>6</w:t>
            </w:r>
          </w:p>
        </w:tc>
      </w:tr>
      <w:bookmarkEnd w:id="475"/>
    </w:tbl>
    <w:p/>
    <w:p>
      <w:pPr>
        <w:adjustRightInd w:val="0"/>
        <w:snapToGrid w:val="0"/>
        <w:spacing w:line="360" w:lineRule="auto"/>
        <w:ind w:firstLine="422" w:firstLineChars="200"/>
        <w:rPr>
          <w:b/>
          <w:bCs/>
        </w:rPr>
      </w:pPr>
      <w:r>
        <w:rPr>
          <w:rFonts w:hint="eastAsia"/>
          <w:b/>
          <w:bCs/>
        </w:rPr>
        <w:t>第3节项目运作方式</w:t>
      </w:r>
    </w:p>
    <w:p>
      <w:pPr>
        <w:adjustRightInd w:val="0"/>
        <w:snapToGrid w:val="0"/>
        <w:spacing w:line="360" w:lineRule="auto"/>
        <w:ind w:firstLine="420" w:firstLineChars="200"/>
      </w:pPr>
      <w:bookmarkStart w:id="481" w:name="_Toc33448591"/>
      <w:r>
        <w:t>一、项目运作方式</w:t>
      </w:r>
      <w:bookmarkEnd w:id="481"/>
    </w:p>
    <w:p>
      <w:pPr>
        <w:adjustRightInd w:val="0"/>
        <w:snapToGrid w:val="0"/>
        <w:spacing w:line="360" w:lineRule="auto"/>
        <w:ind w:firstLine="420" w:firstLineChars="200"/>
      </w:pPr>
      <w:bookmarkStart w:id="482" w:name="_Hlk8045542"/>
      <w:r>
        <w:t>本项目运作方式“建设-运营-移交（BOT）”，合作期共计28年，含建设期1年。合作期内，栖霞区人民政府授予项目公司特许经营权，项目公司负责本项目范围内投融资、建设工作，收运、处置项目范围内餐厨废弃物，期限届满，项目公司将项目范围内相关设施及权利移交给栖霞区人民政府或其指定机构。</w:t>
      </w:r>
    </w:p>
    <w:p>
      <w:pPr>
        <w:adjustRightInd w:val="0"/>
        <w:snapToGrid w:val="0"/>
        <w:spacing w:line="360" w:lineRule="auto"/>
        <w:ind w:firstLine="420" w:firstLineChars="200"/>
      </w:pPr>
      <w:r>
        <w:t>（1）建设期，项目公司工作内容如下：</w:t>
      </w:r>
    </w:p>
    <w:p>
      <w:pPr>
        <w:adjustRightInd w:val="0"/>
        <w:snapToGrid w:val="0"/>
        <w:spacing w:line="360" w:lineRule="auto"/>
        <w:ind w:firstLine="420" w:firstLineChars="200"/>
      </w:pPr>
      <w:r>
        <w:t>1）负责餐厨废弃物智能化收运系统和数字化管理平台建设，承担相关的费用、责任和风险；</w:t>
      </w:r>
    </w:p>
    <w:p>
      <w:pPr>
        <w:adjustRightInd w:val="0"/>
        <w:snapToGrid w:val="0"/>
        <w:spacing w:line="360" w:lineRule="auto"/>
        <w:ind w:firstLine="420" w:firstLineChars="200"/>
      </w:pPr>
      <w:r>
        <w:t>2）负责处理能力餐厨废弃物200吨/日+地沟油30吨/日的餐厨废弃物处置厂建设，承担相关的费用、责任和风险；</w:t>
      </w:r>
    </w:p>
    <w:p>
      <w:pPr>
        <w:adjustRightInd w:val="0"/>
        <w:snapToGrid w:val="0"/>
        <w:spacing w:line="360" w:lineRule="auto"/>
        <w:ind w:firstLine="420" w:firstLineChars="200"/>
      </w:pPr>
      <w:r>
        <w:t>3）负责项目范围内相关配套设施建设，承担相关的费用、责任和风险；</w:t>
      </w:r>
    </w:p>
    <w:p>
      <w:pPr>
        <w:adjustRightInd w:val="0"/>
        <w:snapToGrid w:val="0"/>
        <w:spacing w:line="360" w:lineRule="auto"/>
        <w:ind w:firstLine="420" w:firstLineChars="200"/>
      </w:pPr>
      <w:r>
        <w:t>4）承担土地土地费用。</w:t>
      </w:r>
    </w:p>
    <w:p>
      <w:pPr>
        <w:adjustRightInd w:val="0"/>
        <w:snapToGrid w:val="0"/>
        <w:spacing w:line="360" w:lineRule="auto"/>
        <w:ind w:firstLine="420" w:firstLineChars="200"/>
      </w:pPr>
      <w:r>
        <w:t>（2）运营期，项目公司工作内容如下：</w:t>
      </w:r>
    </w:p>
    <w:p>
      <w:pPr>
        <w:adjustRightInd w:val="0"/>
        <w:snapToGrid w:val="0"/>
        <w:spacing w:line="360" w:lineRule="auto"/>
        <w:ind w:firstLine="420" w:firstLineChars="200"/>
      </w:pPr>
      <w:r>
        <w:t>1）负责餐厨废弃物智能化收运系统和数字化管理平台运营，承担相关的费用、责任和风险；</w:t>
      </w:r>
    </w:p>
    <w:p>
      <w:pPr>
        <w:adjustRightInd w:val="0"/>
        <w:snapToGrid w:val="0"/>
        <w:spacing w:line="360" w:lineRule="auto"/>
        <w:ind w:firstLine="420" w:firstLineChars="200"/>
      </w:pPr>
      <w:r>
        <w:t>2）负责处理能力餐厨废弃物200吨/日+地沟油30吨/日的餐厨废弃物处置厂运营，承担相关的费用、责任和风险；</w:t>
      </w:r>
    </w:p>
    <w:p>
      <w:pPr>
        <w:adjustRightInd w:val="0"/>
        <w:snapToGrid w:val="0"/>
        <w:spacing w:line="360" w:lineRule="auto"/>
        <w:ind w:firstLine="420" w:firstLineChars="200"/>
      </w:pPr>
      <w:r>
        <w:t>3）项目范围内相关设施维护，承担相关的费用、责任和风险。</w:t>
      </w:r>
      <w:bookmarkEnd w:id="482"/>
    </w:p>
    <w:p>
      <w:pPr>
        <w:adjustRightInd w:val="0"/>
        <w:snapToGrid w:val="0"/>
        <w:spacing w:line="360" w:lineRule="auto"/>
        <w:ind w:firstLine="420" w:firstLineChars="200"/>
      </w:pPr>
      <w:r>
        <w:t>（3）合作期满</w:t>
      </w:r>
    </w:p>
    <w:p>
      <w:pPr>
        <w:adjustRightInd w:val="0"/>
        <w:snapToGrid w:val="0"/>
        <w:spacing w:line="360" w:lineRule="auto"/>
        <w:ind w:firstLine="420" w:firstLineChars="200"/>
      </w:pPr>
      <w:r>
        <w:t>项目公司将项目范围内相关设施及权利无偿移交给栖霞区人民政府或其指定机构。</w:t>
      </w:r>
    </w:p>
    <w:p>
      <w:pPr>
        <w:adjustRightInd w:val="0"/>
        <w:snapToGrid w:val="0"/>
        <w:spacing w:line="360" w:lineRule="auto"/>
        <w:ind w:firstLine="420" w:firstLineChars="200"/>
      </w:pPr>
      <w:bookmarkStart w:id="483" w:name="_Toc33448592"/>
      <w:r>
        <w:t>二、项目运作结构图</w:t>
      </w:r>
      <w:bookmarkEnd w:id="483"/>
    </w:p>
    <w:p>
      <w:pPr>
        <w:adjustRightInd w:val="0"/>
        <w:snapToGrid w:val="0"/>
        <w:spacing w:line="360" w:lineRule="auto"/>
        <w:ind w:firstLine="420" w:firstLineChars="200"/>
      </w:pPr>
      <w:r>
        <w:t>项目运作结构图如下：</w:t>
      </w:r>
    </w:p>
    <w:p>
      <w:pPr>
        <w:spacing w:line="360" w:lineRule="auto"/>
        <w:jc w:val="center"/>
      </w:pPr>
      <w:bookmarkStart w:id="484" w:name="_Hlk32430868"/>
      <w:r>
        <w:object>
          <v:shape id="_x0000_i1026" o:spt="75" type="#_x0000_t75" style="height:347.5pt;width:372.5pt;" o:ole="t" filled="f" o:preferrelative="t" stroked="f" coordsize="21600,21600">
            <v:path/>
            <v:fill on="f" focussize="0,0"/>
            <v:stroke on="f" joinstyle="miter"/>
            <v:imagedata r:id="rId20" o:title=""/>
            <o:lock v:ext="edit" aspectratio="t"/>
            <w10:wrap type="none"/>
            <w10:anchorlock/>
          </v:shape>
          <o:OLEObject Type="Embed" ProgID="Visio.Drawing.11" ShapeID="_x0000_i1026" DrawAspect="Content" ObjectID="_1468075726" r:id="rId19">
            <o:LockedField>false</o:LockedField>
          </o:OLEObject>
        </w:object>
      </w:r>
      <w:bookmarkEnd w:id="484"/>
    </w:p>
    <w:p>
      <w:pPr>
        <w:jc w:val="center"/>
      </w:pPr>
      <w:r>
        <w:rPr>
          <w:bCs/>
        </w:rPr>
        <w:t>图3-1  项目运作结构图</w:t>
      </w:r>
      <w:bookmarkEnd w:id="457"/>
      <w:bookmarkEnd w:id="458"/>
      <w:bookmarkEnd w:id="463"/>
    </w:p>
    <w:p>
      <w:pPr>
        <w:adjustRightInd w:val="0"/>
        <w:snapToGrid w:val="0"/>
        <w:spacing w:line="360" w:lineRule="auto"/>
        <w:ind w:firstLine="420" w:firstLineChars="200"/>
      </w:pPr>
    </w:p>
    <w:p>
      <w:pPr>
        <w:adjustRightInd w:val="0"/>
        <w:snapToGrid w:val="0"/>
        <w:spacing w:line="360" w:lineRule="auto"/>
        <w:ind w:firstLine="420" w:firstLineChars="200"/>
      </w:pPr>
    </w:p>
    <w:p>
      <w:pPr>
        <w:adjustRightInd w:val="0"/>
        <w:snapToGrid w:val="0"/>
        <w:spacing w:line="360" w:lineRule="auto"/>
        <w:ind w:firstLine="422" w:firstLineChars="200"/>
        <w:rPr>
          <w:b/>
          <w:bCs/>
        </w:rPr>
      </w:pPr>
      <w:r>
        <w:rPr>
          <w:rFonts w:hint="eastAsia"/>
          <w:b/>
          <w:bCs/>
        </w:rPr>
        <w:t>第4节项目公司组建</w:t>
      </w:r>
    </w:p>
    <w:p>
      <w:pPr>
        <w:adjustRightInd w:val="0"/>
        <w:snapToGrid w:val="0"/>
        <w:spacing w:line="360" w:lineRule="auto"/>
        <w:ind w:firstLine="420" w:firstLineChars="200"/>
      </w:pPr>
      <w:r>
        <w:rPr>
          <w:rFonts w:hint="eastAsia"/>
        </w:rPr>
        <w:t>政府方出资代表与中标的社会资本方共同出资组建项目公司，由项目公司负责项目的投融资、建设、运营维护、移交工作。政府方出资代表在项目公司董事会及监事会中至少保留一位董事及一位监事，针对涉及公共利益、公共安全等重大事项享有一票否决权。政府方出资代表与社会资本方签订《股东协议》并共同拟定项目公司的《公司章程》，用以在股东之间建立长期的、有约束力的合约关系。</w:t>
      </w:r>
    </w:p>
    <w:p>
      <w:pPr>
        <w:adjustRightInd w:val="0"/>
        <w:snapToGrid w:val="0"/>
        <w:spacing w:line="360" w:lineRule="auto"/>
        <w:ind w:firstLine="420" w:firstLineChars="200"/>
      </w:pPr>
      <w:r>
        <w:rPr>
          <w:rFonts w:hint="eastAsia"/>
        </w:rPr>
        <w:t>项目公司组建的相关事宜详见《股东协议》和《公司章程》。</w:t>
      </w:r>
    </w:p>
    <w:p>
      <w:pPr>
        <w:adjustRightInd w:val="0"/>
        <w:snapToGrid w:val="0"/>
        <w:spacing w:line="360" w:lineRule="auto"/>
        <w:ind w:firstLine="420" w:firstLineChars="200"/>
      </w:pPr>
    </w:p>
    <w:p>
      <w:pPr>
        <w:adjustRightInd w:val="0"/>
        <w:snapToGrid w:val="0"/>
        <w:spacing w:line="360" w:lineRule="auto"/>
        <w:ind w:firstLine="422" w:firstLineChars="200"/>
        <w:rPr>
          <w:b/>
          <w:bCs/>
        </w:rPr>
      </w:pPr>
      <w:r>
        <w:rPr>
          <w:rFonts w:hint="eastAsia"/>
          <w:b/>
          <w:bCs/>
        </w:rPr>
        <w:t>第5节项目建设</w:t>
      </w:r>
    </w:p>
    <w:p>
      <w:pPr>
        <w:adjustRightInd w:val="0"/>
        <w:snapToGrid w:val="0"/>
        <w:spacing w:line="360" w:lineRule="auto"/>
        <w:ind w:firstLine="420" w:firstLineChars="200"/>
      </w:pPr>
      <w:r>
        <w:rPr>
          <w:rFonts w:hint="eastAsia"/>
        </w:rPr>
        <w:t>（1）设计</w:t>
      </w:r>
    </w:p>
    <w:p>
      <w:pPr>
        <w:adjustRightInd w:val="0"/>
        <w:snapToGrid w:val="0"/>
        <w:spacing w:line="360" w:lineRule="auto"/>
        <w:ind w:firstLine="420" w:firstLineChars="200"/>
      </w:pPr>
      <w:r>
        <w:rPr>
          <w:rFonts w:hint="eastAsia"/>
        </w:rPr>
        <w:t>实施机构通过法定程序确定勘察、初步设计、施工图设计单位。</w:t>
      </w:r>
    </w:p>
    <w:p>
      <w:pPr>
        <w:adjustRightInd w:val="0"/>
        <w:snapToGrid w:val="0"/>
        <w:spacing w:line="360" w:lineRule="auto"/>
        <w:ind w:firstLine="420" w:firstLineChars="200"/>
      </w:pPr>
      <w:r>
        <w:rPr>
          <w:rFonts w:hint="eastAsia"/>
        </w:rPr>
        <w:t>（2）项目建设内容</w:t>
      </w:r>
    </w:p>
    <w:p>
      <w:pPr>
        <w:adjustRightInd w:val="0"/>
        <w:snapToGrid w:val="0"/>
        <w:spacing w:line="360" w:lineRule="auto"/>
        <w:ind w:firstLine="420" w:firstLineChars="200"/>
      </w:pPr>
      <w:r>
        <w:rPr>
          <w:rFonts w:hint="eastAsia"/>
        </w:rPr>
        <w:t>1）餐厨废弃物智能化收运系统和数字化管理平台；</w:t>
      </w:r>
    </w:p>
    <w:p>
      <w:pPr>
        <w:adjustRightInd w:val="0"/>
        <w:snapToGrid w:val="0"/>
        <w:spacing w:line="360" w:lineRule="auto"/>
        <w:ind w:firstLine="420" w:firstLineChars="200"/>
      </w:pPr>
      <w:r>
        <w:rPr>
          <w:rFonts w:hint="eastAsia"/>
        </w:rPr>
        <w:t>2）处理能力餐厨废弃物200吨/日+地沟油30吨/日的餐厨废弃物处置厂；</w:t>
      </w:r>
    </w:p>
    <w:p>
      <w:pPr>
        <w:adjustRightInd w:val="0"/>
        <w:snapToGrid w:val="0"/>
        <w:spacing w:line="360" w:lineRule="auto"/>
        <w:ind w:firstLine="420" w:firstLineChars="200"/>
      </w:pPr>
      <w:r>
        <w:rPr>
          <w:rFonts w:hint="eastAsia"/>
        </w:rPr>
        <w:t>3）项目范围内的配套设施。</w:t>
      </w:r>
    </w:p>
    <w:p>
      <w:pPr>
        <w:adjustRightInd w:val="0"/>
        <w:snapToGrid w:val="0"/>
        <w:spacing w:line="360" w:lineRule="auto"/>
        <w:ind w:firstLine="420" w:firstLineChars="200"/>
      </w:pPr>
      <w:r>
        <w:rPr>
          <w:rFonts w:hint="eastAsia"/>
        </w:rPr>
        <w:t>（3）项目建设要求</w:t>
      </w:r>
    </w:p>
    <w:p>
      <w:pPr>
        <w:adjustRightInd w:val="0"/>
        <w:snapToGrid w:val="0"/>
        <w:spacing w:line="360" w:lineRule="auto"/>
        <w:ind w:firstLine="420" w:firstLineChars="200"/>
      </w:pPr>
      <w:r>
        <w:rPr>
          <w:rFonts w:hint="eastAsia"/>
        </w:rPr>
        <w:t>1）设计、施工、验收按照国家及行业相关现行的标准规范执行；</w:t>
      </w:r>
    </w:p>
    <w:p>
      <w:pPr>
        <w:adjustRightInd w:val="0"/>
        <w:snapToGrid w:val="0"/>
        <w:spacing w:line="360" w:lineRule="auto"/>
        <w:ind w:firstLine="420" w:firstLineChars="200"/>
      </w:pPr>
      <w:r>
        <w:rPr>
          <w:rFonts w:hint="eastAsia"/>
        </w:rPr>
        <w:t>2）项目公司应建立、健全和完善安全生产制度及安全运行保障体系，确保项目设施安全运行，防止责任事故发生；</w:t>
      </w:r>
    </w:p>
    <w:p>
      <w:pPr>
        <w:adjustRightInd w:val="0"/>
        <w:snapToGrid w:val="0"/>
        <w:spacing w:line="360" w:lineRule="auto"/>
        <w:ind w:firstLine="420" w:firstLineChars="200"/>
      </w:pPr>
      <w:r>
        <w:rPr>
          <w:rFonts w:hint="eastAsia"/>
        </w:rPr>
        <w:t>3）项目公司不应因项目设施的建设或运营维护而造成环境污染。</w:t>
      </w:r>
    </w:p>
    <w:p>
      <w:pPr>
        <w:adjustRightInd w:val="0"/>
        <w:snapToGrid w:val="0"/>
        <w:spacing w:line="360" w:lineRule="auto"/>
        <w:ind w:firstLine="420" w:firstLineChars="200"/>
      </w:pPr>
      <w:r>
        <w:rPr>
          <w:rFonts w:hint="eastAsia"/>
        </w:rPr>
        <w:t>（4）建设时间</w:t>
      </w:r>
    </w:p>
    <w:p>
      <w:pPr>
        <w:adjustRightInd w:val="0"/>
        <w:snapToGrid w:val="0"/>
        <w:spacing w:line="360" w:lineRule="auto"/>
        <w:ind w:firstLine="420" w:firstLineChars="200"/>
      </w:pPr>
      <w:r>
        <w:rPr>
          <w:rFonts w:hint="eastAsia"/>
        </w:rPr>
        <w:t>自项目监理工程师发出的开工令所载明的日期起，竣工之日止。</w:t>
      </w:r>
    </w:p>
    <w:p>
      <w:pPr>
        <w:adjustRightInd w:val="0"/>
        <w:snapToGrid w:val="0"/>
        <w:spacing w:line="360" w:lineRule="auto"/>
        <w:ind w:firstLine="420" w:firstLineChars="200"/>
      </w:pPr>
      <w:r>
        <w:rPr>
          <w:rFonts w:hint="eastAsia"/>
        </w:rPr>
        <w:t>（5）项目监理</w:t>
      </w:r>
    </w:p>
    <w:p>
      <w:pPr>
        <w:adjustRightInd w:val="0"/>
        <w:snapToGrid w:val="0"/>
        <w:spacing w:line="360" w:lineRule="auto"/>
        <w:ind w:firstLine="420" w:firstLineChars="200"/>
      </w:pPr>
      <w:r>
        <w:rPr>
          <w:rFonts w:hint="eastAsia"/>
        </w:rPr>
        <w:t>项目监理单位由实施机构通过法定方式确定，签订监理合同，由项目公司支付监理费用。</w:t>
      </w:r>
    </w:p>
    <w:p>
      <w:pPr>
        <w:adjustRightInd w:val="0"/>
        <w:snapToGrid w:val="0"/>
        <w:spacing w:line="360" w:lineRule="auto"/>
        <w:ind w:firstLine="420" w:firstLineChars="200"/>
      </w:pPr>
      <w:r>
        <w:rPr>
          <w:rFonts w:hint="eastAsia"/>
        </w:rPr>
        <w:t>（6）供应商选择</w:t>
      </w:r>
    </w:p>
    <w:p>
      <w:pPr>
        <w:adjustRightInd w:val="0"/>
        <w:snapToGrid w:val="0"/>
        <w:spacing w:line="360" w:lineRule="auto"/>
        <w:ind w:firstLine="420" w:firstLineChars="200"/>
      </w:pPr>
      <w:r>
        <w:rPr>
          <w:rFonts w:hint="eastAsia"/>
        </w:rPr>
        <w:t>1）项目公司通过法定程序确定供应商，采购方案报实施机构审查。拟聘用的供应商确定之后，项目公司应将供应商资质证明材料及拟签订的合同提交实施机构审查。社会资本方依法能够自行建设、生产或者提供的，可由其自行建设、生产或提供。</w:t>
      </w:r>
    </w:p>
    <w:p>
      <w:pPr>
        <w:adjustRightInd w:val="0"/>
        <w:snapToGrid w:val="0"/>
        <w:spacing w:line="360" w:lineRule="auto"/>
        <w:ind w:firstLine="420" w:firstLineChars="200"/>
      </w:pPr>
      <w:r>
        <w:rPr>
          <w:rFonts w:hint="eastAsia"/>
        </w:rPr>
        <w:t>2）项目公司根据市场公允价格以及相关法律法规测算项目各设备采购与服务价格。市场公允价格由价格比选小组确定，建议价格比选小组由项目公司、实施机构、财政局、审计机构以及相关主管部门及外聘专家等成员组成。</w:t>
      </w:r>
    </w:p>
    <w:p>
      <w:pPr>
        <w:adjustRightInd w:val="0"/>
        <w:snapToGrid w:val="0"/>
        <w:spacing w:line="360" w:lineRule="auto"/>
        <w:ind w:firstLine="420" w:firstLineChars="200"/>
      </w:pPr>
      <w:r>
        <w:rPr>
          <w:rFonts w:hint="eastAsia"/>
        </w:rPr>
        <w:t>3）项目公司在本项目项下的责任不因项目部分或全部由项目公司分包给供应商实施而豁免或解除。</w:t>
      </w:r>
    </w:p>
    <w:p>
      <w:pPr>
        <w:adjustRightInd w:val="0"/>
        <w:snapToGrid w:val="0"/>
        <w:spacing w:line="360" w:lineRule="auto"/>
        <w:ind w:firstLine="420" w:firstLineChars="200"/>
      </w:pPr>
      <w:r>
        <w:rPr>
          <w:rFonts w:hint="eastAsia"/>
        </w:rPr>
        <w:t>（7）竣工验收</w:t>
      </w:r>
    </w:p>
    <w:p>
      <w:pPr>
        <w:adjustRightInd w:val="0"/>
        <w:snapToGrid w:val="0"/>
        <w:spacing w:line="360" w:lineRule="auto"/>
        <w:ind w:firstLine="420" w:firstLineChars="200"/>
      </w:pPr>
      <w:r>
        <w:rPr>
          <w:rFonts w:hint="eastAsia"/>
        </w:rPr>
        <w:t>项目初步竣工之后，项目公司进入商业试运营。项目公司应在环境保护、安全生产、消防等各专项验收合格后，申请实施机构组织有关部门联合进行项目竣工验收，实施机构根据竣工报告和试运营报告签发最终竣工证书。最终竣工证书签发日期的次日为商业运营日。</w:t>
      </w:r>
    </w:p>
    <w:p>
      <w:pPr>
        <w:adjustRightInd w:val="0"/>
        <w:snapToGrid w:val="0"/>
        <w:spacing w:line="360" w:lineRule="auto"/>
        <w:ind w:firstLine="420" w:firstLineChars="200"/>
      </w:pPr>
      <w:r>
        <w:rPr>
          <w:rFonts w:hint="eastAsia"/>
        </w:rPr>
        <w:t>（8）项目审计</w:t>
      </w:r>
    </w:p>
    <w:p>
      <w:pPr>
        <w:adjustRightInd w:val="0"/>
        <w:snapToGrid w:val="0"/>
        <w:spacing w:line="360" w:lineRule="auto"/>
        <w:ind w:firstLine="420" w:firstLineChars="200"/>
      </w:pPr>
      <w:r>
        <w:rPr>
          <w:rFonts w:hint="eastAsia"/>
        </w:rPr>
        <w:t>项目跟踪审计、竣工决算审计单位由栖霞区审计局通过法定方式确定，相关费用纳入项目总投资。</w:t>
      </w:r>
    </w:p>
    <w:p>
      <w:pPr>
        <w:adjustRightInd w:val="0"/>
        <w:snapToGrid w:val="0"/>
        <w:spacing w:line="360" w:lineRule="auto"/>
        <w:ind w:firstLine="420" w:firstLineChars="200"/>
      </w:pPr>
      <w:r>
        <w:rPr>
          <w:rFonts w:hint="eastAsia"/>
        </w:rPr>
        <w:t>（9）实施机构对项目建设的监督和介入</w:t>
      </w:r>
    </w:p>
    <w:p>
      <w:pPr>
        <w:adjustRightInd w:val="0"/>
        <w:snapToGrid w:val="0"/>
        <w:spacing w:line="360" w:lineRule="auto"/>
        <w:ind w:firstLine="420" w:firstLineChars="200"/>
      </w:pPr>
      <w:r>
        <w:rPr>
          <w:rFonts w:hint="eastAsia"/>
        </w:rPr>
        <w:t>实施机构在不影响项目正常施工的前提下可按照合同约定派员前往项目现场进行检查和测试，项目公司应向实施机构人员提供便利、配合和协助。</w:t>
      </w:r>
    </w:p>
    <w:p>
      <w:pPr>
        <w:adjustRightInd w:val="0"/>
        <w:snapToGrid w:val="0"/>
        <w:spacing w:line="360" w:lineRule="auto"/>
        <w:ind w:firstLine="420" w:firstLineChars="200"/>
      </w:pPr>
      <w:r>
        <w:rPr>
          <w:rFonts w:hint="eastAsia"/>
        </w:rPr>
        <w:t>（10）项目总投资确认</w:t>
      </w:r>
    </w:p>
    <w:p>
      <w:pPr>
        <w:adjustRightInd w:val="0"/>
        <w:snapToGrid w:val="0"/>
        <w:spacing w:line="360" w:lineRule="auto"/>
        <w:ind w:firstLine="420" w:firstLineChars="200"/>
      </w:pPr>
      <w:r>
        <w:rPr>
          <w:rFonts w:hint="eastAsia"/>
        </w:rPr>
        <w:t>详见项目合同。</w:t>
      </w:r>
    </w:p>
    <w:p>
      <w:pPr>
        <w:adjustRightInd w:val="0"/>
        <w:snapToGrid w:val="0"/>
        <w:spacing w:line="360" w:lineRule="auto"/>
        <w:ind w:firstLine="420" w:firstLineChars="200"/>
      </w:pPr>
      <w:r>
        <w:rPr>
          <w:rFonts w:hint="eastAsia"/>
        </w:rPr>
        <w:t>（1</w:t>
      </w:r>
      <w:r>
        <w:t>1</w:t>
      </w:r>
      <w:r>
        <w:rPr>
          <w:rFonts w:hint="eastAsia"/>
        </w:rPr>
        <w:t>）建设期绩效考核表</w:t>
      </w:r>
    </w:p>
    <w:p>
      <w:pPr>
        <w:widowControl/>
        <w:jc w:val="left"/>
      </w:pPr>
      <w:r>
        <w:br w:type="page"/>
      </w:r>
    </w:p>
    <w:p>
      <w:pPr>
        <w:adjustRightInd w:val="0"/>
        <w:snapToGrid w:val="0"/>
        <w:spacing w:line="360" w:lineRule="auto"/>
        <w:ind w:firstLine="420" w:firstLineChars="200"/>
        <w:sectPr>
          <w:headerReference r:id="rId12" w:type="first"/>
          <w:footerReference r:id="rId14" w:type="first"/>
          <w:headerReference r:id="rId10" w:type="default"/>
          <w:headerReference r:id="rId11" w:type="even"/>
          <w:footerReference r:id="rId13" w:type="even"/>
          <w:pgSz w:w="11906" w:h="16838"/>
          <w:pgMar w:top="1440" w:right="1797" w:bottom="1440" w:left="1797" w:header="851" w:footer="851" w:gutter="0"/>
          <w:cols w:space="425" w:num="1"/>
          <w:docGrid w:linePitch="312" w:charSpace="0"/>
        </w:sectPr>
      </w:pP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7"/>
        <w:gridCol w:w="1131"/>
        <w:gridCol w:w="1553"/>
        <w:gridCol w:w="4805"/>
        <w:gridCol w:w="55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jc w:val="center"/>
        </w:trPr>
        <w:tc>
          <w:tcPr>
            <w:tcW w:w="387"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一级指标</w:t>
            </w:r>
          </w:p>
        </w:tc>
        <w:tc>
          <w:tcPr>
            <w:tcW w:w="399"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二级指标</w:t>
            </w:r>
          </w:p>
        </w:tc>
        <w:tc>
          <w:tcPr>
            <w:tcW w:w="548"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三级指标</w:t>
            </w:r>
          </w:p>
        </w:tc>
        <w:tc>
          <w:tcPr>
            <w:tcW w:w="1695"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考核标准</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扣分办法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产出（45分）</w:t>
            </w: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建设进度（20分）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施工进度计划（5分）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制定合理科学的施工总进度计划、年度计划、月度计划</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kern w:val="0"/>
              </w:rPr>
              <w:t>未编制施工总进度计划、年度计划、月度计划，每缺少一项扣1分，各项计划已编制但未报实施机构审核批准的，每项扣0.5分。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建设进度完成情况</w:t>
            </w:r>
          </w:p>
          <w:p>
            <w:pPr>
              <w:autoSpaceDE w:val="0"/>
              <w:autoSpaceDN w:val="0"/>
              <w:adjustRightInd w:val="0"/>
              <w:snapToGrid w:val="0"/>
              <w:rPr>
                <w:kern w:val="0"/>
              </w:rPr>
            </w:pPr>
            <w:r>
              <w:rPr>
                <w:kern w:val="0"/>
              </w:rPr>
              <w:t>（10分）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实际施工进度与建设计划安排相一致，关键建设节点按计划完成。不因项目公司原因</w:t>
            </w:r>
            <w:r>
              <w:rPr>
                <w:rFonts w:hint="eastAsia"/>
                <w:kern w:val="0"/>
              </w:rPr>
              <w:t>造</w:t>
            </w:r>
            <w:r>
              <w:rPr>
                <w:kern w:val="0"/>
              </w:rPr>
              <w:t>成总体进度滞后影响工程建设。</w:t>
            </w:r>
          </w:p>
        </w:tc>
        <w:tc>
          <w:tcPr>
            <w:tcW w:w="1971" w:type="pct"/>
            <w:tcBorders>
              <w:top w:val="single" w:color="auto" w:sz="4" w:space="0"/>
              <w:left w:val="single" w:color="auto" w:sz="4" w:space="0"/>
              <w:bottom w:val="single" w:color="auto" w:sz="4" w:space="0"/>
              <w:right w:val="single" w:color="auto" w:sz="4" w:space="0"/>
            </w:tcBorders>
            <w:vAlign w:val="center"/>
          </w:tcPr>
          <w:p>
            <w:pPr>
              <w:pStyle w:val="122"/>
              <w:snapToGrid w:val="0"/>
              <w:jc w:val="both"/>
              <w:rPr>
                <w:color w:val="auto"/>
                <w:sz w:val="21"/>
                <w:szCs w:val="21"/>
              </w:rPr>
            </w:pPr>
            <w:r>
              <w:rPr>
                <w:color w:val="auto"/>
                <w:sz w:val="21"/>
                <w:szCs w:val="21"/>
              </w:rPr>
              <w:t>因项目公司或社会资本方原因造成项目进度拖延，未按项目实施机构确认的进度计划执行的，每延误一天扣0.2分。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进度控制措施</w:t>
            </w:r>
          </w:p>
          <w:p>
            <w:pPr>
              <w:autoSpaceDE w:val="0"/>
              <w:autoSpaceDN w:val="0"/>
              <w:adjustRightInd w:val="0"/>
              <w:snapToGrid w:val="0"/>
              <w:rPr>
                <w:kern w:val="0"/>
              </w:rPr>
            </w:pPr>
            <w:r>
              <w:rPr>
                <w:kern w:val="0"/>
              </w:rPr>
              <w:t>（5分）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建立有效的进度风险预警，合理安排建设资源，根据工程进展情况适时优化，调整进度计划，并报项目实施机构确认。</w:t>
            </w:r>
          </w:p>
          <w:p>
            <w:pPr>
              <w:autoSpaceDE w:val="0"/>
              <w:autoSpaceDN w:val="0"/>
              <w:adjustRightInd w:val="0"/>
              <w:snapToGrid w:val="0"/>
              <w:rPr>
                <w:kern w:val="0"/>
              </w:rPr>
            </w:pPr>
            <w:r>
              <w:rPr>
                <w:kern w:val="0"/>
              </w:rPr>
              <w:t>实际进度延误，及时采取有效应对措施，保证工期目标的实现</w:t>
            </w:r>
          </w:p>
        </w:tc>
        <w:tc>
          <w:tcPr>
            <w:tcW w:w="1971" w:type="pct"/>
            <w:tcBorders>
              <w:top w:val="single" w:color="auto" w:sz="4" w:space="0"/>
              <w:left w:val="single" w:color="auto" w:sz="4" w:space="0"/>
              <w:bottom w:val="single" w:color="auto" w:sz="4" w:space="0"/>
              <w:right w:val="single" w:color="auto" w:sz="4" w:space="0"/>
            </w:tcBorders>
            <w:vAlign w:val="center"/>
          </w:tcPr>
          <w:p>
            <w:pPr>
              <w:pStyle w:val="122"/>
              <w:snapToGrid w:val="0"/>
              <w:jc w:val="both"/>
              <w:rPr>
                <w:color w:val="auto"/>
                <w:sz w:val="21"/>
                <w:szCs w:val="21"/>
              </w:rPr>
            </w:pPr>
            <w:r>
              <w:rPr>
                <w:color w:val="auto"/>
                <w:sz w:val="21"/>
                <w:szCs w:val="21"/>
              </w:rPr>
              <w:t>未建立有效风险预警措施扣0.5分，未制定风险应急预案扣0.5分；</w:t>
            </w:r>
          </w:p>
          <w:p>
            <w:pPr>
              <w:pStyle w:val="122"/>
              <w:snapToGrid w:val="0"/>
              <w:jc w:val="both"/>
              <w:rPr>
                <w:color w:val="auto"/>
                <w:sz w:val="21"/>
                <w:szCs w:val="21"/>
              </w:rPr>
            </w:pPr>
            <w:r>
              <w:rPr>
                <w:rFonts w:hint="eastAsia"/>
                <w:color w:val="auto"/>
                <w:sz w:val="21"/>
                <w:szCs w:val="21"/>
              </w:rPr>
              <w:t>项目实际工程进展发生变更未及时</w:t>
            </w:r>
            <w:r>
              <w:rPr>
                <w:color w:val="auto"/>
                <w:sz w:val="21"/>
                <w:szCs w:val="21"/>
              </w:rPr>
              <w:t>优化进度计划扣2分，有进度计划但未及时报项目实施机构确认扣1分；</w:t>
            </w:r>
          </w:p>
          <w:p>
            <w:pPr>
              <w:pStyle w:val="122"/>
              <w:snapToGrid w:val="0"/>
              <w:jc w:val="both"/>
              <w:rPr>
                <w:color w:val="auto"/>
                <w:sz w:val="21"/>
                <w:szCs w:val="21"/>
              </w:rPr>
            </w:pPr>
            <w:r>
              <w:rPr>
                <w:color w:val="auto"/>
                <w:sz w:val="21"/>
                <w:szCs w:val="21"/>
              </w:rPr>
              <w:t>进度延误未及时采取应对措施扣2分。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质量控制（25分）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质量保证体系（4分）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建立完善的质量保证体系及管理制度。</w:t>
            </w:r>
          </w:p>
          <w:p>
            <w:pPr>
              <w:pStyle w:val="122"/>
              <w:snapToGrid w:val="0"/>
              <w:jc w:val="both"/>
              <w:rPr>
                <w:color w:val="auto"/>
                <w:kern w:val="2"/>
                <w:sz w:val="21"/>
                <w:szCs w:val="21"/>
              </w:rPr>
            </w:pPr>
            <w:r>
              <w:rPr>
                <w:color w:val="auto"/>
                <w:kern w:val="2"/>
                <w:sz w:val="21"/>
                <w:szCs w:val="21"/>
              </w:rPr>
              <w:t>建立有效的质量风险预警及应对措施。</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未建立</w:t>
            </w:r>
            <w:r>
              <w:rPr>
                <w:rFonts w:hint="eastAsia"/>
              </w:rPr>
              <w:t>质</w:t>
            </w:r>
            <w:r>
              <w:t>量保证管理制度扣3分，管理制度有明显漏洞，视情况扣1-2分；</w:t>
            </w:r>
          </w:p>
          <w:p>
            <w:pPr>
              <w:adjustRightInd w:val="0"/>
              <w:snapToGrid w:val="0"/>
            </w:pPr>
            <w:r>
              <w:t>未建立有效</w:t>
            </w:r>
            <w:r>
              <w:rPr>
                <w:rFonts w:hint="eastAsia"/>
              </w:rPr>
              <w:t>质量</w:t>
            </w:r>
            <w:r>
              <w:t>风险预警措施扣0.5分，未制定</w:t>
            </w:r>
            <w:r>
              <w:rPr>
                <w:rFonts w:hint="eastAsia"/>
              </w:rPr>
              <w:t>质量</w:t>
            </w:r>
            <w:r>
              <w:t>风险应急预案扣0.5分。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top w:val="single" w:color="auto" w:sz="4" w:space="0"/>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施工质量情况（12分）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建设工程质量水平满足设计要求。</w:t>
            </w:r>
          </w:p>
          <w:p>
            <w:pPr>
              <w:pStyle w:val="122"/>
              <w:snapToGrid w:val="0"/>
              <w:jc w:val="both"/>
              <w:rPr>
                <w:color w:val="auto"/>
                <w:kern w:val="2"/>
                <w:sz w:val="21"/>
                <w:szCs w:val="21"/>
              </w:rPr>
            </w:pPr>
            <w:r>
              <w:rPr>
                <w:color w:val="auto"/>
                <w:kern w:val="2"/>
                <w:sz w:val="21"/>
                <w:szCs w:val="21"/>
              </w:rPr>
              <w:t>实体外观不存在明显缺陷。</w:t>
            </w:r>
          </w:p>
          <w:p>
            <w:pPr>
              <w:pStyle w:val="122"/>
              <w:snapToGrid w:val="0"/>
              <w:jc w:val="both"/>
              <w:rPr>
                <w:color w:val="auto"/>
                <w:kern w:val="2"/>
                <w:sz w:val="21"/>
                <w:szCs w:val="21"/>
              </w:rPr>
            </w:pPr>
            <w:r>
              <w:rPr>
                <w:color w:val="auto"/>
                <w:kern w:val="2"/>
                <w:sz w:val="21"/>
                <w:szCs w:val="21"/>
              </w:rPr>
              <w:t>设备安装与调试满足规范要求，设备运转正常</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建设工程质量未达到设计要求，扣7分；</w:t>
            </w:r>
          </w:p>
          <w:p>
            <w:pPr>
              <w:adjustRightInd w:val="0"/>
              <w:snapToGrid w:val="0"/>
            </w:pPr>
            <w:r>
              <w:t>外观存在明显缺陷扣1分；</w:t>
            </w:r>
          </w:p>
          <w:p>
            <w:pPr>
              <w:adjustRightInd w:val="0"/>
              <w:snapToGrid w:val="0"/>
            </w:pPr>
            <w:r>
              <w:t>设备不能正常运转扣4分。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top w:val="single" w:color="auto" w:sz="4" w:space="0"/>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隐蔽工程、重要工序验收（4分）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及时组织隐蔽工程验收工作。</w:t>
            </w:r>
          </w:p>
          <w:p>
            <w:pPr>
              <w:pStyle w:val="122"/>
              <w:snapToGrid w:val="0"/>
              <w:jc w:val="both"/>
              <w:rPr>
                <w:color w:val="auto"/>
                <w:kern w:val="2"/>
                <w:sz w:val="21"/>
                <w:szCs w:val="21"/>
              </w:rPr>
            </w:pPr>
            <w:r>
              <w:rPr>
                <w:color w:val="auto"/>
                <w:kern w:val="2"/>
                <w:sz w:val="21"/>
                <w:szCs w:val="21"/>
              </w:rPr>
              <w:t>隐蔽工程验收程序符合相关法律、法规和行业标准要求。</w:t>
            </w:r>
          </w:p>
          <w:p>
            <w:pPr>
              <w:pStyle w:val="122"/>
              <w:snapToGrid w:val="0"/>
              <w:jc w:val="both"/>
              <w:rPr>
                <w:color w:val="auto"/>
                <w:kern w:val="2"/>
                <w:sz w:val="21"/>
                <w:szCs w:val="21"/>
              </w:rPr>
            </w:pPr>
            <w:r>
              <w:rPr>
                <w:color w:val="auto"/>
                <w:kern w:val="2"/>
                <w:sz w:val="21"/>
                <w:szCs w:val="21"/>
              </w:rPr>
              <w:t>重要工序通过检验合格后才进入下道工序。</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未及时组织隐蔽工程验收扣2分；</w:t>
            </w:r>
          </w:p>
          <w:p>
            <w:pPr>
              <w:adjustRightInd w:val="0"/>
              <w:snapToGrid w:val="0"/>
            </w:pPr>
            <w:r>
              <w:t>验收程序不符合法律、法规或标准要求扣1分；</w:t>
            </w:r>
          </w:p>
          <w:p>
            <w:pPr>
              <w:adjustRightInd w:val="0"/>
              <w:snapToGrid w:val="0"/>
            </w:pPr>
            <w:r>
              <w:t>重要工序未通过检验合格就进入下道工序扣1分</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top w:val="single" w:color="auto" w:sz="4" w:space="0"/>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质量控制（5分）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严格按规定要求进行自检。</w:t>
            </w:r>
          </w:p>
          <w:p>
            <w:pPr>
              <w:pStyle w:val="122"/>
              <w:snapToGrid w:val="0"/>
              <w:jc w:val="both"/>
              <w:rPr>
                <w:color w:val="auto"/>
                <w:kern w:val="2"/>
                <w:sz w:val="21"/>
                <w:szCs w:val="21"/>
              </w:rPr>
            </w:pPr>
            <w:r>
              <w:rPr>
                <w:color w:val="auto"/>
                <w:kern w:val="2"/>
                <w:sz w:val="21"/>
                <w:szCs w:val="21"/>
              </w:rPr>
              <w:t>人员、材料、机械设备的投入满足工程需要、</w:t>
            </w:r>
          </w:p>
          <w:p>
            <w:pPr>
              <w:pStyle w:val="122"/>
              <w:snapToGrid w:val="0"/>
              <w:jc w:val="both"/>
              <w:rPr>
                <w:color w:val="auto"/>
                <w:kern w:val="2"/>
                <w:sz w:val="21"/>
                <w:szCs w:val="21"/>
              </w:rPr>
            </w:pPr>
            <w:r>
              <w:rPr>
                <w:color w:val="auto"/>
                <w:kern w:val="2"/>
                <w:sz w:val="21"/>
                <w:szCs w:val="21"/>
              </w:rPr>
              <w:t>设计变更、材料变更须履行报批程序。</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未进行自检扣2分；</w:t>
            </w:r>
          </w:p>
          <w:p>
            <w:pPr>
              <w:adjustRightInd w:val="0"/>
              <w:snapToGrid w:val="0"/>
            </w:pPr>
            <w:r>
              <w:t>人员、材料、机械设备的投入未满足工程需要，视情况扣1-2分；</w:t>
            </w:r>
          </w:p>
          <w:p>
            <w:pPr>
              <w:adjustRightInd w:val="0"/>
              <w:snapToGrid w:val="0"/>
            </w:pPr>
            <w:r>
              <w:t>设计变更、材料变更未履行报批程序扣1分。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restart"/>
            <w:tcBorders>
              <w:left w:val="single" w:color="auto" w:sz="4" w:space="0"/>
              <w:right w:val="single" w:color="auto" w:sz="4" w:space="0"/>
            </w:tcBorders>
            <w:vAlign w:val="center"/>
          </w:tcPr>
          <w:p>
            <w:pPr>
              <w:adjustRightInd w:val="0"/>
              <w:snapToGrid w:val="0"/>
              <w:jc w:val="center"/>
              <w:rPr>
                <w:kern w:val="0"/>
              </w:rPr>
            </w:pPr>
            <w:r>
              <w:rPr>
                <w:rFonts w:hint="eastAsia"/>
                <w:kern w:val="0"/>
              </w:rPr>
              <w:t>效果</w:t>
            </w:r>
          </w:p>
          <w:p>
            <w:pPr>
              <w:adjustRightInd w:val="0"/>
              <w:snapToGrid w:val="0"/>
              <w:jc w:val="center"/>
              <w:rPr>
                <w:kern w:val="0"/>
              </w:rPr>
            </w:pPr>
            <w:r>
              <w:rPr>
                <w:rFonts w:hint="eastAsia"/>
                <w:kern w:val="0"/>
              </w:rPr>
              <w:t>（1</w:t>
            </w:r>
            <w:r>
              <w:rPr>
                <w:kern w:val="0"/>
              </w:rPr>
              <w:t>3</w:t>
            </w:r>
            <w:r>
              <w:rPr>
                <w:rFonts w:hint="eastAsia"/>
                <w:kern w:val="0"/>
              </w:rPr>
              <w:t>分）</w:t>
            </w:r>
          </w:p>
        </w:tc>
        <w:tc>
          <w:tcPr>
            <w:tcW w:w="399" w:type="pct"/>
            <w:tcBorders>
              <w:top w:val="single" w:color="auto" w:sz="4" w:space="0"/>
              <w:left w:val="single" w:color="auto" w:sz="4" w:space="0"/>
              <w:right w:val="single" w:color="auto" w:sz="4" w:space="0"/>
            </w:tcBorders>
            <w:vAlign w:val="center"/>
          </w:tcPr>
          <w:p>
            <w:pPr>
              <w:adjustRightInd w:val="0"/>
              <w:snapToGrid w:val="0"/>
              <w:jc w:val="center"/>
            </w:pPr>
            <w:r>
              <w:t>环境保护</w:t>
            </w:r>
          </w:p>
          <w:p>
            <w:pPr>
              <w:adjustRightInd w:val="0"/>
              <w:snapToGrid w:val="0"/>
              <w:jc w:val="center"/>
              <w:rPr>
                <w:kern w:val="0"/>
              </w:rPr>
            </w:pPr>
            <w:r>
              <w:t>（3分）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施工造成的环境影响（3分）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项目施工过程中污水排放、噪音控制、渣土处置等符合相关法律、法规、标准的要求，未造成环境污染、水土流失等</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kern w:val="0"/>
              </w:rPr>
              <w:t>若造成环境污染，每项扣1分</w:t>
            </w:r>
            <w:r>
              <w:rPr>
                <w:rFonts w:hint="eastAsia"/>
                <w:kern w:val="0"/>
              </w:rPr>
              <w:t>，本项最高扣3分</w:t>
            </w:r>
            <w:r>
              <w:rPr>
                <w:kern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rFonts w:hint="eastAsia"/>
              </w:rPr>
              <w:t>社会影响</w:t>
            </w:r>
            <w:r>
              <w:t>(5分）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公共传媒及网络影响（2分）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项目在公共传媒或网络上未出现负面影响、损坏公众或国家利益等情况。</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kern w:val="0"/>
              </w:rPr>
              <w:t>出现负面影响，此项不得分。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rFonts w:hint="eastAsia"/>
                <w:kern w:val="0"/>
              </w:rPr>
              <w:t>社会影响（</w:t>
            </w:r>
            <w:r>
              <w:rPr>
                <w:kern w:val="0"/>
              </w:rPr>
              <w:t>3</w:t>
            </w:r>
            <w:r>
              <w:rPr>
                <w:rFonts w:hint="eastAsia"/>
                <w:kern w:val="0"/>
              </w:rPr>
              <w:t>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rFonts w:hint="eastAsia"/>
                <w:kern w:val="0"/>
              </w:rPr>
              <w:t>项目建设活动带来的直接或间接正负面影响。如新增就业、社会荣誉、重大诉讼、公众舆情等</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rFonts w:hint="eastAsia"/>
                <w:kern w:val="0"/>
              </w:rPr>
              <w:t>出现一项负面影响扣1分，出现正面影响加1分，本项得分最低0分，最高</w:t>
            </w:r>
            <w:r>
              <w:rPr>
                <w:kern w:val="0"/>
              </w:rPr>
              <w:t>3</w:t>
            </w:r>
            <w:r>
              <w:rPr>
                <w:rFonts w:hint="eastAsia"/>
                <w:kern w:val="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947" w:type="pct"/>
            <w:gridSpan w:val="2"/>
            <w:tcBorders>
              <w:top w:val="single" w:color="auto" w:sz="4" w:space="0"/>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可持续性（2分）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rFonts w:hint="eastAsia"/>
                <w:color w:val="auto"/>
                <w:kern w:val="2"/>
                <w:sz w:val="21"/>
                <w:szCs w:val="21"/>
              </w:rPr>
              <w:t>项目公司或社会资本是否做好项目运营准备工作</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rPr>
                <w:rFonts w:hint="eastAsia"/>
              </w:rPr>
              <w:t>建设期完成为未运营准备的扣2分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947" w:type="pct"/>
            <w:gridSpan w:val="2"/>
            <w:tcBorders>
              <w:top w:val="single" w:color="auto" w:sz="4" w:space="0"/>
              <w:left w:val="single" w:color="auto" w:sz="4" w:space="0"/>
              <w:right w:val="single" w:color="auto" w:sz="4" w:space="0"/>
            </w:tcBorders>
            <w:vAlign w:val="center"/>
          </w:tcPr>
          <w:p>
            <w:pPr>
              <w:adjustRightInd w:val="0"/>
              <w:snapToGrid w:val="0"/>
              <w:jc w:val="center"/>
              <w:rPr>
                <w:kern w:val="0"/>
              </w:rPr>
            </w:pPr>
            <w:r>
              <w:rPr>
                <w:rFonts w:hint="eastAsia"/>
                <w:kern w:val="0"/>
              </w:rPr>
              <w:t>满意度（3分）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rFonts w:hint="eastAsia"/>
                <w:color w:val="auto"/>
                <w:kern w:val="2"/>
                <w:sz w:val="21"/>
                <w:szCs w:val="21"/>
              </w:rPr>
              <w:t>政府相关部门、项目实施机构、社会公众（服务对象）对项目公司或社会资本建设期间相关工作的满意度</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rPr>
                <w:rFonts w:hint="eastAsia"/>
              </w:rPr>
              <w:t>根据调研情况，满意度至少达到8</w:t>
            </w:r>
            <w:r>
              <w:t>0</w:t>
            </w:r>
            <w:r>
              <w:rPr>
                <w:rFonts w:hint="eastAsia"/>
              </w:rPr>
              <w:t>分，每降低1</w:t>
            </w:r>
            <w:r>
              <w:t>0</w:t>
            </w:r>
            <w:r>
              <w:rPr>
                <w:rFonts w:hint="eastAsia"/>
              </w:rPr>
              <w:t>分扣1分，扣完为止。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restart"/>
            <w:tcBorders>
              <w:left w:val="single" w:color="auto" w:sz="4" w:space="0"/>
              <w:right w:val="single" w:color="auto" w:sz="4" w:space="0"/>
            </w:tcBorders>
            <w:vAlign w:val="center"/>
          </w:tcPr>
          <w:p>
            <w:pPr>
              <w:adjustRightInd w:val="0"/>
              <w:snapToGrid w:val="0"/>
              <w:jc w:val="center"/>
              <w:rPr>
                <w:kern w:val="0"/>
              </w:rPr>
            </w:pPr>
            <w:r>
              <w:rPr>
                <w:kern w:val="0"/>
              </w:rPr>
              <w:t>管理（15分）</w:t>
            </w: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组织管理（3分）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人员配备（2分）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配备的管理人员、生产人员及收运人员数量与投标承诺一致且能及时到位，且能满足项目需求。</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每有一处不符合要求的扣0.5分，扣完为止。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资料管理（1分）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认真及时做好建设期项目管理台账，按时上报管理月报；收集整理好工程资料</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每有一处不符合要求的扣0.5分，扣完为止。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资金管理（3分）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资金结构合理性（3分）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股权比例、资本金比例符合合同约定</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kern w:val="0"/>
              </w:rPr>
              <w:t>（1）股权比例、资本金比例均符合合同约定，得满分；</w:t>
            </w:r>
          </w:p>
          <w:p>
            <w:pPr>
              <w:adjustRightInd w:val="0"/>
              <w:snapToGrid w:val="0"/>
            </w:pPr>
            <w:r>
              <w:rPr>
                <w:kern w:val="0"/>
              </w:rPr>
              <w:t>（2）股权比例或资本金比例不符合合同约定的，扣3分，并按照合同约定限期予以更正。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制度管理（3分）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项目制度健全性（1分）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财务制度、工程管理、质量管理、安全管理制度的健全性</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每有一处不符合要求的扣0.5分，扣完为止。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管理制度执行有效性（2分）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各项制度在实际工作中得到有效执行（不含财务）</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每发生一次未有效执行的扣0.5分，扣完为止。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t>采购管理</w:t>
            </w:r>
            <w:r>
              <w:rPr>
                <w:kern w:val="0"/>
              </w:rPr>
              <w:t>（3分）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采购需求的合理性（1分）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车辆、设备、软件、原材料等的采购需求与项目实际需求一致，无重复或浪费</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每有一处不符合要求的，扣0.5分，扣完为止。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采购程序合规性（2分）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软硬件、车辆、设备和原材料的采购程序合法合规</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每有一次不符合要求的，扣0.5分，扣完为止。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restart"/>
            <w:tcBorders>
              <w:top w:val="single" w:color="auto" w:sz="4" w:space="0"/>
              <w:left w:val="single" w:color="auto" w:sz="4" w:space="0"/>
              <w:right w:val="single" w:color="auto" w:sz="4" w:space="0"/>
            </w:tcBorders>
            <w:vAlign w:val="center"/>
          </w:tcPr>
          <w:p>
            <w:pPr>
              <w:adjustRightInd w:val="0"/>
              <w:snapToGrid w:val="0"/>
              <w:jc w:val="center"/>
              <w:rPr>
                <w:kern w:val="0"/>
              </w:rPr>
            </w:pPr>
            <w:r>
              <w:rPr>
                <w:kern w:val="0"/>
              </w:rPr>
              <w:t>合同管理（3分）</w:t>
            </w: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t>合同签订</w:t>
            </w:r>
            <w:r>
              <w:rPr>
                <w:kern w:val="0"/>
              </w:rPr>
              <w:t>（1分）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建设期各相关合同签订合法合规</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每有一项合同不符合要求的，不得分，并限期予以更正。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t>合同履行</w:t>
            </w:r>
            <w:r>
              <w:rPr>
                <w:kern w:val="0"/>
              </w:rPr>
              <w:t>（1分）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严格按照约定履行合同，无合同纠纷</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每发生一次合同纠纷的，扣0.5分，扣完为止。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548"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t>合同变更与终止</w:t>
            </w:r>
            <w:r>
              <w:rPr>
                <w:kern w:val="0"/>
              </w:rPr>
              <w:t>（1分）</w:t>
            </w:r>
          </w:p>
        </w:tc>
        <w:tc>
          <w:tcPr>
            <w:tcW w:w="1695" w:type="pct"/>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合同的变更与终止符合合同约定并合法合规</w:t>
            </w:r>
          </w:p>
        </w:tc>
        <w:tc>
          <w:tcPr>
            <w:tcW w:w="1971"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rPr>
                <w:kern w:val="0"/>
              </w:rPr>
            </w:pPr>
            <w:r>
              <w:rPr>
                <w:kern w:val="0"/>
              </w:rPr>
              <w:t>（1）</w:t>
            </w:r>
            <w:r>
              <w:rPr>
                <w:rFonts w:eastAsia="PMCFK I+ Futura"/>
                <w:kern w:val="0"/>
              </w:rPr>
              <w:t>合同的变更与终止符合合同约定并合法合规的</w:t>
            </w:r>
            <w:r>
              <w:rPr>
                <w:kern w:val="0"/>
              </w:rPr>
              <w:t>，得满分；</w:t>
            </w:r>
          </w:p>
          <w:p>
            <w:pPr>
              <w:adjustRightInd w:val="0"/>
              <w:snapToGrid w:val="0"/>
            </w:pPr>
            <w:r>
              <w:rPr>
                <w:kern w:val="0"/>
              </w:rPr>
              <w:t>（2）</w:t>
            </w:r>
            <w:r>
              <w:rPr>
                <w:rFonts w:eastAsia="PMCFK I+ Futura"/>
                <w:kern w:val="0"/>
              </w:rPr>
              <w:t>合同的变更与终止违反合同约定或不合法合规的</w:t>
            </w:r>
            <w:r>
              <w:rPr>
                <w:kern w:val="0"/>
              </w:rPr>
              <w:t>，得0分，并限期予以更正。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387" w:type="pct"/>
            <w:vMerge w:val="restart"/>
            <w:tcBorders>
              <w:left w:val="single" w:color="auto" w:sz="4" w:space="0"/>
              <w:right w:val="single" w:color="auto" w:sz="4" w:space="0"/>
            </w:tcBorders>
            <w:vAlign w:val="center"/>
          </w:tcPr>
          <w:p>
            <w:pPr>
              <w:adjustRightInd w:val="0"/>
              <w:snapToGrid w:val="0"/>
              <w:jc w:val="center"/>
              <w:rPr>
                <w:kern w:val="0"/>
              </w:rPr>
            </w:pPr>
            <w:r>
              <w:rPr>
                <w:kern w:val="0"/>
              </w:rPr>
              <w:t>安全生产</w:t>
            </w:r>
          </w:p>
          <w:p>
            <w:pPr>
              <w:adjustRightInd w:val="0"/>
              <w:snapToGrid w:val="0"/>
              <w:jc w:val="center"/>
              <w:rPr>
                <w:kern w:val="0"/>
              </w:rPr>
            </w:pPr>
            <w:r>
              <w:rPr>
                <w:kern w:val="0"/>
              </w:rPr>
              <w:t>（10分）</w:t>
            </w:r>
          </w:p>
        </w:tc>
        <w:tc>
          <w:tcPr>
            <w:tcW w:w="947" w:type="pct"/>
            <w:gridSpan w:val="2"/>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安全管理体系建立（3分）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建立安全管理规章制度，制定安全生产应急预案，明确安全责任人</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无安全管理制度扣1分；</w:t>
            </w:r>
          </w:p>
          <w:p>
            <w:pPr>
              <w:adjustRightInd w:val="0"/>
              <w:snapToGrid w:val="0"/>
            </w:pPr>
            <w:r>
              <w:t>未制定应急预案扣0.5分；</w:t>
            </w:r>
          </w:p>
          <w:p>
            <w:pPr>
              <w:adjustRightInd w:val="0"/>
              <w:snapToGrid w:val="0"/>
            </w:pPr>
            <w:r>
              <w:t>未明确安全责任人扣0.5分。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947" w:type="pct"/>
            <w:gridSpan w:val="2"/>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安全措施（4分）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施工现场按强制性标准布置安全设施，作业安全实施按强制性标准发放给作业人员。</w:t>
            </w:r>
          </w:p>
          <w:p>
            <w:pPr>
              <w:pStyle w:val="122"/>
              <w:snapToGrid w:val="0"/>
              <w:jc w:val="both"/>
              <w:rPr>
                <w:color w:val="auto"/>
                <w:kern w:val="2"/>
                <w:sz w:val="21"/>
                <w:szCs w:val="21"/>
              </w:rPr>
            </w:pPr>
            <w:r>
              <w:rPr>
                <w:color w:val="auto"/>
                <w:kern w:val="2"/>
                <w:sz w:val="21"/>
                <w:szCs w:val="21"/>
              </w:rPr>
              <w:t>安全隐患采取相应的整改措施。</w:t>
            </w:r>
          </w:p>
          <w:p>
            <w:pPr>
              <w:pStyle w:val="122"/>
              <w:snapToGrid w:val="0"/>
              <w:jc w:val="both"/>
              <w:rPr>
                <w:color w:val="auto"/>
                <w:kern w:val="2"/>
                <w:sz w:val="21"/>
                <w:szCs w:val="21"/>
              </w:rPr>
            </w:pPr>
            <w:r>
              <w:rPr>
                <w:color w:val="auto"/>
                <w:kern w:val="2"/>
                <w:sz w:val="21"/>
                <w:szCs w:val="21"/>
              </w:rPr>
              <w:t>安全措施须经批准并落实。</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施工现场未布置安全设施扣1分，作业安全设施未发放给作业人员扣1分，安全实施未达到强制性标准扣0.5分；</w:t>
            </w:r>
          </w:p>
          <w:p>
            <w:pPr>
              <w:adjustRightInd w:val="0"/>
              <w:snapToGrid w:val="0"/>
            </w:pPr>
            <w:r>
              <w:t>安全隐患未整改1分；</w:t>
            </w:r>
          </w:p>
          <w:p>
            <w:pPr>
              <w:adjustRightInd w:val="0"/>
              <w:snapToGrid w:val="0"/>
            </w:pPr>
            <w:r>
              <w:t>安全施工措施未经批准或落实扣0.5分。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rPr>
                <w:kern w:val="0"/>
              </w:rPr>
            </w:pPr>
          </w:p>
        </w:tc>
        <w:tc>
          <w:tcPr>
            <w:tcW w:w="947" w:type="pct"/>
            <w:gridSpan w:val="2"/>
            <w:tcBorders>
              <w:top w:val="single" w:color="auto" w:sz="4" w:space="0"/>
              <w:left w:val="single" w:color="auto" w:sz="4" w:space="0"/>
              <w:right w:val="single" w:color="auto" w:sz="4" w:space="0"/>
            </w:tcBorders>
            <w:vAlign w:val="center"/>
          </w:tcPr>
          <w:p>
            <w:pPr>
              <w:autoSpaceDE w:val="0"/>
              <w:autoSpaceDN w:val="0"/>
              <w:adjustRightInd w:val="0"/>
              <w:snapToGrid w:val="0"/>
              <w:rPr>
                <w:kern w:val="0"/>
              </w:rPr>
            </w:pPr>
            <w:r>
              <w:rPr>
                <w:kern w:val="0"/>
              </w:rPr>
              <w:t>安全事故处理（3分）</w:t>
            </w:r>
          </w:p>
        </w:tc>
        <w:tc>
          <w:tcPr>
            <w:tcW w:w="1695" w:type="pct"/>
            <w:tcBorders>
              <w:top w:val="single" w:color="auto" w:sz="4" w:space="0"/>
              <w:left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发生安全事故及时采取有效措施，避免事态扩大。</w:t>
            </w:r>
          </w:p>
          <w:p>
            <w:pPr>
              <w:pStyle w:val="122"/>
              <w:snapToGrid w:val="0"/>
              <w:jc w:val="both"/>
              <w:rPr>
                <w:color w:val="auto"/>
                <w:kern w:val="2"/>
                <w:sz w:val="21"/>
                <w:szCs w:val="21"/>
              </w:rPr>
            </w:pPr>
            <w:r>
              <w:rPr>
                <w:color w:val="auto"/>
                <w:kern w:val="2"/>
                <w:sz w:val="21"/>
                <w:szCs w:val="21"/>
              </w:rPr>
              <w:t>及时上报主管部门事故情况。</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pPr>
            <w:r>
              <w:t>发生安全事故未及采取有效措施扣3分；</w:t>
            </w:r>
          </w:p>
          <w:p>
            <w:pPr>
              <w:adjustRightInd w:val="0"/>
              <w:snapToGrid w:val="0"/>
            </w:pPr>
            <w:r>
              <w:t>未及时将事故情况上报主管部门扣1分。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387" w:type="pct"/>
            <w:vMerge w:val="restart"/>
            <w:tcBorders>
              <w:left w:val="single" w:color="auto" w:sz="4" w:space="0"/>
              <w:right w:val="single" w:color="auto" w:sz="4" w:space="0"/>
            </w:tcBorders>
            <w:vAlign w:val="center"/>
          </w:tcPr>
          <w:p>
            <w:pPr>
              <w:adjustRightInd w:val="0"/>
              <w:snapToGrid w:val="0"/>
              <w:jc w:val="center"/>
            </w:pPr>
            <w:r>
              <w:t>投资控制</w:t>
            </w:r>
          </w:p>
          <w:p>
            <w:pPr>
              <w:adjustRightInd w:val="0"/>
              <w:snapToGrid w:val="0"/>
              <w:jc w:val="center"/>
            </w:pPr>
            <w:r>
              <w:t>（17分）</w:t>
            </w:r>
          </w:p>
        </w:tc>
        <w:tc>
          <w:tcPr>
            <w:tcW w:w="947" w:type="pct"/>
            <w:gridSpan w:val="2"/>
            <w:tcBorders>
              <w:left w:val="single" w:color="auto" w:sz="4" w:space="0"/>
              <w:right w:val="single" w:color="auto" w:sz="4" w:space="0"/>
            </w:tcBorders>
            <w:vAlign w:val="center"/>
          </w:tcPr>
          <w:p>
            <w:pPr>
              <w:autoSpaceDE w:val="0"/>
              <w:autoSpaceDN w:val="0"/>
              <w:adjustRightInd w:val="0"/>
              <w:snapToGrid w:val="0"/>
              <w:rPr>
                <w:kern w:val="0"/>
              </w:rPr>
            </w:pPr>
            <w:r>
              <w:rPr>
                <w:kern w:val="0"/>
              </w:rPr>
              <w:t>资本金到位及时性（5分）</w:t>
            </w:r>
          </w:p>
        </w:tc>
        <w:tc>
          <w:tcPr>
            <w:tcW w:w="1695" w:type="pct"/>
            <w:tcBorders>
              <w:left w:val="single" w:color="auto" w:sz="4" w:space="0"/>
              <w:right w:val="single" w:color="auto" w:sz="4" w:space="0"/>
            </w:tcBorders>
            <w:vAlign w:val="center"/>
          </w:tcPr>
          <w:p>
            <w:pPr>
              <w:adjustRightInd w:val="0"/>
              <w:snapToGrid w:val="0"/>
            </w:pPr>
            <w:r>
              <w:t>项目公司资本金到位时间满足项目合同的要求，且不影响项目进度要求。</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rPr>
                <w:kern w:val="0"/>
              </w:rPr>
            </w:pPr>
            <w:r>
              <w:t>（1）到位时间满足项目合同要求，不影响项目进度的，不扣分；</w:t>
            </w:r>
          </w:p>
          <w:p>
            <w:pPr>
              <w:pStyle w:val="122"/>
              <w:snapToGrid w:val="0"/>
              <w:jc w:val="both"/>
              <w:rPr>
                <w:color w:val="auto"/>
                <w:kern w:val="2"/>
                <w:sz w:val="21"/>
                <w:szCs w:val="21"/>
              </w:rPr>
            </w:pPr>
            <w:r>
              <w:rPr>
                <w:color w:val="auto"/>
                <w:kern w:val="2"/>
                <w:sz w:val="21"/>
                <w:szCs w:val="21"/>
              </w:rPr>
              <w:t>（2）到位时间迟于合同要求的，按推迟的到位时间，每推迟一天扣0.1分，最高扣5分。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pPr>
          </w:p>
        </w:tc>
        <w:tc>
          <w:tcPr>
            <w:tcW w:w="947" w:type="pct"/>
            <w:gridSpan w:val="2"/>
            <w:tcBorders>
              <w:left w:val="single" w:color="auto" w:sz="4" w:space="0"/>
              <w:right w:val="single" w:color="auto" w:sz="4" w:space="0"/>
            </w:tcBorders>
            <w:vAlign w:val="center"/>
          </w:tcPr>
          <w:p>
            <w:pPr>
              <w:autoSpaceDE w:val="0"/>
              <w:autoSpaceDN w:val="0"/>
              <w:adjustRightInd w:val="0"/>
              <w:snapToGrid w:val="0"/>
              <w:rPr>
                <w:kern w:val="0"/>
              </w:rPr>
            </w:pPr>
            <w:r>
              <w:rPr>
                <w:kern w:val="0"/>
              </w:rPr>
              <w:t>资本金使用控制（4分）</w:t>
            </w:r>
          </w:p>
        </w:tc>
        <w:tc>
          <w:tcPr>
            <w:tcW w:w="1695" w:type="pct"/>
            <w:tcBorders>
              <w:left w:val="single" w:color="auto" w:sz="4" w:space="0"/>
              <w:right w:val="single" w:color="auto" w:sz="4" w:space="0"/>
            </w:tcBorders>
            <w:vAlign w:val="center"/>
          </w:tcPr>
          <w:p>
            <w:pPr>
              <w:adjustRightInd w:val="0"/>
              <w:snapToGrid w:val="0"/>
            </w:pPr>
            <w:r>
              <w:t>资本金使用符合资金使用计划安排，不得挪用他用。</w:t>
            </w:r>
          </w:p>
        </w:tc>
        <w:tc>
          <w:tcPr>
            <w:tcW w:w="1971" w:type="pct"/>
            <w:tcBorders>
              <w:top w:val="single" w:color="auto" w:sz="4" w:space="0"/>
              <w:left w:val="single" w:color="auto" w:sz="4" w:space="0"/>
              <w:bottom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（1）资本金使用满足资金使用计划的，不扣分；</w:t>
            </w:r>
          </w:p>
          <w:p>
            <w:pPr>
              <w:pStyle w:val="122"/>
              <w:snapToGrid w:val="0"/>
              <w:jc w:val="both"/>
              <w:rPr>
                <w:color w:val="auto"/>
                <w:kern w:val="2"/>
                <w:sz w:val="21"/>
                <w:szCs w:val="21"/>
              </w:rPr>
            </w:pPr>
            <w:r>
              <w:rPr>
                <w:color w:val="auto"/>
                <w:kern w:val="2"/>
                <w:sz w:val="21"/>
                <w:szCs w:val="21"/>
              </w:rPr>
              <w:t>（2）出现资本金使用计划不当情形的，一次扣1分；</w:t>
            </w:r>
          </w:p>
          <w:p>
            <w:pPr>
              <w:pStyle w:val="122"/>
              <w:snapToGrid w:val="0"/>
              <w:jc w:val="both"/>
              <w:rPr>
                <w:color w:val="auto"/>
                <w:kern w:val="2"/>
                <w:sz w:val="21"/>
                <w:szCs w:val="21"/>
              </w:rPr>
            </w:pPr>
            <w:r>
              <w:rPr>
                <w:color w:val="auto"/>
                <w:kern w:val="2"/>
                <w:sz w:val="21"/>
                <w:szCs w:val="21"/>
              </w:rPr>
              <w:t>（3）出现资本金挪用情形的，一次扣3分。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pPr>
          </w:p>
        </w:tc>
        <w:tc>
          <w:tcPr>
            <w:tcW w:w="947" w:type="pct"/>
            <w:gridSpan w:val="2"/>
            <w:tcBorders>
              <w:left w:val="single" w:color="auto" w:sz="4" w:space="0"/>
              <w:right w:val="single" w:color="auto" w:sz="4" w:space="0"/>
            </w:tcBorders>
            <w:vAlign w:val="center"/>
          </w:tcPr>
          <w:p>
            <w:pPr>
              <w:autoSpaceDE w:val="0"/>
              <w:autoSpaceDN w:val="0"/>
              <w:adjustRightInd w:val="0"/>
              <w:snapToGrid w:val="0"/>
              <w:rPr>
                <w:kern w:val="0"/>
              </w:rPr>
            </w:pPr>
            <w:r>
              <w:rPr>
                <w:kern w:val="0"/>
              </w:rPr>
              <w:t>项目融资及时性（5分）</w:t>
            </w:r>
          </w:p>
        </w:tc>
        <w:tc>
          <w:tcPr>
            <w:tcW w:w="1695" w:type="pct"/>
            <w:tcBorders>
              <w:left w:val="single" w:color="auto" w:sz="4" w:space="0"/>
              <w:right w:val="single" w:color="auto" w:sz="4" w:space="0"/>
            </w:tcBorders>
            <w:vAlign w:val="center"/>
          </w:tcPr>
          <w:p>
            <w:pPr>
              <w:adjustRightInd w:val="0"/>
              <w:snapToGrid w:val="0"/>
            </w:pPr>
            <w:r>
              <w:t>项目公司融资资金到位时间满足项目合同的要求，且不影响项目工程进度。</w:t>
            </w:r>
          </w:p>
        </w:tc>
        <w:tc>
          <w:tcPr>
            <w:tcW w:w="1971" w:type="pct"/>
            <w:tcBorders>
              <w:top w:val="single" w:color="auto" w:sz="4" w:space="0"/>
              <w:left w:val="single" w:color="auto" w:sz="4" w:space="0"/>
              <w:bottom w:val="single" w:color="auto" w:sz="4" w:space="0"/>
              <w:right w:val="single" w:color="auto" w:sz="4" w:space="0"/>
            </w:tcBorders>
            <w:vAlign w:val="center"/>
          </w:tcPr>
          <w:p>
            <w:pPr>
              <w:adjustRightInd w:val="0"/>
              <w:snapToGrid w:val="0"/>
              <w:rPr>
                <w:kern w:val="0"/>
              </w:rPr>
            </w:pPr>
            <w:r>
              <w:t>（1）到位时间满足项目合同要求，不影响项目进度的，不扣分；</w:t>
            </w:r>
          </w:p>
          <w:p>
            <w:pPr>
              <w:pStyle w:val="122"/>
              <w:snapToGrid w:val="0"/>
              <w:jc w:val="both"/>
              <w:rPr>
                <w:color w:val="auto"/>
                <w:kern w:val="2"/>
                <w:sz w:val="21"/>
                <w:szCs w:val="21"/>
              </w:rPr>
            </w:pPr>
            <w:r>
              <w:rPr>
                <w:color w:val="auto"/>
                <w:kern w:val="2"/>
                <w:sz w:val="21"/>
                <w:szCs w:val="21"/>
              </w:rPr>
              <w:t>（2）到位时间迟于合同要求，按推迟的到位时间，每推迟一天扣0.1分，最高扣5分。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387" w:type="pct"/>
            <w:vMerge w:val="continue"/>
            <w:tcBorders>
              <w:left w:val="single" w:color="auto" w:sz="4" w:space="0"/>
              <w:right w:val="single" w:color="auto" w:sz="4" w:space="0"/>
            </w:tcBorders>
            <w:vAlign w:val="center"/>
          </w:tcPr>
          <w:p>
            <w:pPr>
              <w:adjustRightInd w:val="0"/>
              <w:snapToGrid w:val="0"/>
              <w:jc w:val="center"/>
            </w:pPr>
          </w:p>
        </w:tc>
        <w:tc>
          <w:tcPr>
            <w:tcW w:w="947" w:type="pct"/>
            <w:gridSpan w:val="2"/>
            <w:tcBorders>
              <w:left w:val="single" w:color="auto" w:sz="4" w:space="0"/>
              <w:right w:val="single" w:color="auto" w:sz="4" w:space="0"/>
            </w:tcBorders>
            <w:vAlign w:val="center"/>
          </w:tcPr>
          <w:p>
            <w:pPr>
              <w:autoSpaceDE w:val="0"/>
              <w:autoSpaceDN w:val="0"/>
              <w:adjustRightInd w:val="0"/>
              <w:snapToGrid w:val="0"/>
              <w:rPr>
                <w:kern w:val="0"/>
              </w:rPr>
            </w:pPr>
            <w:r>
              <w:rPr>
                <w:kern w:val="0"/>
              </w:rPr>
              <w:t>融资资金使用控制（3分）</w:t>
            </w:r>
          </w:p>
        </w:tc>
        <w:tc>
          <w:tcPr>
            <w:tcW w:w="1695" w:type="pct"/>
            <w:tcBorders>
              <w:left w:val="single" w:color="auto" w:sz="4" w:space="0"/>
              <w:right w:val="single" w:color="auto" w:sz="4" w:space="0"/>
            </w:tcBorders>
            <w:vAlign w:val="center"/>
          </w:tcPr>
          <w:p>
            <w:pPr>
              <w:adjustRightInd w:val="0"/>
              <w:snapToGrid w:val="0"/>
            </w:pPr>
            <w:r>
              <w:t>融资资金使用符合资金使用计划安排，不得出现资金闲置的情况，融资资金不得挪用他用。</w:t>
            </w:r>
          </w:p>
        </w:tc>
        <w:tc>
          <w:tcPr>
            <w:tcW w:w="1971" w:type="pct"/>
            <w:tcBorders>
              <w:top w:val="single" w:color="auto" w:sz="4" w:space="0"/>
              <w:left w:val="single" w:color="auto" w:sz="4" w:space="0"/>
              <w:bottom w:val="single" w:color="auto" w:sz="4" w:space="0"/>
              <w:right w:val="single" w:color="auto" w:sz="4" w:space="0"/>
            </w:tcBorders>
            <w:vAlign w:val="center"/>
          </w:tcPr>
          <w:p>
            <w:pPr>
              <w:pStyle w:val="122"/>
              <w:snapToGrid w:val="0"/>
              <w:jc w:val="both"/>
              <w:rPr>
                <w:color w:val="auto"/>
                <w:kern w:val="2"/>
                <w:sz w:val="21"/>
                <w:szCs w:val="21"/>
              </w:rPr>
            </w:pPr>
            <w:r>
              <w:rPr>
                <w:color w:val="auto"/>
                <w:kern w:val="2"/>
                <w:sz w:val="21"/>
                <w:szCs w:val="21"/>
              </w:rPr>
              <w:t>（1）融资资金使用满足资金使用计划的，未出现资金闲置的，不扣分；</w:t>
            </w:r>
          </w:p>
          <w:p>
            <w:pPr>
              <w:pStyle w:val="122"/>
              <w:snapToGrid w:val="0"/>
              <w:jc w:val="both"/>
              <w:rPr>
                <w:color w:val="auto"/>
                <w:kern w:val="2"/>
                <w:sz w:val="21"/>
                <w:szCs w:val="21"/>
              </w:rPr>
            </w:pPr>
            <w:r>
              <w:rPr>
                <w:color w:val="auto"/>
                <w:kern w:val="2"/>
                <w:sz w:val="21"/>
                <w:szCs w:val="21"/>
              </w:rPr>
              <w:t>（2）融资资金使用计划不当或出现资金闲置的，一次扣1分；</w:t>
            </w:r>
          </w:p>
          <w:p>
            <w:pPr>
              <w:pStyle w:val="122"/>
              <w:snapToGrid w:val="0"/>
              <w:jc w:val="both"/>
              <w:rPr>
                <w:color w:val="auto"/>
                <w:kern w:val="2"/>
                <w:sz w:val="21"/>
                <w:szCs w:val="21"/>
              </w:rPr>
            </w:pPr>
            <w:r>
              <w:rPr>
                <w:color w:val="auto"/>
                <w:kern w:val="2"/>
                <w:sz w:val="21"/>
                <w:szCs w:val="21"/>
              </w:rPr>
              <w:t>（3）融资资金挪作他用的，一次扣1分。</w:t>
            </w:r>
          </w:p>
        </w:tc>
      </w:tr>
    </w:tbl>
    <w:p>
      <w:pPr>
        <w:widowControl/>
        <w:jc w:val="left"/>
      </w:pPr>
    </w:p>
    <w:p>
      <w:pPr>
        <w:adjustRightInd w:val="0"/>
        <w:snapToGrid w:val="0"/>
        <w:spacing w:line="360" w:lineRule="auto"/>
        <w:ind w:firstLine="420" w:firstLineChars="200"/>
        <w:sectPr>
          <w:pgSz w:w="16838" w:h="11906" w:orient="landscape"/>
          <w:pgMar w:top="1797" w:right="1440" w:bottom="1797" w:left="1440" w:header="851" w:footer="851" w:gutter="0"/>
          <w:cols w:space="425" w:num="1"/>
          <w:docGrid w:linePitch="312" w:charSpace="0"/>
        </w:sectPr>
      </w:pPr>
    </w:p>
    <w:p>
      <w:pPr>
        <w:adjustRightInd w:val="0"/>
        <w:snapToGrid w:val="0"/>
        <w:spacing w:line="360" w:lineRule="auto"/>
        <w:ind w:firstLine="422" w:firstLineChars="200"/>
        <w:rPr>
          <w:b/>
          <w:bCs/>
        </w:rPr>
      </w:pPr>
      <w:r>
        <w:rPr>
          <w:rFonts w:hint="eastAsia"/>
          <w:b/>
          <w:bCs/>
        </w:rPr>
        <w:t>第</w:t>
      </w:r>
      <w:r>
        <w:rPr>
          <w:b/>
          <w:bCs/>
        </w:rPr>
        <w:t>6</w:t>
      </w:r>
      <w:r>
        <w:rPr>
          <w:rFonts w:hint="eastAsia"/>
          <w:b/>
          <w:bCs/>
        </w:rPr>
        <w:t>节项目运营</w:t>
      </w:r>
    </w:p>
    <w:p>
      <w:pPr>
        <w:adjustRightInd w:val="0"/>
        <w:snapToGrid w:val="0"/>
        <w:spacing w:line="360" w:lineRule="auto"/>
        <w:ind w:firstLine="420" w:firstLineChars="200"/>
      </w:pPr>
      <w:r>
        <w:rPr>
          <w:rFonts w:hint="eastAsia"/>
        </w:rPr>
        <w:t>（1）运营内容</w:t>
      </w:r>
    </w:p>
    <w:p>
      <w:pPr>
        <w:adjustRightInd w:val="0"/>
        <w:snapToGrid w:val="0"/>
        <w:spacing w:line="360" w:lineRule="auto"/>
        <w:ind w:firstLine="420" w:firstLineChars="200"/>
      </w:pPr>
      <w:r>
        <w:rPr>
          <w:rFonts w:hint="eastAsia"/>
        </w:rPr>
        <w:t>1）从项目试运营日起，项目公司应每年三百六十五（365）日连续收集、运输餐厨废弃物至指定点，并按照项目合同约定运营餐厨废弃物智能化收运系统和数字化管理平台；</w:t>
      </w:r>
    </w:p>
    <w:p>
      <w:pPr>
        <w:adjustRightInd w:val="0"/>
        <w:snapToGrid w:val="0"/>
        <w:spacing w:line="360" w:lineRule="auto"/>
        <w:ind w:firstLine="420" w:firstLineChars="200"/>
      </w:pPr>
      <w:r>
        <w:rPr>
          <w:rFonts w:hint="eastAsia"/>
        </w:rPr>
        <w:t>2）按照合同约定运营处理能力200吨/日餐厨废弃物+ 30吨/日地沟油的餐厨废弃物资源化处理系统；</w:t>
      </w:r>
    </w:p>
    <w:p>
      <w:pPr>
        <w:adjustRightInd w:val="0"/>
        <w:snapToGrid w:val="0"/>
        <w:spacing w:line="360" w:lineRule="auto"/>
        <w:ind w:firstLine="420" w:firstLineChars="200"/>
      </w:pPr>
      <w:r>
        <w:rPr>
          <w:rFonts w:hint="eastAsia"/>
        </w:rPr>
        <w:t>3）项目范围内相关设施维护。</w:t>
      </w:r>
    </w:p>
    <w:p>
      <w:pPr>
        <w:adjustRightInd w:val="0"/>
        <w:snapToGrid w:val="0"/>
        <w:spacing w:line="360" w:lineRule="auto"/>
        <w:ind w:firstLine="420" w:firstLineChars="200"/>
      </w:pPr>
      <w:r>
        <w:rPr>
          <w:rFonts w:hint="eastAsia"/>
        </w:rPr>
        <w:t>以上涉及的服务范围主要为南京市栖霞区，涉及约100余万人口。</w:t>
      </w:r>
    </w:p>
    <w:p>
      <w:pPr>
        <w:adjustRightInd w:val="0"/>
        <w:snapToGrid w:val="0"/>
        <w:spacing w:line="360" w:lineRule="auto"/>
        <w:ind w:firstLine="420" w:firstLineChars="200"/>
      </w:pPr>
      <w:r>
        <w:rPr>
          <w:rFonts w:hint="eastAsia"/>
        </w:rPr>
        <w:t>（2）运营和维护要求</w:t>
      </w:r>
    </w:p>
    <w:p>
      <w:pPr>
        <w:adjustRightInd w:val="0"/>
        <w:snapToGrid w:val="0"/>
        <w:spacing w:line="360" w:lineRule="auto"/>
        <w:ind w:firstLine="420" w:firstLineChars="200"/>
      </w:pPr>
      <w:r>
        <w:rPr>
          <w:rFonts w:hint="eastAsia"/>
        </w:rPr>
        <w:t>1）适用法律法规；</w:t>
      </w:r>
    </w:p>
    <w:p>
      <w:pPr>
        <w:adjustRightInd w:val="0"/>
        <w:snapToGrid w:val="0"/>
        <w:spacing w:line="360" w:lineRule="auto"/>
        <w:ind w:firstLine="420" w:firstLineChars="200"/>
      </w:pPr>
      <w:r>
        <w:rPr>
          <w:rFonts w:hint="eastAsia"/>
        </w:rPr>
        <w:t>2）运行维护手册以及与项目设施有关的设备的制造商提供的一切有关手册、指导和建议；</w:t>
      </w:r>
    </w:p>
    <w:p>
      <w:pPr>
        <w:adjustRightInd w:val="0"/>
        <w:snapToGrid w:val="0"/>
        <w:spacing w:line="360" w:lineRule="auto"/>
        <w:ind w:firstLine="420" w:firstLineChars="200"/>
      </w:pPr>
      <w:r>
        <w:rPr>
          <w:rFonts w:hint="eastAsia"/>
        </w:rPr>
        <w:t>3）项目合同的约定。</w:t>
      </w:r>
    </w:p>
    <w:p>
      <w:pPr>
        <w:adjustRightInd w:val="0"/>
        <w:snapToGrid w:val="0"/>
        <w:spacing w:line="360" w:lineRule="auto"/>
        <w:ind w:firstLine="420" w:firstLineChars="200"/>
      </w:pPr>
      <w:r>
        <w:rPr>
          <w:rFonts w:hint="eastAsia"/>
        </w:rPr>
        <w:t>（3）开始运营</w:t>
      </w:r>
    </w:p>
    <w:p>
      <w:pPr>
        <w:adjustRightInd w:val="0"/>
        <w:snapToGrid w:val="0"/>
        <w:spacing w:line="360" w:lineRule="auto"/>
        <w:ind w:firstLine="420" w:firstLineChars="200"/>
      </w:pPr>
      <w:r>
        <w:rPr>
          <w:rFonts w:hint="eastAsia"/>
        </w:rPr>
        <w:t>1）商业试运营</w:t>
      </w:r>
    </w:p>
    <w:p>
      <w:pPr>
        <w:adjustRightInd w:val="0"/>
        <w:snapToGrid w:val="0"/>
        <w:spacing w:line="360" w:lineRule="auto"/>
        <w:ind w:firstLine="420" w:firstLineChars="200"/>
      </w:pPr>
      <w:r>
        <w:rPr>
          <w:rFonts w:hint="eastAsia"/>
        </w:rPr>
        <w:t>①自项目初步竣工之日起至开始商业试运营日之前，项目设施已经连续稳定运行三十（30）日或以上，且服务质量满足餐厨废弃物处理标准；</w:t>
      </w:r>
    </w:p>
    <w:p>
      <w:pPr>
        <w:adjustRightInd w:val="0"/>
        <w:snapToGrid w:val="0"/>
        <w:spacing w:line="360" w:lineRule="auto"/>
        <w:ind w:firstLine="420" w:firstLineChars="200"/>
      </w:pPr>
      <w:r>
        <w:rPr>
          <w:rFonts w:hint="eastAsia"/>
        </w:rPr>
        <w:t>②根据适用法律的规定取得环境保护主管部门同意其进行商业试运营的批准文件；</w:t>
      </w:r>
    </w:p>
    <w:p>
      <w:pPr>
        <w:adjustRightInd w:val="0"/>
        <w:snapToGrid w:val="0"/>
        <w:spacing w:line="360" w:lineRule="auto"/>
        <w:ind w:firstLine="420" w:firstLineChars="200"/>
      </w:pPr>
      <w:r>
        <w:rPr>
          <w:rFonts w:hint="eastAsia"/>
        </w:rPr>
        <w:t>③项目公司已向实施机构提交餐厨废弃物收运计划；</w:t>
      </w:r>
    </w:p>
    <w:p>
      <w:pPr>
        <w:adjustRightInd w:val="0"/>
        <w:snapToGrid w:val="0"/>
        <w:spacing w:line="360" w:lineRule="auto"/>
        <w:ind w:firstLine="420" w:firstLineChars="200"/>
      </w:pPr>
      <w:r>
        <w:rPr>
          <w:rFonts w:hint="eastAsia"/>
        </w:rPr>
        <w:t>④自商业试运营日起至商业运营日止，不超过九十（90）日；</w:t>
      </w:r>
    </w:p>
    <w:p>
      <w:pPr>
        <w:adjustRightInd w:val="0"/>
        <w:snapToGrid w:val="0"/>
        <w:spacing w:line="360" w:lineRule="auto"/>
        <w:ind w:firstLine="420" w:firstLineChars="200"/>
      </w:pPr>
      <w:r>
        <w:rPr>
          <w:rFonts w:hint="eastAsia"/>
        </w:rPr>
        <w:t>⑤自商业试运营日起，实施机构应按照合同约定计算并支付餐厨废弃物综合处置补贴。</w:t>
      </w:r>
    </w:p>
    <w:p>
      <w:pPr>
        <w:adjustRightInd w:val="0"/>
        <w:snapToGrid w:val="0"/>
        <w:spacing w:line="360" w:lineRule="auto"/>
        <w:ind w:firstLine="420" w:firstLineChars="200"/>
      </w:pPr>
      <w:r>
        <w:rPr>
          <w:rFonts w:hint="eastAsia"/>
        </w:rPr>
        <w:t>2）商业运营</w:t>
      </w:r>
    </w:p>
    <w:p>
      <w:pPr>
        <w:adjustRightInd w:val="0"/>
        <w:snapToGrid w:val="0"/>
        <w:spacing w:line="360" w:lineRule="auto"/>
        <w:ind w:firstLine="420" w:firstLineChars="200"/>
      </w:pPr>
      <w:r>
        <w:rPr>
          <w:rFonts w:hint="eastAsia"/>
        </w:rPr>
        <w:t>①项目完成竣工验收，并已经达到项目运营的功能要求；</w:t>
      </w:r>
    </w:p>
    <w:p>
      <w:pPr>
        <w:adjustRightInd w:val="0"/>
        <w:snapToGrid w:val="0"/>
        <w:spacing w:line="360" w:lineRule="auto"/>
        <w:ind w:firstLine="420" w:firstLineChars="200"/>
      </w:pPr>
      <w:r>
        <w:rPr>
          <w:rFonts w:hint="eastAsia"/>
        </w:rPr>
        <w:t>②已经按照项目合同约定的标准和计划完成商业试运营；</w:t>
      </w:r>
    </w:p>
    <w:p>
      <w:pPr>
        <w:adjustRightInd w:val="0"/>
        <w:snapToGrid w:val="0"/>
        <w:spacing w:line="360" w:lineRule="auto"/>
        <w:ind w:firstLine="420" w:firstLineChars="200"/>
      </w:pPr>
      <w:r>
        <w:rPr>
          <w:rFonts w:hint="eastAsia"/>
        </w:rPr>
        <w:t>③项目商业运营所需的审批手续已经完成；</w:t>
      </w:r>
    </w:p>
    <w:p>
      <w:pPr>
        <w:adjustRightInd w:val="0"/>
        <w:snapToGrid w:val="0"/>
        <w:spacing w:line="360" w:lineRule="auto"/>
        <w:ind w:firstLine="420" w:firstLineChars="200"/>
      </w:pPr>
      <w:r>
        <w:rPr>
          <w:rFonts w:hint="eastAsia"/>
        </w:rPr>
        <w:t>④商业试运营截止之日即为商业运营日。</w:t>
      </w:r>
    </w:p>
    <w:p>
      <w:pPr>
        <w:adjustRightInd w:val="0"/>
        <w:snapToGrid w:val="0"/>
        <w:spacing w:line="360" w:lineRule="auto"/>
        <w:ind w:firstLine="420" w:firstLineChars="200"/>
      </w:pPr>
      <w:r>
        <w:rPr>
          <w:rFonts w:hint="eastAsia"/>
        </w:rPr>
        <w:t>（4）运营组织与管理</w:t>
      </w:r>
    </w:p>
    <w:p>
      <w:pPr>
        <w:adjustRightInd w:val="0"/>
        <w:snapToGrid w:val="0"/>
        <w:spacing w:line="360" w:lineRule="auto"/>
        <w:ind w:firstLine="420" w:firstLineChars="200"/>
      </w:pPr>
      <w:r>
        <w:rPr>
          <w:rFonts w:hint="eastAsia"/>
        </w:rPr>
        <w:t>1）安全管理</w:t>
      </w:r>
    </w:p>
    <w:p>
      <w:pPr>
        <w:adjustRightInd w:val="0"/>
        <w:snapToGrid w:val="0"/>
        <w:spacing w:line="360" w:lineRule="auto"/>
        <w:ind w:firstLine="420" w:firstLineChars="200"/>
      </w:pPr>
      <w:r>
        <w:rPr>
          <w:rFonts w:hint="eastAsia"/>
        </w:rPr>
        <w:t>项目公司按照国家、行业相关规定，设置安全管理机构、建立安全生产责任制、应急管理制度，履行安全职责并承担相应费用。</w:t>
      </w:r>
    </w:p>
    <w:p>
      <w:pPr>
        <w:adjustRightInd w:val="0"/>
        <w:snapToGrid w:val="0"/>
        <w:spacing w:line="360" w:lineRule="auto"/>
        <w:ind w:firstLine="420" w:firstLineChars="200"/>
      </w:pPr>
      <w:r>
        <w:rPr>
          <w:rFonts w:hint="eastAsia"/>
        </w:rPr>
        <w:t>2）服务管理</w:t>
      </w:r>
    </w:p>
    <w:p>
      <w:pPr>
        <w:adjustRightInd w:val="0"/>
        <w:snapToGrid w:val="0"/>
        <w:spacing w:line="360" w:lineRule="auto"/>
        <w:ind w:firstLine="420" w:firstLineChars="200"/>
      </w:pPr>
      <w:r>
        <w:rPr>
          <w:rFonts w:hint="eastAsia"/>
        </w:rPr>
        <w:t>项目公司应采取一切必要和合理的措施，保证具备与实际相对应的服务的能力，项目公司的服务指标应不低于国家、省市相关标准的要求。</w:t>
      </w:r>
    </w:p>
    <w:p>
      <w:pPr>
        <w:adjustRightInd w:val="0"/>
        <w:snapToGrid w:val="0"/>
        <w:spacing w:line="360" w:lineRule="auto"/>
        <w:ind w:firstLine="420" w:firstLineChars="200"/>
      </w:pPr>
      <w:r>
        <w:rPr>
          <w:rFonts w:hint="eastAsia"/>
        </w:rPr>
        <w:t>3）监督与检查</w:t>
      </w:r>
    </w:p>
    <w:p>
      <w:pPr>
        <w:adjustRightInd w:val="0"/>
        <w:snapToGrid w:val="0"/>
        <w:spacing w:line="360" w:lineRule="auto"/>
        <w:ind w:firstLine="420" w:firstLineChars="200"/>
      </w:pPr>
      <w:r>
        <w:rPr>
          <w:rFonts w:hint="eastAsia"/>
        </w:rPr>
        <w:t>实施机构有权在任何工作时间对项目公司的运营状况进行现场检查，或者进行其他有关服务的进一步检查，也可以委托相关机构进行此种检查，但不应影响项目公司正常运营。</w:t>
      </w:r>
    </w:p>
    <w:p>
      <w:pPr>
        <w:adjustRightInd w:val="0"/>
        <w:snapToGrid w:val="0"/>
        <w:spacing w:line="360" w:lineRule="auto"/>
        <w:ind w:firstLine="420" w:firstLineChars="200"/>
      </w:pPr>
      <w:r>
        <w:rPr>
          <w:rFonts w:hint="eastAsia"/>
        </w:rPr>
        <w:t>4）财务管理</w:t>
      </w:r>
    </w:p>
    <w:p>
      <w:pPr>
        <w:adjustRightInd w:val="0"/>
        <w:snapToGrid w:val="0"/>
        <w:spacing w:line="360" w:lineRule="auto"/>
        <w:ind w:firstLine="420" w:firstLineChars="200"/>
      </w:pPr>
      <w:r>
        <w:rPr>
          <w:rFonts w:hint="eastAsia"/>
        </w:rPr>
        <w:t>实施机构有权对项目公司财务制度建立及执行进行监督检查。</w:t>
      </w:r>
    </w:p>
    <w:p>
      <w:pPr>
        <w:adjustRightInd w:val="0"/>
        <w:snapToGrid w:val="0"/>
        <w:spacing w:line="360" w:lineRule="auto"/>
        <w:ind w:firstLine="420" w:firstLineChars="200"/>
      </w:pPr>
      <w:r>
        <w:rPr>
          <w:rFonts w:hint="eastAsia"/>
        </w:rPr>
        <w:t>（5）提前或延迟运营</w:t>
      </w:r>
    </w:p>
    <w:p>
      <w:pPr>
        <w:adjustRightInd w:val="0"/>
        <w:snapToGrid w:val="0"/>
        <w:spacing w:line="360" w:lineRule="auto"/>
        <w:ind w:firstLine="420" w:firstLineChars="200"/>
      </w:pPr>
      <w:r>
        <w:rPr>
          <w:rFonts w:hint="eastAsia"/>
        </w:rPr>
        <w:t>本项目如出现提前运营的情形，项目公司按照合同要求提供餐厨废弃物收运、处置服务，实施机构按照合同约定支付相应的餐厨废弃物综合处置补贴，合作期不变。</w:t>
      </w:r>
    </w:p>
    <w:p>
      <w:pPr>
        <w:adjustRightInd w:val="0"/>
        <w:snapToGrid w:val="0"/>
        <w:spacing w:line="360" w:lineRule="auto"/>
        <w:ind w:firstLine="420" w:firstLineChars="200"/>
      </w:pPr>
      <w:r>
        <w:rPr>
          <w:rFonts w:hint="eastAsia"/>
        </w:rPr>
        <w:t>本项目如出现延迟运营的情形：</w:t>
      </w:r>
    </w:p>
    <w:p>
      <w:pPr>
        <w:adjustRightInd w:val="0"/>
        <w:snapToGrid w:val="0"/>
        <w:spacing w:line="360" w:lineRule="auto"/>
        <w:ind w:firstLine="420" w:firstLineChars="200"/>
      </w:pPr>
      <w:r>
        <w:rPr>
          <w:rFonts w:hint="eastAsia"/>
        </w:rPr>
        <w:t>1）因项目公司原因导致无法按期开始运营的后果</w:t>
      </w:r>
    </w:p>
    <w:p>
      <w:pPr>
        <w:adjustRightInd w:val="0"/>
        <w:snapToGrid w:val="0"/>
        <w:spacing w:line="360" w:lineRule="auto"/>
        <w:ind w:firstLine="420" w:firstLineChars="200"/>
      </w:pPr>
      <w:r>
        <w:rPr>
          <w:rFonts w:hint="eastAsia"/>
        </w:rPr>
        <w:t>如果项目公司因自身原因没有按照合同约定的时间和要求开始运营，将承担如下后果：</w:t>
      </w:r>
    </w:p>
    <w:p>
      <w:pPr>
        <w:adjustRightInd w:val="0"/>
        <w:snapToGrid w:val="0"/>
        <w:spacing w:line="360" w:lineRule="auto"/>
        <w:ind w:firstLine="420" w:firstLineChars="200"/>
      </w:pPr>
      <w:r>
        <w:rPr>
          <w:rFonts w:hint="eastAsia"/>
        </w:rPr>
        <w:t>①</w:t>
      </w:r>
      <w:r>
        <w:rPr>
          <w:rFonts w:hint="eastAsia"/>
        </w:rPr>
        <w:tab/>
      </w:r>
      <w:r>
        <w:rPr>
          <w:rFonts w:hint="eastAsia"/>
        </w:rPr>
        <w:t>一般的后果：无法按时获得付费、运营期缩短。</w:t>
      </w:r>
    </w:p>
    <w:p>
      <w:pPr>
        <w:adjustRightInd w:val="0"/>
        <w:snapToGrid w:val="0"/>
        <w:spacing w:line="360" w:lineRule="auto"/>
        <w:ind w:firstLine="420" w:firstLineChars="200"/>
      </w:pPr>
      <w:r>
        <w:rPr>
          <w:rFonts w:hint="eastAsia"/>
        </w:rPr>
        <w:t>通常来讲，根据项目合同的付费机制和项目期限机制，如果项目公司未能按照合同约定开始运营，其开始获得付费的时间也将会延迟，并且在项目合作期限固定且没有正当理由可以展期的情况下，延迟开始运营意味着项目公司的运营期也会随之缩短。</w:t>
      </w:r>
    </w:p>
    <w:p>
      <w:pPr>
        <w:adjustRightInd w:val="0"/>
        <w:snapToGrid w:val="0"/>
        <w:spacing w:line="360" w:lineRule="auto"/>
        <w:ind w:firstLine="420" w:firstLineChars="200"/>
      </w:pPr>
      <w:r>
        <w:rPr>
          <w:rFonts w:hint="eastAsia"/>
        </w:rPr>
        <w:t>②</w:t>
      </w:r>
      <w:r>
        <w:rPr>
          <w:rFonts w:hint="eastAsia"/>
        </w:rPr>
        <w:tab/>
      </w:r>
      <w:r>
        <w:rPr>
          <w:rFonts w:hint="eastAsia"/>
        </w:rPr>
        <w:t>支付逾期违约金。</w:t>
      </w:r>
    </w:p>
    <w:p>
      <w:pPr>
        <w:adjustRightInd w:val="0"/>
        <w:snapToGrid w:val="0"/>
        <w:spacing w:line="360" w:lineRule="auto"/>
        <w:ind w:firstLine="420" w:firstLineChars="200"/>
      </w:pPr>
      <w:r>
        <w:rPr>
          <w:rFonts w:hint="eastAsia"/>
        </w:rPr>
        <w:t>因社会资本方原因，项目开始运营时间晚于商业试运营日九十（90）日的，实施机构按 2 万元/日计算违约金，并从建设期履约保函中扣除。</w:t>
      </w:r>
    </w:p>
    <w:p>
      <w:pPr>
        <w:adjustRightInd w:val="0"/>
        <w:snapToGrid w:val="0"/>
        <w:spacing w:line="360" w:lineRule="auto"/>
        <w:ind w:firstLine="420" w:firstLineChars="200"/>
      </w:pPr>
      <w:r>
        <w:rPr>
          <w:rFonts w:hint="eastAsia"/>
        </w:rPr>
        <w:t>③</w:t>
      </w:r>
      <w:r>
        <w:rPr>
          <w:rFonts w:hint="eastAsia"/>
        </w:rPr>
        <w:tab/>
      </w:r>
      <w:r>
        <w:rPr>
          <w:rFonts w:hint="eastAsia"/>
        </w:rPr>
        <w:t>履约担保。</w:t>
      </w:r>
    </w:p>
    <w:p>
      <w:pPr>
        <w:adjustRightInd w:val="0"/>
        <w:snapToGrid w:val="0"/>
        <w:spacing w:line="360" w:lineRule="auto"/>
        <w:ind w:firstLine="420" w:firstLineChars="200"/>
      </w:pPr>
      <w:r>
        <w:rPr>
          <w:rFonts w:hint="eastAsia"/>
        </w:rPr>
        <w:t>如果项目公司没有按照合同约定运营项目，实施机构依据双方约定的履约担保机制提取保函。</w:t>
      </w:r>
    </w:p>
    <w:p>
      <w:pPr>
        <w:adjustRightInd w:val="0"/>
        <w:snapToGrid w:val="0"/>
        <w:spacing w:line="360" w:lineRule="auto"/>
        <w:ind w:firstLine="420" w:firstLineChars="200"/>
      </w:pPr>
      <w:r>
        <w:rPr>
          <w:rFonts w:hint="eastAsia"/>
        </w:rPr>
        <w:t>④</w:t>
      </w:r>
      <w:r>
        <w:rPr>
          <w:rFonts w:hint="eastAsia"/>
        </w:rPr>
        <w:tab/>
      </w:r>
      <w:r>
        <w:rPr>
          <w:rFonts w:hint="eastAsia"/>
        </w:rPr>
        <w:t>项目终止。</w:t>
      </w:r>
    </w:p>
    <w:p>
      <w:pPr>
        <w:adjustRightInd w:val="0"/>
        <w:snapToGrid w:val="0"/>
        <w:spacing w:line="360" w:lineRule="auto"/>
        <w:ind w:firstLine="420" w:firstLineChars="200"/>
      </w:pPr>
      <w:r>
        <w:rPr>
          <w:rFonts w:hint="eastAsia"/>
        </w:rPr>
        <w:t>如果项目公司延误商业试运营日超过180天，实施机构依据项目合同的约定主张提前终止本项目。</w:t>
      </w:r>
    </w:p>
    <w:p>
      <w:pPr>
        <w:adjustRightInd w:val="0"/>
        <w:snapToGrid w:val="0"/>
        <w:spacing w:line="360" w:lineRule="auto"/>
        <w:ind w:firstLine="420" w:firstLineChars="200"/>
      </w:pPr>
      <w:r>
        <w:rPr>
          <w:rFonts w:hint="eastAsia"/>
        </w:rPr>
        <w:t>2）因实施机构原因导致无法按期开始运营的后果。</w:t>
      </w:r>
    </w:p>
    <w:p>
      <w:pPr>
        <w:adjustRightInd w:val="0"/>
        <w:snapToGrid w:val="0"/>
        <w:spacing w:line="360" w:lineRule="auto"/>
        <w:ind w:firstLine="420" w:firstLineChars="200"/>
      </w:pPr>
      <w:r>
        <w:rPr>
          <w:rFonts w:hint="eastAsia"/>
        </w:rPr>
        <w:t>此处的实施机构原因包括实施机构违约以及在项目合同中约定的由实施机构承担的风险。</w:t>
      </w:r>
    </w:p>
    <w:p>
      <w:pPr>
        <w:adjustRightInd w:val="0"/>
        <w:snapToGrid w:val="0"/>
        <w:spacing w:line="360" w:lineRule="auto"/>
        <w:ind w:firstLine="420" w:firstLineChars="200"/>
      </w:pPr>
      <w:r>
        <w:rPr>
          <w:rFonts w:hint="eastAsia"/>
        </w:rPr>
        <w:t>①</w:t>
      </w:r>
      <w:r>
        <w:rPr>
          <w:rFonts w:hint="eastAsia"/>
        </w:rPr>
        <w:tab/>
      </w:r>
      <w:r>
        <w:rPr>
          <w:rFonts w:hint="eastAsia"/>
        </w:rPr>
        <w:t>延长工期和赔偿费用。</w:t>
      </w:r>
    </w:p>
    <w:p>
      <w:pPr>
        <w:adjustRightInd w:val="0"/>
        <w:snapToGrid w:val="0"/>
        <w:spacing w:line="360" w:lineRule="auto"/>
        <w:ind w:firstLine="420" w:firstLineChars="200"/>
      </w:pPr>
      <w:r>
        <w:rPr>
          <w:rFonts w:hint="eastAsia"/>
        </w:rPr>
        <w:t>因实施机构原因导致项目公司无法按期开始运营的，项目公司有权主张延迟开始运营并向实施机构索赔因延误运营导致的额外费用。</w:t>
      </w:r>
    </w:p>
    <w:p>
      <w:pPr>
        <w:adjustRightInd w:val="0"/>
        <w:snapToGrid w:val="0"/>
        <w:spacing w:line="360" w:lineRule="auto"/>
        <w:ind w:firstLine="420" w:firstLineChars="200"/>
      </w:pPr>
      <w:r>
        <w:rPr>
          <w:rFonts w:hint="eastAsia"/>
        </w:rPr>
        <w:t>②</w:t>
      </w:r>
      <w:r>
        <w:rPr>
          <w:rFonts w:hint="eastAsia"/>
        </w:rPr>
        <w:tab/>
      </w:r>
      <w:r>
        <w:rPr>
          <w:rFonts w:hint="eastAsia"/>
        </w:rPr>
        <w:t>项目终止。</w:t>
      </w:r>
    </w:p>
    <w:p>
      <w:pPr>
        <w:adjustRightInd w:val="0"/>
        <w:snapToGrid w:val="0"/>
        <w:spacing w:line="360" w:lineRule="auto"/>
        <w:ind w:firstLine="420" w:firstLineChars="200"/>
      </w:pPr>
      <w:r>
        <w:rPr>
          <w:rFonts w:hint="eastAsia"/>
        </w:rPr>
        <w:t>如果实施机构延误商业试运营日超过180天，项目公司有权依据项目合同的约定主张提前终止本项目。</w:t>
      </w:r>
    </w:p>
    <w:p>
      <w:pPr>
        <w:adjustRightInd w:val="0"/>
        <w:snapToGrid w:val="0"/>
        <w:spacing w:line="360" w:lineRule="auto"/>
        <w:ind w:firstLine="420" w:firstLineChars="200"/>
      </w:pPr>
      <w:r>
        <w:rPr>
          <w:rFonts w:hint="eastAsia"/>
        </w:rPr>
        <w:t>3）因中性原因导致无法按期开始运营的后果。</w:t>
      </w:r>
    </w:p>
    <w:p>
      <w:pPr>
        <w:adjustRightInd w:val="0"/>
        <w:snapToGrid w:val="0"/>
        <w:spacing w:line="360" w:lineRule="auto"/>
        <w:ind w:firstLine="420" w:firstLineChars="200"/>
      </w:pPr>
      <w:r>
        <w:rPr>
          <w:rFonts w:hint="eastAsia"/>
        </w:rPr>
        <w:t>此处的中性原因是指不可抗力及其他双方约定由双方共同承担风险的原因。因中性原因导致项目公司不能按期开始运营的，受到该中性原因影响的一方或双方均可以免除违约责任，也可以根据该中性原因的影响期间申请延迟开始运营日，但项目合作期维持不变。</w:t>
      </w:r>
    </w:p>
    <w:p>
      <w:pPr>
        <w:adjustRightInd w:val="0"/>
        <w:snapToGrid w:val="0"/>
        <w:spacing w:line="360" w:lineRule="auto"/>
        <w:ind w:firstLine="420" w:firstLineChars="200"/>
      </w:pPr>
      <w:r>
        <w:rPr>
          <w:rFonts w:hint="eastAsia"/>
        </w:rPr>
        <w:t>（6）实施机构对项目运营的监督和介入</w:t>
      </w:r>
    </w:p>
    <w:p>
      <w:pPr>
        <w:adjustRightInd w:val="0"/>
        <w:snapToGrid w:val="0"/>
        <w:spacing w:line="360" w:lineRule="auto"/>
        <w:ind w:firstLine="420" w:firstLineChars="200"/>
      </w:pPr>
      <w:r>
        <w:rPr>
          <w:rFonts w:hint="eastAsia"/>
        </w:rPr>
        <w:t>1）在不影响项目正常运营的情况下，实施机构有权入场检查；</w:t>
      </w:r>
    </w:p>
    <w:p>
      <w:pPr>
        <w:adjustRightInd w:val="0"/>
        <w:snapToGrid w:val="0"/>
        <w:spacing w:line="360" w:lineRule="auto"/>
        <w:ind w:firstLine="420" w:firstLineChars="200"/>
      </w:pPr>
      <w:r>
        <w:rPr>
          <w:rFonts w:hint="eastAsia"/>
        </w:rPr>
        <w:t>2）定期获得项目公司报送的有关项目运营情况的报告及其他资料；</w:t>
      </w:r>
    </w:p>
    <w:p>
      <w:pPr>
        <w:adjustRightInd w:val="0"/>
        <w:snapToGrid w:val="0"/>
        <w:spacing w:line="360" w:lineRule="auto"/>
        <w:ind w:firstLine="420" w:firstLineChars="200"/>
      </w:pPr>
      <w:r>
        <w:rPr>
          <w:rFonts w:hint="eastAsia"/>
        </w:rPr>
        <w:t>3）审阅项目公司拟定的运营方案并提出意见；</w:t>
      </w:r>
    </w:p>
    <w:p>
      <w:pPr>
        <w:adjustRightInd w:val="0"/>
        <w:snapToGrid w:val="0"/>
        <w:spacing w:line="360" w:lineRule="auto"/>
        <w:ind w:firstLine="420" w:firstLineChars="200"/>
      </w:pPr>
      <w:r>
        <w:rPr>
          <w:rFonts w:hint="eastAsia"/>
        </w:rPr>
        <w:t>4）委托第三方机构开展项目中期评估和后评价；</w:t>
      </w:r>
    </w:p>
    <w:p>
      <w:pPr>
        <w:adjustRightInd w:val="0"/>
        <w:snapToGrid w:val="0"/>
        <w:spacing w:line="360" w:lineRule="auto"/>
        <w:ind w:firstLine="420" w:firstLineChars="200"/>
      </w:pPr>
      <w:r>
        <w:rPr>
          <w:rFonts w:hint="eastAsia"/>
        </w:rPr>
        <w:t>5）特定情形下，介入项目的运营工作。</w:t>
      </w:r>
    </w:p>
    <w:p>
      <w:pPr>
        <w:adjustRightInd w:val="0"/>
        <w:snapToGrid w:val="0"/>
        <w:spacing w:line="360" w:lineRule="auto"/>
        <w:ind w:firstLine="420" w:firstLineChars="200"/>
      </w:pPr>
      <w:r>
        <w:rPr>
          <w:rFonts w:hint="eastAsia"/>
        </w:rPr>
        <w:t>（7）运营期绩效考核表</w:t>
      </w:r>
    </w:p>
    <w:p>
      <w:pPr>
        <w:widowControl/>
        <w:jc w:val="left"/>
      </w:pPr>
      <w:r>
        <w:br w:type="page"/>
      </w:r>
    </w:p>
    <w:p>
      <w:pPr>
        <w:adjustRightInd w:val="0"/>
        <w:snapToGrid w:val="0"/>
        <w:spacing w:line="360" w:lineRule="auto"/>
        <w:ind w:firstLine="420" w:firstLineChars="200"/>
        <w:sectPr>
          <w:pgSz w:w="11906" w:h="16838"/>
          <w:pgMar w:top="1440" w:right="1797" w:bottom="1440" w:left="1797" w:header="851" w:footer="851" w:gutter="0"/>
          <w:cols w:space="425" w:num="1"/>
          <w:docGrid w:linePitch="312" w:charSpace="0"/>
        </w:sectPr>
      </w:pP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1"/>
        <w:gridCol w:w="1746"/>
        <w:gridCol w:w="1440"/>
        <w:gridCol w:w="4609"/>
        <w:gridCol w:w="52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jc w:val="center"/>
        </w:trPr>
        <w:tc>
          <w:tcPr>
            <w:tcW w:w="399"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一级指标</w:t>
            </w:r>
          </w:p>
        </w:tc>
        <w:tc>
          <w:tcPr>
            <w:tcW w:w="616"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二级指标</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三级指标</w:t>
            </w:r>
          </w:p>
        </w:tc>
        <w:tc>
          <w:tcPr>
            <w:tcW w:w="1626"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考核标准</w:t>
            </w:r>
          </w:p>
        </w:tc>
        <w:tc>
          <w:tcPr>
            <w:tcW w:w="1851" w:type="pc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eastAsia="黑体"/>
                <w:kern w:val="0"/>
              </w:rPr>
            </w:pPr>
            <w:r>
              <w:rPr>
                <w:rFonts w:eastAsia="黑体"/>
                <w:kern w:val="0"/>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restart"/>
            <w:tcBorders>
              <w:left w:val="single" w:color="auto" w:sz="4" w:space="0"/>
              <w:right w:val="single" w:color="auto" w:sz="4" w:space="0"/>
            </w:tcBorders>
            <w:vAlign w:val="center"/>
          </w:tcPr>
          <w:p>
            <w:pPr>
              <w:adjustRightInd w:val="0"/>
              <w:snapToGrid w:val="0"/>
              <w:jc w:val="center"/>
              <w:rPr>
                <w:kern w:val="0"/>
              </w:rPr>
            </w:pPr>
            <w:r>
              <w:rPr>
                <w:kern w:val="0"/>
              </w:rPr>
              <w:t>收运考核</w:t>
            </w:r>
          </w:p>
          <w:p>
            <w:pPr>
              <w:adjustRightInd w:val="0"/>
              <w:snapToGrid w:val="0"/>
              <w:jc w:val="center"/>
              <w:rPr>
                <w:kern w:val="0"/>
              </w:rPr>
            </w:pPr>
            <w:r>
              <w:rPr>
                <w:kern w:val="0"/>
              </w:rPr>
              <w:t>（33分）</w:t>
            </w: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餐厨废弃物收运量</w:t>
            </w:r>
          </w:p>
          <w:p>
            <w:pPr>
              <w:adjustRightInd w:val="0"/>
              <w:snapToGrid w:val="0"/>
              <w:jc w:val="center"/>
              <w:rPr>
                <w:kern w:val="0"/>
              </w:rPr>
            </w:pPr>
            <w:r>
              <w:rPr>
                <w:kern w:val="0"/>
              </w:rPr>
              <w:t>（10分）</w:t>
            </w: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收集情况</w:t>
            </w:r>
          </w:p>
          <w:p>
            <w:pPr>
              <w:autoSpaceDE w:val="0"/>
              <w:autoSpaceDN w:val="0"/>
              <w:adjustRightInd w:val="0"/>
              <w:snapToGrid w:val="0"/>
              <w:jc w:val="center"/>
              <w:rPr>
                <w:kern w:val="0"/>
              </w:rPr>
            </w:pPr>
            <w:r>
              <w:rPr>
                <w:kern w:val="0"/>
              </w:rPr>
              <w:t>（2分）</w:t>
            </w:r>
          </w:p>
        </w:tc>
        <w:tc>
          <w:tcPr>
            <w:tcW w:w="1626" w:type="pct"/>
            <w:tcBorders>
              <w:left w:val="single" w:color="auto" w:sz="4" w:space="0"/>
              <w:right w:val="single" w:color="auto" w:sz="4" w:space="0"/>
            </w:tcBorders>
            <w:vAlign w:val="center"/>
          </w:tcPr>
          <w:p>
            <w:pPr>
              <w:adjustRightInd w:val="0"/>
              <w:snapToGrid w:val="0"/>
            </w:pPr>
            <w:r>
              <w:t>结合收运协议对餐厨废弃物产生单位的产出量进行监督</w:t>
            </w:r>
          </w:p>
        </w:tc>
        <w:tc>
          <w:tcPr>
            <w:tcW w:w="1851" w:type="pct"/>
            <w:tcBorders>
              <w:left w:val="single" w:color="auto" w:sz="4" w:space="0"/>
              <w:right w:val="single" w:color="auto" w:sz="4" w:space="0"/>
            </w:tcBorders>
            <w:vAlign w:val="center"/>
          </w:tcPr>
          <w:p>
            <w:pPr>
              <w:adjustRightInd w:val="0"/>
              <w:snapToGrid w:val="0"/>
            </w:pPr>
            <w:r>
              <w:t>未能完整对餐厨废弃物产生单位的产出量进行监督的扣1分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如实际产出量有造假嫌疑，是否及时举报处理</w:t>
            </w:r>
          </w:p>
        </w:tc>
        <w:tc>
          <w:tcPr>
            <w:tcW w:w="1851" w:type="pct"/>
            <w:tcBorders>
              <w:left w:val="single" w:color="auto" w:sz="4" w:space="0"/>
              <w:right w:val="single" w:color="auto" w:sz="4" w:space="0"/>
            </w:tcBorders>
            <w:vAlign w:val="center"/>
          </w:tcPr>
          <w:p>
            <w:pPr>
              <w:adjustRightInd w:val="0"/>
              <w:snapToGrid w:val="0"/>
            </w:pPr>
            <w:r>
              <w:t>对实际产出量有造假嫌疑，未及时举报处理的扣0.5分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是否及时完整记录餐厨废弃物收集运输台账，每天产出量记录是否连续</w:t>
            </w:r>
          </w:p>
        </w:tc>
        <w:tc>
          <w:tcPr>
            <w:tcW w:w="1851" w:type="pct"/>
            <w:tcBorders>
              <w:left w:val="single" w:color="auto" w:sz="4" w:space="0"/>
              <w:right w:val="single" w:color="auto" w:sz="4" w:space="0"/>
            </w:tcBorders>
            <w:vAlign w:val="center"/>
          </w:tcPr>
          <w:p>
            <w:pPr>
              <w:adjustRightInd w:val="0"/>
              <w:snapToGrid w:val="0"/>
            </w:pPr>
            <w:r>
              <w:t>未能及时完整记录餐厨废弃物收集运输台账的扣0.2分；每天产出量记录未能连续的扣0.5分。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计量</w:t>
            </w:r>
          </w:p>
          <w:p>
            <w:pPr>
              <w:autoSpaceDE w:val="0"/>
              <w:autoSpaceDN w:val="0"/>
              <w:adjustRightInd w:val="0"/>
              <w:snapToGrid w:val="0"/>
              <w:jc w:val="center"/>
              <w:rPr>
                <w:kern w:val="0"/>
              </w:rPr>
            </w:pPr>
            <w:r>
              <w:rPr>
                <w:kern w:val="0"/>
              </w:rPr>
              <w:t>（2分）</w:t>
            </w:r>
          </w:p>
        </w:tc>
        <w:tc>
          <w:tcPr>
            <w:tcW w:w="1626" w:type="pct"/>
            <w:tcBorders>
              <w:left w:val="single" w:color="auto" w:sz="4" w:space="0"/>
              <w:right w:val="single" w:color="auto" w:sz="4" w:space="0"/>
            </w:tcBorders>
            <w:vAlign w:val="center"/>
          </w:tcPr>
          <w:p>
            <w:pPr>
              <w:adjustRightInd w:val="0"/>
              <w:snapToGrid w:val="0"/>
            </w:pPr>
            <w:r>
              <w:t>产生单位及收运车及运输桶配备的计量设备是否良好</w:t>
            </w:r>
          </w:p>
        </w:tc>
        <w:tc>
          <w:tcPr>
            <w:tcW w:w="1851" w:type="pct"/>
            <w:tcBorders>
              <w:left w:val="single" w:color="auto" w:sz="4" w:space="0"/>
              <w:right w:val="single" w:color="auto" w:sz="4" w:space="0"/>
            </w:tcBorders>
            <w:vAlign w:val="center"/>
          </w:tcPr>
          <w:p>
            <w:pPr>
              <w:adjustRightInd w:val="0"/>
              <w:snapToGrid w:val="0"/>
            </w:pPr>
            <w:r>
              <w:t>计量设备未处于良好状态，出现计量问题的扣1分。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是否按照规范的计量制度和管控流程对餐厨废弃物进行计量</w:t>
            </w:r>
          </w:p>
        </w:tc>
        <w:tc>
          <w:tcPr>
            <w:tcW w:w="1851" w:type="pct"/>
            <w:tcBorders>
              <w:left w:val="single" w:color="auto" w:sz="4" w:space="0"/>
              <w:right w:val="single" w:color="auto" w:sz="4" w:space="0"/>
            </w:tcBorders>
            <w:vAlign w:val="center"/>
          </w:tcPr>
          <w:p>
            <w:pPr>
              <w:adjustRightInd w:val="0"/>
              <w:snapToGrid w:val="0"/>
            </w:pPr>
            <w:r>
              <w:t>未能规范计量的，发现一次扣1分。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收运量</w:t>
            </w:r>
          </w:p>
          <w:p>
            <w:pPr>
              <w:autoSpaceDE w:val="0"/>
              <w:autoSpaceDN w:val="0"/>
              <w:adjustRightInd w:val="0"/>
              <w:snapToGrid w:val="0"/>
              <w:jc w:val="center"/>
              <w:rPr>
                <w:kern w:val="0"/>
              </w:rPr>
            </w:pPr>
            <w:r>
              <w:rPr>
                <w:rFonts w:hint="eastAsia"/>
                <w:kern w:val="0"/>
              </w:rPr>
              <w:t>（</w:t>
            </w:r>
            <w:r>
              <w:rPr>
                <w:kern w:val="0"/>
              </w:rPr>
              <w:t>2</w:t>
            </w:r>
            <w:r>
              <w:rPr>
                <w:rFonts w:hint="eastAsia"/>
                <w:kern w:val="0"/>
              </w:rPr>
              <w:t>分）</w:t>
            </w:r>
          </w:p>
        </w:tc>
        <w:tc>
          <w:tcPr>
            <w:tcW w:w="1626" w:type="pct"/>
            <w:tcBorders>
              <w:left w:val="single" w:color="auto" w:sz="4" w:space="0"/>
              <w:right w:val="single" w:color="auto" w:sz="4" w:space="0"/>
            </w:tcBorders>
            <w:vAlign w:val="center"/>
          </w:tcPr>
          <w:p>
            <w:pPr>
              <w:adjustRightInd w:val="0"/>
              <w:snapToGrid w:val="0"/>
            </w:pPr>
            <w:r>
              <w:rPr>
                <w:rFonts w:hint="eastAsia"/>
              </w:rPr>
              <w:t>是否按预设收运量收运餐厨废弃物</w:t>
            </w:r>
          </w:p>
        </w:tc>
        <w:tc>
          <w:tcPr>
            <w:tcW w:w="1851" w:type="pct"/>
            <w:tcBorders>
              <w:left w:val="single" w:color="auto" w:sz="4" w:space="0"/>
              <w:right w:val="single" w:color="auto" w:sz="4" w:space="0"/>
            </w:tcBorders>
            <w:vAlign w:val="center"/>
          </w:tcPr>
          <w:p>
            <w:pPr>
              <w:adjustRightInd w:val="0"/>
              <w:snapToGrid w:val="0"/>
            </w:pPr>
            <w:r>
              <w:rPr>
                <w:rFonts w:hint="eastAsia"/>
              </w:rPr>
              <w:t>未能按照预设收运量收运的，每少</w:t>
            </w:r>
            <w:r>
              <w:t>20</w:t>
            </w:r>
            <w:r>
              <w:rPr>
                <w:rFonts w:hint="eastAsia"/>
              </w:rPr>
              <w:t>吨，扣</w:t>
            </w:r>
            <w:r>
              <w:t>0.5</w:t>
            </w:r>
            <w:r>
              <w:rPr>
                <w:rFonts w:hint="eastAsia"/>
              </w:rPr>
              <w:t>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收运效果</w:t>
            </w:r>
          </w:p>
          <w:p>
            <w:pPr>
              <w:autoSpaceDE w:val="0"/>
              <w:autoSpaceDN w:val="0"/>
              <w:adjustRightInd w:val="0"/>
              <w:snapToGrid w:val="0"/>
              <w:jc w:val="center"/>
              <w:rPr>
                <w:kern w:val="0"/>
              </w:rPr>
            </w:pPr>
            <w:r>
              <w:rPr>
                <w:kern w:val="0"/>
              </w:rPr>
              <w:t>（7分）</w:t>
            </w:r>
          </w:p>
        </w:tc>
        <w:tc>
          <w:tcPr>
            <w:tcW w:w="1626" w:type="pct"/>
            <w:tcBorders>
              <w:left w:val="single" w:color="auto" w:sz="4" w:space="0"/>
              <w:right w:val="single" w:color="auto" w:sz="4" w:space="0"/>
            </w:tcBorders>
            <w:vAlign w:val="center"/>
          </w:tcPr>
          <w:p>
            <w:pPr>
              <w:adjustRightInd w:val="0"/>
              <w:snapToGrid w:val="0"/>
            </w:pPr>
            <w:r>
              <w:t>是否按规定与餐厨废弃物产生单位签订协议，协议是否在有效期</w:t>
            </w:r>
          </w:p>
        </w:tc>
        <w:tc>
          <w:tcPr>
            <w:tcW w:w="1851" w:type="pct"/>
            <w:tcBorders>
              <w:left w:val="single" w:color="auto" w:sz="4" w:space="0"/>
              <w:right w:val="single" w:color="auto" w:sz="4" w:space="0"/>
            </w:tcBorders>
            <w:vAlign w:val="center"/>
          </w:tcPr>
          <w:p>
            <w:pPr>
              <w:adjustRightInd w:val="0"/>
              <w:snapToGrid w:val="0"/>
            </w:pPr>
            <w:r>
              <w:t>未能按照规定与餐厨废弃物产出单位签订协议，并保持协议在有效期内的，扣1分。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餐厨废弃物专用容器盛装是否密闭、防腐</w:t>
            </w:r>
          </w:p>
        </w:tc>
        <w:tc>
          <w:tcPr>
            <w:tcW w:w="1851" w:type="pct"/>
            <w:tcBorders>
              <w:left w:val="single" w:color="auto" w:sz="4" w:space="0"/>
              <w:right w:val="single" w:color="auto" w:sz="4" w:space="0"/>
            </w:tcBorders>
            <w:vAlign w:val="center"/>
          </w:tcPr>
          <w:p>
            <w:pPr>
              <w:adjustRightInd w:val="0"/>
              <w:snapToGrid w:val="0"/>
            </w:pPr>
            <w:r>
              <w:t>餐厨废弃物专用容器盛装不密闭的扣1分；未达到防腐要求的扣1分。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采用密闭式专用</w:t>
            </w:r>
            <w:r>
              <w:rPr>
                <w:rFonts w:hint="eastAsia"/>
              </w:rPr>
              <w:t>收集</w:t>
            </w:r>
            <w:r>
              <w:t>车进行收集，运输过程中是否存在渗漏</w:t>
            </w:r>
          </w:p>
        </w:tc>
        <w:tc>
          <w:tcPr>
            <w:tcW w:w="1851" w:type="pct"/>
            <w:tcBorders>
              <w:left w:val="single" w:color="auto" w:sz="4" w:space="0"/>
              <w:right w:val="single" w:color="auto" w:sz="4" w:space="0"/>
            </w:tcBorders>
            <w:vAlign w:val="center"/>
          </w:tcPr>
          <w:p>
            <w:pPr>
              <w:adjustRightInd w:val="0"/>
              <w:snapToGrid w:val="0"/>
            </w:pPr>
            <w:r>
              <w:t>未能采用密闭式专用收集车进行收集的扣1分；运输过程中存在渗漏的扣1分。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是否及时记录计算商家的收取比例（户比）、收取量与标准量比例，结果是否符合收运协议的达标水平</w:t>
            </w:r>
          </w:p>
        </w:tc>
        <w:tc>
          <w:tcPr>
            <w:tcW w:w="1851" w:type="pct"/>
            <w:tcBorders>
              <w:left w:val="single" w:color="auto" w:sz="4" w:space="0"/>
              <w:right w:val="single" w:color="auto" w:sz="4" w:space="0"/>
            </w:tcBorders>
            <w:vAlign w:val="center"/>
          </w:tcPr>
          <w:p>
            <w:pPr>
              <w:adjustRightInd w:val="0"/>
              <w:snapToGrid w:val="0"/>
            </w:pPr>
            <w:r>
              <w:t>未能及时记录计算商家的收取比例（户比）、收取量与标准量比例，结果是否符合收运协议的达标水平的扣1分。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是否按规定填写餐厨废弃物收集运输联单，是否及时向当地人民政府市容环境卫生主管部门或其委托的专业管理机构报送</w:t>
            </w:r>
          </w:p>
        </w:tc>
        <w:tc>
          <w:tcPr>
            <w:tcW w:w="1851" w:type="pct"/>
            <w:tcBorders>
              <w:left w:val="single" w:color="auto" w:sz="4" w:space="0"/>
              <w:right w:val="single" w:color="auto" w:sz="4" w:space="0"/>
            </w:tcBorders>
            <w:vAlign w:val="center"/>
          </w:tcPr>
          <w:p>
            <w:pPr>
              <w:adjustRightInd w:val="0"/>
              <w:snapToGrid w:val="0"/>
            </w:pPr>
            <w:r>
              <w:t>未能按规定填写餐厨废弃物收集运输联单，并及时向当地人民政府市容环境卫生部门或其委托的专业管理机构报送的扣1分。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是否按照环境卫生作业和规范，在协议约定的时间内及时收集运输餐厨废弃物；每天到餐厨废弃物产生单位清运不少于一次</w:t>
            </w:r>
          </w:p>
        </w:tc>
        <w:tc>
          <w:tcPr>
            <w:tcW w:w="1851" w:type="pct"/>
            <w:tcBorders>
              <w:left w:val="single" w:color="auto" w:sz="4" w:space="0"/>
              <w:right w:val="single" w:color="auto" w:sz="4" w:space="0"/>
            </w:tcBorders>
            <w:vAlign w:val="center"/>
          </w:tcPr>
          <w:p>
            <w:pPr>
              <w:adjustRightInd w:val="0"/>
              <w:snapToGrid w:val="0"/>
            </w:pPr>
            <w:r>
              <w:t>未按照环境卫生作业标准和规范，在协议约定的时间内及时收集运输餐厨废弃物扣1分；每天到餐厨废弃物产生单位清运少于一次的扣1分。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是否对超额的废弃物进行收运，是否记录并向相关政府部门报告</w:t>
            </w:r>
          </w:p>
        </w:tc>
        <w:tc>
          <w:tcPr>
            <w:tcW w:w="1851" w:type="pct"/>
            <w:tcBorders>
              <w:left w:val="single" w:color="auto" w:sz="4" w:space="0"/>
              <w:right w:val="single" w:color="auto" w:sz="4" w:space="0"/>
            </w:tcBorders>
            <w:vAlign w:val="center"/>
          </w:tcPr>
          <w:p>
            <w:pPr>
              <w:adjustRightInd w:val="0"/>
              <w:snapToGrid w:val="0"/>
            </w:pPr>
            <w:r>
              <w:t>存在对超额的废弃物进行收运且未及时记录并向相关政府部门报告的扣1分。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餐厨废弃物所含物质</w:t>
            </w:r>
          </w:p>
          <w:p>
            <w:pPr>
              <w:adjustRightInd w:val="0"/>
              <w:snapToGrid w:val="0"/>
              <w:jc w:val="center"/>
              <w:rPr>
                <w:kern w:val="0"/>
              </w:rPr>
            </w:pPr>
            <w:r>
              <w:rPr>
                <w:kern w:val="0"/>
              </w:rPr>
              <w:t>（4分）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有机质含量</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是否实时监测餐厨废弃物中的有机质含量，是否及时提供检测结果</w:t>
            </w:r>
          </w:p>
        </w:tc>
        <w:tc>
          <w:tcPr>
            <w:tcW w:w="1851" w:type="pct"/>
            <w:tcBorders>
              <w:left w:val="single" w:color="auto" w:sz="4" w:space="0"/>
              <w:right w:val="single" w:color="auto" w:sz="4" w:space="0"/>
            </w:tcBorders>
            <w:vAlign w:val="center"/>
          </w:tcPr>
          <w:p>
            <w:pPr>
              <w:adjustRightInd w:val="0"/>
              <w:snapToGrid w:val="0"/>
            </w:pPr>
            <w:r>
              <w:t>未能实时监测餐厨废弃物中有机质含量，并及时提供检测结果的扣1分。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杂物量</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是否实时监测餐厨废弃物中的塑料、木头、金属等杂物含量的检测结果，若发现异常废弃物时是否作好记录并及时提供检测结果</w:t>
            </w:r>
          </w:p>
        </w:tc>
        <w:tc>
          <w:tcPr>
            <w:tcW w:w="1851" w:type="pct"/>
            <w:tcBorders>
              <w:left w:val="single" w:color="auto" w:sz="4" w:space="0"/>
              <w:right w:val="single" w:color="auto" w:sz="4" w:space="0"/>
            </w:tcBorders>
            <w:vAlign w:val="center"/>
          </w:tcPr>
          <w:p>
            <w:pPr>
              <w:adjustRightInd w:val="0"/>
              <w:snapToGrid w:val="0"/>
            </w:pPr>
            <w:r>
              <w:t>未能实时监测餐厨废弃物中熟料、木头、金属等杂物含量的检测结果，并将异常情况作好记录并及时提供检测结果的扣1分。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废水量</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是否实时监测记录餐厨废弃物中废水含量，是否及时提供检测结果</w:t>
            </w:r>
          </w:p>
        </w:tc>
        <w:tc>
          <w:tcPr>
            <w:tcW w:w="1851" w:type="pct"/>
            <w:tcBorders>
              <w:left w:val="single" w:color="auto" w:sz="4" w:space="0"/>
              <w:right w:val="single" w:color="auto" w:sz="4" w:space="0"/>
            </w:tcBorders>
            <w:vAlign w:val="center"/>
          </w:tcPr>
          <w:p>
            <w:pPr>
              <w:adjustRightInd w:val="0"/>
              <w:snapToGrid w:val="0"/>
            </w:pPr>
            <w:r>
              <w:t>未能实时监测记录餐厨废弃物中废水含量并及时提供检测结果的扣1分。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油水分离</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是否对餐厨废弃物的液体进行油水分离，是否提供分离结果报告</w:t>
            </w:r>
          </w:p>
        </w:tc>
        <w:tc>
          <w:tcPr>
            <w:tcW w:w="1851" w:type="pct"/>
            <w:tcBorders>
              <w:left w:val="single" w:color="auto" w:sz="4" w:space="0"/>
              <w:right w:val="single" w:color="auto" w:sz="4" w:space="0"/>
            </w:tcBorders>
            <w:vAlign w:val="center"/>
          </w:tcPr>
          <w:p>
            <w:pPr>
              <w:adjustRightInd w:val="0"/>
              <w:snapToGrid w:val="0"/>
            </w:pPr>
            <w:r>
              <w:t>未对餐厨废弃物的液体进行油水分离并提供分离结果报告的扣1分。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收运过程洁净度</w:t>
            </w:r>
          </w:p>
          <w:p>
            <w:pPr>
              <w:adjustRightInd w:val="0"/>
              <w:snapToGrid w:val="0"/>
              <w:jc w:val="center"/>
              <w:rPr>
                <w:kern w:val="0"/>
              </w:rPr>
            </w:pPr>
            <w:r>
              <w:rPr>
                <w:kern w:val="0"/>
              </w:rPr>
              <w:t>（9分）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容器</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是否保持整洁</w:t>
            </w:r>
          </w:p>
        </w:tc>
        <w:tc>
          <w:tcPr>
            <w:tcW w:w="1851" w:type="pct"/>
            <w:tcBorders>
              <w:left w:val="single" w:color="auto" w:sz="4" w:space="0"/>
              <w:right w:val="single" w:color="auto" w:sz="4" w:space="0"/>
            </w:tcBorders>
            <w:vAlign w:val="center"/>
          </w:tcPr>
          <w:p>
            <w:pPr>
              <w:adjustRightInd w:val="0"/>
              <w:snapToGrid w:val="0"/>
            </w:pPr>
            <w:r>
              <w:t>收运容器未能保持整洁卫生的扣1分。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场地</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收集点击周围5m内保持整洁，无散落、存留废弃物和污水。废弃物收集站点应定期清洗、喷洒消毒、灭蚊蝇药物。在可视范围内，苍蝇应少于3只/次，并无活鼠等。各种标志性牌齐全，并在规定的地方设置。</w:t>
            </w:r>
          </w:p>
        </w:tc>
        <w:tc>
          <w:tcPr>
            <w:tcW w:w="1851" w:type="pct"/>
            <w:tcBorders>
              <w:left w:val="single" w:color="auto" w:sz="4" w:space="0"/>
              <w:right w:val="single" w:color="auto" w:sz="4" w:space="0"/>
            </w:tcBorders>
            <w:vAlign w:val="center"/>
          </w:tcPr>
          <w:p>
            <w:pPr>
              <w:adjustRightInd w:val="0"/>
              <w:snapToGrid w:val="0"/>
            </w:pPr>
            <w:r>
              <w:t>收集点及周围5m内保持整洁，无散落、存留废弃物和污水，发现一处扣0.1分，满分1分扣完为止；</w:t>
            </w:r>
          </w:p>
          <w:p>
            <w:pPr>
              <w:adjustRightInd w:val="0"/>
              <w:snapToGrid w:val="0"/>
            </w:pPr>
            <w:r>
              <w:t>未按操作规程对废弃物收集站点定期清洗、喷洒消毒、灭蚊蝇药物，没发现一次扣0.1分，满分1分扣完为止；</w:t>
            </w:r>
          </w:p>
          <w:p>
            <w:pPr>
              <w:adjustRightInd w:val="0"/>
              <w:snapToGrid w:val="0"/>
            </w:pPr>
            <w:r>
              <w:t>可视范围内，苍蝇多于3只/次，或存在活鼠的，每发现一次扣0.1分，满分0.5分扣完为止；</w:t>
            </w:r>
          </w:p>
          <w:p>
            <w:pPr>
              <w:adjustRightInd w:val="0"/>
              <w:snapToGrid w:val="0"/>
            </w:pPr>
            <w:r>
              <w:t>标志性牌缺失，或未在规定的地方设置，没发现一处扣0.1分，满帆0.5分扣完为止。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车辆清洁</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应当使用符合国家相关标准和技术规范的餐厨废弃物专用密闭车辆运输，并喷涂统一的标识标志，运输过程中不得滴漏、撒落，转运期间不得裸露存放</w:t>
            </w:r>
          </w:p>
        </w:tc>
        <w:tc>
          <w:tcPr>
            <w:tcW w:w="1851" w:type="pct"/>
            <w:tcBorders>
              <w:left w:val="single" w:color="auto" w:sz="4" w:space="0"/>
              <w:right w:val="single" w:color="auto" w:sz="4" w:space="0"/>
            </w:tcBorders>
            <w:vAlign w:val="center"/>
          </w:tcPr>
          <w:p>
            <w:pPr>
              <w:adjustRightInd w:val="0"/>
              <w:snapToGrid w:val="0"/>
            </w:pPr>
            <w:r>
              <w:t>未使用符合国家相关标准和技术规范的餐厨废弃物专用密闭车辆运输，并喷涂统一的识别标识标志的扣1分；运输过程中出现滴漏、散落，运转期间废弃物裸露存放，每发现一次扣0.1分，满分1分扣完为止。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运送餐厨废弃物的过程应覆盖密闭，实行“废弃物不落地”作业，不得有滴冒现象。废弃物转运过程无粘挂现象。</w:t>
            </w:r>
          </w:p>
        </w:tc>
        <w:tc>
          <w:tcPr>
            <w:tcW w:w="1851" w:type="pct"/>
            <w:tcBorders>
              <w:left w:val="single" w:color="auto" w:sz="4" w:space="0"/>
              <w:right w:val="single" w:color="auto" w:sz="4" w:space="0"/>
            </w:tcBorders>
            <w:vAlign w:val="center"/>
          </w:tcPr>
          <w:p>
            <w:pPr>
              <w:adjustRightInd w:val="0"/>
              <w:snapToGrid w:val="0"/>
            </w:pPr>
            <w:r>
              <w:t>运送餐厨废弃物的过程未能覆盖封闭，并实行“废弃物不落地”作业，有滴冒现象的，每发现一次扣0.1分，满分2分扣完为止；废弃物转运过程有粘挂现象的，每发现一次扣0.2分，满分2分扣完为止。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沿途道路</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废弃物转运过程应无废弃物飞扬。废弃物转运过程无渗滤液遗洒。</w:t>
            </w:r>
          </w:p>
        </w:tc>
        <w:tc>
          <w:tcPr>
            <w:tcW w:w="1851" w:type="pct"/>
            <w:tcBorders>
              <w:left w:val="single" w:color="auto" w:sz="4" w:space="0"/>
              <w:right w:val="single" w:color="auto" w:sz="4" w:space="0"/>
            </w:tcBorders>
            <w:vAlign w:val="center"/>
          </w:tcPr>
          <w:p>
            <w:pPr>
              <w:adjustRightInd w:val="0"/>
              <w:snapToGrid w:val="0"/>
            </w:pPr>
            <w:r>
              <w:t>废弃物转运过程，发现废弃物飞扬或渗滤液遗洒的，每发现一次扣0.1分，满分1分扣完为止。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“门前三包”监督</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配合政府部门就“门前三包”责任单位对“门前三包”责任制的执行情况进行监督，若发现执行不到位的，15分钟内取证并通知政府相关部门。</w:t>
            </w:r>
          </w:p>
        </w:tc>
        <w:tc>
          <w:tcPr>
            <w:tcW w:w="1851" w:type="pct"/>
            <w:tcBorders>
              <w:left w:val="single" w:color="auto" w:sz="4" w:space="0"/>
              <w:right w:val="single" w:color="auto" w:sz="4" w:space="0"/>
            </w:tcBorders>
            <w:vAlign w:val="center"/>
          </w:tcPr>
          <w:p>
            <w:pPr>
              <w:adjustRightInd w:val="0"/>
              <w:snapToGrid w:val="0"/>
            </w:pPr>
            <w:r>
              <w:t>发现“门前三包”责任制执行情况不到位未能及时通知政府相关部门，扣1分。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tcBorders>
              <w:left w:val="single" w:color="auto" w:sz="4" w:space="0"/>
              <w:right w:val="single" w:color="auto" w:sz="4" w:space="0"/>
            </w:tcBorders>
            <w:vAlign w:val="center"/>
          </w:tcPr>
          <w:p>
            <w:pPr>
              <w:adjustRightInd w:val="0"/>
              <w:snapToGrid w:val="0"/>
              <w:jc w:val="center"/>
              <w:rPr>
                <w:kern w:val="0"/>
              </w:rPr>
            </w:pPr>
            <w:r>
              <w:rPr>
                <w:kern w:val="0"/>
              </w:rPr>
              <w:t>收运系统考核（3分）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满足项目功能要求</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本项目系统主要包括餐饮企业注册管理、车辆人员管理、收运任务分配、收运过程监控、数据统计分析、异常报警、投诉管理等</w:t>
            </w:r>
          </w:p>
        </w:tc>
        <w:tc>
          <w:tcPr>
            <w:tcW w:w="1851" w:type="pct"/>
            <w:tcBorders>
              <w:left w:val="single" w:color="auto" w:sz="4" w:space="0"/>
              <w:right w:val="single" w:color="auto" w:sz="4" w:space="0"/>
            </w:tcBorders>
            <w:vAlign w:val="center"/>
          </w:tcPr>
          <w:p>
            <w:pPr>
              <w:adjustRightInd w:val="0"/>
              <w:snapToGrid w:val="0"/>
            </w:pPr>
            <w:r>
              <w:t>没发现一项功能工作异常或不能达到要求扣0.5分，满分3分，扣完为止。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餐厨废弃物收运安全</w:t>
            </w:r>
          </w:p>
          <w:p>
            <w:pPr>
              <w:adjustRightInd w:val="0"/>
              <w:snapToGrid w:val="0"/>
              <w:jc w:val="center"/>
              <w:rPr>
                <w:kern w:val="0"/>
              </w:rPr>
            </w:pPr>
            <w:r>
              <w:rPr>
                <w:kern w:val="0"/>
              </w:rPr>
              <w:t>（4分）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人员安全</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是否向餐厨废弃物收运工作人员配备必要的防具及危险应急设备</w:t>
            </w:r>
          </w:p>
        </w:tc>
        <w:tc>
          <w:tcPr>
            <w:tcW w:w="1851" w:type="pct"/>
            <w:tcBorders>
              <w:left w:val="single" w:color="auto" w:sz="4" w:space="0"/>
              <w:right w:val="single" w:color="auto" w:sz="4" w:space="0"/>
            </w:tcBorders>
            <w:vAlign w:val="center"/>
          </w:tcPr>
          <w:p>
            <w:pPr>
              <w:adjustRightInd w:val="0"/>
              <w:snapToGrid w:val="0"/>
            </w:pPr>
            <w:r>
              <w:t>未向餐厨废弃物收运人员配备必要的防具及危险应急设备的扣1分。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装置安全</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是否确保餐厨废弃物收运装置的安全使用，餐厨废弃物收集桶应无残缺、破损，封闭性好，外体干净，完好率应不低于95%。</w:t>
            </w:r>
          </w:p>
        </w:tc>
        <w:tc>
          <w:tcPr>
            <w:tcW w:w="1851" w:type="pct"/>
            <w:tcBorders>
              <w:left w:val="single" w:color="auto" w:sz="4" w:space="0"/>
              <w:right w:val="single" w:color="auto" w:sz="4" w:space="0"/>
            </w:tcBorders>
            <w:vAlign w:val="center"/>
          </w:tcPr>
          <w:p>
            <w:pPr>
              <w:adjustRightInd w:val="0"/>
              <w:snapToGrid w:val="0"/>
            </w:pPr>
            <w:r>
              <w:t>餐厨废弃物收集桶残缺、破损，封闭性差，外体不干净，完好率低于95%的，每发现一次扣0.1分，满分1分扣完为止。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必要隔离</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是否按照相关规定做好餐厨废弃物与周边环境的必要隔离</w:t>
            </w:r>
          </w:p>
        </w:tc>
        <w:tc>
          <w:tcPr>
            <w:tcW w:w="1851" w:type="pct"/>
            <w:tcBorders>
              <w:left w:val="single" w:color="auto" w:sz="4" w:space="0"/>
              <w:right w:val="single" w:color="auto" w:sz="4" w:space="0"/>
            </w:tcBorders>
            <w:vAlign w:val="center"/>
          </w:tcPr>
          <w:p>
            <w:pPr>
              <w:adjustRightInd w:val="0"/>
              <w:snapToGrid w:val="0"/>
            </w:pPr>
            <w:r>
              <w:t>未按照相关规定做好餐厨废弃物与周边环境的必要隔离的，每发现一次扣0.1分，满分1分扣完为止。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车辆线路安全</w:t>
            </w:r>
          </w:p>
          <w:p>
            <w:pPr>
              <w:autoSpaceDE w:val="0"/>
              <w:autoSpaceDN w:val="0"/>
              <w:adjustRightInd w:val="0"/>
              <w:snapToGrid w:val="0"/>
              <w:jc w:val="center"/>
              <w:rPr>
                <w:kern w:val="0"/>
              </w:rPr>
            </w:pPr>
            <w:r>
              <w:rPr>
                <w:kern w:val="0"/>
              </w:rPr>
              <w:t>（1分）</w:t>
            </w:r>
          </w:p>
        </w:tc>
        <w:tc>
          <w:tcPr>
            <w:tcW w:w="1626" w:type="pct"/>
            <w:tcBorders>
              <w:left w:val="single" w:color="auto" w:sz="4" w:space="0"/>
              <w:right w:val="single" w:color="auto" w:sz="4" w:space="0"/>
            </w:tcBorders>
            <w:vAlign w:val="center"/>
          </w:tcPr>
          <w:p>
            <w:pPr>
              <w:adjustRightInd w:val="0"/>
              <w:snapToGrid w:val="0"/>
            </w:pPr>
            <w:r>
              <w:t>是否设计合理高效的收运路线，并确保收运车辆行进路线的安全，运输路线应避开交通拥挤路段，运输时间应避开交通高峰段</w:t>
            </w:r>
          </w:p>
        </w:tc>
        <w:tc>
          <w:tcPr>
            <w:tcW w:w="1851" w:type="pct"/>
            <w:tcBorders>
              <w:left w:val="single" w:color="auto" w:sz="4" w:space="0"/>
              <w:right w:val="single" w:color="auto" w:sz="4" w:space="0"/>
            </w:tcBorders>
            <w:vAlign w:val="center"/>
          </w:tcPr>
          <w:p>
            <w:pPr>
              <w:adjustRightInd w:val="0"/>
              <w:snapToGrid w:val="0"/>
            </w:pPr>
            <w:r>
              <w:t>未能设计合理高效的收运路线，并确保收运车辆行进路线的安全，运输线路未避开交通拥挤路段，运输时间未避开交通高峰段的，每发现一次扣0.1分，满分1分扣完为止。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restart"/>
            <w:tcBorders>
              <w:left w:val="single" w:color="auto" w:sz="4" w:space="0"/>
              <w:right w:val="single" w:color="auto" w:sz="4" w:space="0"/>
            </w:tcBorders>
            <w:vAlign w:val="center"/>
          </w:tcPr>
          <w:p>
            <w:pPr>
              <w:adjustRightInd w:val="0"/>
              <w:snapToGrid w:val="0"/>
              <w:jc w:val="center"/>
              <w:rPr>
                <w:kern w:val="0"/>
              </w:rPr>
            </w:pPr>
            <w:r>
              <w:rPr>
                <w:kern w:val="0"/>
              </w:rPr>
              <w:t>处置考核</w:t>
            </w:r>
          </w:p>
          <w:p>
            <w:pPr>
              <w:adjustRightInd w:val="0"/>
              <w:snapToGrid w:val="0"/>
              <w:jc w:val="center"/>
              <w:rPr>
                <w:kern w:val="0"/>
              </w:rPr>
            </w:pPr>
            <w:r>
              <w:rPr>
                <w:kern w:val="0"/>
              </w:rPr>
              <w:t>（53分）</w:t>
            </w: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厂区</w:t>
            </w:r>
          </w:p>
          <w:p>
            <w:pPr>
              <w:adjustRightInd w:val="0"/>
              <w:snapToGrid w:val="0"/>
              <w:jc w:val="center"/>
              <w:rPr>
                <w:kern w:val="0"/>
              </w:rPr>
            </w:pPr>
            <w:r>
              <w:rPr>
                <w:kern w:val="0"/>
              </w:rPr>
              <w:t>（21分）</w:t>
            </w: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处置</w:t>
            </w:r>
          </w:p>
          <w:p>
            <w:pPr>
              <w:autoSpaceDE w:val="0"/>
              <w:autoSpaceDN w:val="0"/>
              <w:adjustRightInd w:val="0"/>
              <w:snapToGrid w:val="0"/>
              <w:jc w:val="center"/>
              <w:rPr>
                <w:kern w:val="0"/>
              </w:rPr>
            </w:pPr>
            <w:r>
              <w:rPr>
                <w:kern w:val="0"/>
              </w:rPr>
              <w:t>（6分）</w:t>
            </w:r>
          </w:p>
        </w:tc>
        <w:tc>
          <w:tcPr>
            <w:tcW w:w="1626" w:type="pct"/>
            <w:tcBorders>
              <w:left w:val="single" w:color="auto" w:sz="4" w:space="0"/>
              <w:right w:val="single" w:color="auto" w:sz="4" w:space="0"/>
            </w:tcBorders>
            <w:vAlign w:val="center"/>
          </w:tcPr>
          <w:p>
            <w:pPr>
              <w:adjustRightInd w:val="0"/>
              <w:snapToGrid w:val="0"/>
            </w:pPr>
            <w:r>
              <w:t>厂区及周围5m内是否保持整洁，无散落、无留废弃物和污水</w:t>
            </w:r>
          </w:p>
        </w:tc>
        <w:tc>
          <w:tcPr>
            <w:tcW w:w="1851" w:type="pct"/>
            <w:tcBorders>
              <w:left w:val="single" w:color="auto" w:sz="4" w:space="0"/>
              <w:right w:val="single" w:color="auto" w:sz="4" w:space="0"/>
            </w:tcBorders>
            <w:vAlign w:val="center"/>
          </w:tcPr>
          <w:p>
            <w:pPr>
              <w:adjustRightInd w:val="0"/>
              <w:snapToGrid w:val="0"/>
            </w:pPr>
            <w:r>
              <w:t>厂区及周围5m内未能保持整洁，无散落、无留废的，每发现一处扣0.2分，满分1分扣完为止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对噪声大的设备是否采取隔声、吸声、降噪等措施。</w:t>
            </w:r>
          </w:p>
        </w:tc>
        <w:tc>
          <w:tcPr>
            <w:tcW w:w="1851" w:type="pct"/>
            <w:tcBorders>
              <w:left w:val="single" w:color="auto" w:sz="4" w:space="0"/>
              <w:right w:val="single" w:color="auto" w:sz="4" w:space="0"/>
            </w:tcBorders>
            <w:vAlign w:val="center"/>
          </w:tcPr>
          <w:p>
            <w:pPr>
              <w:adjustRightInd w:val="0"/>
              <w:snapToGrid w:val="0"/>
            </w:pPr>
            <w:r>
              <w:t>对噪声大的设备未采取隔声、吸声、降噪等措施的，每发现一次扣2分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对收运到的餐厨废弃物处理是否做到定时定点、日产日清，不得堆积、滞留</w:t>
            </w:r>
          </w:p>
        </w:tc>
        <w:tc>
          <w:tcPr>
            <w:tcW w:w="1851" w:type="pct"/>
            <w:tcBorders>
              <w:left w:val="single" w:color="auto" w:sz="4" w:space="0"/>
              <w:right w:val="single" w:color="auto" w:sz="4" w:space="0"/>
            </w:tcBorders>
            <w:vAlign w:val="center"/>
          </w:tcPr>
          <w:p>
            <w:pPr>
              <w:adjustRightInd w:val="0"/>
              <w:snapToGrid w:val="0"/>
            </w:pPr>
            <w:r>
              <w:t>对收运到的餐厨废弃物处理未能做到定时定点、日产日清，存在堆积、滞留情况的，每发现一次扣0.2分，满分2分扣完为止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厂区是否定期清洗、喷洒消毒、灭蚊蝇药物。在可视范围内，苍蝇应少于3只/次，并无活鼠等</w:t>
            </w:r>
          </w:p>
        </w:tc>
        <w:tc>
          <w:tcPr>
            <w:tcW w:w="1851" w:type="pct"/>
            <w:tcBorders>
              <w:left w:val="single" w:color="auto" w:sz="4" w:space="0"/>
              <w:right w:val="single" w:color="auto" w:sz="4" w:space="0"/>
            </w:tcBorders>
            <w:vAlign w:val="center"/>
          </w:tcPr>
          <w:p>
            <w:pPr>
              <w:adjustRightInd w:val="0"/>
              <w:snapToGrid w:val="0"/>
            </w:pPr>
            <w:r>
              <w:t>厂区未定期清洗、喷洒消毒、灭蚊蝇药物，且在可视范围内，苍蝇多于3只/次，并有活鼠的，每发现一次扣0.2分，满分1分扣完为止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通行</w:t>
            </w:r>
          </w:p>
          <w:p>
            <w:pPr>
              <w:autoSpaceDE w:val="0"/>
              <w:autoSpaceDN w:val="0"/>
              <w:adjustRightInd w:val="0"/>
              <w:snapToGrid w:val="0"/>
              <w:jc w:val="center"/>
              <w:rPr>
                <w:kern w:val="0"/>
              </w:rPr>
            </w:pPr>
            <w:r>
              <w:rPr>
                <w:kern w:val="0"/>
              </w:rPr>
              <w:t>（2分）</w:t>
            </w:r>
          </w:p>
        </w:tc>
        <w:tc>
          <w:tcPr>
            <w:tcW w:w="1626" w:type="pct"/>
            <w:tcBorders>
              <w:left w:val="single" w:color="auto" w:sz="4" w:space="0"/>
              <w:right w:val="single" w:color="auto" w:sz="4" w:space="0"/>
            </w:tcBorders>
            <w:vAlign w:val="center"/>
          </w:tcPr>
          <w:p>
            <w:pPr>
              <w:adjustRightInd w:val="0"/>
              <w:snapToGrid w:val="0"/>
            </w:pPr>
            <w:r>
              <w:t>保持厂区内车辆停放有序，道路通畅</w:t>
            </w:r>
          </w:p>
        </w:tc>
        <w:tc>
          <w:tcPr>
            <w:tcW w:w="1851" w:type="pct"/>
            <w:tcBorders>
              <w:left w:val="single" w:color="auto" w:sz="4" w:space="0"/>
              <w:right w:val="single" w:color="auto" w:sz="4" w:space="0"/>
            </w:tcBorders>
            <w:vAlign w:val="center"/>
          </w:tcPr>
          <w:p>
            <w:pPr>
              <w:adjustRightInd w:val="0"/>
              <w:snapToGrid w:val="0"/>
            </w:pPr>
            <w:r>
              <w:t>未能保持厂区内车辆停放有序，道路通畅，每发现一次扣0.2分，满分2分扣完为止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厂区附属设施完好</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保持厂区内道路、绿化、照明、给排水等附属设施完好</w:t>
            </w:r>
          </w:p>
        </w:tc>
        <w:tc>
          <w:tcPr>
            <w:tcW w:w="1851" w:type="pct"/>
            <w:tcBorders>
              <w:left w:val="single" w:color="auto" w:sz="4" w:space="0"/>
              <w:right w:val="single" w:color="auto" w:sz="4" w:space="0"/>
            </w:tcBorders>
            <w:vAlign w:val="center"/>
          </w:tcPr>
          <w:p>
            <w:pPr>
              <w:adjustRightInd w:val="0"/>
              <w:snapToGrid w:val="0"/>
            </w:pPr>
            <w:r>
              <w:t>未能保持厂区内道路、绿化、照明、给排水等附属设施完好而影响项目使用，每发现一次扣1分。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预处理</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餐厨废弃物的分选是否符合下列要求：餐厨废弃物预处理系统应配备分选设备将餐厨废弃物中混杂的不可降解物有效去除；分选出的不可降解物应进行回收利用或无害化处理；分选后的餐厨废弃物中不可降解杂物含量应小于3%</w:t>
            </w:r>
          </w:p>
        </w:tc>
        <w:tc>
          <w:tcPr>
            <w:tcW w:w="1851" w:type="pct"/>
            <w:tcBorders>
              <w:left w:val="single" w:color="auto" w:sz="4" w:space="0"/>
              <w:right w:val="single" w:color="auto" w:sz="4" w:space="0"/>
            </w:tcBorders>
            <w:vAlign w:val="center"/>
          </w:tcPr>
          <w:p>
            <w:pPr>
              <w:adjustRightInd w:val="0"/>
              <w:snapToGrid w:val="0"/>
            </w:pPr>
            <w:r>
              <w:t>餐厨废弃物预处理系统未配备分选设备的扣1分；分选出的不可降解物未进行回收利用或无害化处理的，每发现一次扣0.1分，满分1分扣完为止；分选后的餐厨废弃物中不可降解杂物含量大于3%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厂区消防</w:t>
            </w:r>
          </w:p>
          <w:p>
            <w:pPr>
              <w:autoSpaceDE w:val="0"/>
              <w:autoSpaceDN w:val="0"/>
              <w:adjustRightInd w:val="0"/>
              <w:snapToGrid w:val="0"/>
              <w:jc w:val="center"/>
              <w:rPr>
                <w:kern w:val="0"/>
              </w:rPr>
            </w:pPr>
            <w:r>
              <w:rPr>
                <w:kern w:val="0"/>
              </w:rPr>
              <w:t>（4分）</w:t>
            </w:r>
          </w:p>
        </w:tc>
        <w:tc>
          <w:tcPr>
            <w:tcW w:w="1626" w:type="pct"/>
            <w:tcBorders>
              <w:left w:val="single" w:color="auto" w:sz="4" w:space="0"/>
              <w:right w:val="single" w:color="auto" w:sz="4" w:space="0"/>
            </w:tcBorders>
            <w:vAlign w:val="center"/>
          </w:tcPr>
          <w:p>
            <w:pPr>
              <w:adjustRightInd w:val="0"/>
              <w:snapToGrid w:val="0"/>
            </w:pPr>
            <w:r>
              <w:t>可燃气体（沼气）管道和储存设施的车间所设置可燃气体和消防报警设施是否处于良好状态</w:t>
            </w:r>
          </w:p>
        </w:tc>
        <w:tc>
          <w:tcPr>
            <w:tcW w:w="1851" w:type="pct"/>
            <w:tcBorders>
              <w:left w:val="single" w:color="auto" w:sz="4" w:space="0"/>
              <w:right w:val="single" w:color="auto" w:sz="4" w:space="0"/>
            </w:tcBorders>
            <w:vAlign w:val="center"/>
          </w:tcPr>
          <w:p>
            <w:pPr>
              <w:adjustRightInd w:val="0"/>
              <w:snapToGrid w:val="0"/>
            </w:pPr>
            <w:r>
              <w:t>可燃气体（沼气）管道和储存设施的车间所设置可燃气体和消防报警设施未处于良好状态，每发现一次扣1分，满分2分扣完为止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油脂储存间、燃料间和中央控制室等火灾易发设施所设消防报警设施是否处于良好运行状态</w:t>
            </w:r>
          </w:p>
        </w:tc>
        <w:tc>
          <w:tcPr>
            <w:tcW w:w="1851" w:type="pct"/>
            <w:tcBorders>
              <w:left w:val="single" w:color="auto" w:sz="4" w:space="0"/>
              <w:right w:val="single" w:color="auto" w:sz="4" w:space="0"/>
            </w:tcBorders>
            <w:vAlign w:val="center"/>
          </w:tcPr>
          <w:p>
            <w:pPr>
              <w:adjustRightInd w:val="0"/>
              <w:snapToGrid w:val="0"/>
            </w:pPr>
            <w:r>
              <w:t>油脂储存间、燃料间和中央控制室等火灾易发设施所设消防报警设施未处于良好运行状态，每发现一次扣1分，满分2分扣完为止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安全与劳动保护</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职业病防治、卫生防疫和劳动保护的措施是否有效执行</w:t>
            </w:r>
          </w:p>
        </w:tc>
        <w:tc>
          <w:tcPr>
            <w:tcW w:w="1851" w:type="pct"/>
            <w:tcBorders>
              <w:left w:val="single" w:color="auto" w:sz="4" w:space="0"/>
              <w:right w:val="single" w:color="auto" w:sz="4" w:space="0"/>
            </w:tcBorders>
            <w:vAlign w:val="center"/>
          </w:tcPr>
          <w:p>
            <w:pPr>
              <w:adjustRightInd w:val="0"/>
              <w:snapToGrid w:val="0"/>
            </w:pPr>
            <w:r>
              <w:t>未能有效执行职业病防治、卫生防疫和劳动保护措施的，扣1分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是否对职工进行定期的职业病防治、检查、体检</w:t>
            </w:r>
          </w:p>
        </w:tc>
        <w:tc>
          <w:tcPr>
            <w:tcW w:w="1851" w:type="pct"/>
            <w:tcBorders>
              <w:left w:val="single" w:color="auto" w:sz="4" w:space="0"/>
              <w:right w:val="single" w:color="auto" w:sz="4" w:space="0"/>
            </w:tcBorders>
            <w:vAlign w:val="center"/>
          </w:tcPr>
          <w:p>
            <w:pPr>
              <w:adjustRightInd w:val="0"/>
              <w:snapToGrid w:val="0"/>
            </w:pPr>
            <w:r>
              <w:t>未对职工进行定期的职业病防治、检查、体检的扣1分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是否配备必要且有效的卫生防护器具，防护器具是否保证良好的使用状态，是否定期对防护器具进行检查、更新、替换</w:t>
            </w:r>
          </w:p>
        </w:tc>
        <w:tc>
          <w:tcPr>
            <w:tcW w:w="1851" w:type="pct"/>
            <w:tcBorders>
              <w:left w:val="single" w:color="auto" w:sz="4" w:space="0"/>
              <w:right w:val="single" w:color="auto" w:sz="4" w:space="0"/>
            </w:tcBorders>
            <w:vAlign w:val="center"/>
          </w:tcPr>
          <w:p>
            <w:pPr>
              <w:adjustRightInd w:val="0"/>
              <w:snapToGrid w:val="0"/>
            </w:pPr>
            <w:r>
              <w:t>未配备必要且有效的卫生防护器具，防护器具未能保证良好的使用状态，无定期对防护器具进行检查、更新、替换，每发现一次扣0.1分，满分1分扣完为止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tcBorders>
              <w:left w:val="single" w:color="auto" w:sz="4" w:space="0"/>
              <w:right w:val="single" w:color="auto" w:sz="4" w:space="0"/>
            </w:tcBorders>
            <w:vAlign w:val="center"/>
          </w:tcPr>
          <w:p>
            <w:pPr>
              <w:adjustRightInd w:val="0"/>
              <w:snapToGrid w:val="0"/>
              <w:jc w:val="center"/>
              <w:rPr>
                <w:kern w:val="0"/>
              </w:rPr>
            </w:pPr>
            <w:r>
              <w:rPr>
                <w:kern w:val="0"/>
              </w:rPr>
              <w:t>设备</w:t>
            </w:r>
          </w:p>
          <w:p>
            <w:pPr>
              <w:adjustRightInd w:val="0"/>
              <w:snapToGrid w:val="0"/>
              <w:jc w:val="center"/>
              <w:rPr>
                <w:kern w:val="0"/>
              </w:rPr>
            </w:pPr>
            <w:r>
              <w:rPr>
                <w:kern w:val="0"/>
              </w:rPr>
              <w:t>（3分）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保养</w:t>
            </w:r>
          </w:p>
          <w:p>
            <w:pPr>
              <w:autoSpaceDE w:val="0"/>
              <w:autoSpaceDN w:val="0"/>
              <w:adjustRightInd w:val="0"/>
              <w:snapToGrid w:val="0"/>
              <w:jc w:val="center"/>
              <w:rPr>
                <w:kern w:val="0"/>
              </w:rPr>
            </w:pPr>
            <w:r>
              <w:rPr>
                <w:kern w:val="0"/>
              </w:rPr>
              <w:t>（3分）</w:t>
            </w:r>
          </w:p>
        </w:tc>
        <w:tc>
          <w:tcPr>
            <w:tcW w:w="1626" w:type="pct"/>
            <w:tcBorders>
              <w:left w:val="single" w:color="auto" w:sz="4" w:space="0"/>
              <w:right w:val="single" w:color="auto" w:sz="4" w:space="0"/>
            </w:tcBorders>
            <w:vAlign w:val="center"/>
          </w:tcPr>
          <w:p>
            <w:pPr>
              <w:adjustRightInd w:val="0"/>
              <w:snapToGrid w:val="0"/>
            </w:pPr>
            <w:r>
              <w:t>主要生产设备是否定期检修，维护保养，是否保持良好的运转状态</w:t>
            </w:r>
          </w:p>
        </w:tc>
        <w:tc>
          <w:tcPr>
            <w:tcW w:w="1851" w:type="pct"/>
            <w:tcBorders>
              <w:left w:val="single" w:color="auto" w:sz="4" w:space="0"/>
              <w:right w:val="single" w:color="auto" w:sz="4" w:space="0"/>
            </w:tcBorders>
            <w:vAlign w:val="center"/>
          </w:tcPr>
          <w:p>
            <w:pPr>
              <w:adjustRightInd w:val="0"/>
              <w:snapToGrid w:val="0"/>
            </w:pPr>
            <w:r>
              <w:t>主要生产设备未能按规定定期检修，维护保养，并保持良好的运转状态的，每发现一次扣0.3分，满分3分扣完为止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排放物</w:t>
            </w:r>
          </w:p>
          <w:p>
            <w:pPr>
              <w:adjustRightInd w:val="0"/>
              <w:snapToGrid w:val="0"/>
              <w:jc w:val="center"/>
              <w:rPr>
                <w:kern w:val="0"/>
              </w:rPr>
            </w:pPr>
            <w:r>
              <w:rPr>
                <w:kern w:val="0"/>
              </w:rPr>
              <w:t>（19分）</w:t>
            </w: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排放物</w:t>
            </w:r>
          </w:p>
          <w:p>
            <w:pPr>
              <w:autoSpaceDE w:val="0"/>
              <w:autoSpaceDN w:val="0"/>
              <w:adjustRightInd w:val="0"/>
              <w:snapToGrid w:val="0"/>
              <w:jc w:val="center"/>
              <w:rPr>
                <w:kern w:val="0"/>
              </w:rPr>
            </w:pPr>
            <w:r>
              <w:rPr>
                <w:kern w:val="0"/>
              </w:rPr>
              <w:t>（19分）</w:t>
            </w:r>
          </w:p>
        </w:tc>
        <w:tc>
          <w:tcPr>
            <w:tcW w:w="1626" w:type="pct"/>
            <w:tcBorders>
              <w:left w:val="single" w:color="auto" w:sz="4" w:space="0"/>
              <w:right w:val="single" w:color="auto" w:sz="4" w:space="0"/>
            </w:tcBorders>
            <w:vAlign w:val="center"/>
          </w:tcPr>
          <w:p>
            <w:pPr>
              <w:adjustRightInd w:val="0"/>
              <w:snapToGrid w:val="0"/>
            </w:pPr>
            <w:r>
              <w:t>固废分选后是否脱水至含水率低于45%</w:t>
            </w:r>
          </w:p>
        </w:tc>
        <w:tc>
          <w:tcPr>
            <w:tcW w:w="1851" w:type="pct"/>
            <w:tcBorders>
              <w:left w:val="single" w:color="auto" w:sz="4" w:space="0"/>
              <w:right w:val="single" w:color="auto" w:sz="4" w:space="0"/>
            </w:tcBorders>
            <w:vAlign w:val="center"/>
          </w:tcPr>
          <w:p>
            <w:pPr>
              <w:adjustRightInd w:val="0"/>
              <w:snapToGrid w:val="0"/>
            </w:pPr>
            <w:r>
              <w:t>固废分选后未能保证脱水至含水率低于45%的，扣3分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烟气是否符合《锅炉大气污染物排放标准》(GB13271-2014)中燃气锅炉排放标准</w:t>
            </w:r>
          </w:p>
        </w:tc>
        <w:tc>
          <w:tcPr>
            <w:tcW w:w="1851" w:type="pct"/>
            <w:tcBorders>
              <w:left w:val="single" w:color="auto" w:sz="4" w:space="0"/>
              <w:right w:val="single" w:color="auto" w:sz="4" w:space="0"/>
            </w:tcBorders>
            <w:vAlign w:val="center"/>
          </w:tcPr>
          <w:p>
            <w:pPr>
              <w:adjustRightInd w:val="0"/>
              <w:snapToGrid w:val="0"/>
            </w:pPr>
            <w:r>
              <w:t>烟气不符合《锅炉大气污染物排放标准》(GB13271-2014)中燃气锅炉排放标准的，扣2分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噪音是否优于《工业企业厂界环境噪声排放标准》(GB12348-2008)2类标准</w:t>
            </w:r>
          </w:p>
        </w:tc>
        <w:tc>
          <w:tcPr>
            <w:tcW w:w="1851" w:type="pct"/>
            <w:tcBorders>
              <w:left w:val="single" w:color="auto" w:sz="4" w:space="0"/>
              <w:right w:val="single" w:color="auto" w:sz="4" w:space="0"/>
            </w:tcBorders>
            <w:vAlign w:val="center"/>
          </w:tcPr>
          <w:p>
            <w:pPr>
              <w:adjustRightInd w:val="0"/>
              <w:snapToGrid w:val="0"/>
            </w:pPr>
            <w:r>
              <w:t>噪音低于《工业企业厂界环境噪声排放标准》(GB12348-2008)2类标准的，扣2分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污水是否符合污水处理厂进水水质标准</w:t>
            </w:r>
          </w:p>
        </w:tc>
        <w:tc>
          <w:tcPr>
            <w:tcW w:w="1851" w:type="pct"/>
            <w:tcBorders>
              <w:left w:val="single" w:color="auto" w:sz="4" w:space="0"/>
              <w:right w:val="single" w:color="auto" w:sz="4" w:space="0"/>
            </w:tcBorders>
            <w:vAlign w:val="center"/>
          </w:tcPr>
          <w:p>
            <w:pPr>
              <w:adjustRightInd w:val="0"/>
              <w:snapToGrid w:val="0"/>
            </w:pPr>
            <w:r>
              <w:t>污水不符合污水处理厂进水水质标准的扣3分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排放的臭气是否优于国家标准《恶臭污染物排放标准》（GB14554-1993）中的二级标准</w:t>
            </w:r>
          </w:p>
        </w:tc>
        <w:tc>
          <w:tcPr>
            <w:tcW w:w="1851" w:type="pct"/>
            <w:tcBorders>
              <w:left w:val="single" w:color="auto" w:sz="4" w:space="0"/>
              <w:right w:val="single" w:color="auto" w:sz="4" w:space="0"/>
            </w:tcBorders>
            <w:vAlign w:val="center"/>
          </w:tcPr>
          <w:p>
            <w:pPr>
              <w:adjustRightInd w:val="0"/>
              <w:snapToGrid w:val="0"/>
            </w:pPr>
            <w:r>
              <w:t>排放的臭气低于国家标准《恶臭污染物排放标准》（GB14554-1993）中的二级标准的扣3分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排放（包括泄漏和无组织排放）的恶臭污染物，在排污单位边界上规定监测点（无其他干扰因素）的一次最大监测值（包括臭气浓度）都必须低于或等于恶臭污染物厂界标准值</w:t>
            </w:r>
          </w:p>
        </w:tc>
        <w:tc>
          <w:tcPr>
            <w:tcW w:w="1851" w:type="pct"/>
            <w:tcBorders>
              <w:left w:val="single" w:color="auto" w:sz="4" w:space="0"/>
              <w:right w:val="single" w:color="auto" w:sz="4" w:space="0"/>
            </w:tcBorders>
            <w:vAlign w:val="center"/>
          </w:tcPr>
          <w:p>
            <w:pPr>
              <w:adjustRightInd w:val="0"/>
              <w:snapToGrid w:val="0"/>
            </w:pPr>
            <w:r>
              <w:t>最大监测值（包括臭气浓度）高于恶臭污染物厂界标准值的扣2分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经烟、气排气筒（高度在15m以上）排放的恶臭污染物的排放量和臭气浓度都必须低于或等于恶臭污染物排放标准</w:t>
            </w:r>
          </w:p>
        </w:tc>
        <w:tc>
          <w:tcPr>
            <w:tcW w:w="1851" w:type="pct"/>
            <w:tcBorders>
              <w:left w:val="single" w:color="auto" w:sz="4" w:space="0"/>
              <w:right w:val="single" w:color="auto" w:sz="4" w:space="0"/>
            </w:tcBorders>
            <w:vAlign w:val="center"/>
          </w:tcPr>
          <w:p>
            <w:pPr>
              <w:adjustRightInd w:val="0"/>
              <w:snapToGrid w:val="0"/>
            </w:pPr>
            <w:r>
              <w:t>经烟、气排气筒（高度在15m以上）排放的恶臭污染物的排放量和臭气浓度高于恶臭污染物排放标准的扣2分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continue"/>
            <w:tcBorders>
              <w:left w:val="single" w:color="auto" w:sz="4" w:space="0"/>
              <w:right w:val="single" w:color="auto" w:sz="4" w:space="0"/>
            </w:tcBorders>
            <w:vAlign w:val="center"/>
          </w:tcPr>
          <w:p>
            <w:pPr>
              <w:adjustRightInd w:val="0"/>
              <w:snapToGrid w:val="0"/>
              <w:jc w:val="center"/>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经排水排出并散发的恶臭污染物和臭气浓度都必须低于或等于恶臭污染物厂界标准值</w:t>
            </w:r>
          </w:p>
        </w:tc>
        <w:tc>
          <w:tcPr>
            <w:tcW w:w="1851" w:type="pct"/>
            <w:tcBorders>
              <w:left w:val="single" w:color="auto" w:sz="4" w:space="0"/>
              <w:right w:val="single" w:color="auto" w:sz="4" w:space="0"/>
            </w:tcBorders>
            <w:vAlign w:val="center"/>
          </w:tcPr>
          <w:p>
            <w:pPr>
              <w:adjustRightInd w:val="0"/>
              <w:snapToGrid w:val="0"/>
            </w:pPr>
            <w:r>
              <w:t>经排水排出并散发的恶臭污染物和臭气浓度高于恶臭污染物厂界标准值的扣2分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jc w:val="center"/>
              <w:rPr>
                <w:kern w:val="0"/>
              </w:rPr>
            </w:pPr>
          </w:p>
        </w:tc>
        <w:tc>
          <w:tcPr>
            <w:tcW w:w="616" w:type="pct"/>
            <w:vMerge w:val="restart"/>
            <w:tcBorders>
              <w:left w:val="single" w:color="auto" w:sz="4" w:space="0"/>
              <w:right w:val="single" w:color="auto" w:sz="4" w:space="0"/>
            </w:tcBorders>
            <w:vAlign w:val="center"/>
          </w:tcPr>
          <w:p>
            <w:pPr>
              <w:adjustRightInd w:val="0"/>
              <w:snapToGrid w:val="0"/>
              <w:jc w:val="center"/>
              <w:rPr>
                <w:kern w:val="0"/>
              </w:rPr>
            </w:pPr>
            <w:r>
              <w:rPr>
                <w:kern w:val="0"/>
              </w:rPr>
              <w:t>应急与安全</w:t>
            </w:r>
          </w:p>
          <w:p>
            <w:pPr>
              <w:adjustRightInd w:val="0"/>
              <w:snapToGrid w:val="0"/>
              <w:jc w:val="center"/>
              <w:rPr>
                <w:kern w:val="0"/>
              </w:rPr>
            </w:pPr>
            <w:r>
              <w:rPr>
                <w:kern w:val="0"/>
              </w:rPr>
              <w:t>（10分）</w:t>
            </w:r>
          </w:p>
        </w:tc>
        <w:tc>
          <w:tcPr>
            <w:tcW w:w="508" w:type="pct"/>
            <w:vMerge w:val="restar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安全措施</w:t>
            </w:r>
          </w:p>
          <w:p>
            <w:pPr>
              <w:autoSpaceDE w:val="0"/>
              <w:autoSpaceDN w:val="0"/>
              <w:adjustRightInd w:val="0"/>
              <w:snapToGrid w:val="0"/>
              <w:jc w:val="center"/>
              <w:rPr>
                <w:kern w:val="0"/>
              </w:rPr>
            </w:pPr>
            <w:r>
              <w:rPr>
                <w:kern w:val="0"/>
              </w:rPr>
              <w:t>（10分）</w:t>
            </w:r>
          </w:p>
        </w:tc>
        <w:tc>
          <w:tcPr>
            <w:tcW w:w="1626" w:type="pct"/>
            <w:tcBorders>
              <w:left w:val="single" w:color="auto" w:sz="4" w:space="0"/>
              <w:right w:val="single" w:color="auto" w:sz="4" w:space="0"/>
            </w:tcBorders>
            <w:vAlign w:val="center"/>
          </w:tcPr>
          <w:p>
            <w:pPr>
              <w:adjustRightInd w:val="0"/>
              <w:snapToGrid w:val="0"/>
            </w:pPr>
            <w:r>
              <w:t>是否根据自有的工艺设备系统的结构、性能、用途等制定相应的操作规程，建立健全事故处理应急体系</w:t>
            </w:r>
          </w:p>
        </w:tc>
        <w:tc>
          <w:tcPr>
            <w:tcW w:w="1851" w:type="pct"/>
            <w:tcBorders>
              <w:left w:val="single" w:color="auto" w:sz="4" w:space="0"/>
              <w:right w:val="single" w:color="auto" w:sz="4" w:space="0"/>
            </w:tcBorders>
            <w:vAlign w:val="center"/>
          </w:tcPr>
          <w:p>
            <w:pPr>
              <w:adjustRightInd w:val="0"/>
              <w:snapToGrid w:val="0"/>
            </w:pPr>
            <w:r>
              <w:t>未制定相应的操作规程，建立健全事故处理应急体系的扣1分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是否设化验人员和配备必要的化验仪器设备</w:t>
            </w:r>
          </w:p>
        </w:tc>
        <w:tc>
          <w:tcPr>
            <w:tcW w:w="1851" w:type="pct"/>
            <w:tcBorders>
              <w:left w:val="single" w:color="auto" w:sz="4" w:space="0"/>
              <w:right w:val="single" w:color="auto" w:sz="4" w:space="0"/>
            </w:tcBorders>
            <w:vAlign w:val="center"/>
          </w:tcPr>
          <w:p>
            <w:pPr>
              <w:adjustRightInd w:val="0"/>
              <w:snapToGrid w:val="0"/>
            </w:pPr>
            <w:r>
              <w:t>未设化验人员和配备必要的化验仪器设备的扣1分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运行管理、操作和维护人员是否按规程进行操作，是否记录各项生产指标和能源材料消耗指标</w:t>
            </w:r>
          </w:p>
        </w:tc>
        <w:tc>
          <w:tcPr>
            <w:tcW w:w="1851" w:type="pct"/>
            <w:tcBorders>
              <w:left w:val="single" w:color="auto" w:sz="4" w:space="0"/>
              <w:right w:val="single" w:color="auto" w:sz="4" w:space="0"/>
            </w:tcBorders>
            <w:vAlign w:val="center"/>
          </w:tcPr>
          <w:p>
            <w:pPr>
              <w:adjustRightInd w:val="0"/>
              <w:snapToGrid w:val="0"/>
            </w:pPr>
            <w:r>
              <w:t>运行管理、操作和维护人员未按规程进行操作，未记录各项生产指标和能源材料消耗指标的，每发现一次扣0.1分，满分1分扣完为止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是否对厂内有关沼气设施、管道、附件等定期进行巡检，各连接部位是否无泄漏，当发现泄漏时是否及时修复</w:t>
            </w:r>
          </w:p>
        </w:tc>
        <w:tc>
          <w:tcPr>
            <w:tcW w:w="1851" w:type="pct"/>
            <w:tcBorders>
              <w:left w:val="single" w:color="auto" w:sz="4" w:space="0"/>
              <w:right w:val="single" w:color="auto" w:sz="4" w:space="0"/>
            </w:tcBorders>
            <w:vAlign w:val="center"/>
          </w:tcPr>
          <w:p>
            <w:pPr>
              <w:adjustRightInd w:val="0"/>
              <w:snapToGrid w:val="0"/>
            </w:pPr>
            <w:r>
              <w:t>未对厂内有关沼气设施、管道、附件等定期进行巡检，各连接部位存在泄漏，并未及时修复的，每发现一次扣0.2分，满分1分扣完为止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停气检修后重新使用时，是否进行气密性试验，合格后方可使用</w:t>
            </w:r>
          </w:p>
        </w:tc>
        <w:tc>
          <w:tcPr>
            <w:tcW w:w="1851" w:type="pct"/>
            <w:tcBorders>
              <w:left w:val="single" w:color="auto" w:sz="4" w:space="0"/>
              <w:right w:val="single" w:color="auto" w:sz="4" w:space="0"/>
            </w:tcBorders>
            <w:vAlign w:val="center"/>
          </w:tcPr>
          <w:p>
            <w:pPr>
              <w:adjustRightInd w:val="0"/>
              <w:snapToGrid w:val="0"/>
            </w:pPr>
            <w:r>
              <w:t>停气检修后重新使用时，未进行气密性试验，或气密性试验不合格就重新使用的，每发现一次扣0.5分，满分1分扣完为止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未经批准不得在生产区使用明火作业；必须使用明火作业时，是否采取安全防护措施，并且是否在相关人员监护下操作</w:t>
            </w:r>
          </w:p>
        </w:tc>
        <w:tc>
          <w:tcPr>
            <w:tcW w:w="1851" w:type="pct"/>
            <w:tcBorders>
              <w:left w:val="single" w:color="auto" w:sz="4" w:space="0"/>
              <w:right w:val="single" w:color="auto" w:sz="4" w:space="0"/>
            </w:tcBorders>
            <w:vAlign w:val="center"/>
          </w:tcPr>
          <w:p>
            <w:pPr>
              <w:adjustRightInd w:val="0"/>
              <w:snapToGrid w:val="0"/>
            </w:pPr>
            <w:r>
              <w:t>未经批准在生产区使用明火作业；或经批准使用明火作业时，未采取安全防护措施，并且未在相关人员监护下操作的，每发现一次扣0.5分，满分1分扣完为止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厂内有关沼气设施内管道及设备的压力表、计量装置等仪器仪表是否定期校验</w:t>
            </w:r>
          </w:p>
        </w:tc>
        <w:tc>
          <w:tcPr>
            <w:tcW w:w="1851" w:type="pct"/>
            <w:tcBorders>
              <w:left w:val="single" w:color="auto" w:sz="4" w:space="0"/>
              <w:right w:val="single" w:color="auto" w:sz="4" w:space="0"/>
            </w:tcBorders>
            <w:vAlign w:val="center"/>
          </w:tcPr>
          <w:p>
            <w:pPr>
              <w:adjustRightInd w:val="0"/>
              <w:snapToGrid w:val="0"/>
            </w:pPr>
            <w:r>
              <w:t>厂内有关沼气设施内管道及设备的压力表、计量装置等仪器仪表未定期校验，每发现一次扣0.2分，满分2分扣完为止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vMerge w:val="continue"/>
            <w:tcBorders>
              <w:left w:val="single" w:color="auto" w:sz="4" w:space="0"/>
              <w:right w:val="single" w:color="auto" w:sz="4" w:space="0"/>
            </w:tcBorders>
            <w:vAlign w:val="center"/>
          </w:tcPr>
          <w:p>
            <w:pPr>
              <w:adjustRightInd w:val="0"/>
              <w:snapToGrid w:val="0"/>
              <w:rPr>
                <w:kern w:val="0"/>
              </w:rPr>
            </w:pPr>
          </w:p>
        </w:tc>
        <w:tc>
          <w:tcPr>
            <w:tcW w:w="508" w:type="pct"/>
            <w:vMerge w:val="continue"/>
            <w:tcBorders>
              <w:left w:val="single" w:color="auto" w:sz="4" w:space="0"/>
              <w:right w:val="single" w:color="auto" w:sz="4" w:space="0"/>
            </w:tcBorders>
            <w:vAlign w:val="center"/>
          </w:tcPr>
          <w:p>
            <w:pPr>
              <w:autoSpaceDE w:val="0"/>
              <w:autoSpaceDN w:val="0"/>
              <w:adjustRightInd w:val="0"/>
              <w:snapToGrid w:val="0"/>
              <w:jc w:val="center"/>
              <w:rPr>
                <w:kern w:val="0"/>
              </w:rPr>
            </w:pPr>
          </w:p>
        </w:tc>
        <w:tc>
          <w:tcPr>
            <w:tcW w:w="1626" w:type="pct"/>
            <w:tcBorders>
              <w:left w:val="single" w:color="auto" w:sz="4" w:space="0"/>
              <w:right w:val="single" w:color="auto" w:sz="4" w:space="0"/>
            </w:tcBorders>
            <w:vAlign w:val="center"/>
          </w:tcPr>
          <w:p>
            <w:pPr>
              <w:adjustRightInd w:val="0"/>
              <w:snapToGrid w:val="0"/>
            </w:pPr>
            <w:r>
              <w:t>厂内有关沼气设施是否备有应急救护器材，器材是否保持完好状态；所有人员是否熟悉应急器材的存放地点及使用办法</w:t>
            </w:r>
          </w:p>
        </w:tc>
        <w:tc>
          <w:tcPr>
            <w:tcW w:w="1851" w:type="pct"/>
            <w:tcBorders>
              <w:left w:val="single" w:color="auto" w:sz="4" w:space="0"/>
              <w:right w:val="single" w:color="auto" w:sz="4" w:space="0"/>
            </w:tcBorders>
            <w:vAlign w:val="center"/>
          </w:tcPr>
          <w:p>
            <w:pPr>
              <w:adjustRightInd w:val="0"/>
              <w:snapToGrid w:val="0"/>
            </w:pPr>
            <w:r>
              <w:t>厂内有关沼气设施未配备应急救护器材，器材未能保持完好状态，所有人员未能熟悉应急器材的存放地点及使用办法的，每发现一次扣0.2分，满分2分扣完为止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restart"/>
            <w:tcBorders>
              <w:left w:val="single" w:color="auto" w:sz="4" w:space="0"/>
              <w:right w:val="single" w:color="auto" w:sz="4" w:space="0"/>
            </w:tcBorders>
            <w:vAlign w:val="center"/>
          </w:tcPr>
          <w:p>
            <w:pPr>
              <w:adjustRightInd w:val="0"/>
              <w:snapToGrid w:val="0"/>
              <w:jc w:val="center"/>
              <w:rPr>
                <w:kern w:val="0"/>
              </w:rPr>
            </w:pPr>
            <w:r>
              <w:rPr>
                <w:rFonts w:hint="eastAsia"/>
                <w:kern w:val="0"/>
              </w:rPr>
              <w:t>效果</w:t>
            </w:r>
          </w:p>
          <w:p>
            <w:pPr>
              <w:adjustRightInd w:val="0"/>
              <w:snapToGrid w:val="0"/>
              <w:jc w:val="center"/>
              <w:rPr>
                <w:kern w:val="0"/>
              </w:rPr>
            </w:pPr>
            <w:r>
              <w:rPr>
                <w:rFonts w:hint="eastAsia"/>
                <w:kern w:val="0"/>
              </w:rPr>
              <w:t>（4分）</w:t>
            </w:r>
          </w:p>
        </w:tc>
        <w:tc>
          <w:tcPr>
            <w:tcW w:w="1124" w:type="pct"/>
            <w:gridSpan w:val="2"/>
            <w:tcBorders>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经济影响（1分）</w:t>
            </w:r>
          </w:p>
        </w:tc>
        <w:tc>
          <w:tcPr>
            <w:tcW w:w="1626" w:type="pct"/>
            <w:tcBorders>
              <w:left w:val="single" w:color="auto" w:sz="4" w:space="0"/>
              <w:right w:val="single" w:color="auto" w:sz="4" w:space="0"/>
            </w:tcBorders>
            <w:vAlign w:val="center"/>
          </w:tcPr>
          <w:p>
            <w:pPr>
              <w:adjustRightInd w:val="0"/>
              <w:snapToGrid w:val="0"/>
            </w:pPr>
            <w:r>
              <w:rPr>
                <w:rFonts w:hint="eastAsia"/>
              </w:rPr>
              <w:t>项目实施对经济发展所带来的直接或间接的正负面影响情况。如对产业带动及区域经济影响等。</w:t>
            </w:r>
          </w:p>
        </w:tc>
        <w:tc>
          <w:tcPr>
            <w:tcW w:w="1851" w:type="pct"/>
            <w:tcBorders>
              <w:left w:val="single" w:color="auto" w:sz="4" w:space="0"/>
              <w:right w:val="single" w:color="auto" w:sz="4" w:space="0"/>
            </w:tcBorders>
            <w:vAlign w:val="center"/>
          </w:tcPr>
          <w:p>
            <w:pPr>
              <w:adjustRightInd w:val="0"/>
              <w:snapToGrid w:val="0"/>
            </w:pPr>
            <w:r>
              <w:rPr>
                <w:rFonts w:hint="eastAsia"/>
              </w:rPr>
              <w:t>项目实施对经济发展产生负面影响，本项不得分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1124" w:type="pct"/>
            <w:gridSpan w:val="2"/>
            <w:tcBorders>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社会影响（1分）</w:t>
            </w:r>
          </w:p>
        </w:tc>
        <w:tc>
          <w:tcPr>
            <w:tcW w:w="1626" w:type="pct"/>
            <w:tcBorders>
              <w:left w:val="single" w:color="auto" w:sz="4" w:space="0"/>
              <w:right w:val="single" w:color="auto" w:sz="4" w:space="0"/>
            </w:tcBorders>
          </w:tcPr>
          <w:p>
            <w:pPr>
              <w:adjustRightInd w:val="0"/>
              <w:snapToGrid w:val="0"/>
            </w:pPr>
            <w:r>
              <w:rPr>
                <w:rFonts w:hint="eastAsia"/>
              </w:rPr>
              <w:t>项目建设活动带来的直接或间接正负面影响。如新增就业、社会荣誉、重大诉讼、公众舆情等</w:t>
            </w:r>
          </w:p>
        </w:tc>
        <w:tc>
          <w:tcPr>
            <w:tcW w:w="1851" w:type="pct"/>
            <w:tcBorders>
              <w:left w:val="single" w:color="auto" w:sz="4" w:space="0"/>
              <w:right w:val="single" w:color="auto" w:sz="4" w:space="0"/>
            </w:tcBorders>
          </w:tcPr>
          <w:p>
            <w:pPr>
              <w:adjustRightInd w:val="0"/>
              <w:snapToGrid w:val="0"/>
            </w:pPr>
            <w:r>
              <w:rPr>
                <w:rFonts w:hint="eastAsia"/>
              </w:rPr>
              <w:t>出现一项负面影响扣</w:t>
            </w:r>
            <w:r>
              <w:t>0.5</w:t>
            </w:r>
            <w:r>
              <w:rPr>
                <w:rFonts w:hint="eastAsia"/>
              </w:rPr>
              <w:t>分，出现正面影响加0</w:t>
            </w:r>
            <w:r>
              <w:t>.5</w:t>
            </w:r>
            <w:r>
              <w:rPr>
                <w:rFonts w:hint="eastAsia"/>
              </w:rPr>
              <w:t>分，本项得分最低0分，最高</w:t>
            </w:r>
            <w:r>
              <w:t>1</w:t>
            </w:r>
            <w:r>
              <w:rPr>
                <w:rFonts w:hint="eastAsia"/>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1124" w:type="pct"/>
            <w:gridSpan w:val="2"/>
            <w:tcBorders>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可持续性（1分）</w:t>
            </w:r>
          </w:p>
        </w:tc>
        <w:tc>
          <w:tcPr>
            <w:tcW w:w="1626" w:type="pct"/>
            <w:tcBorders>
              <w:left w:val="single" w:color="auto" w:sz="4" w:space="0"/>
              <w:right w:val="single" w:color="auto" w:sz="4" w:space="0"/>
            </w:tcBorders>
            <w:vAlign w:val="center"/>
          </w:tcPr>
          <w:p>
            <w:pPr>
              <w:adjustRightInd w:val="0"/>
              <w:snapToGrid w:val="0"/>
            </w:pPr>
            <w:r>
              <w:rPr>
                <w:rFonts w:hint="eastAsia"/>
              </w:rPr>
              <w:t>项目在发展、运行管理及财务状况等方面的可持续情况</w:t>
            </w:r>
          </w:p>
        </w:tc>
        <w:tc>
          <w:tcPr>
            <w:tcW w:w="1851" w:type="pct"/>
            <w:tcBorders>
              <w:left w:val="single" w:color="auto" w:sz="4" w:space="0"/>
              <w:right w:val="single" w:color="auto" w:sz="4" w:space="0"/>
            </w:tcBorders>
            <w:vAlign w:val="center"/>
          </w:tcPr>
          <w:p>
            <w:pPr>
              <w:adjustRightInd w:val="0"/>
              <w:snapToGrid w:val="0"/>
            </w:pPr>
            <w:r>
              <w:rPr>
                <w:rFonts w:hint="eastAsia"/>
              </w:rPr>
              <w:t>根据财务分析确定项目可持续性，项目不具有可持续性，本项不得分。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1124" w:type="pct"/>
            <w:gridSpan w:val="2"/>
            <w:tcBorders>
              <w:left w:val="single" w:color="auto" w:sz="4" w:space="0"/>
              <w:right w:val="single" w:color="auto" w:sz="4" w:space="0"/>
            </w:tcBorders>
            <w:vAlign w:val="center"/>
          </w:tcPr>
          <w:p>
            <w:pPr>
              <w:autoSpaceDE w:val="0"/>
              <w:autoSpaceDN w:val="0"/>
              <w:adjustRightInd w:val="0"/>
              <w:snapToGrid w:val="0"/>
              <w:jc w:val="center"/>
              <w:rPr>
                <w:kern w:val="0"/>
              </w:rPr>
            </w:pPr>
            <w:r>
              <w:rPr>
                <w:rFonts w:hint="eastAsia"/>
                <w:kern w:val="0"/>
              </w:rPr>
              <w:t>满意度（1分）</w:t>
            </w:r>
          </w:p>
        </w:tc>
        <w:tc>
          <w:tcPr>
            <w:tcW w:w="1626" w:type="pct"/>
            <w:tcBorders>
              <w:left w:val="single" w:color="auto" w:sz="4" w:space="0"/>
              <w:right w:val="single" w:color="auto" w:sz="4" w:space="0"/>
            </w:tcBorders>
            <w:vAlign w:val="center"/>
          </w:tcPr>
          <w:p>
            <w:pPr>
              <w:adjustRightInd w:val="0"/>
              <w:snapToGrid w:val="0"/>
            </w:pPr>
            <w:r>
              <w:rPr>
                <w:rFonts w:hint="eastAsia"/>
              </w:rPr>
              <w:t>政府相关部门、项目实施机构、社会公众（服务对象）对项目公司或社会资本运营期间相关工作的满意度</w:t>
            </w:r>
          </w:p>
        </w:tc>
        <w:tc>
          <w:tcPr>
            <w:tcW w:w="1851" w:type="pct"/>
            <w:tcBorders>
              <w:left w:val="single" w:color="auto" w:sz="4" w:space="0"/>
              <w:right w:val="single" w:color="auto" w:sz="4" w:space="0"/>
            </w:tcBorders>
            <w:vAlign w:val="center"/>
          </w:tcPr>
          <w:p>
            <w:pPr>
              <w:adjustRightInd w:val="0"/>
              <w:snapToGrid w:val="0"/>
            </w:pPr>
            <w:r>
              <w:rPr>
                <w:rFonts w:hint="eastAsia"/>
              </w:rPr>
              <w:t>根据调研情况，满意度至少达到8</w:t>
            </w:r>
            <w:r>
              <w:t>0</w:t>
            </w:r>
            <w:r>
              <w:rPr>
                <w:rFonts w:hint="eastAsia"/>
              </w:rPr>
              <w:t>分，每降低1</w:t>
            </w:r>
            <w:r>
              <w:t>0</w:t>
            </w:r>
            <w:r>
              <w:rPr>
                <w:rFonts w:hint="eastAsia"/>
              </w:rPr>
              <w:t>分扣0</w:t>
            </w:r>
            <w:r>
              <w:t>.5</w:t>
            </w:r>
            <w:r>
              <w:rPr>
                <w:rFonts w:hint="eastAsia"/>
              </w:rPr>
              <w:t>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restart"/>
            <w:tcBorders>
              <w:left w:val="single" w:color="auto" w:sz="4" w:space="0"/>
              <w:right w:val="single" w:color="auto" w:sz="4" w:space="0"/>
            </w:tcBorders>
            <w:vAlign w:val="center"/>
          </w:tcPr>
          <w:p>
            <w:pPr>
              <w:adjustRightInd w:val="0"/>
              <w:snapToGrid w:val="0"/>
              <w:jc w:val="center"/>
              <w:rPr>
                <w:kern w:val="0"/>
              </w:rPr>
            </w:pPr>
            <w:r>
              <w:rPr>
                <w:kern w:val="0"/>
              </w:rPr>
              <w:t>管理</w:t>
            </w:r>
          </w:p>
          <w:p>
            <w:pPr>
              <w:adjustRightInd w:val="0"/>
              <w:snapToGrid w:val="0"/>
              <w:rPr>
                <w:kern w:val="0"/>
              </w:rPr>
            </w:pPr>
            <w:r>
              <w:rPr>
                <w:kern w:val="0"/>
              </w:rPr>
              <w:t>（10分）</w:t>
            </w:r>
          </w:p>
        </w:tc>
        <w:tc>
          <w:tcPr>
            <w:tcW w:w="616" w:type="pct"/>
            <w:tcBorders>
              <w:left w:val="single" w:color="auto" w:sz="4" w:space="0"/>
              <w:right w:val="single" w:color="auto" w:sz="4" w:space="0"/>
            </w:tcBorders>
            <w:vAlign w:val="center"/>
          </w:tcPr>
          <w:p>
            <w:pPr>
              <w:adjustRightInd w:val="0"/>
              <w:snapToGrid w:val="0"/>
              <w:rPr>
                <w:kern w:val="0"/>
              </w:rPr>
            </w:pPr>
            <w:r>
              <w:rPr>
                <w:rFonts w:hint="eastAsia"/>
                <w:kern w:val="0"/>
              </w:rPr>
              <w:t>组织</w:t>
            </w:r>
            <w:r>
              <w:rPr>
                <w:kern w:val="0"/>
              </w:rPr>
              <w:t>管理（2分）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人员配备（2分）</w:t>
            </w:r>
          </w:p>
        </w:tc>
        <w:tc>
          <w:tcPr>
            <w:tcW w:w="1626" w:type="pct"/>
            <w:tcBorders>
              <w:left w:val="single" w:color="auto" w:sz="4" w:space="0"/>
              <w:right w:val="single" w:color="auto" w:sz="4" w:space="0"/>
            </w:tcBorders>
            <w:vAlign w:val="center"/>
          </w:tcPr>
          <w:p>
            <w:pPr>
              <w:adjustRightInd w:val="0"/>
              <w:snapToGrid w:val="0"/>
            </w:pPr>
            <w:r>
              <w:rPr>
                <w:kern w:val="0"/>
              </w:rPr>
              <w:t>配备的人员数量与投标承诺一致且能及时到位。</w:t>
            </w:r>
          </w:p>
        </w:tc>
        <w:tc>
          <w:tcPr>
            <w:tcW w:w="1851" w:type="pct"/>
            <w:tcBorders>
              <w:left w:val="single" w:color="auto" w:sz="4" w:space="0"/>
              <w:right w:val="single" w:color="auto" w:sz="4" w:space="0"/>
            </w:tcBorders>
            <w:vAlign w:val="center"/>
          </w:tcPr>
          <w:p>
            <w:pPr>
              <w:adjustRightInd w:val="0"/>
              <w:snapToGrid w:val="0"/>
            </w:pPr>
            <w:r>
              <w:t>每有一处不符合要求的扣0.5分，扣完为止。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tcBorders>
              <w:left w:val="single" w:color="auto" w:sz="4" w:space="0"/>
              <w:right w:val="single" w:color="auto" w:sz="4" w:space="0"/>
            </w:tcBorders>
            <w:vAlign w:val="center"/>
          </w:tcPr>
          <w:p>
            <w:pPr>
              <w:adjustRightInd w:val="0"/>
              <w:snapToGrid w:val="0"/>
              <w:rPr>
                <w:kern w:val="0"/>
              </w:rPr>
            </w:pPr>
            <w:r>
              <w:rPr>
                <w:rFonts w:hint="eastAsia"/>
                <w:kern w:val="0"/>
              </w:rPr>
              <w:t>制度管理</w:t>
            </w:r>
            <w:r>
              <w:rPr>
                <w:kern w:val="0"/>
              </w:rPr>
              <w:t>（2分）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财务管理制度（2分）</w:t>
            </w:r>
          </w:p>
        </w:tc>
        <w:tc>
          <w:tcPr>
            <w:tcW w:w="1626" w:type="pct"/>
            <w:tcBorders>
              <w:left w:val="single" w:color="auto" w:sz="4" w:space="0"/>
              <w:right w:val="single" w:color="auto" w:sz="4" w:space="0"/>
            </w:tcBorders>
            <w:vAlign w:val="center"/>
          </w:tcPr>
          <w:p>
            <w:pPr>
              <w:adjustRightInd w:val="0"/>
              <w:snapToGrid w:val="0"/>
            </w:pPr>
            <w:r>
              <w:rPr>
                <w:kern w:val="0"/>
              </w:rPr>
              <w:t>严格贯彻执行国家、地方规定的财务管理制度</w:t>
            </w:r>
          </w:p>
        </w:tc>
        <w:tc>
          <w:tcPr>
            <w:tcW w:w="1851" w:type="pct"/>
            <w:tcBorders>
              <w:left w:val="single" w:color="auto" w:sz="4" w:space="0"/>
              <w:right w:val="single" w:color="auto" w:sz="4" w:space="0"/>
            </w:tcBorders>
            <w:vAlign w:val="center"/>
          </w:tcPr>
          <w:p>
            <w:pPr>
              <w:adjustRightInd w:val="0"/>
              <w:snapToGrid w:val="0"/>
            </w:pPr>
            <w:r>
              <w:rPr>
                <w:kern w:val="0"/>
              </w:rPr>
              <w:t>未建立制度扣1分，制度不完善的，每项问题扣0.5分，违反法律法规的管理制度扣1分；上述情况给予5个工作日的整改时间，整改到位不加扣分，未整改或整改不到位加扣2分。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tcBorders>
              <w:left w:val="single" w:color="auto" w:sz="4" w:space="0"/>
              <w:right w:val="single" w:color="auto" w:sz="4" w:space="0"/>
            </w:tcBorders>
            <w:vAlign w:val="center"/>
          </w:tcPr>
          <w:p>
            <w:pPr>
              <w:adjustRightInd w:val="0"/>
              <w:snapToGrid w:val="0"/>
              <w:rPr>
                <w:kern w:val="0"/>
              </w:rPr>
            </w:pPr>
            <w:r>
              <w:rPr>
                <w:rFonts w:hint="eastAsia"/>
                <w:kern w:val="0"/>
              </w:rPr>
              <w:t>财务管理（</w:t>
            </w:r>
            <w:r>
              <w:rPr>
                <w:kern w:val="0"/>
              </w:rPr>
              <w:t>2</w:t>
            </w:r>
            <w:r>
              <w:rPr>
                <w:rFonts w:hint="eastAsia"/>
                <w:kern w:val="0"/>
              </w:rPr>
              <w:t>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财务制度执行（1分）</w:t>
            </w:r>
          </w:p>
        </w:tc>
        <w:tc>
          <w:tcPr>
            <w:tcW w:w="1626" w:type="pct"/>
            <w:tcBorders>
              <w:left w:val="single" w:color="auto" w:sz="4" w:space="0"/>
              <w:right w:val="single" w:color="auto" w:sz="4" w:space="0"/>
            </w:tcBorders>
            <w:vAlign w:val="center"/>
          </w:tcPr>
          <w:p>
            <w:pPr>
              <w:adjustRightInd w:val="0"/>
              <w:snapToGrid w:val="0"/>
            </w:pPr>
            <w:r>
              <w:rPr>
                <w:kern w:val="0"/>
              </w:rPr>
              <w:t>严格按照财务管理制度执行</w:t>
            </w:r>
          </w:p>
        </w:tc>
        <w:tc>
          <w:tcPr>
            <w:tcW w:w="1851" w:type="pct"/>
            <w:tcBorders>
              <w:left w:val="single" w:color="auto" w:sz="4" w:space="0"/>
              <w:right w:val="single" w:color="auto" w:sz="4" w:space="0"/>
            </w:tcBorders>
            <w:vAlign w:val="center"/>
          </w:tcPr>
          <w:p>
            <w:pPr>
              <w:adjustRightInd w:val="0"/>
              <w:snapToGrid w:val="0"/>
            </w:pPr>
            <w:r>
              <w:t>未及时提交上年度审计报告及详细的成本报告扣2分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tcBorders>
              <w:left w:val="single" w:color="auto" w:sz="4" w:space="0"/>
              <w:right w:val="single" w:color="auto" w:sz="4" w:space="0"/>
            </w:tcBorders>
            <w:vAlign w:val="center"/>
          </w:tcPr>
          <w:p>
            <w:pPr>
              <w:adjustRightInd w:val="0"/>
              <w:snapToGrid w:val="0"/>
              <w:rPr>
                <w:kern w:val="0"/>
              </w:rPr>
            </w:pPr>
            <w:r>
              <w:t>档案管理</w:t>
            </w:r>
            <w:r>
              <w:rPr>
                <w:kern w:val="0"/>
              </w:rPr>
              <w:t>（2分）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档案归档完整性、及时性（1分）</w:t>
            </w:r>
          </w:p>
        </w:tc>
        <w:tc>
          <w:tcPr>
            <w:tcW w:w="1626" w:type="pct"/>
            <w:tcBorders>
              <w:left w:val="single" w:color="auto" w:sz="4" w:space="0"/>
              <w:right w:val="single" w:color="auto" w:sz="4" w:space="0"/>
            </w:tcBorders>
            <w:vAlign w:val="center"/>
          </w:tcPr>
          <w:p>
            <w:pPr>
              <w:adjustRightInd w:val="0"/>
              <w:snapToGrid w:val="0"/>
            </w:pPr>
            <w:r>
              <w:rPr>
                <w:rFonts w:eastAsia="PMCFK I+ Futura"/>
                <w:kern w:val="0"/>
              </w:rPr>
              <w:t>设立档案室，完善档案管理制度，档案齐全。</w:t>
            </w:r>
          </w:p>
        </w:tc>
        <w:tc>
          <w:tcPr>
            <w:tcW w:w="1851" w:type="pct"/>
            <w:tcBorders>
              <w:left w:val="single" w:color="auto" w:sz="4" w:space="0"/>
              <w:right w:val="single" w:color="auto" w:sz="4" w:space="0"/>
            </w:tcBorders>
            <w:vAlign w:val="center"/>
          </w:tcPr>
          <w:p>
            <w:pPr>
              <w:adjustRightInd w:val="0"/>
              <w:snapToGrid w:val="0"/>
            </w:pPr>
            <w:r>
              <w:t>不执行或未建立制度扣2分；制度不完善的，每项问题扣0.5分。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9" w:type="pct"/>
            <w:vMerge w:val="continue"/>
            <w:tcBorders>
              <w:left w:val="single" w:color="auto" w:sz="4" w:space="0"/>
              <w:right w:val="single" w:color="auto" w:sz="4" w:space="0"/>
            </w:tcBorders>
            <w:vAlign w:val="center"/>
          </w:tcPr>
          <w:p>
            <w:pPr>
              <w:adjustRightInd w:val="0"/>
              <w:snapToGrid w:val="0"/>
              <w:rPr>
                <w:kern w:val="0"/>
              </w:rPr>
            </w:pPr>
          </w:p>
        </w:tc>
        <w:tc>
          <w:tcPr>
            <w:tcW w:w="616" w:type="pct"/>
            <w:tcBorders>
              <w:left w:val="single" w:color="auto" w:sz="4" w:space="0"/>
              <w:right w:val="single" w:color="auto" w:sz="4" w:space="0"/>
            </w:tcBorders>
            <w:vAlign w:val="center"/>
          </w:tcPr>
          <w:p>
            <w:pPr>
              <w:adjustRightInd w:val="0"/>
              <w:snapToGrid w:val="0"/>
              <w:jc w:val="center"/>
              <w:rPr>
                <w:kern w:val="0"/>
              </w:rPr>
            </w:pPr>
            <w:r>
              <w:rPr>
                <w:kern w:val="0"/>
              </w:rPr>
              <w:t>应急管理</w:t>
            </w:r>
          </w:p>
          <w:p>
            <w:pPr>
              <w:adjustRightInd w:val="0"/>
              <w:snapToGrid w:val="0"/>
              <w:rPr>
                <w:kern w:val="0"/>
              </w:rPr>
            </w:pPr>
            <w:r>
              <w:rPr>
                <w:kern w:val="0"/>
              </w:rPr>
              <w:t>（2分）</w:t>
            </w:r>
          </w:p>
        </w:tc>
        <w:tc>
          <w:tcPr>
            <w:tcW w:w="508" w:type="pct"/>
            <w:tcBorders>
              <w:left w:val="single" w:color="auto" w:sz="4" w:space="0"/>
              <w:right w:val="single" w:color="auto" w:sz="4" w:space="0"/>
            </w:tcBorders>
            <w:vAlign w:val="center"/>
          </w:tcPr>
          <w:p>
            <w:pPr>
              <w:autoSpaceDE w:val="0"/>
              <w:autoSpaceDN w:val="0"/>
              <w:adjustRightInd w:val="0"/>
              <w:snapToGrid w:val="0"/>
              <w:jc w:val="center"/>
              <w:rPr>
                <w:kern w:val="0"/>
              </w:rPr>
            </w:pPr>
            <w:r>
              <w:rPr>
                <w:kern w:val="0"/>
              </w:rPr>
              <w:t>建立应急预案（2分）</w:t>
            </w:r>
          </w:p>
        </w:tc>
        <w:tc>
          <w:tcPr>
            <w:tcW w:w="3477" w:type="pct"/>
            <w:gridSpan w:val="2"/>
            <w:tcBorders>
              <w:left w:val="single" w:color="auto" w:sz="4" w:space="0"/>
              <w:right w:val="single" w:color="auto" w:sz="4" w:space="0"/>
            </w:tcBorders>
            <w:vAlign w:val="center"/>
          </w:tcPr>
          <w:p>
            <w:pPr>
              <w:adjustRightInd w:val="0"/>
              <w:snapToGrid w:val="0"/>
            </w:pPr>
            <w:r>
              <w:t>建立人员安全应急预案、突发性污染、车辆事故、恶劣天气、重大活动等方面应急预案，每缺少一项扣0.5分，扣完为止</w:t>
            </w:r>
          </w:p>
        </w:tc>
      </w:tr>
    </w:tbl>
    <w:p>
      <w:pPr>
        <w:adjustRightInd w:val="0"/>
        <w:snapToGrid w:val="0"/>
        <w:spacing w:line="360" w:lineRule="auto"/>
        <w:ind w:firstLine="420" w:firstLineChars="200"/>
      </w:pPr>
    </w:p>
    <w:p>
      <w:pPr>
        <w:adjustRightInd w:val="0"/>
        <w:snapToGrid w:val="0"/>
        <w:spacing w:line="360" w:lineRule="auto"/>
        <w:ind w:firstLine="420" w:firstLineChars="200"/>
        <w:sectPr>
          <w:pgSz w:w="16838" w:h="11906" w:orient="landscape"/>
          <w:pgMar w:top="1797" w:right="1440" w:bottom="1797" w:left="1440" w:header="851" w:footer="851" w:gutter="0"/>
          <w:cols w:space="425" w:num="1"/>
          <w:docGrid w:linePitch="312" w:charSpace="0"/>
        </w:sectPr>
      </w:pPr>
    </w:p>
    <w:p>
      <w:pPr>
        <w:adjustRightInd w:val="0"/>
        <w:snapToGrid w:val="0"/>
        <w:spacing w:line="360" w:lineRule="auto"/>
        <w:rPr>
          <w:rFonts w:asciiTheme="minorEastAsia" w:hAnsiTheme="minorEastAsia" w:eastAsiaTheme="minorEastAsia"/>
        </w:rPr>
      </w:pPr>
    </w:p>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485" w:name="_Toc529805829"/>
      <w:r>
        <w:rPr>
          <w:rFonts w:hint="eastAsia" w:asciiTheme="minorEastAsia" w:hAnsiTheme="minorEastAsia" w:eastAsiaTheme="minorEastAsia"/>
          <w:b/>
          <w:sz w:val="28"/>
          <w:szCs w:val="28"/>
        </w:rPr>
        <w:t>项目协议</w:t>
      </w:r>
      <w:bookmarkEnd w:id="485"/>
    </w:p>
    <w:p>
      <w:pPr>
        <w:adjustRightInd w:val="0"/>
        <w:snapToGrid w:val="0"/>
        <w:spacing w:beforeLines="15" w:afterLines="15" w:line="600" w:lineRule="exact"/>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附件1、《合作协议》</w:t>
      </w:r>
    </w:p>
    <w:p>
      <w:pPr>
        <w:adjustRightInd w:val="0"/>
        <w:snapToGrid w:val="0"/>
        <w:spacing w:beforeLines="15" w:afterLines="15" w:line="600" w:lineRule="exact"/>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附件2、《项目合同》</w:t>
      </w:r>
    </w:p>
    <w:p>
      <w:pPr>
        <w:adjustRightInd w:val="0"/>
        <w:snapToGrid w:val="0"/>
        <w:spacing w:beforeLines="15" w:afterLines="15" w:line="600" w:lineRule="exact"/>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附件3、《承继协议》</w:t>
      </w:r>
    </w:p>
    <w:p>
      <w:pPr>
        <w:adjustRightInd w:val="0"/>
        <w:snapToGrid w:val="0"/>
        <w:spacing w:beforeLines="15" w:afterLines="15" w:line="600" w:lineRule="exact"/>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附件4、《股东协议》</w:t>
      </w:r>
    </w:p>
    <w:p>
      <w:pPr>
        <w:adjustRightInd w:val="0"/>
        <w:snapToGrid w:val="0"/>
        <w:spacing w:beforeLines="15" w:afterLines="15" w:line="600" w:lineRule="exact"/>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附件5、《公司章程》</w:t>
      </w:r>
    </w:p>
    <w:p>
      <w:pPr>
        <w:widowControl/>
        <w:adjustRightInd w:val="0"/>
        <w:snapToGrid w:val="0"/>
        <w:spacing w:line="360" w:lineRule="auto"/>
        <w:rPr>
          <w:rFonts w:asciiTheme="minorEastAsia" w:hAnsiTheme="minorEastAsia" w:eastAsiaTheme="minorEastAsia"/>
          <w:b/>
          <w:bCs/>
          <w:kern w:val="0"/>
          <w:sz w:val="28"/>
          <w:szCs w:val="28"/>
        </w:rPr>
      </w:pPr>
      <w:bookmarkStart w:id="486" w:name="_Toc436952630"/>
      <w:bookmarkStart w:id="487" w:name="_Toc428894855"/>
      <w:bookmarkStart w:id="488" w:name="_Toc430096719"/>
      <w:bookmarkStart w:id="489" w:name="_Toc434828334"/>
      <w:bookmarkStart w:id="490" w:name="_Toc434827203"/>
      <w:bookmarkStart w:id="491" w:name="_Toc428894415"/>
      <w:bookmarkStart w:id="492" w:name="_Toc430620985"/>
      <w:bookmarkStart w:id="493" w:name="_Toc423012021"/>
      <w:bookmarkStart w:id="494" w:name="_Toc434827478"/>
      <w:bookmarkStart w:id="495" w:name="_Toc430097153"/>
      <w:bookmarkStart w:id="496" w:name="_Toc428647575"/>
      <w:bookmarkStart w:id="497" w:name="_Toc430093996"/>
      <w:bookmarkStart w:id="498" w:name="_Toc435777873"/>
      <w:bookmarkStart w:id="499" w:name="_Toc436924500"/>
      <w:bookmarkStart w:id="500" w:name="_Toc428893538"/>
      <w:bookmarkStart w:id="501" w:name="_Toc430620219"/>
      <w:bookmarkStart w:id="502" w:name="_Toc428891372"/>
      <w:bookmarkStart w:id="503" w:name="_Toc455565485"/>
      <w:bookmarkStart w:id="504" w:name="_Toc435778327"/>
      <w:r>
        <w:rPr>
          <w:rFonts w:asciiTheme="minorEastAsia" w:hAnsiTheme="minorEastAsia" w:eastAsiaTheme="minorEastAsia"/>
          <w:b/>
          <w:bCs/>
          <w:kern w:val="0"/>
          <w:sz w:val="28"/>
          <w:szCs w:val="28"/>
        </w:rPr>
        <w:br w:type="page"/>
      </w:r>
    </w:p>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505" w:name="_Toc529805830"/>
      <w:bookmarkStart w:id="506" w:name="_Hlk532816263"/>
      <w:r>
        <w:rPr>
          <w:rFonts w:hint="eastAsia" w:asciiTheme="minorEastAsia" w:hAnsiTheme="minorEastAsia" w:eastAsiaTheme="minorEastAsia"/>
          <w:b/>
          <w:sz w:val="28"/>
          <w:szCs w:val="28"/>
        </w:rPr>
        <w:t>评标方法和标准</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pPr>
        <w:adjustRightInd w:val="0"/>
        <w:snapToGrid w:val="0"/>
        <w:spacing w:line="360" w:lineRule="auto"/>
        <w:ind w:firstLine="422" w:firstLineChars="200"/>
        <w:rPr>
          <w:rFonts w:asciiTheme="minorEastAsia" w:hAnsiTheme="minorEastAsia" w:eastAsiaTheme="minorEastAsia"/>
          <w:b/>
        </w:rPr>
      </w:pPr>
      <w:r>
        <w:rPr>
          <w:rFonts w:hint="eastAsia" w:asciiTheme="minorEastAsia" w:hAnsiTheme="minorEastAsia" w:eastAsiaTheme="minorEastAsia"/>
          <w:b/>
        </w:rPr>
        <w:t>本项目详细的评标办法与评审标准如下：</w:t>
      </w:r>
    </w:p>
    <w:tbl>
      <w:tblPr>
        <w:tblStyle w:val="40"/>
        <w:tblW w:w="962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175"/>
        <w:gridCol w:w="863"/>
        <w:gridCol w:w="1287"/>
        <w:gridCol w:w="2719"/>
        <w:gridCol w:w="358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25" w:type="dxa"/>
            <w:gridSpan w:val="3"/>
            <w:shd w:val="clear" w:color="auto" w:fill="auto"/>
            <w:vAlign w:val="center"/>
          </w:tcPr>
          <w:p>
            <w:pPr>
              <w:spacing w:line="276" w:lineRule="auto"/>
              <w:jc w:val="center"/>
              <w:rPr>
                <w:rFonts w:ascii="宋体" w:hAnsi="宋体"/>
                <w:b/>
              </w:rPr>
            </w:pPr>
            <w:r>
              <w:rPr>
                <w:rFonts w:hint="eastAsia" w:ascii="宋体" w:hAnsi="宋体"/>
                <w:b/>
              </w:rPr>
              <w:t>评审项目及分值权重</w:t>
            </w:r>
          </w:p>
        </w:tc>
        <w:tc>
          <w:tcPr>
            <w:tcW w:w="6300" w:type="dxa"/>
            <w:gridSpan w:val="2"/>
            <w:shd w:val="clear" w:color="auto" w:fill="auto"/>
            <w:vAlign w:val="center"/>
          </w:tcPr>
          <w:p>
            <w:pPr>
              <w:spacing w:line="276" w:lineRule="auto"/>
              <w:jc w:val="center"/>
              <w:rPr>
                <w:rFonts w:ascii="宋体" w:hAnsi="宋体"/>
                <w:b/>
              </w:rPr>
            </w:pPr>
            <w:r>
              <w:rPr>
                <w:rFonts w:hint="eastAsia" w:ascii="宋体" w:hAnsi="宋体"/>
                <w:b/>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shd w:val="clear" w:color="auto" w:fill="auto"/>
            <w:vAlign w:val="center"/>
          </w:tcPr>
          <w:p>
            <w:pPr>
              <w:spacing w:line="276" w:lineRule="auto"/>
              <w:jc w:val="center"/>
              <w:rPr>
                <w:rFonts w:ascii="宋体" w:hAnsi="宋体"/>
                <w:b/>
              </w:rPr>
            </w:pPr>
            <w:r>
              <w:rPr>
                <w:rFonts w:hint="eastAsia" w:ascii="宋体" w:hAnsi="宋体"/>
                <w:b/>
              </w:rPr>
              <w:t>投标报价（</w:t>
            </w:r>
            <w:r>
              <w:rPr>
                <w:rFonts w:ascii="宋体" w:hAnsi="宋体"/>
                <w:b/>
              </w:rPr>
              <w:t>10</w:t>
            </w:r>
            <w:r>
              <w:rPr>
                <w:rFonts w:hint="eastAsia" w:ascii="宋体" w:hAnsi="宋体"/>
                <w:b/>
              </w:rPr>
              <w:t>分）</w:t>
            </w:r>
          </w:p>
        </w:tc>
        <w:tc>
          <w:tcPr>
            <w:tcW w:w="2150" w:type="dxa"/>
            <w:gridSpan w:val="2"/>
            <w:shd w:val="clear" w:color="auto" w:fill="auto"/>
            <w:vAlign w:val="center"/>
          </w:tcPr>
          <w:p>
            <w:pPr>
              <w:rPr>
                <w:rFonts w:ascii="宋体" w:hAnsi="宋体"/>
              </w:rPr>
            </w:pPr>
            <w:r>
              <w:rPr>
                <w:rFonts w:hint="eastAsia" w:ascii="宋体" w:hAnsi="宋体"/>
                <w:sz w:val="18"/>
                <w:szCs w:val="18"/>
              </w:rPr>
              <w:t>餐厨废弃物综合处置单价（10分）</w:t>
            </w:r>
          </w:p>
        </w:tc>
        <w:tc>
          <w:tcPr>
            <w:tcW w:w="6300" w:type="dxa"/>
            <w:gridSpan w:val="2"/>
            <w:shd w:val="clear" w:color="auto" w:fill="auto"/>
            <w:vAlign w:val="center"/>
          </w:tcPr>
          <w:p>
            <w:pPr>
              <w:spacing w:line="310" w:lineRule="exact"/>
              <w:rPr>
                <w:rFonts w:ascii="宋体" w:hAnsi="宋体"/>
                <w:sz w:val="18"/>
                <w:szCs w:val="18"/>
              </w:rPr>
            </w:pPr>
            <w:r>
              <w:rPr>
                <w:rFonts w:hint="eastAsia" w:ascii="宋体" w:hAnsi="宋体"/>
                <w:sz w:val="18"/>
                <w:szCs w:val="18"/>
              </w:rPr>
              <w:t>取有效投标文件所报投标报价最小的为评标基准价，得</w:t>
            </w:r>
            <w:r>
              <w:rPr>
                <w:rFonts w:ascii="宋体" w:hAnsi="宋体"/>
                <w:sz w:val="18"/>
                <w:szCs w:val="18"/>
              </w:rPr>
              <w:t>10</w:t>
            </w:r>
            <w:r>
              <w:rPr>
                <w:rFonts w:hint="eastAsia" w:ascii="宋体" w:hAnsi="宋体"/>
                <w:sz w:val="18"/>
                <w:szCs w:val="18"/>
              </w:rPr>
              <w:t>分，其他社会资本投标报价得分按照下列公式计算：</w:t>
            </w:r>
          </w:p>
          <w:p>
            <w:pPr>
              <w:spacing w:line="310" w:lineRule="exact"/>
              <w:rPr>
                <w:rFonts w:ascii="宋体" w:hAnsi="宋体"/>
                <w:sz w:val="18"/>
                <w:szCs w:val="18"/>
              </w:rPr>
            </w:pPr>
            <w:r>
              <w:rPr>
                <w:rFonts w:hint="eastAsia" w:ascii="宋体" w:hAnsi="宋体"/>
                <w:sz w:val="18"/>
                <w:szCs w:val="18"/>
              </w:rPr>
              <w:t>其他投标报价得分=评标基准价÷其他投标报价×</w:t>
            </w:r>
            <w:r>
              <w:rPr>
                <w:rFonts w:ascii="宋体" w:hAnsi="宋体"/>
                <w:sz w:val="18"/>
                <w:szCs w:val="18"/>
              </w:rPr>
              <w:t>10</w:t>
            </w:r>
            <w:r>
              <w:rPr>
                <w:rFonts w:hint="eastAsia" w:ascii="宋体" w:hAnsi="宋体"/>
                <w:sz w:val="18"/>
                <w:szCs w:val="18"/>
              </w:rPr>
              <w:t>。</w:t>
            </w:r>
          </w:p>
          <w:p>
            <w:pPr>
              <w:spacing w:line="276" w:lineRule="auto"/>
              <w:rPr>
                <w:rFonts w:ascii="宋体" w:hAnsi="宋体"/>
              </w:rPr>
            </w:pPr>
            <w:r>
              <w:rPr>
                <w:rFonts w:hint="eastAsia" w:ascii="宋体" w:hAnsi="宋体"/>
                <w:sz w:val="18"/>
                <w:szCs w:val="18"/>
              </w:rPr>
              <w:t>本项目社会资本所报的餐厨废弃物综合处置单价不得高于</w:t>
            </w:r>
            <w:r>
              <w:rPr>
                <w:rFonts w:ascii="宋体" w:hAnsi="宋体"/>
                <w:sz w:val="18"/>
                <w:szCs w:val="18"/>
              </w:rPr>
              <w:t>317.56</w:t>
            </w:r>
            <w:r>
              <w:rPr>
                <w:rFonts w:hint="eastAsia" w:ascii="宋体" w:hAnsi="宋体"/>
                <w:sz w:val="18"/>
                <w:szCs w:val="18"/>
              </w:rPr>
              <w:t>元/吨，否则其投标无效。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restart"/>
            <w:shd w:val="clear" w:color="auto" w:fill="auto"/>
            <w:vAlign w:val="center"/>
          </w:tcPr>
          <w:p>
            <w:pPr>
              <w:spacing w:line="276" w:lineRule="auto"/>
              <w:jc w:val="center"/>
              <w:rPr>
                <w:rFonts w:ascii="宋体" w:hAnsi="宋体"/>
                <w:b/>
              </w:rPr>
            </w:pPr>
            <w:r>
              <w:rPr>
                <w:rFonts w:hint="eastAsia" w:ascii="宋体" w:hAnsi="宋体"/>
                <w:b/>
              </w:rPr>
              <w:t>综合实力（30分）</w:t>
            </w:r>
          </w:p>
        </w:tc>
        <w:tc>
          <w:tcPr>
            <w:tcW w:w="2150" w:type="dxa"/>
            <w:gridSpan w:val="2"/>
            <w:shd w:val="clear" w:color="auto" w:fill="auto"/>
            <w:vAlign w:val="center"/>
          </w:tcPr>
          <w:p>
            <w:pPr>
              <w:spacing w:line="310" w:lineRule="exact"/>
              <w:rPr>
                <w:rFonts w:ascii="宋体" w:hAnsi="宋体"/>
                <w:sz w:val="18"/>
                <w:szCs w:val="18"/>
              </w:rPr>
            </w:pPr>
            <w:r>
              <w:rPr>
                <w:rFonts w:hint="eastAsia" w:ascii="宋体" w:hAnsi="宋体"/>
                <w:sz w:val="18"/>
                <w:szCs w:val="18"/>
              </w:rPr>
              <w:t>资产负债率（</w:t>
            </w:r>
            <w:r>
              <w:rPr>
                <w:rFonts w:ascii="宋体" w:hAnsi="宋体"/>
                <w:sz w:val="18"/>
                <w:szCs w:val="18"/>
              </w:rPr>
              <w:t>9</w:t>
            </w:r>
            <w:r>
              <w:rPr>
                <w:rFonts w:hint="eastAsia" w:ascii="宋体" w:hAnsi="宋体"/>
                <w:sz w:val="18"/>
                <w:szCs w:val="18"/>
              </w:rPr>
              <w:t>分）</w:t>
            </w:r>
          </w:p>
        </w:tc>
        <w:tc>
          <w:tcPr>
            <w:tcW w:w="6300" w:type="dxa"/>
            <w:gridSpan w:val="2"/>
            <w:shd w:val="clear" w:color="auto" w:fill="auto"/>
            <w:vAlign w:val="center"/>
          </w:tcPr>
          <w:p>
            <w:pPr>
              <w:spacing w:line="310" w:lineRule="exact"/>
              <w:rPr>
                <w:rFonts w:ascii="宋体" w:hAnsi="宋体"/>
                <w:sz w:val="18"/>
                <w:szCs w:val="18"/>
              </w:rPr>
            </w:pPr>
            <w:r>
              <w:rPr>
                <w:rFonts w:hint="eastAsia" w:ascii="宋体" w:hAnsi="宋体"/>
                <w:sz w:val="18"/>
                <w:szCs w:val="18"/>
              </w:rPr>
              <w:t>社会资本2018年度资产负债率小于等于45.00%，得</w:t>
            </w:r>
            <w:r>
              <w:rPr>
                <w:rFonts w:ascii="宋体" w:hAnsi="宋体"/>
                <w:sz w:val="18"/>
                <w:szCs w:val="18"/>
              </w:rPr>
              <w:t>9</w:t>
            </w:r>
            <w:r>
              <w:rPr>
                <w:rFonts w:hint="eastAsia" w:ascii="宋体" w:hAnsi="宋体"/>
                <w:sz w:val="18"/>
                <w:szCs w:val="18"/>
              </w:rPr>
              <w:t>分；</w:t>
            </w:r>
          </w:p>
          <w:p>
            <w:pPr>
              <w:spacing w:line="310" w:lineRule="exact"/>
              <w:rPr>
                <w:rFonts w:ascii="宋体" w:hAnsi="宋体"/>
                <w:sz w:val="18"/>
                <w:szCs w:val="18"/>
              </w:rPr>
            </w:pPr>
            <w:r>
              <w:rPr>
                <w:rFonts w:hint="eastAsia" w:ascii="宋体" w:hAnsi="宋体"/>
                <w:sz w:val="18"/>
                <w:szCs w:val="18"/>
              </w:rPr>
              <w:t>社会资本2018年度资产负债率大于45.00%，且小于等于50.00%，得</w:t>
            </w:r>
            <w:r>
              <w:rPr>
                <w:rFonts w:ascii="宋体" w:hAnsi="宋体"/>
                <w:sz w:val="18"/>
                <w:szCs w:val="18"/>
              </w:rPr>
              <w:t>6</w:t>
            </w:r>
            <w:r>
              <w:rPr>
                <w:rFonts w:hint="eastAsia" w:ascii="宋体" w:hAnsi="宋体"/>
                <w:sz w:val="18"/>
                <w:szCs w:val="18"/>
              </w:rPr>
              <w:t>分；</w:t>
            </w:r>
          </w:p>
          <w:p>
            <w:pPr>
              <w:spacing w:line="310" w:lineRule="exact"/>
              <w:rPr>
                <w:rFonts w:ascii="宋体" w:hAnsi="宋体"/>
                <w:sz w:val="18"/>
                <w:szCs w:val="18"/>
              </w:rPr>
            </w:pPr>
            <w:r>
              <w:rPr>
                <w:rFonts w:hint="eastAsia" w:ascii="宋体" w:hAnsi="宋体"/>
                <w:sz w:val="18"/>
                <w:szCs w:val="18"/>
              </w:rPr>
              <w:t>社会资本2018年度资产负债率大于50.00%，且小于等于60.00%，得</w:t>
            </w:r>
            <w:r>
              <w:rPr>
                <w:rFonts w:ascii="宋体" w:hAnsi="宋体"/>
                <w:sz w:val="18"/>
                <w:szCs w:val="18"/>
              </w:rPr>
              <w:t>3</w:t>
            </w:r>
            <w:r>
              <w:rPr>
                <w:rFonts w:hint="eastAsia" w:ascii="宋体" w:hAnsi="宋体"/>
                <w:sz w:val="18"/>
                <w:szCs w:val="18"/>
              </w:rPr>
              <w:t>分；</w:t>
            </w:r>
          </w:p>
          <w:p>
            <w:pPr>
              <w:spacing w:line="310" w:lineRule="exact"/>
              <w:rPr>
                <w:rFonts w:ascii="宋体" w:hAnsi="宋体"/>
                <w:sz w:val="18"/>
                <w:szCs w:val="18"/>
              </w:rPr>
            </w:pPr>
            <w:r>
              <w:rPr>
                <w:rFonts w:hint="eastAsia" w:ascii="宋体" w:hAnsi="宋体"/>
                <w:sz w:val="18"/>
                <w:szCs w:val="18"/>
              </w:rPr>
              <w:t>社会资本2018年度资产负债率率大于60.00%，得0分；</w:t>
            </w:r>
          </w:p>
          <w:p>
            <w:pPr>
              <w:spacing w:line="310" w:lineRule="exact"/>
              <w:rPr>
                <w:rFonts w:ascii="宋体" w:hAnsi="宋体"/>
                <w:sz w:val="18"/>
                <w:szCs w:val="18"/>
              </w:rPr>
            </w:pPr>
            <w:r>
              <w:rPr>
                <w:rFonts w:hint="eastAsia" w:ascii="宋体" w:hAnsi="宋体"/>
                <w:sz w:val="18"/>
                <w:szCs w:val="18"/>
              </w:rPr>
              <w:t>计算资产负债率保留两位小数。</w:t>
            </w:r>
          </w:p>
          <w:p>
            <w:pPr>
              <w:spacing w:line="310" w:lineRule="exact"/>
              <w:rPr>
                <w:rFonts w:ascii="宋体" w:hAnsi="宋体"/>
                <w:sz w:val="18"/>
                <w:szCs w:val="18"/>
              </w:rPr>
            </w:pPr>
            <w:r>
              <w:rPr>
                <w:rFonts w:ascii="宋体" w:hAnsi="宋体"/>
                <w:sz w:val="18"/>
                <w:szCs w:val="18"/>
              </w:rPr>
              <w:t>(提供经审计的2018年度财务审计报告复印件加盖公章，原件备查</w:t>
            </w:r>
            <w:r>
              <w:rPr>
                <w:rFonts w:hint="eastAsia" w:ascii="宋体" w:hAnsi="宋体"/>
                <w:sz w:val="18"/>
                <w:szCs w:val="18"/>
              </w:rPr>
              <w:t>，联合体形式投标的，以联合体牵头方</w:t>
            </w:r>
            <w:r>
              <w:rPr>
                <w:rFonts w:ascii="宋体" w:hAnsi="宋体"/>
                <w:sz w:val="18"/>
                <w:szCs w:val="18"/>
              </w:rPr>
              <w:t>2018年度的财务审计报告为准)。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rPr>
            </w:pPr>
          </w:p>
        </w:tc>
        <w:tc>
          <w:tcPr>
            <w:tcW w:w="2150" w:type="dxa"/>
            <w:gridSpan w:val="2"/>
            <w:shd w:val="clear" w:color="auto" w:fill="auto"/>
            <w:vAlign w:val="center"/>
          </w:tcPr>
          <w:p>
            <w:pPr>
              <w:spacing w:line="276" w:lineRule="auto"/>
              <w:jc w:val="left"/>
              <w:rPr>
                <w:rFonts w:ascii="宋体" w:hAnsi="宋体"/>
                <w:sz w:val="18"/>
                <w:szCs w:val="18"/>
              </w:rPr>
            </w:pPr>
            <w:r>
              <w:rPr>
                <w:rFonts w:hint="eastAsia" w:ascii="宋体" w:hAnsi="宋体"/>
                <w:sz w:val="18"/>
                <w:szCs w:val="18"/>
              </w:rPr>
              <w:t>餐厨垃圾设备供货业绩（</w:t>
            </w:r>
            <w:r>
              <w:rPr>
                <w:rFonts w:ascii="宋体" w:hAnsi="宋体"/>
                <w:sz w:val="18"/>
                <w:szCs w:val="18"/>
              </w:rPr>
              <w:t>7</w:t>
            </w:r>
            <w:r>
              <w:rPr>
                <w:rFonts w:hint="eastAsia" w:ascii="宋体" w:hAnsi="宋体"/>
                <w:sz w:val="18"/>
                <w:szCs w:val="18"/>
              </w:rPr>
              <w:t>分）</w:t>
            </w:r>
          </w:p>
        </w:tc>
        <w:tc>
          <w:tcPr>
            <w:tcW w:w="6300" w:type="dxa"/>
            <w:gridSpan w:val="2"/>
            <w:shd w:val="clear" w:color="auto" w:fill="auto"/>
            <w:vAlign w:val="center"/>
          </w:tcPr>
          <w:p>
            <w:pPr>
              <w:spacing w:line="310" w:lineRule="exact"/>
              <w:rPr>
                <w:rFonts w:ascii="宋体" w:hAnsi="宋体"/>
                <w:sz w:val="18"/>
                <w:szCs w:val="18"/>
              </w:rPr>
            </w:pPr>
            <w:r>
              <w:rPr>
                <w:rFonts w:hint="eastAsia" w:ascii="宋体" w:hAnsi="宋体"/>
                <w:sz w:val="18"/>
                <w:szCs w:val="18"/>
              </w:rPr>
              <w:t>社会资本自</w:t>
            </w:r>
            <w:r>
              <w:rPr>
                <w:rFonts w:ascii="宋体" w:hAnsi="宋体"/>
                <w:sz w:val="18"/>
                <w:szCs w:val="18"/>
              </w:rPr>
              <w:t>2017年1月1日以来</w:t>
            </w:r>
            <w:r>
              <w:rPr>
                <w:rFonts w:hint="eastAsia" w:ascii="宋体" w:hAnsi="宋体"/>
                <w:sz w:val="18"/>
                <w:szCs w:val="18"/>
              </w:rPr>
              <w:t>承接过餐饮或厨余垃圾综合处理项目的餐厨垃圾成套设备供货业绩，有一个得</w:t>
            </w:r>
            <w:r>
              <w:rPr>
                <w:rFonts w:ascii="宋体" w:hAnsi="宋体"/>
                <w:sz w:val="18"/>
                <w:szCs w:val="18"/>
              </w:rPr>
              <w:t>3.5</w:t>
            </w:r>
            <w:r>
              <w:rPr>
                <w:rFonts w:hint="eastAsia" w:ascii="宋体" w:hAnsi="宋体"/>
                <w:sz w:val="18"/>
                <w:szCs w:val="18"/>
              </w:rPr>
              <w:t>分，最多得</w:t>
            </w:r>
            <w:r>
              <w:rPr>
                <w:rFonts w:ascii="宋体" w:hAnsi="宋体"/>
                <w:sz w:val="18"/>
                <w:szCs w:val="18"/>
              </w:rPr>
              <w:t>7</w:t>
            </w:r>
            <w:r>
              <w:rPr>
                <w:rFonts w:hint="eastAsia" w:ascii="宋体" w:hAnsi="宋体"/>
                <w:sz w:val="18"/>
                <w:szCs w:val="18"/>
              </w:rPr>
              <w:t>分。（提供上述业绩的合同复印件加盖公章，原件备查；联合体形式投标的，以本项目联合体中负责设备供货安装的一方业绩为准，且该方在所提供的业绩中实质承担了餐厨垃圾成套设备供货任务；时间以业绩合同签订时间为准</w:t>
            </w:r>
            <w:r>
              <w:rPr>
                <w:rFonts w:ascii="宋体" w:hAnsi="宋体"/>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rPr>
            </w:pPr>
          </w:p>
        </w:tc>
        <w:tc>
          <w:tcPr>
            <w:tcW w:w="2150" w:type="dxa"/>
            <w:gridSpan w:val="2"/>
            <w:shd w:val="clear" w:color="auto" w:fill="auto"/>
            <w:vAlign w:val="center"/>
          </w:tcPr>
          <w:p>
            <w:pPr>
              <w:spacing w:line="276" w:lineRule="auto"/>
              <w:jc w:val="left"/>
              <w:rPr>
                <w:rFonts w:ascii="宋体" w:hAnsi="宋体"/>
                <w:sz w:val="18"/>
                <w:szCs w:val="18"/>
              </w:rPr>
            </w:pPr>
            <w:r>
              <w:rPr>
                <w:rFonts w:hint="eastAsia" w:ascii="宋体" w:hAnsi="宋体"/>
                <w:sz w:val="18"/>
                <w:szCs w:val="18"/>
              </w:rPr>
              <w:t>餐厨垃圾处置业绩（</w:t>
            </w:r>
            <w:r>
              <w:rPr>
                <w:rFonts w:ascii="宋体" w:hAnsi="宋体"/>
                <w:sz w:val="18"/>
                <w:szCs w:val="18"/>
              </w:rPr>
              <w:t>7</w:t>
            </w:r>
            <w:r>
              <w:rPr>
                <w:rFonts w:hint="eastAsia" w:ascii="宋体" w:hAnsi="宋体"/>
                <w:sz w:val="18"/>
                <w:szCs w:val="18"/>
              </w:rPr>
              <w:t>分）</w:t>
            </w:r>
          </w:p>
        </w:tc>
        <w:tc>
          <w:tcPr>
            <w:tcW w:w="6300" w:type="dxa"/>
            <w:gridSpan w:val="2"/>
            <w:shd w:val="clear" w:color="auto" w:fill="auto"/>
            <w:vAlign w:val="center"/>
          </w:tcPr>
          <w:p>
            <w:pPr>
              <w:spacing w:line="276" w:lineRule="auto"/>
              <w:rPr>
                <w:rFonts w:ascii="宋体" w:hAnsi="宋体"/>
              </w:rPr>
            </w:pPr>
            <w:r>
              <w:rPr>
                <w:rFonts w:hint="eastAsia" w:ascii="宋体" w:hAnsi="宋体"/>
                <w:sz w:val="18"/>
                <w:szCs w:val="18"/>
              </w:rPr>
              <w:t>社会资本自</w:t>
            </w:r>
            <w:r>
              <w:rPr>
                <w:rFonts w:ascii="宋体" w:hAnsi="宋体"/>
                <w:sz w:val="18"/>
                <w:szCs w:val="18"/>
              </w:rPr>
              <w:t>2017年1月1日</w:t>
            </w:r>
            <w:r>
              <w:rPr>
                <w:rFonts w:hint="eastAsia" w:ascii="宋体" w:hAnsi="宋体"/>
                <w:sz w:val="18"/>
                <w:szCs w:val="18"/>
              </w:rPr>
              <w:t>以来承接过餐厨垃圾处置项目业绩的得</w:t>
            </w:r>
            <w:r>
              <w:rPr>
                <w:rFonts w:ascii="宋体" w:hAnsi="宋体"/>
                <w:sz w:val="18"/>
                <w:szCs w:val="18"/>
              </w:rPr>
              <w:t>7</w:t>
            </w:r>
            <w:r>
              <w:rPr>
                <w:rFonts w:hint="eastAsia" w:ascii="宋体" w:hAnsi="宋体"/>
                <w:sz w:val="18"/>
                <w:szCs w:val="18"/>
              </w:rPr>
              <w:t>分。</w:t>
            </w:r>
            <w:r>
              <w:rPr>
                <w:rFonts w:ascii="宋体" w:hAnsi="宋体"/>
                <w:sz w:val="18"/>
                <w:szCs w:val="18"/>
              </w:rPr>
              <w:t>(提供合同或协议复印件装订在投标文件内加盖公章，原件备查</w:t>
            </w:r>
            <w:r>
              <w:rPr>
                <w:rFonts w:hint="eastAsia" w:ascii="宋体" w:hAnsi="宋体"/>
                <w:sz w:val="18"/>
                <w:szCs w:val="18"/>
              </w:rPr>
              <w:t>；联合体形式投标的，以本项目联合体中负责运营的一方业绩为准；时间以业绩合同签订时间为准</w:t>
            </w:r>
            <w:r>
              <w:rPr>
                <w:rFonts w:ascii="宋体" w:hAnsi="宋体"/>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rPr>
            </w:pPr>
          </w:p>
        </w:tc>
        <w:tc>
          <w:tcPr>
            <w:tcW w:w="2150" w:type="dxa"/>
            <w:gridSpan w:val="2"/>
            <w:shd w:val="clear" w:color="auto" w:fill="auto"/>
            <w:vAlign w:val="center"/>
          </w:tcPr>
          <w:p>
            <w:pPr>
              <w:spacing w:line="276" w:lineRule="auto"/>
              <w:jc w:val="left"/>
              <w:rPr>
                <w:rFonts w:ascii="宋体" w:hAnsi="宋体"/>
                <w:sz w:val="18"/>
                <w:szCs w:val="18"/>
              </w:rPr>
            </w:pPr>
            <w:r>
              <w:rPr>
                <w:rFonts w:hint="eastAsia" w:ascii="宋体" w:hAnsi="宋体"/>
                <w:sz w:val="18"/>
                <w:szCs w:val="18"/>
              </w:rPr>
              <w:t>餐厨垃圾收运业绩（</w:t>
            </w:r>
            <w:r>
              <w:rPr>
                <w:rFonts w:ascii="宋体" w:hAnsi="宋体"/>
                <w:sz w:val="18"/>
                <w:szCs w:val="18"/>
              </w:rPr>
              <w:t>7</w:t>
            </w:r>
            <w:r>
              <w:rPr>
                <w:rFonts w:hint="eastAsia" w:ascii="宋体" w:hAnsi="宋体"/>
                <w:sz w:val="18"/>
                <w:szCs w:val="18"/>
              </w:rPr>
              <w:t>分）</w:t>
            </w:r>
          </w:p>
        </w:tc>
        <w:tc>
          <w:tcPr>
            <w:tcW w:w="6300" w:type="dxa"/>
            <w:gridSpan w:val="2"/>
            <w:shd w:val="clear" w:color="auto" w:fill="auto"/>
            <w:vAlign w:val="center"/>
          </w:tcPr>
          <w:p>
            <w:pPr>
              <w:spacing w:line="276" w:lineRule="auto"/>
              <w:jc w:val="left"/>
              <w:rPr>
                <w:rFonts w:ascii="宋体" w:hAnsi="宋体"/>
                <w:sz w:val="18"/>
                <w:szCs w:val="18"/>
              </w:rPr>
            </w:pPr>
            <w:r>
              <w:rPr>
                <w:rFonts w:hint="eastAsia" w:ascii="宋体" w:hAnsi="宋体"/>
                <w:sz w:val="18"/>
                <w:szCs w:val="18"/>
              </w:rPr>
              <w:t>社会资本自</w:t>
            </w:r>
            <w:r>
              <w:rPr>
                <w:rFonts w:ascii="宋体" w:hAnsi="宋体"/>
                <w:sz w:val="18"/>
                <w:szCs w:val="18"/>
              </w:rPr>
              <w:t>2017年1月1日以来承接过餐厨垃圾</w:t>
            </w:r>
            <w:r>
              <w:rPr>
                <w:rFonts w:hint="eastAsia" w:ascii="宋体" w:hAnsi="宋体"/>
                <w:sz w:val="18"/>
                <w:szCs w:val="18"/>
              </w:rPr>
              <w:t>收运服务业绩，收运服务业绩中服务对象达到</w:t>
            </w:r>
            <w:r>
              <w:rPr>
                <w:rFonts w:ascii="宋体" w:hAnsi="宋体"/>
                <w:sz w:val="18"/>
                <w:szCs w:val="18"/>
              </w:rPr>
              <w:t>50个</w:t>
            </w:r>
            <w:r>
              <w:rPr>
                <w:rFonts w:hint="eastAsia" w:ascii="宋体" w:hAnsi="宋体"/>
                <w:sz w:val="18"/>
                <w:szCs w:val="18"/>
              </w:rPr>
              <w:t>的得</w:t>
            </w:r>
            <w:r>
              <w:rPr>
                <w:rFonts w:ascii="宋体" w:hAnsi="宋体"/>
                <w:sz w:val="18"/>
                <w:szCs w:val="18"/>
              </w:rPr>
              <w:t>2</w:t>
            </w:r>
            <w:r>
              <w:rPr>
                <w:rFonts w:hint="eastAsia" w:ascii="宋体" w:hAnsi="宋体"/>
                <w:sz w:val="18"/>
                <w:szCs w:val="18"/>
              </w:rPr>
              <w:t>分，在此基础上每增加</w:t>
            </w:r>
            <w:r>
              <w:rPr>
                <w:rFonts w:ascii="宋体" w:hAnsi="宋体"/>
                <w:sz w:val="18"/>
                <w:szCs w:val="18"/>
              </w:rPr>
              <w:t>10</w:t>
            </w:r>
            <w:r>
              <w:rPr>
                <w:rFonts w:hint="eastAsia" w:ascii="宋体" w:hAnsi="宋体"/>
                <w:sz w:val="18"/>
                <w:szCs w:val="18"/>
              </w:rPr>
              <w:t>个服务对象再得</w:t>
            </w:r>
            <w:r>
              <w:rPr>
                <w:rFonts w:ascii="宋体" w:hAnsi="宋体"/>
                <w:sz w:val="18"/>
                <w:szCs w:val="18"/>
              </w:rPr>
              <w:t>1分，</w:t>
            </w:r>
            <w:r>
              <w:rPr>
                <w:rFonts w:hint="eastAsia" w:ascii="宋体" w:hAnsi="宋体"/>
                <w:sz w:val="18"/>
                <w:szCs w:val="18"/>
              </w:rPr>
              <w:t>本项最多得</w:t>
            </w:r>
            <w:r>
              <w:rPr>
                <w:rFonts w:ascii="宋体" w:hAnsi="宋体"/>
                <w:sz w:val="18"/>
                <w:szCs w:val="18"/>
              </w:rPr>
              <w:t>6分 (</w:t>
            </w:r>
            <w:r>
              <w:rPr>
                <w:rFonts w:hint="eastAsia" w:ascii="宋体" w:hAnsi="宋体"/>
                <w:sz w:val="18"/>
                <w:szCs w:val="18"/>
              </w:rPr>
              <w:t>提供餐厨垃圾收运、清运服务合同或协议复印件装订在投标文件内加盖公章，原件备查；服务对象数量以合同或协议中载明的为准；联合体形式投标的，以本项目联合体中负责运营的一方业绩为准；时间以业绩合同签订时间为准</w:t>
            </w:r>
            <w:r>
              <w:rPr>
                <w:rFonts w:ascii="宋体" w:hAnsi="宋体"/>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restart"/>
            <w:shd w:val="clear" w:color="auto" w:fill="auto"/>
            <w:vAlign w:val="center"/>
          </w:tcPr>
          <w:p>
            <w:pPr>
              <w:spacing w:line="276" w:lineRule="auto"/>
              <w:jc w:val="center"/>
              <w:rPr>
                <w:rFonts w:ascii="宋体" w:hAnsi="宋体"/>
                <w:b/>
                <w:sz w:val="18"/>
                <w:szCs w:val="18"/>
              </w:rPr>
            </w:pPr>
            <w:r>
              <w:rPr>
                <w:rFonts w:hint="eastAsia" w:ascii="宋体" w:hAnsi="宋体"/>
                <w:b/>
                <w:sz w:val="18"/>
                <w:szCs w:val="18"/>
              </w:rPr>
              <w:t>技术方案（45分）</w:t>
            </w:r>
          </w:p>
        </w:tc>
        <w:tc>
          <w:tcPr>
            <w:tcW w:w="863" w:type="dxa"/>
            <w:vMerge w:val="restart"/>
            <w:shd w:val="clear" w:color="auto" w:fill="auto"/>
            <w:vAlign w:val="center"/>
          </w:tcPr>
          <w:p>
            <w:pPr>
              <w:spacing w:line="276" w:lineRule="auto"/>
              <w:jc w:val="left"/>
              <w:rPr>
                <w:rFonts w:ascii="宋体" w:hAnsi="宋体"/>
                <w:sz w:val="18"/>
                <w:szCs w:val="18"/>
              </w:rPr>
            </w:pPr>
            <w:r>
              <w:rPr>
                <w:rFonts w:hint="eastAsia" w:ascii="宋体" w:hAnsi="宋体"/>
                <w:sz w:val="18"/>
                <w:szCs w:val="18"/>
              </w:rPr>
              <w:t>项目公司组建</w:t>
            </w:r>
          </w:p>
          <w:p>
            <w:pPr>
              <w:spacing w:line="276" w:lineRule="auto"/>
              <w:jc w:val="left"/>
              <w:rPr>
                <w:rFonts w:ascii="宋体" w:hAnsi="宋体"/>
                <w:sz w:val="18"/>
                <w:szCs w:val="18"/>
              </w:rPr>
            </w:pPr>
            <w:r>
              <w:rPr>
                <w:rFonts w:hint="eastAsia" w:ascii="宋体" w:hAnsi="宋体"/>
                <w:sz w:val="18"/>
                <w:szCs w:val="18"/>
              </w:rPr>
              <w:t>（3分）</w:t>
            </w:r>
          </w:p>
        </w:tc>
        <w:tc>
          <w:tcPr>
            <w:tcW w:w="1287" w:type="dxa"/>
            <w:shd w:val="clear" w:color="auto" w:fill="auto"/>
            <w:vAlign w:val="center"/>
          </w:tcPr>
          <w:p>
            <w:pPr>
              <w:spacing w:line="276" w:lineRule="auto"/>
              <w:jc w:val="left"/>
              <w:rPr>
                <w:rFonts w:ascii="宋体" w:hAnsi="宋体"/>
                <w:sz w:val="18"/>
                <w:szCs w:val="18"/>
              </w:rPr>
            </w:pPr>
            <w:r>
              <w:rPr>
                <w:rFonts w:hint="eastAsia" w:ascii="宋体" w:hAnsi="宋体"/>
                <w:sz w:val="18"/>
                <w:szCs w:val="18"/>
              </w:rPr>
              <w:t>进度计划</w:t>
            </w:r>
          </w:p>
          <w:p>
            <w:pPr>
              <w:spacing w:line="276" w:lineRule="auto"/>
              <w:jc w:val="left"/>
              <w:rPr>
                <w:rFonts w:ascii="宋体" w:hAnsi="宋体"/>
                <w:sz w:val="18"/>
                <w:szCs w:val="18"/>
              </w:rPr>
            </w:pPr>
            <w:r>
              <w:rPr>
                <w:rFonts w:hint="eastAsia" w:ascii="宋体" w:hAnsi="宋体"/>
                <w:sz w:val="18"/>
                <w:szCs w:val="18"/>
              </w:rPr>
              <w:t>（1分）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对项目公司组建的进度、股东的出资方式、出资额和出资时间进度等进行评审。全部满足招标文件要求、方案合理的得1分，部分满足招标文件要求，比较合理的得0.8分，不符合招标文件要求、不合理的得0分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vAlign w:val="center"/>
          </w:tcPr>
          <w:p>
            <w:pPr>
              <w:spacing w:line="276" w:lineRule="auto"/>
              <w:jc w:val="left"/>
              <w:rPr>
                <w:rFonts w:ascii="宋体" w:hAnsi="宋体"/>
                <w:sz w:val="18"/>
                <w:szCs w:val="18"/>
              </w:rPr>
            </w:pPr>
            <w:r>
              <w:rPr>
                <w:rFonts w:hint="eastAsia" w:ascii="宋体" w:hAnsi="宋体"/>
                <w:sz w:val="18"/>
                <w:szCs w:val="18"/>
              </w:rPr>
              <w:t>机构设置</w:t>
            </w:r>
          </w:p>
          <w:p>
            <w:pPr>
              <w:spacing w:line="276" w:lineRule="auto"/>
              <w:jc w:val="left"/>
              <w:rPr>
                <w:rFonts w:ascii="宋体" w:hAnsi="宋体"/>
                <w:sz w:val="18"/>
                <w:szCs w:val="18"/>
              </w:rPr>
            </w:pPr>
            <w:r>
              <w:rPr>
                <w:rFonts w:hint="eastAsia" w:ascii="宋体" w:hAnsi="宋体"/>
                <w:sz w:val="18"/>
                <w:szCs w:val="18"/>
              </w:rPr>
              <w:t>（1分）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项目公司的组织结构设计、管理层级、岗位职责、人员组成、人员培训等描述进行综合考虑评分。全部满足招标文件要求、方案合理的得1分，部分满足招标文件要求，比较合理的得0.8分，不符合招标文件要求、不合理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vAlign w:val="center"/>
          </w:tcPr>
          <w:p>
            <w:pPr>
              <w:spacing w:line="276" w:lineRule="auto"/>
              <w:jc w:val="left"/>
              <w:rPr>
                <w:rFonts w:ascii="宋体" w:hAnsi="宋体"/>
                <w:sz w:val="18"/>
                <w:szCs w:val="18"/>
              </w:rPr>
            </w:pPr>
            <w:r>
              <w:rPr>
                <w:rFonts w:hint="eastAsia" w:ascii="宋体" w:hAnsi="宋体"/>
                <w:sz w:val="18"/>
                <w:szCs w:val="18"/>
              </w:rPr>
              <w:t>部门设置</w:t>
            </w:r>
          </w:p>
          <w:p>
            <w:pPr>
              <w:spacing w:line="276" w:lineRule="auto"/>
              <w:jc w:val="left"/>
              <w:rPr>
                <w:rFonts w:ascii="宋体" w:hAnsi="宋体"/>
                <w:sz w:val="18"/>
                <w:szCs w:val="18"/>
              </w:rPr>
            </w:pPr>
            <w:r>
              <w:rPr>
                <w:rFonts w:hint="eastAsia" w:ascii="宋体" w:hAnsi="宋体"/>
                <w:sz w:val="18"/>
                <w:szCs w:val="18"/>
              </w:rPr>
              <w:t>（</w:t>
            </w:r>
            <w:r>
              <w:rPr>
                <w:rFonts w:ascii="宋体" w:hAnsi="宋体"/>
                <w:sz w:val="18"/>
                <w:szCs w:val="18"/>
              </w:rPr>
              <w:t>1</w:t>
            </w:r>
            <w:r>
              <w:rPr>
                <w:rFonts w:hint="eastAsia" w:ascii="宋体" w:hAnsi="宋体"/>
                <w:sz w:val="18"/>
                <w:szCs w:val="18"/>
              </w:rPr>
              <w:t>分）</w:t>
            </w:r>
          </w:p>
        </w:tc>
        <w:tc>
          <w:tcPr>
            <w:tcW w:w="6300" w:type="dxa"/>
            <w:gridSpan w:val="2"/>
            <w:shd w:val="clear" w:color="auto" w:fill="auto"/>
          </w:tcPr>
          <w:p>
            <w:pPr>
              <w:spacing w:line="276" w:lineRule="auto"/>
              <w:rPr>
                <w:rFonts w:ascii="宋体" w:hAnsi="宋体"/>
                <w:sz w:val="18"/>
                <w:szCs w:val="18"/>
              </w:rPr>
            </w:pPr>
            <w:r>
              <w:rPr>
                <w:rFonts w:hint="eastAsia"/>
                <w:sz w:val="18"/>
                <w:szCs w:val="18"/>
              </w:rPr>
              <w:t>根据项目公司人员的资历、经验、技术能力进行综合评价.根据项目组人员配置情况（包括人员的资历、经验、技术能力）及高级职称占比综合打分。提供人员社保证明文件装订在投标文件内。方案全面、科学合理的得1分，方案较好得0.5分，一般得0.2分，无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restart"/>
            <w:shd w:val="clear" w:color="auto" w:fill="auto"/>
            <w:vAlign w:val="center"/>
          </w:tcPr>
          <w:p>
            <w:pPr>
              <w:spacing w:line="276" w:lineRule="auto"/>
              <w:rPr>
                <w:rFonts w:ascii="宋体" w:hAnsi="宋体"/>
                <w:sz w:val="18"/>
                <w:szCs w:val="18"/>
              </w:rPr>
            </w:pPr>
            <w:r>
              <w:rPr>
                <w:rFonts w:hint="eastAsia" w:ascii="宋体" w:hAnsi="宋体"/>
                <w:sz w:val="18"/>
                <w:szCs w:val="18"/>
              </w:rPr>
              <w:t>设计方案（12分）</w:t>
            </w:r>
          </w:p>
        </w:tc>
        <w:tc>
          <w:tcPr>
            <w:tcW w:w="1287" w:type="dxa"/>
            <w:shd w:val="clear" w:color="auto" w:fill="auto"/>
          </w:tcPr>
          <w:p>
            <w:pPr>
              <w:spacing w:line="276" w:lineRule="auto"/>
              <w:jc w:val="left"/>
              <w:rPr>
                <w:rFonts w:ascii="宋体" w:hAnsi="宋体"/>
                <w:sz w:val="18"/>
                <w:szCs w:val="18"/>
              </w:rPr>
            </w:pPr>
            <w:r>
              <w:rPr>
                <w:rFonts w:hint="eastAsia"/>
                <w:sz w:val="18"/>
                <w:szCs w:val="18"/>
              </w:rPr>
              <w:t>设计方案完整性（2分）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设计方案编制的齐全性和响应性：根据设计方案编制的齐全性和响应性进行打分。方案内容全面、完整得2分；内容较全面、较完整的得1分；内容缺失、不合理得0分。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rPr>
                <w:rFonts w:ascii="宋体" w:hAnsi="宋体"/>
                <w:sz w:val="18"/>
                <w:szCs w:val="18"/>
              </w:rPr>
            </w:pPr>
            <w:r>
              <w:rPr>
                <w:rFonts w:hint="eastAsia"/>
                <w:sz w:val="18"/>
                <w:szCs w:val="18"/>
              </w:rPr>
              <w:t>预处理方案（2分）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对预处理系统技术参数，工艺方案、预处理分类效果等方面进行综合评分，全部满足招标文件要求、方案合理得2分；部分满足招标文件要求，比较合理得1分；偏离较大、方案不合理得0分。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rPr>
                <w:rFonts w:ascii="宋体" w:hAnsi="宋体"/>
                <w:sz w:val="18"/>
                <w:szCs w:val="18"/>
              </w:rPr>
            </w:pPr>
            <w:r>
              <w:rPr>
                <w:rFonts w:hint="eastAsia"/>
                <w:sz w:val="18"/>
                <w:szCs w:val="18"/>
              </w:rPr>
              <w:t>发酵系统（2分）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厌氧发酵系统技术参数、工艺系统供货成套性及系统设计、部件和材料的先进性、成熟可靠性及合理性进行优劣评价。全部满足招标文件要求、方案合理得2分；部分满足招标文件要求，比较合理得1分；偏离较大、方案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rPr>
                <w:rFonts w:ascii="宋体" w:hAnsi="宋体"/>
                <w:sz w:val="18"/>
                <w:szCs w:val="18"/>
              </w:rPr>
            </w:pPr>
            <w:r>
              <w:rPr>
                <w:rFonts w:hint="eastAsia"/>
                <w:sz w:val="18"/>
                <w:szCs w:val="18"/>
              </w:rPr>
              <w:t>沼气净化与利用（2分）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沼气净化与利用系统技术参数、工艺系统供货成套性及系统设计、部件和材料的先进性、成熟可靠性及合理性进行优劣评价。全部满足招标文件要求、方案合理得2分；部分满足招标文件要求，比较合理得1分；偏离较大、方案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rPr>
                <w:rFonts w:ascii="宋体" w:hAnsi="宋体"/>
                <w:sz w:val="18"/>
                <w:szCs w:val="18"/>
              </w:rPr>
            </w:pPr>
            <w:r>
              <w:rPr>
                <w:rFonts w:hint="eastAsia"/>
                <w:sz w:val="18"/>
                <w:szCs w:val="18"/>
              </w:rPr>
              <w:t>除臭系统（2分）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除臭系统技术参数、工艺系统供货成套性及系统设计、部件和材料的先进性、成熟可靠性及合理性进行优劣评价。全部满足招标文件要求、方案合理得2分；部分满足招标文件要求，比较合理得1分；偏离较大、方案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rPr>
                <w:rFonts w:ascii="宋体" w:hAnsi="宋体"/>
                <w:sz w:val="18"/>
                <w:szCs w:val="18"/>
              </w:rPr>
            </w:pPr>
            <w:r>
              <w:rPr>
                <w:rFonts w:hint="eastAsia"/>
                <w:sz w:val="18"/>
                <w:szCs w:val="18"/>
              </w:rPr>
              <w:t>污水处理系统（2分）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污水处理系统技术参数、工艺系统供货成套性及系统设计、部件和材料的先进性、成熟可靠性及合理性进行优劣评价。全部满足招标文件要求、方案合理得2分；部分满足招标文件要求，比较合理得1分；偏离较大、方案不合理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restart"/>
            <w:shd w:val="clear" w:color="auto" w:fill="auto"/>
            <w:vAlign w:val="center"/>
          </w:tcPr>
          <w:p>
            <w:pPr>
              <w:spacing w:line="276" w:lineRule="auto"/>
              <w:rPr>
                <w:rFonts w:ascii="宋体" w:hAnsi="宋体"/>
                <w:sz w:val="18"/>
                <w:szCs w:val="18"/>
              </w:rPr>
            </w:pPr>
            <w:r>
              <w:rPr>
                <w:rFonts w:hint="eastAsia" w:ascii="宋体" w:hAnsi="宋体"/>
                <w:sz w:val="18"/>
                <w:szCs w:val="18"/>
              </w:rPr>
              <w:t>建设方案（</w:t>
            </w:r>
            <w:r>
              <w:rPr>
                <w:rFonts w:ascii="宋体" w:hAnsi="宋体"/>
                <w:sz w:val="18"/>
                <w:szCs w:val="18"/>
              </w:rPr>
              <w:t>1</w:t>
            </w:r>
            <w:r>
              <w:rPr>
                <w:rFonts w:hint="eastAsia" w:ascii="宋体" w:hAnsi="宋体"/>
                <w:sz w:val="18"/>
                <w:szCs w:val="18"/>
              </w:rPr>
              <w:t>0分）</w:t>
            </w:r>
          </w:p>
        </w:tc>
        <w:tc>
          <w:tcPr>
            <w:tcW w:w="1287" w:type="dxa"/>
            <w:shd w:val="clear" w:color="auto" w:fill="auto"/>
          </w:tcPr>
          <w:p>
            <w:pPr>
              <w:spacing w:line="276" w:lineRule="auto"/>
              <w:rPr>
                <w:rFonts w:ascii="宋体" w:hAnsi="宋体"/>
                <w:sz w:val="18"/>
                <w:szCs w:val="18"/>
              </w:rPr>
            </w:pPr>
            <w:r>
              <w:rPr>
                <w:rFonts w:hint="eastAsia"/>
                <w:sz w:val="18"/>
                <w:szCs w:val="18"/>
              </w:rPr>
              <w:t>施工组织方案（2分）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施工组织设计方案分解、规划合理，质量、安全控制措施具体、有力，工序衔接合理，安全保障、验收体系健全。方案全面、科学、合理的得2分，方案较全面、较科学、较合理的得1分，方案一般得0.5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jc w:val="left"/>
              <w:rPr>
                <w:rFonts w:ascii="宋体" w:hAnsi="宋体"/>
                <w:sz w:val="18"/>
                <w:szCs w:val="18"/>
              </w:rPr>
            </w:pPr>
            <w:r>
              <w:rPr>
                <w:rFonts w:hint="eastAsia"/>
                <w:sz w:val="18"/>
                <w:szCs w:val="18"/>
              </w:rPr>
              <w:t>进度管理（2分）</w:t>
            </w:r>
          </w:p>
        </w:tc>
        <w:tc>
          <w:tcPr>
            <w:tcW w:w="6300" w:type="dxa"/>
            <w:gridSpan w:val="2"/>
            <w:shd w:val="clear" w:color="auto" w:fill="auto"/>
          </w:tcPr>
          <w:p>
            <w:pPr>
              <w:spacing w:line="276" w:lineRule="auto"/>
              <w:rPr>
                <w:rFonts w:ascii="宋体" w:hAnsi="宋体"/>
                <w:sz w:val="18"/>
                <w:szCs w:val="18"/>
              </w:rPr>
            </w:pPr>
            <w:r>
              <w:rPr>
                <w:rFonts w:hint="eastAsia"/>
                <w:sz w:val="18"/>
                <w:szCs w:val="18"/>
              </w:rPr>
              <w:t>对项目各阶段的进度计划和管理进行评审，包括但不限于勘察、设计、施工、设备材料供货等阶段。方案全面、科学、合理的得2分，方案较全面、较科学、较合理的得1分，方案一般得0.5分，未提供方案的得0分。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jc w:val="left"/>
              <w:rPr>
                <w:rFonts w:ascii="宋体" w:hAnsi="宋体"/>
                <w:sz w:val="18"/>
                <w:szCs w:val="18"/>
              </w:rPr>
            </w:pPr>
            <w:r>
              <w:rPr>
                <w:rFonts w:hint="eastAsia"/>
                <w:sz w:val="18"/>
                <w:szCs w:val="18"/>
              </w:rPr>
              <w:t>自控集成能力（</w:t>
            </w:r>
            <w:r>
              <w:rPr>
                <w:sz w:val="18"/>
                <w:szCs w:val="18"/>
              </w:rPr>
              <w:t>3</w:t>
            </w:r>
            <w:r>
              <w:rPr>
                <w:rFonts w:hint="eastAsia"/>
                <w:sz w:val="18"/>
                <w:szCs w:val="18"/>
              </w:rPr>
              <w:t>分）</w:t>
            </w:r>
          </w:p>
        </w:tc>
        <w:tc>
          <w:tcPr>
            <w:tcW w:w="6300" w:type="dxa"/>
            <w:gridSpan w:val="2"/>
            <w:shd w:val="clear" w:color="auto" w:fill="auto"/>
          </w:tcPr>
          <w:p>
            <w:pPr>
              <w:spacing w:line="276" w:lineRule="auto"/>
              <w:rPr>
                <w:rFonts w:ascii="宋体" w:hAnsi="宋体"/>
                <w:sz w:val="18"/>
                <w:szCs w:val="18"/>
              </w:rPr>
            </w:pPr>
            <w:r>
              <w:rPr>
                <w:rFonts w:hint="eastAsia"/>
                <w:sz w:val="18"/>
                <w:szCs w:val="18"/>
              </w:rPr>
              <w:t>编制自动化控制系统、监控系统、安全技术防范系统及智能化系统相对应的实施方案，方案全面、科学、合理的得</w:t>
            </w:r>
            <w:r>
              <w:rPr>
                <w:sz w:val="18"/>
                <w:szCs w:val="18"/>
              </w:rPr>
              <w:t>3</w:t>
            </w:r>
            <w:r>
              <w:rPr>
                <w:rFonts w:hint="eastAsia"/>
                <w:sz w:val="18"/>
                <w:szCs w:val="18"/>
              </w:rPr>
              <w:t>分，方案较全面、较科学、较合理的得</w:t>
            </w:r>
            <w:r>
              <w:rPr>
                <w:sz w:val="18"/>
                <w:szCs w:val="18"/>
              </w:rPr>
              <w:t>2</w:t>
            </w:r>
            <w:r>
              <w:rPr>
                <w:rFonts w:hint="eastAsia"/>
                <w:sz w:val="18"/>
                <w:szCs w:val="18"/>
              </w:rPr>
              <w:t>分，方案一般得</w:t>
            </w:r>
            <w:r>
              <w:rPr>
                <w:sz w:val="18"/>
                <w:szCs w:val="18"/>
              </w:rPr>
              <w:t>1</w:t>
            </w:r>
            <w:r>
              <w:rPr>
                <w:rFonts w:hint="eastAsia"/>
                <w:sz w:val="18"/>
                <w:szCs w:val="18"/>
              </w:rPr>
              <w:t>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spacing w:line="276" w:lineRule="auto"/>
              <w:jc w:val="left"/>
              <w:rPr>
                <w:rFonts w:ascii="宋体" w:hAnsi="宋体"/>
                <w:sz w:val="18"/>
                <w:szCs w:val="18"/>
              </w:rPr>
            </w:pPr>
            <w:r>
              <w:rPr>
                <w:rFonts w:hint="eastAsia"/>
                <w:sz w:val="18"/>
                <w:szCs w:val="18"/>
              </w:rPr>
              <w:t>环保控制措施（</w:t>
            </w:r>
            <w:r>
              <w:rPr>
                <w:sz w:val="18"/>
                <w:szCs w:val="18"/>
              </w:rPr>
              <w:t>3</w:t>
            </w:r>
            <w:r>
              <w:rPr>
                <w:rFonts w:hint="eastAsia"/>
                <w:sz w:val="18"/>
                <w:szCs w:val="18"/>
              </w:rPr>
              <w:t>分）</w:t>
            </w:r>
          </w:p>
        </w:tc>
        <w:tc>
          <w:tcPr>
            <w:tcW w:w="6300" w:type="dxa"/>
            <w:gridSpan w:val="2"/>
            <w:shd w:val="clear" w:color="auto" w:fill="auto"/>
          </w:tcPr>
          <w:p>
            <w:pPr>
              <w:spacing w:line="276" w:lineRule="auto"/>
              <w:rPr>
                <w:rFonts w:ascii="宋体" w:hAnsi="宋体"/>
                <w:sz w:val="18"/>
                <w:szCs w:val="18"/>
              </w:rPr>
            </w:pPr>
            <w:r>
              <w:rPr>
                <w:rFonts w:hint="eastAsia"/>
                <w:sz w:val="18"/>
                <w:szCs w:val="18"/>
              </w:rPr>
              <w:t>针对有投标范围内粉尘污染防治、噪声污染防治、水污染防治、固体废弃物处置制定相对应的控制方案，方案全面、科学、合理的得</w:t>
            </w:r>
            <w:r>
              <w:rPr>
                <w:sz w:val="18"/>
                <w:szCs w:val="18"/>
              </w:rPr>
              <w:t>3</w:t>
            </w:r>
            <w:r>
              <w:rPr>
                <w:rFonts w:hint="eastAsia"/>
                <w:sz w:val="18"/>
                <w:szCs w:val="18"/>
              </w:rPr>
              <w:t>分，方案较全面、较科学、较合理的得</w:t>
            </w:r>
            <w:r>
              <w:rPr>
                <w:sz w:val="18"/>
                <w:szCs w:val="18"/>
              </w:rPr>
              <w:t>2</w:t>
            </w:r>
            <w:r>
              <w:rPr>
                <w:rFonts w:hint="eastAsia"/>
                <w:sz w:val="18"/>
                <w:szCs w:val="18"/>
              </w:rPr>
              <w:t>分，方案一般得</w:t>
            </w:r>
            <w:r>
              <w:rPr>
                <w:sz w:val="18"/>
                <w:szCs w:val="18"/>
              </w:rPr>
              <w:t>1</w:t>
            </w:r>
            <w:r>
              <w:rPr>
                <w:rFonts w:hint="eastAsia"/>
                <w:sz w:val="18"/>
                <w:szCs w:val="18"/>
              </w:rPr>
              <w:t>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restart"/>
            <w:shd w:val="clear" w:color="auto" w:fill="auto"/>
            <w:vAlign w:val="center"/>
          </w:tcPr>
          <w:p>
            <w:pPr>
              <w:spacing w:line="276" w:lineRule="auto"/>
              <w:rPr>
                <w:rFonts w:ascii="宋体" w:hAnsi="宋体"/>
                <w:sz w:val="18"/>
                <w:szCs w:val="18"/>
              </w:rPr>
            </w:pPr>
            <w:r>
              <w:rPr>
                <w:rFonts w:hint="eastAsia" w:ascii="宋体" w:hAnsi="宋体"/>
                <w:sz w:val="18"/>
                <w:szCs w:val="18"/>
              </w:rPr>
              <w:t>运营方案（18分）</w:t>
            </w:r>
          </w:p>
        </w:tc>
        <w:tc>
          <w:tcPr>
            <w:tcW w:w="1287" w:type="dxa"/>
            <w:shd w:val="clear" w:color="auto" w:fill="auto"/>
          </w:tcPr>
          <w:p>
            <w:pPr>
              <w:adjustRightInd w:val="0"/>
              <w:snapToGrid w:val="0"/>
              <w:spacing w:line="276" w:lineRule="auto"/>
              <w:rPr>
                <w:rFonts w:ascii="宋体" w:hAnsi="宋体"/>
                <w:sz w:val="18"/>
                <w:szCs w:val="18"/>
              </w:rPr>
            </w:pPr>
            <w:r>
              <w:rPr>
                <w:rFonts w:hint="eastAsia"/>
                <w:sz w:val="18"/>
                <w:szCs w:val="18"/>
              </w:rPr>
              <w:t>运营管理组织机构（1分）</w:t>
            </w:r>
          </w:p>
        </w:tc>
        <w:tc>
          <w:tcPr>
            <w:tcW w:w="6300" w:type="dxa"/>
            <w:gridSpan w:val="2"/>
            <w:shd w:val="clear" w:color="auto" w:fill="auto"/>
          </w:tcPr>
          <w:p>
            <w:pPr>
              <w:adjustRightInd w:val="0"/>
              <w:snapToGrid w:val="0"/>
              <w:spacing w:line="276" w:lineRule="auto"/>
              <w:rPr>
                <w:rFonts w:ascii="宋体" w:hAnsi="宋体"/>
                <w:sz w:val="18"/>
                <w:szCs w:val="18"/>
              </w:rPr>
            </w:pPr>
            <w:r>
              <w:rPr>
                <w:rFonts w:hint="eastAsia"/>
                <w:sz w:val="18"/>
                <w:szCs w:val="18"/>
              </w:rPr>
              <w:t>从部门设置是否明确，权责是否分明，人员编制是否精简高效，内部考核机制是否健全等方面综合考虑，机构设置科学、机制健全的优得1分，机构设置较科学、机制较健全的得0.8分，机构设置一般的得0.5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adjustRightInd w:val="0"/>
              <w:snapToGrid w:val="0"/>
              <w:spacing w:line="276" w:lineRule="auto"/>
              <w:jc w:val="left"/>
              <w:rPr>
                <w:rFonts w:ascii="宋体" w:hAnsi="宋体"/>
                <w:sz w:val="18"/>
                <w:szCs w:val="18"/>
              </w:rPr>
            </w:pPr>
            <w:r>
              <w:rPr>
                <w:rFonts w:hint="eastAsia"/>
                <w:sz w:val="18"/>
                <w:szCs w:val="18"/>
              </w:rPr>
              <w:t>餐厨垃圾处理设施维护保养方案（1分）</w:t>
            </w:r>
          </w:p>
        </w:tc>
        <w:tc>
          <w:tcPr>
            <w:tcW w:w="6300" w:type="dxa"/>
            <w:gridSpan w:val="2"/>
            <w:shd w:val="clear" w:color="auto" w:fill="auto"/>
          </w:tcPr>
          <w:p>
            <w:pPr>
              <w:adjustRightInd w:val="0"/>
              <w:snapToGrid w:val="0"/>
              <w:spacing w:line="276" w:lineRule="auto"/>
              <w:rPr>
                <w:rFonts w:ascii="宋体" w:hAnsi="宋体"/>
                <w:sz w:val="18"/>
                <w:szCs w:val="18"/>
              </w:rPr>
            </w:pPr>
            <w:r>
              <w:rPr>
                <w:rFonts w:hint="eastAsia"/>
                <w:sz w:val="18"/>
                <w:szCs w:val="18"/>
              </w:rPr>
              <w:t>从运营维护制度是否健全，对处理设施的检修与维护方案、大修与重置方案能否满足项目要求等方面综合考虑，方案全面、科学、合理的得</w:t>
            </w:r>
            <w:r>
              <w:rPr>
                <w:sz w:val="18"/>
                <w:szCs w:val="18"/>
              </w:rPr>
              <w:t>3</w:t>
            </w:r>
            <w:r>
              <w:rPr>
                <w:rFonts w:hint="eastAsia"/>
                <w:sz w:val="18"/>
                <w:szCs w:val="18"/>
              </w:rPr>
              <w:t>分，方案较全面、较科学、较合理的得</w:t>
            </w:r>
            <w:r>
              <w:rPr>
                <w:sz w:val="18"/>
                <w:szCs w:val="18"/>
              </w:rPr>
              <w:t>2</w:t>
            </w:r>
            <w:r>
              <w:rPr>
                <w:rFonts w:hint="eastAsia"/>
                <w:sz w:val="18"/>
                <w:szCs w:val="18"/>
              </w:rPr>
              <w:t>分，方案一般得</w:t>
            </w:r>
            <w:r>
              <w:rPr>
                <w:sz w:val="18"/>
                <w:szCs w:val="18"/>
              </w:rPr>
              <w:t>1</w:t>
            </w:r>
            <w:r>
              <w:rPr>
                <w:rFonts w:hint="eastAsia"/>
                <w:sz w:val="18"/>
                <w:szCs w:val="18"/>
              </w:rPr>
              <w:t>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shd w:val="clear" w:color="auto" w:fill="auto"/>
          </w:tcPr>
          <w:p>
            <w:pPr>
              <w:adjustRightInd w:val="0"/>
              <w:snapToGrid w:val="0"/>
              <w:spacing w:line="276" w:lineRule="auto"/>
              <w:jc w:val="left"/>
              <w:rPr>
                <w:rFonts w:ascii="宋体" w:hAnsi="宋体"/>
                <w:sz w:val="18"/>
                <w:szCs w:val="18"/>
              </w:rPr>
            </w:pPr>
            <w:r>
              <w:rPr>
                <w:rFonts w:hint="eastAsia"/>
                <w:sz w:val="18"/>
                <w:szCs w:val="18"/>
              </w:rPr>
              <w:t>调试及试运行方案（1分）</w:t>
            </w:r>
          </w:p>
        </w:tc>
        <w:tc>
          <w:tcPr>
            <w:tcW w:w="6300" w:type="dxa"/>
            <w:gridSpan w:val="2"/>
            <w:shd w:val="clear" w:color="auto" w:fill="auto"/>
          </w:tcPr>
          <w:p>
            <w:pPr>
              <w:adjustRightInd w:val="0"/>
              <w:snapToGrid w:val="0"/>
              <w:spacing w:line="276" w:lineRule="auto"/>
              <w:rPr>
                <w:rFonts w:ascii="宋体" w:hAnsi="宋体"/>
                <w:sz w:val="18"/>
                <w:szCs w:val="18"/>
              </w:rPr>
            </w:pPr>
            <w:r>
              <w:rPr>
                <w:rFonts w:hint="eastAsia"/>
                <w:sz w:val="18"/>
                <w:szCs w:val="18"/>
              </w:rPr>
              <w:t>对调试及试运行方案进行评审，包括但不限于方案的内容、范围、计划、目标等。优于招标文件要求的得1分，符合招标文件要求的得0.5分，其余不得分。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vMerge w:val="restart"/>
            <w:shd w:val="clear" w:color="auto" w:fill="auto"/>
            <w:vAlign w:val="center"/>
          </w:tcPr>
          <w:p>
            <w:pPr>
              <w:adjustRightInd w:val="0"/>
              <w:snapToGrid w:val="0"/>
              <w:spacing w:line="276" w:lineRule="auto"/>
              <w:jc w:val="left"/>
              <w:rPr>
                <w:rFonts w:ascii="宋体" w:hAnsi="宋体"/>
                <w:sz w:val="18"/>
                <w:szCs w:val="18"/>
              </w:rPr>
            </w:pPr>
            <w:r>
              <w:rPr>
                <w:rFonts w:hint="eastAsia" w:ascii="宋体" w:hAnsi="宋体"/>
                <w:sz w:val="18"/>
                <w:szCs w:val="18"/>
              </w:rPr>
              <w:t>餐厨垃圾收运方案（</w:t>
            </w:r>
            <w:r>
              <w:rPr>
                <w:rFonts w:ascii="宋体" w:hAnsi="宋体"/>
                <w:sz w:val="18"/>
                <w:szCs w:val="18"/>
              </w:rPr>
              <w:t>15</w:t>
            </w:r>
            <w:r>
              <w:rPr>
                <w:rFonts w:hint="eastAsia" w:ascii="宋体" w:hAnsi="宋体"/>
                <w:sz w:val="18"/>
                <w:szCs w:val="18"/>
              </w:rPr>
              <w:t>分）</w:t>
            </w:r>
          </w:p>
        </w:tc>
        <w:tc>
          <w:tcPr>
            <w:tcW w:w="6300" w:type="dxa"/>
            <w:gridSpan w:val="2"/>
            <w:shd w:val="clear" w:color="auto" w:fill="auto"/>
            <w:vAlign w:val="center"/>
          </w:tcPr>
          <w:p>
            <w:pPr>
              <w:adjustRightInd w:val="0"/>
              <w:snapToGrid w:val="0"/>
              <w:spacing w:line="276" w:lineRule="auto"/>
              <w:rPr>
                <w:rFonts w:ascii="宋体" w:hAnsi="宋体"/>
                <w:sz w:val="18"/>
                <w:szCs w:val="18"/>
              </w:rPr>
            </w:pPr>
            <w:r>
              <w:rPr>
                <w:rFonts w:hint="eastAsia" w:ascii="宋体" w:hAnsi="宋体"/>
                <w:kern w:val="0"/>
                <w:sz w:val="18"/>
                <w:szCs w:val="18"/>
              </w:rPr>
              <w:t>1）投标人需提供成熟可靠的智能收运管理系统，并已投入使用，提供客户出具的智能收运管理系统(或类似智能化系统)在已服务的项目中的使用证明复印件加盖客户公章)，满足得</w:t>
            </w:r>
            <w:r>
              <w:rPr>
                <w:rFonts w:ascii="宋体" w:hAnsi="宋体"/>
                <w:kern w:val="0"/>
                <w:sz w:val="18"/>
                <w:szCs w:val="18"/>
              </w:rPr>
              <w:t>2</w:t>
            </w:r>
            <w:r>
              <w:rPr>
                <w:rFonts w:hint="eastAsia" w:ascii="宋体" w:hAnsi="宋体"/>
                <w:kern w:val="0"/>
                <w:sz w:val="18"/>
                <w:szCs w:val="18"/>
              </w:rPr>
              <w:t>分；不满足不得分。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vMerge w:val="continue"/>
            <w:shd w:val="clear" w:color="auto" w:fill="auto"/>
            <w:vAlign w:val="center"/>
          </w:tcPr>
          <w:p>
            <w:pPr>
              <w:adjustRightInd w:val="0"/>
              <w:snapToGrid w:val="0"/>
              <w:spacing w:line="276" w:lineRule="auto"/>
              <w:jc w:val="left"/>
              <w:rPr>
                <w:rFonts w:ascii="宋体" w:hAnsi="宋体"/>
                <w:sz w:val="18"/>
                <w:szCs w:val="18"/>
              </w:rPr>
            </w:pPr>
          </w:p>
        </w:tc>
        <w:tc>
          <w:tcPr>
            <w:tcW w:w="6300" w:type="dxa"/>
            <w:gridSpan w:val="2"/>
            <w:shd w:val="clear" w:color="auto" w:fill="auto"/>
            <w:vAlign w:val="center"/>
          </w:tcPr>
          <w:p>
            <w:pPr>
              <w:adjustRightInd w:val="0"/>
              <w:snapToGrid w:val="0"/>
              <w:spacing w:line="276" w:lineRule="auto"/>
              <w:rPr>
                <w:rFonts w:ascii="宋体" w:hAnsi="宋体"/>
                <w:sz w:val="18"/>
                <w:szCs w:val="18"/>
              </w:rPr>
            </w:pPr>
            <w:r>
              <w:rPr>
                <w:rFonts w:hint="eastAsia" w:ascii="宋体" w:hAnsi="宋体"/>
                <w:kern w:val="0"/>
                <w:sz w:val="18"/>
                <w:szCs w:val="18"/>
              </w:rPr>
              <w:t>2）餐厨垃圾智能收运系统，根据投标人提供的智能收运管理系统具备的功能描述及功能展示图片进行评价，系统包括：车载称重系统、车辆GPS定位系统、油耗计量系统、车载视频监控系统；每满足一项功能得1分，最多得4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vMerge w:val="continue"/>
            <w:shd w:val="clear" w:color="auto" w:fill="auto"/>
            <w:vAlign w:val="center"/>
          </w:tcPr>
          <w:p>
            <w:pPr>
              <w:adjustRightInd w:val="0"/>
              <w:snapToGrid w:val="0"/>
              <w:spacing w:line="276" w:lineRule="auto"/>
              <w:jc w:val="left"/>
              <w:rPr>
                <w:rFonts w:ascii="宋体" w:hAnsi="宋体"/>
                <w:sz w:val="18"/>
                <w:szCs w:val="18"/>
              </w:rPr>
            </w:pPr>
          </w:p>
        </w:tc>
        <w:tc>
          <w:tcPr>
            <w:tcW w:w="6300" w:type="dxa"/>
            <w:gridSpan w:val="2"/>
            <w:shd w:val="clear" w:color="auto" w:fill="auto"/>
            <w:vAlign w:val="center"/>
          </w:tcPr>
          <w:p>
            <w:pPr>
              <w:adjustRightInd w:val="0"/>
              <w:snapToGrid w:val="0"/>
              <w:spacing w:line="276" w:lineRule="auto"/>
              <w:rPr>
                <w:rFonts w:ascii="宋体" w:hAnsi="宋体"/>
                <w:sz w:val="18"/>
                <w:szCs w:val="18"/>
              </w:rPr>
            </w:pPr>
            <w:r>
              <w:rPr>
                <w:rFonts w:hint="eastAsia" w:ascii="宋体" w:hAnsi="宋体"/>
                <w:kern w:val="0"/>
                <w:sz w:val="18"/>
                <w:szCs w:val="18"/>
              </w:rPr>
              <w:t>3）对本项目服务范围内的餐厨垃圾产生单位充分调研，根据调研结果的覆盖率、合理性、针对性等方面进行综合评分，</w:t>
            </w:r>
            <w:r>
              <w:rPr>
                <w:rFonts w:hint="eastAsia"/>
                <w:sz w:val="18"/>
                <w:szCs w:val="18"/>
              </w:rPr>
              <w:t>调研充分、全面、针对性强的得</w:t>
            </w:r>
            <w:r>
              <w:rPr>
                <w:sz w:val="18"/>
                <w:szCs w:val="18"/>
              </w:rPr>
              <w:t>5</w:t>
            </w:r>
            <w:r>
              <w:rPr>
                <w:rFonts w:hint="eastAsia"/>
                <w:sz w:val="18"/>
                <w:szCs w:val="18"/>
              </w:rPr>
              <w:t>分，调研较充分、较全面、针对性较强的得</w:t>
            </w:r>
            <w:r>
              <w:rPr>
                <w:sz w:val="18"/>
                <w:szCs w:val="18"/>
              </w:rPr>
              <w:t>3</w:t>
            </w:r>
            <w:r>
              <w:rPr>
                <w:rFonts w:hint="eastAsia"/>
                <w:sz w:val="18"/>
                <w:szCs w:val="18"/>
              </w:rPr>
              <w:t>分，调研一般得</w:t>
            </w:r>
            <w:r>
              <w:rPr>
                <w:sz w:val="18"/>
                <w:szCs w:val="18"/>
              </w:rPr>
              <w:t>1</w:t>
            </w:r>
            <w:r>
              <w:rPr>
                <w:rFonts w:hint="eastAsia"/>
                <w:sz w:val="18"/>
                <w:szCs w:val="18"/>
              </w:rPr>
              <w:t>分</w:t>
            </w:r>
            <w:r>
              <w:rPr>
                <w:rFonts w:hint="eastAsia" w:ascii="宋体" w:hAnsi="宋体"/>
                <w:kern w:val="0"/>
                <w:sz w:val="18"/>
                <w:szCs w:val="18"/>
              </w:rPr>
              <w:t>，未调研不得分；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spacing w:line="276" w:lineRule="auto"/>
              <w:rPr>
                <w:rFonts w:ascii="宋体" w:hAnsi="宋体"/>
                <w:sz w:val="18"/>
                <w:szCs w:val="18"/>
              </w:rPr>
            </w:pPr>
          </w:p>
        </w:tc>
        <w:tc>
          <w:tcPr>
            <w:tcW w:w="1287" w:type="dxa"/>
            <w:vMerge w:val="continue"/>
            <w:shd w:val="clear" w:color="auto" w:fill="auto"/>
            <w:vAlign w:val="center"/>
          </w:tcPr>
          <w:p>
            <w:pPr>
              <w:adjustRightInd w:val="0"/>
              <w:snapToGrid w:val="0"/>
              <w:spacing w:line="276" w:lineRule="auto"/>
              <w:jc w:val="left"/>
              <w:rPr>
                <w:rFonts w:ascii="宋体" w:hAnsi="宋体"/>
                <w:sz w:val="18"/>
                <w:szCs w:val="18"/>
              </w:rPr>
            </w:pPr>
          </w:p>
        </w:tc>
        <w:tc>
          <w:tcPr>
            <w:tcW w:w="6300" w:type="dxa"/>
            <w:gridSpan w:val="2"/>
            <w:shd w:val="clear" w:color="auto" w:fill="auto"/>
            <w:vAlign w:val="center"/>
          </w:tcPr>
          <w:p>
            <w:pPr>
              <w:adjustRightInd w:val="0"/>
              <w:snapToGrid w:val="0"/>
              <w:spacing w:line="276" w:lineRule="auto"/>
              <w:rPr>
                <w:rFonts w:ascii="宋体" w:hAnsi="宋体"/>
                <w:sz w:val="18"/>
                <w:szCs w:val="18"/>
              </w:rPr>
            </w:pPr>
            <w:r>
              <w:rPr>
                <w:rFonts w:hint="eastAsia" w:ascii="宋体" w:hAnsi="宋体"/>
                <w:kern w:val="0"/>
                <w:sz w:val="18"/>
                <w:szCs w:val="18"/>
              </w:rPr>
              <w:t>4）根据投标人提供的详细、具体、可操作性强的收运方案进行综合评审（包括不限于收运线路的规划、与餐厨垃圾产生单位的对接、收运过程中的环卫保障，收运方案的合理性和可行性、配置的相关人员及收运设备是否满足项目要求以及是否配置收运监管系统等），</w:t>
            </w:r>
            <w:r>
              <w:rPr>
                <w:rFonts w:hint="eastAsia"/>
                <w:sz w:val="18"/>
                <w:szCs w:val="18"/>
              </w:rPr>
              <w:t>方案全面、科学、合理的得</w:t>
            </w:r>
            <w:r>
              <w:rPr>
                <w:sz w:val="18"/>
                <w:szCs w:val="18"/>
              </w:rPr>
              <w:t>3</w:t>
            </w:r>
            <w:r>
              <w:rPr>
                <w:rFonts w:hint="eastAsia"/>
                <w:sz w:val="18"/>
                <w:szCs w:val="18"/>
              </w:rPr>
              <w:t>分，方案较全面、较科学、较合理的得</w:t>
            </w:r>
            <w:r>
              <w:rPr>
                <w:sz w:val="18"/>
                <w:szCs w:val="18"/>
              </w:rPr>
              <w:t>2</w:t>
            </w:r>
            <w:r>
              <w:rPr>
                <w:rFonts w:hint="eastAsia"/>
                <w:sz w:val="18"/>
                <w:szCs w:val="18"/>
              </w:rPr>
              <w:t>分，方案一般得</w:t>
            </w:r>
            <w:r>
              <w:rPr>
                <w:sz w:val="18"/>
                <w:szCs w:val="18"/>
              </w:rPr>
              <w:t>1</w:t>
            </w:r>
            <w:r>
              <w:rPr>
                <w:rFonts w:hint="eastAsia"/>
                <w:sz w:val="18"/>
                <w:szCs w:val="18"/>
              </w:rPr>
              <w:t>分，未提供方案的得0分。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restart"/>
            <w:shd w:val="clear" w:color="auto" w:fill="auto"/>
            <w:vAlign w:val="center"/>
          </w:tcPr>
          <w:p>
            <w:pPr>
              <w:widowControl/>
              <w:spacing w:line="276" w:lineRule="auto"/>
              <w:jc w:val="left"/>
              <w:textAlignment w:val="center"/>
              <w:rPr>
                <w:rFonts w:ascii="宋体" w:hAnsi="宋体"/>
                <w:sz w:val="18"/>
                <w:szCs w:val="18"/>
              </w:rPr>
            </w:pPr>
            <w:r>
              <w:rPr>
                <w:rFonts w:hint="eastAsia" w:ascii="宋体" w:hAnsi="宋体"/>
                <w:sz w:val="18"/>
                <w:szCs w:val="18"/>
              </w:rPr>
              <w:t>移交方案（2分）</w:t>
            </w:r>
          </w:p>
        </w:tc>
        <w:tc>
          <w:tcPr>
            <w:tcW w:w="1287" w:type="dxa"/>
            <w:shd w:val="clear" w:color="auto" w:fill="auto"/>
            <w:vAlign w:val="center"/>
          </w:tcPr>
          <w:p>
            <w:pPr>
              <w:widowControl/>
              <w:spacing w:line="276" w:lineRule="auto"/>
              <w:jc w:val="left"/>
              <w:textAlignment w:val="center"/>
              <w:rPr>
                <w:rFonts w:ascii="宋体" w:hAnsi="宋体"/>
                <w:sz w:val="18"/>
                <w:szCs w:val="18"/>
              </w:rPr>
            </w:pPr>
            <w:r>
              <w:rPr>
                <w:rFonts w:hint="eastAsia" w:ascii="宋体" w:hAnsi="宋体"/>
                <w:sz w:val="18"/>
                <w:szCs w:val="18"/>
              </w:rPr>
              <w:t>恢复性大修（1分）</w:t>
            </w:r>
          </w:p>
        </w:tc>
        <w:tc>
          <w:tcPr>
            <w:tcW w:w="630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对移交前的恢复性大修方案进行评审，包括但不限于大修的内容、计划和标准等。合理、可行得1分，一般合理、可行得0.5分，无得0分。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863" w:type="dxa"/>
            <w:vMerge w:val="continue"/>
            <w:shd w:val="clear" w:color="auto" w:fill="auto"/>
            <w:vAlign w:val="center"/>
          </w:tcPr>
          <w:p>
            <w:pPr>
              <w:widowControl/>
              <w:spacing w:line="276" w:lineRule="auto"/>
              <w:jc w:val="left"/>
              <w:textAlignment w:val="center"/>
              <w:rPr>
                <w:rFonts w:ascii="宋体" w:hAnsi="宋体"/>
                <w:sz w:val="18"/>
                <w:szCs w:val="18"/>
              </w:rPr>
            </w:pPr>
          </w:p>
        </w:tc>
        <w:tc>
          <w:tcPr>
            <w:tcW w:w="1287" w:type="dxa"/>
            <w:shd w:val="clear" w:color="auto" w:fill="auto"/>
            <w:vAlign w:val="center"/>
          </w:tcPr>
          <w:p>
            <w:pPr>
              <w:widowControl/>
              <w:spacing w:line="276" w:lineRule="auto"/>
              <w:jc w:val="left"/>
              <w:textAlignment w:val="center"/>
              <w:rPr>
                <w:rFonts w:ascii="宋体" w:hAnsi="宋体"/>
                <w:sz w:val="18"/>
                <w:szCs w:val="18"/>
              </w:rPr>
            </w:pPr>
            <w:r>
              <w:rPr>
                <w:rFonts w:hint="eastAsia" w:ascii="宋体" w:hAnsi="宋体"/>
                <w:sz w:val="18"/>
                <w:szCs w:val="18"/>
              </w:rPr>
              <w:t>移交方式</w:t>
            </w:r>
          </w:p>
          <w:p>
            <w:pPr>
              <w:widowControl/>
              <w:spacing w:line="276" w:lineRule="auto"/>
              <w:jc w:val="left"/>
              <w:textAlignment w:val="center"/>
              <w:rPr>
                <w:rFonts w:ascii="宋体" w:hAnsi="宋体"/>
                <w:sz w:val="18"/>
                <w:szCs w:val="18"/>
              </w:rPr>
            </w:pPr>
            <w:r>
              <w:rPr>
                <w:rFonts w:hint="eastAsia" w:ascii="宋体" w:hAnsi="宋体"/>
                <w:sz w:val="18"/>
                <w:szCs w:val="18"/>
              </w:rPr>
              <w:t>（1分）</w:t>
            </w:r>
          </w:p>
        </w:tc>
        <w:tc>
          <w:tcPr>
            <w:tcW w:w="630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对项目移交方式进行评审，具体包括移交的内容、方式方法、资产和人员的处置办法、项目公司的处理办法等。合理、可行得1分，一般合理、可行得0.5分，无得0分。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restart"/>
            <w:shd w:val="clear" w:color="auto" w:fill="auto"/>
            <w:vAlign w:val="center"/>
          </w:tcPr>
          <w:p>
            <w:pPr>
              <w:spacing w:line="276" w:lineRule="auto"/>
              <w:jc w:val="center"/>
              <w:rPr>
                <w:rFonts w:ascii="宋体" w:hAnsi="宋体"/>
                <w:b/>
                <w:sz w:val="18"/>
                <w:szCs w:val="18"/>
              </w:rPr>
            </w:pPr>
            <w:r>
              <w:rPr>
                <w:rFonts w:hint="eastAsia" w:ascii="宋体" w:hAnsi="宋体"/>
                <w:b/>
                <w:sz w:val="18"/>
                <w:szCs w:val="18"/>
              </w:rPr>
              <w:t>财务方案（</w:t>
            </w:r>
            <w:r>
              <w:rPr>
                <w:rFonts w:ascii="宋体" w:hAnsi="宋体"/>
                <w:b/>
                <w:sz w:val="18"/>
                <w:szCs w:val="18"/>
              </w:rPr>
              <w:t>10</w:t>
            </w:r>
            <w:r>
              <w:rPr>
                <w:rFonts w:hint="eastAsia" w:ascii="宋体" w:hAnsi="宋体"/>
                <w:b/>
                <w:sz w:val="18"/>
                <w:szCs w:val="18"/>
              </w:rPr>
              <w:t>分）</w:t>
            </w:r>
          </w:p>
        </w:tc>
        <w:tc>
          <w:tcPr>
            <w:tcW w:w="215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资金筹措（</w:t>
            </w:r>
            <w:r>
              <w:rPr>
                <w:rFonts w:ascii="宋体" w:hAnsi="宋体"/>
                <w:sz w:val="18"/>
                <w:szCs w:val="18"/>
              </w:rPr>
              <w:t>3</w:t>
            </w:r>
            <w:r>
              <w:rPr>
                <w:rFonts w:hint="eastAsia" w:ascii="宋体" w:hAnsi="宋体"/>
                <w:sz w:val="18"/>
                <w:szCs w:val="18"/>
              </w:rPr>
              <w:t>分）</w:t>
            </w:r>
          </w:p>
        </w:tc>
        <w:tc>
          <w:tcPr>
            <w:tcW w:w="630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对资金筹措方案进行评审，包括但不限于资金结构、项目资本金来源、进度、可靠性及证明材料，债务资金的来源、融资交割完成时间、融资授信可靠性及证明材料，资金筹措的综合成本等。证明资料齐全，合理、可靠，具备可操作性得3分，可操作性一般，合理性、可靠性一般得2分，无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2150" w:type="dxa"/>
            <w:gridSpan w:val="2"/>
            <w:shd w:val="clear" w:color="auto" w:fill="auto"/>
            <w:vAlign w:val="center"/>
          </w:tcPr>
          <w:p>
            <w:pPr>
              <w:rPr>
                <w:rFonts w:ascii="宋体" w:hAnsi="宋体"/>
                <w:sz w:val="18"/>
                <w:szCs w:val="18"/>
              </w:rPr>
            </w:pPr>
            <w:r>
              <w:rPr>
                <w:rFonts w:hint="eastAsia" w:ascii="宋体" w:hAnsi="宋体"/>
                <w:sz w:val="18"/>
                <w:szCs w:val="18"/>
              </w:rPr>
              <w:t>财务测算（</w:t>
            </w:r>
            <w:r>
              <w:rPr>
                <w:rFonts w:ascii="宋体" w:hAnsi="宋体"/>
                <w:sz w:val="18"/>
                <w:szCs w:val="18"/>
              </w:rPr>
              <w:t>3</w:t>
            </w:r>
            <w:r>
              <w:rPr>
                <w:rFonts w:hint="eastAsia" w:ascii="宋体" w:hAnsi="宋体"/>
                <w:sz w:val="18"/>
                <w:szCs w:val="18"/>
              </w:rPr>
              <w:t>分）</w:t>
            </w:r>
          </w:p>
        </w:tc>
        <w:tc>
          <w:tcPr>
            <w:tcW w:w="6300" w:type="dxa"/>
            <w:gridSpan w:val="2"/>
            <w:shd w:val="clear" w:color="auto" w:fill="auto"/>
          </w:tcPr>
          <w:p>
            <w:pPr>
              <w:rPr>
                <w:rFonts w:ascii="宋体" w:hAnsi="宋体"/>
                <w:sz w:val="18"/>
                <w:szCs w:val="18"/>
              </w:rPr>
            </w:pPr>
            <w:r>
              <w:rPr>
                <w:rFonts w:hint="eastAsia" w:ascii="宋体" w:hAnsi="宋体"/>
                <w:sz w:val="18"/>
                <w:szCs w:val="18"/>
              </w:rPr>
              <w:t>对财务测算方案进行评审，包括但不限于各财务测算表、投资计划测算、借还款计划测算、运营收入测算、成本测算，利润测算、现金流测算、补助测算，与建设方案和运营方案的匹配性等。财务测算数据正确、合理、可靠，具备可操作性得3分，可操作性一般，合理性、可靠性一般得2分，无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215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财务风险分析（</w:t>
            </w:r>
            <w:r>
              <w:rPr>
                <w:rFonts w:ascii="宋体" w:hAnsi="宋体"/>
                <w:sz w:val="18"/>
                <w:szCs w:val="18"/>
              </w:rPr>
              <w:t>2</w:t>
            </w:r>
            <w:r>
              <w:rPr>
                <w:rFonts w:hint="eastAsia" w:ascii="宋体" w:hAnsi="宋体"/>
                <w:sz w:val="18"/>
                <w:szCs w:val="18"/>
              </w:rPr>
              <w:t>分）</w:t>
            </w:r>
          </w:p>
        </w:tc>
        <w:tc>
          <w:tcPr>
            <w:tcW w:w="630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对项目的财务风险分析进行评审，包括但不限于财务风险认识、分析以及有效的防范控制措施等。合理、可靠得2分，合理性一般得1分，无不得分。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Merge w:val="continue"/>
            <w:shd w:val="clear" w:color="auto" w:fill="auto"/>
            <w:vAlign w:val="center"/>
          </w:tcPr>
          <w:p>
            <w:pPr>
              <w:spacing w:line="276" w:lineRule="auto"/>
              <w:jc w:val="center"/>
              <w:rPr>
                <w:rFonts w:ascii="宋体" w:hAnsi="宋体"/>
                <w:b/>
                <w:sz w:val="18"/>
                <w:szCs w:val="18"/>
              </w:rPr>
            </w:pPr>
          </w:p>
        </w:tc>
        <w:tc>
          <w:tcPr>
            <w:tcW w:w="215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保险方案（</w:t>
            </w:r>
            <w:r>
              <w:rPr>
                <w:rFonts w:ascii="宋体" w:hAnsi="宋体"/>
                <w:sz w:val="18"/>
                <w:szCs w:val="18"/>
              </w:rPr>
              <w:t>2</w:t>
            </w:r>
            <w:r>
              <w:rPr>
                <w:rFonts w:hint="eastAsia" w:ascii="宋体" w:hAnsi="宋体"/>
                <w:sz w:val="18"/>
                <w:szCs w:val="18"/>
              </w:rPr>
              <w:t>分）</w:t>
            </w:r>
          </w:p>
        </w:tc>
        <w:tc>
          <w:tcPr>
            <w:tcW w:w="6300" w:type="dxa"/>
            <w:gridSpan w:val="2"/>
            <w:shd w:val="clear" w:color="auto" w:fill="auto"/>
            <w:vAlign w:val="center"/>
          </w:tcPr>
          <w:p>
            <w:pPr>
              <w:spacing w:line="276" w:lineRule="auto"/>
              <w:rPr>
                <w:rFonts w:ascii="宋体" w:hAnsi="宋体"/>
                <w:sz w:val="18"/>
                <w:szCs w:val="18"/>
              </w:rPr>
            </w:pPr>
            <w:r>
              <w:rPr>
                <w:rFonts w:hint="eastAsia" w:ascii="宋体" w:hAnsi="宋体"/>
                <w:sz w:val="18"/>
                <w:szCs w:val="18"/>
              </w:rPr>
              <w:t>对项目的保险方案进行评审，包括但不限于保险公司简介、资信，所投保险种及金额，保险费率及保费支出等。保险种类齐全、费率合理得2分，保险种类较齐全、费率较合理得1分，无不得分。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shd w:val="clear" w:color="auto" w:fill="auto"/>
            <w:vAlign w:val="center"/>
          </w:tcPr>
          <w:p>
            <w:pPr>
              <w:spacing w:line="276" w:lineRule="auto"/>
              <w:jc w:val="center"/>
              <w:rPr>
                <w:rFonts w:ascii="宋体" w:hAnsi="宋体"/>
                <w:b/>
                <w:sz w:val="18"/>
                <w:szCs w:val="18"/>
              </w:rPr>
            </w:pPr>
            <w:r>
              <w:rPr>
                <w:rFonts w:hint="eastAsia" w:ascii="宋体" w:hAnsi="宋体"/>
                <w:b/>
                <w:sz w:val="18"/>
                <w:szCs w:val="18"/>
              </w:rPr>
              <w:t>法律方案</w:t>
            </w:r>
          </w:p>
          <w:p>
            <w:pPr>
              <w:spacing w:line="276" w:lineRule="auto"/>
              <w:jc w:val="center"/>
              <w:rPr>
                <w:rFonts w:ascii="宋体" w:hAnsi="宋体"/>
                <w:b/>
                <w:sz w:val="18"/>
                <w:szCs w:val="18"/>
              </w:rPr>
            </w:pPr>
            <w:r>
              <w:rPr>
                <w:rFonts w:hint="eastAsia" w:ascii="宋体" w:hAnsi="宋体"/>
                <w:b/>
                <w:sz w:val="18"/>
                <w:szCs w:val="18"/>
              </w:rPr>
              <w:t>（5分）</w:t>
            </w:r>
          </w:p>
        </w:tc>
        <w:tc>
          <w:tcPr>
            <w:tcW w:w="8450" w:type="dxa"/>
            <w:gridSpan w:val="4"/>
            <w:shd w:val="clear" w:color="auto" w:fill="auto"/>
          </w:tcPr>
          <w:p>
            <w:pPr>
              <w:spacing w:line="276" w:lineRule="auto"/>
              <w:rPr>
                <w:rFonts w:ascii="宋体" w:hAnsi="宋体"/>
                <w:sz w:val="18"/>
                <w:szCs w:val="18"/>
              </w:rPr>
            </w:pPr>
            <w:r>
              <w:rPr>
                <w:rFonts w:hint="eastAsia" w:ascii="宋体" w:hAnsi="宋体"/>
                <w:sz w:val="18"/>
                <w:szCs w:val="18"/>
              </w:rPr>
              <w:t>完全响应或提出更优的PPP项目合同条款，得5分；基本响应PPP项目合同条款，但提出少量修改和变更意见，对项目实施影响不大，得</w:t>
            </w:r>
            <w:r>
              <w:rPr>
                <w:rFonts w:ascii="宋体" w:hAnsi="宋体"/>
                <w:sz w:val="18"/>
                <w:szCs w:val="18"/>
              </w:rPr>
              <w:t>2</w:t>
            </w:r>
            <w:r>
              <w:rPr>
                <w:rFonts w:hint="eastAsia" w:ascii="宋体" w:hAnsi="宋体"/>
                <w:sz w:val="18"/>
                <w:szCs w:val="18"/>
              </w:rPr>
              <w:t>分；提出较多修改和变更意见，对项目实施存在较大不确定性，得</w:t>
            </w:r>
            <w:r>
              <w:rPr>
                <w:rFonts w:ascii="宋体" w:hAnsi="宋体"/>
                <w:sz w:val="18"/>
                <w:szCs w:val="18"/>
              </w:rPr>
              <w:t>1</w:t>
            </w:r>
            <w:r>
              <w:rPr>
                <w:rFonts w:hint="eastAsia" w:ascii="宋体" w:hAnsi="宋体"/>
                <w:sz w:val="18"/>
                <w:szCs w:val="18"/>
              </w:rPr>
              <w:t>分；对PPP项目合同提出实质性变更的作为无效投标。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96" w:hRule="atLeast"/>
          <w:jc w:val="center"/>
        </w:trPr>
        <w:tc>
          <w:tcPr>
            <w:tcW w:w="1175" w:type="dxa"/>
            <w:shd w:val="clear" w:color="auto" w:fill="auto"/>
            <w:vAlign w:val="center"/>
          </w:tcPr>
          <w:p>
            <w:pPr>
              <w:spacing w:line="276" w:lineRule="auto"/>
              <w:jc w:val="center"/>
              <w:rPr>
                <w:rFonts w:ascii="宋体" w:hAnsi="宋体"/>
                <w:b/>
                <w:sz w:val="18"/>
                <w:szCs w:val="18"/>
              </w:rPr>
            </w:pPr>
            <w:r>
              <w:rPr>
                <w:rFonts w:hint="eastAsia" w:ascii="宋体" w:hAnsi="宋体"/>
                <w:b/>
                <w:sz w:val="18"/>
                <w:szCs w:val="18"/>
              </w:rPr>
              <w:t>供应商诚信档案记录评分（根据《南京市政府采购供应商信用管理工作暂行办法》）</w:t>
            </w:r>
          </w:p>
        </w:tc>
        <w:tc>
          <w:tcPr>
            <w:tcW w:w="4869" w:type="dxa"/>
            <w:gridSpan w:val="3"/>
            <w:shd w:val="clear" w:color="auto" w:fill="auto"/>
            <w:vAlign w:val="center"/>
          </w:tcPr>
          <w:p>
            <w:pPr>
              <w:spacing w:line="276" w:lineRule="auto"/>
              <w:jc w:val="left"/>
              <w:rPr>
                <w:rFonts w:ascii="宋体" w:hAnsi="宋体"/>
                <w:sz w:val="18"/>
                <w:szCs w:val="18"/>
              </w:rPr>
            </w:pPr>
            <w:r>
              <w:rPr>
                <w:rFonts w:hint="eastAsia" w:ascii="宋体" w:hAnsi="宋体"/>
                <w:sz w:val="18"/>
                <w:szCs w:val="18"/>
              </w:rPr>
              <w:t>三星级的加1分，四星级的加2分，五星级的加3分，被评为南京市政府采购“重诚信政府采购供应商”的加5分。</w:t>
            </w:r>
          </w:p>
          <w:p>
            <w:pPr>
              <w:spacing w:line="276" w:lineRule="auto"/>
              <w:jc w:val="left"/>
              <w:rPr>
                <w:rFonts w:ascii="宋体" w:hAnsi="宋体"/>
                <w:sz w:val="18"/>
                <w:szCs w:val="18"/>
              </w:rPr>
            </w:pPr>
            <w:r>
              <w:rPr>
                <w:rFonts w:hint="eastAsia" w:ascii="宋体" w:hAnsi="宋体"/>
                <w:sz w:val="18"/>
                <w:szCs w:val="18"/>
              </w:rPr>
              <w:t>诚信指数在40-30分的扣2分；诚信指数在29-20分的扣3分；诚信指数在19-10分的扣4分；诚信指数在9分以下的扣10分。</w:t>
            </w:r>
          </w:p>
        </w:tc>
        <w:tc>
          <w:tcPr>
            <w:tcW w:w="3581" w:type="dxa"/>
            <w:shd w:val="clear" w:color="auto" w:fill="auto"/>
            <w:vAlign w:val="center"/>
          </w:tcPr>
          <w:p>
            <w:pPr>
              <w:spacing w:line="276" w:lineRule="auto"/>
              <w:jc w:val="left"/>
              <w:rPr>
                <w:rFonts w:ascii="宋体" w:hAnsi="宋体"/>
                <w:sz w:val="18"/>
                <w:szCs w:val="18"/>
              </w:rPr>
            </w:pPr>
            <w:r>
              <w:rPr>
                <w:rFonts w:hint="eastAsia" w:ascii="宋体" w:hAnsi="宋体"/>
                <w:sz w:val="18"/>
                <w:szCs w:val="18"/>
              </w:rPr>
              <w:t>1. 如果是联合体投标的，联合体牵头方必须按照招标文件要求出具《南京市政府采购供应商信用记录表》，以联合体牵头方的为准计分。</w:t>
            </w:r>
          </w:p>
          <w:p>
            <w:pPr>
              <w:spacing w:line="276" w:lineRule="auto"/>
              <w:jc w:val="left"/>
              <w:rPr>
                <w:rFonts w:ascii="宋体" w:hAnsi="宋体"/>
                <w:sz w:val="18"/>
                <w:szCs w:val="18"/>
              </w:rPr>
            </w:pPr>
            <w:r>
              <w:rPr>
                <w:rFonts w:hint="eastAsia" w:ascii="宋体" w:hAnsi="宋体"/>
                <w:sz w:val="18"/>
                <w:szCs w:val="18"/>
              </w:rPr>
              <w:t>2.此额外计分项为评分标准100分以外的加分或扣分项。</w:t>
            </w:r>
          </w:p>
        </w:tc>
      </w:tr>
    </w:tbl>
    <w:p>
      <w:pPr>
        <w:spacing w:line="360" w:lineRule="exact"/>
        <w:rPr>
          <w:rFonts w:asciiTheme="minorEastAsia" w:hAnsiTheme="minorEastAsia" w:eastAsiaTheme="minorEastAsia"/>
          <w:b/>
        </w:rPr>
      </w:pPr>
    </w:p>
    <w:p>
      <w:pPr>
        <w:spacing w:line="360" w:lineRule="exact"/>
        <w:ind w:firstLine="316" w:firstLineChars="150"/>
        <w:rPr>
          <w:rFonts w:asciiTheme="minorEastAsia" w:hAnsiTheme="minorEastAsia" w:eastAsiaTheme="minorEastAsia"/>
          <w:b/>
          <w:bCs/>
        </w:rPr>
      </w:pPr>
      <w:r>
        <w:rPr>
          <w:rFonts w:hint="eastAsia" w:asciiTheme="minorEastAsia" w:hAnsiTheme="minorEastAsia" w:eastAsiaTheme="minorEastAsia"/>
          <w:b/>
          <w:bCs/>
        </w:rPr>
        <w:t>注：（1）供应商诚信档案记录评分是评分标准100分以外的加分项，在投标文件满足招标文件全部实质性要求前提下，且按照评审因素的量化指标评审得分及诚信记录评分累计得出社会资本的综合得分。</w:t>
      </w:r>
    </w:p>
    <w:p>
      <w:pPr>
        <w:spacing w:line="360" w:lineRule="exact"/>
        <w:ind w:firstLine="316" w:firstLineChars="150"/>
        <w:rPr>
          <w:rFonts w:asciiTheme="minorEastAsia" w:hAnsiTheme="minorEastAsia" w:eastAsiaTheme="minorEastAsia"/>
          <w:b/>
          <w:bCs/>
        </w:rPr>
      </w:pPr>
      <w:r>
        <w:rPr>
          <w:rFonts w:hint="eastAsia" w:asciiTheme="minorEastAsia" w:hAnsiTheme="minorEastAsia" w:eastAsiaTheme="minorEastAsia"/>
          <w:b/>
          <w:bCs/>
        </w:rPr>
        <w:t>（2）优于招标文件要求是指根据评审要点高于招标文件第四章项目需求和绩效考核体系、项目合同中明确提出的指标要求，如有时间指标要求的应少于招标文件约定的时间要求，有数量要求的应高于要求的数量，有质量要求的应高于约定的质量要求等等。</w:t>
      </w:r>
    </w:p>
    <w:p>
      <w:pPr>
        <w:spacing w:line="360" w:lineRule="exact"/>
        <w:ind w:firstLine="316" w:firstLineChars="150"/>
        <w:rPr>
          <w:rFonts w:asciiTheme="minorEastAsia" w:hAnsiTheme="minorEastAsia" w:eastAsiaTheme="minorEastAsia"/>
          <w:b/>
        </w:rPr>
      </w:pPr>
      <w:r>
        <w:rPr>
          <w:rFonts w:hint="eastAsia" w:asciiTheme="minorEastAsia" w:hAnsiTheme="minorEastAsia" w:eastAsiaTheme="minorEastAsia"/>
          <w:b/>
          <w:bCs/>
        </w:rPr>
        <w:t>（</w:t>
      </w:r>
      <w:r>
        <w:rPr>
          <w:rFonts w:asciiTheme="minorEastAsia" w:hAnsiTheme="minorEastAsia" w:eastAsiaTheme="minorEastAsia"/>
          <w:b/>
          <w:bCs/>
        </w:rPr>
        <w:t>3</w:t>
      </w:r>
      <w:r>
        <w:rPr>
          <w:rFonts w:hint="eastAsia" w:asciiTheme="minorEastAsia" w:hAnsiTheme="minorEastAsia" w:eastAsiaTheme="minorEastAsia"/>
          <w:b/>
          <w:bCs/>
        </w:rPr>
        <w:t>）上述各评审项的评分结果保留2位小数。</w:t>
      </w:r>
    </w:p>
    <w:p>
      <w:pPr>
        <w:adjustRightInd w:val="0"/>
        <w:snapToGrid w:val="0"/>
        <w:spacing w:line="360" w:lineRule="auto"/>
        <w:rPr>
          <w:rFonts w:asciiTheme="minorEastAsia" w:hAnsiTheme="minorEastAsia" w:eastAsiaTheme="minorEastAsia"/>
        </w:rPr>
      </w:pPr>
    </w:p>
    <w:p>
      <w:pPr>
        <w:adjustRightInd w:val="0"/>
        <w:snapToGrid w:val="0"/>
        <w:spacing w:line="360" w:lineRule="auto"/>
        <w:rPr>
          <w:rFonts w:asciiTheme="minorEastAsia" w:hAnsiTheme="minorEastAsia" w:eastAsiaTheme="minorEastAsia"/>
        </w:rPr>
      </w:pPr>
    </w:p>
    <w:p>
      <w:pPr>
        <w:adjustRightInd w:val="0"/>
        <w:snapToGrid w:val="0"/>
        <w:spacing w:line="360" w:lineRule="auto"/>
        <w:rPr>
          <w:rFonts w:asciiTheme="minorEastAsia" w:hAnsiTheme="minorEastAsia" w:eastAsiaTheme="minorEastAsia"/>
        </w:rPr>
      </w:pPr>
      <w:r>
        <w:rPr>
          <w:rFonts w:asciiTheme="minorEastAsia" w:hAnsiTheme="minorEastAsia" w:eastAsiaTheme="minorEastAsia"/>
        </w:rPr>
        <w:br w:type="page"/>
      </w:r>
    </w:p>
    <w:bookmarkEnd w:id="506"/>
    <w:p>
      <w:pPr>
        <w:pStyle w:val="118"/>
        <w:numPr>
          <w:ilvl w:val="0"/>
          <w:numId w:val="5"/>
        </w:numPr>
        <w:adjustRightInd w:val="0"/>
        <w:snapToGrid w:val="0"/>
        <w:spacing w:beforeLines="50" w:afterLines="50" w:line="360" w:lineRule="auto"/>
        <w:ind w:left="0" w:firstLine="0" w:firstLineChars="0"/>
        <w:jc w:val="center"/>
        <w:outlineLvl w:val="0"/>
        <w:rPr>
          <w:rFonts w:asciiTheme="minorEastAsia" w:hAnsiTheme="minorEastAsia" w:eastAsiaTheme="minorEastAsia"/>
          <w:b/>
          <w:sz w:val="28"/>
          <w:szCs w:val="28"/>
        </w:rPr>
      </w:pPr>
      <w:bookmarkStart w:id="507" w:name="_Toc434827206"/>
      <w:bookmarkStart w:id="508" w:name="_Toc430620222"/>
      <w:bookmarkStart w:id="509" w:name="_Toc428894858"/>
      <w:bookmarkStart w:id="510" w:name="_Toc434827481"/>
      <w:bookmarkStart w:id="511" w:name="_Toc430097156"/>
      <w:bookmarkStart w:id="512" w:name="_Toc428894418"/>
      <w:bookmarkStart w:id="513" w:name="_Toc430096722"/>
      <w:bookmarkStart w:id="514" w:name="_Toc430093999"/>
      <w:bookmarkStart w:id="515" w:name="_Toc529805831"/>
      <w:bookmarkStart w:id="516" w:name="_Toc428893541"/>
      <w:bookmarkStart w:id="517" w:name="_Toc430620988"/>
      <w:bookmarkStart w:id="518" w:name="_Toc455565486"/>
      <w:bookmarkStart w:id="519" w:name="_Toc428891375"/>
      <w:bookmarkStart w:id="520" w:name="_Toc423012022"/>
      <w:bookmarkStart w:id="521" w:name="_Toc436924503"/>
      <w:bookmarkStart w:id="522" w:name="_Toc435778330"/>
      <w:bookmarkStart w:id="523" w:name="_Toc436952633"/>
      <w:bookmarkStart w:id="524" w:name="_Toc428647578"/>
      <w:bookmarkStart w:id="525" w:name="_Toc435777876"/>
      <w:bookmarkStart w:id="526" w:name="_Toc434828337"/>
      <w:r>
        <w:rPr>
          <w:rFonts w:hint="eastAsia" w:asciiTheme="minorEastAsia" w:hAnsiTheme="minorEastAsia" w:eastAsiaTheme="minorEastAsia"/>
          <w:b/>
          <w:sz w:val="28"/>
          <w:szCs w:val="28"/>
        </w:rPr>
        <w:t>项目资料库</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pPr>
        <w:adjustRightInd w:val="0"/>
        <w:snapToGrid w:val="0"/>
        <w:spacing w:afterLines="50" w:line="360" w:lineRule="auto"/>
        <w:ind w:firstLine="420" w:firstLineChars="200"/>
        <w:rPr>
          <w:rFonts w:asciiTheme="minorEastAsia" w:hAnsiTheme="minorEastAsia" w:eastAsiaTheme="minorEastAsia"/>
        </w:rPr>
      </w:pPr>
      <w:r>
        <w:rPr>
          <w:rFonts w:hint="eastAsia" w:asciiTheme="minorEastAsia" w:hAnsiTheme="minorEastAsia" w:eastAsiaTheme="minorEastAsia"/>
        </w:rPr>
        <w:t>采购人在南京市栖霞区城市管理局内设立资料库，社会资本可在提交截止时间前至南京市栖霞区城市管理局查阅（联系电话：</w:t>
      </w:r>
      <w:r>
        <w:rPr>
          <w:rFonts w:hint="eastAsia" w:asciiTheme="minorEastAsia" w:hAnsiTheme="minorEastAsia" w:eastAsiaTheme="minorEastAsia"/>
          <w:u w:val="single"/>
        </w:rPr>
        <w:t>联系人：黄毅；联系电话：025-85580430</w:t>
      </w:r>
      <w:r>
        <w:rPr>
          <w:rFonts w:hint="eastAsia" w:asciiTheme="minorEastAsia" w:hAnsiTheme="minorEastAsia" w:eastAsiaTheme="minorEastAsia"/>
        </w:rPr>
        <w:t>）。</w:t>
      </w:r>
    </w:p>
    <w:p>
      <w:pPr>
        <w:pStyle w:val="83"/>
        <w:numPr>
          <w:ilvl w:val="0"/>
          <w:numId w:val="26"/>
        </w:numPr>
        <w:adjustRightInd w:val="0"/>
        <w:snapToGrid w:val="0"/>
        <w:spacing w:afterLines="50" w:line="360" w:lineRule="auto"/>
        <w:ind w:firstLineChars="0"/>
        <w:rPr>
          <w:rFonts w:asciiTheme="minorEastAsia" w:hAnsiTheme="minorEastAsia" w:eastAsiaTheme="minorEastAsia"/>
          <w:szCs w:val="21"/>
        </w:rPr>
      </w:pPr>
      <w:r>
        <w:rPr>
          <w:rFonts w:hint="eastAsia" w:asciiTheme="minorEastAsia" w:hAnsiTheme="minorEastAsia" w:eastAsiaTheme="minorEastAsia"/>
          <w:szCs w:val="21"/>
        </w:rPr>
        <w:t>经备案的项目建议书。</w:t>
      </w:r>
    </w:p>
    <w:p>
      <w:pPr>
        <w:pStyle w:val="83"/>
        <w:numPr>
          <w:ilvl w:val="0"/>
          <w:numId w:val="26"/>
        </w:numPr>
        <w:adjustRightInd w:val="0"/>
        <w:snapToGrid w:val="0"/>
        <w:spacing w:afterLines="50" w:line="360" w:lineRule="auto"/>
        <w:ind w:firstLineChars="0"/>
        <w:rPr>
          <w:rFonts w:asciiTheme="minorEastAsia" w:hAnsiTheme="minorEastAsia" w:eastAsiaTheme="minorEastAsia"/>
          <w:szCs w:val="21"/>
        </w:rPr>
      </w:pPr>
      <w:r>
        <w:rPr>
          <w:rFonts w:hint="eastAsia" w:asciiTheme="minorEastAsia" w:hAnsiTheme="minorEastAsia" w:eastAsiaTheme="minorEastAsia"/>
          <w:szCs w:val="21"/>
        </w:rPr>
        <w:t>项目可行性研究报告及批复。</w:t>
      </w:r>
    </w:p>
    <w:p>
      <w:pPr>
        <w:pStyle w:val="83"/>
        <w:numPr>
          <w:ilvl w:val="0"/>
          <w:numId w:val="26"/>
        </w:numPr>
        <w:adjustRightInd w:val="0"/>
        <w:snapToGrid w:val="0"/>
        <w:spacing w:afterLines="50" w:line="360" w:lineRule="auto"/>
        <w:ind w:firstLineChars="0"/>
        <w:rPr>
          <w:rFonts w:asciiTheme="minorEastAsia" w:hAnsiTheme="minorEastAsia" w:eastAsiaTheme="minorEastAsia"/>
          <w:szCs w:val="21"/>
        </w:rPr>
      </w:pPr>
      <w:r>
        <w:rPr>
          <w:rFonts w:hint="eastAsia" w:asciiTheme="minorEastAsia" w:hAnsiTheme="minorEastAsia" w:eastAsiaTheme="minorEastAsia"/>
          <w:szCs w:val="21"/>
        </w:rPr>
        <w:t>项目实施方案及批准文件。</w:t>
      </w:r>
    </w:p>
    <w:p>
      <w:pPr>
        <w:pStyle w:val="83"/>
        <w:numPr>
          <w:ilvl w:val="0"/>
          <w:numId w:val="26"/>
        </w:numPr>
        <w:adjustRightInd w:val="0"/>
        <w:snapToGrid w:val="0"/>
        <w:spacing w:afterLines="50" w:line="360" w:lineRule="auto"/>
        <w:ind w:firstLineChars="0"/>
        <w:rPr>
          <w:rFonts w:asciiTheme="minorEastAsia" w:hAnsiTheme="minorEastAsia" w:eastAsiaTheme="minorEastAsia"/>
          <w:szCs w:val="21"/>
        </w:rPr>
      </w:pPr>
      <w:r>
        <w:rPr>
          <w:rFonts w:hint="eastAsia" w:asciiTheme="minorEastAsia" w:hAnsiTheme="minorEastAsia" w:eastAsiaTheme="minorEastAsia"/>
          <w:szCs w:val="21"/>
        </w:rPr>
        <w:t>其他资料可由社会资本在答疑会提出。</w:t>
      </w:r>
    </w:p>
    <w:sectPr>
      <w:pgSz w:w="11906" w:h="16838"/>
      <w:pgMar w:top="1440" w:right="1797" w:bottom="1440" w:left="1797" w:header="851" w:footer="851"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Calibri Light">
    <w:panose1 w:val="020F0302020204030204"/>
    <w:charset w:val="00"/>
    <w:family w:val="swiss"/>
    <w:pitch w:val="default"/>
    <w:sig w:usb0="E4002EFF" w:usb1="C000247B" w:usb2="00000009" w:usb3="00000000" w:csb0="200001FF" w:csb1="00000000"/>
  </w:font>
  <w:font w:name="CG Times">
    <w:altName w:val="Times New Roman"/>
    <w:panose1 w:val="00000000000000000000"/>
    <w:charset w:val="00"/>
    <w:family w:val="roman"/>
    <w:pitch w:val="default"/>
    <w:sig w:usb0="00000000" w:usb1="00000000" w:usb2="00000000" w:usb3="00000000" w:csb0="00000001"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PMCFK I+ Futura">
    <w:altName w:val="宋体"/>
    <w:panose1 w:val="00000000000000000000"/>
    <w:charset w:val="86"/>
    <w:family w:val="swiss"/>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95841196"/>
      <w:docPartObj>
        <w:docPartGallery w:val="AutoText"/>
      </w:docPartObj>
    </w:sdtPr>
    <w:sdtContent>
      <w:p>
        <w:pPr>
          <w:pStyle w:val="25"/>
          <w:jc w:val="center"/>
        </w:pP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26</w:t>
    </w:r>
    <w:r>
      <w:rPr>
        <w:rFonts w:ascii="宋体" w:hAnsi="宋体"/>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w:fldChar w:fldCharType="begin"/>
    </w:r>
    <w:r>
      <w:instrText xml:space="preserve">PAGE   \* MERGEFORMAT</w:instrText>
    </w:r>
    <w:r>
      <w:fldChar w:fldCharType="separate"/>
    </w:r>
    <w:r>
      <w:t>1</w:t>
    </w:r>
    <w:r>
      <w:fldChar w:fldCharType="end"/>
    </w:r>
  </w:p>
  <w:p>
    <w:pPr>
      <w:pStyle w:val="2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single" w:color="auto" w:sz="6" w:space="0"/>
      </w:pBdr>
      <w:tabs>
        <w:tab w:val="left" w:pos="6075"/>
        <w:tab w:val="clear" w:pos="4153"/>
        <w:tab w:val="clear" w:pos="8306"/>
      </w:tabs>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854BD"/>
    <w:multiLevelType w:val="multilevel"/>
    <w:tmpl w:val="000854BD"/>
    <w:lvl w:ilvl="0" w:tentative="0">
      <w:start w:val="1"/>
      <w:numFmt w:val="decimal"/>
      <w:lvlText w:val="%1."/>
      <w:lvlJc w:val="left"/>
      <w:pPr>
        <w:ind w:left="900" w:hanging="420"/>
      </w:pPr>
      <w:rPr>
        <w:rFonts w:cs="Times New Roman"/>
      </w:rPr>
    </w:lvl>
    <w:lvl w:ilvl="1" w:tentative="0">
      <w:start w:val="1"/>
      <w:numFmt w:val="lowerLetter"/>
      <w:lvlText w:val="%2)"/>
      <w:lvlJc w:val="left"/>
      <w:pPr>
        <w:ind w:left="1320" w:hanging="420"/>
      </w:pPr>
      <w:rPr>
        <w:rFonts w:cs="Times New Roman"/>
      </w:rPr>
    </w:lvl>
    <w:lvl w:ilvl="2" w:tentative="0">
      <w:start w:val="1"/>
      <w:numFmt w:val="lowerRoman"/>
      <w:lvlText w:val="%3."/>
      <w:lvlJc w:val="right"/>
      <w:pPr>
        <w:ind w:left="1740" w:hanging="420"/>
      </w:pPr>
      <w:rPr>
        <w:rFonts w:cs="Times New Roman"/>
      </w:rPr>
    </w:lvl>
    <w:lvl w:ilvl="3" w:tentative="0">
      <w:start w:val="1"/>
      <w:numFmt w:val="decimal"/>
      <w:lvlText w:val="%4."/>
      <w:lvlJc w:val="left"/>
      <w:pPr>
        <w:ind w:left="2160" w:hanging="420"/>
      </w:pPr>
      <w:rPr>
        <w:rFonts w:cs="Times New Roman"/>
      </w:rPr>
    </w:lvl>
    <w:lvl w:ilvl="4" w:tentative="0">
      <w:start w:val="1"/>
      <w:numFmt w:val="lowerLetter"/>
      <w:lvlText w:val="%5)"/>
      <w:lvlJc w:val="left"/>
      <w:pPr>
        <w:ind w:left="2580" w:hanging="420"/>
      </w:pPr>
      <w:rPr>
        <w:rFonts w:cs="Times New Roman"/>
      </w:rPr>
    </w:lvl>
    <w:lvl w:ilvl="5" w:tentative="0">
      <w:start w:val="1"/>
      <w:numFmt w:val="lowerRoman"/>
      <w:lvlText w:val="%6."/>
      <w:lvlJc w:val="right"/>
      <w:pPr>
        <w:ind w:left="3000" w:hanging="420"/>
      </w:pPr>
      <w:rPr>
        <w:rFonts w:cs="Times New Roman"/>
      </w:rPr>
    </w:lvl>
    <w:lvl w:ilvl="6" w:tentative="0">
      <w:start w:val="1"/>
      <w:numFmt w:val="decimal"/>
      <w:lvlText w:val="%7."/>
      <w:lvlJc w:val="left"/>
      <w:pPr>
        <w:ind w:left="3420" w:hanging="420"/>
      </w:pPr>
      <w:rPr>
        <w:rFonts w:cs="Times New Roman"/>
      </w:rPr>
    </w:lvl>
    <w:lvl w:ilvl="7" w:tentative="0">
      <w:start w:val="1"/>
      <w:numFmt w:val="lowerLetter"/>
      <w:lvlText w:val="%8)"/>
      <w:lvlJc w:val="left"/>
      <w:pPr>
        <w:ind w:left="3840" w:hanging="420"/>
      </w:pPr>
      <w:rPr>
        <w:rFonts w:cs="Times New Roman"/>
      </w:rPr>
    </w:lvl>
    <w:lvl w:ilvl="8" w:tentative="0">
      <w:start w:val="1"/>
      <w:numFmt w:val="lowerRoman"/>
      <w:lvlText w:val="%9."/>
      <w:lvlJc w:val="right"/>
      <w:pPr>
        <w:ind w:left="4260" w:hanging="420"/>
      </w:pPr>
      <w:rPr>
        <w:rFonts w:cs="Times New Roman"/>
      </w:rPr>
    </w:lvl>
  </w:abstractNum>
  <w:abstractNum w:abstractNumId="1">
    <w:nsid w:val="00154153"/>
    <w:multiLevelType w:val="multilevel"/>
    <w:tmpl w:val="00154153"/>
    <w:lvl w:ilvl="0" w:tentative="0">
      <w:start w:val="1"/>
      <w:numFmt w:val="decimal"/>
      <w:lvlText w:val="13.%1"/>
      <w:lvlJc w:val="left"/>
      <w:pPr>
        <w:ind w:left="84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13.%4"/>
      <w:lvlJc w:val="left"/>
      <w:pPr>
        <w:ind w:left="1680" w:hanging="420"/>
      </w:pPr>
      <w:rPr>
        <w:rFonts w:hint="eastAsia"/>
      </w:r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00631282"/>
    <w:multiLevelType w:val="multilevel"/>
    <w:tmpl w:val="00631282"/>
    <w:lvl w:ilvl="0" w:tentative="0">
      <w:start w:val="1"/>
      <w:numFmt w:val="decimal"/>
      <w:lvlText w:val="39.%1"/>
      <w:lvlJc w:val="left"/>
      <w:pPr>
        <w:ind w:left="840" w:hanging="420"/>
      </w:pPr>
      <w:rPr>
        <w:rFonts w:hint="eastAsia"/>
      </w:rPr>
    </w:lvl>
    <w:lvl w:ilvl="1" w:tentative="0">
      <w:start w:val="1"/>
      <w:numFmt w:val="decimal"/>
      <w:lvlText w:val="38.%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016A6099"/>
    <w:multiLevelType w:val="multilevel"/>
    <w:tmpl w:val="016A6099"/>
    <w:lvl w:ilvl="0" w:tentative="0">
      <w:start w:val="1"/>
      <w:numFmt w:val="chineseCountingThousand"/>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01C470F9"/>
    <w:multiLevelType w:val="multilevel"/>
    <w:tmpl w:val="01C470F9"/>
    <w:lvl w:ilvl="0" w:tentative="0">
      <w:start w:val="1"/>
      <w:numFmt w:val="decimal"/>
      <w:lvlText w:val="35.%1"/>
      <w:lvlJc w:val="left"/>
      <w:pPr>
        <w:ind w:left="840" w:hanging="420"/>
      </w:pPr>
      <w:rPr>
        <w:rFonts w:hint="eastAsia"/>
      </w:rPr>
    </w:lvl>
    <w:lvl w:ilvl="1" w:tentative="0">
      <w:start w:val="1"/>
      <w:numFmt w:val="decimal"/>
      <w:lvlText w:val="34.%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06CF5737"/>
    <w:multiLevelType w:val="multilevel"/>
    <w:tmpl w:val="06CF5737"/>
    <w:lvl w:ilvl="0" w:tentative="0">
      <w:start w:val="1"/>
      <w:numFmt w:val="decimal"/>
      <w:lvlText w:val="6.%1"/>
      <w:lvlJc w:val="left"/>
      <w:pPr>
        <w:ind w:left="840" w:hanging="420"/>
      </w:pPr>
      <w:rPr>
        <w:rFonts w:hint="eastAsia"/>
      </w:rPr>
    </w:lvl>
    <w:lvl w:ilvl="1" w:tentative="0">
      <w:start w:val="1"/>
      <w:numFmt w:val="decimal"/>
      <w:lvlText w:val="5.%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087760AB"/>
    <w:multiLevelType w:val="multilevel"/>
    <w:tmpl w:val="087760AB"/>
    <w:lvl w:ilvl="0" w:tentative="0">
      <w:start w:val="1"/>
      <w:numFmt w:val="decimal"/>
      <w:lvlText w:val="(%1)"/>
      <w:lvlJc w:val="left"/>
      <w:pPr>
        <w:tabs>
          <w:tab w:val="left" w:pos="907"/>
        </w:tabs>
        <w:ind w:left="907" w:hanging="567"/>
      </w:pPr>
      <w:rPr>
        <w:rFonts w:cs="Times New Roman"/>
      </w:rPr>
    </w:lvl>
    <w:lvl w:ilvl="1" w:tentative="0">
      <w:start w:val="1"/>
      <w:numFmt w:val="decimal"/>
      <w:pStyle w:val="82"/>
      <w:lvlText w:val="%2."/>
      <w:lvlJc w:val="left"/>
      <w:pPr>
        <w:tabs>
          <w:tab w:val="left" w:pos="1440"/>
        </w:tabs>
        <w:ind w:left="1440" w:hanging="360"/>
      </w:pPr>
      <w:rPr>
        <w:rFonts w:cs="Times New Roman"/>
      </w:rPr>
    </w:lvl>
    <w:lvl w:ilvl="2" w:tentative="0">
      <w:start w:val="1"/>
      <w:numFmt w:val="decimal"/>
      <w:lvlText w:val="%3."/>
      <w:lvlJc w:val="left"/>
      <w:pPr>
        <w:tabs>
          <w:tab w:val="left" w:pos="2160"/>
        </w:tabs>
        <w:ind w:left="2160" w:hanging="36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decimal"/>
      <w:lvlText w:val="%5."/>
      <w:lvlJc w:val="left"/>
      <w:pPr>
        <w:tabs>
          <w:tab w:val="left" w:pos="3600"/>
        </w:tabs>
        <w:ind w:left="3600" w:hanging="360"/>
      </w:pPr>
      <w:rPr>
        <w:rFonts w:cs="Times New Roman"/>
      </w:rPr>
    </w:lvl>
    <w:lvl w:ilvl="5" w:tentative="0">
      <w:start w:val="1"/>
      <w:numFmt w:val="decimal"/>
      <w:lvlText w:val="%6."/>
      <w:lvlJc w:val="left"/>
      <w:pPr>
        <w:tabs>
          <w:tab w:val="left" w:pos="4320"/>
        </w:tabs>
        <w:ind w:left="4320" w:hanging="36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decimal"/>
      <w:lvlText w:val="%8."/>
      <w:lvlJc w:val="left"/>
      <w:pPr>
        <w:tabs>
          <w:tab w:val="left" w:pos="5760"/>
        </w:tabs>
        <w:ind w:left="5760" w:hanging="360"/>
      </w:pPr>
      <w:rPr>
        <w:rFonts w:cs="Times New Roman"/>
      </w:rPr>
    </w:lvl>
    <w:lvl w:ilvl="8" w:tentative="0">
      <w:start w:val="1"/>
      <w:numFmt w:val="decimal"/>
      <w:lvlText w:val="%9."/>
      <w:lvlJc w:val="left"/>
      <w:pPr>
        <w:tabs>
          <w:tab w:val="left" w:pos="6480"/>
        </w:tabs>
        <w:ind w:left="6480" w:hanging="360"/>
      </w:pPr>
      <w:rPr>
        <w:rFonts w:cs="Times New Roman"/>
      </w:rPr>
    </w:lvl>
  </w:abstractNum>
  <w:abstractNum w:abstractNumId="7">
    <w:nsid w:val="0EA03D66"/>
    <w:multiLevelType w:val="multilevel"/>
    <w:tmpl w:val="0EA03D66"/>
    <w:lvl w:ilvl="0" w:tentative="0">
      <w:start w:val="1"/>
      <w:numFmt w:val="decimal"/>
      <w:lvlText w:val="13.%1"/>
      <w:lvlJc w:val="left"/>
      <w:pPr>
        <w:ind w:left="840" w:hanging="420"/>
      </w:pPr>
      <w:rPr>
        <w:rFonts w:hint="eastAsia"/>
      </w:rPr>
    </w:lvl>
    <w:lvl w:ilvl="1" w:tentative="0">
      <w:start w:val="1"/>
      <w:numFmt w:val="decimal"/>
      <w:lvlText w:val="12.%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E236D0C"/>
    <w:multiLevelType w:val="multilevel"/>
    <w:tmpl w:val="1E236D0C"/>
    <w:lvl w:ilvl="0" w:tentative="0">
      <w:start w:val="1"/>
      <w:numFmt w:val="decimal"/>
      <w:lvlText w:val="34.4.%1"/>
      <w:lvlJc w:val="left"/>
      <w:pPr>
        <w:ind w:left="84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22DA424F"/>
    <w:multiLevelType w:val="multilevel"/>
    <w:tmpl w:val="22DA424F"/>
    <w:lvl w:ilvl="0" w:tentative="0">
      <w:start w:val="1"/>
      <w:numFmt w:val="chineseCountingThousand"/>
      <w:lvlText w:val="%1、"/>
      <w:lvlJc w:val="left"/>
      <w:pPr>
        <w:ind w:left="3577" w:hanging="420"/>
      </w:pPr>
      <w:rPr>
        <w:rFonts w:hint="eastAsia"/>
      </w:rPr>
    </w:lvl>
    <w:lvl w:ilvl="1" w:tentative="0">
      <w:start w:val="1"/>
      <w:numFmt w:val="chineseCountingThousand"/>
      <w:lvlText w:val="%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28340D75"/>
    <w:multiLevelType w:val="multilevel"/>
    <w:tmpl w:val="28340D75"/>
    <w:lvl w:ilvl="0" w:tentative="0">
      <w:start w:val="1"/>
      <w:numFmt w:val="chineseCountingThousand"/>
      <w:lvlText w:val="第%1条"/>
      <w:lvlJc w:val="center"/>
      <w:pPr>
        <w:ind w:left="708" w:hanging="420"/>
      </w:pPr>
      <w:rPr>
        <w:rFonts w:hint="eastAsia" w:cs="Times New Roman"/>
      </w:rPr>
    </w:lvl>
    <w:lvl w:ilvl="1" w:tentative="0">
      <w:start w:val="1"/>
      <w:numFmt w:val="decimal"/>
      <w:isLgl/>
      <w:lvlText w:val="%1.%2"/>
      <w:lvlJc w:val="left"/>
      <w:pPr>
        <w:tabs>
          <w:tab w:val="left" w:pos="567"/>
        </w:tabs>
        <w:ind w:left="567" w:hanging="567"/>
      </w:pPr>
      <w:rPr>
        <w:rFonts w:hint="eastAsia" w:ascii="Times New Roman" w:hAnsi="Times New Roman" w:cs="Times New Roman"/>
        <w:b/>
        <w:bCs w:val="0"/>
        <w:i w:val="0"/>
        <w:iCs w:val="0"/>
        <w:caps w:val="0"/>
        <w:smallCaps w:val="0"/>
        <w:strike w:val="0"/>
        <w:dstrike w:val="0"/>
        <w:vanish w:val="0"/>
        <w:color w:val="000000"/>
        <w:spacing w:val="0"/>
        <w:position w:val="0"/>
        <w:sz w:val="24"/>
        <w:szCs w:val="24"/>
        <w:u w:val="none"/>
        <w:vertAlign w:val="baseline"/>
      </w:rPr>
    </w:lvl>
    <w:lvl w:ilvl="2" w:tentative="0">
      <w:start w:val="1"/>
      <w:numFmt w:val="lowerLetter"/>
      <w:lvlText w:val="%3)"/>
      <w:lvlJc w:val="left"/>
      <w:pPr>
        <w:tabs>
          <w:tab w:val="left" w:pos="1418"/>
        </w:tabs>
        <w:ind w:left="1418" w:hanging="851"/>
      </w:pPr>
      <w:rPr>
        <w:rFonts w:hint="eastAsia" w:cs="Times New Roman"/>
        <w:b w:val="0"/>
        <w:bCs w:val="0"/>
        <w:i w:val="0"/>
        <w:iCs w:val="0"/>
        <w:caps w:val="0"/>
        <w:smallCaps w:val="0"/>
        <w:strike w:val="0"/>
        <w:dstrike w:val="0"/>
        <w:vanish w:val="0"/>
        <w:color w:val="000000"/>
        <w:spacing w:val="0"/>
        <w:position w:val="0"/>
        <w:u w:val="none"/>
        <w:vertAlign w:val="baseline"/>
      </w:rPr>
    </w:lvl>
    <w:lvl w:ilvl="3" w:tentative="0">
      <w:start w:val="1"/>
      <w:numFmt w:val="lowerLetter"/>
      <w:pStyle w:val="112"/>
      <w:lvlText w:val="%4)"/>
      <w:lvlJc w:val="left"/>
      <w:pPr>
        <w:tabs>
          <w:tab w:val="left" w:pos="1814"/>
        </w:tabs>
        <w:ind w:left="1814" w:hanging="396"/>
      </w:pPr>
      <w:rPr>
        <w:rFonts w:hint="eastAsia" w:cs="Times New Roman"/>
        <w:b w:val="0"/>
        <w:bCs w:val="0"/>
        <w:i w:val="0"/>
        <w:iCs w:val="0"/>
        <w:caps w:val="0"/>
        <w:smallCaps w:val="0"/>
        <w:strike w:val="0"/>
        <w:dstrike w:val="0"/>
        <w:snapToGrid w:val="0"/>
        <w:vanish w:val="0"/>
        <w:color w:val="000000"/>
        <w:spacing w:val="0"/>
        <w:w w:val="0"/>
        <w:kern w:val="0"/>
        <w:position w:val="0"/>
        <w:sz w:val="21"/>
        <w:szCs w:val="21"/>
        <w:u w:val="none"/>
        <w:vertAlign w:val="baseline"/>
      </w:rPr>
    </w:lvl>
    <w:lvl w:ilvl="4" w:tentative="0">
      <w:start w:val="1"/>
      <w:numFmt w:val="decimal"/>
      <w:lvlText w:val="%1.%2.%3.%4.%5."/>
      <w:lvlJc w:val="left"/>
      <w:pPr>
        <w:ind w:left="992" w:hanging="992"/>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1276" w:hanging="1276"/>
      </w:pPr>
      <w:rPr>
        <w:rFonts w:hint="eastAsia" w:cs="Times New Roman"/>
      </w:rPr>
    </w:lvl>
    <w:lvl w:ilvl="7" w:tentative="0">
      <w:start w:val="1"/>
      <w:numFmt w:val="decimal"/>
      <w:lvlText w:val="%1.%2.%3.%4.%5.%6.%7.%8."/>
      <w:lvlJc w:val="left"/>
      <w:pPr>
        <w:ind w:left="1418" w:hanging="1418"/>
      </w:pPr>
      <w:rPr>
        <w:rFonts w:hint="eastAsia" w:cs="Times New Roman"/>
      </w:rPr>
    </w:lvl>
    <w:lvl w:ilvl="8" w:tentative="0">
      <w:start w:val="1"/>
      <w:numFmt w:val="decimal"/>
      <w:lvlText w:val="%1.%2.%3.%4.%5.%6.%7.%8.%9."/>
      <w:lvlJc w:val="left"/>
      <w:pPr>
        <w:ind w:left="1559" w:hanging="1559"/>
      </w:pPr>
      <w:rPr>
        <w:rFonts w:hint="eastAsia" w:cs="Times New Roman"/>
      </w:rPr>
    </w:lvl>
  </w:abstractNum>
  <w:abstractNum w:abstractNumId="11">
    <w:nsid w:val="332970FA"/>
    <w:multiLevelType w:val="multilevel"/>
    <w:tmpl w:val="332970FA"/>
    <w:lvl w:ilvl="0" w:tentative="0">
      <w:start w:val="1"/>
      <w:numFmt w:val="decimal"/>
      <w:lvlText w:val="21.%1"/>
      <w:lvlJc w:val="left"/>
      <w:pPr>
        <w:ind w:left="840" w:hanging="420"/>
      </w:pPr>
      <w:rPr>
        <w:rFonts w:hint="eastAsia"/>
      </w:rPr>
    </w:lvl>
    <w:lvl w:ilvl="1" w:tentative="0">
      <w:start w:val="1"/>
      <w:numFmt w:val="decimal"/>
      <w:lvlText w:val="20.%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3812524D"/>
    <w:multiLevelType w:val="multilevel"/>
    <w:tmpl w:val="3812524D"/>
    <w:lvl w:ilvl="0" w:tentative="0">
      <w:start w:val="1"/>
      <w:numFmt w:val="decimal"/>
      <w:lvlText w:val="32.%1"/>
      <w:lvlJc w:val="left"/>
      <w:pPr>
        <w:ind w:left="840" w:hanging="420"/>
      </w:pPr>
      <w:rPr>
        <w:rFonts w:hint="eastAsia"/>
      </w:rPr>
    </w:lvl>
    <w:lvl w:ilvl="1" w:tentative="0">
      <w:start w:val="1"/>
      <w:numFmt w:val="decimal"/>
      <w:lvlText w:val="31.%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3B5904BB"/>
    <w:multiLevelType w:val="multilevel"/>
    <w:tmpl w:val="3B5904BB"/>
    <w:lvl w:ilvl="0" w:tentative="0">
      <w:start w:val="1"/>
      <w:numFmt w:val="decimal"/>
      <w:lvlText w:val="1.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3E5E67FA"/>
    <w:multiLevelType w:val="multilevel"/>
    <w:tmpl w:val="3E5E67FA"/>
    <w:lvl w:ilvl="0" w:tentative="0">
      <w:start w:val="1"/>
      <w:numFmt w:val="decimal"/>
      <w:lvlText w:val="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45477C12"/>
    <w:multiLevelType w:val="multilevel"/>
    <w:tmpl w:val="45477C12"/>
    <w:lvl w:ilvl="0" w:tentative="0">
      <w:start w:val="1"/>
      <w:numFmt w:val="decimal"/>
      <w:pStyle w:val="4"/>
      <w:lvlText w:val="1.%1"/>
      <w:lvlJc w:val="left"/>
      <w:pPr>
        <w:ind w:left="420" w:hanging="420"/>
      </w:pPr>
      <w:rPr>
        <w:rFonts w:hint="eastAsia" w:ascii="宋体" w:hAnsi="宋体" w:eastAsia="宋体" w:cs="Times New Roman"/>
        <w:sz w:val="21"/>
        <w:szCs w:val="21"/>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16">
    <w:nsid w:val="46BF54AA"/>
    <w:multiLevelType w:val="multilevel"/>
    <w:tmpl w:val="46BF54AA"/>
    <w:lvl w:ilvl="0" w:tentative="0">
      <w:start w:val="1"/>
      <w:numFmt w:val="decimal"/>
      <w:lvlText w:val="4.%1"/>
      <w:lvlJc w:val="left"/>
      <w:pPr>
        <w:ind w:left="840" w:hanging="420"/>
      </w:pPr>
      <w:rPr>
        <w:rFonts w:hint="eastAsia"/>
      </w:rPr>
    </w:lvl>
    <w:lvl w:ilvl="1" w:tentative="0">
      <w:start w:val="1"/>
      <w:numFmt w:val="decimal"/>
      <w:lvlText w:val="3.%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479019F9"/>
    <w:multiLevelType w:val="multilevel"/>
    <w:tmpl w:val="479019F9"/>
    <w:lvl w:ilvl="0" w:tentative="0">
      <w:start w:val="1"/>
      <w:numFmt w:val="decimal"/>
      <w:lvlText w:val="14.%1"/>
      <w:lvlJc w:val="left"/>
      <w:pPr>
        <w:ind w:left="840" w:hanging="420"/>
      </w:pPr>
      <w:rPr>
        <w:rFonts w:hint="eastAsia"/>
      </w:rPr>
    </w:lvl>
    <w:lvl w:ilvl="1" w:tentative="0">
      <w:start w:val="1"/>
      <w:numFmt w:val="decimal"/>
      <w:lvlText w:val="14.%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4DCF393E"/>
    <w:multiLevelType w:val="multilevel"/>
    <w:tmpl w:val="4DCF393E"/>
    <w:lvl w:ilvl="0" w:tentative="0">
      <w:start w:val="1"/>
      <w:numFmt w:val="decimal"/>
      <w:lvlText w:val="15.%1"/>
      <w:lvlJc w:val="left"/>
      <w:pPr>
        <w:ind w:left="840" w:hanging="420"/>
      </w:pPr>
      <w:rPr>
        <w:rFonts w:hint="eastAsia"/>
      </w:rPr>
    </w:lvl>
    <w:lvl w:ilvl="1" w:tentative="0">
      <w:start w:val="1"/>
      <w:numFmt w:val="decimal"/>
      <w:lvlText w:val="15.%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1A60BA9"/>
    <w:multiLevelType w:val="multilevel"/>
    <w:tmpl w:val="51A60BA9"/>
    <w:lvl w:ilvl="0" w:tentative="0">
      <w:start w:val="1"/>
      <w:numFmt w:val="chineseCountingThousand"/>
      <w:lvlText w:val="第%1部分"/>
      <w:lvlJc w:val="left"/>
      <w:pPr>
        <w:ind w:left="3255"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56B77D18"/>
    <w:multiLevelType w:val="multilevel"/>
    <w:tmpl w:val="56B77D18"/>
    <w:lvl w:ilvl="0" w:tentative="0">
      <w:start w:val="1"/>
      <w:numFmt w:val="chineseCountingThousand"/>
      <w:lvlText w:val="第%1分册"/>
      <w:lvlJc w:val="left"/>
      <w:pPr>
        <w:ind w:left="420" w:hanging="420"/>
      </w:pPr>
      <w:rPr>
        <w:rFonts w:hint="eastAsia" w:cs="Times New Roman"/>
      </w:rPr>
    </w:lvl>
    <w:lvl w:ilvl="1" w:tentative="0">
      <w:start w:val="1"/>
      <w:numFmt w:val="japaneseCounting"/>
      <w:lvlText w:val="%2、"/>
      <w:lvlJc w:val="left"/>
      <w:pPr>
        <w:ind w:left="1140" w:hanging="720"/>
      </w:pPr>
      <w:rPr>
        <w:rFonts w:hint="default" w:cs="Times New Roman"/>
        <w:b/>
        <w:sz w:val="28"/>
        <w:szCs w:val="28"/>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21">
    <w:nsid w:val="603642D3"/>
    <w:multiLevelType w:val="multilevel"/>
    <w:tmpl w:val="603642D3"/>
    <w:lvl w:ilvl="0" w:tentative="0">
      <w:start w:val="1"/>
      <w:numFmt w:val="decimal"/>
      <w:lvlText w:val="2.%1"/>
      <w:lvlJc w:val="left"/>
      <w:pPr>
        <w:ind w:left="840" w:hanging="420"/>
      </w:pPr>
      <w:rPr>
        <w:rFonts w:hint="eastAsia"/>
      </w:rPr>
    </w:lvl>
    <w:lvl w:ilvl="1" w:tentative="0">
      <w:start w:val="1"/>
      <w:numFmt w:val="decimal"/>
      <w:lvlText w:val="2.%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614134E8"/>
    <w:multiLevelType w:val="multilevel"/>
    <w:tmpl w:val="614134E8"/>
    <w:lvl w:ilvl="0" w:tentative="0">
      <w:start w:val="1"/>
      <w:numFmt w:val="decimal"/>
      <w:lvlText w:val="34.%1"/>
      <w:lvlJc w:val="left"/>
      <w:pPr>
        <w:ind w:left="840" w:hanging="420"/>
      </w:pPr>
      <w:rPr>
        <w:rFonts w:hint="eastAsia"/>
      </w:rPr>
    </w:lvl>
    <w:lvl w:ilvl="1" w:tentative="0">
      <w:start w:val="1"/>
      <w:numFmt w:val="decimal"/>
      <w:lvlText w:val="33.%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61512B09"/>
    <w:multiLevelType w:val="multilevel"/>
    <w:tmpl w:val="61512B09"/>
    <w:lvl w:ilvl="0" w:tentative="0">
      <w:start w:val="1"/>
      <w:numFmt w:val="chineseCountingThousand"/>
      <w:lvlText w:val="%1"/>
      <w:lvlJc w:val="left"/>
      <w:pPr>
        <w:ind w:left="899" w:hanging="420"/>
      </w:pPr>
      <w:rPr>
        <w:rFonts w:hint="eastAsia" w:cs="Times New Roman"/>
      </w:rPr>
    </w:lvl>
    <w:lvl w:ilvl="1" w:tentative="0">
      <w:start w:val="1"/>
      <w:numFmt w:val="japaneseCounting"/>
      <w:lvlText w:val="%2、"/>
      <w:lvlJc w:val="left"/>
      <w:pPr>
        <w:ind w:left="840" w:hanging="420"/>
      </w:pPr>
      <w:rPr>
        <w:rFonts w:hint="default" w:cs="Times New Roman"/>
      </w:rPr>
    </w:lvl>
    <w:lvl w:ilvl="2" w:tentative="0">
      <w:start w:val="1"/>
      <w:numFmt w:val="japaneseCounting"/>
      <w:lvlText w:val="（%3）"/>
      <w:lvlJc w:val="left"/>
      <w:pPr>
        <w:ind w:left="1725" w:hanging="885"/>
      </w:pPr>
      <w:rPr>
        <w:rFonts w:hint="default"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24">
    <w:nsid w:val="772358B8"/>
    <w:multiLevelType w:val="multilevel"/>
    <w:tmpl w:val="772358B8"/>
    <w:lvl w:ilvl="0" w:tentative="0">
      <w:start w:val="1"/>
      <w:numFmt w:val="chineseCountingThousand"/>
      <w:pStyle w:val="109"/>
      <w:lvlText w:val="第%1条"/>
      <w:lvlJc w:val="center"/>
      <w:pPr>
        <w:ind w:left="708" w:hanging="420"/>
      </w:pPr>
      <w:rPr>
        <w:rFonts w:hint="eastAsia" w:cs="Times New Roman"/>
      </w:rPr>
    </w:lvl>
    <w:lvl w:ilvl="1" w:tentative="0">
      <w:start w:val="1"/>
      <w:numFmt w:val="decimal"/>
      <w:lvlText w:val="5.%2"/>
      <w:lvlJc w:val="left"/>
      <w:pPr>
        <w:tabs>
          <w:tab w:val="left" w:pos="567"/>
        </w:tabs>
        <w:ind w:left="567" w:hanging="567"/>
      </w:pPr>
      <w:rPr>
        <w:rFonts w:hint="default" w:ascii="Times New Roman" w:hAnsi="Times New Roman" w:cs="Times New Roman"/>
        <w:b/>
        <w:bCs w:val="0"/>
        <w:i w:val="0"/>
        <w:iCs w:val="0"/>
        <w:caps w:val="0"/>
        <w:smallCaps w:val="0"/>
        <w:strike w:val="0"/>
        <w:dstrike w:val="0"/>
        <w:vanish w:val="0"/>
        <w:color w:val="000000"/>
        <w:spacing w:val="0"/>
        <w:position w:val="0"/>
        <w:sz w:val="28"/>
        <w:szCs w:val="28"/>
        <w:u w:val="none"/>
        <w:vertAlign w:val="baseline"/>
      </w:rPr>
    </w:lvl>
    <w:lvl w:ilvl="2" w:tentative="0">
      <w:start w:val="1"/>
      <w:numFmt w:val="decimal"/>
      <w:lvlText w:val="(%3)"/>
      <w:lvlJc w:val="left"/>
      <w:pPr>
        <w:tabs>
          <w:tab w:val="left" w:pos="1418"/>
        </w:tabs>
        <w:ind w:left="1418" w:hanging="851"/>
      </w:pPr>
      <w:rPr>
        <w:rFonts w:hint="eastAsia" w:cs="Times New Roman"/>
        <w:b w:val="0"/>
        <w:bCs w:val="0"/>
        <w:i w:val="0"/>
        <w:iCs w:val="0"/>
        <w:caps w:val="0"/>
        <w:smallCaps w:val="0"/>
        <w:strike w:val="0"/>
        <w:dstrike w:val="0"/>
        <w:vanish w:val="0"/>
        <w:color w:val="000000"/>
        <w:spacing w:val="0"/>
        <w:position w:val="0"/>
        <w:sz w:val="28"/>
        <w:szCs w:val="28"/>
        <w:u w:val="none"/>
        <w:vertAlign w:val="baseline"/>
      </w:rPr>
    </w:lvl>
    <w:lvl w:ilvl="3" w:tentative="0">
      <w:start w:val="1"/>
      <w:numFmt w:val="decimal"/>
      <w:lvlText w:val="(%4)"/>
      <w:lvlJc w:val="left"/>
      <w:pPr>
        <w:tabs>
          <w:tab w:val="left" w:pos="1814"/>
        </w:tabs>
        <w:ind w:left="1814" w:hanging="396"/>
      </w:pPr>
      <w:rPr>
        <w:rFonts w:hint="eastAsia" w:ascii="Times New Roman" w:hAnsi="Times New Roman" w:cs="Times New Roman"/>
        <w:b w:val="0"/>
        <w:bCs w:val="0"/>
        <w:i w:val="0"/>
        <w:iCs w:val="0"/>
        <w:caps w:val="0"/>
        <w:smallCaps w:val="0"/>
        <w:strike w:val="0"/>
        <w:dstrike w:val="0"/>
        <w:snapToGrid w:val="0"/>
        <w:vanish w:val="0"/>
        <w:color w:val="000000"/>
        <w:spacing w:val="0"/>
        <w:w w:val="0"/>
        <w:kern w:val="0"/>
        <w:position w:val="0"/>
        <w:sz w:val="21"/>
        <w:szCs w:val="21"/>
        <w:u w:val="none"/>
        <w:vertAlign w:val="baseline"/>
      </w:rPr>
    </w:lvl>
    <w:lvl w:ilvl="4" w:tentative="0">
      <w:start w:val="1"/>
      <w:numFmt w:val="decimal"/>
      <w:lvlText w:val="%1.%2.%3.%4.%5."/>
      <w:lvlJc w:val="left"/>
      <w:pPr>
        <w:ind w:left="992" w:hanging="992"/>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1276" w:hanging="1276"/>
      </w:pPr>
      <w:rPr>
        <w:rFonts w:hint="eastAsia" w:cs="Times New Roman"/>
      </w:rPr>
    </w:lvl>
    <w:lvl w:ilvl="7" w:tentative="0">
      <w:start w:val="1"/>
      <w:numFmt w:val="decimal"/>
      <w:lvlText w:val="%1.%2.%3.%4.%5.%6.%7.%8."/>
      <w:lvlJc w:val="left"/>
      <w:pPr>
        <w:ind w:left="1418" w:hanging="1418"/>
      </w:pPr>
      <w:rPr>
        <w:rFonts w:hint="eastAsia" w:cs="Times New Roman"/>
      </w:rPr>
    </w:lvl>
    <w:lvl w:ilvl="8" w:tentative="0">
      <w:start w:val="1"/>
      <w:numFmt w:val="decimal"/>
      <w:lvlText w:val="%1.%2.%3.%4.%5.%6.%7.%8.%9."/>
      <w:lvlJc w:val="left"/>
      <w:pPr>
        <w:ind w:left="1559" w:hanging="1559"/>
      </w:pPr>
      <w:rPr>
        <w:rFonts w:hint="eastAsia" w:cs="Times New Roman"/>
      </w:rPr>
    </w:lvl>
  </w:abstractNum>
  <w:abstractNum w:abstractNumId="25">
    <w:nsid w:val="78802271"/>
    <w:multiLevelType w:val="multilevel"/>
    <w:tmpl w:val="78802271"/>
    <w:lvl w:ilvl="0" w:tentative="0">
      <w:start w:val="1"/>
      <w:numFmt w:val="decimal"/>
      <w:lvlText w:val="%1."/>
      <w:lvlJc w:val="left"/>
      <w:pPr>
        <w:ind w:left="420" w:hanging="420"/>
      </w:pPr>
      <w:rPr>
        <w:rFonts w:hint="eastAsia"/>
      </w:rPr>
    </w:lvl>
    <w:lvl w:ilvl="1" w:tentative="0">
      <w:start w:val="2"/>
      <w:numFmt w:val="decimal"/>
      <w:isLgl/>
      <w:lvlText w:val="%1.%2"/>
      <w:lvlJc w:val="left"/>
      <w:pPr>
        <w:ind w:left="1470" w:hanging="1260"/>
      </w:pPr>
      <w:rPr>
        <w:rFonts w:hint="default"/>
      </w:rPr>
    </w:lvl>
    <w:lvl w:ilvl="2" w:tentative="0">
      <w:start w:val="1"/>
      <w:numFmt w:val="decimal"/>
      <w:isLgl/>
      <w:lvlText w:val="%1.%2.%3"/>
      <w:lvlJc w:val="left"/>
      <w:pPr>
        <w:ind w:left="1680" w:hanging="1260"/>
      </w:pPr>
      <w:rPr>
        <w:rFonts w:hint="default"/>
      </w:rPr>
    </w:lvl>
    <w:lvl w:ilvl="3" w:tentative="0">
      <w:start w:val="1"/>
      <w:numFmt w:val="decimal"/>
      <w:isLgl/>
      <w:lvlText w:val="%1.%2.%3.%4"/>
      <w:lvlJc w:val="left"/>
      <w:pPr>
        <w:ind w:left="1890" w:hanging="1260"/>
      </w:pPr>
      <w:rPr>
        <w:rFonts w:hint="default"/>
      </w:rPr>
    </w:lvl>
    <w:lvl w:ilvl="4" w:tentative="0">
      <w:start w:val="1"/>
      <w:numFmt w:val="decimal"/>
      <w:isLgl/>
      <w:lvlText w:val="%1.%2.%3.%4.%5"/>
      <w:lvlJc w:val="left"/>
      <w:pPr>
        <w:ind w:left="2100" w:hanging="1260"/>
      </w:pPr>
      <w:rPr>
        <w:rFonts w:hint="default"/>
      </w:rPr>
    </w:lvl>
    <w:lvl w:ilvl="5" w:tentative="0">
      <w:start w:val="1"/>
      <w:numFmt w:val="decimal"/>
      <w:isLgl/>
      <w:lvlText w:val="%1.%2.%3.%4.%5.%6"/>
      <w:lvlJc w:val="left"/>
      <w:pPr>
        <w:ind w:left="2490" w:hanging="1440"/>
      </w:pPr>
      <w:rPr>
        <w:rFonts w:hint="default"/>
      </w:rPr>
    </w:lvl>
    <w:lvl w:ilvl="6" w:tentative="0">
      <w:start w:val="1"/>
      <w:numFmt w:val="decimal"/>
      <w:isLgl/>
      <w:lvlText w:val="%1.%2.%3.%4.%5.%6.%7"/>
      <w:lvlJc w:val="left"/>
      <w:pPr>
        <w:ind w:left="2700" w:hanging="1440"/>
      </w:pPr>
      <w:rPr>
        <w:rFonts w:hint="default"/>
      </w:rPr>
    </w:lvl>
    <w:lvl w:ilvl="7" w:tentative="0">
      <w:start w:val="1"/>
      <w:numFmt w:val="decimal"/>
      <w:isLgl/>
      <w:lvlText w:val="%1.%2.%3.%4.%5.%6.%7.%8"/>
      <w:lvlJc w:val="left"/>
      <w:pPr>
        <w:ind w:left="3270" w:hanging="1800"/>
      </w:pPr>
      <w:rPr>
        <w:rFonts w:hint="default"/>
      </w:rPr>
    </w:lvl>
    <w:lvl w:ilvl="8" w:tentative="0">
      <w:start w:val="1"/>
      <w:numFmt w:val="decimal"/>
      <w:isLgl/>
      <w:lvlText w:val="%1.%2.%3.%4.%5.%6.%7.%8.%9"/>
      <w:lvlJc w:val="left"/>
      <w:pPr>
        <w:ind w:left="3480" w:hanging="1800"/>
      </w:pPr>
      <w:rPr>
        <w:rFonts w:hint="default"/>
      </w:rPr>
    </w:lvl>
  </w:abstractNum>
  <w:num w:numId="1">
    <w:abstractNumId w:val="15"/>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10"/>
  </w:num>
  <w:num w:numId="5">
    <w:abstractNumId w:val="19"/>
  </w:num>
  <w:num w:numId="6">
    <w:abstractNumId w:val="3"/>
  </w:num>
  <w:num w:numId="7">
    <w:abstractNumId w:val="25"/>
  </w:num>
  <w:num w:numId="8">
    <w:abstractNumId w:val="14"/>
  </w:num>
  <w:num w:numId="9">
    <w:abstractNumId w:val="13"/>
  </w:num>
  <w:num w:numId="10">
    <w:abstractNumId w:val="21"/>
  </w:num>
  <w:num w:numId="11">
    <w:abstractNumId w:val="16"/>
  </w:num>
  <w:num w:numId="12">
    <w:abstractNumId w:val="5"/>
  </w:num>
  <w:num w:numId="13">
    <w:abstractNumId w:val="7"/>
  </w:num>
  <w:num w:numId="14">
    <w:abstractNumId w:val="1"/>
  </w:num>
  <w:num w:numId="15">
    <w:abstractNumId w:val="17"/>
  </w:num>
  <w:num w:numId="16">
    <w:abstractNumId w:val="18"/>
  </w:num>
  <w:num w:numId="17">
    <w:abstractNumId w:val="11"/>
  </w:num>
  <w:num w:numId="18">
    <w:abstractNumId w:val="12"/>
  </w:num>
  <w:num w:numId="19">
    <w:abstractNumId w:val="22"/>
  </w:num>
  <w:num w:numId="20">
    <w:abstractNumId w:val="4"/>
  </w:num>
  <w:num w:numId="21">
    <w:abstractNumId w:val="8"/>
  </w:num>
  <w:num w:numId="22">
    <w:abstractNumId w:val="2"/>
  </w:num>
  <w:num w:numId="23">
    <w:abstractNumId w:val="20"/>
  </w:num>
  <w:num w:numId="24">
    <w:abstractNumId w:val="9"/>
  </w:num>
  <w:num w:numId="25">
    <w:abstractNumId w:val="23"/>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trackRevisions w:val="1"/>
  <w:documentProtection w:edit="comments"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2"/>
  </w:compat>
  <w:rsids>
    <w:rsidRoot w:val="00EE49B8"/>
    <w:rsid w:val="00000942"/>
    <w:rsid w:val="00000CFA"/>
    <w:rsid w:val="00000FAD"/>
    <w:rsid w:val="00001110"/>
    <w:rsid w:val="00001AA3"/>
    <w:rsid w:val="00001AC3"/>
    <w:rsid w:val="00001EAD"/>
    <w:rsid w:val="00003209"/>
    <w:rsid w:val="00003D90"/>
    <w:rsid w:val="00003F54"/>
    <w:rsid w:val="000043A4"/>
    <w:rsid w:val="000043D2"/>
    <w:rsid w:val="00004AC3"/>
    <w:rsid w:val="00004C68"/>
    <w:rsid w:val="000057A8"/>
    <w:rsid w:val="0000598A"/>
    <w:rsid w:val="00005A43"/>
    <w:rsid w:val="00005C2C"/>
    <w:rsid w:val="00005EB5"/>
    <w:rsid w:val="000067E9"/>
    <w:rsid w:val="00006F5A"/>
    <w:rsid w:val="000074F2"/>
    <w:rsid w:val="00007604"/>
    <w:rsid w:val="00007A7A"/>
    <w:rsid w:val="00010047"/>
    <w:rsid w:val="000103B9"/>
    <w:rsid w:val="0001108A"/>
    <w:rsid w:val="00011E9A"/>
    <w:rsid w:val="0001220F"/>
    <w:rsid w:val="00012579"/>
    <w:rsid w:val="00012A16"/>
    <w:rsid w:val="00012BE7"/>
    <w:rsid w:val="00013ED9"/>
    <w:rsid w:val="0001443D"/>
    <w:rsid w:val="0001489E"/>
    <w:rsid w:val="00014B7C"/>
    <w:rsid w:val="00014FC2"/>
    <w:rsid w:val="00015243"/>
    <w:rsid w:val="0001529E"/>
    <w:rsid w:val="00015335"/>
    <w:rsid w:val="00015530"/>
    <w:rsid w:val="0001555D"/>
    <w:rsid w:val="00015B5C"/>
    <w:rsid w:val="000162F2"/>
    <w:rsid w:val="00016378"/>
    <w:rsid w:val="000169C9"/>
    <w:rsid w:val="00017216"/>
    <w:rsid w:val="00017619"/>
    <w:rsid w:val="00017BA0"/>
    <w:rsid w:val="00017F52"/>
    <w:rsid w:val="00017F83"/>
    <w:rsid w:val="00017FCA"/>
    <w:rsid w:val="000205CD"/>
    <w:rsid w:val="000212A4"/>
    <w:rsid w:val="00022861"/>
    <w:rsid w:val="00022CAA"/>
    <w:rsid w:val="00023553"/>
    <w:rsid w:val="000237C7"/>
    <w:rsid w:val="000238E9"/>
    <w:rsid w:val="00023D1F"/>
    <w:rsid w:val="00023D7A"/>
    <w:rsid w:val="000242E8"/>
    <w:rsid w:val="000256F8"/>
    <w:rsid w:val="00026491"/>
    <w:rsid w:val="0002680B"/>
    <w:rsid w:val="00026A25"/>
    <w:rsid w:val="00026B41"/>
    <w:rsid w:val="00026FCC"/>
    <w:rsid w:val="00027880"/>
    <w:rsid w:val="000302CB"/>
    <w:rsid w:val="000305AF"/>
    <w:rsid w:val="000309E2"/>
    <w:rsid w:val="00030B9A"/>
    <w:rsid w:val="00030D2A"/>
    <w:rsid w:val="000316D4"/>
    <w:rsid w:val="00031BFA"/>
    <w:rsid w:val="00031F09"/>
    <w:rsid w:val="00031F33"/>
    <w:rsid w:val="0003200C"/>
    <w:rsid w:val="000320A9"/>
    <w:rsid w:val="000323B5"/>
    <w:rsid w:val="00032EEE"/>
    <w:rsid w:val="0003302D"/>
    <w:rsid w:val="0003339B"/>
    <w:rsid w:val="0003345E"/>
    <w:rsid w:val="0003356D"/>
    <w:rsid w:val="00034430"/>
    <w:rsid w:val="00035817"/>
    <w:rsid w:val="00035B6A"/>
    <w:rsid w:val="00036168"/>
    <w:rsid w:val="00036643"/>
    <w:rsid w:val="00037453"/>
    <w:rsid w:val="0003785D"/>
    <w:rsid w:val="00037860"/>
    <w:rsid w:val="00037B52"/>
    <w:rsid w:val="00040204"/>
    <w:rsid w:val="000406ED"/>
    <w:rsid w:val="000411FC"/>
    <w:rsid w:val="000416BD"/>
    <w:rsid w:val="00042286"/>
    <w:rsid w:val="000422D0"/>
    <w:rsid w:val="000423FB"/>
    <w:rsid w:val="0004244D"/>
    <w:rsid w:val="00042F8A"/>
    <w:rsid w:val="00043104"/>
    <w:rsid w:val="00044364"/>
    <w:rsid w:val="0004457D"/>
    <w:rsid w:val="00045C9C"/>
    <w:rsid w:val="0004699D"/>
    <w:rsid w:val="00047225"/>
    <w:rsid w:val="0004732D"/>
    <w:rsid w:val="0004786B"/>
    <w:rsid w:val="00050092"/>
    <w:rsid w:val="0005028E"/>
    <w:rsid w:val="000507A7"/>
    <w:rsid w:val="000508DC"/>
    <w:rsid w:val="00050A4E"/>
    <w:rsid w:val="00050DFF"/>
    <w:rsid w:val="0005199E"/>
    <w:rsid w:val="00051BC7"/>
    <w:rsid w:val="000525E2"/>
    <w:rsid w:val="00052883"/>
    <w:rsid w:val="00052907"/>
    <w:rsid w:val="00052A19"/>
    <w:rsid w:val="00052A6E"/>
    <w:rsid w:val="00052A84"/>
    <w:rsid w:val="00052DA4"/>
    <w:rsid w:val="00053686"/>
    <w:rsid w:val="00053B30"/>
    <w:rsid w:val="00054E45"/>
    <w:rsid w:val="00056BED"/>
    <w:rsid w:val="000570D4"/>
    <w:rsid w:val="00057213"/>
    <w:rsid w:val="00057369"/>
    <w:rsid w:val="00060C11"/>
    <w:rsid w:val="0006116F"/>
    <w:rsid w:val="0006277C"/>
    <w:rsid w:val="00064248"/>
    <w:rsid w:val="00064688"/>
    <w:rsid w:val="00065105"/>
    <w:rsid w:val="00065501"/>
    <w:rsid w:val="000659F5"/>
    <w:rsid w:val="00066016"/>
    <w:rsid w:val="00066347"/>
    <w:rsid w:val="00066676"/>
    <w:rsid w:val="000675C6"/>
    <w:rsid w:val="000675E0"/>
    <w:rsid w:val="000676F1"/>
    <w:rsid w:val="000678B7"/>
    <w:rsid w:val="00067DAF"/>
    <w:rsid w:val="00070685"/>
    <w:rsid w:val="0007098A"/>
    <w:rsid w:val="00070B00"/>
    <w:rsid w:val="00071119"/>
    <w:rsid w:val="0007131A"/>
    <w:rsid w:val="0007132E"/>
    <w:rsid w:val="0007135B"/>
    <w:rsid w:val="000721DB"/>
    <w:rsid w:val="00074294"/>
    <w:rsid w:val="000745B7"/>
    <w:rsid w:val="0007487F"/>
    <w:rsid w:val="000748A3"/>
    <w:rsid w:val="00074A19"/>
    <w:rsid w:val="00074EE3"/>
    <w:rsid w:val="0007584B"/>
    <w:rsid w:val="0007605D"/>
    <w:rsid w:val="0007643B"/>
    <w:rsid w:val="000765F6"/>
    <w:rsid w:val="00076D0F"/>
    <w:rsid w:val="00076D2D"/>
    <w:rsid w:val="0007741F"/>
    <w:rsid w:val="000777F7"/>
    <w:rsid w:val="00077A01"/>
    <w:rsid w:val="000810D5"/>
    <w:rsid w:val="0008115E"/>
    <w:rsid w:val="000814CB"/>
    <w:rsid w:val="00081C7F"/>
    <w:rsid w:val="000821B5"/>
    <w:rsid w:val="0008247C"/>
    <w:rsid w:val="000825DE"/>
    <w:rsid w:val="00083251"/>
    <w:rsid w:val="000835A0"/>
    <w:rsid w:val="000836B9"/>
    <w:rsid w:val="00083E0D"/>
    <w:rsid w:val="0008419D"/>
    <w:rsid w:val="00084D60"/>
    <w:rsid w:val="00084F22"/>
    <w:rsid w:val="0008534E"/>
    <w:rsid w:val="00085DA3"/>
    <w:rsid w:val="00086C36"/>
    <w:rsid w:val="00086E4D"/>
    <w:rsid w:val="00087A39"/>
    <w:rsid w:val="00087A66"/>
    <w:rsid w:val="00087C82"/>
    <w:rsid w:val="00090301"/>
    <w:rsid w:val="0009089D"/>
    <w:rsid w:val="00090F06"/>
    <w:rsid w:val="00090FCA"/>
    <w:rsid w:val="000923FD"/>
    <w:rsid w:val="00092B29"/>
    <w:rsid w:val="00092B44"/>
    <w:rsid w:val="000933DB"/>
    <w:rsid w:val="00093F75"/>
    <w:rsid w:val="00094068"/>
    <w:rsid w:val="00094AAB"/>
    <w:rsid w:val="00094E8A"/>
    <w:rsid w:val="0009519C"/>
    <w:rsid w:val="00095348"/>
    <w:rsid w:val="00095401"/>
    <w:rsid w:val="00095567"/>
    <w:rsid w:val="000955B1"/>
    <w:rsid w:val="0009598A"/>
    <w:rsid w:val="00095E33"/>
    <w:rsid w:val="000965B8"/>
    <w:rsid w:val="00096A4D"/>
    <w:rsid w:val="0009722A"/>
    <w:rsid w:val="00097241"/>
    <w:rsid w:val="000A0F33"/>
    <w:rsid w:val="000A0FB8"/>
    <w:rsid w:val="000A156E"/>
    <w:rsid w:val="000A1A8C"/>
    <w:rsid w:val="000A1B5F"/>
    <w:rsid w:val="000A1E05"/>
    <w:rsid w:val="000A2BCB"/>
    <w:rsid w:val="000A2FF6"/>
    <w:rsid w:val="000A3027"/>
    <w:rsid w:val="000A3525"/>
    <w:rsid w:val="000A468A"/>
    <w:rsid w:val="000A4AAF"/>
    <w:rsid w:val="000A5D30"/>
    <w:rsid w:val="000A6B57"/>
    <w:rsid w:val="000A6DA9"/>
    <w:rsid w:val="000A7169"/>
    <w:rsid w:val="000A760D"/>
    <w:rsid w:val="000A7A57"/>
    <w:rsid w:val="000B0153"/>
    <w:rsid w:val="000B0961"/>
    <w:rsid w:val="000B1BBC"/>
    <w:rsid w:val="000B2A46"/>
    <w:rsid w:val="000B2F78"/>
    <w:rsid w:val="000B2FC4"/>
    <w:rsid w:val="000B34C7"/>
    <w:rsid w:val="000B35E2"/>
    <w:rsid w:val="000B3E44"/>
    <w:rsid w:val="000B4991"/>
    <w:rsid w:val="000B4BA1"/>
    <w:rsid w:val="000B51DC"/>
    <w:rsid w:val="000B55C6"/>
    <w:rsid w:val="000B5B05"/>
    <w:rsid w:val="000B6398"/>
    <w:rsid w:val="000B64C7"/>
    <w:rsid w:val="000B73F8"/>
    <w:rsid w:val="000B77AE"/>
    <w:rsid w:val="000B7DC6"/>
    <w:rsid w:val="000C0695"/>
    <w:rsid w:val="000C0729"/>
    <w:rsid w:val="000C0B9A"/>
    <w:rsid w:val="000C1955"/>
    <w:rsid w:val="000C1FAF"/>
    <w:rsid w:val="000C2362"/>
    <w:rsid w:val="000C315F"/>
    <w:rsid w:val="000C3555"/>
    <w:rsid w:val="000C54DB"/>
    <w:rsid w:val="000C5E80"/>
    <w:rsid w:val="000C63BB"/>
    <w:rsid w:val="000C6A60"/>
    <w:rsid w:val="000C7846"/>
    <w:rsid w:val="000D03AA"/>
    <w:rsid w:val="000D061B"/>
    <w:rsid w:val="000D0B82"/>
    <w:rsid w:val="000D1947"/>
    <w:rsid w:val="000D1FAF"/>
    <w:rsid w:val="000D2ACB"/>
    <w:rsid w:val="000D2C4F"/>
    <w:rsid w:val="000D2FB4"/>
    <w:rsid w:val="000D3088"/>
    <w:rsid w:val="000D38DA"/>
    <w:rsid w:val="000D39B6"/>
    <w:rsid w:val="000D3B70"/>
    <w:rsid w:val="000D4A6D"/>
    <w:rsid w:val="000D4AD2"/>
    <w:rsid w:val="000D51B0"/>
    <w:rsid w:val="000D51E8"/>
    <w:rsid w:val="000D58E7"/>
    <w:rsid w:val="000D5B17"/>
    <w:rsid w:val="000D7538"/>
    <w:rsid w:val="000D7D72"/>
    <w:rsid w:val="000E0064"/>
    <w:rsid w:val="000E0A8A"/>
    <w:rsid w:val="000E0B74"/>
    <w:rsid w:val="000E0B7C"/>
    <w:rsid w:val="000E0BCD"/>
    <w:rsid w:val="000E14F6"/>
    <w:rsid w:val="000E20D8"/>
    <w:rsid w:val="000E2D05"/>
    <w:rsid w:val="000E3951"/>
    <w:rsid w:val="000E428B"/>
    <w:rsid w:val="000E458D"/>
    <w:rsid w:val="000E500A"/>
    <w:rsid w:val="000E5A75"/>
    <w:rsid w:val="000E5B39"/>
    <w:rsid w:val="000E637D"/>
    <w:rsid w:val="000E65A2"/>
    <w:rsid w:val="000E65C7"/>
    <w:rsid w:val="000E6D48"/>
    <w:rsid w:val="000E6EA9"/>
    <w:rsid w:val="000E7155"/>
    <w:rsid w:val="000E772C"/>
    <w:rsid w:val="000E797E"/>
    <w:rsid w:val="000E7B77"/>
    <w:rsid w:val="000F0203"/>
    <w:rsid w:val="000F0262"/>
    <w:rsid w:val="000F07CA"/>
    <w:rsid w:val="000F183B"/>
    <w:rsid w:val="000F1B08"/>
    <w:rsid w:val="000F2091"/>
    <w:rsid w:val="000F2953"/>
    <w:rsid w:val="000F2B96"/>
    <w:rsid w:val="000F3361"/>
    <w:rsid w:val="000F3AA1"/>
    <w:rsid w:val="000F4150"/>
    <w:rsid w:val="000F419A"/>
    <w:rsid w:val="000F457A"/>
    <w:rsid w:val="000F489B"/>
    <w:rsid w:val="000F4CED"/>
    <w:rsid w:val="000F5144"/>
    <w:rsid w:val="000F5546"/>
    <w:rsid w:val="000F559C"/>
    <w:rsid w:val="000F5757"/>
    <w:rsid w:val="000F5872"/>
    <w:rsid w:val="000F5C7A"/>
    <w:rsid w:val="000F6557"/>
    <w:rsid w:val="000F65BD"/>
    <w:rsid w:val="000F6E6B"/>
    <w:rsid w:val="000F73C1"/>
    <w:rsid w:val="000F7886"/>
    <w:rsid w:val="00101A40"/>
    <w:rsid w:val="00102A76"/>
    <w:rsid w:val="0010339F"/>
    <w:rsid w:val="00103A14"/>
    <w:rsid w:val="00104946"/>
    <w:rsid w:val="00105A54"/>
    <w:rsid w:val="00105DDB"/>
    <w:rsid w:val="00106138"/>
    <w:rsid w:val="001061F9"/>
    <w:rsid w:val="001065E6"/>
    <w:rsid w:val="00106F0B"/>
    <w:rsid w:val="001079B6"/>
    <w:rsid w:val="001106BE"/>
    <w:rsid w:val="00110E0A"/>
    <w:rsid w:val="00111008"/>
    <w:rsid w:val="00111167"/>
    <w:rsid w:val="0011138A"/>
    <w:rsid w:val="00111444"/>
    <w:rsid w:val="001124F8"/>
    <w:rsid w:val="001126DF"/>
    <w:rsid w:val="001126EF"/>
    <w:rsid w:val="001127B9"/>
    <w:rsid w:val="00112974"/>
    <w:rsid w:val="00113511"/>
    <w:rsid w:val="00113956"/>
    <w:rsid w:val="001144F0"/>
    <w:rsid w:val="00114799"/>
    <w:rsid w:val="0011496E"/>
    <w:rsid w:val="00114E1A"/>
    <w:rsid w:val="00114EA5"/>
    <w:rsid w:val="001157EF"/>
    <w:rsid w:val="00115963"/>
    <w:rsid w:val="00115C8D"/>
    <w:rsid w:val="00115E53"/>
    <w:rsid w:val="00116D48"/>
    <w:rsid w:val="001205C2"/>
    <w:rsid w:val="00121348"/>
    <w:rsid w:val="0012174C"/>
    <w:rsid w:val="0012186F"/>
    <w:rsid w:val="00121B61"/>
    <w:rsid w:val="00121D11"/>
    <w:rsid w:val="00121F81"/>
    <w:rsid w:val="0012205D"/>
    <w:rsid w:val="00122AAF"/>
    <w:rsid w:val="00122FF6"/>
    <w:rsid w:val="00123094"/>
    <w:rsid w:val="00123235"/>
    <w:rsid w:val="00123866"/>
    <w:rsid w:val="00123D71"/>
    <w:rsid w:val="0012683C"/>
    <w:rsid w:val="0012691F"/>
    <w:rsid w:val="0012736D"/>
    <w:rsid w:val="00127CDC"/>
    <w:rsid w:val="001301DB"/>
    <w:rsid w:val="0013021E"/>
    <w:rsid w:val="00130E55"/>
    <w:rsid w:val="001316EA"/>
    <w:rsid w:val="00131E1F"/>
    <w:rsid w:val="00132E30"/>
    <w:rsid w:val="0013311D"/>
    <w:rsid w:val="00133273"/>
    <w:rsid w:val="00133A79"/>
    <w:rsid w:val="00133D19"/>
    <w:rsid w:val="00133EC6"/>
    <w:rsid w:val="001346C6"/>
    <w:rsid w:val="00134AC7"/>
    <w:rsid w:val="001353C6"/>
    <w:rsid w:val="00135555"/>
    <w:rsid w:val="001355F6"/>
    <w:rsid w:val="00135958"/>
    <w:rsid w:val="0013643C"/>
    <w:rsid w:val="00137A26"/>
    <w:rsid w:val="001400EB"/>
    <w:rsid w:val="001405EE"/>
    <w:rsid w:val="00141045"/>
    <w:rsid w:val="001416DE"/>
    <w:rsid w:val="001418C0"/>
    <w:rsid w:val="00141D0D"/>
    <w:rsid w:val="001427E9"/>
    <w:rsid w:val="00142995"/>
    <w:rsid w:val="00143438"/>
    <w:rsid w:val="00143C5D"/>
    <w:rsid w:val="0014402D"/>
    <w:rsid w:val="001441B8"/>
    <w:rsid w:val="00144229"/>
    <w:rsid w:val="00145270"/>
    <w:rsid w:val="00145C26"/>
    <w:rsid w:val="001465D7"/>
    <w:rsid w:val="00146C7D"/>
    <w:rsid w:val="00147010"/>
    <w:rsid w:val="0014733E"/>
    <w:rsid w:val="00147518"/>
    <w:rsid w:val="001478D7"/>
    <w:rsid w:val="00147C34"/>
    <w:rsid w:val="00147EDB"/>
    <w:rsid w:val="00147F15"/>
    <w:rsid w:val="00150404"/>
    <w:rsid w:val="00151221"/>
    <w:rsid w:val="001512C8"/>
    <w:rsid w:val="0015149E"/>
    <w:rsid w:val="001514DB"/>
    <w:rsid w:val="00151534"/>
    <w:rsid w:val="00151701"/>
    <w:rsid w:val="0015190C"/>
    <w:rsid w:val="00152257"/>
    <w:rsid w:val="00153015"/>
    <w:rsid w:val="00153445"/>
    <w:rsid w:val="00153A2F"/>
    <w:rsid w:val="00155B9A"/>
    <w:rsid w:val="0015690E"/>
    <w:rsid w:val="001574EF"/>
    <w:rsid w:val="001575DA"/>
    <w:rsid w:val="001602ED"/>
    <w:rsid w:val="0016034C"/>
    <w:rsid w:val="0016137D"/>
    <w:rsid w:val="001613B6"/>
    <w:rsid w:val="001618F8"/>
    <w:rsid w:val="00161EEB"/>
    <w:rsid w:val="00162029"/>
    <w:rsid w:val="0016265A"/>
    <w:rsid w:val="001627D5"/>
    <w:rsid w:val="00162D58"/>
    <w:rsid w:val="00162E62"/>
    <w:rsid w:val="001633E1"/>
    <w:rsid w:val="00163D6A"/>
    <w:rsid w:val="00163F81"/>
    <w:rsid w:val="00164811"/>
    <w:rsid w:val="00165252"/>
    <w:rsid w:val="0016527D"/>
    <w:rsid w:val="0016592C"/>
    <w:rsid w:val="00166ED1"/>
    <w:rsid w:val="00167461"/>
    <w:rsid w:val="001675D2"/>
    <w:rsid w:val="00167BDE"/>
    <w:rsid w:val="00167C52"/>
    <w:rsid w:val="0017065A"/>
    <w:rsid w:val="0017095B"/>
    <w:rsid w:val="0017146D"/>
    <w:rsid w:val="001714A7"/>
    <w:rsid w:val="0017234C"/>
    <w:rsid w:val="00173768"/>
    <w:rsid w:val="00174020"/>
    <w:rsid w:val="001746A7"/>
    <w:rsid w:val="00174FC6"/>
    <w:rsid w:val="00175AC3"/>
    <w:rsid w:val="00175B5D"/>
    <w:rsid w:val="00176687"/>
    <w:rsid w:val="0017694D"/>
    <w:rsid w:val="001771C2"/>
    <w:rsid w:val="00177E4B"/>
    <w:rsid w:val="00177E95"/>
    <w:rsid w:val="001802CF"/>
    <w:rsid w:val="001807A0"/>
    <w:rsid w:val="0018151C"/>
    <w:rsid w:val="00181B88"/>
    <w:rsid w:val="00182239"/>
    <w:rsid w:val="001822ED"/>
    <w:rsid w:val="0018290C"/>
    <w:rsid w:val="001836E6"/>
    <w:rsid w:val="00183868"/>
    <w:rsid w:val="00183F8F"/>
    <w:rsid w:val="0018437D"/>
    <w:rsid w:val="001846A9"/>
    <w:rsid w:val="0018498C"/>
    <w:rsid w:val="00184A17"/>
    <w:rsid w:val="00184F82"/>
    <w:rsid w:val="001854C2"/>
    <w:rsid w:val="00186749"/>
    <w:rsid w:val="001868A9"/>
    <w:rsid w:val="0018783D"/>
    <w:rsid w:val="001878AA"/>
    <w:rsid w:val="00187D05"/>
    <w:rsid w:val="00187FAB"/>
    <w:rsid w:val="00190118"/>
    <w:rsid w:val="00190DC4"/>
    <w:rsid w:val="00191535"/>
    <w:rsid w:val="00192D0F"/>
    <w:rsid w:val="00192D2B"/>
    <w:rsid w:val="0019350A"/>
    <w:rsid w:val="0019371F"/>
    <w:rsid w:val="001937F0"/>
    <w:rsid w:val="0019467A"/>
    <w:rsid w:val="00194855"/>
    <w:rsid w:val="001948EB"/>
    <w:rsid w:val="00194C34"/>
    <w:rsid w:val="00194D45"/>
    <w:rsid w:val="001954AB"/>
    <w:rsid w:val="00195883"/>
    <w:rsid w:val="00195A88"/>
    <w:rsid w:val="0019627C"/>
    <w:rsid w:val="00197143"/>
    <w:rsid w:val="00197447"/>
    <w:rsid w:val="001978B3"/>
    <w:rsid w:val="00197F0E"/>
    <w:rsid w:val="001A126A"/>
    <w:rsid w:val="001A1B42"/>
    <w:rsid w:val="001A1B53"/>
    <w:rsid w:val="001A1E12"/>
    <w:rsid w:val="001A326D"/>
    <w:rsid w:val="001A3674"/>
    <w:rsid w:val="001A390E"/>
    <w:rsid w:val="001A4303"/>
    <w:rsid w:val="001A4657"/>
    <w:rsid w:val="001A486A"/>
    <w:rsid w:val="001A4C34"/>
    <w:rsid w:val="001A5678"/>
    <w:rsid w:val="001A5B35"/>
    <w:rsid w:val="001A61E5"/>
    <w:rsid w:val="001A6328"/>
    <w:rsid w:val="001A66AB"/>
    <w:rsid w:val="001A7419"/>
    <w:rsid w:val="001A7B56"/>
    <w:rsid w:val="001A7CDB"/>
    <w:rsid w:val="001A7D36"/>
    <w:rsid w:val="001B0CC2"/>
    <w:rsid w:val="001B1201"/>
    <w:rsid w:val="001B12FA"/>
    <w:rsid w:val="001B1F80"/>
    <w:rsid w:val="001B317F"/>
    <w:rsid w:val="001B406E"/>
    <w:rsid w:val="001B41A0"/>
    <w:rsid w:val="001B442F"/>
    <w:rsid w:val="001B457B"/>
    <w:rsid w:val="001B4988"/>
    <w:rsid w:val="001B603B"/>
    <w:rsid w:val="001B73F0"/>
    <w:rsid w:val="001B745A"/>
    <w:rsid w:val="001C0672"/>
    <w:rsid w:val="001C0C02"/>
    <w:rsid w:val="001C0E8B"/>
    <w:rsid w:val="001C1043"/>
    <w:rsid w:val="001C1247"/>
    <w:rsid w:val="001C12FC"/>
    <w:rsid w:val="001C1395"/>
    <w:rsid w:val="001C1B6E"/>
    <w:rsid w:val="001C1D4C"/>
    <w:rsid w:val="001C1F39"/>
    <w:rsid w:val="001C27E9"/>
    <w:rsid w:val="001C2891"/>
    <w:rsid w:val="001C2A25"/>
    <w:rsid w:val="001C4644"/>
    <w:rsid w:val="001C4C69"/>
    <w:rsid w:val="001C4CD5"/>
    <w:rsid w:val="001C555C"/>
    <w:rsid w:val="001C5647"/>
    <w:rsid w:val="001C5EB7"/>
    <w:rsid w:val="001C61FE"/>
    <w:rsid w:val="001C65DC"/>
    <w:rsid w:val="001C69FA"/>
    <w:rsid w:val="001C6B23"/>
    <w:rsid w:val="001C6E5B"/>
    <w:rsid w:val="001C791C"/>
    <w:rsid w:val="001C7D9B"/>
    <w:rsid w:val="001C7DE0"/>
    <w:rsid w:val="001D01F7"/>
    <w:rsid w:val="001D06D6"/>
    <w:rsid w:val="001D07C6"/>
    <w:rsid w:val="001D0C40"/>
    <w:rsid w:val="001D0D73"/>
    <w:rsid w:val="001D22C0"/>
    <w:rsid w:val="001D2426"/>
    <w:rsid w:val="001D2512"/>
    <w:rsid w:val="001D2960"/>
    <w:rsid w:val="001D29D1"/>
    <w:rsid w:val="001D2B53"/>
    <w:rsid w:val="001D2FB4"/>
    <w:rsid w:val="001D3554"/>
    <w:rsid w:val="001D3AD7"/>
    <w:rsid w:val="001D3D4F"/>
    <w:rsid w:val="001D4485"/>
    <w:rsid w:val="001D4CD9"/>
    <w:rsid w:val="001D5159"/>
    <w:rsid w:val="001D6333"/>
    <w:rsid w:val="001D6353"/>
    <w:rsid w:val="001D6A55"/>
    <w:rsid w:val="001D7A88"/>
    <w:rsid w:val="001D7C4D"/>
    <w:rsid w:val="001D7D2C"/>
    <w:rsid w:val="001E016C"/>
    <w:rsid w:val="001E0D93"/>
    <w:rsid w:val="001E1914"/>
    <w:rsid w:val="001E1CB5"/>
    <w:rsid w:val="001E2889"/>
    <w:rsid w:val="001E2C86"/>
    <w:rsid w:val="001E31CC"/>
    <w:rsid w:val="001E3631"/>
    <w:rsid w:val="001E5B53"/>
    <w:rsid w:val="001E619C"/>
    <w:rsid w:val="001E6EA8"/>
    <w:rsid w:val="001E6EDF"/>
    <w:rsid w:val="001E71B9"/>
    <w:rsid w:val="001E7380"/>
    <w:rsid w:val="001F006F"/>
    <w:rsid w:val="001F097B"/>
    <w:rsid w:val="001F0ACA"/>
    <w:rsid w:val="001F1D02"/>
    <w:rsid w:val="001F1D69"/>
    <w:rsid w:val="001F2429"/>
    <w:rsid w:val="001F3269"/>
    <w:rsid w:val="001F3829"/>
    <w:rsid w:val="001F3DB9"/>
    <w:rsid w:val="001F5201"/>
    <w:rsid w:val="001F5335"/>
    <w:rsid w:val="001F5E10"/>
    <w:rsid w:val="001F61E8"/>
    <w:rsid w:val="001F62EE"/>
    <w:rsid w:val="001F6364"/>
    <w:rsid w:val="001F6398"/>
    <w:rsid w:val="001F7ECE"/>
    <w:rsid w:val="001F7F14"/>
    <w:rsid w:val="0020109E"/>
    <w:rsid w:val="00201471"/>
    <w:rsid w:val="002021D2"/>
    <w:rsid w:val="00202EAB"/>
    <w:rsid w:val="00202F43"/>
    <w:rsid w:val="00202F7B"/>
    <w:rsid w:val="00203132"/>
    <w:rsid w:val="00203187"/>
    <w:rsid w:val="00203C06"/>
    <w:rsid w:val="00203D4D"/>
    <w:rsid w:val="002044EF"/>
    <w:rsid w:val="0020518A"/>
    <w:rsid w:val="002065FD"/>
    <w:rsid w:val="00206E4C"/>
    <w:rsid w:val="002074DB"/>
    <w:rsid w:val="0020760C"/>
    <w:rsid w:val="00207698"/>
    <w:rsid w:val="00207B71"/>
    <w:rsid w:val="00207C92"/>
    <w:rsid w:val="00210135"/>
    <w:rsid w:val="00210D9A"/>
    <w:rsid w:val="00211636"/>
    <w:rsid w:val="00212A1E"/>
    <w:rsid w:val="00213214"/>
    <w:rsid w:val="00213231"/>
    <w:rsid w:val="0021394C"/>
    <w:rsid w:val="00213E06"/>
    <w:rsid w:val="002143B5"/>
    <w:rsid w:val="00214960"/>
    <w:rsid w:val="0021521A"/>
    <w:rsid w:val="0021580F"/>
    <w:rsid w:val="00215CE1"/>
    <w:rsid w:val="00215FE8"/>
    <w:rsid w:val="0021611E"/>
    <w:rsid w:val="00216A79"/>
    <w:rsid w:val="00216D6F"/>
    <w:rsid w:val="002177C8"/>
    <w:rsid w:val="00220098"/>
    <w:rsid w:val="00220216"/>
    <w:rsid w:val="002208F3"/>
    <w:rsid w:val="00221262"/>
    <w:rsid w:val="002217FB"/>
    <w:rsid w:val="0022295C"/>
    <w:rsid w:val="00222FD7"/>
    <w:rsid w:val="0022428D"/>
    <w:rsid w:val="00224690"/>
    <w:rsid w:val="00224A90"/>
    <w:rsid w:val="00224B7F"/>
    <w:rsid w:val="00224D0F"/>
    <w:rsid w:val="0022533C"/>
    <w:rsid w:val="00225A1F"/>
    <w:rsid w:val="00225C56"/>
    <w:rsid w:val="00225FBE"/>
    <w:rsid w:val="00226D3D"/>
    <w:rsid w:val="00227ED6"/>
    <w:rsid w:val="00230309"/>
    <w:rsid w:val="00230575"/>
    <w:rsid w:val="0023062D"/>
    <w:rsid w:val="00230B83"/>
    <w:rsid w:val="00230C96"/>
    <w:rsid w:val="00231258"/>
    <w:rsid w:val="0023209F"/>
    <w:rsid w:val="002326CE"/>
    <w:rsid w:val="00232842"/>
    <w:rsid w:val="00232A01"/>
    <w:rsid w:val="00232A92"/>
    <w:rsid w:val="00233761"/>
    <w:rsid w:val="0023431E"/>
    <w:rsid w:val="00234515"/>
    <w:rsid w:val="002351D0"/>
    <w:rsid w:val="00235C9A"/>
    <w:rsid w:val="00235D2C"/>
    <w:rsid w:val="00235E5B"/>
    <w:rsid w:val="0023644A"/>
    <w:rsid w:val="00236DB1"/>
    <w:rsid w:val="002372CD"/>
    <w:rsid w:val="00237D59"/>
    <w:rsid w:val="00241297"/>
    <w:rsid w:val="002415A7"/>
    <w:rsid w:val="00241D65"/>
    <w:rsid w:val="00242DBD"/>
    <w:rsid w:val="002434C2"/>
    <w:rsid w:val="00243960"/>
    <w:rsid w:val="00244584"/>
    <w:rsid w:val="00244A5C"/>
    <w:rsid w:val="00244E0C"/>
    <w:rsid w:val="00245CDB"/>
    <w:rsid w:val="002462E3"/>
    <w:rsid w:val="00246792"/>
    <w:rsid w:val="00246D0E"/>
    <w:rsid w:val="00246DC8"/>
    <w:rsid w:val="0024705B"/>
    <w:rsid w:val="00250101"/>
    <w:rsid w:val="0025116E"/>
    <w:rsid w:val="00251BCA"/>
    <w:rsid w:val="00252282"/>
    <w:rsid w:val="00252833"/>
    <w:rsid w:val="0025322D"/>
    <w:rsid w:val="00253A4C"/>
    <w:rsid w:val="00254B79"/>
    <w:rsid w:val="00254BFC"/>
    <w:rsid w:val="00254D6A"/>
    <w:rsid w:val="00255490"/>
    <w:rsid w:val="0025565F"/>
    <w:rsid w:val="00256850"/>
    <w:rsid w:val="0025711B"/>
    <w:rsid w:val="002572F5"/>
    <w:rsid w:val="00260017"/>
    <w:rsid w:val="002612A9"/>
    <w:rsid w:val="00261B9B"/>
    <w:rsid w:val="002621AD"/>
    <w:rsid w:val="00263B5D"/>
    <w:rsid w:val="00264AE7"/>
    <w:rsid w:val="002657F5"/>
    <w:rsid w:val="00266497"/>
    <w:rsid w:val="00266531"/>
    <w:rsid w:val="00267383"/>
    <w:rsid w:val="00270210"/>
    <w:rsid w:val="0027030C"/>
    <w:rsid w:val="0027079C"/>
    <w:rsid w:val="0027127E"/>
    <w:rsid w:val="002715DA"/>
    <w:rsid w:val="00271968"/>
    <w:rsid w:val="002727E7"/>
    <w:rsid w:val="002728CA"/>
    <w:rsid w:val="00274F95"/>
    <w:rsid w:val="00275104"/>
    <w:rsid w:val="002753B2"/>
    <w:rsid w:val="00276310"/>
    <w:rsid w:val="002765DE"/>
    <w:rsid w:val="002765FC"/>
    <w:rsid w:val="002768BD"/>
    <w:rsid w:val="00276C74"/>
    <w:rsid w:val="002779DD"/>
    <w:rsid w:val="00277EA3"/>
    <w:rsid w:val="00281823"/>
    <w:rsid w:val="00282094"/>
    <w:rsid w:val="00282A93"/>
    <w:rsid w:val="00282AB4"/>
    <w:rsid w:val="00282B48"/>
    <w:rsid w:val="002834E6"/>
    <w:rsid w:val="002837EE"/>
    <w:rsid w:val="00283D7D"/>
    <w:rsid w:val="002847DE"/>
    <w:rsid w:val="002857CE"/>
    <w:rsid w:val="00285F42"/>
    <w:rsid w:val="002864BC"/>
    <w:rsid w:val="00286E0C"/>
    <w:rsid w:val="00287A92"/>
    <w:rsid w:val="00287D88"/>
    <w:rsid w:val="0029025A"/>
    <w:rsid w:val="00290448"/>
    <w:rsid w:val="00290729"/>
    <w:rsid w:val="0029090C"/>
    <w:rsid w:val="002914DE"/>
    <w:rsid w:val="002915B7"/>
    <w:rsid w:val="00291950"/>
    <w:rsid w:val="00291CB5"/>
    <w:rsid w:val="00291DAC"/>
    <w:rsid w:val="0029224A"/>
    <w:rsid w:val="002922D7"/>
    <w:rsid w:val="00292AA5"/>
    <w:rsid w:val="00292AC4"/>
    <w:rsid w:val="00292E05"/>
    <w:rsid w:val="00292F7A"/>
    <w:rsid w:val="00293544"/>
    <w:rsid w:val="002937CD"/>
    <w:rsid w:val="00294FA3"/>
    <w:rsid w:val="002952A8"/>
    <w:rsid w:val="00296123"/>
    <w:rsid w:val="00296A42"/>
    <w:rsid w:val="00296BF9"/>
    <w:rsid w:val="00296C11"/>
    <w:rsid w:val="00296C87"/>
    <w:rsid w:val="00296CE6"/>
    <w:rsid w:val="00296DBA"/>
    <w:rsid w:val="00296F79"/>
    <w:rsid w:val="00296FBC"/>
    <w:rsid w:val="0029760A"/>
    <w:rsid w:val="002A05AE"/>
    <w:rsid w:val="002A1A94"/>
    <w:rsid w:val="002A1EBD"/>
    <w:rsid w:val="002A2242"/>
    <w:rsid w:val="002A38C8"/>
    <w:rsid w:val="002A409B"/>
    <w:rsid w:val="002A4443"/>
    <w:rsid w:val="002A5BF7"/>
    <w:rsid w:val="002A62F0"/>
    <w:rsid w:val="002A6861"/>
    <w:rsid w:val="002A731C"/>
    <w:rsid w:val="002A7440"/>
    <w:rsid w:val="002A7800"/>
    <w:rsid w:val="002A7A28"/>
    <w:rsid w:val="002B0DAC"/>
    <w:rsid w:val="002B128C"/>
    <w:rsid w:val="002B1BBA"/>
    <w:rsid w:val="002B2EBD"/>
    <w:rsid w:val="002B33A1"/>
    <w:rsid w:val="002B36B9"/>
    <w:rsid w:val="002B3786"/>
    <w:rsid w:val="002B3FCD"/>
    <w:rsid w:val="002B4901"/>
    <w:rsid w:val="002B5E76"/>
    <w:rsid w:val="002B7A89"/>
    <w:rsid w:val="002B7A9C"/>
    <w:rsid w:val="002C0149"/>
    <w:rsid w:val="002C06E1"/>
    <w:rsid w:val="002C0D29"/>
    <w:rsid w:val="002C0EB7"/>
    <w:rsid w:val="002C18BF"/>
    <w:rsid w:val="002C1AB6"/>
    <w:rsid w:val="002C2B5D"/>
    <w:rsid w:val="002C32E7"/>
    <w:rsid w:val="002C5097"/>
    <w:rsid w:val="002C523B"/>
    <w:rsid w:val="002C568D"/>
    <w:rsid w:val="002C5A1B"/>
    <w:rsid w:val="002C6014"/>
    <w:rsid w:val="002C65BA"/>
    <w:rsid w:val="002C68D6"/>
    <w:rsid w:val="002C6B02"/>
    <w:rsid w:val="002D00BA"/>
    <w:rsid w:val="002D0AD3"/>
    <w:rsid w:val="002D1115"/>
    <w:rsid w:val="002D27C6"/>
    <w:rsid w:val="002D2A94"/>
    <w:rsid w:val="002D31BA"/>
    <w:rsid w:val="002D445F"/>
    <w:rsid w:val="002D47E4"/>
    <w:rsid w:val="002D61A3"/>
    <w:rsid w:val="002D663A"/>
    <w:rsid w:val="002D72D0"/>
    <w:rsid w:val="002E07AC"/>
    <w:rsid w:val="002E0AEE"/>
    <w:rsid w:val="002E1759"/>
    <w:rsid w:val="002E1B76"/>
    <w:rsid w:val="002E2059"/>
    <w:rsid w:val="002E290C"/>
    <w:rsid w:val="002E2B86"/>
    <w:rsid w:val="002E325A"/>
    <w:rsid w:val="002E32EF"/>
    <w:rsid w:val="002E38EB"/>
    <w:rsid w:val="002E3C78"/>
    <w:rsid w:val="002E41AD"/>
    <w:rsid w:val="002E4255"/>
    <w:rsid w:val="002E430E"/>
    <w:rsid w:val="002E469A"/>
    <w:rsid w:val="002E4A2D"/>
    <w:rsid w:val="002E4BC3"/>
    <w:rsid w:val="002E5B89"/>
    <w:rsid w:val="002E5BFC"/>
    <w:rsid w:val="002E5EE1"/>
    <w:rsid w:val="002E5F97"/>
    <w:rsid w:val="002E6703"/>
    <w:rsid w:val="002E729C"/>
    <w:rsid w:val="002E7B9C"/>
    <w:rsid w:val="002F0503"/>
    <w:rsid w:val="002F1334"/>
    <w:rsid w:val="002F2492"/>
    <w:rsid w:val="002F29D7"/>
    <w:rsid w:val="002F2A59"/>
    <w:rsid w:val="002F3508"/>
    <w:rsid w:val="002F397A"/>
    <w:rsid w:val="002F3F0A"/>
    <w:rsid w:val="002F4763"/>
    <w:rsid w:val="002F4976"/>
    <w:rsid w:val="002F50BE"/>
    <w:rsid w:val="002F5319"/>
    <w:rsid w:val="002F5AD8"/>
    <w:rsid w:val="002F6756"/>
    <w:rsid w:val="002F73EE"/>
    <w:rsid w:val="002F7DB7"/>
    <w:rsid w:val="00300088"/>
    <w:rsid w:val="00300281"/>
    <w:rsid w:val="003002D5"/>
    <w:rsid w:val="0030148A"/>
    <w:rsid w:val="00301BE6"/>
    <w:rsid w:val="00301E81"/>
    <w:rsid w:val="00302058"/>
    <w:rsid w:val="00302314"/>
    <w:rsid w:val="00302CE1"/>
    <w:rsid w:val="003031C0"/>
    <w:rsid w:val="003035AE"/>
    <w:rsid w:val="00303D74"/>
    <w:rsid w:val="003045A5"/>
    <w:rsid w:val="00304615"/>
    <w:rsid w:val="0030505C"/>
    <w:rsid w:val="00305B73"/>
    <w:rsid w:val="00306423"/>
    <w:rsid w:val="0030727D"/>
    <w:rsid w:val="003079EA"/>
    <w:rsid w:val="00307C97"/>
    <w:rsid w:val="00310E98"/>
    <w:rsid w:val="00312422"/>
    <w:rsid w:val="00312918"/>
    <w:rsid w:val="003138CC"/>
    <w:rsid w:val="00313B6E"/>
    <w:rsid w:val="00314123"/>
    <w:rsid w:val="00314210"/>
    <w:rsid w:val="00314232"/>
    <w:rsid w:val="00314402"/>
    <w:rsid w:val="00315D77"/>
    <w:rsid w:val="00316889"/>
    <w:rsid w:val="00317200"/>
    <w:rsid w:val="00317B20"/>
    <w:rsid w:val="0032079B"/>
    <w:rsid w:val="00321001"/>
    <w:rsid w:val="003217B8"/>
    <w:rsid w:val="003226DE"/>
    <w:rsid w:val="003227DC"/>
    <w:rsid w:val="003228BF"/>
    <w:rsid w:val="00323591"/>
    <w:rsid w:val="00323819"/>
    <w:rsid w:val="003240A2"/>
    <w:rsid w:val="0032421A"/>
    <w:rsid w:val="00325A99"/>
    <w:rsid w:val="00326AAB"/>
    <w:rsid w:val="00326C1C"/>
    <w:rsid w:val="00326C58"/>
    <w:rsid w:val="00326D71"/>
    <w:rsid w:val="00327A0A"/>
    <w:rsid w:val="00327C2A"/>
    <w:rsid w:val="0033061D"/>
    <w:rsid w:val="003309E4"/>
    <w:rsid w:val="00331405"/>
    <w:rsid w:val="00331FEB"/>
    <w:rsid w:val="00332582"/>
    <w:rsid w:val="00332DD7"/>
    <w:rsid w:val="00333502"/>
    <w:rsid w:val="00333C1C"/>
    <w:rsid w:val="00333C74"/>
    <w:rsid w:val="00333C8A"/>
    <w:rsid w:val="003341EA"/>
    <w:rsid w:val="003345BE"/>
    <w:rsid w:val="003350DD"/>
    <w:rsid w:val="00335740"/>
    <w:rsid w:val="00335EE3"/>
    <w:rsid w:val="00336B84"/>
    <w:rsid w:val="003370B2"/>
    <w:rsid w:val="0033735A"/>
    <w:rsid w:val="00337E29"/>
    <w:rsid w:val="00337FE3"/>
    <w:rsid w:val="003404FF"/>
    <w:rsid w:val="003407E4"/>
    <w:rsid w:val="00340B29"/>
    <w:rsid w:val="00340C70"/>
    <w:rsid w:val="0034134F"/>
    <w:rsid w:val="00341589"/>
    <w:rsid w:val="00341A2B"/>
    <w:rsid w:val="003421DE"/>
    <w:rsid w:val="00342537"/>
    <w:rsid w:val="0034272E"/>
    <w:rsid w:val="00342EAF"/>
    <w:rsid w:val="00343628"/>
    <w:rsid w:val="00343E8A"/>
    <w:rsid w:val="00343F48"/>
    <w:rsid w:val="00344423"/>
    <w:rsid w:val="00344759"/>
    <w:rsid w:val="0034494A"/>
    <w:rsid w:val="003453F6"/>
    <w:rsid w:val="0034574A"/>
    <w:rsid w:val="00345FCB"/>
    <w:rsid w:val="00346006"/>
    <w:rsid w:val="0034618E"/>
    <w:rsid w:val="00346241"/>
    <w:rsid w:val="00346CE0"/>
    <w:rsid w:val="0034741C"/>
    <w:rsid w:val="00347918"/>
    <w:rsid w:val="00347E66"/>
    <w:rsid w:val="0035009A"/>
    <w:rsid w:val="0035052E"/>
    <w:rsid w:val="00350FF8"/>
    <w:rsid w:val="0035147F"/>
    <w:rsid w:val="003514D5"/>
    <w:rsid w:val="00352E96"/>
    <w:rsid w:val="0035396B"/>
    <w:rsid w:val="003539C0"/>
    <w:rsid w:val="00353D07"/>
    <w:rsid w:val="003543DA"/>
    <w:rsid w:val="00354596"/>
    <w:rsid w:val="00354865"/>
    <w:rsid w:val="00354E7A"/>
    <w:rsid w:val="003558A8"/>
    <w:rsid w:val="00355BDB"/>
    <w:rsid w:val="00355D5D"/>
    <w:rsid w:val="00355D79"/>
    <w:rsid w:val="0035608F"/>
    <w:rsid w:val="00356784"/>
    <w:rsid w:val="0035773C"/>
    <w:rsid w:val="003602EC"/>
    <w:rsid w:val="00360FE2"/>
    <w:rsid w:val="003615D1"/>
    <w:rsid w:val="00361C06"/>
    <w:rsid w:val="00361E41"/>
    <w:rsid w:val="0036211B"/>
    <w:rsid w:val="003622F5"/>
    <w:rsid w:val="00362305"/>
    <w:rsid w:val="003624DD"/>
    <w:rsid w:val="00362C28"/>
    <w:rsid w:val="00362CA4"/>
    <w:rsid w:val="00362CEF"/>
    <w:rsid w:val="00363057"/>
    <w:rsid w:val="003637C0"/>
    <w:rsid w:val="0036412E"/>
    <w:rsid w:val="003641D3"/>
    <w:rsid w:val="00364FCD"/>
    <w:rsid w:val="003653EB"/>
    <w:rsid w:val="0036570E"/>
    <w:rsid w:val="00365855"/>
    <w:rsid w:val="00365CF6"/>
    <w:rsid w:val="00365D15"/>
    <w:rsid w:val="00366095"/>
    <w:rsid w:val="00366BE0"/>
    <w:rsid w:val="00367BD9"/>
    <w:rsid w:val="00367DE3"/>
    <w:rsid w:val="003703FF"/>
    <w:rsid w:val="003705B7"/>
    <w:rsid w:val="003705C5"/>
    <w:rsid w:val="003721A5"/>
    <w:rsid w:val="00372900"/>
    <w:rsid w:val="00373C59"/>
    <w:rsid w:val="00373CC7"/>
    <w:rsid w:val="00374ACB"/>
    <w:rsid w:val="00375B21"/>
    <w:rsid w:val="00376DA4"/>
    <w:rsid w:val="0037705C"/>
    <w:rsid w:val="00380F21"/>
    <w:rsid w:val="003811BC"/>
    <w:rsid w:val="0038187B"/>
    <w:rsid w:val="003836B1"/>
    <w:rsid w:val="003836EC"/>
    <w:rsid w:val="003839E6"/>
    <w:rsid w:val="00383DF8"/>
    <w:rsid w:val="003842AE"/>
    <w:rsid w:val="0038560B"/>
    <w:rsid w:val="00385F1A"/>
    <w:rsid w:val="00386237"/>
    <w:rsid w:val="00386DE3"/>
    <w:rsid w:val="00386F6F"/>
    <w:rsid w:val="0038764B"/>
    <w:rsid w:val="00390BCF"/>
    <w:rsid w:val="00390C17"/>
    <w:rsid w:val="00390D43"/>
    <w:rsid w:val="00391A45"/>
    <w:rsid w:val="00391A55"/>
    <w:rsid w:val="00391D0C"/>
    <w:rsid w:val="00391D5C"/>
    <w:rsid w:val="00391DB7"/>
    <w:rsid w:val="00392A47"/>
    <w:rsid w:val="00392BFC"/>
    <w:rsid w:val="00394512"/>
    <w:rsid w:val="003945D3"/>
    <w:rsid w:val="00394A02"/>
    <w:rsid w:val="00394C60"/>
    <w:rsid w:val="00395689"/>
    <w:rsid w:val="003961C4"/>
    <w:rsid w:val="003963F0"/>
    <w:rsid w:val="003965AD"/>
    <w:rsid w:val="00396C48"/>
    <w:rsid w:val="00396E27"/>
    <w:rsid w:val="003970A6"/>
    <w:rsid w:val="0039720C"/>
    <w:rsid w:val="00397210"/>
    <w:rsid w:val="003972BA"/>
    <w:rsid w:val="003974BE"/>
    <w:rsid w:val="00397617"/>
    <w:rsid w:val="00397D9A"/>
    <w:rsid w:val="003A069B"/>
    <w:rsid w:val="003A06A7"/>
    <w:rsid w:val="003A17D9"/>
    <w:rsid w:val="003A1C83"/>
    <w:rsid w:val="003A1E55"/>
    <w:rsid w:val="003A2363"/>
    <w:rsid w:val="003A258B"/>
    <w:rsid w:val="003A26D6"/>
    <w:rsid w:val="003A2FED"/>
    <w:rsid w:val="003A3130"/>
    <w:rsid w:val="003A3449"/>
    <w:rsid w:val="003A39AE"/>
    <w:rsid w:val="003A3EE5"/>
    <w:rsid w:val="003A421E"/>
    <w:rsid w:val="003A470F"/>
    <w:rsid w:val="003A47CC"/>
    <w:rsid w:val="003A4F79"/>
    <w:rsid w:val="003A5342"/>
    <w:rsid w:val="003A54B2"/>
    <w:rsid w:val="003A5F4F"/>
    <w:rsid w:val="003A6792"/>
    <w:rsid w:val="003A6C15"/>
    <w:rsid w:val="003A70A1"/>
    <w:rsid w:val="003A7597"/>
    <w:rsid w:val="003A7624"/>
    <w:rsid w:val="003A7C1B"/>
    <w:rsid w:val="003B012B"/>
    <w:rsid w:val="003B1D4D"/>
    <w:rsid w:val="003B2167"/>
    <w:rsid w:val="003B29D0"/>
    <w:rsid w:val="003B2C87"/>
    <w:rsid w:val="003B314A"/>
    <w:rsid w:val="003B3768"/>
    <w:rsid w:val="003B4456"/>
    <w:rsid w:val="003B461C"/>
    <w:rsid w:val="003B49C8"/>
    <w:rsid w:val="003B4D17"/>
    <w:rsid w:val="003B4DD8"/>
    <w:rsid w:val="003B4EDC"/>
    <w:rsid w:val="003B5AE9"/>
    <w:rsid w:val="003B616E"/>
    <w:rsid w:val="003B6589"/>
    <w:rsid w:val="003B6684"/>
    <w:rsid w:val="003B6DF6"/>
    <w:rsid w:val="003B6E5B"/>
    <w:rsid w:val="003B7762"/>
    <w:rsid w:val="003B7F93"/>
    <w:rsid w:val="003C02DA"/>
    <w:rsid w:val="003C05EF"/>
    <w:rsid w:val="003C10EF"/>
    <w:rsid w:val="003C1152"/>
    <w:rsid w:val="003C152C"/>
    <w:rsid w:val="003C1851"/>
    <w:rsid w:val="003C1852"/>
    <w:rsid w:val="003C1BB1"/>
    <w:rsid w:val="003C1FCF"/>
    <w:rsid w:val="003C2A15"/>
    <w:rsid w:val="003C302B"/>
    <w:rsid w:val="003C3509"/>
    <w:rsid w:val="003C3A91"/>
    <w:rsid w:val="003C4880"/>
    <w:rsid w:val="003C4FAD"/>
    <w:rsid w:val="003C5C43"/>
    <w:rsid w:val="003C61B2"/>
    <w:rsid w:val="003C6560"/>
    <w:rsid w:val="003C6740"/>
    <w:rsid w:val="003C67E8"/>
    <w:rsid w:val="003C7102"/>
    <w:rsid w:val="003C7E19"/>
    <w:rsid w:val="003D0669"/>
    <w:rsid w:val="003D0BC5"/>
    <w:rsid w:val="003D1181"/>
    <w:rsid w:val="003D1497"/>
    <w:rsid w:val="003D4114"/>
    <w:rsid w:val="003D4571"/>
    <w:rsid w:val="003D4C5B"/>
    <w:rsid w:val="003D513F"/>
    <w:rsid w:val="003D5741"/>
    <w:rsid w:val="003D5798"/>
    <w:rsid w:val="003D5A3C"/>
    <w:rsid w:val="003D5FFF"/>
    <w:rsid w:val="003D600F"/>
    <w:rsid w:val="003D6156"/>
    <w:rsid w:val="003D621F"/>
    <w:rsid w:val="003D71D1"/>
    <w:rsid w:val="003D7563"/>
    <w:rsid w:val="003D76F2"/>
    <w:rsid w:val="003D7897"/>
    <w:rsid w:val="003E03B8"/>
    <w:rsid w:val="003E0967"/>
    <w:rsid w:val="003E0CE2"/>
    <w:rsid w:val="003E11F5"/>
    <w:rsid w:val="003E1BD3"/>
    <w:rsid w:val="003E2799"/>
    <w:rsid w:val="003E3153"/>
    <w:rsid w:val="003E445F"/>
    <w:rsid w:val="003E462B"/>
    <w:rsid w:val="003E4E2D"/>
    <w:rsid w:val="003E5153"/>
    <w:rsid w:val="003E529F"/>
    <w:rsid w:val="003E551C"/>
    <w:rsid w:val="003E5D31"/>
    <w:rsid w:val="003E6849"/>
    <w:rsid w:val="003E72D9"/>
    <w:rsid w:val="003E796C"/>
    <w:rsid w:val="003E7A48"/>
    <w:rsid w:val="003E7F28"/>
    <w:rsid w:val="003E7F54"/>
    <w:rsid w:val="003F0050"/>
    <w:rsid w:val="003F0370"/>
    <w:rsid w:val="003F0936"/>
    <w:rsid w:val="003F09D0"/>
    <w:rsid w:val="003F16D6"/>
    <w:rsid w:val="003F1DC5"/>
    <w:rsid w:val="003F24F2"/>
    <w:rsid w:val="003F2685"/>
    <w:rsid w:val="003F291F"/>
    <w:rsid w:val="003F3282"/>
    <w:rsid w:val="003F37CB"/>
    <w:rsid w:val="003F38CF"/>
    <w:rsid w:val="003F3929"/>
    <w:rsid w:val="003F3F3C"/>
    <w:rsid w:val="003F40E0"/>
    <w:rsid w:val="003F5116"/>
    <w:rsid w:val="003F5746"/>
    <w:rsid w:val="003F60B7"/>
    <w:rsid w:val="003F60DB"/>
    <w:rsid w:val="003F64D5"/>
    <w:rsid w:val="003F72DB"/>
    <w:rsid w:val="003F7E19"/>
    <w:rsid w:val="00400327"/>
    <w:rsid w:val="0040082D"/>
    <w:rsid w:val="004011BF"/>
    <w:rsid w:val="00401257"/>
    <w:rsid w:val="004014D9"/>
    <w:rsid w:val="004015CF"/>
    <w:rsid w:val="00401936"/>
    <w:rsid w:val="00401AC1"/>
    <w:rsid w:val="00401CAD"/>
    <w:rsid w:val="004020DC"/>
    <w:rsid w:val="004020F7"/>
    <w:rsid w:val="004021D7"/>
    <w:rsid w:val="00402613"/>
    <w:rsid w:val="00402871"/>
    <w:rsid w:val="004034D0"/>
    <w:rsid w:val="00403A0E"/>
    <w:rsid w:val="004041EF"/>
    <w:rsid w:val="00404452"/>
    <w:rsid w:val="00404894"/>
    <w:rsid w:val="00404CE6"/>
    <w:rsid w:val="004060ED"/>
    <w:rsid w:val="004065CB"/>
    <w:rsid w:val="0040679C"/>
    <w:rsid w:val="00406CDA"/>
    <w:rsid w:val="00407223"/>
    <w:rsid w:val="0041045F"/>
    <w:rsid w:val="004106B5"/>
    <w:rsid w:val="004106F5"/>
    <w:rsid w:val="00410DD5"/>
    <w:rsid w:val="00411334"/>
    <w:rsid w:val="00411694"/>
    <w:rsid w:val="004116A1"/>
    <w:rsid w:val="00411777"/>
    <w:rsid w:val="00411C75"/>
    <w:rsid w:val="00411F52"/>
    <w:rsid w:val="00412427"/>
    <w:rsid w:val="00412958"/>
    <w:rsid w:val="004129ED"/>
    <w:rsid w:val="00412D09"/>
    <w:rsid w:val="00413381"/>
    <w:rsid w:val="00414373"/>
    <w:rsid w:val="00414387"/>
    <w:rsid w:val="004143A8"/>
    <w:rsid w:val="004145B7"/>
    <w:rsid w:val="00414D56"/>
    <w:rsid w:val="00415034"/>
    <w:rsid w:val="00415A6A"/>
    <w:rsid w:val="00415AEB"/>
    <w:rsid w:val="00416018"/>
    <w:rsid w:val="0041627D"/>
    <w:rsid w:val="00416D53"/>
    <w:rsid w:val="00417A08"/>
    <w:rsid w:val="00420070"/>
    <w:rsid w:val="0042096C"/>
    <w:rsid w:val="00420B95"/>
    <w:rsid w:val="00420D6A"/>
    <w:rsid w:val="00420D8B"/>
    <w:rsid w:val="004211AE"/>
    <w:rsid w:val="00421361"/>
    <w:rsid w:val="00421690"/>
    <w:rsid w:val="004225C7"/>
    <w:rsid w:val="00422921"/>
    <w:rsid w:val="00423892"/>
    <w:rsid w:val="00424157"/>
    <w:rsid w:val="00424603"/>
    <w:rsid w:val="0042479D"/>
    <w:rsid w:val="00425FF0"/>
    <w:rsid w:val="004262CA"/>
    <w:rsid w:val="004272E3"/>
    <w:rsid w:val="004273BD"/>
    <w:rsid w:val="00430849"/>
    <w:rsid w:val="00431DF1"/>
    <w:rsid w:val="00432655"/>
    <w:rsid w:val="004326D5"/>
    <w:rsid w:val="00432ED0"/>
    <w:rsid w:val="004333C2"/>
    <w:rsid w:val="00433E06"/>
    <w:rsid w:val="00434015"/>
    <w:rsid w:val="00434497"/>
    <w:rsid w:val="00434F44"/>
    <w:rsid w:val="00435660"/>
    <w:rsid w:val="00435903"/>
    <w:rsid w:val="00435DCF"/>
    <w:rsid w:val="0043652E"/>
    <w:rsid w:val="004372FC"/>
    <w:rsid w:val="0043737F"/>
    <w:rsid w:val="00437619"/>
    <w:rsid w:val="00440124"/>
    <w:rsid w:val="004403A4"/>
    <w:rsid w:val="0044099F"/>
    <w:rsid w:val="0044111C"/>
    <w:rsid w:val="00441149"/>
    <w:rsid w:val="00441783"/>
    <w:rsid w:val="00441A4D"/>
    <w:rsid w:val="00441C81"/>
    <w:rsid w:val="00441E13"/>
    <w:rsid w:val="004427EF"/>
    <w:rsid w:val="00442843"/>
    <w:rsid w:val="00443728"/>
    <w:rsid w:val="00443C0F"/>
    <w:rsid w:val="00444947"/>
    <w:rsid w:val="004452B8"/>
    <w:rsid w:val="0044567E"/>
    <w:rsid w:val="00445884"/>
    <w:rsid w:val="00445B21"/>
    <w:rsid w:val="00445EA9"/>
    <w:rsid w:val="00446154"/>
    <w:rsid w:val="004468B6"/>
    <w:rsid w:val="00446D1A"/>
    <w:rsid w:val="00450B48"/>
    <w:rsid w:val="0045115D"/>
    <w:rsid w:val="004512D2"/>
    <w:rsid w:val="00451714"/>
    <w:rsid w:val="0045174D"/>
    <w:rsid w:val="00451A10"/>
    <w:rsid w:val="00452063"/>
    <w:rsid w:val="00452CCE"/>
    <w:rsid w:val="00453DB4"/>
    <w:rsid w:val="00454955"/>
    <w:rsid w:val="00454BA0"/>
    <w:rsid w:val="00454F75"/>
    <w:rsid w:val="00455960"/>
    <w:rsid w:val="0045673B"/>
    <w:rsid w:val="00457C89"/>
    <w:rsid w:val="00457DFB"/>
    <w:rsid w:val="00457F6C"/>
    <w:rsid w:val="004605D0"/>
    <w:rsid w:val="00461B1B"/>
    <w:rsid w:val="0046214F"/>
    <w:rsid w:val="00462BB6"/>
    <w:rsid w:val="00462D16"/>
    <w:rsid w:val="0046400C"/>
    <w:rsid w:val="00464A95"/>
    <w:rsid w:val="00464A9F"/>
    <w:rsid w:val="00464B42"/>
    <w:rsid w:val="004655B7"/>
    <w:rsid w:val="004659EE"/>
    <w:rsid w:val="00465A0E"/>
    <w:rsid w:val="00465EB0"/>
    <w:rsid w:val="00466052"/>
    <w:rsid w:val="00467A12"/>
    <w:rsid w:val="004700AC"/>
    <w:rsid w:val="004700B1"/>
    <w:rsid w:val="0047010C"/>
    <w:rsid w:val="004702A0"/>
    <w:rsid w:val="00470D48"/>
    <w:rsid w:val="00471436"/>
    <w:rsid w:val="00471691"/>
    <w:rsid w:val="00471938"/>
    <w:rsid w:val="00471A4D"/>
    <w:rsid w:val="00471B2A"/>
    <w:rsid w:val="00471D34"/>
    <w:rsid w:val="00472526"/>
    <w:rsid w:val="0047270A"/>
    <w:rsid w:val="00473149"/>
    <w:rsid w:val="004731CA"/>
    <w:rsid w:val="0047363C"/>
    <w:rsid w:val="00473AD1"/>
    <w:rsid w:val="00474ACE"/>
    <w:rsid w:val="00474F74"/>
    <w:rsid w:val="0047502C"/>
    <w:rsid w:val="0047520E"/>
    <w:rsid w:val="0047525F"/>
    <w:rsid w:val="00475F2E"/>
    <w:rsid w:val="00476168"/>
    <w:rsid w:val="004761AB"/>
    <w:rsid w:val="004763FD"/>
    <w:rsid w:val="00476E2B"/>
    <w:rsid w:val="004805D2"/>
    <w:rsid w:val="00480A92"/>
    <w:rsid w:val="004811A0"/>
    <w:rsid w:val="00481C8E"/>
    <w:rsid w:val="00481DF6"/>
    <w:rsid w:val="00482064"/>
    <w:rsid w:val="004834C3"/>
    <w:rsid w:val="00483980"/>
    <w:rsid w:val="00483A09"/>
    <w:rsid w:val="00483BD0"/>
    <w:rsid w:val="00484BFC"/>
    <w:rsid w:val="0048571E"/>
    <w:rsid w:val="004859DB"/>
    <w:rsid w:val="004865CF"/>
    <w:rsid w:val="004865D4"/>
    <w:rsid w:val="004869BB"/>
    <w:rsid w:val="00487704"/>
    <w:rsid w:val="00487761"/>
    <w:rsid w:val="0048791D"/>
    <w:rsid w:val="0049015F"/>
    <w:rsid w:val="00490259"/>
    <w:rsid w:val="00490C04"/>
    <w:rsid w:val="0049199B"/>
    <w:rsid w:val="00491C29"/>
    <w:rsid w:val="00492B88"/>
    <w:rsid w:val="00492BC6"/>
    <w:rsid w:val="00492F0A"/>
    <w:rsid w:val="00493421"/>
    <w:rsid w:val="00493D22"/>
    <w:rsid w:val="00494C69"/>
    <w:rsid w:val="0049528D"/>
    <w:rsid w:val="00495EA5"/>
    <w:rsid w:val="0049665D"/>
    <w:rsid w:val="00496697"/>
    <w:rsid w:val="00496C27"/>
    <w:rsid w:val="00496C41"/>
    <w:rsid w:val="00497122"/>
    <w:rsid w:val="004971A1"/>
    <w:rsid w:val="00497F4B"/>
    <w:rsid w:val="004A0164"/>
    <w:rsid w:val="004A051B"/>
    <w:rsid w:val="004A0ACA"/>
    <w:rsid w:val="004A0B29"/>
    <w:rsid w:val="004A1622"/>
    <w:rsid w:val="004A1FA8"/>
    <w:rsid w:val="004A24FC"/>
    <w:rsid w:val="004A24FD"/>
    <w:rsid w:val="004A2511"/>
    <w:rsid w:val="004A2BC0"/>
    <w:rsid w:val="004A374C"/>
    <w:rsid w:val="004A436F"/>
    <w:rsid w:val="004A48DE"/>
    <w:rsid w:val="004A50E4"/>
    <w:rsid w:val="004A5846"/>
    <w:rsid w:val="004A6156"/>
    <w:rsid w:val="004A63A8"/>
    <w:rsid w:val="004A63AE"/>
    <w:rsid w:val="004A75E8"/>
    <w:rsid w:val="004A79CA"/>
    <w:rsid w:val="004B0488"/>
    <w:rsid w:val="004B05DC"/>
    <w:rsid w:val="004B07A3"/>
    <w:rsid w:val="004B0C5D"/>
    <w:rsid w:val="004B1661"/>
    <w:rsid w:val="004B1ABC"/>
    <w:rsid w:val="004B1E7B"/>
    <w:rsid w:val="004B1E9B"/>
    <w:rsid w:val="004B1E9F"/>
    <w:rsid w:val="004B2506"/>
    <w:rsid w:val="004B2F24"/>
    <w:rsid w:val="004B2F62"/>
    <w:rsid w:val="004B3AFF"/>
    <w:rsid w:val="004B3ED8"/>
    <w:rsid w:val="004B4C9E"/>
    <w:rsid w:val="004B54E3"/>
    <w:rsid w:val="004B5624"/>
    <w:rsid w:val="004B641D"/>
    <w:rsid w:val="004B64F8"/>
    <w:rsid w:val="004B6F4C"/>
    <w:rsid w:val="004B7018"/>
    <w:rsid w:val="004B71F4"/>
    <w:rsid w:val="004C0108"/>
    <w:rsid w:val="004C0204"/>
    <w:rsid w:val="004C024F"/>
    <w:rsid w:val="004C0526"/>
    <w:rsid w:val="004C060E"/>
    <w:rsid w:val="004C0735"/>
    <w:rsid w:val="004C0AE6"/>
    <w:rsid w:val="004C1A9C"/>
    <w:rsid w:val="004C1E3B"/>
    <w:rsid w:val="004C1F07"/>
    <w:rsid w:val="004C2463"/>
    <w:rsid w:val="004C28EB"/>
    <w:rsid w:val="004C2EB4"/>
    <w:rsid w:val="004C3B54"/>
    <w:rsid w:val="004C457B"/>
    <w:rsid w:val="004C485A"/>
    <w:rsid w:val="004C48B9"/>
    <w:rsid w:val="004C4F83"/>
    <w:rsid w:val="004C4FA2"/>
    <w:rsid w:val="004C5398"/>
    <w:rsid w:val="004C53C7"/>
    <w:rsid w:val="004C57B5"/>
    <w:rsid w:val="004C5991"/>
    <w:rsid w:val="004C5F12"/>
    <w:rsid w:val="004C60D7"/>
    <w:rsid w:val="004C65B6"/>
    <w:rsid w:val="004C6611"/>
    <w:rsid w:val="004C7825"/>
    <w:rsid w:val="004C7A04"/>
    <w:rsid w:val="004D1052"/>
    <w:rsid w:val="004D11D5"/>
    <w:rsid w:val="004D1699"/>
    <w:rsid w:val="004D19FE"/>
    <w:rsid w:val="004D29BA"/>
    <w:rsid w:val="004D358E"/>
    <w:rsid w:val="004D38F3"/>
    <w:rsid w:val="004D3E55"/>
    <w:rsid w:val="004D41C5"/>
    <w:rsid w:val="004D44C2"/>
    <w:rsid w:val="004D474C"/>
    <w:rsid w:val="004D47D0"/>
    <w:rsid w:val="004D6102"/>
    <w:rsid w:val="004D637A"/>
    <w:rsid w:val="004D6CDC"/>
    <w:rsid w:val="004D72DF"/>
    <w:rsid w:val="004D7529"/>
    <w:rsid w:val="004D75DC"/>
    <w:rsid w:val="004D78BE"/>
    <w:rsid w:val="004D7AFE"/>
    <w:rsid w:val="004D7C9C"/>
    <w:rsid w:val="004E010B"/>
    <w:rsid w:val="004E034C"/>
    <w:rsid w:val="004E0CEE"/>
    <w:rsid w:val="004E0F71"/>
    <w:rsid w:val="004E1464"/>
    <w:rsid w:val="004E1D67"/>
    <w:rsid w:val="004E1D88"/>
    <w:rsid w:val="004E1D9E"/>
    <w:rsid w:val="004E21D9"/>
    <w:rsid w:val="004E2557"/>
    <w:rsid w:val="004E30DC"/>
    <w:rsid w:val="004E394F"/>
    <w:rsid w:val="004E398E"/>
    <w:rsid w:val="004E447E"/>
    <w:rsid w:val="004E4587"/>
    <w:rsid w:val="004E469E"/>
    <w:rsid w:val="004E4E1E"/>
    <w:rsid w:val="004E60A2"/>
    <w:rsid w:val="004E62C4"/>
    <w:rsid w:val="004E6A33"/>
    <w:rsid w:val="004E6B2B"/>
    <w:rsid w:val="004E741C"/>
    <w:rsid w:val="004E7B3B"/>
    <w:rsid w:val="004F018B"/>
    <w:rsid w:val="004F0523"/>
    <w:rsid w:val="004F0768"/>
    <w:rsid w:val="004F0816"/>
    <w:rsid w:val="004F0C9F"/>
    <w:rsid w:val="004F1B5E"/>
    <w:rsid w:val="004F1CE5"/>
    <w:rsid w:val="004F1D89"/>
    <w:rsid w:val="004F280F"/>
    <w:rsid w:val="004F315C"/>
    <w:rsid w:val="004F3A27"/>
    <w:rsid w:val="004F4DC8"/>
    <w:rsid w:val="004F4E42"/>
    <w:rsid w:val="004F522C"/>
    <w:rsid w:val="004F52D6"/>
    <w:rsid w:val="004F54DE"/>
    <w:rsid w:val="004F59DE"/>
    <w:rsid w:val="004F5D1C"/>
    <w:rsid w:val="004F60CA"/>
    <w:rsid w:val="004F7EF3"/>
    <w:rsid w:val="00500455"/>
    <w:rsid w:val="00500D22"/>
    <w:rsid w:val="00501038"/>
    <w:rsid w:val="005011AD"/>
    <w:rsid w:val="005015BB"/>
    <w:rsid w:val="005018D7"/>
    <w:rsid w:val="00501CAA"/>
    <w:rsid w:val="00501F41"/>
    <w:rsid w:val="0050200D"/>
    <w:rsid w:val="00502897"/>
    <w:rsid w:val="00502923"/>
    <w:rsid w:val="00502B50"/>
    <w:rsid w:val="00502E77"/>
    <w:rsid w:val="0050356D"/>
    <w:rsid w:val="005035DD"/>
    <w:rsid w:val="00503E4A"/>
    <w:rsid w:val="00504279"/>
    <w:rsid w:val="005044C1"/>
    <w:rsid w:val="0050495D"/>
    <w:rsid w:val="00504CBA"/>
    <w:rsid w:val="005050A8"/>
    <w:rsid w:val="005058F6"/>
    <w:rsid w:val="00505C78"/>
    <w:rsid w:val="00505FF3"/>
    <w:rsid w:val="0050738B"/>
    <w:rsid w:val="00507922"/>
    <w:rsid w:val="00507C86"/>
    <w:rsid w:val="00507DA2"/>
    <w:rsid w:val="00510093"/>
    <w:rsid w:val="00510B3A"/>
    <w:rsid w:val="00511622"/>
    <w:rsid w:val="005119EB"/>
    <w:rsid w:val="005122ED"/>
    <w:rsid w:val="005129F7"/>
    <w:rsid w:val="00512BE3"/>
    <w:rsid w:val="0051305F"/>
    <w:rsid w:val="005146CF"/>
    <w:rsid w:val="005154CA"/>
    <w:rsid w:val="00515C2D"/>
    <w:rsid w:val="00516182"/>
    <w:rsid w:val="005162EC"/>
    <w:rsid w:val="00516BE1"/>
    <w:rsid w:val="00516D72"/>
    <w:rsid w:val="005172B5"/>
    <w:rsid w:val="005173B4"/>
    <w:rsid w:val="00517B95"/>
    <w:rsid w:val="00517C45"/>
    <w:rsid w:val="005201FB"/>
    <w:rsid w:val="00522567"/>
    <w:rsid w:val="005226DB"/>
    <w:rsid w:val="005227CF"/>
    <w:rsid w:val="00522F1E"/>
    <w:rsid w:val="005231D0"/>
    <w:rsid w:val="00523822"/>
    <w:rsid w:val="00523DBB"/>
    <w:rsid w:val="0052481D"/>
    <w:rsid w:val="00524E73"/>
    <w:rsid w:val="005252E4"/>
    <w:rsid w:val="00525553"/>
    <w:rsid w:val="0052605A"/>
    <w:rsid w:val="0052720E"/>
    <w:rsid w:val="005273CA"/>
    <w:rsid w:val="00527C90"/>
    <w:rsid w:val="00527E1F"/>
    <w:rsid w:val="005300AB"/>
    <w:rsid w:val="005306BA"/>
    <w:rsid w:val="005322F8"/>
    <w:rsid w:val="0053356F"/>
    <w:rsid w:val="0053371B"/>
    <w:rsid w:val="00533B41"/>
    <w:rsid w:val="00533D4A"/>
    <w:rsid w:val="005343BE"/>
    <w:rsid w:val="00534BD8"/>
    <w:rsid w:val="00534E01"/>
    <w:rsid w:val="00534F44"/>
    <w:rsid w:val="00535D01"/>
    <w:rsid w:val="00535D49"/>
    <w:rsid w:val="00535ECB"/>
    <w:rsid w:val="00536046"/>
    <w:rsid w:val="00536C3A"/>
    <w:rsid w:val="0053716C"/>
    <w:rsid w:val="005372BE"/>
    <w:rsid w:val="0053767D"/>
    <w:rsid w:val="0054003C"/>
    <w:rsid w:val="0054059E"/>
    <w:rsid w:val="005405C1"/>
    <w:rsid w:val="005405EF"/>
    <w:rsid w:val="00541389"/>
    <w:rsid w:val="0054194F"/>
    <w:rsid w:val="00541A48"/>
    <w:rsid w:val="00541D3C"/>
    <w:rsid w:val="00541E2A"/>
    <w:rsid w:val="00542357"/>
    <w:rsid w:val="0054302F"/>
    <w:rsid w:val="00543AC1"/>
    <w:rsid w:val="00543F25"/>
    <w:rsid w:val="00544C84"/>
    <w:rsid w:val="00544D70"/>
    <w:rsid w:val="00545143"/>
    <w:rsid w:val="00545EE8"/>
    <w:rsid w:val="00546723"/>
    <w:rsid w:val="005472FD"/>
    <w:rsid w:val="00550799"/>
    <w:rsid w:val="00550A4A"/>
    <w:rsid w:val="005511B7"/>
    <w:rsid w:val="00551A66"/>
    <w:rsid w:val="00552B46"/>
    <w:rsid w:val="0055337A"/>
    <w:rsid w:val="00553748"/>
    <w:rsid w:val="00553B1C"/>
    <w:rsid w:val="00553D5F"/>
    <w:rsid w:val="005542CC"/>
    <w:rsid w:val="00554413"/>
    <w:rsid w:val="00554707"/>
    <w:rsid w:val="00555BD9"/>
    <w:rsid w:val="00555ED6"/>
    <w:rsid w:val="005560CA"/>
    <w:rsid w:val="00556B33"/>
    <w:rsid w:val="005570E0"/>
    <w:rsid w:val="005574B5"/>
    <w:rsid w:val="00557AA9"/>
    <w:rsid w:val="00557D1E"/>
    <w:rsid w:val="0056003F"/>
    <w:rsid w:val="00561640"/>
    <w:rsid w:val="00561BBC"/>
    <w:rsid w:val="0056255E"/>
    <w:rsid w:val="005629EF"/>
    <w:rsid w:val="00562B87"/>
    <w:rsid w:val="00563070"/>
    <w:rsid w:val="00563F03"/>
    <w:rsid w:val="0056460C"/>
    <w:rsid w:val="0056498C"/>
    <w:rsid w:val="00564A30"/>
    <w:rsid w:val="00564B1E"/>
    <w:rsid w:val="00564F08"/>
    <w:rsid w:val="0056602D"/>
    <w:rsid w:val="00566A35"/>
    <w:rsid w:val="0056753D"/>
    <w:rsid w:val="0056754F"/>
    <w:rsid w:val="00571A64"/>
    <w:rsid w:val="00571C6B"/>
    <w:rsid w:val="005725D3"/>
    <w:rsid w:val="00572CB8"/>
    <w:rsid w:val="00573BD6"/>
    <w:rsid w:val="00573F44"/>
    <w:rsid w:val="0057426A"/>
    <w:rsid w:val="005743B9"/>
    <w:rsid w:val="00574470"/>
    <w:rsid w:val="0057469D"/>
    <w:rsid w:val="00574BA7"/>
    <w:rsid w:val="00574E1F"/>
    <w:rsid w:val="00576B98"/>
    <w:rsid w:val="00576C4D"/>
    <w:rsid w:val="00577384"/>
    <w:rsid w:val="00577680"/>
    <w:rsid w:val="005805F1"/>
    <w:rsid w:val="00580903"/>
    <w:rsid w:val="005817EF"/>
    <w:rsid w:val="005835A9"/>
    <w:rsid w:val="00583B85"/>
    <w:rsid w:val="00583D65"/>
    <w:rsid w:val="00584E14"/>
    <w:rsid w:val="00586A3F"/>
    <w:rsid w:val="00586B2C"/>
    <w:rsid w:val="00587398"/>
    <w:rsid w:val="00587659"/>
    <w:rsid w:val="00587B81"/>
    <w:rsid w:val="00587CA4"/>
    <w:rsid w:val="00590260"/>
    <w:rsid w:val="005909CC"/>
    <w:rsid w:val="005910B8"/>
    <w:rsid w:val="005913E2"/>
    <w:rsid w:val="0059277A"/>
    <w:rsid w:val="00592900"/>
    <w:rsid w:val="00592AD2"/>
    <w:rsid w:val="00593176"/>
    <w:rsid w:val="005938C2"/>
    <w:rsid w:val="00594A6A"/>
    <w:rsid w:val="00595DD0"/>
    <w:rsid w:val="00595E26"/>
    <w:rsid w:val="00596205"/>
    <w:rsid w:val="00596C5C"/>
    <w:rsid w:val="0059745F"/>
    <w:rsid w:val="005A0022"/>
    <w:rsid w:val="005A259A"/>
    <w:rsid w:val="005A2712"/>
    <w:rsid w:val="005A2AAE"/>
    <w:rsid w:val="005A2D17"/>
    <w:rsid w:val="005A2F7F"/>
    <w:rsid w:val="005A43D5"/>
    <w:rsid w:val="005A4918"/>
    <w:rsid w:val="005A52BB"/>
    <w:rsid w:val="005A5398"/>
    <w:rsid w:val="005A668A"/>
    <w:rsid w:val="005A73FF"/>
    <w:rsid w:val="005A765C"/>
    <w:rsid w:val="005B00F7"/>
    <w:rsid w:val="005B011F"/>
    <w:rsid w:val="005B02E7"/>
    <w:rsid w:val="005B0556"/>
    <w:rsid w:val="005B14F7"/>
    <w:rsid w:val="005B152F"/>
    <w:rsid w:val="005B2529"/>
    <w:rsid w:val="005B3D58"/>
    <w:rsid w:val="005B4351"/>
    <w:rsid w:val="005B49CA"/>
    <w:rsid w:val="005B75F8"/>
    <w:rsid w:val="005B766C"/>
    <w:rsid w:val="005C01BB"/>
    <w:rsid w:val="005C01DF"/>
    <w:rsid w:val="005C13E8"/>
    <w:rsid w:val="005C168C"/>
    <w:rsid w:val="005C19C7"/>
    <w:rsid w:val="005C1CA4"/>
    <w:rsid w:val="005C2494"/>
    <w:rsid w:val="005C2BC2"/>
    <w:rsid w:val="005C3272"/>
    <w:rsid w:val="005C3870"/>
    <w:rsid w:val="005C3F9D"/>
    <w:rsid w:val="005C458C"/>
    <w:rsid w:val="005C46EE"/>
    <w:rsid w:val="005C5C45"/>
    <w:rsid w:val="005C5C87"/>
    <w:rsid w:val="005C5E84"/>
    <w:rsid w:val="005C65B8"/>
    <w:rsid w:val="005C68CD"/>
    <w:rsid w:val="005C7D8F"/>
    <w:rsid w:val="005D1EAE"/>
    <w:rsid w:val="005D1F20"/>
    <w:rsid w:val="005D2008"/>
    <w:rsid w:val="005D209D"/>
    <w:rsid w:val="005D21F5"/>
    <w:rsid w:val="005D2349"/>
    <w:rsid w:val="005D24EF"/>
    <w:rsid w:val="005D26D6"/>
    <w:rsid w:val="005D29E9"/>
    <w:rsid w:val="005D2C07"/>
    <w:rsid w:val="005D2D6E"/>
    <w:rsid w:val="005D2E9E"/>
    <w:rsid w:val="005D2EA5"/>
    <w:rsid w:val="005D36C9"/>
    <w:rsid w:val="005D36EE"/>
    <w:rsid w:val="005D3D62"/>
    <w:rsid w:val="005D3D76"/>
    <w:rsid w:val="005D472A"/>
    <w:rsid w:val="005D4BDE"/>
    <w:rsid w:val="005D4D3F"/>
    <w:rsid w:val="005D6230"/>
    <w:rsid w:val="005D656C"/>
    <w:rsid w:val="005D6A43"/>
    <w:rsid w:val="005D6CE2"/>
    <w:rsid w:val="005D6E67"/>
    <w:rsid w:val="005D70C3"/>
    <w:rsid w:val="005E00FF"/>
    <w:rsid w:val="005E061C"/>
    <w:rsid w:val="005E063A"/>
    <w:rsid w:val="005E0B1F"/>
    <w:rsid w:val="005E0C50"/>
    <w:rsid w:val="005E0D85"/>
    <w:rsid w:val="005E13E0"/>
    <w:rsid w:val="005E1849"/>
    <w:rsid w:val="005E191A"/>
    <w:rsid w:val="005E1BFD"/>
    <w:rsid w:val="005E1C20"/>
    <w:rsid w:val="005E1DB7"/>
    <w:rsid w:val="005E20A6"/>
    <w:rsid w:val="005E2947"/>
    <w:rsid w:val="005E2A94"/>
    <w:rsid w:val="005E2BE5"/>
    <w:rsid w:val="005E3115"/>
    <w:rsid w:val="005E3298"/>
    <w:rsid w:val="005E3543"/>
    <w:rsid w:val="005E40AE"/>
    <w:rsid w:val="005E4A3A"/>
    <w:rsid w:val="005E552A"/>
    <w:rsid w:val="005E5962"/>
    <w:rsid w:val="005E67E5"/>
    <w:rsid w:val="005E68E9"/>
    <w:rsid w:val="005E6BB4"/>
    <w:rsid w:val="005E6FD6"/>
    <w:rsid w:val="005F0B6D"/>
    <w:rsid w:val="005F1987"/>
    <w:rsid w:val="005F1C0F"/>
    <w:rsid w:val="005F2065"/>
    <w:rsid w:val="005F27EA"/>
    <w:rsid w:val="005F2AFC"/>
    <w:rsid w:val="005F3318"/>
    <w:rsid w:val="005F484C"/>
    <w:rsid w:val="005F5072"/>
    <w:rsid w:val="005F57D7"/>
    <w:rsid w:val="005F61F1"/>
    <w:rsid w:val="005F66E1"/>
    <w:rsid w:val="005F7266"/>
    <w:rsid w:val="005F78A1"/>
    <w:rsid w:val="00600322"/>
    <w:rsid w:val="006016E6"/>
    <w:rsid w:val="0060181F"/>
    <w:rsid w:val="00601D5A"/>
    <w:rsid w:val="006026C7"/>
    <w:rsid w:val="00603056"/>
    <w:rsid w:val="006038C0"/>
    <w:rsid w:val="0060451F"/>
    <w:rsid w:val="00604641"/>
    <w:rsid w:val="0060606D"/>
    <w:rsid w:val="0060682F"/>
    <w:rsid w:val="00607373"/>
    <w:rsid w:val="00607994"/>
    <w:rsid w:val="00607AA0"/>
    <w:rsid w:val="00607FC4"/>
    <w:rsid w:val="006101FC"/>
    <w:rsid w:val="006103EF"/>
    <w:rsid w:val="00610B23"/>
    <w:rsid w:val="00610D06"/>
    <w:rsid w:val="006119AD"/>
    <w:rsid w:val="00611A7A"/>
    <w:rsid w:val="00611C2F"/>
    <w:rsid w:val="0061250D"/>
    <w:rsid w:val="0061258F"/>
    <w:rsid w:val="0061280A"/>
    <w:rsid w:val="006128F6"/>
    <w:rsid w:val="0061330E"/>
    <w:rsid w:val="00613EA5"/>
    <w:rsid w:val="0061441F"/>
    <w:rsid w:val="00614466"/>
    <w:rsid w:val="006149DD"/>
    <w:rsid w:val="00615A25"/>
    <w:rsid w:val="00616621"/>
    <w:rsid w:val="006166BD"/>
    <w:rsid w:val="006167FB"/>
    <w:rsid w:val="00616C3A"/>
    <w:rsid w:val="00616DC4"/>
    <w:rsid w:val="00617475"/>
    <w:rsid w:val="006176DC"/>
    <w:rsid w:val="006177E5"/>
    <w:rsid w:val="00617BF3"/>
    <w:rsid w:val="00620B74"/>
    <w:rsid w:val="00621A4D"/>
    <w:rsid w:val="006221F7"/>
    <w:rsid w:val="00622459"/>
    <w:rsid w:val="006225AB"/>
    <w:rsid w:val="006228D8"/>
    <w:rsid w:val="00622F17"/>
    <w:rsid w:val="0062348E"/>
    <w:rsid w:val="00623EBD"/>
    <w:rsid w:val="0062416F"/>
    <w:rsid w:val="00625038"/>
    <w:rsid w:val="006256E0"/>
    <w:rsid w:val="006257E7"/>
    <w:rsid w:val="00625D8E"/>
    <w:rsid w:val="00626D39"/>
    <w:rsid w:val="00626EDA"/>
    <w:rsid w:val="00626FAF"/>
    <w:rsid w:val="0062790A"/>
    <w:rsid w:val="00631045"/>
    <w:rsid w:val="00631312"/>
    <w:rsid w:val="006315AB"/>
    <w:rsid w:val="006315D0"/>
    <w:rsid w:val="006319CD"/>
    <w:rsid w:val="00631E62"/>
    <w:rsid w:val="00633D49"/>
    <w:rsid w:val="00634244"/>
    <w:rsid w:val="006342E3"/>
    <w:rsid w:val="006343D2"/>
    <w:rsid w:val="00635710"/>
    <w:rsid w:val="00635DA6"/>
    <w:rsid w:val="00635FA0"/>
    <w:rsid w:val="00636C39"/>
    <w:rsid w:val="006371FB"/>
    <w:rsid w:val="0063798D"/>
    <w:rsid w:val="00637B3E"/>
    <w:rsid w:val="006407B6"/>
    <w:rsid w:val="006407F0"/>
    <w:rsid w:val="00641331"/>
    <w:rsid w:val="00641351"/>
    <w:rsid w:val="00641734"/>
    <w:rsid w:val="00641829"/>
    <w:rsid w:val="00642DC1"/>
    <w:rsid w:val="00644068"/>
    <w:rsid w:val="006440A0"/>
    <w:rsid w:val="00644872"/>
    <w:rsid w:val="006451D6"/>
    <w:rsid w:val="00645EDD"/>
    <w:rsid w:val="006468BE"/>
    <w:rsid w:val="006470E3"/>
    <w:rsid w:val="00647E9F"/>
    <w:rsid w:val="00650048"/>
    <w:rsid w:val="0065005C"/>
    <w:rsid w:val="0065053F"/>
    <w:rsid w:val="0065071F"/>
    <w:rsid w:val="006508E5"/>
    <w:rsid w:val="0065181A"/>
    <w:rsid w:val="00651CB0"/>
    <w:rsid w:val="006520E6"/>
    <w:rsid w:val="0065216B"/>
    <w:rsid w:val="00652555"/>
    <w:rsid w:val="006528B4"/>
    <w:rsid w:val="00652B16"/>
    <w:rsid w:val="006533EF"/>
    <w:rsid w:val="00653CFA"/>
    <w:rsid w:val="00654409"/>
    <w:rsid w:val="00656852"/>
    <w:rsid w:val="006569C4"/>
    <w:rsid w:val="00657099"/>
    <w:rsid w:val="0065714D"/>
    <w:rsid w:val="006571C5"/>
    <w:rsid w:val="0065771D"/>
    <w:rsid w:val="006602A3"/>
    <w:rsid w:val="00660775"/>
    <w:rsid w:val="006607EE"/>
    <w:rsid w:val="00660B89"/>
    <w:rsid w:val="00660D2A"/>
    <w:rsid w:val="00660D4C"/>
    <w:rsid w:val="00660EC1"/>
    <w:rsid w:val="006614EE"/>
    <w:rsid w:val="006616CA"/>
    <w:rsid w:val="00662251"/>
    <w:rsid w:val="00662F57"/>
    <w:rsid w:val="00662F5D"/>
    <w:rsid w:val="00663031"/>
    <w:rsid w:val="006630F5"/>
    <w:rsid w:val="00663270"/>
    <w:rsid w:val="00663DC7"/>
    <w:rsid w:val="00663E7B"/>
    <w:rsid w:val="006640EC"/>
    <w:rsid w:val="0066476F"/>
    <w:rsid w:val="006647E8"/>
    <w:rsid w:val="00665E76"/>
    <w:rsid w:val="006665D4"/>
    <w:rsid w:val="006666C4"/>
    <w:rsid w:val="0066694F"/>
    <w:rsid w:val="00666F04"/>
    <w:rsid w:val="00667943"/>
    <w:rsid w:val="00667B6E"/>
    <w:rsid w:val="006704F7"/>
    <w:rsid w:val="006704F9"/>
    <w:rsid w:val="006707D7"/>
    <w:rsid w:val="006713CC"/>
    <w:rsid w:val="00671A70"/>
    <w:rsid w:val="00671C90"/>
    <w:rsid w:val="00671D9F"/>
    <w:rsid w:val="0067277D"/>
    <w:rsid w:val="00672A87"/>
    <w:rsid w:val="00672BD4"/>
    <w:rsid w:val="00672F39"/>
    <w:rsid w:val="00673278"/>
    <w:rsid w:val="006737EF"/>
    <w:rsid w:val="00673BFD"/>
    <w:rsid w:val="00673CBD"/>
    <w:rsid w:val="00673D97"/>
    <w:rsid w:val="00674022"/>
    <w:rsid w:val="00674210"/>
    <w:rsid w:val="00674533"/>
    <w:rsid w:val="006745C4"/>
    <w:rsid w:val="0067484A"/>
    <w:rsid w:val="006750A2"/>
    <w:rsid w:val="006758EA"/>
    <w:rsid w:val="00675C1D"/>
    <w:rsid w:val="00676DF7"/>
    <w:rsid w:val="006805E2"/>
    <w:rsid w:val="00680837"/>
    <w:rsid w:val="006808CA"/>
    <w:rsid w:val="00681475"/>
    <w:rsid w:val="0068156A"/>
    <w:rsid w:val="006827B1"/>
    <w:rsid w:val="0068297C"/>
    <w:rsid w:val="00682AB7"/>
    <w:rsid w:val="00682B37"/>
    <w:rsid w:val="00682EB0"/>
    <w:rsid w:val="00683912"/>
    <w:rsid w:val="0068454C"/>
    <w:rsid w:val="00684628"/>
    <w:rsid w:val="006850AB"/>
    <w:rsid w:val="006866F0"/>
    <w:rsid w:val="00686950"/>
    <w:rsid w:val="0068698F"/>
    <w:rsid w:val="006871FE"/>
    <w:rsid w:val="006876B6"/>
    <w:rsid w:val="00687D1E"/>
    <w:rsid w:val="00690108"/>
    <w:rsid w:val="00691394"/>
    <w:rsid w:val="006913FB"/>
    <w:rsid w:val="006928BA"/>
    <w:rsid w:val="00692B1A"/>
    <w:rsid w:val="00692C51"/>
    <w:rsid w:val="00692D64"/>
    <w:rsid w:val="00692DA1"/>
    <w:rsid w:val="00693013"/>
    <w:rsid w:val="00693A92"/>
    <w:rsid w:val="00693E29"/>
    <w:rsid w:val="00694CEE"/>
    <w:rsid w:val="00694EA7"/>
    <w:rsid w:val="00695604"/>
    <w:rsid w:val="006957C6"/>
    <w:rsid w:val="00695CAD"/>
    <w:rsid w:val="00696242"/>
    <w:rsid w:val="0069665F"/>
    <w:rsid w:val="00696897"/>
    <w:rsid w:val="00697039"/>
    <w:rsid w:val="00697181"/>
    <w:rsid w:val="006A01D4"/>
    <w:rsid w:val="006A03DE"/>
    <w:rsid w:val="006A098A"/>
    <w:rsid w:val="006A1487"/>
    <w:rsid w:val="006A148D"/>
    <w:rsid w:val="006A1F3F"/>
    <w:rsid w:val="006A2A35"/>
    <w:rsid w:val="006A2F65"/>
    <w:rsid w:val="006A322A"/>
    <w:rsid w:val="006A3FDB"/>
    <w:rsid w:val="006A46FD"/>
    <w:rsid w:val="006A61A2"/>
    <w:rsid w:val="006A6233"/>
    <w:rsid w:val="006A6236"/>
    <w:rsid w:val="006A6273"/>
    <w:rsid w:val="006A6D71"/>
    <w:rsid w:val="006A71B7"/>
    <w:rsid w:val="006A771F"/>
    <w:rsid w:val="006B1599"/>
    <w:rsid w:val="006B1825"/>
    <w:rsid w:val="006B18C5"/>
    <w:rsid w:val="006B1CBB"/>
    <w:rsid w:val="006B1E3B"/>
    <w:rsid w:val="006B206E"/>
    <w:rsid w:val="006B21A7"/>
    <w:rsid w:val="006B2AF6"/>
    <w:rsid w:val="006B2E2C"/>
    <w:rsid w:val="006B355F"/>
    <w:rsid w:val="006B3CC3"/>
    <w:rsid w:val="006B3CE0"/>
    <w:rsid w:val="006B4191"/>
    <w:rsid w:val="006B4400"/>
    <w:rsid w:val="006B4BF6"/>
    <w:rsid w:val="006B4D21"/>
    <w:rsid w:val="006B52FC"/>
    <w:rsid w:val="006B5EAF"/>
    <w:rsid w:val="006B626D"/>
    <w:rsid w:val="006B6529"/>
    <w:rsid w:val="006B677C"/>
    <w:rsid w:val="006C006A"/>
    <w:rsid w:val="006C02EC"/>
    <w:rsid w:val="006C0C13"/>
    <w:rsid w:val="006C124B"/>
    <w:rsid w:val="006C18E5"/>
    <w:rsid w:val="006C1FD9"/>
    <w:rsid w:val="006C2066"/>
    <w:rsid w:val="006C212A"/>
    <w:rsid w:val="006C2437"/>
    <w:rsid w:val="006C27FC"/>
    <w:rsid w:val="006C2961"/>
    <w:rsid w:val="006C319C"/>
    <w:rsid w:val="006C3910"/>
    <w:rsid w:val="006C3942"/>
    <w:rsid w:val="006C4438"/>
    <w:rsid w:val="006C4528"/>
    <w:rsid w:val="006C5C4D"/>
    <w:rsid w:val="006C6356"/>
    <w:rsid w:val="006C6693"/>
    <w:rsid w:val="006C6E31"/>
    <w:rsid w:val="006D1A74"/>
    <w:rsid w:val="006D2016"/>
    <w:rsid w:val="006D2367"/>
    <w:rsid w:val="006D2399"/>
    <w:rsid w:val="006D2E67"/>
    <w:rsid w:val="006D3DCE"/>
    <w:rsid w:val="006D3EFA"/>
    <w:rsid w:val="006D40A3"/>
    <w:rsid w:val="006D624C"/>
    <w:rsid w:val="006D62C8"/>
    <w:rsid w:val="006D657A"/>
    <w:rsid w:val="006D71EA"/>
    <w:rsid w:val="006D7A66"/>
    <w:rsid w:val="006D7C58"/>
    <w:rsid w:val="006E07A8"/>
    <w:rsid w:val="006E0CFD"/>
    <w:rsid w:val="006E1508"/>
    <w:rsid w:val="006E19D7"/>
    <w:rsid w:val="006E1BE8"/>
    <w:rsid w:val="006E2C03"/>
    <w:rsid w:val="006E2DA5"/>
    <w:rsid w:val="006E2FED"/>
    <w:rsid w:val="006E3CDE"/>
    <w:rsid w:val="006E492E"/>
    <w:rsid w:val="006E4D71"/>
    <w:rsid w:val="006E4FEF"/>
    <w:rsid w:val="006E5090"/>
    <w:rsid w:val="006E5D04"/>
    <w:rsid w:val="006E69AA"/>
    <w:rsid w:val="006E71CD"/>
    <w:rsid w:val="006E7377"/>
    <w:rsid w:val="006E73B7"/>
    <w:rsid w:val="006E73D1"/>
    <w:rsid w:val="006E76D0"/>
    <w:rsid w:val="006E7AB0"/>
    <w:rsid w:val="006E7EDD"/>
    <w:rsid w:val="006F025F"/>
    <w:rsid w:val="006F085B"/>
    <w:rsid w:val="006F0B2B"/>
    <w:rsid w:val="006F0FE0"/>
    <w:rsid w:val="006F1000"/>
    <w:rsid w:val="006F1875"/>
    <w:rsid w:val="006F1B14"/>
    <w:rsid w:val="006F1B66"/>
    <w:rsid w:val="006F1D5B"/>
    <w:rsid w:val="006F1DC6"/>
    <w:rsid w:val="006F20BD"/>
    <w:rsid w:val="006F2427"/>
    <w:rsid w:val="006F2768"/>
    <w:rsid w:val="006F29CB"/>
    <w:rsid w:val="006F34CE"/>
    <w:rsid w:val="006F387E"/>
    <w:rsid w:val="006F3EAB"/>
    <w:rsid w:val="006F47BD"/>
    <w:rsid w:val="006F5172"/>
    <w:rsid w:val="006F555C"/>
    <w:rsid w:val="006F5EAA"/>
    <w:rsid w:val="006F69BF"/>
    <w:rsid w:val="006F6AB7"/>
    <w:rsid w:val="006F72AD"/>
    <w:rsid w:val="006F745E"/>
    <w:rsid w:val="006F7BAB"/>
    <w:rsid w:val="007001C7"/>
    <w:rsid w:val="00700CCC"/>
    <w:rsid w:val="00701170"/>
    <w:rsid w:val="00701882"/>
    <w:rsid w:val="00701E8F"/>
    <w:rsid w:val="00702908"/>
    <w:rsid w:val="00703422"/>
    <w:rsid w:val="007035CE"/>
    <w:rsid w:val="00704054"/>
    <w:rsid w:val="00704C74"/>
    <w:rsid w:val="0070596B"/>
    <w:rsid w:val="00705C18"/>
    <w:rsid w:val="007067A3"/>
    <w:rsid w:val="007069EB"/>
    <w:rsid w:val="00707D8D"/>
    <w:rsid w:val="00707F4A"/>
    <w:rsid w:val="007106EE"/>
    <w:rsid w:val="0071092C"/>
    <w:rsid w:val="00711480"/>
    <w:rsid w:val="00711DF4"/>
    <w:rsid w:val="00711F5F"/>
    <w:rsid w:val="007126DF"/>
    <w:rsid w:val="00712AEE"/>
    <w:rsid w:val="00712B2D"/>
    <w:rsid w:val="00713A29"/>
    <w:rsid w:val="00713D48"/>
    <w:rsid w:val="00713E19"/>
    <w:rsid w:val="0071421E"/>
    <w:rsid w:val="00715C49"/>
    <w:rsid w:val="007165E2"/>
    <w:rsid w:val="0071737A"/>
    <w:rsid w:val="007174D4"/>
    <w:rsid w:val="00717792"/>
    <w:rsid w:val="00717A03"/>
    <w:rsid w:val="00717AD5"/>
    <w:rsid w:val="00720297"/>
    <w:rsid w:val="00721238"/>
    <w:rsid w:val="007215FE"/>
    <w:rsid w:val="00721631"/>
    <w:rsid w:val="007216A1"/>
    <w:rsid w:val="0072234B"/>
    <w:rsid w:val="007225B1"/>
    <w:rsid w:val="0072275F"/>
    <w:rsid w:val="007228D3"/>
    <w:rsid w:val="00722AB0"/>
    <w:rsid w:val="00723E75"/>
    <w:rsid w:val="00723F92"/>
    <w:rsid w:val="00724186"/>
    <w:rsid w:val="007241C1"/>
    <w:rsid w:val="00724289"/>
    <w:rsid w:val="0072446B"/>
    <w:rsid w:val="007245DA"/>
    <w:rsid w:val="007248ED"/>
    <w:rsid w:val="00724DEC"/>
    <w:rsid w:val="00724E4F"/>
    <w:rsid w:val="00724E81"/>
    <w:rsid w:val="00726231"/>
    <w:rsid w:val="00726828"/>
    <w:rsid w:val="007273A8"/>
    <w:rsid w:val="007275D5"/>
    <w:rsid w:val="00727807"/>
    <w:rsid w:val="007278E1"/>
    <w:rsid w:val="00727AB2"/>
    <w:rsid w:val="00727CEF"/>
    <w:rsid w:val="00727F8E"/>
    <w:rsid w:val="007309D2"/>
    <w:rsid w:val="00730D0E"/>
    <w:rsid w:val="007317BA"/>
    <w:rsid w:val="007319A6"/>
    <w:rsid w:val="00731A83"/>
    <w:rsid w:val="0073252D"/>
    <w:rsid w:val="00732631"/>
    <w:rsid w:val="0073317A"/>
    <w:rsid w:val="007333EE"/>
    <w:rsid w:val="0073394F"/>
    <w:rsid w:val="00733A01"/>
    <w:rsid w:val="00733BD7"/>
    <w:rsid w:val="0073424F"/>
    <w:rsid w:val="00734597"/>
    <w:rsid w:val="00734939"/>
    <w:rsid w:val="00735169"/>
    <w:rsid w:val="007368E6"/>
    <w:rsid w:val="00736EF1"/>
    <w:rsid w:val="007372E5"/>
    <w:rsid w:val="00737591"/>
    <w:rsid w:val="00737E4F"/>
    <w:rsid w:val="007405FD"/>
    <w:rsid w:val="00740A5E"/>
    <w:rsid w:val="00740B55"/>
    <w:rsid w:val="00740B84"/>
    <w:rsid w:val="00740E00"/>
    <w:rsid w:val="007418E2"/>
    <w:rsid w:val="00741FCE"/>
    <w:rsid w:val="007424C8"/>
    <w:rsid w:val="00743209"/>
    <w:rsid w:val="00743415"/>
    <w:rsid w:val="007435C6"/>
    <w:rsid w:val="007437FB"/>
    <w:rsid w:val="0074393A"/>
    <w:rsid w:val="007444FA"/>
    <w:rsid w:val="00745E4E"/>
    <w:rsid w:val="0074685D"/>
    <w:rsid w:val="00747016"/>
    <w:rsid w:val="0074709B"/>
    <w:rsid w:val="00747402"/>
    <w:rsid w:val="007474BE"/>
    <w:rsid w:val="007475CC"/>
    <w:rsid w:val="00747AAB"/>
    <w:rsid w:val="00747E3B"/>
    <w:rsid w:val="007508B3"/>
    <w:rsid w:val="007509D0"/>
    <w:rsid w:val="00750AC8"/>
    <w:rsid w:val="007511D9"/>
    <w:rsid w:val="00751B80"/>
    <w:rsid w:val="0075294A"/>
    <w:rsid w:val="00752C26"/>
    <w:rsid w:val="00752D4F"/>
    <w:rsid w:val="00753451"/>
    <w:rsid w:val="0075386F"/>
    <w:rsid w:val="00753B94"/>
    <w:rsid w:val="0075422E"/>
    <w:rsid w:val="00754361"/>
    <w:rsid w:val="00754567"/>
    <w:rsid w:val="0075536A"/>
    <w:rsid w:val="00755772"/>
    <w:rsid w:val="00755EE7"/>
    <w:rsid w:val="007565A2"/>
    <w:rsid w:val="007569C3"/>
    <w:rsid w:val="00756BA7"/>
    <w:rsid w:val="00756E54"/>
    <w:rsid w:val="00756FAF"/>
    <w:rsid w:val="00757197"/>
    <w:rsid w:val="00757BEF"/>
    <w:rsid w:val="00760ED9"/>
    <w:rsid w:val="00761DC5"/>
    <w:rsid w:val="00762150"/>
    <w:rsid w:val="00762BEF"/>
    <w:rsid w:val="00762E27"/>
    <w:rsid w:val="007634C3"/>
    <w:rsid w:val="00763A37"/>
    <w:rsid w:val="00763CBA"/>
    <w:rsid w:val="007648F3"/>
    <w:rsid w:val="00764EA0"/>
    <w:rsid w:val="007654EF"/>
    <w:rsid w:val="00765CC1"/>
    <w:rsid w:val="00766DFC"/>
    <w:rsid w:val="00766EC0"/>
    <w:rsid w:val="00766F59"/>
    <w:rsid w:val="007673DE"/>
    <w:rsid w:val="0077003D"/>
    <w:rsid w:val="00770548"/>
    <w:rsid w:val="0077097F"/>
    <w:rsid w:val="00770A95"/>
    <w:rsid w:val="00770B74"/>
    <w:rsid w:val="00771D3F"/>
    <w:rsid w:val="007729CD"/>
    <w:rsid w:val="00772B22"/>
    <w:rsid w:val="00772F84"/>
    <w:rsid w:val="007733C7"/>
    <w:rsid w:val="007733C9"/>
    <w:rsid w:val="007738AA"/>
    <w:rsid w:val="0077423B"/>
    <w:rsid w:val="0077457E"/>
    <w:rsid w:val="0077498A"/>
    <w:rsid w:val="00775230"/>
    <w:rsid w:val="007754F6"/>
    <w:rsid w:val="007758D9"/>
    <w:rsid w:val="00776B7C"/>
    <w:rsid w:val="00776F5F"/>
    <w:rsid w:val="00777084"/>
    <w:rsid w:val="007800E4"/>
    <w:rsid w:val="007809C3"/>
    <w:rsid w:val="00780A04"/>
    <w:rsid w:val="00780DD7"/>
    <w:rsid w:val="00781004"/>
    <w:rsid w:val="007810B5"/>
    <w:rsid w:val="00781B97"/>
    <w:rsid w:val="00781BAF"/>
    <w:rsid w:val="00781BE1"/>
    <w:rsid w:val="0078214F"/>
    <w:rsid w:val="007824D8"/>
    <w:rsid w:val="00782606"/>
    <w:rsid w:val="00782CBA"/>
    <w:rsid w:val="007838B0"/>
    <w:rsid w:val="00783E48"/>
    <w:rsid w:val="007840CA"/>
    <w:rsid w:val="0078433E"/>
    <w:rsid w:val="00784E8D"/>
    <w:rsid w:val="00784EEA"/>
    <w:rsid w:val="00784F72"/>
    <w:rsid w:val="007850F7"/>
    <w:rsid w:val="00785231"/>
    <w:rsid w:val="00785CE0"/>
    <w:rsid w:val="00785E0A"/>
    <w:rsid w:val="00785EE2"/>
    <w:rsid w:val="0078601F"/>
    <w:rsid w:val="00786863"/>
    <w:rsid w:val="0078700E"/>
    <w:rsid w:val="00787308"/>
    <w:rsid w:val="0078764F"/>
    <w:rsid w:val="007877FA"/>
    <w:rsid w:val="00790C91"/>
    <w:rsid w:val="00790D8C"/>
    <w:rsid w:val="00792FD5"/>
    <w:rsid w:val="007935D9"/>
    <w:rsid w:val="00793AE5"/>
    <w:rsid w:val="00793FD6"/>
    <w:rsid w:val="00794F01"/>
    <w:rsid w:val="00795422"/>
    <w:rsid w:val="007956DE"/>
    <w:rsid w:val="0079603E"/>
    <w:rsid w:val="00796BE9"/>
    <w:rsid w:val="007971A5"/>
    <w:rsid w:val="0079733E"/>
    <w:rsid w:val="00797CE9"/>
    <w:rsid w:val="007A161C"/>
    <w:rsid w:val="007A1EFE"/>
    <w:rsid w:val="007A1F3A"/>
    <w:rsid w:val="007A1F51"/>
    <w:rsid w:val="007A1F76"/>
    <w:rsid w:val="007A22E0"/>
    <w:rsid w:val="007A2E4A"/>
    <w:rsid w:val="007A3AFC"/>
    <w:rsid w:val="007A429E"/>
    <w:rsid w:val="007A4CDD"/>
    <w:rsid w:val="007A4DD9"/>
    <w:rsid w:val="007A5979"/>
    <w:rsid w:val="007A5FFD"/>
    <w:rsid w:val="007A6336"/>
    <w:rsid w:val="007A652D"/>
    <w:rsid w:val="007A6613"/>
    <w:rsid w:val="007A73CD"/>
    <w:rsid w:val="007A748B"/>
    <w:rsid w:val="007A7B99"/>
    <w:rsid w:val="007A7CFD"/>
    <w:rsid w:val="007B062E"/>
    <w:rsid w:val="007B0BEA"/>
    <w:rsid w:val="007B1ACE"/>
    <w:rsid w:val="007B25A1"/>
    <w:rsid w:val="007B28DC"/>
    <w:rsid w:val="007B298C"/>
    <w:rsid w:val="007B34A9"/>
    <w:rsid w:val="007B37E7"/>
    <w:rsid w:val="007B3E19"/>
    <w:rsid w:val="007B41A6"/>
    <w:rsid w:val="007B429F"/>
    <w:rsid w:val="007B4AE4"/>
    <w:rsid w:val="007B4E12"/>
    <w:rsid w:val="007B57C3"/>
    <w:rsid w:val="007B5CFC"/>
    <w:rsid w:val="007B5D8F"/>
    <w:rsid w:val="007B67D7"/>
    <w:rsid w:val="007B69FB"/>
    <w:rsid w:val="007B6CC1"/>
    <w:rsid w:val="007B6F70"/>
    <w:rsid w:val="007B6FF1"/>
    <w:rsid w:val="007B73C5"/>
    <w:rsid w:val="007B7BD1"/>
    <w:rsid w:val="007B7C4A"/>
    <w:rsid w:val="007B7E7E"/>
    <w:rsid w:val="007C0274"/>
    <w:rsid w:val="007C0DB5"/>
    <w:rsid w:val="007C10B6"/>
    <w:rsid w:val="007C23A3"/>
    <w:rsid w:val="007C241F"/>
    <w:rsid w:val="007C3BB9"/>
    <w:rsid w:val="007C3C5D"/>
    <w:rsid w:val="007C3E84"/>
    <w:rsid w:val="007C4DDC"/>
    <w:rsid w:val="007C56BE"/>
    <w:rsid w:val="007C5A09"/>
    <w:rsid w:val="007C5CF1"/>
    <w:rsid w:val="007C6F36"/>
    <w:rsid w:val="007C7DFC"/>
    <w:rsid w:val="007C7F10"/>
    <w:rsid w:val="007D11F0"/>
    <w:rsid w:val="007D144E"/>
    <w:rsid w:val="007D14E8"/>
    <w:rsid w:val="007D1551"/>
    <w:rsid w:val="007D28B5"/>
    <w:rsid w:val="007D297A"/>
    <w:rsid w:val="007D2E29"/>
    <w:rsid w:val="007D3677"/>
    <w:rsid w:val="007D3736"/>
    <w:rsid w:val="007D3BDB"/>
    <w:rsid w:val="007D404B"/>
    <w:rsid w:val="007D4917"/>
    <w:rsid w:val="007D4E51"/>
    <w:rsid w:val="007D4F3C"/>
    <w:rsid w:val="007D4FAC"/>
    <w:rsid w:val="007D4FCF"/>
    <w:rsid w:val="007D509D"/>
    <w:rsid w:val="007D5455"/>
    <w:rsid w:val="007D5634"/>
    <w:rsid w:val="007D6000"/>
    <w:rsid w:val="007D6051"/>
    <w:rsid w:val="007D63A8"/>
    <w:rsid w:val="007D6B6A"/>
    <w:rsid w:val="007D7236"/>
    <w:rsid w:val="007E004B"/>
    <w:rsid w:val="007E00FC"/>
    <w:rsid w:val="007E05F8"/>
    <w:rsid w:val="007E1890"/>
    <w:rsid w:val="007E1B32"/>
    <w:rsid w:val="007E1C0B"/>
    <w:rsid w:val="007E2958"/>
    <w:rsid w:val="007E29B9"/>
    <w:rsid w:val="007E2E3A"/>
    <w:rsid w:val="007E3019"/>
    <w:rsid w:val="007E3B23"/>
    <w:rsid w:val="007E3F45"/>
    <w:rsid w:val="007E41E1"/>
    <w:rsid w:val="007E42D5"/>
    <w:rsid w:val="007E4582"/>
    <w:rsid w:val="007E4B44"/>
    <w:rsid w:val="007E5149"/>
    <w:rsid w:val="007E5254"/>
    <w:rsid w:val="007E5A32"/>
    <w:rsid w:val="007E5A36"/>
    <w:rsid w:val="007E629A"/>
    <w:rsid w:val="007E6735"/>
    <w:rsid w:val="007E6795"/>
    <w:rsid w:val="007E679C"/>
    <w:rsid w:val="007E6ABC"/>
    <w:rsid w:val="007E6BD2"/>
    <w:rsid w:val="007E6C10"/>
    <w:rsid w:val="007E6E1F"/>
    <w:rsid w:val="007E7268"/>
    <w:rsid w:val="007E728A"/>
    <w:rsid w:val="007E783D"/>
    <w:rsid w:val="007E7BDC"/>
    <w:rsid w:val="007E7DCD"/>
    <w:rsid w:val="007F02A0"/>
    <w:rsid w:val="007F0654"/>
    <w:rsid w:val="007F1968"/>
    <w:rsid w:val="007F1A64"/>
    <w:rsid w:val="007F21E8"/>
    <w:rsid w:val="007F3357"/>
    <w:rsid w:val="007F3424"/>
    <w:rsid w:val="007F34B6"/>
    <w:rsid w:val="007F389B"/>
    <w:rsid w:val="007F3DA0"/>
    <w:rsid w:val="007F441A"/>
    <w:rsid w:val="007F465A"/>
    <w:rsid w:val="007F4801"/>
    <w:rsid w:val="007F56D1"/>
    <w:rsid w:val="007F5D6E"/>
    <w:rsid w:val="007F601B"/>
    <w:rsid w:val="007F60B6"/>
    <w:rsid w:val="007F75C0"/>
    <w:rsid w:val="007F7ABF"/>
    <w:rsid w:val="0080023C"/>
    <w:rsid w:val="0080033F"/>
    <w:rsid w:val="00800A06"/>
    <w:rsid w:val="008010E5"/>
    <w:rsid w:val="0080180D"/>
    <w:rsid w:val="008019B9"/>
    <w:rsid w:val="00801D2C"/>
    <w:rsid w:val="008028AD"/>
    <w:rsid w:val="00802E60"/>
    <w:rsid w:val="008047A0"/>
    <w:rsid w:val="00804F15"/>
    <w:rsid w:val="00806364"/>
    <w:rsid w:val="008069A5"/>
    <w:rsid w:val="0080732A"/>
    <w:rsid w:val="00807409"/>
    <w:rsid w:val="00807684"/>
    <w:rsid w:val="00807AD9"/>
    <w:rsid w:val="00807AF8"/>
    <w:rsid w:val="00807DB3"/>
    <w:rsid w:val="00807EF7"/>
    <w:rsid w:val="008102C6"/>
    <w:rsid w:val="00811272"/>
    <w:rsid w:val="0081153D"/>
    <w:rsid w:val="00811E75"/>
    <w:rsid w:val="00812343"/>
    <w:rsid w:val="00812BFA"/>
    <w:rsid w:val="00812E6D"/>
    <w:rsid w:val="008131E7"/>
    <w:rsid w:val="0081486A"/>
    <w:rsid w:val="008148B3"/>
    <w:rsid w:val="00814912"/>
    <w:rsid w:val="008165A8"/>
    <w:rsid w:val="00816918"/>
    <w:rsid w:val="0081703F"/>
    <w:rsid w:val="00817443"/>
    <w:rsid w:val="008204B4"/>
    <w:rsid w:val="00820923"/>
    <w:rsid w:val="008212BE"/>
    <w:rsid w:val="008219F8"/>
    <w:rsid w:val="0082302F"/>
    <w:rsid w:val="008232DF"/>
    <w:rsid w:val="00823445"/>
    <w:rsid w:val="00823542"/>
    <w:rsid w:val="00823A62"/>
    <w:rsid w:val="00824AA4"/>
    <w:rsid w:val="00824B2C"/>
    <w:rsid w:val="00824F8A"/>
    <w:rsid w:val="008250A0"/>
    <w:rsid w:val="008252E1"/>
    <w:rsid w:val="0082552A"/>
    <w:rsid w:val="008255CE"/>
    <w:rsid w:val="008259A8"/>
    <w:rsid w:val="00825A18"/>
    <w:rsid w:val="00825A51"/>
    <w:rsid w:val="00825F33"/>
    <w:rsid w:val="00825FEB"/>
    <w:rsid w:val="0082691A"/>
    <w:rsid w:val="008270BA"/>
    <w:rsid w:val="00827B44"/>
    <w:rsid w:val="008300BA"/>
    <w:rsid w:val="00830226"/>
    <w:rsid w:val="00830C58"/>
    <w:rsid w:val="00830DDC"/>
    <w:rsid w:val="00830DE0"/>
    <w:rsid w:val="008311B9"/>
    <w:rsid w:val="0083159C"/>
    <w:rsid w:val="008323D4"/>
    <w:rsid w:val="00832A38"/>
    <w:rsid w:val="00832B81"/>
    <w:rsid w:val="00832BCA"/>
    <w:rsid w:val="0083334F"/>
    <w:rsid w:val="008337D4"/>
    <w:rsid w:val="00833877"/>
    <w:rsid w:val="00833930"/>
    <w:rsid w:val="00833D36"/>
    <w:rsid w:val="00833F34"/>
    <w:rsid w:val="00833FFD"/>
    <w:rsid w:val="0083459A"/>
    <w:rsid w:val="00835DD9"/>
    <w:rsid w:val="00836E7C"/>
    <w:rsid w:val="00837EA3"/>
    <w:rsid w:val="00840747"/>
    <w:rsid w:val="00840C90"/>
    <w:rsid w:val="00840EF1"/>
    <w:rsid w:val="00841118"/>
    <w:rsid w:val="00841E37"/>
    <w:rsid w:val="00841EFC"/>
    <w:rsid w:val="00842256"/>
    <w:rsid w:val="0084289A"/>
    <w:rsid w:val="0084326D"/>
    <w:rsid w:val="00843E31"/>
    <w:rsid w:val="00843EDD"/>
    <w:rsid w:val="00843FD2"/>
    <w:rsid w:val="00844799"/>
    <w:rsid w:val="008455B1"/>
    <w:rsid w:val="0084593B"/>
    <w:rsid w:val="00845B66"/>
    <w:rsid w:val="00845CDA"/>
    <w:rsid w:val="00845F3D"/>
    <w:rsid w:val="008474C4"/>
    <w:rsid w:val="008474C6"/>
    <w:rsid w:val="00847517"/>
    <w:rsid w:val="008477CC"/>
    <w:rsid w:val="00847C43"/>
    <w:rsid w:val="00847E27"/>
    <w:rsid w:val="00850ACA"/>
    <w:rsid w:val="00851033"/>
    <w:rsid w:val="008519C4"/>
    <w:rsid w:val="00851BDE"/>
    <w:rsid w:val="0085219E"/>
    <w:rsid w:val="00852314"/>
    <w:rsid w:val="00852512"/>
    <w:rsid w:val="00852538"/>
    <w:rsid w:val="00852841"/>
    <w:rsid w:val="00852888"/>
    <w:rsid w:val="008533EC"/>
    <w:rsid w:val="008534C3"/>
    <w:rsid w:val="00854013"/>
    <w:rsid w:val="00854B7D"/>
    <w:rsid w:val="008552A3"/>
    <w:rsid w:val="00855563"/>
    <w:rsid w:val="0085591C"/>
    <w:rsid w:val="008560C0"/>
    <w:rsid w:val="00856468"/>
    <w:rsid w:val="00856AF1"/>
    <w:rsid w:val="00856C59"/>
    <w:rsid w:val="00857514"/>
    <w:rsid w:val="0085769F"/>
    <w:rsid w:val="00860EDA"/>
    <w:rsid w:val="00861194"/>
    <w:rsid w:val="00861A0B"/>
    <w:rsid w:val="008631A0"/>
    <w:rsid w:val="008636FB"/>
    <w:rsid w:val="00863D60"/>
    <w:rsid w:val="00864023"/>
    <w:rsid w:val="0086493F"/>
    <w:rsid w:val="00864B9E"/>
    <w:rsid w:val="00864C2C"/>
    <w:rsid w:val="00864E72"/>
    <w:rsid w:val="00865035"/>
    <w:rsid w:val="0086533D"/>
    <w:rsid w:val="0086549F"/>
    <w:rsid w:val="00865664"/>
    <w:rsid w:val="0086600C"/>
    <w:rsid w:val="00866176"/>
    <w:rsid w:val="008662AA"/>
    <w:rsid w:val="00866C3E"/>
    <w:rsid w:val="00867BE4"/>
    <w:rsid w:val="0087021D"/>
    <w:rsid w:val="00870410"/>
    <w:rsid w:val="0087068C"/>
    <w:rsid w:val="008708BE"/>
    <w:rsid w:val="00871053"/>
    <w:rsid w:val="0087140B"/>
    <w:rsid w:val="00871B62"/>
    <w:rsid w:val="00872BC3"/>
    <w:rsid w:val="008731AC"/>
    <w:rsid w:val="00873436"/>
    <w:rsid w:val="00873ED3"/>
    <w:rsid w:val="008743B6"/>
    <w:rsid w:val="00874821"/>
    <w:rsid w:val="00874977"/>
    <w:rsid w:val="00874BD2"/>
    <w:rsid w:val="00875884"/>
    <w:rsid w:val="00875909"/>
    <w:rsid w:val="00875A5C"/>
    <w:rsid w:val="00876025"/>
    <w:rsid w:val="00876C07"/>
    <w:rsid w:val="00876E36"/>
    <w:rsid w:val="00877548"/>
    <w:rsid w:val="0087797E"/>
    <w:rsid w:val="00877D2D"/>
    <w:rsid w:val="00877D51"/>
    <w:rsid w:val="0088001E"/>
    <w:rsid w:val="00880422"/>
    <w:rsid w:val="00880CCF"/>
    <w:rsid w:val="00880CFD"/>
    <w:rsid w:val="00881241"/>
    <w:rsid w:val="00881D85"/>
    <w:rsid w:val="00881F6C"/>
    <w:rsid w:val="0088225C"/>
    <w:rsid w:val="00882E1A"/>
    <w:rsid w:val="00882F16"/>
    <w:rsid w:val="00884BDE"/>
    <w:rsid w:val="0088506E"/>
    <w:rsid w:val="00885418"/>
    <w:rsid w:val="00885978"/>
    <w:rsid w:val="00885CFD"/>
    <w:rsid w:val="0088633D"/>
    <w:rsid w:val="00886823"/>
    <w:rsid w:val="00886C42"/>
    <w:rsid w:val="00887728"/>
    <w:rsid w:val="00890664"/>
    <w:rsid w:val="008909F7"/>
    <w:rsid w:val="00890E70"/>
    <w:rsid w:val="008919B3"/>
    <w:rsid w:val="00892A36"/>
    <w:rsid w:val="008930A4"/>
    <w:rsid w:val="008934BB"/>
    <w:rsid w:val="00893CD8"/>
    <w:rsid w:val="00894114"/>
    <w:rsid w:val="0089435F"/>
    <w:rsid w:val="008944DC"/>
    <w:rsid w:val="008946A4"/>
    <w:rsid w:val="008948FD"/>
    <w:rsid w:val="0089497E"/>
    <w:rsid w:val="0089504E"/>
    <w:rsid w:val="00896987"/>
    <w:rsid w:val="00896D33"/>
    <w:rsid w:val="00897456"/>
    <w:rsid w:val="00897761"/>
    <w:rsid w:val="008A07BA"/>
    <w:rsid w:val="008A099C"/>
    <w:rsid w:val="008A0A4E"/>
    <w:rsid w:val="008A0BF3"/>
    <w:rsid w:val="008A1320"/>
    <w:rsid w:val="008A18E0"/>
    <w:rsid w:val="008A1B0D"/>
    <w:rsid w:val="008A1DF8"/>
    <w:rsid w:val="008A2B99"/>
    <w:rsid w:val="008A2D16"/>
    <w:rsid w:val="008A35D3"/>
    <w:rsid w:val="008A3A5A"/>
    <w:rsid w:val="008A3D59"/>
    <w:rsid w:val="008A3EC1"/>
    <w:rsid w:val="008A407F"/>
    <w:rsid w:val="008A4300"/>
    <w:rsid w:val="008A4932"/>
    <w:rsid w:val="008A4F0C"/>
    <w:rsid w:val="008A5479"/>
    <w:rsid w:val="008A55B0"/>
    <w:rsid w:val="008A55D9"/>
    <w:rsid w:val="008A5B7B"/>
    <w:rsid w:val="008A5CDD"/>
    <w:rsid w:val="008A5DA3"/>
    <w:rsid w:val="008A64B6"/>
    <w:rsid w:val="008A6B05"/>
    <w:rsid w:val="008A6F69"/>
    <w:rsid w:val="008A784E"/>
    <w:rsid w:val="008A78AE"/>
    <w:rsid w:val="008A7D1C"/>
    <w:rsid w:val="008B08A5"/>
    <w:rsid w:val="008B198E"/>
    <w:rsid w:val="008B2143"/>
    <w:rsid w:val="008B290A"/>
    <w:rsid w:val="008B292C"/>
    <w:rsid w:val="008B2D7A"/>
    <w:rsid w:val="008B2E73"/>
    <w:rsid w:val="008B3230"/>
    <w:rsid w:val="008B3378"/>
    <w:rsid w:val="008B3401"/>
    <w:rsid w:val="008B3734"/>
    <w:rsid w:val="008B3ECF"/>
    <w:rsid w:val="008B43B7"/>
    <w:rsid w:val="008B55BB"/>
    <w:rsid w:val="008B5701"/>
    <w:rsid w:val="008B7DE6"/>
    <w:rsid w:val="008B7EE0"/>
    <w:rsid w:val="008C11FC"/>
    <w:rsid w:val="008C1BF1"/>
    <w:rsid w:val="008C1E2C"/>
    <w:rsid w:val="008C2324"/>
    <w:rsid w:val="008C2950"/>
    <w:rsid w:val="008C301B"/>
    <w:rsid w:val="008C4BA2"/>
    <w:rsid w:val="008C4D31"/>
    <w:rsid w:val="008C50A2"/>
    <w:rsid w:val="008C5254"/>
    <w:rsid w:val="008C532D"/>
    <w:rsid w:val="008C56D8"/>
    <w:rsid w:val="008C57C1"/>
    <w:rsid w:val="008C6F58"/>
    <w:rsid w:val="008D09A9"/>
    <w:rsid w:val="008D1015"/>
    <w:rsid w:val="008D1D06"/>
    <w:rsid w:val="008D285E"/>
    <w:rsid w:val="008D3089"/>
    <w:rsid w:val="008D3C1D"/>
    <w:rsid w:val="008D4546"/>
    <w:rsid w:val="008D4F72"/>
    <w:rsid w:val="008D54C8"/>
    <w:rsid w:val="008D55E2"/>
    <w:rsid w:val="008D56CD"/>
    <w:rsid w:val="008D5B02"/>
    <w:rsid w:val="008D60B2"/>
    <w:rsid w:val="008D6454"/>
    <w:rsid w:val="008D702C"/>
    <w:rsid w:val="008D78DB"/>
    <w:rsid w:val="008D7ACC"/>
    <w:rsid w:val="008D7DE5"/>
    <w:rsid w:val="008E025F"/>
    <w:rsid w:val="008E0F91"/>
    <w:rsid w:val="008E1216"/>
    <w:rsid w:val="008E2115"/>
    <w:rsid w:val="008E2363"/>
    <w:rsid w:val="008E3DCE"/>
    <w:rsid w:val="008E459F"/>
    <w:rsid w:val="008E4BE6"/>
    <w:rsid w:val="008E4C09"/>
    <w:rsid w:val="008E5A69"/>
    <w:rsid w:val="008E75D9"/>
    <w:rsid w:val="008E7BCB"/>
    <w:rsid w:val="008E7C62"/>
    <w:rsid w:val="008F0319"/>
    <w:rsid w:val="008F0517"/>
    <w:rsid w:val="008F073B"/>
    <w:rsid w:val="008F178C"/>
    <w:rsid w:val="008F21F8"/>
    <w:rsid w:val="008F24CC"/>
    <w:rsid w:val="008F260C"/>
    <w:rsid w:val="008F2B33"/>
    <w:rsid w:val="008F2B74"/>
    <w:rsid w:val="008F3466"/>
    <w:rsid w:val="008F3965"/>
    <w:rsid w:val="008F3FA4"/>
    <w:rsid w:val="008F4420"/>
    <w:rsid w:val="008F4C4D"/>
    <w:rsid w:val="008F573F"/>
    <w:rsid w:val="008F5DC8"/>
    <w:rsid w:val="008F5E1B"/>
    <w:rsid w:val="009001DF"/>
    <w:rsid w:val="00900F68"/>
    <w:rsid w:val="00901D83"/>
    <w:rsid w:val="00902B4C"/>
    <w:rsid w:val="009031DC"/>
    <w:rsid w:val="009034EA"/>
    <w:rsid w:val="0090354F"/>
    <w:rsid w:val="0090364F"/>
    <w:rsid w:val="00903AA4"/>
    <w:rsid w:val="00903C2E"/>
    <w:rsid w:val="00904887"/>
    <w:rsid w:val="00904BA2"/>
    <w:rsid w:val="00905A8A"/>
    <w:rsid w:val="00906CC0"/>
    <w:rsid w:val="00910143"/>
    <w:rsid w:val="009103B2"/>
    <w:rsid w:val="009108C6"/>
    <w:rsid w:val="00912618"/>
    <w:rsid w:val="00912742"/>
    <w:rsid w:val="00912C3A"/>
    <w:rsid w:val="00912E4D"/>
    <w:rsid w:val="00913376"/>
    <w:rsid w:val="00913842"/>
    <w:rsid w:val="00914FC4"/>
    <w:rsid w:val="0091510E"/>
    <w:rsid w:val="0091549E"/>
    <w:rsid w:val="00916835"/>
    <w:rsid w:val="009177BE"/>
    <w:rsid w:val="00917A44"/>
    <w:rsid w:val="00917C50"/>
    <w:rsid w:val="00917DF9"/>
    <w:rsid w:val="009204C4"/>
    <w:rsid w:val="009207BB"/>
    <w:rsid w:val="009216F3"/>
    <w:rsid w:val="009219AB"/>
    <w:rsid w:val="009220A8"/>
    <w:rsid w:val="00922162"/>
    <w:rsid w:val="00922392"/>
    <w:rsid w:val="00922822"/>
    <w:rsid w:val="00922AAD"/>
    <w:rsid w:val="009234E2"/>
    <w:rsid w:val="00925516"/>
    <w:rsid w:val="009256D3"/>
    <w:rsid w:val="00925BCC"/>
    <w:rsid w:val="00925C8F"/>
    <w:rsid w:val="00925DA9"/>
    <w:rsid w:val="0092675E"/>
    <w:rsid w:val="009267FD"/>
    <w:rsid w:val="00926B64"/>
    <w:rsid w:val="00926D98"/>
    <w:rsid w:val="00926F74"/>
    <w:rsid w:val="00927220"/>
    <w:rsid w:val="009278BB"/>
    <w:rsid w:val="009308D9"/>
    <w:rsid w:val="00930F48"/>
    <w:rsid w:val="00930F7E"/>
    <w:rsid w:val="009314BE"/>
    <w:rsid w:val="00931792"/>
    <w:rsid w:val="00931E27"/>
    <w:rsid w:val="00932462"/>
    <w:rsid w:val="009334A7"/>
    <w:rsid w:val="009336A3"/>
    <w:rsid w:val="00933852"/>
    <w:rsid w:val="00934A3B"/>
    <w:rsid w:val="00934E62"/>
    <w:rsid w:val="00935B73"/>
    <w:rsid w:val="009363F4"/>
    <w:rsid w:val="00937274"/>
    <w:rsid w:val="009372EB"/>
    <w:rsid w:val="0093731B"/>
    <w:rsid w:val="009378FE"/>
    <w:rsid w:val="00937E1A"/>
    <w:rsid w:val="0094070D"/>
    <w:rsid w:val="009413A6"/>
    <w:rsid w:val="0094204A"/>
    <w:rsid w:val="00942174"/>
    <w:rsid w:val="00943582"/>
    <w:rsid w:val="00944EE4"/>
    <w:rsid w:val="00945535"/>
    <w:rsid w:val="00946590"/>
    <w:rsid w:val="00946A97"/>
    <w:rsid w:val="0094720C"/>
    <w:rsid w:val="00947660"/>
    <w:rsid w:val="00947E34"/>
    <w:rsid w:val="009502A1"/>
    <w:rsid w:val="00950438"/>
    <w:rsid w:val="009504BE"/>
    <w:rsid w:val="00950BA9"/>
    <w:rsid w:val="009513DB"/>
    <w:rsid w:val="00953F2E"/>
    <w:rsid w:val="00954622"/>
    <w:rsid w:val="00954896"/>
    <w:rsid w:val="0095516B"/>
    <w:rsid w:val="00955183"/>
    <w:rsid w:val="009557A7"/>
    <w:rsid w:val="00955914"/>
    <w:rsid w:val="00955CEF"/>
    <w:rsid w:val="00957253"/>
    <w:rsid w:val="00957BD2"/>
    <w:rsid w:val="00957E10"/>
    <w:rsid w:val="009604C2"/>
    <w:rsid w:val="009604FF"/>
    <w:rsid w:val="00960FCF"/>
    <w:rsid w:val="0096133B"/>
    <w:rsid w:val="00961D20"/>
    <w:rsid w:val="00961D59"/>
    <w:rsid w:val="00961FE7"/>
    <w:rsid w:val="009626CF"/>
    <w:rsid w:val="00962A3C"/>
    <w:rsid w:val="00962AB7"/>
    <w:rsid w:val="00962AFF"/>
    <w:rsid w:val="009630BF"/>
    <w:rsid w:val="009633A6"/>
    <w:rsid w:val="009634F3"/>
    <w:rsid w:val="00963A52"/>
    <w:rsid w:val="00963EB6"/>
    <w:rsid w:val="0096404B"/>
    <w:rsid w:val="0096521E"/>
    <w:rsid w:val="009653D0"/>
    <w:rsid w:val="00965605"/>
    <w:rsid w:val="00965C70"/>
    <w:rsid w:val="00966266"/>
    <w:rsid w:val="00966590"/>
    <w:rsid w:val="00966C37"/>
    <w:rsid w:val="00966FA9"/>
    <w:rsid w:val="0096780C"/>
    <w:rsid w:val="00967C16"/>
    <w:rsid w:val="00971A61"/>
    <w:rsid w:val="00971E3B"/>
    <w:rsid w:val="00971FA1"/>
    <w:rsid w:val="0097218B"/>
    <w:rsid w:val="009721B8"/>
    <w:rsid w:val="009725B5"/>
    <w:rsid w:val="009729E6"/>
    <w:rsid w:val="00972D0D"/>
    <w:rsid w:val="00972F40"/>
    <w:rsid w:val="00973308"/>
    <w:rsid w:val="00973DC5"/>
    <w:rsid w:val="00973DDC"/>
    <w:rsid w:val="00974759"/>
    <w:rsid w:val="009752C9"/>
    <w:rsid w:val="00976765"/>
    <w:rsid w:val="0097689F"/>
    <w:rsid w:val="009768CB"/>
    <w:rsid w:val="00976C96"/>
    <w:rsid w:val="009771B7"/>
    <w:rsid w:val="0097789D"/>
    <w:rsid w:val="00980073"/>
    <w:rsid w:val="0098026F"/>
    <w:rsid w:val="00981F46"/>
    <w:rsid w:val="00982077"/>
    <w:rsid w:val="0098301A"/>
    <w:rsid w:val="009847F2"/>
    <w:rsid w:val="00984A65"/>
    <w:rsid w:val="00986748"/>
    <w:rsid w:val="00987C10"/>
    <w:rsid w:val="00990081"/>
    <w:rsid w:val="00990636"/>
    <w:rsid w:val="00991159"/>
    <w:rsid w:val="00991983"/>
    <w:rsid w:val="00991BC3"/>
    <w:rsid w:val="00992871"/>
    <w:rsid w:val="009928C7"/>
    <w:rsid w:val="00993078"/>
    <w:rsid w:val="00993141"/>
    <w:rsid w:val="009940A9"/>
    <w:rsid w:val="009947F2"/>
    <w:rsid w:val="009950E9"/>
    <w:rsid w:val="009958B7"/>
    <w:rsid w:val="009959D0"/>
    <w:rsid w:val="00996162"/>
    <w:rsid w:val="009967BA"/>
    <w:rsid w:val="0099683A"/>
    <w:rsid w:val="009A04D0"/>
    <w:rsid w:val="009A0CA7"/>
    <w:rsid w:val="009A12C6"/>
    <w:rsid w:val="009A1447"/>
    <w:rsid w:val="009A14A7"/>
    <w:rsid w:val="009A184E"/>
    <w:rsid w:val="009A18B3"/>
    <w:rsid w:val="009A20A4"/>
    <w:rsid w:val="009A2855"/>
    <w:rsid w:val="009A2EF1"/>
    <w:rsid w:val="009A3964"/>
    <w:rsid w:val="009A3F52"/>
    <w:rsid w:val="009A4397"/>
    <w:rsid w:val="009A4906"/>
    <w:rsid w:val="009A4B90"/>
    <w:rsid w:val="009A5011"/>
    <w:rsid w:val="009A5188"/>
    <w:rsid w:val="009A53CF"/>
    <w:rsid w:val="009A56D5"/>
    <w:rsid w:val="009A5D77"/>
    <w:rsid w:val="009B0291"/>
    <w:rsid w:val="009B0303"/>
    <w:rsid w:val="009B1732"/>
    <w:rsid w:val="009B1877"/>
    <w:rsid w:val="009B191B"/>
    <w:rsid w:val="009B1A52"/>
    <w:rsid w:val="009B1F8A"/>
    <w:rsid w:val="009B204B"/>
    <w:rsid w:val="009B26FC"/>
    <w:rsid w:val="009B2939"/>
    <w:rsid w:val="009B30A6"/>
    <w:rsid w:val="009B36BB"/>
    <w:rsid w:val="009B3954"/>
    <w:rsid w:val="009B39EC"/>
    <w:rsid w:val="009B3DB5"/>
    <w:rsid w:val="009B3F65"/>
    <w:rsid w:val="009B41B1"/>
    <w:rsid w:val="009B428F"/>
    <w:rsid w:val="009B473E"/>
    <w:rsid w:val="009B4D26"/>
    <w:rsid w:val="009B51CB"/>
    <w:rsid w:val="009B5237"/>
    <w:rsid w:val="009B63CD"/>
    <w:rsid w:val="009B64AE"/>
    <w:rsid w:val="009B6714"/>
    <w:rsid w:val="009B68ED"/>
    <w:rsid w:val="009B7024"/>
    <w:rsid w:val="009C0302"/>
    <w:rsid w:val="009C05DB"/>
    <w:rsid w:val="009C09A1"/>
    <w:rsid w:val="009C0B9E"/>
    <w:rsid w:val="009C1B0A"/>
    <w:rsid w:val="009C1BC2"/>
    <w:rsid w:val="009C1C9E"/>
    <w:rsid w:val="009C2084"/>
    <w:rsid w:val="009C2394"/>
    <w:rsid w:val="009C24D4"/>
    <w:rsid w:val="009C25EF"/>
    <w:rsid w:val="009C3D04"/>
    <w:rsid w:val="009C4574"/>
    <w:rsid w:val="009C5325"/>
    <w:rsid w:val="009C57C0"/>
    <w:rsid w:val="009C595B"/>
    <w:rsid w:val="009C5A2E"/>
    <w:rsid w:val="009C5D0D"/>
    <w:rsid w:val="009C6632"/>
    <w:rsid w:val="009C69BF"/>
    <w:rsid w:val="009C759F"/>
    <w:rsid w:val="009C7F73"/>
    <w:rsid w:val="009D05BE"/>
    <w:rsid w:val="009D1493"/>
    <w:rsid w:val="009D1AA4"/>
    <w:rsid w:val="009D1DAF"/>
    <w:rsid w:val="009D21BC"/>
    <w:rsid w:val="009D2E86"/>
    <w:rsid w:val="009D30A6"/>
    <w:rsid w:val="009D32B2"/>
    <w:rsid w:val="009D3786"/>
    <w:rsid w:val="009D3984"/>
    <w:rsid w:val="009D4F37"/>
    <w:rsid w:val="009D4F47"/>
    <w:rsid w:val="009D5707"/>
    <w:rsid w:val="009D57E1"/>
    <w:rsid w:val="009D6414"/>
    <w:rsid w:val="009D7C83"/>
    <w:rsid w:val="009E278B"/>
    <w:rsid w:val="009E2D71"/>
    <w:rsid w:val="009E3576"/>
    <w:rsid w:val="009E3B3F"/>
    <w:rsid w:val="009E40E8"/>
    <w:rsid w:val="009E43AB"/>
    <w:rsid w:val="009E513C"/>
    <w:rsid w:val="009E5AAC"/>
    <w:rsid w:val="009E5DB5"/>
    <w:rsid w:val="009E67D0"/>
    <w:rsid w:val="009E6BD1"/>
    <w:rsid w:val="009E6C5E"/>
    <w:rsid w:val="009E6F46"/>
    <w:rsid w:val="009E7157"/>
    <w:rsid w:val="009E7BA9"/>
    <w:rsid w:val="009F02F6"/>
    <w:rsid w:val="009F0742"/>
    <w:rsid w:val="009F0859"/>
    <w:rsid w:val="009F0AA4"/>
    <w:rsid w:val="009F0BB5"/>
    <w:rsid w:val="009F14CD"/>
    <w:rsid w:val="009F2252"/>
    <w:rsid w:val="009F2385"/>
    <w:rsid w:val="009F3127"/>
    <w:rsid w:val="009F39D8"/>
    <w:rsid w:val="009F3A6A"/>
    <w:rsid w:val="009F42F3"/>
    <w:rsid w:val="009F4714"/>
    <w:rsid w:val="009F473B"/>
    <w:rsid w:val="009F47D5"/>
    <w:rsid w:val="009F4A05"/>
    <w:rsid w:val="009F5459"/>
    <w:rsid w:val="009F54B8"/>
    <w:rsid w:val="009F5786"/>
    <w:rsid w:val="009F6574"/>
    <w:rsid w:val="009F6CFF"/>
    <w:rsid w:val="009F709F"/>
    <w:rsid w:val="009F7C29"/>
    <w:rsid w:val="009F7CFB"/>
    <w:rsid w:val="00A00596"/>
    <w:rsid w:val="00A007C4"/>
    <w:rsid w:val="00A01A92"/>
    <w:rsid w:val="00A021FD"/>
    <w:rsid w:val="00A02DAB"/>
    <w:rsid w:val="00A02F01"/>
    <w:rsid w:val="00A02F95"/>
    <w:rsid w:val="00A031F2"/>
    <w:rsid w:val="00A033D0"/>
    <w:rsid w:val="00A03858"/>
    <w:rsid w:val="00A0474D"/>
    <w:rsid w:val="00A04852"/>
    <w:rsid w:val="00A0499D"/>
    <w:rsid w:val="00A04A30"/>
    <w:rsid w:val="00A0528A"/>
    <w:rsid w:val="00A05CE5"/>
    <w:rsid w:val="00A05D42"/>
    <w:rsid w:val="00A06520"/>
    <w:rsid w:val="00A06670"/>
    <w:rsid w:val="00A06AFC"/>
    <w:rsid w:val="00A06B14"/>
    <w:rsid w:val="00A0726C"/>
    <w:rsid w:val="00A079D6"/>
    <w:rsid w:val="00A07B92"/>
    <w:rsid w:val="00A10A2F"/>
    <w:rsid w:val="00A11226"/>
    <w:rsid w:val="00A11491"/>
    <w:rsid w:val="00A11C55"/>
    <w:rsid w:val="00A12725"/>
    <w:rsid w:val="00A127C4"/>
    <w:rsid w:val="00A12BF1"/>
    <w:rsid w:val="00A12F45"/>
    <w:rsid w:val="00A130E2"/>
    <w:rsid w:val="00A143A0"/>
    <w:rsid w:val="00A14886"/>
    <w:rsid w:val="00A14A23"/>
    <w:rsid w:val="00A1587A"/>
    <w:rsid w:val="00A15A85"/>
    <w:rsid w:val="00A160FC"/>
    <w:rsid w:val="00A165C1"/>
    <w:rsid w:val="00A169E1"/>
    <w:rsid w:val="00A16CD0"/>
    <w:rsid w:val="00A17691"/>
    <w:rsid w:val="00A17BF9"/>
    <w:rsid w:val="00A200AE"/>
    <w:rsid w:val="00A20309"/>
    <w:rsid w:val="00A206D2"/>
    <w:rsid w:val="00A207B8"/>
    <w:rsid w:val="00A2098F"/>
    <w:rsid w:val="00A211ED"/>
    <w:rsid w:val="00A2354B"/>
    <w:rsid w:val="00A242F1"/>
    <w:rsid w:val="00A24562"/>
    <w:rsid w:val="00A25432"/>
    <w:rsid w:val="00A26972"/>
    <w:rsid w:val="00A269CA"/>
    <w:rsid w:val="00A26FC5"/>
    <w:rsid w:val="00A2719A"/>
    <w:rsid w:val="00A2740A"/>
    <w:rsid w:val="00A278F7"/>
    <w:rsid w:val="00A27ED0"/>
    <w:rsid w:val="00A301BB"/>
    <w:rsid w:val="00A30A3C"/>
    <w:rsid w:val="00A311D7"/>
    <w:rsid w:val="00A3159A"/>
    <w:rsid w:val="00A31B4D"/>
    <w:rsid w:val="00A322A4"/>
    <w:rsid w:val="00A322E1"/>
    <w:rsid w:val="00A32488"/>
    <w:rsid w:val="00A334C8"/>
    <w:rsid w:val="00A33E8E"/>
    <w:rsid w:val="00A34557"/>
    <w:rsid w:val="00A347EA"/>
    <w:rsid w:val="00A349E9"/>
    <w:rsid w:val="00A34F65"/>
    <w:rsid w:val="00A3531D"/>
    <w:rsid w:val="00A35AEF"/>
    <w:rsid w:val="00A35B49"/>
    <w:rsid w:val="00A3607D"/>
    <w:rsid w:val="00A37885"/>
    <w:rsid w:val="00A406D4"/>
    <w:rsid w:val="00A40BAF"/>
    <w:rsid w:val="00A41180"/>
    <w:rsid w:val="00A4155F"/>
    <w:rsid w:val="00A41973"/>
    <w:rsid w:val="00A41AA5"/>
    <w:rsid w:val="00A41AE9"/>
    <w:rsid w:val="00A429DB"/>
    <w:rsid w:val="00A431B6"/>
    <w:rsid w:val="00A436A2"/>
    <w:rsid w:val="00A439BC"/>
    <w:rsid w:val="00A43D8B"/>
    <w:rsid w:val="00A448A8"/>
    <w:rsid w:val="00A449EF"/>
    <w:rsid w:val="00A44AFC"/>
    <w:rsid w:val="00A45773"/>
    <w:rsid w:val="00A4583C"/>
    <w:rsid w:val="00A45CE5"/>
    <w:rsid w:val="00A45D71"/>
    <w:rsid w:val="00A46574"/>
    <w:rsid w:val="00A46F6A"/>
    <w:rsid w:val="00A5060D"/>
    <w:rsid w:val="00A5127E"/>
    <w:rsid w:val="00A513C8"/>
    <w:rsid w:val="00A529C6"/>
    <w:rsid w:val="00A52FFB"/>
    <w:rsid w:val="00A52FFC"/>
    <w:rsid w:val="00A5306F"/>
    <w:rsid w:val="00A534DC"/>
    <w:rsid w:val="00A5370C"/>
    <w:rsid w:val="00A54601"/>
    <w:rsid w:val="00A54AC6"/>
    <w:rsid w:val="00A54F3A"/>
    <w:rsid w:val="00A5610B"/>
    <w:rsid w:val="00A56CD3"/>
    <w:rsid w:val="00A56DE7"/>
    <w:rsid w:val="00A57147"/>
    <w:rsid w:val="00A574A8"/>
    <w:rsid w:val="00A5788A"/>
    <w:rsid w:val="00A57D20"/>
    <w:rsid w:val="00A600C6"/>
    <w:rsid w:val="00A60D8E"/>
    <w:rsid w:val="00A60DDF"/>
    <w:rsid w:val="00A6168E"/>
    <w:rsid w:val="00A618FD"/>
    <w:rsid w:val="00A61B4D"/>
    <w:rsid w:val="00A61B85"/>
    <w:rsid w:val="00A6272B"/>
    <w:rsid w:val="00A63933"/>
    <w:rsid w:val="00A645C0"/>
    <w:rsid w:val="00A64878"/>
    <w:rsid w:val="00A65DD8"/>
    <w:rsid w:val="00A662B6"/>
    <w:rsid w:val="00A6641B"/>
    <w:rsid w:val="00A66664"/>
    <w:rsid w:val="00A67A46"/>
    <w:rsid w:val="00A67B7C"/>
    <w:rsid w:val="00A67F69"/>
    <w:rsid w:val="00A702A2"/>
    <w:rsid w:val="00A70821"/>
    <w:rsid w:val="00A71695"/>
    <w:rsid w:val="00A71C26"/>
    <w:rsid w:val="00A71C37"/>
    <w:rsid w:val="00A71DA1"/>
    <w:rsid w:val="00A72325"/>
    <w:rsid w:val="00A72D1E"/>
    <w:rsid w:val="00A72D62"/>
    <w:rsid w:val="00A73815"/>
    <w:rsid w:val="00A73E83"/>
    <w:rsid w:val="00A74110"/>
    <w:rsid w:val="00A74508"/>
    <w:rsid w:val="00A749B6"/>
    <w:rsid w:val="00A74B8A"/>
    <w:rsid w:val="00A756F6"/>
    <w:rsid w:val="00A75A01"/>
    <w:rsid w:val="00A80B86"/>
    <w:rsid w:val="00A814DB"/>
    <w:rsid w:val="00A81A27"/>
    <w:rsid w:val="00A81B7E"/>
    <w:rsid w:val="00A82260"/>
    <w:rsid w:val="00A82A7B"/>
    <w:rsid w:val="00A82BA2"/>
    <w:rsid w:val="00A82ED9"/>
    <w:rsid w:val="00A83574"/>
    <w:rsid w:val="00A839E6"/>
    <w:rsid w:val="00A83AEB"/>
    <w:rsid w:val="00A846A3"/>
    <w:rsid w:val="00A84B13"/>
    <w:rsid w:val="00A850CA"/>
    <w:rsid w:val="00A8562A"/>
    <w:rsid w:val="00A85BFB"/>
    <w:rsid w:val="00A85F50"/>
    <w:rsid w:val="00A85FAB"/>
    <w:rsid w:val="00A87083"/>
    <w:rsid w:val="00A87656"/>
    <w:rsid w:val="00A87DA6"/>
    <w:rsid w:val="00A9091E"/>
    <w:rsid w:val="00A90A16"/>
    <w:rsid w:val="00A910DA"/>
    <w:rsid w:val="00A9167F"/>
    <w:rsid w:val="00A91ABF"/>
    <w:rsid w:val="00A92108"/>
    <w:rsid w:val="00A92573"/>
    <w:rsid w:val="00A92976"/>
    <w:rsid w:val="00A92F52"/>
    <w:rsid w:val="00A94B9E"/>
    <w:rsid w:val="00A94DCC"/>
    <w:rsid w:val="00A950A5"/>
    <w:rsid w:val="00A952A6"/>
    <w:rsid w:val="00A95758"/>
    <w:rsid w:val="00A95A03"/>
    <w:rsid w:val="00A95B33"/>
    <w:rsid w:val="00A95B88"/>
    <w:rsid w:val="00A95E85"/>
    <w:rsid w:val="00A96F78"/>
    <w:rsid w:val="00A97877"/>
    <w:rsid w:val="00A97992"/>
    <w:rsid w:val="00A97B42"/>
    <w:rsid w:val="00AA0629"/>
    <w:rsid w:val="00AA220B"/>
    <w:rsid w:val="00AA29BF"/>
    <w:rsid w:val="00AA2F6E"/>
    <w:rsid w:val="00AA3946"/>
    <w:rsid w:val="00AA3955"/>
    <w:rsid w:val="00AA3B12"/>
    <w:rsid w:val="00AA486D"/>
    <w:rsid w:val="00AA4BCF"/>
    <w:rsid w:val="00AA4C8F"/>
    <w:rsid w:val="00AA4F1D"/>
    <w:rsid w:val="00AA4F9B"/>
    <w:rsid w:val="00AA5177"/>
    <w:rsid w:val="00AA535B"/>
    <w:rsid w:val="00AA539F"/>
    <w:rsid w:val="00AA5B45"/>
    <w:rsid w:val="00AA5DA4"/>
    <w:rsid w:val="00AA6C87"/>
    <w:rsid w:val="00AA72B4"/>
    <w:rsid w:val="00AA74F2"/>
    <w:rsid w:val="00AA756D"/>
    <w:rsid w:val="00AA77DD"/>
    <w:rsid w:val="00AA791E"/>
    <w:rsid w:val="00AB0BC8"/>
    <w:rsid w:val="00AB0E9D"/>
    <w:rsid w:val="00AB169F"/>
    <w:rsid w:val="00AB1A58"/>
    <w:rsid w:val="00AB1A89"/>
    <w:rsid w:val="00AB1D81"/>
    <w:rsid w:val="00AB258D"/>
    <w:rsid w:val="00AB320B"/>
    <w:rsid w:val="00AB394F"/>
    <w:rsid w:val="00AB4C66"/>
    <w:rsid w:val="00AB504F"/>
    <w:rsid w:val="00AB5A40"/>
    <w:rsid w:val="00AB5AC4"/>
    <w:rsid w:val="00AB5E2A"/>
    <w:rsid w:val="00AB5EA9"/>
    <w:rsid w:val="00AB632A"/>
    <w:rsid w:val="00AB6731"/>
    <w:rsid w:val="00AB73EC"/>
    <w:rsid w:val="00AB7D69"/>
    <w:rsid w:val="00AB7E7B"/>
    <w:rsid w:val="00AB7F21"/>
    <w:rsid w:val="00AC05BC"/>
    <w:rsid w:val="00AC0C1F"/>
    <w:rsid w:val="00AC10D2"/>
    <w:rsid w:val="00AC2B3A"/>
    <w:rsid w:val="00AC2BFD"/>
    <w:rsid w:val="00AC300C"/>
    <w:rsid w:val="00AC31F3"/>
    <w:rsid w:val="00AC3656"/>
    <w:rsid w:val="00AC4612"/>
    <w:rsid w:val="00AC4C31"/>
    <w:rsid w:val="00AC4EA8"/>
    <w:rsid w:val="00AC5BE0"/>
    <w:rsid w:val="00AC6025"/>
    <w:rsid w:val="00AC6E07"/>
    <w:rsid w:val="00AC76BA"/>
    <w:rsid w:val="00AC7BFC"/>
    <w:rsid w:val="00AC7E65"/>
    <w:rsid w:val="00AD0D43"/>
    <w:rsid w:val="00AD0E06"/>
    <w:rsid w:val="00AD138A"/>
    <w:rsid w:val="00AD195D"/>
    <w:rsid w:val="00AD19C7"/>
    <w:rsid w:val="00AD2A70"/>
    <w:rsid w:val="00AD3396"/>
    <w:rsid w:val="00AD3B3E"/>
    <w:rsid w:val="00AD3D06"/>
    <w:rsid w:val="00AD44A8"/>
    <w:rsid w:val="00AD5304"/>
    <w:rsid w:val="00AD5C2C"/>
    <w:rsid w:val="00AD5F89"/>
    <w:rsid w:val="00AD69FB"/>
    <w:rsid w:val="00AD6B8B"/>
    <w:rsid w:val="00AD6BA3"/>
    <w:rsid w:val="00AD7190"/>
    <w:rsid w:val="00AD73A6"/>
    <w:rsid w:val="00AD77E0"/>
    <w:rsid w:val="00AD7A17"/>
    <w:rsid w:val="00AD7F29"/>
    <w:rsid w:val="00AE07A2"/>
    <w:rsid w:val="00AE0890"/>
    <w:rsid w:val="00AE0904"/>
    <w:rsid w:val="00AE0E93"/>
    <w:rsid w:val="00AE12BC"/>
    <w:rsid w:val="00AE201A"/>
    <w:rsid w:val="00AE23F1"/>
    <w:rsid w:val="00AE2A50"/>
    <w:rsid w:val="00AE2F10"/>
    <w:rsid w:val="00AE3DDE"/>
    <w:rsid w:val="00AE436B"/>
    <w:rsid w:val="00AE4488"/>
    <w:rsid w:val="00AE4580"/>
    <w:rsid w:val="00AE6416"/>
    <w:rsid w:val="00AE64CD"/>
    <w:rsid w:val="00AE69CC"/>
    <w:rsid w:val="00AE6D09"/>
    <w:rsid w:val="00AE6E1D"/>
    <w:rsid w:val="00AE6EC8"/>
    <w:rsid w:val="00AE712C"/>
    <w:rsid w:val="00AE78DE"/>
    <w:rsid w:val="00AF027F"/>
    <w:rsid w:val="00AF114C"/>
    <w:rsid w:val="00AF2D80"/>
    <w:rsid w:val="00AF38BA"/>
    <w:rsid w:val="00AF410E"/>
    <w:rsid w:val="00AF44FC"/>
    <w:rsid w:val="00AF4F98"/>
    <w:rsid w:val="00AF55C1"/>
    <w:rsid w:val="00AF56F6"/>
    <w:rsid w:val="00AF59F1"/>
    <w:rsid w:val="00AF5E9C"/>
    <w:rsid w:val="00AF61EF"/>
    <w:rsid w:val="00AF6C39"/>
    <w:rsid w:val="00AF6FAD"/>
    <w:rsid w:val="00AF71CB"/>
    <w:rsid w:val="00AF7264"/>
    <w:rsid w:val="00AF78D7"/>
    <w:rsid w:val="00B004AF"/>
    <w:rsid w:val="00B01201"/>
    <w:rsid w:val="00B01A91"/>
    <w:rsid w:val="00B01AD9"/>
    <w:rsid w:val="00B01C55"/>
    <w:rsid w:val="00B029BD"/>
    <w:rsid w:val="00B02D1B"/>
    <w:rsid w:val="00B035AF"/>
    <w:rsid w:val="00B037B0"/>
    <w:rsid w:val="00B046D9"/>
    <w:rsid w:val="00B04FB8"/>
    <w:rsid w:val="00B05BDC"/>
    <w:rsid w:val="00B06595"/>
    <w:rsid w:val="00B06BDB"/>
    <w:rsid w:val="00B07285"/>
    <w:rsid w:val="00B0769D"/>
    <w:rsid w:val="00B07B81"/>
    <w:rsid w:val="00B07E21"/>
    <w:rsid w:val="00B1091E"/>
    <w:rsid w:val="00B11058"/>
    <w:rsid w:val="00B11FCC"/>
    <w:rsid w:val="00B12569"/>
    <w:rsid w:val="00B137FB"/>
    <w:rsid w:val="00B13E6C"/>
    <w:rsid w:val="00B14F6C"/>
    <w:rsid w:val="00B1588E"/>
    <w:rsid w:val="00B1669A"/>
    <w:rsid w:val="00B1684A"/>
    <w:rsid w:val="00B16D05"/>
    <w:rsid w:val="00B2113B"/>
    <w:rsid w:val="00B21CB1"/>
    <w:rsid w:val="00B22DE2"/>
    <w:rsid w:val="00B22EE3"/>
    <w:rsid w:val="00B23087"/>
    <w:rsid w:val="00B231E0"/>
    <w:rsid w:val="00B233CF"/>
    <w:rsid w:val="00B23E70"/>
    <w:rsid w:val="00B258C1"/>
    <w:rsid w:val="00B25DE3"/>
    <w:rsid w:val="00B261AA"/>
    <w:rsid w:val="00B26762"/>
    <w:rsid w:val="00B2677F"/>
    <w:rsid w:val="00B270E3"/>
    <w:rsid w:val="00B27690"/>
    <w:rsid w:val="00B2786D"/>
    <w:rsid w:val="00B2789F"/>
    <w:rsid w:val="00B27C34"/>
    <w:rsid w:val="00B27CF9"/>
    <w:rsid w:val="00B300A7"/>
    <w:rsid w:val="00B30350"/>
    <w:rsid w:val="00B30382"/>
    <w:rsid w:val="00B30A76"/>
    <w:rsid w:val="00B30FF8"/>
    <w:rsid w:val="00B31888"/>
    <w:rsid w:val="00B32CA2"/>
    <w:rsid w:val="00B32FA5"/>
    <w:rsid w:val="00B33028"/>
    <w:rsid w:val="00B331B9"/>
    <w:rsid w:val="00B332AF"/>
    <w:rsid w:val="00B3391C"/>
    <w:rsid w:val="00B33EA4"/>
    <w:rsid w:val="00B3444A"/>
    <w:rsid w:val="00B346AF"/>
    <w:rsid w:val="00B35225"/>
    <w:rsid w:val="00B353B7"/>
    <w:rsid w:val="00B35523"/>
    <w:rsid w:val="00B363D1"/>
    <w:rsid w:val="00B369D6"/>
    <w:rsid w:val="00B37B01"/>
    <w:rsid w:val="00B37E94"/>
    <w:rsid w:val="00B37EFF"/>
    <w:rsid w:val="00B400A4"/>
    <w:rsid w:val="00B4046C"/>
    <w:rsid w:val="00B40F46"/>
    <w:rsid w:val="00B41406"/>
    <w:rsid w:val="00B41665"/>
    <w:rsid w:val="00B41750"/>
    <w:rsid w:val="00B423A2"/>
    <w:rsid w:val="00B42DC3"/>
    <w:rsid w:val="00B44DC1"/>
    <w:rsid w:val="00B4521E"/>
    <w:rsid w:val="00B45713"/>
    <w:rsid w:val="00B4598D"/>
    <w:rsid w:val="00B46506"/>
    <w:rsid w:val="00B46782"/>
    <w:rsid w:val="00B46E98"/>
    <w:rsid w:val="00B47061"/>
    <w:rsid w:val="00B47945"/>
    <w:rsid w:val="00B47958"/>
    <w:rsid w:val="00B47D3D"/>
    <w:rsid w:val="00B50830"/>
    <w:rsid w:val="00B523C7"/>
    <w:rsid w:val="00B52F1E"/>
    <w:rsid w:val="00B53B16"/>
    <w:rsid w:val="00B53F82"/>
    <w:rsid w:val="00B541BA"/>
    <w:rsid w:val="00B5584A"/>
    <w:rsid w:val="00B5606E"/>
    <w:rsid w:val="00B56168"/>
    <w:rsid w:val="00B5625D"/>
    <w:rsid w:val="00B5788A"/>
    <w:rsid w:val="00B57F3F"/>
    <w:rsid w:val="00B605CB"/>
    <w:rsid w:val="00B6104B"/>
    <w:rsid w:val="00B61251"/>
    <w:rsid w:val="00B619C7"/>
    <w:rsid w:val="00B620D0"/>
    <w:rsid w:val="00B62672"/>
    <w:rsid w:val="00B6295A"/>
    <w:rsid w:val="00B62A4D"/>
    <w:rsid w:val="00B62CC3"/>
    <w:rsid w:val="00B63078"/>
    <w:rsid w:val="00B633DF"/>
    <w:rsid w:val="00B636CD"/>
    <w:rsid w:val="00B638A9"/>
    <w:rsid w:val="00B6399E"/>
    <w:rsid w:val="00B63C86"/>
    <w:rsid w:val="00B63F49"/>
    <w:rsid w:val="00B64012"/>
    <w:rsid w:val="00B6464A"/>
    <w:rsid w:val="00B64AD3"/>
    <w:rsid w:val="00B64B22"/>
    <w:rsid w:val="00B64E07"/>
    <w:rsid w:val="00B65699"/>
    <w:rsid w:val="00B65981"/>
    <w:rsid w:val="00B65A78"/>
    <w:rsid w:val="00B65E0A"/>
    <w:rsid w:val="00B661C0"/>
    <w:rsid w:val="00B66348"/>
    <w:rsid w:val="00B66A16"/>
    <w:rsid w:val="00B67E77"/>
    <w:rsid w:val="00B70482"/>
    <w:rsid w:val="00B708B5"/>
    <w:rsid w:val="00B70DF1"/>
    <w:rsid w:val="00B717DE"/>
    <w:rsid w:val="00B71C49"/>
    <w:rsid w:val="00B72206"/>
    <w:rsid w:val="00B7222D"/>
    <w:rsid w:val="00B72393"/>
    <w:rsid w:val="00B72B9D"/>
    <w:rsid w:val="00B734C8"/>
    <w:rsid w:val="00B7354C"/>
    <w:rsid w:val="00B7368D"/>
    <w:rsid w:val="00B73B1D"/>
    <w:rsid w:val="00B74BFA"/>
    <w:rsid w:val="00B74EDC"/>
    <w:rsid w:val="00B7598F"/>
    <w:rsid w:val="00B759B7"/>
    <w:rsid w:val="00B75C18"/>
    <w:rsid w:val="00B7695E"/>
    <w:rsid w:val="00B77F16"/>
    <w:rsid w:val="00B8008B"/>
    <w:rsid w:val="00B804D6"/>
    <w:rsid w:val="00B80AC2"/>
    <w:rsid w:val="00B80E76"/>
    <w:rsid w:val="00B80F98"/>
    <w:rsid w:val="00B81312"/>
    <w:rsid w:val="00B81BBA"/>
    <w:rsid w:val="00B81E07"/>
    <w:rsid w:val="00B82541"/>
    <w:rsid w:val="00B82C6F"/>
    <w:rsid w:val="00B830A6"/>
    <w:rsid w:val="00B83A8F"/>
    <w:rsid w:val="00B84776"/>
    <w:rsid w:val="00B84C49"/>
    <w:rsid w:val="00B8506F"/>
    <w:rsid w:val="00B854C5"/>
    <w:rsid w:val="00B85557"/>
    <w:rsid w:val="00B85C4A"/>
    <w:rsid w:val="00B861B3"/>
    <w:rsid w:val="00B874D9"/>
    <w:rsid w:val="00B876D2"/>
    <w:rsid w:val="00B87805"/>
    <w:rsid w:val="00B90A0A"/>
    <w:rsid w:val="00B90FD3"/>
    <w:rsid w:val="00B916FF"/>
    <w:rsid w:val="00B91E00"/>
    <w:rsid w:val="00B92585"/>
    <w:rsid w:val="00B9289A"/>
    <w:rsid w:val="00B92D73"/>
    <w:rsid w:val="00B92F98"/>
    <w:rsid w:val="00B93D28"/>
    <w:rsid w:val="00B9407B"/>
    <w:rsid w:val="00B942B0"/>
    <w:rsid w:val="00B9461F"/>
    <w:rsid w:val="00B94B77"/>
    <w:rsid w:val="00B94FA9"/>
    <w:rsid w:val="00B954F6"/>
    <w:rsid w:val="00B95559"/>
    <w:rsid w:val="00B95847"/>
    <w:rsid w:val="00B958DE"/>
    <w:rsid w:val="00B95F4B"/>
    <w:rsid w:val="00B95FBB"/>
    <w:rsid w:val="00B96092"/>
    <w:rsid w:val="00B9682A"/>
    <w:rsid w:val="00B96FD4"/>
    <w:rsid w:val="00B973DB"/>
    <w:rsid w:val="00B97D0D"/>
    <w:rsid w:val="00B97E72"/>
    <w:rsid w:val="00BA024B"/>
    <w:rsid w:val="00BA0829"/>
    <w:rsid w:val="00BA13C4"/>
    <w:rsid w:val="00BA14CE"/>
    <w:rsid w:val="00BA1CFE"/>
    <w:rsid w:val="00BA244A"/>
    <w:rsid w:val="00BA2EC8"/>
    <w:rsid w:val="00BA3788"/>
    <w:rsid w:val="00BA393C"/>
    <w:rsid w:val="00BA3EB1"/>
    <w:rsid w:val="00BA46B7"/>
    <w:rsid w:val="00BA50D2"/>
    <w:rsid w:val="00BA7055"/>
    <w:rsid w:val="00BA7DA4"/>
    <w:rsid w:val="00BA7E5D"/>
    <w:rsid w:val="00BB0A7C"/>
    <w:rsid w:val="00BB0C0E"/>
    <w:rsid w:val="00BB0EBA"/>
    <w:rsid w:val="00BB12DC"/>
    <w:rsid w:val="00BB2438"/>
    <w:rsid w:val="00BB2CD5"/>
    <w:rsid w:val="00BB43FF"/>
    <w:rsid w:val="00BB44F5"/>
    <w:rsid w:val="00BB471E"/>
    <w:rsid w:val="00BB482A"/>
    <w:rsid w:val="00BB4B65"/>
    <w:rsid w:val="00BB50E6"/>
    <w:rsid w:val="00BB571F"/>
    <w:rsid w:val="00BB5DF5"/>
    <w:rsid w:val="00BB5E23"/>
    <w:rsid w:val="00BB6098"/>
    <w:rsid w:val="00BB6286"/>
    <w:rsid w:val="00BB63EB"/>
    <w:rsid w:val="00BB6AFD"/>
    <w:rsid w:val="00BB6F7A"/>
    <w:rsid w:val="00BB70A7"/>
    <w:rsid w:val="00BB7809"/>
    <w:rsid w:val="00BB7BEC"/>
    <w:rsid w:val="00BB7E40"/>
    <w:rsid w:val="00BC006D"/>
    <w:rsid w:val="00BC04B9"/>
    <w:rsid w:val="00BC0B9F"/>
    <w:rsid w:val="00BC22A1"/>
    <w:rsid w:val="00BC25E0"/>
    <w:rsid w:val="00BC347B"/>
    <w:rsid w:val="00BC35C9"/>
    <w:rsid w:val="00BC38A8"/>
    <w:rsid w:val="00BC40B2"/>
    <w:rsid w:val="00BC4C82"/>
    <w:rsid w:val="00BC4DFD"/>
    <w:rsid w:val="00BC5326"/>
    <w:rsid w:val="00BC5860"/>
    <w:rsid w:val="00BC6A40"/>
    <w:rsid w:val="00BC6AB5"/>
    <w:rsid w:val="00BC6F8E"/>
    <w:rsid w:val="00BC72FE"/>
    <w:rsid w:val="00BC761E"/>
    <w:rsid w:val="00BC7C20"/>
    <w:rsid w:val="00BD05D3"/>
    <w:rsid w:val="00BD07AF"/>
    <w:rsid w:val="00BD0C06"/>
    <w:rsid w:val="00BD1FCA"/>
    <w:rsid w:val="00BD221F"/>
    <w:rsid w:val="00BD2265"/>
    <w:rsid w:val="00BD238E"/>
    <w:rsid w:val="00BD2784"/>
    <w:rsid w:val="00BD2BD6"/>
    <w:rsid w:val="00BD32DE"/>
    <w:rsid w:val="00BD341D"/>
    <w:rsid w:val="00BD34EA"/>
    <w:rsid w:val="00BD44B2"/>
    <w:rsid w:val="00BD47C8"/>
    <w:rsid w:val="00BD5193"/>
    <w:rsid w:val="00BD5C69"/>
    <w:rsid w:val="00BD5D7A"/>
    <w:rsid w:val="00BD6ACD"/>
    <w:rsid w:val="00BD7064"/>
    <w:rsid w:val="00BD7170"/>
    <w:rsid w:val="00BD7373"/>
    <w:rsid w:val="00BD7968"/>
    <w:rsid w:val="00BE1564"/>
    <w:rsid w:val="00BE1996"/>
    <w:rsid w:val="00BE1A18"/>
    <w:rsid w:val="00BE1B70"/>
    <w:rsid w:val="00BE1DA8"/>
    <w:rsid w:val="00BE1E43"/>
    <w:rsid w:val="00BE21B8"/>
    <w:rsid w:val="00BE233B"/>
    <w:rsid w:val="00BE27E5"/>
    <w:rsid w:val="00BE3D60"/>
    <w:rsid w:val="00BE3F29"/>
    <w:rsid w:val="00BE4624"/>
    <w:rsid w:val="00BE4A0F"/>
    <w:rsid w:val="00BE4ED7"/>
    <w:rsid w:val="00BE557B"/>
    <w:rsid w:val="00BE6000"/>
    <w:rsid w:val="00BE600E"/>
    <w:rsid w:val="00BE62DA"/>
    <w:rsid w:val="00BE642B"/>
    <w:rsid w:val="00BE64C8"/>
    <w:rsid w:val="00BE69C7"/>
    <w:rsid w:val="00BF0942"/>
    <w:rsid w:val="00BF0C3C"/>
    <w:rsid w:val="00BF15F8"/>
    <w:rsid w:val="00BF163C"/>
    <w:rsid w:val="00BF19B7"/>
    <w:rsid w:val="00BF1DD2"/>
    <w:rsid w:val="00BF24F0"/>
    <w:rsid w:val="00BF309B"/>
    <w:rsid w:val="00BF37D8"/>
    <w:rsid w:val="00BF4367"/>
    <w:rsid w:val="00BF44F2"/>
    <w:rsid w:val="00BF4B8E"/>
    <w:rsid w:val="00BF4BD5"/>
    <w:rsid w:val="00BF55B1"/>
    <w:rsid w:val="00BF593E"/>
    <w:rsid w:val="00BF5B92"/>
    <w:rsid w:val="00BF60BD"/>
    <w:rsid w:val="00BF6187"/>
    <w:rsid w:val="00BF633C"/>
    <w:rsid w:val="00BF7239"/>
    <w:rsid w:val="00BF7420"/>
    <w:rsid w:val="00C000E3"/>
    <w:rsid w:val="00C002ED"/>
    <w:rsid w:val="00C00519"/>
    <w:rsid w:val="00C02103"/>
    <w:rsid w:val="00C0264C"/>
    <w:rsid w:val="00C029C5"/>
    <w:rsid w:val="00C03636"/>
    <w:rsid w:val="00C03B2E"/>
    <w:rsid w:val="00C0402E"/>
    <w:rsid w:val="00C0432D"/>
    <w:rsid w:val="00C0459B"/>
    <w:rsid w:val="00C04C09"/>
    <w:rsid w:val="00C05594"/>
    <w:rsid w:val="00C0666D"/>
    <w:rsid w:val="00C06968"/>
    <w:rsid w:val="00C07179"/>
    <w:rsid w:val="00C07571"/>
    <w:rsid w:val="00C07BB5"/>
    <w:rsid w:val="00C1095C"/>
    <w:rsid w:val="00C10C06"/>
    <w:rsid w:val="00C10C83"/>
    <w:rsid w:val="00C10E11"/>
    <w:rsid w:val="00C10EDF"/>
    <w:rsid w:val="00C112FE"/>
    <w:rsid w:val="00C11353"/>
    <w:rsid w:val="00C11901"/>
    <w:rsid w:val="00C12A9C"/>
    <w:rsid w:val="00C12BF5"/>
    <w:rsid w:val="00C12E0D"/>
    <w:rsid w:val="00C13677"/>
    <w:rsid w:val="00C13D66"/>
    <w:rsid w:val="00C13ED2"/>
    <w:rsid w:val="00C14485"/>
    <w:rsid w:val="00C145CB"/>
    <w:rsid w:val="00C14B7D"/>
    <w:rsid w:val="00C15067"/>
    <w:rsid w:val="00C152D1"/>
    <w:rsid w:val="00C15543"/>
    <w:rsid w:val="00C15E20"/>
    <w:rsid w:val="00C1650F"/>
    <w:rsid w:val="00C166A6"/>
    <w:rsid w:val="00C17434"/>
    <w:rsid w:val="00C17771"/>
    <w:rsid w:val="00C178E3"/>
    <w:rsid w:val="00C17E2E"/>
    <w:rsid w:val="00C20631"/>
    <w:rsid w:val="00C217CE"/>
    <w:rsid w:val="00C21D8E"/>
    <w:rsid w:val="00C222DD"/>
    <w:rsid w:val="00C2231E"/>
    <w:rsid w:val="00C22348"/>
    <w:rsid w:val="00C22BBC"/>
    <w:rsid w:val="00C2389F"/>
    <w:rsid w:val="00C23F74"/>
    <w:rsid w:val="00C247B5"/>
    <w:rsid w:val="00C24C6B"/>
    <w:rsid w:val="00C2522E"/>
    <w:rsid w:val="00C2568C"/>
    <w:rsid w:val="00C26A2E"/>
    <w:rsid w:val="00C270A3"/>
    <w:rsid w:val="00C276BC"/>
    <w:rsid w:val="00C2772E"/>
    <w:rsid w:val="00C278EE"/>
    <w:rsid w:val="00C30802"/>
    <w:rsid w:val="00C30CE6"/>
    <w:rsid w:val="00C31C0B"/>
    <w:rsid w:val="00C31C85"/>
    <w:rsid w:val="00C32016"/>
    <w:rsid w:val="00C32D11"/>
    <w:rsid w:val="00C339CB"/>
    <w:rsid w:val="00C34676"/>
    <w:rsid w:val="00C34AA4"/>
    <w:rsid w:val="00C35A39"/>
    <w:rsid w:val="00C363D1"/>
    <w:rsid w:val="00C372D7"/>
    <w:rsid w:val="00C3784C"/>
    <w:rsid w:val="00C37D97"/>
    <w:rsid w:val="00C37EDE"/>
    <w:rsid w:val="00C37F2C"/>
    <w:rsid w:val="00C40396"/>
    <w:rsid w:val="00C40922"/>
    <w:rsid w:val="00C40C69"/>
    <w:rsid w:val="00C40CEA"/>
    <w:rsid w:val="00C413DF"/>
    <w:rsid w:val="00C4188C"/>
    <w:rsid w:val="00C4192C"/>
    <w:rsid w:val="00C41A59"/>
    <w:rsid w:val="00C41F9C"/>
    <w:rsid w:val="00C422A7"/>
    <w:rsid w:val="00C427A4"/>
    <w:rsid w:val="00C42936"/>
    <w:rsid w:val="00C42A2A"/>
    <w:rsid w:val="00C42AEE"/>
    <w:rsid w:val="00C42FA5"/>
    <w:rsid w:val="00C4311E"/>
    <w:rsid w:val="00C431EE"/>
    <w:rsid w:val="00C4321C"/>
    <w:rsid w:val="00C43554"/>
    <w:rsid w:val="00C436A9"/>
    <w:rsid w:val="00C43FF2"/>
    <w:rsid w:val="00C44622"/>
    <w:rsid w:val="00C45417"/>
    <w:rsid w:val="00C454A5"/>
    <w:rsid w:val="00C46091"/>
    <w:rsid w:val="00C468E1"/>
    <w:rsid w:val="00C50AFF"/>
    <w:rsid w:val="00C50D79"/>
    <w:rsid w:val="00C513E8"/>
    <w:rsid w:val="00C5153F"/>
    <w:rsid w:val="00C51C15"/>
    <w:rsid w:val="00C51D43"/>
    <w:rsid w:val="00C51EF5"/>
    <w:rsid w:val="00C521B0"/>
    <w:rsid w:val="00C529F3"/>
    <w:rsid w:val="00C5355F"/>
    <w:rsid w:val="00C53E10"/>
    <w:rsid w:val="00C54537"/>
    <w:rsid w:val="00C5482D"/>
    <w:rsid w:val="00C55854"/>
    <w:rsid w:val="00C55DA8"/>
    <w:rsid w:val="00C56002"/>
    <w:rsid w:val="00C56258"/>
    <w:rsid w:val="00C56C59"/>
    <w:rsid w:val="00C56E80"/>
    <w:rsid w:val="00C576CF"/>
    <w:rsid w:val="00C579A1"/>
    <w:rsid w:val="00C579CA"/>
    <w:rsid w:val="00C57A6D"/>
    <w:rsid w:val="00C57AB7"/>
    <w:rsid w:val="00C57DF0"/>
    <w:rsid w:val="00C6035A"/>
    <w:rsid w:val="00C60C15"/>
    <w:rsid w:val="00C62E18"/>
    <w:rsid w:val="00C62E99"/>
    <w:rsid w:val="00C640B9"/>
    <w:rsid w:val="00C645EC"/>
    <w:rsid w:val="00C65D26"/>
    <w:rsid w:val="00C661FC"/>
    <w:rsid w:val="00C66825"/>
    <w:rsid w:val="00C669E8"/>
    <w:rsid w:val="00C66D2A"/>
    <w:rsid w:val="00C66FDE"/>
    <w:rsid w:val="00C67081"/>
    <w:rsid w:val="00C676B0"/>
    <w:rsid w:val="00C67D1B"/>
    <w:rsid w:val="00C67FD3"/>
    <w:rsid w:val="00C70590"/>
    <w:rsid w:val="00C70982"/>
    <w:rsid w:val="00C70AD0"/>
    <w:rsid w:val="00C7154F"/>
    <w:rsid w:val="00C73426"/>
    <w:rsid w:val="00C74180"/>
    <w:rsid w:val="00C742E1"/>
    <w:rsid w:val="00C74FF4"/>
    <w:rsid w:val="00C75269"/>
    <w:rsid w:val="00C757C8"/>
    <w:rsid w:val="00C75B77"/>
    <w:rsid w:val="00C75CD1"/>
    <w:rsid w:val="00C75E69"/>
    <w:rsid w:val="00C7600D"/>
    <w:rsid w:val="00C76761"/>
    <w:rsid w:val="00C77102"/>
    <w:rsid w:val="00C77250"/>
    <w:rsid w:val="00C77307"/>
    <w:rsid w:val="00C773E6"/>
    <w:rsid w:val="00C775D5"/>
    <w:rsid w:val="00C776A8"/>
    <w:rsid w:val="00C77E18"/>
    <w:rsid w:val="00C8032D"/>
    <w:rsid w:val="00C8041C"/>
    <w:rsid w:val="00C80C54"/>
    <w:rsid w:val="00C80CAD"/>
    <w:rsid w:val="00C81131"/>
    <w:rsid w:val="00C811E8"/>
    <w:rsid w:val="00C81B2C"/>
    <w:rsid w:val="00C81FFE"/>
    <w:rsid w:val="00C844DB"/>
    <w:rsid w:val="00C84564"/>
    <w:rsid w:val="00C84E24"/>
    <w:rsid w:val="00C84EE3"/>
    <w:rsid w:val="00C85167"/>
    <w:rsid w:val="00C85B12"/>
    <w:rsid w:val="00C864E7"/>
    <w:rsid w:val="00C8671E"/>
    <w:rsid w:val="00C86E33"/>
    <w:rsid w:val="00C87110"/>
    <w:rsid w:val="00C87376"/>
    <w:rsid w:val="00C90242"/>
    <w:rsid w:val="00C91276"/>
    <w:rsid w:val="00C91FC7"/>
    <w:rsid w:val="00C92762"/>
    <w:rsid w:val="00C930F7"/>
    <w:rsid w:val="00C9395C"/>
    <w:rsid w:val="00C93D1D"/>
    <w:rsid w:val="00C93E39"/>
    <w:rsid w:val="00C940B2"/>
    <w:rsid w:val="00C955E1"/>
    <w:rsid w:val="00C958E9"/>
    <w:rsid w:val="00C95A2E"/>
    <w:rsid w:val="00C95BC2"/>
    <w:rsid w:val="00C95EA4"/>
    <w:rsid w:val="00C95F66"/>
    <w:rsid w:val="00C960AE"/>
    <w:rsid w:val="00C961F5"/>
    <w:rsid w:val="00C9630F"/>
    <w:rsid w:val="00C9690C"/>
    <w:rsid w:val="00C9708E"/>
    <w:rsid w:val="00C974FA"/>
    <w:rsid w:val="00C97C97"/>
    <w:rsid w:val="00C97EF9"/>
    <w:rsid w:val="00CA0300"/>
    <w:rsid w:val="00CA08F8"/>
    <w:rsid w:val="00CA0D82"/>
    <w:rsid w:val="00CA1271"/>
    <w:rsid w:val="00CA1758"/>
    <w:rsid w:val="00CA2F3E"/>
    <w:rsid w:val="00CA327D"/>
    <w:rsid w:val="00CA33D0"/>
    <w:rsid w:val="00CA36D4"/>
    <w:rsid w:val="00CA3F4D"/>
    <w:rsid w:val="00CA41AA"/>
    <w:rsid w:val="00CA42E3"/>
    <w:rsid w:val="00CA4743"/>
    <w:rsid w:val="00CA47C1"/>
    <w:rsid w:val="00CA553E"/>
    <w:rsid w:val="00CA5919"/>
    <w:rsid w:val="00CA5BA0"/>
    <w:rsid w:val="00CA6641"/>
    <w:rsid w:val="00CA6A82"/>
    <w:rsid w:val="00CA75A9"/>
    <w:rsid w:val="00CB0942"/>
    <w:rsid w:val="00CB0E43"/>
    <w:rsid w:val="00CB0E46"/>
    <w:rsid w:val="00CB1CF1"/>
    <w:rsid w:val="00CB202E"/>
    <w:rsid w:val="00CB213A"/>
    <w:rsid w:val="00CB24C1"/>
    <w:rsid w:val="00CB2A95"/>
    <w:rsid w:val="00CB2E8F"/>
    <w:rsid w:val="00CB30D1"/>
    <w:rsid w:val="00CB3708"/>
    <w:rsid w:val="00CB3BFF"/>
    <w:rsid w:val="00CB3CB8"/>
    <w:rsid w:val="00CB3FA0"/>
    <w:rsid w:val="00CB4002"/>
    <w:rsid w:val="00CB4A50"/>
    <w:rsid w:val="00CB6343"/>
    <w:rsid w:val="00CB6972"/>
    <w:rsid w:val="00CB698A"/>
    <w:rsid w:val="00CB6996"/>
    <w:rsid w:val="00CB6B6D"/>
    <w:rsid w:val="00CB6CFA"/>
    <w:rsid w:val="00CB6FA1"/>
    <w:rsid w:val="00CB6FFF"/>
    <w:rsid w:val="00CB708D"/>
    <w:rsid w:val="00CB732C"/>
    <w:rsid w:val="00CB7998"/>
    <w:rsid w:val="00CB7F4C"/>
    <w:rsid w:val="00CC002B"/>
    <w:rsid w:val="00CC066F"/>
    <w:rsid w:val="00CC0E44"/>
    <w:rsid w:val="00CC1185"/>
    <w:rsid w:val="00CC14D2"/>
    <w:rsid w:val="00CC1AF1"/>
    <w:rsid w:val="00CC1CAF"/>
    <w:rsid w:val="00CC1F75"/>
    <w:rsid w:val="00CC1F94"/>
    <w:rsid w:val="00CC2162"/>
    <w:rsid w:val="00CC25AF"/>
    <w:rsid w:val="00CC287E"/>
    <w:rsid w:val="00CC2E2F"/>
    <w:rsid w:val="00CC304F"/>
    <w:rsid w:val="00CC34A4"/>
    <w:rsid w:val="00CC36ED"/>
    <w:rsid w:val="00CC3725"/>
    <w:rsid w:val="00CC3772"/>
    <w:rsid w:val="00CC4281"/>
    <w:rsid w:val="00CC45F1"/>
    <w:rsid w:val="00CC465D"/>
    <w:rsid w:val="00CC5000"/>
    <w:rsid w:val="00CC558C"/>
    <w:rsid w:val="00CC5EE1"/>
    <w:rsid w:val="00CC5F7C"/>
    <w:rsid w:val="00CC68AA"/>
    <w:rsid w:val="00CC6B6E"/>
    <w:rsid w:val="00CC6CB9"/>
    <w:rsid w:val="00CC6F1B"/>
    <w:rsid w:val="00CC6F60"/>
    <w:rsid w:val="00CC7306"/>
    <w:rsid w:val="00CC774E"/>
    <w:rsid w:val="00CC7DAE"/>
    <w:rsid w:val="00CC7E02"/>
    <w:rsid w:val="00CD0073"/>
    <w:rsid w:val="00CD0471"/>
    <w:rsid w:val="00CD04C5"/>
    <w:rsid w:val="00CD0A09"/>
    <w:rsid w:val="00CD0B49"/>
    <w:rsid w:val="00CD131F"/>
    <w:rsid w:val="00CD1E23"/>
    <w:rsid w:val="00CD2A61"/>
    <w:rsid w:val="00CD2CC1"/>
    <w:rsid w:val="00CD3DF9"/>
    <w:rsid w:val="00CD4072"/>
    <w:rsid w:val="00CD4FFC"/>
    <w:rsid w:val="00CD526E"/>
    <w:rsid w:val="00CD58B4"/>
    <w:rsid w:val="00CD594C"/>
    <w:rsid w:val="00CD5D5B"/>
    <w:rsid w:val="00CD760E"/>
    <w:rsid w:val="00CD7FC6"/>
    <w:rsid w:val="00CE0CA5"/>
    <w:rsid w:val="00CE138A"/>
    <w:rsid w:val="00CE2029"/>
    <w:rsid w:val="00CE224C"/>
    <w:rsid w:val="00CE39C0"/>
    <w:rsid w:val="00CE3A39"/>
    <w:rsid w:val="00CE3C72"/>
    <w:rsid w:val="00CE431F"/>
    <w:rsid w:val="00CE4396"/>
    <w:rsid w:val="00CE4C39"/>
    <w:rsid w:val="00CE4F97"/>
    <w:rsid w:val="00CE5136"/>
    <w:rsid w:val="00CE56A7"/>
    <w:rsid w:val="00CE5FC8"/>
    <w:rsid w:val="00CE6673"/>
    <w:rsid w:val="00CE6E68"/>
    <w:rsid w:val="00CE6F0B"/>
    <w:rsid w:val="00CE74E3"/>
    <w:rsid w:val="00CF008C"/>
    <w:rsid w:val="00CF03FE"/>
    <w:rsid w:val="00CF0451"/>
    <w:rsid w:val="00CF07AA"/>
    <w:rsid w:val="00CF09C3"/>
    <w:rsid w:val="00CF09C7"/>
    <w:rsid w:val="00CF16D6"/>
    <w:rsid w:val="00CF1748"/>
    <w:rsid w:val="00CF19BC"/>
    <w:rsid w:val="00CF1CFC"/>
    <w:rsid w:val="00CF2D10"/>
    <w:rsid w:val="00CF3254"/>
    <w:rsid w:val="00CF4BD3"/>
    <w:rsid w:val="00CF52A2"/>
    <w:rsid w:val="00CF54C3"/>
    <w:rsid w:val="00CF54D4"/>
    <w:rsid w:val="00CF76F0"/>
    <w:rsid w:val="00CF7C4F"/>
    <w:rsid w:val="00D00909"/>
    <w:rsid w:val="00D012EF"/>
    <w:rsid w:val="00D02F8C"/>
    <w:rsid w:val="00D03ADA"/>
    <w:rsid w:val="00D03FFC"/>
    <w:rsid w:val="00D0476C"/>
    <w:rsid w:val="00D047A5"/>
    <w:rsid w:val="00D04BA5"/>
    <w:rsid w:val="00D04BDC"/>
    <w:rsid w:val="00D05C1A"/>
    <w:rsid w:val="00D05D05"/>
    <w:rsid w:val="00D0648A"/>
    <w:rsid w:val="00D0659A"/>
    <w:rsid w:val="00D06680"/>
    <w:rsid w:val="00D06924"/>
    <w:rsid w:val="00D07C6A"/>
    <w:rsid w:val="00D1029D"/>
    <w:rsid w:val="00D10408"/>
    <w:rsid w:val="00D10A44"/>
    <w:rsid w:val="00D10A5C"/>
    <w:rsid w:val="00D10DD3"/>
    <w:rsid w:val="00D10FD0"/>
    <w:rsid w:val="00D11C3A"/>
    <w:rsid w:val="00D12394"/>
    <w:rsid w:val="00D12A46"/>
    <w:rsid w:val="00D12A85"/>
    <w:rsid w:val="00D12CCE"/>
    <w:rsid w:val="00D13669"/>
    <w:rsid w:val="00D13891"/>
    <w:rsid w:val="00D13A49"/>
    <w:rsid w:val="00D13A5B"/>
    <w:rsid w:val="00D14095"/>
    <w:rsid w:val="00D1505E"/>
    <w:rsid w:val="00D15392"/>
    <w:rsid w:val="00D15E79"/>
    <w:rsid w:val="00D1625F"/>
    <w:rsid w:val="00D166A0"/>
    <w:rsid w:val="00D16828"/>
    <w:rsid w:val="00D16D72"/>
    <w:rsid w:val="00D173EC"/>
    <w:rsid w:val="00D2006B"/>
    <w:rsid w:val="00D201BB"/>
    <w:rsid w:val="00D2212D"/>
    <w:rsid w:val="00D22A68"/>
    <w:rsid w:val="00D23959"/>
    <w:rsid w:val="00D23B9B"/>
    <w:rsid w:val="00D25422"/>
    <w:rsid w:val="00D259CC"/>
    <w:rsid w:val="00D26054"/>
    <w:rsid w:val="00D264B8"/>
    <w:rsid w:val="00D2653C"/>
    <w:rsid w:val="00D26591"/>
    <w:rsid w:val="00D26797"/>
    <w:rsid w:val="00D2757B"/>
    <w:rsid w:val="00D27A33"/>
    <w:rsid w:val="00D27C7B"/>
    <w:rsid w:val="00D27E06"/>
    <w:rsid w:val="00D30761"/>
    <w:rsid w:val="00D31A3D"/>
    <w:rsid w:val="00D32ACD"/>
    <w:rsid w:val="00D32E51"/>
    <w:rsid w:val="00D335A2"/>
    <w:rsid w:val="00D33A6B"/>
    <w:rsid w:val="00D33CE4"/>
    <w:rsid w:val="00D34535"/>
    <w:rsid w:val="00D3579E"/>
    <w:rsid w:val="00D35D2C"/>
    <w:rsid w:val="00D36238"/>
    <w:rsid w:val="00D3625C"/>
    <w:rsid w:val="00D374E1"/>
    <w:rsid w:val="00D37989"/>
    <w:rsid w:val="00D37AA6"/>
    <w:rsid w:val="00D37EA8"/>
    <w:rsid w:val="00D4015E"/>
    <w:rsid w:val="00D406FE"/>
    <w:rsid w:val="00D40A07"/>
    <w:rsid w:val="00D4124C"/>
    <w:rsid w:val="00D41829"/>
    <w:rsid w:val="00D4195A"/>
    <w:rsid w:val="00D419D8"/>
    <w:rsid w:val="00D41FD0"/>
    <w:rsid w:val="00D42C74"/>
    <w:rsid w:val="00D42F09"/>
    <w:rsid w:val="00D43184"/>
    <w:rsid w:val="00D438EE"/>
    <w:rsid w:val="00D4396A"/>
    <w:rsid w:val="00D43EC6"/>
    <w:rsid w:val="00D444A5"/>
    <w:rsid w:val="00D4496A"/>
    <w:rsid w:val="00D44CC9"/>
    <w:rsid w:val="00D45A33"/>
    <w:rsid w:val="00D45B2D"/>
    <w:rsid w:val="00D45B4B"/>
    <w:rsid w:val="00D46484"/>
    <w:rsid w:val="00D4653C"/>
    <w:rsid w:val="00D46E42"/>
    <w:rsid w:val="00D47B44"/>
    <w:rsid w:val="00D5067F"/>
    <w:rsid w:val="00D50943"/>
    <w:rsid w:val="00D50B57"/>
    <w:rsid w:val="00D50C90"/>
    <w:rsid w:val="00D517BF"/>
    <w:rsid w:val="00D51BF5"/>
    <w:rsid w:val="00D52003"/>
    <w:rsid w:val="00D531ED"/>
    <w:rsid w:val="00D53883"/>
    <w:rsid w:val="00D53A33"/>
    <w:rsid w:val="00D5458C"/>
    <w:rsid w:val="00D54B0C"/>
    <w:rsid w:val="00D552EB"/>
    <w:rsid w:val="00D5577A"/>
    <w:rsid w:val="00D562E9"/>
    <w:rsid w:val="00D56413"/>
    <w:rsid w:val="00D5706B"/>
    <w:rsid w:val="00D57AC9"/>
    <w:rsid w:val="00D57C44"/>
    <w:rsid w:val="00D6044D"/>
    <w:rsid w:val="00D6099D"/>
    <w:rsid w:val="00D6100E"/>
    <w:rsid w:val="00D61458"/>
    <w:rsid w:val="00D61AAC"/>
    <w:rsid w:val="00D61B40"/>
    <w:rsid w:val="00D61B71"/>
    <w:rsid w:val="00D622D6"/>
    <w:rsid w:val="00D6285D"/>
    <w:rsid w:val="00D63380"/>
    <w:rsid w:val="00D63C5F"/>
    <w:rsid w:val="00D63E2C"/>
    <w:rsid w:val="00D645A0"/>
    <w:rsid w:val="00D651AE"/>
    <w:rsid w:val="00D654C8"/>
    <w:rsid w:val="00D65A3C"/>
    <w:rsid w:val="00D65B64"/>
    <w:rsid w:val="00D65E1C"/>
    <w:rsid w:val="00D666B4"/>
    <w:rsid w:val="00D7083C"/>
    <w:rsid w:val="00D70DC1"/>
    <w:rsid w:val="00D70F6A"/>
    <w:rsid w:val="00D7166E"/>
    <w:rsid w:val="00D71C72"/>
    <w:rsid w:val="00D71D99"/>
    <w:rsid w:val="00D7262E"/>
    <w:rsid w:val="00D72B4F"/>
    <w:rsid w:val="00D72C40"/>
    <w:rsid w:val="00D72CEC"/>
    <w:rsid w:val="00D730FA"/>
    <w:rsid w:val="00D731CE"/>
    <w:rsid w:val="00D7332F"/>
    <w:rsid w:val="00D738F4"/>
    <w:rsid w:val="00D739A3"/>
    <w:rsid w:val="00D73CE4"/>
    <w:rsid w:val="00D73E29"/>
    <w:rsid w:val="00D740D9"/>
    <w:rsid w:val="00D74114"/>
    <w:rsid w:val="00D74597"/>
    <w:rsid w:val="00D766F4"/>
    <w:rsid w:val="00D7672C"/>
    <w:rsid w:val="00D77348"/>
    <w:rsid w:val="00D7770F"/>
    <w:rsid w:val="00D7786E"/>
    <w:rsid w:val="00D77CCB"/>
    <w:rsid w:val="00D77D0D"/>
    <w:rsid w:val="00D77EB9"/>
    <w:rsid w:val="00D80734"/>
    <w:rsid w:val="00D81046"/>
    <w:rsid w:val="00D813DD"/>
    <w:rsid w:val="00D813EC"/>
    <w:rsid w:val="00D81615"/>
    <w:rsid w:val="00D81623"/>
    <w:rsid w:val="00D81E07"/>
    <w:rsid w:val="00D82603"/>
    <w:rsid w:val="00D83E67"/>
    <w:rsid w:val="00D84131"/>
    <w:rsid w:val="00D850B2"/>
    <w:rsid w:val="00D852C1"/>
    <w:rsid w:val="00D85CC3"/>
    <w:rsid w:val="00D874F6"/>
    <w:rsid w:val="00D875C5"/>
    <w:rsid w:val="00D87996"/>
    <w:rsid w:val="00D9042B"/>
    <w:rsid w:val="00D9088F"/>
    <w:rsid w:val="00D908AD"/>
    <w:rsid w:val="00D913CB"/>
    <w:rsid w:val="00D91481"/>
    <w:rsid w:val="00D91A53"/>
    <w:rsid w:val="00D92469"/>
    <w:rsid w:val="00D929AF"/>
    <w:rsid w:val="00D92A71"/>
    <w:rsid w:val="00D934EE"/>
    <w:rsid w:val="00D93F78"/>
    <w:rsid w:val="00D9420D"/>
    <w:rsid w:val="00D943DB"/>
    <w:rsid w:val="00D950F2"/>
    <w:rsid w:val="00D95314"/>
    <w:rsid w:val="00D95F39"/>
    <w:rsid w:val="00D966F4"/>
    <w:rsid w:val="00D96F97"/>
    <w:rsid w:val="00D9763B"/>
    <w:rsid w:val="00DA02EE"/>
    <w:rsid w:val="00DA0C8E"/>
    <w:rsid w:val="00DA1284"/>
    <w:rsid w:val="00DA259D"/>
    <w:rsid w:val="00DA29E7"/>
    <w:rsid w:val="00DA2F74"/>
    <w:rsid w:val="00DA3361"/>
    <w:rsid w:val="00DA3517"/>
    <w:rsid w:val="00DA3ACD"/>
    <w:rsid w:val="00DA4BB8"/>
    <w:rsid w:val="00DA5136"/>
    <w:rsid w:val="00DA595C"/>
    <w:rsid w:val="00DA5FB3"/>
    <w:rsid w:val="00DA6BCF"/>
    <w:rsid w:val="00DA726B"/>
    <w:rsid w:val="00DA7368"/>
    <w:rsid w:val="00DA75F2"/>
    <w:rsid w:val="00DB004B"/>
    <w:rsid w:val="00DB0669"/>
    <w:rsid w:val="00DB12C6"/>
    <w:rsid w:val="00DB172E"/>
    <w:rsid w:val="00DB18A3"/>
    <w:rsid w:val="00DB201C"/>
    <w:rsid w:val="00DB2E72"/>
    <w:rsid w:val="00DB33CD"/>
    <w:rsid w:val="00DB3959"/>
    <w:rsid w:val="00DB3DD6"/>
    <w:rsid w:val="00DB3E8C"/>
    <w:rsid w:val="00DB3F51"/>
    <w:rsid w:val="00DB460D"/>
    <w:rsid w:val="00DB4B71"/>
    <w:rsid w:val="00DB5332"/>
    <w:rsid w:val="00DB57F5"/>
    <w:rsid w:val="00DB5BA9"/>
    <w:rsid w:val="00DB6244"/>
    <w:rsid w:val="00DB6735"/>
    <w:rsid w:val="00DB6B3F"/>
    <w:rsid w:val="00DB7058"/>
    <w:rsid w:val="00DB7E50"/>
    <w:rsid w:val="00DB7EF0"/>
    <w:rsid w:val="00DC0626"/>
    <w:rsid w:val="00DC0B86"/>
    <w:rsid w:val="00DC0FF1"/>
    <w:rsid w:val="00DC12A7"/>
    <w:rsid w:val="00DC1D9C"/>
    <w:rsid w:val="00DC1F8A"/>
    <w:rsid w:val="00DC2486"/>
    <w:rsid w:val="00DC270F"/>
    <w:rsid w:val="00DC36E9"/>
    <w:rsid w:val="00DC3CEA"/>
    <w:rsid w:val="00DC4AE8"/>
    <w:rsid w:val="00DC5659"/>
    <w:rsid w:val="00DC5861"/>
    <w:rsid w:val="00DC59C7"/>
    <w:rsid w:val="00DC6104"/>
    <w:rsid w:val="00DC67C4"/>
    <w:rsid w:val="00DC76AF"/>
    <w:rsid w:val="00DC7B1A"/>
    <w:rsid w:val="00DC7C78"/>
    <w:rsid w:val="00DD0128"/>
    <w:rsid w:val="00DD0442"/>
    <w:rsid w:val="00DD05C2"/>
    <w:rsid w:val="00DD1169"/>
    <w:rsid w:val="00DD13CB"/>
    <w:rsid w:val="00DD176F"/>
    <w:rsid w:val="00DD191B"/>
    <w:rsid w:val="00DD2FD6"/>
    <w:rsid w:val="00DD380C"/>
    <w:rsid w:val="00DD4021"/>
    <w:rsid w:val="00DD48B3"/>
    <w:rsid w:val="00DD48F7"/>
    <w:rsid w:val="00DD4C72"/>
    <w:rsid w:val="00DD6D08"/>
    <w:rsid w:val="00DD7A80"/>
    <w:rsid w:val="00DE0378"/>
    <w:rsid w:val="00DE0FB3"/>
    <w:rsid w:val="00DE155E"/>
    <w:rsid w:val="00DE16EA"/>
    <w:rsid w:val="00DE2137"/>
    <w:rsid w:val="00DE24D6"/>
    <w:rsid w:val="00DE2800"/>
    <w:rsid w:val="00DE29C7"/>
    <w:rsid w:val="00DE2A2F"/>
    <w:rsid w:val="00DE2B32"/>
    <w:rsid w:val="00DE4077"/>
    <w:rsid w:val="00DE49E3"/>
    <w:rsid w:val="00DE54FB"/>
    <w:rsid w:val="00DE55A5"/>
    <w:rsid w:val="00DE58F5"/>
    <w:rsid w:val="00DE616A"/>
    <w:rsid w:val="00DE618B"/>
    <w:rsid w:val="00DE62B4"/>
    <w:rsid w:val="00DE64C8"/>
    <w:rsid w:val="00DE675E"/>
    <w:rsid w:val="00DE7032"/>
    <w:rsid w:val="00DE7098"/>
    <w:rsid w:val="00DE74F0"/>
    <w:rsid w:val="00DE7EE8"/>
    <w:rsid w:val="00DF0653"/>
    <w:rsid w:val="00DF06F6"/>
    <w:rsid w:val="00DF08B9"/>
    <w:rsid w:val="00DF11C0"/>
    <w:rsid w:val="00DF1663"/>
    <w:rsid w:val="00DF28A4"/>
    <w:rsid w:val="00DF2CDF"/>
    <w:rsid w:val="00DF3A34"/>
    <w:rsid w:val="00DF3ABD"/>
    <w:rsid w:val="00DF4F8D"/>
    <w:rsid w:val="00DF51DF"/>
    <w:rsid w:val="00DF58CE"/>
    <w:rsid w:val="00DF6B72"/>
    <w:rsid w:val="00DF7043"/>
    <w:rsid w:val="00DF7E1C"/>
    <w:rsid w:val="00E0054E"/>
    <w:rsid w:val="00E00C0F"/>
    <w:rsid w:val="00E00CA9"/>
    <w:rsid w:val="00E014C5"/>
    <w:rsid w:val="00E01A65"/>
    <w:rsid w:val="00E02BD1"/>
    <w:rsid w:val="00E0382F"/>
    <w:rsid w:val="00E03A95"/>
    <w:rsid w:val="00E044A5"/>
    <w:rsid w:val="00E04E1D"/>
    <w:rsid w:val="00E06177"/>
    <w:rsid w:val="00E06B38"/>
    <w:rsid w:val="00E06E1B"/>
    <w:rsid w:val="00E0799F"/>
    <w:rsid w:val="00E1026D"/>
    <w:rsid w:val="00E1087B"/>
    <w:rsid w:val="00E111F1"/>
    <w:rsid w:val="00E113F4"/>
    <w:rsid w:val="00E11870"/>
    <w:rsid w:val="00E1219B"/>
    <w:rsid w:val="00E12D70"/>
    <w:rsid w:val="00E12F25"/>
    <w:rsid w:val="00E1322D"/>
    <w:rsid w:val="00E132FA"/>
    <w:rsid w:val="00E136C1"/>
    <w:rsid w:val="00E137E5"/>
    <w:rsid w:val="00E13BD3"/>
    <w:rsid w:val="00E13FDD"/>
    <w:rsid w:val="00E14713"/>
    <w:rsid w:val="00E15E0B"/>
    <w:rsid w:val="00E1666D"/>
    <w:rsid w:val="00E1668B"/>
    <w:rsid w:val="00E1737A"/>
    <w:rsid w:val="00E17CF4"/>
    <w:rsid w:val="00E21CEB"/>
    <w:rsid w:val="00E2228E"/>
    <w:rsid w:val="00E2233B"/>
    <w:rsid w:val="00E231BD"/>
    <w:rsid w:val="00E23A6B"/>
    <w:rsid w:val="00E24239"/>
    <w:rsid w:val="00E244DD"/>
    <w:rsid w:val="00E24541"/>
    <w:rsid w:val="00E24A84"/>
    <w:rsid w:val="00E253A5"/>
    <w:rsid w:val="00E25909"/>
    <w:rsid w:val="00E25F74"/>
    <w:rsid w:val="00E262E3"/>
    <w:rsid w:val="00E2657B"/>
    <w:rsid w:val="00E26E6D"/>
    <w:rsid w:val="00E2707B"/>
    <w:rsid w:val="00E271C9"/>
    <w:rsid w:val="00E279B7"/>
    <w:rsid w:val="00E27B0E"/>
    <w:rsid w:val="00E3092A"/>
    <w:rsid w:val="00E30F9C"/>
    <w:rsid w:val="00E315D7"/>
    <w:rsid w:val="00E32551"/>
    <w:rsid w:val="00E3338B"/>
    <w:rsid w:val="00E33EF9"/>
    <w:rsid w:val="00E346B1"/>
    <w:rsid w:val="00E346E1"/>
    <w:rsid w:val="00E34AAD"/>
    <w:rsid w:val="00E34CE3"/>
    <w:rsid w:val="00E34F98"/>
    <w:rsid w:val="00E364E7"/>
    <w:rsid w:val="00E374EF"/>
    <w:rsid w:val="00E4075A"/>
    <w:rsid w:val="00E408E2"/>
    <w:rsid w:val="00E40A19"/>
    <w:rsid w:val="00E40DB2"/>
    <w:rsid w:val="00E41C21"/>
    <w:rsid w:val="00E41F7A"/>
    <w:rsid w:val="00E42A1C"/>
    <w:rsid w:val="00E4330E"/>
    <w:rsid w:val="00E43B00"/>
    <w:rsid w:val="00E43C99"/>
    <w:rsid w:val="00E44462"/>
    <w:rsid w:val="00E4452B"/>
    <w:rsid w:val="00E44CBE"/>
    <w:rsid w:val="00E44E00"/>
    <w:rsid w:val="00E44EB9"/>
    <w:rsid w:val="00E477D2"/>
    <w:rsid w:val="00E47B8A"/>
    <w:rsid w:val="00E47BCA"/>
    <w:rsid w:val="00E5003B"/>
    <w:rsid w:val="00E500DB"/>
    <w:rsid w:val="00E507CE"/>
    <w:rsid w:val="00E50C1F"/>
    <w:rsid w:val="00E50E2C"/>
    <w:rsid w:val="00E50F2F"/>
    <w:rsid w:val="00E51E14"/>
    <w:rsid w:val="00E52459"/>
    <w:rsid w:val="00E54829"/>
    <w:rsid w:val="00E54B0E"/>
    <w:rsid w:val="00E5578C"/>
    <w:rsid w:val="00E55BC0"/>
    <w:rsid w:val="00E560F9"/>
    <w:rsid w:val="00E562D6"/>
    <w:rsid w:val="00E56330"/>
    <w:rsid w:val="00E56753"/>
    <w:rsid w:val="00E56ADC"/>
    <w:rsid w:val="00E6024A"/>
    <w:rsid w:val="00E60516"/>
    <w:rsid w:val="00E611F9"/>
    <w:rsid w:val="00E612CF"/>
    <w:rsid w:val="00E6131D"/>
    <w:rsid w:val="00E6134E"/>
    <w:rsid w:val="00E61411"/>
    <w:rsid w:val="00E61A5F"/>
    <w:rsid w:val="00E61C16"/>
    <w:rsid w:val="00E6206D"/>
    <w:rsid w:val="00E621FD"/>
    <w:rsid w:val="00E62E08"/>
    <w:rsid w:val="00E63A03"/>
    <w:rsid w:val="00E63BEB"/>
    <w:rsid w:val="00E643B3"/>
    <w:rsid w:val="00E650B6"/>
    <w:rsid w:val="00E65217"/>
    <w:rsid w:val="00E6560B"/>
    <w:rsid w:val="00E65F34"/>
    <w:rsid w:val="00E65FE8"/>
    <w:rsid w:val="00E67605"/>
    <w:rsid w:val="00E67C03"/>
    <w:rsid w:val="00E67F63"/>
    <w:rsid w:val="00E7016A"/>
    <w:rsid w:val="00E70FF7"/>
    <w:rsid w:val="00E7140D"/>
    <w:rsid w:val="00E72094"/>
    <w:rsid w:val="00E726C5"/>
    <w:rsid w:val="00E72932"/>
    <w:rsid w:val="00E733EC"/>
    <w:rsid w:val="00E73863"/>
    <w:rsid w:val="00E73917"/>
    <w:rsid w:val="00E73D73"/>
    <w:rsid w:val="00E73FFF"/>
    <w:rsid w:val="00E747DF"/>
    <w:rsid w:val="00E7487B"/>
    <w:rsid w:val="00E75730"/>
    <w:rsid w:val="00E766E4"/>
    <w:rsid w:val="00E76841"/>
    <w:rsid w:val="00E76B18"/>
    <w:rsid w:val="00E806EF"/>
    <w:rsid w:val="00E809C4"/>
    <w:rsid w:val="00E81032"/>
    <w:rsid w:val="00E81727"/>
    <w:rsid w:val="00E81902"/>
    <w:rsid w:val="00E82380"/>
    <w:rsid w:val="00E82D2A"/>
    <w:rsid w:val="00E82E49"/>
    <w:rsid w:val="00E83094"/>
    <w:rsid w:val="00E830C9"/>
    <w:rsid w:val="00E8354E"/>
    <w:rsid w:val="00E83F13"/>
    <w:rsid w:val="00E84118"/>
    <w:rsid w:val="00E84399"/>
    <w:rsid w:val="00E84908"/>
    <w:rsid w:val="00E84A35"/>
    <w:rsid w:val="00E851D0"/>
    <w:rsid w:val="00E85749"/>
    <w:rsid w:val="00E86170"/>
    <w:rsid w:val="00E8658B"/>
    <w:rsid w:val="00E86A93"/>
    <w:rsid w:val="00E86AAF"/>
    <w:rsid w:val="00E878BF"/>
    <w:rsid w:val="00E8797B"/>
    <w:rsid w:val="00E90667"/>
    <w:rsid w:val="00E90835"/>
    <w:rsid w:val="00E911E9"/>
    <w:rsid w:val="00E91507"/>
    <w:rsid w:val="00E915F3"/>
    <w:rsid w:val="00E91BAA"/>
    <w:rsid w:val="00E91CC7"/>
    <w:rsid w:val="00E9226F"/>
    <w:rsid w:val="00E92344"/>
    <w:rsid w:val="00E92DDC"/>
    <w:rsid w:val="00E9300D"/>
    <w:rsid w:val="00E93450"/>
    <w:rsid w:val="00E93732"/>
    <w:rsid w:val="00E941EF"/>
    <w:rsid w:val="00E96A50"/>
    <w:rsid w:val="00E96C32"/>
    <w:rsid w:val="00E971BD"/>
    <w:rsid w:val="00E97B0E"/>
    <w:rsid w:val="00E97FA1"/>
    <w:rsid w:val="00EA0076"/>
    <w:rsid w:val="00EA02AC"/>
    <w:rsid w:val="00EA03E6"/>
    <w:rsid w:val="00EA05C8"/>
    <w:rsid w:val="00EA10E7"/>
    <w:rsid w:val="00EA1399"/>
    <w:rsid w:val="00EA166E"/>
    <w:rsid w:val="00EA1D32"/>
    <w:rsid w:val="00EA1E7B"/>
    <w:rsid w:val="00EA245C"/>
    <w:rsid w:val="00EA27F2"/>
    <w:rsid w:val="00EA32F2"/>
    <w:rsid w:val="00EA364A"/>
    <w:rsid w:val="00EA3761"/>
    <w:rsid w:val="00EA38B9"/>
    <w:rsid w:val="00EA440B"/>
    <w:rsid w:val="00EA4497"/>
    <w:rsid w:val="00EA4968"/>
    <w:rsid w:val="00EA4F1F"/>
    <w:rsid w:val="00EA5344"/>
    <w:rsid w:val="00EA53E9"/>
    <w:rsid w:val="00EA5EA3"/>
    <w:rsid w:val="00EA75AF"/>
    <w:rsid w:val="00EA7F17"/>
    <w:rsid w:val="00EB04A3"/>
    <w:rsid w:val="00EB08EA"/>
    <w:rsid w:val="00EB0E2F"/>
    <w:rsid w:val="00EB1BE6"/>
    <w:rsid w:val="00EB24AD"/>
    <w:rsid w:val="00EB26C1"/>
    <w:rsid w:val="00EB3048"/>
    <w:rsid w:val="00EB3728"/>
    <w:rsid w:val="00EB3C89"/>
    <w:rsid w:val="00EB3EAB"/>
    <w:rsid w:val="00EB418C"/>
    <w:rsid w:val="00EB4345"/>
    <w:rsid w:val="00EB477E"/>
    <w:rsid w:val="00EB5042"/>
    <w:rsid w:val="00EB54CD"/>
    <w:rsid w:val="00EB5931"/>
    <w:rsid w:val="00EB5C00"/>
    <w:rsid w:val="00EB62BB"/>
    <w:rsid w:val="00EB6560"/>
    <w:rsid w:val="00EB67A4"/>
    <w:rsid w:val="00EB681E"/>
    <w:rsid w:val="00EB68D0"/>
    <w:rsid w:val="00EB6C87"/>
    <w:rsid w:val="00EB6DE1"/>
    <w:rsid w:val="00EB76C2"/>
    <w:rsid w:val="00EC0AB7"/>
    <w:rsid w:val="00EC2742"/>
    <w:rsid w:val="00EC29F5"/>
    <w:rsid w:val="00EC2FEE"/>
    <w:rsid w:val="00EC35E2"/>
    <w:rsid w:val="00EC39A2"/>
    <w:rsid w:val="00EC4448"/>
    <w:rsid w:val="00EC47B7"/>
    <w:rsid w:val="00EC48B6"/>
    <w:rsid w:val="00EC54B1"/>
    <w:rsid w:val="00EC5846"/>
    <w:rsid w:val="00EC58B4"/>
    <w:rsid w:val="00EC5E19"/>
    <w:rsid w:val="00EC688E"/>
    <w:rsid w:val="00EC748E"/>
    <w:rsid w:val="00EC7816"/>
    <w:rsid w:val="00EC7828"/>
    <w:rsid w:val="00EC7C80"/>
    <w:rsid w:val="00ED00CD"/>
    <w:rsid w:val="00ED011D"/>
    <w:rsid w:val="00ED0457"/>
    <w:rsid w:val="00ED05B6"/>
    <w:rsid w:val="00ED0E6F"/>
    <w:rsid w:val="00ED1DD9"/>
    <w:rsid w:val="00ED1FA7"/>
    <w:rsid w:val="00ED21CB"/>
    <w:rsid w:val="00ED28FE"/>
    <w:rsid w:val="00ED2E6A"/>
    <w:rsid w:val="00ED32D4"/>
    <w:rsid w:val="00ED394A"/>
    <w:rsid w:val="00ED3975"/>
    <w:rsid w:val="00ED3C30"/>
    <w:rsid w:val="00ED54FD"/>
    <w:rsid w:val="00ED5BA9"/>
    <w:rsid w:val="00ED60B1"/>
    <w:rsid w:val="00ED6EAE"/>
    <w:rsid w:val="00ED73A7"/>
    <w:rsid w:val="00ED7B1F"/>
    <w:rsid w:val="00EE1B3D"/>
    <w:rsid w:val="00EE1B7F"/>
    <w:rsid w:val="00EE228E"/>
    <w:rsid w:val="00EE2D75"/>
    <w:rsid w:val="00EE3018"/>
    <w:rsid w:val="00EE3BD1"/>
    <w:rsid w:val="00EE3F2A"/>
    <w:rsid w:val="00EE404C"/>
    <w:rsid w:val="00EE49B8"/>
    <w:rsid w:val="00EE4F54"/>
    <w:rsid w:val="00EE4FD3"/>
    <w:rsid w:val="00EE514C"/>
    <w:rsid w:val="00EE5799"/>
    <w:rsid w:val="00EE5B45"/>
    <w:rsid w:val="00EE624D"/>
    <w:rsid w:val="00EE6793"/>
    <w:rsid w:val="00EE67DD"/>
    <w:rsid w:val="00EE75DA"/>
    <w:rsid w:val="00EE7861"/>
    <w:rsid w:val="00EE7DF3"/>
    <w:rsid w:val="00EF01C7"/>
    <w:rsid w:val="00EF0668"/>
    <w:rsid w:val="00EF0B32"/>
    <w:rsid w:val="00EF100D"/>
    <w:rsid w:val="00EF1362"/>
    <w:rsid w:val="00EF21A7"/>
    <w:rsid w:val="00EF2D94"/>
    <w:rsid w:val="00EF3BDA"/>
    <w:rsid w:val="00EF54E8"/>
    <w:rsid w:val="00EF5B75"/>
    <w:rsid w:val="00EF5BCA"/>
    <w:rsid w:val="00EF5C53"/>
    <w:rsid w:val="00EF63C7"/>
    <w:rsid w:val="00EF63F6"/>
    <w:rsid w:val="00EF654B"/>
    <w:rsid w:val="00EF71B4"/>
    <w:rsid w:val="00EF7377"/>
    <w:rsid w:val="00EF7A80"/>
    <w:rsid w:val="00F00721"/>
    <w:rsid w:val="00F0088E"/>
    <w:rsid w:val="00F01DE5"/>
    <w:rsid w:val="00F02022"/>
    <w:rsid w:val="00F02113"/>
    <w:rsid w:val="00F030AE"/>
    <w:rsid w:val="00F046D7"/>
    <w:rsid w:val="00F0486C"/>
    <w:rsid w:val="00F04DBE"/>
    <w:rsid w:val="00F050D7"/>
    <w:rsid w:val="00F06181"/>
    <w:rsid w:val="00F06742"/>
    <w:rsid w:val="00F07A86"/>
    <w:rsid w:val="00F07F1A"/>
    <w:rsid w:val="00F07F69"/>
    <w:rsid w:val="00F10B8A"/>
    <w:rsid w:val="00F10DC6"/>
    <w:rsid w:val="00F10FBC"/>
    <w:rsid w:val="00F110F1"/>
    <w:rsid w:val="00F11CA5"/>
    <w:rsid w:val="00F13FC9"/>
    <w:rsid w:val="00F14459"/>
    <w:rsid w:val="00F156C4"/>
    <w:rsid w:val="00F157B8"/>
    <w:rsid w:val="00F15BDE"/>
    <w:rsid w:val="00F161A4"/>
    <w:rsid w:val="00F16F20"/>
    <w:rsid w:val="00F17529"/>
    <w:rsid w:val="00F175BE"/>
    <w:rsid w:val="00F17770"/>
    <w:rsid w:val="00F17BF7"/>
    <w:rsid w:val="00F17CDA"/>
    <w:rsid w:val="00F20062"/>
    <w:rsid w:val="00F208D8"/>
    <w:rsid w:val="00F220A3"/>
    <w:rsid w:val="00F22BA9"/>
    <w:rsid w:val="00F22E4B"/>
    <w:rsid w:val="00F22F0E"/>
    <w:rsid w:val="00F231F0"/>
    <w:rsid w:val="00F23EBA"/>
    <w:rsid w:val="00F24138"/>
    <w:rsid w:val="00F249A2"/>
    <w:rsid w:val="00F25966"/>
    <w:rsid w:val="00F25A1D"/>
    <w:rsid w:val="00F25E32"/>
    <w:rsid w:val="00F262AA"/>
    <w:rsid w:val="00F263C1"/>
    <w:rsid w:val="00F2732A"/>
    <w:rsid w:val="00F27D8E"/>
    <w:rsid w:val="00F302EC"/>
    <w:rsid w:val="00F30A68"/>
    <w:rsid w:val="00F31416"/>
    <w:rsid w:val="00F32511"/>
    <w:rsid w:val="00F32644"/>
    <w:rsid w:val="00F32718"/>
    <w:rsid w:val="00F32D61"/>
    <w:rsid w:val="00F33121"/>
    <w:rsid w:val="00F33EB1"/>
    <w:rsid w:val="00F34235"/>
    <w:rsid w:val="00F34981"/>
    <w:rsid w:val="00F3514B"/>
    <w:rsid w:val="00F3517E"/>
    <w:rsid w:val="00F35C48"/>
    <w:rsid w:val="00F35CE9"/>
    <w:rsid w:val="00F36926"/>
    <w:rsid w:val="00F36B31"/>
    <w:rsid w:val="00F37065"/>
    <w:rsid w:val="00F379AE"/>
    <w:rsid w:val="00F37C66"/>
    <w:rsid w:val="00F37E65"/>
    <w:rsid w:val="00F40048"/>
    <w:rsid w:val="00F41226"/>
    <w:rsid w:val="00F41308"/>
    <w:rsid w:val="00F414EC"/>
    <w:rsid w:val="00F4197B"/>
    <w:rsid w:val="00F42175"/>
    <w:rsid w:val="00F428CB"/>
    <w:rsid w:val="00F43DEB"/>
    <w:rsid w:val="00F44029"/>
    <w:rsid w:val="00F448E1"/>
    <w:rsid w:val="00F44989"/>
    <w:rsid w:val="00F44A35"/>
    <w:rsid w:val="00F44BD3"/>
    <w:rsid w:val="00F44E84"/>
    <w:rsid w:val="00F46808"/>
    <w:rsid w:val="00F46A9E"/>
    <w:rsid w:val="00F46DB4"/>
    <w:rsid w:val="00F502DB"/>
    <w:rsid w:val="00F50518"/>
    <w:rsid w:val="00F50BC1"/>
    <w:rsid w:val="00F51C78"/>
    <w:rsid w:val="00F51CAE"/>
    <w:rsid w:val="00F52100"/>
    <w:rsid w:val="00F529D5"/>
    <w:rsid w:val="00F52A46"/>
    <w:rsid w:val="00F53438"/>
    <w:rsid w:val="00F53A3C"/>
    <w:rsid w:val="00F555EB"/>
    <w:rsid w:val="00F5595A"/>
    <w:rsid w:val="00F55DA1"/>
    <w:rsid w:val="00F55DBB"/>
    <w:rsid w:val="00F55E92"/>
    <w:rsid w:val="00F5657C"/>
    <w:rsid w:val="00F56B8B"/>
    <w:rsid w:val="00F56FD0"/>
    <w:rsid w:val="00F5767D"/>
    <w:rsid w:val="00F6069E"/>
    <w:rsid w:val="00F6093E"/>
    <w:rsid w:val="00F60B1A"/>
    <w:rsid w:val="00F60B53"/>
    <w:rsid w:val="00F628A2"/>
    <w:rsid w:val="00F62C9B"/>
    <w:rsid w:val="00F62D72"/>
    <w:rsid w:val="00F63634"/>
    <w:rsid w:val="00F6378E"/>
    <w:rsid w:val="00F63A5A"/>
    <w:rsid w:val="00F6451E"/>
    <w:rsid w:val="00F64F72"/>
    <w:rsid w:val="00F650CF"/>
    <w:rsid w:val="00F651A8"/>
    <w:rsid w:val="00F65517"/>
    <w:rsid w:val="00F656D7"/>
    <w:rsid w:val="00F659F4"/>
    <w:rsid w:val="00F6612C"/>
    <w:rsid w:val="00F6645B"/>
    <w:rsid w:val="00F66934"/>
    <w:rsid w:val="00F67145"/>
    <w:rsid w:val="00F6715C"/>
    <w:rsid w:val="00F67A07"/>
    <w:rsid w:val="00F67E82"/>
    <w:rsid w:val="00F7046A"/>
    <w:rsid w:val="00F71231"/>
    <w:rsid w:val="00F718FE"/>
    <w:rsid w:val="00F71A4A"/>
    <w:rsid w:val="00F71C27"/>
    <w:rsid w:val="00F71DF4"/>
    <w:rsid w:val="00F71FD5"/>
    <w:rsid w:val="00F721CC"/>
    <w:rsid w:val="00F727E3"/>
    <w:rsid w:val="00F729D7"/>
    <w:rsid w:val="00F73066"/>
    <w:rsid w:val="00F73720"/>
    <w:rsid w:val="00F74025"/>
    <w:rsid w:val="00F757F3"/>
    <w:rsid w:val="00F76CB4"/>
    <w:rsid w:val="00F80470"/>
    <w:rsid w:val="00F8091B"/>
    <w:rsid w:val="00F81D96"/>
    <w:rsid w:val="00F820BC"/>
    <w:rsid w:val="00F824E2"/>
    <w:rsid w:val="00F8392F"/>
    <w:rsid w:val="00F83A5F"/>
    <w:rsid w:val="00F8458C"/>
    <w:rsid w:val="00F84847"/>
    <w:rsid w:val="00F84CC7"/>
    <w:rsid w:val="00F85534"/>
    <w:rsid w:val="00F8578D"/>
    <w:rsid w:val="00F85A6C"/>
    <w:rsid w:val="00F866BF"/>
    <w:rsid w:val="00F867C9"/>
    <w:rsid w:val="00F86B9B"/>
    <w:rsid w:val="00F86BA2"/>
    <w:rsid w:val="00F87B42"/>
    <w:rsid w:val="00F87DBF"/>
    <w:rsid w:val="00F9026B"/>
    <w:rsid w:val="00F90725"/>
    <w:rsid w:val="00F90766"/>
    <w:rsid w:val="00F910AE"/>
    <w:rsid w:val="00F915A8"/>
    <w:rsid w:val="00F93025"/>
    <w:rsid w:val="00F930CD"/>
    <w:rsid w:val="00F932DB"/>
    <w:rsid w:val="00F93A30"/>
    <w:rsid w:val="00F94B1D"/>
    <w:rsid w:val="00F94F32"/>
    <w:rsid w:val="00F94F93"/>
    <w:rsid w:val="00F958F6"/>
    <w:rsid w:val="00F95A7D"/>
    <w:rsid w:val="00F96076"/>
    <w:rsid w:val="00F96415"/>
    <w:rsid w:val="00F967E8"/>
    <w:rsid w:val="00F96DB2"/>
    <w:rsid w:val="00FA1B98"/>
    <w:rsid w:val="00FA2160"/>
    <w:rsid w:val="00FA22A6"/>
    <w:rsid w:val="00FA271A"/>
    <w:rsid w:val="00FA2A82"/>
    <w:rsid w:val="00FA31A7"/>
    <w:rsid w:val="00FA3225"/>
    <w:rsid w:val="00FA3583"/>
    <w:rsid w:val="00FA3F5E"/>
    <w:rsid w:val="00FA57ED"/>
    <w:rsid w:val="00FA65CD"/>
    <w:rsid w:val="00FA69A8"/>
    <w:rsid w:val="00FA6EB2"/>
    <w:rsid w:val="00FB0498"/>
    <w:rsid w:val="00FB0D82"/>
    <w:rsid w:val="00FB1050"/>
    <w:rsid w:val="00FB16AA"/>
    <w:rsid w:val="00FB1F9C"/>
    <w:rsid w:val="00FB27A0"/>
    <w:rsid w:val="00FB2AB5"/>
    <w:rsid w:val="00FB37D3"/>
    <w:rsid w:val="00FB3954"/>
    <w:rsid w:val="00FB4215"/>
    <w:rsid w:val="00FB439A"/>
    <w:rsid w:val="00FB471C"/>
    <w:rsid w:val="00FB5363"/>
    <w:rsid w:val="00FB5D2A"/>
    <w:rsid w:val="00FB5F27"/>
    <w:rsid w:val="00FB63A1"/>
    <w:rsid w:val="00FB6664"/>
    <w:rsid w:val="00FB6BDF"/>
    <w:rsid w:val="00FB6F09"/>
    <w:rsid w:val="00FB7E18"/>
    <w:rsid w:val="00FB7E79"/>
    <w:rsid w:val="00FB7F66"/>
    <w:rsid w:val="00FB7FF8"/>
    <w:rsid w:val="00FC0744"/>
    <w:rsid w:val="00FC08EF"/>
    <w:rsid w:val="00FC107B"/>
    <w:rsid w:val="00FC1542"/>
    <w:rsid w:val="00FC314E"/>
    <w:rsid w:val="00FC31C3"/>
    <w:rsid w:val="00FC3360"/>
    <w:rsid w:val="00FC34FD"/>
    <w:rsid w:val="00FC4275"/>
    <w:rsid w:val="00FC43CF"/>
    <w:rsid w:val="00FC4E64"/>
    <w:rsid w:val="00FC514E"/>
    <w:rsid w:val="00FC5280"/>
    <w:rsid w:val="00FC5B09"/>
    <w:rsid w:val="00FC622D"/>
    <w:rsid w:val="00FC6572"/>
    <w:rsid w:val="00FC6779"/>
    <w:rsid w:val="00FC6996"/>
    <w:rsid w:val="00FC6A97"/>
    <w:rsid w:val="00FC76BC"/>
    <w:rsid w:val="00FC79D0"/>
    <w:rsid w:val="00FC7BF8"/>
    <w:rsid w:val="00FD04A2"/>
    <w:rsid w:val="00FD1258"/>
    <w:rsid w:val="00FD1F1E"/>
    <w:rsid w:val="00FD24C8"/>
    <w:rsid w:val="00FD2598"/>
    <w:rsid w:val="00FD290E"/>
    <w:rsid w:val="00FD316E"/>
    <w:rsid w:val="00FD43CC"/>
    <w:rsid w:val="00FD44F1"/>
    <w:rsid w:val="00FD4E21"/>
    <w:rsid w:val="00FD52FF"/>
    <w:rsid w:val="00FD54C8"/>
    <w:rsid w:val="00FD5FE2"/>
    <w:rsid w:val="00FD659E"/>
    <w:rsid w:val="00FD68D9"/>
    <w:rsid w:val="00FD6F15"/>
    <w:rsid w:val="00FD7043"/>
    <w:rsid w:val="00FD7903"/>
    <w:rsid w:val="00FE029E"/>
    <w:rsid w:val="00FE0586"/>
    <w:rsid w:val="00FE0B0A"/>
    <w:rsid w:val="00FE0C91"/>
    <w:rsid w:val="00FE19B6"/>
    <w:rsid w:val="00FE1CE3"/>
    <w:rsid w:val="00FE23DE"/>
    <w:rsid w:val="00FE24F2"/>
    <w:rsid w:val="00FE2513"/>
    <w:rsid w:val="00FE257D"/>
    <w:rsid w:val="00FE29D3"/>
    <w:rsid w:val="00FE39E1"/>
    <w:rsid w:val="00FE3C17"/>
    <w:rsid w:val="00FE3C8F"/>
    <w:rsid w:val="00FE3D58"/>
    <w:rsid w:val="00FE40B2"/>
    <w:rsid w:val="00FE432A"/>
    <w:rsid w:val="00FE44C4"/>
    <w:rsid w:val="00FE464E"/>
    <w:rsid w:val="00FE4BA9"/>
    <w:rsid w:val="00FE553F"/>
    <w:rsid w:val="00FE5644"/>
    <w:rsid w:val="00FE56BB"/>
    <w:rsid w:val="00FE5B94"/>
    <w:rsid w:val="00FE5E1F"/>
    <w:rsid w:val="00FE6988"/>
    <w:rsid w:val="00FE69F6"/>
    <w:rsid w:val="00FE6C6A"/>
    <w:rsid w:val="00FE715C"/>
    <w:rsid w:val="00FE7325"/>
    <w:rsid w:val="00FE7512"/>
    <w:rsid w:val="00FE7A46"/>
    <w:rsid w:val="00FF03AC"/>
    <w:rsid w:val="00FF06A3"/>
    <w:rsid w:val="00FF086C"/>
    <w:rsid w:val="00FF092F"/>
    <w:rsid w:val="00FF0AA1"/>
    <w:rsid w:val="00FF1820"/>
    <w:rsid w:val="00FF237B"/>
    <w:rsid w:val="00FF2DC2"/>
    <w:rsid w:val="00FF313F"/>
    <w:rsid w:val="00FF32F4"/>
    <w:rsid w:val="00FF38DB"/>
    <w:rsid w:val="00FF3995"/>
    <w:rsid w:val="00FF3F26"/>
    <w:rsid w:val="00FF417E"/>
    <w:rsid w:val="00FF49CC"/>
    <w:rsid w:val="00FF5F17"/>
    <w:rsid w:val="00FF6009"/>
    <w:rsid w:val="00FF663B"/>
    <w:rsid w:val="00FF6FC7"/>
    <w:rsid w:val="00FF72B1"/>
    <w:rsid w:val="00FF7664"/>
    <w:rsid w:val="00FF7A5F"/>
    <w:rsid w:val="02552A07"/>
    <w:rsid w:val="03157BD2"/>
    <w:rsid w:val="093B560C"/>
    <w:rsid w:val="0E7A5E3A"/>
    <w:rsid w:val="18435AD6"/>
    <w:rsid w:val="28B31662"/>
    <w:rsid w:val="29542386"/>
    <w:rsid w:val="29FC77C5"/>
    <w:rsid w:val="2A945E28"/>
    <w:rsid w:val="3DEB5DA6"/>
    <w:rsid w:val="44B70868"/>
    <w:rsid w:val="4BE15E8D"/>
    <w:rsid w:val="557852F8"/>
    <w:rsid w:val="5CF54685"/>
    <w:rsid w:val="5CF954CC"/>
    <w:rsid w:val="5E543B5D"/>
    <w:rsid w:val="63924267"/>
    <w:rsid w:val="643F6306"/>
    <w:rsid w:val="65EF5873"/>
    <w:rsid w:val="65F8185E"/>
    <w:rsid w:val="6B3D209D"/>
    <w:rsid w:val="72FD3BB1"/>
    <w:rsid w:val="754E47AE"/>
    <w:rsid w:val="77616C8A"/>
    <w:rsid w:val="7AB6711B"/>
    <w:rsid w:val="7B407EBF"/>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0" w:semiHidden="0" w:name="Normal Indent"/>
    <w:lsdException w:qFormat="1" w:unhideWhenUsed="0" w:uiPriority="99"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qFormat="1" w:unhideWhenUsed="0" w:uiPriority="99" w:semiHidden="0" w:name="envelope return"/>
    <w:lsdException w:qFormat="1" w:unhideWhenUsed="0" w:uiPriority="99" w:semiHidden="0" w:name="footnote reference"/>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0"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sdException w:uiPriority="99" w:name="Body Text 3" w:locked="1"/>
    <w:lsdException w:qFormat="1" w:unhideWhenUsed="0" w:uiPriority="0" w:semiHidden="0" w:name="Body Text Indent 2"/>
    <w:lsdException w:qFormat="1" w:unhideWhenUsed="0" w:uiPriority="99"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99" w:name="Document Map"/>
    <w:lsdException w:qFormat="1" w:unhideWhenUsed="0" w:uiPriority="99" w:semiHidden="0" w:name="Plain Text"/>
    <w:lsdException w:uiPriority="99" w:name="E-mail Signature" w:locked="1"/>
    <w:lsdException w:qFormat="1" w:unhideWhenUsed="0" w:uiPriority="0"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48"/>
    <w:qFormat/>
    <w:uiPriority w:val="0"/>
    <w:pPr>
      <w:keepNext/>
      <w:jc w:val="center"/>
      <w:outlineLvl w:val="0"/>
    </w:pPr>
    <w:rPr>
      <w:rFonts w:ascii="楷体_GB2312" w:eastAsia="华文仿宋"/>
      <w:kern w:val="0"/>
      <w:sz w:val="28"/>
      <w:szCs w:val="20"/>
    </w:rPr>
  </w:style>
  <w:style w:type="paragraph" w:styleId="3">
    <w:name w:val="heading 2"/>
    <w:basedOn w:val="1"/>
    <w:next w:val="1"/>
    <w:link w:val="49"/>
    <w:qFormat/>
    <w:uiPriority w:val="9"/>
    <w:pPr>
      <w:keepNext/>
      <w:keepLines/>
      <w:spacing w:before="260" w:after="260" w:line="416" w:lineRule="auto"/>
      <w:outlineLvl w:val="1"/>
    </w:pPr>
    <w:rPr>
      <w:rFonts w:ascii="Calibri Light" w:hAnsi="Calibri Light"/>
      <w:b/>
      <w:kern w:val="0"/>
      <w:sz w:val="32"/>
      <w:szCs w:val="20"/>
    </w:rPr>
  </w:style>
  <w:style w:type="paragraph" w:styleId="4">
    <w:name w:val="heading 3"/>
    <w:basedOn w:val="1"/>
    <w:next w:val="1"/>
    <w:link w:val="50"/>
    <w:qFormat/>
    <w:uiPriority w:val="9"/>
    <w:pPr>
      <w:keepNext/>
      <w:keepLines/>
      <w:numPr>
        <w:ilvl w:val="0"/>
        <w:numId w:val="1"/>
      </w:numPr>
      <w:adjustRightInd w:val="0"/>
      <w:snapToGrid w:val="0"/>
      <w:spacing w:line="360" w:lineRule="auto"/>
      <w:outlineLvl w:val="2"/>
    </w:pPr>
    <w:rPr>
      <w:rFonts w:eastAsia="华文仿宋"/>
      <w:kern w:val="0"/>
      <w:sz w:val="32"/>
      <w:szCs w:val="20"/>
      <w:lang w:val="zh-CN"/>
    </w:rPr>
  </w:style>
  <w:style w:type="paragraph" w:styleId="5">
    <w:name w:val="heading 4"/>
    <w:basedOn w:val="1"/>
    <w:next w:val="1"/>
    <w:link w:val="51"/>
    <w:qFormat/>
    <w:uiPriority w:val="9"/>
    <w:pPr>
      <w:keepNext/>
      <w:keepLines/>
      <w:spacing w:before="280" w:after="290" w:line="376" w:lineRule="auto"/>
      <w:jc w:val="center"/>
      <w:outlineLvl w:val="3"/>
    </w:pPr>
    <w:rPr>
      <w:rFonts w:ascii="Calibri Light" w:hAnsi="Calibri Light"/>
      <w:b/>
      <w:kern w:val="0"/>
      <w:sz w:val="28"/>
      <w:szCs w:val="20"/>
    </w:rPr>
  </w:style>
  <w:style w:type="paragraph" w:styleId="6">
    <w:name w:val="heading 5"/>
    <w:basedOn w:val="1"/>
    <w:next w:val="1"/>
    <w:link w:val="52"/>
    <w:qFormat/>
    <w:uiPriority w:val="99"/>
    <w:pPr>
      <w:widowControl/>
      <w:autoSpaceDE w:val="0"/>
      <w:autoSpaceDN w:val="0"/>
      <w:adjustRightInd w:val="0"/>
      <w:snapToGrid w:val="0"/>
      <w:spacing w:beforeLines="50" w:afterLines="50" w:line="360" w:lineRule="auto"/>
      <w:outlineLvl w:val="4"/>
    </w:pPr>
    <w:rPr>
      <w:rFonts w:ascii="CG Times" w:hAnsi="CG Times"/>
      <w:color w:val="000000"/>
      <w:kern w:val="0"/>
      <w:sz w:val="20"/>
      <w:szCs w:val="20"/>
    </w:rPr>
  </w:style>
  <w:style w:type="paragraph" w:styleId="7">
    <w:name w:val="heading 6"/>
    <w:basedOn w:val="1"/>
    <w:next w:val="1"/>
    <w:link w:val="53"/>
    <w:qFormat/>
    <w:uiPriority w:val="99"/>
    <w:pPr>
      <w:widowControl/>
      <w:autoSpaceDE w:val="0"/>
      <w:autoSpaceDN w:val="0"/>
      <w:adjustRightInd w:val="0"/>
      <w:spacing w:beforeLines="50" w:after="60" w:line="480" w:lineRule="exact"/>
      <w:ind w:right="389"/>
      <w:outlineLvl w:val="5"/>
    </w:pPr>
    <w:rPr>
      <w:rFonts w:ascii="CG Times" w:hAnsi="CG Times"/>
      <w:b/>
      <w:kern w:val="0"/>
      <w:sz w:val="20"/>
      <w:szCs w:val="20"/>
    </w:rPr>
  </w:style>
  <w:style w:type="paragraph" w:styleId="8">
    <w:name w:val="heading 7"/>
    <w:basedOn w:val="1"/>
    <w:next w:val="1"/>
    <w:link w:val="54"/>
    <w:qFormat/>
    <w:uiPriority w:val="99"/>
    <w:pPr>
      <w:widowControl/>
      <w:autoSpaceDE w:val="0"/>
      <w:autoSpaceDN w:val="0"/>
      <w:adjustRightInd w:val="0"/>
      <w:spacing w:beforeLines="50" w:after="60" w:line="480" w:lineRule="exact"/>
      <w:ind w:right="389"/>
      <w:outlineLvl w:val="6"/>
    </w:pPr>
    <w:rPr>
      <w:rFonts w:ascii="CG Times" w:hAnsi="CG Times"/>
      <w:kern w:val="0"/>
      <w:sz w:val="20"/>
      <w:szCs w:val="20"/>
    </w:rPr>
  </w:style>
  <w:style w:type="paragraph" w:styleId="9">
    <w:name w:val="heading 8"/>
    <w:basedOn w:val="1"/>
    <w:next w:val="1"/>
    <w:link w:val="55"/>
    <w:qFormat/>
    <w:uiPriority w:val="99"/>
    <w:pPr>
      <w:widowControl/>
      <w:autoSpaceDE w:val="0"/>
      <w:autoSpaceDN w:val="0"/>
      <w:adjustRightInd w:val="0"/>
      <w:spacing w:beforeLines="50" w:after="60" w:line="480" w:lineRule="exact"/>
      <w:ind w:right="389"/>
      <w:outlineLvl w:val="7"/>
    </w:pPr>
    <w:rPr>
      <w:rFonts w:ascii="CG Times" w:hAnsi="CG Times"/>
      <w:i/>
      <w:kern w:val="0"/>
      <w:sz w:val="20"/>
      <w:szCs w:val="20"/>
    </w:rPr>
  </w:style>
  <w:style w:type="paragraph" w:styleId="10">
    <w:name w:val="heading 9"/>
    <w:basedOn w:val="1"/>
    <w:next w:val="1"/>
    <w:link w:val="56"/>
    <w:qFormat/>
    <w:uiPriority w:val="99"/>
    <w:pPr>
      <w:widowControl/>
      <w:autoSpaceDE w:val="0"/>
      <w:autoSpaceDN w:val="0"/>
      <w:adjustRightInd w:val="0"/>
      <w:spacing w:beforeLines="50" w:after="60" w:line="480" w:lineRule="exact"/>
      <w:ind w:right="389"/>
      <w:outlineLvl w:val="8"/>
    </w:pPr>
    <w:rPr>
      <w:rFonts w:ascii="Arial" w:hAnsi="Arial"/>
      <w:kern w:val="0"/>
      <w:sz w:val="20"/>
      <w:szCs w:val="20"/>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99"/>
    <w:pPr>
      <w:ind w:left="1260"/>
      <w:jc w:val="left"/>
    </w:pPr>
    <w:rPr>
      <w:rFonts w:ascii="Calibri" w:hAnsi="Calibri"/>
      <w:sz w:val="18"/>
      <w:szCs w:val="18"/>
    </w:rPr>
  </w:style>
  <w:style w:type="paragraph" w:styleId="12">
    <w:name w:val="Normal Indent"/>
    <w:basedOn w:val="1"/>
    <w:link w:val="132"/>
    <w:qFormat/>
    <w:uiPriority w:val="0"/>
    <w:pPr>
      <w:spacing w:beforeLines="50" w:line="360" w:lineRule="auto"/>
      <w:ind w:firstLine="720" w:firstLineChars="300"/>
    </w:pPr>
    <w:rPr>
      <w:rFonts w:ascii="CG Times" w:hAnsi="CG Times"/>
      <w:bCs/>
      <w:sz w:val="24"/>
      <w:szCs w:val="24"/>
    </w:rPr>
  </w:style>
  <w:style w:type="paragraph" w:styleId="13">
    <w:name w:val="Document Map"/>
    <w:basedOn w:val="1"/>
    <w:link w:val="59"/>
    <w:semiHidden/>
    <w:qFormat/>
    <w:uiPriority w:val="99"/>
    <w:pPr>
      <w:shd w:val="clear" w:color="auto" w:fill="000080"/>
    </w:pPr>
    <w:rPr>
      <w:kern w:val="0"/>
      <w:sz w:val="20"/>
      <w:szCs w:val="20"/>
    </w:rPr>
  </w:style>
  <w:style w:type="paragraph" w:styleId="14">
    <w:name w:val="annotation text"/>
    <w:basedOn w:val="1"/>
    <w:link w:val="57"/>
    <w:qFormat/>
    <w:uiPriority w:val="0"/>
    <w:pPr>
      <w:widowControl/>
      <w:spacing w:line="300" w:lineRule="auto"/>
      <w:jc w:val="left"/>
    </w:pPr>
    <w:rPr>
      <w:rFonts w:eastAsia="仿宋_GB2312"/>
      <w:color w:val="000000"/>
      <w:kern w:val="0"/>
      <w:sz w:val="24"/>
      <w:szCs w:val="20"/>
    </w:rPr>
  </w:style>
  <w:style w:type="paragraph" w:styleId="15">
    <w:name w:val="Body Text"/>
    <w:basedOn w:val="1"/>
    <w:link w:val="60"/>
    <w:qFormat/>
    <w:uiPriority w:val="0"/>
    <w:pPr>
      <w:spacing w:line="460" w:lineRule="exact"/>
    </w:pPr>
    <w:rPr>
      <w:kern w:val="0"/>
      <w:sz w:val="24"/>
      <w:szCs w:val="20"/>
    </w:rPr>
  </w:style>
  <w:style w:type="paragraph" w:styleId="16">
    <w:name w:val="Body Text Indent"/>
    <w:basedOn w:val="1"/>
    <w:link w:val="61"/>
    <w:qFormat/>
    <w:uiPriority w:val="0"/>
    <w:pPr>
      <w:spacing w:line="360" w:lineRule="auto"/>
      <w:ind w:left="257" w:leftChars="257"/>
    </w:pPr>
    <w:rPr>
      <w:rFonts w:ascii="宋体" w:hAnsi="宋体" w:eastAsia="仿宋_GB2312"/>
      <w:b/>
      <w:kern w:val="0"/>
      <w:sz w:val="24"/>
      <w:szCs w:val="20"/>
    </w:rPr>
  </w:style>
  <w:style w:type="paragraph" w:styleId="17">
    <w:name w:val="Block Text"/>
    <w:basedOn w:val="1"/>
    <w:qFormat/>
    <w:uiPriority w:val="0"/>
    <w:pPr>
      <w:widowControl/>
      <w:spacing w:line="300" w:lineRule="auto"/>
      <w:ind w:left="314" w:right="-128"/>
      <w:jc w:val="left"/>
    </w:pPr>
    <w:rPr>
      <w:rFonts w:ascii="仿宋_GB2312" w:eastAsia="仿宋_GB2312"/>
      <w:bCs/>
      <w:color w:val="000000"/>
      <w:kern w:val="0"/>
      <w:sz w:val="24"/>
      <w:szCs w:val="24"/>
    </w:rPr>
  </w:style>
  <w:style w:type="paragraph" w:styleId="18">
    <w:name w:val="toc 5"/>
    <w:basedOn w:val="1"/>
    <w:next w:val="1"/>
    <w:qFormat/>
    <w:uiPriority w:val="99"/>
    <w:pPr>
      <w:ind w:left="840"/>
      <w:jc w:val="left"/>
    </w:pPr>
    <w:rPr>
      <w:rFonts w:ascii="Calibri" w:hAnsi="Calibri"/>
      <w:sz w:val="18"/>
      <w:szCs w:val="18"/>
    </w:rPr>
  </w:style>
  <w:style w:type="paragraph" w:styleId="19">
    <w:name w:val="toc 3"/>
    <w:basedOn w:val="1"/>
    <w:next w:val="1"/>
    <w:qFormat/>
    <w:uiPriority w:val="39"/>
    <w:pPr>
      <w:ind w:left="420"/>
      <w:jc w:val="left"/>
    </w:pPr>
    <w:rPr>
      <w:rFonts w:ascii="Calibri" w:hAnsi="Calibri"/>
      <w:i/>
      <w:iCs/>
      <w:sz w:val="20"/>
      <w:szCs w:val="20"/>
    </w:rPr>
  </w:style>
  <w:style w:type="paragraph" w:styleId="20">
    <w:name w:val="Plain Text"/>
    <w:basedOn w:val="1"/>
    <w:link w:val="62"/>
    <w:qFormat/>
    <w:uiPriority w:val="99"/>
    <w:pPr>
      <w:spacing w:afterLines="50" w:line="312" w:lineRule="auto"/>
      <w:ind w:firstLine="200" w:firstLineChars="200"/>
    </w:pPr>
    <w:rPr>
      <w:kern w:val="0"/>
      <w:szCs w:val="20"/>
    </w:rPr>
  </w:style>
  <w:style w:type="paragraph" w:styleId="21">
    <w:name w:val="toc 8"/>
    <w:basedOn w:val="1"/>
    <w:next w:val="1"/>
    <w:qFormat/>
    <w:uiPriority w:val="99"/>
    <w:pPr>
      <w:ind w:left="1470"/>
      <w:jc w:val="left"/>
    </w:pPr>
    <w:rPr>
      <w:rFonts w:ascii="Calibri" w:hAnsi="Calibri"/>
      <w:sz w:val="18"/>
      <w:szCs w:val="18"/>
    </w:rPr>
  </w:style>
  <w:style w:type="paragraph" w:styleId="22">
    <w:name w:val="Date"/>
    <w:basedOn w:val="1"/>
    <w:next w:val="1"/>
    <w:link w:val="63"/>
    <w:qFormat/>
    <w:uiPriority w:val="0"/>
    <w:rPr>
      <w:kern w:val="0"/>
      <w:sz w:val="24"/>
      <w:szCs w:val="20"/>
    </w:rPr>
  </w:style>
  <w:style w:type="paragraph" w:styleId="23">
    <w:name w:val="Body Text Indent 2"/>
    <w:basedOn w:val="1"/>
    <w:link w:val="64"/>
    <w:qFormat/>
    <w:uiPriority w:val="0"/>
    <w:pPr>
      <w:widowControl/>
      <w:tabs>
        <w:tab w:val="left" w:pos="368"/>
      </w:tabs>
      <w:spacing w:line="300" w:lineRule="auto"/>
      <w:ind w:right="-128" w:firstLine="480" w:firstLineChars="200"/>
    </w:pPr>
    <w:rPr>
      <w:rFonts w:eastAsia="楷体_GB2312"/>
      <w:color w:val="000000"/>
      <w:kern w:val="0"/>
      <w:sz w:val="24"/>
      <w:szCs w:val="20"/>
    </w:rPr>
  </w:style>
  <w:style w:type="paragraph" w:styleId="24">
    <w:name w:val="Balloon Text"/>
    <w:basedOn w:val="1"/>
    <w:link w:val="65"/>
    <w:qFormat/>
    <w:uiPriority w:val="99"/>
    <w:rPr>
      <w:kern w:val="0"/>
      <w:sz w:val="18"/>
      <w:szCs w:val="20"/>
    </w:rPr>
  </w:style>
  <w:style w:type="paragraph" w:styleId="25">
    <w:name w:val="footer"/>
    <w:basedOn w:val="1"/>
    <w:link w:val="66"/>
    <w:qFormat/>
    <w:uiPriority w:val="99"/>
    <w:pPr>
      <w:tabs>
        <w:tab w:val="center" w:pos="4153"/>
        <w:tab w:val="right" w:pos="8306"/>
      </w:tabs>
      <w:snapToGrid w:val="0"/>
      <w:jc w:val="left"/>
    </w:pPr>
    <w:rPr>
      <w:rFonts w:ascii="Calibri" w:hAnsi="Calibri"/>
      <w:kern w:val="0"/>
      <w:sz w:val="18"/>
      <w:szCs w:val="20"/>
    </w:rPr>
  </w:style>
  <w:style w:type="paragraph" w:styleId="26">
    <w:name w:val="envelope return"/>
    <w:basedOn w:val="1"/>
    <w:qFormat/>
    <w:uiPriority w:val="99"/>
    <w:pPr>
      <w:widowControl/>
    </w:pPr>
    <w:rPr>
      <w:kern w:val="0"/>
      <w:sz w:val="24"/>
      <w:szCs w:val="20"/>
      <w:lang w:val="en-GB"/>
    </w:rPr>
  </w:style>
  <w:style w:type="paragraph" w:styleId="27">
    <w:name w:val="header"/>
    <w:basedOn w:val="1"/>
    <w:link w:val="67"/>
    <w:qFormat/>
    <w:uiPriority w:val="99"/>
    <w:pPr>
      <w:pBdr>
        <w:bottom w:val="single" w:color="auto" w:sz="6" w:space="1"/>
      </w:pBdr>
      <w:tabs>
        <w:tab w:val="center" w:pos="4153"/>
        <w:tab w:val="right" w:pos="8306"/>
      </w:tabs>
      <w:snapToGrid w:val="0"/>
      <w:jc w:val="center"/>
    </w:pPr>
    <w:rPr>
      <w:rFonts w:ascii="Calibri" w:hAnsi="Calibri"/>
      <w:kern w:val="0"/>
      <w:sz w:val="18"/>
      <w:szCs w:val="20"/>
    </w:rPr>
  </w:style>
  <w:style w:type="paragraph" w:styleId="28">
    <w:name w:val="toc 1"/>
    <w:basedOn w:val="1"/>
    <w:next w:val="1"/>
    <w:qFormat/>
    <w:uiPriority w:val="39"/>
    <w:pPr>
      <w:spacing w:before="120" w:after="120"/>
      <w:jc w:val="left"/>
    </w:pPr>
    <w:rPr>
      <w:rFonts w:ascii="Calibri" w:hAnsi="Calibri"/>
      <w:b/>
      <w:bCs/>
      <w:caps/>
      <w:sz w:val="20"/>
      <w:szCs w:val="20"/>
    </w:rPr>
  </w:style>
  <w:style w:type="paragraph" w:styleId="29">
    <w:name w:val="toc 4"/>
    <w:basedOn w:val="1"/>
    <w:next w:val="1"/>
    <w:qFormat/>
    <w:uiPriority w:val="99"/>
    <w:pPr>
      <w:ind w:left="630"/>
      <w:jc w:val="left"/>
    </w:pPr>
    <w:rPr>
      <w:rFonts w:ascii="Calibri" w:hAnsi="Calibri"/>
      <w:sz w:val="18"/>
      <w:szCs w:val="18"/>
    </w:rPr>
  </w:style>
  <w:style w:type="paragraph" w:styleId="30">
    <w:name w:val="footnote text"/>
    <w:basedOn w:val="1"/>
    <w:link w:val="68"/>
    <w:qFormat/>
    <w:uiPriority w:val="99"/>
    <w:pPr>
      <w:snapToGrid w:val="0"/>
      <w:jc w:val="left"/>
    </w:pPr>
    <w:rPr>
      <w:sz w:val="18"/>
      <w:szCs w:val="20"/>
    </w:rPr>
  </w:style>
  <w:style w:type="paragraph" w:styleId="31">
    <w:name w:val="toc 6"/>
    <w:basedOn w:val="1"/>
    <w:next w:val="1"/>
    <w:qFormat/>
    <w:uiPriority w:val="99"/>
    <w:pPr>
      <w:ind w:left="1050"/>
      <w:jc w:val="left"/>
    </w:pPr>
    <w:rPr>
      <w:rFonts w:ascii="Calibri" w:hAnsi="Calibri"/>
      <w:sz w:val="18"/>
      <w:szCs w:val="18"/>
    </w:rPr>
  </w:style>
  <w:style w:type="paragraph" w:styleId="32">
    <w:name w:val="Body Text Indent 3"/>
    <w:basedOn w:val="1"/>
    <w:link w:val="69"/>
    <w:qFormat/>
    <w:uiPriority w:val="99"/>
    <w:pPr>
      <w:widowControl/>
      <w:tabs>
        <w:tab w:val="left" w:pos="1158"/>
      </w:tabs>
      <w:spacing w:line="300" w:lineRule="auto"/>
      <w:ind w:left="340"/>
      <w:jc w:val="left"/>
    </w:pPr>
    <w:rPr>
      <w:rFonts w:eastAsia="楷体_GB2312"/>
      <w:color w:val="000000"/>
      <w:kern w:val="0"/>
      <w:sz w:val="24"/>
      <w:szCs w:val="20"/>
    </w:rPr>
  </w:style>
  <w:style w:type="paragraph" w:styleId="33">
    <w:name w:val="toc 2"/>
    <w:basedOn w:val="1"/>
    <w:next w:val="1"/>
    <w:qFormat/>
    <w:uiPriority w:val="39"/>
    <w:pPr>
      <w:ind w:left="210"/>
      <w:jc w:val="left"/>
    </w:pPr>
    <w:rPr>
      <w:rFonts w:ascii="Calibri" w:hAnsi="Calibri"/>
      <w:smallCaps/>
      <w:sz w:val="20"/>
      <w:szCs w:val="20"/>
    </w:rPr>
  </w:style>
  <w:style w:type="paragraph" w:styleId="34">
    <w:name w:val="toc 9"/>
    <w:basedOn w:val="1"/>
    <w:next w:val="1"/>
    <w:qFormat/>
    <w:uiPriority w:val="99"/>
    <w:pPr>
      <w:ind w:left="1680"/>
      <w:jc w:val="left"/>
    </w:pPr>
    <w:rPr>
      <w:rFonts w:ascii="Calibri" w:hAnsi="Calibri"/>
      <w:sz w:val="18"/>
      <w:szCs w:val="18"/>
    </w:rPr>
  </w:style>
  <w:style w:type="paragraph" w:styleId="35">
    <w:name w:val="Body Text 2"/>
    <w:basedOn w:val="1"/>
    <w:link w:val="70"/>
    <w:qFormat/>
    <w:uiPriority w:val="0"/>
    <w:pPr>
      <w:spacing w:after="120" w:line="480" w:lineRule="auto"/>
    </w:pPr>
    <w:rPr>
      <w:kern w:val="0"/>
      <w:sz w:val="24"/>
      <w:szCs w:val="20"/>
    </w:rPr>
  </w:style>
  <w:style w:type="paragraph" w:styleId="36">
    <w:name w:val="HTML Preformatted"/>
    <w:basedOn w:val="1"/>
    <w:link w:val="71"/>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Calibri"/>
      <w:kern w:val="0"/>
      <w:sz w:val="24"/>
      <w:szCs w:val="20"/>
    </w:rPr>
  </w:style>
  <w:style w:type="paragraph" w:styleId="37">
    <w:name w:val="Normal (Web)"/>
    <w:basedOn w:val="1"/>
    <w:qFormat/>
    <w:uiPriority w:val="0"/>
    <w:pPr>
      <w:widowControl/>
      <w:spacing w:before="100" w:beforeAutospacing="1" w:after="100" w:afterAutospacing="1"/>
      <w:jc w:val="left"/>
    </w:pPr>
    <w:rPr>
      <w:rFonts w:ascii="Arial Unicode MS" w:hAnsi="Arial Unicode MS" w:cs="Arial Unicode MS"/>
      <w:kern w:val="0"/>
      <w:sz w:val="24"/>
      <w:szCs w:val="24"/>
    </w:rPr>
  </w:style>
  <w:style w:type="paragraph" w:styleId="38">
    <w:name w:val="Title"/>
    <w:basedOn w:val="1"/>
    <w:next w:val="1"/>
    <w:link w:val="72"/>
    <w:qFormat/>
    <w:uiPriority w:val="99"/>
    <w:pPr>
      <w:spacing w:before="240" w:after="60"/>
      <w:jc w:val="center"/>
      <w:outlineLvl w:val="0"/>
    </w:pPr>
    <w:rPr>
      <w:rFonts w:ascii="Calibri Light" w:hAnsi="Calibri Light"/>
      <w:b/>
      <w:kern w:val="0"/>
      <w:sz w:val="32"/>
      <w:szCs w:val="20"/>
    </w:rPr>
  </w:style>
  <w:style w:type="paragraph" w:styleId="39">
    <w:name w:val="annotation subject"/>
    <w:basedOn w:val="14"/>
    <w:next w:val="14"/>
    <w:link w:val="58"/>
    <w:qFormat/>
    <w:uiPriority w:val="99"/>
    <w:pPr>
      <w:widowControl w:val="0"/>
      <w:spacing w:line="240" w:lineRule="auto"/>
    </w:pPr>
    <w:rPr>
      <w:b/>
      <w:sz w:val="21"/>
    </w:rPr>
  </w:style>
  <w:style w:type="table" w:styleId="41">
    <w:name w:val="Table Grid"/>
    <w:basedOn w:val="40"/>
    <w:qFormat/>
    <w:uiPriority w:val="99"/>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page number"/>
    <w:qFormat/>
    <w:uiPriority w:val="99"/>
    <w:rPr>
      <w:rFonts w:cs="Times New Roman"/>
    </w:rPr>
  </w:style>
  <w:style w:type="character" w:styleId="44">
    <w:name w:val="FollowedHyperlink"/>
    <w:qFormat/>
    <w:uiPriority w:val="99"/>
    <w:rPr>
      <w:rFonts w:cs="Times New Roman"/>
      <w:color w:val="800080"/>
      <w:u w:val="single"/>
    </w:rPr>
  </w:style>
  <w:style w:type="character" w:styleId="45">
    <w:name w:val="Hyperlink"/>
    <w:qFormat/>
    <w:uiPriority w:val="99"/>
    <w:rPr>
      <w:rFonts w:cs="Times New Roman"/>
      <w:color w:val="0000FF"/>
      <w:u w:val="single"/>
    </w:rPr>
  </w:style>
  <w:style w:type="character" w:styleId="46">
    <w:name w:val="annotation reference"/>
    <w:qFormat/>
    <w:uiPriority w:val="99"/>
    <w:rPr>
      <w:rFonts w:cs="Times New Roman"/>
      <w:sz w:val="21"/>
    </w:rPr>
  </w:style>
  <w:style w:type="character" w:styleId="47">
    <w:name w:val="footnote reference"/>
    <w:qFormat/>
    <w:uiPriority w:val="99"/>
    <w:rPr>
      <w:rFonts w:cs="Times New Roman"/>
      <w:vertAlign w:val="superscript"/>
    </w:rPr>
  </w:style>
  <w:style w:type="character" w:customStyle="1" w:styleId="48">
    <w:name w:val="标题 1 Char"/>
    <w:link w:val="2"/>
    <w:qFormat/>
    <w:locked/>
    <w:uiPriority w:val="0"/>
    <w:rPr>
      <w:rFonts w:ascii="楷体_GB2312" w:hAnsi="Times New Roman" w:eastAsia="华文仿宋" w:cs="Times New Roman"/>
      <w:sz w:val="28"/>
    </w:rPr>
  </w:style>
  <w:style w:type="character" w:customStyle="1" w:styleId="49">
    <w:name w:val="标题 2 Char"/>
    <w:link w:val="3"/>
    <w:qFormat/>
    <w:locked/>
    <w:uiPriority w:val="9"/>
    <w:rPr>
      <w:rFonts w:ascii="Calibri Light" w:hAnsi="Calibri Light" w:eastAsia="宋体" w:cs="Times New Roman"/>
      <w:b/>
      <w:kern w:val="0"/>
      <w:sz w:val="32"/>
    </w:rPr>
  </w:style>
  <w:style w:type="character" w:customStyle="1" w:styleId="50">
    <w:name w:val="标题 3 Char"/>
    <w:link w:val="4"/>
    <w:qFormat/>
    <w:locked/>
    <w:uiPriority w:val="9"/>
    <w:rPr>
      <w:rFonts w:ascii="Times New Roman" w:hAnsi="Times New Roman" w:eastAsia="华文仿宋"/>
      <w:sz w:val="32"/>
      <w:lang w:val="zh-CN"/>
    </w:rPr>
  </w:style>
  <w:style w:type="character" w:customStyle="1" w:styleId="51">
    <w:name w:val="标题 4 Char"/>
    <w:link w:val="5"/>
    <w:qFormat/>
    <w:locked/>
    <w:uiPriority w:val="9"/>
    <w:rPr>
      <w:rFonts w:ascii="Calibri Light" w:hAnsi="Calibri Light" w:cs="Times New Roman"/>
      <w:b/>
      <w:sz w:val="28"/>
    </w:rPr>
  </w:style>
  <w:style w:type="character" w:customStyle="1" w:styleId="52">
    <w:name w:val="标题 5 Char"/>
    <w:link w:val="6"/>
    <w:qFormat/>
    <w:locked/>
    <w:uiPriority w:val="99"/>
    <w:rPr>
      <w:rFonts w:ascii="CG Times" w:hAnsi="CG Times" w:eastAsia="宋体" w:cs="Times New Roman"/>
      <w:color w:val="000000"/>
      <w:kern w:val="0"/>
      <w:sz w:val="20"/>
    </w:rPr>
  </w:style>
  <w:style w:type="character" w:customStyle="1" w:styleId="53">
    <w:name w:val="标题 6 Char"/>
    <w:link w:val="7"/>
    <w:qFormat/>
    <w:locked/>
    <w:uiPriority w:val="99"/>
    <w:rPr>
      <w:rFonts w:ascii="CG Times" w:hAnsi="CG Times" w:eastAsia="宋体" w:cs="Times New Roman"/>
      <w:b/>
      <w:kern w:val="0"/>
      <w:sz w:val="20"/>
    </w:rPr>
  </w:style>
  <w:style w:type="character" w:customStyle="1" w:styleId="54">
    <w:name w:val="标题 7 Char"/>
    <w:link w:val="8"/>
    <w:qFormat/>
    <w:locked/>
    <w:uiPriority w:val="99"/>
    <w:rPr>
      <w:rFonts w:ascii="CG Times" w:hAnsi="CG Times" w:eastAsia="宋体" w:cs="Times New Roman"/>
      <w:kern w:val="0"/>
      <w:sz w:val="20"/>
    </w:rPr>
  </w:style>
  <w:style w:type="character" w:customStyle="1" w:styleId="55">
    <w:name w:val="标题 8 Char"/>
    <w:link w:val="9"/>
    <w:qFormat/>
    <w:locked/>
    <w:uiPriority w:val="99"/>
    <w:rPr>
      <w:rFonts w:ascii="CG Times" w:hAnsi="CG Times" w:eastAsia="宋体" w:cs="Times New Roman"/>
      <w:i/>
      <w:kern w:val="0"/>
      <w:sz w:val="20"/>
    </w:rPr>
  </w:style>
  <w:style w:type="character" w:customStyle="1" w:styleId="56">
    <w:name w:val="标题 9 Char"/>
    <w:link w:val="10"/>
    <w:qFormat/>
    <w:locked/>
    <w:uiPriority w:val="99"/>
    <w:rPr>
      <w:rFonts w:ascii="Arial" w:hAnsi="Arial" w:eastAsia="宋体" w:cs="Times New Roman"/>
      <w:kern w:val="0"/>
      <w:sz w:val="20"/>
    </w:rPr>
  </w:style>
  <w:style w:type="character" w:customStyle="1" w:styleId="57">
    <w:name w:val="批注文字 Char"/>
    <w:link w:val="14"/>
    <w:qFormat/>
    <w:locked/>
    <w:uiPriority w:val="0"/>
    <w:rPr>
      <w:rFonts w:ascii="Times New Roman" w:hAnsi="Times New Roman" w:eastAsia="仿宋_GB2312" w:cs="Times New Roman"/>
      <w:color w:val="000000"/>
      <w:kern w:val="0"/>
      <w:sz w:val="24"/>
    </w:rPr>
  </w:style>
  <w:style w:type="character" w:customStyle="1" w:styleId="58">
    <w:name w:val="批注主题 Char"/>
    <w:link w:val="39"/>
    <w:qFormat/>
    <w:locked/>
    <w:uiPriority w:val="99"/>
    <w:rPr>
      <w:rFonts w:ascii="Times New Roman" w:hAnsi="Times New Roman" w:eastAsia="仿宋_GB2312" w:cs="Times New Roman"/>
      <w:b/>
      <w:color w:val="000000"/>
      <w:kern w:val="0"/>
      <w:sz w:val="21"/>
    </w:rPr>
  </w:style>
  <w:style w:type="character" w:customStyle="1" w:styleId="59">
    <w:name w:val="文档结构图 Char"/>
    <w:link w:val="13"/>
    <w:semiHidden/>
    <w:qFormat/>
    <w:locked/>
    <w:uiPriority w:val="99"/>
    <w:rPr>
      <w:rFonts w:ascii="Times New Roman" w:hAnsi="Times New Roman" w:eastAsia="宋体" w:cs="Times New Roman"/>
      <w:kern w:val="0"/>
      <w:sz w:val="20"/>
      <w:shd w:val="clear" w:color="auto" w:fill="000080"/>
    </w:rPr>
  </w:style>
  <w:style w:type="character" w:customStyle="1" w:styleId="60">
    <w:name w:val="正文文本 Char"/>
    <w:link w:val="15"/>
    <w:qFormat/>
    <w:locked/>
    <w:uiPriority w:val="0"/>
    <w:rPr>
      <w:rFonts w:ascii="Times New Roman" w:hAnsi="Times New Roman" w:eastAsia="宋体" w:cs="Times New Roman"/>
      <w:sz w:val="24"/>
    </w:rPr>
  </w:style>
  <w:style w:type="character" w:customStyle="1" w:styleId="61">
    <w:name w:val="正文文本缩进 Char"/>
    <w:link w:val="16"/>
    <w:qFormat/>
    <w:locked/>
    <w:uiPriority w:val="0"/>
    <w:rPr>
      <w:rFonts w:ascii="宋体" w:hAnsi="宋体" w:eastAsia="仿宋_GB2312" w:cs="Times New Roman"/>
      <w:b/>
      <w:sz w:val="24"/>
    </w:rPr>
  </w:style>
  <w:style w:type="character" w:customStyle="1" w:styleId="62">
    <w:name w:val="纯文本 Char"/>
    <w:link w:val="20"/>
    <w:qFormat/>
    <w:locked/>
    <w:uiPriority w:val="99"/>
    <w:rPr>
      <w:rFonts w:ascii="Times New Roman" w:hAnsi="Times New Roman" w:eastAsia="宋体" w:cs="Times New Roman"/>
      <w:sz w:val="21"/>
    </w:rPr>
  </w:style>
  <w:style w:type="character" w:customStyle="1" w:styleId="63">
    <w:name w:val="日期 Char"/>
    <w:link w:val="22"/>
    <w:qFormat/>
    <w:locked/>
    <w:uiPriority w:val="0"/>
    <w:rPr>
      <w:rFonts w:ascii="Times New Roman" w:hAnsi="Times New Roman" w:eastAsia="宋体" w:cs="Times New Roman"/>
      <w:kern w:val="0"/>
      <w:sz w:val="24"/>
    </w:rPr>
  </w:style>
  <w:style w:type="character" w:customStyle="1" w:styleId="64">
    <w:name w:val="正文文本缩进 2 Char"/>
    <w:link w:val="23"/>
    <w:qFormat/>
    <w:locked/>
    <w:uiPriority w:val="0"/>
    <w:rPr>
      <w:rFonts w:ascii="Times New Roman" w:hAnsi="Times New Roman" w:eastAsia="楷体_GB2312" w:cs="Times New Roman"/>
      <w:color w:val="000000"/>
      <w:kern w:val="0"/>
      <w:sz w:val="24"/>
    </w:rPr>
  </w:style>
  <w:style w:type="character" w:customStyle="1" w:styleId="65">
    <w:name w:val="批注框文本 Char"/>
    <w:link w:val="24"/>
    <w:qFormat/>
    <w:locked/>
    <w:uiPriority w:val="99"/>
    <w:rPr>
      <w:rFonts w:ascii="Times New Roman" w:hAnsi="Times New Roman" w:eastAsia="宋体" w:cs="Times New Roman"/>
      <w:kern w:val="0"/>
      <w:sz w:val="18"/>
    </w:rPr>
  </w:style>
  <w:style w:type="character" w:customStyle="1" w:styleId="66">
    <w:name w:val="页脚 Char1"/>
    <w:link w:val="25"/>
    <w:qFormat/>
    <w:locked/>
    <w:uiPriority w:val="99"/>
    <w:rPr>
      <w:rFonts w:cs="Times New Roman"/>
      <w:sz w:val="18"/>
    </w:rPr>
  </w:style>
  <w:style w:type="character" w:customStyle="1" w:styleId="67">
    <w:name w:val="页眉 Char"/>
    <w:link w:val="27"/>
    <w:qFormat/>
    <w:locked/>
    <w:uiPriority w:val="99"/>
    <w:rPr>
      <w:rFonts w:cs="Times New Roman"/>
      <w:sz w:val="18"/>
    </w:rPr>
  </w:style>
  <w:style w:type="character" w:customStyle="1" w:styleId="68">
    <w:name w:val="脚注文本 Char"/>
    <w:link w:val="30"/>
    <w:semiHidden/>
    <w:qFormat/>
    <w:locked/>
    <w:uiPriority w:val="99"/>
    <w:rPr>
      <w:rFonts w:ascii="Times New Roman" w:hAnsi="Times New Roman" w:cs="Times New Roman"/>
      <w:kern w:val="2"/>
      <w:sz w:val="18"/>
    </w:rPr>
  </w:style>
  <w:style w:type="character" w:customStyle="1" w:styleId="69">
    <w:name w:val="正文文本缩进 3 Char"/>
    <w:link w:val="32"/>
    <w:qFormat/>
    <w:locked/>
    <w:uiPriority w:val="99"/>
    <w:rPr>
      <w:rFonts w:ascii="Times New Roman" w:hAnsi="Times New Roman" w:eastAsia="楷体_GB2312" w:cs="Times New Roman"/>
      <w:color w:val="000000"/>
      <w:kern w:val="0"/>
      <w:sz w:val="24"/>
    </w:rPr>
  </w:style>
  <w:style w:type="character" w:customStyle="1" w:styleId="70">
    <w:name w:val="正文文本 2 Char"/>
    <w:link w:val="35"/>
    <w:qFormat/>
    <w:locked/>
    <w:uiPriority w:val="0"/>
    <w:rPr>
      <w:rFonts w:ascii="Times New Roman" w:hAnsi="Times New Roman" w:eastAsia="宋体" w:cs="Times New Roman"/>
      <w:sz w:val="24"/>
    </w:rPr>
  </w:style>
  <w:style w:type="character" w:customStyle="1" w:styleId="71">
    <w:name w:val="HTML 预设格式 Char"/>
    <w:link w:val="36"/>
    <w:qFormat/>
    <w:locked/>
    <w:uiPriority w:val="99"/>
    <w:rPr>
      <w:rFonts w:ascii="宋体" w:eastAsia="宋体" w:cs="Times New Roman"/>
      <w:sz w:val="24"/>
    </w:rPr>
  </w:style>
  <w:style w:type="character" w:customStyle="1" w:styleId="72">
    <w:name w:val="标题 Char"/>
    <w:link w:val="38"/>
    <w:qFormat/>
    <w:locked/>
    <w:uiPriority w:val="99"/>
    <w:rPr>
      <w:rFonts w:ascii="Calibri Light" w:hAnsi="Calibri Light" w:eastAsia="宋体" w:cs="Times New Roman"/>
      <w:b/>
      <w:kern w:val="0"/>
      <w:sz w:val="32"/>
    </w:rPr>
  </w:style>
  <w:style w:type="paragraph" w:customStyle="1" w:styleId="73">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74">
    <w:name w:val="默认段落字体 Para Char Char Char Char"/>
    <w:basedOn w:val="1"/>
    <w:qFormat/>
    <w:uiPriority w:val="99"/>
    <w:rPr>
      <w:szCs w:val="24"/>
    </w:rPr>
  </w:style>
  <w:style w:type="paragraph" w:customStyle="1" w:styleId="75">
    <w:name w:val="正文五级"/>
    <w:basedOn w:val="1"/>
    <w:qFormat/>
    <w:uiPriority w:val="99"/>
    <w:pPr>
      <w:widowControl/>
      <w:tabs>
        <w:tab w:val="left" w:pos="900"/>
      </w:tabs>
      <w:autoSpaceDE w:val="0"/>
      <w:autoSpaceDN w:val="0"/>
      <w:adjustRightInd w:val="0"/>
      <w:spacing w:beforeLines="50" w:afterLines="50" w:line="600" w:lineRule="exact"/>
      <w:ind w:right="-12"/>
    </w:pPr>
    <w:rPr>
      <w:rFonts w:ascii="仿宋_GB2312" w:hAnsi="CG Times" w:eastAsia="仿宋_GB2312" w:cs="Courier New"/>
      <w:sz w:val="24"/>
      <w:szCs w:val="20"/>
    </w:rPr>
  </w:style>
  <w:style w:type="character" w:customStyle="1" w:styleId="76">
    <w:name w:val="已访问的超链接1"/>
    <w:qFormat/>
    <w:uiPriority w:val="99"/>
    <w:rPr>
      <w:color w:val="800080"/>
      <w:u w:val="single"/>
    </w:rPr>
  </w:style>
  <w:style w:type="paragraph" w:customStyle="1" w:styleId="77">
    <w:name w:val="Body Text 21"/>
    <w:basedOn w:val="1"/>
    <w:qFormat/>
    <w:uiPriority w:val="99"/>
    <w:pPr>
      <w:spacing w:beforeLines="50" w:line="360" w:lineRule="auto"/>
    </w:pPr>
    <w:rPr>
      <w:rFonts w:ascii="Arial" w:hAnsi="Arial"/>
      <w:kern w:val="0"/>
      <w:sz w:val="24"/>
      <w:szCs w:val="20"/>
    </w:rPr>
  </w:style>
  <w:style w:type="paragraph" w:customStyle="1" w:styleId="78">
    <w:name w:val="2"/>
    <w:qFormat/>
    <w:uiPriority w:val="99"/>
    <w:pPr>
      <w:widowControl w:val="0"/>
      <w:jc w:val="both"/>
    </w:pPr>
    <w:rPr>
      <w:rFonts w:ascii="Times New Roman" w:hAnsi="Times New Roman" w:eastAsia="宋体" w:cs="Times New Roman"/>
      <w:kern w:val="2"/>
      <w:sz w:val="21"/>
      <w:szCs w:val="21"/>
      <w:lang w:val="en-US" w:eastAsia="zh-CN" w:bidi="ar-SA"/>
    </w:rPr>
  </w:style>
  <w:style w:type="paragraph" w:customStyle="1" w:styleId="79">
    <w:name w:val="正文一级"/>
    <w:basedOn w:val="1"/>
    <w:qFormat/>
    <w:uiPriority w:val="99"/>
    <w:pPr>
      <w:widowControl/>
      <w:autoSpaceDE w:val="0"/>
      <w:autoSpaceDN w:val="0"/>
      <w:adjustRightInd w:val="0"/>
      <w:spacing w:beforeLines="50" w:after="120" w:line="360" w:lineRule="auto"/>
      <w:ind w:left="567" w:right="-11"/>
    </w:pPr>
    <w:rPr>
      <w:rFonts w:ascii="宋体" w:hAnsi="CG Times"/>
      <w:kern w:val="0"/>
      <w:sz w:val="24"/>
      <w:szCs w:val="20"/>
    </w:rPr>
  </w:style>
  <w:style w:type="paragraph" w:customStyle="1" w:styleId="80">
    <w:name w:val="正文二级"/>
    <w:basedOn w:val="1"/>
    <w:qFormat/>
    <w:uiPriority w:val="99"/>
    <w:pPr>
      <w:spacing w:beforeLines="50" w:afterLines="50" w:line="360" w:lineRule="auto"/>
      <w:ind w:left="600" w:leftChars="250"/>
    </w:pPr>
    <w:rPr>
      <w:rFonts w:ascii="CG Times" w:hAnsi="CG Times"/>
      <w:sz w:val="24"/>
      <w:szCs w:val="20"/>
    </w:rPr>
  </w:style>
  <w:style w:type="paragraph" w:customStyle="1" w:styleId="81">
    <w:name w:val="AOPlainFooter"/>
    <w:basedOn w:val="1"/>
    <w:next w:val="1"/>
    <w:qFormat/>
    <w:uiPriority w:val="0"/>
    <w:pPr>
      <w:widowControl/>
      <w:jc w:val="right"/>
    </w:pPr>
    <w:rPr>
      <w:kern w:val="0"/>
      <w:sz w:val="16"/>
      <w:szCs w:val="20"/>
      <w:lang w:val="en-GB"/>
    </w:rPr>
  </w:style>
  <w:style w:type="paragraph" w:customStyle="1" w:styleId="82">
    <w:name w:val="标题2"/>
    <w:basedOn w:val="3"/>
    <w:qFormat/>
    <w:uiPriority w:val="0"/>
    <w:pPr>
      <w:numPr>
        <w:ilvl w:val="1"/>
        <w:numId w:val="2"/>
      </w:numPr>
      <w:tabs>
        <w:tab w:val="left" w:pos="0"/>
      </w:tabs>
      <w:adjustRightInd w:val="0"/>
      <w:snapToGrid w:val="0"/>
      <w:spacing w:beforeLines="20" w:afterLines="20" w:line="240" w:lineRule="auto"/>
    </w:pPr>
    <w:rPr>
      <w:rFonts w:ascii="宋体" w:hAnsi="宋体"/>
      <w:b w:val="0"/>
      <w:kern w:val="2"/>
      <w:sz w:val="28"/>
      <w:szCs w:val="24"/>
    </w:rPr>
  </w:style>
  <w:style w:type="paragraph" w:customStyle="1" w:styleId="83">
    <w:name w:val="列出段落1"/>
    <w:basedOn w:val="1"/>
    <w:qFormat/>
    <w:uiPriority w:val="0"/>
    <w:pPr>
      <w:ind w:firstLine="420" w:firstLineChars="200"/>
    </w:pPr>
    <w:rPr>
      <w:rFonts w:ascii="Calibri" w:hAnsi="Calibri"/>
      <w:szCs w:val="22"/>
    </w:rPr>
  </w:style>
  <w:style w:type="paragraph" w:customStyle="1" w:styleId="84">
    <w:name w:val="Char"/>
    <w:basedOn w:val="1"/>
    <w:qFormat/>
    <w:uiPriority w:val="0"/>
    <w:pPr>
      <w:tabs>
        <w:tab w:val="left" w:pos="360"/>
      </w:tabs>
      <w:ind w:firstLine="200" w:firstLineChars="200"/>
    </w:pPr>
    <w:rPr>
      <w:sz w:val="28"/>
      <w:szCs w:val="30"/>
    </w:rPr>
  </w:style>
  <w:style w:type="character" w:customStyle="1" w:styleId="85">
    <w:name w:val="列出段落 Char"/>
    <w:link w:val="86"/>
    <w:qFormat/>
    <w:locked/>
    <w:uiPriority w:val="0"/>
    <w:rPr>
      <w:sz w:val="24"/>
      <w:lang w:eastAsia="en-US"/>
    </w:rPr>
  </w:style>
  <w:style w:type="paragraph" w:customStyle="1" w:styleId="86">
    <w:name w:val="列出段落11"/>
    <w:basedOn w:val="1"/>
    <w:link w:val="85"/>
    <w:qFormat/>
    <w:uiPriority w:val="99"/>
    <w:pPr>
      <w:widowControl/>
      <w:ind w:left="720"/>
      <w:contextualSpacing/>
      <w:jc w:val="left"/>
    </w:pPr>
    <w:rPr>
      <w:rFonts w:ascii="Calibri" w:hAnsi="Calibri"/>
      <w:kern w:val="0"/>
      <w:sz w:val="24"/>
      <w:szCs w:val="20"/>
      <w:lang w:eastAsia="en-US"/>
    </w:rPr>
  </w:style>
  <w:style w:type="paragraph" w:customStyle="1" w:styleId="87">
    <w:name w:val="列出段落2"/>
    <w:basedOn w:val="1"/>
    <w:qFormat/>
    <w:uiPriority w:val="0"/>
    <w:pPr>
      <w:ind w:firstLine="420" w:firstLineChars="200"/>
    </w:pPr>
    <w:rPr>
      <w:rFonts w:ascii="Calibri" w:hAnsi="Calibri"/>
      <w:szCs w:val="22"/>
    </w:rPr>
  </w:style>
  <w:style w:type="paragraph" w:customStyle="1" w:styleId="88">
    <w:name w:val="3"/>
    <w:qFormat/>
    <w:uiPriority w:val="99"/>
    <w:pPr>
      <w:widowControl w:val="0"/>
      <w:jc w:val="both"/>
    </w:pPr>
    <w:rPr>
      <w:rFonts w:ascii="Times New Roman" w:hAnsi="Times New Roman" w:eastAsia="宋体" w:cs="Times New Roman"/>
      <w:kern w:val="2"/>
      <w:sz w:val="21"/>
      <w:szCs w:val="21"/>
      <w:lang w:val="en-US" w:eastAsia="zh-CN" w:bidi="ar-SA"/>
    </w:rPr>
  </w:style>
  <w:style w:type="character" w:customStyle="1" w:styleId="89">
    <w:name w:val="lemmatitleh11"/>
    <w:qFormat/>
    <w:uiPriority w:val="99"/>
  </w:style>
  <w:style w:type="paragraph" w:customStyle="1" w:styleId="90">
    <w:name w:val="TOC 标题1"/>
    <w:basedOn w:val="2"/>
    <w:next w:val="1"/>
    <w:qFormat/>
    <w:uiPriority w:val="99"/>
    <w:pPr>
      <w:keepLines/>
      <w:widowControl/>
      <w:spacing w:before="480" w:line="276" w:lineRule="auto"/>
      <w:jc w:val="left"/>
      <w:outlineLvl w:val="9"/>
    </w:pPr>
    <w:rPr>
      <w:rFonts w:ascii="Cambria" w:hAnsi="Cambria" w:eastAsia="宋体"/>
      <w:b/>
      <w:bCs/>
      <w:color w:val="365F91"/>
    </w:rPr>
  </w:style>
  <w:style w:type="character" w:customStyle="1" w:styleId="91">
    <w:name w:val="日期 Char1"/>
    <w:semiHidden/>
    <w:qFormat/>
    <w:uiPriority w:val="99"/>
    <w:rPr>
      <w:rFonts w:ascii="Times New Roman" w:hAnsi="Times New Roman" w:eastAsia="宋体"/>
      <w:sz w:val="21"/>
    </w:rPr>
  </w:style>
  <w:style w:type="character" w:customStyle="1" w:styleId="92">
    <w:name w:val="正文文本缩进 3 Char1"/>
    <w:semiHidden/>
    <w:qFormat/>
    <w:uiPriority w:val="99"/>
    <w:rPr>
      <w:rFonts w:ascii="Times New Roman" w:hAnsi="Times New Roman" w:eastAsia="宋体"/>
      <w:sz w:val="16"/>
    </w:rPr>
  </w:style>
  <w:style w:type="character" w:customStyle="1" w:styleId="93">
    <w:name w:val="正文文本缩进 2 Char1"/>
    <w:semiHidden/>
    <w:qFormat/>
    <w:uiPriority w:val="99"/>
    <w:rPr>
      <w:rFonts w:ascii="Times New Roman" w:hAnsi="Times New Roman" w:eastAsia="宋体"/>
      <w:sz w:val="21"/>
    </w:rPr>
  </w:style>
  <w:style w:type="character" w:customStyle="1" w:styleId="94">
    <w:name w:val="正文文本缩进 Char1"/>
    <w:semiHidden/>
    <w:qFormat/>
    <w:uiPriority w:val="99"/>
    <w:rPr>
      <w:rFonts w:ascii="Times New Roman" w:hAnsi="Times New Roman" w:eastAsia="宋体"/>
      <w:sz w:val="21"/>
    </w:rPr>
  </w:style>
  <w:style w:type="character" w:customStyle="1" w:styleId="95">
    <w:name w:val="批注框文本 Char1"/>
    <w:semiHidden/>
    <w:qFormat/>
    <w:uiPriority w:val="99"/>
    <w:rPr>
      <w:rFonts w:ascii="Times New Roman" w:hAnsi="Times New Roman" w:eastAsia="宋体"/>
      <w:sz w:val="18"/>
    </w:rPr>
  </w:style>
  <w:style w:type="character" w:customStyle="1" w:styleId="96">
    <w:name w:val="文档结构图 Char1"/>
    <w:semiHidden/>
    <w:qFormat/>
    <w:uiPriority w:val="99"/>
    <w:rPr>
      <w:rFonts w:ascii="宋体" w:hAnsi="Times New Roman" w:eastAsia="宋体"/>
      <w:sz w:val="18"/>
    </w:rPr>
  </w:style>
  <w:style w:type="character" w:customStyle="1" w:styleId="97">
    <w:name w:val="正文文本 Char1"/>
    <w:semiHidden/>
    <w:qFormat/>
    <w:uiPriority w:val="99"/>
    <w:rPr>
      <w:rFonts w:ascii="Times New Roman" w:hAnsi="Times New Roman" w:eastAsia="宋体"/>
      <w:sz w:val="21"/>
    </w:rPr>
  </w:style>
  <w:style w:type="character" w:customStyle="1" w:styleId="98">
    <w:name w:val="纯文本 Char1"/>
    <w:semiHidden/>
    <w:qFormat/>
    <w:uiPriority w:val="99"/>
    <w:rPr>
      <w:rFonts w:ascii="宋体" w:hAnsi="Courier New" w:eastAsia="宋体"/>
      <w:sz w:val="21"/>
    </w:rPr>
  </w:style>
  <w:style w:type="character" w:customStyle="1" w:styleId="99">
    <w:name w:val="正文文本 2 Char1"/>
    <w:semiHidden/>
    <w:qFormat/>
    <w:uiPriority w:val="99"/>
    <w:rPr>
      <w:rFonts w:ascii="Times New Roman" w:hAnsi="Times New Roman" w:eastAsia="宋体"/>
      <w:sz w:val="21"/>
    </w:rPr>
  </w:style>
  <w:style w:type="character" w:customStyle="1" w:styleId="100">
    <w:name w:val="批注主题 Char1"/>
    <w:semiHidden/>
    <w:qFormat/>
    <w:uiPriority w:val="99"/>
    <w:rPr>
      <w:rFonts w:ascii="Times New Roman" w:hAnsi="Times New Roman" w:eastAsia="仿宋_GB2312"/>
      <w:b/>
      <w:color w:val="000000"/>
      <w:kern w:val="0"/>
      <w:sz w:val="24"/>
    </w:rPr>
  </w:style>
  <w:style w:type="paragraph" w:customStyle="1" w:styleId="101">
    <w:name w:val="4"/>
    <w:qFormat/>
    <w:uiPriority w:val="99"/>
    <w:pPr>
      <w:widowControl w:val="0"/>
      <w:jc w:val="both"/>
    </w:pPr>
    <w:rPr>
      <w:rFonts w:ascii="Times New Roman" w:hAnsi="Times New Roman" w:eastAsia="宋体" w:cs="Times New Roman"/>
      <w:kern w:val="2"/>
      <w:sz w:val="21"/>
      <w:szCs w:val="21"/>
      <w:lang w:val="en-US" w:eastAsia="zh-CN" w:bidi="ar-SA"/>
    </w:rPr>
  </w:style>
  <w:style w:type="character" w:customStyle="1" w:styleId="102">
    <w:name w:val="1.2样式 五号 Char"/>
    <w:link w:val="103"/>
    <w:qFormat/>
    <w:locked/>
    <w:uiPriority w:val="99"/>
    <w:rPr>
      <w:rFonts w:ascii="微软雅黑" w:hAnsi="微软雅黑" w:eastAsia="微软雅黑"/>
      <w:b/>
      <w:kern w:val="2"/>
      <w:sz w:val="21"/>
    </w:rPr>
  </w:style>
  <w:style w:type="paragraph" w:customStyle="1" w:styleId="103">
    <w:name w:val="1.2样式 五号"/>
    <w:basedOn w:val="1"/>
    <w:link w:val="102"/>
    <w:qFormat/>
    <w:uiPriority w:val="99"/>
    <w:rPr>
      <w:rFonts w:ascii="微软雅黑" w:hAnsi="微软雅黑" w:eastAsia="微软雅黑"/>
      <w:b/>
      <w:szCs w:val="20"/>
    </w:rPr>
  </w:style>
  <w:style w:type="paragraph" w:customStyle="1" w:styleId="104">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105">
    <w:name w:val="TableHeader"/>
    <w:qFormat/>
    <w:uiPriority w:val="99"/>
    <w:pPr>
      <w:spacing w:before="40" w:after="40"/>
      <w:jc w:val="center"/>
    </w:pPr>
    <w:rPr>
      <w:rFonts w:ascii="Arial" w:hAnsi="Arial" w:eastAsia="宋体" w:cs="Times New Roman"/>
      <w:b/>
      <w:bCs/>
      <w:kern w:val="44"/>
      <w:sz w:val="18"/>
      <w:szCs w:val="44"/>
      <w:lang w:val="en-US" w:eastAsia="zh-CN" w:bidi="ar-SA"/>
    </w:rPr>
  </w:style>
  <w:style w:type="paragraph" w:customStyle="1" w:styleId="106">
    <w:name w:val="TableContent"/>
    <w:qFormat/>
    <w:uiPriority w:val="99"/>
    <w:pPr>
      <w:spacing w:before="40" w:after="40"/>
      <w:jc w:val="both"/>
    </w:pPr>
    <w:rPr>
      <w:rFonts w:ascii="Arial" w:hAnsi="Arial" w:eastAsia="宋体" w:cs="Times New Roman"/>
      <w:kern w:val="44"/>
      <w:sz w:val="18"/>
      <w:szCs w:val="44"/>
      <w:lang w:val="en-US" w:eastAsia="zh-CN" w:bidi="ar-SA"/>
    </w:rPr>
  </w:style>
  <w:style w:type="paragraph" w:customStyle="1" w:styleId="107">
    <w:name w:val="三级标题"/>
    <w:basedOn w:val="1"/>
    <w:link w:val="108"/>
    <w:qFormat/>
    <w:uiPriority w:val="99"/>
    <w:rPr>
      <w:rFonts w:eastAsia="华文仿宋"/>
      <w:b/>
      <w:sz w:val="24"/>
      <w:szCs w:val="20"/>
    </w:rPr>
  </w:style>
  <w:style w:type="character" w:customStyle="1" w:styleId="108">
    <w:name w:val="三级标题 Char"/>
    <w:link w:val="107"/>
    <w:qFormat/>
    <w:locked/>
    <w:uiPriority w:val="99"/>
    <w:rPr>
      <w:rFonts w:ascii="Times New Roman" w:hAnsi="Times New Roman" w:eastAsia="华文仿宋"/>
      <w:b/>
      <w:kern w:val="2"/>
      <w:sz w:val="24"/>
    </w:rPr>
  </w:style>
  <w:style w:type="paragraph" w:customStyle="1" w:styleId="109">
    <w:name w:val="样式5"/>
    <w:basedOn w:val="1"/>
    <w:qFormat/>
    <w:uiPriority w:val="99"/>
    <w:pPr>
      <w:numPr>
        <w:ilvl w:val="0"/>
        <w:numId w:val="3"/>
      </w:numPr>
      <w:spacing w:beforeLines="200" w:afterLines="50" w:line="480" w:lineRule="exact"/>
      <w:jc w:val="center"/>
      <w:outlineLvl w:val="0"/>
    </w:pPr>
    <w:rPr>
      <w:rFonts w:eastAsia="仿宋"/>
      <w:b/>
      <w:sz w:val="28"/>
      <w:szCs w:val="24"/>
    </w:rPr>
  </w:style>
  <w:style w:type="paragraph" w:customStyle="1" w:styleId="110">
    <w:name w:val="3级编号"/>
    <w:basedOn w:val="1"/>
    <w:link w:val="111"/>
    <w:qFormat/>
    <w:uiPriority w:val="99"/>
    <w:pPr>
      <w:spacing w:afterLines="30" w:line="360" w:lineRule="auto"/>
    </w:pPr>
    <w:rPr>
      <w:rFonts w:hAnsi="华文仿宋" w:eastAsia="华文仿宋"/>
      <w:sz w:val="28"/>
      <w:szCs w:val="20"/>
    </w:rPr>
  </w:style>
  <w:style w:type="character" w:customStyle="1" w:styleId="111">
    <w:name w:val="3级编号 Char"/>
    <w:link w:val="110"/>
    <w:qFormat/>
    <w:locked/>
    <w:uiPriority w:val="99"/>
    <w:rPr>
      <w:rFonts w:ascii="Times New Roman" w:hAnsi="华文仿宋" w:eastAsia="华文仿宋"/>
      <w:kern w:val="2"/>
      <w:sz w:val="28"/>
    </w:rPr>
  </w:style>
  <w:style w:type="paragraph" w:customStyle="1" w:styleId="112">
    <w:name w:val="4级编号"/>
    <w:basedOn w:val="110"/>
    <w:qFormat/>
    <w:uiPriority w:val="99"/>
    <w:pPr>
      <w:numPr>
        <w:ilvl w:val="3"/>
        <w:numId w:val="4"/>
      </w:numPr>
    </w:pPr>
  </w:style>
  <w:style w:type="table" w:customStyle="1" w:styleId="113">
    <w:name w:val="网格型1"/>
    <w:qFormat/>
    <w:uiPriority w:val="9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14">
    <w:name w:val="列出段落3"/>
    <w:basedOn w:val="1"/>
    <w:qFormat/>
    <w:uiPriority w:val="99"/>
    <w:pPr>
      <w:ind w:firstLine="420" w:firstLineChars="200"/>
    </w:pPr>
  </w:style>
  <w:style w:type="table" w:customStyle="1" w:styleId="115">
    <w:name w:val="网格型2"/>
    <w:qFormat/>
    <w:uiPriority w:val="9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16">
    <w:name w:val="中等深浅网格 1 - 强调文字颜色 21"/>
    <w:basedOn w:val="1"/>
    <w:qFormat/>
    <w:uiPriority w:val="34"/>
    <w:pPr>
      <w:ind w:firstLine="420" w:firstLineChars="200"/>
    </w:pPr>
    <w:rPr>
      <w:rFonts w:ascii="Calibri" w:hAnsi="Calibri"/>
      <w:szCs w:val="22"/>
    </w:rPr>
  </w:style>
  <w:style w:type="paragraph" w:customStyle="1" w:styleId="117">
    <w:name w:val="Table Paragraph"/>
    <w:basedOn w:val="1"/>
    <w:qFormat/>
    <w:uiPriority w:val="1"/>
    <w:pPr>
      <w:jc w:val="left"/>
    </w:pPr>
    <w:rPr>
      <w:rFonts w:ascii="Calibri" w:hAnsi="Calibri"/>
      <w:kern w:val="0"/>
      <w:sz w:val="22"/>
      <w:szCs w:val="22"/>
      <w:lang w:eastAsia="en-US"/>
    </w:rPr>
  </w:style>
  <w:style w:type="paragraph" w:styleId="118">
    <w:name w:val="List Paragraph"/>
    <w:basedOn w:val="1"/>
    <w:qFormat/>
    <w:uiPriority w:val="99"/>
    <w:pPr>
      <w:ind w:firstLine="420" w:firstLineChars="200"/>
    </w:pPr>
  </w:style>
  <w:style w:type="character" w:customStyle="1" w:styleId="119">
    <w:name w:val="批注文字 Char1"/>
    <w:semiHidden/>
    <w:qFormat/>
    <w:uiPriority w:val="99"/>
    <w:rPr>
      <w:rFonts w:ascii="Times New Roman" w:hAnsi="Times New Roman" w:eastAsia="宋体" w:cs="Times New Roman"/>
      <w:szCs w:val="21"/>
    </w:rPr>
  </w:style>
  <w:style w:type="character" w:customStyle="1" w:styleId="120">
    <w:name w:val="HTML 预设格式 Char1"/>
    <w:semiHidden/>
    <w:qFormat/>
    <w:uiPriority w:val="99"/>
    <w:rPr>
      <w:rFonts w:ascii="Courier New" w:hAnsi="Courier New" w:eastAsia="宋体" w:cs="Courier New"/>
      <w:sz w:val="20"/>
      <w:szCs w:val="20"/>
    </w:rPr>
  </w:style>
  <w:style w:type="paragraph" w:customStyle="1" w:styleId="121">
    <w:name w:val="Char Char Char Char Char Char Char Char Char Char"/>
    <w:basedOn w:val="1"/>
    <w:next w:val="5"/>
    <w:qFormat/>
    <w:uiPriority w:val="0"/>
    <w:pPr>
      <w:widowControl/>
      <w:spacing w:after="160" w:line="240" w:lineRule="exact"/>
      <w:jc w:val="left"/>
    </w:pPr>
    <w:rPr>
      <w:rFonts w:ascii="Verdana" w:hAnsi="Verdana" w:eastAsia="仿宋_GB2312"/>
      <w:b/>
      <w:kern w:val="0"/>
      <w:sz w:val="28"/>
      <w:szCs w:val="30"/>
      <w:lang w:eastAsia="en-US"/>
    </w:rPr>
  </w:style>
  <w:style w:type="paragraph" w:customStyle="1" w:styleId="122">
    <w:name w:val="Default"/>
    <w:link w:val="135"/>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table" w:customStyle="1" w:styleId="123">
    <w:name w:val="网格型3"/>
    <w:basedOn w:val="4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4">
    <w:name w:val="char06_02 Char"/>
    <w:link w:val="125"/>
    <w:semiHidden/>
    <w:qFormat/>
    <w:uiPriority w:val="0"/>
    <w:rPr>
      <w:rFonts w:ascii="楷体_GB2312" w:eastAsia="楷体_GB2312"/>
      <w:b/>
      <w:bCs/>
      <w:color w:val="000000"/>
      <w:sz w:val="24"/>
      <w:szCs w:val="24"/>
    </w:rPr>
  </w:style>
  <w:style w:type="paragraph" w:customStyle="1" w:styleId="125">
    <w:name w:val="char06_02"/>
    <w:basedOn w:val="1"/>
    <w:link w:val="124"/>
    <w:semiHidden/>
    <w:qFormat/>
    <w:uiPriority w:val="0"/>
    <w:pPr>
      <w:spacing w:line="360" w:lineRule="auto"/>
    </w:pPr>
    <w:rPr>
      <w:rFonts w:ascii="楷体_GB2312" w:hAnsi="Calibri" w:eastAsia="楷体_GB2312"/>
      <w:b/>
      <w:bCs/>
      <w:color w:val="000000"/>
      <w:kern w:val="0"/>
      <w:sz w:val="24"/>
      <w:szCs w:val="24"/>
    </w:rPr>
  </w:style>
  <w:style w:type="character" w:customStyle="1" w:styleId="126">
    <w:name w:val="目标题 Char"/>
    <w:link w:val="127"/>
    <w:qFormat/>
    <w:uiPriority w:val="99"/>
    <w:rPr>
      <w:rFonts w:eastAsia="仿宋"/>
      <w:b/>
      <w:sz w:val="28"/>
    </w:rPr>
  </w:style>
  <w:style w:type="paragraph" w:customStyle="1" w:styleId="127">
    <w:name w:val="目标题"/>
    <w:basedOn w:val="1"/>
    <w:link w:val="126"/>
    <w:qFormat/>
    <w:uiPriority w:val="99"/>
    <w:pPr>
      <w:ind w:firstLine="200" w:firstLineChars="200"/>
    </w:pPr>
    <w:rPr>
      <w:rFonts w:ascii="Calibri" w:hAnsi="Calibri" w:eastAsia="仿宋"/>
      <w:b/>
      <w:kern w:val="0"/>
      <w:sz w:val="28"/>
      <w:szCs w:val="20"/>
    </w:rPr>
  </w:style>
  <w:style w:type="paragraph" w:customStyle="1" w:styleId="128">
    <w:name w:val="样式一"/>
    <w:basedOn w:val="1"/>
    <w:qFormat/>
    <w:uiPriority w:val="0"/>
    <w:pPr>
      <w:autoSpaceDE w:val="0"/>
      <w:autoSpaceDN w:val="0"/>
      <w:adjustRightInd w:val="0"/>
      <w:spacing w:line="360" w:lineRule="auto"/>
      <w:ind w:firstLine="480" w:firstLineChars="200"/>
      <w:textAlignment w:val="baseline"/>
    </w:pPr>
    <w:rPr>
      <w:rFonts w:ascii="宋体" w:hAnsi="宋体"/>
      <w:kern w:val="0"/>
      <w:sz w:val="24"/>
      <w:szCs w:val="20"/>
      <w:lang w:val="en-GB"/>
    </w:rPr>
  </w:style>
  <w:style w:type="character" w:customStyle="1" w:styleId="129">
    <w:name w:val="Char Char16"/>
    <w:qFormat/>
    <w:uiPriority w:val="0"/>
    <w:rPr>
      <w:sz w:val="18"/>
      <w:szCs w:val="18"/>
    </w:rPr>
  </w:style>
  <w:style w:type="paragraph" w:customStyle="1" w:styleId="130">
    <w:name w:val="TOC Heading"/>
    <w:basedOn w:val="2"/>
    <w:next w:val="1"/>
    <w:semiHidden/>
    <w:unhideWhenUsed/>
    <w:qFormat/>
    <w:uiPriority w:val="39"/>
    <w:pPr>
      <w:keepLines/>
      <w:widowControl/>
      <w:spacing w:before="480" w:line="276" w:lineRule="auto"/>
      <w:jc w:val="left"/>
      <w:outlineLvl w:val="9"/>
    </w:pPr>
    <w:rPr>
      <w:rFonts w:ascii="Cambria" w:hAnsi="Cambria" w:eastAsia="宋体"/>
      <w:b/>
      <w:bCs/>
      <w:color w:val="365F91"/>
      <w:szCs w:val="28"/>
    </w:rPr>
  </w:style>
  <w:style w:type="character" w:customStyle="1" w:styleId="131">
    <w:name w:val="页脚 Char"/>
    <w:qFormat/>
    <w:locked/>
    <w:uiPriority w:val="99"/>
    <w:rPr>
      <w:rFonts w:cs="Times New Roman"/>
      <w:sz w:val="18"/>
    </w:rPr>
  </w:style>
  <w:style w:type="character" w:customStyle="1" w:styleId="132">
    <w:name w:val="正文缩进 Char"/>
    <w:link w:val="12"/>
    <w:qFormat/>
    <w:uiPriority w:val="0"/>
    <w:rPr>
      <w:rFonts w:ascii="CG Times" w:hAnsi="CG Times"/>
      <w:bCs/>
      <w:kern w:val="2"/>
      <w:sz w:val="24"/>
      <w:szCs w:val="24"/>
    </w:rPr>
  </w:style>
  <w:style w:type="paragraph" w:customStyle="1" w:styleId="133">
    <w:name w:val="Revision"/>
    <w:hidden/>
    <w:semiHidden/>
    <w:qFormat/>
    <w:uiPriority w:val="62"/>
    <w:rPr>
      <w:rFonts w:ascii="Times New Roman" w:hAnsi="Times New Roman" w:eastAsia="宋体" w:cs="Times New Roman"/>
      <w:kern w:val="2"/>
      <w:sz w:val="21"/>
      <w:szCs w:val="21"/>
      <w:lang w:val="en-US" w:eastAsia="zh-CN" w:bidi="ar-SA"/>
    </w:rPr>
  </w:style>
  <w:style w:type="table" w:customStyle="1" w:styleId="134">
    <w:name w:val="网格型4"/>
    <w:basedOn w:val="40"/>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5">
    <w:name w:val="Default Char"/>
    <w:link w:val="122"/>
    <w:qFormat/>
    <w:uiPriority w:val="0"/>
    <w:rPr>
      <w:rFonts w:ascii="Times New Roman" w:hAnsi="Times New Roman"/>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3.e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2.png"/><Relationship Id="rId17" Type="http://schemas.openxmlformats.org/officeDocument/2006/relationships/image" Target="media/image1.emf"/><Relationship Id="rId16" Type="http://schemas.openxmlformats.org/officeDocument/2006/relationships/oleObject" Target="embeddings/oleObject1.bin"/><Relationship Id="rId15" Type="http://schemas.openxmlformats.org/officeDocument/2006/relationships/theme" Target="theme/theme1.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500457-97F0-4249-BBDE-EB03394906D1}">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1</Pages>
  <Words>8772</Words>
  <Characters>50001</Characters>
  <Lines>416</Lines>
  <Paragraphs>117</Paragraphs>
  <TotalTime>123</TotalTime>
  <ScaleCrop>false</ScaleCrop>
  <LinksUpToDate>false</LinksUpToDate>
  <CharactersWithSpaces>58656</CharactersWithSpaces>
  <Application>WPS Office_11.1.0.9748_F1E327BC-269C-435d-A152-05C5408002CA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2020-06-18T01:52:00Z</dcterms:created>
  <dc:creator>微软用户</dc:creator>
  <cp:lastModifiedBy>孙祥</cp:lastModifiedBy>
  <cp:lastPrinted>2020-06-16T12:31:00Z</cp:lastPrinted>
  <dcterms:modified xsi:type="dcterms:W3CDTF">2020-06-19T02:55:28Z</dcterms:modified>
  <dc:title>招标文件</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2052-11.1.0.9748</vt:lpwstr>
  </property>
</Properties>
</file>