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ascii="宋体" w:hAnsi="宋体"/>
          <w:b/>
          <w:kern w:val="0"/>
          <w:sz w:val="48"/>
          <w:szCs w:val="48"/>
          <w:highlight w:val="none"/>
        </w:rPr>
      </w:pPr>
    </w:p>
    <w:p>
      <w:pPr>
        <w:pStyle w:val="55"/>
        <w:ind w:firstLine="964"/>
        <w:jc w:val="center"/>
        <w:rPr>
          <w:rFonts w:ascii="黑体" w:eastAsia="黑体" w:cs="黑体"/>
          <w:b/>
          <w:bCs/>
          <w:sz w:val="48"/>
          <w:szCs w:val="48"/>
          <w:highlight w:val="none"/>
        </w:rPr>
      </w:pPr>
    </w:p>
    <w:p>
      <w:pPr>
        <w:pStyle w:val="55"/>
        <w:ind w:firstLine="0" w:firstLineChars="0"/>
        <w:jc w:val="center"/>
        <w:rPr>
          <w:highlight w:val="none"/>
        </w:rPr>
      </w:pPr>
      <w:r>
        <w:rPr>
          <w:rFonts w:hint="eastAsia" w:ascii="黑体" w:eastAsia="黑体" w:cs="黑体"/>
          <w:b/>
          <w:bCs/>
          <w:sz w:val="48"/>
          <w:szCs w:val="48"/>
          <w:highlight w:val="none"/>
        </w:rPr>
        <w:t>高速风洞及旋转测试平台采购项目</w:t>
      </w:r>
    </w:p>
    <w:p>
      <w:pPr>
        <w:pStyle w:val="55"/>
        <w:rPr>
          <w:highlight w:val="none"/>
        </w:rPr>
      </w:pPr>
    </w:p>
    <w:p>
      <w:pPr>
        <w:pStyle w:val="55"/>
        <w:rPr>
          <w:highlight w:val="none"/>
        </w:rPr>
      </w:pPr>
    </w:p>
    <w:p>
      <w:pPr>
        <w:pStyle w:val="55"/>
        <w:rPr>
          <w:highlight w:val="none"/>
        </w:rPr>
      </w:pPr>
    </w:p>
    <w:p>
      <w:pPr>
        <w:pStyle w:val="55"/>
        <w:rPr>
          <w:highlight w:val="none"/>
        </w:rPr>
      </w:pPr>
    </w:p>
    <w:p>
      <w:pPr>
        <w:pStyle w:val="55"/>
        <w:rPr>
          <w:highlight w:val="none"/>
        </w:rPr>
      </w:pPr>
    </w:p>
    <w:p>
      <w:pPr>
        <w:pStyle w:val="55"/>
        <w:rPr>
          <w:highlight w:val="none"/>
        </w:rPr>
      </w:pPr>
    </w:p>
    <w:p>
      <w:pPr>
        <w:pStyle w:val="55"/>
        <w:rPr>
          <w:highlight w:val="none"/>
        </w:rPr>
      </w:pPr>
    </w:p>
    <w:p>
      <w:pPr>
        <w:widowControl/>
        <w:spacing w:line="360" w:lineRule="auto"/>
        <w:jc w:val="center"/>
        <w:rPr>
          <w:rFonts w:ascii="宋体" w:hAnsi="宋体"/>
          <w:b/>
          <w:kern w:val="0"/>
          <w:sz w:val="72"/>
          <w:szCs w:val="72"/>
          <w:highlight w:val="none"/>
        </w:rPr>
      </w:pPr>
      <w:r>
        <w:rPr>
          <w:rFonts w:hint="eastAsia" w:ascii="宋体" w:hAnsi="宋体"/>
          <w:b/>
          <w:kern w:val="0"/>
          <w:sz w:val="72"/>
          <w:szCs w:val="72"/>
          <w:highlight w:val="none"/>
        </w:rPr>
        <w:t>招 标 文 件</w:t>
      </w:r>
    </w:p>
    <w:p>
      <w:pPr>
        <w:widowControl/>
        <w:spacing w:line="360" w:lineRule="auto"/>
        <w:jc w:val="center"/>
        <w:rPr>
          <w:rFonts w:ascii="宋体" w:hAnsi="宋体"/>
          <w:b/>
          <w:kern w:val="0"/>
          <w:sz w:val="36"/>
          <w:szCs w:val="36"/>
          <w:highlight w:val="none"/>
        </w:rPr>
      </w:pPr>
    </w:p>
    <w:p>
      <w:pPr>
        <w:pStyle w:val="55"/>
        <w:rPr>
          <w:highlight w:val="none"/>
        </w:rPr>
      </w:pPr>
    </w:p>
    <w:p>
      <w:pPr>
        <w:widowControl/>
        <w:spacing w:line="360" w:lineRule="auto"/>
        <w:jc w:val="center"/>
        <w:rPr>
          <w:rFonts w:ascii="宋体" w:hAnsi="宋体"/>
          <w:b/>
          <w:kern w:val="0"/>
          <w:sz w:val="36"/>
          <w:szCs w:val="36"/>
          <w:highlight w:val="none"/>
        </w:rPr>
      </w:pPr>
    </w:p>
    <w:p>
      <w:pPr>
        <w:widowControl/>
        <w:spacing w:line="360" w:lineRule="auto"/>
        <w:jc w:val="center"/>
        <w:rPr>
          <w:rFonts w:ascii="宋体" w:hAnsi="宋体"/>
          <w:b/>
          <w:kern w:val="0"/>
          <w:sz w:val="72"/>
          <w:szCs w:val="72"/>
          <w:highlight w:val="none"/>
        </w:rPr>
      </w:pPr>
      <w:r>
        <w:rPr>
          <w:rFonts w:hint="eastAsia" w:ascii="宋体" w:hAnsi="宋体"/>
          <w:b/>
          <w:kern w:val="0"/>
          <w:sz w:val="36"/>
          <w:szCs w:val="36"/>
          <w:highlight w:val="none"/>
        </w:rPr>
        <w:t>项目编号：066020H13171</w:t>
      </w:r>
    </w:p>
    <w:p>
      <w:pPr>
        <w:widowControl/>
        <w:shd w:val="clear" w:color="auto" w:fill="FFFFFF"/>
        <w:spacing w:line="360" w:lineRule="auto"/>
        <w:rPr>
          <w:rFonts w:ascii="宋体" w:hAnsi="宋体"/>
          <w:kern w:val="0"/>
          <w:sz w:val="32"/>
          <w:szCs w:val="32"/>
          <w:highlight w:val="none"/>
        </w:rPr>
      </w:pPr>
      <w:r>
        <w:rPr>
          <w:rFonts w:hint="eastAsia" w:ascii="宋体" w:hAnsi="宋体"/>
          <w:kern w:val="0"/>
          <w:sz w:val="32"/>
          <w:szCs w:val="32"/>
          <w:highlight w:val="none"/>
        </w:rPr>
        <w:t>  </w:t>
      </w:r>
    </w:p>
    <w:p>
      <w:pPr>
        <w:pStyle w:val="55"/>
        <w:ind w:firstLine="640"/>
        <w:rPr>
          <w:rFonts w:ascii="宋体" w:hAnsi="宋体"/>
          <w:kern w:val="0"/>
          <w:sz w:val="32"/>
          <w:szCs w:val="32"/>
          <w:highlight w:val="none"/>
        </w:rPr>
      </w:pPr>
    </w:p>
    <w:p>
      <w:pPr>
        <w:pStyle w:val="55"/>
        <w:ind w:firstLine="640"/>
        <w:rPr>
          <w:rFonts w:ascii="宋体" w:hAnsi="宋体"/>
          <w:kern w:val="0"/>
          <w:sz w:val="32"/>
          <w:szCs w:val="32"/>
          <w:highlight w:val="none"/>
        </w:rPr>
      </w:pPr>
    </w:p>
    <w:p>
      <w:pPr>
        <w:pStyle w:val="55"/>
        <w:ind w:firstLine="640"/>
        <w:rPr>
          <w:rFonts w:ascii="宋体" w:hAnsi="宋体"/>
          <w:kern w:val="0"/>
          <w:sz w:val="32"/>
          <w:szCs w:val="32"/>
          <w:highlight w:val="none"/>
        </w:rPr>
      </w:pPr>
    </w:p>
    <w:p>
      <w:pPr>
        <w:widowControl/>
        <w:spacing w:line="360" w:lineRule="auto"/>
        <w:rPr>
          <w:rFonts w:ascii="宋体" w:hAnsi="宋体"/>
          <w:b/>
          <w:kern w:val="0"/>
          <w:sz w:val="36"/>
          <w:szCs w:val="36"/>
          <w:highlight w:val="none"/>
        </w:rPr>
      </w:pPr>
    </w:p>
    <w:p>
      <w:pPr>
        <w:pStyle w:val="55"/>
        <w:ind w:firstLine="0" w:firstLineChars="0"/>
        <w:rPr>
          <w:rFonts w:ascii="宋体" w:hAnsi="宋体"/>
          <w:b/>
          <w:kern w:val="0"/>
          <w:sz w:val="36"/>
          <w:szCs w:val="36"/>
          <w:highlight w:val="none"/>
        </w:rPr>
      </w:pPr>
    </w:p>
    <w:p>
      <w:pPr>
        <w:pStyle w:val="55"/>
        <w:rPr>
          <w:highlight w:val="none"/>
        </w:rPr>
      </w:pPr>
    </w:p>
    <w:p>
      <w:pPr>
        <w:widowControl/>
        <w:spacing w:line="360" w:lineRule="auto"/>
        <w:jc w:val="center"/>
        <w:rPr>
          <w:rFonts w:ascii="宋体" w:hAnsi="宋体"/>
          <w:b/>
          <w:kern w:val="0"/>
          <w:sz w:val="36"/>
          <w:szCs w:val="36"/>
          <w:highlight w:val="none"/>
        </w:rPr>
      </w:pPr>
      <w:r>
        <w:rPr>
          <w:rFonts w:hint="eastAsia" w:ascii="宋体" w:hAnsi="宋体"/>
          <w:b/>
          <w:kern w:val="0"/>
          <w:sz w:val="36"/>
          <w:szCs w:val="36"/>
          <w:highlight w:val="none"/>
        </w:rPr>
        <w:t>江苏省设备成套股份有限公司</w:t>
      </w:r>
    </w:p>
    <w:p>
      <w:pPr>
        <w:widowControl/>
        <w:shd w:val="clear" w:color="auto" w:fill="FFFFFF"/>
        <w:spacing w:line="360" w:lineRule="auto"/>
        <w:jc w:val="center"/>
        <w:rPr>
          <w:rFonts w:ascii="宋体" w:hAnsi="宋体"/>
          <w:b/>
          <w:kern w:val="0"/>
          <w:sz w:val="36"/>
          <w:szCs w:val="36"/>
          <w:highlight w:val="none"/>
        </w:rPr>
      </w:pPr>
      <w:r>
        <w:rPr>
          <w:rFonts w:hint="eastAsia" w:ascii="宋体" w:hAnsi="宋体"/>
          <w:b/>
          <w:kern w:val="0"/>
          <w:sz w:val="36"/>
          <w:szCs w:val="36"/>
          <w:highlight w:val="none"/>
        </w:rPr>
        <w:t>南京浦口经济开发区管理委员会</w:t>
      </w:r>
    </w:p>
    <w:p>
      <w:pPr>
        <w:widowControl/>
        <w:shd w:val="clear" w:color="auto" w:fill="FFFFFF"/>
        <w:spacing w:line="360" w:lineRule="auto"/>
        <w:jc w:val="center"/>
        <w:rPr>
          <w:rFonts w:ascii="宋体" w:hAnsi="宋体"/>
          <w:b/>
          <w:kern w:val="0"/>
          <w:sz w:val="36"/>
          <w:szCs w:val="36"/>
          <w:highlight w:val="none"/>
        </w:rPr>
      </w:pPr>
      <w:r>
        <w:rPr>
          <w:rFonts w:hint="eastAsia" w:ascii="宋体" w:hAnsi="宋体"/>
          <w:b/>
          <w:kern w:val="0"/>
          <w:sz w:val="36"/>
          <w:szCs w:val="36"/>
          <w:highlight w:val="none"/>
        </w:rPr>
        <w:t>2020年</w:t>
      </w:r>
      <w:r>
        <w:rPr>
          <w:rFonts w:hint="eastAsia" w:ascii="宋体" w:hAnsi="宋体"/>
          <w:b/>
          <w:kern w:val="0"/>
          <w:sz w:val="36"/>
          <w:szCs w:val="36"/>
          <w:highlight w:val="none"/>
          <w:lang w:val="en-US" w:eastAsia="zh-CN"/>
        </w:rPr>
        <w:t>8</w:t>
      </w:r>
      <w:r>
        <w:rPr>
          <w:rFonts w:hint="eastAsia" w:ascii="宋体" w:hAnsi="宋体"/>
          <w:b/>
          <w:kern w:val="0"/>
          <w:sz w:val="36"/>
          <w:szCs w:val="36"/>
          <w:highlight w:val="none"/>
        </w:rPr>
        <w:t>月</w:t>
      </w:r>
    </w:p>
    <w:p>
      <w:pPr>
        <w:widowControl/>
        <w:shd w:val="clear" w:color="auto" w:fill="FFFFFF"/>
        <w:spacing w:line="360" w:lineRule="auto"/>
        <w:jc w:val="center"/>
        <w:rPr>
          <w:rFonts w:ascii="宋体" w:hAnsi="宋体"/>
          <w:b/>
          <w:kern w:val="0"/>
          <w:sz w:val="36"/>
          <w:szCs w:val="36"/>
          <w:highlight w:val="none"/>
        </w:rPr>
      </w:pPr>
      <w:r>
        <w:rPr>
          <w:rFonts w:ascii="宋体" w:hAnsi="宋体"/>
          <w:b/>
          <w:kern w:val="0"/>
          <w:sz w:val="36"/>
          <w:szCs w:val="36"/>
          <w:highlight w:val="none"/>
        </w:rPr>
        <w:br w:type="page"/>
      </w:r>
    </w:p>
    <w:p>
      <w:pPr>
        <w:pStyle w:val="155"/>
        <w:jc w:val="center"/>
        <w:rPr>
          <w:rFonts w:ascii="宋体" w:hAnsi="宋体"/>
          <w:color w:val="auto"/>
          <w:sz w:val="36"/>
          <w:szCs w:val="36"/>
          <w:highlight w:val="none"/>
        </w:rPr>
      </w:pPr>
      <w:r>
        <w:rPr>
          <w:rFonts w:hint="eastAsia" w:ascii="宋体" w:hAnsi="宋体"/>
          <w:color w:val="auto"/>
          <w:sz w:val="36"/>
          <w:szCs w:val="36"/>
          <w:highlight w:val="none"/>
          <w:lang w:val="zh-CN"/>
        </w:rPr>
        <w:t>目  录</w:t>
      </w:r>
    </w:p>
    <w:p>
      <w:pPr>
        <w:pStyle w:val="31"/>
        <w:tabs>
          <w:tab w:val="right" w:leader="dot" w:pos="8296"/>
        </w:tabs>
        <w:rPr>
          <w:rFonts w:ascii="宋体" w:hAnsi="宋体"/>
          <w:sz w:val="28"/>
          <w:szCs w:val="28"/>
          <w:highlight w:val="none"/>
        </w:rPr>
      </w:pPr>
    </w:p>
    <w:p>
      <w:pPr>
        <w:pStyle w:val="31"/>
        <w:tabs>
          <w:tab w:val="right" w:leader="dot" w:pos="8400"/>
        </w:tabs>
        <w:rPr>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TOC \o "1-1" \h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"_Toc30174" </w:instrText>
      </w:r>
      <w:r>
        <w:rPr>
          <w:highlight w:val="none"/>
        </w:rPr>
        <w:fldChar w:fldCharType="separate"/>
      </w:r>
      <w:r>
        <w:rPr>
          <w:kern w:val="0"/>
          <w:sz w:val="28"/>
          <w:szCs w:val="28"/>
          <w:highlight w:val="none"/>
        </w:rPr>
        <w:t xml:space="preserve">第一章 </w:t>
      </w:r>
      <w:r>
        <w:rPr>
          <w:rFonts w:hint="eastAsia"/>
          <w:sz w:val="28"/>
          <w:szCs w:val="28"/>
          <w:highlight w:val="none"/>
        </w:rPr>
        <w:t>招标公告</w:t>
      </w:r>
      <w:r>
        <w:rPr>
          <w:sz w:val="28"/>
          <w:szCs w:val="28"/>
          <w:highlight w:val="none"/>
        </w:rPr>
        <w:tab/>
      </w:r>
      <w:r>
        <w:rPr>
          <w:sz w:val="28"/>
          <w:szCs w:val="28"/>
          <w:highlight w:val="none"/>
        </w:rPr>
        <w:fldChar w:fldCharType="begin"/>
      </w:r>
      <w:r>
        <w:rPr>
          <w:sz w:val="28"/>
          <w:szCs w:val="28"/>
          <w:highlight w:val="none"/>
        </w:rPr>
        <w:instrText xml:space="preserve"> PAGEREF _Toc30174 </w:instrText>
      </w:r>
      <w:r>
        <w:rPr>
          <w:sz w:val="28"/>
          <w:szCs w:val="28"/>
          <w:highlight w:val="none"/>
        </w:rPr>
        <w:fldChar w:fldCharType="separate"/>
      </w:r>
      <w:r>
        <w:rPr>
          <w:sz w:val="28"/>
          <w:szCs w:val="28"/>
          <w:highlight w:val="none"/>
        </w:rPr>
        <w:t>3</w:t>
      </w:r>
      <w:r>
        <w:rPr>
          <w:sz w:val="28"/>
          <w:szCs w:val="28"/>
          <w:highlight w:val="none"/>
        </w:rPr>
        <w:fldChar w:fldCharType="end"/>
      </w:r>
      <w:r>
        <w:rPr>
          <w:sz w:val="28"/>
          <w:szCs w:val="28"/>
          <w:highlight w:val="none"/>
        </w:rPr>
        <w:fldChar w:fldCharType="end"/>
      </w:r>
    </w:p>
    <w:p>
      <w:pPr>
        <w:pStyle w:val="31"/>
        <w:tabs>
          <w:tab w:val="right" w:leader="dot" w:pos="8400"/>
        </w:tabs>
        <w:rPr>
          <w:sz w:val="28"/>
          <w:szCs w:val="28"/>
          <w:highlight w:val="none"/>
        </w:rPr>
      </w:pPr>
      <w:r>
        <w:rPr>
          <w:highlight w:val="none"/>
        </w:rPr>
        <w:fldChar w:fldCharType="begin"/>
      </w:r>
      <w:r>
        <w:rPr>
          <w:highlight w:val="none"/>
        </w:rPr>
        <w:instrText xml:space="preserve"> HYPERLINK \l "_Toc6111" </w:instrText>
      </w:r>
      <w:r>
        <w:rPr>
          <w:highlight w:val="none"/>
        </w:rPr>
        <w:fldChar w:fldCharType="separate"/>
      </w:r>
      <w:r>
        <w:rPr>
          <w:rFonts w:hint="eastAsia"/>
          <w:kern w:val="0"/>
          <w:sz w:val="28"/>
          <w:szCs w:val="28"/>
          <w:highlight w:val="none"/>
        </w:rPr>
        <w:t>第二章 投标人须知</w:t>
      </w:r>
      <w:r>
        <w:rPr>
          <w:sz w:val="28"/>
          <w:szCs w:val="28"/>
          <w:highlight w:val="none"/>
        </w:rPr>
        <w:tab/>
      </w:r>
      <w:r>
        <w:rPr>
          <w:sz w:val="28"/>
          <w:szCs w:val="28"/>
          <w:highlight w:val="none"/>
        </w:rPr>
        <w:fldChar w:fldCharType="begin"/>
      </w:r>
      <w:r>
        <w:rPr>
          <w:sz w:val="28"/>
          <w:szCs w:val="28"/>
          <w:highlight w:val="none"/>
        </w:rPr>
        <w:instrText xml:space="preserve"> PAGEREF _Toc6111 </w:instrText>
      </w:r>
      <w:r>
        <w:rPr>
          <w:sz w:val="28"/>
          <w:szCs w:val="28"/>
          <w:highlight w:val="none"/>
        </w:rPr>
        <w:fldChar w:fldCharType="separate"/>
      </w:r>
      <w:r>
        <w:rPr>
          <w:sz w:val="28"/>
          <w:szCs w:val="28"/>
          <w:highlight w:val="none"/>
        </w:rPr>
        <w:t>8</w:t>
      </w:r>
      <w:r>
        <w:rPr>
          <w:sz w:val="28"/>
          <w:szCs w:val="28"/>
          <w:highlight w:val="none"/>
        </w:rPr>
        <w:fldChar w:fldCharType="end"/>
      </w:r>
      <w:r>
        <w:rPr>
          <w:sz w:val="28"/>
          <w:szCs w:val="28"/>
          <w:highlight w:val="none"/>
        </w:rPr>
        <w:fldChar w:fldCharType="end"/>
      </w:r>
    </w:p>
    <w:p>
      <w:pPr>
        <w:pStyle w:val="31"/>
        <w:tabs>
          <w:tab w:val="right" w:leader="dot" w:pos="8400"/>
        </w:tabs>
        <w:rPr>
          <w:sz w:val="28"/>
          <w:szCs w:val="28"/>
          <w:highlight w:val="none"/>
        </w:rPr>
      </w:pPr>
      <w:r>
        <w:rPr>
          <w:highlight w:val="none"/>
        </w:rPr>
        <w:fldChar w:fldCharType="begin"/>
      </w:r>
      <w:r>
        <w:rPr>
          <w:highlight w:val="none"/>
        </w:rPr>
        <w:instrText xml:space="preserve"> HYPERLINK \l "_Toc10405" </w:instrText>
      </w:r>
      <w:r>
        <w:rPr>
          <w:highlight w:val="none"/>
        </w:rPr>
        <w:fldChar w:fldCharType="separate"/>
      </w:r>
      <w:r>
        <w:rPr>
          <w:rFonts w:hint="eastAsia"/>
          <w:kern w:val="0"/>
          <w:sz w:val="28"/>
          <w:szCs w:val="28"/>
          <w:highlight w:val="none"/>
        </w:rPr>
        <w:t>第三章 评标标准</w:t>
      </w:r>
      <w:r>
        <w:rPr>
          <w:sz w:val="28"/>
          <w:szCs w:val="28"/>
          <w:highlight w:val="none"/>
        </w:rPr>
        <w:tab/>
      </w:r>
      <w:r>
        <w:rPr>
          <w:sz w:val="28"/>
          <w:szCs w:val="28"/>
          <w:highlight w:val="none"/>
        </w:rPr>
        <w:fldChar w:fldCharType="begin"/>
      </w:r>
      <w:r>
        <w:rPr>
          <w:sz w:val="28"/>
          <w:szCs w:val="28"/>
          <w:highlight w:val="none"/>
        </w:rPr>
        <w:instrText xml:space="preserve"> PAGEREF _Toc10405 </w:instrText>
      </w:r>
      <w:r>
        <w:rPr>
          <w:sz w:val="28"/>
          <w:szCs w:val="28"/>
          <w:highlight w:val="none"/>
        </w:rPr>
        <w:fldChar w:fldCharType="separate"/>
      </w:r>
      <w:r>
        <w:rPr>
          <w:sz w:val="28"/>
          <w:szCs w:val="28"/>
          <w:highlight w:val="none"/>
        </w:rPr>
        <w:t>22</w:t>
      </w:r>
      <w:r>
        <w:rPr>
          <w:sz w:val="28"/>
          <w:szCs w:val="28"/>
          <w:highlight w:val="none"/>
        </w:rPr>
        <w:fldChar w:fldCharType="end"/>
      </w:r>
      <w:r>
        <w:rPr>
          <w:sz w:val="28"/>
          <w:szCs w:val="28"/>
          <w:highlight w:val="none"/>
        </w:rPr>
        <w:fldChar w:fldCharType="end"/>
      </w:r>
    </w:p>
    <w:p>
      <w:pPr>
        <w:pStyle w:val="31"/>
        <w:tabs>
          <w:tab w:val="right" w:leader="dot" w:pos="8400"/>
        </w:tabs>
        <w:rPr>
          <w:sz w:val="28"/>
          <w:szCs w:val="28"/>
          <w:highlight w:val="none"/>
        </w:rPr>
      </w:pPr>
      <w:r>
        <w:rPr>
          <w:highlight w:val="none"/>
        </w:rPr>
        <w:fldChar w:fldCharType="begin"/>
      </w:r>
      <w:r>
        <w:rPr>
          <w:highlight w:val="none"/>
        </w:rPr>
        <w:instrText xml:space="preserve"> HYPERLINK \l "_Toc1446" </w:instrText>
      </w:r>
      <w:r>
        <w:rPr>
          <w:highlight w:val="none"/>
        </w:rPr>
        <w:fldChar w:fldCharType="separate"/>
      </w:r>
      <w:r>
        <w:rPr>
          <w:rFonts w:hint="eastAsia"/>
          <w:kern w:val="0"/>
          <w:sz w:val="28"/>
          <w:szCs w:val="28"/>
          <w:highlight w:val="none"/>
        </w:rPr>
        <w:t>第四章 采购清单及技术要求</w:t>
      </w:r>
      <w:r>
        <w:rPr>
          <w:sz w:val="28"/>
          <w:szCs w:val="28"/>
          <w:highlight w:val="none"/>
        </w:rPr>
        <w:tab/>
      </w:r>
      <w:r>
        <w:rPr>
          <w:sz w:val="28"/>
          <w:szCs w:val="28"/>
          <w:highlight w:val="none"/>
        </w:rPr>
        <w:fldChar w:fldCharType="begin"/>
      </w:r>
      <w:r>
        <w:rPr>
          <w:sz w:val="28"/>
          <w:szCs w:val="28"/>
          <w:highlight w:val="none"/>
        </w:rPr>
        <w:instrText xml:space="preserve"> PAGEREF _Toc1446 </w:instrText>
      </w:r>
      <w:r>
        <w:rPr>
          <w:sz w:val="28"/>
          <w:szCs w:val="28"/>
          <w:highlight w:val="none"/>
        </w:rPr>
        <w:fldChar w:fldCharType="separate"/>
      </w:r>
      <w:r>
        <w:rPr>
          <w:sz w:val="28"/>
          <w:szCs w:val="28"/>
          <w:highlight w:val="none"/>
        </w:rPr>
        <w:t>24</w:t>
      </w:r>
      <w:r>
        <w:rPr>
          <w:sz w:val="28"/>
          <w:szCs w:val="28"/>
          <w:highlight w:val="none"/>
        </w:rPr>
        <w:fldChar w:fldCharType="end"/>
      </w:r>
      <w:r>
        <w:rPr>
          <w:sz w:val="28"/>
          <w:szCs w:val="28"/>
          <w:highlight w:val="none"/>
        </w:rPr>
        <w:fldChar w:fldCharType="end"/>
      </w:r>
    </w:p>
    <w:p>
      <w:pPr>
        <w:pStyle w:val="31"/>
        <w:tabs>
          <w:tab w:val="right" w:leader="dot" w:pos="8400"/>
        </w:tabs>
        <w:rPr>
          <w:sz w:val="28"/>
          <w:szCs w:val="28"/>
          <w:highlight w:val="none"/>
        </w:rPr>
      </w:pPr>
      <w:r>
        <w:rPr>
          <w:highlight w:val="none"/>
        </w:rPr>
        <w:fldChar w:fldCharType="begin"/>
      </w:r>
      <w:r>
        <w:rPr>
          <w:highlight w:val="none"/>
        </w:rPr>
        <w:instrText xml:space="preserve"> HYPERLINK \l "_Toc9621" </w:instrText>
      </w:r>
      <w:r>
        <w:rPr>
          <w:highlight w:val="none"/>
        </w:rPr>
        <w:fldChar w:fldCharType="separate"/>
      </w:r>
      <w:r>
        <w:rPr>
          <w:rFonts w:hint="eastAsia"/>
          <w:sz w:val="28"/>
          <w:szCs w:val="28"/>
          <w:highlight w:val="none"/>
        </w:rPr>
        <w:t>第五章 主要条款及格式</w:t>
      </w:r>
      <w:r>
        <w:rPr>
          <w:sz w:val="28"/>
          <w:szCs w:val="28"/>
          <w:highlight w:val="none"/>
        </w:rPr>
        <w:tab/>
      </w:r>
      <w:r>
        <w:rPr>
          <w:sz w:val="28"/>
          <w:szCs w:val="28"/>
          <w:highlight w:val="none"/>
        </w:rPr>
        <w:fldChar w:fldCharType="begin"/>
      </w:r>
      <w:r>
        <w:rPr>
          <w:sz w:val="28"/>
          <w:szCs w:val="28"/>
          <w:highlight w:val="none"/>
        </w:rPr>
        <w:instrText xml:space="preserve"> PAGEREF _Toc9621 </w:instrText>
      </w:r>
      <w:r>
        <w:rPr>
          <w:sz w:val="28"/>
          <w:szCs w:val="28"/>
          <w:highlight w:val="none"/>
        </w:rPr>
        <w:fldChar w:fldCharType="separate"/>
      </w:r>
      <w:r>
        <w:rPr>
          <w:sz w:val="28"/>
          <w:szCs w:val="28"/>
          <w:highlight w:val="none"/>
        </w:rPr>
        <w:t>38</w:t>
      </w:r>
      <w:r>
        <w:rPr>
          <w:sz w:val="28"/>
          <w:szCs w:val="28"/>
          <w:highlight w:val="none"/>
        </w:rPr>
        <w:fldChar w:fldCharType="end"/>
      </w:r>
      <w:r>
        <w:rPr>
          <w:sz w:val="28"/>
          <w:szCs w:val="28"/>
          <w:highlight w:val="none"/>
        </w:rPr>
        <w:fldChar w:fldCharType="end"/>
      </w:r>
    </w:p>
    <w:p>
      <w:pPr>
        <w:pStyle w:val="31"/>
        <w:tabs>
          <w:tab w:val="right" w:leader="dot" w:pos="8400"/>
        </w:tabs>
        <w:rPr>
          <w:sz w:val="28"/>
          <w:szCs w:val="28"/>
          <w:highlight w:val="none"/>
        </w:rPr>
      </w:pPr>
      <w:r>
        <w:rPr>
          <w:highlight w:val="none"/>
        </w:rPr>
        <w:fldChar w:fldCharType="begin"/>
      </w:r>
      <w:r>
        <w:rPr>
          <w:highlight w:val="none"/>
        </w:rPr>
        <w:instrText xml:space="preserve"> HYPERLINK \l "_Toc12832" </w:instrText>
      </w:r>
      <w:r>
        <w:rPr>
          <w:highlight w:val="none"/>
        </w:rPr>
        <w:fldChar w:fldCharType="separate"/>
      </w:r>
      <w:r>
        <w:rPr>
          <w:rFonts w:hint="eastAsia"/>
          <w:sz w:val="28"/>
          <w:szCs w:val="28"/>
          <w:highlight w:val="none"/>
        </w:rPr>
        <w:t>第六章 附件</w:t>
      </w:r>
      <w:r>
        <w:rPr>
          <w:sz w:val="28"/>
          <w:szCs w:val="28"/>
          <w:highlight w:val="none"/>
        </w:rPr>
        <w:tab/>
      </w:r>
      <w:r>
        <w:rPr>
          <w:sz w:val="28"/>
          <w:szCs w:val="28"/>
          <w:highlight w:val="none"/>
        </w:rPr>
        <w:fldChar w:fldCharType="begin"/>
      </w:r>
      <w:r>
        <w:rPr>
          <w:sz w:val="28"/>
          <w:szCs w:val="28"/>
          <w:highlight w:val="none"/>
        </w:rPr>
        <w:instrText xml:space="preserve"> PAGEREF _Toc12832 </w:instrText>
      </w:r>
      <w:r>
        <w:rPr>
          <w:sz w:val="28"/>
          <w:szCs w:val="28"/>
          <w:highlight w:val="none"/>
        </w:rPr>
        <w:fldChar w:fldCharType="separate"/>
      </w:r>
      <w:r>
        <w:rPr>
          <w:sz w:val="28"/>
          <w:szCs w:val="28"/>
          <w:highlight w:val="none"/>
        </w:rPr>
        <w:t>43</w:t>
      </w:r>
      <w:r>
        <w:rPr>
          <w:sz w:val="28"/>
          <w:szCs w:val="28"/>
          <w:highlight w:val="none"/>
        </w:rPr>
        <w:fldChar w:fldCharType="end"/>
      </w:r>
      <w:r>
        <w:rPr>
          <w:sz w:val="28"/>
          <w:szCs w:val="28"/>
          <w:highlight w:val="none"/>
        </w:rPr>
        <w:fldChar w:fldCharType="end"/>
      </w:r>
    </w:p>
    <w:p>
      <w:pPr>
        <w:spacing w:line="360" w:lineRule="auto"/>
        <w:rPr>
          <w:rFonts w:ascii="宋体" w:hAnsi="宋体"/>
          <w:sz w:val="28"/>
          <w:szCs w:val="28"/>
          <w:highlight w:val="none"/>
        </w:rPr>
      </w:pPr>
      <w:r>
        <w:rPr>
          <w:rFonts w:hint="eastAsia" w:ascii="宋体" w:hAnsi="宋体" w:cs="宋体"/>
          <w:sz w:val="28"/>
          <w:szCs w:val="28"/>
          <w:highlight w:val="none"/>
        </w:rPr>
        <w:fldChar w:fldCharType="end"/>
      </w:r>
    </w:p>
    <w:p>
      <w:pPr>
        <w:widowControl/>
        <w:shd w:val="clear" w:color="auto" w:fill="FFFFFF"/>
        <w:spacing w:line="360" w:lineRule="auto"/>
        <w:jc w:val="center"/>
        <w:rPr>
          <w:rFonts w:ascii="宋体" w:hAnsi="宋体"/>
          <w:b/>
          <w:kern w:val="0"/>
          <w:sz w:val="36"/>
          <w:szCs w:val="36"/>
          <w:highlight w:val="none"/>
        </w:rPr>
      </w:pPr>
    </w:p>
    <w:p>
      <w:pPr>
        <w:pStyle w:val="3"/>
        <w:ind w:left="2" w:leftChars="-202" w:hanging="426" w:hangingChars="118"/>
        <w:rPr>
          <w:kern w:val="0"/>
          <w:szCs w:val="21"/>
          <w:highlight w:val="none"/>
        </w:rPr>
      </w:pPr>
      <w:r>
        <w:rPr>
          <w:rFonts w:hint="eastAsia" w:cs="宋体"/>
          <w:kern w:val="0"/>
          <w:sz w:val="36"/>
          <w:szCs w:val="36"/>
          <w:highlight w:val="none"/>
          <w:shd w:val="clear" w:color="auto" w:fill="FFFFFF"/>
        </w:rPr>
        <w:br w:type="page"/>
      </w:r>
      <w:bookmarkStart w:id="0" w:name="_Toc481057143"/>
      <w:r>
        <w:rPr>
          <w:rFonts w:cs="宋体"/>
          <w:kern w:val="0"/>
          <w:sz w:val="36"/>
          <w:szCs w:val="36"/>
          <w:highlight w:val="none"/>
          <w:shd w:val="clear" w:color="auto" w:fill="FFFFFF"/>
        </w:rPr>
        <w:t xml:space="preserve"> </w:t>
      </w:r>
      <w:bookmarkStart w:id="1" w:name="_Toc30174"/>
      <w:r>
        <w:rPr>
          <w:rFonts w:hint="eastAsia"/>
          <w:highlight w:val="none"/>
        </w:rPr>
        <w:t>招标公告</w:t>
      </w:r>
      <w:bookmarkEnd w:id="0"/>
      <w:bookmarkEnd w:id="1"/>
    </w:p>
    <w:p>
      <w:pPr>
        <w:widowControl/>
        <w:shd w:val="clear" w:color="auto" w:fill="FFFFFF" w:themeFill="background1"/>
        <w:spacing w:line="360" w:lineRule="auto"/>
        <w:ind w:firstLine="369"/>
        <w:rPr>
          <w:rFonts w:ascii="宋体" w:hAnsi="宋体" w:cs="宋体"/>
          <w:spacing w:val="8"/>
          <w:kern w:val="0"/>
          <w:szCs w:val="21"/>
          <w:highlight w:val="none"/>
          <w:u w:val="single"/>
        </w:rPr>
      </w:pPr>
      <w:r>
        <w:rPr>
          <w:rFonts w:hint="eastAsia" w:ascii="宋体" w:hAnsi="宋体" w:cs="宋体"/>
          <w:szCs w:val="21"/>
          <w:highlight w:val="none"/>
        </w:rPr>
        <w:t>江苏省设备成套股份有限公司受</w:t>
      </w:r>
      <w:r>
        <w:rPr>
          <w:rFonts w:hint="eastAsia" w:ascii="宋体" w:hAnsi="宋体" w:cs="宋体"/>
          <w:b/>
          <w:bCs/>
          <w:szCs w:val="21"/>
          <w:highlight w:val="none"/>
        </w:rPr>
        <w:t>南京浦口经济开发区管理委员会</w:t>
      </w:r>
      <w:r>
        <w:rPr>
          <w:rFonts w:hint="eastAsia" w:ascii="宋体" w:hAnsi="宋体" w:cs="宋体"/>
          <w:szCs w:val="21"/>
          <w:highlight w:val="none"/>
        </w:rPr>
        <w:t>委托，就其</w:t>
      </w:r>
      <w:r>
        <w:rPr>
          <w:rFonts w:hint="eastAsia" w:ascii="宋体" w:hAnsi="宋体" w:cs="宋体"/>
          <w:b/>
          <w:bCs/>
          <w:szCs w:val="21"/>
          <w:highlight w:val="none"/>
        </w:rPr>
        <w:t>高速风洞及旋转测试平台采购项目</w:t>
      </w:r>
      <w:r>
        <w:rPr>
          <w:rFonts w:hint="eastAsia" w:ascii="宋体" w:hAnsi="宋体" w:cs="宋体"/>
          <w:szCs w:val="21"/>
          <w:highlight w:val="none"/>
        </w:rPr>
        <w:t>进行公开招标采购，现欢迎符合相关条件的供应商参加投标。</w:t>
      </w:r>
    </w:p>
    <w:p>
      <w:pPr>
        <w:widowControl/>
        <w:shd w:val="clear" w:color="auto" w:fill="FFFFFF" w:themeFill="background1"/>
        <w:spacing w:line="360" w:lineRule="auto"/>
        <w:ind w:firstLine="369"/>
        <w:rPr>
          <w:rFonts w:ascii="宋体" w:hAnsi="宋体" w:cs="宋体"/>
          <w:spacing w:val="8"/>
          <w:kern w:val="0"/>
          <w:szCs w:val="21"/>
          <w:highlight w:val="none"/>
        </w:rPr>
      </w:pPr>
      <w:r>
        <w:rPr>
          <w:rFonts w:hint="eastAsia" w:ascii="宋体" w:hAnsi="宋体" w:cs="宋体"/>
          <w:b/>
          <w:bCs/>
          <w:szCs w:val="21"/>
          <w:highlight w:val="none"/>
        </w:rPr>
        <w:t>高速风洞及旋转测试平台采购项目</w:t>
      </w:r>
      <w:r>
        <w:rPr>
          <w:rFonts w:hint="eastAsia" w:ascii="宋体" w:hAnsi="宋体" w:cs="宋体"/>
          <w:spacing w:val="8"/>
          <w:kern w:val="0"/>
          <w:szCs w:val="21"/>
          <w:highlight w:val="none"/>
        </w:rPr>
        <w:t>招标项目的潜在投标人应在中招联合招标采购平台（网址为：http://www.365trade.com.cn/）获取招标文件，并于</w:t>
      </w:r>
      <w:r>
        <w:rPr>
          <w:rFonts w:hint="eastAsia" w:ascii="宋体" w:hAnsi="宋体" w:cs="宋体"/>
          <w:spacing w:val="8"/>
          <w:kern w:val="0"/>
          <w:szCs w:val="21"/>
          <w:highlight w:val="none"/>
          <w:u w:val="single"/>
        </w:rPr>
        <w:t>2020</w:t>
      </w:r>
      <w:r>
        <w:rPr>
          <w:rFonts w:hint="eastAsia" w:ascii="宋体" w:hAnsi="宋体" w:cs="宋体"/>
          <w:spacing w:val="8"/>
          <w:kern w:val="0"/>
          <w:szCs w:val="21"/>
          <w:highlight w:val="none"/>
        </w:rPr>
        <w:t>年</w:t>
      </w:r>
      <w:r>
        <w:rPr>
          <w:rFonts w:hint="eastAsia" w:ascii="宋体" w:hAnsi="宋体" w:cs="宋体"/>
          <w:spacing w:val="8"/>
          <w:kern w:val="0"/>
          <w:szCs w:val="21"/>
          <w:highlight w:val="none"/>
          <w:u w:val="single"/>
          <w:lang w:val="en-US" w:eastAsia="zh-CN"/>
        </w:rPr>
        <w:t>9</w:t>
      </w:r>
      <w:r>
        <w:rPr>
          <w:rFonts w:hint="eastAsia" w:ascii="宋体" w:hAnsi="宋体" w:cs="宋体"/>
          <w:spacing w:val="8"/>
          <w:kern w:val="0"/>
          <w:szCs w:val="21"/>
          <w:highlight w:val="none"/>
        </w:rPr>
        <w:t>月</w:t>
      </w:r>
      <w:r>
        <w:rPr>
          <w:rFonts w:hint="eastAsia" w:ascii="宋体" w:hAnsi="宋体" w:cs="宋体"/>
          <w:spacing w:val="8"/>
          <w:kern w:val="0"/>
          <w:szCs w:val="21"/>
          <w:highlight w:val="none"/>
          <w:u w:val="single"/>
          <w:lang w:val="en-US" w:eastAsia="zh-CN"/>
        </w:rPr>
        <w:t>11</w:t>
      </w:r>
      <w:r>
        <w:rPr>
          <w:rFonts w:hint="eastAsia" w:ascii="宋体" w:hAnsi="宋体" w:cs="宋体"/>
          <w:spacing w:val="8"/>
          <w:kern w:val="0"/>
          <w:szCs w:val="21"/>
          <w:highlight w:val="none"/>
        </w:rPr>
        <w:t>日</w:t>
      </w:r>
      <w:r>
        <w:rPr>
          <w:rFonts w:hint="eastAsia" w:ascii="宋体" w:hAnsi="宋体" w:cs="宋体"/>
          <w:spacing w:val="8"/>
          <w:kern w:val="0"/>
          <w:szCs w:val="21"/>
          <w:highlight w:val="none"/>
          <w:u w:val="single"/>
        </w:rPr>
        <w:t>14</w:t>
      </w:r>
      <w:r>
        <w:rPr>
          <w:rFonts w:hint="eastAsia" w:ascii="宋体" w:hAnsi="宋体" w:cs="宋体"/>
          <w:spacing w:val="8"/>
          <w:kern w:val="0"/>
          <w:szCs w:val="21"/>
          <w:highlight w:val="none"/>
        </w:rPr>
        <w:t>点</w:t>
      </w:r>
      <w:r>
        <w:rPr>
          <w:rFonts w:hint="eastAsia" w:ascii="宋体" w:hAnsi="宋体" w:cs="宋体"/>
          <w:spacing w:val="8"/>
          <w:kern w:val="0"/>
          <w:szCs w:val="21"/>
          <w:highlight w:val="none"/>
          <w:u w:val="single"/>
        </w:rPr>
        <w:t>00</w:t>
      </w:r>
      <w:r>
        <w:rPr>
          <w:rFonts w:hint="eastAsia" w:ascii="宋体" w:hAnsi="宋体" w:cs="宋体"/>
          <w:spacing w:val="8"/>
          <w:kern w:val="0"/>
          <w:szCs w:val="21"/>
          <w:highlight w:val="none"/>
        </w:rPr>
        <w:t>分（北京时间）前递交投标文件。</w:t>
      </w:r>
    </w:p>
    <w:p>
      <w:pPr>
        <w:widowControl/>
        <w:shd w:val="clear" w:color="auto" w:fill="FFFFFF" w:themeFill="background1"/>
        <w:spacing w:line="360" w:lineRule="auto"/>
        <w:ind w:firstLine="369"/>
        <w:rPr>
          <w:rFonts w:ascii="宋体" w:hAnsi="宋体" w:cs="宋体"/>
          <w:spacing w:val="8"/>
          <w:kern w:val="0"/>
          <w:szCs w:val="21"/>
          <w:highlight w:val="none"/>
        </w:rPr>
      </w:pPr>
    </w:p>
    <w:p>
      <w:pPr>
        <w:widowControl/>
        <w:shd w:val="clear" w:color="auto" w:fill="FFFFFF" w:themeFill="background1"/>
        <w:spacing w:line="360" w:lineRule="auto"/>
        <w:outlineLvl w:val="1"/>
        <w:rPr>
          <w:rFonts w:ascii="宋体" w:hAnsi="宋体" w:cs="宋体"/>
          <w:b/>
          <w:spacing w:val="8"/>
          <w:kern w:val="0"/>
          <w:szCs w:val="21"/>
          <w:highlight w:val="none"/>
        </w:rPr>
      </w:pPr>
      <w:r>
        <w:rPr>
          <w:rFonts w:hint="eastAsia" w:ascii="宋体" w:hAnsi="宋体" w:cs="宋体"/>
          <w:b/>
          <w:spacing w:val="8"/>
          <w:kern w:val="0"/>
          <w:szCs w:val="21"/>
          <w:highlight w:val="none"/>
        </w:rPr>
        <w:t>一、项目基本情况</w:t>
      </w:r>
    </w:p>
    <w:p>
      <w:pPr>
        <w:widowControl/>
        <w:shd w:val="clear" w:color="auto" w:fill="FFFFFF" w:themeFill="background1"/>
        <w:spacing w:line="360" w:lineRule="auto"/>
        <w:ind w:firstLine="370"/>
        <w:rPr>
          <w:rFonts w:hint="eastAsia" w:ascii="宋体" w:hAnsi="宋体" w:eastAsia="宋体" w:cs="宋体"/>
          <w:spacing w:val="8"/>
          <w:kern w:val="0"/>
          <w:szCs w:val="21"/>
          <w:highlight w:val="none"/>
          <w:lang w:eastAsia="zh-CN"/>
        </w:rPr>
      </w:pPr>
      <w:r>
        <w:rPr>
          <w:rFonts w:hint="eastAsia" w:ascii="宋体" w:hAnsi="宋体" w:cs="宋体"/>
          <w:spacing w:val="8"/>
          <w:kern w:val="0"/>
          <w:szCs w:val="21"/>
          <w:highlight w:val="none"/>
        </w:rPr>
        <w:t>1.1项目编号：066020H13171</w:t>
      </w:r>
    </w:p>
    <w:p>
      <w:pPr>
        <w:widowControl/>
        <w:shd w:val="clear" w:color="auto" w:fill="FFFFFF" w:themeFill="background1"/>
        <w:spacing w:line="360" w:lineRule="auto"/>
        <w:ind w:firstLine="370"/>
        <w:rPr>
          <w:rFonts w:ascii="宋体" w:hAnsi="宋体" w:cs="宋体"/>
          <w:b/>
          <w:bCs/>
          <w:szCs w:val="21"/>
          <w:highlight w:val="none"/>
        </w:rPr>
      </w:pPr>
      <w:r>
        <w:rPr>
          <w:rFonts w:hint="eastAsia" w:ascii="宋体" w:hAnsi="宋体" w:cs="宋体"/>
          <w:spacing w:val="8"/>
          <w:kern w:val="0"/>
          <w:szCs w:val="21"/>
          <w:highlight w:val="none"/>
        </w:rPr>
        <w:t>1.2项目名称：</w:t>
      </w:r>
      <w:r>
        <w:rPr>
          <w:rFonts w:hint="eastAsia" w:ascii="宋体" w:hAnsi="宋体" w:cs="宋体"/>
          <w:b/>
          <w:bCs/>
          <w:szCs w:val="21"/>
          <w:highlight w:val="none"/>
        </w:rPr>
        <w:t>高速风洞及旋转测试平台采购项目</w:t>
      </w:r>
    </w:p>
    <w:p>
      <w:pPr>
        <w:widowControl/>
        <w:shd w:val="clear" w:color="auto" w:fill="FFFFFF" w:themeFill="background1"/>
        <w:spacing w:line="360" w:lineRule="auto"/>
        <w:ind w:firstLine="370"/>
        <w:rPr>
          <w:rFonts w:ascii="宋体" w:hAnsi="宋体" w:cs="宋体"/>
          <w:spacing w:val="8"/>
          <w:kern w:val="0"/>
          <w:szCs w:val="21"/>
          <w:highlight w:val="none"/>
        </w:rPr>
      </w:pPr>
      <w:r>
        <w:rPr>
          <w:rFonts w:hint="eastAsia" w:ascii="宋体" w:hAnsi="宋体" w:cs="宋体"/>
          <w:spacing w:val="8"/>
          <w:kern w:val="0"/>
          <w:szCs w:val="21"/>
          <w:highlight w:val="none"/>
        </w:rPr>
        <w:t>1.3预算金额：</w:t>
      </w:r>
      <w:r>
        <w:rPr>
          <w:rFonts w:hint="eastAsia" w:ascii="宋体" w:hAnsi="宋体" w:cs="宋体"/>
          <w:highlight w:val="none"/>
        </w:rPr>
        <w:t>1165</w:t>
      </w:r>
      <w:r>
        <w:rPr>
          <w:rFonts w:hint="eastAsia" w:ascii="宋体" w:hAnsi="宋体" w:cs="宋体"/>
          <w:spacing w:val="8"/>
          <w:kern w:val="0"/>
          <w:szCs w:val="21"/>
          <w:highlight w:val="none"/>
        </w:rPr>
        <w:t>万元；</w:t>
      </w:r>
    </w:p>
    <w:p>
      <w:pPr>
        <w:widowControl/>
        <w:shd w:val="clear" w:color="auto" w:fill="FFFFFF" w:themeFill="background1"/>
        <w:spacing w:line="360" w:lineRule="auto"/>
        <w:ind w:firstLine="370"/>
        <w:rPr>
          <w:rFonts w:ascii="宋体" w:hAnsi="宋体" w:cs="宋体"/>
          <w:spacing w:val="8"/>
          <w:kern w:val="0"/>
          <w:szCs w:val="21"/>
          <w:highlight w:val="none"/>
        </w:rPr>
      </w:pPr>
      <w:r>
        <w:rPr>
          <w:rFonts w:hint="eastAsia" w:ascii="宋体" w:hAnsi="宋体" w:cs="宋体"/>
          <w:spacing w:val="8"/>
          <w:kern w:val="0"/>
          <w:szCs w:val="21"/>
          <w:highlight w:val="none"/>
        </w:rPr>
        <w:t>1.4最高限价：1165万元。</w:t>
      </w:r>
    </w:p>
    <w:p>
      <w:pPr>
        <w:widowControl/>
        <w:shd w:val="clear" w:color="auto" w:fill="FFFFFF" w:themeFill="background1"/>
        <w:spacing w:line="360" w:lineRule="auto"/>
        <w:ind w:firstLine="370"/>
        <w:rPr>
          <w:rFonts w:ascii="宋体" w:hAnsi="宋体" w:cs="宋体"/>
          <w:spacing w:val="8"/>
          <w:kern w:val="0"/>
          <w:szCs w:val="21"/>
          <w:highlight w:val="none"/>
        </w:rPr>
      </w:pPr>
      <w:r>
        <w:rPr>
          <w:rFonts w:hint="eastAsia" w:ascii="宋体" w:hAnsi="宋体" w:cs="宋体"/>
          <w:spacing w:val="8"/>
          <w:kern w:val="0"/>
          <w:szCs w:val="21"/>
          <w:highlight w:val="none"/>
        </w:rPr>
        <w:t>1.5采购需求：</w:t>
      </w:r>
    </w:p>
    <w:p>
      <w:pPr>
        <w:widowControl/>
        <w:shd w:val="clear" w:color="auto" w:fill="FFFFFF" w:themeFill="background1"/>
        <w:spacing w:line="360" w:lineRule="auto"/>
        <w:ind w:left="420" w:leftChars="200" w:firstLine="452" w:firstLineChars="200"/>
        <w:rPr>
          <w:rFonts w:ascii="宋体" w:hAnsi="宋体" w:cs="宋体"/>
          <w:spacing w:val="8"/>
          <w:kern w:val="0"/>
          <w:szCs w:val="21"/>
          <w:highlight w:val="none"/>
        </w:rPr>
      </w:pPr>
      <w:r>
        <w:rPr>
          <w:rFonts w:hint="eastAsia" w:ascii="宋体" w:hAnsi="宋体" w:cs="宋体"/>
          <w:spacing w:val="8"/>
          <w:kern w:val="0"/>
          <w:szCs w:val="21"/>
          <w:highlight w:val="none"/>
        </w:rPr>
        <w:t>采购一套风洞实验室及其他系统、长航智能无人机研发测试平台、新能源电力电子研发平台、新型实心电阻研发测试试制平台、共用工具、高性能计算作业管理平台等设备及服务，</w:t>
      </w:r>
      <w:r>
        <w:rPr>
          <w:rFonts w:hint="eastAsia" w:ascii="宋体" w:hAnsi="宋体" w:cs="宋体"/>
          <w:szCs w:val="21"/>
          <w:highlight w:val="none"/>
        </w:rPr>
        <w:t>包含电缆、场地等配套设备工程，并提供5年运营服务。</w:t>
      </w:r>
      <w:r>
        <w:rPr>
          <w:rFonts w:hint="eastAsia" w:ascii="宋体" w:hAnsi="宋体" w:cs="宋体"/>
          <w:spacing w:val="8"/>
          <w:kern w:val="0"/>
          <w:szCs w:val="21"/>
          <w:highlight w:val="none"/>
        </w:rPr>
        <w:t>技术规格详见招标文件。</w:t>
      </w:r>
    </w:p>
    <w:p>
      <w:pPr>
        <w:widowControl/>
        <w:shd w:val="clear" w:color="auto" w:fill="FFFFFF" w:themeFill="background1"/>
        <w:spacing w:line="360" w:lineRule="auto"/>
        <w:ind w:left="474" w:leftChars="200" w:hanging="54" w:hangingChars="24"/>
        <w:rPr>
          <w:rFonts w:ascii="宋体" w:hAnsi="宋体" w:cs="宋体"/>
          <w:spacing w:val="8"/>
          <w:kern w:val="0"/>
          <w:szCs w:val="21"/>
          <w:highlight w:val="none"/>
        </w:rPr>
      </w:pPr>
      <w:r>
        <w:rPr>
          <w:rFonts w:hint="eastAsia" w:ascii="宋体" w:hAnsi="宋体" w:cs="宋体"/>
          <w:spacing w:val="8"/>
          <w:kern w:val="0"/>
          <w:szCs w:val="21"/>
          <w:highlight w:val="none"/>
        </w:rPr>
        <w:t>1.6合同履行期限：合同生效后</w:t>
      </w:r>
      <w:r>
        <w:rPr>
          <w:rFonts w:ascii="宋体" w:hAnsi="宋体" w:cs="宋体"/>
          <w:spacing w:val="8"/>
          <w:kern w:val="0"/>
          <w:szCs w:val="21"/>
          <w:highlight w:val="none"/>
        </w:rPr>
        <w:t>120</w:t>
      </w:r>
      <w:r>
        <w:rPr>
          <w:rFonts w:hint="eastAsia" w:ascii="宋体" w:hAnsi="宋体" w:cs="宋体"/>
          <w:spacing w:val="8"/>
          <w:kern w:val="0"/>
          <w:szCs w:val="21"/>
          <w:highlight w:val="none"/>
        </w:rPr>
        <w:t>天内将设备送达到采购人指定的现场，其中</w:t>
      </w:r>
      <w:r>
        <w:rPr>
          <w:rFonts w:hint="eastAsia" w:ascii="宋体" w:hAnsi="宋体" w:cs="宋体"/>
          <w:kern w:val="0"/>
          <w:szCs w:val="21"/>
          <w:highlight w:val="none"/>
        </w:rPr>
        <w:t>高速风洞及旋转测试平台交付周期为</w:t>
      </w:r>
      <w:r>
        <w:rPr>
          <w:rFonts w:ascii="宋体" w:hAnsi="宋体" w:cs="宋体"/>
          <w:kern w:val="0"/>
          <w:szCs w:val="21"/>
          <w:highlight w:val="none"/>
        </w:rPr>
        <w:t>60天</w:t>
      </w:r>
      <w:r>
        <w:rPr>
          <w:rFonts w:hint="eastAsia" w:ascii="宋体" w:hAnsi="宋体" w:cs="宋体"/>
          <w:spacing w:val="8"/>
          <w:kern w:val="0"/>
          <w:szCs w:val="21"/>
          <w:highlight w:val="none"/>
        </w:rPr>
        <w:t>。</w:t>
      </w:r>
    </w:p>
    <w:p>
      <w:pPr>
        <w:widowControl/>
        <w:shd w:val="clear" w:color="auto" w:fill="FFFFFF" w:themeFill="background1"/>
        <w:spacing w:line="360" w:lineRule="auto"/>
        <w:ind w:left="474" w:leftChars="200" w:hanging="54" w:hangingChars="24"/>
        <w:rPr>
          <w:rFonts w:ascii="宋体" w:hAnsi="宋体" w:cs="宋体"/>
          <w:spacing w:val="8"/>
          <w:kern w:val="0"/>
          <w:szCs w:val="21"/>
          <w:highlight w:val="none"/>
        </w:rPr>
      </w:pPr>
      <w:r>
        <w:rPr>
          <w:rFonts w:hint="eastAsia" w:ascii="宋体" w:hAnsi="宋体" w:cs="宋体"/>
          <w:spacing w:val="8"/>
          <w:kern w:val="0"/>
          <w:szCs w:val="21"/>
          <w:highlight w:val="none"/>
        </w:rPr>
        <w:t>1.7本项目不接受联合体投标。</w:t>
      </w:r>
    </w:p>
    <w:p>
      <w:pPr>
        <w:widowControl/>
        <w:shd w:val="clear" w:color="auto" w:fill="FFFFFF" w:themeFill="background1"/>
        <w:spacing w:line="360" w:lineRule="auto"/>
        <w:outlineLvl w:val="1"/>
        <w:rPr>
          <w:rFonts w:ascii="宋体" w:hAnsi="宋体" w:cs="宋体"/>
          <w:b/>
          <w:spacing w:val="8"/>
          <w:kern w:val="0"/>
          <w:szCs w:val="21"/>
          <w:highlight w:val="none"/>
        </w:rPr>
      </w:pPr>
      <w:r>
        <w:rPr>
          <w:rFonts w:hint="eastAsia" w:ascii="宋体" w:hAnsi="宋体" w:cs="宋体"/>
          <w:b/>
          <w:spacing w:val="8"/>
          <w:kern w:val="0"/>
          <w:szCs w:val="21"/>
          <w:highlight w:val="none"/>
        </w:rPr>
        <w:t>二、申请人的资格要求：</w:t>
      </w:r>
    </w:p>
    <w:p>
      <w:pPr>
        <w:widowControl/>
        <w:shd w:val="clear" w:color="auto" w:fill="FFFFFF" w:themeFill="background1"/>
        <w:spacing w:line="360" w:lineRule="auto"/>
        <w:ind w:firstLine="370"/>
        <w:rPr>
          <w:rFonts w:ascii="宋体" w:hAnsi="宋体" w:cs="宋体"/>
          <w:spacing w:val="8"/>
          <w:kern w:val="0"/>
          <w:szCs w:val="21"/>
          <w:highlight w:val="none"/>
        </w:rPr>
      </w:pPr>
      <w:r>
        <w:rPr>
          <w:rFonts w:hint="eastAsia" w:ascii="宋体" w:hAnsi="宋体" w:cs="宋体"/>
          <w:spacing w:val="8"/>
          <w:kern w:val="0"/>
          <w:szCs w:val="21"/>
          <w:highlight w:val="none"/>
        </w:rPr>
        <w:t>2.1满足《中华人民共和国政府采购法》第二十二条规定；</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 xml:space="preserve">（1）具有独立承担民事责任的能力（提供法人或者其他组织的营业执照；供应商为自然人的，提供其身份证）； </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（2）具有良好的商业信誉和健全的财务会计制度（提供2018年或2019年度的财务报告，或投标截止时间前六个月内银行出具的资信证明，或财政部门认可的政府采购专业担保机构出具的投标担保函）；</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（3）具有履行合同所必需的设备和专业技术能力（供应商根据履行采购项目合同需要，提供履行合同所必需的设备和专业技术能力的证明材料）；</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4）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（5）参加政府采购活动前三年内，在经营活动中没有重大违法记录（提供承诺书）；</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（6）法律、行政法规规定的其他条件：无</w:t>
      </w:r>
    </w:p>
    <w:p>
      <w:pPr>
        <w:widowControl/>
        <w:shd w:val="clear" w:color="auto" w:fill="FFFFFF" w:themeFill="background1"/>
        <w:spacing w:line="360" w:lineRule="auto"/>
        <w:ind w:firstLine="370"/>
        <w:rPr>
          <w:rFonts w:ascii="宋体" w:hAnsi="宋体" w:cs="宋体"/>
          <w:spacing w:val="8"/>
          <w:kern w:val="0"/>
          <w:szCs w:val="21"/>
          <w:highlight w:val="none"/>
        </w:rPr>
      </w:pPr>
      <w:r>
        <w:rPr>
          <w:rFonts w:hint="eastAsia" w:ascii="宋体" w:hAnsi="宋体" w:cs="宋体"/>
          <w:spacing w:val="8"/>
          <w:kern w:val="0"/>
          <w:szCs w:val="21"/>
          <w:highlight w:val="none"/>
        </w:rPr>
        <w:t>2.2落实政府采购政策需满足的资格要求：</w:t>
      </w:r>
      <w:r>
        <w:rPr>
          <w:rFonts w:hint="eastAsia" w:ascii="宋体" w:hAnsi="宋体" w:cs="宋体"/>
          <w:spacing w:val="8"/>
          <w:kern w:val="0"/>
          <w:szCs w:val="21"/>
          <w:highlight w:val="none"/>
          <w:u w:val="single"/>
        </w:rPr>
        <w:t>无</w:t>
      </w:r>
    </w:p>
    <w:p>
      <w:pPr>
        <w:widowControl/>
        <w:shd w:val="clear" w:color="auto" w:fill="FFFFFF" w:themeFill="background1"/>
        <w:spacing w:line="360" w:lineRule="auto"/>
        <w:ind w:firstLine="370"/>
        <w:rPr>
          <w:rFonts w:hint="eastAsia" w:ascii="宋体" w:hAnsi="宋体" w:eastAsia="宋体" w:cs="宋体"/>
          <w:i/>
          <w:iCs/>
          <w:spacing w:val="8"/>
          <w:kern w:val="0"/>
          <w:szCs w:val="21"/>
          <w:highlight w:val="none"/>
          <w:u w:val="single"/>
          <w:lang w:val="en-US" w:eastAsia="zh-CN"/>
        </w:rPr>
      </w:pPr>
      <w:r>
        <w:rPr>
          <w:rFonts w:hint="eastAsia" w:ascii="宋体" w:hAnsi="宋体" w:cs="宋体"/>
          <w:spacing w:val="8"/>
          <w:kern w:val="0"/>
          <w:szCs w:val="21"/>
          <w:highlight w:val="none"/>
        </w:rPr>
        <w:t xml:space="preserve">2.3 </w:t>
      </w:r>
      <w:r>
        <w:rPr>
          <w:rFonts w:hint="eastAsia" w:ascii="宋体" w:hAnsi="宋体" w:cs="宋体"/>
          <w:b/>
          <w:szCs w:val="21"/>
          <w:highlight w:val="none"/>
        </w:rPr>
        <w:t>采购人根据采购项目的特殊要求规定的特定条件，并提供符合特殊要求的证明材料或者情况说明：</w:t>
      </w:r>
      <w:r>
        <w:rPr>
          <w:rFonts w:hint="eastAsia" w:ascii="宋体" w:hAnsi="宋体" w:cs="宋体"/>
          <w:b/>
          <w:szCs w:val="21"/>
          <w:highlight w:val="none"/>
          <w:lang w:val="en-US" w:eastAsia="zh-CN"/>
        </w:rPr>
        <w:t>无。</w:t>
      </w:r>
    </w:p>
    <w:p>
      <w:pPr>
        <w:spacing w:line="360" w:lineRule="auto"/>
        <w:ind w:firstLine="456" w:firstLineChars="202"/>
        <w:rPr>
          <w:rFonts w:ascii="宋体" w:hAnsi="宋体" w:cs="宋体"/>
          <w:bCs/>
          <w:szCs w:val="21"/>
          <w:highlight w:val="none"/>
        </w:rPr>
      </w:pPr>
      <w:r>
        <w:rPr>
          <w:rFonts w:hint="eastAsia" w:ascii="宋体" w:hAnsi="宋体" w:cs="宋体"/>
          <w:spacing w:val="8"/>
          <w:kern w:val="0"/>
          <w:szCs w:val="21"/>
          <w:highlight w:val="none"/>
        </w:rPr>
        <w:t>2.4</w:t>
      </w:r>
      <w:r>
        <w:rPr>
          <w:rFonts w:hint="eastAsia" w:ascii="宋体" w:hAnsi="宋体" w:cs="宋体"/>
          <w:bCs/>
          <w:szCs w:val="21"/>
          <w:highlight w:val="none"/>
        </w:rPr>
        <w:t>第2.1（5）条所称重大违法记录，是指供应商因违法经营受到刑事处罚或者责令停产停业、吊销许可证或者执照、较大数额罚款等行政处罚。</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2.5 供应商在参加政府采购活动前3年内因违法经营被禁止在一定期限内参加政府采购活动，期限届满的，可以参加政府采购活动。</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2.6单位负责人为同一人或者存在直接控股、管理关系的不同供应商，不得参加同一合同项下的政府采购活动。</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为采购项目提供整体设计、规范编制或者项目管理、监理、检测等服务的供应商，不得再参加该采购项目的其他采购活动。</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2.7拒绝列入失信被执行人、重大税收违法案件当事人名单、政府采购严重违法失信行为记录名单的供应商参与政府采购活动。采购代理机构将在开标结束后，通过“中国政府采购网”、“信用中国”网站等渠道查询投标人信用记录并保存。</w:t>
      </w:r>
    </w:p>
    <w:p>
      <w:pPr>
        <w:spacing w:line="360" w:lineRule="auto"/>
        <w:ind w:firstLine="424" w:firstLineChars="202"/>
        <w:rPr>
          <w:rFonts w:ascii="宋体" w:hAnsi="宋体" w:cs="宋体"/>
          <w:bCs/>
          <w:szCs w:val="21"/>
          <w:highlight w:val="none"/>
        </w:rPr>
      </w:pPr>
      <w:r>
        <w:rPr>
          <w:rFonts w:hint="eastAsia" w:ascii="宋体" w:hAnsi="宋体" w:cs="宋体"/>
          <w:bCs/>
          <w:szCs w:val="21"/>
          <w:highlight w:val="none"/>
        </w:rPr>
        <w:t>2.8 在单一品目的货物采购招标中，同一品牌的产品有多家供应商参加投标，只能按照一家供应商计算。</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2.9 供应商应当从采购代理机构合法获得招标项目的招标文件。</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2.10勘察现场或答疑：无</w:t>
      </w:r>
    </w:p>
    <w:p>
      <w:pPr>
        <w:widowControl/>
        <w:shd w:val="clear" w:color="auto" w:fill="FFFFFF" w:themeFill="background1"/>
        <w:spacing w:line="360" w:lineRule="auto"/>
        <w:outlineLvl w:val="1"/>
        <w:rPr>
          <w:rFonts w:ascii="宋体" w:hAnsi="宋体" w:cs="宋体"/>
          <w:b/>
          <w:spacing w:val="8"/>
          <w:kern w:val="0"/>
          <w:szCs w:val="21"/>
          <w:highlight w:val="none"/>
        </w:rPr>
      </w:pPr>
      <w:r>
        <w:rPr>
          <w:rFonts w:hint="eastAsia" w:ascii="宋体" w:hAnsi="宋体" w:cs="宋体"/>
          <w:b/>
          <w:spacing w:val="8"/>
          <w:kern w:val="0"/>
          <w:szCs w:val="21"/>
          <w:highlight w:val="none"/>
        </w:rPr>
        <w:t>三、获取招标文件</w:t>
      </w:r>
    </w:p>
    <w:p>
      <w:pPr>
        <w:widowControl/>
        <w:shd w:val="clear" w:color="auto" w:fill="FFFFFF" w:themeFill="background1"/>
        <w:spacing w:line="360" w:lineRule="auto"/>
        <w:ind w:firstLine="360"/>
        <w:rPr>
          <w:rFonts w:ascii="宋体" w:hAnsi="宋体" w:cs="宋体"/>
          <w:spacing w:val="8"/>
          <w:kern w:val="0"/>
          <w:szCs w:val="21"/>
          <w:highlight w:val="none"/>
        </w:rPr>
      </w:pPr>
      <w:r>
        <w:rPr>
          <w:rFonts w:hint="eastAsia" w:ascii="宋体" w:hAnsi="宋体" w:cs="宋体"/>
          <w:spacing w:val="8"/>
          <w:kern w:val="0"/>
          <w:szCs w:val="21"/>
          <w:highlight w:val="none"/>
        </w:rPr>
        <w:t>3.1时间：</w:t>
      </w:r>
      <w:r>
        <w:rPr>
          <w:rFonts w:hint="eastAsia" w:ascii="宋体" w:hAnsi="宋体" w:cs="宋体"/>
          <w:szCs w:val="21"/>
          <w:highlight w:val="none"/>
          <w:u w:val="single" w:color="000000" w:themeColor="text1"/>
        </w:rPr>
        <w:t>2020</w:t>
      </w:r>
      <w:r>
        <w:rPr>
          <w:rFonts w:hint="eastAsia" w:ascii="宋体" w:hAnsi="宋体" w:cs="宋体"/>
          <w:szCs w:val="21"/>
          <w:highlight w:val="none"/>
        </w:rPr>
        <w:t>年</w:t>
      </w:r>
      <w:r>
        <w:rPr>
          <w:rFonts w:hint="eastAsia" w:ascii="宋体" w:hAnsi="宋体" w:cs="宋体"/>
          <w:szCs w:val="21"/>
          <w:highlight w:val="none"/>
          <w:u w:val="single" w:color="000000" w:themeColor="text1"/>
          <w:lang w:val="en-US" w:eastAsia="zh-CN"/>
        </w:rPr>
        <w:t>8</w:t>
      </w:r>
      <w:r>
        <w:rPr>
          <w:rFonts w:hint="eastAsia" w:ascii="宋体" w:hAnsi="宋体" w:cs="宋体"/>
          <w:szCs w:val="21"/>
          <w:highlight w:val="none"/>
        </w:rPr>
        <w:t>月</w:t>
      </w:r>
      <w:r>
        <w:rPr>
          <w:rFonts w:hint="eastAsia" w:ascii="宋体" w:hAnsi="宋体" w:cs="宋体"/>
          <w:szCs w:val="21"/>
          <w:highlight w:val="none"/>
          <w:u w:val="single" w:color="000000" w:themeColor="text1"/>
          <w:lang w:val="en-US" w:eastAsia="zh-CN"/>
        </w:rPr>
        <w:t>21</w:t>
      </w:r>
      <w:r>
        <w:rPr>
          <w:rFonts w:hint="eastAsia" w:ascii="宋体" w:hAnsi="宋体" w:cs="宋体"/>
          <w:szCs w:val="21"/>
          <w:highlight w:val="none"/>
        </w:rPr>
        <w:t>日17时</w:t>
      </w:r>
      <w:r>
        <w:rPr>
          <w:rFonts w:hint="eastAsia" w:ascii="宋体" w:hAnsi="宋体" w:cs="宋体"/>
          <w:spacing w:val="8"/>
          <w:kern w:val="0"/>
          <w:szCs w:val="21"/>
          <w:highlight w:val="none"/>
        </w:rPr>
        <w:t>至</w:t>
      </w:r>
      <w:r>
        <w:rPr>
          <w:rFonts w:hint="eastAsia" w:ascii="宋体" w:hAnsi="宋体" w:cs="宋体"/>
          <w:szCs w:val="21"/>
          <w:highlight w:val="none"/>
          <w:u w:val="single" w:color="000000" w:themeColor="text1"/>
        </w:rPr>
        <w:t>2020</w:t>
      </w:r>
      <w:r>
        <w:rPr>
          <w:rFonts w:hint="eastAsia" w:ascii="宋体" w:hAnsi="宋体" w:cs="宋体"/>
          <w:spacing w:val="8"/>
          <w:kern w:val="0"/>
          <w:szCs w:val="21"/>
          <w:highlight w:val="none"/>
        </w:rPr>
        <w:t>年</w:t>
      </w:r>
      <w:r>
        <w:rPr>
          <w:rFonts w:hint="eastAsia" w:ascii="宋体" w:hAnsi="宋体" w:cs="宋体"/>
          <w:spacing w:val="8"/>
          <w:kern w:val="0"/>
          <w:szCs w:val="21"/>
          <w:highlight w:val="none"/>
          <w:u w:val="single"/>
          <w:lang w:val="en-US" w:eastAsia="zh-CN"/>
        </w:rPr>
        <w:t>8</w:t>
      </w:r>
      <w:r>
        <w:rPr>
          <w:rFonts w:hint="eastAsia" w:ascii="宋体" w:hAnsi="宋体" w:cs="宋体"/>
          <w:spacing w:val="8"/>
          <w:kern w:val="0"/>
          <w:szCs w:val="21"/>
          <w:highlight w:val="none"/>
        </w:rPr>
        <w:t>月</w:t>
      </w:r>
      <w:r>
        <w:rPr>
          <w:rFonts w:hint="eastAsia" w:ascii="宋体" w:hAnsi="宋体" w:cs="宋体"/>
          <w:spacing w:val="8"/>
          <w:kern w:val="0"/>
          <w:szCs w:val="21"/>
          <w:highlight w:val="none"/>
          <w:u w:val="single"/>
          <w:lang w:val="en-US" w:eastAsia="zh-CN"/>
        </w:rPr>
        <w:t>28</w:t>
      </w:r>
      <w:r>
        <w:rPr>
          <w:rFonts w:hint="eastAsia" w:ascii="宋体" w:hAnsi="宋体" w:cs="宋体"/>
          <w:spacing w:val="8"/>
          <w:kern w:val="0"/>
          <w:szCs w:val="21"/>
          <w:highlight w:val="none"/>
        </w:rPr>
        <w:t>日</w:t>
      </w:r>
      <w:r>
        <w:rPr>
          <w:rFonts w:hint="eastAsia" w:ascii="宋体" w:hAnsi="宋体" w:cs="宋体"/>
          <w:szCs w:val="21"/>
          <w:highlight w:val="none"/>
        </w:rPr>
        <w:t>17时</w:t>
      </w:r>
      <w:r>
        <w:rPr>
          <w:rFonts w:hint="eastAsia" w:ascii="宋体" w:hAnsi="宋体" w:cs="宋体"/>
          <w:spacing w:val="8"/>
          <w:kern w:val="0"/>
          <w:szCs w:val="21"/>
          <w:highlight w:val="none"/>
        </w:rPr>
        <w:t>。（北京时间，法定节假日除外）</w:t>
      </w:r>
    </w:p>
    <w:p>
      <w:pPr>
        <w:widowControl/>
        <w:shd w:val="clear" w:color="auto" w:fill="FFFFFF" w:themeFill="background1"/>
        <w:spacing w:line="360" w:lineRule="auto"/>
        <w:ind w:firstLine="360"/>
        <w:rPr>
          <w:rFonts w:ascii="宋体" w:hAnsi="宋体" w:cs="宋体"/>
          <w:spacing w:val="8"/>
          <w:kern w:val="0"/>
          <w:szCs w:val="21"/>
          <w:highlight w:val="none"/>
        </w:rPr>
      </w:pPr>
      <w:r>
        <w:rPr>
          <w:rFonts w:hint="eastAsia" w:ascii="宋体" w:hAnsi="宋体" w:cs="宋体"/>
          <w:spacing w:val="8"/>
          <w:kern w:val="0"/>
          <w:szCs w:val="21"/>
          <w:highlight w:val="none"/>
        </w:rPr>
        <w:t>3.2地点：登录中招联合招标采购平台（以下简称平台）网址为：http://www.365trade.com.cn/</w:t>
      </w:r>
    </w:p>
    <w:p>
      <w:pPr>
        <w:widowControl/>
        <w:shd w:val="clear" w:color="auto" w:fill="FFFFFF" w:themeFill="background1"/>
        <w:spacing w:line="360" w:lineRule="auto"/>
        <w:ind w:firstLine="360"/>
        <w:rPr>
          <w:rFonts w:ascii="宋体" w:hAnsi="宋体" w:cs="宋体"/>
          <w:spacing w:val="8"/>
          <w:kern w:val="0"/>
          <w:szCs w:val="21"/>
          <w:highlight w:val="none"/>
        </w:rPr>
      </w:pPr>
      <w:r>
        <w:rPr>
          <w:rFonts w:hint="eastAsia" w:ascii="宋体" w:hAnsi="宋体" w:cs="宋体"/>
          <w:spacing w:val="8"/>
          <w:kern w:val="0"/>
          <w:szCs w:val="21"/>
          <w:highlight w:val="none"/>
        </w:rPr>
        <w:t>3.3方式：</w:t>
      </w:r>
    </w:p>
    <w:p>
      <w:pPr>
        <w:widowControl/>
        <w:shd w:val="clear" w:color="auto" w:fill="FFFFFF" w:themeFill="background1"/>
        <w:spacing w:line="360" w:lineRule="auto"/>
        <w:ind w:firstLine="360"/>
        <w:rPr>
          <w:rFonts w:ascii="宋体" w:hAnsi="宋体" w:cs="宋体"/>
          <w:spacing w:val="8"/>
          <w:kern w:val="0"/>
          <w:szCs w:val="21"/>
          <w:highlight w:val="none"/>
        </w:rPr>
      </w:pPr>
      <w:r>
        <w:rPr>
          <w:rFonts w:hint="eastAsia" w:ascii="宋体" w:hAnsi="宋体" w:cs="宋体"/>
          <w:spacing w:val="8"/>
          <w:kern w:val="0"/>
          <w:szCs w:val="21"/>
          <w:highlight w:val="none"/>
        </w:rPr>
        <w:t>（1）</w:t>
      </w:r>
      <w:r>
        <w:rPr>
          <w:rFonts w:hint="eastAsia" w:ascii="宋体" w:hAnsi="宋体" w:cs="宋体"/>
          <w:szCs w:val="21"/>
          <w:highlight w:val="none"/>
        </w:rPr>
        <w:t>登陆平台下载电子招标文件。</w:t>
      </w:r>
      <w:r>
        <w:rPr>
          <w:rFonts w:hint="eastAsia" w:ascii="宋体" w:hAnsi="宋体" w:cs="宋体"/>
          <w:spacing w:val="8"/>
          <w:kern w:val="0"/>
          <w:szCs w:val="21"/>
          <w:highlight w:val="none"/>
        </w:rPr>
        <w:t>下载者首次登陆平台前，须前往平台免费注册，平台将对下载者注册信息与其提供扫描件信息进行一致性检查。注册为一次性工作，以后若有需要可变更及完善相关信息；注册成功后，可以及时参与平台上所有发布的采购项目；同一单位不同的经办人可各自建立不同账户。</w:t>
      </w:r>
    </w:p>
    <w:p>
      <w:pPr>
        <w:widowControl/>
        <w:shd w:val="clear" w:color="auto" w:fill="FFFFFF" w:themeFill="background1"/>
        <w:spacing w:line="360" w:lineRule="auto"/>
        <w:ind w:firstLine="360"/>
        <w:rPr>
          <w:rFonts w:ascii="宋体" w:hAnsi="宋体" w:cs="宋体"/>
          <w:szCs w:val="21"/>
          <w:highlight w:val="none"/>
        </w:rPr>
      </w:pPr>
      <w:r>
        <w:rPr>
          <w:rFonts w:hint="eastAsia" w:ascii="宋体" w:hAnsi="宋体" w:cs="宋体"/>
          <w:szCs w:val="21"/>
          <w:highlight w:val="none"/>
        </w:rPr>
        <w:t>（2）下载者应充分考虑平台注册、信息检查、资料上传、费用支付所需时间，下载者必须在前述时间段内完成支付，否则将无法保证获取电子招标文件。</w:t>
      </w:r>
    </w:p>
    <w:p>
      <w:pPr>
        <w:widowControl/>
        <w:shd w:val="clear" w:color="auto" w:fill="FFFFFF" w:themeFill="background1"/>
        <w:spacing w:line="360" w:lineRule="auto"/>
        <w:ind w:firstLine="360"/>
        <w:rPr>
          <w:rFonts w:ascii="宋体" w:hAnsi="宋体" w:cs="宋体"/>
          <w:szCs w:val="21"/>
          <w:highlight w:val="none"/>
        </w:rPr>
      </w:pPr>
      <w:r>
        <w:rPr>
          <w:rFonts w:hint="eastAsia" w:ascii="宋体" w:hAnsi="宋体" w:cs="宋体"/>
          <w:szCs w:val="21"/>
          <w:highlight w:val="none"/>
        </w:rPr>
        <w:t>（3）下载者选择“需要邮购纸质标书”的，需支付邮购费，采购代理机构将在文件下载后的1个工作日内寄送。</w:t>
      </w:r>
    </w:p>
    <w:p>
      <w:pPr>
        <w:widowControl/>
        <w:shd w:val="clear" w:color="auto" w:fill="FFFFFF" w:themeFill="background1"/>
        <w:spacing w:line="360" w:lineRule="auto"/>
        <w:ind w:firstLine="360"/>
        <w:rPr>
          <w:rFonts w:ascii="宋体" w:hAnsi="宋体" w:cs="宋体"/>
          <w:szCs w:val="21"/>
          <w:highlight w:val="none"/>
        </w:rPr>
      </w:pPr>
      <w:r>
        <w:rPr>
          <w:rFonts w:hint="eastAsia" w:ascii="宋体" w:hAnsi="宋体" w:cs="宋体"/>
          <w:szCs w:val="21"/>
          <w:highlight w:val="none"/>
        </w:rPr>
        <w:t>（4）下载者需要发票的，须通过平台“发票管理”模块进行操作。招标文件服务费及邮购费发票由采购代理机构出具；下载者选择出具增值税普通发票的，可在支付后3日内登陆前述模块下载增值税电子普通发票；选择出具增值税专用发票的，可在开标时在开标现场领取；平台服务费发票由中招联合信息股份有限公司（以下简称平台公司）自动出具增值税电子普通发票，下载者可在支付后3日内登陆前述模块下载。非因采购代理机构或平台公司原因，发票一经开具不予退换。</w:t>
      </w:r>
    </w:p>
    <w:p>
      <w:pPr>
        <w:widowControl/>
        <w:shd w:val="clear" w:color="auto" w:fill="FFFFFF" w:themeFill="background1"/>
        <w:spacing w:line="360" w:lineRule="auto"/>
        <w:ind w:firstLine="360"/>
        <w:rPr>
          <w:rFonts w:ascii="宋体" w:hAnsi="宋体" w:cs="宋体"/>
          <w:szCs w:val="21"/>
          <w:highlight w:val="none"/>
        </w:rPr>
      </w:pPr>
      <w:r>
        <w:rPr>
          <w:rFonts w:hint="eastAsia" w:ascii="宋体" w:hAnsi="宋体" w:cs="宋体"/>
          <w:szCs w:val="21"/>
          <w:highlight w:val="none"/>
        </w:rPr>
        <w:t>（5）平台网站首页“帮助中心”提供操作手册，下载者可以下载并根据操作手册提示进行注册、登录、下载支付、发票开具领取等操作。平台咨询电话为：010-86397110，服务时间为工作日上午9时至12时，下午1时到6时。平台会通过短信提醒下载者进行注册、支付、下载等操作。</w:t>
      </w:r>
    </w:p>
    <w:p>
      <w:pPr>
        <w:widowControl/>
        <w:shd w:val="clear" w:color="auto" w:fill="FFFFFF" w:themeFill="background1"/>
        <w:spacing w:line="360" w:lineRule="auto"/>
        <w:ind w:firstLine="360"/>
        <w:rPr>
          <w:rFonts w:ascii="宋体" w:hAnsi="宋体" w:cs="宋体"/>
          <w:spacing w:val="8"/>
          <w:kern w:val="0"/>
          <w:szCs w:val="21"/>
          <w:highlight w:val="none"/>
        </w:rPr>
      </w:pPr>
      <w:r>
        <w:rPr>
          <w:rFonts w:hint="eastAsia" w:ascii="宋体" w:hAnsi="宋体" w:cs="宋体"/>
          <w:szCs w:val="21"/>
          <w:highlight w:val="none"/>
        </w:rPr>
        <w:t>（6）联合体投标（如允许）的，联合体各方应当指定牵头人，并授权其以自身名义在平台办理注册、购买文件等手续，其在平台的办理行为，对联合体各方均具有约束力。</w:t>
      </w:r>
    </w:p>
    <w:p>
      <w:pPr>
        <w:widowControl/>
        <w:shd w:val="clear" w:color="auto" w:fill="FFFFFF" w:themeFill="background1"/>
        <w:spacing w:line="360" w:lineRule="auto"/>
        <w:ind w:firstLine="360"/>
        <w:rPr>
          <w:rFonts w:ascii="宋体" w:hAnsi="宋体" w:cs="宋体"/>
          <w:szCs w:val="21"/>
          <w:highlight w:val="none"/>
        </w:rPr>
      </w:pPr>
      <w:r>
        <w:rPr>
          <w:rFonts w:hint="eastAsia" w:ascii="宋体" w:hAnsi="宋体" w:cs="宋体"/>
          <w:spacing w:val="8"/>
          <w:kern w:val="0"/>
          <w:szCs w:val="21"/>
          <w:highlight w:val="none"/>
        </w:rPr>
        <w:t>3.4招标文件服务费</w:t>
      </w:r>
      <w:r>
        <w:rPr>
          <w:rFonts w:hint="eastAsia" w:ascii="宋体" w:hAnsi="宋体" w:cs="宋体"/>
          <w:szCs w:val="21"/>
          <w:highlight w:val="none"/>
        </w:rPr>
        <w:t>每套</w:t>
      </w:r>
      <w:r>
        <w:rPr>
          <w:rFonts w:hint="eastAsia" w:ascii="宋体" w:hAnsi="宋体" w:cs="宋体"/>
          <w:szCs w:val="21"/>
          <w:highlight w:val="none"/>
          <w:u w:val="single" w:color="000000" w:themeColor="text1"/>
        </w:rPr>
        <w:t>500</w:t>
      </w:r>
      <w:r>
        <w:rPr>
          <w:rFonts w:hint="eastAsia" w:ascii="宋体" w:hAnsi="宋体" w:cs="宋体"/>
          <w:szCs w:val="21"/>
          <w:highlight w:val="none"/>
        </w:rPr>
        <w:t>元，平台服务费200元，下载后不退。</w:t>
      </w:r>
    </w:p>
    <w:p>
      <w:pPr>
        <w:widowControl/>
        <w:shd w:val="clear" w:color="auto" w:fill="FFFFFF" w:themeFill="background1"/>
        <w:spacing w:line="360" w:lineRule="auto"/>
        <w:ind w:firstLine="360"/>
        <w:rPr>
          <w:rFonts w:ascii="宋体" w:hAnsi="宋体" w:cs="宋体"/>
          <w:spacing w:val="8"/>
          <w:kern w:val="0"/>
          <w:szCs w:val="21"/>
          <w:highlight w:val="none"/>
        </w:rPr>
      </w:pPr>
    </w:p>
    <w:p>
      <w:pPr>
        <w:widowControl/>
        <w:shd w:val="clear" w:color="auto" w:fill="FFFFFF" w:themeFill="background1"/>
        <w:spacing w:line="360" w:lineRule="auto"/>
        <w:outlineLvl w:val="1"/>
        <w:rPr>
          <w:rFonts w:ascii="宋体" w:hAnsi="宋体" w:cs="宋体"/>
          <w:b/>
          <w:spacing w:val="8"/>
          <w:kern w:val="0"/>
          <w:szCs w:val="21"/>
          <w:highlight w:val="none"/>
        </w:rPr>
      </w:pPr>
      <w:r>
        <w:rPr>
          <w:rFonts w:hint="eastAsia" w:ascii="宋体" w:hAnsi="宋体" w:cs="宋体"/>
          <w:b/>
          <w:spacing w:val="8"/>
          <w:kern w:val="0"/>
          <w:szCs w:val="21"/>
          <w:highlight w:val="none"/>
        </w:rPr>
        <w:t>四、提交投标文件截止时间、开标时间和地点</w:t>
      </w:r>
    </w:p>
    <w:p>
      <w:pPr>
        <w:widowControl/>
        <w:shd w:val="clear" w:color="auto" w:fill="FFFFFF" w:themeFill="background1"/>
        <w:spacing w:line="360" w:lineRule="auto"/>
        <w:ind w:firstLine="370"/>
        <w:rPr>
          <w:rFonts w:ascii="宋体" w:hAnsi="宋体" w:cs="宋体"/>
          <w:spacing w:val="8"/>
          <w:kern w:val="0"/>
          <w:szCs w:val="21"/>
          <w:highlight w:val="none"/>
        </w:rPr>
      </w:pPr>
      <w:r>
        <w:rPr>
          <w:rFonts w:hint="eastAsia" w:ascii="宋体" w:hAnsi="宋体" w:cs="宋体"/>
          <w:spacing w:val="8"/>
          <w:kern w:val="0"/>
          <w:szCs w:val="21"/>
          <w:highlight w:val="none"/>
        </w:rPr>
        <w:t xml:space="preserve">4.1 </w:t>
      </w:r>
      <w:r>
        <w:rPr>
          <w:rFonts w:hint="eastAsia" w:ascii="宋体" w:hAnsi="宋体" w:cs="宋体"/>
          <w:spacing w:val="8"/>
          <w:kern w:val="0"/>
          <w:szCs w:val="21"/>
          <w:highlight w:val="none"/>
          <w:u w:val="single"/>
        </w:rPr>
        <w:t>2020</w:t>
      </w:r>
      <w:r>
        <w:rPr>
          <w:rFonts w:hint="eastAsia" w:ascii="宋体" w:hAnsi="宋体" w:cs="宋体"/>
          <w:spacing w:val="8"/>
          <w:kern w:val="0"/>
          <w:szCs w:val="21"/>
          <w:highlight w:val="none"/>
        </w:rPr>
        <w:t>年</w:t>
      </w:r>
      <w:r>
        <w:rPr>
          <w:rFonts w:hint="eastAsia" w:ascii="宋体" w:hAnsi="宋体" w:cs="宋体"/>
          <w:spacing w:val="8"/>
          <w:kern w:val="0"/>
          <w:szCs w:val="21"/>
          <w:highlight w:val="none"/>
          <w:u w:val="single"/>
          <w:lang w:val="en-US" w:eastAsia="zh-CN"/>
        </w:rPr>
        <w:t>9</w:t>
      </w:r>
      <w:r>
        <w:rPr>
          <w:rFonts w:hint="eastAsia" w:ascii="宋体" w:hAnsi="宋体" w:cs="宋体"/>
          <w:spacing w:val="8"/>
          <w:kern w:val="0"/>
          <w:szCs w:val="21"/>
          <w:highlight w:val="none"/>
        </w:rPr>
        <w:t>月</w:t>
      </w:r>
      <w:r>
        <w:rPr>
          <w:rFonts w:hint="eastAsia" w:ascii="宋体" w:hAnsi="宋体" w:cs="宋体"/>
          <w:spacing w:val="8"/>
          <w:kern w:val="0"/>
          <w:szCs w:val="21"/>
          <w:highlight w:val="none"/>
          <w:u w:val="single"/>
          <w:lang w:val="en-US" w:eastAsia="zh-CN"/>
        </w:rPr>
        <w:t>11</w:t>
      </w:r>
      <w:r>
        <w:rPr>
          <w:rFonts w:hint="eastAsia" w:ascii="宋体" w:hAnsi="宋体" w:cs="宋体"/>
          <w:spacing w:val="8"/>
          <w:kern w:val="0"/>
          <w:szCs w:val="21"/>
          <w:highlight w:val="none"/>
        </w:rPr>
        <w:t>日</w:t>
      </w:r>
      <w:r>
        <w:rPr>
          <w:rFonts w:hint="eastAsia" w:ascii="宋体" w:hAnsi="宋体" w:cs="宋体"/>
          <w:spacing w:val="8"/>
          <w:kern w:val="0"/>
          <w:szCs w:val="21"/>
          <w:highlight w:val="none"/>
          <w:u w:val="single"/>
        </w:rPr>
        <w:t>14</w:t>
      </w:r>
      <w:r>
        <w:rPr>
          <w:rFonts w:hint="eastAsia" w:ascii="宋体" w:hAnsi="宋体" w:cs="宋体"/>
          <w:spacing w:val="8"/>
          <w:kern w:val="0"/>
          <w:szCs w:val="21"/>
          <w:highlight w:val="none"/>
        </w:rPr>
        <w:t>点</w:t>
      </w:r>
      <w:r>
        <w:rPr>
          <w:rFonts w:hint="eastAsia" w:ascii="宋体" w:hAnsi="宋体" w:cs="宋体"/>
          <w:spacing w:val="8"/>
          <w:kern w:val="0"/>
          <w:szCs w:val="21"/>
          <w:highlight w:val="none"/>
          <w:u w:val="single"/>
        </w:rPr>
        <w:t>00</w:t>
      </w:r>
      <w:r>
        <w:rPr>
          <w:rFonts w:hint="eastAsia" w:ascii="宋体" w:hAnsi="宋体" w:cs="宋体"/>
          <w:spacing w:val="8"/>
          <w:kern w:val="0"/>
          <w:szCs w:val="21"/>
          <w:highlight w:val="none"/>
        </w:rPr>
        <w:t>分（北京时间）</w:t>
      </w:r>
    </w:p>
    <w:p>
      <w:pPr>
        <w:widowControl/>
        <w:shd w:val="clear" w:color="auto" w:fill="FFFFFF" w:themeFill="background1"/>
        <w:spacing w:line="360" w:lineRule="auto"/>
        <w:ind w:firstLine="370"/>
        <w:rPr>
          <w:rFonts w:hint="default" w:ascii="宋体" w:hAnsi="宋体" w:eastAsia="宋体" w:cs="宋体"/>
          <w:spacing w:val="8"/>
          <w:kern w:val="0"/>
          <w:szCs w:val="21"/>
          <w:highlight w:val="none"/>
          <w:lang w:val="en-US" w:eastAsia="zh-CN"/>
        </w:rPr>
      </w:pPr>
      <w:r>
        <w:rPr>
          <w:rFonts w:hint="eastAsia" w:ascii="宋体" w:hAnsi="宋体" w:cs="宋体"/>
          <w:spacing w:val="8"/>
          <w:kern w:val="0"/>
          <w:szCs w:val="21"/>
          <w:highlight w:val="none"/>
        </w:rPr>
        <w:t>4.2地点：南京市山西路江苏成套大厦</w:t>
      </w:r>
      <w:r>
        <w:rPr>
          <w:rFonts w:hint="eastAsia" w:ascii="宋体" w:hAnsi="宋体" w:cs="宋体"/>
          <w:spacing w:val="8"/>
          <w:kern w:val="0"/>
          <w:szCs w:val="21"/>
          <w:highlight w:val="none"/>
          <w:lang w:val="en-US" w:eastAsia="zh-CN"/>
        </w:rPr>
        <w:t>1楼东大厅</w:t>
      </w:r>
      <w:bookmarkStart w:id="16" w:name="_GoBack"/>
      <w:bookmarkEnd w:id="16"/>
    </w:p>
    <w:p>
      <w:pPr>
        <w:widowControl/>
        <w:shd w:val="clear" w:color="auto" w:fill="FFFFFF" w:themeFill="background1"/>
        <w:spacing w:line="360" w:lineRule="auto"/>
        <w:ind w:firstLine="370"/>
        <w:rPr>
          <w:rFonts w:ascii="宋体" w:hAnsi="宋体" w:cs="宋体"/>
          <w:szCs w:val="21"/>
          <w:highlight w:val="none"/>
        </w:rPr>
      </w:pPr>
      <w:r>
        <w:rPr>
          <w:rFonts w:hint="eastAsia" w:ascii="宋体" w:hAnsi="宋体" w:cs="宋体"/>
          <w:spacing w:val="8"/>
          <w:kern w:val="0"/>
          <w:szCs w:val="21"/>
          <w:highlight w:val="none"/>
        </w:rPr>
        <w:t>4.3</w:t>
      </w:r>
      <w:r>
        <w:rPr>
          <w:rFonts w:hint="eastAsia" w:ascii="宋体" w:hAnsi="宋体" w:cs="宋体"/>
          <w:szCs w:val="21"/>
          <w:highlight w:val="none"/>
        </w:rPr>
        <w:t>投标人应提供纸质版本五份（一正四副）、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w:t>
      </w:r>
    </w:p>
    <w:p>
      <w:pPr>
        <w:widowControl/>
        <w:shd w:val="clear" w:color="auto" w:fill="FFFFFF" w:themeFill="background1"/>
        <w:spacing w:line="360" w:lineRule="auto"/>
        <w:outlineLvl w:val="1"/>
        <w:rPr>
          <w:rFonts w:ascii="宋体" w:hAnsi="宋体" w:cs="宋体"/>
          <w:b/>
          <w:spacing w:val="8"/>
          <w:kern w:val="0"/>
          <w:szCs w:val="21"/>
          <w:highlight w:val="none"/>
        </w:rPr>
      </w:pPr>
      <w:r>
        <w:rPr>
          <w:rFonts w:hint="eastAsia" w:ascii="宋体" w:hAnsi="宋体" w:cs="宋体"/>
          <w:b/>
          <w:spacing w:val="8"/>
          <w:kern w:val="0"/>
          <w:szCs w:val="21"/>
          <w:highlight w:val="none"/>
        </w:rPr>
        <w:t>五、公告期限</w:t>
      </w:r>
    </w:p>
    <w:p>
      <w:pPr>
        <w:widowControl/>
        <w:shd w:val="clear" w:color="auto" w:fill="FFFFFF" w:themeFill="background1"/>
        <w:spacing w:line="360" w:lineRule="auto"/>
        <w:ind w:firstLine="370"/>
        <w:rPr>
          <w:rFonts w:ascii="宋体" w:hAnsi="宋体" w:cs="宋体"/>
          <w:spacing w:val="8"/>
          <w:kern w:val="0"/>
          <w:szCs w:val="21"/>
          <w:highlight w:val="none"/>
        </w:rPr>
      </w:pPr>
      <w:r>
        <w:rPr>
          <w:rFonts w:hint="eastAsia" w:ascii="宋体" w:hAnsi="宋体" w:cs="宋体"/>
          <w:spacing w:val="8"/>
          <w:kern w:val="0"/>
          <w:szCs w:val="21"/>
          <w:highlight w:val="none"/>
        </w:rPr>
        <w:t>自本公告发布之日起5个工作日。</w:t>
      </w:r>
    </w:p>
    <w:p>
      <w:pPr>
        <w:widowControl/>
        <w:shd w:val="clear" w:color="auto" w:fill="FFFFFF" w:themeFill="background1"/>
        <w:spacing w:line="360" w:lineRule="auto"/>
        <w:outlineLvl w:val="1"/>
        <w:rPr>
          <w:rFonts w:ascii="宋体" w:hAnsi="宋体" w:cs="宋体"/>
          <w:b/>
          <w:spacing w:val="8"/>
          <w:kern w:val="0"/>
          <w:szCs w:val="21"/>
          <w:highlight w:val="none"/>
        </w:rPr>
      </w:pPr>
      <w:r>
        <w:rPr>
          <w:rFonts w:hint="eastAsia" w:ascii="宋体" w:hAnsi="宋体" w:cs="宋体"/>
          <w:b/>
          <w:spacing w:val="8"/>
          <w:kern w:val="0"/>
          <w:szCs w:val="21"/>
          <w:highlight w:val="none"/>
        </w:rPr>
        <w:t>六、其他补充事宜</w:t>
      </w:r>
    </w:p>
    <w:p>
      <w:pPr>
        <w:widowControl/>
        <w:shd w:val="clear" w:color="auto" w:fill="FFFFFF" w:themeFill="background1"/>
        <w:spacing w:line="360" w:lineRule="auto"/>
        <w:ind w:firstLine="363" w:firstLineChars="173"/>
        <w:rPr>
          <w:rFonts w:ascii="宋体" w:hAnsi="宋体" w:cs="宋体"/>
          <w:szCs w:val="21"/>
          <w:highlight w:val="none"/>
          <w:lang w:val="zh-CN"/>
        </w:rPr>
      </w:pPr>
      <w:r>
        <w:rPr>
          <w:rFonts w:hint="eastAsia" w:ascii="宋体" w:hAnsi="宋体" w:cs="宋体"/>
          <w:szCs w:val="21"/>
          <w:highlight w:val="none"/>
          <w:lang w:val="zh-CN"/>
        </w:rPr>
        <w:t>6.1本项目在</w:t>
      </w:r>
      <w:r>
        <w:rPr>
          <w:rFonts w:hint="eastAsia" w:ascii="宋体" w:hAnsi="宋体" w:cs="宋体"/>
          <w:szCs w:val="21"/>
          <w:highlight w:val="none"/>
          <w:lang w:val="en-US" w:eastAsia="zh-CN"/>
        </w:rPr>
        <w:t xml:space="preserve"> </w:t>
      </w:r>
      <w:r>
        <w:rPr>
          <w:rFonts w:hint="eastAsia" w:ascii="宋体" w:hAnsi="宋体" w:cs="宋体"/>
          <w:szCs w:val="21"/>
          <w:highlight w:val="none"/>
          <w:lang w:val="zh-CN"/>
        </w:rPr>
        <w:t>江苏政府采购网、</w:t>
      </w:r>
      <w:r>
        <w:rPr>
          <w:rFonts w:hint="eastAsia" w:ascii="宋体" w:hAnsi="宋体" w:cs="宋体"/>
          <w:szCs w:val="21"/>
          <w:highlight w:val="none"/>
          <w:lang w:val="en-US" w:eastAsia="zh-CN"/>
        </w:rPr>
        <w:t>中国政府采购网</w:t>
      </w:r>
      <w:r>
        <w:rPr>
          <w:rFonts w:hint="eastAsia" w:ascii="宋体" w:hAnsi="宋体" w:cs="宋体"/>
          <w:szCs w:val="21"/>
          <w:highlight w:val="none"/>
          <w:lang w:val="zh-CN"/>
        </w:rPr>
        <w:t>网站发布公告。</w:t>
      </w:r>
    </w:p>
    <w:p>
      <w:pPr>
        <w:widowControl/>
        <w:shd w:val="clear" w:color="auto" w:fill="FFFFFF" w:themeFill="background1"/>
        <w:spacing w:line="360" w:lineRule="auto"/>
        <w:ind w:firstLine="363" w:firstLineChars="173"/>
        <w:rPr>
          <w:rFonts w:ascii="宋体" w:hAnsi="宋体" w:cs="宋体"/>
          <w:szCs w:val="21"/>
          <w:highlight w:val="none"/>
          <w:lang w:val="zh-CN"/>
        </w:rPr>
      </w:pPr>
      <w:r>
        <w:rPr>
          <w:rFonts w:hint="eastAsia" w:ascii="宋体" w:hAnsi="宋体" w:cs="宋体"/>
          <w:szCs w:val="21"/>
          <w:highlight w:val="none"/>
          <w:lang w:val="zh-CN"/>
        </w:rPr>
        <w:t>6.2 采购项目需要落实的政府采购政策：</w:t>
      </w:r>
    </w:p>
    <w:p>
      <w:pPr>
        <w:widowControl/>
        <w:shd w:val="clear" w:color="auto" w:fill="FFFFFF" w:themeFill="background1"/>
        <w:spacing w:line="360" w:lineRule="auto"/>
        <w:ind w:firstLine="363" w:firstLineChars="173"/>
        <w:rPr>
          <w:rFonts w:ascii="宋体" w:hAnsi="宋体" w:cs="宋体"/>
          <w:szCs w:val="21"/>
          <w:highlight w:val="none"/>
          <w:lang w:val="zh-CN"/>
        </w:rPr>
      </w:pPr>
      <w:r>
        <w:rPr>
          <w:rFonts w:hint="eastAsia" w:ascii="宋体" w:hAnsi="宋体" w:cs="宋体"/>
          <w:szCs w:val="21"/>
          <w:highlight w:val="none"/>
          <w:lang w:val="zh-CN"/>
        </w:rPr>
        <w:t>（1）政府采购促进中小企业发展</w:t>
      </w:r>
    </w:p>
    <w:p>
      <w:pPr>
        <w:widowControl/>
        <w:shd w:val="clear" w:color="auto" w:fill="FFFFFF" w:themeFill="background1"/>
        <w:spacing w:line="360" w:lineRule="auto"/>
        <w:ind w:firstLine="363" w:firstLineChars="173"/>
        <w:rPr>
          <w:rFonts w:ascii="宋体" w:hAnsi="宋体" w:cs="宋体"/>
          <w:szCs w:val="21"/>
          <w:highlight w:val="none"/>
          <w:lang w:val="zh-CN"/>
        </w:rPr>
      </w:pPr>
      <w:r>
        <w:rPr>
          <w:rFonts w:hint="eastAsia" w:ascii="宋体" w:hAnsi="宋体" w:cs="宋体"/>
          <w:szCs w:val="21"/>
          <w:highlight w:val="none"/>
          <w:lang w:val="zh-CN"/>
        </w:rPr>
        <w:t>（2）政府采购支持监狱企业发展</w:t>
      </w:r>
    </w:p>
    <w:p>
      <w:pPr>
        <w:widowControl/>
        <w:shd w:val="clear" w:color="auto" w:fill="FFFFFF" w:themeFill="background1"/>
        <w:spacing w:line="360" w:lineRule="auto"/>
        <w:ind w:firstLine="363" w:firstLineChars="173"/>
        <w:rPr>
          <w:rFonts w:ascii="宋体" w:hAnsi="宋体" w:cs="宋体"/>
          <w:szCs w:val="21"/>
          <w:highlight w:val="none"/>
          <w:lang w:val="zh-CN"/>
        </w:rPr>
      </w:pPr>
      <w:r>
        <w:rPr>
          <w:rFonts w:hint="eastAsia" w:ascii="宋体" w:hAnsi="宋体" w:cs="宋体"/>
          <w:szCs w:val="21"/>
          <w:highlight w:val="none"/>
          <w:lang w:val="zh-CN"/>
        </w:rPr>
        <w:t>（3）政府采购促进残疾人就业</w:t>
      </w:r>
    </w:p>
    <w:p>
      <w:pPr>
        <w:widowControl/>
        <w:shd w:val="clear" w:color="auto" w:fill="FFFFFF" w:themeFill="background1"/>
        <w:spacing w:line="360" w:lineRule="auto"/>
        <w:ind w:firstLine="363" w:firstLineChars="173"/>
        <w:rPr>
          <w:rFonts w:ascii="宋体" w:hAnsi="宋体" w:cs="宋体"/>
          <w:szCs w:val="21"/>
          <w:highlight w:val="none"/>
          <w:lang w:val="zh-CN"/>
        </w:rPr>
      </w:pPr>
      <w:r>
        <w:rPr>
          <w:rFonts w:hint="eastAsia" w:ascii="宋体" w:hAnsi="宋体" w:cs="宋体"/>
          <w:szCs w:val="21"/>
          <w:highlight w:val="none"/>
          <w:lang w:val="zh-CN"/>
        </w:rPr>
        <w:t>（4）政府采购鼓励采购节能环保产品</w:t>
      </w:r>
    </w:p>
    <w:p>
      <w:pPr>
        <w:widowControl/>
        <w:shd w:val="clear" w:color="auto" w:fill="FFFFFF" w:themeFill="background1"/>
        <w:spacing w:line="360" w:lineRule="auto"/>
        <w:ind w:firstLine="363" w:firstLineChars="173"/>
        <w:rPr>
          <w:rFonts w:ascii="宋体" w:hAnsi="宋体" w:cs="宋体"/>
          <w:szCs w:val="21"/>
          <w:highlight w:val="none"/>
          <w:lang w:val="zh-CN"/>
        </w:rPr>
      </w:pPr>
      <w:r>
        <w:rPr>
          <w:rFonts w:hint="eastAsia" w:ascii="宋体" w:hAnsi="宋体" w:cs="宋体"/>
          <w:szCs w:val="21"/>
          <w:highlight w:val="none"/>
          <w:lang w:val="zh-CN"/>
        </w:rPr>
        <w:t>6.3供应商诚信档案管理</w:t>
      </w:r>
    </w:p>
    <w:p>
      <w:pPr>
        <w:widowControl/>
        <w:shd w:val="clear" w:color="auto" w:fill="FFFFFF"/>
        <w:spacing w:line="360" w:lineRule="auto"/>
        <w:ind w:firstLine="420"/>
        <w:rPr>
          <w:rFonts w:ascii="宋体" w:hAnsi="宋体" w:cs="宋体"/>
          <w:b/>
          <w:bCs/>
          <w:kern w:val="0"/>
          <w:szCs w:val="21"/>
          <w:highlight w:val="none"/>
        </w:rPr>
      </w:pPr>
      <w:r>
        <w:rPr>
          <w:rFonts w:hint="eastAsia" w:ascii="宋体" w:hAnsi="宋体" w:cs="宋体"/>
          <w:b/>
          <w:bCs/>
          <w:kern w:val="0"/>
          <w:szCs w:val="21"/>
          <w:highlight w:val="none"/>
        </w:rPr>
        <w:t>根据《南京市政府采购供应商信用管理工作暂行办法》（宁财规[2018]10号）有关规定，凡在南京地区参加政府采购活动的供应商，应当事先登陆“信用南京”（www.njcredit.gov.cn）或“南京市政府采购网”（www.njgp.gov.cn）主页“政府采购供应商诚信档案”栏目进行注册登记。由于特殊原因未及时注册的供应商可先行获取采购文件，但必须在提交投标（响应）文件截止日2天前办理登记注册手续。</w:t>
      </w:r>
    </w:p>
    <w:p>
      <w:pPr>
        <w:widowControl/>
        <w:shd w:val="clear" w:color="auto" w:fill="FFFFFF"/>
        <w:spacing w:line="360" w:lineRule="auto"/>
        <w:ind w:firstLine="420"/>
        <w:rPr>
          <w:rFonts w:ascii="宋体" w:hAnsi="宋体" w:cs="宋体"/>
          <w:b/>
          <w:bCs/>
          <w:kern w:val="0"/>
          <w:szCs w:val="21"/>
          <w:highlight w:val="none"/>
        </w:rPr>
      </w:pPr>
      <w:r>
        <w:rPr>
          <w:rFonts w:hint="eastAsia" w:ascii="宋体" w:hAnsi="宋体" w:cs="宋体"/>
          <w:b/>
          <w:bCs/>
          <w:kern w:val="0"/>
          <w:szCs w:val="21"/>
          <w:highlight w:val="none"/>
        </w:rPr>
        <w:t xml:space="preserve"> 供应商申请网上注册的，应当按以下程序进行： </w:t>
      </w:r>
    </w:p>
    <w:p>
      <w:pPr>
        <w:widowControl/>
        <w:shd w:val="clear" w:color="auto" w:fill="FFFFFF"/>
        <w:spacing w:line="360" w:lineRule="auto"/>
        <w:rPr>
          <w:rFonts w:ascii="宋体" w:hAnsi="宋体" w:cs="宋体"/>
          <w:b/>
          <w:bCs/>
          <w:kern w:val="0"/>
          <w:szCs w:val="21"/>
          <w:highlight w:val="none"/>
        </w:rPr>
      </w:pPr>
      <w:r>
        <w:rPr>
          <w:rFonts w:hint="eastAsia" w:ascii="宋体" w:hAnsi="宋体" w:cs="宋体"/>
          <w:b/>
          <w:bCs/>
          <w:kern w:val="0"/>
          <w:szCs w:val="21"/>
          <w:highlight w:val="none"/>
        </w:rPr>
        <w:t xml:space="preserve">   （1）登陆“信用南京”或“南京市政府采购网”网站，点击“政府采购供应商诚信档案”图标，在弹出的用户登录界面，点击“新用户注册”；</w:t>
      </w:r>
    </w:p>
    <w:p>
      <w:pPr>
        <w:widowControl/>
        <w:shd w:val="clear" w:color="auto" w:fill="FFFFFF"/>
        <w:spacing w:line="360" w:lineRule="auto"/>
        <w:rPr>
          <w:rFonts w:ascii="宋体" w:hAnsi="宋体" w:cs="宋体"/>
          <w:b/>
          <w:bCs/>
          <w:kern w:val="0"/>
          <w:szCs w:val="21"/>
          <w:highlight w:val="none"/>
        </w:rPr>
      </w:pPr>
      <w:r>
        <w:rPr>
          <w:rFonts w:hint="eastAsia" w:ascii="宋体" w:hAnsi="宋体" w:cs="宋体"/>
          <w:b/>
          <w:bCs/>
          <w:kern w:val="0"/>
          <w:szCs w:val="21"/>
          <w:highlight w:val="none"/>
        </w:rPr>
        <w:t xml:space="preserve">   （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widowControl/>
        <w:shd w:val="clear" w:color="auto" w:fill="FFFFFF"/>
        <w:spacing w:line="360" w:lineRule="auto"/>
        <w:ind w:firstLine="420"/>
        <w:rPr>
          <w:rFonts w:ascii="宋体" w:hAnsi="宋体" w:cs="宋体"/>
          <w:b/>
          <w:bCs/>
          <w:kern w:val="0"/>
          <w:szCs w:val="21"/>
          <w:highlight w:val="none"/>
        </w:rPr>
      </w:pPr>
      <w:r>
        <w:rPr>
          <w:rFonts w:hint="eastAsia" w:ascii="宋体" w:hAnsi="宋体" w:cs="宋体"/>
          <w:b/>
          <w:bCs/>
          <w:kern w:val="0"/>
          <w:szCs w:val="21"/>
          <w:highlight w:val="none"/>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p>
    <w:p>
      <w:pPr>
        <w:widowControl/>
        <w:shd w:val="clear" w:color="auto" w:fill="FFFFFF" w:themeFill="background1"/>
        <w:spacing w:line="360" w:lineRule="auto"/>
        <w:ind w:firstLine="365" w:firstLineChars="173"/>
        <w:rPr>
          <w:rFonts w:ascii="宋体" w:hAnsi="宋体" w:cs="宋体"/>
          <w:b/>
          <w:bCs/>
          <w:kern w:val="0"/>
          <w:szCs w:val="21"/>
          <w:highlight w:val="none"/>
        </w:rPr>
      </w:pPr>
      <w:r>
        <w:rPr>
          <w:rFonts w:hint="eastAsia" w:ascii="宋体" w:hAnsi="宋体" w:cs="宋体"/>
          <w:b/>
          <w:bCs/>
          <w:kern w:val="0"/>
          <w:szCs w:val="21"/>
          <w:highlight w:val="none"/>
        </w:rPr>
        <w:t>南京市政府采购供应商诚信档案管理系统客服电话：025-52718366；供应商可就用户注册与打印“南京市政府采购供应商信用记录表”等事宜进行咨询。</w:t>
      </w:r>
    </w:p>
    <w:p>
      <w:pPr>
        <w:widowControl/>
        <w:shd w:val="clear" w:color="auto" w:fill="FFFFFF" w:themeFill="background1"/>
        <w:spacing w:line="360" w:lineRule="auto"/>
        <w:ind w:firstLine="363" w:firstLineChars="173"/>
        <w:rPr>
          <w:rFonts w:ascii="宋体" w:hAnsi="宋体" w:cs="宋体"/>
          <w:b/>
          <w:spacing w:val="8"/>
          <w:kern w:val="0"/>
          <w:szCs w:val="21"/>
          <w:highlight w:val="none"/>
        </w:rPr>
      </w:pPr>
      <w:bookmarkStart w:id="2" w:name="_Hlk39658902"/>
      <w:r>
        <w:rPr>
          <w:rFonts w:hint="eastAsia" w:ascii="宋体" w:hAnsi="宋体" w:cs="宋体"/>
          <w:szCs w:val="21"/>
          <w:highlight w:val="none"/>
          <w:lang w:val="zh-CN"/>
        </w:rPr>
        <w:t>6.</w:t>
      </w:r>
      <w:r>
        <w:rPr>
          <w:rFonts w:hint="eastAsia" w:ascii="宋体" w:hAnsi="宋体" w:cs="宋体"/>
          <w:szCs w:val="21"/>
          <w:highlight w:val="none"/>
        </w:rPr>
        <w:t>4本次招标请按“包”购买招标文件，编制、密封、提交投标文件，并按“包”开标、评标。</w:t>
      </w:r>
      <w:bookmarkEnd w:id="2"/>
    </w:p>
    <w:p>
      <w:pPr>
        <w:widowControl/>
        <w:shd w:val="clear" w:color="auto" w:fill="FFFFFF" w:themeFill="background1"/>
        <w:spacing w:line="360" w:lineRule="auto"/>
        <w:rPr>
          <w:rFonts w:ascii="宋体" w:hAnsi="宋体" w:cs="宋体"/>
          <w:b/>
          <w:spacing w:val="8"/>
          <w:kern w:val="0"/>
          <w:szCs w:val="21"/>
          <w:highlight w:val="none"/>
        </w:rPr>
      </w:pPr>
      <w:r>
        <w:rPr>
          <w:rFonts w:hint="eastAsia" w:ascii="宋体" w:hAnsi="宋体" w:cs="宋体"/>
          <w:b/>
          <w:spacing w:val="8"/>
          <w:kern w:val="0"/>
          <w:szCs w:val="21"/>
          <w:highlight w:val="none"/>
        </w:rPr>
        <w:t>七、对本次招标提出询问，请按以下方式联系。</w:t>
      </w:r>
    </w:p>
    <w:p>
      <w:pPr>
        <w:widowControl/>
        <w:shd w:val="clear" w:color="auto" w:fill="FFFFFF" w:themeFill="background1"/>
        <w:spacing w:line="360" w:lineRule="auto"/>
        <w:jc w:val="left"/>
        <w:rPr>
          <w:rFonts w:ascii="宋体" w:hAnsi="宋体" w:cs="宋体"/>
          <w:spacing w:val="8"/>
          <w:kern w:val="0"/>
          <w:szCs w:val="21"/>
          <w:highlight w:val="none"/>
        </w:rPr>
      </w:pPr>
      <w:r>
        <w:rPr>
          <w:rFonts w:hint="eastAsia" w:ascii="宋体" w:hAnsi="宋体" w:cs="宋体"/>
          <w:spacing w:val="8"/>
          <w:kern w:val="0"/>
          <w:szCs w:val="21"/>
          <w:highlight w:val="none"/>
        </w:rPr>
        <w:t>　 7.1采购人信息</w:t>
      </w:r>
    </w:p>
    <w:p>
      <w:pPr>
        <w:widowControl/>
        <w:shd w:val="clear" w:color="auto" w:fill="FFFFFF" w:themeFill="background1"/>
        <w:spacing w:line="360" w:lineRule="auto"/>
        <w:ind w:firstLine="452" w:firstLineChars="200"/>
        <w:jc w:val="left"/>
        <w:rPr>
          <w:rFonts w:ascii="宋体" w:hAnsi="宋体" w:cs="宋体"/>
          <w:spacing w:val="8"/>
          <w:kern w:val="0"/>
          <w:szCs w:val="21"/>
          <w:highlight w:val="none"/>
        </w:rPr>
      </w:pPr>
      <w:r>
        <w:rPr>
          <w:rFonts w:hint="eastAsia" w:ascii="宋体" w:hAnsi="宋体" w:cs="宋体"/>
          <w:spacing w:val="8"/>
          <w:kern w:val="0"/>
          <w:szCs w:val="21"/>
          <w:highlight w:val="none"/>
        </w:rPr>
        <w:t>名 称：</w:t>
      </w:r>
      <w:r>
        <w:rPr>
          <w:rFonts w:hint="eastAsia" w:ascii="宋体" w:hAnsi="宋体" w:cs="宋体"/>
          <w:szCs w:val="21"/>
          <w:highlight w:val="none"/>
        </w:rPr>
        <w:t>南京浦口经济开发区管理委员会</w:t>
      </w:r>
    </w:p>
    <w:p>
      <w:pPr>
        <w:widowControl/>
        <w:shd w:val="clear" w:color="auto" w:fill="FFFFFF"/>
        <w:spacing w:line="336" w:lineRule="auto"/>
        <w:ind w:firstLine="420"/>
        <w:rPr>
          <w:rFonts w:ascii="宋体" w:hAnsi="宋体"/>
          <w:kern w:val="0"/>
          <w:szCs w:val="21"/>
          <w:highlight w:val="none"/>
        </w:rPr>
      </w:pPr>
      <w:r>
        <w:rPr>
          <w:rFonts w:hint="eastAsia" w:ascii="宋体" w:hAnsi="宋体"/>
          <w:kern w:val="0"/>
          <w:szCs w:val="21"/>
          <w:highlight w:val="none"/>
        </w:rPr>
        <w:t>联系人：</w:t>
      </w:r>
      <w:r>
        <w:rPr>
          <w:rFonts w:hint="eastAsia" w:ascii="宋体"/>
          <w:highlight w:val="none"/>
        </w:rPr>
        <w:t>雍健健</w:t>
      </w:r>
    </w:p>
    <w:p>
      <w:pPr>
        <w:widowControl/>
        <w:shd w:val="clear" w:color="auto" w:fill="FFFFFF"/>
        <w:spacing w:line="336" w:lineRule="auto"/>
        <w:ind w:firstLine="420"/>
        <w:rPr>
          <w:rFonts w:ascii="宋体" w:hAnsi="宋体"/>
          <w:kern w:val="0"/>
          <w:szCs w:val="21"/>
          <w:highlight w:val="none"/>
        </w:rPr>
      </w:pPr>
      <w:r>
        <w:rPr>
          <w:rFonts w:hint="eastAsia" w:ascii="宋体" w:hAnsi="宋体"/>
          <w:kern w:val="0"/>
          <w:szCs w:val="21"/>
          <w:highlight w:val="none"/>
        </w:rPr>
        <w:t>联系电话：</w:t>
      </w:r>
      <w:r>
        <w:rPr>
          <w:rFonts w:hint="eastAsia" w:ascii="宋体"/>
          <w:highlight w:val="none"/>
        </w:rPr>
        <w:t>025-68558252</w:t>
      </w:r>
    </w:p>
    <w:p>
      <w:pPr>
        <w:widowControl/>
        <w:shd w:val="clear" w:color="auto" w:fill="FFFFFF"/>
        <w:spacing w:line="336" w:lineRule="auto"/>
        <w:ind w:firstLine="420"/>
        <w:rPr>
          <w:rFonts w:ascii="宋体" w:hAnsi="宋体"/>
          <w:kern w:val="0"/>
          <w:szCs w:val="21"/>
          <w:highlight w:val="none"/>
        </w:rPr>
      </w:pPr>
      <w:r>
        <w:rPr>
          <w:rFonts w:hint="eastAsia" w:ascii="宋体" w:hAnsi="宋体"/>
          <w:kern w:val="0"/>
          <w:szCs w:val="21"/>
          <w:highlight w:val="none"/>
        </w:rPr>
        <w:t>地址：</w:t>
      </w:r>
      <w:r>
        <w:rPr>
          <w:szCs w:val="21"/>
          <w:highlight w:val="none"/>
        </w:rPr>
        <w:t>南京市浦口经济开发区兰花路8号</w:t>
      </w:r>
    </w:p>
    <w:p>
      <w:pPr>
        <w:widowControl/>
        <w:shd w:val="clear" w:color="auto" w:fill="FFFFFF" w:themeFill="background1"/>
        <w:spacing w:line="360" w:lineRule="auto"/>
        <w:ind w:firstLine="334" w:firstLineChars="148"/>
        <w:jc w:val="left"/>
        <w:rPr>
          <w:rFonts w:ascii="宋体" w:hAnsi="宋体" w:cs="宋体"/>
          <w:spacing w:val="8"/>
          <w:kern w:val="0"/>
          <w:szCs w:val="21"/>
          <w:highlight w:val="none"/>
        </w:rPr>
      </w:pPr>
      <w:r>
        <w:rPr>
          <w:rFonts w:hint="eastAsia" w:ascii="宋体" w:hAnsi="宋体" w:cs="宋体"/>
          <w:spacing w:val="8"/>
          <w:kern w:val="0"/>
          <w:szCs w:val="21"/>
          <w:highlight w:val="none"/>
        </w:rPr>
        <w:t>7.2采购代理机构信息</w:t>
      </w:r>
    </w:p>
    <w:p>
      <w:pPr>
        <w:widowControl/>
        <w:shd w:val="clear" w:color="auto" w:fill="FFFFFF" w:themeFill="background1"/>
        <w:spacing w:line="360" w:lineRule="auto"/>
        <w:ind w:firstLine="560"/>
        <w:rPr>
          <w:rFonts w:ascii="宋体" w:hAnsi="宋体" w:cs="宋体"/>
          <w:spacing w:val="8"/>
          <w:kern w:val="0"/>
          <w:szCs w:val="21"/>
          <w:highlight w:val="none"/>
        </w:rPr>
      </w:pPr>
      <w:r>
        <w:rPr>
          <w:rFonts w:hint="eastAsia" w:ascii="宋体" w:hAnsi="宋体" w:cs="宋体"/>
          <w:spacing w:val="8"/>
          <w:kern w:val="0"/>
          <w:szCs w:val="21"/>
          <w:highlight w:val="none"/>
        </w:rPr>
        <w:t>名 称：</w:t>
      </w:r>
      <w:r>
        <w:rPr>
          <w:rFonts w:hint="eastAsia" w:ascii="宋体" w:hAnsi="宋体" w:cs="宋体"/>
          <w:szCs w:val="21"/>
          <w:highlight w:val="none"/>
          <w:lang w:val="zh-CN"/>
        </w:rPr>
        <w:t>江苏省设备成套股份有限公司</w:t>
      </w:r>
      <w:r>
        <w:rPr>
          <w:rFonts w:hint="eastAsia" w:ascii="宋体" w:hAnsi="宋体" w:cs="宋体"/>
          <w:spacing w:val="8"/>
          <w:kern w:val="0"/>
          <w:szCs w:val="21"/>
          <w:highlight w:val="none"/>
        </w:rPr>
        <w:t xml:space="preserve"> </w:t>
      </w:r>
    </w:p>
    <w:p>
      <w:pPr>
        <w:widowControl/>
        <w:shd w:val="clear" w:color="auto" w:fill="FFFFFF" w:themeFill="background1"/>
        <w:spacing w:line="360" w:lineRule="auto"/>
        <w:ind w:firstLine="560"/>
        <w:rPr>
          <w:rFonts w:ascii="宋体" w:hAnsi="宋体" w:cs="宋体"/>
          <w:spacing w:val="8"/>
          <w:kern w:val="0"/>
          <w:szCs w:val="21"/>
          <w:highlight w:val="none"/>
        </w:rPr>
      </w:pPr>
      <w:r>
        <w:rPr>
          <w:rFonts w:hint="eastAsia" w:ascii="宋体" w:hAnsi="宋体" w:cs="宋体"/>
          <w:spacing w:val="8"/>
          <w:kern w:val="0"/>
          <w:szCs w:val="21"/>
          <w:highlight w:val="none"/>
        </w:rPr>
        <w:t>地　址：</w:t>
      </w:r>
      <w:r>
        <w:rPr>
          <w:rFonts w:hint="eastAsia" w:ascii="宋体" w:hAnsi="宋体" w:cs="宋体"/>
          <w:szCs w:val="21"/>
          <w:highlight w:val="none"/>
          <w:lang w:val="zh-CN"/>
        </w:rPr>
        <w:t>南京市山西路120号江苏成套大厦19楼1904室</w:t>
      </w:r>
      <w:r>
        <w:rPr>
          <w:rFonts w:hint="eastAsia" w:ascii="宋体" w:hAnsi="宋体" w:cs="宋体"/>
          <w:spacing w:val="8"/>
          <w:kern w:val="0"/>
          <w:szCs w:val="21"/>
          <w:highlight w:val="none"/>
        </w:rPr>
        <w:t xml:space="preserve"> </w:t>
      </w:r>
    </w:p>
    <w:p>
      <w:pPr>
        <w:widowControl/>
        <w:shd w:val="clear" w:color="auto" w:fill="FFFFFF" w:themeFill="background1"/>
        <w:spacing w:line="360" w:lineRule="auto"/>
        <w:ind w:firstLine="560"/>
        <w:rPr>
          <w:rFonts w:ascii="宋体" w:hAnsi="宋体" w:cs="宋体"/>
          <w:spacing w:val="8"/>
          <w:kern w:val="0"/>
          <w:szCs w:val="21"/>
          <w:highlight w:val="none"/>
        </w:rPr>
      </w:pPr>
      <w:r>
        <w:rPr>
          <w:rFonts w:hint="eastAsia" w:ascii="宋体" w:hAnsi="宋体" w:cs="宋体"/>
          <w:spacing w:val="8"/>
          <w:kern w:val="0"/>
          <w:szCs w:val="21"/>
          <w:highlight w:val="none"/>
        </w:rPr>
        <w:t>联系方式：</w:t>
      </w:r>
      <w:r>
        <w:rPr>
          <w:rFonts w:hint="eastAsia" w:ascii="宋体" w:hAnsi="宋体" w:cs="宋体"/>
          <w:szCs w:val="21"/>
          <w:highlight w:val="none"/>
          <w:lang w:val="zh-CN"/>
        </w:rPr>
        <w:t>025-833</w:t>
      </w:r>
      <w:r>
        <w:rPr>
          <w:rFonts w:hint="eastAsia" w:ascii="宋体" w:hAnsi="宋体" w:cs="宋体"/>
          <w:szCs w:val="21"/>
          <w:highlight w:val="none"/>
          <w:lang w:val="en-US" w:eastAsia="zh-CN"/>
        </w:rPr>
        <w:t>14167</w:t>
      </w:r>
      <w:r>
        <w:rPr>
          <w:rFonts w:hint="eastAsia" w:ascii="宋体" w:hAnsi="宋体" w:cs="宋体"/>
          <w:szCs w:val="21"/>
          <w:highlight w:val="none"/>
          <w:lang w:val="zh-CN"/>
        </w:rPr>
        <w:t xml:space="preserve"> 025-86639285</w:t>
      </w:r>
      <w:r>
        <w:rPr>
          <w:rFonts w:hint="eastAsia" w:ascii="宋体" w:hAnsi="宋体" w:cs="宋体"/>
          <w:spacing w:val="8"/>
          <w:kern w:val="0"/>
          <w:szCs w:val="21"/>
          <w:highlight w:val="none"/>
        </w:rPr>
        <w:t xml:space="preserve"> </w:t>
      </w:r>
    </w:p>
    <w:p>
      <w:pPr>
        <w:widowControl/>
        <w:shd w:val="clear" w:color="auto" w:fill="FFFFFF" w:themeFill="background1"/>
        <w:spacing w:line="360" w:lineRule="auto"/>
        <w:ind w:firstLine="339" w:firstLineChars="150"/>
        <w:jc w:val="left"/>
        <w:rPr>
          <w:rFonts w:ascii="宋体" w:hAnsi="宋体" w:cs="宋体"/>
          <w:spacing w:val="8"/>
          <w:kern w:val="0"/>
          <w:szCs w:val="21"/>
          <w:highlight w:val="none"/>
        </w:rPr>
      </w:pPr>
      <w:r>
        <w:rPr>
          <w:rFonts w:hint="eastAsia" w:ascii="宋体" w:hAnsi="宋体" w:cs="宋体"/>
          <w:spacing w:val="8"/>
          <w:kern w:val="0"/>
          <w:szCs w:val="21"/>
          <w:highlight w:val="none"/>
        </w:rPr>
        <w:t>7.3项目联系方式</w:t>
      </w:r>
    </w:p>
    <w:p>
      <w:pPr>
        <w:widowControl/>
        <w:shd w:val="clear" w:color="auto" w:fill="FFFFFF" w:themeFill="background1"/>
        <w:spacing w:line="360" w:lineRule="auto"/>
        <w:ind w:firstLine="560"/>
        <w:rPr>
          <w:rFonts w:ascii="宋体" w:hAnsi="宋体" w:cs="宋体"/>
          <w:spacing w:val="8"/>
          <w:kern w:val="0"/>
          <w:szCs w:val="21"/>
          <w:highlight w:val="none"/>
        </w:rPr>
      </w:pPr>
      <w:r>
        <w:rPr>
          <w:rFonts w:hint="eastAsia" w:ascii="宋体" w:hAnsi="宋体" w:cs="宋体"/>
          <w:spacing w:val="8"/>
          <w:kern w:val="0"/>
          <w:szCs w:val="21"/>
          <w:highlight w:val="none"/>
        </w:rPr>
        <w:t>项目联系人：</w:t>
      </w:r>
      <w:r>
        <w:rPr>
          <w:rFonts w:hint="eastAsia" w:ascii="宋体" w:hAnsi="宋体" w:cs="宋体"/>
          <w:spacing w:val="8"/>
          <w:kern w:val="0"/>
          <w:szCs w:val="21"/>
          <w:highlight w:val="none"/>
          <w:lang w:val="en-US" w:eastAsia="zh-CN"/>
        </w:rPr>
        <w:t>左卢成</w:t>
      </w:r>
      <w:r>
        <w:rPr>
          <w:rFonts w:hint="eastAsia" w:ascii="宋体" w:hAnsi="宋体" w:cs="宋体"/>
          <w:szCs w:val="21"/>
          <w:highlight w:val="none"/>
          <w:lang w:val="zh-CN"/>
        </w:rPr>
        <w:t xml:space="preserve"> 唐大维</w:t>
      </w:r>
    </w:p>
    <w:p>
      <w:pPr>
        <w:widowControl/>
        <w:shd w:val="clear" w:color="auto" w:fill="FFFFFF" w:themeFill="background1"/>
        <w:spacing w:line="360" w:lineRule="auto"/>
        <w:ind w:firstLine="560"/>
        <w:rPr>
          <w:rFonts w:ascii="宋体" w:hAnsi="宋体" w:cs="宋体"/>
          <w:szCs w:val="21"/>
          <w:highlight w:val="none"/>
          <w:lang w:val="zh-CN"/>
        </w:rPr>
      </w:pPr>
      <w:r>
        <w:rPr>
          <w:rFonts w:hint="eastAsia" w:ascii="宋体" w:hAnsi="宋体" w:cs="宋体"/>
          <w:spacing w:val="8"/>
          <w:kern w:val="0"/>
          <w:szCs w:val="21"/>
          <w:highlight w:val="none"/>
        </w:rPr>
        <w:t xml:space="preserve">电　话： </w:t>
      </w:r>
      <w:r>
        <w:rPr>
          <w:rFonts w:hint="eastAsia" w:ascii="宋体" w:hAnsi="宋体" w:cs="宋体"/>
          <w:szCs w:val="21"/>
          <w:highlight w:val="none"/>
          <w:lang w:val="zh-CN"/>
        </w:rPr>
        <w:t>025-833</w:t>
      </w:r>
      <w:r>
        <w:rPr>
          <w:rFonts w:hint="eastAsia" w:ascii="宋体" w:hAnsi="宋体" w:cs="宋体"/>
          <w:szCs w:val="21"/>
          <w:highlight w:val="none"/>
          <w:lang w:val="en-US" w:eastAsia="zh-CN"/>
        </w:rPr>
        <w:t>14167</w:t>
      </w:r>
      <w:r>
        <w:rPr>
          <w:rFonts w:hint="eastAsia" w:ascii="宋体" w:hAnsi="宋体" w:cs="宋体"/>
          <w:szCs w:val="21"/>
          <w:highlight w:val="none"/>
          <w:lang w:val="zh-CN"/>
        </w:rPr>
        <w:t xml:space="preserve"> 025-86639285</w:t>
      </w:r>
    </w:p>
    <w:p>
      <w:pPr>
        <w:widowControl/>
        <w:shd w:val="clear" w:color="auto" w:fill="FFFFFF" w:themeFill="background1"/>
        <w:spacing w:line="360" w:lineRule="auto"/>
        <w:ind w:firstLine="560"/>
        <w:rPr>
          <w:highlight w:val="none"/>
        </w:rPr>
      </w:pPr>
      <w:r>
        <w:rPr>
          <w:rFonts w:hint="eastAsia" w:ascii="宋体" w:hAnsi="宋体"/>
          <w:szCs w:val="21"/>
          <w:highlight w:val="none"/>
        </w:rPr>
        <w:t>邮   件：</w:t>
      </w:r>
      <w:r>
        <w:rPr>
          <w:rFonts w:hint="eastAsia" w:ascii="宋体" w:hAnsi="宋体"/>
          <w:szCs w:val="21"/>
          <w:highlight w:val="none"/>
          <w:lang w:val="en-US" w:eastAsia="zh-CN"/>
        </w:rPr>
        <w:t>zuolc</w:t>
      </w:r>
      <w:r>
        <w:rPr>
          <w:rFonts w:hint="eastAsia" w:ascii="宋体" w:hAnsi="宋体"/>
          <w:szCs w:val="21"/>
          <w:highlight w:val="none"/>
        </w:rPr>
        <w:t>@jcec.cn</w:t>
      </w:r>
      <w:r>
        <w:rPr>
          <w:rFonts w:hint="eastAsia" w:ascii="宋体" w:hAnsi="宋体"/>
          <w:szCs w:val="21"/>
          <w:highlight w:val="none"/>
        </w:rPr>
        <w:br w:type="page"/>
      </w:r>
    </w:p>
    <w:p>
      <w:pPr>
        <w:pStyle w:val="3"/>
        <w:numPr>
          <w:ilvl w:val="0"/>
          <w:numId w:val="0"/>
        </w:numPr>
        <w:rPr>
          <w:kern w:val="0"/>
          <w:highlight w:val="none"/>
        </w:rPr>
      </w:pPr>
      <w:bookmarkStart w:id="3" w:name="_Toc6111"/>
      <w:r>
        <w:rPr>
          <w:rFonts w:hint="eastAsia"/>
          <w:kern w:val="0"/>
          <w:highlight w:val="none"/>
        </w:rPr>
        <w:t>第二章</w:t>
      </w:r>
      <w:bookmarkStart w:id="4" w:name="_Toc452625218"/>
      <w:r>
        <w:rPr>
          <w:rFonts w:hint="eastAsia"/>
          <w:kern w:val="0"/>
          <w:highlight w:val="none"/>
        </w:rPr>
        <w:t xml:space="preserve"> 投标人须知</w:t>
      </w:r>
      <w:bookmarkEnd w:id="3"/>
      <w:bookmarkEnd w:id="4"/>
    </w:p>
    <w:p>
      <w:pPr>
        <w:widowControl/>
        <w:shd w:val="clear" w:color="auto" w:fill="FFFFFF"/>
        <w:spacing w:line="360" w:lineRule="auto"/>
        <w:ind w:firstLine="424" w:firstLineChars="201"/>
        <w:rPr>
          <w:rFonts w:ascii="宋体" w:hAnsi="宋体"/>
          <w:kern w:val="0"/>
          <w:szCs w:val="21"/>
          <w:highlight w:val="none"/>
        </w:rPr>
      </w:pPr>
      <w:r>
        <w:rPr>
          <w:rFonts w:hint="eastAsia" w:ascii="宋体" w:hAnsi="宋体"/>
          <w:b/>
          <w:bCs/>
          <w:kern w:val="0"/>
          <w:szCs w:val="21"/>
          <w:highlight w:val="none"/>
        </w:rPr>
        <w:t>一、总 则</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1、适用法律</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1.1本次招标适用《中华人民共和国政府采购法》（以下简称政府采购法）、《中华人民共和国政府采购法实施条例》（以下简称政府采购法实施条例）、《政府采购货物和服务招标投标管理办法》等法律、行政法规、部门规章和规范性文件。</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2、定义</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2.1“采购人”是指依法进行政府采购的国家机关、事业单位、团体组织。</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2.2“</w:t>
      </w:r>
      <w:r>
        <w:rPr>
          <w:rFonts w:ascii="宋体" w:hAnsi="宋体"/>
          <w:kern w:val="0"/>
          <w:szCs w:val="21"/>
          <w:highlight w:val="none"/>
        </w:rPr>
        <w:t>供应商</w:t>
      </w:r>
      <w:r>
        <w:rPr>
          <w:rFonts w:hint="eastAsia" w:ascii="宋体" w:hAnsi="宋体"/>
          <w:kern w:val="0"/>
          <w:szCs w:val="21"/>
          <w:highlight w:val="none"/>
        </w:rPr>
        <w:t>（投标人）”</w:t>
      </w:r>
      <w:r>
        <w:rPr>
          <w:rFonts w:ascii="宋体" w:hAnsi="宋体"/>
          <w:kern w:val="0"/>
          <w:szCs w:val="21"/>
          <w:highlight w:val="none"/>
        </w:rPr>
        <w:t>是</w:t>
      </w:r>
      <w:r>
        <w:rPr>
          <w:rFonts w:hint="eastAsia" w:ascii="宋体" w:hAnsi="宋体"/>
          <w:kern w:val="0"/>
          <w:szCs w:val="21"/>
          <w:highlight w:val="none"/>
        </w:rPr>
        <w:t>指参加投标竞争，并符合招标文件规定资格条件的法人、其他组织或者自然人。</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2.3“采购代理机构”</w:t>
      </w:r>
      <w:r>
        <w:rPr>
          <w:rFonts w:ascii="宋体" w:hAnsi="宋体"/>
          <w:kern w:val="0"/>
          <w:szCs w:val="21"/>
          <w:highlight w:val="none"/>
        </w:rPr>
        <w:t>是指集中采购机构和集中采购机构以外的采购代理机构</w:t>
      </w:r>
      <w:r>
        <w:rPr>
          <w:rFonts w:hint="eastAsia" w:ascii="宋体" w:hAnsi="宋体"/>
          <w:kern w:val="0"/>
          <w:szCs w:val="21"/>
          <w:highlight w:val="none"/>
        </w:rPr>
        <w:t>，</w:t>
      </w:r>
      <w:r>
        <w:rPr>
          <w:rFonts w:ascii="宋体" w:hAnsi="宋体"/>
          <w:kern w:val="0"/>
          <w:szCs w:val="21"/>
          <w:highlight w:val="none"/>
        </w:rPr>
        <w:t>集中采购机构以外的采购代理机构，是从事采购代理业务的社会中介机构。</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2.4“货物和服务”指本招标文件中所述</w:t>
      </w:r>
      <w:r>
        <w:rPr>
          <w:rFonts w:hint="eastAsia" w:ascii="宋体" w:hAnsi="宋体"/>
          <w:bCs/>
          <w:kern w:val="0"/>
          <w:szCs w:val="21"/>
          <w:highlight w:val="none"/>
        </w:rPr>
        <w:t>产品</w:t>
      </w:r>
      <w:r>
        <w:rPr>
          <w:rFonts w:hint="eastAsia" w:ascii="宋体" w:hAnsi="宋体"/>
          <w:kern w:val="0"/>
          <w:szCs w:val="21"/>
          <w:highlight w:val="none"/>
        </w:rPr>
        <w:t>及相关服务。</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2.5“用户或使用单位”是指使用货物，接受服务的单位。</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3、政策功能</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3.1中小企业政策</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中小企业应当符合《政府采购促进中小企业发展暂行办法》（财库〔2011〕181号）第二条、《关于政府采购支持监狱企业发展有关问题的通知》（财库〔2014〕68号）第一条或《关于促进残疾人就业政府采购政策的通知》（财库〔2017〕141号）第一条的规定。</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（2）对于专门面向中小企业或小型、微型企业的项目，只面向中小企业或小型、微型企业采购。对于非专门面向中小企业的项目，对小型和微型企业产品的价格给予</w:t>
      </w:r>
      <w:r>
        <w:rPr>
          <w:rFonts w:ascii="宋体" w:hAnsi="宋体"/>
          <w:kern w:val="0"/>
          <w:szCs w:val="21"/>
          <w:highlight w:val="none"/>
        </w:rPr>
        <w:t>10</w:t>
      </w:r>
      <w:r>
        <w:rPr>
          <w:rFonts w:hint="eastAsia" w:ascii="宋体" w:hAnsi="宋体"/>
          <w:kern w:val="0"/>
          <w:szCs w:val="21"/>
          <w:highlight w:val="none"/>
        </w:rPr>
        <w:t>%的扣除，用扣除后的价格参与评审。</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（3）参加政府采购活动的中小企业应当提供《中小企业声明函》、由省级以上监狱管理局戒毒管理局(含新疆生产建设兵团)出具的属于监狱企业的证明文件或《残疾人福利性单位声明函》。</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4）对于接受供应商以联合体形式参加采购活动的项目，小型、微型企业联合体应当符合《政府采购促进中小企业发展暂行办法》（财库〔2011〕181号）第六条的规定。联合协议中约定，小型、微型企业的协议合同金额占到联合体协议合同总金额30%以上的，给予联合体2%的价格扣除。联合体各方均为小型、微型企业的，联合体视同为小型、微型企业给予</w:t>
      </w:r>
      <w:r>
        <w:rPr>
          <w:rFonts w:ascii="宋体" w:hAnsi="宋体"/>
          <w:kern w:val="0"/>
          <w:szCs w:val="21"/>
          <w:highlight w:val="none"/>
        </w:rPr>
        <w:t>10</w:t>
      </w:r>
      <w:r>
        <w:rPr>
          <w:rFonts w:hint="eastAsia" w:ascii="宋体" w:hAnsi="宋体"/>
          <w:kern w:val="0"/>
          <w:szCs w:val="21"/>
          <w:highlight w:val="none"/>
        </w:rPr>
        <w:t>%价格扣除。组成联合体的大中型企业和其他自然人、法人或者其他组织，与小型、微型企业之间不得存在投资关系。</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（5）中小企业依据《政府采购促进中小企业发展暂行办法》（财库〔2011〕181号）规定的政策获取政府采购合同后，小型、微型企业不得分包或转包给大型、中型企业，中型企业不得分包或转包给大型企业。</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3.2节能产品、环境标志产品政策</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（1）政府采购节能产品、环境标志产品实施品目清单管理。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（2）拟采购产品属于节能产品、环境标志产品品目清单规定必须强制采购的，实行强制采购。</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（3）拟采购产品属于节能产品、环境标志产品品目清单规定优先采购的，在性能、技术、服务等指标同等条件下，实行</w:t>
      </w:r>
      <w:r>
        <w:rPr>
          <w:rFonts w:ascii="宋体" w:hAnsi="宋体"/>
          <w:kern w:val="0"/>
          <w:szCs w:val="21"/>
          <w:highlight w:val="none"/>
        </w:rPr>
        <w:t>优先采购</w:t>
      </w:r>
      <w:r>
        <w:rPr>
          <w:rFonts w:hint="eastAsia" w:ascii="宋体" w:hAnsi="宋体"/>
          <w:kern w:val="0"/>
          <w:szCs w:val="21"/>
          <w:highlight w:val="none"/>
        </w:rPr>
        <w:t>，</w:t>
      </w:r>
      <w:r>
        <w:rPr>
          <w:rFonts w:ascii="宋体" w:hAnsi="宋体"/>
          <w:kern w:val="0"/>
          <w:szCs w:val="21"/>
          <w:highlight w:val="none"/>
        </w:rPr>
        <w:t>优先采购的评审标准详见本招标文件</w:t>
      </w:r>
      <w:r>
        <w:rPr>
          <w:rFonts w:hint="eastAsia" w:ascii="宋体" w:hAnsi="宋体"/>
          <w:kern w:val="0"/>
          <w:szCs w:val="21"/>
          <w:highlight w:val="none"/>
        </w:rPr>
        <w:t>第三章</w:t>
      </w:r>
      <w:r>
        <w:rPr>
          <w:rFonts w:ascii="宋体" w:hAnsi="宋体"/>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（4）参加政府采购活动的节能产品、环境标志产品供应商应当提供国家确定的认证机构出具的、处于有效期之内的节能产品、环境标志产品认证证书。</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3.3进口产品政策</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（1）除招标公告载明接受进口产品参加外，不允许进口产品参加。进口产品认定依照《财政部关于政府采购进口产品管理有关问题的通知》（财办库〔2008〕248号）的规定。</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（2）允许进口产品参加的，</w:t>
      </w:r>
      <w:r>
        <w:rPr>
          <w:rFonts w:ascii="宋体" w:hAnsi="宋体"/>
          <w:kern w:val="0"/>
          <w:szCs w:val="21"/>
          <w:highlight w:val="none"/>
        </w:rPr>
        <w:t>满足需求的国内产品可以参加</w:t>
      </w:r>
      <w:r>
        <w:rPr>
          <w:rFonts w:hint="eastAsia" w:ascii="宋体" w:hAnsi="宋体"/>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（3）允许进口产品参加的，优先采购向我国企业转让技术、与我国企业签订消化吸收再创新方案的供应商的进口产品。</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3.4未按要求提供相关材料的，不享受相关政策。</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3.5招标文件中要求的产品品牌或型号，是采购人根据项目所要实现的功能推荐的品牌或型号，仅供供应商参考，并不是限制条件。</w:t>
      </w:r>
    </w:p>
    <w:p>
      <w:pPr>
        <w:widowControl/>
        <w:shd w:val="clear" w:color="auto" w:fill="FFFFFF"/>
        <w:spacing w:line="360" w:lineRule="auto"/>
        <w:ind w:firstLine="412"/>
        <w:rPr>
          <w:rFonts w:ascii="宋体" w:hAnsi="宋体"/>
          <w:kern w:val="0"/>
          <w:szCs w:val="21"/>
          <w:highlight w:val="none"/>
        </w:rPr>
      </w:pPr>
      <w:r>
        <w:rPr>
          <w:rFonts w:hint="eastAsia" w:ascii="宋体" w:hAnsi="宋体"/>
          <w:b/>
          <w:bCs/>
          <w:kern w:val="0"/>
          <w:szCs w:val="21"/>
          <w:highlight w:val="none"/>
        </w:rPr>
        <w:t>二、招标文件构成</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4、招标文件组成</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4.1招标文件包括以下主要内容：投标邀请；投标人须知（包括投标文件的密封、签署、盖章要求等）；投标人应当提交的资格、资信证明文件；为落实政府采购政策，采购标的需满足的要求，以及投标人须提供的证明材料；投标文件编制要求、投标报价要求；采购项目预算金额，设定最高限价的，还应当公开最高限价；采购项目的技术规格、数量、服务标准、验收等要求，包括附件、图纸等；拟签订的合同文本；货物、服务提供的时间、地点、方式；采购资金的支付方式、时间、条件；评标方法、评标标准和投标无效情形；投标有效期；投标截止时间、开标时间及地点；采购代理机构代理费用的收取标准和方式；投标人信用信息查询渠道及截止时点、信用信息查询记录和证据留存的具体方式、信用信息的使用规则等；省级以上财政部门规定的其他事项。</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4.2 招标的最小单位是包。招标货物数量及技术要求中未分包的，投标人对要求提供的货物和服务不得部分投标；招标货物数量及技术要求中已经分包的，可以以包为单位投标。</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4.3 采购代理机构如果要求投标人按照招标文件规定提交备选投标方案的，投标人可以提交备选方案；否则，备选方案将被拒绝。</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5、招标文件的澄清或者修改</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5.1</w:t>
      </w:r>
      <w:r>
        <w:rPr>
          <w:rFonts w:ascii="宋体" w:hAnsi="宋体"/>
          <w:kern w:val="0"/>
          <w:szCs w:val="21"/>
          <w:highlight w:val="none"/>
        </w:rPr>
        <w:t>采购人或者采购代理机构可以对已发出的招标文件、资格预审文件、投标邀请进行必要的澄清或者修改，但不得改变采</w:t>
      </w:r>
      <w:r>
        <w:rPr>
          <w:rFonts w:hint="eastAsia" w:ascii="宋体" w:hAnsi="宋体"/>
          <w:kern w:val="0"/>
          <w:szCs w:val="21"/>
          <w:highlight w:val="none"/>
        </w:rPr>
        <w:t>购标</w:t>
      </w:r>
      <w:r>
        <w:rPr>
          <w:rFonts w:ascii="宋体" w:hAnsi="宋体"/>
          <w:kern w:val="0"/>
          <w:szCs w:val="21"/>
          <w:highlight w:val="none"/>
        </w:rPr>
        <w:t>的和资格条件。澄清或者修改应当在原公告发布媒体上发布澄清公告。澄清或者修改的内容为招标文件、资格预审文件、投标邀请的组成部分。</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5.2采购人或者采购代理机构在招标文件要求提交投标文件截止时间三日前，有权决定延长投标截止时间和开标时间，并在原采购信息发布媒体上发布变更公告。</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三、投标文件的编制</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6、投标文件的语言、计量单位、货币和编制</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6.1投标人提交的投标文件、技术文件和资料，包括图纸中的说明，以及投标人与代理机构就有关投标的所有来往函电均应使用中文。投标文件中若有英文或其他语言文字的资料，应提供相应的中文翻译资料。对不同文本投标文件的解释发生异议的，以中文文本为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6.2投标人所使用的计量单位应为国家法定计量单位。</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6.3投标人应用人民币报价。投标产品如果是进口产品的，应提供人民币与</w:t>
      </w:r>
      <w:r>
        <w:rPr>
          <w:rFonts w:hint="eastAsia" w:ascii="宋体" w:hAnsi="宋体"/>
          <w:b/>
          <w:bCs/>
          <w:kern w:val="0"/>
          <w:szCs w:val="21"/>
          <w:highlight w:val="none"/>
        </w:rPr>
        <w:t>外币之间的汇率；报价单位为“元”。</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6.4投标文件应字迹清楚、内容齐全、不得涂改。如有修改，修改处须有投标人公章或投标专用章和法定代表人或其授权的投标人代表签字。</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6.5投标文件应按照招标文件规定的顺序，统一用A4规格幅面打印、装订成册并编制目录，由于编排混乱导致投标文件被误读或查找不到，责任由投标人承担。</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6.6投标人应在投标文件中写清相应的项目编号、项目名称、投标人全称、地址、电话、传真等。</w:t>
      </w:r>
    </w:p>
    <w:p>
      <w:pPr>
        <w:widowControl/>
        <w:shd w:val="clear" w:color="auto" w:fill="FFFFFF"/>
        <w:spacing w:line="360" w:lineRule="auto"/>
        <w:ind w:firstLine="412"/>
        <w:rPr>
          <w:rFonts w:ascii="宋体" w:hAnsi="宋体"/>
          <w:kern w:val="0"/>
          <w:szCs w:val="21"/>
          <w:highlight w:val="none"/>
        </w:rPr>
      </w:pPr>
      <w:r>
        <w:rPr>
          <w:rFonts w:hint="eastAsia" w:ascii="宋体" w:hAnsi="宋体"/>
          <w:bCs/>
          <w:kern w:val="0"/>
          <w:szCs w:val="21"/>
          <w:highlight w:val="none"/>
        </w:rPr>
        <w:t>6.7</w:t>
      </w:r>
      <w:r>
        <w:rPr>
          <w:rFonts w:hint="eastAsia" w:ascii="宋体" w:hAnsi="宋体"/>
          <w:kern w:val="0"/>
          <w:szCs w:val="21"/>
          <w:highlight w:val="none"/>
        </w:rPr>
        <w:t>投标人根据招标文件载明的标的采购项目实际情况，拟在中标后将中标项目的非主体、非关键性工作交由他人完成的，应当在投标文件中载明。</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7、投标文件的组成</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7.1投标人应当根据招标文件要求编制投标文件，投标文件应对招标文件提出的要求和条件作出实质性响应，并在《商务条款偏离表》和《技术规格偏离表》等处逐条标明满足与否。</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7.2 投标文件由商务部分、技术部分、价格部分以及其他部分组成。</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8、投标文件的商务部分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8.1商务部分是证明投标人有资格参加投标和中标后有能力履行合同的文件，这些文件应能满足招标的要求，包括但不限于下列文件（</w:t>
      </w:r>
      <w:r>
        <w:rPr>
          <w:rFonts w:hint="eastAsia" w:ascii="宋体" w:hAnsi="宋体"/>
          <w:b/>
          <w:kern w:val="0"/>
          <w:szCs w:val="21"/>
          <w:highlight w:val="none"/>
        </w:rPr>
        <w:t>（1）-（5）所述材料如提供不全或不满足招标文件的实质性要求，评标委员会有权否决投标人的投标</w:t>
      </w:r>
      <w:r>
        <w:rPr>
          <w:rFonts w:hint="eastAsia" w:ascii="宋体" w:hAnsi="宋体"/>
          <w:kern w:val="0"/>
          <w:szCs w:val="21"/>
          <w:highlight w:val="none"/>
        </w:rPr>
        <w:t>）：</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（1）投标函（投标申请及声明）</w:t>
      </w:r>
      <w:r>
        <w:rPr>
          <w:rFonts w:hint="eastAsia" w:ascii="宋体" w:hAnsi="宋体"/>
          <w:bCs/>
          <w:szCs w:val="21"/>
          <w:highlight w:val="none"/>
        </w:rPr>
        <w:t>（</w:t>
      </w:r>
      <w:r>
        <w:rPr>
          <w:rFonts w:hint="eastAsia" w:ascii="宋体" w:hAnsi="宋体"/>
          <w:b/>
          <w:bCs/>
          <w:szCs w:val="21"/>
          <w:highlight w:val="none"/>
        </w:rPr>
        <w:t>格式见附件</w:t>
      </w:r>
      <w:r>
        <w:rPr>
          <w:rFonts w:hint="eastAsia" w:ascii="宋体" w:hAnsi="宋体"/>
          <w:bCs/>
          <w:szCs w:val="21"/>
          <w:highlight w:val="none"/>
        </w:rPr>
        <w:t>）</w:t>
      </w:r>
      <w:r>
        <w:rPr>
          <w:rFonts w:hint="eastAsia" w:ascii="宋体" w:hAnsi="宋体"/>
          <w:kern w:val="0"/>
          <w:szCs w:val="21"/>
          <w:highlight w:val="none"/>
        </w:rPr>
        <w:t>；</w:t>
      </w:r>
    </w:p>
    <w:p>
      <w:pPr>
        <w:widowControl/>
        <w:shd w:val="clear" w:color="auto" w:fill="FFFFFF"/>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（2）法定代表人授权委托书及委托代理人的身份证明文件的复印件</w:t>
      </w:r>
      <w:r>
        <w:rPr>
          <w:rFonts w:hint="eastAsia" w:ascii="宋体" w:hAnsi="宋体"/>
          <w:bCs/>
          <w:szCs w:val="21"/>
          <w:highlight w:val="none"/>
        </w:rPr>
        <w:t>（</w:t>
      </w:r>
      <w:r>
        <w:rPr>
          <w:rFonts w:hint="eastAsia" w:ascii="宋体" w:hAnsi="宋体"/>
          <w:b/>
          <w:bCs/>
          <w:szCs w:val="21"/>
          <w:highlight w:val="none"/>
        </w:rPr>
        <w:t>格式见附件</w:t>
      </w:r>
      <w:r>
        <w:rPr>
          <w:rFonts w:hint="eastAsia" w:ascii="宋体" w:hAnsi="宋体"/>
          <w:bCs/>
          <w:szCs w:val="21"/>
          <w:highlight w:val="none"/>
        </w:rPr>
        <w:t>）</w:t>
      </w:r>
      <w:r>
        <w:rPr>
          <w:rFonts w:hint="eastAsia" w:ascii="宋体" w:hAnsi="宋体" w:cs="宋体"/>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（3）投标人资格资信证明文件：</w:t>
      </w:r>
    </w:p>
    <w:p>
      <w:pPr>
        <w:pStyle w:val="139"/>
        <w:numPr>
          <w:ilvl w:val="1"/>
          <w:numId w:val="5"/>
        </w:numPr>
        <w:tabs>
          <w:tab w:val="left" w:pos="840"/>
          <w:tab w:val="clear" w:pos="990"/>
        </w:tabs>
        <w:spacing w:line="360" w:lineRule="auto"/>
        <w:ind w:left="0" w:firstLine="367" w:firstLineChars="175"/>
        <w:rPr>
          <w:rFonts w:ascii="宋体" w:hAnsi="宋体"/>
          <w:bCs/>
          <w:szCs w:val="21"/>
          <w:highlight w:val="none"/>
        </w:rPr>
      </w:pPr>
      <w:r>
        <w:rPr>
          <w:rFonts w:hint="eastAsia" w:ascii="宋体" w:hAnsi="宋体"/>
          <w:bCs/>
          <w:szCs w:val="21"/>
          <w:highlight w:val="none"/>
        </w:rPr>
        <w:t>第一章投标邀请中2</w:t>
      </w:r>
      <w:r>
        <w:rPr>
          <w:rFonts w:ascii="宋体" w:hAnsi="宋体"/>
          <w:bCs/>
          <w:szCs w:val="21"/>
          <w:highlight w:val="none"/>
        </w:rPr>
        <w:t>.1</w:t>
      </w:r>
      <w:r>
        <w:rPr>
          <w:rFonts w:hint="eastAsia" w:ascii="宋体" w:hAnsi="宋体"/>
          <w:bCs/>
          <w:szCs w:val="21"/>
          <w:highlight w:val="none"/>
        </w:rPr>
        <w:t>《中华人民共和国政府采购法》规定的资格条件证明文件；</w:t>
      </w:r>
    </w:p>
    <w:p>
      <w:pPr>
        <w:pStyle w:val="139"/>
        <w:numPr>
          <w:ilvl w:val="1"/>
          <w:numId w:val="5"/>
        </w:numPr>
        <w:tabs>
          <w:tab w:val="left" w:pos="840"/>
          <w:tab w:val="clear" w:pos="990"/>
        </w:tabs>
        <w:spacing w:line="360" w:lineRule="auto"/>
        <w:ind w:left="0" w:firstLine="367" w:firstLineChars="175"/>
        <w:rPr>
          <w:rFonts w:ascii="宋体" w:hAnsi="宋体"/>
          <w:bCs/>
          <w:szCs w:val="21"/>
          <w:highlight w:val="none"/>
        </w:rPr>
      </w:pPr>
      <w:r>
        <w:rPr>
          <w:rFonts w:hint="eastAsia" w:ascii="宋体" w:hAnsi="宋体"/>
          <w:bCs/>
          <w:szCs w:val="21"/>
          <w:highlight w:val="none"/>
        </w:rPr>
        <w:t>第一章投标邀请中2</w:t>
      </w:r>
      <w:r>
        <w:rPr>
          <w:rFonts w:ascii="宋体" w:hAnsi="宋体"/>
          <w:bCs/>
          <w:szCs w:val="21"/>
          <w:highlight w:val="none"/>
        </w:rPr>
        <w:t>.</w:t>
      </w:r>
      <w:r>
        <w:rPr>
          <w:rFonts w:hint="eastAsia" w:ascii="宋体" w:hAnsi="宋体"/>
          <w:bCs/>
          <w:szCs w:val="21"/>
          <w:highlight w:val="none"/>
        </w:rPr>
        <w:t>3</w:t>
      </w:r>
      <w:r>
        <w:rPr>
          <w:rFonts w:ascii="宋体" w:hAnsi="宋体"/>
          <w:bCs/>
          <w:szCs w:val="21"/>
          <w:highlight w:val="none"/>
        </w:rPr>
        <w:t xml:space="preserve"> </w:t>
      </w:r>
      <w:r>
        <w:rPr>
          <w:rFonts w:hint="eastAsia" w:ascii="宋体" w:hAnsi="宋体"/>
          <w:bCs/>
          <w:szCs w:val="21"/>
          <w:highlight w:val="none"/>
        </w:rPr>
        <w:t>采购人根据采购项目的特殊要求规定的特定条件证明文件；</w:t>
      </w:r>
    </w:p>
    <w:p>
      <w:pPr>
        <w:widowControl/>
        <w:shd w:val="clear" w:color="auto" w:fill="FFFFFF"/>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（4）开标一览表</w:t>
      </w:r>
      <w:r>
        <w:rPr>
          <w:rFonts w:hint="eastAsia" w:ascii="宋体" w:hAnsi="宋体"/>
          <w:bCs/>
          <w:szCs w:val="21"/>
          <w:highlight w:val="none"/>
        </w:rPr>
        <w:t>（</w:t>
      </w:r>
      <w:r>
        <w:rPr>
          <w:rFonts w:hint="eastAsia" w:ascii="宋体" w:hAnsi="宋体"/>
          <w:b/>
          <w:bCs/>
          <w:szCs w:val="21"/>
          <w:highlight w:val="none"/>
        </w:rPr>
        <w:t>格式见附件</w:t>
      </w:r>
      <w:r>
        <w:rPr>
          <w:rFonts w:hint="eastAsia" w:ascii="宋体" w:hAnsi="宋体"/>
          <w:bCs/>
          <w:szCs w:val="21"/>
          <w:highlight w:val="none"/>
        </w:rPr>
        <w:t>）；</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（5）《南京市政府采购供应商信用记录表》；</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（6）《商务条款偏离表》；</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（7）分项报价表</w:t>
      </w:r>
      <w:r>
        <w:rPr>
          <w:rFonts w:hint="eastAsia" w:ascii="宋体" w:hAnsi="宋体"/>
          <w:bCs/>
          <w:szCs w:val="21"/>
          <w:highlight w:val="none"/>
        </w:rPr>
        <w:t>（</w:t>
      </w:r>
      <w:r>
        <w:rPr>
          <w:rFonts w:hint="eastAsia" w:ascii="宋体" w:hAnsi="宋体"/>
          <w:b/>
          <w:bCs/>
          <w:szCs w:val="21"/>
          <w:highlight w:val="none"/>
        </w:rPr>
        <w:t>格式见附件</w:t>
      </w:r>
      <w:r>
        <w:rPr>
          <w:rFonts w:hint="eastAsia" w:ascii="宋体" w:hAnsi="宋体"/>
          <w:bCs/>
          <w:szCs w:val="21"/>
          <w:highlight w:val="none"/>
        </w:rPr>
        <w:t>）</w:t>
      </w:r>
      <w:r>
        <w:rPr>
          <w:rFonts w:hint="eastAsia" w:ascii="宋体" w:hAnsi="宋体"/>
          <w:kern w:val="0"/>
          <w:szCs w:val="21"/>
          <w:highlight w:val="none"/>
        </w:rPr>
        <w:t>；</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（8）第三章评标标准中对应的其它所需证明材料（如有自行添加）；</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（9）要求采购人提供的配合（如有自拟并自行添加）；</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（10）其它（投标人认为有必要提供的声明和文件，如有，自行拟定并添加）。</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b/>
          <w:bCs/>
          <w:kern w:val="0"/>
          <w:szCs w:val="21"/>
          <w:highlight w:val="none"/>
        </w:rPr>
        <w:t>9、投标文件的技术部分</w:t>
      </w:r>
    </w:p>
    <w:p>
      <w:pPr>
        <w:widowControl/>
        <w:adjustRightInd w:val="0"/>
        <w:spacing w:line="360" w:lineRule="auto"/>
        <w:ind w:firstLine="420"/>
        <w:jc w:val="left"/>
        <w:rPr>
          <w:rFonts w:ascii="宋体"/>
          <w:szCs w:val="21"/>
          <w:highlight w:val="none"/>
          <w:lang w:val="zh-CN"/>
        </w:rPr>
      </w:pPr>
      <w:r>
        <w:rPr>
          <w:rFonts w:hint="eastAsia" w:ascii="宋体" w:hAnsi="宋体"/>
          <w:szCs w:val="21"/>
          <w:highlight w:val="none"/>
          <w:lang w:val="zh-CN"/>
        </w:rPr>
        <w:t>技术部分是证明</w:t>
      </w:r>
      <w:r>
        <w:rPr>
          <w:rFonts w:hint="eastAsia" w:ascii="宋体" w:hAnsi="宋体"/>
          <w:szCs w:val="21"/>
          <w:highlight w:val="none"/>
        </w:rPr>
        <w:t>供应商提供的货物和服务是合格的、并符合招标文件要求的证明文件，以及</w:t>
      </w:r>
      <w:r>
        <w:rPr>
          <w:rFonts w:hint="eastAsia" w:ascii="宋体" w:hAnsi="宋体"/>
          <w:szCs w:val="21"/>
          <w:highlight w:val="none"/>
          <w:lang w:val="zh-CN"/>
        </w:rPr>
        <w:t>对货物和服务的详细说明，这些文件可以是文字资料、图纸和数据等。提供的货物和服务如与招标文件要求有不符之处，应说明其差别之所在。包括但不限于下</w:t>
      </w:r>
      <w:r>
        <w:rPr>
          <w:rFonts w:hint="eastAsia" w:ascii="宋体"/>
          <w:szCs w:val="21"/>
          <w:highlight w:val="none"/>
          <w:lang w:val="zh-CN"/>
        </w:rPr>
        <w:t>列文件：</w:t>
      </w:r>
    </w:p>
    <w:p>
      <w:pPr>
        <w:widowControl/>
        <w:adjustRightInd w:val="0"/>
        <w:spacing w:line="360" w:lineRule="auto"/>
        <w:ind w:firstLine="420"/>
        <w:jc w:val="left"/>
        <w:rPr>
          <w:rFonts w:ascii="宋体" w:hAnsi="宋体" w:cs="宋体"/>
          <w:kern w:val="0"/>
          <w:szCs w:val="21"/>
          <w:highlight w:val="none"/>
          <w:lang w:val="zh-CN"/>
        </w:rPr>
      </w:pPr>
      <w:r>
        <w:rPr>
          <w:rFonts w:hint="eastAsia" w:ascii="宋体" w:hAnsi="宋体" w:cs="宋体"/>
          <w:kern w:val="0"/>
          <w:szCs w:val="21"/>
          <w:highlight w:val="none"/>
          <w:lang w:val="zh-CN"/>
        </w:rPr>
        <w:t>（1）技术说明或服务方案；</w:t>
      </w:r>
    </w:p>
    <w:p>
      <w:pPr>
        <w:widowControl/>
        <w:adjustRightInd w:val="0"/>
        <w:spacing w:line="360" w:lineRule="auto"/>
        <w:ind w:firstLine="420"/>
        <w:jc w:val="left"/>
        <w:rPr>
          <w:rFonts w:ascii="宋体" w:hAnsi="宋体" w:cs="宋体"/>
          <w:kern w:val="0"/>
          <w:szCs w:val="21"/>
          <w:highlight w:val="none"/>
          <w:lang w:val="zh-CN"/>
        </w:rPr>
      </w:pPr>
      <w:r>
        <w:rPr>
          <w:rFonts w:hint="eastAsia" w:ascii="宋体" w:hAnsi="宋体" w:cs="宋体"/>
          <w:kern w:val="0"/>
          <w:szCs w:val="21"/>
          <w:highlight w:val="none"/>
          <w:lang w:val="zh-CN"/>
        </w:rPr>
        <w:t>（2）《技术条款偏离表》；</w:t>
      </w:r>
    </w:p>
    <w:p>
      <w:pPr>
        <w:widowControl/>
        <w:adjustRightInd w:val="0"/>
        <w:spacing w:line="360" w:lineRule="auto"/>
        <w:ind w:firstLine="420"/>
        <w:jc w:val="left"/>
        <w:rPr>
          <w:rFonts w:ascii="宋体" w:hAnsi="宋体" w:cs="宋体"/>
          <w:kern w:val="0"/>
          <w:szCs w:val="21"/>
          <w:highlight w:val="none"/>
          <w:lang w:val="zh-CN"/>
        </w:rPr>
      </w:pPr>
      <w:r>
        <w:rPr>
          <w:rFonts w:hint="eastAsia" w:ascii="宋体" w:hAnsi="宋体" w:cs="宋体"/>
          <w:kern w:val="0"/>
          <w:szCs w:val="21"/>
          <w:highlight w:val="none"/>
          <w:lang w:val="zh-CN"/>
        </w:rPr>
        <w:t>（3）服务承诺；</w:t>
      </w:r>
    </w:p>
    <w:p>
      <w:pPr>
        <w:widowControl/>
        <w:adjustRightInd w:val="0"/>
        <w:spacing w:line="360" w:lineRule="auto"/>
        <w:ind w:firstLine="420"/>
        <w:jc w:val="left"/>
        <w:rPr>
          <w:rFonts w:ascii="宋体" w:hAnsi="宋体" w:cs="宋体"/>
          <w:kern w:val="0"/>
          <w:szCs w:val="21"/>
          <w:highlight w:val="none"/>
          <w:lang w:val="zh-CN"/>
        </w:rPr>
      </w:pPr>
      <w:r>
        <w:rPr>
          <w:rFonts w:hint="eastAsia" w:ascii="宋体" w:hAnsi="宋体" w:cs="宋体"/>
          <w:kern w:val="0"/>
          <w:szCs w:val="21"/>
          <w:highlight w:val="none"/>
          <w:lang w:val="zh-CN"/>
        </w:rPr>
        <w:t>（4）投标人拟投入本项目的设备、人员情况一览表；</w:t>
      </w:r>
    </w:p>
    <w:p>
      <w:pPr>
        <w:widowControl/>
        <w:adjustRightInd w:val="0"/>
        <w:spacing w:line="360" w:lineRule="auto"/>
        <w:ind w:firstLine="420"/>
        <w:jc w:val="left"/>
        <w:rPr>
          <w:rFonts w:ascii="宋体" w:hAnsi="宋体" w:cs="宋体"/>
          <w:kern w:val="0"/>
          <w:szCs w:val="21"/>
          <w:highlight w:val="none"/>
          <w:lang w:val="zh-CN"/>
        </w:rPr>
      </w:pPr>
      <w:r>
        <w:rPr>
          <w:rFonts w:hint="eastAsia" w:ascii="宋体" w:hAnsi="宋体" w:cs="宋体"/>
          <w:kern w:val="0"/>
          <w:szCs w:val="21"/>
          <w:highlight w:val="none"/>
          <w:lang w:val="zh-CN"/>
        </w:rPr>
        <w:t>（5）供应商认为需要提供的其他技术资料。</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10、投标文件的价格部分</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10.1价格部分是对采购标的价格构成的说明，招标文件如无特别说明，每一项货物及服务仅接受一个价格。</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10.2报价应包含本次招标标的有关的所有费用</w:t>
      </w:r>
      <w:r>
        <w:rPr>
          <w:rFonts w:hint="eastAsia" w:ascii="宋体" w:hAnsi="宋体" w:cs="宋体"/>
          <w:kern w:val="0"/>
          <w:szCs w:val="21"/>
          <w:highlight w:val="none"/>
          <w:lang w:val="zh-CN"/>
        </w:rPr>
        <w:t>，以及技术资料、支付给员工的工资和国家强制缴纳的各种社会保障资金</w:t>
      </w:r>
      <w:r>
        <w:rPr>
          <w:rFonts w:hint="eastAsia" w:ascii="宋体" w:hAnsi="宋体"/>
          <w:bCs/>
          <w:szCs w:val="21"/>
          <w:highlight w:val="none"/>
        </w:rPr>
        <w:t>，以</w:t>
      </w:r>
      <w:r>
        <w:rPr>
          <w:rFonts w:hint="eastAsia" w:ascii="宋体" w:hAnsi="宋体"/>
          <w:szCs w:val="21"/>
          <w:highlight w:val="none"/>
        </w:rPr>
        <w:t>及投标人认为需要的其他费用等</w:t>
      </w:r>
      <w:r>
        <w:rPr>
          <w:rFonts w:hint="eastAsia" w:ascii="宋体" w:hAnsi="宋体"/>
          <w:b/>
          <w:szCs w:val="21"/>
          <w:highlight w:val="none"/>
        </w:rPr>
        <w:t>。</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10.3投标人的任何错漏、优惠、竞争性报价不得作为减轻责任、减少服务、增加收费、降低质量的理由。</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10.4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宋体" w:hAnsi="宋体"/>
          <w:b/>
          <w:bCs/>
          <w:kern w:val="0"/>
          <w:szCs w:val="21"/>
          <w:highlight w:val="none"/>
        </w:rPr>
        <w:t>无效投标处理</w:t>
      </w:r>
      <w:r>
        <w:rPr>
          <w:rFonts w:hint="eastAsia" w:ascii="宋体" w:hAnsi="宋体"/>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10.5 投标人应在《开标一览表》、《分项报价》等标明投标货物和服务的单价、总价以及分项报价。投标人系</w:t>
      </w:r>
      <w:r>
        <w:rPr>
          <w:rFonts w:hint="eastAsia" w:ascii="宋体" w:hAnsi="宋体"/>
          <w:b/>
          <w:bCs/>
          <w:kern w:val="0"/>
          <w:szCs w:val="21"/>
          <w:highlight w:val="none"/>
        </w:rPr>
        <w:t>小型、微型企业，并提供本企业制造的货物、承担的工程或者服务，</w:t>
      </w:r>
      <w:r>
        <w:rPr>
          <w:rFonts w:hint="eastAsia" w:ascii="宋体" w:hAnsi="宋体"/>
          <w:kern w:val="0"/>
          <w:szCs w:val="21"/>
          <w:highlight w:val="none"/>
        </w:rPr>
        <w:t>或者提供其他小型、微型企业制造的货物，须在《开标一览表》、《分项报价》中注明。</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10.6 《开标一览表》一式两份，一份装订在投标文件中，一份单独封装，并标明“开标一览表”字样，随投标文件一并递交，以便唱标时使用。</w:t>
      </w:r>
    </w:p>
    <w:p>
      <w:pPr>
        <w:widowControl/>
        <w:spacing w:line="360" w:lineRule="auto"/>
        <w:ind w:firstLine="420"/>
        <w:rPr>
          <w:rFonts w:ascii="宋体" w:cs="宋体"/>
          <w:kern w:val="0"/>
          <w:szCs w:val="21"/>
          <w:highlight w:val="none"/>
        </w:rPr>
      </w:pPr>
      <w:r>
        <w:rPr>
          <w:rFonts w:hint="eastAsia" w:ascii="宋体" w:hAnsi="宋体"/>
          <w:b/>
          <w:bCs/>
          <w:kern w:val="0"/>
          <w:szCs w:val="21"/>
          <w:highlight w:val="none"/>
        </w:rPr>
        <w:t>10.7本项目预算为：详见第一章</w:t>
      </w:r>
      <w:r>
        <w:rPr>
          <w:rFonts w:hint="eastAsia" w:ascii="宋体" w:hAnsi="宋体"/>
          <w:bCs/>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11、投标文件的其他部分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11.1 其他部分由投标人根据编制投标文件需要提供的其他相关文件组成。</w:t>
      </w:r>
    </w:p>
    <w:p>
      <w:pPr>
        <w:widowControl/>
        <w:shd w:val="clear" w:color="auto" w:fill="FFFFFF"/>
        <w:spacing w:line="360" w:lineRule="auto"/>
        <w:ind w:firstLine="420"/>
        <w:rPr>
          <w:rFonts w:ascii="宋体" w:hAnsi="宋体"/>
          <w:b/>
          <w:bCs/>
          <w:kern w:val="0"/>
          <w:szCs w:val="21"/>
          <w:highlight w:val="none"/>
        </w:rPr>
      </w:pPr>
      <w:r>
        <w:rPr>
          <w:rFonts w:hint="eastAsia" w:ascii="宋体" w:hAnsi="宋体"/>
          <w:b/>
          <w:bCs/>
          <w:kern w:val="0"/>
          <w:szCs w:val="21"/>
          <w:highlight w:val="none"/>
        </w:rPr>
        <w:t>12、投标保证金</w:t>
      </w:r>
    </w:p>
    <w:p>
      <w:pPr>
        <w:widowControl/>
        <w:shd w:val="clear" w:color="auto" w:fill="FFFFFF"/>
        <w:spacing w:line="360" w:lineRule="auto"/>
        <w:ind w:firstLine="420"/>
        <w:rPr>
          <w:rFonts w:ascii="宋体" w:hAnsi="宋体"/>
          <w:b/>
          <w:bCs/>
          <w:kern w:val="0"/>
          <w:szCs w:val="21"/>
          <w:highlight w:val="none"/>
        </w:rPr>
      </w:pPr>
      <w:r>
        <w:rPr>
          <w:rFonts w:hint="eastAsia" w:ascii="宋体" w:hAnsi="宋体"/>
          <w:b/>
          <w:bCs/>
          <w:kern w:val="0"/>
          <w:szCs w:val="21"/>
          <w:highlight w:val="none"/>
        </w:rPr>
        <w:t>不需要缴纳。</w:t>
      </w:r>
    </w:p>
    <w:p>
      <w:pPr>
        <w:widowControl/>
        <w:shd w:val="clear" w:color="auto" w:fill="FFFFFF"/>
        <w:spacing w:line="360" w:lineRule="auto"/>
        <w:ind w:firstLine="420"/>
        <w:rPr>
          <w:rFonts w:ascii="宋体" w:hAnsi="宋体"/>
          <w:b/>
          <w:bCs/>
          <w:kern w:val="0"/>
          <w:szCs w:val="21"/>
          <w:highlight w:val="none"/>
        </w:rPr>
      </w:pPr>
      <w:r>
        <w:rPr>
          <w:rFonts w:hint="eastAsia" w:ascii="宋体" w:hAnsi="宋体"/>
          <w:b/>
          <w:bCs/>
          <w:kern w:val="0"/>
          <w:szCs w:val="21"/>
          <w:highlight w:val="none"/>
        </w:rPr>
        <w:t>13、投标有效期</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13.1 自开标之日起</w:t>
      </w:r>
      <w:r>
        <w:rPr>
          <w:rFonts w:hint="eastAsia" w:ascii="宋体" w:hAnsi="宋体"/>
          <w:b/>
          <w:kern w:val="0"/>
          <w:szCs w:val="21"/>
          <w:highlight w:val="none"/>
        </w:rPr>
        <w:t>90</w:t>
      </w:r>
      <w:r>
        <w:rPr>
          <w:rFonts w:hint="eastAsia" w:ascii="宋体" w:hAnsi="宋体"/>
          <w:kern w:val="0"/>
          <w:szCs w:val="21"/>
          <w:highlight w:val="none"/>
        </w:rPr>
        <w:t>天内投标有效</w:t>
      </w:r>
      <w:r>
        <w:rPr>
          <w:rFonts w:hint="eastAsia" w:ascii="宋体" w:hAnsi="宋体"/>
          <w:b/>
          <w:highlight w:val="none"/>
        </w:rPr>
        <w:t>，投标有效期从提交投标文件的截止之日起算。投标文件中承诺的投标有效期应当不少于招标文件中载明的投标有效期。</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13.2 特殊情况下，在原投标有效期截止之前，采购代理机构可要求投标人同意延长投标有效期，这种要求与答复均应以书面形式提交。投标人可拒绝这种要求。</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14、投标文件签署</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14.1 投标文件的正本和副本均应由投标人法人代表或经正式授权并对投标人有约束力的委托代理人签字，如果它们之间内容有差异，则以正本为准。</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15、投标费用</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15.1 投标人应承担所有与准备和参加投标有关的费用，无论采购结果如何，采购代理机构和采购人在任何情况下均无义务和责任承担这些费用。</w:t>
      </w:r>
    </w:p>
    <w:p>
      <w:pPr>
        <w:widowControl/>
        <w:shd w:val="clear" w:color="auto" w:fill="FFFFFF"/>
        <w:spacing w:line="360" w:lineRule="auto"/>
        <w:ind w:firstLine="420"/>
        <w:rPr>
          <w:rFonts w:ascii="宋体" w:hAnsi="宋体"/>
          <w:kern w:val="0"/>
          <w:szCs w:val="21"/>
          <w:highlight w:val="none"/>
        </w:rPr>
      </w:pPr>
      <w:r>
        <w:rPr>
          <w:rFonts w:hint="eastAsia" w:ascii="宋体" w:hAnsi="宋体"/>
          <w:b/>
          <w:kern w:val="0"/>
          <w:szCs w:val="21"/>
          <w:highlight w:val="none"/>
        </w:rPr>
        <w:t>15.2 招标代理服务费：本次招标，中标人参照《招标代理服务费管理暂行办法》（国家发展计划委员会计价格【2002】1980号）代理货物招标收费基准费率70%计算，在领取中标通知书前向招标代理机构支付招标服务费。本项费用无需在投标报价表中单列。</w:t>
      </w:r>
    </w:p>
    <w:p>
      <w:pPr>
        <w:widowControl/>
        <w:shd w:val="clear" w:color="auto" w:fill="FFFFFF"/>
        <w:spacing w:line="360" w:lineRule="auto"/>
        <w:ind w:firstLine="420"/>
        <w:rPr>
          <w:rFonts w:ascii="宋体"/>
          <w:kern w:val="0"/>
          <w:szCs w:val="21"/>
          <w:highlight w:val="none"/>
        </w:rPr>
      </w:pPr>
      <w:r>
        <w:rPr>
          <w:rFonts w:ascii="宋体" w:hAnsi="宋体"/>
          <w:kern w:val="0"/>
          <w:szCs w:val="21"/>
          <w:highlight w:val="none"/>
        </w:rPr>
        <w:t>1</w:t>
      </w:r>
      <w:r>
        <w:rPr>
          <w:rFonts w:hint="eastAsia" w:ascii="宋体" w:hAnsi="宋体"/>
          <w:kern w:val="0"/>
          <w:szCs w:val="21"/>
          <w:highlight w:val="none"/>
        </w:rPr>
        <w:t>5</w:t>
      </w:r>
      <w:r>
        <w:rPr>
          <w:rFonts w:ascii="宋体" w:hAnsi="宋体"/>
          <w:kern w:val="0"/>
          <w:szCs w:val="21"/>
          <w:highlight w:val="none"/>
        </w:rPr>
        <w:t>.3</w:t>
      </w:r>
      <w:r>
        <w:rPr>
          <w:rFonts w:hint="eastAsia" w:ascii="宋体" w:hAnsi="宋体"/>
          <w:kern w:val="0"/>
          <w:szCs w:val="21"/>
          <w:highlight w:val="none"/>
        </w:rPr>
        <w:t>开标公证费</w:t>
      </w:r>
    </w:p>
    <w:p>
      <w:pPr>
        <w:widowControl/>
        <w:shd w:val="clear" w:color="auto" w:fill="FFFFFF"/>
        <w:spacing w:line="360" w:lineRule="auto"/>
        <w:ind w:firstLine="420"/>
        <w:rPr>
          <w:rFonts w:ascii="宋体"/>
          <w:kern w:val="0"/>
          <w:szCs w:val="21"/>
          <w:highlight w:val="none"/>
        </w:rPr>
      </w:pPr>
      <w:r>
        <w:rPr>
          <w:rFonts w:hint="eastAsia" w:ascii="宋体" w:hAnsi="宋体"/>
          <w:kern w:val="0"/>
          <w:szCs w:val="21"/>
          <w:highlight w:val="none"/>
        </w:rPr>
        <w:t>南京市南京公证处受理本项目招标投标现场监督公证。招标代理机构向中标人收取公证代理服务费用并开具发票。具体标准为：中标金额</w:t>
      </w:r>
      <w:r>
        <w:rPr>
          <w:rFonts w:hint="eastAsia" w:ascii="宋体"/>
          <w:kern w:val="0"/>
          <w:szCs w:val="21"/>
          <w:highlight w:val="none"/>
        </w:rPr>
        <w:t>≤</w:t>
      </w:r>
      <w:r>
        <w:rPr>
          <w:rFonts w:ascii="宋体" w:hAnsi="宋体"/>
          <w:kern w:val="0"/>
          <w:szCs w:val="21"/>
          <w:highlight w:val="none"/>
        </w:rPr>
        <w:t>200</w:t>
      </w:r>
      <w:r>
        <w:rPr>
          <w:rFonts w:hint="eastAsia" w:ascii="宋体" w:hAnsi="宋体"/>
          <w:kern w:val="0"/>
          <w:szCs w:val="21"/>
          <w:highlight w:val="none"/>
        </w:rPr>
        <w:t>万元人民币，开标公证费</w:t>
      </w:r>
      <w:r>
        <w:rPr>
          <w:rFonts w:ascii="宋体" w:hAnsi="宋体"/>
          <w:kern w:val="0"/>
          <w:szCs w:val="21"/>
          <w:highlight w:val="none"/>
        </w:rPr>
        <w:t>500</w:t>
      </w:r>
      <w:r>
        <w:rPr>
          <w:rFonts w:hint="eastAsia" w:ascii="宋体" w:hAnsi="宋体"/>
          <w:kern w:val="0"/>
          <w:szCs w:val="21"/>
          <w:highlight w:val="none"/>
        </w:rPr>
        <w:t>元人民币；</w:t>
      </w:r>
      <w:r>
        <w:rPr>
          <w:rFonts w:ascii="宋体" w:hAnsi="宋体"/>
          <w:kern w:val="0"/>
          <w:szCs w:val="21"/>
          <w:highlight w:val="none"/>
        </w:rPr>
        <w:t>200</w:t>
      </w:r>
      <w:r>
        <w:rPr>
          <w:rFonts w:hint="eastAsia" w:ascii="宋体" w:hAnsi="宋体"/>
          <w:kern w:val="0"/>
          <w:szCs w:val="21"/>
          <w:highlight w:val="none"/>
        </w:rPr>
        <w:t>万元人民币＜中标金额</w:t>
      </w:r>
      <w:r>
        <w:rPr>
          <w:rFonts w:hint="eastAsia" w:ascii="宋体"/>
          <w:kern w:val="0"/>
          <w:szCs w:val="21"/>
          <w:highlight w:val="none"/>
        </w:rPr>
        <w:t>≤</w:t>
      </w:r>
      <w:r>
        <w:rPr>
          <w:rFonts w:ascii="宋体" w:hAnsi="宋体"/>
          <w:kern w:val="0"/>
          <w:szCs w:val="21"/>
          <w:highlight w:val="none"/>
        </w:rPr>
        <w:t>600</w:t>
      </w:r>
      <w:r>
        <w:rPr>
          <w:rFonts w:hint="eastAsia" w:ascii="宋体" w:hAnsi="宋体"/>
          <w:kern w:val="0"/>
          <w:szCs w:val="21"/>
          <w:highlight w:val="none"/>
        </w:rPr>
        <w:t>万元人民币，开标公证费</w:t>
      </w:r>
      <w:r>
        <w:rPr>
          <w:rFonts w:ascii="宋体" w:hAnsi="宋体"/>
          <w:kern w:val="0"/>
          <w:szCs w:val="21"/>
          <w:highlight w:val="none"/>
        </w:rPr>
        <w:t>600</w:t>
      </w:r>
      <w:r>
        <w:rPr>
          <w:rFonts w:hint="eastAsia" w:ascii="宋体" w:hAnsi="宋体"/>
          <w:kern w:val="0"/>
          <w:szCs w:val="21"/>
          <w:highlight w:val="none"/>
        </w:rPr>
        <w:t>元人民币；</w:t>
      </w:r>
      <w:r>
        <w:rPr>
          <w:rFonts w:ascii="宋体" w:hAnsi="宋体"/>
          <w:kern w:val="0"/>
          <w:szCs w:val="21"/>
          <w:highlight w:val="none"/>
        </w:rPr>
        <w:t>600</w:t>
      </w:r>
      <w:r>
        <w:rPr>
          <w:rFonts w:hint="eastAsia" w:ascii="宋体" w:hAnsi="宋体"/>
          <w:kern w:val="0"/>
          <w:szCs w:val="21"/>
          <w:highlight w:val="none"/>
        </w:rPr>
        <w:t>万元人民币＜中标金额</w:t>
      </w:r>
      <w:r>
        <w:rPr>
          <w:rFonts w:hint="eastAsia" w:ascii="宋体"/>
          <w:kern w:val="0"/>
          <w:szCs w:val="21"/>
          <w:highlight w:val="none"/>
        </w:rPr>
        <w:t>≤</w:t>
      </w:r>
      <w:r>
        <w:rPr>
          <w:rFonts w:ascii="宋体" w:hAnsi="宋体"/>
          <w:kern w:val="0"/>
          <w:szCs w:val="21"/>
          <w:highlight w:val="none"/>
        </w:rPr>
        <w:t>1000</w:t>
      </w:r>
      <w:r>
        <w:rPr>
          <w:rFonts w:hint="eastAsia" w:ascii="宋体" w:hAnsi="宋体"/>
          <w:kern w:val="0"/>
          <w:szCs w:val="21"/>
          <w:highlight w:val="none"/>
        </w:rPr>
        <w:t>万元人民币，开标公证费</w:t>
      </w:r>
      <w:r>
        <w:rPr>
          <w:rFonts w:ascii="宋体" w:hAnsi="宋体"/>
          <w:kern w:val="0"/>
          <w:szCs w:val="21"/>
          <w:highlight w:val="none"/>
        </w:rPr>
        <w:t>800</w:t>
      </w:r>
      <w:r>
        <w:rPr>
          <w:rFonts w:hint="eastAsia" w:ascii="宋体" w:hAnsi="宋体"/>
          <w:kern w:val="0"/>
          <w:szCs w:val="21"/>
          <w:highlight w:val="none"/>
        </w:rPr>
        <w:t>元人民币；中标金额＞</w:t>
      </w:r>
      <w:r>
        <w:rPr>
          <w:rFonts w:ascii="宋体" w:hAnsi="宋体"/>
          <w:kern w:val="0"/>
          <w:szCs w:val="21"/>
          <w:highlight w:val="none"/>
        </w:rPr>
        <w:t>1000</w:t>
      </w:r>
      <w:r>
        <w:rPr>
          <w:rFonts w:hint="eastAsia" w:ascii="宋体" w:hAnsi="宋体"/>
          <w:kern w:val="0"/>
          <w:szCs w:val="21"/>
          <w:highlight w:val="none"/>
        </w:rPr>
        <w:t>万元人民币，开标公证费按中标金额的万分之一收取，但最高不超过</w:t>
      </w:r>
      <w:r>
        <w:rPr>
          <w:rFonts w:ascii="宋体" w:hAnsi="宋体"/>
          <w:kern w:val="0"/>
          <w:szCs w:val="21"/>
          <w:highlight w:val="none"/>
        </w:rPr>
        <w:t>3000</w:t>
      </w:r>
      <w:r>
        <w:rPr>
          <w:rFonts w:hint="eastAsia" w:ascii="宋体" w:hAnsi="宋体"/>
          <w:kern w:val="0"/>
          <w:szCs w:val="21"/>
          <w:highlight w:val="none"/>
        </w:rPr>
        <w:t>元人民币。</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四、投标文件的递交</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16、投标文件的密封和递交</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16.1</w:t>
      </w:r>
      <w:r>
        <w:rPr>
          <w:rFonts w:hint="eastAsia" w:ascii="宋体" w:hAnsi="宋体"/>
          <w:b/>
          <w:bCs/>
          <w:kern w:val="0"/>
          <w:szCs w:val="21"/>
          <w:highlight w:val="none"/>
        </w:rPr>
        <w:t>投标人的投标文件</w:t>
      </w:r>
      <w:r>
        <w:rPr>
          <w:rFonts w:hint="eastAsia" w:ascii="宋体" w:hAnsi="宋体"/>
          <w:b/>
          <w:highlight w:val="none"/>
        </w:rPr>
        <w:t>一式伍份（</w:t>
      </w:r>
      <w:r>
        <w:rPr>
          <w:rFonts w:hint="eastAsia" w:ascii="宋体" w:hAnsi="宋体"/>
          <w:b/>
          <w:bCs/>
          <w:kern w:val="0"/>
          <w:szCs w:val="21"/>
          <w:highlight w:val="none"/>
        </w:rPr>
        <w:t>正本一份、副本肆份</w:t>
      </w:r>
      <w:r>
        <w:rPr>
          <w:rFonts w:hint="eastAsia" w:ascii="宋体" w:hAnsi="宋体"/>
          <w:b/>
          <w:highlight w:val="none"/>
        </w:rPr>
        <w:t>），所有投标文件均应密封后递交，同时应提供电子版投标文件</w:t>
      </w:r>
      <w:r>
        <w:rPr>
          <w:rFonts w:hint="eastAsia" w:ascii="宋体" w:hAnsi="宋体"/>
          <w:b/>
          <w:szCs w:val="21"/>
          <w:highlight w:val="none"/>
        </w:rPr>
        <w:t>壹份（一般应为PDF格式、U盘形式（单独封装）、随纸质正本文件一并提交）</w:t>
      </w:r>
      <w:r>
        <w:rPr>
          <w:rFonts w:hint="eastAsia" w:ascii="宋体" w:hAnsi="宋体"/>
          <w:b/>
          <w:highlight w:val="none"/>
        </w:rPr>
        <w:t>。</w:t>
      </w:r>
      <w:r>
        <w:rPr>
          <w:rFonts w:hint="eastAsia" w:ascii="宋体" w:hAnsi="宋体"/>
          <w:highlight w:val="none"/>
        </w:rPr>
        <w:t>当电子版文件和纸质正本文件不一致时，以纸质正本文件为准。</w:t>
      </w:r>
      <w:r>
        <w:rPr>
          <w:rFonts w:hint="eastAsia" w:ascii="宋体" w:hAnsi="宋体"/>
          <w:kern w:val="0"/>
          <w:szCs w:val="21"/>
          <w:highlight w:val="none"/>
        </w:rPr>
        <w:t>每套投标文件须清楚标明“正本”、“副本”。</w:t>
      </w:r>
      <w:r>
        <w:rPr>
          <w:rFonts w:hint="eastAsia" w:ascii="宋体" w:hAnsi="宋体"/>
          <w:highlight w:val="none"/>
        </w:rPr>
        <w:t>如果它们之间内容有差异，以正本为准。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 xml:space="preserve">16.2 </w:t>
      </w:r>
      <w:r>
        <w:rPr>
          <w:rFonts w:hint="eastAsia" w:ascii="宋体" w:hAnsi="宋体"/>
          <w:b/>
          <w:highlight w:val="none"/>
        </w:rPr>
        <w:t>投标文件正本和所有副本均需打印或用不褪色墨水书写，并由投标人的法定代表人或授权代表签字并在招标文件中注明须加盖公章的地方加盖公章，如为授权代表签字的应附“法定代表人授权委托书”，正本必须为原件，但投标人的相关证明文件可采用复印件，采用复印件的，采购代理机构、评标委员会认为需要时，投标人应提供原件供核对。</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16.3 投标文件不应有涂改、增删之处，如必须修改时，修改处必须有投标人法定代表人或授权代表签字。</w:t>
      </w:r>
    </w:p>
    <w:p>
      <w:pPr>
        <w:widowControl/>
        <w:shd w:val="clear" w:color="auto" w:fill="FFFFFF"/>
        <w:spacing w:line="360" w:lineRule="auto"/>
        <w:ind w:firstLine="420"/>
        <w:rPr>
          <w:rFonts w:ascii="宋体" w:hAnsi="宋体"/>
          <w:kern w:val="0"/>
          <w:szCs w:val="21"/>
          <w:highlight w:val="none"/>
        </w:rPr>
      </w:pPr>
      <w:r>
        <w:rPr>
          <w:rFonts w:hint="eastAsia" w:ascii="宋体" w:hAnsi="宋体"/>
          <w:highlight w:val="none"/>
        </w:rPr>
        <w:t>16.4投标文件提倡按照A4幅面打印或复印并进行装订，如有资料超过A4幅面折叠成A4幅面；投标文件装订提倡采用胶装的形式。</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16.5 投标人应当在招标文件要求提交投标文件的截止时间前，将投标文件密封送达投标地点。任何单位和个人不得在开标前开启投标文件。</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17、有下列情形的投标文件将被拒收：</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17.1逾期送达的；</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17.2未按照招标文件要求密封的。</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18、投标文件的修改和撤回</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18.1投标人在投标截止时间前，可以对所递交的投标文件进行补充、修改或者撤回，并书面通知采购人或者采购代理机构。补充、修改的内容应当按照招标文件要求签署、盖章、密封后，作为投标文件的组成部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18.2 投标截止时间之后，投标文件不得撤回。</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19、诚实信用</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19.1投标人应当遵循公平竞争的原则，不得恶意串通，不得妨碍其他投标人的竞争行为，不得损害采购人或者其他投标人的合法权益。</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19.2在评标过程中发现投标人有上述情形的，评标委员会应当认定其投标无效，并书面报告本级财政部门。</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五、开标、评标与定标</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20、开标</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20.1 采购代理机构将在招标文件确定的时间和地点进行公开开标。投标人应委派代表准时参加，参加开标的代表须签名报到以证明其出席。</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20.2开标时，应当由投标人或者其推选的代表检查投标文件的密封情况；经确认无误后，由采购人或者采购代理机构工作人员当众拆封，宣布投标人名称、投标价格和招标文件规定的需要宣布的其他内容。</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20.3投标人不足</w:t>
      </w:r>
      <w:r>
        <w:rPr>
          <w:rFonts w:ascii="宋体" w:hAnsi="宋体"/>
          <w:kern w:val="0"/>
          <w:szCs w:val="21"/>
          <w:highlight w:val="none"/>
        </w:rPr>
        <w:t>3</w:t>
      </w:r>
      <w:r>
        <w:rPr>
          <w:rFonts w:hint="eastAsia" w:ascii="宋体" w:hAnsi="宋体"/>
          <w:kern w:val="0"/>
          <w:szCs w:val="21"/>
          <w:highlight w:val="none"/>
        </w:rPr>
        <w:t>家的，不得开标。</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20.4开标过程由采购代理机构负责记录，由参加开标的各投标人代表和相关工作人员签字确认后随采购文件一并存档。</w:t>
      </w:r>
    </w:p>
    <w:p>
      <w:pPr>
        <w:spacing w:line="360" w:lineRule="auto"/>
        <w:ind w:firstLine="420" w:firstLineChars="200"/>
        <w:rPr>
          <w:rFonts w:ascii="宋体" w:hAnsi="宋体"/>
          <w:highlight w:val="none"/>
        </w:rPr>
      </w:pPr>
      <w:r>
        <w:rPr>
          <w:rFonts w:hint="eastAsia" w:ascii="宋体" w:hAnsi="宋体"/>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spacing w:line="360" w:lineRule="auto"/>
        <w:ind w:firstLine="420" w:firstLineChars="200"/>
        <w:rPr>
          <w:rFonts w:ascii="宋体" w:hAnsi="宋体"/>
          <w:highlight w:val="none"/>
        </w:rPr>
      </w:pPr>
      <w:r>
        <w:rPr>
          <w:rFonts w:hint="eastAsia" w:ascii="宋体" w:hAnsi="宋体"/>
          <w:highlight w:val="none"/>
        </w:rPr>
        <w:t>20.5投标人未参加开标的，视同认可开标结果。</w:t>
      </w:r>
    </w:p>
    <w:p>
      <w:pPr>
        <w:spacing w:line="360" w:lineRule="auto"/>
        <w:ind w:firstLine="420" w:firstLineChars="200"/>
        <w:rPr>
          <w:rFonts w:ascii="宋体" w:hAnsi="宋体"/>
          <w:highlight w:val="none"/>
        </w:rPr>
      </w:pPr>
      <w:r>
        <w:rPr>
          <w:rFonts w:hint="eastAsia" w:ascii="宋体" w:hAnsi="宋体"/>
          <w:highlight w:val="none"/>
        </w:rPr>
        <w:t>20.6公开招标数额标准以上的采购项目，投标截止后投标人不足3家或者通过资格审查或符合性审查的投标人不足3家的，除采购任务取消情形外，按照以下方式处理：</w:t>
      </w:r>
    </w:p>
    <w:p>
      <w:pPr>
        <w:spacing w:line="360" w:lineRule="auto"/>
        <w:ind w:firstLine="420" w:firstLineChars="200"/>
        <w:rPr>
          <w:rFonts w:ascii="宋体" w:hAnsi="宋体"/>
          <w:highlight w:val="none"/>
        </w:rPr>
      </w:pPr>
      <w:r>
        <w:rPr>
          <w:rFonts w:hint="eastAsia" w:ascii="宋体" w:hAnsi="宋体"/>
          <w:highlight w:val="none"/>
        </w:rPr>
        <w:t>（1）招标文件存在不合理条款或者招标程序不符合规定的，采购人、采购代理机构改正后依法重新招标；</w:t>
      </w:r>
    </w:p>
    <w:p>
      <w:pPr>
        <w:widowControl/>
        <w:shd w:val="clear" w:color="auto" w:fill="FFFFFF"/>
        <w:spacing w:line="360" w:lineRule="auto"/>
        <w:ind w:firstLine="420"/>
        <w:rPr>
          <w:rFonts w:ascii="宋体" w:hAnsi="宋体"/>
          <w:kern w:val="0"/>
          <w:szCs w:val="21"/>
          <w:highlight w:val="none"/>
        </w:rPr>
      </w:pPr>
      <w:r>
        <w:rPr>
          <w:rFonts w:hint="eastAsia" w:ascii="宋体" w:hAnsi="宋体"/>
          <w:highlight w:val="none"/>
        </w:rPr>
        <w:t>（2）招标文件没有不合理条款、招标程序符合规定，需要采用其他采购方式采购的，采购人依法报财政部门批准，</w:t>
      </w:r>
      <w:r>
        <w:rPr>
          <w:rFonts w:hint="eastAsia" w:ascii="宋体" w:hAnsi="宋体"/>
          <w:kern w:val="0"/>
          <w:szCs w:val="21"/>
          <w:highlight w:val="none"/>
        </w:rPr>
        <w:t>经批准后，可变更为其他采购方式采购。本次招标文件中对供应商资格条件要求、技术要求和商务等要求，将作为其他采购方式采购的基本要求和谈判依据。</w:t>
      </w:r>
    </w:p>
    <w:p>
      <w:pPr>
        <w:widowControl/>
        <w:shd w:val="clear" w:color="auto" w:fill="FFFFFF"/>
        <w:spacing w:line="360" w:lineRule="auto"/>
        <w:ind w:firstLine="420"/>
        <w:rPr>
          <w:rFonts w:ascii="宋体" w:hAnsi="宋体"/>
          <w:kern w:val="0"/>
          <w:szCs w:val="21"/>
          <w:highlight w:val="none"/>
        </w:rPr>
      </w:pPr>
      <w:r>
        <w:rPr>
          <w:rFonts w:hint="eastAsia" w:ascii="宋体" w:hAnsi="宋体"/>
          <w:b/>
          <w:kern w:val="0"/>
          <w:szCs w:val="21"/>
          <w:highlight w:val="none"/>
        </w:rPr>
        <w:t>20.7</w:t>
      </w:r>
      <w:r>
        <w:rPr>
          <w:rFonts w:hint="eastAsia" w:ascii="宋体" w:hAnsi="宋体"/>
          <w:b/>
          <w:bCs/>
          <w:kern w:val="0"/>
          <w:szCs w:val="21"/>
          <w:highlight w:val="none"/>
        </w:rPr>
        <w:t>根据《南京市政府采购供应商信用管理工作暂行办法》有关规定，</w:t>
      </w:r>
      <w:r>
        <w:rPr>
          <w:rFonts w:hint="eastAsia" w:ascii="宋体" w:hAnsi="宋体"/>
          <w:b/>
          <w:bCs/>
          <w:highlight w:val="none"/>
        </w:rPr>
        <w:t>凡诚信指数在80分（含）以下的供应商不得承接单一来源采购项目。</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21、评标</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21.1 评标委员会</w:t>
      </w:r>
    </w:p>
    <w:p>
      <w:pPr>
        <w:widowControl/>
        <w:shd w:val="clear" w:color="auto" w:fill="FFFFFF"/>
        <w:spacing w:line="360" w:lineRule="auto"/>
        <w:ind w:firstLine="420"/>
        <w:rPr>
          <w:rFonts w:ascii="宋体" w:hAnsi="宋体"/>
          <w:bCs/>
          <w:kern w:val="0"/>
          <w:szCs w:val="21"/>
          <w:highlight w:val="none"/>
        </w:rPr>
      </w:pPr>
      <w:r>
        <w:rPr>
          <w:rFonts w:hint="eastAsia" w:ascii="宋体" w:hAnsi="宋体"/>
          <w:b/>
          <w:bCs/>
          <w:kern w:val="0"/>
          <w:szCs w:val="21"/>
          <w:highlight w:val="none"/>
        </w:rPr>
        <w:t>21.1.1</w:t>
      </w:r>
      <w:r>
        <w:rPr>
          <w:rFonts w:hint="eastAsia" w:ascii="宋体" w:hAnsi="宋体"/>
          <w:bCs/>
          <w:kern w:val="0"/>
          <w:szCs w:val="21"/>
          <w:highlight w:val="none"/>
        </w:rPr>
        <w:t>评标委员会负责具体评标事务，并独立履行下列职责：</w:t>
      </w:r>
    </w:p>
    <w:p>
      <w:pPr>
        <w:widowControl/>
        <w:shd w:val="clear" w:color="auto" w:fill="FFFFFF"/>
        <w:spacing w:line="360" w:lineRule="auto"/>
        <w:ind w:firstLine="420"/>
        <w:rPr>
          <w:rFonts w:ascii="宋体" w:hAnsi="宋体"/>
          <w:bCs/>
          <w:kern w:val="0"/>
          <w:szCs w:val="21"/>
          <w:highlight w:val="none"/>
        </w:rPr>
      </w:pPr>
      <w:r>
        <w:rPr>
          <w:rFonts w:hint="eastAsia" w:ascii="宋体" w:hAnsi="宋体"/>
          <w:bCs/>
          <w:kern w:val="0"/>
          <w:szCs w:val="21"/>
          <w:highlight w:val="none"/>
        </w:rPr>
        <w:t>（一）审查、评价投标文件是否符合招标文件的商务、技术等实质性要求；</w:t>
      </w:r>
    </w:p>
    <w:p>
      <w:pPr>
        <w:widowControl/>
        <w:shd w:val="clear" w:color="auto" w:fill="FFFFFF"/>
        <w:spacing w:line="360" w:lineRule="auto"/>
        <w:ind w:firstLine="420"/>
        <w:rPr>
          <w:rFonts w:ascii="宋体" w:hAnsi="宋体"/>
          <w:bCs/>
          <w:kern w:val="0"/>
          <w:szCs w:val="21"/>
          <w:highlight w:val="none"/>
        </w:rPr>
      </w:pPr>
      <w:r>
        <w:rPr>
          <w:rFonts w:hint="eastAsia" w:ascii="宋体" w:hAnsi="宋体"/>
          <w:bCs/>
          <w:kern w:val="0"/>
          <w:szCs w:val="21"/>
          <w:highlight w:val="none"/>
        </w:rPr>
        <w:t>（二）要求投标人对投标文件有关事项作出澄清或者说明；</w:t>
      </w:r>
    </w:p>
    <w:p>
      <w:pPr>
        <w:widowControl/>
        <w:shd w:val="clear" w:color="auto" w:fill="FFFFFF"/>
        <w:spacing w:line="360" w:lineRule="auto"/>
        <w:ind w:firstLine="420"/>
        <w:rPr>
          <w:rFonts w:ascii="宋体" w:hAnsi="宋体"/>
          <w:bCs/>
          <w:kern w:val="0"/>
          <w:szCs w:val="21"/>
          <w:highlight w:val="none"/>
        </w:rPr>
      </w:pPr>
      <w:r>
        <w:rPr>
          <w:rFonts w:hint="eastAsia" w:ascii="宋体" w:hAnsi="宋体"/>
          <w:bCs/>
          <w:kern w:val="0"/>
          <w:szCs w:val="21"/>
          <w:highlight w:val="none"/>
        </w:rPr>
        <w:t>（三）对投标文件进行比较和评价；</w:t>
      </w:r>
    </w:p>
    <w:p>
      <w:pPr>
        <w:widowControl/>
        <w:shd w:val="clear" w:color="auto" w:fill="FFFFFF"/>
        <w:spacing w:line="360" w:lineRule="auto"/>
        <w:ind w:firstLine="420"/>
        <w:rPr>
          <w:rFonts w:ascii="宋体" w:hAnsi="宋体"/>
          <w:bCs/>
          <w:kern w:val="0"/>
          <w:szCs w:val="21"/>
          <w:highlight w:val="none"/>
        </w:rPr>
      </w:pPr>
      <w:r>
        <w:rPr>
          <w:rFonts w:hint="eastAsia" w:ascii="宋体" w:hAnsi="宋体"/>
          <w:bCs/>
          <w:kern w:val="0"/>
          <w:szCs w:val="21"/>
          <w:highlight w:val="none"/>
        </w:rPr>
        <w:t>（四）确定中标候选人名单，以及根据采购人委托直接确定中标人；</w:t>
      </w:r>
    </w:p>
    <w:p>
      <w:pPr>
        <w:widowControl/>
        <w:shd w:val="clear" w:color="auto" w:fill="FFFFFF"/>
        <w:spacing w:line="360" w:lineRule="auto"/>
        <w:ind w:firstLine="420"/>
        <w:rPr>
          <w:rFonts w:ascii="宋体" w:hAnsi="宋体"/>
          <w:kern w:val="0"/>
          <w:szCs w:val="21"/>
          <w:highlight w:val="none"/>
        </w:rPr>
      </w:pPr>
      <w:r>
        <w:rPr>
          <w:rFonts w:hint="eastAsia" w:ascii="宋体" w:hAnsi="宋体"/>
          <w:bCs/>
          <w:kern w:val="0"/>
          <w:szCs w:val="21"/>
          <w:highlight w:val="none"/>
        </w:rPr>
        <w:t>（五）向采购人、采购代理机构或者有关部门报告评标中发现的违法行为。</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 xml:space="preserve">21.1.2 </w:t>
      </w:r>
      <w:r>
        <w:rPr>
          <w:rFonts w:hint="eastAsia" w:ascii="宋体" w:hAnsi="宋体"/>
          <w:kern w:val="0"/>
          <w:szCs w:val="21"/>
          <w:highlight w:val="none"/>
        </w:rPr>
        <w:t>评标委员会由采购人代表和有关技术、经济等方面的专家组成，独立开展评审工作。</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b/>
          <w:bCs/>
          <w:kern w:val="0"/>
          <w:szCs w:val="21"/>
          <w:highlight w:val="none"/>
        </w:rPr>
        <w:t>21.2  评标程序</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b/>
          <w:kern w:val="0"/>
          <w:szCs w:val="21"/>
          <w:highlight w:val="none"/>
        </w:rPr>
        <w:t xml:space="preserve">21.2.1 </w:t>
      </w:r>
      <w:r>
        <w:rPr>
          <w:rFonts w:hint="eastAsia" w:ascii="宋体" w:hAnsi="宋体"/>
          <w:b/>
          <w:bCs/>
          <w:kern w:val="0"/>
          <w:szCs w:val="21"/>
          <w:highlight w:val="none"/>
        </w:rPr>
        <w:t>投标文件的资格性检查。</w:t>
      </w:r>
      <w:r>
        <w:rPr>
          <w:rFonts w:hint="eastAsia" w:ascii="宋体" w:hAnsi="宋体"/>
          <w:kern w:val="0"/>
          <w:szCs w:val="21"/>
          <w:highlight w:val="none"/>
        </w:rPr>
        <w:t>公开招标采购项目开标结束后，采购人或者采购代理机构应当依法对投标人的资格进行审查。合格投标人不足</w:t>
      </w:r>
      <w:r>
        <w:rPr>
          <w:rFonts w:ascii="宋体" w:hAnsi="宋体"/>
          <w:kern w:val="0"/>
          <w:szCs w:val="21"/>
          <w:highlight w:val="none"/>
        </w:rPr>
        <w:t>3</w:t>
      </w:r>
      <w:r>
        <w:rPr>
          <w:rFonts w:hint="eastAsia" w:ascii="宋体" w:hAnsi="宋体"/>
          <w:kern w:val="0"/>
          <w:szCs w:val="21"/>
          <w:highlight w:val="none"/>
        </w:rPr>
        <w:t>家的，不得评标。投标文件有下列情况之一的，在资格性、符合性检查时按照无效投标处理：</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（1）未按照招标文件规定要求密封、签署、盖章的</w:t>
      </w:r>
      <w:r>
        <w:rPr>
          <w:rFonts w:hint="eastAsia" w:ascii="宋体" w:hAnsi="宋体"/>
          <w:b/>
          <w:bCs/>
          <w:kern w:val="0"/>
          <w:szCs w:val="21"/>
          <w:highlight w:val="none"/>
        </w:rPr>
        <w:t>；</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（2）不具备招标文件中规定资格要求的；</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（3）报价超过招标文件中规定的预算金额或者最高限价的；</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（4）投标文件含有采购人不能接受的附加条件的；</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（5）不同投标人的投标文件由同一单位或者个人编制；</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（6）不同投标人委托同一单位或者个人办理投标事宜；</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（7）不同投标人的投标文件载明的项目管理成员或者联系人员为同一人；</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（8）不同投标人的投标文件异常一致或者投标报价呈规律性差异；</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（9）不同投标人的投标文件相互混装；</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（10）服务承诺和付款条件未响应招标要求的；</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（11）提供虚假材料的（包括营业执照、财务报表、资格证明文件等）；</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12）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（13）投标文件内容不全或不符合招标文件中规定的其它实质性要求的；</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（14）法律、法规和招标文件规定的其他无效情形。</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21.2.2投标文件的符合性审查</w:t>
      </w:r>
      <w:r>
        <w:rPr>
          <w:rFonts w:hint="eastAsia" w:ascii="宋体" w:hAnsi="宋体"/>
          <w:kern w:val="0"/>
          <w:szCs w:val="21"/>
          <w:highlight w:val="none"/>
        </w:rPr>
        <w:t>。评标委员会对通过资格性检查的投标人的投标文件进行符合性审查，以确定其是否满足招标文件的实质性要求。</w:t>
      </w:r>
    </w:p>
    <w:p>
      <w:pPr>
        <w:widowControl/>
        <w:shd w:val="clear" w:color="auto" w:fill="FFFFFF"/>
        <w:spacing w:line="360" w:lineRule="auto"/>
        <w:ind w:firstLine="420"/>
        <w:rPr>
          <w:rFonts w:ascii="宋体" w:hAnsi="宋体"/>
          <w:b/>
          <w:bCs/>
          <w:kern w:val="0"/>
          <w:szCs w:val="21"/>
          <w:highlight w:val="none"/>
        </w:rPr>
      </w:pPr>
      <w:r>
        <w:rPr>
          <w:rFonts w:hint="eastAsia" w:ascii="宋体" w:hAnsi="宋体"/>
          <w:b/>
          <w:bCs/>
          <w:kern w:val="0"/>
          <w:szCs w:val="21"/>
          <w:highlight w:val="none"/>
        </w:rPr>
        <w:t>21.2.2.1 实质性要求是指本招标文件中用带星号（“</w:t>
      </w:r>
      <w:r>
        <w:rPr>
          <w:rFonts w:hint="eastAsia" w:ascii="宋体"/>
          <w:b/>
          <w:bCs/>
          <w:highlight w:val="none"/>
        </w:rPr>
        <w:t>*</w:t>
      </w:r>
      <w:r>
        <w:rPr>
          <w:rFonts w:hint="eastAsia" w:ascii="宋体" w:hAnsi="宋体"/>
          <w:b/>
          <w:bCs/>
          <w:kern w:val="0"/>
          <w:szCs w:val="21"/>
          <w:highlight w:val="none"/>
        </w:rPr>
        <w:t>”）、“必须”或“应（应当）”等其他文字说明的商务和技术要求。</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21.2.2.2</w:t>
      </w:r>
      <w:r>
        <w:rPr>
          <w:rFonts w:hint="eastAsia" w:ascii="宋体" w:hAnsi="宋体"/>
          <w:kern w:val="0"/>
          <w:szCs w:val="21"/>
          <w:highlight w:val="none"/>
        </w:rPr>
        <w:t>有下列情形之一的予以废标：</w:t>
      </w:r>
    </w:p>
    <w:p>
      <w:pPr>
        <w:widowControl/>
        <w:shd w:val="clear" w:color="auto" w:fill="FFFFFF"/>
        <w:spacing w:line="360" w:lineRule="auto"/>
        <w:ind w:firstLine="420"/>
        <w:rPr>
          <w:rFonts w:ascii="宋体"/>
          <w:kern w:val="0"/>
          <w:szCs w:val="21"/>
          <w:highlight w:val="none"/>
        </w:rPr>
      </w:pPr>
      <w:r>
        <w:rPr>
          <w:rFonts w:hint="eastAsia" w:ascii="宋体" w:hAnsi="宋体"/>
          <w:kern w:val="0"/>
          <w:szCs w:val="21"/>
          <w:highlight w:val="none"/>
        </w:rPr>
        <w:t>（</w:t>
      </w:r>
      <w:r>
        <w:rPr>
          <w:rFonts w:ascii="宋体" w:hAnsi="宋体"/>
          <w:kern w:val="0"/>
          <w:szCs w:val="21"/>
          <w:highlight w:val="none"/>
        </w:rPr>
        <w:t>1</w:t>
      </w:r>
      <w:r>
        <w:rPr>
          <w:rFonts w:hint="eastAsia" w:ascii="宋体" w:hAnsi="宋体"/>
          <w:kern w:val="0"/>
          <w:szCs w:val="21"/>
          <w:highlight w:val="none"/>
        </w:rPr>
        <w:t>）符合专业条件的供应商或者对招标文件作实质性响应的供应商不足三家的；</w:t>
      </w:r>
    </w:p>
    <w:p>
      <w:pPr>
        <w:widowControl/>
        <w:shd w:val="clear" w:color="auto" w:fill="FFFFFF"/>
        <w:spacing w:line="360" w:lineRule="auto"/>
        <w:ind w:firstLine="420"/>
        <w:rPr>
          <w:rFonts w:ascii="宋体"/>
          <w:kern w:val="0"/>
          <w:szCs w:val="21"/>
          <w:highlight w:val="none"/>
        </w:rPr>
      </w:pPr>
      <w:r>
        <w:rPr>
          <w:rFonts w:hint="eastAsia" w:ascii="宋体" w:hAnsi="宋体"/>
          <w:kern w:val="0"/>
          <w:szCs w:val="21"/>
          <w:highlight w:val="none"/>
        </w:rPr>
        <w:t>（</w:t>
      </w:r>
      <w:r>
        <w:rPr>
          <w:rFonts w:ascii="宋体" w:hAnsi="宋体"/>
          <w:kern w:val="0"/>
          <w:szCs w:val="21"/>
          <w:highlight w:val="none"/>
        </w:rPr>
        <w:t>2</w:t>
      </w:r>
      <w:r>
        <w:rPr>
          <w:rFonts w:hint="eastAsia" w:ascii="宋体" w:hAnsi="宋体"/>
          <w:kern w:val="0"/>
          <w:szCs w:val="21"/>
          <w:highlight w:val="none"/>
        </w:rPr>
        <w:t>）出现影响采购公正的违法、违规行为的；</w:t>
      </w:r>
    </w:p>
    <w:p>
      <w:pPr>
        <w:widowControl/>
        <w:shd w:val="clear" w:color="auto" w:fill="FFFFFF"/>
        <w:spacing w:line="360" w:lineRule="auto"/>
        <w:ind w:firstLine="420"/>
        <w:rPr>
          <w:rFonts w:ascii="宋体"/>
          <w:kern w:val="0"/>
          <w:szCs w:val="21"/>
          <w:highlight w:val="none"/>
        </w:rPr>
      </w:pPr>
      <w:r>
        <w:rPr>
          <w:rFonts w:hint="eastAsia" w:ascii="宋体" w:hAnsi="宋体"/>
          <w:kern w:val="0"/>
          <w:szCs w:val="21"/>
          <w:highlight w:val="none"/>
        </w:rPr>
        <w:t>（</w:t>
      </w:r>
      <w:r>
        <w:rPr>
          <w:rFonts w:ascii="宋体" w:hAnsi="宋体"/>
          <w:kern w:val="0"/>
          <w:szCs w:val="21"/>
          <w:highlight w:val="none"/>
        </w:rPr>
        <w:t>3</w:t>
      </w:r>
      <w:r>
        <w:rPr>
          <w:rFonts w:hint="eastAsia" w:ascii="宋体" w:hAnsi="宋体"/>
          <w:kern w:val="0"/>
          <w:szCs w:val="21"/>
          <w:highlight w:val="none"/>
        </w:rPr>
        <w:t>）投标人的报价均超过了采购预算，采购人不能支付的；</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w:t>
      </w:r>
      <w:r>
        <w:rPr>
          <w:rFonts w:ascii="宋体" w:hAnsi="宋体"/>
          <w:kern w:val="0"/>
          <w:szCs w:val="21"/>
          <w:highlight w:val="none"/>
        </w:rPr>
        <w:t>4</w:t>
      </w:r>
      <w:r>
        <w:rPr>
          <w:rFonts w:hint="eastAsia" w:ascii="宋体" w:hAnsi="宋体"/>
          <w:kern w:val="0"/>
          <w:szCs w:val="21"/>
          <w:highlight w:val="none"/>
        </w:rPr>
        <w:t>）因重大变故，采购任务取消的。</w:t>
      </w:r>
    </w:p>
    <w:p>
      <w:pPr>
        <w:widowControl/>
        <w:shd w:val="clear" w:color="auto" w:fill="FFFFFF"/>
        <w:spacing w:line="360" w:lineRule="auto"/>
        <w:ind w:firstLine="420"/>
        <w:jc w:val="left"/>
        <w:rPr>
          <w:rFonts w:ascii="宋体"/>
          <w:kern w:val="0"/>
          <w:szCs w:val="21"/>
          <w:highlight w:val="none"/>
        </w:rPr>
      </w:pPr>
      <w:r>
        <w:rPr>
          <w:rFonts w:hint="eastAsia" w:ascii="宋体" w:hAnsi="宋体"/>
          <w:kern w:val="0"/>
          <w:szCs w:val="21"/>
          <w:highlight w:val="none"/>
        </w:rPr>
        <w:t>在评标期间，出现符合资格性检查的供应商或者对招标文件作出实质性响应的供应商不足三家情形的，比照</w:t>
      </w:r>
      <w:r>
        <w:rPr>
          <w:rFonts w:ascii="宋体" w:hAnsi="宋体"/>
          <w:b/>
          <w:bCs/>
          <w:kern w:val="0"/>
          <w:szCs w:val="21"/>
          <w:highlight w:val="none"/>
        </w:rPr>
        <w:t>2</w:t>
      </w:r>
      <w:r>
        <w:rPr>
          <w:rFonts w:hint="eastAsia" w:ascii="宋体" w:hAnsi="宋体"/>
          <w:b/>
          <w:bCs/>
          <w:kern w:val="0"/>
          <w:szCs w:val="21"/>
          <w:highlight w:val="none"/>
        </w:rPr>
        <w:t>0</w:t>
      </w:r>
      <w:r>
        <w:rPr>
          <w:rFonts w:ascii="宋体" w:hAnsi="宋体"/>
          <w:b/>
          <w:bCs/>
          <w:kern w:val="0"/>
          <w:szCs w:val="21"/>
          <w:highlight w:val="none"/>
        </w:rPr>
        <w:t>.6</w:t>
      </w:r>
      <w:r>
        <w:rPr>
          <w:rFonts w:hint="eastAsia" w:ascii="宋体" w:hAnsi="宋体"/>
          <w:kern w:val="0"/>
          <w:szCs w:val="21"/>
          <w:highlight w:val="none"/>
        </w:rPr>
        <w:t>款执行。</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21.2.3</w:t>
      </w:r>
      <w:r>
        <w:rPr>
          <w:rFonts w:hint="eastAsia" w:ascii="宋体" w:hAnsi="宋体"/>
          <w:b/>
          <w:bCs/>
          <w:kern w:val="0"/>
          <w:szCs w:val="21"/>
          <w:highlight w:val="none"/>
        </w:rPr>
        <w:t>澄清有关问题</w:t>
      </w:r>
      <w:r>
        <w:rPr>
          <w:rFonts w:hint="eastAsia" w:ascii="宋体" w:hAnsi="宋体"/>
          <w:kern w:val="0"/>
          <w:szCs w:val="21"/>
          <w:highlight w:val="none"/>
        </w:rPr>
        <w:t>。</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21.2.3.1对于投标文件中含义不明确、同类问题表述不一致或者有明显文字和计算错误的内容，评标委员会应当以书面形式要求投标人作出必要的澄清、说明或者补正。</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21.2.3.2投标人的澄清、说明或者补正应当采用书面形式，并加盖公章，或者由法定代表人或其授权代表签字。投标人的澄清、说明或者补正不得超出投标文件的范围或者改变投标文件的实质性内容。</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21.2.3.3投标文件报价出现前后不一致的，除招标文件另有规定外，按照下列规定修正：</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(1) 投标文件中开标一览表（报价表）内容与投标文件中相应内容不一致的，以开标一览表（报价表）为准；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(2)大写金额和小写金额不一致的，以大写金额为准；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(3)单价金额小数点或者百分比有明显错位的，以开标一览表的总价为准，并修改单价；</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(4)总价金额与按单价汇总金额不一致的，以单价金额计算结果为准。</w:t>
      </w:r>
    </w:p>
    <w:p>
      <w:pPr>
        <w:widowControl/>
        <w:shd w:val="clear" w:color="auto" w:fill="FFFFFF"/>
        <w:spacing w:line="360" w:lineRule="auto"/>
        <w:ind w:firstLine="420"/>
        <w:rPr>
          <w:rFonts w:ascii="宋体" w:hAnsi="宋体"/>
          <w:b/>
          <w:kern w:val="0"/>
          <w:szCs w:val="21"/>
          <w:highlight w:val="none"/>
        </w:rPr>
      </w:pPr>
      <w:r>
        <w:rPr>
          <w:rFonts w:hint="eastAsia" w:ascii="宋体" w:hAnsi="宋体"/>
          <w:kern w:val="0"/>
          <w:szCs w:val="21"/>
          <w:highlight w:val="none"/>
        </w:rPr>
        <w:t>同时出现两种以上不一致的，按照前款规定的顺序修正。</w:t>
      </w:r>
      <w:r>
        <w:rPr>
          <w:rFonts w:hint="eastAsia" w:ascii="宋体" w:hAnsi="宋体"/>
          <w:b/>
          <w:kern w:val="0"/>
          <w:szCs w:val="21"/>
          <w:highlight w:val="none"/>
        </w:rPr>
        <w:t>修正后的报价按照前款规定经投标人确认后产生约束力，投标人不确认的，其投标无效。</w:t>
      </w:r>
    </w:p>
    <w:p>
      <w:pPr>
        <w:widowControl/>
        <w:shd w:val="clear" w:color="auto" w:fill="FFFFFF"/>
        <w:spacing w:line="360" w:lineRule="auto"/>
        <w:ind w:firstLine="420"/>
        <w:jc w:val="left"/>
        <w:rPr>
          <w:rFonts w:ascii="宋体"/>
          <w:kern w:val="0"/>
          <w:szCs w:val="21"/>
          <w:highlight w:val="none"/>
        </w:rPr>
      </w:pPr>
      <w:r>
        <w:rPr>
          <w:rFonts w:hint="eastAsia" w:ascii="宋体" w:hAnsi="宋体"/>
          <w:kern w:val="0"/>
          <w:szCs w:val="21"/>
          <w:highlight w:val="none"/>
        </w:rPr>
        <w:t>21.2.3.4</w:t>
      </w:r>
      <w:r>
        <w:rPr>
          <w:rFonts w:hint="eastAsia" w:ascii="宋体" w:hAnsi="宋体"/>
          <w:highlight w:val="none"/>
        </w:rPr>
        <w:t>评标委员会认为投标人的报价明显低于其他通过符合性审查投标人的报价，有可能影响产品质量或者不能诚信履约的，将要求其在评标现场合理的时间内提供书面说明，必要时提交相关证明材料；</w:t>
      </w:r>
      <w:r>
        <w:rPr>
          <w:rFonts w:hint="eastAsia" w:ascii="宋体" w:hAnsi="宋体"/>
          <w:b/>
          <w:highlight w:val="none"/>
        </w:rPr>
        <w:t>投标人不能证明其报价合理性的，评标委员会将其作为无效投标处理。</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21.2.4</w:t>
      </w:r>
      <w:r>
        <w:rPr>
          <w:rFonts w:hint="eastAsia" w:ascii="宋体" w:hAnsi="宋体"/>
          <w:b/>
          <w:bCs/>
          <w:kern w:val="0"/>
          <w:szCs w:val="21"/>
          <w:highlight w:val="none"/>
        </w:rPr>
        <w:t>比较与评价。</w:t>
      </w:r>
      <w:r>
        <w:rPr>
          <w:rFonts w:hint="eastAsia" w:ascii="宋体" w:hAnsi="宋体"/>
          <w:kern w:val="0"/>
          <w:szCs w:val="21"/>
          <w:highlight w:val="none"/>
        </w:rPr>
        <w:t>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ascii="宋体" w:hAnsi="宋体"/>
          <w:highlight w:val="none"/>
        </w:rPr>
      </w:pPr>
      <w:r>
        <w:rPr>
          <w:rFonts w:hint="eastAsia" w:ascii="宋体" w:hAnsi="宋体"/>
          <w:kern w:val="0"/>
          <w:szCs w:val="21"/>
          <w:highlight w:val="none"/>
        </w:rPr>
        <w:t>21.2.5</w:t>
      </w:r>
      <w:r>
        <w:rPr>
          <w:rFonts w:hint="eastAsia" w:ascii="宋体" w:hAnsi="宋体"/>
          <w:highlight w:val="none"/>
        </w:rPr>
        <w:t>相同品牌产品的投标</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采用最低评标价法的采购项目，提供相同品牌产品的不同投标人参加同一合同项下投标的，以其中通过资格审查、符合性审查且报价最低的参加评标；报价相同的，由采购人委托评标委员会按照招标文件规定的方式确定一个参加评标的投标人，招标文件未规定的采取随机抽取方式确定，其他投标无效。</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非单一产品采购项目，确定核心产品的方法在招标文件技术需求中载明。多家投标人提供的核心产品品牌相同的，按前两款规定处理。</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b/>
          <w:bCs/>
          <w:kern w:val="0"/>
          <w:szCs w:val="21"/>
          <w:highlight w:val="none"/>
        </w:rPr>
        <w:t>21.3 评标方法和标准</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21.3.1评标方法分为最低评标价法和综合评分法。本次招标的评标方法和标准，详见本招标文件第三章。</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21.3.2最低评标价法，是指投标文件满足招标文件全部实质性要求，且投标报价最低的投标人为中标候选人的评标方法。</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采用最低评标价法评标时，除了算术修正和落实政府采购政策需进行的价格扣除外，不对投标人的投标价格进行任何调整。</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21.3.3综合评分法，是指投标文件满足招标文件全部实质性要求，且按照评审因素的量化指标评审得分最高的投标人为中标候选人的评标方法。</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评审因素，包括价格、技术、商务等。</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评标时，评标委员会各成员应当独立对每个投标人的投标文件进行评价，并汇总每个投标人的得分。</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价格分采用低价优先法计算，即满足招标文件要求且投标价格最低的投标报价为评标基准价，其价格分为满分。</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评标总得分＝F1×A1＋F2×A2＋……＋Fn×An</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F1、F2……Fn分别为各项评审因素的得分；</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A1、A2、……An 分别为各项评审因素所占的权重(A1＋A2＋……＋An＝1)。</w:t>
      </w:r>
    </w:p>
    <w:p>
      <w:pPr>
        <w:widowControl/>
        <w:shd w:val="clear" w:color="auto" w:fill="FFFFFF"/>
        <w:spacing w:line="360" w:lineRule="auto"/>
        <w:ind w:firstLine="420"/>
        <w:jc w:val="left"/>
        <w:rPr>
          <w:rFonts w:ascii="宋体"/>
          <w:kern w:val="0"/>
          <w:szCs w:val="21"/>
          <w:highlight w:val="none"/>
        </w:rPr>
      </w:pPr>
      <w:r>
        <w:rPr>
          <w:rFonts w:hint="eastAsia" w:ascii="宋体"/>
          <w:kern w:val="0"/>
          <w:szCs w:val="21"/>
          <w:highlight w:val="none"/>
        </w:rPr>
        <w:t>因落实政府采购政策进行价格调整的，以调整后的价格计算评标基准价和投标报价。</w:t>
      </w:r>
    </w:p>
    <w:p>
      <w:pPr>
        <w:widowControl/>
        <w:shd w:val="clear" w:color="auto" w:fill="FFFFFF"/>
        <w:spacing w:line="360" w:lineRule="auto"/>
        <w:ind w:firstLine="420"/>
        <w:jc w:val="left"/>
        <w:rPr>
          <w:rFonts w:ascii="宋体" w:hAnsi="宋体"/>
          <w:b/>
          <w:kern w:val="0"/>
          <w:szCs w:val="21"/>
          <w:highlight w:val="none"/>
        </w:rPr>
      </w:pPr>
      <w:r>
        <w:rPr>
          <w:rFonts w:hint="eastAsia" w:ascii="宋体" w:hAnsi="宋体"/>
          <w:b/>
          <w:kern w:val="0"/>
          <w:szCs w:val="21"/>
          <w:highlight w:val="none"/>
        </w:rPr>
        <w:t xml:space="preserve">21.3.4 </w:t>
      </w:r>
      <w:r>
        <w:rPr>
          <w:rFonts w:hint="eastAsia" w:ascii="宋体"/>
          <w:b/>
          <w:bCs/>
          <w:kern w:val="0"/>
          <w:szCs w:val="21"/>
          <w:highlight w:val="none"/>
        </w:rPr>
        <w:t>根据《南京市政府采购供应商信用管理工作暂行办法》有关规定，将供应商诚信档案记录在政府采购活动中进行运用，具体详见第三章评标标准。</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22、确定中标供应商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 xml:space="preserve">22.1 </w:t>
      </w:r>
      <w:r>
        <w:rPr>
          <w:rFonts w:ascii="宋体" w:hAnsi="宋体"/>
          <w:kern w:val="0"/>
          <w:szCs w:val="21"/>
          <w:highlight w:val="none"/>
        </w:rPr>
        <w:t>采用最低评标价法的，评标结果按投标报价由低到高顺序排列。投标报价相同的并列。投标文件满足招标文件全部实质性要求且投标报价最低的投标人为排名第一的中标候选人。</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22.2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22.3 中标人确定后，在省级以上财政部门指定的媒体上公告中标结果，中标公告期为1个工作日，公告的同时向中标供应商发出中标通知书。</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22.4 中标通知书对采购人和中标供应商具有同等法律效力。</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22.5 中标通知书发出后，采购人或中标供应商拒绝签订合同的，拒绝签订合同的一方应至少向另一方支付补偿金，以及为招标、投标所发生的有关费用和双方商定的其他补偿。</w:t>
      </w:r>
    </w:p>
    <w:p>
      <w:pPr>
        <w:widowControl/>
        <w:shd w:val="clear" w:color="auto" w:fill="FFFFFF"/>
        <w:spacing w:line="360" w:lineRule="auto"/>
        <w:ind w:firstLine="420"/>
        <w:rPr>
          <w:rFonts w:ascii="宋体" w:hAnsi="宋体"/>
          <w:b/>
          <w:kern w:val="0"/>
          <w:szCs w:val="21"/>
          <w:highlight w:val="none"/>
        </w:rPr>
      </w:pPr>
      <w:r>
        <w:rPr>
          <w:rFonts w:hint="eastAsia" w:ascii="宋体" w:hAnsi="宋体"/>
          <w:b/>
          <w:kern w:val="0"/>
          <w:szCs w:val="21"/>
          <w:highlight w:val="none"/>
        </w:rPr>
        <w:t>22.6 中标通知书发出后，中标供应商无正当理由不与采购人签订合同的情节严重的，由财政部门将其列入不良行为记录名单，在一至三年内禁止参加政府采购活动，并予以通报。</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22.7 所有投标文件不论中标与否，均不退回。</w:t>
      </w:r>
    </w:p>
    <w:p>
      <w:pPr>
        <w:widowControl/>
        <w:shd w:val="clear" w:color="auto" w:fill="FFFFFF"/>
        <w:spacing w:line="360" w:lineRule="auto"/>
        <w:ind w:firstLine="412"/>
        <w:rPr>
          <w:rFonts w:ascii="宋体" w:hAnsi="宋体"/>
          <w:kern w:val="0"/>
          <w:szCs w:val="21"/>
          <w:highlight w:val="none"/>
        </w:rPr>
      </w:pPr>
      <w:r>
        <w:rPr>
          <w:rFonts w:hint="eastAsia" w:ascii="宋体" w:hAnsi="宋体"/>
          <w:b/>
          <w:bCs/>
          <w:kern w:val="0"/>
          <w:szCs w:val="21"/>
          <w:highlight w:val="none"/>
        </w:rPr>
        <w:t>23、编写评标报告</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23.1评标委员会根据全体评标成员签字的原始评标记录和评标结果编写评标报告。</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24、评标过程的保密性</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24.1 采购人和采购代理机构将采取必要措施，保证评标在严格保密的情况下进行。</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24.2 任何单位和个人不得非法干预、影响评标办法的确定，以及评标过程和结果。</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24.3 凡是与审查、澄清、评价和比较投标的有关资料等，均不向投标人及与评标无关的其他人员透露。</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六、签订合同</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25、签订合同</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25.1采购人与中标人应当自中标通知书发出之日起</w:t>
      </w:r>
      <w:r>
        <w:rPr>
          <w:rFonts w:ascii="宋体" w:hAnsi="宋体"/>
          <w:kern w:val="0"/>
          <w:szCs w:val="21"/>
          <w:highlight w:val="none"/>
        </w:rPr>
        <w:t>30</w:t>
      </w:r>
      <w:r>
        <w:rPr>
          <w:rFonts w:hint="eastAsia" w:ascii="宋体" w:hAnsi="宋体"/>
          <w:kern w:val="0"/>
          <w:szCs w:val="21"/>
          <w:highlight w:val="none"/>
        </w:rPr>
        <w:t>日内，按照招标文件和中标人投标文件的规定，签订书面合同。所签订的合同不得对招标文件确定的事项和中标人投标文件作实质性修改。</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25.2采购人不得向中标人提出任何不合理的要求作为签订合同的条件。</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25.3</w:t>
      </w:r>
      <w:r>
        <w:rPr>
          <w:rFonts w:ascii="宋体" w:hAnsi="宋体"/>
          <w:kern w:val="0"/>
          <w:szCs w:val="21"/>
          <w:highlight w:val="none"/>
        </w:rPr>
        <w:t>中标</w:t>
      </w:r>
      <w:r>
        <w:rPr>
          <w:rFonts w:hint="eastAsia" w:ascii="宋体" w:hAnsi="宋体"/>
          <w:kern w:val="0"/>
          <w:szCs w:val="21"/>
          <w:highlight w:val="none"/>
        </w:rPr>
        <w:t>人</w:t>
      </w:r>
      <w:r>
        <w:rPr>
          <w:rFonts w:ascii="宋体" w:hAnsi="宋体"/>
          <w:kern w:val="0"/>
          <w:szCs w:val="21"/>
          <w:highlight w:val="none"/>
        </w:rPr>
        <w:t>拒绝与采购人签订合同的，采购人可以按照评审报告推荐的中标或者成交候选人名单排序，确定下一候选人为中标或者成交供应商，也可以重新开展政府采购活动。</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 xml:space="preserve">25.4 </w:t>
      </w:r>
      <w:r>
        <w:rPr>
          <w:rFonts w:ascii="宋体" w:hAnsi="宋体"/>
          <w:kern w:val="0"/>
          <w:szCs w:val="21"/>
          <w:highlight w:val="none"/>
        </w:rPr>
        <w:t>政府采购合同履行中，采购人需追加与合同标的相同的货物或者服务的，在不改变合同其他条款的前提下，可以与供应商协商签订补充合同，但所有补充合同的采购金额不得超过原合同采购金额的百分之十。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25.5 采购人与中标人应当根据合同的约定依法履行合同义务。</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七、质疑和投诉</w:t>
      </w:r>
    </w:p>
    <w:p>
      <w:pPr>
        <w:widowControl/>
        <w:shd w:val="clear" w:color="auto" w:fill="FFFFFF"/>
        <w:spacing w:line="360" w:lineRule="auto"/>
        <w:ind w:firstLine="420"/>
        <w:rPr>
          <w:rFonts w:ascii="宋体" w:hAnsi="宋体"/>
          <w:kern w:val="0"/>
          <w:szCs w:val="21"/>
          <w:highlight w:val="none"/>
        </w:rPr>
      </w:pPr>
      <w:r>
        <w:rPr>
          <w:rFonts w:hint="eastAsia" w:ascii="宋体" w:hAnsi="宋体"/>
          <w:b/>
          <w:bCs/>
          <w:kern w:val="0"/>
          <w:szCs w:val="21"/>
          <w:highlight w:val="none"/>
        </w:rPr>
        <w:t>26、质疑</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26.1供应商对招标活动事项有疑问的，可以向采购代理机构提出询问，采购代理机构将依法作出答复，但答复的内容不涉及商业秘密</w:t>
      </w:r>
      <w:r>
        <w:rPr>
          <w:rFonts w:hint="eastAsia" w:ascii="宋体" w:hAnsi="宋体"/>
          <w:b/>
          <w:bCs/>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26.2</w:t>
      </w:r>
      <w:r>
        <w:rPr>
          <w:rFonts w:ascii="宋体" w:hAnsi="宋体"/>
          <w:kern w:val="0"/>
          <w:szCs w:val="21"/>
          <w:highlight w:val="none"/>
        </w:rPr>
        <w:t>提出质疑的供应商应当是参与所质疑项目采购活动的供应商。潜在供应商已依法获取其可质疑的采购文件的，可以对该文件提出质疑。</w:t>
      </w:r>
    </w:p>
    <w:p>
      <w:pPr>
        <w:widowControl/>
        <w:shd w:val="clear" w:color="auto" w:fill="FFFFFF"/>
        <w:spacing w:line="360" w:lineRule="auto"/>
        <w:ind w:firstLine="420"/>
        <w:rPr>
          <w:rFonts w:ascii="宋体" w:hAnsi="宋体"/>
          <w:kern w:val="0"/>
          <w:szCs w:val="21"/>
          <w:highlight w:val="none"/>
        </w:rPr>
      </w:pPr>
      <w:r>
        <w:rPr>
          <w:rFonts w:hint="eastAsia"/>
          <w:szCs w:val="21"/>
          <w:highlight w:val="none"/>
        </w:rPr>
        <w:t>以联合体形式参加政府采购活动的，其质疑应当由组成联合体的所有供应商共同提出。</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26.3供应商认为采购文件、采购过程和中标结果使自己的合法权益受到损害的，可以在知道或者应知其权益受到损害之日起七个工作日内，将质疑文件原件送达采购人或采购代理机构。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供应商应知其权益受到损害之日，是指：对采购文件提出质疑的，应当在获取采购文件或者采购文件公告期限届满之日起7个工作日内提出</w:t>
      </w:r>
      <w:r>
        <w:rPr>
          <w:rFonts w:hint="eastAsia" w:ascii="宋体" w:hAnsi="宋体"/>
          <w:kern w:val="0"/>
          <w:szCs w:val="21"/>
          <w:highlight w:val="none"/>
        </w:rPr>
        <w:t>；</w:t>
      </w:r>
      <w:r>
        <w:rPr>
          <w:rFonts w:ascii="宋体" w:hAnsi="宋体"/>
          <w:kern w:val="0"/>
          <w:szCs w:val="21"/>
          <w:highlight w:val="none"/>
        </w:rPr>
        <w:t>对采购过程提出质疑的，为各采购程序环节结束之日；对中标或者成交结果提出质疑的，为中标或者成交结果公告期限届满之日。</w:t>
      </w:r>
    </w:p>
    <w:p>
      <w:pPr>
        <w:widowControl/>
        <w:shd w:val="clear" w:color="auto" w:fill="FFFFFF"/>
        <w:spacing w:line="360" w:lineRule="auto"/>
        <w:ind w:firstLine="420"/>
        <w:rPr>
          <w:rFonts w:ascii="宋体" w:hAnsi="宋体"/>
          <w:kern w:val="0"/>
          <w:szCs w:val="21"/>
          <w:highlight w:val="none"/>
        </w:rPr>
      </w:pPr>
      <w:r>
        <w:rPr>
          <w:rFonts w:hint="eastAsia" w:ascii="宋体" w:hAnsi="宋体"/>
          <w:highlight w:val="none"/>
        </w:rPr>
        <w:t>供应商必须在法定质疑期内一次性提出针对同一采购程序环节的质疑。</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 xml:space="preserve">26.4 </w:t>
      </w:r>
      <w:r>
        <w:rPr>
          <w:rFonts w:ascii="宋体" w:hAnsi="宋体"/>
          <w:kern w:val="0"/>
          <w:szCs w:val="21"/>
          <w:highlight w:val="none"/>
        </w:rPr>
        <w:t>供应商提出质疑应当提交质疑函和必要的证明材料。质疑函应当包括下列内容：</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　　（一）供应商的姓名或者名称、地址、邮编、联系人及联系电话；</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　　（二）质疑项目的名称、编号；</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　　（三）具体、明确的质疑事项和与质疑事项相关的请求</w:t>
      </w:r>
      <w:r>
        <w:rPr>
          <w:rFonts w:hint="eastAsia" w:ascii="宋体" w:hAnsi="宋体"/>
          <w:kern w:val="0"/>
          <w:szCs w:val="21"/>
          <w:highlight w:val="none"/>
        </w:rPr>
        <w:t>（具体条款）</w:t>
      </w:r>
      <w:r>
        <w:rPr>
          <w:rFonts w:ascii="宋体" w:hAnsi="宋体"/>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　　（四）事实依据</w:t>
      </w:r>
      <w:r>
        <w:rPr>
          <w:rFonts w:hint="eastAsia" w:ascii="宋体" w:hAnsi="宋体"/>
          <w:kern w:val="0"/>
          <w:szCs w:val="21"/>
          <w:highlight w:val="none"/>
        </w:rPr>
        <w:t>（具体条款）</w:t>
      </w:r>
      <w:r>
        <w:rPr>
          <w:rFonts w:ascii="宋体" w:hAnsi="宋体"/>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　　（五）必要的法律依据</w:t>
      </w:r>
      <w:r>
        <w:rPr>
          <w:rFonts w:hint="eastAsia" w:ascii="宋体" w:hAnsi="宋体"/>
          <w:kern w:val="0"/>
          <w:szCs w:val="21"/>
          <w:highlight w:val="none"/>
        </w:rPr>
        <w:t>（具体条款）</w:t>
      </w:r>
      <w:r>
        <w:rPr>
          <w:rFonts w:ascii="宋体" w:hAnsi="宋体"/>
          <w:kern w:val="0"/>
          <w:szCs w:val="21"/>
          <w:highlight w:val="none"/>
        </w:rPr>
        <w:t>；</w:t>
      </w:r>
    </w:p>
    <w:p>
      <w:pPr>
        <w:widowControl/>
        <w:shd w:val="clear" w:color="auto" w:fill="FFFFFF"/>
        <w:spacing w:line="360" w:lineRule="auto"/>
        <w:ind w:firstLine="420"/>
        <w:rPr>
          <w:rFonts w:ascii="宋体" w:hAnsi="宋体"/>
          <w:kern w:val="0"/>
          <w:szCs w:val="21"/>
          <w:highlight w:val="none"/>
        </w:rPr>
      </w:pPr>
      <w:r>
        <w:rPr>
          <w:rFonts w:ascii="宋体" w:hAnsi="宋体"/>
          <w:kern w:val="0"/>
          <w:szCs w:val="21"/>
          <w:highlight w:val="none"/>
        </w:rPr>
        <w:t>　　（六）提出质疑的日期。</w:t>
      </w:r>
    </w:p>
    <w:p>
      <w:pPr>
        <w:widowControl/>
        <w:shd w:val="clear" w:color="auto" w:fill="FFFFFF"/>
        <w:spacing w:line="360" w:lineRule="auto"/>
        <w:ind w:firstLine="420"/>
        <w:rPr>
          <w:szCs w:val="21"/>
          <w:highlight w:val="none"/>
        </w:rPr>
      </w:pPr>
      <w:r>
        <w:rPr>
          <w:szCs w:val="21"/>
          <w:highlight w:val="none"/>
        </w:rPr>
        <w:t>供应商为自然人的，应当由本人签字；供应商为法人或者其他组织的，应当由法定代表人、主要负责人，或者其授权代表签字或者盖章，并加盖公章。</w:t>
      </w:r>
      <w:r>
        <w:rPr>
          <w:rFonts w:hint="eastAsia"/>
          <w:szCs w:val="21"/>
          <w:highlight w:val="none"/>
        </w:rPr>
        <w:t>代理人提出质疑和投诉，应当提交供应商签署的授权委托书。</w:t>
      </w:r>
      <w:r>
        <w:rPr>
          <w:szCs w:val="21"/>
          <w:highlight w:val="none"/>
        </w:rPr>
        <w:t>其授权委托书应当载明代理人的姓名或者名称、代理事项、具体权限、期限和相关事项。</w:t>
      </w:r>
    </w:p>
    <w:p>
      <w:pPr>
        <w:widowControl/>
        <w:shd w:val="clear" w:color="auto" w:fill="FFFFFF"/>
        <w:spacing w:line="360" w:lineRule="auto"/>
        <w:ind w:firstLine="420"/>
        <w:rPr>
          <w:szCs w:val="21"/>
          <w:highlight w:val="none"/>
        </w:rPr>
      </w:pPr>
      <w:r>
        <w:rPr>
          <w:rFonts w:hint="eastAsia"/>
          <w:szCs w:val="21"/>
          <w:highlight w:val="none"/>
        </w:rPr>
        <w:t>质疑函应当使用中文。相关当事人提供外文书证或者外国语视听资料的，应当附有中文译本，由翻译机构盖章或者翻译人员签名。</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26.5质疑函应当现场提交至采购代理机构联系人处，提交时应出示有效身份证明。未按上述要求提交质疑函的，质疑不予受理。</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26.6 投标人不得虚假质疑和恶意质疑，并对质疑内容的真实性承担责任。投标人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hAnsi="宋体"/>
          <w:kern w:val="0"/>
          <w:szCs w:val="21"/>
          <w:highlight w:val="none"/>
        </w:rPr>
      </w:pPr>
      <w:r>
        <w:rPr>
          <w:rFonts w:hint="eastAsia" w:ascii="宋体" w:hAnsi="宋体"/>
          <w:kern w:val="0"/>
          <w:szCs w:val="21"/>
          <w:highlight w:val="none"/>
        </w:rPr>
        <w:t>26.7采购代理机构在收到投标人的书面质疑后将及时组织调查核实，在</w:t>
      </w:r>
      <w:r>
        <w:rPr>
          <w:rFonts w:hint="eastAsia" w:ascii="宋体" w:hAnsi="宋体"/>
          <w:b/>
          <w:bCs/>
          <w:kern w:val="0"/>
          <w:szCs w:val="21"/>
          <w:highlight w:val="none"/>
        </w:rPr>
        <w:t>七个工作日内</w:t>
      </w:r>
      <w:r>
        <w:rPr>
          <w:rFonts w:hint="eastAsia" w:ascii="宋体" w:hAnsi="宋体"/>
          <w:kern w:val="0"/>
          <w:szCs w:val="21"/>
          <w:highlight w:val="none"/>
        </w:rPr>
        <w:t>作出答复，并以书面或在网站公告形式通知质疑投标人和其他有关投标人，答复的内容不涉及商业秘密。</w:t>
      </w:r>
    </w:p>
    <w:p>
      <w:pPr>
        <w:widowControl/>
        <w:shd w:val="clear" w:color="auto" w:fill="FFFFFF"/>
        <w:spacing w:line="420" w:lineRule="exact"/>
        <w:ind w:firstLine="420"/>
        <w:rPr>
          <w:rFonts w:ascii="宋体" w:hAnsi="宋体"/>
          <w:szCs w:val="21"/>
          <w:highlight w:val="none"/>
          <w:lang w:val="zh-CN"/>
        </w:rPr>
      </w:pPr>
      <w:r>
        <w:rPr>
          <w:rFonts w:hint="eastAsia" w:ascii="宋体" w:hAnsi="宋体"/>
          <w:szCs w:val="21"/>
          <w:highlight w:val="none"/>
          <w:lang w:val="zh-CN"/>
        </w:rPr>
        <w:t>任何单位和个人对代理机构在招标采购活动中的违法行为，有权控告和检举，联系电话：025-86636139（招标代理机构质量管理部门，联系人：陈葵花）025-86636860（招标代理机构纪检监察部门，联系人：</w:t>
      </w:r>
      <w:r>
        <w:rPr>
          <w:rFonts w:hint="eastAsia" w:ascii="宋体" w:hAnsi="宋体"/>
          <w:szCs w:val="21"/>
          <w:highlight w:val="none"/>
        </w:rPr>
        <w:t>汪朝阳</w:t>
      </w:r>
      <w:r>
        <w:rPr>
          <w:rFonts w:hint="eastAsia" w:ascii="宋体" w:hAnsi="宋体"/>
          <w:szCs w:val="21"/>
          <w:highlight w:val="none"/>
          <w:lang w:val="zh-CN"/>
        </w:rPr>
        <w:t>）。</w:t>
      </w:r>
    </w:p>
    <w:p>
      <w:pPr>
        <w:widowControl/>
        <w:shd w:val="clear" w:color="auto" w:fill="FFFFFF"/>
        <w:spacing w:line="420" w:lineRule="exact"/>
        <w:ind w:firstLine="420"/>
        <w:rPr>
          <w:rFonts w:ascii="宋体" w:hAnsi="宋体"/>
          <w:kern w:val="0"/>
          <w:szCs w:val="21"/>
          <w:highlight w:val="none"/>
        </w:rPr>
      </w:pPr>
      <w:r>
        <w:rPr>
          <w:rFonts w:hint="eastAsia" w:ascii="宋体" w:hAnsi="宋体"/>
          <w:b/>
          <w:bCs/>
          <w:kern w:val="0"/>
          <w:szCs w:val="21"/>
          <w:highlight w:val="none"/>
        </w:rPr>
        <w:t>27、投诉</w:t>
      </w:r>
    </w:p>
    <w:p>
      <w:pPr>
        <w:spacing w:line="420" w:lineRule="exact"/>
        <w:ind w:firstLine="420" w:firstLineChars="200"/>
        <w:rPr>
          <w:rFonts w:ascii="宋体" w:hAnsi="宋体"/>
          <w:highlight w:val="none"/>
        </w:rPr>
      </w:pPr>
      <w:r>
        <w:rPr>
          <w:rFonts w:hint="eastAsia" w:ascii="宋体" w:hAnsi="宋体"/>
          <w:highlight w:val="none"/>
        </w:rPr>
        <w:t>27.1质疑供应商对采购代理机构的答复不满意或者采购代理机构未在规定的时间内作出答复的，可以在答复期满后十五个工作日内向同级政府采购监督管理部门投诉。</w:t>
      </w:r>
    </w:p>
    <w:p>
      <w:pPr>
        <w:spacing w:line="420" w:lineRule="exact"/>
        <w:ind w:firstLine="420" w:firstLineChars="200"/>
        <w:rPr>
          <w:rFonts w:ascii="宋体" w:hAnsi="宋体"/>
          <w:highlight w:val="none"/>
        </w:rPr>
      </w:pPr>
      <w:r>
        <w:rPr>
          <w:rFonts w:hint="eastAsia" w:ascii="宋体" w:hAnsi="宋体"/>
          <w:szCs w:val="21"/>
          <w:highlight w:val="none"/>
        </w:rPr>
        <w:t>27.2供应商投诉应当有明确的请求和必要的证明材料。供应商投诉的事项不得超出已质疑事项的范围。</w:t>
      </w:r>
    </w:p>
    <w:p>
      <w:pPr>
        <w:spacing w:line="420" w:lineRule="exact"/>
        <w:ind w:firstLine="420" w:firstLineChars="200"/>
        <w:rPr>
          <w:rFonts w:ascii="宋体" w:hAnsi="宋体"/>
          <w:highlight w:val="none"/>
        </w:rPr>
      </w:pPr>
      <w:r>
        <w:rPr>
          <w:rFonts w:hint="eastAsia" w:ascii="宋体" w:hAnsi="宋体"/>
          <w:szCs w:val="21"/>
          <w:highlight w:val="none"/>
        </w:rPr>
        <w:t>27.3</w:t>
      </w:r>
      <w:r>
        <w:rPr>
          <w:rFonts w:ascii="宋体" w:hAnsi="宋体"/>
          <w:szCs w:val="21"/>
          <w:highlight w:val="none"/>
        </w:rPr>
        <w:t>投诉人对政府采购监督管理部门的投诉处理决定不服或者政府采购监督管理部门逾期未作处理的，可以依法申请行政复议或者向人民法院提起行政诉讼。</w:t>
      </w:r>
    </w:p>
    <w:p>
      <w:pPr>
        <w:spacing w:line="420" w:lineRule="exact"/>
        <w:ind w:firstLine="420" w:firstLineChars="200"/>
        <w:rPr>
          <w:rFonts w:ascii="宋体" w:hAnsi="宋体"/>
          <w:szCs w:val="21"/>
          <w:highlight w:val="none"/>
        </w:rPr>
      </w:pPr>
      <w:r>
        <w:rPr>
          <w:rFonts w:hint="eastAsia" w:ascii="宋体" w:hAnsi="宋体"/>
          <w:highlight w:val="none"/>
        </w:rPr>
        <w:t>27.4 投诉人有下列行为之一的，属于严重失信行为，</w:t>
      </w:r>
      <w:r>
        <w:rPr>
          <w:rFonts w:hint="eastAsia" w:ascii="宋体" w:hAnsi="宋体"/>
          <w:szCs w:val="21"/>
          <w:highlight w:val="none"/>
        </w:rPr>
        <w:t>由财政部门列入不良行为记录名单，禁止其一至三年内参加政府采购活动。</w:t>
      </w:r>
    </w:p>
    <w:p>
      <w:pPr>
        <w:spacing w:line="420" w:lineRule="exact"/>
        <w:ind w:firstLine="420" w:firstLineChars="200"/>
        <w:rPr>
          <w:rFonts w:ascii="宋体" w:hAnsi="宋体"/>
          <w:highlight w:val="none"/>
        </w:rPr>
      </w:pPr>
      <w:r>
        <w:rPr>
          <w:rFonts w:hint="eastAsia" w:ascii="宋体" w:hAnsi="宋体"/>
          <w:highlight w:val="none"/>
        </w:rPr>
        <w:t>（1）投诉人在全国范围12个月内三次以上投诉查无实据的；</w:t>
      </w:r>
    </w:p>
    <w:p>
      <w:pPr>
        <w:spacing w:line="420" w:lineRule="exact"/>
        <w:ind w:firstLine="420" w:firstLineChars="200"/>
        <w:rPr>
          <w:rFonts w:ascii="宋体" w:hAnsi="宋体"/>
          <w:highlight w:val="none"/>
        </w:rPr>
      </w:pPr>
      <w:r>
        <w:rPr>
          <w:rFonts w:hint="eastAsia" w:ascii="宋体" w:hAnsi="宋体"/>
          <w:highlight w:val="none"/>
        </w:rPr>
        <w:t>（2）采用捏造事实、提供虚假材料或者以非法手段取得证明材料等方式进行虚假、恶意投诉。</w:t>
      </w:r>
    </w:p>
    <w:p>
      <w:pPr>
        <w:spacing w:line="420" w:lineRule="exact"/>
        <w:ind w:firstLine="420" w:firstLineChars="200"/>
        <w:rPr>
          <w:rFonts w:ascii="宋体" w:hAnsi="宋体"/>
          <w:highlight w:val="none"/>
        </w:rPr>
      </w:pPr>
      <w:r>
        <w:rPr>
          <w:rFonts w:hint="eastAsia" w:ascii="宋体" w:hAnsi="宋体"/>
          <w:highlight w:val="none"/>
        </w:rPr>
        <w:t>证据来源的合法性存在明显疑问，投诉人无法证明其取得方式合法的，视为以非法手段取得证明材料。</w:t>
      </w:r>
      <w:r>
        <w:rPr>
          <w:rFonts w:hint="eastAsia" w:ascii="宋体" w:hAnsi="宋体"/>
          <w:highlight w:val="none"/>
        </w:rPr>
        <w:br w:type="textWrapping"/>
      </w:r>
      <w:r>
        <w:rPr>
          <w:rFonts w:hint="eastAsia" w:ascii="宋体" w:hAnsi="宋体"/>
          <w:highlight w:val="none"/>
        </w:rPr>
        <w:t xml:space="preserve">    28、其他说明</w:t>
      </w:r>
      <w:r>
        <w:rPr>
          <w:rFonts w:hint="eastAsia" w:ascii="宋体" w:hAnsi="宋体"/>
          <w:highlight w:val="none"/>
        </w:rPr>
        <w:br w:type="textWrapping"/>
      </w:r>
      <w:r>
        <w:rPr>
          <w:rFonts w:hint="eastAsia" w:ascii="宋体" w:hAnsi="宋体"/>
          <w:highlight w:val="none"/>
        </w:rPr>
        <w:t xml:space="preserve">   无</w:t>
      </w:r>
    </w:p>
    <w:p>
      <w:pPr>
        <w:widowControl/>
        <w:jc w:val="left"/>
        <w:rPr>
          <w:rFonts w:ascii="宋体" w:hAnsi="宋体"/>
          <w:highlight w:val="none"/>
        </w:rPr>
      </w:pPr>
      <w:r>
        <w:rPr>
          <w:rFonts w:ascii="宋体" w:hAnsi="宋体"/>
          <w:highlight w:val="none"/>
        </w:rPr>
        <w:br w:type="page"/>
      </w:r>
    </w:p>
    <w:p>
      <w:pPr>
        <w:widowControl/>
        <w:jc w:val="left"/>
        <w:rPr>
          <w:rFonts w:ascii="宋体" w:hAnsi="宋体"/>
          <w:highlight w:val="none"/>
        </w:rPr>
      </w:pPr>
    </w:p>
    <w:p>
      <w:pPr>
        <w:pStyle w:val="3"/>
        <w:numPr>
          <w:ilvl w:val="0"/>
          <w:numId w:val="0"/>
        </w:numPr>
        <w:rPr>
          <w:kern w:val="0"/>
          <w:highlight w:val="none"/>
        </w:rPr>
      </w:pPr>
      <w:bookmarkStart w:id="5" w:name="_Toc10405"/>
      <w:bookmarkStart w:id="6" w:name="_Toc481057145"/>
      <w:r>
        <w:rPr>
          <w:rFonts w:hint="eastAsia"/>
          <w:kern w:val="0"/>
          <w:highlight w:val="none"/>
        </w:rPr>
        <w:t>第三章 评标标准</w:t>
      </w:r>
      <w:bookmarkEnd w:id="5"/>
    </w:p>
    <w:bookmarkEnd w:id="6"/>
    <w:p>
      <w:pPr>
        <w:spacing w:line="360" w:lineRule="auto"/>
        <w:ind w:firstLine="420" w:firstLineChars="200"/>
        <w:rPr>
          <w:highlight w:val="none"/>
        </w:rPr>
      </w:pPr>
      <w:r>
        <w:rPr>
          <w:rFonts w:hint="eastAsia"/>
          <w:highlight w:val="none"/>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供应商。</w:t>
      </w:r>
    </w:p>
    <w:tbl>
      <w:tblPr>
        <w:tblStyle w:val="44"/>
        <w:tblW w:w="53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7"/>
        <w:gridCol w:w="591"/>
        <w:gridCol w:w="128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jc w:val="center"/>
        </w:trPr>
        <w:tc>
          <w:tcPr>
            <w:tcW w:w="406" w:type="pct"/>
            <w:vMerge w:val="restar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kern w:val="0"/>
                <w:szCs w:val="21"/>
                <w:highlight w:val="none"/>
                <w:lang w:bidi="ar"/>
              </w:rPr>
              <w:t>1</w:t>
            </w:r>
          </w:p>
        </w:tc>
        <w:tc>
          <w:tcPr>
            <w:tcW w:w="321" w:type="pct"/>
            <w:vMerge w:val="restar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rFonts w:hint="eastAsia"/>
                <w:kern w:val="0"/>
                <w:szCs w:val="21"/>
                <w:highlight w:val="none"/>
                <w:lang w:bidi="ar"/>
              </w:rPr>
              <w:t>价格因素</w:t>
            </w:r>
          </w:p>
        </w:tc>
        <w:tc>
          <w:tcPr>
            <w:tcW w:w="698" w:type="pct"/>
            <w:vMerge w:val="restar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szCs w:val="21"/>
                <w:highlight w:val="none"/>
              </w:rPr>
              <w:t>投标报价</w:t>
            </w:r>
          </w:p>
          <w:p>
            <w:pPr>
              <w:widowControl/>
              <w:adjustRightInd w:val="0"/>
              <w:snapToGrid w:val="0"/>
              <w:spacing w:line="360" w:lineRule="auto"/>
              <w:jc w:val="center"/>
              <w:textAlignment w:val="center"/>
              <w:rPr>
                <w:szCs w:val="21"/>
                <w:highlight w:val="none"/>
              </w:rPr>
            </w:pPr>
            <w:r>
              <w:rPr>
                <w:szCs w:val="21"/>
                <w:highlight w:val="none"/>
              </w:rPr>
              <w:t>（</w:t>
            </w:r>
            <w:r>
              <w:rPr>
                <w:rFonts w:hint="eastAsia"/>
                <w:szCs w:val="21"/>
                <w:highlight w:val="none"/>
              </w:rPr>
              <w:t>30</w:t>
            </w:r>
            <w:r>
              <w:rPr>
                <w:szCs w:val="21"/>
                <w:highlight w:val="none"/>
              </w:rPr>
              <w:t>分）</w:t>
            </w:r>
          </w:p>
        </w:tc>
        <w:tc>
          <w:tcPr>
            <w:tcW w:w="3573" w:type="pct"/>
            <w:vMerge w:val="restart"/>
            <w:tcMar>
              <w:top w:w="8" w:type="dxa"/>
              <w:left w:w="8" w:type="dxa"/>
              <w:right w:w="8" w:type="dxa"/>
            </w:tcMar>
            <w:vAlign w:val="center"/>
          </w:tcPr>
          <w:p>
            <w:pPr>
              <w:widowControl/>
              <w:adjustRightInd w:val="0"/>
              <w:snapToGrid w:val="0"/>
              <w:spacing w:line="360" w:lineRule="auto"/>
              <w:textAlignment w:val="center"/>
              <w:rPr>
                <w:szCs w:val="21"/>
                <w:highlight w:val="none"/>
              </w:rPr>
            </w:pPr>
            <w:r>
              <w:rPr>
                <w:kern w:val="0"/>
                <w:szCs w:val="21"/>
                <w:highlight w:val="none"/>
              </w:rPr>
              <w:t>采用低价优先法计算，即满足招标文件要求且投标价格最低的投标报价为评标基准价，其价格分为满分。其他</w:t>
            </w:r>
            <w:r>
              <w:rPr>
                <w:rFonts w:hint="eastAsia"/>
                <w:kern w:val="0"/>
                <w:szCs w:val="21"/>
                <w:highlight w:val="none"/>
              </w:rPr>
              <w:t>供应商</w:t>
            </w:r>
            <w:r>
              <w:rPr>
                <w:kern w:val="0"/>
                <w:szCs w:val="21"/>
                <w:highlight w:val="none"/>
              </w:rPr>
              <w:t>的价格分统一按照下列公式计算</w:t>
            </w:r>
            <w:r>
              <w:rPr>
                <w:rFonts w:hint="eastAsia"/>
                <w:kern w:val="0"/>
                <w:szCs w:val="21"/>
                <w:highlight w:val="none"/>
              </w:rPr>
              <w:t>：</w:t>
            </w:r>
            <w:r>
              <w:rPr>
                <w:kern w:val="0"/>
                <w:szCs w:val="21"/>
                <w:highlight w:val="none"/>
              </w:rPr>
              <w:t>投标</w:t>
            </w:r>
            <w:r>
              <w:rPr>
                <w:rFonts w:hint="eastAsia"/>
                <w:kern w:val="0"/>
                <w:szCs w:val="21"/>
                <w:highlight w:val="none"/>
              </w:rPr>
              <w:t>价格</w:t>
            </w:r>
            <w:r>
              <w:rPr>
                <w:kern w:val="0"/>
                <w:szCs w:val="21"/>
                <w:highlight w:val="none"/>
              </w:rPr>
              <w:t>得分=(评标基准价/投标报价)×</w:t>
            </w:r>
            <w:r>
              <w:rPr>
                <w:rFonts w:hint="eastAsia"/>
                <w:kern w:val="0"/>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406" w:type="pct"/>
            <w:vMerge w:val="continue"/>
            <w:tcMar>
              <w:top w:w="8" w:type="dxa"/>
              <w:left w:w="8" w:type="dxa"/>
              <w:right w:w="8" w:type="dxa"/>
            </w:tcMar>
            <w:vAlign w:val="center"/>
          </w:tcPr>
          <w:p>
            <w:pPr>
              <w:adjustRightInd w:val="0"/>
              <w:snapToGrid w:val="0"/>
              <w:spacing w:line="360" w:lineRule="auto"/>
              <w:jc w:val="center"/>
              <w:rPr>
                <w:szCs w:val="21"/>
                <w:highlight w:val="none"/>
              </w:rPr>
            </w:pPr>
          </w:p>
        </w:tc>
        <w:tc>
          <w:tcPr>
            <w:tcW w:w="321" w:type="pct"/>
            <w:vMerge w:val="continue"/>
            <w:tcMar>
              <w:top w:w="8" w:type="dxa"/>
              <w:left w:w="8" w:type="dxa"/>
              <w:right w:w="8" w:type="dxa"/>
            </w:tcMar>
            <w:vAlign w:val="center"/>
          </w:tcPr>
          <w:p>
            <w:pPr>
              <w:adjustRightInd w:val="0"/>
              <w:snapToGrid w:val="0"/>
              <w:spacing w:line="360" w:lineRule="auto"/>
              <w:jc w:val="center"/>
              <w:rPr>
                <w:szCs w:val="21"/>
                <w:highlight w:val="none"/>
              </w:rPr>
            </w:pPr>
          </w:p>
        </w:tc>
        <w:tc>
          <w:tcPr>
            <w:tcW w:w="698" w:type="pct"/>
            <w:vMerge w:val="continue"/>
            <w:tcMar>
              <w:top w:w="8" w:type="dxa"/>
              <w:left w:w="8" w:type="dxa"/>
              <w:right w:w="8" w:type="dxa"/>
            </w:tcMar>
            <w:vAlign w:val="center"/>
          </w:tcPr>
          <w:p>
            <w:pPr>
              <w:adjustRightInd w:val="0"/>
              <w:snapToGrid w:val="0"/>
              <w:spacing w:line="360" w:lineRule="auto"/>
              <w:jc w:val="center"/>
              <w:rPr>
                <w:szCs w:val="21"/>
                <w:highlight w:val="none"/>
              </w:rPr>
            </w:pPr>
          </w:p>
        </w:tc>
        <w:tc>
          <w:tcPr>
            <w:tcW w:w="3573" w:type="pct"/>
            <w:vMerge w:val="continue"/>
            <w:tcMar>
              <w:top w:w="8" w:type="dxa"/>
              <w:left w:w="8" w:type="dxa"/>
              <w:right w:w="8" w:type="dxa"/>
            </w:tcMar>
            <w:vAlign w:val="center"/>
          </w:tcPr>
          <w:p>
            <w:pPr>
              <w:adjustRightInd w:val="0"/>
              <w:snapToGrid w:val="0"/>
              <w:spacing w:line="36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8" w:hRule="atLeast"/>
          <w:jc w:val="center"/>
        </w:trPr>
        <w:tc>
          <w:tcPr>
            <w:tcW w:w="406" w:type="pct"/>
            <w:vMerge w:val="restar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kern w:val="0"/>
                <w:szCs w:val="21"/>
                <w:highlight w:val="none"/>
                <w:lang w:bidi="ar"/>
              </w:rPr>
              <w:t>2</w:t>
            </w:r>
          </w:p>
        </w:tc>
        <w:tc>
          <w:tcPr>
            <w:tcW w:w="321" w:type="pct"/>
            <w:vMerge w:val="restar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kern w:val="0"/>
                <w:szCs w:val="21"/>
                <w:highlight w:val="none"/>
                <w:lang w:bidi="ar"/>
              </w:rPr>
              <w:t>技术</w:t>
            </w:r>
            <w:r>
              <w:rPr>
                <w:rFonts w:hint="eastAsia"/>
                <w:kern w:val="0"/>
                <w:szCs w:val="21"/>
                <w:highlight w:val="none"/>
                <w:lang w:bidi="ar"/>
              </w:rPr>
              <w:t>因素</w:t>
            </w:r>
          </w:p>
        </w:tc>
        <w:tc>
          <w:tcPr>
            <w:tcW w:w="698" w:type="pct"/>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r>
              <w:rPr>
                <w:kern w:val="0"/>
                <w:szCs w:val="21"/>
                <w:highlight w:val="none"/>
                <w:lang w:bidi="ar"/>
              </w:rPr>
              <w:t>投标技术方案的符合性</w:t>
            </w:r>
          </w:p>
          <w:p>
            <w:pPr>
              <w:widowControl/>
              <w:adjustRightInd w:val="0"/>
              <w:snapToGrid w:val="0"/>
              <w:spacing w:line="360" w:lineRule="auto"/>
              <w:jc w:val="center"/>
              <w:textAlignment w:val="center"/>
              <w:rPr>
                <w:szCs w:val="21"/>
                <w:highlight w:val="none"/>
              </w:rPr>
            </w:pPr>
            <w:r>
              <w:rPr>
                <w:kern w:val="0"/>
                <w:szCs w:val="21"/>
                <w:highlight w:val="none"/>
                <w:lang w:bidi="ar"/>
              </w:rPr>
              <w:t>（2</w:t>
            </w:r>
            <w:r>
              <w:rPr>
                <w:rFonts w:hint="eastAsia"/>
                <w:kern w:val="0"/>
                <w:szCs w:val="21"/>
                <w:highlight w:val="none"/>
                <w:lang w:bidi="ar"/>
              </w:rPr>
              <w:t>0</w:t>
            </w:r>
            <w:r>
              <w:rPr>
                <w:kern w:val="0"/>
                <w:szCs w:val="21"/>
                <w:highlight w:val="none"/>
                <w:lang w:bidi="ar"/>
              </w:rPr>
              <w:t>分）</w:t>
            </w:r>
          </w:p>
        </w:tc>
        <w:tc>
          <w:tcPr>
            <w:tcW w:w="3573" w:type="pct"/>
            <w:tcMar>
              <w:top w:w="8" w:type="dxa"/>
              <w:left w:w="8" w:type="dxa"/>
              <w:right w:w="8" w:type="dxa"/>
            </w:tcMar>
            <w:vAlign w:val="center"/>
          </w:tcPr>
          <w:p>
            <w:pPr>
              <w:widowControl/>
              <w:adjustRightInd w:val="0"/>
              <w:snapToGrid w:val="0"/>
              <w:spacing w:line="360" w:lineRule="auto"/>
              <w:ind w:right="-2" w:rightChars="-1"/>
              <w:textAlignment w:val="center"/>
              <w:rPr>
                <w:rStyle w:val="129"/>
                <w:rFonts w:hint="default" w:ascii="Times New Roman" w:hAnsi="Times New Roman" w:cs="Times New Roman"/>
                <w:color w:val="auto"/>
                <w:sz w:val="21"/>
                <w:szCs w:val="21"/>
                <w:highlight w:val="none"/>
                <w:lang w:bidi="ar"/>
              </w:rPr>
            </w:pPr>
            <w:r>
              <w:rPr>
                <w:kern w:val="0"/>
                <w:szCs w:val="21"/>
                <w:highlight w:val="none"/>
                <w:lang w:bidi="ar"/>
              </w:rPr>
              <w:t>投标技术方案的符合性，即对投标技术方案和投标设备的技术参数、配置、性能是否符合或优于招标文件要求进行评价，完全满足招标文件要求得1</w:t>
            </w:r>
            <w:r>
              <w:rPr>
                <w:rFonts w:hint="eastAsia"/>
                <w:kern w:val="0"/>
                <w:szCs w:val="21"/>
                <w:highlight w:val="none"/>
                <w:lang w:bidi="ar"/>
              </w:rPr>
              <w:t>0</w:t>
            </w:r>
            <w:r>
              <w:rPr>
                <w:kern w:val="0"/>
                <w:szCs w:val="21"/>
                <w:highlight w:val="none"/>
                <w:lang w:bidi="ar"/>
              </w:rPr>
              <w:t>分；参数、配置具有实质性正偏离的每一项加2分</w:t>
            </w:r>
            <w:r>
              <w:rPr>
                <w:rStyle w:val="129"/>
                <w:rFonts w:hint="default" w:ascii="Times New Roman" w:hAnsi="Times New Roman" w:cs="Times New Roman"/>
                <w:color w:val="auto"/>
                <w:sz w:val="21"/>
                <w:szCs w:val="21"/>
                <w:highlight w:val="none"/>
                <w:lang w:bidi="ar"/>
              </w:rPr>
              <w:t>，最多加10分；每负偏离一项扣2分，扣完为止。</w:t>
            </w:r>
          </w:p>
          <w:p>
            <w:pPr>
              <w:widowControl/>
              <w:adjustRightInd w:val="0"/>
              <w:snapToGrid w:val="0"/>
              <w:spacing w:line="360" w:lineRule="auto"/>
              <w:ind w:right="-2" w:rightChars="-1"/>
              <w:textAlignment w:val="center"/>
              <w:rPr>
                <w:rFonts w:hint="default" w:eastAsia="宋体"/>
                <w:szCs w:val="21"/>
                <w:highlight w:val="none"/>
                <w:lang w:val="en-US" w:eastAsia="zh-CN"/>
              </w:rPr>
            </w:pPr>
            <w:r>
              <w:rPr>
                <w:rStyle w:val="129"/>
                <w:rFonts w:hint="eastAsia" w:cs="Times New Roman"/>
                <w:b/>
                <w:bCs/>
                <w:color w:val="auto"/>
                <w:sz w:val="21"/>
                <w:szCs w:val="21"/>
                <w:highlight w:val="none"/>
                <w:lang w:val="en-US" w:eastAsia="zh-CN" w:bidi="ar"/>
              </w:rPr>
              <w:t>若交货期不满足招标文件要求，本项不得分。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8" w:hRule="atLeast"/>
          <w:jc w:val="center"/>
        </w:trPr>
        <w:tc>
          <w:tcPr>
            <w:tcW w:w="406" w:type="pct"/>
            <w:vMerge w:val="continue"/>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p>
        </w:tc>
        <w:tc>
          <w:tcPr>
            <w:tcW w:w="321" w:type="pct"/>
            <w:vMerge w:val="continue"/>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p>
        </w:tc>
        <w:tc>
          <w:tcPr>
            <w:tcW w:w="698" w:type="pct"/>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r>
              <w:rPr>
                <w:rStyle w:val="129"/>
                <w:rFonts w:hint="default" w:ascii="Times New Roman" w:hAnsi="Times New Roman" w:cs="Times New Roman"/>
                <w:color w:val="auto"/>
                <w:sz w:val="21"/>
                <w:szCs w:val="21"/>
                <w:highlight w:val="none"/>
                <w:lang w:bidi="ar"/>
              </w:rPr>
              <w:t>产品调试及技术参数的保证措施（</w:t>
            </w:r>
            <w:r>
              <w:rPr>
                <w:rStyle w:val="129"/>
                <w:rFonts w:hint="default" w:cs="Times New Roman"/>
                <w:color w:val="auto"/>
                <w:sz w:val="21"/>
                <w:szCs w:val="21"/>
                <w:highlight w:val="none"/>
                <w:lang w:bidi="ar"/>
              </w:rPr>
              <w:t>30</w:t>
            </w:r>
            <w:r>
              <w:rPr>
                <w:rStyle w:val="129"/>
                <w:rFonts w:hint="default" w:ascii="Times New Roman" w:hAnsi="Times New Roman" w:cs="Times New Roman"/>
                <w:color w:val="auto"/>
                <w:sz w:val="21"/>
                <w:szCs w:val="21"/>
                <w:highlight w:val="none"/>
                <w:lang w:bidi="ar"/>
              </w:rPr>
              <w:t>分）</w:t>
            </w:r>
          </w:p>
        </w:tc>
        <w:tc>
          <w:tcPr>
            <w:tcW w:w="3573" w:type="pct"/>
            <w:tcMar>
              <w:top w:w="8" w:type="dxa"/>
              <w:left w:w="8" w:type="dxa"/>
              <w:right w:w="8" w:type="dxa"/>
            </w:tcMar>
            <w:vAlign w:val="center"/>
          </w:tcPr>
          <w:p>
            <w:pPr>
              <w:widowControl/>
              <w:spacing w:line="360" w:lineRule="auto"/>
              <w:rPr>
                <w:rFonts w:ascii="宋体" w:hAnsi="宋体" w:cs="宋体"/>
                <w:szCs w:val="21"/>
                <w:highlight w:val="none"/>
              </w:rPr>
            </w:pPr>
            <w:r>
              <w:rPr>
                <w:kern w:val="0"/>
                <w:szCs w:val="21"/>
                <w:highlight w:val="none"/>
                <w:lang w:bidi="ar"/>
              </w:rPr>
              <w:t>以</w:t>
            </w:r>
            <w:r>
              <w:rPr>
                <w:rFonts w:hint="eastAsia"/>
                <w:kern w:val="0"/>
                <w:szCs w:val="21"/>
                <w:highlight w:val="none"/>
                <w:lang w:bidi="ar"/>
              </w:rPr>
              <w:t>供应商</w:t>
            </w:r>
            <w:r>
              <w:rPr>
                <w:kern w:val="0"/>
                <w:szCs w:val="21"/>
                <w:highlight w:val="none"/>
                <w:lang w:bidi="ar"/>
              </w:rPr>
              <w:t>提供的产品</w:t>
            </w:r>
            <w:r>
              <w:rPr>
                <w:rStyle w:val="129"/>
                <w:rFonts w:hint="default" w:ascii="Times New Roman" w:hAnsi="Times New Roman" w:cs="Times New Roman"/>
                <w:color w:val="auto"/>
                <w:sz w:val="21"/>
                <w:szCs w:val="21"/>
                <w:highlight w:val="none"/>
                <w:lang w:bidi="ar"/>
              </w:rPr>
              <w:t>调试检测及技术参数保证措施</w:t>
            </w:r>
            <w:r>
              <w:rPr>
                <w:kern w:val="0"/>
                <w:szCs w:val="21"/>
                <w:highlight w:val="none"/>
                <w:lang w:bidi="ar"/>
              </w:rPr>
              <w:t>为评价依据，如何实现招标要求的产品技术参数</w:t>
            </w:r>
            <w:r>
              <w:rPr>
                <w:rFonts w:hint="eastAsia"/>
                <w:kern w:val="0"/>
                <w:szCs w:val="21"/>
                <w:highlight w:val="none"/>
                <w:lang w:bidi="ar"/>
              </w:rPr>
              <w:t>的</w:t>
            </w:r>
            <w:r>
              <w:rPr>
                <w:kern w:val="0"/>
                <w:szCs w:val="21"/>
                <w:highlight w:val="none"/>
                <w:lang w:bidi="ar"/>
              </w:rPr>
              <w:t>保证措施等内容</w:t>
            </w:r>
            <w:r>
              <w:rPr>
                <w:rFonts w:hint="eastAsia"/>
                <w:kern w:val="0"/>
                <w:szCs w:val="21"/>
                <w:highlight w:val="none"/>
                <w:lang w:bidi="ar"/>
              </w:rPr>
              <w:t>。</w:t>
            </w:r>
            <w:r>
              <w:rPr>
                <w:rFonts w:hint="eastAsia"/>
                <w:kern w:val="0"/>
                <w:szCs w:val="21"/>
                <w:highlight w:val="none"/>
                <w:lang w:bidi="ar"/>
              </w:rPr>
              <w:br w:type="textWrapping"/>
            </w:r>
            <w:r>
              <w:rPr>
                <w:rFonts w:hint="eastAsia" w:ascii="宋体" w:hAnsi="宋体" w:cs="宋体"/>
                <w:szCs w:val="21"/>
                <w:highlight w:val="none"/>
              </w:rPr>
              <w:t>编制的非常详细的得</w:t>
            </w:r>
            <w:r>
              <w:rPr>
                <w:rFonts w:hAnsi="宋体"/>
                <w:szCs w:val="21"/>
                <w:highlight w:val="none"/>
              </w:rPr>
              <w:t>30</w:t>
            </w:r>
            <w:r>
              <w:rPr>
                <w:rFonts w:hint="eastAsia" w:ascii="宋体" w:hAnsi="宋体" w:cs="宋体"/>
                <w:szCs w:val="21"/>
                <w:highlight w:val="none"/>
              </w:rPr>
              <w:t>分；</w:t>
            </w:r>
          </w:p>
          <w:p>
            <w:pPr>
              <w:widowControl/>
              <w:spacing w:line="360" w:lineRule="auto"/>
              <w:rPr>
                <w:rFonts w:ascii="宋体" w:hAnsi="宋体" w:cs="宋体"/>
                <w:szCs w:val="21"/>
                <w:highlight w:val="none"/>
              </w:rPr>
            </w:pPr>
            <w:r>
              <w:rPr>
                <w:rFonts w:hint="eastAsia" w:ascii="宋体" w:hAnsi="宋体" w:cs="宋体"/>
                <w:szCs w:val="21"/>
                <w:highlight w:val="none"/>
              </w:rPr>
              <w:t>编制的措施详细的得</w:t>
            </w:r>
            <w:r>
              <w:rPr>
                <w:rFonts w:hint="eastAsia" w:hAnsi="宋体"/>
                <w:szCs w:val="21"/>
                <w:highlight w:val="none"/>
                <w:lang w:val="en-US" w:eastAsia="zh-CN"/>
              </w:rPr>
              <w:t>27</w:t>
            </w:r>
            <w:r>
              <w:rPr>
                <w:rFonts w:hint="eastAsia" w:ascii="宋体" w:hAnsi="宋体" w:cs="宋体"/>
                <w:szCs w:val="21"/>
                <w:highlight w:val="none"/>
              </w:rPr>
              <w:t>分；</w:t>
            </w:r>
          </w:p>
          <w:p>
            <w:pPr>
              <w:widowControl/>
              <w:spacing w:line="360" w:lineRule="auto"/>
              <w:rPr>
                <w:rFonts w:ascii="宋体" w:hAnsi="宋体" w:cs="宋体"/>
                <w:szCs w:val="21"/>
                <w:highlight w:val="none"/>
              </w:rPr>
            </w:pPr>
            <w:r>
              <w:rPr>
                <w:rFonts w:hint="eastAsia" w:ascii="宋体" w:hAnsi="宋体" w:cs="宋体"/>
                <w:szCs w:val="21"/>
                <w:highlight w:val="none"/>
              </w:rPr>
              <w:t>编制的措施不太详细的得</w:t>
            </w:r>
            <w:r>
              <w:rPr>
                <w:rFonts w:hint="eastAsia" w:hAnsi="宋体"/>
                <w:szCs w:val="21"/>
                <w:highlight w:val="none"/>
                <w:lang w:val="en-US" w:eastAsia="zh-CN"/>
              </w:rPr>
              <w:t>24</w:t>
            </w:r>
            <w:r>
              <w:rPr>
                <w:rFonts w:hint="eastAsia" w:ascii="宋体" w:hAnsi="宋体" w:cs="宋体"/>
                <w:szCs w:val="21"/>
                <w:highlight w:val="none"/>
              </w:rPr>
              <w:t>分；</w:t>
            </w:r>
          </w:p>
          <w:p>
            <w:pPr>
              <w:widowControl/>
              <w:adjustRightInd w:val="0"/>
              <w:snapToGrid w:val="0"/>
              <w:spacing w:line="360" w:lineRule="auto"/>
              <w:textAlignment w:val="center"/>
              <w:rPr>
                <w:rFonts w:ascii="宋体" w:hAnsi="宋体" w:cs="宋体"/>
                <w:szCs w:val="21"/>
                <w:highlight w:val="none"/>
              </w:rPr>
            </w:pPr>
            <w:r>
              <w:rPr>
                <w:rFonts w:hint="eastAsia" w:ascii="宋体" w:hAnsi="宋体" w:cs="宋体"/>
                <w:szCs w:val="21"/>
                <w:highlight w:val="none"/>
              </w:rPr>
              <w:t>编制的措施较差的得</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val="en-US" w:eastAsia="zh-CN"/>
              </w:rPr>
              <w:t>及以下</w:t>
            </w:r>
            <w:r>
              <w:rPr>
                <w:rFonts w:hint="eastAsia" w:ascii="宋体" w:hAnsi="宋体" w:cs="宋体"/>
                <w:szCs w:val="21"/>
                <w:highlight w:val="none"/>
              </w:rPr>
              <w:t>；</w:t>
            </w:r>
          </w:p>
          <w:p>
            <w:pPr>
              <w:widowControl/>
              <w:adjustRightInd w:val="0"/>
              <w:snapToGrid w:val="0"/>
              <w:spacing w:line="360" w:lineRule="auto"/>
              <w:ind w:right="-2" w:rightChars="-1"/>
              <w:textAlignment w:val="center"/>
              <w:rPr>
                <w:kern w:val="0"/>
                <w:szCs w:val="21"/>
                <w:highlight w:val="none"/>
                <w:lang w:bidi="ar"/>
              </w:rPr>
            </w:pPr>
            <w:r>
              <w:rPr>
                <w:rFonts w:hint="eastAsia" w:ascii="宋体" w:hAnsi="宋体" w:cs="宋体"/>
                <w:szCs w:val="21"/>
                <w:highlight w:val="none"/>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kern w:val="0"/>
                <w:szCs w:val="21"/>
                <w:highlight w:val="none"/>
                <w:lang w:bidi="ar"/>
              </w:rPr>
              <w:t>3</w:t>
            </w:r>
          </w:p>
        </w:tc>
        <w:tc>
          <w:tcPr>
            <w:tcW w:w="321" w:type="pct"/>
            <w:vMerge w:val="restar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kern w:val="0"/>
                <w:szCs w:val="21"/>
                <w:highlight w:val="none"/>
                <w:lang w:bidi="ar"/>
              </w:rPr>
              <w:t>商务</w:t>
            </w:r>
            <w:r>
              <w:rPr>
                <w:rFonts w:hint="eastAsia"/>
                <w:kern w:val="0"/>
                <w:szCs w:val="21"/>
                <w:highlight w:val="none"/>
                <w:lang w:bidi="ar"/>
              </w:rPr>
              <w:t>因素</w:t>
            </w:r>
          </w:p>
        </w:tc>
        <w:tc>
          <w:tcPr>
            <w:tcW w:w="698" w:type="pct"/>
            <w:tcMar>
              <w:top w:w="8" w:type="dxa"/>
              <w:left w:w="8" w:type="dxa"/>
              <w:right w:w="8" w:type="dxa"/>
            </w:tcMar>
            <w:vAlign w:val="center"/>
          </w:tcPr>
          <w:p>
            <w:pPr>
              <w:widowControl/>
              <w:adjustRightInd w:val="0"/>
              <w:snapToGrid w:val="0"/>
              <w:spacing w:line="360" w:lineRule="auto"/>
              <w:jc w:val="center"/>
              <w:textAlignment w:val="center"/>
              <w:rPr>
                <w:rStyle w:val="129"/>
                <w:rFonts w:hint="default" w:ascii="Times New Roman" w:hAnsi="Times New Roman" w:cs="Times New Roman"/>
                <w:color w:val="auto"/>
                <w:sz w:val="21"/>
                <w:szCs w:val="21"/>
                <w:highlight w:val="none"/>
                <w:lang w:bidi="ar"/>
              </w:rPr>
            </w:pPr>
            <w:r>
              <w:rPr>
                <w:kern w:val="0"/>
                <w:szCs w:val="21"/>
                <w:highlight w:val="none"/>
                <w:lang w:bidi="ar"/>
              </w:rPr>
              <w:t>业</w:t>
            </w:r>
            <w:r>
              <w:rPr>
                <w:rStyle w:val="129"/>
                <w:rFonts w:hint="default" w:ascii="Times New Roman" w:hAnsi="Times New Roman" w:cs="Times New Roman"/>
                <w:color w:val="auto"/>
                <w:sz w:val="21"/>
                <w:szCs w:val="21"/>
                <w:highlight w:val="none"/>
                <w:lang w:bidi="ar"/>
              </w:rPr>
              <w:t>绩</w:t>
            </w:r>
          </w:p>
          <w:p>
            <w:pPr>
              <w:widowControl/>
              <w:adjustRightInd w:val="0"/>
              <w:snapToGrid w:val="0"/>
              <w:spacing w:line="360" w:lineRule="auto"/>
              <w:jc w:val="center"/>
              <w:textAlignment w:val="center"/>
              <w:rPr>
                <w:szCs w:val="21"/>
                <w:highlight w:val="none"/>
              </w:rPr>
            </w:pPr>
            <w:r>
              <w:rPr>
                <w:rStyle w:val="129"/>
                <w:rFonts w:hint="default" w:ascii="Times New Roman" w:hAnsi="Times New Roman" w:cs="Times New Roman"/>
                <w:color w:val="auto"/>
                <w:sz w:val="21"/>
                <w:szCs w:val="21"/>
                <w:highlight w:val="none"/>
                <w:lang w:bidi="ar"/>
              </w:rPr>
              <w:t>（6分）</w:t>
            </w:r>
          </w:p>
        </w:tc>
        <w:tc>
          <w:tcPr>
            <w:tcW w:w="3573" w:type="pct"/>
            <w:tcMar>
              <w:top w:w="8" w:type="dxa"/>
              <w:left w:w="8" w:type="dxa"/>
              <w:right w:w="8" w:type="dxa"/>
            </w:tcMar>
            <w:vAlign w:val="center"/>
          </w:tcPr>
          <w:p>
            <w:pPr>
              <w:widowControl/>
              <w:adjustRightInd w:val="0"/>
              <w:snapToGrid w:val="0"/>
              <w:spacing w:line="360" w:lineRule="auto"/>
              <w:textAlignment w:val="center"/>
              <w:rPr>
                <w:szCs w:val="21"/>
                <w:highlight w:val="none"/>
              </w:rPr>
            </w:pPr>
            <w:r>
              <w:rPr>
                <w:rFonts w:hint="eastAsia"/>
                <w:szCs w:val="21"/>
                <w:highlight w:val="none"/>
              </w:rPr>
              <w:t>设备制造商近三年内（2017年1月1日至今）</w:t>
            </w:r>
            <w:r>
              <w:rPr>
                <w:rFonts w:hint="eastAsia" w:ascii="宋体" w:hAnsi="宋体" w:cs="宋体"/>
                <w:kern w:val="0"/>
                <w:szCs w:val="21"/>
                <w:highlight w:val="none"/>
                <w:lang w:bidi="ar"/>
              </w:rPr>
              <w:t>以来具有本次招标同类产品的供货业绩，每提供合同1份得</w:t>
            </w:r>
            <w:r>
              <w:rPr>
                <w:rFonts w:ascii="宋体" w:hAnsi="宋体" w:cs="宋体"/>
                <w:kern w:val="0"/>
                <w:szCs w:val="21"/>
                <w:highlight w:val="none"/>
                <w:lang w:bidi="ar"/>
              </w:rPr>
              <w:t>1</w:t>
            </w:r>
            <w:r>
              <w:rPr>
                <w:rFonts w:hint="eastAsia" w:ascii="宋体" w:hAnsi="宋体" w:cs="宋体"/>
                <w:kern w:val="0"/>
                <w:szCs w:val="21"/>
                <w:highlight w:val="none"/>
                <w:lang w:bidi="ar"/>
              </w:rPr>
              <w:t>分，满分6分</w:t>
            </w:r>
            <w:r>
              <w:rPr>
                <w:rFonts w:hint="eastAsia"/>
                <w:szCs w:val="21"/>
                <w:highlight w:val="none"/>
              </w:rPr>
              <w:t>。</w:t>
            </w:r>
            <w:r>
              <w:rPr>
                <w:rFonts w:hint="eastAsia" w:ascii="宋体" w:hAnsi="宋体" w:cs="宋体"/>
                <w:kern w:val="0"/>
                <w:szCs w:val="21"/>
                <w:highlight w:val="none"/>
                <w:lang w:bidi="ar"/>
              </w:rPr>
              <w:t>【复印件加盖公章，原件备查</w:t>
            </w:r>
            <w:r>
              <w:rPr>
                <w:rStyle w:val="129"/>
                <w:rFonts w:hint="default"/>
                <w:color w:val="auto"/>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r>
              <w:rPr>
                <w:kern w:val="0"/>
                <w:szCs w:val="21"/>
                <w:highlight w:val="none"/>
                <w:lang w:bidi="ar"/>
              </w:rPr>
              <w:t>4</w:t>
            </w:r>
          </w:p>
        </w:tc>
        <w:tc>
          <w:tcPr>
            <w:tcW w:w="321" w:type="pct"/>
            <w:vMerge w:val="continue"/>
            <w:tcMar>
              <w:top w:w="8" w:type="dxa"/>
              <w:left w:w="8" w:type="dxa"/>
              <w:right w:w="8" w:type="dxa"/>
            </w:tcMar>
            <w:vAlign w:val="center"/>
          </w:tcPr>
          <w:p>
            <w:pPr>
              <w:widowControl/>
              <w:adjustRightInd w:val="0"/>
              <w:snapToGrid w:val="0"/>
              <w:spacing w:line="360" w:lineRule="auto"/>
              <w:jc w:val="center"/>
              <w:textAlignment w:val="center"/>
              <w:rPr>
                <w:szCs w:val="21"/>
                <w:highlight w:val="none"/>
              </w:rPr>
            </w:pPr>
          </w:p>
        </w:tc>
        <w:tc>
          <w:tcPr>
            <w:tcW w:w="698" w:type="pct"/>
            <w:tcMar>
              <w:top w:w="8" w:type="dxa"/>
              <w:left w:w="8" w:type="dxa"/>
              <w:right w:w="8" w:type="dxa"/>
            </w:tcMar>
            <w:vAlign w:val="center"/>
          </w:tcPr>
          <w:p>
            <w:pPr>
              <w:widowControl/>
              <w:adjustRightInd w:val="0"/>
              <w:snapToGrid w:val="0"/>
              <w:spacing w:line="360" w:lineRule="auto"/>
              <w:jc w:val="center"/>
              <w:textAlignment w:val="center"/>
              <w:rPr>
                <w:rStyle w:val="129"/>
                <w:rFonts w:hint="default" w:ascii="Times New Roman" w:hAnsi="Times New Roman" w:cs="Times New Roman"/>
                <w:color w:val="auto"/>
                <w:sz w:val="21"/>
                <w:szCs w:val="21"/>
                <w:highlight w:val="none"/>
                <w:lang w:bidi="ar"/>
              </w:rPr>
            </w:pPr>
            <w:r>
              <w:rPr>
                <w:kern w:val="0"/>
                <w:szCs w:val="21"/>
                <w:highlight w:val="none"/>
                <w:lang w:bidi="ar"/>
              </w:rPr>
              <w:t>质保</w:t>
            </w:r>
            <w:r>
              <w:rPr>
                <w:rStyle w:val="129"/>
                <w:rFonts w:hint="default" w:ascii="Times New Roman" w:hAnsi="Times New Roman" w:cs="Times New Roman"/>
                <w:color w:val="auto"/>
                <w:sz w:val="21"/>
                <w:szCs w:val="21"/>
                <w:highlight w:val="none"/>
                <w:lang w:bidi="ar"/>
              </w:rPr>
              <w:t>期</w:t>
            </w:r>
          </w:p>
          <w:p>
            <w:pPr>
              <w:widowControl/>
              <w:adjustRightInd w:val="0"/>
              <w:snapToGrid w:val="0"/>
              <w:spacing w:line="360" w:lineRule="auto"/>
              <w:jc w:val="center"/>
              <w:textAlignment w:val="center"/>
              <w:rPr>
                <w:szCs w:val="21"/>
                <w:highlight w:val="none"/>
              </w:rPr>
            </w:pPr>
            <w:r>
              <w:rPr>
                <w:rStyle w:val="129"/>
                <w:rFonts w:hint="default" w:ascii="Times New Roman" w:hAnsi="Times New Roman" w:cs="Times New Roman"/>
                <w:color w:val="auto"/>
                <w:sz w:val="21"/>
                <w:szCs w:val="21"/>
                <w:highlight w:val="none"/>
                <w:lang w:bidi="ar"/>
              </w:rPr>
              <w:t>（4分）</w:t>
            </w:r>
          </w:p>
        </w:tc>
        <w:tc>
          <w:tcPr>
            <w:tcW w:w="3573" w:type="pct"/>
            <w:tcMar>
              <w:top w:w="8" w:type="dxa"/>
              <w:left w:w="8" w:type="dxa"/>
              <w:right w:w="8" w:type="dxa"/>
            </w:tcMar>
            <w:vAlign w:val="center"/>
          </w:tcPr>
          <w:p>
            <w:pPr>
              <w:widowControl/>
              <w:adjustRightInd w:val="0"/>
              <w:snapToGrid w:val="0"/>
              <w:spacing w:line="360" w:lineRule="auto"/>
              <w:textAlignment w:val="center"/>
              <w:rPr>
                <w:szCs w:val="21"/>
                <w:highlight w:val="none"/>
              </w:rPr>
            </w:pPr>
            <w:r>
              <w:rPr>
                <w:kern w:val="0"/>
                <w:szCs w:val="21"/>
                <w:highlight w:val="none"/>
                <w:lang w:bidi="ar"/>
              </w:rPr>
              <w:t>满足招标文件得</w:t>
            </w:r>
            <w:r>
              <w:rPr>
                <w:rFonts w:hint="eastAsia"/>
                <w:kern w:val="0"/>
                <w:szCs w:val="21"/>
                <w:highlight w:val="none"/>
                <w:lang w:bidi="ar"/>
              </w:rPr>
              <w:t>2</w:t>
            </w:r>
            <w:r>
              <w:rPr>
                <w:kern w:val="0"/>
                <w:szCs w:val="21"/>
                <w:highlight w:val="none"/>
                <w:lang w:bidi="ar"/>
              </w:rPr>
              <w:t>分；每延长一年加2分，最多</w:t>
            </w:r>
            <w:r>
              <w:rPr>
                <w:rFonts w:hint="eastAsia"/>
                <w:kern w:val="0"/>
                <w:szCs w:val="21"/>
                <w:highlight w:val="none"/>
                <w:lang w:bidi="ar"/>
              </w:rPr>
              <w:t>得</w:t>
            </w:r>
            <w:r>
              <w:rPr>
                <w:kern w:val="0"/>
                <w:szCs w:val="21"/>
                <w:highlight w:val="none"/>
                <w:lang w:bidi="ar"/>
              </w:rPr>
              <w:t>4分</w:t>
            </w:r>
            <w:r>
              <w:rPr>
                <w:rStyle w:val="129"/>
                <w:rFonts w:hint="default" w:ascii="Times New Roman" w:hAnsi="Times New Roman" w:cs="Times New Roman"/>
                <w:color w:val="auto"/>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0"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r>
              <w:rPr>
                <w:kern w:val="0"/>
                <w:szCs w:val="21"/>
                <w:highlight w:val="none"/>
                <w:lang w:bidi="ar"/>
              </w:rPr>
              <w:t>5</w:t>
            </w:r>
          </w:p>
        </w:tc>
        <w:tc>
          <w:tcPr>
            <w:tcW w:w="321" w:type="pct"/>
            <w:vMerge w:val="continue"/>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p>
        </w:tc>
        <w:tc>
          <w:tcPr>
            <w:tcW w:w="698" w:type="pct"/>
            <w:tcMar>
              <w:top w:w="8" w:type="dxa"/>
              <w:left w:w="8" w:type="dxa"/>
              <w:right w:w="8" w:type="dxa"/>
            </w:tcMar>
            <w:vAlign w:val="center"/>
          </w:tcPr>
          <w:p>
            <w:pPr>
              <w:widowControl/>
              <w:adjustRightInd w:val="0"/>
              <w:snapToGrid w:val="0"/>
              <w:spacing w:line="360" w:lineRule="auto"/>
              <w:jc w:val="center"/>
              <w:textAlignment w:val="center"/>
              <w:rPr>
                <w:rStyle w:val="129"/>
                <w:rFonts w:hint="default" w:ascii="Times New Roman" w:hAnsi="Times New Roman" w:cs="Times New Roman"/>
                <w:color w:val="auto"/>
                <w:sz w:val="21"/>
                <w:szCs w:val="21"/>
                <w:highlight w:val="none"/>
                <w:lang w:bidi="ar"/>
              </w:rPr>
            </w:pPr>
            <w:r>
              <w:rPr>
                <w:rStyle w:val="129"/>
                <w:rFonts w:hint="default" w:ascii="Times New Roman" w:hAnsi="Times New Roman" w:cs="Times New Roman"/>
                <w:color w:val="auto"/>
                <w:sz w:val="21"/>
                <w:szCs w:val="21"/>
                <w:highlight w:val="none"/>
                <w:lang w:bidi="ar"/>
              </w:rPr>
              <w:t>产品的技术服务及技术保障（</w:t>
            </w:r>
            <w:r>
              <w:rPr>
                <w:rStyle w:val="129"/>
                <w:rFonts w:hint="default" w:cs="Times New Roman"/>
                <w:color w:val="auto"/>
                <w:sz w:val="21"/>
                <w:szCs w:val="21"/>
                <w:highlight w:val="none"/>
                <w:lang w:bidi="ar"/>
              </w:rPr>
              <w:t>6</w:t>
            </w:r>
            <w:r>
              <w:rPr>
                <w:rStyle w:val="129"/>
                <w:rFonts w:hint="default" w:ascii="Times New Roman" w:hAnsi="Times New Roman" w:cs="Times New Roman"/>
                <w:color w:val="auto"/>
                <w:sz w:val="21"/>
                <w:szCs w:val="21"/>
                <w:highlight w:val="none"/>
                <w:lang w:bidi="ar"/>
              </w:rPr>
              <w:t>分）</w:t>
            </w:r>
          </w:p>
        </w:tc>
        <w:tc>
          <w:tcPr>
            <w:tcW w:w="3573" w:type="pct"/>
            <w:tcMar>
              <w:top w:w="8" w:type="dxa"/>
              <w:left w:w="8" w:type="dxa"/>
              <w:right w:w="8" w:type="dxa"/>
            </w:tcMar>
            <w:vAlign w:val="center"/>
          </w:tcPr>
          <w:p>
            <w:pPr>
              <w:widowControl/>
              <w:spacing w:line="360" w:lineRule="auto"/>
              <w:rPr>
                <w:rFonts w:ascii="宋体" w:hAnsi="宋体" w:cs="宋体"/>
                <w:szCs w:val="21"/>
                <w:highlight w:val="none"/>
              </w:rPr>
            </w:pPr>
            <w:r>
              <w:rPr>
                <w:kern w:val="0"/>
                <w:szCs w:val="21"/>
                <w:highlight w:val="none"/>
                <w:lang w:bidi="ar"/>
              </w:rPr>
              <w:t>以</w:t>
            </w:r>
            <w:r>
              <w:rPr>
                <w:rFonts w:hint="eastAsia"/>
                <w:kern w:val="0"/>
                <w:szCs w:val="21"/>
                <w:highlight w:val="none"/>
                <w:lang w:bidi="ar"/>
              </w:rPr>
              <w:t>供应商</w:t>
            </w:r>
            <w:r>
              <w:rPr>
                <w:kern w:val="0"/>
                <w:szCs w:val="21"/>
                <w:highlight w:val="none"/>
                <w:lang w:bidi="ar"/>
              </w:rPr>
              <w:t>提供的技术方服务与技术保障方案为评价依据，包括技术保障方案和技术服务的时间情况等</w:t>
            </w:r>
            <w:r>
              <w:rPr>
                <w:rFonts w:hint="eastAsia"/>
                <w:kern w:val="0"/>
                <w:szCs w:val="21"/>
                <w:highlight w:val="none"/>
                <w:lang w:bidi="ar"/>
              </w:rPr>
              <w:t>。</w:t>
            </w:r>
            <w:r>
              <w:rPr>
                <w:rFonts w:hint="eastAsia"/>
                <w:kern w:val="0"/>
                <w:szCs w:val="21"/>
                <w:highlight w:val="none"/>
                <w:lang w:bidi="ar"/>
              </w:rPr>
              <w:br w:type="textWrapping"/>
            </w:r>
            <w:r>
              <w:rPr>
                <w:rFonts w:hint="eastAsia" w:ascii="宋体" w:hAnsi="宋体" w:cs="宋体"/>
                <w:szCs w:val="21"/>
                <w:highlight w:val="none"/>
              </w:rPr>
              <w:t>编制的非常详细的得</w:t>
            </w:r>
            <w:r>
              <w:rPr>
                <w:rFonts w:hAnsi="宋体"/>
                <w:szCs w:val="21"/>
                <w:highlight w:val="none"/>
              </w:rPr>
              <w:t>6</w:t>
            </w:r>
            <w:r>
              <w:rPr>
                <w:rFonts w:hint="eastAsia" w:ascii="宋体" w:hAnsi="宋体" w:cs="宋体"/>
                <w:szCs w:val="21"/>
                <w:highlight w:val="none"/>
              </w:rPr>
              <w:t>分；</w:t>
            </w:r>
          </w:p>
          <w:p>
            <w:pPr>
              <w:widowControl/>
              <w:spacing w:line="360" w:lineRule="auto"/>
              <w:rPr>
                <w:rFonts w:ascii="宋体" w:hAnsi="宋体" w:cs="宋体"/>
                <w:szCs w:val="21"/>
                <w:highlight w:val="none"/>
              </w:rPr>
            </w:pPr>
            <w:r>
              <w:rPr>
                <w:rFonts w:hint="eastAsia" w:ascii="宋体" w:hAnsi="宋体" w:cs="宋体"/>
                <w:szCs w:val="21"/>
                <w:highlight w:val="none"/>
              </w:rPr>
              <w:t>编制的措施详细的得</w:t>
            </w:r>
            <w:r>
              <w:rPr>
                <w:rFonts w:hint="eastAsia" w:hAnsi="宋体"/>
                <w:szCs w:val="21"/>
                <w:highlight w:val="none"/>
                <w:lang w:val="en-US" w:eastAsia="zh-CN"/>
              </w:rPr>
              <w:t>4</w:t>
            </w:r>
            <w:r>
              <w:rPr>
                <w:rFonts w:hint="eastAsia" w:ascii="宋体" w:hAnsi="宋体" w:cs="宋体"/>
                <w:szCs w:val="21"/>
                <w:highlight w:val="none"/>
              </w:rPr>
              <w:t>分；</w:t>
            </w:r>
          </w:p>
          <w:p>
            <w:pPr>
              <w:widowControl/>
              <w:spacing w:line="360" w:lineRule="auto"/>
              <w:rPr>
                <w:rFonts w:ascii="宋体" w:hAnsi="宋体" w:cs="宋体"/>
                <w:szCs w:val="21"/>
                <w:highlight w:val="none"/>
              </w:rPr>
            </w:pPr>
            <w:r>
              <w:rPr>
                <w:rFonts w:hint="eastAsia" w:ascii="宋体" w:hAnsi="宋体" w:cs="宋体"/>
                <w:szCs w:val="21"/>
                <w:highlight w:val="none"/>
              </w:rPr>
              <w:t>编制的措施不太详细的得</w:t>
            </w:r>
            <w:r>
              <w:rPr>
                <w:rFonts w:hint="eastAsia" w:hAnsi="宋体"/>
                <w:szCs w:val="21"/>
                <w:highlight w:val="none"/>
                <w:lang w:val="en-US" w:eastAsia="zh-CN"/>
              </w:rPr>
              <w:t>2</w:t>
            </w:r>
            <w:r>
              <w:rPr>
                <w:rFonts w:hint="eastAsia" w:ascii="宋体" w:hAnsi="宋体" w:cs="宋体"/>
                <w:szCs w:val="21"/>
                <w:highlight w:val="none"/>
              </w:rPr>
              <w:t>分；</w:t>
            </w:r>
          </w:p>
          <w:p>
            <w:pPr>
              <w:widowControl/>
              <w:adjustRightInd w:val="0"/>
              <w:snapToGrid w:val="0"/>
              <w:spacing w:line="360" w:lineRule="auto"/>
              <w:textAlignment w:val="center"/>
              <w:rPr>
                <w:rFonts w:ascii="宋体" w:hAnsi="宋体" w:cs="宋体"/>
                <w:szCs w:val="21"/>
                <w:highlight w:val="none"/>
              </w:rPr>
            </w:pPr>
            <w:r>
              <w:rPr>
                <w:rFonts w:hint="eastAsia" w:ascii="宋体" w:hAnsi="宋体" w:cs="宋体"/>
                <w:szCs w:val="21"/>
                <w:highlight w:val="none"/>
              </w:rPr>
              <w:t>编制的措施较差的得</w:t>
            </w:r>
            <w:r>
              <w:rPr>
                <w:rFonts w:hint="eastAsia" w:ascii="宋体" w:hAnsi="宋体" w:cs="宋体"/>
                <w:szCs w:val="21"/>
                <w:highlight w:val="none"/>
                <w:lang w:val="en-US" w:eastAsia="zh-CN"/>
              </w:rPr>
              <w:t>1</w:t>
            </w:r>
            <w:r>
              <w:rPr>
                <w:rFonts w:hint="eastAsia" w:ascii="宋体" w:hAnsi="宋体" w:cs="宋体"/>
                <w:szCs w:val="21"/>
                <w:highlight w:val="none"/>
              </w:rPr>
              <w:t>分；</w:t>
            </w:r>
          </w:p>
          <w:p>
            <w:pPr>
              <w:widowControl/>
              <w:adjustRightInd w:val="0"/>
              <w:snapToGrid w:val="0"/>
              <w:spacing w:line="360" w:lineRule="auto"/>
              <w:textAlignment w:val="center"/>
              <w:rPr>
                <w:kern w:val="0"/>
                <w:szCs w:val="21"/>
                <w:highlight w:val="none"/>
                <w:lang w:bidi="ar"/>
              </w:rPr>
            </w:pPr>
            <w:r>
              <w:rPr>
                <w:rFonts w:hint="eastAsia" w:ascii="宋体" w:hAnsi="宋体" w:cs="宋体"/>
                <w:szCs w:val="21"/>
                <w:highlight w:val="none"/>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8"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r>
              <w:rPr>
                <w:kern w:val="0"/>
                <w:szCs w:val="21"/>
                <w:highlight w:val="none"/>
                <w:lang w:bidi="ar"/>
              </w:rPr>
              <w:t>6</w:t>
            </w:r>
          </w:p>
        </w:tc>
        <w:tc>
          <w:tcPr>
            <w:tcW w:w="321" w:type="pct"/>
            <w:vMerge w:val="continue"/>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p>
        </w:tc>
        <w:tc>
          <w:tcPr>
            <w:tcW w:w="698" w:type="pct"/>
            <w:tcMar>
              <w:top w:w="8" w:type="dxa"/>
              <w:left w:w="8" w:type="dxa"/>
              <w:right w:w="8" w:type="dxa"/>
            </w:tcMar>
            <w:vAlign w:val="center"/>
          </w:tcPr>
          <w:p>
            <w:pPr>
              <w:widowControl/>
              <w:adjustRightInd w:val="0"/>
              <w:snapToGrid w:val="0"/>
              <w:spacing w:line="360" w:lineRule="auto"/>
              <w:jc w:val="center"/>
              <w:textAlignment w:val="center"/>
              <w:rPr>
                <w:rStyle w:val="129"/>
                <w:rFonts w:hint="default" w:ascii="Times New Roman" w:hAnsi="Times New Roman" w:cs="Times New Roman"/>
                <w:color w:val="auto"/>
                <w:sz w:val="21"/>
                <w:szCs w:val="21"/>
                <w:highlight w:val="none"/>
                <w:lang w:bidi="ar"/>
              </w:rPr>
            </w:pPr>
            <w:r>
              <w:rPr>
                <w:rStyle w:val="129"/>
                <w:rFonts w:hint="default" w:cs="Times New Roman"/>
                <w:color w:val="auto"/>
                <w:sz w:val="21"/>
                <w:szCs w:val="21"/>
                <w:highlight w:val="none"/>
                <w:lang w:bidi="ar"/>
              </w:rPr>
              <w:t>后续服务技术保障措施（3分）</w:t>
            </w:r>
          </w:p>
        </w:tc>
        <w:tc>
          <w:tcPr>
            <w:tcW w:w="3573" w:type="pct"/>
            <w:tcMar>
              <w:top w:w="8" w:type="dxa"/>
              <w:left w:w="8" w:type="dxa"/>
              <w:right w:w="8" w:type="dxa"/>
            </w:tcMar>
            <w:vAlign w:val="center"/>
          </w:tcPr>
          <w:p>
            <w:pPr>
              <w:widowControl/>
              <w:spacing w:line="360" w:lineRule="auto"/>
              <w:rPr>
                <w:rFonts w:ascii="宋体" w:hAnsi="宋体" w:cs="宋体"/>
                <w:szCs w:val="21"/>
                <w:highlight w:val="none"/>
              </w:rPr>
            </w:pPr>
            <w:r>
              <w:rPr>
                <w:kern w:val="0"/>
                <w:szCs w:val="21"/>
                <w:highlight w:val="none"/>
                <w:lang w:bidi="ar"/>
              </w:rPr>
              <w:t>以</w:t>
            </w:r>
            <w:r>
              <w:rPr>
                <w:rFonts w:hint="eastAsia"/>
                <w:kern w:val="0"/>
                <w:szCs w:val="21"/>
                <w:highlight w:val="none"/>
                <w:lang w:bidi="ar"/>
              </w:rPr>
              <w:t>供应商</w:t>
            </w:r>
            <w:r>
              <w:rPr>
                <w:kern w:val="0"/>
                <w:szCs w:val="21"/>
                <w:highlight w:val="none"/>
                <w:lang w:bidi="ar"/>
              </w:rPr>
              <w:t>提供的</w:t>
            </w:r>
            <w:r>
              <w:rPr>
                <w:rStyle w:val="129"/>
                <w:rFonts w:hint="default" w:cs="Times New Roman"/>
                <w:color w:val="auto"/>
                <w:sz w:val="21"/>
                <w:szCs w:val="21"/>
                <w:highlight w:val="none"/>
                <w:lang w:bidi="ar"/>
              </w:rPr>
              <w:t>后续服务技术保障措施</w:t>
            </w:r>
            <w:r>
              <w:rPr>
                <w:kern w:val="0"/>
                <w:szCs w:val="21"/>
                <w:highlight w:val="none"/>
                <w:lang w:bidi="ar"/>
              </w:rPr>
              <w:t>为评价依据</w:t>
            </w:r>
            <w:r>
              <w:rPr>
                <w:rFonts w:hint="eastAsia"/>
                <w:kern w:val="0"/>
                <w:szCs w:val="21"/>
                <w:highlight w:val="none"/>
                <w:lang w:bidi="ar"/>
              </w:rPr>
              <w:t>进行评价。</w:t>
            </w:r>
            <w:r>
              <w:rPr>
                <w:rFonts w:hint="eastAsia"/>
                <w:kern w:val="0"/>
                <w:szCs w:val="21"/>
                <w:highlight w:val="none"/>
                <w:lang w:bidi="ar"/>
              </w:rPr>
              <w:br w:type="textWrapping"/>
            </w:r>
            <w:r>
              <w:rPr>
                <w:rFonts w:hint="eastAsia" w:ascii="宋体" w:hAnsi="宋体" w:cs="宋体"/>
                <w:szCs w:val="21"/>
                <w:highlight w:val="none"/>
              </w:rPr>
              <w:t>编制的非常详细的得</w:t>
            </w:r>
            <w:r>
              <w:rPr>
                <w:rFonts w:hAnsi="宋体"/>
                <w:szCs w:val="21"/>
                <w:highlight w:val="none"/>
              </w:rPr>
              <w:t>3</w:t>
            </w:r>
            <w:r>
              <w:rPr>
                <w:rFonts w:hint="eastAsia" w:ascii="宋体" w:hAnsi="宋体" w:cs="宋体"/>
                <w:szCs w:val="21"/>
                <w:highlight w:val="none"/>
              </w:rPr>
              <w:t>分；</w:t>
            </w:r>
          </w:p>
          <w:p>
            <w:pPr>
              <w:widowControl/>
              <w:spacing w:line="360" w:lineRule="auto"/>
              <w:rPr>
                <w:rFonts w:ascii="宋体" w:hAnsi="宋体" w:cs="宋体"/>
                <w:szCs w:val="21"/>
                <w:highlight w:val="none"/>
              </w:rPr>
            </w:pPr>
            <w:r>
              <w:rPr>
                <w:rFonts w:hint="eastAsia" w:ascii="宋体" w:hAnsi="宋体" w:cs="宋体"/>
                <w:szCs w:val="21"/>
                <w:highlight w:val="none"/>
              </w:rPr>
              <w:t>编制的措施详细的得</w:t>
            </w:r>
            <w:r>
              <w:rPr>
                <w:rFonts w:hAnsi="宋体"/>
                <w:szCs w:val="21"/>
                <w:highlight w:val="none"/>
              </w:rPr>
              <w:t>2</w:t>
            </w:r>
            <w:r>
              <w:rPr>
                <w:rFonts w:hint="eastAsia" w:ascii="宋体" w:hAnsi="宋体" w:cs="宋体"/>
                <w:szCs w:val="21"/>
                <w:highlight w:val="none"/>
              </w:rPr>
              <w:t>分；</w:t>
            </w:r>
          </w:p>
          <w:p>
            <w:pPr>
              <w:widowControl/>
              <w:spacing w:line="360" w:lineRule="auto"/>
              <w:rPr>
                <w:rFonts w:ascii="宋体" w:hAnsi="宋体" w:cs="宋体"/>
                <w:szCs w:val="21"/>
                <w:highlight w:val="none"/>
              </w:rPr>
            </w:pPr>
            <w:r>
              <w:rPr>
                <w:rFonts w:hint="eastAsia" w:ascii="宋体" w:hAnsi="宋体" w:cs="宋体"/>
                <w:szCs w:val="21"/>
                <w:highlight w:val="none"/>
              </w:rPr>
              <w:t>编制的措施不太详细的得</w:t>
            </w:r>
            <w:r>
              <w:rPr>
                <w:rFonts w:ascii="宋体" w:hAnsi="宋体" w:cs="宋体"/>
                <w:szCs w:val="21"/>
                <w:highlight w:val="none"/>
              </w:rPr>
              <w:t>1</w:t>
            </w:r>
            <w:r>
              <w:rPr>
                <w:rFonts w:hint="eastAsia" w:ascii="宋体" w:hAnsi="宋体" w:cs="宋体"/>
                <w:szCs w:val="21"/>
                <w:highlight w:val="none"/>
              </w:rPr>
              <w:t>分；</w:t>
            </w:r>
          </w:p>
          <w:p>
            <w:pPr>
              <w:widowControl/>
              <w:adjustRightInd w:val="0"/>
              <w:snapToGrid w:val="0"/>
              <w:spacing w:line="360" w:lineRule="auto"/>
              <w:textAlignment w:val="center"/>
              <w:rPr>
                <w:rFonts w:ascii="宋体" w:hAnsi="宋体" w:cs="宋体"/>
                <w:szCs w:val="21"/>
                <w:highlight w:val="none"/>
              </w:rPr>
            </w:pPr>
            <w:r>
              <w:rPr>
                <w:rFonts w:hint="eastAsia" w:ascii="宋体" w:hAnsi="宋体" w:cs="宋体"/>
                <w:szCs w:val="21"/>
                <w:highlight w:val="none"/>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r>
              <w:rPr>
                <w:kern w:val="0"/>
                <w:szCs w:val="21"/>
                <w:highlight w:val="none"/>
                <w:lang w:bidi="ar"/>
              </w:rPr>
              <w:t>7</w:t>
            </w:r>
          </w:p>
        </w:tc>
        <w:tc>
          <w:tcPr>
            <w:tcW w:w="321" w:type="pct"/>
            <w:vMerge w:val="continue"/>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p>
        </w:tc>
        <w:tc>
          <w:tcPr>
            <w:tcW w:w="698" w:type="pct"/>
            <w:vMerge w:val="restart"/>
            <w:tcMar>
              <w:top w:w="8" w:type="dxa"/>
              <w:left w:w="8" w:type="dxa"/>
              <w:right w:w="8" w:type="dxa"/>
            </w:tcMar>
            <w:vAlign w:val="center"/>
          </w:tcPr>
          <w:p>
            <w:pPr>
              <w:widowControl/>
              <w:spacing w:line="360" w:lineRule="auto"/>
              <w:jc w:val="center"/>
              <w:rPr>
                <w:rStyle w:val="129"/>
                <w:rFonts w:hint="default" w:ascii="Times New Roman" w:hAnsi="Times New Roman" w:cs="Times New Roman"/>
                <w:color w:val="auto"/>
                <w:sz w:val="21"/>
                <w:szCs w:val="21"/>
                <w:highlight w:val="none"/>
                <w:lang w:bidi="ar"/>
              </w:rPr>
            </w:pPr>
            <w:r>
              <w:rPr>
                <w:rFonts w:hint="eastAsia" w:ascii="宋体" w:hAnsi="宋体" w:cs="宋体"/>
                <w:kern w:val="0"/>
                <w:szCs w:val="21"/>
                <w:highlight w:val="none"/>
              </w:rPr>
              <w:t>国家政策导向（1分）</w:t>
            </w:r>
          </w:p>
        </w:tc>
        <w:tc>
          <w:tcPr>
            <w:tcW w:w="3573" w:type="pct"/>
            <w:tcMar>
              <w:top w:w="8" w:type="dxa"/>
              <w:left w:w="8" w:type="dxa"/>
              <w:right w:w="8" w:type="dxa"/>
            </w:tcMar>
            <w:vAlign w:val="center"/>
          </w:tcPr>
          <w:p>
            <w:pPr>
              <w:widowControl/>
              <w:spacing w:line="360" w:lineRule="auto"/>
              <w:rPr>
                <w:kern w:val="0"/>
                <w:szCs w:val="21"/>
                <w:highlight w:val="none"/>
                <w:lang w:bidi="ar"/>
              </w:rPr>
            </w:pPr>
            <w:r>
              <w:rPr>
                <w:rFonts w:hint="eastAsia" w:ascii="宋体" w:hAnsi="宋体" w:cs="宋体"/>
                <w:b/>
                <w:bCs/>
                <w:kern w:val="0"/>
                <w:szCs w:val="21"/>
                <w:highlight w:val="none"/>
              </w:rPr>
              <w:t>环境标志产品：</w:t>
            </w:r>
            <w:r>
              <w:rPr>
                <w:rFonts w:hint="eastAsia" w:ascii="宋体" w:hAnsi="宋体" w:cs="宋体"/>
                <w:kern w:val="0"/>
                <w:szCs w:val="21"/>
                <w:highlight w:val="none"/>
              </w:rPr>
              <w:t>根据财政部、国家环保总局财库[2006]90号文件精神，投标人所投主要产品在“环境标志产品政府采购清单”范围内的得</w:t>
            </w:r>
            <w:r>
              <w:rPr>
                <w:rFonts w:hint="eastAsia" w:ascii="宋体" w:hAnsi="宋体"/>
                <w:kern w:val="0"/>
                <w:szCs w:val="21"/>
                <w:highlight w:val="none"/>
              </w:rPr>
              <w:t>0.5</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8"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r>
              <w:rPr>
                <w:kern w:val="0"/>
                <w:szCs w:val="21"/>
                <w:highlight w:val="none"/>
                <w:lang w:bidi="ar"/>
              </w:rPr>
              <w:t>8</w:t>
            </w:r>
          </w:p>
        </w:tc>
        <w:tc>
          <w:tcPr>
            <w:tcW w:w="321" w:type="pct"/>
            <w:vMerge w:val="continue"/>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p>
        </w:tc>
        <w:tc>
          <w:tcPr>
            <w:tcW w:w="698" w:type="pct"/>
            <w:vMerge w:val="continue"/>
            <w:tcMar>
              <w:top w:w="8" w:type="dxa"/>
              <w:left w:w="8" w:type="dxa"/>
              <w:right w:w="8" w:type="dxa"/>
            </w:tcMar>
            <w:vAlign w:val="center"/>
          </w:tcPr>
          <w:p>
            <w:pPr>
              <w:widowControl/>
              <w:spacing w:line="360" w:lineRule="auto"/>
              <w:jc w:val="center"/>
              <w:rPr>
                <w:rStyle w:val="129"/>
                <w:rFonts w:hint="default" w:ascii="Times New Roman" w:hAnsi="Times New Roman" w:cs="Times New Roman"/>
                <w:color w:val="auto"/>
                <w:sz w:val="21"/>
                <w:szCs w:val="21"/>
                <w:highlight w:val="none"/>
                <w:lang w:bidi="ar"/>
              </w:rPr>
            </w:pPr>
          </w:p>
        </w:tc>
        <w:tc>
          <w:tcPr>
            <w:tcW w:w="3573" w:type="pct"/>
            <w:tcMar>
              <w:top w:w="8" w:type="dxa"/>
              <w:left w:w="8" w:type="dxa"/>
              <w:right w:w="8" w:type="dxa"/>
            </w:tcMar>
            <w:vAlign w:val="center"/>
          </w:tcPr>
          <w:p>
            <w:pPr>
              <w:widowControl/>
              <w:spacing w:line="360" w:lineRule="auto"/>
              <w:rPr>
                <w:kern w:val="0"/>
                <w:szCs w:val="21"/>
                <w:highlight w:val="none"/>
                <w:lang w:bidi="ar"/>
              </w:rPr>
            </w:pPr>
            <w:r>
              <w:rPr>
                <w:rFonts w:hint="eastAsia" w:ascii="宋体" w:hAnsi="宋体" w:cs="宋体"/>
                <w:b/>
                <w:bCs/>
                <w:kern w:val="0"/>
                <w:szCs w:val="21"/>
                <w:highlight w:val="none"/>
              </w:rPr>
              <w:t>节能产品：</w:t>
            </w:r>
            <w:r>
              <w:rPr>
                <w:rFonts w:hint="eastAsia" w:ascii="宋体" w:hAnsi="宋体" w:cs="宋体"/>
                <w:kern w:val="0"/>
                <w:szCs w:val="21"/>
                <w:highlight w:val="none"/>
              </w:rPr>
              <w:t>根据财政部、国家发展和改革委员会财库[2004]185号文件精神，投标人所投主要产品在“节能产品政府采购清单”范围内的得</w:t>
            </w:r>
            <w:r>
              <w:rPr>
                <w:rFonts w:hint="eastAsia" w:ascii="宋体" w:hAnsi="宋体"/>
                <w:kern w:val="0"/>
                <w:szCs w:val="21"/>
                <w:highlight w:val="none"/>
              </w:rPr>
              <w:t>0.5</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8"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kern w:val="0"/>
                <w:szCs w:val="21"/>
                <w:highlight w:val="none"/>
                <w:lang w:bidi="ar"/>
              </w:rPr>
            </w:pPr>
            <w:r>
              <w:rPr>
                <w:kern w:val="0"/>
                <w:szCs w:val="21"/>
                <w:highlight w:val="none"/>
                <w:lang w:bidi="ar"/>
              </w:rPr>
              <w:t>9</w:t>
            </w:r>
          </w:p>
        </w:tc>
        <w:tc>
          <w:tcPr>
            <w:tcW w:w="1019" w:type="pct"/>
            <w:gridSpan w:val="2"/>
            <w:tcMar>
              <w:top w:w="8" w:type="dxa"/>
              <w:left w:w="8" w:type="dxa"/>
              <w:right w:w="8" w:type="dxa"/>
            </w:tcMar>
            <w:vAlign w:val="center"/>
          </w:tcPr>
          <w:p>
            <w:pPr>
              <w:widowControl/>
              <w:spacing w:line="360" w:lineRule="auto"/>
              <w:jc w:val="center"/>
              <w:rPr>
                <w:rStyle w:val="129"/>
                <w:rFonts w:hint="default" w:ascii="Times New Roman" w:hAnsi="Times New Roman" w:cs="Times New Roman"/>
                <w:color w:val="auto"/>
                <w:sz w:val="21"/>
                <w:szCs w:val="21"/>
                <w:highlight w:val="none"/>
                <w:lang w:bidi="ar"/>
              </w:rPr>
            </w:pPr>
            <w:r>
              <w:rPr>
                <w:b/>
                <w:bCs/>
                <w:kern w:val="0"/>
                <w:szCs w:val="21"/>
                <w:highlight w:val="none"/>
              </w:rPr>
              <w:t>供应商诚信档案记录的运用</w:t>
            </w:r>
          </w:p>
        </w:tc>
        <w:tc>
          <w:tcPr>
            <w:tcW w:w="3573" w:type="pct"/>
            <w:tcMar>
              <w:top w:w="8" w:type="dxa"/>
              <w:left w:w="8" w:type="dxa"/>
              <w:right w:w="8" w:type="dxa"/>
            </w:tcMar>
            <w:vAlign w:val="center"/>
          </w:tcPr>
          <w:p>
            <w:pPr>
              <w:widowControl/>
              <w:spacing w:line="360" w:lineRule="auto"/>
              <w:jc w:val="left"/>
              <w:rPr>
                <w:szCs w:val="21"/>
                <w:highlight w:val="none"/>
              </w:rPr>
            </w:pPr>
            <w:r>
              <w:rPr>
                <w:rFonts w:hint="eastAsia"/>
                <w:szCs w:val="21"/>
                <w:highlight w:val="none"/>
              </w:rPr>
              <w:t>根据《南京市政府采购供应商信用管理工作暂行办法》：</w:t>
            </w:r>
          </w:p>
          <w:p>
            <w:pPr>
              <w:widowControl/>
              <w:spacing w:line="360" w:lineRule="auto"/>
              <w:rPr>
                <w:szCs w:val="21"/>
                <w:highlight w:val="none"/>
              </w:rPr>
            </w:pPr>
            <w:r>
              <w:rPr>
                <w:rFonts w:hint="eastAsia"/>
                <w:szCs w:val="21"/>
                <w:highlight w:val="none"/>
              </w:rPr>
              <w:t>三星级的加1分，四星级的加2分，五星级的加3分；</w:t>
            </w:r>
          </w:p>
          <w:p>
            <w:pPr>
              <w:widowControl/>
              <w:spacing w:line="360" w:lineRule="auto"/>
              <w:rPr>
                <w:szCs w:val="21"/>
                <w:highlight w:val="none"/>
              </w:rPr>
            </w:pPr>
            <w:r>
              <w:rPr>
                <w:rFonts w:hint="eastAsia"/>
                <w:szCs w:val="21"/>
                <w:highlight w:val="none"/>
              </w:rPr>
              <w:t>被评为南京市政府采购“重诚信政府采购供应商”的加5分。</w:t>
            </w:r>
          </w:p>
          <w:p>
            <w:pPr>
              <w:widowControl/>
              <w:spacing w:line="360" w:lineRule="auto"/>
              <w:rPr>
                <w:szCs w:val="21"/>
                <w:highlight w:val="none"/>
              </w:rPr>
            </w:pPr>
            <w:r>
              <w:rPr>
                <w:rFonts w:hint="eastAsia"/>
                <w:szCs w:val="21"/>
                <w:highlight w:val="none"/>
              </w:rPr>
              <w:t>诚信指数在40-30分的扣2分；诚信指数在29-20分的扣3分；诚信指数在19-10分的扣4分；诚信指数在9分以下的扣10分。</w:t>
            </w:r>
          </w:p>
          <w:p>
            <w:pPr>
              <w:widowControl/>
              <w:spacing w:line="360" w:lineRule="auto"/>
              <w:ind w:left="-974" w:leftChars="-464" w:firstLine="851"/>
              <w:rPr>
                <w:kern w:val="0"/>
                <w:szCs w:val="21"/>
                <w:highlight w:val="none"/>
                <w:lang w:bidi="ar"/>
              </w:rPr>
            </w:pPr>
            <w:r>
              <w:rPr>
                <w:rFonts w:hint="eastAsia"/>
                <w:szCs w:val="21"/>
                <w:highlight w:val="none"/>
              </w:rPr>
              <w:t>（《南京市政府采购供应商信用记录表》须按照招标文件“第一章8、供应商诚信档案管理”的要求去注册、申请、</w:t>
            </w:r>
            <w:r>
              <w:rPr>
                <w:rFonts w:hint="eastAsia"/>
                <w:b/>
                <w:bCs/>
                <w:szCs w:val="21"/>
                <w:highlight w:val="none"/>
              </w:rPr>
              <w:t>在线打印，打印时间为本采购文件发布之日起至递交投标文件截止日前，未按要求提供《南京市政府采购供应商信用记录表》则该供应商投标文件按无效投标处理</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406" w:type="pct"/>
            <w:tcMar>
              <w:top w:w="8" w:type="dxa"/>
              <w:left w:w="8" w:type="dxa"/>
              <w:right w:w="8" w:type="dxa"/>
            </w:tcMar>
            <w:vAlign w:val="center"/>
          </w:tcPr>
          <w:p>
            <w:pPr>
              <w:widowControl/>
              <w:adjustRightInd w:val="0"/>
              <w:snapToGrid w:val="0"/>
              <w:spacing w:line="360" w:lineRule="auto"/>
              <w:jc w:val="center"/>
              <w:textAlignment w:val="center"/>
              <w:rPr>
                <w:rFonts w:hint="eastAsia" w:eastAsia="宋体"/>
                <w:kern w:val="0"/>
                <w:szCs w:val="21"/>
                <w:highlight w:val="none"/>
                <w:lang w:val="en-US" w:eastAsia="zh-CN" w:bidi="ar"/>
              </w:rPr>
            </w:pPr>
            <w:r>
              <w:rPr>
                <w:kern w:val="0"/>
                <w:szCs w:val="21"/>
                <w:highlight w:val="none"/>
                <w:lang w:bidi="ar"/>
              </w:rPr>
              <w:t>1</w:t>
            </w:r>
            <w:r>
              <w:rPr>
                <w:rFonts w:hint="eastAsia"/>
                <w:kern w:val="0"/>
                <w:szCs w:val="21"/>
                <w:highlight w:val="none"/>
                <w:lang w:val="en-US" w:eastAsia="zh-CN" w:bidi="ar"/>
              </w:rPr>
              <w:t>0</w:t>
            </w:r>
          </w:p>
        </w:tc>
        <w:tc>
          <w:tcPr>
            <w:tcW w:w="4593" w:type="pct"/>
            <w:gridSpan w:val="3"/>
            <w:tcMar>
              <w:top w:w="8" w:type="dxa"/>
              <w:left w:w="8" w:type="dxa"/>
              <w:right w:w="8" w:type="dxa"/>
            </w:tcMar>
            <w:vAlign w:val="center"/>
          </w:tcPr>
          <w:p>
            <w:pPr>
              <w:widowControl/>
              <w:spacing w:line="360" w:lineRule="auto"/>
              <w:ind w:left="-974" w:leftChars="-464" w:firstLine="851"/>
              <w:jc w:val="center"/>
              <w:rPr>
                <w:szCs w:val="21"/>
                <w:highlight w:val="none"/>
              </w:rPr>
            </w:pPr>
            <w:r>
              <w:rPr>
                <w:rFonts w:hint="eastAsia"/>
                <w:szCs w:val="21"/>
                <w:highlight w:val="none"/>
              </w:rPr>
              <w:t>合计</w:t>
            </w:r>
          </w:p>
        </w:tc>
      </w:tr>
    </w:tbl>
    <w:p>
      <w:pPr>
        <w:spacing w:line="360" w:lineRule="auto"/>
        <w:rPr>
          <w:rFonts w:ascii="宋体" w:hAnsi="宋体" w:cs="宋体"/>
          <w:b/>
          <w:sz w:val="22"/>
          <w:szCs w:val="28"/>
          <w:highlight w:val="none"/>
        </w:rPr>
      </w:pPr>
      <w:r>
        <w:rPr>
          <w:rFonts w:hint="eastAsia" w:ascii="宋体" w:hAnsi="宋体" w:cs="宋体"/>
          <w:b/>
          <w:sz w:val="22"/>
          <w:szCs w:val="28"/>
          <w:highlight w:val="none"/>
        </w:rPr>
        <w:t>说明：所有认证、证明和业绩均以有效清晰的证明文件的复印件为依据，原件备查。</w:t>
      </w:r>
    </w:p>
    <w:p>
      <w:pPr>
        <w:widowControl/>
        <w:jc w:val="left"/>
        <w:rPr>
          <w:b/>
          <w:bCs/>
          <w:kern w:val="0"/>
          <w:sz w:val="32"/>
          <w:szCs w:val="44"/>
          <w:highlight w:val="none"/>
        </w:rPr>
      </w:pPr>
      <w:r>
        <w:rPr>
          <w:kern w:val="0"/>
          <w:highlight w:val="none"/>
        </w:rPr>
        <w:br w:type="page"/>
      </w:r>
    </w:p>
    <w:p>
      <w:pPr>
        <w:pStyle w:val="3"/>
        <w:numPr>
          <w:ilvl w:val="0"/>
          <w:numId w:val="0"/>
        </w:numPr>
        <w:rPr>
          <w:szCs w:val="32"/>
          <w:highlight w:val="none"/>
        </w:rPr>
      </w:pPr>
      <w:bookmarkStart w:id="7" w:name="_Toc1446"/>
      <w:r>
        <w:rPr>
          <w:rFonts w:hint="eastAsia"/>
          <w:kern w:val="0"/>
          <w:highlight w:val="none"/>
        </w:rPr>
        <w:t>第四章 采购</w:t>
      </w:r>
      <w:bookmarkStart w:id="8" w:name="_Toc481057147"/>
      <w:r>
        <w:rPr>
          <w:rFonts w:hint="eastAsia"/>
          <w:kern w:val="0"/>
          <w:highlight w:val="none"/>
        </w:rPr>
        <w:t>清单及技术要求</w:t>
      </w:r>
      <w:bookmarkEnd w:id="7"/>
    </w:p>
    <w:p>
      <w:pPr>
        <w:numPr>
          <w:ilvl w:val="0"/>
          <w:numId w:val="6"/>
        </w:numPr>
        <w:adjustRightInd w:val="0"/>
        <w:snapToGrid w:val="0"/>
        <w:spacing w:line="360" w:lineRule="auto"/>
        <w:outlineLvl w:val="1"/>
        <w:rPr>
          <w:rFonts w:ascii="宋体" w:hAnsi="宋体" w:cs="宋体"/>
          <w:b/>
          <w:bCs/>
          <w:szCs w:val="21"/>
          <w:highlight w:val="none"/>
        </w:rPr>
      </w:pPr>
      <w:r>
        <w:rPr>
          <w:rFonts w:hint="eastAsia" w:ascii="宋体" w:hAnsi="宋体" w:cs="宋体"/>
          <w:b/>
          <w:bCs/>
          <w:szCs w:val="21"/>
          <w:highlight w:val="none"/>
        </w:rPr>
        <w:t>招标产品清单</w:t>
      </w:r>
    </w:p>
    <w:tbl>
      <w:tblPr>
        <w:tblStyle w:val="44"/>
        <w:tblW w:w="46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3508"/>
        <w:gridCol w:w="934"/>
        <w:gridCol w:w="77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63" w:type="pct"/>
            <w:vAlign w:val="center"/>
          </w:tcPr>
          <w:p>
            <w:pPr>
              <w:pStyle w:val="61"/>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序号</w:t>
            </w:r>
          </w:p>
        </w:tc>
        <w:tc>
          <w:tcPr>
            <w:tcW w:w="2160" w:type="pct"/>
            <w:vAlign w:val="center"/>
          </w:tcPr>
          <w:p>
            <w:pPr>
              <w:pStyle w:val="61"/>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产品名称</w:t>
            </w:r>
          </w:p>
        </w:tc>
        <w:tc>
          <w:tcPr>
            <w:tcW w:w="575" w:type="pct"/>
            <w:vAlign w:val="center"/>
          </w:tcPr>
          <w:p>
            <w:pPr>
              <w:pStyle w:val="61"/>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单位</w:t>
            </w:r>
          </w:p>
        </w:tc>
        <w:tc>
          <w:tcPr>
            <w:tcW w:w="474" w:type="pct"/>
            <w:vAlign w:val="center"/>
          </w:tcPr>
          <w:p>
            <w:pPr>
              <w:pStyle w:val="61"/>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数量</w:t>
            </w:r>
          </w:p>
        </w:tc>
        <w:tc>
          <w:tcPr>
            <w:tcW w:w="1125" w:type="pct"/>
            <w:vAlign w:val="center"/>
          </w:tcPr>
          <w:p>
            <w:pPr>
              <w:pStyle w:val="61"/>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63" w:type="pct"/>
            <w:vAlign w:val="center"/>
          </w:tcPr>
          <w:p>
            <w:pPr>
              <w:pStyle w:val="61"/>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1</w:t>
            </w:r>
          </w:p>
        </w:tc>
        <w:tc>
          <w:tcPr>
            <w:tcW w:w="2160" w:type="pct"/>
            <w:vAlign w:val="center"/>
          </w:tcPr>
          <w:p>
            <w:pPr>
              <w:pStyle w:val="61"/>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lang w:val="zh-CN"/>
              </w:rPr>
              <w:t>高速风洞及旋转测试平台</w:t>
            </w:r>
          </w:p>
        </w:tc>
        <w:tc>
          <w:tcPr>
            <w:tcW w:w="575" w:type="pct"/>
            <w:vAlign w:val="center"/>
          </w:tcPr>
          <w:p>
            <w:pPr>
              <w:pStyle w:val="61"/>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套</w:t>
            </w:r>
          </w:p>
        </w:tc>
        <w:tc>
          <w:tcPr>
            <w:tcW w:w="474" w:type="pct"/>
            <w:vAlign w:val="center"/>
          </w:tcPr>
          <w:p>
            <w:pPr>
              <w:pStyle w:val="61"/>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1</w:t>
            </w:r>
          </w:p>
        </w:tc>
        <w:tc>
          <w:tcPr>
            <w:tcW w:w="1125" w:type="pct"/>
            <w:vAlign w:val="center"/>
          </w:tcPr>
          <w:p>
            <w:pPr>
              <w:pStyle w:val="61"/>
              <w:adjustRightInd w:val="0"/>
              <w:snapToGrid w:val="0"/>
              <w:spacing w:line="360" w:lineRule="auto"/>
              <w:jc w:val="center"/>
              <w:rPr>
                <w:rFonts w:ascii="宋体" w:hAnsi="宋体" w:cs="宋体"/>
                <w:szCs w:val="21"/>
                <w:highlight w:val="none"/>
              </w:rPr>
            </w:pPr>
          </w:p>
        </w:tc>
      </w:tr>
    </w:tbl>
    <w:p>
      <w:pPr>
        <w:pStyle w:val="61"/>
        <w:adjustRightInd w:val="0"/>
        <w:snapToGrid w:val="0"/>
        <w:spacing w:line="360" w:lineRule="auto"/>
        <w:rPr>
          <w:rFonts w:ascii="宋体" w:hAnsi="宋体" w:cs="宋体"/>
          <w:b/>
          <w:szCs w:val="21"/>
          <w:highlight w:val="none"/>
        </w:rPr>
      </w:pPr>
    </w:p>
    <w:p>
      <w:pPr>
        <w:pStyle w:val="61"/>
        <w:numPr>
          <w:ilvl w:val="0"/>
          <w:numId w:val="6"/>
        </w:numPr>
        <w:adjustRightInd w:val="0"/>
        <w:snapToGrid w:val="0"/>
        <w:spacing w:line="360" w:lineRule="auto"/>
        <w:outlineLvl w:val="1"/>
        <w:rPr>
          <w:rFonts w:ascii="宋体" w:hAnsi="宋体" w:cs="宋体"/>
          <w:b/>
          <w:szCs w:val="21"/>
          <w:highlight w:val="none"/>
        </w:rPr>
      </w:pPr>
      <w:r>
        <w:rPr>
          <w:rFonts w:hint="eastAsia" w:ascii="宋体" w:hAnsi="宋体" w:cs="宋体"/>
          <w:b/>
          <w:szCs w:val="21"/>
          <w:highlight w:val="none"/>
        </w:rPr>
        <w:t>招标技术要求</w:t>
      </w:r>
    </w:p>
    <w:p>
      <w:pPr>
        <w:pStyle w:val="198"/>
        <w:numPr>
          <w:ilvl w:val="0"/>
          <w:numId w:val="7"/>
        </w:numPr>
        <w:kinsoku w:val="0"/>
        <w:overflowPunct w:val="0"/>
        <w:snapToGrid w:val="0"/>
        <w:spacing w:line="360" w:lineRule="auto"/>
        <w:rPr>
          <w:rFonts w:hAnsi="宋体"/>
          <w:b/>
          <w:sz w:val="21"/>
          <w:szCs w:val="21"/>
          <w:highlight w:val="none"/>
        </w:rPr>
      </w:pPr>
      <w:r>
        <w:rPr>
          <w:rFonts w:hint="eastAsia" w:hAnsi="宋体"/>
          <w:b/>
          <w:sz w:val="21"/>
          <w:szCs w:val="21"/>
          <w:highlight w:val="none"/>
        </w:rPr>
        <w:t>高速风洞及旋转测试平台技术指标</w:t>
      </w:r>
    </w:p>
    <w:p>
      <w:pPr>
        <w:keepNext/>
        <w:keepLines/>
        <w:numPr>
          <w:ilvl w:val="0"/>
          <w:numId w:val="8"/>
        </w:numPr>
        <w:spacing w:line="360" w:lineRule="auto"/>
        <w:ind w:left="431" w:hanging="431"/>
        <w:jc w:val="left"/>
        <w:rPr>
          <w:rFonts w:ascii="宋体" w:hAnsi="宋体" w:cs="宋体"/>
          <w:szCs w:val="21"/>
          <w:highlight w:val="none"/>
        </w:rPr>
      </w:pPr>
      <w:r>
        <w:rPr>
          <w:rFonts w:hint="eastAsia" w:ascii="宋体" w:hAnsi="宋体" w:cs="宋体"/>
          <w:szCs w:val="21"/>
          <w:highlight w:val="none"/>
        </w:rPr>
        <w:t>试验台总体技术参数</w:t>
      </w:r>
    </w:p>
    <w:p>
      <w:pPr>
        <w:pStyle w:val="147"/>
        <w:numPr>
          <w:ilvl w:val="0"/>
          <w:numId w:val="9"/>
        </w:numPr>
        <w:autoSpaceDE w:val="0"/>
        <w:autoSpaceDN w:val="0"/>
        <w:spacing w:line="360" w:lineRule="auto"/>
        <w:textAlignment w:val="bottom"/>
        <w:rPr>
          <w:rFonts w:ascii="宋体" w:hAnsi="宋体" w:cs="宋体"/>
          <w:kern w:val="2"/>
          <w:sz w:val="21"/>
          <w:szCs w:val="21"/>
          <w:highlight w:val="none"/>
        </w:rPr>
      </w:pPr>
      <w:r>
        <w:rPr>
          <w:rFonts w:hint="eastAsia" w:ascii="宋体" w:hAnsi="宋体" w:cs="宋体"/>
          <w:kern w:val="2"/>
          <w:sz w:val="21"/>
          <w:szCs w:val="21"/>
          <w:highlight w:val="none"/>
        </w:rPr>
        <w:t>气源最大流量：</w:t>
      </w:r>
      <w:r>
        <w:rPr>
          <w:rFonts w:hint="eastAsia" w:ascii="宋体" w:hAnsi="宋体" w:cs="宋体"/>
          <w:sz w:val="21"/>
          <w:szCs w:val="21"/>
          <w:highlight w:val="none"/>
        </w:rPr>
        <w:t>180m³/min</w:t>
      </w:r>
      <w:r>
        <w:rPr>
          <w:rFonts w:hint="eastAsia" w:ascii="宋体" w:hAnsi="宋体" w:cs="宋体"/>
          <w:kern w:val="2"/>
          <w:sz w:val="21"/>
          <w:szCs w:val="21"/>
          <w:highlight w:val="none"/>
        </w:rPr>
        <w:t>；</w:t>
      </w:r>
    </w:p>
    <w:p>
      <w:pPr>
        <w:pStyle w:val="147"/>
        <w:numPr>
          <w:ilvl w:val="0"/>
          <w:numId w:val="9"/>
        </w:numPr>
        <w:autoSpaceDE w:val="0"/>
        <w:autoSpaceDN w:val="0"/>
        <w:spacing w:line="360" w:lineRule="auto"/>
        <w:textAlignment w:val="bottom"/>
        <w:rPr>
          <w:rFonts w:ascii="宋体" w:hAnsi="宋体" w:cs="宋体"/>
          <w:kern w:val="2"/>
          <w:sz w:val="21"/>
          <w:szCs w:val="21"/>
          <w:highlight w:val="none"/>
        </w:rPr>
      </w:pPr>
      <w:r>
        <w:rPr>
          <w:rFonts w:hint="eastAsia" w:ascii="宋体" w:hAnsi="宋体" w:cs="宋体"/>
          <w:kern w:val="2"/>
          <w:sz w:val="21"/>
          <w:szCs w:val="21"/>
          <w:highlight w:val="none"/>
        </w:rPr>
        <w:t>气源最高压力：</w:t>
      </w:r>
      <w:r>
        <w:rPr>
          <w:rFonts w:hint="eastAsia" w:ascii="宋体" w:hAnsi="宋体" w:cs="宋体"/>
          <w:sz w:val="21"/>
          <w:szCs w:val="21"/>
          <w:highlight w:val="none"/>
        </w:rPr>
        <w:t>0.2MPa（A）</w:t>
      </w:r>
      <w:r>
        <w:rPr>
          <w:rFonts w:hint="eastAsia" w:ascii="宋体" w:hAnsi="宋体" w:cs="宋体"/>
          <w:kern w:val="2"/>
          <w:sz w:val="21"/>
          <w:szCs w:val="21"/>
          <w:highlight w:val="none"/>
        </w:rPr>
        <w:t>；</w:t>
      </w:r>
    </w:p>
    <w:p>
      <w:pPr>
        <w:pStyle w:val="147"/>
        <w:numPr>
          <w:ilvl w:val="0"/>
          <w:numId w:val="9"/>
        </w:numPr>
        <w:autoSpaceDE w:val="0"/>
        <w:autoSpaceDN w:val="0"/>
        <w:spacing w:line="360" w:lineRule="auto"/>
        <w:textAlignment w:val="bottom"/>
        <w:rPr>
          <w:rFonts w:ascii="宋体" w:hAnsi="宋体" w:cs="宋体"/>
          <w:kern w:val="2"/>
          <w:sz w:val="21"/>
          <w:szCs w:val="21"/>
          <w:highlight w:val="none"/>
        </w:rPr>
      </w:pPr>
      <w:r>
        <w:rPr>
          <w:rFonts w:hint="eastAsia" w:ascii="宋体" w:hAnsi="宋体" w:cs="宋体"/>
          <w:kern w:val="2"/>
          <w:sz w:val="21"/>
          <w:szCs w:val="21"/>
          <w:highlight w:val="none"/>
        </w:rPr>
        <w:t>旋转盘直径：2m；</w:t>
      </w:r>
    </w:p>
    <w:p>
      <w:pPr>
        <w:pStyle w:val="147"/>
        <w:numPr>
          <w:ilvl w:val="0"/>
          <w:numId w:val="9"/>
        </w:numPr>
        <w:autoSpaceDE w:val="0"/>
        <w:autoSpaceDN w:val="0"/>
        <w:spacing w:line="360" w:lineRule="auto"/>
        <w:textAlignment w:val="bottom"/>
        <w:rPr>
          <w:rFonts w:ascii="宋体" w:hAnsi="宋体" w:cs="宋体"/>
          <w:sz w:val="21"/>
          <w:szCs w:val="21"/>
          <w:highlight w:val="none"/>
        </w:rPr>
      </w:pPr>
      <w:r>
        <w:rPr>
          <w:rFonts w:hint="eastAsia" w:ascii="宋体" w:hAnsi="宋体" w:cs="宋体"/>
          <w:kern w:val="2"/>
          <w:sz w:val="21"/>
          <w:szCs w:val="21"/>
          <w:highlight w:val="none"/>
        </w:rPr>
        <w:t>最高转速：2500r/min；</w:t>
      </w:r>
    </w:p>
    <w:p>
      <w:pPr>
        <w:pStyle w:val="147"/>
        <w:numPr>
          <w:ilvl w:val="0"/>
          <w:numId w:val="9"/>
        </w:numPr>
        <w:autoSpaceDE w:val="0"/>
        <w:autoSpaceDN w:val="0"/>
        <w:spacing w:line="360" w:lineRule="auto"/>
        <w:textAlignment w:val="bottom"/>
        <w:rPr>
          <w:rFonts w:ascii="宋体" w:hAnsi="宋体" w:cs="宋体"/>
          <w:kern w:val="2"/>
          <w:sz w:val="21"/>
          <w:szCs w:val="21"/>
          <w:highlight w:val="none"/>
        </w:rPr>
      </w:pPr>
      <w:r>
        <w:rPr>
          <w:rFonts w:hint="eastAsia" w:ascii="宋体" w:hAnsi="宋体" w:cs="宋体"/>
          <w:kern w:val="2"/>
          <w:sz w:val="21"/>
          <w:szCs w:val="21"/>
          <w:highlight w:val="none"/>
        </w:rPr>
        <w:t>旋转盘轴向抖动：≦±0.1mm；</w:t>
      </w:r>
    </w:p>
    <w:p>
      <w:pPr>
        <w:keepNext/>
        <w:keepLines/>
        <w:numPr>
          <w:ilvl w:val="0"/>
          <w:numId w:val="8"/>
        </w:numPr>
        <w:spacing w:line="360" w:lineRule="auto"/>
        <w:ind w:left="431" w:hanging="431"/>
        <w:rPr>
          <w:rFonts w:ascii="宋体" w:hAnsi="宋体" w:cs="宋体"/>
          <w:szCs w:val="21"/>
          <w:highlight w:val="none"/>
        </w:rPr>
      </w:pPr>
      <w:r>
        <w:rPr>
          <w:rFonts w:hint="eastAsia" w:ascii="宋体" w:hAnsi="宋体" w:cs="宋体"/>
          <w:szCs w:val="21"/>
          <w:highlight w:val="none"/>
        </w:rPr>
        <w:t>试验台功能</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使用高速旋转的旋转盘来模拟机匣的高速平移运动，准确模拟机匣与转子叶片在实际工况下的极高速旋转效应，在转盘（环）中开光学窗口，红外窗口，有效实现光学可视化测试。实现准确评测叶片及机匣气动换热设计。</w:t>
      </w:r>
    </w:p>
    <w:p>
      <w:pPr>
        <w:keepNext/>
        <w:keepLines/>
        <w:numPr>
          <w:ilvl w:val="0"/>
          <w:numId w:val="8"/>
        </w:numPr>
        <w:spacing w:line="360" w:lineRule="auto"/>
        <w:ind w:left="431" w:hanging="431"/>
        <w:rPr>
          <w:rFonts w:ascii="宋体" w:hAnsi="宋体" w:cs="宋体"/>
          <w:szCs w:val="21"/>
          <w:highlight w:val="none"/>
        </w:rPr>
      </w:pPr>
      <w:r>
        <w:rPr>
          <w:rFonts w:hint="eastAsia" w:ascii="宋体" w:hAnsi="宋体" w:cs="宋体"/>
          <w:szCs w:val="21"/>
          <w:highlight w:val="none"/>
        </w:rPr>
        <w:t>试验台原理、组成和工艺布置</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试验台主要有供气系统、进气调节阀、洞体、动力系统、旋转测试平台、测控系统、视屏监视系统等组成。供气系统为旋转测试平台提供压缩空气。进气调节系统用于调节洞体进气压力、流量。动力系统为旋转测试平台提供动力。旋转测试平台为叶片换热提供旋转边界条件。测控系统用于设备监测和控制。洞体负责模拟叶片进气状态。试验台二维工艺布置示意图见图1，投标方可根据实际布局进行调整，调整方案须通过招标方认可。</w:t>
      </w:r>
    </w:p>
    <w:p>
      <w:pPr>
        <w:spacing w:line="360" w:lineRule="auto"/>
        <w:ind w:firstLine="420" w:firstLineChars="200"/>
        <w:rPr>
          <w:rFonts w:ascii="宋体" w:hAnsi="宋体" w:cs="宋体"/>
          <w:szCs w:val="21"/>
          <w:highlight w:val="none"/>
        </w:rPr>
      </w:pPr>
    </w:p>
    <w:p>
      <w:pPr>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drawing>
          <wp:inline distT="0" distB="0" distL="0" distR="0">
            <wp:extent cx="4707890" cy="6329680"/>
            <wp:effectExtent l="0" t="0" r="16510" b="139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6" cstate="print"/>
                    <a:stretch>
                      <a:fillRect/>
                    </a:stretch>
                  </pic:blipFill>
                  <pic:spPr>
                    <a:xfrm>
                      <a:off x="0" y="0"/>
                      <a:ext cx="4707890" cy="6329680"/>
                    </a:xfrm>
                    <a:prstGeom prst="rect">
                      <a:avLst/>
                    </a:prstGeom>
                  </pic:spPr>
                </pic:pic>
              </a:graphicData>
            </a:graphic>
          </wp:inline>
        </w:drawing>
      </w:r>
    </w:p>
    <w:p>
      <w:pPr>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实验室建筑平面图</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br w:type="page"/>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3.1旋转试验台组成</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3.1.1旋转试验台</w:t>
      </w:r>
      <w:bookmarkStart w:id="9" w:name="OLE_LINK1"/>
      <w:r>
        <w:rPr>
          <w:rFonts w:hint="eastAsia" w:ascii="宋体" w:hAnsi="宋体" w:cs="宋体"/>
          <w:szCs w:val="21"/>
          <w:highlight w:val="none"/>
        </w:rPr>
        <w:t>供气系统</w:t>
      </w:r>
      <w:bookmarkEnd w:id="9"/>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供气系统主要由空压机、压缩空气储罐、截止阀门、减压调节阀门、供气管路、排气管路、测控系统等组成。</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压缩空气储罐工作压力0.2MPa。</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3.1.2旋转试验台转盘</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旋转试验台转盘材料选用7系列轻质航空铝，可镂空设计减重。外缘区域采用光学PC材料，同时配4块光学级蓝宝石玻璃。</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具体设计指标：</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1）转盘直径：2m；</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2）转速：2500rpm；</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3）轴向抖动：不大于 ±0.1 mm。</w:t>
      </w:r>
    </w:p>
    <w:p>
      <w:pPr>
        <w:pStyle w:val="55"/>
        <w:adjustRightInd w:val="0"/>
        <w:spacing w:line="360" w:lineRule="auto"/>
        <w:ind w:firstLine="480"/>
        <w:rPr>
          <w:sz w:val="24"/>
          <w:highlight w:val="none"/>
        </w:rPr>
      </w:pPr>
    </w:p>
    <w:p>
      <w:pPr>
        <w:pStyle w:val="55"/>
        <w:adjustRightInd w:val="0"/>
        <w:spacing w:line="360" w:lineRule="auto"/>
        <w:ind w:firstLine="480"/>
        <w:jc w:val="center"/>
        <w:rPr>
          <w:sz w:val="24"/>
          <w:highlight w:val="none"/>
        </w:rPr>
      </w:pPr>
      <w:r>
        <w:rPr>
          <w:sz w:val="24"/>
          <w:highlight w:val="none"/>
        </w:rPr>
        <w:drawing>
          <wp:inline distT="0" distB="0" distL="0" distR="0">
            <wp:extent cx="2949575" cy="2679700"/>
            <wp:effectExtent l="0" t="0" r="3175" b="6350"/>
            <wp:docPr id="2" name="Picture 2" descr="C:\Users\pqzha\AppData\Local\Temp\WeChat Files\577715089435383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qzha\AppData\Local\Temp\WeChat Files\57771508943538352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53905" cy="2683622"/>
                    </a:xfrm>
                    <a:prstGeom prst="rect">
                      <a:avLst/>
                    </a:prstGeom>
                    <a:noFill/>
                    <a:ln>
                      <a:noFill/>
                    </a:ln>
                  </pic:spPr>
                </pic:pic>
              </a:graphicData>
            </a:graphic>
          </wp:inline>
        </w:drawing>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3.1.3吊装及安全性</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ab/>
      </w:r>
      <w:r>
        <w:rPr>
          <w:rFonts w:hint="eastAsia" w:ascii="宋体" w:hAnsi="宋体" w:cs="宋体"/>
          <w:szCs w:val="21"/>
          <w:highlight w:val="none"/>
        </w:rPr>
        <w:t>1）旋转试验台需配吊装系统便于装卸。</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ab/>
      </w:r>
      <w:r>
        <w:rPr>
          <w:rFonts w:hint="eastAsia" w:ascii="宋体" w:hAnsi="宋体" w:cs="宋体"/>
          <w:szCs w:val="21"/>
          <w:highlight w:val="none"/>
        </w:rPr>
        <w:t>2）安全性：需进行强度分析并保证运行安全</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3.2控制系统</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提供整套控制系统。</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1）风洞控制系统（含控制面板）</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2）旋转台控制及监控系统（含控制面板）</w:t>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4.1 设备安装</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卖方负责在买方现场安装并交付使用，自带必要的安装专用工具，安装及所派人员的一切费用由卖方承担；仪器到达买方指定地点后，两周内执行安装至达到验收指标。</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w:t>
      </w:r>
      <w:r>
        <w:rPr>
          <w:rFonts w:hint="eastAsia" w:ascii="宋体" w:hAnsi="宋体" w:cs="宋体"/>
          <w:szCs w:val="21"/>
          <w:highlight w:val="none"/>
          <w:lang w:val="en-US" w:eastAsia="zh-CN"/>
        </w:rPr>
        <w:t>2</w:t>
      </w:r>
      <w:r>
        <w:rPr>
          <w:rFonts w:hint="eastAsia" w:ascii="宋体" w:hAnsi="宋体" w:cs="宋体"/>
          <w:szCs w:val="21"/>
          <w:highlight w:val="none"/>
        </w:rPr>
        <w:t xml:space="preserve"> 质保期及服务响应时间：</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提供1年免费保修，保修期自验收签字之日起计算。保修期满前1个月内卖方应负责一次免费全面检查，并写出正式报告，如发现潜在问题，应负责排除。</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质保期内，卖方接到买方故障信息后在48小时内予以响应，并在三天内到达买方现场，排除故障，免费更换损坏零件和服务。在设备保修期结束后，保证可以提供及时的售后维修服务，优惠的备件供应。</w:t>
      </w:r>
    </w:p>
    <w:p>
      <w:pPr>
        <w:spacing w:line="360" w:lineRule="auto"/>
        <w:ind w:firstLine="420" w:firstLineChars="200"/>
        <w:rPr>
          <w:rFonts w:ascii="宋体" w:hAnsi="宋体" w:cs="宋体"/>
          <w:szCs w:val="21"/>
          <w:highlight w:val="none"/>
        </w:rPr>
      </w:pPr>
    </w:p>
    <w:p>
      <w:pPr>
        <w:numPr>
          <w:ilvl w:val="0"/>
          <w:numId w:val="10"/>
        </w:numPr>
        <w:spacing w:line="360" w:lineRule="auto"/>
        <w:jc w:val="left"/>
        <w:outlineLvl w:val="2"/>
        <w:rPr>
          <w:rFonts w:ascii="宋体" w:hAnsi="宋体" w:cs="宋体"/>
          <w:b/>
          <w:bCs/>
          <w:szCs w:val="21"/>
          <w:highlight w:val="none"/>
        </w:rPr>
      </w:pPr>
      <w:r>
        <w:rPr>
          <w:rFonts w:hint="eastAsia" w:ascii="宋体" w:hAnsi="宋体" w:cs="宋体"/>
          <w:b/>
          <w:bCs/>
          <w:szCs w:val="21"/>
          <w:highlight w:val="none"/>
        </w:rPr>
        <w:t>风洞实验室其他系统等采购及服务主要技术规格表</w:t>
      </w:r>
    </w:p>
    <w:p>
      <w:pPr>
        <w:spacing w:line="360" w:lineRule="auto"/>
        <w:ind w:firstLine="420" w:firstLineChars="200"/>
        <w:rPr>
          <w:sz w:val="24"/>
          <w:highlight w:val="none"/>
        </w:rPr>
      </w:pPr>
      <w:r>
        <w:rPr>
          <w:rFonts w:hint="eastAsia" w:ascii="宋体" w:hAnsi="宋体" w:cs="宋体"/>
          <w:szCs w:val="21"/>
          <w:highlight w:val="none"/>
        </w:rPr>
        <w:t>采购一套风洞实验室及其他系统、长航智能无人机研发测试平台、新能源电力电子研发平台、新型实心电阻研发测试试制平台、共用工具、高性能计算作业管理平台等设备及服务，包含电缆、场地等配套设备工程，并提供5年运营服务。主要技术规格见下表。</w:t>
      </w:r>
    </w:p>
    <w:tbl>
      <w:tblPr>
        <w:tblStyle w:val="44"/>
        <w:tblW w:w="8946" w:type="dxa"/>
        <w:jc w:val="center"/>
        <w:tblLayout w:type="fixed"/>
        <w:tblCellMar>
          <w:top w:w="15" w:type="dxa"/>
          <w:left w:w="108" w:type="dxa"/>
          <w:bottom w:w="15" w:type="dxa"/>
          <w:right w:w="108" w:type="dxa"/>
        </w:tblCellMar>
      </w:tblPr>
      <w:tblGrid>
        <w:gridCol w:w="724"/>
        <w:gridCol w:w="68"/>
        <w:gridCol w:w="1361"/>
        <w:gridCol w:w="2006"/>
        <w:gridCol w:w="4078"/>
        <w:gridCol w:w="709"/>
      </w:tblGrid>
      <w:tr>
        <w:tblPrEx>
          <w:tblCellMar>
            <w:top w:w="15" w:type="dxa"/>
            <w:left w:w="108" w:type="dxa"/>
            <w:bottom w:w="15" w:type="dxa"/>
            <w:right w:w="108" w:type="dxa"/>
          </w:tblCellMar>
        </w:tblPrEx>
        <w:trPr>
          <w:trHeight w:val="30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22"/>
                <w:highlight w:val="none"/>
              </w:rPr>
            </w:pPr>
            <w:r>
              <w:rPr>
                <w:rFonts w:hint="eastAsia" w:cs="宋体" w:asciiTheme="minorEastAsia" w:hAnsiTheme="minorEastAsia"/>
                <w:b/>
                <w:bCs/>
                <w:color w:val="000000"/>
                <w:kern w:val="0"/>
                <w:sz w:val="22"/>
                <w:highlight w:val="none"/>
              </w:rPr>
              <w:t>序号</w:t>
            </w:r>
          </w:p>
        </w:tc>
        <w:tc>
          <w:tcPr>
            <w:tcW w:w="1361"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22"/>
                <w:highlight w:val="none"/>
              </w:rPr>
            </w:pPr>
            <w:r>
              <w:rPr>
                <w:rFonts w:hint="eastAsia" w:cs="宋体" w:asciiTheme="minorEastAsia" w:hAnsiTheme="minorEastAsia"/>
                <w:b/>
                <w:bCs/>
                <w:color w:val="000000"/>
                <w:kern w:val="0"/>
                <w:sz w:val="22"/>
                <w:highlight w:val="none"/>
              </w:rPr>
              <w:t>名称</w:t>
            </w:r>
          </w:p>
        </w:tc>
        <w:tc>
          <w:tcPr>
            <w:tcW w:w="2006"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22"/>
                <w:highlight w:val="none"/>
              </w:rPr>
            </w:pPr>
            <w:r>
              <w:rPr>
                <w:rFonts w:hint="eastAsia" w:cs="宋体" w:asciiTheme="minorEastAsia" w:hAnsiTheme="minorEastAsia"/>
                <w:b/>
                <w:bCs/>
                <w:color w:val="000000"/>
                <w:kern w:val="0"/>
                <w:sz w:val="22"/>
                <w:highlight w:val="none"/>
              </w:rPr>
              <w:t>型号</w:t>
            </w:r>
          </w:p>
        </w:tc>
        <w:tc>
          <w:tcPr>
            <w:tcW w:w="4078"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22"/>
                <w:highlight w:val="none"/>
              </w:rPr>
            </w:pPr>
            <w:r>
              <w:rPr>
                <w:rFonts w:hint="eastAsia" w:cs="宋体" w:asciiTheme="minorEastAsia" w:hAnsiTheme="minorEastAsia"/>
                <w:b/>
                <w:bCs/>
                <w:color w:val="000000"/>
                <w:kern w:val="0"/>
                <w:sz w:val="22"/>
                <w:highlight w:val="none"/>
              </w:rPr>
              <w:t>参数</w:t>
            </w:r>
          </w:p>
        </w:tc>
        <w:tc>
          <w:tcPr>
            <w:tcW w:w="709"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22"/>
                <w:highlight w:val="none"/>
              </w:rPr>
            </w:pPr>
            <w:r>
              <w:rPr>
                <w:rFonts w:hint="eastAsia" w:cs="宋体" w:asciiTheme="minorEastAsia" w:hAnsiTheme="minorEastAsia"/>
                <w:b/>
                <w:bCs/>
                <w:color w:val="000000"/>
                <w:kern w:val="0"/>
                <w:sz w:val="22"/>
                <w:highlight w:val="none"/>
              </w:rPr>
              <w:t>数量</w:t>
            </w:r>
          </w:p>
        </w:tc>
      </w:tr>
      <w:tr>
        <w:tblPrEx>
          <w:tblCellMar>
            <w:top w:w="15" w:type="dxa"/>
            <w:left w:w="108" w:type="dxa"/>
            <w:bottom w:w="15" w:type="dxa"/>
            <w:right w:w="108" w:type="dxa"/>
          </w:tblCellMar>
        </w:tblPrEx>
        <w:trPr>
          <w:trHeight w:val="1265"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压力扫描阀</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p>
        </w:tc>
        <w:tc>
          <w:tcPr>
            <w:tcW w:w="4078" w:type="dxa"/>
            <w:tcBorders>
              <w:top w:val="single" w:color="000000" w:sz="4" w:space="0"/>
              <w:left w:val="single" w:color="000000" w:sz="4" w:space="0"/>
              <w:bottom w:val="single" w:color="000000" w:sz="4" w:space="0"/>
              <w:right w:val="single" w:color="000000" w:sz="4" w:space="0"/>
            </w:tcBorders>
          </w:tcPr>
          <w:p>
            <w:pPr>
              <w:widowControl/>
              <w:spacing w:line="140" w:lineRule="atLeast"/>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1.16通道以上</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2.采样率500Sa/s/ch</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3.测量精度0.05%FS</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4.模块配置压力量程（0~40PSI）</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5.太网接口，可与Labview兼容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20"/>
                <w:szCs w:val="20"/>
                <w:highlight w:val="none"/>
              </w:rPr>
            </w:pPr>
            <w:r>
              <w:rPr>
                <w:rFonts w:hint="eastAsia" w:cs="宋体" w:asciiTheme="minorEastAsia" w:hAnsiTheme="minorEastAsia"/>
                <w:color w:val="000000"/>
                <w:kern w:val="0"/>
                <w:sz w:val="20"/>
                <w:szCs w:val="20"/>
                <w:highlight w:val="none"/>
              </w:rPr>
              <w:t>1</w:t>
            </w:r>
          </w:p>
        </w:tc>
      </w:tr>
      <w:tr>
        <w:tblPrEx>
          <w:tblCellMar>
            <w:top w:w="15" w:type="dxa"/>
            <w:left w:w="108" w:type="dxa"/>
            <w:bottom w:w="15" w:type="dxa"/>
            <w:right w:w="108" w:type="dxa"/>
          </w:tblCellMar>
        </w:tblPrEx>
        <w:trPr>
          <w:trHeight w:val="479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数据采集系统</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p>
        </w:tc>
        <w:tc>
          <w:tcPr>
            <w:tcW w:w="4078" w:type="dxa"/>
            <w:tcBorders>
              <w:top w:val="single" w:color="000000" w:sz="4" w:space="0"/>
              <w:left w:val="single" w:color="000000" w:sz="4" w:space="0"/>
              <w:bottom w:val="single" w:color="000000" w:sz="4" w:space="0"/>
              <w:right w:val="single" w:color="000000" w:sz="4" w:space="0"/>
            </w:tcBorders>
          </w:tcPr>
          <w:p>
            <w:pPr>
              <w:widowControl/>
              <w:spacing w:line="140" w:lineRule="atLeast"/>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1.*高速热电偶温度信号采集：支持至少8路，分辨率不小于24位，采样率不低于5KS/s；</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2.电流信号采集：支持至少4路覆盖量程不少于4-20mA，采样率不低于250KS/s，通道间隔离电压能力不小于300V；</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3.电压输出：支持至少8路，可输出任意波形，输出电压范围不少于0-10V；同时同时支持电流输出，电流输出范围不小于4-20mA；</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4.*电压信号采集：支持至少24路，接口形式：RJ50，分辨率不小于24位，采样率不低于25.6KS/s，支持同时进行电压激励，激励电压可达到至少10V；</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5.PXIe总线机箱：PXIE混合插槽个数不少于17，提供外部时钟和外部触发输入，单槽冷却能力不小于58W；</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6.振动信号采集：采样率不小于204.8KS/s，分辨率不小于24位，通道数不少于8，支持IEPE电流激励；</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7.高速视频卡</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8.*采集系统要求支持至少LabVIEW、C# .NET编程语言，并提供该系统数据采集系统程序架构；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1</w:t>
            </w:r>
          </w:p>
        </w:tc>
      </w:tr>
      <w:tr>
        <w:tblPrEx>
          <w:tblCellMar>
            <w:top w:w="15" w:type="dxa"/>
            <w:left w:w="108" w:type="dxa"/>
            <w:bottom w:w="15" w:type="dxa"/>
            <w:right w:w="108" w:type="dxa"/>
          </w:tblCellMar>
        </w:tblPrEx>
        <w:trPr>
          <w:trHeight w:val="401"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3</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激光器</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Vshot-200</w:t>
            </w:r>
          </w:p>
        </w:tc>
        <w:tc>
          <w:tcPr>
            <w:tcW w:w="4078" w:type="dxa"/>
            <w:tcBorders>
              <w:top w:val="single" w:color="000000" w:sz="4" w:space="0"/>
              <w:left w:val="single" w:color="000000" w:sz="4" w:space="0"/>
              <w:bottom w:val="single" w:color="000000" w:sz="4" w:space="0"/>
              <w:right w:val="single" w:color="000000" w:sz="4" w:space="0"/>
            </w:tcBorders>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1.波长：532nm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2.重复频率：15Hz</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3.脉宽：~9nm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4.单脉冲能量：200mJ</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5.能量稳定性（RMS）：≤2%</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6.发散角：≤3mrad</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7.Jitter（RMS）：≤1ns</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8.电源及水冷：包含</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9.导光臂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1</w:t>
            </w:r>
          </w:p>
        </w:tc>
      </w:tr>
      <w:tr>
        <w:tblPrEx>
          <w:tblCellMar>
            <w:top w:w="15" w:type="dxa"/>
            <w:left w:w="108" w:type="dxa"/>
            <w:bottom w:w="15" w:type="dxa"/>
            <w:right w:w="108" w:type="dxa"/>
          </w:tblCellMar>
        </w:tblPrEx>
        <w:trPr>
          <w:trHeight w:val="24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4</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蓝宝石玻璃</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p>
        </w:tc>
        <w:tc>
          <w:tcPr>
            <w:tcW w:w="4078" w:type="dxa"/>
            <w:tcBorders>
              <w:top w:val="single" w:color="000000" w:sz="4" w:space="0"/>
              <w:left w:val="single" w:color="000000" w:sz="4" w:space="0"/>
              <w:bottom w:val="single" w:color="000000" w:sz="4" w:space="0"/>
              <w:right w:val="single" w:color="000000" w:sz="4" w:space="0"/>
            </w:tcBorders>
          </w:tcPr>
          <w:p>
            <w:pPr>
              <w:widowControl/>
              <w:jc w:val="left"/>
              <w:rPr>
                <w:rFonts w:cs="宋体" w:asciiTheme="minorEastAsia" w:hAnsiTheme="minorEastAsia"/>
                <w:color w:val="000000"/>
                <w:kern w:val="0"/>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12</w:t>
            </w:r>
          </w:p>
        </w:tc>
      </w:tr>
      <w:tr>
        <w:tblPrEx>
          <w:tblCellMar>
            <w:top w:w="15" w:type="dxa"/>
            <w:left w:w="108" w:type="dxa"/>
            <w:bottom w:w="15" w:type="dxa"/>
            <w:right w:w="108" w:type="dxa"/>
          </w:tblCellMar>
        </w:tblPrEx>
        <w:trPr>
          <w:trHeight w:val="24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5</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视频监视</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p>
        </w:tc>
        <w:tc>
          <w:tcPr>
            <w:tcW w:w="4078" w:type="dxa"/>
            <w:tcBorders>
              <w:top w:val="single" w:color="000000" w:sz="4" w:space="0"/>
              <w:left w:val="single" w:color="000000" w:sz="4" w:space="0"/>
              <w:bottom w:val="single" w:color="000000" w:sz="4" w:space="0"/>
              <w:right w:val="single" w:color="000000" w:sz="4" w:space="0"/>
            </w:tcBorders>
          </w:tcPr>
          <w:p>
            <w:pPr>
              <w:widowControl/>
              <w:jc w:val="left"/>
              <w:rPr>
                <w:rFonts w:cs="宋体" w:asciiTheme="minorEastAsia" w:hAnsiTheme="minorEastAsia"/>
                <w:color w:val="000000"/>
                <w:kern w:val="0"/>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1</w:t>
            </w:r>
          </w:p>
        </w:tc>
      </w:tr>
      <w:tr>
        <w:tblPrEx>
          <w:tblCellMar>
            <w:top w:w="15" w:type="dxa"/>
            <w:left w:w="108" w:type="dxa"/>
            <w:bottom w:w="15" w:type="dxa"/>
            <w:right w:w="108" w:type="dxa"/>
          </w:tblCellMar>
        </w:tblPrEx>
        <w:trPr>
          <w:trHeight w:val="24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6</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测试附件</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p>
        </w:tc>
        <w:tc>
          <w:tcPr>
            <w:tcW w:w="4078" w:type="dxa"/>
            <w:tcBorders>
              <w:top w:val="single" w:color="000000" w:sz="4" w:space="0"/>
              <w:left w:val="single" w:color="000000" w:sz="4" w:space="0"/>
              <w:bottom w:val="single" w:color="000000" w:sz="4" w:space="0"/>
              <w:right w:val="single" w:color="000000" w:sz="4" w:space="0"/>
            </w:tcBorders>
          </w:tcPr>
          <w:p>
            <w:pPr>
              <w:widowControl/>
              <w:jc w:val="left"/>
              <w:rPr>
                <w:rFonts w:cs="宋体" w:asciiTheme="minorEastAsia" w:hAnsiTheme="minorEastAsia"/>
                <w:color w:val="000000"/>
                <w:kern w:val="0"/>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20"/>
                <w:szCs w:val="20"/>
                <w:highlight w:val="none"/>
              </w:rPr>
            </w:pPr>
            <w:r>
              <w:rPr>
                <w:rFonts w:hint="eastAsia" w:cs="宋体" w:asciiTheme="minorEastAsia" w:hAnsiTheme="minorEastAsia"/>
                <w:color w:val="000000"/>
                <w:kern w:val="0"/>
                <w:sz w:val="20"/>
                <w:szCs w:val="20"/>
                <w:highlight w:val="none"/>
              </w:rPr>
              <w:t>1</w:t>
            </w:r>
          </w:p>
        </w:tc>
      </w:tr>
      <w:tr>
        <w:tblPrEx>
          <w:tblCellMar>
            <w:top w:w="15" w:type="dxa"/>
            <w:left w:w="108" w:type="dxa"/>
            <w:bottom w:w="15" w:type="dxa"/>
            <w:right w:w="108" w:type="dxa"/>
          </w:tblCellMar>
        </w:tblPrEx>
        <w:trPr>
          <w:trHeight w:val="316" w:hRule="atLeast"/>
          <w:jc w:val="center"/>
        </w:trPr>
        <w:tc>
          <w:tcPr>
            <w:tcW w:w="8946" w:type="dxa"/>
            <w:gridSpan w:val="6"/>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 w:val="24"/>
                <w:highlight w:val="none"/>
              </w:rPr>
            </w:pPr>
            <w:r>
              <w:rPr>
                <w:rFonts w:hint="eastAsia" w:cs="宋体" w:asciiTheme="minorEastAsia" w:hAnsiTheme="minorEastAsia"/>
                <w:b/>
                <w:bCs/>
                <w:color w:val="000000"/>
                <w:kern w:val="0"/>
                <w:sz w:val="24"/>
                <w:highlight w:val="none"/>
              </w:rPr>
              <w:t>长航智能无人机研发测试平台</w:t>
            </w:r>
          </w:p>
        </w:tc>
      </w:tr>
      <w:tr>
        <w:tblPrEx>
          <w:tblCellMar>
            <w:top w:w="15" w:type="dxa"/>
            <w:left w:w="108" w:type="dxa"/>
            <w:bottom w:w="15" w:type="dxa"/>
            <w:right w:w="108" w:type="dxa"/>
          </w:tblCellMar>
        </w:tblPrEx>
        <w:trPr>
          <w:trHeight w:val="312" w:hRule="atLeast"/>
          <w:jc w:val="center"/>
        </w:trPr>
        <w:tc>
          <w:tcPr>
            <w:tcW w:w="792" w:type="dxa"/>
            <w:gridSpan w:val="2"/>
            <w:vMerge w:val="restart"/>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序号</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名称</w:t>
            </w:r>
          </w:p>
        </w:tc>
        <w:tc>
          <w:tcPr>
            <w:tcW w:w="2006" w:type="dxa"/>
            <w:vMerge w:val="restart"/>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型号</w:t>
            </w:r>
          </w:p>
        </w:tc>
        <w:tc>
          <w:tcPr>
            <w:tcW w:w="4078" w:type="dxa"/>
            <w:vMerge w:val="restart"/>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参数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数量</w:t>
            </w:r>
          </w:p>
        </w:tc>
      </w:tr>
      <w:tr>
        <w:tblPrEx>
          <w:tblCellMar>
            <w:top w:w="15" w:type="dxa"/>
            <w:left w:w="108" w:type="dxa"/>
            <w:bottom w:w="15" w:type="dxa"/>
            <w:right w:w="108" w:type="dxa"/>
          </w:tblCellMar>
        </w:tblPrEx>
        <w:trPr>
          <w:trHeight w:val="312"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b/>
                <w:bCs/>
                <w:color w:val="000000"/>
                <w:kern w:val="0"/>
                <w:szCs w:val="21"/>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b/>
                <w:bCs/>
                <w:color w:val="000000"/>
                <w:kern w:val="0"/>
                <w:szCs w:val="21"/>
                <w:highlight w:val="none"/>
              </w:rPr>
            </w:pPr>
          </w:p>
        </w:tc>
        <w:tc>
          <w:tcPr>
            <w:tcW w:w="20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b/>
                <w:bCs/>
                <w:color w:val="000000"/>
                <w:kern w:val="0"/>
                <w:szCs w:val="21"/>
                <w:highlight w:val="none"/>
              </w:rPr>
            </w:pPr>
          </w:p>
        </w:tc>
        <w:tc>
          <w:tcPr>
            <w:tcW w:w="4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b/>
                <w:bCs/>
                <w:color w:val="000000"/>
                <w:kern w:val="0"/>
                <w:szCs w:val="21"/>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b/>
                <w:bCs/>
                <w:color w:val="000000"/>
                <w:kern w:val="0"/>
                <w:szCs w:val="21"/>
                <w:highlight w:val="none"/>
              </w:rPr>
            </w:pPr>
          </w:p>
        </w:tc>
      </w:tr>
      <w:tr>
        <w:tblPrEx>
          <w:tblCellMar>
            <w:top w:w="15" w:type="dxa"/>
            <w:left w:w="108" w:type="dxa"/>
            <w:bottom w:w="15" w:type="dxa"/>
            <w:right w:w="108" w:type="dxa"/>
          </w:tblCellMar>
        </w:tblPrEx>
        <w:trPr>
          <w:trHeight w:val="621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加工中心</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vmc850</w:t>
            </w:r>
            <w:r>
              <w:rPr>
                <w:rFonts w:cs="宋体" w:asciiTheme="minorEastAsia" w:hAnsiTheme="minorEastAsia"/>
                <w:color w:val="000000"/>
                <w:kern w:val="0"/>
                <w:sz w:val="18"/>
                <w:highlight w:val="none"/>
              </w:rPr>
              <w:t>（台湾配置，带刀库）置</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床身最大回转直径  mm e 500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拖板最大回转直径 mm * 300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最大切削直径    mm e 500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最大加工长度    mm 1000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X/Z轴最大行程    mm 300/1000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X/Z的最小位移单位 mm 0. 001</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 xml:space="preserve">主轴通孔直径    mm </w:t>
            </w:r>
            <w:r>
              <w:rPr>
                <w:rFonts w:hint="eastAsia" w:hAnsi="MS Mincho" w:eastAsia="MS Mincho" w:cs="MS Mincho" w:asciiTheme="minorEastAsia"/>
                <w:color w:val="000000"/>
                <w:kern w:val="0"/>
                <w:sz w:val="18"/>
                <w:szCs w:val="18"/>
                <w:highlight w:val="none"/>
              </w:rPr>
              <w:t>♦</w:t>
            </w:r>
            <w:r>
              <w:rPr>
                <w:rFonts w:hint="eastAsia" w:cs="宋体" w:asciiTheme="minorEastAsia" w:hAnsiTheme="minorEastAsia"/>
                <w:color w:val="000000"/>
                <w:kern w:val="0"/>
                <w:sz w:val="18"/>
                <w:szCs w:val="18"/>
                <w:highlight w:val="none"/>
              </w:rPr>
              <w:t xml:space="preserve"> 82</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主轴级数 无极/三档（档内变频〉</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主轴极限转速 rpm 60-1600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主轴端部 A2-8/C8</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主电机功率（五频）kW 7. 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变频器            kW 7. 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X/Z轴            N. m 5/7. 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X/Z轴快移速度       m/ min 43990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刀架型式 4工位电动刀架（文昌）</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刀杆尺寸        mm 25*25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刀架重复定位精度  mm ≤0. 004</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尾座套筒直径    mm e 65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尾座套筒行程    mm 130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尾座顶尖锥孔 莫氏5#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机床净重        kg 1800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机床外型尺寸（长宽高） nun 2100/2400/2900/3400/4400*1300*1680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电力需求〈功率/电流）kW/A 15kW/20A</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90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三轴重型精雕机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2m*5m*0.6m</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加工尺寸2m*5m*0.6m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伺服电机</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定位精度0.035mm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重复定位精度0.02mm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3151"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长航时共轴直升机验证机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90</w:t>
            </w:r>
            <w:r>
              <w:rPr>
                <w:rFonts w:cs="宋体" w:asciiTheme="minorEastAsia" w:hAnsiTheme="minorEastAsia"/>
                <w:color w:val="000000"/>
                <w:kern w:val="0"/>
                <w:sz w:val="18"/>
                <w:highlight w:val="none"/>
              </w:rPr>
              <w:t>公斤</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机长 2m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机宽 1.1m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机高 1m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起落架跨度 1m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桨叶 2*2</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燃油 92#、95#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发动机功率 15kw</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有效载荷 35kg</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最大起飞重量 90kg</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巡航速度 65-100km/h</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标准巡航时间 5h</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抗风性 12m/s</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实用升限 1000m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气动布局 共轴双旋翼</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r>
      <w:tr>
        <w:tblPrEx>
          <w:tblCellMar>
            <w:top w:w="15" w:type="dxa"/>
            <w:left w:w="108" w:type="dxa"/>
            <w:bottom w:w="15" w:type="dxa"/>
            <w:right w:w="108" w:type="dxa"/>
          </w:tblCellMar>
        </w:tblPrEx>
        <w:trPr>
          <w:trHeight w:val="312" w:hRule="atLeast"/>
          <w:jc w:val="center"/>
        </w:trPr>
        <w:tc>
          <w:tcPr>
            <w:tcW w:w="7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空气压缩机</w:t>
            </w:r>
          </w:p>
        </w:tc>
        <w:tc>
          <w:tcPr>
            <w:tcW w:w="20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FLDK</w:t>
            </w:r>
            <w:r>
              <w:rPr>
                <w:rFonts w:cs="宋体" w:asciiTheme="minorEastAsia" w:hAnsiTheme="minorEastAsia"/>
                <w:color w:val="000000"/>
                <w:kern w:val="0"/>
                <w:sz w:val="18"/>
                <w:highlight w:val="none"/>
              </w:rPr>
              <w:t>永磁变频</w:t>
            </w:r>
          </w:p>
        </w:tc>
        <w:tc>
          <w:tcPr>
            <w:tcW w:w="4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型号：FLDK永磁变频</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功率：11KW</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312"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4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r>
      <w:tr>
        <w:tblPrEx>
          <w:tblCellMar>
            <w:top w:w="15" w:type="dxa"/>
            <w:left w:w="108" w:type="dxa"/>
            <w:bottom w:w="15" w:type="dxa"/>
            <w:right w:w="108" w:type="dxa"/>
          </w:tblCellMar>
        </w:tblPrEx>
        <w:trPr>
          <w:trHeight w:val="312" w:hRule="atLeast"/>
          <w:jc w:val="center"/>
        </w:trPr>
        <w:tc>
          <w:tcPr>
            <w:tcW w:w="7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c>
          <w:tcPr>
            <w:tcW w:w="13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德国贝克</w:t>
            </w:r>
            <w:r>
              <w:rPr>
                <w:rFonts w:cs="宋体" w:asciiTheme="minorEastAsia" w:hAnsiTheme="minorEastAsia"/>
                <w:color w:val="000000"/>
                <w:kern w:val="0"/>
                <w:sz w:val="18"/>
                <w:highlight w:val="none"/>
              </w:rPr>
              <w:t>GUB100真空泵系统</w:t>
            </w:r>
          </w:p>
        </w:tc>
        <w:tc>
          <w:tcPr>
            <w:tcW w:w="20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主泵体</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德国BECKER U4.100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空气过滤器</w:t>
            </w:r>
          </w:p>
        </w:tc>
        <w:tc>
          <w:tcPr>
            <w:tcW w:w="4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长宽高：1.5*0.76*1.25m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排气量：100立方/小时</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极限真空度：-0.1Mps</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电机功率2.4KW</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总重：220KG</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标准配套</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1290"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4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r>
      <w:tr>
        <w:tblPrEx>
          <w:tblCellMar>
            <w:top w:w="15" w:type="dxa"/>
            <w:left w:w="108" w:type="dxa"/>
            <w:bottom w:w="15" w:type="dxa"/>
            <w:right w:w="108" w:type="dxa"/>
          </w:tblCellMar>
        </w:tblPrEx>
        <w:trPr>
          <w:trHeight w:val="312"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4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r>
      <w:tr>
        <w:tblPrEx>
          <w:tblCellMar>
            <w:top w:w="15" w:type="dxa"/>
            <w:left w:w="108" w:type="dxa"/>
            <w:bottom w:w="15" w:type="dxa"/>
            <w:right w:w="108" w:type="dxa"/>
          </w:tblCellMar>
        </w:tblPrEx>
        <w:trPr>
          <w:trHeight w:val="301"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单向阀</w:t>
            </w: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意大利进口单向阀</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301"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储气罐</w:t>
            </w: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标准全金属压力罐，容积</w:t>
            </w:r>
            <w:r>
              <w:rPr>
                <w:rFonts w:cs="宋体" w:asciiTheme="minorEastAsia" w:hAnsiTheme="minorEastAsia"/>
                <w:color w:val="000000"/>
                <w:kern w:val="0"/>
                <w:sz w:val="18"/>
                <w:highlight w:val="none"/>
              </w:rPr>
              <w:t>400L</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705"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分气阀</w:t>
            </w: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标准分气钥阀，气管接口外径</w:t>
            </w:r>
            <w:r>
              <w:rPr>
                <w:rFonts w:cs="宋体" w:asciiTheme="minorEastAsia" w:hAnsiTheme="minorEastAsia"/>
                <w:color w:val="000000"/>
                <w:kern w:val="0"/>
                <w:sz w:val="18"/>
                <w:highlight w:val="none"/>
              </w:rPr>
              <w:t>12mm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r>
      <w:tr>
        <w:tblPrEx>
          <w:tblCellMar>
            <w:top w:w="15" w:type="dxa"/>
            <w:left w:w="108" w:type="dxa"/>
            <w:bottom w:w="15" w:type="dxa"/>
            <w:right w:w="108" w:type="dxa"/>
          </w:tblCellMar>
        </w:tblPrEx>
        <w:trPr>
          <w:trHeight w:val="301"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真空表</w:t>
            </w: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标准配置耐震真空表</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连接软管及接头</w:t>
            </w: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标准配置专用软管及不锈钢管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316"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控制箱</w:t>
            </w: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电源：380V   三相四线</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手动/自动控制</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数显真空表，数显电流、电压表，可设定真空压力上下馅，可自动控制泵体启停，电源开关（带漏电保护）、过载、相序保护</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急停按钮</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9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 w:val="18"/>
                <w:szCs w:val="18"/>
                <w:highlight w:val="none"/>
              </w:rPr>
              <w:t>脚轮</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金属方向脚轮</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ThinkPad p73</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e2267m+rtx5000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AI</w:t>
            </w:r>
            <w:r>
              <w:rPr>
                <w:rFonts w:cs="宋体" w:asciiTheme="minorEastAsia" w:hAnsiTheme="minorEastAsia"/>
                <w:color w:val="000000"/>
                <w:kern w:val="0"/>
                <w:sz w:val="18"/>
                <w:highlight w:val="none"/>
              </w:rPr>
              <w:t>深度学习移动工作站</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机械革命</w:t>
            </w:r>
            <w:r>
              <w:rPr>
                <w:rFonts w:cs="宋体" w:asciiTheme="minorEastAsia" w:hAnsiTheme="minorEastAsia"/>
                <w:color w:val="000000"/>
                <w:kern w:val="0"/>
                <w:sz w:val="18"/>
                <w:highlight w:val="none"/>
              </w:rPr>
              <w:t>x10TI</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i7+rtx2070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CellMar>
            <w:top w:w="15" w:type="dxa"/>
            <w:left w:w="108" w:type="dxa"/>
            <w:bottom w:w="15" w:type="dxa"/>
            <w:right w:w="108" w:type="dxa"/>
          </w:tblCellMar>
        </w:tblPrEx>
        <w:trPr>
          <w:trHeight w:val="301" w:hRule="atLeast"/>
          <w:jc w:val="center"/>
        </w:trPr>
        <w:tc>
          <w:tcPr>
            <w:tcW w:w="7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p>
        </w:tc>
        <w:tc>
          <w:tcPr>
            <w:tcW w:w="13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ThinkPad</w:t>
            </w:r>
          </w:p>
        </w:tc>
        <w:tc>
          <w:tcPr>
            <w:tcW w:w="20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 xml:space="preserve"> </w:t>
            </w:r>
            <w:r>
              <w:rPr>
                <w:rFonts w:cs="宋体" w:asciiTheme="minorEastAsia" w:hAnsiTheme="minorEastAsia"/>
                <w:color w:val="000000"/>
                <w:kern w:val="0"/>
                <w:sz w:val="18"/>
                <w:highlight w:val="none"/>
              </w:rPr>
              <w:t>E590</w:t>
            </w: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CPU</w:t>
            </w:r>
            <w:r>
              <w:rPr>
                <w:rFonts w:cs="宋体" w:asciiTheme="minorEastAsia" w:hAnsiTheme="minorEastAsia"/>
                <w:color w:val="000000"/>
                <w:kern w:val="0"/>
                <w:sz w:val="18"/>
                <w:highlight w:val="none"/>
              </w:rPr>
              <w:t>：i5-8265U</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r>
      <w:tr>
        <w:tblPrEx>
          <w:tblCellMar>
            <w:top w:w="15" w:type="dxa"/>
            <w:left w:w="108" w:type="dxa"/>
            <w:bottom w:w="15" w:type="dxa"/>
            <w:right w:w="108" w:type="dxa"/>
          </w:tblCellMar>
        </w:tblPrEx>
        <w:trPr>
          <w:trHeight w:val="286"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内存：</w:t>
            </w:r>
            <w:r>
              <w:rPr>
                <w:rFonts w:cs="宋体" w:asciiTheme="minorEastAsia" w:hAnsiTheme="minorEastAsia"/>
                <w:color w:val="000000"/>
                <w:kern w:val="0"/>
                <w:sz w:val="18"/>
                <w:highlight w:val="none"/>
              </w:rPr>
              <w:t>8G</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r>
      <w:tr>
        <w:tblPrEx>
          <w:tblCellMar>
            <w:top w:w="15" w:type="dxa"/>
            <w:left w:w="108" w:type="dxa"/>
            <w:bottom w:w="15" w:type="dxa"/>
            <w:right w:w="108" w:type="dxa"/>
          </w:tblCellMar>
        </w:tblPrEx>
        <w:trPr>
          <w:trHeight w:val="286" w:hRule="atLeast"/>
          <w:jc w:val="center"/>
        </w:trPr>
        <w:tc>
          <w:tcPr>
            <w:tcW w:w="7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13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20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硬盘：</w:t>
            </w:r>
            <w:r>
              <w:rPr>
                <w:rFonts w:cs="宋体" w:asciiTheme="minorEastAsia" w:hAnsiTheme="minorEastAsia"/>
                <w:color w:val="000000"/>
                <w:kern w:val="0"/>
                <w:sz w:val="18"/>
                <w:highlight w:val="none"/>
              </w:rPr>
              <w:t>512固态硬盘</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p>
        </w:tc>
      </w:tr>
      <w:tr>
        <w:tblPrEx>
          <w:tblCellMar>
            <w:top w:w="15" w:type="dxa"/>
            <w:left w:w="108" w:type="dxa"/>
            <w:bottom w:w="15" w:type="dxa"/>
            <w:right w:w="108" w:type="dxa"/>
          </w:tblCellMar>
        </w:tblPrEx>
        <w:trPr>
          <w:trHeight w:val="1771"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双目摄像头验证机—含生产技术及许可</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1、支持全局曝光，单画面大于100万像素。</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2、处理器将两个全局曝光mipi摄像头，同步打包成一个一个画面,通过usb uvc协议发布，主机识别成一个摄像头。</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3、总延迟不超过1/3帧采集时间</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4、摄像头间距不小于50cm。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5、摄像头模组传感器可升级。</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VTOL</w:t>
            </w:r>
            <w:r>
              <w:rPr>
                <w:rFonts w:cs="宋体" w:asciiTheme="minorEastAsia" w:hAnsiTheme="minorEastAsia"/>
                <w:color w:val="000000"/>
                <w:kern w:val="0"/>
                <w:sz w:val="18"/>
                <w:highlight w:val="none"/>
              </w:rPr>
              <w:t>飞控——含生产技术及许可</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品灵</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20</w:t>
            </w:r>
            <w:r>
              <w:rPr>
                <w:rFonts w:cs="宋体" w:asciiTheme="minorEastAsia" w:hAnsiTheme="minorEastAsia"/>
                <w:color w:val="000000"/>
                <w:kern w:val="0"/>
                <w:sz w:val="18"/>
                <w:highlight w:val="none"/>
              </w:rPr>
              <w:t>倍光学变焦+940nm同步激光补光</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675"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油电混合发动机——含生产技术及许可</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开发定制</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25kw</w:t>
            </w:r>
            <w:r>
              <w:rPr>
                <w:rFonts w:cs="宋体" w:asciiTheme="minorEastAsia" w:hAnsiTheme="minorEastAsia"/>
                <w:color w:val="000000"/>
                <w:kern w:val="0"/>
                <w:sz w:val="18"/>
                <w:highlight w:val="none"/>
              </w:rPr>
              <w:t>无刷电机、12kw活塞发动机、启动增扭发电一体控制器，整机重量不超过9公斤。</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675"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远距离图传数传——含生产技术及许可</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开发定制</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50-100</w:t>
            </w:r>
            <w:r>
              <w:rPr>
                <w:rFonts w:cs="宋体" w:asciiTheme="minorEastAsia" w:hAnsiTheme="minorEastAsia"/>
                <w:color w:val="000000"/>
                <w:kern w:val="0"/>
                <w:sz w:val="18"/>
                <w:highlight w:val="none"/>
              </w:rPr>
              <w:t>公里；1M带宽；支持USB、HDMI、csi2图像接口；支持232透传。支持mavlink osd。</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301"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13</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防静电工作台</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国产</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240mm x120mm x180mm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14</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防静电坐椅</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国产</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15</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办公桌椅</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国产</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20</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16</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装配工作台</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国产</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2100</w:t>
            </w:r>
            <w:r>
              <w:rPr>
                <w:rFonts w:cs="宋体" w:asciiTheme="minorEastAsia" w:hAnsiTheme="minorEastAsia"/>
                <w:color w:val="000000"/>
                <w:kern w:val="0"/>
                <w:sz w:val="18"/>
                <w:highlight w:val="none"/>
              </w:rPr>
              <w:t>桌长/单固定柜+920挂板组D款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17</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铁皮办公文件柜</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双层</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1850*900*400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p>
        </w:tc>
      </w:tr>
      <w:tr>
        <w:tblPrEx>
          <w:tblCellMar>
            <w:top w:w="15" w:type="dxa"/>
            <w:left w:w="108" w:type="dxa"/>
            <w:bottom w:w="15" w:type="dxa"/>
            <w:right w:w="108" w:type="dxa"/>
          </w:tblCellMar>
        </w:tblPrEx>
        <w:trPr>
          <w:trHeight w:val="301" w:hRule="atLeast"/>
          <w:jc w:val="center"/>
        </w:trPr>
        <w:tc>
          <w:tcPr>
            <w:tcW w:w="8946" w:type="dxa"/>
            <w:gridSpan w:val="6"/>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24"/>
                <w:highlight w:val="none"/>
              </w:rPr>
            </w:pPr>
            <w:r>
              <w:rPr>
                <w:rFonts w:hint="eastAsia" w:cs="宋体" w:asciiTheme="minorEastAsia" w:hAnsiTheme="minorEastAsia"/>
                <w:b/>
                <w:bCs/>
                <w:color w:val="000000"/>
                <w:kern w:val="0"/>
                <w:sz w:val="24"/>
                <w:highlight w:val="none"/>
              </w:rPr>
              <w:t>新能源电力电子研发平台</w:t>
            </w:r>
          </w:p>
        </w:tc>
      </w:tr>
      <w:tr>
        <w:tblPrEx>
          <w:tblCellMar>
            <w:top w:w="15" w:type="dxa"/>
            <w:left w:w="108" w:type="dxa"/>
            <w:bottom w:w="15" w:type="dxa"/>
            <w:right w:w="108" w:type="dxa"/>
          </w:tblCellMar>
        </w:tblPrEx>
        <w:trPr>
          <w:trHeight w:val="301" w:hRule="atLeast"/>
          <w:jc w:val="center"/>
        </w:trPr>
        <w:tc>
          <w:tcPr>
            <w:tcW w:w="792" w:type="dxa"/>
            <w:gridSpan w:val="2"/>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序号</w:t>
            </w:r>
          </w:p>
        </w:tc>
        <w:tc>
          <w:tcPr>
            <w:tcW w:w="1361"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名称</w:t>
            </w:r>
          </w:p>
        </w:tc>
        <w:tc>
          <w:tcPr>
            <w:tcW w:w="2006"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型号</w:t>
            </w:r>
          </w:p>
        </w:tc>
        <w:tc>
          <w:tcPr>
            <w:tcW w:w="4078"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参数</w:t>
            </w:r>
          </w:p>
        </w:tc>
        <w:tc>
          <w:tcPr>
            <w:tcW w:w="709"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数量</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充放电设备</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BNT 15-072-2ME</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0V~72V/15A 1kW,2CH,2CAN,6T6V</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温湿度环境舱</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ECT-1000-60-CP-AR</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r>
              <w:rPr>
                <w:rFonts w:cs="宋体" w:asciiTheme="minorEastAsia" w:hAnsiTheme="minorEastAsia"/>
                <w:color w:val="000000"/>
                <w:kern w:val="0"/>
                <w:sz w:val="18"/>
                <w:highlight w:val="none"/>
              </w:rPr>
              <w:t>立方单舱,-60~150C,10-98%H,泄压头,2层内托架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循环冷水机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F-20-40-H-BPRO</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测试联控系统</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BITS-4X</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4CH</w:t>
            </w:r>
            <w:r>
              <w:rPr>
                <w:rFonts w:cs="宋体" w:asciiTheme="minorEastAsia" w:hAnsiTheme="minorEastAsia"/>
                <w:color w:val="000000"/>
                <w:kern w:val="0"/>
                <w:sz w:val="18"/>
                <w:highlight w:val="none"/>
              </w:rPr>
              <w:t>，16DO8AO</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中央网关开发台架</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S32G demo</w:t>
            </w:r>
            <w:r>
              <w:rPr>
                <w:rFonts w:cs="宋体" w:asciiTheme="minorEastAsia" w:hAnsiTheme="minorEastAsia"/>
                <w:color w:val="000000"/>
                <w:kern w:val="0"/>
                <w:sz w:val="18"/>
                <w:highlight w:val="none"/>
              </w:rPr>
              <w:t>系统+车载以太网调试系统</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示波器</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MDO3024</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250M 4</w:t>
            </w:r>
            <w:r>
              <w:rPr>
                <w:rFonts w:cs="宋体" w:asciiTheme="minorEastAsia" w:hAnsiTheme="minorEastAsia"/>
                <w:color w:val="000000"/>
                <w:kern w:val="0"/>
                <w:sz w:val="18"/>
                <w:highlight w:val="none"/>
              </w:rPr>
              <w:t>通道 2.5G采样</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数采设备</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34972A+34901A+34902A</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钳流表</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U1213A</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675"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总线分析仪</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VN1630+DIVA+CANdela+CANape</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675"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处理器调试器</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LA-3500</w:t>
            </w:r>
            <w:r>
              <w:rPr>
                <w:rFonts w:cs="宋体" w:asciiTheme="minorEastAsia" w:hAnsiTheme="minorEastAsia"/>
                <w:color w:val="000000"/>
                <w:kern w:val="0"/>
                <w:sz w:val="18"/>
                <w:highlight w:val="none"/>
              </w:rPr>
              <w:t>，LA-3743，LA-7844</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炮塔铣床</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X6235</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母线加工机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SK303E-2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13</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钳工工作台</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150*100*80cm</w:t>
            </w:r>
            <w:r>
              <w:rPr>
                <w:rFonts w:cs="宋体" w:asciiTheme="minorEastAsia" w:hAnsiTheme="minorEastAsia"/>
                <w:color w:val="000000"/>
                <w:kern w:val="0"/>
                <w:sz w:val="18"/>
                <w:highlight w:val="none"/>
              </w:rPr>
              <w:t>，两抽屉</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301" w:hRule="atLeast"/>
          <w:jc w:val="center"/>
        </w:trPr>
        <w:tc>
          <w:tcPr>
            <w:tcW w:w="8946" w:type="dxa"/>
            <w:gridSpan w:val="6"/>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 w:val="24"/>
                <w:highlight w:val="none"/>
              </w:rPr>
            </w:pPr>
            <w:r>
              <w:rPr>
                <w:rFonts w:hint="eastAsia" w:cs="宋体" w:asciiTheme="minorEastAsia" w:hAnsiTheme="minorEastAsia"/>
                <w:b/>
                <w:bCs/>
                <w:color w:val="000000"/>
                <w:kern w:val="0"/>
                <w:sz w:val="24"/>
                <w:highlight w:val="none"/>
              </w:rPr>
              <w:t>新型实心电阻研发测试试制平台</w:t>
            </w:r>
          </w:p>
        </w:tc>
      </w:tr>
      <w:tr>
        <w:tblPrEx>
          <w:tblCellMar>
            <w:top w:w="15" w:type="dxa"/>
            <w:left w:w="108" w:type="dxa"/>
            <w:bottom w:w="15" w:type="dxa"/>
            <w:right w:w="108" w:type="dxa"/>
          </w:tblCellMar>
        </w:tblPrEx>
        <w:trPr>
          <w:trHeight w:val="301" w:hRule="atLeast"/>
          <w:jc w:val="center"/>
        </w:trPr>
        <w:tc>
          <w:tcPr>
            <w:tcW w:w="792" w:type="dxa"/>
            <w:gridSpan w:val="2"/>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序号</w:t>
            </w:r>
          </w:p>
        </w:tc>
        <w:tc>
          <w:tcPr>
            <w:tcW w:w="1361"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名称</w:t>
            </w:r>
          </w:p>
        </w:tc>
        <w:tc>
          <w:tcPr>
            <w:tcW w:w="2006"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型号</w:t>
            </w:r>
          </w:p>
        </w:tc>
        <w:tc>
          <w:tcPr>
            <w:tcW w:w="4078"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参数</w:t>
            </w:r>
          </w:p>
        </w:tc>
        <w:tc>
          <w:tcPr>
            <w:tcW w:w="709"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数量</w:t>
            </w:r>
          </w:p>
        </w:tc>
      </w:tr>
      <w:tr>
        <w:tblPrEx>
          <w:tblCellMar>
            <w:top w:w="15" w:type="dxa"/>
            <w:left w:w="108" w:type="dxa"/>
            <w:bottom w:w="15" w:type="dxa"/>
            <w:right w:w="108" w:type="dxa"/>
          </w:tblCellMar>
        </w:tblPrEx>
        <w:trPr>
          <w:trHeight w:val="705"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卧式油压挤出机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WS-2T</w:t>
            </w:r>
            <w:r>
              <w:rPr>
                <w:rFonts w:cs="宋体" w:asciiTheme="minorEastAsia" w:hAnsiTheme="minorEastAsia"/>
                <w:color w:val="000000"/>
                <w:kern w:val="0"/>
                <w:sz w:val="18"/>
                <w:highlight w:val="none"/>
              </w:rPr>
              <w:t xml:space="preserve">  2吨以上挤出压力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立式油压挤出机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LS-2T 2</w:t>
            </w:r>
            <w:r>
              <w:rPr>
                <w:rFonts w:cs="宋体" w:asciiTheme="minorEastAsia" w:hAnsiTheme="minorEastAsia"/>
                <w:color w:val="000000"/>
                <w:kern w:val="0"/>
                <w:sz w:val="18"/>
                <w:highlight w:val="none"/>
              </w:rPr>
              <w:t>吨垂直挤出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高速混粉机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TX-150HF</w:t>
            </w:r>
            <w:r>
              <w:rPr>
                <w:rFonts w:cs="宋体" w:asciiTheme="minorEastAsia" w:hAnsiTheme="minorEastAsia"/>
                <w:color w:val="000000"/>
                <w:kern w:val="0"/>
                <w:sz w:val="18"/>
                <w:highlight w:val="none"/>
              </w:rPr>
              <w:t xml:space="preserve">  150公斤单次混合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拌料机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TX-500B 500KG</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轧辊机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ZG-500D 100kg/h</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真空练泥机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TCSW-80A</w:t>
            </w:r>
            <w:r>
              <w:rPr>
                <w:rFonts w:cs="宋体" w:asciiTheme="minorEastAsia" w:hAnsiTheme="minorEastAsia"/>
                <w:color w:val="000000"/>
                <w:kern w:val="0"/>
                <w:sz w:val="18"/>
                <w:highlight w:val="none"/>
              </w:rPr>
              <w:t xml:space="preserve">  50kg/h）</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真空练泥机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TCSW-160A 150kg/h</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泥条生产线</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日产</w:t>
            </w:r>
            <w:r>
              <w:rPr>
                <w:rFonts w:cs="宋体" w:asciiTheme="minorEastAsia" w:hAnsiTheme="minorEastAsia"/>
                <w:color w:val="000000"/>
                <w:kern w:val="0"/>
                <w:sz w:val="18"/>
                <w:highlight w:val="none"/>
              </w:rPr>
              <w:t>4顿泥条  定制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大型球磨机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YDM-500</w:t>
            </w:r>
            <w:r>
              <w:rPr>
                <w:rFonts w:cs="宋体" w:asciiTheme="minorEastAsia" w:hAnsiTheme="minorEastAsia"/>
                <w:color w:val="000000"/>
                <w:kern w:val="0"/>
                <w:sz w:val="18"/>
                <w:highlight w:val="none"/>
              </w:rPr>
              <w:t xml:space="preserve">  500kg，带两个罐体</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模具</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定制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行星球磨机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XM-40L 40L</w:t>
            </w:r>
            <w:r>
              <w:rPr>
                <w:rFonts w:cs="宋体" w:asciiTheme="minorEastAsia" w:hAnsiTheme="minorEastAsia"/>
                <w:color w:val="000000"/>
                <w:kern w:val="0"/>
                <w:sz w:val="18"/>
                <w:highlight w:val="none"/>
              </w:rPr>
              <w:t>容量，不锈钢罐体（需要订做）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450"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高温钟罩炉高</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KLF1400 1400℃</w:t>
            </w:r>
            <w:r>
              <w:rPr>
                <w:rFonts w:cs="宋体" w:asciiTheme="minorEastAsia" w:hAnsiTheme="minorEastAsia"/>
                <w:color w:val="000000"/>
                <w:kern w:val="0"/>
                <w:sz w:val="18"/>
                <w:highlight w:val="none"/>
              </w:rPr>
              <w:t>，升温时间不超过3小时，温差不超过5℃</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13</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烘箱</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101-4AS</w:t>
            </w:r>
            <w:r>
              <w:rPr>
                <w:rFonts w:cs="宋体" w:asciiTheme="minorEastAsia" w:hAnsiTheme="minorEastAsia"/>
                <w:color w:val="000000"/>
                <w:kern w:val="0"/>
                <w:sz w:val="18"/>
                <w:highlight w:val="none"/>
              </w:rPr>
              <w:t xml:space="preserve">  不锈钢内胆1m³容量，400度恒温</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14</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试验马弗炉</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8kw</w:t>
            </w:r>
            <w:r>
              <w:rPr>
                <w:rFonts w:cs="宋体" w:asciiTheme="minorEastAsia" w:hAnsiTheme="minorEastAsia"/>
                <w:color w:val="000000"/>
                <w:kern w:val="0"/>
                <w:sz w:val="18"/>
                <w:highlight w:val="none"/>
              </w:rPr>
              <w:t>，10kw</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16</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无心磨床</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MT1040A 1-56MM</w:t>
            </w:r>
            <w:r>
              <w:rPr>
                <w:rFonts w:cs="宋体" w:asciiTheme="minorEastAsia" w:hAnsiTheme="minorEastAsia"/>
                <w:color w:val="000000"/>
                <w:kern w:val="0"/>
                <w:sz w:val="18"/>
                <w:highlight w:val="none"/>
              </w:rPr>
              <w:t>，高速陶瓷磨床</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17</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平面磨床</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M7140</w:t>
            </w:r>
            <w:r>
              <w:rPr>
                <w:rFonts w:cs="宋体" w:asciiTheme="minorEastAsia" w:hAnsiTheme="minorEastAsia"/>
                <w:color w:val="000000"/>
                <w:kern w:val="0"/>
                <w:sz w:val="18"/>
                <w:highlight w:val="none"/>
              </w:rPr>
              <w:t xml:space="preserve">  300*300MM台面，高速陶瓷磨床</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18</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分径机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 xml:space="preserve">2.5-10mm </w:t>
            </w:r>
            <w:r>
              <w:rPr>
                <w:rFonts w:cs="宋体" w:asciiTheme="minorEastAsia" w:hAnsiTheme="minorEastAsia"/>
                <w:color w:val="000000"/>
                <w:kern w:val="0"/>
                <w:sz w:val="18"/>
                <w:highlight w:val="none"/>
              </w:rPr>
              <w:t>定制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20</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分选机</w:t>
            </w:r>
            <w:r>
              <w:rPr>
                <w:rFonts w:cs="宋体" w:asciiTheme="minorEastAsia" w:hAnsiTheme="minorEastAsia"/>
                <w:color w:val="000000"/>
                <w:kern w:val="0"/>
                <w:sz w:val="18"/>
                <w:highlight w:val="none"/>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3.5*10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21</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分选机</w:t>
            </w:r>
            <w:r>
              <w:rPr>
                <w:rFonts w:cs="宋体" w:asciiTheme="minorEastAsia" w:hAnsiTheme="minorEastAsia"/>
                <w:color w:val="000000"/>
                <w:kern w:val="0"/>
                <w:sz w:val="18"/>
                <w:highlight w:val="none"/>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4*14</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22</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分选机</w:t>
            </w:r>
            <w:r>
              <w:rPr>
                <w:rFonts w:cs="宋体" w:asciiTheme="minorEastAsia" w:hAnsiTheme="minorEastAsia"/>
                <w:color w:val="000000"/>
                <w:kern w:val="0"/>
                <w:sz w:val="18"/>
                <w:highlight w:val="none"/>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5*16</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24</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压帽机</w:t>
            </w:r>
            <w:r>
              <w:rPr>
                <w:rFonts w:cs="宋体" w:asciiTheme="minorEastAsia" w:hAnsiTheme="minorEastAsia"/>
                <w:color w:val="000000"/>
                <w:kern w:val="0"/>
                <w:sz w:val="18"/>
                <w:highlight w:val="none"/>
              </w:rPr>
              <w:t>2</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3.5*10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25</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压帽机</w:t>
            </w:r>
            <w:r>
              <w:rPr>
                <w:rFonts w:cs="宋体" w:asciiTheme="minorEastAsia" w:hAnsiTheme="minorEastAsia"/>
                <w:color w:val="000000"/>
                <w:kern w:val="0"/>
                <w:sz w:val="18"/>
                <w:highlight w:val="none"/>
              </w:rPr>
              <w:t>3</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4*14</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26</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压帽机</w:t>
            </w:r>
            <w:r>
              <w:rPr>
                <w:rFonts w:cs="宋体" w:asciiTheme="minorEastAsia" w:hAnsiTheme="minorEastAsia"/>
                <w:color w:val="000000"/>
                <w:kern w:val="0"/>
                <w:sz w:val="18"/>
                <w:highlight w:val="none"/>
              </w:rPr>
              <w:t>4</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5*16</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27</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高压测试台</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TX-15K 15KV</w:t>
            </w:r>
            <w:r>
              <w:rPr>
                <w:rFonts w:cs="宋体" w:asciiTheme="minorEastAsia" w:hAnsiTheme="minorEastAsia"/>
                <w:color w:val="000000"/>
                <w:kern w:val="0"/>
                <w:sz w:val="18"/>
                <w:highlight w:val="none"/>
              </w:rPr>
              <w:t>高压输出，5kw长时间工作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28</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电阻测试仪</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 xml:space="preserve">TH-2515 </w:t>
            </w:r>
            <w:r>
              <w:rPr>
                <w:rFonts w:cs="宋体" w:asciiTheme="minorEastAsia" w:hAnsiTheme="minorEastAsia"/>
                <w:color w:val="000000"/>
                <w:kern w:val="0"/>
                <w:sz w:val="18"/>
                <w:highlight w:val="none"/>
              </w:rPr>
              <w:t>测试阻值1mΩ-200k</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CellMar>
            <w:top w:w="15" w:type="dxa"/>
            <w:left w:w="108" w:type="dxa"/>
            <w:bottom w:w="15" w:type="dxa"/>
            <w:right w:w="108" w:type="dxa"/>
          </w:tblCellMar>
        </w:tblPrEx>
        <w:trPr>
          <w:trHeight w:val="286" w:hRule="atLeast"/>
          <w:jc w:val="center"/>
        </w:trPr>
        <w:tc>
          <w:tcPr>
            <w:tcW w:w="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29</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工装夹具</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定制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301" w:hRule="atLeast"/>
          <w:jc w:val="center"/>
        </w:trPr>
        <w:tc>
          <w:tcPr>
            <w:tcW w:w="8946" w:type="dxa"/>
            <w:gridSpan w:val="6"/>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24"/>
                <w:highlight w:val="none"/>
              </w:rPr>
            </w:pPr>
            <w:r>
              <w:rPr>
                <w:rFonts w:hint="eastAsia" w:cs="宋体" w:asciiTheme="minorEastAsia" w:hAnsiTheme="minorEastAsia"/>
                <w:b/>
                <w:bCs/>
                <w:color w:val="000000"/>
                <w:kern w:val="0"/>
                <w:sz w:val="24"/>
                <w:highlight w:val="none"/>
              </w:rPr>
              <w:t>辅助工具</w:t>
            </w:r>
          </w:p>
        </w:tc>
      </w:tr>
      <w:tr>
        <w:tblPrEx>
          <w:tblCellMar>
            <w:top w:w="15" w:type="dxa"/>
            <w:left w:w="108" w:type="dxa"/>
            <w:bottom w:w="15" w:type="dxa"/>
            <w:right w:w="108" w:type="dxa"/>
          </w:tblCellMar>
        </w:tblPrEx>
        <w:trPr>
          <w:trHeight w:val="301"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18"/>
                <w:szCs w:val="18"/>
                <w:highlight w:val="none"/>
              </w:rPr>
            </w:pPr>
            <w:r>
              <w:rPr>
                <w:rFonts w:hint="eastAsia" w:cs="宋体" w:asciiTheme="minorEastAsia" w:hAnsiTheme="minorEastAsia"/>
                <w:b/>
                <w:bCs/>
                <w:color w:val="000000"/>
                <w:kern w:val="0"/>
                <w:sz w:val="18"/>
                <w:szCs w:val="18"/>
                <w:highlight w:val="none"/>
              </w:rPr>
              <w:t>序号</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18"/>
                <w:szCs w:val="18"/>
                <w:highlight w:val="none"/>
              </w:rPr>
            </w:pPr>
            <w:r>
              <w:rPr>
                <w:rFonts w:hint="eastAsia" w:cs="宋体" w:asciiTheme="minorEastAsia" w:hAnsiTheme="minorEastAsia"/>
                <w:b/>
                <w:bCs/>
                <w:color w:val="000000"/>
                <w:kern w:val="0"/>
                <w:sz w:val="18"/>
                <w:szCs w:val="18"/>
                <w:highlight w:val="none"/>
              </w:rPr>
              <w:t>名称</w:t>
            </w:r>
          </w:p>
        </w:tc>
        <w:tc>
          <w:tcPr>
            <w:tcW w:w="2006"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18"/>
                <w:szCs w:val="18"/>
                <w:highlight w:val="none"/>
              </w:rPr>
            </w:pPr>
            <w:r>
              <w:rPr>
                <w:rFonts w:hint="eastAsia" w:cs="宋体" w:asciiTheme="minorEastAsia" w:hAnsiTheme="minorEastAsia"/>
                <w:b/>
                <w:bCs/>
                <w:color w:val="000000"/>
                <w:kern w:val="0"/>
                <w:sz w:val="18"/>
                <w:szCs w:val="18"/>
                <w:highlight w:val="none"/>
              </w:rPr>
              <w:t>型号</w:t>
            </w:r>
          </w:p>
        </w:tc>
        <w:tc>
          <w:tcPr>
            <w:tcW w:w="4078"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18"/>
                <w:szCs w:val="18"/>
                <w:highlight w:val="none"/>
              </w:rPr>
            </w:pPr>
            <w:r>
              <w:rPr>
                <w:rFonts w:hint="eastAsia" w:cs="宋体" w:asciiTheme="minorEastAsia" w:hAnsiTheme="minorEastAsia"/>
                <w:b/>
                <w:bCs/>
                <w:color w:val="000000"/>
                <w:kern w:val="0"/>
                <w:sz w:val="18"/>
                <w:szCs w:val="18"/>
                <w:highlight w:val="none"/>
              </w:rPr>
              <w:t>参数</w:t>
            </w:r>
          </w:p>
        </w:tc>
        <w:tc>
          <w:tcPr>
            <w:tcW w:w="709"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rPr>
                <w:rFonts w:cs="宋体" w:asciiTheme="minorEastAsia" w:hAnsiTheme="minorEastAsia"/>
                <w:b/>
                <w:bCs/>
                <w:color w:val="000000"/>
                <w:kern w:val="0"/>
                <w:sz w:val="18"/>
                <w:szCs w:val="18"/>
                <w:highlight w:val="none"/>
              </w:rPr>
            </w:pPr>
            <w:r>
              <w:rPr>
                <w:rFonts w:hint="eastAsia" w:cs="宋体" w:asciiTheme="minorEastAsia" w:hAnsiTheme="minorEastAsia"/>
                <w:b/>
                <w:bCs/>
                <w:color w:val="000000"/>
                <w:kern w:val="0"/>
                <w:sz w:val="18"/>
                <w:szCs w:val="18"/>
                <w:highlight w:val="none"/>
              </w:rPr>
              <w:t>数量</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数控车床</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ck6150*1000</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工作台尺寸：1200mmX600mm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允许最大荷重：700KG</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T形槽尺寸：5-18-100Mm/个</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工作台最大行程X轴：1100mm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滑座最大行程Y轴：600mm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主轴最大行程Z轴：600mm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主轴端面至工作台距离：最大720mm，最小120mm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主轴中心到Z轴导轨面距离：622mm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锥孔：BT40Φ150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转数范围：8000r/min</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主轴电机功率：11KW</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快速移动：X轴 15m/min Y轴：18m/min Z轴：18m/min</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进给速度：1-10000m/min</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刀库形式：圆盘式</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刀库容量：24把</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换刀时间：2.5s</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精度检测标准：JISB6336-4；2000/GB/T18400.4-2010</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X/Y/Z轴 ±0.008</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X/Y/Z轴重复定位精度：±0.005</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机床尺寸（长宽高）：3100/2500/2800 mm</w:t>
            </w:r>
            <w:r>
              <w:rPr>
                <w:rFonts w:hint="eastAsia" w:cs="宋体" w:asciiTheme="minorEastAsia" w:hAnsiTheme="minorEastAsia"/>
                <w:color w:val="000000"/>
                <w:kern w:val="0"/>
                <w:sz w:val="18"/>
                <w:szCs w:val="18"/>
                <w:highlight w:val="none"/>
              </w:rPr>
              <w:br w:type="textWrapping"/>
            </w:r>
            <w:r>
              <w:rPr>
                <w:rFonts w:hint="eastAsia" w:cs="宋体" w:asciiTheme="minorEastAsia" w:hAnsiTheme="minorEastAsia"/>
                <w:color w:val="000000"/>
                <w:kern w:val="0"/>
                <w:sz w:val="18"/>
                <w:szCs w:val="18"/>
                <w:highlight w:val="none"/>
              </w:rPr>
              <w:t>机床约重：6500kg</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套筒装棘轮扳手</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9013</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86</w:t>
            </w:r>
            <w:r>
              <w:rPr>
                <w:rFonts w:cs="宋体" w:asciiTheme="minorEastAsia" w:hAnsiTheme="minorEastAsia"/>
                <w:color w:val="000000"/>
                <w:kern w:val="0"/>
                <w:sz w:val="18"/>
                <w:highlight w:val="none"/>
              </w:rPr>
              <w:t>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套</w:t>
            </w: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开口梅花扳手两用套装</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8018</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17</w:t>
            </w:r>
            <w:r>
              <w:rPr>
                <w:rFonts w:cs="宋体" w:asciiTheme="minorEastAsia" w:hAnsiTheme="minorEastAsia"/>
                <w:color w:val="000000"/>
                <w:kern w:val="0"/>
                <w:sz w:val="18"/>
                <w:highlight w:val="none"/>
              </w:rPr>
              <w:t>件  开口梅花两用扳手套装  （6—22mm）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套</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压线钳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91107</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个</w:t>
            </w: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绝缘端子钳压线钳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91105</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压线范围</w:t>
            </w:r>
            <w:r>
              <w:rPr>
                <w:rFonts w:cs="宋体" w:asciiTheme="minorEastAsia" w:hAnsiTheme="minorEastAsia"/>
                <w:color w:val="000000"/>
                <w:kern w:val="0"/>
                <w:sz w:val="18"/>
                <w:highlight w:val="none"/>
              </w:rPr>
              <w:t>0.5---6 mm2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个</w:t>
            </w:r>
          </w:p>
        </w:tc>
      </w:tr>
      <w:tr>
        <w:tblPrEx>
          <w:tblCellMar>
            <w:top w:w="15" w:type="dxa"/>
            <w:left w:w="108" w:type="dxa"/>
            <w:bottom w:w="15" w:type="dxa"/>
            <w:right w:w="108" w:type="dxa"/>
          </w:tblCellMar>
        </w:tblPrEx>
        <w:trPr>
          <w:trHeight w:val="301"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欧式端子压接钳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91118</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压线钳</w:t>
            </w:r>
            <w:r>
              <w:rPr>
                <w:rFonts w:cs="宋体" w:asciiTheme="minorEastAsia" w:hAnsiTheme="minorEastAsia"/>
                <w:color w:val="000000"/>
                <w:kern w:val="0"/>
                <w:sz w:val="18"/>
                <w:highlight w:val="none"/>
              </w:rPr>
              <w:t>7寸</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个</w:t>
            </w:r>
          </w:p>
        </w:tc>
      </w:tr>
      <w:tr>
        <w:tblPrEx>
          <w:tblCellMar>
            <w:top w:w="15" w:type="dxa"/>
            <w:left w:w="108" w:type="dxa"/>
            <w:bottom w:w="15" w:type="dxa"/>
            <w:right w:w="108" w:type="dxa"/>
          </w:tblCellMar>
        </w:tblPrEx>
        <w:trPr>
          <w:trHeight w:val="1095"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丝锥板牙套装</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T62422</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20</w:t>
            </w:r>
            <w:r>
              <w:rPr>
                <w:rFonts w:cs="宋体" w:asciiTheme="minorEastAsia" w:hAnsiTheme="minorEastAsia"/>
                <w:color w:val="000000"/>
                <w:kern w:val="0"/>
                <w:sz w:val="18"/>
                <w:highlight w:val="none"/>
              </w:rPr>
              <w:t>件                                                                             M3X0.5  M4X0.7 M5X08  M6X1 M7X1  M8X1.25  M9X1.25  M10X1.5 M12X1.75</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套</w:t>
            </w:r>
          </w:p>
        </w:tc>
      </w:tr>
      <w:tr>
        <w:tblPrEx>
          <w:tblCellMar>
            <w:top w:w="15" w:type="dxa"/>
            <w:left w:w="108" w:type="dxa"/>
            <w:bottom w:w="15" w:type="dxa"/>
            <w:right w:w="108" w:type="dxa"/>
          </w:tblCellMar>
        </w:tblPrEx>
        <w:trPr>
          <w:trHeight w:val="301"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数显卡尺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DL91150</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0-150mm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把</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11</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游标卡尺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DL92300</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内径外径卡尺</w:t>
            </w:r>
            <w:r>
              <w:rPr>
                <w:rFonts w:cs="宋体" w:asciiTheme="minorEastAsia" w:hAnsiTheme="minorEastAsia"/>
                <w:color w:val="000000"/>
                <w:kern w:val="0"/>
                <w:sz w:val="18"/>
                <w:highlight w:val="none"/>
              </w:rPr>
              <w:t>300mm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把</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13</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台钳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r>
              <w:rPr>
                <w:rFonts w:cs="宋体" w:asciiTheme="minorEastAsia" w:hAnsiTheme="minorEastAsia"/>
                <w:color w:val="000000"/>
                <w:kern w:val="0"/>
                <w:sz w:val="18"/>
                <w:highlight w:val="none"/>
              </w:rPr>
              <w:t>寸轻型23斤</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台</w:t>
            </w: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15</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电缆端子液压接钳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YYQ-240</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16-240mm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把</w:t>
            </w: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16</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数显扭力扳手套装</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DPE2-006BN</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1/4</w:t>
            </w:r>
            <w:r>
              <w:rPr>
                <w:rFonts w:cs="宋体" w:asciiTheme="minorEastAsia" w:hAnsiTheme="minorEastAsia"/>
                <w:color w:val="000000"/>
                <w:kern w:val="0"/>
                <w:sz w:val="18"/>
                <w:highlight w:val="none"/>
              </w:rPr>
              <w:t>方0.3-6Nm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套</w:t>
            </w: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17</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数显扭力扳手</w:t>
            </w:r>
            <w:r>
              <w:rPr>
                <w:rFonts w:cs="宋体" w:asciiTheme="minorEastAsia" w:hAnsiTheme="minorEastAsia"/>
                <w:color w:val="000000"/>
                <w:kern w:val="0"/>
                <w:sz w:val="18"/>
                <w:highlight w:val="none"/>
              </w:rPr>
              <w:t>WE4-340BN</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1517147973</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WE4-340BN</w:t>
            </w:r>
            <w:r>
              <w:rPr>
                <w:rFonts w:cs="宋体" w:asciiTheme="minorEastAsia" w:hAnsiTheme="minorEastAsia"/>
                <w:color w:val="000000"/>
                <w:kern w:val="0"/>
                <w:sz w:val="18"/>
                <w:highlight w:val="none"/>
              </w:rPr>
              <w:t xml:space="preserve">  1/2 17-340NM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把</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18</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数显扭力扳手</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DMEC2-020BN</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1/4 1-20Nm</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把</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19</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千分表</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1.00E+11</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直径</w:t>
            </w:r>
            <w:r>
              <w:rPr>
                <w:rFonts w:cs="宋体" w:asciiTheme="minorEastAsia" w:hAnsiTheme="minorEastAsia"/>
                <w:color w:val="000000"/>
                <w:kern w:val="0"/>
                <w:sz w:val="18"/>
                <w:highlight w:val="none"/>
              </w:rPr>
              <w:t>60分度值0.001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个</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20</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龙门夹管钳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重型</w:t>
            </w:r>
            <w:r>
              <w:rPr>
                <w:rFonts w:cs="宋体" w:asciiTheme="minorEastAsia" w:hAnsiTheme="minorEastAsia"/>
                <w:color w:val="000000"/>
                <w:kern w:val="0"/>
                <w:sz w:val="18"/>
                <w:highlight w:val="none"/>
              </w:rPr>
              <w:t>3#开口</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个</w:t>
            </w:r>
          </w:p>
        </w:tc>
      </w:tr>
      <w:tr>
        <w:tblPrEx>
          <w:tblCellMar>
            <w:top w:w="15" w:type="dxa"/>
            <w:left w:w="108" w:type="dxa"/>
            <w:bottom w:w="15" w:type="dxa"/>
            <w:right w:w="108" w:type="dxa"/>
          </w:tblCellMar>
        </w:tblPrEx>
        <w:trPr>
          <w:trHeight w:val="301"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22</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重型管子钳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70816</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18</w:t>
            </w:r>
            <w:r>
              <w:rPr>
                <w:rFonts w:cs="宋体" w:asciiTheme="minorEastAsia" w:hAnsiTheme="minorEastAsia"/>
                <w:color w:val="000000"/>
                <w:kern w:val="0"/>
                <w:sz w:val="18"/>
                <w:highlight w:val="none"/>
              </w:rPr>
              <w:t>寸</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把</w:t>
            </w: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23</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镀锌管铁管手动攻丝器</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北力</w:t>
            </w:r>
            <w:r>
              <w:rPr>
                <w:rFonts w:cs="宋体" w:asciiTheme="minorEastAsia" w:hAnsiTheme="minorEastAsia"/>
                <w:color w:val="000000"/>
                <w:kern w:val="0"/>
                <w:sz w:val="18"/>
                <w:highlight w:val="none"/>
              </w:rPr>
              <w:t>114套丝器，2#台虎钳，2#割刀</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把</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26</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开口两用扳手</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8009</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r>
              <w:rPr>
                <w:rFonts w:cs="宋体" w:asciiTheme="minorEastAsia" w:hAnsiTheme="minorEastAsia"/>
                <w:color w:val="000000"/>
                <w:kern w:val="0"/>
                <w:sz w:val="18"/>
                <w:highlight w:val="none"/>
              </w:rPr>
              <w:t>件套全抛光双开口扳手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套</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28</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欧式端子压接钳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91118</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压线钳</w:t>
            </w:r>
            <w:r>
              <w:rPr>
                <w:rFonts w:cs="宋体" w:asciiTheme="minorEastAsia" w:hAnsiTheme="minorEastAsia"/>
                <w:color w:val="000000"/>
                <w:kern w:val="0"/>
                <w:sz w:val="18"/>
                <w:highlight w:val="none"/>
              </w:rPr>
              <w:t>7寸</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个</w:t>
            </w: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29</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绝缘端子钳压线钳</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91105</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压线范围</w:t>
            </w:r>
            <w:r>
              <w:rPr>
                <w:rFonts w:cs="宋体" w:asciiTheme="minorEastAsia" w:hAnsiTheme="minorEastAsia"/>
                <w:color w:val="000000"/>
                <w:kern w:val="0"/>
                <w:sz w:val="18"/>
                <w:highlight w:val="none"/>
              </w:rPr>
              <w:t>0.5---6 mm2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个</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30</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充电钻</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4672676</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TSP1080-2-LI</w:t>
            </w:r>
            <w:r>
              <w:rPr>
                <w:rFonts w:cs="宋体" w:asciiTheme="minorEastAsia" w:hAnsiTheme="minorEastAsia"/>
                <w:color w:val="000000"/>
                <w:kern w:val="0"/>
                <w:sz w:val="18"/>
                <w:highlight w:val="none"/>
              </w:rPr>
              <w:t>双电版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台</w:t>
            </w: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32</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角磨机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Bosch</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25839577067 TWS6700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33</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电钻冲击钻</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Bosch</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TSB1300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34</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手动液压搬运车</w:t>
            </w:r>
            <w:r>
              <w:rPr>
                <w:rFonts w:cs="宋体" w:asciiTheme="minorEastAsia" w:hAnsiTheme="minorEastAsia"/>
                <w:color w:val="000000"/>
                <w:kern w:val="0"/>
                <w:sz w:val="18"/>
                <w:highlight w:val="none"/>
              </w:rPr>
              <w:t>2.5吨</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诺力</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重型</w:t>
            </w:r>
            <w:r>
              <w:rPr>
                <w:rFonts w:cs="宋体" w:asciiTheme="minorEastAsia" w:hAnsiTheme="minorEastAsia"/>
                <w:color w:val="000000"/>
                <w:kern w:val="0"/>
                <w:sz w:val="18"/>
                <w:highlight w:val="none"/>
              </w:rPr>
              <w:t>DF2.5吨宽550叉长1150尼龙轮</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r>
      <w:tr>
        <w:tblPrEx>
          <w:tblCellMar>
            <w:top w:w="15" w:type="dxa"/>
            <w:left w:w="108" w:type="dxa"/>
            <w:bottom w:w="15" w:type="dxa"/>
            <w:right w:w="108" w:type="dxa"/>
          </w:tblCellMar>
        </w:tblPrEx>
        <w:trPr>
          <w:trHeight w:val="28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35</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台式钻床</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Z516B</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36</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除尘砂轮机</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MC3050B/M3350B</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r>
      <w:tr>
        <w:tblPrEx>
          <w:tblCellMar>
            <w:top w:w="15" w:type="dxa"/>
            <w:left w:w="108" w:type="dxa"/>
            <w:bottom w:w="15" w:type="dxa"/>
            <w:right w:w="108" w:type="dxa"/>
          </w:tblCellMar>
        </w:tblPrEx>
        <w:trPr>
          <w:trHeight w:val="787"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37</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好汉二保焊机</w:t>
            </w:r>
            <w:r>
              <w:rPr>
                <w:rFonts w:cs="宋体" w:asciiTheme="minorEastAsia" w:hAnsiTheme="minorEastAsia"/>
                <w:color w:val="000000"/>
                <w:kern w:val="0"/>
                <w:sz w:val="18"/>
                <w:highlight w:val="none"/>
              </w:rPr>
              <w:t>350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细丝</w:t>
            </w:r>
            <w:r>
              <w:rPr>
                <w:rFonts w:cs="宋体" w:asciiTheme="minorEastAsia" w:hAnsiTheme="minorEastAsia"/>
                <w:color w:val="000000"/>
                <w:kern w:val="0"/>
                <w:sz w:val="18"/>
                <w:highlight w:val="none"/>
              </w:rPr>
              <w:t>0.8~1.2 mm中丝1.2~1.4 mm粗丝 1.4~1.6mm</w:t>
            </w: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4960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r>
      <w:tr>
        <w:tblPrEx>
          <w:tblCellMar>
            <w:top w:w="15" w:type="dxa"/>
            <w:left w:w="108" w:type="dxa"/>
            <w:bottom w:w="15"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38</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台钻变铣床专用台钳</w:t>
            </w:r>
            <w:r>
              <w:rPr>
                <w:rFonts w:cs="宋体" w:asciiTheme="minorEastAsia" w:hAnsiTheme="minorEastAsia"/>
                <w:color w:val="000000"/>
                <w:kern w:val="0"/>
                <w:sz w:val="18"/>
                <w:highlight w:val="none"/>
              </w:rPr>
              <w:t xml:space="preserve"> 3寸</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highlight w:val="none"/>
              </w:rPr>
            </w:pPr>
          </w:p>
        </w:tc>
        <w:tc>
          <w:tcPr>
            <w:tcW w:w="407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8946" w:type="dxa"/>
            <w:gridSpan w:val="6"/>
            <w:shd w:val="clear" w:color="auto" w:fill="BDD7EE"/>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高性能计算作业管理平台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序号</w:t>
            </w:r>
          </w:p>
        </w:tc>
        <w:tc>
          <w:tcPr>
            <w:tcW w:w="1429" w:type="dxa"/>
            <w:gridSpan w:val="2"/>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名称</w:t>
            </w:r>
          </w:p>
        </w:tc>
        <w:tc>
          <w:tcPr>
            <w:tcW w:w="2006"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型号</w:t>
            </w:r>
          </w:p>
        </w:tc>
        <w:tc>
          <w:tcPr>
            <w:tcW w:w="4078"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参数</w:t>
            </w:r>
          </w:p>
        </w:tc>
        <w:tc>
          <w:tcPr>
            <w:tcW w:w="709"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计算节点(6240R+192GB)</w:t>
            </w:r>
          </w:p>
        </w:tc>
        <w:tc>
          <w:tcPr>
            <w:tcW w:w="2006"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DellEMC PowerEdge R740</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2颗 6240R 2.4G, 24C/48T, 10C/12根16GB/2块480GB SSD/4口千兆/万兆网口/5年白金含紧急派件服务</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管理节点(AMD+64GB)</w:t>
            </w:r>
          </w:p>
        </w:tc>
        <w:tc>
          <w:tcPr>
            <w:tcW w:w="2006"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DellEMC PowerEdge R740</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PowerEdge R7515 服务器  AMD EPYC 7402P 2.80GHz, 24C/48T 2 32GB RDIMM    5*2.4TB 10K RPM SAS 12Gbps 512e 2.5英寸热插拔硬盘  /双口万兆网口/5年白金含紧急派件服务</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存储节点(4210R+128GB)</w:t>
            </w:r>
          </w:p>
        </w:tc>
        <w:tc>
          <w:tcPr>
            <w:tcW w:w="2006"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DellEMC PowerEdge R740XD2</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2颗4210R/4根32GB/8*1920GB SSD/16块8TB SAS/4口千兆/双口万兆网卡//5年白金含紧急派件服务</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千兆交换机</w:t>
            </w:r>
          </w:p>
        </w:tc>
        <w:tc>
          <w:tcPr>
            <w:tcW w:w="2006"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DellEMC Networking N1548</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48个1Gb/5Yr服务</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万兆交换机</w:t>
            </w:r>
          </w:p>
        </w:tc>
        <w:tc>
          <w:tcPr>
            <w:tcW w:w="2006"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Mellanox SB7590</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24口万兆交换机含原厂模块</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模块化机柜</w:t>
            </w:r>
          </w:p>
        </w:tc>
        <w:tc>
          <w:tcPr>
            <w:tcW w:w="2006"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IMDC ONE</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DELL 机柜  含PDU</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CS-PBSSR-05</w:t>
            </w:r>
          </w:p>
        </w:tc>
        <w:tc>
          <w:tcPr>
            <w:tcW w:w="2006"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服务端(pbsmanage_server)</w:t>
            </w:r>
          </w:p>
        </w:tc>
        <w:tc>
          <w:tcPr>
            <w:tcW w:w="4078"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CS-PBSSR-05</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CS-PBSCM-05</w:t>
            </w:r>
          </w:p>
        </w:tc>
        <w:tc>
          <w:tcPr>
            <w:tcW w:w="2006"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客户端(PBS_Manager)</w:t>
            </w:r>
          </w:p>
        </w:tc>
        <w:tc>
          <w:tcPr>
            <w:tcW w:w="4078"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CS-PBSCM-05</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CS-PBSLM-05</w:t>
            </w:r>
          </w:p>
        </w:tc>
        <w:tc>
          <w:tcPr>
            <w:tcW w:w="2006"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使用license</w:t>
            </w:r>
          </w:p>
        </w:tc>
        <w:tc>
          <w:tcPr>
            <w:tcW w:w="4078"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CS-PBSLM-05</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CS-SOF-05</w:t>
            </w:r>
          </w:p>
        </w:tc>
        <w:tc>
          <w:tcPr>
            <w:tcW w:w="2006"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客户化设计、系统分析、安装、调试、上线试运行、正式验收</w:t>
            </w:r>
          </w:p>
        </w:tc>
        <w:tc>
          <w:tcPr>
            <w:tcW w:w="4078"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CS-SOF-05</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CS-TRN-05</w:t>
            </w:r>
          </w:p>
        </w:tc>
        <w:tc>
          <w:tcPr>
            <w:tcW w:w="2006"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用户操作培训、系统管理员培训</w:t>
            </w:r>
          </w:p>
        </w:tc>
        <w:tc>
          <w:tcPr>
            <w:tcW w:w="4078" w:type="dxa"/>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CS-TRN-05</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软件文档</w:t>
            </w:r>
          </w:p>
        </w:tc>
        <w:tc>
          <w:tcPr>
            <w:tcW w:w="2006"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用户操作手册系统、管理员维护手册</w:t>
            </w:r>
          </w:p>
        </w:tc>
        <w:tc>
          <w:tcPr>
            <w:tcW w:w="4078" w:type="dxa"/>
            <w:vAlign w:val="center"/>
          </w:tcPr>
          <w:p>
            <w:pPr>
              <w:jc w:val="center"/>
              <w:rPr>
                <w:rFonts w:cs="宋体" w:asciiTheme="minorEastAsia" w:hAnsiTheme="minorEastAsia"/>
                <w:color w:val="000000"/>
                <w:kern w:val="0"/>
                <w:sz w:val="18"/>
                <w:szCs w:val="18"/>
                <w:highlight w:val="none"/>
              </w:rPr>
            </w:pP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Merge w:val="restart"/>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Merge w:val="restart"/>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FAS-CT-01</w:t>
            </w:r>
          </w:p>
        </w:tc>
        <w:tc>
          <w:tcPr>
            <w:tcW w:w="2006" w:type="dxa"/>
            <w:vAlign w:val="center"/>
          </w:tcPr>
          <w:p>
            <w:pP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CFD-FASTRAN Density Based Solver</w:t>
            </w:r>
          </w:p>
        </w:tc>
        <w:tc>
          <w:tcPr>
            <w:tcW w:w="4078" w:type="dxa"/>
            <w:vAlign w:val="center"/>
          </w:tcPr>
          <w:p>
            <w:pPr>
              <w:jc w:val="center"/>
              <w:rPr>
                <w:rFonts w:ascii="Calibri" w:hAnsi="Calibri" w:cs="宋体"/>
                <w:color w:val="000000"/>
                <w:sz w:val="18"/>
                <w:szCs w:val="18"/>
                <w:highlight w:val="none"/>
              </w:rPr>
            </w:pPr>
            <w:r>
              <w:rPr>
                <w:rFonts w:ascii="Calibri" w:hAnsi="Calibri"/>
                <w:color w:val="000000"/>
                <w:sz w:val="18"/>
                <w:szCs w:val="18"/>
                <w:highlight w:val="none"/>
              </w:rPr>
              <w:t>FAS-S-04</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Merge w:val="continue"/>
            <w:vAlign w:val="center"/>
          </w:tcPr>
          <w:p>
            <w:pPr>
              <w:widowControl/>
              <w:jc w:val="right"/>
              <w:rPr>
                <w:rFonts w:cs="宋体" w:asciiTheme="minorEastAsia" w:hAnsiTheme="minorEastAsia"/>
                <w:color w:val="000000"/>
                <w:kern w:val="0"/>
                <w:sz w:val="18"/>
                <w:szCs w:val="18"/>
                <w:highlight w:val="none"/>
              </w:rPr>
            </w:pPr>
          </w:p>
        </w:tc>
        <w:tc>
          <w:tcPr>
            <w:tcW w:w="1429" w:type="dxa"/>
            <w:gridSpan w:val="2"/>
            <w:vMerge w:val="continue"/>
            <w:vAlign w:val="center"/>
          </w:tcPr>
          <w:p>
            <w:pPr>
              <w:jc w:val="center"/>
              <w:rPr>
                <w:rFonts w:cs="宋体" w:asciiTheme="minorEastAsia" w:hAnsiTheme="minorEastAsia"/>
                <w:color w:val="000000"/>
                <w:kern w:val="0"/>
                <w:sz w:val="18"/>
                <w:szCs w:val="18"/>
                <w:highlight w:val="none"/>
              </w:rPr>
            </w:pPr>
          </w:p>
        </w:tc>
        <w:tc>
          <w:tcPr>
            <w:tcW w:w="2006" w:type="dxa"/>
            <w:vAlign w:val="center"/>
          </w:tcPr>
          <w:p>
            <w:pPr>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CFD-GEOM Geometry Modeler and</w:t>
            </w:r>
            <w:r>
              <w:rPr>
                <w:rFonts w:hint="eastAsia" w:cs="宋体" w:asciiTheme="minorEastAsia" w:hAnsiTheme="minorEastAsia"/>
                <w:color w:val="000000"/>
                <w:kern w:val="0"/>
                <w:sz w:val="18"/>
                <w:szCs w:val="18"/>
                <w:highlight w:val="none"/>
              </w:rPr>
              <w:t xml:space="preserve"> </w:t>
            </w:r>
            <w:r>
              <w:rPr>
                <w:rFonts w:cs="宋体" w:asciiTheme="minorEastAsia" w:hAnsiTheme="minorEastAsia"/>
                <w:color w:val="000000"/>
                <w:kern w:val="0"/>
                <w:sz w:val="18"/>
                <w:szCs w:val="18"/>
                <w:highlight w:val="none"/>
              </w:rPr>
              <w:t>Mesh Generator (preprocessor)</w:t>
            </w:r>
          </w:p>
        </w:tc>
        <w:tc>
          <w:tcPr>
            <w:tcW w:w="4078" w:type="dxa"/>
            <w:vAlign w:val="center"/>
          </w:tcPr>
          <w:p>
            <w:pPr>
              <w:jc w:val="center"/>
              <w:rPr>
                <w:rFonts w:ascii="Calibri" w:hAnsi="Calibri" w:cs="宋体"/>
                <w:color w:val="000000"/>
                <w:sz w:val="18"/>
                <w:szCs w:val="18"/>
                <w:highlight w:val="none"/>
              </w:rPr>
            </w:pPr>
            <w:r>
              <w:rPr>
                <w:rFonts w:ascii="Calibri" w:hAnsi="Calibri"/>
                <w:color w:val="000000"/>
                <w:sz w:val="18"/>
                <w:szCs w:val="18"/>
                <w:highlight w:val="none"/>
              </w:rPr>
              <w:t>FAS-E-02</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Merge w:val="continue"/>
            <w:vAlign w:val="center"/>
          </w:tcPr>
          <w:p>
            <w:pPr>
              <w:widowControl/>
              <w:jc w:val="right"/>
              <w:rPr>
                <w:rFonts w:cs="宋体" w:asciiTheme="minorEastAsia" w:hAnsiTheme="minorEastAsia"/>
                <w:color w:val="000000"/>
                <w:kern w:val="0"/>
                <w:sz w:val="18"/>
                <w:szCs w:val="18"/>
                <w:highlight w:val="none"/>
              </w:rPr>
            </w:pPr>
          </w:p>
        </w:tc>
        <w:tc>
          <w:tcPr>
            <w:tcW w:w="1429" w:type="dxa"/>
            <w:gridSpan w:val="2"/>
            <w:vMerge w:val="continue"/>
            <w:vAlign w:val="center"/>
          </w:tcPr>
          <w:p>
            <w:pPr>
              <w:jc w:val="center"/>
              <w:rPr>
                <w:rFonts w:cs="宋体" w:asciiTheme="minorEastAsia" w:hAnsiTheme="minorEastAsia"/>
                <w:color w:val="000000"/>
                <w:kern w:val="0"/>
                <w:sz w:val="18"/>
                <w:szCs w:val="18"/>
                <w:highlight w:val="none"/>
              </w:rPr>
            </w:pPr>
          </w:p>
        </w:tc>
        <w:tc>
          <w:tcPr>
            <w:tcW w:w="2006" w:type="dxa"/>
            <w:vAlign w:val="center"/>
          </w:tcPr>
          <w:p>
            <w:pP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CFD-VIEW</w:t>
            </w:r>
            <w:r>
              <w:rPr>
                <w:rFonts w:hint="eastAsia" w:cs="宋体" w:asciiTheme="minorEastAsia" w:hAnsiTheme="minorEastAsia"/>
                <w:color w:val="000000"/>
                <w:kern w:val="0"/>
                <w:sz w:val="18"/>
                <w:szCs w:val="18"/>
                <w:highlight w:val="none"/>
              </w:rPr>
              <w:t xml:space="preserve"> </w:t>
            </w:r>
            <w:r>
              <w:rPr>
                <w:rFonts w:cs="宋体" w:asciiTheme="minorEastAsia" w:hAnsiTheme="minorEastAsia"/>
                <w:color w:val="000000"/>
                <w:kern w:val="0"/>
                <w:sz w:val="18"/>
                <w:szCs w:val="18"/>
                <w:highlight w:val="none"/>
              </w:rPr>
              <w:t>Data Analysis</w:t>
            </w:r>
            <w:r>
              <w:rPr>
                <w:rFonts w:hint="eastAsia" w:cs="宋体" w:asciiTheme="minorEastAsia" w:hAnsiTheme="minorEastAsia"/>
                <w:color w:val="000000"/>
                <w:kern w:val="0"/>
                <w:sz w:val="18"/>
                <w:szCs w:val="18"/>
                <w:highlight w:val="none"/>
              </w:rPr>
              <w:t xml:space="preserve"> </w:t>
            </w:r>
            <w:r>
              <w:rPr>
                <w:rFonts w:cs="宋体" w:asciiTheme="minorEastAsia" w:hAnsiTheme="minorEastAsia"/>
                <w:color w:val="000000"/>
                <w:kern w:val="0"/>
                <w:sz w:val="18"/>
                <w:szCs w:val="18"/>
                <w:highlight w:val="none"/>
              </w:rPr>
              <w:t>and Visualization (postprocessor)</w:t>
            </w:r>
          </w:p>
        </w:tc>
        <w:tc>
          <w:tcPr>
            <w:tcW w:w="4078" w:type="dxa"/>
            <w:vAlign w:val="center"/>
          </w:tcPr>
          <w:p>
            <w:pPr>
              <w:jc w:val="center"/>
              <w:rPr>
                <w:rFonts w:ascii="Calibri" w:hAnsi="Calibri" w:cs="宋体"/>
                <w:color w:val="000000"/>
                <w:sz w:val="18"/>
                <w:szCs w:val="18"/>
                <w:highlight w:val="none"/>
              </w:rPr>
            </w:pPr>
            <w:r>
              <w:rPr>
                <w:rFonts w:ascii="Calibri" w:hAnsi="Calibri"/>
                <w:color w:val="000000"/>
                <w:sz w:val="18"/>
                <w:szCs w:val="18"/>
                <w:highlight w:val="none"/>
              </w:rPr>
              <w:t>FAS-E-03</w:t>
            </w: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FAS</w:t>
            </w:r>
            <w:r>
              <w:rPr>
                <w:rFonts w:cs="宋体" w:asciiTheme="minorEastAsia" w:hAnsiTheme="minorEastAsia"/>
                <w:color w:val="000000"/>
                <w:kern w:val="0"/>
                <w:sz w:val="18"/>
                <w:szCs w:val="18"/>
                <w:highlight w:val="none"/>
              </w:rPr>
              <w:t>-S-</w:t>
            </w:r>
            <w:r>
              <w:rPr>
                <w:rFonts w:hint="eastAsia" w:cs="宋体" w:asciiTheme="minorEastAsia" w:hAnsiTheme="minorEastAsia"/>
                <w:color w:val="000000"/>
                <w:kern w:val="0"/>
                <w:sz w:val="18"/>
                <w:szCs w:val="18"/>
                <w:highlight w:val="none"/>
              </w:rPr>
              <w:t>06</w:t>
            </w:r>
          </w:p>
        </w:tc>
        <w:tc>
          <w:tcPr>
            <w:tcW w:w="2006" w:type="dxa"/>
            <w:vAlign w:val="center"/>
          </w:tcPr>
          <w:p>
            <w:pP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CFD Parallel 4</w:t>
            </w:r>
          </w:p>
        </w:tc>
        <w:tc>
          <w:tcPr>
            <w:tcW w:w="4078" w:type="dxa"/>
            <w:vAlign w:val="center"/>
          </w:tcPr>
          <w:p>
            <w:pPr>
              <w:jc w:val="center"/>
              <w:rPr>
                <w:rFonts w:cs="Arial" w:asciiTheme="minorEastAsia" w:hAnsiTheme="minorEastAsia"/>
                <w:b/>
                <w:bCs/>
                <w:color w:val="000000"/>
                <w:szCs w:val="21"/>
                <w:highlight w:val="none"/>
              </w:rPr>
            </w:pP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numPr>
                <w:ilvl w:val="0"/>
                <w:numId w:val="11"/>
              </w:numPr>
              <w:ind w:firstLineChars="0"/>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5个工作日高级培训</w:t>
            </w:r>
          </w:p>
        </w:tc>
        <w:tc>
          <w:tcPr>
            <w:tcW w:w="2006" w:type="dxa"/>
            <w:vAlign w:val="center"/>
          </w:tcPr>
          <w:p>
            <w:pPr>
              <w:widowControl/>
              <w:jc w:val="center"/>
              <w:rPr>
                <w:rFonts w:cs="Arial" w:asciiTheme="minorEastAsia" w:hAnsiTheme="minorEastAsia"/>
                <w:b/>
                <w:bCs/>
                <w:color w:val="000000"/>
                <w:szCs w:val="21"/>
                <w:highlight w:val="none"/>
              </w:rPr>
            </w:pPr>
          </w:p>
        </w:tc>
        <w:tc>
          <w:tcPr>
            <w:tcW w:w="4078" w:type="dxa"/>
            <w:vAlign w:val="center"/>
          </w:tcPr>
          <w:p>
            <w:pPr>
              <w:jc w:val="center"/>
              <w:rPr>
                <w:rFonts w:cs="Arial" w:asciiTheme="minorEastAsia" w:hAnsiTheme="minorEastAsia"/>
                <w:b/>
                <w:bCs/>
                <w:color w:val="000000"/>
                <w:szCs w:val="21"/>
                <w:highlight w:val="none"/>
              </w:rPr>
            </w:pPr>
          </w:p>
        </w:tc>
        <w:tc>
          <w:tcPr>
            <w:tcW w:w="709" w:type="dxa"/>
            <w:vAlign w:val="center"/>
          </w:tcPr>
          <w:p>
            <w:pPr>
              <w:jc w:val="center"/>
              <w:rPr>
                <w:rFonts w:cs="Arial" w:asciiTheme="minorEastAsia" w:hAnsiTheme="minorEastAsia"/>
                <w:b/>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widowControl/>
              <w:numPr>
                <w:ilvl w:val="0"/>
                <w:numId w:val="11"/>
              </w:numPr>
              <w:jc w:val="right"/>
              <w:rPr>
                <w:rFonts w:cs="宋体" w:asciiTheme="minorEastAsia" w:hAnsiTheme="minorEastAsia"/>
                <w:color w:val="000000"/>
                <w:kern w:val="0"/>
                <w:sz w:val="18"/>
                <w:szCs w:val="18"/>
                <w:highlight w:val="none"/>
              </w:rPr>
            </w:pPr>
          </w:p>
        </w:tc>
        <w:tc>
          <w:tcPr>
            <w:tcW w:w="1429" w:type="dxa"/>
            <w:gridSpan w:val="2"/>
            <w:vAlign w:val="center"/>
          </w:tcPr>
          <w:p>
            <w:pPr>
              <w:jc w:val="center"/>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安装调试</w:t>
            </w:r>
          </w:p>
        </w:tc>
        <w:tc>
          <w:tcPr>
            <w:tcW w:w="2006" w:type="dxa"/>
            <w:vAlign w:val="center"/>
          </w:tcPr>
          <w:p>
            <w:pPr>
              <w:widowControl/>
              <w:jc w:val="center"/>
              <w:rPr>
                <w:rFonts w:cs="Arial" w:asciiTheme="minorEastAsia" w:hAnsiTheme="minorEastAsia"/>
                <w:b/>
                <w:bCs/>
                <w:color w:val="000000"/>
                <w:szCs w:val="21"/>
                <w:highlight w:val="none"/>
              </w:rPr>
            </w:pPr>
          </w:p>
        </w:tc>
        <w:tc>
          <w:tcPr>
            <w:tcW w:w="4078" w:type="dxa"/>
            <w:vAlign w:val="center"/>
          </w:tcPr>
          <w:p>
            <w:pPr>
              <w:jc w:val="center"/>
              <w:rPr>
                <w:rFonts w:cs="Arial" w:asciiTheme="minorEastAsia" w:hAnsiTheme="minorEastAsia"/>
                <w:b/>
                <w:bCs/>
                <w:color w:val="000000"/>
                <w:szCs w:val="21"/>
                <w:highlight w:val="none"/>
              </w:rPr>
            </w:pPr>
          </w:p>
        </w:tc>
        <w:tc>
          <w:tcPr>
            <w:tcW w:w="709" w:type="dxa"/>
            <w:vAlign w:val="center"/>
          </w:tcPr>
          <w:p>
            <w:pPr>
              <w:jc w:val="center"/>
              <w:rPr>
                <w:rFonts w:cs="Arial" w:asciiTheme="minorEastAsia" w:hAnsiTheme="minorEastAsia"/>
                <w:b/>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8946" w:type="dxa"/>
            <w:gridSpan w:val="6"/>
            <w:shd w:val="clear" w:color="auto" w:fill="BDD7EE"/>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微生物设备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序号</w:t>
            </w:r>
          </w:p>
        </w:tc>
        <w:tc>
          <w:tcPr>
            <w:tcW w:w="1429" w:type="dxa"/>
            <w:gridSpan w:val="2"/>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名称</w:t>
            </w:r>
          </w:p>
        </w:tc>
        <w:tc>
          <w:tcPr>
            <w:tcW w:w="2006"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型号</w:t>
            </w:r>
          </w:p>
        </w:tc>
        <w:tc>
          <w:tcPr>
            <w:tcW w:w="4078"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参数</w:t>
            </w:r>
          </w:p>
        </w:tc>
        <w:tc>
          <w:tcPr>
            <w:tcW w:w="709" w:type="dxa"/>
            <w:shd w:val="clear" w:color="auto" w:fill="BDD7EE"/>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1429" w:type="dxa"/>
            <w:gridSpan w:val="2"/>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真空冷冻干燥机</w:t>
            </w:r>
          </w:p>
        </w:tc>
        <w:tc>
          <w:tcPr>
            <w:tcW w:w="2006"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p>
        </w:tc>
        <w:tc>
          <w:tcPr>
            <w:tcW w:w="4078"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2平米</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c>
          <w:tcPr>
            <w:tcW w:w="1429" w:type="dxa"/>
            <w:gridSpan w:val="2"/>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发酵罐</w:t>
            </w:r>
          </w:p>
        </w:tc>
        <w:tc>
          <w:tcPr>
            <w:tcW w:w="2006"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p>
        </w:tc>
        <w:tc>
          <w:tcPr>
            <w:tcW w:w="4078"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100升</w:t>
            </w: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c>
          <w:tcPr>
            <w:tcW w:w="1429" w:type="dxa"/>
            <w:gridSpan w:val="2"/>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生物安全柜</w:t>
            </w:r>
          </w:p>
        </w:tc>
        <w:tc>
          <w:tcPr>
            <w:tcW w:w="2006"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常规</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c>
          <w:tcPr>
            <w:tcW w:w="1429" w:type="dxa"/>
            <w:gridSpan w:val="2"/>
            <w:shd w:val="clear" w:color="auto" w:fill="auto"/>
            <w:vAlign w:val="center"/>
          </w:tcPr>
          <w:p>
            <w:pPr>
              <w:widowControl/>
              <w:jc w:val="left"/>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蒸汽发生器等辅助设备</w:t>
            </w:r>
          </w:p>
        </w:tc>
        <w:tc>
          <w:tcPr>
            <w:tcW w:w="2006"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常规</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c>
          <w:tcPr>
            <w:tcW w:w="1429" w:type="dxa"/>
            <w:gridSpan w:val="2"/>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高压灭菌锅</w:t>
            </w:r>
          </w:p>
        </w:tc>
        <w:tc>
          <w:tcPr>
            <w:tcW w:w="2006"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常规</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shd w:val="clear" w:color="auto" w:fill="auto"/>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c>
          <w:tcPr>
            <w:tcW w:w="1429" w:type="dxa"/>
            <w:gridSpan w:val="2"/>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恒温培养箱</w:t>
            </w:r>
          </w:p>
        </w:tc>
        <w:tc>
          <w:tcPr>
            <w:tcW w:w="2006" w:type="dxa"/>
            <w:shd w:val="clear" w:color="auto" w:fill="auto"/>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常规</w:t>
            </w:r>
          </w:p>
        </w:tc>
        <w:tc>
          <w:tcPr>
            <w:tcW w:w="4078" w:type="dxa"/>
            <w:shd w:val="clear" w:color="auto" w:fill="auto"/>
            <w:vAlign w:val="center"/>
          </w:tcPr>
          <w:p>
            <w:pPr>
              <w:widowControl/>
              <w:jc w:val="center"/>
              <w:rPr>
                <w:rFonts w:cs="宋体" w:asciiTheme="minorEastAsia" w:hAnsiTheme="minorEastAsia"/>
                <w:color w:val="000000"/>
                <w:kern w:val="0"/>
                <w:sz w:val="18"/>
                <w:szCs w:val="18"/>
                <w:highlight w:val="none"/>
              </w:rPr>
            </w:pPr>
          </w:p>
        </w:tc>
        <w:tc>
          <w:tcPr>
            <w:tcW w:w="709" w:type="dxa"/>
            <w:shd w:val="clear" w:color="auto" w:fill="auto"/>
            <w:vAlign w:val="center"/>
          </w:tcPr>
          <w:p>
            <w:pPr>
              <w:widowControl/>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w:t>
            </w:r>
          </w:p>
        </w:tc>
        <w:tc>
          <w:tcPr>
            <w:tcW w:w="1429" w:type="dxa"/>
            <w:gridSpan w:val="2"/>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灌装机</w:t>
            </w:r>
          </w:p>
        </w:tc>
        <w:tc>
          <w:tcPr>
            <w:tcW w:w="2006" w:type="dxa"/>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常规</w:t>
            </w:r>
          </w:p>
        </w:tc>
        <w:tc>
          <w:tcPr>
            <w:tcW w:w="4078" w:type="dxa"/>
            <w:vAlign w:val="center"/>
          </w:tcPr>
          <w:p>
            <w:pPr>
              <w:jc w:val="center"/>
              <w:rPr>
                <w:rFonts w:cs="宋体" w:asciiTheme="minorEastAsia" w:hAnsiTheme="minorEastAsia"/>
                <w:color w:val="000000"/>
                <w:kern w:val="0"/>
                <w:sz w:val="18"/>
                <w:szCs w:val="18"/>
                <w:highlight w:val="none"/>
              </w:rPr>
            </w:pP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atLeast"/>
          <w:jc w:val="center"/>
        </w:trPr>
        <w:tc>
          <w:tcPr>
            <w:tcW w:w="724" w:type="dxa"/>
            <w:vAlign w:val="center"/>
          </w:tcPr>
          <w:p>
            <w:pPr>
              <w:pStyle w:val="55"/>
              <w:widowControl/>
              <w:ind w:firstLine="0" w:firstLineChars="0"/>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p>
        </w:tc>
        <w:tc>
          <w:tcPr>
            <w:tcW w:w="1429" w:type="dxa"/>
            <w:gridSpan w:val="2"/>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摇床</w:t>
            </w:r>
          </w:p>
        </w:tc>
        <w:tc>
          <w:tcPr>
            <w:tcW w:w="2006" w:type="dxa"/>
            <w:vAlign w:val="center"/>
          </w:tcPr>
          <w:p>
            <w:pPr>
              <w:widowControl/>
              <w:jc w:val="center"/>
              <w:textAlignment w:val="center"/>
              <w:rPr>
                <w:rFonts w:cs="宋体" w:asciiTheme="minorEastAsia" w:hAnsiTheme="minorEastAsia"/>
                <w:color w:val="000000"/>
                <w:kern w:val="0"/>
                <w:sz w:val="18"/>
                <w:szCs w:val="18"/>
                <w:highlight w:val="none"/>
              </w:rPr>
            </w:pPr>
            <w:r>
              <w:rPr>
                <w:rFonts w:ascii="Helvetica" w:hAnsi="Helvetica" w:eastAsia="Helvetica" w:cs="Helvetica"/>
                <w:color w:val="393939"/>
                <w:kern w:val="0"/>
                <w:szCs w:val="21"/>
                <w:highlight w:val="none"/>
                <w:lang w:bidi="ar"/>
              </w:rPr>
              <w:t>常规</w:t>
            </w:r>
          </w:p>
        </w:tc>
        <w:tc>
          <w:tcPr>
            <w:tcW w:w="4078" w:type="dxa"/>
            <w:vAlign w:val="center"/>
          </w:tcPr>
          <w:p>
            <w:pPr>
              <w:jc w:val="center"/>
              <w:rPr>
                <w:rFonts w:cs="宋体" w:asciiTheme="minorEastAsia" w:hAnsiTheme="minorEastAsia"/>
                <w:color w:val="000000"/>
                <w:kern w:val="0"/>
                <w:sz w:val="18"/>
                <w:szCs w:val="18"/>
                <w:highlight w:val="none"/>
              </w:rPr>
            </w:pPr>
          </w:p>
        </w:tc>
        <w:tc>
          <w:tcPr>
            <w:tcW w:w="709" w:type="dxa"/>
            <w:vAlign w:val="center"/>
          </w:tcPr>
          <w:p>
            <w:pPr>
              <w:jc w:val="center"/>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r>
    </w:tbl>
    <w:p>
      <w:pPr>
        <w:jc w:val="center"/>
        <w:rPr>
          <w:highlight w:val="none"/>
        </w:rPr>
      </w:pPr>
    </w:p>
    <w:p>
      <w:pPr>
        <w:adjustRightInd w:val="0"/>
        <w:snapToGrid w:val="0"/>
        <w:spacing w:line="360" w:lineRule="auto"/>
        <w:jc w:val="center"/>
        <w:rPr>
          <w:rFonts w:ascii="宋体" w:hAnsi="宋体" w:cs="宋体"/>
          <w:b/>
          <w:bCs/>
          <w:szCs w:val="21"/>
          <w:highlight w:val="none"/>
        </w:rPr>
      </w:pPr>
    </w:p>
    <w:p>
      <w:pPr>
        <w:numPr>
          <w:ilvl w:val="0"/>
          <w:numId w:val="12"/>
        </w:numPr>
        <w:adjustRightInd w:val="0"/>
        <w:snapToGrid w:val="0"/>
        <w:spacing w:line="360" w:lineRule="auto"/>
        <w:outlineLvl w:val="1"/>
        <w:rPr>
          <w:rFonts w:ascii="宋体" w:hAnsi="宋体" w:cs="宋体"/>
          <w:b/>
          <w:szCs w:val="21"/>
          <w:highlight w:val="none"/>
        </w:rPr>
      </w:pPr>
      <w:r>
        <w:rPr>
          <w:rFonts w:hint="eastAsia" w:ascii="宋体" w:hAnsi="宋体" w:cs="宋体"/>
          <w:b/>
          <w:szCs w:val="21"/>
          <w:highlight w:val="none"/>
        </w:rPr>
        <w:t>交货要求</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1、投标人所投产品必须是全新、合格产品，符合采购人技术要求及性能指标，完全符合国家规定的质量标准、厂方的标准要求。</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2、供应商必须提供所有配件及辅助耗材的供应，无需采购方另购其它外围设备或耗材等。仪器到货后，供应商必须提供免费搬运至实验室桌面。</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3、投标人应在合同签订后120天内将设备送达到采购人指定的现场，</w:t>
      </w:r>
      <w:r>
        <w:rPr>
          <w:rFonts w:hint="eastAsia" w:ascii="宋体" w:hAnsi="宋体" w:cs="宋体"/>
          <w:spacing w:val="8"/>
          <w:kern w:val="0"/>
          <w:szCs w:val="21"/>
          <w:highlight w:val="none"/>
        </w:rPr>
        <w:t>其中</w:t>
      </w:r>
      <w:r>
        <w:rPr>
          <w:rFonts w:hint="eastAsia" w:ascii="宋体" w:hAnsi="宋体" w:cs="宋体"/>
          <w:kern w:val="0"/>
          <w:szCs w:val="21"/>
          <w:highlight w:val="none"/>
        </w:rPr>
        <w:t>高速风洞及旋转测试平台交付周期为</w:t>
      </w:r>
      <w:r>
        <w:rPr>
          <w:rFonts w:ascii="宋体" w:hAnsi="宋体" w:cs="宋体"/>
          <w:kern w:val="0"/>
          <w:szCs w:val="21"/>
          <w:highlight w:val="none"/>
        </w:rPr>
        <w:t>60天</w:t>
      </w:r>
      <w:r>
        <w:rPr>
          <w:rFonts w:hint="eastAsia" w:ascii="宋体" w:hAnsi="宋体" w:cs="宋体"/>
          <w:szCs w:val="21"/>
          <w:highlight w:val="none"/>
        </w:rPr>
        <w:t>；将设备送达到安装现场后，还应提供详细发货清单，由中标人和采购人共同打开包装验货、检查货物数量。如果货物质量或货物型号及技术规格与合同不符，或货物有明显损坏，投标人必须更换，采购人有权提出索赔。验货合格后双方共同签署设备合格证明。</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投标所提供产品需进行现场安装、调试检测，验收中发现设备达不到验收标准或合同规定的技术要求及性能指标，中标人必须更换，并且赔偿由此给采购人造成的损失。安装、调试检测工作完成后，投标人应该将有关设备的操作、故障检测、故障排除方法及一些新的技术发展通知采购人，使采购人能够达到独立操作。</w:t>
      </w:r>
    </w:p>
    <w:p>
      <w:pPr>
        <w:adjustRightInd w:val="0"/>
        <w:snapToGrid w:val="0"/>
        <w:spacing w:line="360" w:lineRule="auto"/>
        <w:rPr>
          <w:rFonts w:ascii="宋体" w:hAnsi="宋体" w:cs="宋体"/>
          <w:szCs w:val="21"/>
          <w:highlight w:val="none"/>
        </w:rPr>
      </w:pPr>
    </w:p>
    <w:p>
      <w:pPr>
        <w:numPr>
          <w:ilvl w:val="0"/>
          <w:numId w:val="13"/>
        </w:numPr>
        <w:tabs>
          <w:tab w:val="left" w:pos="315"/>
        </w:tabs>
        <w:adjustRightInd w:val="0"/>
        <w:snapToGrid w:val="0"/>
        <w:spacing w:line="360" w:lineRule="auto"/>
        <w:outlineLvl w:val="1"/>
        <w:rPr>
          <w:rFonts w:ascii="宋体" w:hAnsi="宋体" w:cs="宋体"/>
          <w:b/>
          <w:szCs w:val="21"/>
          <w:highlight w:val="none"/>
        </w:rPr>
      </w:pPr>
      <w:r>
        <w:rPr>
          <w:rFonts w:hint="eastAsia" w:ascii="宋体" w:hAnsi="宋体" w:cs="宋体"/>
          <w:b/>
          <w:szCs w:val="21"/>
          <w:highlight w:val="none"/>
        </w:rPr>
        <w:t>备件、专用工具、资料及其它</w:t>
      </w:r>
    </w:p>
    <w:p>
      <w:pPr>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1、为保证设备正常运行，卖方应在中国境内设有正规注册的办事处、维修站及备品备件仓库。在中国境内有专门负责的经验丰富的维修工程师和专门的技术应用支持工程师。保修期后，保证长期供应备品备件和正常的售后服务。在国内的技术服务中心（包括维修中心）或消耗品代理商应当提供所有的服务，包括备品备件及消耗品。</w:t>
      </w:r>
    </w:p>
    <w:p>
      <w:pPr>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szCs w:val="21"/>
          <w:highlight w:val="none"/>
        </w:rPr>
        <w:t>2、投标人应随机提供以下备品备件、易损件：（无）</w:t>
      </w:r>
    </w:p>
    <w:p>
      <w:pPr>
        <w:adjustRightInd w:val="0"/>
        <w:snapToGrid w:val="0"/>
        <w:spacing w:line="360" w:lineRule="auto"/>
        <w:ind w:firstLine="315" w:firstLineChars="150"/>
        <w:rPr>
          <w:rFonts w:ascii="宋体" w:hAnsi="宋体" w:cs="宋体"/>
          <w:szCs w:val="21"/>
          <w:highlight w:val="none"/>
        </w:rPr>
      </w:pPr>
      <w:r>
        <w:rPr>
          <w:rFonts w:hint="eastAsia" w:ascii="宋体" w:hAnsi="宋体" w:cs="宋体"/>
          <w:kern w:val="0"/>
          <w:szCs w:val="21"/>
          <w:highlight w:val="none"/>
        </w:rPr>
        <w:t>3、投标产品制造商</w:t>
      </w:r>
      <w:r>
        <w:rPr>
          <w:rFonts w:hint="eastAsia" w:ascii="宋体" w:hAnsi="宋体" w:cs="宋体"/>
          <w:szCs w:val="21"/>
          <w:highlight w:val="none"/>
        </w:rPr>
        <w:t>在中国的售后服务通过ISO9001认证，提供证书证明，加盖制造商鲜章。</w:t>
      </w:r>
    </w:p>
    <w:p>
      <w:pPr>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4、如有专用工具，卖方应向买方提供设备维护的专用工具。</w:t>
      </w:r>
    </w:p>
    <w:p>
      <w:pPr>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5、卖方须向买方提供操作手册一套。</w:t>
      </w:r>
    </w:p>
    <w:p>
      <w:pPr>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6、卖方须向买方提供设备的运行、安装、使用环境要求。</w:t>
      </w:r>
    </w:p>
    <w:p>
      <w:pPr>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7、技术服务：在货物到达使用单位后，卖方应在7天内派工程技术人员到达现场，在买方技术人员在场的情况下开箱清点货物，组织安装、调试检测，并承担因此发生的一切费用。</w:t>
      </w:r>
    </w:p>
    <w:p>
      <w:pPr>
        <w:adjustRightInd w:val="0"/>
        <w:snapToGrid w:val="0"/>
        <w:spacing w:line="360" w:lineRule="auto"/>
        <w:jc w:val="left"/>
        <w:rPr>
          <w:rFonts w:ascii="宋体" w:hAnsi="宋体" w:cs="宋体"/>
          <w:b/>
          <w:szCs w:val="21"/>
          <w:highlight w:val="none"/>
        </w:rPr>
      </w:pPr>
    </w:p>
    <w:p>
      <w:pPr>
        <w:numPr>
          <w:ilvl w:val="0"/>
          <w:numId w:val="14"/>
        </w:numPr>
        <w:adjustRightInd w:val="0"/>
        <w:snapToGrid w:val="0"/>
        <w:spacing w:line="360" w:lineRule="auto"/>
        <w:jc w:val="left"/>
        <w:outlineLvl w:val="1"/>
        <w:rPr>
          <w:rFonts w:ascii="宋体" w:hAnsi="宋体" w:cs="宋体"/>
          <w:b/>
          <w:szCs w:val="21"/>
          <w:highlight w:val="none"/>
        </w:rPr>
      </w:pPr>
      <w:r>
        <w:rPr>
          <w:rFonts w:hint="eastAsia" w:ascii="宋体" w:hAnsi="宋体" w:cs="宋体"/>
          <w:b/>
          <w:szCs w:val="21"/>
          <w:highlight w:val="none"/>
        </w:rPr>
        <w:t>质量保证要求</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1、严格按照合同要求，提供满足用户需求、质量合格的产品。</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2、严格检查和控制原材料、原器件、配套件的进厂质量。保证所供设备加工工艺完善、检测手段完备。</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3、设备提供单位，须对产品负全面责任，联保设备整体质量，保证按合同完成任务。</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4、保证所供设备在制造、运输、装卸工作中一丝不苟不出问题，一旦发生意外，卖方将对所供设备根据情况尽快进行免费更换、修理，直到需方满意为止。</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5、在开箱过程中如发现缺件及其他原因引起的零部件丢失，卖方负责尽快免费补齐所缺零部件。</w:t>
      </w:r>
    </w:p>
    <w:p>
      <w:pPr>
        <w:adjustRightInd w:val="0"/>
        <w:snapToGrid w:val="0"/>
        <w:spacing w:line="360" w:lineRule="auto"/>
        <w:jc w:val="left"/>
        <w:rPr>
          <w:rFonts w:ascii="宋体" w:hAnsi="宋体" w:cs="宋体"/>
          <w:b/>
          <w:szCs w:val="21"/>
          <w:highlight w:val="none"/>
        </w:rPr>
      </w:pPr>
    </w:p>
    <w:p>
      <w:pPr>
        <w:numPr>
          <w:ilvl w:val="0"/>
          <w:numId w:val="15"/>
        </w:numPr>
        <w:adjustRightInd w:val="0"/>
        <w:snapToGrid w:val="0"/>
        <w:spacing w:line="360" w:lineRule="auto"/>
        <w:jc w:val="left"/>
        <w:outlineLvl w:val="1"/>
        <w:rPr>
          <w:rFonts w:ascii="宋体" w:hAnsi="宋体" w:cs="宋体"/>
          <w:b/>
          <w:szCs w:val="21"/>
          <w:highlight w:val="none"/>
        </w:rPr>
      </w:pPr>
      <w:r>
        <w:rPr>
          <w:rFonts w:hint="eastAsia" w:ascii="宋体" w:hAnsi="宋体" w:cs="宋体"/>
          <w:b/>
          <w:szCs w:val="21"/>
          <w:highlight w:val="none"/>
        </w:rPr>
        <w:t>培训及售后服务</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1、保修时间：提供1年原厂免费保修的服务，保修期以设备验收合格之日起开始计算；</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2、投标人负责对采购人的操作人、维修人员免费进行现场技术培训，直至采购人委派的操作、维修人员能够熟练操作设备的各种功能和掌握维护保养的基本技能；</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3、设备保修：保修期内，卖方负责对用户的设备免费进行现场维修更换服务，更换的设备或部件均须为卖方全新同型号的设备或备件；</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4、服务响应时间：卖方在接到技术支持请求后，须后2小时内做出实质性响应；</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5、故障处理报告：故障解决后24小时内，卖方须向用户单位提交故障处理报告，报告中将说明故障种类、故障原因、故障处理方法等；</w:t>
      </w:r>
    </w:p>
    <w:p>
      <w:pPr>
        <w:tabs>
          <w:tab w:val="right" w:pos="7413"/>
        </w:tabs>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6、软件升级服务：卖方须提供终生免费的产品软件升级服务；</w:t>
      </w:r>
    </w:p>
    <w:p>
      <w:pPr>
        <w:adjustRightInd w:val="0"/>
        <w:snapToGrid w:val="0"/>
        <w:spacing w:line="360" w:lineRule="auto"/>
        <w:ind w:firstLine="315" w:firstLineChars="150"/>
        <w:rPr>
          <w:rFonts w:ascii="宋体" w:hAnsi="宋体" w:cs="宋体"/>
          <w:kern w:val="0"/>
          <w:szCs w:val="21"/>
          <w:highlight w:val="none"/>
        </w:rPr>
      </w:pPr>
      <w:r>
        <w:rPr>
          <w:rFonts w:hint="eastAsia" w:ascii="宋体" w:hAnsi="宋体" w:cs="宋体"/>
          <w:kern w:val="0"/>
          <w:szCs w:val="21"/>
          <w:highlight w:val="none"/>
        </w:rPr>
        <w:t>7、其它服务承诺：当用户单位如对设备进行整改时，卖方将提供所需配件和相应服务，费用不高于本次中标协议中的价格和折扣优惠价。</w:t>
      </w:r>
    </w:p>
    <w:p>
      <w:pPr>
        <w:pStyle w:val="2"/>
        <w:rPr>
          <w:highlight w:val="none"/>
        </w:rPr>
      </w:pPr>
    </w:p>
    <w:p>
      <w:pPr>
        <w:numPr>
          <w:ilvl w:val="0"/>
          <w:numId w:val="16"/>
        </w:numPr>
        <w:adjustRightInd w:val="0"/>
        <w:snapToGrid w:val="0"/>
        <w:spacing w:line="360" w:lineRule="auto"/>
        <w:outlineLvl w:val="1"/>
        <w:rPr>
          <w:rFonts w:ascii="宋体" w:hAnsi="宋体" w:cs="宋体"/>
          <w:b/>
          <w:szCs w:val="21"/>
          <w:highlight w:val="none"/>
          <w:lang w:val="zh-CN"/>
        </w:rPr>
      </w:pPr>
      <w:r>
        <w:rPr>
          <w:rFonts w:hint="eastAsia" w:ascii="宋体" w:hAnsi="宋体" w:cs="宋体"/>
          <w:b/>
          <w:szCs w:val="21"/>
          <w:highlight w:val="none"/>
          <w:lang w:val="zh-CN"/>
        </w:rPr>
        <w:t>付款方式、时间</w:t>
      </w:r>
    </w:p>
    <w:p>
      <w:pPr>
        <w:spacing w:line="360" w:lineRule="auto"/>
        <w:ind w:left="397"/>
        <w:outlineLvl w:val="1"/>
        <w:rPr>
          <w:rFonts w:ascii="宋体" w:hAnsi="宋体" w:cs="宋体"/>
          <w:bCs/>
          <w:szCs w:val="21"/>
          <w:highlight w:val="none"/>
        </w:rPr>
      </w:pPr>
      <w:r>
        <w:rPr>
          <w:rFonts w:hint="eastAsia" w:ascii="宋体" w:hAnsi="宋体" w:cs="宋体"/>
          <w:bCs/>
          <w:szCs w:val="21"/>
          <w:highlight w:val="none"/>
        </w:rPr>
        <w:t>1、合同生效后10个工作日内，买方向卖方支付合同总额的30%作为预付款；</w:t>
      </w:r>
    </w:p>
    <w:p>
      <w:pPr>
        <w:spacing w:line="360" w:lineRule="auto"/>
        <w:ind w:left="397"/>
        <w:outlineLvl w:val="1"/>
        <w:rPr>
          <w:rFonts w:ascii="宋体" w:hAnsi="宋体" w:cs="宋体"/>
          <w:bCs/>
          <w:szCs w:val="21"/>
          <w:highlight w:val="none"/>
        </w:rPr>
      </w:pPr>
      <w:r>
        <w:rPr>
          <w:rFonts w:hint="eastAsia" w:ascii="宋体" w:hAnsi="宋体" w:cs="宋体"/>
          <w:bCs/>
          <w:szCs w:val="21"/>
          <w:highlight w:val="none"/>
        </w:rPr>
        <w:t>2、产品运至买方项目现场，经买方确认后支付合同总额的30%；</w:t>
      </w:r>
    </w:p>
    <w:p>
      <w:pPr>
        <w:spacing w:line="360" w:lineRule="auto"/>
        <w:ind w:left="397"/>
        <w:outlineLvl w:val="1"/>
        <w:rPr>
          <w:rFonts w:ascii="宋体" w:hAnsi="宋体" w:cs="宋体"/>
          <w:bCs/>
          <w:szCs w:val="21"/>
          <w:highlight w:val="none"/>
        </w:rPr>
      </w:pPr>
      <w:r>
        <w:rPr>
          <w:rFonts w:hint="eastAsia" w:ascii="宋体" w:hAnsi="宋体" w:cs="宋体"/>
          <w:bCs/>
          <w:szCs w:val="21"/>
          <w:highlight w:val="none"/>
        </w:rPr>
        <w:t>3、产品安装、调试检测完成，经买方验收合格后，买方在20个工作日内向卖方支付合同总额30%的货款；</w:t>
      </w:r>
    </w:p>
    <w:p>
      <w:pPr>
        <w:spacing w:line="360" w:lineRule="auto"/>
        <w:ind w:left="397"/>
        <w:outlineLvl w:val="1"/>
        <w:rPr>
          <w:rFonts w:ascii="宋体" w:hAnsi="宋体" w:cs="宋体"/>
          <w:bCs/>
          <w:szCs w:val="21"/>
          <w:highlight w:val="none"/>
        </w:rPr>
      </w:pPr>
      <w:r>
        <w:rPr>
          <w:rFonts w:hint="eastAsia" w:ascii="宋体" w:hAnsi="宋体" w:cs="宋体"/>
          <w:bCs/>
          <w:szCs w:val="21"/>
          <w:highlight w:val="none"/>
        </w:rPr>
        <w:t>4、半年内完成技术支持和培训，买方在10个工作日内向卖方支付合同总额的5%。</w:t>
      </w:r>
    </w:p>
    <w:p>
      <w:pPr>
        <w:spacing w:line="360" w:lineRule="auto"/>
        <w:ind w:left="397"/>
        <w:outlineLvl w:val="1"/>
        <w:rPr>
          <w:rFonts w:ascii="宋体" w:hAnsi="宋体" w:cs="宋体"/>
          <w:bCs/>
          <w:szCs w:val="21"/>
          <w:highlight w:val="none"/>
        </w:rPr>
      </w:pPr>
      <w:r>
        <w:rPr>
          <w:rFonts w:hint="eastAsia" w:ascii="宋体" w:hAnsi="宋体" w:cs="宋体"/>
          <w:bCs/>
          <w:szCs w:val="21"/>
          <w:highlight w:val="none"/>
        </w:rPr>
        <w:t>5、剩余合同金额的5%作为质保金，待质保期满后付清。</w:t>
      </w:r>
    </w:p>
    <w:p>
      <w:pPr>
        <w:numPr>
          <w:ilvl w:val="0"/>
          <w:numId w:val="17"/>
        </w:numPr>
        <w:spacing w:line="360" w:lineRule="auto"/>
        <w:outlineLvl w:val="1"/>
        <w:rPr>
          <w:rFonts w:ascii="宋体" w:hAnsi="宋体" w:cs="宋体"/>
          <w:b/>
          <w:szCs w:val="21"/>
          <w:highlight w:val="none"/>
        </w:rPr>
      </w:pPr>
      <w:r>
        <w:rPr>
          <w:rFonts w:hint="eastAsia" w:ascii="宋体" w:hAnsi="宋体" w:cs="宋体"/>
          <w:b/>
          <w:szCs w:val="21"/>
          <w:highlight w:val="none"/>
        </w:rPr>
        <w:t>其他</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次采购由南京浦口经济开发区管理委员会负责组织，最终南京浦口步月芯集成电路有限公司与中标单位签订采购合同，中标人须确保所提供的产品能满足采购人使用要求，不会因功能、配置缺漏项等原因后期追加采购。</w:t>
      </w:r>
    </w:p>
    <w:p>
      <w:pPr>
        <w:pStyle w:val="55"/>
        <w:spacing w:line="360" w:lineRule="auto"/>
        <w:ind w:firstLine="0" w:firstLineChars="0"/>
        <w:rPr>
          <w:rFonts w:ascii="宋体" w:hAnsi="宋体" w:cs="宋体"/>
          <w:b/>
          <w:kern w:val="0"/>
          <w:szCs w:val="21"/>
          <w:highlight w:val="none"/>
        </w:rPr>
      </w:pPr>
    </w:p>
    <w:p>
      <w:pPr>
        <w:pStyle w:val="55"/>
        <w:rPr>
          <w:highlight w:val="none"/>
        </w:rPr>
      </w:pPr>
    </w:p>
    <w:p>
      <w:pPr>
        <w:rPr>
          <w:highlight w:val="none"/>
        </w:rPr>
      </w:pPr>
      <w:r>
        <w:rPr>
          <w:rFonts w:hint="eastAsia"/>
          <w:highlight w:val="none"/>
        </w:rPr>
        <w:br w:type="page"/>
      </w:r>
    </w:p>
    <w:p>
      <w:pPr>
        <w:pStyle w:val="55"/>
        <w:rPr>
          <w:highlight w:val="none"/>
        </w:rPr>
      </w:pPr>
    </w:p>
    <w:p>
      <w:pPr>
        <w:pStyle w:val="3"/>
        <w:numPr>
          <w:ilvl w:val="0"/>
          <w:numId w:val="0"/>
        </w:numPr>
        <w:rPr>
          <w:highlight w:val="none"/>
        </w:rPr>
      </w:pPr>
      <w:bookmarkStart w:id="10" w:name="_Toc9621"/>
      <w:r>
        <w:rPr>
          <w:rFonts w:hint="eastAsia"/>
          <w:highlight w:val="none"/>
        </w:rPr>
        <w:t>第五章 主要条款及格式</w:t>
      </w:r>
      <w:bookmarkEnd w:id="8"/>
      <w:bookmarkEnd w:id="10"/>
    </w:p>
    <w:p>
      <w:pPr>
        <w:widowControl/>
        <w:spacing w:line="360" w:lineRule="auto"/>
        <w:jc w:val="center"/>
        <w:rPr>
          <w:rFonts w:eastAsia="黑体"/>
          <w:bCs/>
          <w:sz w:val="48"/>
          <w:highlight w:val="none"/>
        </w:rPr>
      </w:pPr>
    </w:p>
    <w:p>
      <w:pPr>
        <w:rPr>
          <w:highlight w:val="none"/>
        </w:rPr>
      </w:pPr>
    </w:p>
    <w:p>
      <w:pPr>
        <w:pStyle w:val="192"/>
        <w:ind w:firstLine="420"/>
        <w:rPr>
          <w:highlight w:val="none"/>
        </w:rPr>
      </w:pPr>
    </w:p>
    <w:p>
      <w:pPr>
        <w:pStyle w:val="192"/>
        <w:ind w:firstLine="420"/>
        <w:rPr>
          <w:highlight w:val="none"/>
        </w:rPr>
      </w:pPr>
    </w:p>
    <w:p>
      <w:pPr>
        <w:pStyle w:val="192"/>
        <w:ind w:firstLine="420"/>
        <w:rPr>
          <w:highlight w:val="none"/>
        </w:rPr>
      </w:pPr>
    </w:p>
    <w:p>
      <w:pPr>
        <w:pStyle w:val="192"/>
        <w:ind w:firstLine="420"/>
        <w:rPr>
          <w:highlight w:val="none"/>
        </w:rPr>
      </w:pPr>
    </w:p>
    <w:p>
      <w:pPr>
        <w:pStyle w:val="192"/>
        <w:ind w:firstLine="420"/>
        <w:rPr>
          <w:highlight w:val="none"/>
        </w:rPr>
      </w:pPr>
    </w:p>
    <w:p>
      <w:pPr>
        <w:rPr>
          <w:rFonts w:ascii="宋体" w:hAnsi="宋体" w:cs="宋体"/>
          <w:bCs/>
          <w:szCs w:val="21"/>
          <w:highlight w:val="none"/>
        </w:rPr>
      </w:pPr>
      <w:r>
        <w:rPr>
          <w:rFonts w:hint="eastAsia" w:ascii="宋体" w:hAnsi="宋体" w:cs="宋体"/>
          <w:bCs/>
          <w:szCs w:val="21"/>
          <w:highlight w:val="none"/>
        </w:rPr>
        <w:br w:type="page"/>
      </w:r>
    </w:p>
    <w:p>
      <w:pPr>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以下为中标后签定本项目合同的通用条款，中标人不得提出实质性的修改，关于专用条款将由采购人与中标人结合本项目具体情况协商后签订。</w:t>
      </w:r>
    </w:p>
    <w:tbl>
      <w:tblPr>
        <w:tblStyle w:val="44"/>
        <w:tblW w:w="10179" w:type="dxa"/>
        <w:jc w:val="center"/>
        <w:tblLayout w:type="fixed"/>
        <w:tblCellMar>
          <w:top w:w="0" w:type="dxa"/>
          <w:left w:w="108" w:type="dxa"/>
          <w:bottom w:w="0" w:type="dxa"/>
          <w:right w:w="108" w:type="dxa"/>
        </w:tblCellMar>
      </w:tblPr>
      <w:tblGrid>
        <w:gridCol w:w="3352"/>
        <w:gridCol w:w="1080"/>
        <w:gridCol w:w="720"/>
        <w:gridCol w:w="416"/>
        <w:gridCol w:w="798"/>
        <w:gridCol w:w="1183"/>
        <w:gridCol w:w="236"/>
        <w:gridCol w:w="2260"/>
        <w:gridCol w:w="134"/>
      </w:tblGrid>
      <w:tr>
        <w:tblPrEx>
          <w:tblCellMar>
            <w:top w:w="0" w:type="dxa"/>
            <w:left w:w="108" w:type="dxa"/>
            <w:bottom w:w="0" w:type="dxa"/>
            <w:right w:w="108" w:type="dxa"/>
          </w:tblCellMar>
        </w:tblPrEx>
        <w:trPr>
          <w:gridAfter w:val="1"/>
          <w:wAfter w:w="134" w:type="dxa"/>
          <w:trHeight w:val="300"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kern w:val="0"/>
                <w:szCs w:val="21"/>
                <w:highlight w:val="none"/>
              </w:rPr>
              <w:t>买  方：</w:t>
            </w:r>
          </w:p>
        </w:tc>
      </w:tr>
      <w:tr>
        <w:tblPrEx>
          <w:tblCellMar>
            <w:top w:w="0" w:type="dxa"/>
            <w:left w:w="108" w:type="dxa"/>
            <w:bottom w:w="0" w:type="dxa"/>
            <w:right w:w="108" w:type="dxa"/>
          </w:tblCellMar>
        </w:tblPrEx>
        <w:trPr>
          <w:gridAfter w:val="1"/>
          <w:wAfter w:w="134" w:type="dxa"/>
          <w:trHeight w:val="300"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kern w:val="0"/>
                <w:szCs w:val="21"/>
                <w:highlight w:val="none"/>
              </w:rPr>
              <w:t>卖  方：</w:t>
            </w:r>
          </w:p>
        </w:tc>
      </w:tr>
      <w:tr>
        <w:tblPrEx>
          <w:tblCellMar>
            <w:top w:w="0" w:type="dxa"/>
            <w:left w:w="108" w:type="dxa"/>
            <w:bottom w:w="0" w:type="dxa"/>
            <w:right w:w="108" w:type="dxa"/>
          </w:tblCellMar>
        </w:tblPrEx>
        <w:trPr>
          <w:gridAfter w:val="1"/>
          <w:wAfter w:w="134" w:type="dxa"/>
          <w:trHeight w:val="300"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第一条　订立合同的前提和目的</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 xml:space="preserve">     依据国家《合同法》有关法律、法规，双方在自愿、平等和协商一致的基础上，买卖双方订立产品交易的买卖合同，并完成其他应做的服务事项，而达成一致，订立本合同。</w:t>
            </w:r>
          </w:p>
        </w:tc>
      </w:tr>
      <w:tr>
        <w:tblPrEx>
          <w:tblCellMar>
            <w:top w:w="0" w:type="dxa"/>
            <w:left w:w="108" w:type="dxa"/>
            <w:bottom w:w="0" w:type="dxa"/>
            <w:right w:w="108" w:type="dxa"/>
          </w:tblCellMar>
        </w:tblPrEx>
        <w:trPr>
          <w:gridAfter w:val="1"/>
          <w:wAfter w:w="134" w:type="dxa"/>
          <w:trHeight w:val="600"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300" w:hRule="atLeast"/>
          <w:jc w:val="center"/>
        </w:trPr>
        <w:tc>
          <w:tcPr>
            <w:tcW w:w="10045" w:type="dxa"/>
            <w:gridSpan w:val="8"/>
            <w:tcBorders>
              <w:top w:val="nil"/>
              <w:left w:val="nil"/>
              <w:bottom w:val="nil"/>
              <w:right w:val="nil"/>
            </w:tcBorders>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第二条  产品名称、规格型号、数量、金额</w:t>
            </w:r>
          </w:p>
          <w:tbl>
            <w:tblPr>
              <w:tblStyle w:val="44"/>
              <w:tblW w:w="9814" w:type="dxa"/>
              <w:tblInd w:w="0" w:type="dxa"/>
              <w:tblLayout w:type="fixed"/>
              <w:tblCellMar>
                <w:top w:w="0" w:type="dxa"/>
                <w:left w:w="108" w:type="dxa"/>
                <w:bottom w:w="0" w:type="dxa"/>
                <w:right w:w="108" w:type="dxa"/>
              </w:tblCellMar>
            </w:tblPr>
            <w:tblGrid>
              <w:gridCol w:w="2864"/>
              <w:gridCol w:w="992"/>
              <w:gridCol w:w="729"/>
              <w:gridCol w:w="708"/>
              <w:gridCol w:w="554"/>
              <w:gridCol w:w="1380"/>
              <w:gridCol w:w="1409"/>
              <w:gridCol w:w="1178"/>
            </w:tblGrid>
            <w:tr>
              <w:tblPrEx>
                <w:tblCellMar>
                  <w:top w:w="0" w:type="dxa"/>
                  <w:left w:w="108" w:type="dxa"/>
                  <w:bottom w:w="0" w:type="dxa"/>
                  <w:right w:w="108" w:type="dxa"/>
                </w:tblCellMar>
              </w:tblPrEx>
              <w:trPr>
                <w:trHeight w:val="933" w:hRule="atLeast"/>
              </w:trPr>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Cs w:val="21"/>
                      <w:highlight w:val="none"/>
                    </w:rPr>
                  </w:pPr>
                  <w:r>
                    <w:rPr>
                      <w:rFonts w:hint="eastAsia"/>
                      <w:b/>
                      <w:bCs/>
                      <w:szCs w:val="21"/>
                      <w:highlight w:val="none"/>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制造商/产地</w:t>
                  </w: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规格型号</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计量单位</w:t>
                  </w:r>
                </w:p>
              </w:tc>
              <w:tc>
                <w:tcPr>
                  <w:tcW w:w="554" w:type="dxa"/>
                  <w:tcBorders>
                    <w:top w:val="single" w:color="auto" w:sz="4" w:space="0"/>
                    <w:left w:val="nil"/>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数量</w:t>
                  </w:r>
                </w:p>
              </w:tc>
              <w:tc>
                <w:tcPr>
                  <w:tcW w:w="1380" w:type="dxa"/>
                  <w:tcBorders>
                    <w:top w:val="single" w:color="auto" w:sz="4" w:space="0"/>
                    <w:left w:val="nil"/>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单价</w:t>
                  </w:r>
                </w:p>
                <w:p>
                  <w:pPr>
                    <w:jc w:val="center"/>
                    <w:rPr>
                      <w:b/>
                      <w:bCs/>
                      <w:szCs w:val="21"/>
                      <w:highlight w:val="none"/>
                    </w:rPr>
                  </w:pPr>
                  <w:r>
                    <w:rPr>
                      <w:rFonts w:hint="eastAsia"/>
                      <w:b/>
                      <w:bCs/>
                      <w:szCs w:val="21"/>
                      <w:highlight w:val="none"/>
                    </w:rPr>
                    <w:t>（万元）</w:t>
                  </w:r>
                </w:p>
              </w:tc>
              <w:tc>
                <w:tcPr>
                  <w:tcW w:w="1409" w:type="dxa"/>
                  <w:tcBorders>
                    <w:top w:val="single" w:color="auto" w:sz="4" w:space="0"/>
                    <w:left w:val="nil"/>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总金额</w:t>
                  </w:r>
                </w:p>
                <w:p>
                  <w:pPr>
                    <w:jc w:val="center"/>
                    <w:rPr>
                      <w:b/>
                      <w:bCs/>
                      <w:szCs w:val="21"/>
                      <w:highlight w:val="none"/>
                    </w:rPr>
                  </w:pPr>
                  <w:r>
                    <w:rPr>
                      <w:rFonts w:hint="eastAsia"/>
                      <w:b/>
                      <w:bCs/>
                      <w:szCs w:val="21"/>
                      <w:highlight w:val="none"/>
                    </w:rPr>
                    <w:t>（万元）</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备    注</w:t>
                  </w:r>
                </w:p>
              </w:tc>
            </w:tr>
            <w:tr>
              <w:tblPrEx>
                <w:tblCellMar>
                  <w:top w:w="0" w:type="dxa"/>
                  <w:left w:w="108" w:type="dxa"/>
                  <w:bottom w:w="0" w:type="dxa"/>
                  <w:right w:w="108" w:type="dxa"/>
                </w:tblCellMar>
              </w:tblPrEx>
              <w:trPr>
                <w:trHeight w:val="534" w:hRule="atLeast"/>
              </w:trPr>
              <w:tc>
                <w:tcPr>
                  <w:tcW w:w="2864" w:type="dxa"/>
                  <w:tcBorders>
                    <w:top w:val="nil"/>
                    <w:left w:val="single" w:color="auto" w:sz="4" w:space="0"/>
                    <w:bottom w:val="single" w:color="auto" w:sz="4" w:space="0"/>
                    <w:right w:val="single" w:color="auto" w:sz="4" w:space="0"/>
                  </w:tcBorders>
                  <w:shd w:val="clear" w:color="auto" w:fill="auto"/>
                  <w:vAlign w:val="center"/>
                </w:tcPr>
                <w:p>
                  <w:pPr>
                    <w:jc w:val="center"/>
                    <w:rPr>
                      <w:szCs w:val="21"/>
                      <w:highlight w:val="none"/>
                    </w:rPr>
                  </w:pPr>
                  <w:r>
                    <w:rPr>
                      <w:rFonts w:hint="eastAsia" w:ascii="宋体" w:hAnsi="宋体" w:cs="宋体"/>
                      <w:szCs w:val="21"/>
                      <w:highlight w:val="none"/>
                      <w:lang w:val="zh-CN"/>
                    </w:rPr>
                    <w:t>高速风洞及旋转测试平台</w:t>
                  </w:r>
                </w:p>
              </w:tc>
              <w:tc>
                <w:tcPr>
                  <w:tcW w:w="992" w:type="dxa"/>
                  <w:tcBorders>
                    <w:top w:val="nil"/>
                    <w:left w:val="nil"/>
                    <w:bottom w:val="single" w:color="auto" w:sz="4" w:space="0"/>
                    <w:right w:val="single" w:color="auto" w:sz="4" w:space="0"/>
                  </w:tcBorders>
                  <w:shd w:val="clear" w:color="auto" w:fill="auto"/>
                  <w:vAlign w:val="center"/>
                </w:tcPr>
                <w:p>
                  <w:pPr>
                    <w:rPr>
                      <w:szCs w:val="21"/>
                      <w:highlight w:val="none"/>
                    </w:rPr>
                  </w:pPr>
                </w:p>
              </w:tc>
              <w:tc>
                <w:tcPr>
                  <w:tcW w:w="729"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708"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554"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1380"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1409"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szCs w:val="21"/>
                      <w:highlight w:val="none"/>
                    </w:rPr>
                  </w:pPr>
                  <w:r>
                    <w:rPr>
                      <w:rFonts w:hint="eastAsia"/>
                      <w:szCs w:val="21"/>
                      <w:highlight w:val="none"/>
                    </w:rPr>
                    <w:t>　</w:t>
                  </w:r>
                </w:p>
              </w:tc>
            </w:tr>
            <w:tr>
              <w:tblPrEx>
                <w:tblCellMar>
                  <w:top w:w="0" w:type="dxa"/>
                  <w:left w:w="108" w:type="dxa"/>
                  <w:bottom w:w="0" w:type="dxa"/>
                  <w:right w:w="108" w:type="dxa"/>
                </w:tblCellMar>
              </w:tblPrEx>
              <w:trPr>
                <w:trHeight w:val="328" w:hRule="atLeast"/>
              </w:trPr>
              <w:tc>
                <w:tcPr>
                  <w:tcW w:w="2864" w:type="dxa"/>
                  <w:tcBorders>
                    <w:top w:val="nil"/>
                    <w:left w:val="single" w:color="auto" w:sz="4" w:space="0"/>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合  计</w:t>
                  </w:r>
                </w:p>
              </w:tc>
              <w:tc>
                <w:tcPr>
                  <w:tcW w:w="992" w:type="dxa"/>
                  <w:tcBorders>
                    <w:top w:val="nil"/>
                    <w:left w:val="nil"/>
                    <w:bottom w:val="single" w:color="auto" w:sz="4" w:space="0"/>
                    <w:right w:val="single" w:color="auto" w:sz="4" w:space="0"/>
                  </w:tcBorders>
                  <w:shd w:val="clear" w:color="auto" w:fill="auto"/>
                  <w:vAlign w:val="center"/>
                </w:tcPr>
                <w:p>
                  <w:pPr>
                    <w:jc w:val="center"/>
                    <w:rPr>
                      <w:b/>
                      <w:bCs/>
                      <w:szCs w:val="21"/>
                      <w:highlight w:val="none"/>
                    </w:rPr>
                  </w:pPr>
                </w:p>
              </w:tc>
              <w:tc>
                <w:tcPr>
                  <w:tcW w:w="729"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708" w:type="dxa"/>
                  <w:tcBorders>
                    <w:top w:val="nil"/>
                    <w:left w:val="nil"/>
                    <w:bottom w:val="single" w:color="auto" w:sz="4" w:space="0"/>
                    <w:right w:val="single" w:color="auto" w:sz="4" w:space="0"/>
                  </w:tcBorders>
                  <w:shd w:val="clear" w:color="auto" w:fill="auto"/>
                  <w:vAlign w:val="center"/>
                </w:tcPr>
                <w:p>
                  <w:pPr>
                    <w:jc w:val="left"/>
                    <w:rPr>
                      <w:szCs w:val="21"/>
                      <w:highlight w:val="none"/>
                    </w:rPr>
                  </w:pPr>
                </w:p>
              </w:tc>
              <w:tc>
                <w:tcPr>
                  <w:tcW w:w="554"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1380"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1409" w:type="dxa"/>
                  <w:tcBorders>
                    <w:top w:val="nil"/>
                    <w:left w:val="nil"/>
                    <w:bottom w:val="single" w:color="auto" w:sz="4" w:space="0"/>
                    <w:right w:val="single" w:color="auto" w:sz="4" w:space="0"/>
                  </w:tcBorders>
                  <w:shd w:val="clear" w:color="auto" w:fill="auto"/>
                  <w:vAlign w:val="center"/>
                </w:tcPr>
                <w:p>
                  <w:pPr>
                    <w:jc w:val="center"/>
                    <w:rPr>
                      <w:szCs w:val="21"/>
                      <w:highlight w:val="none"/>
                    </w:rPr>
                  </w:pPr>
                </w:p>
              </w:tc>
              <w:tc>
                <w:tcPr>
                  <w:tcW w:w="1178"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highlight w:val="none"/>
                    </w:rPr>
                  </w:pPr>
                </w:p>
              </w:tc>
            </w:tr>
            <w:tr>
              <w:tblPrEx>
                <w:tblCellMar>
                  <w:top w:w="0" w:type="dxa"/>
                  <w:left w:w="108" w:type="dxa"/>
                  <w:bottom w:w="0" w:type="dxa"/>
                  <w:right w:w="108" w:type="dxa"/>
                </w:tblCellMar>
              </w:tblPrEx>
              <w:trPr>
                <w:trHeight w:val="328" w:hRule="atLeast"/>
              </w:trPr>
              <w:tc>
                <w:tcPr>
                  <w:tcW w:w="45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highlight w:val="none"/>
                    </w:rPr>
                  </w:pPr>
                  <w:r>
                    <w:rPr>
                      <w:rFonts w:hint="eastAsia"/>
                      <w:b/>
                      <w:bCs/>
                      <w:szCs w:val="21"/>
                      <w:highlight w:val="none"/>
                    </w:rPr>
                    <w:t>合计金额(RMB大写)</w:t>
                  </w:r>
                </w:p>
              </w:tc>
              <w:tc>
                <w:tcPr>
                  <w:tcW w:w="2642" w:type="dxa"/>
                  <w:gridSpan w:val="3"/>
                  <w:tcBorders>
                    <w:top w:val="single" w:color="auto" w:sz="4" w:space="0"/>
                    <w:left w:val="nil"/>
                    <w:bottom w:val="single" w:color="auto" w:sz="4" w:space="0"/>
                    <w:right w:val="single" w:color="auto" w:sz="4" w:space="0"/>
                  </w:tcBorders>
                  <w:shd w:val="clear" w:color="auto" w:fill="auto"/>
                  <w:vAlign w:val="center"/>
                </w:tcPr>
                <w:p>
                  <w:pPr>
                    <w:jc w:val="right"/>
                    <w:rPr>
                      <w:b/>
                      <w:bCs/>
                      <w:szCs w:val="21"/>
                      <w:highlight w:val="none"/>
                    </w:rPr>
                  </w:pPr>
                </w:p>
              </w:tc>
              <w:tc>
                <w:tcPr>
                  <w:tcW w:w="1409" w:type="dxa"/>
                  <w:tcBorders>
                    <w:top w:val="nil"/>
                    <w:left w:val="nil"/>
                    <w:bottom w:val="single" w:color="auto" w:sz="4" w:space="0"/>
                    <w:right w:val="single" w:color="auto" w:sz="4" w:space="0"/>
                  </w:tcBorders>
                  <w:shd w:val="clear" w:color="auto" w:fill="auto"/>
                  <w:vAlign w:val="center"/>
                </w:tcPr>
                <w:p>
                  <w:pPr>
                    <w:jc w:val="left"/>
                    <w:rPr>
                      <w:b/>
                      <w:bCs/>
                      <w:szCs w:val="21"/>
                      <w:highlight w:val="none"/>
                    </w:rPr>
                  </w:pPr>
                </w:p>
              </w:tc>
              <w:tc>
                <w:tcPr>
                  <w:tcW w:w="1178"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highlight w:val="none"/>
                    </w:rPr>
                  </w:pPr>
                </w:p>
              </w:tc>
            </w:tr>
          </w:tbl>
          <w:p>
            <w:pPr>
              <w:pStyle w:val="22"/>
              <w:ind w:left="0" w:leftChars="0"/>
              <w:rPr>
                <w:rFonts w:ascii="Times New Roman" w:hAnsi="Times New Roman"/>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tcPr>
          <w:p>
            <w:pPr>
              <w:widowControl/>
              <w:numPr>
                <w:ilvl w:val="0"/>
                <w:numId w:val="18"/>
              </w:numPr>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交、提（货）期限、方式、地点：</w:t>
            </w:r>
          </w:p>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kern w:val="0"/>
                <w:szCs w:val="21"/>
                <w:highlight w:val="none"/>
              </w:rPr>
              <w:t>★</w:t>
            </w:r>
            <w:r>
              <w:rPr>
                <w:rFonts w:hint="eastAsia" w:ascii="宋体" w:hAnsi="宋体" w:cs="宋体"/>
                <w:kern w:val="0"/>
                <w:szCs w:val="21"/>
                <w:highlight w:val="none"/>
              </w:rPr>
              <w:t>1、交货期：合同签订生效后，</w:t>
            </w:r>
            <w:r>
              <w:rPr>
                <w:rFonts w:ascii="宋体" w:hAnsi="宋体" w:cs="宋体"/>
                <w:kern w:val="0"/>
                <w:szCs w:val="21"/>
                <w:highlight w:val="none"/>
                <w:u w:val="single"/>
              </w:rPr>
              <w:t>120</w:t>
            </w:r>
            <w:r>
              <w:rPr>
                <w:rFonts w:hint="eastAsia" w:ascii="宋体" w:hAnsi="宋体" w:cs="宋体"/>
                <w:kern w:val="0"/>
                <w:szCs w:val="21"/>
                <w:highlight w:val="none"/>
              </w:rPr>
              <w:t>个日历日内全部设备、材料运抵买方项目现场并免费搬运至指定区域，其中高速风洞及旋转测试平台交付周期为</w:t>
            </w:r>
            <w:r>
              <w:rPr>
                <w:rFonts w:ascii="宋体" w:hAnsi="宋体" w:cs="宋体"/>
                <w:kern w:val="0"/>
                <w:szCs w:val="21"/>
                <w:highlight w:val="none"/>
              </w:rPr>
              <w:t>60天</w:t>
            </w:r>
            <w:r>
              <w:rPr>
                <w:rFonts w:hint="eastAsia" w:ascii="宋体" w:hAnsi="宋体" w:cs="宋体"/>
                <w:kern w:val="0"/>
                <w:szCs w:val="21"/>
                <w:highlight w:val="none"/>
              </w:rPr>
              <w:t>。</w:t>
            </w:r>
          </w:p>
        </w:tc>
      </w:tr>
      <w:tr>
        <w:tblPrEx>
          <w:tblCellMar>
            <w:top w:w="0" w:type="dxa"/>
            <w:left w:w="108" w:type="dxa"/>
            <w:bottom w:w="0" w:type="dxa"/>
            <w:right w:w="108" w:type="dxa"/>
          </w:tblCellMar>
        </w:tblPrEx>
        <w:trPr>
          <w:trHeight w:val="282" w:hRule="atLeast"/>
          <w:jc w:val="center"/>
        </w:trPr>
        <w:tc>
          <w:tcPr>
            <w:tcW w:w="335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2、交货方式：汽运。</w:t>
            </w:r>
          </w:p>
        </w:tc>
        <w:tc>
          <w:tcPr>
            <w:tcW w:w="1080"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20"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416"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236"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2394" w:type="dxa"/>
            <w:gridSpan w:val="2"/>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3、地点：买方指定地点。</w:t>
            </w:r>
          </w:p>
        </w:tc>
      </w:tr>
      <w:tr>
        <w:tblPrEx>
          <w:tblCellMar>
            <w:top w:w="0" w:type="dxa"/>
            <w:left w:w="108" w:type="dxa"/>
            <w:bottom w:w="0" w:type="dxa"/>
            <w:right w:w="108" w:type="dxa"/>
          </w:tblCellMar>
        </w:tblPrEx>
        <w:trPr>
          <w:gridAfter w:val="1"/>
          <w:wAfter w:w="134" w:type="dxa"/>
          <w:trHeight w:val="452"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第四条  技术标准、质量要求：</w:t>
            </w:r>
            <w:r>
              <w:rPr>
                <w:rFonts w:hint="eastAsia" w:ascii="宋体" w:hAnsi="宋体" w:cs="宋体"/>
                <w:kern w:val="0"/>
                <w:szCs w:val="21"/>
                <w:highlight w:val="none"/>
              </w:rPr>
              <w:t>按采购文件要求。</w:t>
            </w: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vAlign w:val="center"/>
          </w:tcPr>
          <w:p>
            <w:pPr>
              <w:adjustRightInd w:val="0"/>
              <w:snapToGrid w:val="0"/>
              <w:spacing w:line="360" w:lineRule="auto"/>
              <w:rPr>
                <w:rFonts w:ascii="宋体" w:hAnsi="宋体" w:cs="宋体"/>
                <w:kern w:val="0"/>
                <w:szCs w:val="21"/>
                <w:highlight w:val="none"/>
              </w:rPr>
            </w:pPr>
            <w:r>
              <w:rPr>
                <w:rFonts w:hint="eastAsia" w:ascii="宋体" w:hAnsi="宋体" w:cs="宋体"/>
                <w:b/>
                <w:bCs/>
                <w:kern w:val="0"/>
                <w:szCs w:val="21"/>
                <w:highlight w:val="none"/>
              </w:rPr>
              <w:t>第五条  卖方对质量负责的期限及条件：</w:t>
            </w:r>
            <w:r>
              <w:rPr>
                <w:rFonts w:hint="eastAsia" w:ascii="宋体" w:hAnsi="宋体" w:cs="宋体"/>
                <w:szCs w:val="21"/>
                <w:highlight w:val="none"/>
                <w:lang w:bidi="ar"/>
              </w:rPr>
              <w:t>质保期一年，终身维护。</w:t>
            </w:r>
            <w:r>
              <w:rPr>
                <w:rFonts w:hint="eastAsia" w:ascii="宋体" w:hAnsi="宋体" w:cs="宋体"/>
                <w:kern w:val="0"/>
                <w:szCs w:val="21"/>
                <w:highlight w:val="none"/>
              </w:rPr>
              <w:t>软件升级服务：卖方须提供终生免费的产品软件升级服务。</w:t>
            </w: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第六条  包装标准及包装费用负担：</w:t>
            </w: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1、公路和铁路运输标准包装，包装物不回收；</w:t>
            </w: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2、唛头：包装箱外标明。</w:t>
            </w:r>
          </w:p>
        </w:tc>
      </w:tr>
      <w:tr>
        <w:tblPrEx>
          <w:tblCellMar>
            <w:top w:w="0" w:type="dxa"/>
            <w:left w:w="108" w:type="dxa"/>
            <w:bottom w:w="0" w:type="dxa"/>
            <w:right w:w="108" w:type="dxa"/>
          </w:tblCellMar>
        </w:tblPrEx>
        <w:trPr>
          <w:gridAfter w:val="1"/>
          <w:wAfter w:w="134" w:type="dxa"/>
          <w:trHeight w:val="270"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第七条   验收标准、方法、地点及期限：</w:t>
            </w:r>
          </w:p>
        </w:tc>
      </w:tr>
      <w:tr>
        <w:tblPrEx>
          <w:tblCellMar>
            <w:top w:w="0" w:type="dxa"/>
            <w:left w:w="108" w:type="dxa"/>
            <w:bottom w:w="0" w:type="dxa"/>
            <w:right w:w="108" w:type="dxa"/>
          </w:tblCellMar>
        </w:tblPrEx>
        <w:trPr>
          <w:gridAfter w:val="1"/>
          <w:wAfter w:w="134" w:type="dxa"/>
          <w:trHeight w:val="270" w:hRule="atLeast"/>
          <w:jc w:val="center"/>
        </w:trPr>
        <w:tc>
          <w:tcPr>
            <w:tcW w:w="10045" w:type="dxa"/>
            <w:gridSpan w:val="8"/>
            <w:tcBorders>
              <w:top w:val="nil"/>
              <w:left w:val="nil"/>
              <w:bottom w:val="nil"/>
              <w:right w:val="nil"/>
            </w:tcBorders>
          </w:tcPr>
          <w:p>
            <w:pPr>
              <w:widowControl/>
              <w:tabs>
                <w:tab w:val="left" w:pos="10479"/>
              </w:tabs>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1、买方应在货到后</w:t>
            </w:r>
            <w:r>
              <w:rPr>
                <w:rFonts w:hint="eastAsia" w:ascii="宋体" w:hAnsi="宋体" w:cs="宋体"/>
                <w:kern w:val="0"/>
                <w:szCs w:val="21"/>
                <w:highlight w:val="none"/>
                <w:u w:val="single"/>
              </w:rPr>
              <w:t xml:space="preserve"> 10</w:t>
            </w:r>
            <w:r>
              <w:rPr>
                <w:rFonts w:hint="eastAsia" w:ascii="宋体" w:hAnsi="宋体" w:cs="宋体"/>
                <w:kern w:val="0"/>
                <w:szCs w:val="21"/>
                <w:highlight w:val="none"/>
              </w:rPr>
              <w:t>日内对其数量验收完毕，如有异议，应在货到验收后</w:t>
            </w:r>
            <w:r>
              <w:rPr>
                <w:rFonts w:hint="eastAsia" w:ascii="宋体" w:hAnsi="宋体" w:cs="宋体"/>
                <w:kern w:val="0"/>
                <w:szCs w:val="21"/>
                <w:highlight w:val="none"/>
                <w:u w:val="single"/>
              </w:rPr>
              <w:t xml:space="preserve"> 15日以书面形式提</w:t>
            </w:r>
          </w:p>
        </w:tc>
      </w:tr>
      <w:tr>
        <w:tblPrEx>
          <w:tblCellMar>
            <w:top w:w="0" w:type="dxa"/>
            <w:left w:w="108" w:type="dxa"/>
            <w:bottom w:w="0" w:type="dxa"/>
            <w:right w:w="108" w:type="dxa"/>
          </w:tblCellMar>
        </w:tblPrEx>
        <w:trPr>
          <w:gridAfter w:val="1"/>
          <w:wAfter w:w="134" w:type="dxa"/>
          <w:trHeight w:val="270" w:hRule="atLeast"/>
          <w:jc w:val="center"/>
        </w:trPr>
        <w:tc>
          <w:tcPr>
            <w:tcW w:w="10045" w:type="dxa"/>
            <w:gridSpan w:val="8"/>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出。</w:t>
            </w: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2、验收标准：按照采购文件要求，所供产品须</w:t>
            </w:r>
            <w:r>
              <w:rPr>
                <w:rFonts w:hint="eastAsia" w:ascii="宋体" w:hAnsi="宋体"/>
                <w:szCs w:val="21"/>
                <w:highlight w:val="none"/>
              </w:rPr>
              <w:t>符合采购人技术要求及性能指标</w:t>
            </w:r>
            <w:r>
              <w:rPr>
                <w:rFonts w:hint="eastAsia" w:ascii="宋体" w:hAnsi="宋体" w:cs="宋体"/>
                <w:kern w:val="0"/>
                <w:szCs w:val="21"/>
                <w:highlight w:val="none"/>
              </w:rPr>
              <w:t>。</w:t>
            </w: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kern w:val="0"/>
                <w:szCs w:val="21"/>
                <w:highlight w:val="none"/>
              </w:rPr>
              <w:t>★</w:t>
            </w:r>
            <w:r>
              <w:rPr>
                <w:rFonts w:hint="eastAsia" w:ascii="宋体" w:hAnsi="宋体" w:cs="宋体"/>
                <w:b/>
                <w:bCs/>
                <w:kern w:val="0"/>
                <w:szCs w:val="21"/>
                <w:highlight w:val="none"/>
              </w:rPr>
              <w:t>第八条   付款方式、时间：</w:t>
            </w:r>
          </w:p>
        </w:tc>
      </w:tr>
      <w:tr>
        <w:tblPrEx>
          <w:tblCellMar>
            <w:top w:w="0" w:type="dxa"/>
            <w:left w:w="108" w:type="dxa"/>
            <w:bottom w:w="0" w:type="dxa"/>
            <w:right w:w="108" w:type="dxa"/>
          </w:tblCellMar>
        </w:tblPrEx>
        <w:trPr>
          <w:gridAfter w:val="1"/>
          <w:wAfter w:w="134" w:type="dxa"/>
          <w:trHeight w:val="282" w:hRule="atLeast"/>
          <w:jc w:val="center"/>
        </w:trPr>
        <w:tc>
          <w:tcPr>
            <w:tcW w:w="10045" w:type="dxa"/>
            <w:gridSpan w:val="8"/>
            <w:tcBorders>
              <w:top w:val="nil"/>
              <w:left w:val="nil"/>
              <w:bottom w:val="nil"/>
              <w:right w:val="nil"/>
            </w:tcBorders>
            <w:vAlign w:val="center"/>
          </w:tcPr>
          <w:p>
            <w:pPr>
              <w:pStyle w:val="55"/>
              <w:spacing w:line="360" w:lineRule="auto"/>
              <w:ind w:firstLine="0" w:firstLineChars="0"/>
              <w:rPr>
                <w:rFonts w:ascii="宋体" w:hAnsi="宋体" w:cs="宋体"/>
                <w:bCs/>
                <w:szCs w:val="21"/>
                <w:highlight w:val="none"/>
              </w:rPr>
            </w:pPr>
            <w:r>
              <w:rPr>
                <w:rFonts w:hint="eastAsia" w:ascii="宋体" w:hAnsi="宋体" w:cs="宋体"/>
                <w:bCs/>
                <w:szCs w:val="21"/>
                <w:highlight w:val="none"/>
              </w:rPr>
              <w:t>1、合同生效后10个工作日内，买方向卖方支付合同总额的30%作为预付款；</w:t>
            </w:r>
          </w:p>
          <w:p>
            <w:pPr>
              <w:pStyle w:val="2"/>
              <w:rPr>
                <w:rFonts w:ascii="宋体" w:hAnsi="宋体" w:cs="宋体"/>
                <w:bCs/>
                <w:sz w:val="21"/>
                <w:szCs w:val="21"/>
                <w:highlight w:val="none"/>
              </w:rPr>
            </w:pPr>
            <w:r>
              <w:rPr>
                <w:rFonts w:ascii="宋体" w:hAnsi="宋体" w:cs="宋体"/>
                <w:bCs/>
                <w:sz w:val="21"/>
                <w:szCs w:val="21"/>
                <w:highlight w:val="none"/>
              </w:rPr>
              <w:t>2</w:t>
            </w:r>
            <w:r>
              <w:rPr>
                <w:rFonts w:hint="eastAsia" w:ascii="宋体" w:hAnsi="宋体" w:cs="宋体"/>
                <w:bCs/>
                <w:sz w:val="21"/>
                <w:szCs w:val="21"/>
                <w:highlight w:val="none"/>
              </w:rPr>
              <w:t>、产品运至买方项目现场，经买方验收后支付合同总额的30%；</w:t>
            </w:r>
          </w:p>
          <w:p>
            <w:pPr>
              <w:spacing w:line="360" w:lineRule="auto"/>
              <w:rPr>
                <w:rFonts w:ascii="宋体" w:hAnsi="宋体" w:cs="宋体"/>
                <w:bCs/>
                <w:szCs w:val="21"/>
                <w:highlight w:val="none"/>
              </w:rPr>
            </w:pPr>
            <w:r>
              <w:rPr>
                <w:rFonts w:ascii="宋体" w:hAnsi="宋体" w:cs="宋体"/>
                <w:bCs/>
                <w:szCs w:val="21"/>
                <w:highlight w:val="none"/>
              </w:rPr>
              <w:t>3</w:t>
            </w:r>
            <w:r>
              <w:rPr>
                <w:rFonts w:hint="eastAsia" w:ascii="宋体" w:hAnsi="宋体" w:cs="宋体"/>
                <w:bCs/>
                <w:szCs w:val="21"/>
                <w:highlight w:val="none"/>
              </w:rPr>
              <w:t>、产品安装、调试检测完成，经买方验收合格后，买方在20个工作日内向卖方支付合同总额</w:t>
            </w:r>
            <w:r>
              <w:rPr>
                <w:rFonts w:ascii="宋体" w:hAnsi="宋体" w:cs="宋体"/>
                <w:bCs/>
                <w:szCs w:val="21"/>
                <w:highlight w:val="none"/>
              </w:rPr>
              <w:t>30</w:t>
            </w:r>
            <w:r>
              <w:rPr>
                <w:rFonts w:hint="eastAsia" w:ascii="宋体" w:hAnsi="宋体" w:cs="宋体"/>
                <w:bCs/>
                <w:szCs w:val="21"/>
                <w:highlight w:val="none"/>
              </w:rPr>
              <w:t>%的货款；</w:t>
            </w:r>
          </w:p>
          <w:p>
            <w:pPr>
              <w:spacing w:line="360" w:lineRule="auto"/>
              <w:rPr>
                <w:rFonts w:ascii="宋体" w:hAnsi="宋体" w:cs="宋体"/>
                <w:bCs/>
                <w:szCs w:val="21"/>
                <w:highlight w:val="none"/>
              </w:rPr>
            </w:pPr>
            <w:r>
              <w:rPr>
                <w:rFonts w:ascii="宋体" w:hAnsi="宋体" w:cs="宋体"/>
                <w:bCs/>
                <w:szCs w:val="21"/>
                <w:highlight w:val="none"/>
              </w:rPr>
              <w:t>4</w:t>
            </w:r>
            <w:r>
              <w:rPr>
                <w:rFonts w:hint="eastAsia" w:ascii="宋体" w:hAnsi="宋体" w:cs="宋体"/>
                <w:bCs/>
                <w:szCs w:val="21"/>
                <w:highlight w:val="none"/>
              </w:rPr>
              <w:t>、半年内完成技术支持和培训，买方在10个工作日内向卖方支付合同总额的5%。</w:t>
            </w:r>
          </w:p>
          <w:p>
            <w:pPr>
              <w:spacing w:line="360" w:lineRule="auto"/>
              <w:rPr>
                <w:szCs w:val="21"/>
                <w:highlight w:val="none"/>
              </w:rPr>
            </w:pPr>
            <w:r>
              <w:rPr>
                <w:rFonts w:ascii="宋体" w:hAnsi="宋体" w:cs="宋体"/>
                <w:bCs/>
                <w:szCs w:val="21"/>
                <w:highlight w:val="none"/>
              </w:rPr>
              <w:t>5</w:t>
            </w:r>
            <w:r>
              <w:rPr>
                <w:rFonts w:hint="eastAsia" w:ascii="宋体" w:hAnsi="宋体" w:cs="宋体"/>
                <w:bCs/>
                <w:szCs w:val="21"/>
                <w:highlight w:val="none"/>
              </w:rPr>
              <w:t>、剩余合同金额的5%作为质保金，待质保期满后付清。</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第九条   质量保证</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numPr>
                <w:ilvl w:val="0"/>
                <w:numId w:val="19"/>
              </w:numPr>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卖方保证在本合同下所提供的所有货物在生产、性能材料方面能满足采购文件要求。</w:t>
            </w:r>
          </w:p>
          <w:p>
            <w:pPr>
              <w:widowControl/>
              <w:numPr>
                <w:ilvl w:val="0"/>
                <w:numId w:val="19"/>
              </w:numPr>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质保期为</w:t>
            </w:r>
            <w:r>
              <w:rPr>
                <w:rFonts w:hint="eastAsia" w:ascii="宋体" w:hAnsi="宋体" w:cs="宋体"/>
                <w:szCs w:val="21"/>
                <w:highlight w:val="none"/>
                <w:lang w:bidi="ar"/>
              </w:rPr>
              <w:t>一年，终身维护</w:t>
            </w:r>
            <w:r>
              <w:rPr>
                <w:rFonts w:hint="eastAsia" w:ascii="宋体" w:hAnsi="宋体" w:cs="宋体"/>
                <w:kern w:val="0"/>
                <w:szCs w:val="21"/>
                <w:highlight w:val="none"/>
              </w:rPr>
              <w:t>。</w:t>
            </w:r>
          </w:p>
          <w:p>
            <w:pPr>
              <w:widowControl/>
              <w:numPr>
                <w:ilvl w:val="0"/>
                <w:numId w:val="19"/>
              </w:numPr>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买方向卖方所提出对于在质保期内发现的问题和索赔应在保证期满后四十天仍然有效。</w:t>
            </w:r>
          </w:p>
        </w:tc>
      </w:tr>
      <w:tr>
        <w:tblPrEx>
          <w:tblCellMar>
            <w:top w:w="0" w:type="dxa"/>
            <w:left w:w="108" w:type="dxa"/>
            <w:bottom w:w="0" w:type="dxa"/>
            <w:right w:w="108" w:type="dxa"/>
          </w:tblCellMar>
        </w:tblPrEx>
        <w:trPr>
          <w:gridAfter w:val="1"/>
          <w:wAfter w:w="134" w:type="dxa"/>
          <w:trHeight w:val="300"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第十条  索  赔</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如果所购产品的例行试验或现场验收不符合保证值，或者在保质期内因部件材料的缺陷而出现故障，买方有权要求索赔。在征得买方同意后，卖方可采取下列方法解决：</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(1) 按退货处理，并承担所发生的损失和费用，包括利息、银行手续费、运费、检验费、储运费、保险费以及其它必要的开支。</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(2) 按合同规定重新更换不符合规定的部分，并承担给买方造成的所有直接有关费用，在合同规定的同样期限内保证更换部分的质量。</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(3) 如卖方在收到买方索赔函电(以邮戳为准)14天内未答复，则被视为接受索赔。</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第十一条   违约责任</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1、因卖方所供产品质量问题造成买方或使用方损失的，卖方应承担此直接经济赔偿责任。</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2、除不可抗力原因以外，卖方未按合同所规定的责任期间交货，卖方承担迟交货物的违约责任，以合同总价计算，每逾期1天承担迟交货物总价</w:t>
            </w:r>
            <w:r>
              <w:rPr>
                <w:rFonts w:hint="eastAsia" w:ascii="宋体" w:hAnsi="宋体" w:cs="宋体"/>
                <w:kern w:val="0"/>
                <w:szCs w:val="21"/>
                <w:highlight w:val="none"/>
                <w:u w:val="single"/>
              </w:rPr>
              <w:t xml:space="preserve">  1 </w:t>
            </w:r>
            <w:r>
              <w:rPr>
                <w:rFonts w:hint="eastAsia" w:ascii="宋体" w:hAnsi="宋体" w:cs="宋体"/>
                <w:kern w:val="0"/>
                <w:szCs w:val="21"/>
                <w:highlight w:val="none"/>
              </w:rPr>
              <w:t xml:space="preserve"> ‰的违约责任。</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第十二条   不可抗力及合同的终止</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1、由于不可抗力导致合同不能执行，则合同双方均不需对此负责；</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2、“不可抗力”指地震、台风、火灾、水灾、战争、政府干预、罢工、自然灾害、禁运和其他不可预见或避免的事件。由于不可抗力而导致不能履行合同的一方，应以书面通知对方，并于十五天内提供不可抗力的详细情况，以及政府的有效证明文件，解释合同或合同部分不能执行或需要延长合同履行期限的原因。</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3、任何一方可随时在以下其中一项情况出现时发出给对方终止合同的通知书：</w:t>
            </w:r>
          </w:p>
        </w:tc>
      </w:tr>
      <w:tr>
        <w:tblPrEx>
          <w:tblCellMar>
            <w:top w:w="0" w:type="dxa"/>
            <w:left w:w="108" w:type="dxa"/>
            <w:bottom w:w="0" w:type="dxa"/>
            <w:right w:w="108" w:type="dxa"/>
          </w:tblCellMar>
        </w:tblPrEx>
        <w:trPr>
          <w:gridAfter w:val="1"/>
          <w:wAfter w:w="134" w:type="dxa"/>
          <w:trHeight w:val="300" w:hRule="atLeast"/>
          <w:jc w:val="center"/>
        </w:trPr>
        <w:tc>
          <w:tcPr>
            <w:tcW w:w="10045" w:type="dxa"/>
            <w:gridSpan w:val="8"/>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 xml:space="preserve"> 3.1  若对方对合同做出重要的违约行为，而如果此违约行为是可以纠正的，但违约的一方在接到对方通知后三十天内仍未能做出纠正的；                                                        </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 xml:space="preserve"> 3.2  若发现或得到对方破产或无力偿还债务或停止经营的情形出现或发生时；</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 xml:space="preserve"> 3.3  若对方履行本合同有违法行为时；</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因上述情况而导致合同终止时，受损的一方有权向对方要求补偿所直接发生的所有与执行本合同有关的成本损失。</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 xml:space="preserve">第十三条 </w:t>
            </w:r>
            <w:r>
              <w:rPr>
                <w:rFonts w:hint="eastAsia" w:ascii="宋体" w:hAnsi="宋体" w:cs="宋体"/>
                <w:kern w:val="0"/>
                <w:szCs w:val="21"/>
                <w:highlight w:val="none"/>
              </w:rPr>
              <w:t xml:space="preserve">  本合同生效后，任何一方无故解除合同，受损的一方有权向对方要求补偿所直接发生的所有与执行本合同有关的成本损失。</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第十四条   保密条款</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1、双方保证对对方所提供的属本合同项下的信息或资料（包括但不限于项目信息、技术、收费标准、考察信息等与本合同有关的内容），按本协议约定予以保密，并至少采取适用于自己的保密信息的保护措施和审慎程度进行保密。</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2、双方保证，属本合同项的所有信息仅可在各自一方从事该项目的负责人和雇员范围内知悉。</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第十五条   合同争议解决的方式</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凡与本合同有关而引起的一切争议，双方应首先友好协商解决；如协商未果，则任何一方均有权提交合同签订地人民法院进行诉讼。</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本合同适用中华人民共和国法律法规。</w:t>
            </w: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第十六条  合同组成</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restart"/>
            <w:tcBorders>
              <w:top w:val="nil"/>
              <w:left w:val="nil"/>
              <w:bottom w:val="nil"/>
              <w:right w:val="nil"/>
            </w:tcBorders>
          </w:tcPr>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本合同履行期间，三方因履行本合同而签署的补充协议及其他书面文件，均为本合同不可分割的一部分，具有同等效力。</w:t>
            </w:r>
          </w:p>
        </w:tc>
      </w:tr>
      <w:tr>
        <w:tblPrEx>
          <w:tblCellMar>
            <w:top w:w="0" w:type="dxa"/>
            <w:left w:w="108" w:type="dxa"/>
            <w:bottom w:w="0" w:type="dxa"/>
            <w:right w:w="108" w:type="dxa"/>
          </w:tblCellMar>
        </w:tblPrEx>
        <w:trPr>
          <w:gridAfter w:val="1"/>
          <w:wAfter w:w="134" w:type="dxa"/>
          <w:trHeight w:val="428" w:hRule="atLeast"/>
          <w:jc w:val="center"/>
        </w:trPr>
        <w:tc>
          <w:tcPr>
            <w:tcW w:w="10045" w:type="dxa"/>
            <w:gridSpan w:val="8"/>
            <w:vMerge w:val="continue"/>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gridAfter w:val="1"/>
          <w:wAfter w:w="134" w:type="dxa"/>
          <w:trHeight w:val="285" w:hRule="atLeast"/>
          <w:jc w:val="center"/>
        </w:trPr>
        <w:tc>
          <w:tcPr>
            <w:tcW w:w="10045" w:type="dxa"/>
            <w:gridSpan w:val="8"/>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第十七条 其他</w:t>
            </w:r>
          </w:p>
        </w:tc>
      </w:tr>
      <w:tr>
        <w:tblPrEx>
          <w:tblCellMar>
            <w:top w:w="0" w:type="dxa"/>
            <w:left w:w="108" w:type="dxa"/>
            <w:bottom w:w="0" w:type="dxa"/>
            <w:right w:w="108" w:type="dxa"/>
          </w:tblCellMar>
        </w:tblPrEx>
        <w:trPr>
          <w:gridAfter w:val="1"/>
          <w:wAfter w:w="134" w:type="dxa"/>
          <w:trHeight w:val="300" w:hRule="atLeast"/>
          <w:jc w:val="center"/>
        </w:trPr>
        <w:tc>
          <w:tcPr>
            <w:tcW w:w="10045" w:type="dxa"/>
            <w:gridSpan w:val="8"/>
            <w:tcBorders>
              <w:top w:val="nil"/>
              <w:left w:val="nil"/>
              <w:bottom w:val="nil"/>
              <w:right w:val="nil"/>
            </w:tcBorders>
            <w:vAlign w:val="center"/>
          </w:tcPr>
          <w:p>
            <w:pPr>
              <w:adjustRightInd w:val="0"/>
              <w:snapToGrid w:val="0"/>
              <w:spacing w:line="360" w:lineRule="auto"/>
              <w:ind w:firstLine="420" w:firstLineChars="200"/>
              <w:rPr>
                <w:rFonts w:cs="宋体"/>
                <w:szCs w:val="21"/>
                <w:highlight w:val="none"/>
                <w:lang w:val="zh-CN"/>
              </w:rPr>
            </w:pPr>
            <w:r>
              <w:rPr>
                <w:rFonts w:hint="eastAsia" w:ascii="宋体" w:hAnsi="宋体" w:cs="宋体"/>
                <w:kern w:val="0"/>
                <w:szCs w:val="21"/>
                <w:highlight w:val="none"/>
              </w:rPr>
              <w:t xml:space="preserve"> 1、</w:t>
            </w:r>
            <w:r>
              <w:rPr>
                <w:rFonts w:hint="eastAsia" w:cs="宋体"/>
                <w:szCs w:val="21"/>
                <w:highlight w:val="none"/>
                <w:lang w:val="zh-CN"/>
              </w:rPr>
              <w:t>本次采购由</w:t>
            </w:r>
            <w:r>
              <w:rPr>
                <w:rFonts w:cs="宋体"/>
                <w:szCs w:val="21"/>
                <w:highlight w:val="none"/>
                <w:lang w:val="zh-CN"/>
              </w:rPr>
              <w:t>南京浦口经济开发区管理委员会</w:t>
            </w:r>
            <w:r>
              <w:rPr>
                <w:rFonts w:hint="eastAsia" w:cs="宋体"/>
                <w:szCs w:val="21"/>
                <w:highlight w:val="none"/>
                <w:lang w:val="zh-CN"/>
              </w:rPr>
              <w:t>负责组织实施，最终资产归属于下属实体公司：</w:t>
            </w:r>
            <w:r>
              <w:rPr>
                <w:rFonts w:hint="eastAsia" w:ascii="宋体" w:hAnsi="宋体" w:cs="宋体"/>
                <w:szCs w:val="21"/>
                <w:highlight w:val="none"/>
                <w:lang w:val="zh-CN"/>
              </w:rPr>
              <w:t>南京浦口步月芯集成电路有限公司</w:t>
            </w:r>
            <w:r>
              <w:rPr>
                <w:rFonts w:hint="eastAsia" w:cs="宋体"/>
                <w:szCs w:val="21"/>
                <w:highlight w:val="none"/>
                <w:lang w:val="zh-CN"/>
              </w:rPr>
              <w:t>，合同由中标人与</w:t>
            </w:r>
            <w:r>
              <w:rPr>
                <w:rFonts w:hint="eastAsia" w:ascii="宋体" w:hAnsi="宋体" w:cs="宋体"/>
                <w:szCs w:val="21"/>
                <w:highlight w:val="none"/>
                <w:lang w:val="zh-CN"/>
              </w:rPr>
              <w:t>南京浦口步月芯集成电路有限公司</w:t>
            </w:r>
            <w:r>
              <w:rPr>
                <w:rFonts w:hint="eastAsia" w:cs="宋体"/>
                <w:szCs w:val="21"/>
                <w:highlight w:val="none"/>
                <w:lang w:val="zh-CN"/>
              </w:rPr>
              <w:t>签订并</w:t>
            </w:r>
            <w:r>
              <w:rPr>
                <w:rFonts w:hint="eastAsia" w:cs="宋体"/>
                <w:szCs w:val="21"/>
                <w:highlight w:val="none"/>
              </w:rPr>
              <w:t>由</w:t>
            </w:r>
            <w:r>
              <w:rPr>
                <w:rFonts w:hint="eastAsia" w:cs="宋体"/>
                <w:szCs w:val="21"/>
                <w:highlight w:val="none"/>
                <w:lang w:val="zh-CN"/>
              </w:rPr>
              <w:t>南京浦口步月芯集成电路有限公司进行付款。</w:t>
            </w:r>
          </w:p>
          <w:p>
            <w:pPr>
              <w:widowControl/>
              <w:adjustRightInd w:val="0"/>
              <w:snapToGrid w:val="0"/>
              <w:spacing w:line="360" w:lineRule="auto"/>
              <w:ind w:firstLine="525" w:firstLineChars="250"/>
              <w:jc w:val="left"/>
              <w:rPr>
                <w:rFonts w:ascii="宋体" w:hAnsi="宋体" w:cs="宋体"/>
                <w:kern w:val="0"/>
                <w:szCs w:val="21"/>
                <w:highlight w:val="none"/>
              </w:rPr>
            </w:pPr>
            <w:r>
              <w:rPr>
                <w:rFonts w:hint="eastAsia" w:ascii="宋体" w:hAnsi="宋体" w:cs="宋体"/>
                <w:kern w:val="0"/>
                <w:szCs w:val="21"/>
                <w:highlight w:val="none"/>
              </w:rPr>
              <w:t>2、本合同一式陆份，双方各执叁份，双方签盖章之日起生效。其他未尽事宜，另作商定。</w:t>
            </w:r>
          </w:p>
        </w:tc>
      </w:tr>
    </w:tbl>
    <w:p>
      <w:pPr>
        <w:widowControl/>
        <w:adjustRightInd w:val="0"/>
        <w:snapToGrid w:val="0"/>
        <w:spacing w:line="360" w:lineRule="auto"/>
        <w:rPr>
          <w:rFonts w:ascii="宋体" w:hAnsi="宋体" w:cs="宋体"/>
          <w:b/>
          <w:bCs/>
          <w:kern w:val="0"/>
          <w:szCs w:val="21"/>
          <w:highlight w:val="none"/>
        </w:rPr>
      </w:pPr>
    </w:p>
    <w:p>
      <w:pPr>
        <w:widowControl/>
        <w:adjustRightInd w:val="0"/>
        <w:snapToGrid w:val="0"/>
        <w:spacing w:line="360" w:lineRule="auto"/>
        <w:rPr>
          <w:rFonts w:ascii="宋体" w:hAnsi="宋体" w:cs="宋体"/>
          <w:b/>
          <w:bCs/>
          <w:kern w:val="0"/>
          <w:szCs w:val="21"/>
          <w:highlight w:val="none"/>
        </w:rPr>
      </w:pPr>
      <w:r>
        <w:rPr>
          <w:rFonts w:hint="eastAsia" w:ascii="宋体" w:hAnsi="宋体" w:cs="宋体"/>
          <w:b/>
          <w:bCs/>
          <w:kern w:val="0"/>
          <w:szCs w:val="21"/>
          <w:highlight w:val="none"/>
        </w:rPr>
        <w:t>以下无正文</w:t>
      </w:r>
      <w:r>
        <w:rPr>
          <w:rFonts w:hint="eastAsia" w:ascii="宋体" w:hAnsi="宋体" w:cs="宋体"/>
          <w:b/>
          <w:bCs/>
          <w:kern w:val="0"/>
          <w:szCs w:val="21"/>
          <w:highlight w:val="none"/>
        </w:rPr>
        <w:br w:type="page"/>
      </w:r>
    </w:p>
    <w:tbl>
      <w:tblPr>
        <w:tblStyle w:val="44"/>
        <w:tblW w:w="10045" w:type="dxa"/>
        <w:jc w:val="center"/>
        <w:tblLayout w:type="fixed"/>
        <w:tblCellMar>
          <w:top w:w="0" w:type="dxa"/>
          <w:left w:w="108" w:type="dxa"/>
          <w:bottom w:w="0" w:type="dxa"/>
          <w:right w:w="108" w:type="dxa"/>
        </w:tblCellMar>
      </w:tblPr>
      <w:tblGrid>
        <w:gridCol w:w="2092"/>
        <w:gridCol w:w="3342"/>
        <w:gridCol w:w="798"/>
        <w:gridCol w:w="1183"/>
        <w:gridCol w:w="1677"/>
        <w:gridCol w:w="953"/>
      </w:tblGrid>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卖方名称：</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单位地址：</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法定代表人：</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委托代理人：</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经办人：</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电话：</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开户银行：</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账号：</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税号：</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邮政编码：</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bCs/>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买方名称：</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单位地址：</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法定代表人：</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委托代理人：</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经办人：</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电话：</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开户银行：</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账号：</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税号：</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邮政编码：</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工程名称：</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2"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签订地点：</w:t>
            </w:r>
          </w:p>
        </w:tc>
        <w:tc>
          <w:tcPr>
            <w:tcW w:w="5323" w:type="dxa"/>
            <w:gridSpan w:val="3"/>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r>
      <w:tr>
        <w:tblPrEx>
          <w:tblCellMar>
            <w:top w:w="0" w:type="dxa"/>
            <w:left w:w="108" w:type="dxa"/>
            <w:bottom w:w="0" w:type="dxa"/>
            <w:right w:w="108" w:type="dxa"/>
          </w:tblCellMar>
        </w:tblPrEx>
        <w:trPr>
          <w:trHeight w:val="285" w:hRule="atLeast"/>
          <w:jc w:val="center"/>
        </w:trPr>
        <w:tc>
          <w:tcPr>
            <w:tcW w:w="2092" w:type="dxa"/>
            <w:tcBorders>
              <w:top w:val="nil"/>
              <w:left w:val="nil"/>
              <w:bottom w:val="nil"/>
              <w:right w:val="nil"/>
            </w:tcBorders>
            <w:vAlign w:val="center"/>
          </w:tcPr>
          <w:p>
            <w:pPr>
              <w:widowControl/>
              <w:adjustRightInd w:val="0"/>
              <w:snapToGrid w:val="0"/>
              <w:spacing w:line="360" w:lineRule="auto"/>
              <w:jc w:val="right"/>
              <w:rPr>
                <w:rFonts w:ascii="宋体" w:hAnsi="宋体" w:cs="宋体"/>
                <w:b/>
                <w:bCs/>
                <w:kern w:val="0"/>
                <w:szCs w:val="21"/>
                <w:highlight w:val="none"/>
              </w:rPr>
            </w:pPr>
            <w:r>
              <w:rPr>
                <w:rFonts w:hint="eastAsia" w:ascii="宋体" w:hAnsi="宋体" w:cs="宋体"/>
                <w:b/>
                <w:bCs/>
                <w:kern w:val="0"/>
                <w:szCs w:val="21"/>
                <w:highlight w:val="none"/>
              </w:rPr>
              <w:t>签订时间：</w:t>
            </w:r>
          </w:p>
        </w:tc>
        <w:tc>
          <w:tcPr>
            <w:tcW w:w="3342" w:type="dxa"/>
            <w:tcBorders>
              <w:top w:val="nil"/>
              <w:left w:val="nil"/>
              <w:bottom w:val="nil"/>
              <w:right w:val="nil"/>
            </w:tcBorders>
            <w:vAlign w:val="center"/>
          </w:tcPr>
          <w:p>
            <w:pPr>
              <w:widowControl/>
              <w:adjustRightInd w:val="0"/>
              <w:snapToGrid w:val="0"/>
              <w:spacing w:line="360" w:lineRule="auto"/>
              <w:jc w:val="left"/>
              <w:rPr>
                <w:rFonts w:ascii="宋体" w:hAnsi="宋体" w:cs="宋体"/>
                <w:b/>
                <w:bCs/>
                <w:kern w:val="0"/>
                <w:szCs w:val="21"/>
                <w:highlight w:val="none"/>
              </w:rPr>
            </w:pPr>
          </w:p>
        </w:tc>
        <w:tc>
          <w:tcPr>
            <w:tcW w:w="798"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183"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1677" w:type="dxa"/>
            <w:tcBorders>
              <w:top w:val="nil"/>
              <w:left w:val="nil"/>
              <w:bottom w:val="nil"/>
              <w:right w:val="nil"/>
            </w:tcBorders>
            <w:vAlign w:val="center"/>
          </w:tcPr>
          <w:p>
            <w:pPr>
              <w:widowControl/>
              <w:adjustRightInd w:val="0"/>
              <w:snapToGrid w:val="0"/>
              <w:spacing w:line="360" w:lineRule="auto"/>
              <w:jc w:val="left"/>
              <w:rPr>
                <w:rFonts w:ascii="宋体" w:hAnsi="宋体" w:cs="宋体"/>
                <w:kern w:val="0"/>
                <w:szCs w:val="21"/>
                <w:highlight w:val="none"/>
              </w:rPr>
            </w:pPr>
          </w:p>
        </w:tc>
        <w:tc>
          <w:tcPr>
            <w:tcW w:w="953" w:type="dxa"/>
            <w:tcBorders>
              <w:top w:val="nil"/>
              <w:left w:val="nil"/>
              <w:bottom w:val="nil"/>
              <w:right w:val="nil"/>
            </w:tcBorders>
            <w:vAlign w:val="bottom"/>
          </w:tcPr>
          <w:p>
            <w:pPr>
              <w:widowControl/>
              <w:adjustRightInd w:val="0"/>
              <w:snapToGrid w:val="0"/>
              <w:spacing w:line="360" w:lineRule="auto"/>
              <w:jc w:val="right"/>
              <w:rPr>
                <w:rFonts w:ascii="宋体" w:hAnsi="宋体" w:cs="宋体"/>
                <w:kern w:val="0"/>
                <w:szCs w:val="21"/>
                <w:highlight w:val="none"/>
              </w:rPr>
            </w:pPr>
          </w:p>
        </w:tc>
      </w:tr>
    </w:tbl>
    <w:p>
      <w:pPr>
        <w:rPr>
          <w:highlight w:val="none"/>
        </w:rPr>
      </w:pPr>
    </w:p>
    <w:p>
      <w:pPr>
        <w:rPr>
          <w:highlight w:val="none"/>
        </w:rPr>
      </w:pPr>
      <w:r>
        <w:rPr>
          <w:rFonts w:hint="eastAsia"/>
          <w:highlight w:val="none"/>
        </w:rPr>
        <w:br w:type="page"/>
      </w:r>
    </w:p>
    <w:p>
      <w:pPr>
        <w:pStyle w:val="3"/>
        <w:numPr>
          <w:ilvl w:val="0"/>
          <w:numId w:val="0"/>
        </w:numPr>
        <w:rPr>
          <w:highlight w:val="none"/>
        </w:rPr>
      </w:pPr>
      <w:bookmarkStart w:id="11" w:name="_Toc12832"/>
      <w:r>
        <w:rPr>
          <w:rFonts w:hint="eastAsia"/>
          <w:highlight w:val="none"/>
        </w:rPr>
        <w:t>第六章 附件</w:t>
      </w:r>
      <w:bookmarkEnd w:id="11"/>
    </w:p>
    <w:p>
      <w:pPr>
        <w:widowControl/>
        <w:adjustRightInd w:val="0"/>
        <w:spacing w:line="240" w:lineRule="atLeast"/>
        <w:jc w:val="left"/>
        <w:rPr>
          <w:rFonts w:ascii="宋体" w:hAnsi="宋体"/>
          <w:b/>
          <w:bCs/>
          <w:szCs w:val="21"/>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jc w:val="center"/>
        <w:rPr>
          <w:rFonts w:eastAsia="黑体"/>
          <w:sz w:val="20"/>
          <w:szCs w:val="20"/>
          <w:highlight w:val="none"/>
        </w:rPr>
      </w:pPr>
      <w:r>
        <w:rPr>
          <w:rFonts w:eastAsia="黑体"/>
          <w:sz w:val="28"/>
          <w:szCs w:val="28"/>
          <w:highlight w:val="none"/>
        </w:rPr>
        <w:t>（项目名称）</w:t>
      </w:r>
    </w:p>
    <w:p>
      <w:pPr>
        <w:jc w:val="center"/>
        <w:rPr>
          <w:rFonts w:eastAsia="黑体"/>
          <w:sz w:val="20"/>
          <w:szCs w:val="20"/>
          <w:highlight w:val="none"/>
        </w:rPr>
      </w:pPr>
    </w:p>
    <w:p>
      <w:pPr>
        <w:rPr>
          <w:rFonts w:eastAsia="黑体"/>
          <w:sz w:val="20"/>
          <w:szCs w:val="20"/>
          <w:highlight w:val="none"/>
        </w:rPr>
      </w:pPr>
    </w:p>
    <w:p>
      <w:pPr>
        <w:jc w:val="center"/>
        <w:rPr>
          <w:rFonts w:eastAsia="黑体"/>
          <w:sz w:val="44"/>
          <w:szCs w:val="44"/>
          <w:highlight w:val="none"/>
        </w:rPr>
      </w:pPr>
      <w:r>
        <w:rPr>
          <w:rFonts w:eastAsia="黑体"/>
          <w:sz w:val="44"/>
          <w:szCs w:val="44"/>
          <w:highlight w:val="none"/>
        </w:rPr>
        <w:t>投标文件</w:t>
      </w: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pStyle w:val="55"/>
        <w:rPr>
          <w:highlight w:val="none"/>
        </w:rPr>
      </w:pPr>
    </w:p>
    <w:p>
      <w:pPr>
        <w:pStyle w:val="55"/>
        <w:rPr>
          <w:highlight w:val="none"/>
        </w:rPr>
      </w:pPr>
    </w:p>
    <w:p>
      <w:pPr>
        <w:rPr>
          <w:rFonts w:eastAsia="黑体"/>
          <w:sz w:val="28"/>
          <w:szCs w:val="28"/>
          <w:highlight w:val="none"/>
        </w:rPr>
      </w:pPr>
    </w:p>
    <w:p>
      <w:pPr>
        <w:jc w:val="center"/>
        <w:rPr>
          <w:rFonts w:eastAsia="黑体"/>
          <w:sz w:val="28"/>
          <w:szCs w:val="28"/>
          <w:highlight w:val="none"/>
          <w:u w:val="single"/>
        </w:rPr>
      </w:pPr>
      <w:r>
        <w:rPr>
          <w:rFonts w:eastAsia="黑体"/>
          <w:sz w:val="28"/>
          <w:szCs w:val="28"/>
          <w:highlight w:val="none"/>
        </w:rPr>
        <w:t>投标人：（盖单位章）</w:t>
      </w:r>
    </w:p>
    <w:p>
      <w:pPr>
        <w:jc w:val="center"/>
        <w:rPr>
          <w:rFonts w:eastAsia="黑体"/>
          <w:sz w:val="28"/>
          <w:szCs w:val="28"/>
          <w:highlight w:val="none"/>
        </w:rPr>
      </w:pPr>
      <w:r>
        <w:rPr>
          <w:rFonts w:eastAsia="黑体"/>
          <w:sz w:val="28"/>
          <w:szCs w:val="28"/>
          <w:highlight w:val="none"/>
        </w:rPr>
        <w:t>法定代表人或其委托代理人：（签字）</w:t>
      </w:r>
    </w:p>
    <w:p>
      <w:pPr>
        <w:jc w:val="center"/>
        <w:rPr>
          <w:rFonts w:eastAsia="黑体"/>
          <w:sz w:val="28"/>
          <w:szCs w:val="28"/>
          <w:highlight w:val="none"/>
        </w:rPr>
      </w:pPr>
      <w:r>
        <w:rPr>
          <w:rFonts w:eastAsia="黑体"/>
          <w:sz w:val="28"/>
          <w:szCs w:val="28"/>
          <w:highlight w:val="none"/>
        </w:rPr>
        <w:t>年月日</w:t>
      </w:r>
    </w:p>
    <w:p>
      <w:pPr>
        <w:spacing w:before="312" w:beforeLines="100" w:after="312" w:afterLines="100"/>
        <w:jc w:val="center"/>
        <w:rPr>
          <w:rFonts w:eastAsia="黑体"/>
          <w:sz w:val="32"/>
          <w:szCs w:val="32"/>
          <w:highlight w:val="none"/>
        </w:rPr>
      </w:pPr>
      <w:r>
        <w:rPr>
          <w:rFonts w:eastAsia="黑体"/>
          <w:sz w:val="32"/>
          <w:szCs w:val="32"/>
          <w:highlight w:val="none"/>
        </w:rPr>
        <w:t>目录</w:t>
      </w:r>
    </w:p>
    <w:p>
      <w:pPr>
        <w:jc w:val="center"/>
        <w:rPr>
          <w:rFonts w:eastAsia="黑体"/>
          <w:szCs w:val="21"/>
          <w:highlight w:val="none"/>
        </w:rPr>
      </w:pPr>
      <w:r>
        <w:rPr>
          <w:rFonts w:hint="eastAsia" w:eastAsia="黑体"/>
          <w:szCs w:val="21"/>
          <w:highlight w:val="none"/>
        </w:rPr>
        <w:t>（注：供应商根据附件顺序编制投标文件并制作目录（须生成页码））</w:t>
      </w:r>
    </w:p>
    <w:p>
      <w:pPr>
        <w:spacing w:line="440" w:lineRule="exact"/>
        <w:rPr>
          <w:rFonts w:ascii="宋体" w:hAnsi="宋体"/>
          <w:kern w:val="0"/>
          <w:szCs w:val="21"/>
          <w:highlight w:val="none"/>
        </w:rPr>
      </w:pPr>
      <w:r>
        <w:rPr>
          <w:highlight w:val="none"/>
        </w:rPr>
        <w:br w:type="page"/>
      </w:r>
      <w:r>
        <w:rPr>
          <w:rFonts w:hint="eastAsia" w:ascii="宋体" w:hAnsi="宋体"/>
          <w:b/>
          <w:bCs/>
          <w:kern w:val="0"/>
          <w:szCs w:val="21"/>
          <w:highlight w:val="none"/>
        </w:rPr>
        <w:t>附件一、投标申请及声明格式</w:t>
      </w:r>
    </w:p>
    <w:p>
      <w:pPr>
        <w:widowControl/>
        <w:shd w:val="clear" w:color="auto" w:fill="FFFFFF"/>
        <w:spacing w:line="360" w:lineRule="auto"/>
        <w:jc w:val="center"/>
        <w:rPr>
          <w:rFonts w:ascii="宋体" w:hAnsi="宋体"/>
          <w:b/>
          <w:kern w:val="0"/>
          <w:szCs w:val="21"/>
          <w:highlight w:val="none"/>
        </w:rPr>
      </w:pPr>
      <w:r>
        <w:rPr>
          <w:rFonts w:hint="eastAsia" w:ascii="宋体" w:hAnsi="宋体"/>
          <w:b/>
          <w:kern w:val="0"/>
          <w:sz w:val="36"/>
          <w:szCs w:val="36"/>
          <w:highlight w:val="none"/>
        </w:rPr>
        <w:t>投标申请及声明</w:t>
      </w:r>
    </w:p>
    <w:p>
      <w:pPr>
        <w:widowControl/>
        <w:shd w:val="clear" w:color="auto" w:fill="FFFFFF"/>
        <w:spacing w:line="400" w:lineRule="exact"/>
        <w:rPr>
          <w:rFonts w:ascii="宋体" w:hAnsi="宋体"/>
          <w:kern w:val="0"/>
          <w:szCs w:val="21"/>
          <w:highlight w:val="none"/>
        </w:rPr>
      </w:pPr>
      <w:r>
        <w:rPr>
          <w:rFonts w:hint="eastAsia" w:ascii="宋体" w:hAnsi="宋体"/>
          <w:kern w:val="0"/>
          <w:szCs w:val="21"/>
          <w:highlight w:val="none"/>
        </w:rPr>
        <w:t> 致：江苏省设备成套股份有限公司</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根据贵方</w:t>
      </w:r>
      <w:r>
        <w:rPr>
          <w:rFonts w:hint="eastAsia" w:ascii="宋体" w:hAnsi="宋体"/>
          <w:kern w:val="0"/>
          <w:szCs w:val="21"/>
          <w:highlight w:val="none"/>
          <w:u w:val="single"/>
        </w:rPr>
        <w:t>           </w:t>
      </w:r>
      <w:r>
        <w:rPr>
          <w:rFonts w:hint="eastAsia" w:ascii="宋体" w:hAnsi="宋体"/>
          <w:bCs/>
          <w:kern w:val="0"/>
          <w:szCs w:val="21"/>
          <w:highlight w:val="none"/>
          <w:u w:val="single"/>
        </w:rPr>
        <w:t>（</w:t>
      </w:r>
      <w:r>
        <w:rPr>
          <w:rFonts w:hint="eastAsia" w:ascii="宋体" w:hAnsi="宋体"/>
          <w:kern w:val="0"/>
          <w:szCs w:val="21"/>
          <w:highlight w:val="none"/>
        </w:rPr>
        <w:t>项目名称） </w:t>
      </w:r>
      <w:r>
        <w:rPr>
          <w:rFonts w:hint="eastAsia" w:ascii="宋体" w:hAnsi="宋体"/>
          <w:kern w:val="0"/>
          <w:szCs w:val="21"/>
          <w:highlight w:val="none"/>
          <w:u w:val="single"/>
        </w:rPr>
        <w:t>       </w:t>
      </w:r>
      <w:r>
        <w:rPr>
          <w:rFonts w:hint="eastAsia" w:ascii="宋体" w:hAnsi="宋体"/>
          <w:kern w:val="0"/>
          <w:szCs w:val="21"/>
          <w:highlight w:val="none"/>
        </w:rPr>
        <w:t>（项目编号）投标邀请，正式授权下述签字人</w:t>
      </w:r>
      <w:r>
        <w:rPr>
          <w:rFonts w:hint="eastAsia" w:ascii="宋体" w:hAnsi="宋体"/>
          <w:kern w:val="0"/>
          <w:szCs w:val="21"/>
          <w:highlight w:val="none"/>
          <w:u w:val="single"/>
        </w:rPr>
        <w:t>           </w:t>
      </w:r>
      <w:r>
        <w:rPr>
          <w:rFonts w:hint="eastAsia" w:ascii="宋体" w:hAnsi="宋体"/>
          <w:kern w:val="0"/>
          <w:szCs w:val="21"/>
          <w:highlight w:val="none"/>
        </w:rPr>
        <w:t>(姓名和职务)代表投标人</w:t>
      </w:r>
      <w:r>
        <w:rPr>
          <w:rFonts w:hint="eastAsia" w:ascii="宋体" w:hAnsi="宋体"/>
          <w:kern w:val="0"/>
          <w:szCs w:val="21"/>
          <w:highlight w:val="none"/>
          <w:u w:val="single"/>
        </w:rPr>
        <w:t>     </w:t>
      </w:r>
      <w:r>
        <w:rPr>
          <w:rFonts w:hint="eastAsia" w:ascii="宋体" w:hAnsi="宋体"/>
          <w:kern w:val="0"/>
          <w:szCs w:val="21"/>
          <w:highlight w:val="none"/>
        </w:rPr>
        <w:t>（投标人名称），提交投标文件。</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据此函，签字人兹宣布声明和承诺如下：</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1、</w:t>
      </w:r>
      <w:r>
        <w:rPr>
          <w:rFonts w:hint="eastAsia" w:ascii="宋体" w:hAnsi="宋体"/>
          <w:b/>
          <w:bCs/>
          <w:kern w:val="0"/>
          <w:szCs w:val="21"/>
          <w:highlight w:val="none"/>
        </w:rPr>
        <w:t>我们的资格条件完全符合政府采购法和本次招标要求</w:t>
      </w:r>
      <w:r>
        <w:rPr>
          <w:rFonts w:hint="eastAsia" w:ascii="宋体" w:hAnsi="宋体"/>
          <w:kern w:val="0"/>
          <w:szCs w:val="21"/>
          <w:highlight w:val="none"/>
        </w:rPr>
        <w:t>，我们同意并向贵方提供了与投标有关的所有证据和资料。</w:t>
      </w:r>
    </w:p>
    <w:p>
      <w:pPr>
        <w:widowControl/>
        <w:shd w:val="clear" w:color="auto" w:fill="FFFFFF"/>
        <w:spacing w:line="400" w:lineRule="exact"/>
        <w:ind w:left="1470" w:hanging="1050"/>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rPr>
        <w:t>按招标要求，我们的投标报价为：         万元（大写:           ）。</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3、本项目交付时间为：</w:t>
      </w:r>
      <w:r>
        <w:rPr>
          <w:rFonts w:hint="eastAsia" w:ascii="宋体" w:hAnsi="宋体"/>
          <w:kern w:val="0"/>
          <w:szCs w:val="21"/>
          <w:highlight w:val="none"/>
          <w:u w:val="single"/>
        </w:rPr>
        <w:t xml:space="preserve">  满足招标文件要求  </w:t>
      </w:r>
      <w:r>
        <w:rPr>
          <w:rFonts w:hint="eastAsia" w:ascii="宋体" w:hAnsi="宋体"/>
          <w:kern w:val="0"/>
          <w:szCs w:val="21"/>
          <w:highlight w:val="none"/>
        </w:rPr>
        <w:t>。</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4、我们已详细阅读全部招标文件及其有效补充文件，我们放弃对招标文件任何误解的权利，提交投标文件后，</w:t>
      </w:r>
      <w:r>
        <w:rPr>
          <w:rFonts w:hint="eastAsia" w:ascii="宋体" w:hAnsi="宋体"/>
          <w:b/>
          <w:bCs/>
          <w:kern w:val="0"/>
          <w:szCs w:val="21"/>
          <w:highlight w:val="none"/>
        </w:rPr>
        <w:t>不对招标文件本身提出质疑</w:t>
      </w:r>
      <w:r>
        <w:rPr>
          <w:rFonts w:hint="eastAsia" w:ascii="宋体" w:hAnsi="宋体"/>
          <w:kern w:val="0"/>
          <w:szCs w:val="21"/>
          <w:highlight w:val="none"/>
        </w:rPr>
        <w:t>。</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5、我们同意从规定的开标日期起遵循本投标文件，并在规定的投标有效期期满之前均具有约束力。</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6、投标截止时间结束后参加投标的投标人不足三家的，或在评标期间出现符合专业条件的供应商或者对招标文件作出实质响应的投标人不足三家情形的，我们酌情决定是否参加</w:t>
      </w:r>
      <w:r>
        <w:rPr>
          <w:highlight w:val="none"/>
        </w:rPr>
        <w:t>贵方组织的其他采购方式采购</w:t>
      </w:r>
      <w:r>
        <w:rPr>
          <w:rFonts w:hint="eastAsia" w:ascii="宋体" w:hAnsi="宋体"/>
          <w:kern w:val="0"/>
          <w:szCs w:val="21"/>
          <w:highlight w:val="none"/>
        </w:rPr>
        <w:t>。</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7、一旦我方中标，我方将根据招标文件的规定严格履行合同，并保证于承诺的时间完成货物的启动/集成、调试等服务，交付采购人验收、使用。</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9、与本投标有关的正式联系方式为：</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地   址：</w:t>
      </w:r>
      <w:r>
        <w:rPr>
          <w:rFonts w:hint="eastAsia" w:ascii="宋体" w:hAnsi="宋体"/>
          <w:kern w:val="0"/>
          <w:szCs w:val="21"/>
          <w:highlight w:val="none"/>
          <w:u w:val="single"/>
        </w:rPr>
        <w:t>                      </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电   话：</w:t>
      </w:r>
      <w:r>
        <w:rPr>
          <w:rFonts w:hint="eastAsia" w:ascii="宋体" w:hAnsi="宋体"/>
          <w:kern w:val="0"/>
          <w:szCs w:val="21"/>
          <w:highlight w:val="none"/>
          <w:u w:val="single"/>
        </w:rPr>
        <w:t>                      </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传   真：</w:t>
      </w:r>
      <w:r>
        <w:rPr>
          <w:rFonts w:hint="eastAsia" w:ascii="宋体" w:hAnsi="宋体"/>
          <w:kern w:val="0"/>
          <w:szCs w:val="21"/>
          <w:highlight w:val="none"/>
          <w:u w:val="single"/>
        </w:rPr>
        <w:t>                      </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开户银行：</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银行账号：</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投标人授权代表姓名（签字）：</w:t>
      </w:r>
      <w:r>
        <w:rPr>
          <w:rFonts w:hint="eastAsia" w:ascii="宋体" w:hAnsi="宋体"/>
          <w:kern w:val="0"/>
          <w:szCs w:val="21"/>
          <w:highlight w:val="none"/>
          <w:u w:val="single"/>
        </w:rPr>
        <w:t>        </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投标人名称：</w:t>
      </w:r>
      <w:r>
        <w:rPr>
          <w:rFonts w:hint="eastAsia" w:ascii="宋体" w:hAnsi="宋体"/>
          <w:kern w:val="0"/>
          <w:szCs w:val="21"/>
          <w:highlight w:val="none"/>
          <w:u w:val="single"/>
        </w:rPr>
        <w:t>                 </w:t>
      </w:r>
      <w:r>
        <w:rPr>
          <w:rFonts w:hint="eastAsia" w:ascii="宋体" w:hAnsi="宋体"/>
          <w:kern w:val="0"/>
          <w:szCs w:val="21"/>
          <w:highlight w:val="none"/>
        </w:rPr>
        <w:t>（盖章）</w:t>
      </w:r>
    </w:p>
    <w:p>
      <w:pPr>
        <w:widowControl/>
        <w:shd w:val="clear" w:color="auto" w:fill="FFFFFF"/>
        <w:spacing w:line="400" w:lineRule="exact"/>
        <w:ind w:firstLine="420"/>
        <w:rPr>
          <w:rFonts w:ascii="宋体" w:hAnsi="宋体"/>
          <w:kern w:val="0"/>
          <w:szCs w:val="21"/>
          <w:highlight w:val="none"/>
        </w:rPr>
      </w:pPr>
      <w:r>
        <w:rPr>
          <w:rFonts w:hint="eastAsia" w:ascii="宋体" w:hAnsi="宋体"/>
          <w:kern w:val="0"/>
          <w:szCs w:val="21"/>
          <w:highlight w:val="none"/>
        </w:rPr>
        <w:t>日    期：</w:t>
      </w:r>
      <w:r>
        <w:rPr>
          <w:rFonts w:hint="eastAsia" w:ascii="宋体" w:hAnsi="宋体"/>
          <w:kern w:val="0"/>
          <w:szCs w:val="21"/>
          <w:highlight w:val="none"/>
          <w:u w:val="single"/>
        </w:rPr>
        <w:t>     </w:t>
      </w:r>
      <w:r>
        <w:rPr>
          <w:rFonts w:hint="eastAsia" w:ascii="宋体" w:hAnsi="宋体"/>
          <w:kern w:val="0"/>
          <w:szCs w:val="21"/>
          <w:highlight w:val="none"/>
        </w:rPr>
        <w:t>年</w:t>
      </w:r>
      <w:r>
        <w:rPr>
          <w:rFonts w:hint="eastAsia" w:ascii="宋体" w:hAnsi="宋体"/>
          <w:kern w:val="0"/>
          <w:szCs w:val="21"/>
          <w:highlight w:val="none"/>
          <w:u w:val="single"/>
        </w:rPr>
        <w:t>    </w:t>
      </w:r>
      <w:r>
        <w:rPr>
          <w:rFonts w:hint="eastAsia" w:ascii="宋体" w:hAnsi="宋体"/>
          <w:kern w:val="0"/>
          <w:szCs w:val="21"/>
          <w:highlight w:val="none"/>
        </w:rPr>
        <w:t>月</w:t>
      </w:r>
      <w:r>
        <w:rPr>
          <w:rFonts w:hint="eastAsia" w:ascii="宋体" w:hAnsi="宋体"/>
          <w:kern w:val="0"/>
          <w:szCs w:val="21"/>
          <w:highlight w:val="none"/>
          <w:u w:val="single"/>
        </w:rPr>
        <w:t>    </w:t>
      </w:r>
      <w:r>
        <w:rPr>
          <w:rFonts w:hint="eastAsia" w:ascii="宋体" w:hAnsi="宋体"/>
          <w:kern w:val="0"/>
          <w:szCs w:val="21"/>
          <w:highlight w:val="none"/>
        </w:rPr>
        <w:t>日</w:t>
      </w:r>
    </w:p>
    <w:p>
      <w:pPr>
        <w:widowControl/>
        <w:shd w:val="clear" w:color="auto" w:fill="FFFFFF"/>
        <w:spacing w:line="360" w:lineRule="auto"/>
        <w:rPr>
          <w:rFonts w:ascii="宋体" w:hAnsi="宋体"/>
          <w:kern w:val="0"/>
          <w:szCs w:val="21"/>
          <w:highlight w:val="none"/>
        </w:rPr>
      </w:pPr>
      <w:r>
        <w:rPr>
          <w:rFonts w:ascii="宋体" w:hAnsi="宋体"/>
          <w:b/>
          <w:bCs/>
          <w:kern w:val="0"/>
          <w:szCs w:val="21"/>
          <w:highlight w:val="none"/>
        </w:rPr>
        <w:br w:type="page"/>
      </w:r>
      <w:r>
        <w:rPr>
          <w:rFonts w:hint="eastAsia" w:ascii="宋体" w:hAnsi="宋体"/>
          <w:b/>
          <w:bCs/>
          <w:kern w:val="0"/>
          <w:szCs w:val="21"/>
          <w:highlight w:val="none"/>
        </w:rPr>
        <w:t>附件二、法定代表人授权委托书格式</w:t>
      </w:r>
    </w:p>
    <w:p>
      <w:pPr>
        <w:widowControl/>
        <w:shd w:val="clear" w:color="auto" w:fill="FFFFFF"/>
        <w:spacing w:line="360" w:lineRule="auto"/>
        <w:ind w:firstLine="720"/>
        <w:jc w:val="center"/>
        <w:rPr>
          <w:rFonts w:ascii="宋体" w:hAnsi="宋体"/>
          <w:kern w:val="0"/>
          <w:sz w:val="36"/>
          <w:szCs w:val="36"/>
          <w:highlight w:val="none"/>
        </w:rPr>
      </w:pPr>
    </w:p>
    <w:p>
      <w:pPr>
        <w:widowControl/>
        <w:shd w:val="clear" w:color="auto" w:fill="FFFFFF"/>
        <w:spacing w:line="360" w:lineRule="auto"/>
        <w:ind w:firstLine="720"/>
        <w:jc w:val="center"/>
        <w:rPr>
          <w:rFonts w:ascii="宋体" w:hAnsi="宋体"/>
          <w:b/>
          <w:kern w:val="0"/>
          <w:szCs w:val="21"/>
          <w:highlight w:val="none"/>
        </w:rPr>
      </w:pPr>
      <w:r>
        <w:rPr>
          <w:rFonts w:hint="eastAsia" w:ascii="宋体" w:hAnsi="宋体"/>
          <w:b/>
          <w:kern w:val="0"/>
          <w:sz w:val="36"/>
          <w:szCs w:val="36"/>
          <w:highlight w:val="none"/>
        </w:rPr>
        <w:t>法定代表人授权委托书</w:t>
      </w: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致：江苏省设备成套股份有限公司</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本授权书声明：注册于</w:t>
      </w:r>
      <w:r>
        <w:rPr>
          <w:rFonts w:hint="eastAsia" w:ascii="宋体" w:hAnsi="宋体"/>
          <w:kern w:val="0"/>
          <w:szCs w:val="21"/>
          <w:highlight w:val="none"/>
          <w:u w:val="single"/>
        </w:rPr>
        <w:t>              </w:t>
      </w:r>
      <w:r>
        <w:rPr>
          <w:rFonts w:hint="eastAsia" w:ascii="宋体" w:hAnsi="宋体"/>
          <w:kern w:val="0"/>
          <w:szCs w:val="21"/>
          <w:highlight w:val="none"/>
        </w:rPr>
        <w:t>（投标人住址）的</w:t>
      </w:r>
      <w:r>
        <w:rPr>
          <w:rFonts w:hint="eastAsia" w:ascii="宋体" w:hAnsi="宋体"/>
          <w:kern w:val="0"/>
          <w:szCs w:val="21"/>
          <w:highlight w:val="none"/>
          <w:u w:val="single"/>
        </w:rPr>
        <w:t>           </w:t>
      </w:r>
      <w:r>
        <w:rPr>
          <w:rFonts w:hint="eastAsia" w:ascii="宋体" w:hAnsi="宋体"/>
          <w:kern w:val="0"/>
          <w:szCs w:val="21"/>
          <w:highlight w:val="none"/>
        </w:rPr>
        <w:t>（投标人名称）法定代表人</w:t>
      </w:r>
      <w:r>
        <w:rPr>
          <w:rFonts w:hint="eastAsia" w:ascii="宋体" w:hAnsi="宋体"/>
          <w:kern w:val="0"/>
          <w:szCs w:val="21"/>
          <w:highlight w:val="none"/>
          <w:u w:val="single"/>
        </w:rPr>
        <w:t>        </w:t>
      </w:r>
      <w:r>
        <w:rPr>
          <w:rFonts w:hint="eastAsia" w:ascii="宋体" w:hAnsi="宋体"/>
          <w:kern w:val="0"/>
          <w:szCs w:val="21"/>
          <w:highlight w:val="none"/>
        </w:rPr>
        <w:t>（法定代表人姓名、职务）代表本公司授权在下面签字的</w:t>
      </w:r>
      <w:r>
        <w:rPr>
          <w:rFonts w:hint="eastAsia" w:ascii="宋体" w:hAnsi="宋体"/>
          <w:kern w:val="0"/>
          <w:szCs w:val="21"/>
          <w:highlight w:val="none"/>
          <w:u w:val="single"/>
        </w:rPr>
        <w:t>        </w:t>
      </w:r>
      <w:r>
        <w:rPr>
          <w:rFonts w:hint="eastAsia" w:ascii="宋体" w:hAnsi="宋体"/>
          <w:kern w:val="0"/>
          <w:szCs w:val="21"/>
          <w:highlight w:val="none"/>
        </w:rPr>
        <w:t>（投标人代表姓名、职务）为本公司的合法代理人，就贵方组织的</w:t>
      </w:r>
      <w:r>
        <w:rPr>
          <w:rFonts w:hint="eastAsia" w:ascii="宋体" w:hAnsi="宋体"/>
          <w:b/>
          <w:bCs/>
          <w:kern w:val="0"/>
          <w:szCs w:val="21"/>
          <w:highlight w:val="none"/>
          <w:u w:val="single"/>
        </w:rPr>
        <w:t>                   </w:t>
      </w:r>
      <w:r>
        <w:rPr>
          <w:rFonts w:hint="eastAsia" w:ascii="宋体" w:hAnsi="宋体"/>
          <w:kern w:val="0"/>
          <w:szCs w:val="21"/>
          <w:highlight w:val="none"/>
        </w:rPr>
        <w:t>（项目名称），</w:t>
      </w:r>
      <w:r>
        <w:rPr>
          <w:rFonts w:hint="eastAsia" w:ascii="宋体" w:hAnsi="宋体"/>
          <w:kern w:val="0"/>
          <w:szCs w:val="21"/>
          <w:highlight w:val="none"/>
          <w:u w:val="single"/>
        </w:rPr>
        <w:t>        </w:t>
      </w:r>
      <w:r>
        <w:rPr>
          <w:rFonts w:hint="eastAsia" w:ascii="宋体" w:hAnsi="宋体"/>
          <w:kern w:val="0"/>
          <w:szCs w:val="21"/>
          <w:highlight w:val="none"/>
        </w:rPr>
        <w:t>（项目编号）投标，以本公司名义处理一切与之有关的事务。</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本授权书于    年  月  日签字生效，特此声明。</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法定代表人签字：</w:t>
      </w:r>
    </w:p>
    <w:p>
      <w:pPr>
        <w:widowControl/>
        <w:shd w:val="clear" w:color="auto" w:fill="FFFFFF"/>
        <w:spacing w:line="360" w:lineRule="auto"/>
        <w:ind w:firstLine="825"/>
        <w:jc w:val="left"/>
        <w:rPr>
          <w:rFonts w:ascii="宋体" w:hAnsi="宋体"/>
          <w:kern w:val="0"/>
          <w:szCs w:val="21"/>
          <w:highlight w:val="none"/>
        </w:rPr>
      </w:pPr>
      <w:r>
        <w:rPr>
          <w:rFonts w:hint="eastAsia" w:ascii="宋体" w:hAnsi="宋体"/>
          <w:kern w:val="0"/>
          <w:szCs w:val="21"/>
          <w:highlight w:val="none"/>
        </w:rPr>
        <w:t>授权委托人签字：                   </w:t>
      </w:r>
    </w:p>
    <w:p>
      <w:pPr>
        <w:widowControl/>
        <w:shd w:val="clear" w:color="auto" w:fill="FFFFFF"/>
        <w:spacing w:line="360" w:lineRule="auto"/>
        <w:ind w:firstLine="840" w:firstLineChars="400"/>
        <w:jc w:val="left"/>
        <w:rPr>
          <w:rFonts w:ascii="宋体" w:hAnsi="宋体"/>
          <w:kern w:val="0"/>
          <w:szCs w:val="21"/>
          <w:highlight w:val="none"/>
        </w:rPr>
      </w:pPr>
      <w:r>
        <w:rPr>
          <w:rFonts w:hint="eastAsia" w:ascii="宋体" w:hAnsi="宋体"/>
          <w:kern w:val="0"/>
          <w:szCs w:val="21"/>
          <w:highlight w:val="none"/>
        </w:rPr>
        <w:t>日     期：        年    月    日</w:t>
      </w:r>
    </w:p>
    <w:p>
      <w:pPr>
        <w:widowControl/>
        <w:shd w:val="clear" w:color="auto" w:fill="FFFFFF"/>
        <w:spacing w:line="360" w:lineRule="auto"/>
        <w:ind w:firstLine="840" w:firstLineChars="400"/>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委托代理人的身份证的复印件:</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 </w:t>
      </w:r>
    </w:p>
    <w:p>
      <w:pPr>
        <w:autoSpaceDE w:val="0"/>
        <w:autoSpaceDN w:val="0"/>
        <w:adjustRightInd w:val="0"/>
        <w:spacing w:line="360" w:lineRule="auto"/>
        <w:rPr>
          <w:highlight w:val="none"/>
          <w:lang w:val="zh-CN"/>
        </w:rPr>
      </w:pPr>
      <w:r>
        <w:rPr>
          <w:rFonts w:ascii="宋体" w:hAnsi="宋体"/>
          <w:b/>
          <w:bCs/>
          <w:kern w:val="0"/>
          <w:szCs w:val="21"/>
          <w:highlight w:val="none"/>
        </w:rPr>
        <w:br w:type="page"/>
      </w:r>
      <w:bookmarkStart w:id="12" w:name="_Toc26810"/>
      <w:r>
        <w:rPr>
          <w:rFonts w:hint="eastAsia" w:ascii="宋体" w:hAnsi="宋体"/>
          <w:b/>
          <w:bCs/>
          <w:kern w:val="0"/>
          <w:szCs w:val="21"/>
          <w:highlight w:val="none"/>
          <w:lang w:val="zh-CN"/>
        </w:rPr>
        <w:t>附件三、报价表</w:t>
      </w:r>
      <w:bookmarkEnd w:id="12"/>
    </w:p>
    <w:p>
      <w:pPr>
        <w:autoSpaceDE w:val="0"/>
        <w:autoSpaceDN w:val="0"/>
        <w:adjustRightInd w:val="0"/>
        <w:rPr>
          <w:rFonts w:ascii="宋体"/>
          <w:b/>
          <w:bCs/>
          <w:highlight w:val="none"/>
          <w:lang w:val="zh-CN"/>
        </w:rPr>
      </w:pPr>
    </w:p>
    <w:p>
      <w:pPr>
        <w:jc w:val="center"/>
        <w:rPr>
          <w:rFonts w:ascii="宋体"/>
          <w:b/>
          <w:sz w:val="36"/>
          <w:szCs w:val="36"/>
          <w:highlight w:val="none"/>
        </w:rPr>
      </w:pPr>
      <w:r>
        <w:rPr>
          <w:rFonts w:hint="eastAsia" w:ascii="宋体" w:hAnsi="宋体" w:cs="宋体"/>
          <w:b/>
          <w:sz w:val="36"/>
          <w:szCs w:val="36"/>
          <w:highlight w:val="none"/>
        </w:rPr>
        <w:t>开标一览表</w:t>
      </w:r>
    </w:p>
    <w:p>
      <w:pPr>
        <w:widowControl/>
        <w:shd w:val="clear" w:color="auto" w:fill="FFFFFF"/>
        <w:spacing w:line="360" w:lineRule="auto"/>
        <w:jc w:val="center"/>
        <w:rPr>
          <w:rFonts w:ascii="宋体"/>
          <w:kern w:val="0"/>
          <w:sz w:val="24"/>
          <w:highlight w:val="none"/>
        </w:rPr>
      </w:pPr>
    </w:p>
    <w:p>
      <w:pPr>
        <w:pStyle w:val="14"/>
        <w:spacing w:line="440" w:lineRule="exact"/>
        <w:ind w:firstLine="474" w:firstLineChars="225"/>
        <w:rPr>
          <w:rFonts w:ascii="宋体" w:hAnsi="宋体" w:cs="宋体"/>
          <w:sz w:val="21"/>
          <w:szCs w:val="21"/>
          <w:highlight w:val="none"/>
        </w:rPr>
      </w:pPr>
      <w:r>
        <w:rPr>
          <w:rFonts w:hint="eastAsia" w:ascii="宋体" w:hAnsi="宋体" w:cs="宋体"/>
          <w:sz w:val="21"/>
          <w:szCs w:val="21"/>
          <w:highlight w:val="none"/>
        </w:rPr>
        <w:t xml:space="preserve">项目名称： </w:t>
      </w:r>
      <w:r>
        <w:rPr>
          <w:rFonts w:ascii="宋体" w:hAnsi="宋体" w:cs="宋体"/>
          <w:sz w:val="21"/>
          <w:szCs w:val="21"/>
          <w:highlight w:val="none"/>
        </w:rPr>
        <w:t xml:space="preserve">         </w:t>
      </w:r>
      <w:r>
        <w:rPr>
          <w:rFonts w:hint="eastAsia" w:ascii="宋体" w:hAnsi="宋体" w:cs="宋体"/>
          <w:sz w:val="21"/>
          <w:szCs w:val="21"/>
          <w:highlight w:val="none"/>
        </w:rPr>
        <w:t xml:space="preserve">                               </w:t>
      </w:r>
      <w:r>
        <w:rPr>
          <w:rFonts w:ascii="宋体" w:hAnsi="宋体" w:cs="宋体"/>
          <w:sz w:val="21"/>
          <w:szCs w:val="21"/>
          <w:highlight w:val="none"/>
        </w:rPr>
        <w:t xml:space="preserve"> </w:t>
      </w:r>
      <w:r>
        <w:rPr>
          <w:rFonts w:hint="eastAsia" w:ascii="宋体" w:hAnsi="宋体" w:cs="宋体"/>
          <w:sz w:val="21"/>
          <w:szCs w:val="21"/>
          <w:highlight w:val="none"/>
        </w:rPr>
        <w:t>项目编号：</w:t>
      </w:r>
    </w:p>
    <w:tbl>
      <w:tblPr>
        <w:tblStyle w:val="44"/>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4189"/>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trPr>
        <w:tc>
          <w:tcPr>
            <w:tcW w:w="2812" w:type="dxa"/>
            <w:vAlign w:val="center"/>
          </w:tcPr>
          <w:p>
            <w:pPr>
              <w:spacing w:line="440" w:lineRule="exact"/>
              <w:jc w:val="center"/>
              <w:rPr>
                <w:rFonts w:ascii="宋体"/>
                <w:b/>
                <w:bCs/>
                <w:szCs w:val="21"/>
                <w:highlight w:val="none"/>
              </w:rPr>
            </w:pPr>
            <w:r>
              <w:rPr>
                <w:rFonts w:hint="eastAsia" w:ascii="宋体"/>
                <w:b/>
                <w:bCs/>
                <w:szCs w:val="21"/>
                <w:highlight w:val="none"/>
              </w:rPr>
              <w:t>设备名称</w:t>
            </w:r>
          </w:p>
        </w:tc>
        <w:tc>
          <w:tcPr>
            <w:tcW w:w="4189" w:type="dxa"/>
            <w:vAlign w:val="center"/>
          </w:tcPr>
          <w:p>
            <w:pPr>
              <w:widowControl/>
              <w:shd w:val="clear" w:color="auto" w:fill="FFFFFF"/>
              <w:spacing w:line="400" w:lineRule="exact"/>
              <w:jc w:val="center"/>
              <w:rPr>
                <w:rFonts w:ascii="宋体"/>
                <w:b/>
                <w:szCs w:val="21"/>
                <w:highlight w:val="none"/>
              </w:rPr>
            </w:pPr>
            <w:r>
              <w:rPr>
                <w:rFonts w:hint="eastAsia" w:ascii="宋体"/>
                <w:b/>
                <w:szCs w:val="21"/>
                <w:highlight w:val="none"/>
              </w:rPr>
              <w:t>报价</w:t>
            </w:r>
          </w:p>
        </w:tc>
        <w:tc>
          <w:tcPr>
            <w:tcW w:w="1639" w:type="dxa"/>
            <w:vAlign w:val="center"/>
          </w:tcPr>
          <w:p>
            <w:pPr>
              <w:spacing w:line="440" w:lineRule="exact"/>
              <w:rPr>
                <w:rFonts w:asci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2812" w:type="dxa"/>
            <w:vAlign w:val="center"/>
          </w:tcPr>
          <w:p>
            <w:pPr>
              <w:spacing w:line="440" w:lineRule="exact"/>
              <w:jc w:val="center"/>
              <w:rPr>
                <w:rFonts w:ascii="宋体" w:hAnsi="宋体"/>
                <w:b/>
                <w:bCs/>
                <w:kern w:val="0"/>
                <w:szCs w:val="21"/>
                <w:highlight w:val="none"/>
              </w:rPr>
            </w:pPr>
            <w:r>
              <w:rPr>
                <w:rFonts w:hint="eastAsia" w:ascii="宋体" w:hAnsi="宋体"/>
                <w:b/>
                <w:bCs/>
                <w:kern w:val="0"/>
                <w:szCs w:val="21"/>
                <w:highlight w:val="none"/>
              </w:rPr>
              <w:t>总价</w:t>
            </w:r>
          </w:p>
        </w:tc>
        <w:tc>
          <w:tcPr>
            <w:tcW w:w="4189" w:type="dxa"/>
            <w:vAlign w:val="center"/>
          </w:tcPr>
          <w:p>
            <w:pPr>
              <w:spacing w:line="440" w:lineRule="exact"/>
              <w:rPr>
                <w:rFonts w:ascii="宋体" w:hAnsi="宋体"/>
                <w:b/>
                <w:bCs/>
                <w:kern w:val="0"/>
                <w:szCs w:val="21"/>
                <w:highlight w:val="none"/>
              </w:rPr>
            </w:pPr>
            <w:r>
              <w:rPr>
                <w:rFonts w:hint="eastAsia" w:ascii="宋体" w:hAnsi="宋体"/>
                <w:b/>
                <w:bCs/>
                <w:kern w:val="0"/>
                <w:szCs w:val="21"/>
                <w:highlight w:val="none"/>
              </w:rPr>
              <w:t>大写：</w:t>
            </w:r>
          </w:p>
          <w:p>
            <w:pPr>
              <w:spacing w:line="440" w:lineRule="exact"/>
              <w:rPr>
                <w:rFonts w:ascii="宋体" w:hAnsi="宋体"/>
                <w:b/>
                <w:bCs/>
                <w:kern w:val="0"/>
                <w:szCs w:val="21"/>
                <w:highlight w:val="none"/>
              </w:rPr>
            </w:pPr>
          </w:p>
          <w:p>
            <w:pPr>
              <w:spacing w:line="440" w:lineRule="exact"/>
              <w:rPr>
                <w:rFonts w:ascii="宋体" w:hAnsi="宋体"/>
                <w:kern w:val="0"/>
                <w:szCs w:val="21"/>
                <w:highlight w:val="none"/>
              </w:rPr>
            </w:pPr>
            <w:r>
              <w:rPr>
                <w:rFonts w:hint="eastAsia" w:ascii="宋体" w:hAnsi="宋体"/>
                <w:b/>
                <w:bCs/>
                <w:kern w:val="0"/>
                <w:szCs w:val="21"/>
                <w:highlight w:val="none"/>
              </w:rPr>
              <w:t>小写：</w:t>
            </w:r>
          </w:p>
        </w:tc>
        <w:tc>
          <w:tcPr>
            <w:tcW w:w="1639" w:type="dxa"/>
            <w:vAlign w:val="center"/>
          </w:tcPr>
          <w:p>
            <w:pPr>
              <w:spacing w:line="440" w:lineRule="exact"/>
              <w:rPr>
                <w:rFonts w:asci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812" w:type="dxa"/>
            <w:vAlign w:val="center"/>
          </w:tcPr>
          <w:p>
            <w:pPr>
              <w:spacing w:line="440" w:lineRule="exact"/>
              <w:jc w:val="center"/>
              <w:rPr>
                <w:rFonts w:ascii="宋体"/>
                <w:b/>
                <w:szCs w:val="21"/>
                <w:highlight w:val="none"/>
              </w:rPr>
            </w:pPr>
            <w:r>
              <w:rPr>
                <w:rFonts w:hint="eastAsia" w:ascii="宋体" w:hAnsi="宋体" w:cs="宋体"/>
                <w:b/>
                <w:szCs w:val="21"/>
                <w:highlight w:val="none"/>
              </w:rPr>
              <w:t>服务时间/交付使用时间</w:t>
            </w:r>
          </w:p>
        </w:tc>
        <w:tc>
          <w:tcPr>
            <w:tcW w:w="4189" w:type="dxa"/>
            <w:vAlign w:val="center"/>
          </w:tcPr>
          <w:p>
            <w:pPr>
              <w:tabs>
                <w:tab w:val="left" w:pos="3624"/>
              </w:tabs>
              <w:spacing w:line="440" w:lineRule="exact"/>
              <w:ind w:firstLine="474" w:firstLineChars="225"/>
              <w:rPr>
                <w:rFonts w:ascii="宋体"/>
                <w:b/>
                <w:szCs w:val="21"/>
                <w:highlight w:val="none"/>
                <w:u w:val="single"/>
              </w:rPr>
            </w:pPr>
            <w:r>
              <w:rPr>
                <w:rFonts w:hint="eastAsia" w:ascii="宋体" w:hAnsi="宋体" w:cs="宋体"/>
                <w:b/>
                <w:szCs w:val="21"/>
                <w:highlight w:val="none"/>
                <w:u w:val="single"/>
              </w:rPr>
              <w:t>满足招标文件要求</w:t>
            </w:r>
            <w:r>
              <w:rPr>
                <w:rFonts w:hint="eastAsia" w:ascii="宋体"/>
                <w:b/>
                <w:szCs w:val="21"/>
                <w:highlight w:val="none"/>
                <w:u w:val="single"/>
              </w:rPr>
              <w:t>。</w:t>
            </w:r>
          </w:p>
        </w:tc>
        <w:tc>
          <w:tcPr>
            <w:tcW w:w="1639" w:type="dxa"/>
            <w:vAlign w:val="center"/>
          </w:tcPr>
          <w:p>
            <w:pPr>
              <w:spacing w:line="440" w:lineRule="exact"/>
              <w:ind w:firstLine="474" w:firstLineChars="225"/>
              <w:rPr>
                <w:rFonts w:ascii="宋体"/>
                <w:b/>
                <w:szCs w:val="21"/>
                <w:highlight w:val="none"/>
              </w:rPr>
            </w:pPr>
          </w:p>
          <w:p>
            <w:pPr>
              <w:spacing w:line="440" w:lineRule="exact"/>
              <w:ind w:firstLine="474" w:firstLineChars="225"/>
              <w:rPr>
                <w:rFonts w:asci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2812" w:type="dxa"/>
            <w:vAlign w:val="center"/>
          </w:tcPr>
          <w:p>
            <w:pPr>
              <w:spacing w:line="440" w:lineRule="exact"/>
              <w:jc w:val="center"/>
              <w:rPr>
                <w:rFonts w:ascii="宋体"/>
                <w:b/>
                <w:szCs w:val="21"/>
                <w:highlight w:val="none"/>
              </w:rPr>
            </w:pPr>
            <w:r>
              <w:rPr>
                <w:rFonts w:hint="eastAsia" w:ascii="宋体" w:hAnsi="宋体" w:cs="宋体"/>
                <w:b/>
                <w:szCs w:val="21"/>
                <w:highlight w:val="none"/>
              </w:rPr>
              <w:t>投标人是否属于小微型企业</w:t>
            </w:r>
          </w:p>
        </w:tc>
        <w:tc>
          <w:tcPr>
            <w:tcW w:w="4189" w:type="dxa"/>
            <w:vAlign w:val="center"/>
          </w:tcPr>
          <w:p>
            <w:pPr>
              <w:spacing w:line="440" w:lineRule="exact"/>
              <w:ind w:firstLine="474" w:firstLineChars="225"/>
              <w:rPr>
                <w:rFonts w:ascii="宋体"/>
                <w:b/>
                <w:szCs w:val="21"/>
                <w:highlight w:val="none"/>
              </w:rPr>
            </w:pPr>
            <w:r>
              <w:rPr>
                <w:rFonts w:hint="eastAsia" w:ascii="宋体" w:hAnsi="宋体" w:cs="宋体"/>
                <w:b/>
                <w:szCs w:val="21"/>
                <w:highlight w:val="none"/>
              </w:rPr>
              <w:t>（</w:t>
            </w:r>
            <w:r>
              <w:rPr>
                <w:rFonts w:hint="eastAsia" w:ascii="宋体" w:hAnsi="宋体" w:cs="宋体"/>
                <w:b/>
                <w:szCs w:val="21"/>
                <w:highlight w:val="none"/>
                <w:lang w:val="zh-CN"/>
              </w:rPr>
              <w:t>填写“是”或“否</w:t>
            </w:r>
            <w:r>
              <w:rPr>
                <w:rFonts w:hint="eastAsia" w:ascii="宋体" w:hAnsi="宋体" w:cs="宋体"/>
                <w:b/>
                <w:szCs w:val="21"/>
                <w:highlight w:val="none"/>
              </w:rPr>
              <w:t>）</w:t>
            </w:r>
          </w:p>
        </w:tc>
        <w:tc>
          <w:tcPr>
            <w:tcW w:w="1639" w:type="dxa"/>
            <w:vAlign w:val="center"/>
          </w:tcPr>
          <w:p>
            <w:pPr>
              <w:spacing w:line="440" w:lineRule="exact"/>
              <w:ind w:firstLine="474" w:firstLineChars="225"/>
              <w:rPr>
                <w:rFonts w:ascii="宋体"/>
                <w:b/>
                <w:szCs w:val="21"/>
                <w:highlight w:val="none"/>
              </w:rPr>
            </w:pPr>
          </w:p>
        </w:tc>
      </w:tr>
    </w:tbl>
    <w:p>
      <w:pPr>
        <w:pStyle w:val="14"/>
        <w:spacing w:line="440" w:lineRule="exact"/>
        <w:ind w:firstLineChars="199"/>
        <w:rPr>
          <w:rFonts w:ascii="宋体"/>
          <w:sz w:val="21"/>
          <w:szCs w:val="21"/>
          <w:highlight w:val="none"/>
        </w:rPr>
      </w:pPr>
    </w:p>
    <w:p>
      <w:pPr>
        <w:widowControl/>
        <w:shd w:val="clear" w:color="auto" w:fill="FFFFFF"/>
        <w:spacing w:line="360" w:lineRule="auto"/>
        <w:jc w:val="left"/>
        <w:rPr>
          <w:rFonts w:ascii="宋体"/>
          <w:kern w:val="0"/>
          <w:szCs w:val="21"/>
          <w:highlight w:val="none"/>
        </w:rPr>
      </w:pPr>
      <w:r>
        <w:rPr>
          <w:rFonts w:hint="eastAsia" w:ascii="宋体" w:hAnsi="宋体" w:cs="宋体"/>
          <w:kern w:val="0"/>
          <w:szCs w:val="21"/>
          <w:highlight w:val="none"/>
        </w:rPr>
        <w:t>投标单位（盖章）：</w:t>
      </w:r>
      <w:r>
        <w:rPr>
          <w:rFonts w:ascii="宋体"/>
          <w:kern w:val="0"/>
          <w:szCs w:val="21"/>
          <w:highlight w:val="none"/>
          <w:u w:val="single"/>
        </w:rPr>
        <w:t>                      </w:t>
      </w:r>
    </w:p>
    <w:p>
      <w:pPr>
        <w:widowControl/>
        <w:shd w:val="clear" w:color="auto" w:fill="FFFFFF"/>
        <w:spacing w:line="360" w:lineRule="auto"/>
        <w:jc w:val="left"/>
        <w:rPr>
          <w:rFonts w:ascii="宋体"/>
          <w:kern w:val="0"/>
          <w:szCs w:val="21"/>
          <w:highlight w:val="none"/>
          <w:u w:val="single"/>
        </w:rPr>
      </w:pPr>
      <w:r>
        <w:rPr>
          <w:rFonts w:hint="eastAsia" w:ascii="宋体" w:hAnsi="宋体" w:cs="宋体"/>
          <w:kern w:val="0"/>
          <w:szCs w:val="21"/>
          <w:highlight w:val="none"/>
        </w:rPr>
        <w:t>授权代表（签字）：</w:t>
      </w:r>
      <w:r>
        <w:rPr>
          <w:rFonts w:ascii="宋体"/>
          <w:kern w:val="0"/>
          <w:szCs w:val="21"/>
          <w:highlight w:val="none"/>
          <w:u w:val="single"/>
        </w:rPr>
        <w:t>                      </w:t>
      </w:r>
    </w:p>
    <w:p>
      <w:pPr>
        <w:widowControl/>
        <w:shd w:val="clear" w:color="auto" w:fill="FFFFFF"/>
        <w:spacing w:line="360" w:lineRule="auto"/>
        <w:jc w:val="left"/>
        <w:rPr>
          <w:rFonts w:ascii="宋体"/>
          <w:kern w:val="0"/>
          <w:szCs w:val="21"/>
          <w:highlight w:val="none"/>
        </w:rPr>
      </w:pPr>
      <w:r>
        <w:rPr>
          <w:rFonts w:hint="eastAsia" w:ascii="宋体" w:hAnsi="宋体" w:cs="宋体"/>
          <w:kern w:val="0"/>
          <w:szCs w:val="21"/>
          <w:highlight w:val="none"/>
        </w:rPr>
        <w:t>说明：</w:t>
      </w:r>
    </w:p>
    <w:p>
      <w:pPr>
        <w:widowControl/>
        <w:numPr>
          <w:ilvl w:val="0"/>
          <w:numId w:val="20"/>
        </w:numPr>
        <w:shd w:val="clear" w:color="auto" w:fill="FFFFFF"/>
        <w:spacing w:line="360" w:lineRule="auto"/>
        <w:ind w:firstLine="422" w:firstLineChars="200"/>
        <w:jc w:val="left"/>
        <w:rPr>
          <w:rFonts w:ascii="宋体"/>
          <w:b/>
          <w:bCs/>
          <w:kern w:val="0"/>
          <w:szCs w:val="21"/>
          <w:highlight w:val="none"/>
        </w:rPr>
      </w:pPr>
      <w:r>
        <w:rPr>
          <w:rFonts w:hint="eastAsia" w:ascii="宋体" w:hAnsi="宋体" w:cs="宋体"/>
          <w:b/>
          <w:bCs/>
          <w:kern w:val="0"/>
          <w:szCs w:val="21"/>
          <w:highlight w:val="none"/>
        </w:rPr>
        <w:t>本项目仅接受一个价格，不得填报有选择性报价方案。若有优惠条款须注明，但不得影响报价，影响产品整体功能。</w:t>
      </w:r>
    </w:p>
    <w:p>
      <w:pPr>
        <w:widowControl/>
        <w:shd w:val="clear" w:color="auto" w:fill="FFFFFF"/>
        <w:spacing w:line="360" w:lineRule="auto"/>
        <w:ind w:firstLine="420"/>
        <w:jc w:val="left"/>
        <w:rPr>
          <w:rFonts w:ascii="宋体" w:hAnsi="宋体" w:cs="宋体"/>
          <w:b/>
          <w:bCs/>
          <w:szCs w:val="21"/>
          <w:highlight w:val="none"/>
        </w:rPr>
      </w:pPr>
      <w:r>
        <w:rPr>
          <w:rFonts w:ascii="宋体" w:hAnsi="宋体" w:cs="宋体"/>
          <w:b/>
          <w:bCs/>
          <w:kern w:val="0"/>
          <w:szCs w:val="21"/>
          <w:highlight w:val="none"/>
        </w:rPr>
        <w:t>2</w:t>
      </w:r>
      <w:r>
        <w:rPr>
          <w:rFonts w:hint="eastAsia" w:ascii="宋体" w:hAnsi="宋体" w:cs="宋体"/>
          <w:b/>
          <w:bCs/>
          <w:kern w:val="0"/>
          <w:szCs w:val="21"/>
          <w:highlight w:val="none"/>
        </w:rPr>
        <w:t>、“投标人是否属于小微型企业</w:t>
      </w:r>
      <w:r>
        <w:rPr>
          <w:rFonts w:hint="eastAsia" w:ascii="宋体" w:hAnsi="宋体" w:cs="宋体"/>
          <w:b/>
          <w:bCs/>
          <w:kern w:val="0"/>
          <w:szCs w:val="21"/>
          <w:highlight w:val="none"/>
          <w:lang w:val="zh-CN"/>
        </w:rPr>
        <w:t>”栏内填写“是”或“否”。如填写“是”，</w:t>
      </w:r>
      <w:r>
        <w:rPr>
          <w:rFonts w:hint="eastAsia" w:ascii="宋体" w:hAnsi="宋体" w:cs="宋体"/>
          <w:b/>
          <w:bCs/>
          <w:szCs w:val="21"/>
          <w:highlight w:val="none"/>
        </w:rPr>
        <w:t>投标人需提供《中小企业声明函》、《残疾人福利性单位声明函》、《属于监狱企业的证明文件》；如为代理商投标，还需提供投标产品制造商出具的上述文件。</w:t>
      </w:r>
    </w:p>
    <w:p>
      <w:pPr>
        <w:widowControl/>
        <w:shd w:val="clear" w:color="auto" w:fill="FFFFFF"/>
        <w:spacing w:line="360" w:lineRule="auto"/>
        <w:ind w:firstLine="420"/>
        <w:jc w:val="left"/>
        <w:rPr>
          <w:rFonts w:ascii="宋体"/>
          <w:b/>
          <w:bCs/>
          <w:kern w:val="0"/>
          <w:szCs w:val="21"/>
          <w:highlight w:val="none"/>
        </w:rPr>
      </w:pPr>
      <w:r>
        <w:rPr>
          <w:rFonts w:hint="eastAsia" w:ascii="宋体" w:hAnsi="宋体" w:cs="宋体"/>
          <w:b/>
          <w:bCs/>
          <w:szCs w:val="21"/>
          <w:highlight w:val="none"/>
        </w:rPr>
        <w:t>如未按要求提供、填写，或相关内容表述不清前后矛盾的，不享受价格扣除</w:t>
      </w:r>
      <w:r>
        <w:rPr>
          <w:rFonts w:hint="eastAsia" w:ascii="宋体" w:hAnsi="宋体" w:cs="宋体"/>
          <w:b/>
          <w:bCs/>
          <w:kern w:val="0"/>
          <w:szCs w:val="21"/>
          <w:highlight w:val="none"/>
        </w:rPr>
        <w:t>。</w:t>
      </w:r>
    </w:p>
    <w:p>
      <w:pPr>
        <w:widowControl/>
        <w:shd w:val="clear" w:color="auto" w:fill="FFFFFF"/>
        <w:spacing w:line="360" w:lineRule="auto"/>
        <w:jc w:val="left"/>
        <w:rPr>
          <w:rFonts w:ascii="宋体" w:hAnsi="宋体"/>
          <w:b/>
          <w:bCs/>
          <w:kern w:val="0"/>
          <w:szCs w:val="21"/>
          <w:highlight w:val="none"/>
          <w:lang w:val="zh-CN"/>
        </w:rPr>
      </w:pPr>
      <w:bookmarkStart w:id="13" w:name="_Toc12264"/>
      <w:r>
        <w:rPr>
          <w:rFonts w:hint="eastAsia" w:ascii="宋体" w:hAnsi="宋体"/>
          <w:b/>
          <w:bCs/>
          <w:kern w:val="0"/>
          <w:szCs w:val="21"/>
          <w:highlight w:val="none"/>
          <w:lang w:val="zh-CN"/>
        </w:rPr>
        <w:br w:type="page"/>
      </w:r>
    </w:p>
    <w:p>
      <w:pPr>
        <w:widowControl/>
        <w:shd w:val="clear" w:color="auto" w:fill="FFFFFF"/>
        <w:spacing w:line="360" w:lineRule="auto"/>
        <w:jc w:val="left"/>
        <w:rPr>
          <w:rFonts w:ascii="宋体" w:hAnsi="宋体"/>
          <w:b/>
          <w:bCs/>
          <w:kern w:val="0"/>
          <w:szCs w:val="21"/>
          <w:highlight w:val="none"/>
          <w:lang w:val="zh-CN"/>
        </w:rPr>
      </w:pPr>
      <w:r>
        <w:rPr>
          <w:rFonts w:hint="eastAsia" w:ascii="宋体" w:hAnsi="宋体"/>
          <w:b/>
          <w:bCs/>
          <w:kern w:val="0"/>
          <w:szCs w:val="21"/>
          <w:highlight w:val="none"/>
          <w:lang w:val="zh-CN"/>
        </w:rPr>
        <w:t>附件四、分项报价表格式</w:t>
      </w:r>
      <w:bookmarkEnd w:id="13"/>
    </w:p>
    <w:p>
      <w:pPr>
        <w:widowControl/>
        <w:adjustRightInd w:val="0"/>
        <w:spacing w:line="240" w:lineRule="atLeast"/>
        <w:jc w:val="left"/>
        <w:rPr>
          <w:rFonts w:ascii="宋体"/>
          <w:b/>
          <w:bCs/>
          <w:kern w:val="0"/>
          <w:highlight w:val="none"/>
          <w:lang w:val="zh-CN"/>
        </w:rPr>
      </w:pPr>
    </w:p>
    <w:p>
      <w:pPr>
        <w:widowControl/>
        <w:shd w:val="clear" w:color="auto" w:fill="FFFFFF"/>
        <w:spacing w:line="360" w:lineRule="auto"/>
        <w:jc w:val="center"/>
        <w:rPr>
          <w:rFonts w:ascii="宋体" w:hAnsi="宋体"/>
          <w:b/>
          <w:kern w:val="0"/>
          <w:sz w:val="36"/>
          <w:szCs w:val="36"/>
          <w:highlight w:val="none"/>
        </w:rPr>
      </w:pPr>
      <w:r>
        <w:rPr>
          <w:rFonts w:hint="eastAsia" w:ascii="宋体" w:hAnsi="宋体"/>
          <w:b/>
          <w:kern w:val="0"/>
          <w:sz w:val="36"/>
          <w:szCs w:val="36"/>
          <w:highlight w:val="none"/>
        </w:rPr>
        <w:t>分项报价表 (如果有，格式自拟)</w:t>
      </w: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r>
        <w:rPr>
          <w:rFonts w:ascii="宋体" w:hAnsi="宋体"/>
          <w:kern w:val="0"/>
          <w:szCs w:val="21"/>
          <w:highlight w:val="none"/>
        </w:rPr>
        <w:t> </w:t>
      </w:r>
    </w:p>
    <w:p>
      <w:pPr>
        <w:widowControl/>
        <w:jc w:val="left"/>
        <w:rPr>
          <w:rFonts w:ascii="宋体" w:hAnsi="宋体"/>
          <w:kern w:val="0"/>
          <w:szCs w:val="21"/>
          <w:highlight w:val="none"/>
        </w:rPr>
      </w:pPr>
      <w:r>
        <w:rPr>
          <w:rFonts w:ascii="宋体" w:hAnsi="宋体"/>
          <w:kern w:val="0"/>
          <w:szCs w:val="21"/>
          <w:highlight w:val="none"/>
        </w:rPr>
        <w:br w:type="page"/>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r>
        <w:rPr>
          <w:rFonts w:hint="eastAsia" w:ascii="宋体" w:hAnsi="宋体"/>
          <w:b/>
          <w:bCs/>
          <w:kern w:val="0"/>
          <w:szCs w:val="21"/>
          <w:highlight w:val="none"/>
        </w:rPr>
        <w:t>附件五、技术规格偏离表格式</w:t>
      </w:r>
    </w:p>
    <w:p>
      <w:pPr>
        <w:widowControl/>
        <w:shd w:val="clear" w:color="auto" w:fill="FFFFFF"/>
        <w:spacing w:line="360" w:lineRule="auto"/>
        <w:ind w:left="435"/>
        <w:jc w:val="left"/>
        <w:rPr>
          <w:rFonts w:ascii="宋体" w:hAnsi="宋体"/>
          <w:kern w:val="0"/>
          <w:szCs w:val="21"/>
          <w:highlight w:val="none"/>
        </w:rPr>
      </w:pPr>
      <w:r>
        <w:rPr>
          <w:rFonts w:hint="eastAsia" w:ascii="宋体" w:hAnsi="宋体"/>
          <w:kern w:val="0"/>
          <w:sz w:val="24"/>
          <w:highlight w:val="none"/>
        </w:rPr>
        <w:t> </w:t>
      </w:r>
    </w:p>
    <w:p>
      <w:pPr>
        <w:widowControl/>
        <w:shd w:val="clear" w:color="auto" w:fill="FFFFFF"/>
        <w:spacing w:line="360" w:lineRule="auto"/>
        <w:ind w:left="420"/>
        <w:jc w:val="center"/>
        <w:rPr>
          <w:rFonts w:ascii="宋体" w:hAnsi="宋体"/>
          <w:b/>
          <w:kern w:val="0"/>
          <w:szCs w:val="21"/>
          <w:highlight w:val="none"/>
        </w:rPr>
      </w:pPr>
      <w:r>
        <w:rPr>
          <w:rFonts w:hint="eastAsia" w:ascii="宋体" w:hAnsi="宋体"/>
          <w:b/>
          <w:kern w:val="0"/>
          <w:sz w:val="36"/>
          <w:szCs w:val="36"/>
          <w:highlight w:val="none"/>
        </w:rPr>
        <w:t>技术条款偏离表</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tabs>
          <w:tab w:val="left" w:pos="5397"/>
        </w:tabs>
        <w:spacing w:line="360" w:lineRule="auto"/>
        <w:ind w:firstLine="84" w:firstLineChars="40"/>
        <w:jc w:val="left"/>
        <w:rPr>
          <w:rFonts w:ascii="宋体" w:hAnsi="宋体"/>
          <w:kern w:val="0"/>
          <w:szCs w:val="21"/>
          <w:highlight w:val="none"/>
        </w:rPr>
      </w:pPr>
      <w:r>
        <w:rPr>
          <w:rFonts w:hint="eastAsia" w:ascii="宋体" w:hAnsi="宋体"/>
          <w:kern w:val="0"/>
          <w:szCs w:val="21"/>
          <w:highlight w:val="none"/>
        </w:rPr>
        <w:t>项目名称：</w:t>
      </w:r>
      <w:r>
        <w:rPr>
          <w:rFonts w:ascii="宋体" w:hAnsi="宋体"/>
          <w:kern w:val="0"/>
          <w:szCs w:val="21"/>
          <w:highlight w:val="none"/>
        </w:rPr>
        <w:tab/>
      </w:r>
      <w:r>
        <w:rPr>
          <w:rFonts w:hint="eastAsia" w:ascii="宋体" w:hAnsi="宋体"/>
          <w:kern w:val="0"/>
          <w:szCs w:val="21"/>
          <w:highlight w:val="none"/>
        </w:rPr>
        <w:t>项目编号：  </w:t>
      </w:r>
    </w:p>
    <w:tbl>
      <w:tblPr>
        <w:tblStyle w:val="44"/>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916"/>
        <w:gridCol w:w="2295"/>
        <w:gridCol w:w="228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序号</w:t>
            </w:r>
          </w:p>
        </w:tc>
        <w:tc>
          <w:tcPr>
            <w:tcW w:w="1916"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招标文件条目号</w:t>
            </w:r>
          </w:p>
        </w:tc>
        <w:tc>
          <w:tcPr>
            <w:tcW w:w="2295"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招标要求规格</w:t>
            </w:r>
          </w:p>
        </w:tc>
        <w:tc>
          <w:tcPr>
            <w:tcW w:w="2280"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投标响应</w:t>
            </w:r>
          </w:p>
        </w:tc>
        <w:tc>
          <w:tcPr>
            <w:tcW w:w="1376"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91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295"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28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37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91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295"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28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37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91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295"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28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37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91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295"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28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37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91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295"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28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37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91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295"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28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376"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r>
    </w:tbl>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说明：</w:t>
      </w:r>
      <w:r>
        <w:rPr>
          <w:rFonts w:ascii="宋体" w:hAnsi="宋体"/>
          <w:kern w:val="0"/>
          <w:szCs w:val="21"/>
          <w:highlight w:val="none"/>
        </w:rPr>
        <w:t>如果行数不够，请自行增加。</w:t>
      </w:r>
    </w:p>
    <w:p>
      <w:pPr>
        <w:widowControl/>
        <w:shd w:val="clear" w:color="auto" w:fill="FFFFFF"/>
        <w:spacing w:line="360" w:lineRule="auto"/>
        <w:jc w:val="left"/>
        <w:rPr>
          <w:rFonts w:ascii="宋体" w:hAnsi="宋体" w:cs="宋体"/>
          <w:kern w:val="0"/>
          <w:szCs w:val="21"/>
          <w:highlight w:val="none"/>
        </w:rPr>
      </w:pPr>
    </w:p>
    <w:p>
      <w:pPr>
        <w:widowControl/>
        <w:shd w:val="clear" w:color="auto" w:fill="FFFFFF"/>
        <w:spacing w:line="360" w:lineRule="auto"/>
        <w:jc w:val="left"/>
        <w:rPr>
          <w:rFonts w:ascii="宋体" w:hAnsi="宋体" w:cs="宋体"/>
          <w:kern w:val="0"/>
          <w:szCs w:val="21"/>
          <w:highlight w:val="none"/>
        </w:rPr>
      </w:pPr>
    </w:p>
    <w:p>
      <w:pPr>
        <w:widowControl/>
        <w:shd w:val="clear" w:color="auto" w:fill="FFFFFF"/>
        <w:spacing w:line="360" w:lineRule="auto"/>
        <w:jc w:val="left"/>
        <w:rPr>
          <w:rFonts w:ascii="宋体" w:hAnsi="宋体" w:cs="宋体"/>
          <w:kern w:val="0"/>
          <w:szCs w:val="21"/>
          <w:highlight w:val="none"/>
        </w:rPr>
      </w:pPr>
    </w:p>
    <w:p>
      <w:pPr>
        <w:widowControl/>
        <w:shd w:val="clear" w:color="auto" w:fill="FFFFFF"/>
        <w:spacing w:line="360" w:lineRule="auto"/>
        <w:jc w:val="left"/>
        <w:rPr>
          <w:rFonts w:ascii="宋体"/>
          <w:kern w:val="0"/>
          <w:szCs w:val="21"/>
          <w:highlight w:val="none"/>
        </w:rPr>
      </w:pPr>
      <w:r>
        <w:rPr>
          <w:rFonts w:hint="eastAsia" w:ascii="宋体" w:hAnsi="宋体" w:cs="宋体"/>
          <w:kern w:val="0"/>
          <w:szCs w:val="21"/>
          <w:highlight w:val="none"/>
        </w:rPr>
        <w:t>投标单位（盖章）：</w:t>
      </w:r>
      <w:r>
        <w:rPr>
          <w:rFonts w:ascii="宋体"/>
          <w:kern w:val="0"/>
          <w:szCs w:val="21"/>
          <w:highlight w:val="none"/>
          <w:u w:val="single"/>
        </w:rPr>
        <w:t>                      </w:t>
      </w:r>
    </w:p>
    <w:p>
      <w:pPr>
        <w:widowControl/>
        <w:shd w:val="clear" w:color="auto" w:fill="FFFFFF"/>
        <w:spacing w:line="360" w:lineRule="auto"/>
        <w:jc w:val="left"/>
        <w:rPr>
          <w:rFonts w:ascii="宋体" w:hAnsi="宋体"/>
          <w:kern w:val="0"/>
          <w:szCs w:val="21"/>
          <w:highlight w:val="none"/>
        </w:rPr>
      </w:pPr>
      <w:r>
        <w:rPr>
          <w:rFonts w:hint="eastAsia" w:ascii="宋体" w:hAnsi="宋体" w:cs="宋体"/>
          <w:kern w:val="0"/>
          <w:szCs w:val="21"/>
          <w:highlight w:val="none"/>
        </w:rPr>
        <w:t>授权代表（签字）：</w:t>
      </w:r>
      <w:r>
        <w:rPr>
          <w:rFonts w:ascii="宋体"/>
          <w:kern w:val="0"/>
          <w:szCs w:val="21"/>
          <w:highlight w:val="none"/>
          <w:u w:val="single"/>
        </w:rPr>
        <w:t>                      </w:t>
      </w: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r>
        <w:rPr>
          <w:rFonts w:ascii="宋体" w:hAnsi="宋体"/>
          <w:b/>
          <w:bCs/>
          <w:kern w:val="0"/>
          <w:szCs w:val="21"/>
          <w:highlight w:val="none"/>
        </w:rPr>
        <w:br w:type="page"/>
      </w:r>
      <w:r>
        <w:rPr>
          <w:rFonts w:hint="eastAsia" w:ascii="宋体" w:hAnsi="宋体"/>
          <w:b/>
          <w:bCs/>
          <w:kern w:val="0"/>
          <w:szCs w:val="21"/>
          <w:highlight w:val="none"/>
        </w:rPr>
        <w:t>附件六、商务条款偏离表格式</w:t>
      </w:r>
    </w:p>
    <w:p>
      <w:pPr>
        <w:widowControl/>
        <w:shd w:val="clear" w:color="auto" w:fill="FFFFFF"/>
        <w:spacing w:line="360" w:lineRule="auto"/>
        <w:ind w:firstLine="420"/>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ind w:left="420"/>
        <w:jc w:val="center"/>
        <w:rPr>
          <w:rFonts w:ascii="宋体" w:hAnsi="宋体"/>
          <w:b/>
          <w:kern w:val="0"/>
          <w:szCs w:val="21"/>
          <w:highlight w:val="none"/>
        </w:rPr>
      </w:pPr>
      <w:r>
        <w:rPr>
          <w:rFonts w:hint="eastAsia" w:ascii="宋体" w:hAnsi="宋体"/>
          <w:b/>
          <w:kern w:val="0"/>
          <w:sz w:val="36"/>
          <w:szCs w:val="36"/>
          <w:highlight w:val="none"/>
        </w:rPr>
        <w:t>商务条款偏离表</w:t>
      </w:r>
    </w:p>
    <w:p>
      <w:pPr>
        <w:widowControl/>
        <w:shd w:val="clear" w:color="auto" w:fill="FFFFFF"/>
        <w:spacing w:line="360" w:lineRule="auto"/>
        <w:jc w:val="left"/>
        <w:rPr>
          <w:rFonts w:ascii="宋体" w:hAnsi="宋体"/>
          <w:kern w:val="0"/>
          <w:szCs w:val="21"/>
          <w:highlight w:val="none"/>
        </w:rPr>
      </w:pPr>
      <w:r>
        <w:rPr>
          <w:rFonts w:hint="eastAsia" w:ascii="宋体" w:hAnsi="宋体"/>
          <w:kern w:val="0"/>
          <w:sz w:val="24"/>
          <w:highlight w:val="none"/>
        </w:rPr>
        <w:t> </w:t>
      </w:r>
    </w:p>
    <w:p>
      <w:pPr>
        <w:widowControl/>
        <w:tabs>
          <w:tab w:val="left" w:pos="5366"/>
        </w:tabs>
        <w:spacing w:line="360" w:lineRule="auto"/>
        <w:ind w:firstLine="96" w:firstLineChars="46"/>
        <w:jc w:val="left"/>
        <w:rPr>
          <w:rFonts w:ascii="宋体" w:hAnsi="宋体"/>
          <w:kern w:val="0"/>
          <w:szCs w:val="21"/>
          <w:highlight w:val="none"/>
        </w:rPr>
      </w:pPr>
      <w:r>
        <w:rPr>
          <w:rFonts w:hint="eastAsia" w:ascii="宋体" w:hAnsi="宋体"/>
          <w:kern w:val="0"/>
          <w:szCs w:val="21"/>
          <w:highlight w:val="none"/>
        </w:rPr>
        <w:t>项目名称：</w:t>
      </w:r>
      <w:r>
        <w:rPr>
          <w:rFonts w:ascii="宋体" w:hAnsi="宋体"/>
          <w:kern w:val="0"/>
          <w:szCs w:val="21"/>
          <w:highlight w:val="none"/>
        </w:rPr>
        <w:tab/>
      </w:r>
      <w:r>
        <w:rPr>
          <w:rFonts w:hint="eastAsia" w:ascii="宋体" w:hAnsi="宋体"/>
          <w:kern w:val="0"/>
          <w:szCs w:val="21"/>
          <w:highlight w:val="none"/>
        </w:rPr>
        <w:t>项目编号：         </w:t>
      </w:r>
    </w:p>
    <w:tbl>
      <w:tblPr>
        <w:tblStyle w:val="44"/>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2044"/>
        <w:gridCol w:w="2730"/>
        <w:gridCol w:w="23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序号</w:t>
            </w:r>
          </w:p>
        </w:tc>
        <w:tc>
          <w:tcPr>
            <w:tcW w:w="2044"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招标文件条目号</w:t>
            </w:r>
          </w:p>
        </w:tc>
        <w:tc>
          <w:tcPr>
            <w:tcW w:w="2730"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招标文件要求的商务条款</w:t>
            </w:r>
          </w:p>
        </w:tc>
        <w:tc>
          <w:tcPr>
            <w:tcW w:w="2397"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投标响应</w:t>
            </w:r>
          </w:p>
        </w:tc>
        <w:tc>
          <w:tcPr>
            <w:tcW w:w="1201" w:type="dxa"/>
            <w:tcMar>
              <w:top w:w="0" w:type="dxa"/>
              <w:left w:w="10" w:type="dxa"/>
              <w:bottom w:w="0" w:type="dxa"/>
              <w:right w:w="10" w:type="dxa"/>
            </w:tcMar>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044"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73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397"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044"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73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397"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044"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73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397"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044"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73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397"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044"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73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2397"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r>
              <w:rPr>
                <w:rFonts w:hint="eastAsia" w:ascii="宋体" w:hAnsi="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044"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73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397"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201"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044"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730"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2397"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c>
          <w:tcPr>
            <w:tcW w:w="1201" w:type="dxa"/>
            <w:tcMar>
              <w:top w:w="0" w:type="dxa"/>
              <w:left w:w="10" w:type="dxa"/>
              <w:bottom w:w="0" w:type="dxa"/>
              <w:right w:w="10" w:type="dxa"/>
            </w:tcMar>
            <w:vAlign w:val="center"/>
          </w:tcPr>
          <w:p>
            <w:pPr>
              <w:widowControl/>
              <w:spacing w:line="360" w:lineRule="auto"/>
              <w:jc w:val="center"/>
              <w:rPr>
                <w:rFonts w:ascii="宋体" w:hAnsi="宋体"/>
                <w:kern w:val="0"/>
                <w:szCs w:val="21"/>
                <w:highlight w:val="none"/>
              </w:rPr>
            </w:pPr>
          </w:p>
        </w:tc>
      </w:tr>
    </w:tbl>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说明：如果行数不够，请自行增加。</w:t>
      </w:r>
    </w:p>
    <w:p>
      <w:pPr>
        <w:widowControl/>
        <w:shd w:val="clear" w:color="auto" w:fill="FFFFFF"/>
        <w:spacing w:line="360" w:lineRule="auto"/>
        <w:jc w:val="left"/>
        <w:rPr>
          <w:rFonts w:ascii="宋体" w:hAnsi="宋体" w:cs="宋体"/>
          <w:kern w:val="0"/>
          <w:szCs w:val="21"/>
          <w:highlight w:val="none"/>
        </w:rPr>
      </w:pPr>
    </w:p>
    <w:p>
      <w:pPr>
        <w:widowControl/>
        <w:shd w:val="clear" w:color="auto" w:fill="FFFFFF"/>
        <w:spacing w:line="360" w:lineRule="auto"/>
        <w:jc w:val="left"/>
        <w:rPr>
          <w:rFonts w:ascii="宋体" w:hAnsi="宋体" w:cs="宋体"/>
          <w:kern w:val="0"/>
          <w:szCs w:val="21"/>
          <w:highlight w:val="none"/>
        </w:rPr>
      </w:pPr>
    </w:p>
    <w:p>
      <w:pPr>
        <w:widowControl/>
        <w:shd w:val="clear" w:color="auto" w:fill="FFFFFF"/>
        <w:spacing w:line="360" w:lineRule="auto"/>
        <w:jc w:val="left"/>
        <w:rPr>
          <w:rFonts w:ascii="宋体" w:hAnsi="宋体" w:cs="宋体"/>
          <w:kern w:val="0"/>
          <w:szCs w:val="21"/>
          <w:highlight w:val="none"/>
        </w:rPr>
      </w:pPr>
    </w:p>
    <w:p>
      <w:pPr>
        <w:widowControl/>
        <w:shd w:val="clear" w:color="auto" w:fill="FFFFFF"/>
        <w:spacing w:line="360" w:lineRule="auto"/>
        <w:jc w:val="left"/>
        <w:rPr>
          <w:rFonts w:ascii="宋体"/>
          <w:kern w:val="0"/>
          <w:szCs w:val="21"/>
          <w:highlight w:val="none"/>
        </w:rPr>
      </w:pPr>
      <w:r>
        <w:rPr>
          <w:rFonts w:hint="eastAsia" w:ascii="宋体" w:hAnsi="宋体" w:cs="宋体"/>
          <w:kern w:val="0"/>
          <w:szCs w:val="21"/>
          <w:highlight w:val="none"/>
        </w:rPr>
        <w:t>投标单位（盖章）：</w:t>
      </w:r>
      <w:r>
        <w:rPr>
          <w:rFonts w:ascii="宋体"/>
          <w:kern w:val="0"/>
          <w:szCs w:val="21"/>
          <w:highlight w:val="none"/>
          <w:u w:val="single"/>
        </w:rPr>
        <w:t>                      </w:t>
      </w:r>
    </w:p>
    <w:p>
      <w:pPr>
        <w:widowControl/>
        <w:shd w:val="clear" w:color="auto" w:fill="FFFFFF"/>
        <w:spacing w:line="360" w:lineRule="auto"/>
        <w:jc w:val="left"/>
        <w:rPr>
          <w:rFonts w:ascii="宋体"/>
          <w:kern w:val="0"/>
          <w:szCs w:val="21"/>
          <w:highlight w:val="none"/>
          <w:u w:val="single"/>
        </w:rPr>
      </w:pPr>
      <w:r>
        <w:rPr>
          <w:rFonts w:hint="eastAsia" w:ascii="宋体" w:hAnsi="宋体" w:cs="宋体"/>
          <w:kern w:val="0"/>
          <w:szCs w:val="21"/>
          <w:highlight w:val="none"/>
        </w:rPr>
        <w:t>授权代表（签字）：</w:t>
      </w:r>
      <w:r>
        <w:rPr>
          <w:rFonts w:ascii="宋体"/>
          <w:kern w:val="0"/>
          <w:szCs w:val="21"/>
          <w:highlight w:val="none"/>
          <w:u w:val="single"/>
        </w:rPr>
        <w:t>                      </w:t>
      </w: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r>
        <w:rPr>
          <w:rFonts w:hint="eastAsia" w:ascii="宋体" w:hAnsi="宋体"/>
          <w:kern w:val="0"/>
          <w:szCs w:val="21"/>
          <w:highlight w:val="none"/>
        </w:rPr>
        <w:t> </w:t>
      </w: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b/>
          <w:szCs w:val="21"/>
          <w:highlight w:val="none"/>
          <w:lang w:val="zh-CN"/>
        </w:rPr>
      </w:pPr>
      <w:r>
        <w:rPr>
          <w:rFonts w:ascii="宋体" w:hAnsi="宋体"/>
          <w:b/>
          <w:bCs/>
          <w:kern w:val="0"/>
          <w:szCs w:val="21"/>
          <w:highlight w:val="none"/>
        </w:rPr>
        <w:br w:type="page"/>
      </w:r>
      <w:r>
        <w:rPr>
          <w:rFonts w:hint="eastAsia" w:ascii="宋体" w:hAnsi="宋体"/>
          <w:b/>
          <w:bCs/>
          <w:kern w:val="0"/>
          <w:szCs w:val="21"/>
          <w:highlight w:val="none"/>
        </w:rPr>
        <w:t>附件七、</w:t>
      </w:r>
      <w:r>
        <w:rPr>
          <w:rFonts w:hint="eastAsia" w:ascii="宋体"/>
          <w:b/>
          <w:szCs w:val="21"/>
          <w:highlight w:val="none"/>
          <w:lang w:val="zh-CN"/>
        </w:rPr>
        <w:t>技术说明与服务方案</w:t>
      </w:r>
    </w:p>
    <w:p>
      <w:pPr>
        <w:widowControl/>
        <w:shd w:val="clear" w:color="auto" w:fill="FFFFFF"/>
        <w:spacing w:line="360" w:lineRule="auto"/>
        <w:jc w:val="left"/>
        <w:rPr>
          <w:rFonts w:ascii="宋体"/>
          <w:b/>
          <w:szCs w:val="21"/>
          <w:highlight w:val="none"/>
          <w:lang w:val="zh-CN"/>
        </w:rPr>
      </w:pPr>
    </w:p>
    <w:p>
      <w:pPr>
        <w:pStyle w:val="182"/>
        <w:snapToGrid w:val="0"/>
        <w:spacing w:before="0" w:after="0"/>
        <w:ind w:firstLine="420" w:firstLineChars="200"/>
        <w:rPr>
          <w:rFonts w:ascii="Times New Roman" w:hAnsi="Times New Roman"/>
          <w:kern w:val="2"/>
          <w:sz w:val="21"/>
          <w:szCs w:val="21"/>
          <w:highlight w:val="none"/>
        </w:rPr>
      </w:pPr>
      <w:r>
        <w:rPr>
          <w:rFonts w:hint="eastAsia" w:ascii="Times New Roman" w:hAnsi="Times New Roman"/>
          <w:kern w:val="2"/>
          <w:sz w:val="21"/>
          <w:szCs w:val="21"/>
          <w:highlight w:val="none"/>
        </w:rPr>
        <w:t>技术方案及服务承诺应根据招标人对项目的要求、评标标准的要求及项目本身的特点编写，内容应包括但不限于以下内容：</w:t>
      </w:r>
    </w:p>
    <w:p>
      <w:pPr>
        <w:pStyle w:val="182"/>
        <w:snapToGrid w:val="0"/>
        <w:spacing w:before="0" w:after="0"/>
        <w:ind w:firstLine="420" w:firstLineChars="200"/>
        <w:rPr>
          <w:rFonts w:ascii="Times New Roman" w:hAnsi="Times New Roman"/>
          <w:kern w:val="2"/>
          <w:sz w:val="21"/>
          <w:szCs w:val="21"/>
          <w:highlight w:val="none"/>
        </w:rPr>
      </w:pP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kern w:val="0"/>
          <w:szCs w:val="21"/>
          <w:highlight w:val="none"/>
        </w:rPr>
      </w:pPr>
    </w:p>
    <w:p>
      <w:pPr>
        <w:widowControl/>
        <w:shd w:val="clear" w:color="auto" w:fill="FFFFFF"/>
        <w:spacing w:line="360" w:lineRule="auto"/>
        <w:jc w:val="left"/>
        <w:rPr>
          <w:rFonts w:ascii="宋体" w:hAnsi="宋体"/>
          <w:b/>
          <w:bCs/>
          <w:kern w:val="0"/>
          <w:szCs w:val="21"/>
          <w:highlight w:val="none"/>
        </w:rPr>
      </w:pPr>
      <w:r>
        <w:rPr>
          <w:rFonts w:hint="eastAsia" w:ascii="宋体" w:hAnsi="宋体"/>
          <w:b/>
          <w:bCs/>
          <w:kern w:val="0"/>
          <w:szCs w:val="21"/>
          <w:highlight w:val="none"/>
        </w:rPr>
        <w:t> </w:t>
      </w:r>
    </w:p>
    <w:p>
      <w:pPr>
        <w:widowControl/>
        <w:adjustRightInd w:val="0"/>
        <w:spacing w:line="460" w:lineRule="atLeast"/>
        <w:rPr>
          <w:rFonts w:ascii="宋体" w:hAnsi="宋体"/>
          <w:b/>
          <w:bCs/>
          <w:kern w:val="0"/>
          <w:sz w:val="24"/>
          <w:highlight w:val="none"/>
        </w:rPr>
      </w:pPr>
      <w:r>
        <w:rPr>
          <w:rFonts w:ascii="宋体" w:hAnsi="宋体"/>
          <w:highlight w:val="none"/>
        </w:rPr>
        <w:br w:type="page"/>
      </w:r>
      <w:r>
        <w:rPr>
          <w:rFonts w:hint="eastAsia" w:ascii="宋体" w:hAnsi="宋体"/>
          <w:b/>
          <w:bCs/>
          <w:kern w:val="0"/>
          <w:sz w:val="24"/>
          <w:highlight w:val="none"/>
        </w:rPr>
        <w:t>附件八、拟参与本项目服务人员一览表</w:t>
      </w:r>
    </w:p>
    <w:p>
      <w:pPr>
        <w:widowControl/>
        <w:adjustRightInd w:val="0"/>
        <w:spacing w:line="460" w:lineRule="atLeast"/>
        <w:rPr>
          <w:rFonts w:ascii="宋体" w:hAnsi="宋体"/>
          <w:b/>
          <w:bCs/>
          <w:kern w:val="0"/>
          <w:sz w:val="24"/>
          <w:highlight w:val="none"/>
        </w:rPr>
      </w:pPr>
    </w:p>
    <w:p>
      <w:pPr>
        <w:widowControl/>
        <w:shd w:val="clear" w:color="auto" w:fill="FFFFFF"/>
        <w:spacing w:line="360" w:lineRule="auto"/>
        <w:ind w:left="420"/>
        <w:jc w:val="center"/>
        <w:rPr>
          <w:rFonts w:ascii="宋体" w:hAnsi="宋体"/>
          <w:b/>
          <w:kern w:val="0"/>
          <w:sz w:val="36"/>
          <w:szCs w:val="36"/>
          <w:highlight w:val="none"/>
        </w:rPr>
      </w:pPr>
      <w:r>
        <w:rPr>
          <w:rFonts w:hint="eastAsia" w:ascii="宋体" w:hAnsi="宋体"/>
          <w:b/>
          <w:kern w:val="0"/>
          <w:sz w:val="36"/>
          <w:szCs w:val="36"/>
          <w:highlight w:val="none"/>
        </w:rPr>
        <w:t>拟参与本项目服务人员一览表</w:t>
      </w:r>
    </w:p>
    <w:p>
      <w:pPr>
        <w:widowControl/>
        <w:adjustRightInd w:val="0"/>
        <w:jc w:val="center"/>
        <w:rPr>
          <w:rFonts w:ascii="宋体" w:hAnsi="宋体"/>
          <w:b/>
          <w:bCs/>
          <w:kern w:val="0"/>
          <w:sz w:val="24"/>
          <w:highlight w:val="none"/>
        </w:rPr>
      </w:pPr>
    </w:p>
    <w:p>
      <w:pPr>
        <w:widowControl/>
        <w:adjustRightInd w:val="0"/>
        <w:rPr>
          <w:rFonts w:ascii="宋体" w:hAnsi="宋体"/>
          <w:kern w:val="0"/>
          <w:szCs w:val="21"/>
          <w:highlight w:val="none"/>
        </w:rPr>
      </w:pPr>
      <w:r>
        <w:rPr>
          <w:rFonts w:hint="eastAsia" w:ascii="宋体" w:hAnsi="宋体"/>
          <w:kern w:val="0"/>
          <w:szCs w:val="21"/>
          <w:highlight w:val="none"/>
        </w:rPr>
        <w:t>项目名称：                                 项目编号：</w:t>
      </w:r>
    </w:p>
    <w:tbl>
      <w:tblPr>
        <w:tblStyle w:val="44"/>
        <w:tblW w:w="9464" w:type="dxa"/>
        <w:jc w:val="center"/>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执业</w:t>
            </w:r>
          </w:p>
          <w:p>
            <w:pPr>
              <w:widowControl/>
              <w:adjustRightInd w:val="0"/>
              <w:jc w:val="center"/>
              <w:rPr>
                <w:rFonts w:ascii="宋体" w:hAnsi="宋体"/>
                <w:b/>
                <w:bCs/>
                <w:kern w:val="0"/>
                <w:szCs w:val="21"/>
                <w:highlight w:val="none"/>
              </w:rPr>
            </w:pPr>
            <w:r>
              <w:rPr>
                <w:rFonts w:hint="eastAsia" w:ascii="宋体" w:hAnsi="宋体"/>
                <w:b/>
                <w:bCs/>
                <w:kern w:val="0"/>
                <w:szCs w:val="21"/>
                <w:highlight w:val="none"/>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技术职称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kern w:val="0"/>
                <w:szCs w:val="21"/>
                <w:highlight w:val="none"/>
              </w:rPr>
            </w:pPr>
            <w:r>
              <w:rPr>
                <w:rFonts w:hint="eastAsia" w:ascii="宋体" w:hAnsi="宋体"/>
                <w:b/>
                <w:bCs/>
                <w:kern w:val="0"/>
                <w:szCs w:val="21"/>
                <w:highlight w:val="none"/>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kern w:val="0"/>
                <w:szCs w:val="21"/>
                <w:highlight w:val="none"/>
              </w:rPr>
            </w:pPr>
          </w:p>
        </w:tc>
      </w:tr>
    </w:tbl>
    <w:p>
      <w:pPr>
        <w:widowControl/>
        <w:shd w:val="clear" w:color="auto" w:fill="FFFFFF"/>
        <w:spacing w:line="360" w:lineRule="auto"/>
        <w:jc w:val="left"/>
        <w:rPr>
          <w:rFonts w:ascii="宋体"/>
          <w:kern w:val="0"/>
          <w:szCs w:val="21"/>
          <w:highlight w:val="none"/>
        </w:rPr>
      </w:pPr>
      <w:r>
        <w:rPr>
          <w:rFonts w:hint="eastAsia" w:ascii="宋体" w:hAnsi="宋体" w:cs="宋体"/>
          <w:kern w:val="0"/>
          <w:szCs w:val="21"/>
          <w:highlight w:val="none"/>
        </w:rPr>
        <w:t>投标单位（盖章）：</w:t>
      </w:r>
      <w:r>
        <w:rPr>
          <w:rFonts w:ascii="宋体"/>
          <w:kern w:val="0"/>
          <w:szCs w:val="21"/>
          <w:highlight w:val="none"/>
          <w:u w:val="single"/>
        </w:rPr>
        <w:t>                      </w:t>
      </w:r>
    </w:p>
    <w:p>
      <w:pPr>
        <w:widowControl/>
        <w:shd w:val="clear" w:color="auto" w:fill="FFFFFF"/>
        <w:spacing w:line="360" w:lineRule="auto"/>
        <w:jc w:val="left"/>
        <w:rPr>
          <w:rFonts w:ascii="宋体"/>
          <w:kern w:val="0"/>
          <w:szCs w:val="21"/>
          <w:highlight w:val="none"/>
          <w:u w:val="single"/>
        </w:rPr>
      </w:pPr>
      <w:r>
        <w:rPr>
          <w:rFonts w:hint="eastAsia" w:ascii="宋体" w:hAnsi="宋体" w:cs="宋体"/>
          <w:kern w:val="0"/>
          <w:szCs w:val="21"/>
          <w:highlight w:val="none"/>
        </w:rPr>
        <w:t>授权代表（签字）：</w:t>
      </w:r>
      <w:r>
        <w:rPr>
          <w:rFonts w:ascii="宋体"/>
          <w:kern w:val="0"/>
          <w:szCs w:val="21"/>
          <w:highlight w:val="none"/>
          <w:u w:val="single"/>
        </w:rPr>
        <w:t>                      </w:t>
      </w:r>
    </w:p>
    <w:p>
      <w:pPr>
        <w:widowControl/>
        <w:adjustRightInd w:val="0"/>
        <w:rPr>
          <w:rFonts w:ascii="宋体" w:hAnsi="宋体"/>
          <w:kern w:val="0"/>
          <w:szCs w:val="21"/>
          <w:highlight w:val="none"/>
        </w:rPr>
      </w:pPr>
    </w:p>
    <w:p>
      <w:pPr>
        <w:widowControl/>
        <w:adjustRightInd w:val="0"/>
        <w:rPr>
          <w:rFonts w:ascii="宋体" w:hAnsi="宋体"/>
          <w:b/>
          <w:bCs/>
          <w:kern w:val="0"/>
          <w:szCs w:val="21"/>
          <w:highlight w:val="none"/>
        </w:rPr>
      </w:pPr>
    </w:p>
    <w:p>
      <w:pPr>
        <w:widowControl/>
        <w:adjustRightInd w:val="0"/>
        <w:spacing w:line="360" w:lineRule="auto"/>
        <w:rPr>
          <w:rFonts w:ascii="宋体" w:hAnsi="宋体"/>
          <w:b/>
          <w:bCs/>
          <w:kern w:val="0"/>
          <w:sz w:val="24"/>
          <w:highlight w:val="none"/>
        </w:rPr>
      </w:pPr>
      <w:r>
        <w:rPr>
          <w:rFonts w:hint="eastAsia" w:ascii="宋体" w:hAnsi="宋体"/>
          <w:b/>
          <w:bCs/>
          <w:kern w:val="0"/>
          <w:sz w:val="24"/>
          <w:highlight w:val="none"/>
        </w:rPr>
        <w:br w:type="page"/>
      </w:r>
      <w:r>
        <w:rPr>
          <w:rFonts w:hint="eastAsia" w:ascii="宋体" w:hAnsi="宋体"/>
          <w:b/>
          <w:bCs/>
          <w:kern w:val="0"/>
          <w:sz w:val="24"/>
          <w:highlight w:val="none"/>
        </w:rPr>
        <w:t>附件九、 投标人类似业绩情况表</w:t>
      </w:r>
    </w:p>
    <w:p>
      <w:pPr>
        <w:widowControl/>
        <w:adjustRightInd w:val="0"/>
        <w:spacing w:line="360" w:lineRule="auto"/>
        <w:jc w:val="center"/>
        <w:rPr>
          <w:rFonts w:ascii="宋体" w:hAnsi="宋体"/>
          <w:b/>
          <w:bCs/>
          <w:kern w:val="0"/>
          <w:sz w:val="24"/>
          <w:highlight w:val="none"/>
        </w:rPr>
      </w:pPr>
    </w:p>
    <w:p>
      <w:pPr>
        <w:widowControl/>
        <w:adjustRightInd w:val="0"/>
        <w:spacing w:line="360" w:lineRule="auto"/>
        <w:jc w:val="center"/>
        <w:rPr>
          <w:rFonts w:ascii="宋体" w:hAnsi="宋体"/>
          <w:b/>
          <w:bCs/>
          <w:kern w:val="0"/>
          <w:sz w:val="24"/>
          <w:highlight w:val="none"/>
        </w:rPr>
      </w:pPr>
      <w:r>
        <w:rPr>
          <w:rFonts w:hint="eastAsia" w:ascii="宋体" w:hAnsi="宋体"/>
          <w:b/>
          <w:bCs/>
          <w:kern w:val="0"/>
          <w:sz w:val="24"/>
          <w:highlight w:val="none"/>
        </w:rPr>
        <w:t>投标人类似业绩情况表</w:t>
      </w:r>
    </w:p>
    <w:tbl>
      <w:tblPr>
        <w:tblStyle w:val="44"/>
        <w:tblW w:w="9470" w:type="dxa"/>
        <w:jc w:val="center"/>
        <w:tblLayout w:type="fixed"/>
        <w:tblCellMar>
          <w:top w:w="0" w:type="dxa"/>
          <w:left w:w="108" w:type="dxa"/>
          <w:bottom w:w="0" w:type="dxa"/>
          <w:right w:w="108" w:type="dxa"/>
        </w:tblCellMar>
      </w:tblPr>
      <w:tblGrid>
        <w:gridCol w:w="682"/>
        <w:gridCol w:w="1559"/>
        <w:gridCol w:w="1418"/>
        <w:gridCol w:w="992"/>
        <w:gridCol w:w="1034"/>
        <w:gridCol w:w="1517"/>
        <w:gridCol w:w="1134"/>
        <w:gridCol w:w="1134"/>
      </w:tblGrid>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序号</w:t>
            </w:r>
          </w:p>
        </w:tc>
        <w:tc>
          <w:tcPr>
            <w:tcW w:w="1559"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项目名称</w:t>
            </w:r>
          </w:p>
        </w:tc>
        <w:tc>
          <w:tcPr>
            <w:tcW w:w="1418"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业主单位</w:t>
            </w:r>
          </w:p>
        </w:tc>
        <w:tc>
          <w:tcPr>
            <w:tcW w:w="99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项目</w:t>
            </w:r>
          </w:p>
          <w:p>
            <w:pPr>
              <w:widowControl/>
              <w:spacing w:line="400" w:lineRule="atLeast"/>
              <w:jc w:val="center"/>
              <w:rPr>
                <w:rFonts w:ascii="宋体" w:hAnsi="宋体"/>
                <w:kern w:val="0"/>
                <w:szCs w:val="21"/>
                <w:highlight w:val="none"/>
              </w:rPr>
            </w:pPr>
            <w:r>
              <w:rPr>
                <w:rFonts w:hint="eastAsia" w:ascii="宋体" w:hAnsi="宋体"/>
                <w:kern w:val="0"/>
                <w:szCs w:val="21"/>
                <w:highlight w:val="none"/>
              </w:rPr>
              <w:t>规模</w:t>
            </w:r>
          </w:p>
        </w:tc>
        <w:tc>
          <w:tcPr>
            <w:tcW w:w="1034"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获奖</w:t>
            </w:r>
          </w:p>
          <w:p>
            <w:pPr>
              <w:widowControl/>
              <w:spacing w:line="400" w:lineRule="atLeast"/>
              <w:jc w:val="center"/>
              <w:rPr>
                <w:rFonts w:ascii="宋体" w:hAnsi="宋体"/>
                <w:kern w:val="0"/>
                <w:szCs w:val="21"/>
                <w:highlight w:val="none"/>
              </w:rPr>
            </w:pPr>
            <w:r>
              <w:rPr>
                <w:rFonts w:hint="eastAsia" w:ascii="宋体" w:hAnsi="宋体"/>
                <w:kern w:val="0"/>
                <w:szCs w:val="21"/>
                <w:highlight w:val="none"/>
              </w:rPr>
              <w:t>情况</w:t>
            </w: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签约及服务</w:t>
            </w:r>
          </w:p>
          <w:p>
            <w:pPr>
              <w:widowControl/>
              <w:spacing w:line="400" w:lineRule="atLeast"/>
              <w:jc w:val="center"/>
              <w:rPr>
                <w:rFonts w:ascii="宋体" w:hAnsi="宋体"/>
                <w:kern w:val="0"/>
                <w:szCs w:val="21"/>
                <w:highlight w:val="none"/>
              </w:rPr>
            </w:pPr>
            <w:r>
              <w:rPr>
                <w:rFonts w:hint="eastAsia" w:ascii="宋体" w:hAnsi="宋体"/>
                <w:kern w:val="0"/>
                <w:szCs w:val="21"/>
                <w:highlight w:val="none"/>
              </w:rPr>
              <w:t>时间</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联系人及电话</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r>
              <w:rPr>
                <w:rFonts w:hint="eastAsia" w:ascii="宋体" w:hAnsi="宋体"/>
                <w:kern w:val="0"/>
                <w:szCs w:val="21"/>
                <w:highlight w:val="none"/>
              </w:rPr>
              <w:t>备注</w:t>
            </w: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ind w:firstLine="120"/>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kern w:val="0"/>
                <w:szCs w:val="21"/>
                <w:highlight w:val="none"/>
              </w:rPr>
            </w:pPr>
          </w:p>
        </w:tc>
      </w:tr>
    </w:tbl>
    <w:p>
      <w:pPr>
        <w:widowControl/>
        <w:shd w:val="clear" w:color="auto" w:fill="FFFFFF"/>
        <w:spacing w:line="360" w:lineRule="auto"/>
        <w:jc w:val="left"/>
        <w:rPr>
          <w:rFonts w:ascii="宋体"/>
          <w:kern w:val="0"/>
          <w:szCs w:val="21"/>
          <w:highlight w:val="none"/>
        </w:rPr>
      </w:pPr>
      <w:r>
        <w:rPr>
          <w:rFonts w:hint="eastAsia" w:ascii="宋体" w:hAnsi="宋体" w:cs="宋体"/>
          <w:kern w:val="0"/>
          <w:szCs w:val="21"/>
          <w:highlight w:val="none"/>
        </w:rPr>
        <w:t>投标单位（盖章）：</w:t>
      </w:r>
      <w:r>
        <w:rPr>
          <w:rFonts w:ascii="宋体"/>
          <w:kern w:val="0"/>
          <w:szCs w:val="21"/>
          <w:highlight w:val="none"/>
          <w:u w:val="single"/>
        </w:rPr>
        <w:t>                      </w:t>
      </w:r>
    </w:p>
    <w:p>
      <w:pPr>
        <w:widowControl/>
        <w:shd w:val="clear" w:color="auto" w:fill="FFFFFF"/>
        <w:spacing w:line="360" w:lineRule="auto"/>
        <w:jc w:val="left"/>
        <w:rPr>
          <w:rFonts w:ascii="宋体"/>
          <w:kern w:val="0"/>
          <w:szCs w:val="21"/>
          <w:highlight w:val="none"/>
          <w:u w:val="single"/>
        </w:rPr>
      </w:pPr>
      <w:r>
        <w:rPr>
          <w:rFonts w:hint="eastAsia" w:ascii="宋体" w:hAnsi="宋体" w:cs="宋体"/>
          <w:kern w:val="0"/>
          <w:szCs w:val="21"/>
          <w:highlight w:val="none"/>
        </w:rPr>
        <w:t>授权代表（签字）：</w:t>
      </w:r>
      <w:r>
        <w:rPr>
          <w:rFonts w:ascii="宋体"/>
          <w:kern w:val="0"/>
          <w:szCs w:val="21"/>
          <w:highlight w:val="none"/>
          <w:u w:val="single"/>
        </w:rPr>
        <w:t>                      </w:t>
      </w:r>
    </w:p>
    <w:p>
      <w:pPr>
        <w:widowControl/>
        <w:adjustRightInd w:val="0"/>
        <w:spacing w:line="360" w:lineRule="auto"/>
        <w:rPr>
          <w:rFonts w:ascii="宋体" w:hAnsi="宋体"/>
          <w:b/>
          <w:bCs/>
          <w:kern w:val="0"/>
          <w:szCs w:val="21"/>
          <w:highlight w:val="none"/>
        </w:rPr>
      </w:pPr>
    </w:p>
    <w:p>
      <w:pPr>
        <w:widowControl/>
        <w:adjustRightInd w:val="0"/>
        <w:spacing w:line="360" w:lineRule="auto"/>
        <w:rPr>
          <w:rFonts w:ascii="宋体" w:hAnsi="宋体"/>
          <w:b/>
          <w:bCs/>
          <w:kern w:val="0"/>
          <w:szCs w:val="21"/>
          <w:highlight w:val="none"/>
        </w:rPr>
      </w:pPr>
    </w:p>
    <w:p>
      <w:pPr>
        <w:spacing w:line="360" w:lineRule="auto"/>
        <w:rPr>
          <w:rFonts w:ascii="宋体" w:hAnsi="宋体"/>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bCs/>
          <w:highlight w:val="none"/>
        </w:rPr>
      </w:pPr>
      <w:r>
        <w:rPr>
          <w:rFonts w:hint="eastAsia" w:ascii="宋体" w:hAnsi="宋体"/>
          <w:b/>
          <w:highlight w:val="none"/>
        </w:rPr>
        <w:t>附件十</w:t>
      </w:r>
      <w:r>
        <w:rPr>
          <w:rFonts w:hint="eastAsia" w:ascii="宋体" w:hAnsi="宋体"/>
          <w:b/>
          <w:bCs/>
          <w:highlight w:val="none"/>
        </w:rPr>
        <w:t>：企业声明函格式</w:t>
      </w:r>
    </w:p>
    <w:p>
      <w:pPr>
        <w:spacing w:line="360" w:lineRule="auto"/>
        <w:jc w:val="center"/>
        <w:rPr>
          <w:rFonts w:ascii="宋体" w:hAnsi="宋体"/>
          <w:b/>
          <w:bCs/>
          <w:sz w:val="28"/>
          <w:highlight w:val="none"/>
        </w:rPr>
      </w:pPr>
      <w:r>
        <w:rPr>
          <w:rFonts w:ascii="宋体" w:hAnsi="宋体"/>
          <w:b/>
          <w:bCs/>
          <w:sz w:val="28"/>
          <w:highlight w:val="none"/>
        </w:rPr>
        <w:t>中小企业声明函</w:t>
      </w:r>
    </w:p>
    <w:p>
      <w:pPr>
        <w:widowControl/>
        <w:spacing w:line="440" w:lineRule="exact"/>
        <w:ind w:firstLine="420" w:firstLineChars="200"/>
        <w:jc w:val="left"/>
        <w:rPr>
          <w:rFonts w:ascii="宋体" w:hAnsi="宋体" w:cs="宋体"/>
          <w:snapToGrid w:val="0"/>
          <w:kern w:val="0"/>
          <w:szCs w:val="21"/>
          <w:highlight w:val="none"/>
        </w:rPr>
      </w:pPr>
      <w:r>
        <w:rPr>
          <w:rFonts w:ascii="宋体" w:hAnsi="宋体" w:cs="宋体"/>
          <w:snapToGrid w:val="0"/>
          <w:kern w:val="0"/>
          <w:szCs w:val="21"/>
          <w:highlight w:val="none"/>
        </w:rPr>
        <w:t>本公司郑重声明，根据《政府采购促进中小企业发展暂行办法》（财库〔2011〕181号）的规定，本公司为______（请填写：中型、小型、微型）企业。即，本公司同时满足以下条件：</w:t>
      </w:r>
    </w:p>
    <w:p>
      <w:pPr>
        <w:widowControl/>
        <w:spacing w:line="440" w:lineRule="exact"/>
        <w:ind w:firstLine="420" w:firstLineChars="200"/>
        <w:jc w:val="left"/>
        <w:rPr>
          <w:rFonts w:ascii="宋体" w:hAnsi="宋体" w:cs="宋体"/>
          <w:snapToGrid w:val="0"/>
          <w:kern w:val="0"/>
          <w:szCs w:val="21"/>
          <w:highlight w:val="none"/>
        </w:rPr>
      </w:pPr>
      <w:r>
        <w:rPr>
          <w:rFonts w:ascii="宋体" w:hAnsi="宋体" w:cs="宋体"/>
          <w:snapToGrid w:val="0"/>
          <w:kern w:val="0"/>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440" w:lineRule="exact"/>
        <w:ind w:firstLine="420" w:firstLineChars="200"/>
        <w:jc w:val="left"/>
        <w:rPr>
          <w:rFonts w:ascii="宋体" w:hAnsi="宋体" w:cs="宋体"/>
          <w:snapToGrid w:val="0"/>
          <w:kern w:val="0"/>
          <w:szCs w:val="21"/>
          <w:highlight w:val="none"/>
        </w:rPr>
      </w:pPr>
      <w:r>
        <w:rPr>
          <w:rFonts w:ascii="宋体" w:hAnsi="宋体" w:cs="宋体"/>
          <w:snapToGrid w:val="0"/>
          <w:kern w:val="0"/>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440" w:lineRule="exact"/>
        <w:ind w:firstLine="420" w:firstLineChars="200"/>
        <w:jc w:val="left"/>
        <w:rPr>
          <w:rFonts w:ascii="宋体" w:hAnsi="宋体" w:cs="宋体"/>
          <w:snapToGrid w:val="0"/>
          <w:kern w:val="0"/>
          <w:szCs w:val="21"/>
          <w:highlight w:val="none"/>
        </w:rPr>
      </w:pPr>
      <w:r>
        <w:rPr>
          <w:rFonts w:ascii="宋体" w:hAnsi="宋体" w:cs="宋体"/>
          <w:snapToGrid w:val="0"/>
          <w:kern w:val="0"/>
          <w:szCs w:val="21"/>
          <w:highlight w:val="none"/>
        </w:rPr>
        <w:t>本公司对上述声明的真实性负责。如有虚假，将依法承担相应责任。</w:t>
      </w:r>
    </w:p>
    <w:p>
      <w:pPr>
        <w:widowControl/>
        <w:spacing w:line="440" w:lineRule="exact"/>
        <w:ind w:firstLine="5040" w:firstLineChars="2400"/>
        <w:jc w:val="left"/>
        <w:rPr>
          <w:rFonts w:ascii="宋体" w:hAnsi="宋体" w:cs="宋体"/>
          <w:snapToGrid w:val="0"/>
          <w:kern w:val="0"/>
          <w:szCs w:val="21"/>
          <w:highlight w:val="none"/>
        </w:rPr>
      </w:pPr>
      <w:r>
        <w:rPr>
          <w:rFonts w:hint="eastAsia" w:ascii="宋体" w:hAnsi="宋体" w:cs="宋体"/>
          <w:snapToGrid w:val="0"/>
          <w:kern w:val="0"/>
          <w:szCs w:val="21"/>
          <w:highlight w:val="none"/>
        </w:rPr>
        <w:t>单位</w:t>
      </w:r>
      <w:r>
        <w:rPr>
          <w:rFonts w:ascii="宋体" w:hAnsi="宋体" w:cs="宋体"/>
          <w:snapToGrid w:val="0"/>
          <w:kern w:val="0"/>
          <w:szCs w:val="21"/>
          <w:highlight w:val="none"/>
        </w:rPr>
        <w:t xml:space="preserve">名称（盖章）： </w:t>
      </w:r>
    </w:p>
    <w:p>
      <w:pPr>
        <w:widowControl/>
        <w:spacing w:line="440" w:lineRule="exact"/>
        <w:ind w:firstLine="5040" w:firstLineChars="2400"/>
        <w:jc w:val="left"/>
        <w:rPr>
          <w:rFonts w:ascii="黑体" w:hAnsi="黑体" w:eastAsia="黑体" w:cs="宋体"/>
          <w:bCs/>
          <w:snapToGrid w:val="0"/>
          <w:kern w:val="0"/>
          <w:sz w:val="24"/>
          <w:highlight w:val="none"/>
        </w:rPr>
      </w:pPr>
      <w:r>
        <w:rPr>
          <w:rFonts w:ascii="宋体" w:hAnsi="宋体" w:cs="宋体"/>
          <w:snapToGrid w:val="0"/>
          <w:kern w:val="0"/>
          <w:szCs w:val="21"/>
          <w:highlight w:val="none"/>
        </w:rPr>
        <w:t>日 期：</w:t>
      </w:r>
    </w:p>
    <w:p>
      <w:pPr>
        <w:spacing w:line="360" w:lineRule="auto"/>
        <w:jc w:val="center"/>
        <w:rPr>
          <w:rFonts w:ascii="宋体" w:hAnsi="宋体"/>
          <w:b/>
          <w:bCs/>
          <w:sz w:val="28"/>
          <w:highlight w:val="none"/>
        </w:rPr>
      </w:pPr>
      <w:bookmarkStart w:id="14" w:name="OLE_LINK13"/>
      <w:bookmarkStart w:id="15" w:name="OLE_LINK14"/>
    </w:p>
    <w:p>
      <w:pPr>
        <w:spacing w:line="360" w:lineRule="auto"/>
        <w:jc w:val="center"/>
        <w:rPr>
          <w:rFonts w:ascii="宋体" w:hAnsi="宋体"/>
          <w:b/>
          <w:bCs/>
          <w:sz w:val="28"/>
          <w:highlight w:val="none"/>
        </w:rPr>
      </w:pPr>
    </w:p>
    <w:p>
      <w:pPr>
        <w:spacing w:line="360" w:lineRule="auto"/>
        <w:jc w:val="center"/>
        <w:rPr>
          <w:rFonts w:ascii="宋体" w:hAnsi="宋体"/>
          <w:b/>
          <w:bCs/>
          <w:sz w:val="28"/>
          <w:highlight w:val="none"/>
        </w:rPr>
      </w:pPr>
    </w:p>
    <w:p>
      <w:pPr>
        <w:spacing w:line="360" w:lineRule="auto"/>
        <w:jc w:val="center"/>
        <w:rPr>
          <w:rFonts w:ascii="宋体" w:hAnsi="宋体"/>
          <w:b/>
          <w:bCs/>
          <w:sz w:val="28"/>
          <w:highlight w:val="none"/>
        </w:rPr>
      </w:pPr>
    </w:p>
    <w:p>
      <w:pPr>
        <w:spacing w:line="360" w:lineRule="auto"/>
        <w:jc w:val="center"/>
        <w:rPr>
          <w:rFonts w:ascii="宋体" w:hAnsi="宋体"/>
          <w:b/>
          <w:bCs/>
          <w:sz w:val="28"/>
          <w:highlight w:val="none"/>
        </w:rPr>
      </w:pPr>
      <w:r>
        <w:rPr>
          <w:rFonts w:hint="eastAsia" w:ascii="宋体" w:hAnsi="宋体"/>
          <w:b/>
          <w:bCs/>
          <w:sz w:val="28"/>
          <w:highlight w:val="none"/>
        </w:rPr>
        <w:t>残疾人福利性单位声明函</w:t>
      </w:r>
    </w:p>
    <w:bookmarkEnd w:id="14"/>
    <w:bookmarkEnd w:id="15"/>
    <w:p>
      <w:pPr>
        <w:widowControl/>
        <w:spacing w:line="44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本单位对上述声明的真实性负责。如有虚假，将依法承担相应责任。</w:t>
      </w:r>
    </w:p>
    <w:p>
      <w:pPr>
        <w:widowControl/>
        <w:spacing w:line="440" w:lineRule="exact"/>
        <w:ind w:firstLine="5040" w:firstLineChars="2400"/>
        <w:jc w:val="left"/>
        <w:rPr>
          <w:rFonts w:ascii="宋体" w:hAnsi="宋体" w:cs="宋体"/>
          <w:snapToGrid w:val="0"/>
          <w:kern w:val="0"/>
          <w:szCs w:val="21"/>
          <w:highlight w:val="none"/>
        </w:rPr>
      </w:pPr>
      <w:r>
        <w:rPr>
          <w:rFonts w:hint="eastAsia" w:ascii="宋体" w:hAnsi="宋体" w:cs="宋体"/>
          <w:snapToGrid w:val="0"/>
          <w:kern w:val="0"/>
          <w:szCs w:val="21"/>
          <w:highlight w:val="none"/>
        </w:rPr>
        <w:t>单位名称（盖章）：</w:t>
      </w:r>
    </w:p>
    <w:p>
      <w:pPr>
        <w:widowControl/>
        <w:spacing w:line="440" w:lineRule="exact"/>
        <w:ind w:firstLine="5040" w:firstLineChars="2400"/>
        <w:jc w:val="left"/>
        <w:rPr>
          <w:rFonts w:ascii="宋体" w:hAnsi="宋体" w:cs="宋体"/>
          <w:snapToGrid w:val="0"/>
          <w:kern w:val="0"/>
          <w:szCs w:val="21"/>
          <w:highlight w:val="none"/>
        </w:rPr>
      </w:pPr>
      <w:r>
        <w:rPr>
          <w:rFonts w:hint="eastAsia" w:ascii="宋体" w:hAnsi="宋体" w:cs="宋体"/>
          <w:snapToGrid w:val="0"/>
          <w:kern w:val="0"/>
          <w:szCs w:val="21"/>
          <w:highlight w:val="none"/>
        </w:rPr>
        <w:t>日  期：</w:t>
      </w: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jc w:val="center"/>
        <w:rPr>
          <w:rFonts w:ascii="宋体" w:hAnsi="宋体"/>
          <w:b/>
          <w:bCs/>
          <w:sz w:val="28"/>
          <w:highlight w:val="none"/>
        </w:rPr>
      </w:pPr>
      <w:r>
        <w:rPr>
          <w:rFonts w:hint="eastAsia" w:ascii="宋体" w:hAnsi="宋体"/>
          <w:b/>
          <w:bCs/>
          <w:sz w:val="28"/>
          <w:highlight w:val="none"/>
        </w:rPr>
        <w:t>属于监狱企业的证明文件</w:t>
      </w:r>
    </w:p>
    <w:p>
      <w:pPr>
        <w:spacing w:line="360" w:lineRule="auto"/>
        <w:rPr>
          <w:rFonts w:ascii="宋体" w:hAnsi="宋体"/>
          <w:highlight w:val="none"/>
        </w:rPr>
      </w:pPr>
      <w:r>
        <w:rPr>
          <w:rFonts w:hint="eastAsia" w:ascii="宋体" w:hAnsi="宋体"/>
          <w:highlight w:val="none"/>
        </w:rPr>
        <w:t>（</w:t>
      </w:r>
      <w:r>
        <w:rPr>
          <w:rFonts w:ascii="宋体" w:hAnsi="宋体"/>
          <w:highlight w:val="none"/>
        </w:rPr>
        <w:t>提供</w:t>
      </w:r>
      <w:r>
        <w:rPr>
          <w:rFonts w:hint="eastAsia" w:ascii="宋体" w:hAnsi="宋体"/>
          <w:highlight w:val="none"/>
        </w:rPr>
        <w:t>由省级以上监狱管理局、戒毒管理局(含新疆生产建设兵团)出具的属于监狱企业的证明文件）</w:t>
      </w: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jc w:val="center"/>
        <w:rPr>
          <w:rFonts w:ascii="宋体" w:hAnsi="宋体"/>
          <w:b/>
          <w:bCs/>
          <w:highlight w:val="none"/>
        </w:rPr>
      </w:pPr>
      <w:r>
        <w:rPr>
          <w:rFonts w:hint="eastAsia" w:ascii="宋体" w:hAnsi="宋体"/>
          <w:b/>
          <w:bCs/>
          <w:sz w:val="28"/>
          <w:highlight w:val="none"/>
        </w:rPr>
        <w:t>节能产品认证证书</w:t>
      </w:r>
    </w:p>
    <w:p>
      <w:pPr>
        <w:spacing w:line="360" w:lineRule="auto"/>
        <w:rPr>
          <w:rFonts w:ascii="宋体" w:hAnsi="宋体"/>
          <w:bCs/>
          <w:highlight w:val="none"/>
        </w:rPr>
      </w:pPr>
      <w:r>
        <w:rPr>
          <w:rFonts w:hint="eastAsia" w:ascii="宋体" w:hAnsi="宋体"/>
          <w:bCs/>
          <w:highlight w:val="none"/>
        </w:rPr>
        <w:t>（提供国家确定的认证机构出具的、处于有效期之内的产品认证证书）</w:t>
      </w: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jc w:val="center"/>
        <w:rPr>
          <w:rFonts w:ascii="宋体" w:hAnsi="宋体"/>
          <w:b/>
          <w:bCs/>
          <w:highlight w:val="none"/>
        </w:rPr>
      </w:pPr>
      <w:r>
        <w:rPr>
          <w:rFonts w:hint="eastAsia" w:ascii="宋体" w:hAnsi="宋体"/>
          <w:b/>
          <w:bCs/>
          <w:sz w:val="28"/>
          <w:highlight w:val="none"/>
        </w:rPr>
        <w:t>环境标志产品认证证书</w:t>
      </w:r>
    </w:p>
    <w:p>
      <w:pPr>
        <w:spacing w:line="360" w:lineRule="auto"/>
        <w:rPr>
          <w:highlight w:val="none"/>
        </w:rPr>
      </w:pPr>
      <w:r>
        <w:rPr>
          <w:rFonts w:hint="eastAsia" w:ascii="宋体" w:hAnsi="宋体"/>
          <w:bCs/>
          <w:highlight w:val="none"/>
        </w:rPr>
        <w:t>（提供国家确定的认证机构出具的、处于有效期之内的产品认证证书）</w:t>
      </w: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rPr>
          <w:rFonts w:ascii="宋体" w:hAnsi="宋体"/>
          <w:b/>
          <w:bCs/>
          <w:highlight w:val="none"/>
        </w:rPr>
      </w:pPr>
    </w:p>
    <w:p>
      <w:pPr>
        <w:spacing w:line="360" w:lineRule="auto"/>
        <w:jc w:val="center"/>
        <w:rPr>
          <w:rFonts w:ascii="宋体" w:hAnsi="宋体"/>
          <w:b/>
          <w:bCs/>
          <w:sz w:val="28"/>
          <w:highlight w:val="none"/>
        </w:rPr>
      </w:pPr>
      <w:r>
        <w:rPr>
          <w:rFonts w:hint="eastAsia" w:ascii="宋体" w:hAnsi="宋体"/>
          <w:b/>
          <w:bCs/>
          <w:sz w:val="28"/>
          <w:highlight w:val="none"/>
        </w:rPr>
        <w:t>进口产品转让技术、消化吸收再创新方案</w:t>
      </w:r>
    </w:p>
    <w:p>
      <w:pPr>
        <w:spacing w:line="360" w:lineRule="auto"/>
        <w:rPr>
          <w:rFonts w:ascii="宋体" w:hAnsi="宋体"/>
          <w:bCs/>
          <w:highlight w:val="none"/>
        </w:rPr>
      </w:pPr>
      <w:r>
        <w:rPr>
          <w:rFonts w:hint="eastAsia" w:ascii="宋体" w:hAnsi="宋体"/>
          <w:bCs/>
          <w:highlight w:val="none"/>
        </w:rPr>
        <w:t>（对于允许进口产品参加的项目）</w:t>
      </w:r>
    </w:p>
    <w:p>
      <w:pPr>
        <w:spacing w:line="360" w:lineRule="auto"/>
        <w:rPr>
          <w:rFonts w:ascii="宋体" w:hAnsi="宋体"/>
          <w:b/>
          <w:bCs/>
          <w:highlight w:val="none"/>
        </w:rPr>
      </w:pPr>
    </w:p>
    <w:p>
      <w:pPr>
        <w:autoSpaceDE w:val="0"/>
        <w:autoSpaceDN w:val="0"/>
        <w:adjustRightInd w:val="0"/>
        <w:spacing w:line="360" w:lineRule="auto"/>
        <w:rPr>
          <w:rFonts w:ascii="宋体" w:hAnsi="宋体"/>
          <w:b/>
          <w:highlight w:val="none"/>
        </w:rPr>
      </w:pPr>
      <w:r>
        <w:rPr>
          <w:rFonts w:ascii="宋体"/>
          <w:b/>
          <w:szCs w:val="21"/>
          <w:highlight w:val="none"/>
          <w:lang w:val="zh-CN"/>
        </w:rPr>
        <w:br w:type="page"/>
      </w:r>
      <w:r>
        <w:rPr>
          <w:rFonts w:hint="eastAsia" w:ascii="宋体" w:hAnsi="宋体"/>
          <w:b/>
          <w:highlight w:val="none"/>
        </w:rPr>
        <w:t>附件十一、无重大违法记录声明格式</w:t>
      </w:r>
    </w:p>
    <w:p>
      <w:pPr>
        <w:spacing w:line="240" w:lineRule="atLeast"/>
        <w:jc w:val="center"/>
        <w:rPr>
          <w:rFonts w:ascii="黑体" w:eastAsia="黑体"/>
          <w:sz w:val="28"/>
          <w:szCs w:val="36"/>
          <w:highlight w:val="none"/>
        </w:rPr>
      </w:pPr>
    </w:p>
    <w:p>
      <w:pPr>
        <w:spacing w:line="240" w:lineRule="atLeast"/>
        <w:jc w:val="center"/>
        <w:rPr>
          <w:rFonts w:ascii="黑体" w:eastAsia="黑体"/>
          <w:sz w:val="28"/>
          <w:szCs w:val="36"/>
          <w:highlight w:val="none"/>
        </w:rPr>
      </w:pPr>
      <w:r>
        <w:rPr>
          <w:rFonts w:hint="eastAsia" w:ascii="黑体" w:eastAsia="黑体"/>
          <w:sz w:val="28"/>
          <w:szCs w:val="36"/>
          <w:highlight w:val="none"/>
        </w:rPr>
        <w:t>无重大违法记录声明</w:t>
      </w:r>
    </w:p>
    <w:p>
      <w:pPr>
        <w:spacing w:line="360" w:lineRule="auto"/>
        <w:rPr>
          <w:rFonts w:ascii="黑体" w:eastAsia="黑体"/>
          <w:szCs w:val="21"/>
          <w:highlight w:val="none"/>
        </w:rPr>
      </w:pPr>
    </w:p>
    <w:p>
      <w:pPr>
        <w:spacing w:line="360" w:lineRule="auto"/>
        <w:rPr>
          <w:rFonts w:ascii="宋体" w:hAnsi="宋体"/>
          <w:szCs w:val="21"/>
          <w:highlight w:val="none"/>
        </w:rPr>
      </w:pPr>
      <w:r>
        <w:rPr>
          <w:rFonts w:hint="eastAsia" w:ascii="宋体" w:hAnsi="宋体"/>
          <w:szCs w:val="21"/>
          <w:highlight w:val="none"/>
        </w:rPr>
        <w:t>江苏省设备成套股份有限公司：</w:t>
      </w:r>
    </w:p>
    <w:p>
      <w:pPr>
        <w:spacing w:line="360" w:lineRule="auto"/>
        <w:rPr>
          <w:rFonts w:ascii="宋体" w:hAnsi="宋体"/>
          <w:highlight w:val="none"/>
        </w:rPr>
      </w:pPr>
    </w:p>
    <w:p>
      <w:pPr>
        <w:spacing w:line="360" w:lineRule="auto"/>
        <w:ind w:firstLine="420" w:firstLineChars="200"/>
        <w:rPr>
          <w:rFonts w:ascii="宋体" w:hAnsi="宋体"/>
          <w:highlight w:val="none"/>
        </w:rPr>
      </w:pPr>
      <w:r>
        <w:rPr>
          <w:rFonts w:hint="eastAsia" w:ascii="宋体" w:hAnsi="宋体"/>
          <w:highlight w:val="none"/>
        </w:rPr>
        <w:t>我单位（供应商名称）郑重声明：</w:t>
      </w:r>
    </w:p>
    <w:p>
      <w:pPr>
        <w:spacing w:line="360" w:lineRule="auto"/>
        <w:ind w:firstLine="420" w:firstLineChars="200"/>
        <w:rPr>
          <w:rFonts w:ascii="宋体" w:hAnsi="宋体"/>
          <w:highlight w:val="none"/>
        </w:rPr>
      </w:pPr>
      <w:r>
        <w:rPr>
          <w:rFonts w:hint="eastAsia" w:ascii="宋体" w:hAnsi="宋体"/>
          <w:highlight w:val="none"/>
        </w:rPr>
        <w:t>参加政府采购活动前3年内在经营活动中（在下划线上如实填写：有或没有）重大违法记录。</w:t>
      </w:r>
    </w:p>
    <w:p>
      <w:pPr>
        <w:spacing w:line="360" w:lineRule="auto"/>
        <w:ind w:firstLine="315" w:firstLineChars="150"/>
        <w:rPr>
          <w:rFonts w:ascii="宋体" w:hAnsi="宋体"/>
          <w:highlight w:val="none"/>
        </w:rPr>
      </w:pPr>
      <w:r>
        <w:rPr>
          <w:rFonts w:hint="eastAsia" w:ascii="宋体" w:hAnsi="宋体"/>
          <w:highlight w:val="none"/>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highlight w:val="none"/>
        </w:rPr>
      </w:pPr>
    </w:p>
    <w:p>
      <w:pPr>
        <w:spacing w:line="360" w:lineRule="auto"/>
        <w:rPr>
          <w:rFonts w:ascii="宋体" w:hAnsi="宋体"/>
          <w:highlight w:val="none"/>
        </w:rPr>
      </w:pPr>
    </w:p>
    <w:p>
      <w:pPr>
        <w:spacing w:line="360" w:lineRule="auto"/>
        <w:ind w:firstLine="5103" w:firstLineChars="2430"/>
        <w:rPr>
          <w:rFonts w:ascii="宋体" w:hAnsi="宋体"/>
          <w:highlight w:val="none"/>
        </w:rPr>
      </w:pPr>
      <w:r>
        <w:rPr>
          <w:rFonts w:hint="eastAsia" w:ascii="宋体" w:hAnsi="宋体"/>
          <w:highlight w:val="none"/>
        </w:rPr>
        <w:t>声明人：（公章）</w:t>
      </w:r>
    </w:p>
    <w:p>
      <w:pPr>
        <w:autoSpaceDE w:val="0"/>
        <w:autoSpaceDN w:val="0"/>
        <w:adjustRightInd w:val="0"/>
        <w:spacing w:line="360" w:lineRule="auto"/>
        <w:ind w:firstLine="5040" w:firstLineChars="2400"/>
        <w:rPr>
          <w:rFonts w:ascii="宋体" w:hAnsi="宋体"/>
          <w:b/>
          <w:highlight w:val="none"/>
        </w:rPr>
      </w:pPr>
      <w:r>
        <w:rPr>
          <w:rFonts w:hint="eastAsia" w:ascii="宋体" w:hAnsi="宋体"/>
          <w:szCs w:val="21"/>
          <w:highlight w:val="none"/>
          <w:lang w:val="zh-CN"/>
        </w:rPr>
        <w:t>日期：年月</w:t>
      </w:r>
      <w:r>
        <w:rPr>
          <w:rFonts w:ascii="宋体"/>
          <w:b/>
          <w:szCs w:val="21"/>
          <w:highlight w:val="none"/>
          <w:lang w:val="zh-CN"/>
        </w:rPr>
        <w:br w:type="page"/>
      </w:r>
    </w:p>
    <w:p>
      <w:pPr>
        <w:widowControl/>
        <w:jc w:val="left"/>
        <w:rPr>
          <w:rFonts w:ascii="宋体" w:hAnsi="宋体"/>
          <w:b/>
          <w:highlight w:val="none"/>
        </w:rPr>
      </w:pPr>
    </w:p>
    <w:p>
      <w:pPr>
        <w:widowControl/>
        <w:jc w:val="left"/>
        <w:rPr>
          <w:rFonts w:ascii="宋体" w:hAnsi="宋体"/>
          <w:b/>
          <w:highlight w:val="none"/>
        </w:rPr>
      </w:pPr>
    </w:p>
    <w:p>
      <w:pPr>
        <w:autoSpaceDE w:val="0"/>
        <w:autoSpaceDN w:val="0"/>
        <w:adjustRightInd w:val="0"/>
        <w:spacing w:line="360" w:lineRule="auto"/>
        <w:rPr>
          <w:rFonts w:ascii="宋体" w:hAnsi="宋体"/>
          <w:b/>
          <w:highlight w:val="none"/>
        </w:rPr>
      </w:pPr>
      <w:r>
        <w:rPr>
          <w:rFonts w:hint="eastAsia" w:ascii="宋体" w:hAnsi="宋体"/>
          <w:b/>
          <w:highlight w:val="none"/>
        </w:rPr>
        <w:t>附件十二、 资格资信证明文件</w:t>
      </w: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r>
        <w:rPr>
          <w:rFonts w:hint="eastAsia" w:ascii="宋体" w:hAnsi="宋体"/>
          <w:b/>
          <w:highlight w:val="none"/>
        </w:rPr>
        <w:t>附件十三、联合体协议及联合体授权委托书（如允许联合体）</w:t>
      </w: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p>
    <w:p>
      <w:pPr>
        <w:autoSpaceDE w:val="0"/>
        <w:autoSpaceDN w:val="0"/>
        <w:adjustRightInd w:val="0"/>
        <w:spacing w:line="360" w:lineRule="auto"/>
        <w:rPr>
          <w:rFonts w:ascii="宋体" w:hAnsi="宋体"/>
          <w:b/>
          <w:highlight w:val="none"/>
        </w:rPr>
      </w:pPr>
      <w:r>
        <w:rPr>
          <w:rFonts w:hint="eastAsia" w:ascii="宋体" w:hAnsi="宋体"/>
          <w:b/>
          <w:highlight w:val="none"/>
        </w:rPr>
        <w:t>附件十四、</w:t>
      </w:r>
      <w:r>
        <w:rPr>
          <w:rFonts w:hint="eastAsia"/>
          <w:b/>
          <w:highlight w:val="none"/>
        </w:rPr>
        <w:t>《南京市政府采购供应商信用记录表》（网站在线打印）</w:t>
      </w:r>
    </w:p>
    <w:p>
      <w:pPr>
        <w:widowControl/>
        <w:spacing w:line="440" w:lineRule="exact"/>
        <w:rPr>
          <w:rFonts w:ascii="宋体" w:hAnsi="宋体"/>
          <w:b/>
          <w:highlight w:val="none"/>
        </w:rPr>
      </w:pPr>
    </w:p>
    <w:p>
      <w:pPr>
        <w:widowControl/>
        <w:spacing w:line="440" w:lineRule="exact"/>
        <w:rPr>
          <w:rFonts w:ascii="宋体" w:hAnsi="宋体"/>
          <w:b/>
          <w:highlight w:val="none"/>
        </w:rPr>
      </w:pPr>
    </w:p>
    <w:p>
      <w:pPr>
        <w:widowControl/>
        <w:spacing w:line="440" w:lineRule="exact"/>
        <w:rPr>
          <w:rFonts w:ascii="宋体" w:hAnsi="宋体"/>
          <w:b/>
          <w:highlight w:val="none"/>
        </w:rPr>
      </w:pPr>
    </w:p>
    <w:p>
      <w:pPr>
        <w:widowControl/>
        <w:spacing w:line="440" w:lineRule="exact"/>
        <w:rPr>
          <w:rFonts w:ascii="宋体" w:hAnsi="宋体"/>
          <w:b/>
          <w:highlight w:val="none"/>
        </w:rPr>
      </w:pPr>
    </w:p>
    <w:p>
      <w:pPr>
        <w:widowControl/>
        <w:spacing w:line="440" w:lineRule="exact"/>
        <w:rPr>
          <w:rFonts w:ascii="宋体" w:hAnsi="宋体" w:cs="宋体"/>
          <w:snapToGrid w:val="0"/>
          <w:kern w:val="0"/>
          <w:szCs w:val="21"/>
          <w:highlight w:val="none"/>
        </w:rPr>
      </w:pPr>
      <w:r>
        <w:rPr>
          <w:rFonts w:hint="eastAsia" w:ascii="宋体" w:hAnsi="宋体"/>
          <w:b/>
          <w:highlight w:val="none"/>
        </w:rPr>
        <w:t>附件十五、其他</w:t>
      </w:r>
    </w:p>
    <w:p>
      <w:pPr>
        <w:pStyle w:val="55"/>
        <w:spacing w:line="360" w:lineRule="auto"/>
        <w:rPr>
          <w:rFonts w:ascii="宋体" w:hAnsi="宋体" w:cs="宋体"/>
          <w:szCs w:val="21"/>
          <w:highlight w:val="none"/>
        </w:rPr>
      </w:pPr>
    </w:p>
    <w:sectPr>
      <w:headerReference r:id="rId3" w:type="default"/>
      <w:footerReference r:id="rId4" w:type="default"/>
      <w:pgSz w:w="11906" w:h="16838"/>
      <w:pgMar w:top="1440" w:right="1800" w:bottom="1440" w:left="16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KNL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PAGE  \* MERGEFORMAT </w:instrText>
    </w:r>
    <w:r>
      <w:fldChar w:fldCharType="separate"/>
    </w:r>
    <w:r>
      <w:t>36</w:t>
    </w:r>
    <w:r>
      <w:fldChar w:fldCharType="end"/>
    </w:r>
    <w:r>
      <w:rPr>
        <w:rFonts w:hint="eastAsia"/>
      </w:rPr>
      <w:t>页共</w:t>
    </w:r>
    <w:r>
      <w:fldChar w:fldCharType="begin"/>
    </w:r>
    <w:r>
      <w:instrText xml:space="preserve"> NUMPAGES  \* MERGEFORMAT </w:instrText>
    </w:r>
    <w:r>
      <w:fldChar w:fldCharType="separate"/>
    </w:r>
    <w:r>
      <w:t>58</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D5063"/>
    <w:multiLevelType w:val="singleLevel"/>
    <w:tmpl w:val="936D5063"/>
    <w:lvl w:ilvl="0" w:tentative="0">
      <w:start w:val="3"/>
      <w:numFmt w:val="chineseCounting"/>
      <w:suff w:val="nothing"/>
      <w:lvlText w:val="%1、"/>
      <w:lvlJc w:val="left"/>
      <w:pPr>
        <w:ind w:left="0" w:firstLine="397"/>
      </w:pPr>
      <w:rPr>
        <w:rFonts w:hint="eastAsia"/>
      </w:rPr>
    </w:lvl>
  </w:abstractNum>
  <w:abstractNum w:abstractNumId="1">
    <w:nsid w:val="A8C3961D"/>
    <w:multiLevelType w:val="multilevel"/>
    <w:tmpl w:val="A8C3961D"/>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C2CD11FC"/>
    <w:multiLevelType w:val="singleLevel"/>
    <w:tmpl w:val="C2CD11FC"/>
    <w:lvl w:ilvl="0" w:tentative="0">
      <w:start w:val="6"/>
      <w:numFmt w:val="chineseCounting"/>
      <w:suff w:val="nothing"/>
      <w:lvlText w:val="%1、"/>
      <w:lvlJc w:val="left"/>
      <w:pPr>
        <w:ind w:left="0" w:firstLine="397"/>
      </w:pPr>
      <w:rPr>
        <w:rFonts w:hint="eastAsia"/>
      </w:rPr>
    </w:lvl>
  </w:abstractNum>
  <w:abstractNum w:abstractNumId="3">
    <w:nsid w:val="CD8FB73A"/>
    <w:multiLevelType w:val="singleLevel"/>
    <w:tmpl w:val="CD8FB73A"/>
    <w:lvl w:ilvl="0" w:tentative="0">
      <w:start w:val="3"/>
      <w:numFmt w:val="chineseCounting"/>
      <w:suff w:val="space"/>
      <w:lvlText w:val="第%1条"/>
      <w:lvlJc w:val="left"/>
      <w:rPr>
        <w:rFonts w:hint="eastAsia"/>
      </w:rPr>
    </w:lvl>
  </w:abstractNum>
  <w:abstractNum w:abstractNumId="4">
    <w:nsid w:val="D06AAA36"/>
    <w:multiLevelType w:val="singleLevel"/>
    <w:tmpl w:val="D06AAA36"/>
    <w:lvl w:ilvl="0" w:tentative="0">
      <w:start w:val="8"/>
      <w:numFmt w:val="chineseCounting"/>
      <w:suff w:val="nothing"/>
      <w:lvlText w:val="%1、"/>
      <w:lvlJc w:val="left"/>
      <w:pPr>
        <w:ind w:left="0" w:firstLine="420"/>
      </w:pPr>
      <w:rPr>
        <w:rFonts w:hint="eastAsia"/>
      </w:rPr>
    </w:lvl>
  </w:abstractNum>
  <w:abstractNum w:abstractNumId="5">
    <w:nsid w:val="D75F2A7E"/>
    <w:multiLevelType w:val="singleLevel"/>
    <w:tmpl w:val="D75F2A7E"/>
    <w:lvl w:ilvl="0" w:tentative="0">
      <w:start w:val="1"/>
      <w:numFmt w:val="decimal"/>
      <w:suff w:val="nothing"/>
      <w:lvlText w:val="%1、"/>
      <w:lvlJc w:val="left"/>
    </w:lvl>
  </w:abstractNum>
  <w:abstractNum w:abstractNumId="6">
    <w:nsid w:val="E6CBD5E4"/>
    <w:multiLevelType w:val="singleLevel"/>
    <w:tmpl w:val="E6CBD5E4"/>
    <w:lvl w:ilvl="0" w:tentative="0">
      <w:start w:val="1"/>
      <w:numFmt w:val="chineseCounting"/>
      <w:suff w:val="nothing"/>
      <w:lvlText w:val="%1、"/>
      <w:lvlJc w:val="left"/>
      <w:pPr>
        <w:ind w:left="0" w:firstLine="420"/>
      </w:pPr>
      <w:rPr>
        <w:rFonts w:hint="eastAsia"/>
      </w:rPr>
    </w:lvl>
  </w:abstractNum>
  <w:abstractNum w:abstractNumId="7">
    <w:nsid w:val="E6CE544B"/>
    <w:multiLevelType w:val="singleLevel"/>
    <w:tmpl w:val="E6CE544B"/>
    <w:lvl w:ilvl="0" w:tentative="0">
      <w:start w:val="1"/>
      <w:numFmt w:val="chineseCounting"/>
      <w:suff w:val="nothing"/>
      <w:lvlText w:val="（%1）"/>
      <w:lvlJc w:val="left"/>
      <w:pPr>
        <w:ind w:left="0" w:firstLine="420"/>
      </w:pPr>
      <w:rPr>
        <w:rFonts w:hint="eastAsia"/>
      </w:rPr>
    </w:lvl>
  </w:abstractNum>
  <w:abstractNum w:abstractNumId="8">
    <w:nsid w:val="00000006"/>
    <w:multiLevelType w:val="multilevel"/>
    <w:tmpl w:val="00000006"/>
    <w:lvl w:ilvl="0" w:tentative="0">
      <w:start w:val="1"/>
      <w:numFmt w:val="chineseCountingThousand"/>
      <w:pStyle w:val="3"/>
      <w:suff w:val="nothing"/>
      <w:lvlText w:val="第%1章"/>
      <w:lvlJc w:val="left"/>
      <w:pPr>
        <w:ind w:left="6522" w:firstLine="0"/>
      </w:pPr>
    </w:lvl>
    <w:lvl w:ilvl="1" w:tentative="0">
      <w:start w:val="1"/>
      <w:numFmt w:val="none"/>
      <w:pStyle w:val="4"/>
      <w:suff w:val="nothing"/>
      <w:lvlText w:val=""/>
      <w:lvlJc w:val="left"/>
      <w:pPr>
        <w:ind w:left="6522" w:firstLine="0"/>
      </w:pPr>
    </w:lvl>
    <w:lvl w:ilvl="2" w:tentative="0">
      <w:start w:val="1"/>
      <w:numFmt w:val="none"/>
      <w:pStyle w:val="5"/>
      <w:suff w:val="nothing"/>
      <w:lvlText w:val=""/>
      <w:lvlJc w:val="left"/>
      <w:pPr>
        <w:ind w:left="6522" w:firstLine="0"/>
      </w:pPr>
    </w:lvl>
    <w:lvl w:ilvl="3" w:tentative="0">
      <w:start w:val="1"/>
      <w:numFmt w:val="none"/>
      <w:pStyle w:val="6"/>
      <w:suff w:val="nothing"/>
      <w:lvlText w:val=""/>
      <w:lvlJc w:val="left"/>
      <w:pPr>
        <w:ind w:left="6522" w:firstLine="0"/>
      </w:pPr>
    </w:lvl>
    <w:lvl w:ilvl="4" w:tentative="0">
      <w:start w:val="1"/>
      <w:numFmt w:val="none"/>
      <w:pStyle w:val="7"/>
      <w:suff w:val="nothing"/>
      <w:lvlText w:val=""/>
      <w:lvlJc w:val="left"/>
      <w:pPr>
        <w:ind w:left="6522" w:firstLine="0"/>
      </w:pPr>
    </w:lvl>
    <w:lvl w:ilvl="5" w:tentative="0">
      <w:start w:val="1"/>
      <w:numFmt w:val="none"/>
      <w:pStyle w:val="8"/>
      <w:suff w:val="nothing"/>
      <w:lvlText w:val=""/>
      <w:lvlJc w:val="left"/>
      <w:pPr>
        <w:ind w:left="6522" w:firstLine="0"/>
      </w:pPr>
    </w:lvl>
    <w:lvl w:ilvl="6" w:tentative="0">
      <w:start w:val="1"/>
      <w:numFmt w:val="none"/>
      <w:pStyle w:val="9"/>
      <w:suff w:val="nothing"/>
      <w:lvlText w:val=""/>
      <w:lvlJc w:val="left"/>
      <w:pPr>
        <w:ind w:left="6522" w:firstLine="0"/>
      </w:pPr>
    </w:lvl>
    <w:lvl w:ilvl="7" w:tentative="0">
      <w:start w:val="1"/>
      <w:numFmt w:val="none"/>
      <w:pStyle w:val="10"/>
      <w:suff w:val="nothing"/>
      <w:lvlText w:val=""/>
      <w:lvlJc w:val="left"/>
      <w:pPr>
        <w:ind w:left="6522" w:firstLine="0"/>
      </w:pPr>
    </w:lvl>
    <w:lvl w:ilvl="8" w:tentative="0">
      <w:start w:val="1"/>
      <w:numFmt w:val="none"/>
      <w:pStyle w:val="11"/>
      <w:suff w:val="nothing"/>
      <w:lvlText w:val=""/>
      <w:lvlJc w:val="left"/>
      <w:pPr>
        <w:ind w:left="6522" w:firstLine="0"/>
      </w:pPr>
    </w:lvl>
  </w:abstractNum>
  <w:abstractNum w:abstractNumId="9">
    <w:nsid w:val="01E03F4E"/>
    <w:multiLevelType w:val="singleLevel"/>
    <w:tmpl w:val="01E03F4E"/>
    <w:lvl w:ilvl="0" w:tentative="0">
      <w:start w:val="7"/>
      <w:numFmt w:val="chineseCounting"/>
      <w:suff w:val="nothing"/>
      <w:lvlText w:val="%1、"/>
      <w:lvlJc w:val="left"/>
      <w:pPr>
        <w:ind w:left="0" w:firstLine="397"/>
      </w:pPr>
      <w:rPr>
        <w:rFonts w:hint="eastAsia"/>
      </w:rPr>
    </w:lvl>
  </w:abstractNum>
  <w:abstractNum w:abstractNumId="10">
    <w:nsid w:val="04183FF0"/>
    <w:multiLevelType w:val="singleLevel"/>
    <w:tmpl w:val="04183FF0"/>
    <w:lvl w:ilvl="0" w:tentative="0">
      <w:start w:val="2"/>
      <w:numFmt w:val="chineseCounting"/>
      <w:suff w:val="nothing"/>
      <w:lvlText w:val="（%1）"/>
      <w:lvlJc w:val="left"/>
      <w:pPr>
        <w:ind w:left="0" w:firstLine="420"/>
      </w:pPr>
      <w:rPr>
        <w:rFonts w:hint="eastAsia"/>
      </w:rPr>
    </w:lvl>
  </w:abstractNum>
  <w:abstractNum w:abstractNumId="11">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12">
    <w:nsid w:val="0B1024B7"/>
    <w:multiLevelType w:val="multilevel"/>
    <w:tmpl w:val="0B1024B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30A2188"/>
    <w:multiLevelType w:val="multilevel"/>
    <w:tmpl w:val="130A2188"/>
    <w:lvl w:ilvl="0" w:tentative="0">
      <w:start w:val="1"/>
      <w:numFmt w:val="chineseCountingThousand"/>
      <w:pStyle w:val="145"/>
      <w:lvlText w:val="%1"/>
      <w:lvlJc w:val="left"/>
      <w:pPr>
        <w:ind w:left="425" w:hanging="425"/>
      </w:pPr>
      <w:rPr>
        <w:rFonts w:hint="eastAsia" w:ascii="Arial Unicode MS" w:hAnsi="Arial Unicode MS" w:eastAsia="微软雅黑"/>
        <w:b/>
        <w:i w:val="0"/>
        <w:lang w:val="en-US"/>
      </w:rPr>
    </w:lvl>
    <w:lvl w:ilvl="1" w:tentative="0">
      <w:start w:val="1"/>
      <w:numFmt w:val="decimal"/>
      <w:pStyle w:val="165"/>
      <w:isLgl/>
      <w:lvlText w:val="%1.%2"/>
      <w:lvlJc w:val="left"/>
      <w:pPr>
        <w:ind w:left="425" w:hanging="425"/>
      </w:pPr>
      <w:rPr>
        <w:rFonts w:hint="eastAsia" w:ascii="Arial Unicode MS" w:hAnsi="Arial Unicode MS" w:eastAsia="微软雅黑"/>
        <w:b/>
        <w:i w:val="0"/>
      </w:rPr>
    </w:lvl>
    <w:lvl w:ilvl="2" w:tentative="0">
      <w:start w:val="1"/>
      <w:numFmt w:val="decimal"/>
      <w:pStyle w:val="179"/>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4">
    <w:nsid w:val="238C7729"/>
    <w:multiLevelType w:val="singleLevel"/>
    <w:tmpl w:val="238C7729"/>
    <w:lvl w:ilvl="0" w:tentative="0">
      <w:start w:val="1"/>
      <w:numFmt w:val="bullet"/>
      <w:pStyle w:val="197"/>
      <w:lvlText w:val=""/>
      <w:lvlJc w:val="left"/>
      <w:pPr>
        <w:tabs>
          <w:tab w:val="left" w:pos="360"/>
        </w:tabs>
        <w:ind w:left="360" w:hanging="360"/>
      </w:pPr>
      <w:rPr>
        <w:rFonts w:hint="default" w:ascii="Symbol" w:hAnsi="Symbol"/>
      </w:rPr>
    </w:lvl>
  </w:abstractNum>
  <w:abstractNum w:abstractNumId="15">
    <w:nsid w:val="2786DF9A"/>
    <w:multiLevelType w:val="singleLevel"/>
    <w:tmpl w:val="2786DF9A"/>
    <w:lvl w:ilvl="0" w:tentative="0">
      <w:start w:val="1"/>
      <w:numFmt w:val="decimal"/>
      <w:lvlText w:val="%1."/>
      <w:lvlJc w:val="left"/>
      <w:pPr>
        <w:ind w:left="425" w:hanging="425"/>
      </w:pPr>
      <w:rPr>
        <w:rFonts w:hint="default"/>
      </w:rPr>
    </w:lvl>
  </w:abstractNum>
  <w:abstractNum w:abstractNumId="16">
    <w:nsid w:val="46FD2168"/>
    <w:multiLevelType w:val="multilevel"/>
    <w:tmpl w:val="46FD2168"/>
    <w:lvl w:ilvl="0" w:tentative="0">
      <w:start w:val="1"/>
      <w:numFmt w:val="bullet"/>
      <w:pStyle w:val="196"/>
      <w:lvlText w:val=""/>
      <w:lvlJc w:val="left"/>
      <w:pPr>
        <w:tabs>
          <w:tab w:val="left" w:pos="1353"/>
        </w:tabs>
        <w:ind w:left="1353" w:hanging="36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7">
    <w:nsid w:val="5915610C"/>
    <w:multiLevelType w:val="singleLevel"/>
    <w:tmpl w:val="5915610C"/>
    <w:lvl w:ilvl="0" w:tentative="0">
      <w:start w:val="1"/>
      <w:numFmt w:val="decimal"/>
      <w:suff w:val="nothing"/>
      <w:lvlText w:val="%1、"/>
      <w:lvlJc w:val="left"/>
    </w:lvl>
  </w:abstractNum>
  <w:abstractNum w:abstractNumId="18">
    <w:nsid w:val="70EF2BB4"/>
    <w:multiLevelType w:val="singleLevel"/>
    <w:tmpl w:val="70EF2BB4"/>
    <w:lvl w:ilvl="0" w:tentative="0">
      <w:start w:val="4"/>
      <w:numFmt w:val="chineseCounting"/>
      <w:suff w:val="nothing"/>
      <w:lvlText w:val="%1、"/>
      <w:lvlJc w:val="left"/>
      <w:pPr>
        <w:ind w:left="0" w:firstLine="397"/>
      </w:pPr>
      <w:rPr>
        <w:rFonts w:hint="eastAsia"/>
      </w:rPr>
    </w:lvl>
  </w:abstractNum>
  <w:abstractNum w:abstractNumId="19">
    <w:nsid w:val="7B8935F4"/>
    <w:multiLevelType w:val="singleLevel"/>
    <w:tmpl w:val="7B8935F4"/>
    <w:lvl w:ilvl="0" w:tentative="0">
      <w:start w:val="5"/>
      <w:numFmt w:val="chineseCounting"/>
      <w:suff w:val="nothing"/>
      <w:lvlText w:val="%1、"/>
      <w:lvlJc w:val="left"/>
      <w:pPr>
        <w:ind w:left="0" w:firstLine="397"/>
      </w:pPr>
      <w:rPr>
        <w:rFonts w:hint="eastAsia"/>
      </w:rPr>
    </w:lvl>
  </w:abstractNum>
  <w:num w:numId="1">
    <w:abstractNumId w:val="8"/>
  </w:num>
  <w:num w:numId="2">
    <w:abstractNumId w:val="13"/>
  </w:num>
  <w:num w:numId="3">
    <w:abstractNumId w:val="16"/>
  </w:num>
  <w:num w:numId="4">
    <w:abstractNumId w:val="14"/>
  </w:num>
  <w:num w:numId="5">
    <w:abstractNumId w:val="11"/>
  </w:num>
  <w:num w:numId="6">
    <w:abstractNumId w:val="6"/>
  </w:num>
  <w:num w:numId="7">
    <w:abstractNumId w:val="7"/>
  </w:num>
  <w:num w:numId="8">
    <w:abstractNumId w:val="1"/>
  </w:num>
  <w:num w:numId="9">
    <w:abstractNumId w:val="12"/>
  </w:num>
  <w:num w:numId="10">
    <w:abstractNumId w:val="10"/>
  </w:num>
  <w:num w:numId="11">
    <w:abstractNumId w:val="15"/>
  </w:num>
  <w:num w:numId="12">
    <w:abstractNumId w:val="0"/>
  </w:num>
  <w:num w:numId="13">
    <w:abstractNumId w:val="18"/>
  </w:num>
  <w:num w:numId="14">
    <w:abstractNumId w:val="19"/>
  </w:num>
  <w:num w:numId="15">
    <w:abstractNumId w:val="2"/>
  </w:num>
  <w:num w:numId="16">
    <w:abstractNumId w:val="9"/>
  </w:num>
  <w:num w:numId="17">
    <w:abstractNumId w:val="4"/>
  </w:num>
  <w:num w:numId="18">
    <w:abstractNumId w:val="3"/>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52"/>
    <w:rsid w:val="000033BC"/>
    <w:rsid w:val="00003E09"/>
    <w:rsid w:val="000049A0"/>
    <w:rsid w:val="00004ADD"/>
    <w:rsid w:val="00011B06"/>
    <w:rsid w:val="00016168"/>
    <w:rsid w:val="000207B3"/>
    <w:rsid w:val="00020F19"/>
    <w:rsid w:val="00023D1D"/>
    <w:rsid w:val="000240F2"/>
    <w:rsid w:val="00026D12"/>
    <w:rsid w:val="00031EC9"/>
    <w:rsid w:val="00032B4A"/>
    <w:rsid w:val="00032EB2"/>
    <w:rsid w:val="00033F13"/>
    <w:rsid w:val="00034ECB"/>
    <w:rsid w:val="00035A5A"/>
    <w:rsid w:val="00037558"/>
    <w:rsid w:val="0004062C"/>
    <w:rsid w:val="000427E1"/>
    <w:rsid w:val="00042948"/>
    <w:rsid w:val="00043A61"/>
    <w:rsid w:val="00044757"/>
    <w:rsid w:val="00044B96"/>
    <w:rsid w:val="00044FB9"/>
    <w:rsid w:val="000458DD"/>
    <w:rsid w:val="0004645E"/>
    <w:rsid w:val="000473B7"/>
    <w:rsid w:val="00047F5E"/>
    <w:rsid w:val="00051ABD"/>
    <w:rsid w:val="00051BCC"/>
    <w:rsid w:val="00051EB2"/>
    <w:rsid w:val="000527C8"/>
    <w:rsid w:val="00054F7D"/>
    <w:rsid w:val="00056872"/>
    <w:rsid w:val="00056E6B"/>
    <w:rsid w:val="000620A0"/>
    <w:rsid w:val="00062472"/>
    <w:rsid w:val="000640E2"/>
    <w:rsid w:val="0006476D"/>
    <w:rsid w:val="00067179"/>
    <w:rsid w:val="00067D84"/>
    <w:rsid w:val="0008061E"/>
    <w:rsid w:val="00081250"/>
    <w:rsid w:val="000851FF"/>
    <w:rsid w:val="0008631F"/>
    <w:rsid w:val="00086A52"/>
    <w:rsid w:val="000963C4"/>
    <w:rsid w:val="00096BB7"/>
    <w:rsid w:val="00097207"/>
    <w:rsid w:val="00097293"/>
    <w:rsid w:val="000978F6"/>
    <w:rsid w:val="00097C5F"/>
    <w:rsid w:val="000A1E4F"/>
    <w:rsid w:val="000A4099"/>
    <w:rsid w:val="000A45A0"/>
    <w:rsid w:val="000A573E"/>
    <w:rsid w:val="000A7DA8"/>
    <w:rsid w:val="000A7F77"/>
    <w:rsid w:val="000B086C"/>
    <w:rsid w:val="000B21A6"/>
    <w:rsid w:val="000B4AC4"/>
    <w:rsid w:val="000C1577"/>
    <w:rsid w:val="000C3C47"/>
    <w:rsid w:val="000D18A2"/>
    <w:rsid w:val="000D4CDD"/>
    <w:rsid w:val="000E0ABD"/>
    <w:rsid w:val="000E5792"/>
    <w:rsid w:val="000E595A"/>
    <w:rsid w:val="000E70D0"/>
    <w:rsid w:val="000E776D"/>
    <w:rsid w:val="000E7AEC"/>
    <w:rsid w:val="000F11E0"/>
    <w:rsid w:val="000F1B01"/>
    <w:rsid w:val="000F64B8"/>
    <w:rsid w:val="00100C2D"/>
    <w:rsid w:val="00103857"/>
    <w:rsid w:val="00104C51"/>
    <w:rsid w:val="00106DF5"/>
    <w:rsid w:val="00107AD2"/>
    <w:rsid w:val="001152DD"/>
    <w:rsid w:val="00115C20"/>
    <w:rsid w:val="00116AB7"/>
    <w:rsid w:val="00120844"/>
    <w:rsid w:val="00121249"/>
    <w:rsid w:val="00123A13"/>
    <w:rsid w:val="00124DDA"/>
    <w:rsid w:val="0013061E"/>
    <w:rsid w:val="00130C01"/>
    <w:rsid w:val="001315EC"/>
    <w:rsid w:val="00131F8B"/>
    <w:rsid w:val="00132750"/>
    <w:rsid w:val="00132D0F"/>
    <w:rsid w:val="00133C84"/>
    <w:rsid w:val="0013431C"/>
    <w:rsid w:val="0014045A"/>
    <w:rsid w:val="0014108C"/>
    <w:rsid w:val="00142258"/>
    <w:rsid w:val="001454FC"/>
    <w:rsid w:val="00145CD4"/>
    <w:rsid w:val="00150807"/>
    <w:rsid w:val="00153691"/>
    <w:rsid w:val="00156B27"/>
    <w:rsid w:val="00156C22"/>
    <w:rsid w:val="001620DA"/>
    <w:rsid w:val="00163D70"/>
    <w:rsid w:val="00165899"/>
    <w:rsid w:val="001709AF"/>
    <w:rsid w:val="00172A27"/>
    <w:rsid w:val="00172BB0"/>
    <w:rsid w:val="00173299"/>
    <w:rsid w:val="00176ACB"/>
    <w:rsid w:val="00180512"/>
    <w:rsid w:val="00181A0B"/>
    <w:rsid w:val="00181B7E"/>
    <w:rsid w:val="00184409"/>
    <w:rsid w:val="00190367"/>
    <w:rsid w:val="00190B4C"/>
    <w:rsid w:val="00193455"/>
    <w:rsid w:val="00195412"/>
    <w:rsid w:val="00197E0F"/>
    <w:rsid w:val="001A38B9"/>
    <w:rsid w:val="001A7DAF"/>
    <w:rsid w:val="001B0329"/>
    <w:rsid w:val="001B1924"/>
    <w:rsid w:val="001B4A81"/>
    <w:rsid w:val="001B623E"/>
    <w:rsid w:val="001B77CB"/>
    <w:rsid w:val="001C226C"/>
    <w:rsid w:val="001C29EE"/>
    <w:rsid w:val="001C34CC"/>
    <w:rsid w:val="001C6D1C"/>
    <w:rsid w:val="001C711F"/>
    <w:rsid w:val="001C7BC4"/>
    <w:rsid w:val="001D0204"/>
    <w:rsid w:val="001D3678"/>
    <w:rsid w:val="001D4C43"/>
    <w:rsid w:val="001D56B2"/>
    <w:rsid w:val="001D7717"/>
    <w:rsid w:val="001E4267"/>
    <w:rsid w:val="001E4541"/>
    <w:rsid w:val="001E566C"/>
    <w:rsid w:val="001E6506"/>
    <w:rsid w:val="001F2EB7"/>
    <w:rsid w:val="001F3EF6"/>
    <w:rsid w:val="00201CD1"/>
    <w:rsid w:val="00201D97"/>
    <w:rsid w:val="00202386"/>
    <w:rsid w:val="002035A8"/>
    <w:rsid w:val="0020606D"/>
    <w:rsid w:val="00206E55"/>
    <w:rsid w:val="00207739"/>
    <w:rsid w:val="002079EB"/>
    <w:rsid w:val="00210C2B"/>
    <w:rsid w:val="00213F8B"/>
    <w:rsid w:val="002156F4"/>
    <w:rsid w:val="00215B16"/>
    <w:rsid w:val="0021753F"/>
    <w:rsid w:val="002179DE"/>
    <w:rsid w:val="002215ED"/>
    <w:rsid w:val="00226A2F"/>
    <w:rsid w:val="00235A36"/>
    <w:rsid w:val="002368B0"/>
    <w:rsid w:val="0023761F"/>
    <w:rsid w:val="00241C7D"/>
    <w:rsid w:val="00243426"/>
    <w:rsid w:val="00250EDD"/>
    <w:rsid w:val="002514B3"/>
    <w:rsid w:val="00253197"/>
    <w:rsid w:val="002570EE"/>
    <w:rsid w:val="002604F0"/>
    <w:rsid w:val="00263349"/>
    <w:rsid w:val="0026443F"/>
    <w:rsid w:val="002708AF"/>
    <w:rsid w:val="002740C3"/>
    <w:rsid w:val="002767AA"/>
    <w:rsid w:val="0027735C"/>
    <w:rsid w:val="0027753E"/>
    <w:rsid w:val="002810AC"/>
    <w:rsid w:val="002812CC"/>
    <w:rsid w:val="002867C5"/>
    <w:rsid w:val="00290715"/>
    <w:rsid w:val="00293EC3"/>
    <w:rsid w:val="00295A7F"/>
    <w:rsid w:val="002A3AF4"/>
    <w:rsid w:val="002A74F1"/>
    <w:rsid w:val="002A7B32"/>
    <w:rsid w:val="002B1546"/>
    <w:rsid w:val="002B2BE3"/>
    <w:rsid w:val="002B561D"/>
    <w:rsid w:val="002B7B7D"/>
    <w:rsid w:val="002C084A"/>
    <w:rsid w:val="002C1BFC"/>
    <w:rsid w:val="002C4A64"/>
    <w:rsid w:val="002C6711"/>
    <w:rsid w:val="002D0493"/>
    <w:rsid w:val="002D2894"/>
    <w:rsid w:val="002D696C"/>
    <w:rsid w:val="002E0562"/>
    <w:rsid w:val="002E0FD5"/>
    <w:rsid w:val="002E20E8"/>
    <w:rsid w:val="002E2481"/>
    <w:rsid w:val="002E35B5"/>
    <w:rsid w:val="002E3BC8"/>
    <w:rsid w:val="002E67FB"/>
    <w:rsid w:val="002E6D7C"/>
    <w:rsid w:val="002F1211"/>
    <w:rsid w:val="002F4398"/>
    <w:rsid w:val="002F4462"/>
    <w:rsid w:val="002F5066"/>
    <w:rsid w:val="002F5CB7"/>
    <w:rsid w:val="002F5D82"/>
    <w:rsid w:val="002F6084"/>
    <w:rsid w:val="0030167A"/>
    <w:rsid w:val="00304E56"/>
    <w:rsid w:val="00307C4D"/>
    <w:rsid w:val="003120B1"/>
    <w:rsid w:val="003129FD"/>
    <w:rsid w:val="00312B26"/>
    <w:rsid w:val="00313484"/>
    <w:rsid w:val="00313AEF"/>
    <w:rsid w:val="00313BF3"/>
    <w:rsid w:val="003141CA"/>
    <w:rsid w:val="003154A3"/>
    <w:rsid w:val="003203E5"/>
    <w:rsid w:val="003246D4"/>
    <w:rsid w:val="00325061"/>
    <w:rsid w:val="00326C8C"/>
    <w:rsid w:val="00327533"/>
    <w:rsid w:val="003309C5"/>
    <w:rsid w:val="00332FF2"/>
    <w:rsid w:val="00334124"/>
    <w:rsid w:val="00337822"/>
    <w:rsid w:val="003406EB"/>
    <w:rsid w:val="00340850"/>
    <w:rsid w:val="0034418A"/>
    <w:rsid w:val="00345DB5"/>
    <w:rsid w:val="00346196"/>
    <w:rsid w:val="00346E30"/>
    <w:rsid w:val="0034735E"/>
    <w:rsid w:val="00350624"/>
    <w:rsid w:val="00351AFA"/>
    <w:rsid w:val="003527FB"/>
    <w:rsid w:val="00352E13"/>
    <w:rsid w:val="00357CF7"/>
    <w:rsid w:val="003600F4"/>
    <w:rsid w:val="00364A49"/>
    <w:rsid w:val="003651BD"/>
    <w:rsid w:val="00367044"/>
    <w:rsid w:val="00367B81"/>
    <w:rsid w:val="00372366"/>
    <w:rsid w:val="00372537"/>
    <w:rsid w:val="00374628"/>
    <w:rsid w:val="0037606D"/>
    <w:rsid w:val="003767C0"/>
    <w:rsid w:val="00381242"/>
    <w:rsid w:val="00382089"/>
    <w:rsid w:val="0038766E"/>
    <w:rsid w:val="00391E0A"/>
    <w:rsid w:val="0039328E"/>
    <w:rsid w:val="00393EC0"/>
    <w:rsid w:val="00394B32"/>
    <w:rsid w:val="003969C7"/>
    <w:rsid w:val="003A12C6"/>
    <w:rsid w:val="003A1936"/>
    <w:rsid w:val="003A2501"/>
    <w:rsid w:val="003A3E1F"/>
    <w:rsid w:val="003A565F"/>
    <w:rsid w:val="003B1470"/>
    <w:rsid w:val="003B57AF"/>
    <w:rsid w:val="003B6BFB"/>
    <w:rsid w:val="003B6DB0"/>
    <w:rsid w:val="003C5B1B"/>
    <w:rsid w:val="003D11A8"/>
    <w:rsid w:val="003E1379"/>
    <w:rsid w:val="003E18B4"/>
    <w:rsid w:val="003E3D3E"/>
    <w:rsid w:val="003E4661"/>
    <w:rsid w:val="003E582E"/>
    <w:rsid w:val="003F0DCB"/>
    <w:rsid w:val="003F22CE"/>
    <w:rsid w:val="003F2F8E"/>
    <w:rsid w:val="003F2FB9"/>
    <w:rsid w:val="003F374E"/>
    <w:rsid w:val="003F49F0"/>
    <w:rsid w:val="003F57A5"/>
    <w:rsid w:val="00400EF4"/>
    <w:rsid w:val="00401193"/>
    <w:rsid w:val="00401780"/>
    <w:rsid w:val="00401C70"/>
    <w:rsid w:val="00403E2E"/>
    <w:rsid w:val="0040420E"/>
    <w:rsid w:val="004044A0"/>
    <w:rsid w:val="004112F7"/>
    <w:rsid w:val="004119C7"/>
    <w:rsid w:val="00413B7E"/>
    <w:rsid w:val="00413DA2"/>
    <w:rsid w:val="004156B0"/>
    <w:rsid w:val="004157AF"/>
    <w:rsid w:val="00420A4C"/>
    <w:rsid w:val="004302AA"/>
    <w:rsid w:val="00434F67"/>
    <w:rsid w:val="00435AEC"/>
    <w:rsid w:val="004361EB"/>
    <w:rsid w:val="00440CD0"/>
    <w:rsid w:val="0044226E"/>
    <w:rsid w:val="00443704"/>
    <w:rsid w:val="004506CC"/>
    <w:rsid w:val="0045464A"/>
    <w:rsid w:val="0045557D"/>
    <w:rsid w:val="00455F44"/>
    <w:rsid w:val="00457186"/>
    <w:rsid w:val="004577D9"/>
    <w:rsid w:val="0046330A"/>
    <w:rsid w:val="00463ACA"/>
    <w:rsid w:val="00463CB4"/>
    <w:rsid w:val="004642FE"/>
    <w:rsid w:val="00470C69"/>
    <w:rsid w:val="004726C8"/>
    <w:rsid w:val="00476ECA"/>
    <w:rsid w:val="00477B1A"/>
    <w:rsid w:val="00480C4A"/>
    <w:rsid w:val="00481D16"/>
    <w:rsid w:val="00482F8F"/>
    <w:rsid w:val="00483480"/>
    <w:rsid w:val="00484798"/>
    <w:rsid w:val="004860C3"/>
    <w:rsid w:val="00492FA1"/>
    <w:rsid w:val="00497549"/>
    <w:rsid w:val="00497807"/>
    <w:rsid w:val="004A24F0"/>
    <w:rsid w:val="004A5E41"/>
    <w:rsid w:val="004A789E"/>
    <w:rsid w:val="004B4697"/>
    <w:rsid w:val="004B531C"/>
    <w:rsid w:val="004C1F95"/>
    <w:rsid w:val="004C5EAB"/>
    <w:rsid w:val="004C6150"/>
    <w:rsid w:val="004C6A6C"/>
    <w:rsid w:val="004C6F0B"/>
    <w:rsid w:val="004C6F22"/>
    <w:rsid w:val="004C7623"/>
    <w:rsid w:val="004D07DF"/>
    <w:rsid w:val="004D41D2"/>
    <w:rsid w:val="004D611F"/>
    <w:rsid w:val="004D7D51"/>
    <w:rsid w:val="004D7ECB"/>
    <w:rsid w:val="004E0D37"/>
    <w:rsid w:val="004E1D5A"/>
    <w:rsid w:val="004E20B6"/>
    <w:rsid w:val="004E2342"/>
    <w:rsid w:val="004E3F50"/>
    <w:rsid w:val="004E58AB"/>
    <w:rsid w:val="004E6188"/>
    <w:rsid w:val="004F058F"/>
    <w:rsid w:val="004F0BBC"/>
    <w:rsid w:val="00501DC6"/>
    <w:rsid w:val="00502239"/>
    <w:rsid w:val="00502CFD"/>
    <w:rsid w:val="00502FF2"/>
    <w:rsid w:val="00507FE8"/>
    <w:rsid w:val="00510CF9"/>
    <w:rsid w:val="00512D9D"/>
    <w:rsid w:val="00517586"/>
    <w:rsid w:val="0052251E"/>
    <w:rsid w:val="005278AA"/>
    <w:rsid w:val="0053471D"/>
    <w:rsid w:val="005358FA"/>
    <w:rsid w:val="00535C12"/>
    <w:rsid w:val="00542510"/>
    <w:rsid w:val="005430D6"/>
    <w:rsid w:val="0054652E"/>
    <w:rsid w:val="0054703C"/>
    <w:rsid w:val="00550D42"/>
    <w:rsid w:val="00550DC4"/>
    <w:rsid w:val="005514AF"/>
    <w:rsid w:val="00551B4A"/>
    <w:rsid w:val="00552394"/>
    <w:rsid w:val="005525C3"/>
    <w:rsid w:val="00552860"/>
    <w:rsid w:val="00554AFE"/>
    <w:rsid w:val="00557436"/>
    <w:rsid w:val="005627DD"/>
    <w:rsid w:val="00565794"/>
    <w:rsid w:val="00565FBD"/>
    <w:rsid w:val="00567F95"/>
    <w:rsid w:val="00572476"/>
    <w:rsid w:val="00573C88"/>
    <w:rsid w:val="00574237"/>
    <w:rsid w:val="005770BB"/>
    <w:rsid w:val="00580AB2"/>
    <w:rsid w:val="00582092"/>
    <w:rsid w:val="005848B7"/>
    <w:rsid w:val="00585A68"/>
    <w:rsid w:val="005868C9"/>
    <w:rsid w:val="00586A03"/>
    <w:rsid w:val="00586B6F"/>
    <w:rsid w:val="005877F6"/>
    <w:rsid w:val="00592F71"/>
    <w:rsid w:val="00592FF1"/>
    <w:rsid w:val="005A2160"/>
    <w:rsid w:val="005A495B"/>
    <w:rsid w:val="005A56EA"/>
    <w:rsid w:val="005B12FA"/>
    <w:rsid w:val="005B26FF"/>
    <w:rsid w:val="005B482B"/>
    <w:rsid w:val="005B57D7"/>
    <w:rsid w:val="005B7896"/>
    <w:rsid w:val="005B7B1C"/>
    <w:rsid w:val="005C0FD4"/>
    <w:rsid w:val="005C31E6"/>
    <w:rsid w:val="005C3479"/>
    <w:rsid w:val="005C4816"/>
    <w:rsid w:val="005C5E8D"/>
    <w:rsid w:val="005D00AF"/>
    <w:rsid w:val="005D3E66"/>
    <w:rsid w:val="005E0A69"/>
    <w:rsid w:val="005E4163"/>
    <w:rsid w:val="005E5029"/>
    <w:rsid w:val="005E6299"/>
    <w:rsid w:val="005F21EB"/>
    <w:rsid w:val="005F35E4"/>
    <w:rsid w:val="005F46BB"/>
    <w:rsid w:val="005F5E49"/>
    <w:rsid w:val="00600CEF"/>
    <w:rsid w:val="00601094"/>
    <w:rsid w:val="00603813"/>
    <w:rsid w:val="00606EDF"/>
    <w:rsid w:val="006128AC"/>
    <w:rsid w:val="0061542D"/>
    <w:rsid w:val="00620715"/>
    <w:rsid w:val="00624187"/>
    <w:rsid w:val="00624E0A"/>
    <w:rsid w:val="006252AF"/>
    <w:rsid w:val="006304CC"/>
    <w:rsid w:val="00631DEC"/>
    <w:rsid w:val="00634CC2"/>
    <w:rsid w:val="00635435"/>
    <w:rsid w:val="00636109"/>
    <w:rsid w:val="00637F2B"/>
    <w:rsid w:val="00646FBB"/>
    <w:rsid w:val="006476CE"/>
    <w:rsid w:val="006500B3"/>
    <w:rsid w:val="006503D3"/>
    <w:rsid w:val="00654CF6"/>
    <w:rsid w:val="00656945"/>
    <w:rsid w:val="00657DD2"/>
    <w:rsid w:val="00661BA3"/>
    <w:rsid w:val="0066223F"/>
    <w:rsid w:val="00663C55"/>
    <w:rsid w:val="006702E9"/>
    <w:rsid w:val="00672EDB"/>
    <w:rsid w:val="0067483E"/>
    <w:rsid w:val="0067674F"/>
    <w:rsid w:val="00676AA0"/>
    <w:rsid w:val="00676B2B"/>
    <w:rsid w:val="00681700"/>
    <w:rsid w:val="00685CC3"/>
    <w:rsid w:val="006919E1"/>
    <w:rsid w:val="006935CB"/>
    <w:rsid w:val="006947A1"/>
    <w:rsid w:val="0069514B"/>
    <w:rsid w:val="0069741A"/>
    <w:rsid w:val="00697D38"/>
    <w:rsid w:val="006A0450"/>
    <w:rsid w:val="006A2925"/>
    <w:rsid w:val="006A2FA2"/>
    <w:rsid w:val="006A76FC"/>
    <w:rsid w:val="006B10BA"/>
    <w:rsid w:val="006B21F9"/>
    <w:rsid w:val="006B5964"/>
    <w:rsid w:val="006B690E"/>
    <w:rsid w:val="006B70FF"/>
    <w:rsid w:val="006B7FF7"/>
    <w:rsid w:val="006C01BE"/>
    <w:rsid w:val="006C3A6C"/>
    <w:rsid w:val="006D052A"/>
    <w:rsid w:val="006D0719"/>
    <w:rsid w:val="006D0BAD"/>
    <w:rsid w:val="006D1409"/>
    <w:rsid w:val="006D3D8B"/>
    <w:rsid w:val="006D7B2B"/>
    <w:rsid w:val="006E1B8C"/>
    <w:rsid w:val="006E7D40"/>
    <w:rsid w:val="006F0FCE"/>
    <w:rsid w:val="006F29E0"/>
    <w:rsid w:val="006F3606"/>
    <w:rsid w:val="006F36D3"/>
    <w:rsid w:val="006F5F59"/>
    <w:rsid w:val="006F6030"/>
    <w:rsid w:val="006F62A0"/>
    <w:rsid w:val="006F75D1"/>
    <w:rsid w:val="006F7B4F"/>
    <w:rsid w:val="007003AD"/>
    <w:rsid w:val="00703446"/>
    <w:rsid w:val="007045EC"/>
    <w:rsid w:val="00706BE0"/>
    <w:rsid w:val="007118A7"/>
    <w:rsid w:val="00711B4E"/>
    <w:rsid w:val="0071236C"/>
    <w:rsid w:val="00712F98"/>
    <w:rsid w:val="007139E4"/>
    <w:rsid w:val="00716032"/>
    <w:rsid w:val="0071701B"/>
    <w:rsid w:val="007177BB"/>
    <w:rsid w:val="00720E8A"/>
    <w:rsid w:val="007213DC"/>
    <w:rsid w:val="0072184F"/>
    <w:rsid w:val="007221B0"/>
    <w:rsid w:val="007223F5"/>
    <w:rsid w:val="00727891"/>
    <w:rsid w:val="0073090C"/>
    <w:rsid w:val="00730FF2"/>
    <w:rsid w:val="0073200D"/>
    <w:rsid w:val="007341A1"/>
    <w:rsid w:val="007364B5"/>
    <w:rsid w:val="007422E5"/>
    <w:rsid w:val="00742ACC"/>
    <w:rsid w:val="007458B4"/>
    <w:rsid w:val="007466AA"/>
    <w:rsid w:val="00746717"/>
    <w:rsid w:val="007467DE"/>
    <w:rsid w:val="007503BC"/>
    <w:rsid w:val="007503CF"/>
    <w:rsid w:val="00753361"/>
    <w:rsid w:val="0075543A"/>
    <w:rsid w:val="00755688"/>
    <w:rsid w:val="007571EB"/>
    <w:rsid w:val="007639EB"/>
    <w:rsid w:val="00764437"/>
    <w:rsid w:val="00764D39"/>
    <w:rsid w:val="00772B9E"/>
    <w:rsid w:val="007752BE"/>
    <w:rsid w:val="00775C02"/>
    <w:rsid w:val="00776511"/>
    <w:rsid w:val="00781498"/>
    <w:rsid w:val="00784A5B"/>
    <w:rsid w:val="007903B1"/>
    <w:rsid w:val="00791042"/>
    <w:rsid w:val="00793211"/>
    <w:rsid w:val="007940C9"/>
    <w:rsid w:val="0079589E"/>
    <w:rsid w:val="00795DE4"/>
    <w:rsid w:val="007A1C43"/>
    <w:rsid w:val="007A5697"/>
    <w:rsid w:val="007A6D30"/>
    <w:rsid w:val="007A7522"/>
    <w:rsid w:val="007A7822"/>
    <w:rsid w:val="007B00C4"/>
    <w:rsid w:val="007B0587"/>
    <w:rsid w:val="007B4D43"/>
    <w:rsid w:val="007B4D6A"/>
    <w:rsid w:val="007B639B"/>
    <w:rsid w:val="007B6685"/>
    <w:rsid w:val="007C01A4"/>
    <w:rsid w:val="007C0C37"/>
    <w:rsid w:val="007C1804"/>
    <w:rsid w:val="007C3478"/>
    <w:rsid w:val="007C701D"/>
    <w:rsid w:val="007D23BF"/>
    <w:rsid w:val="007D60DB"/>
    <w:rsid w:val="007D615F"/>
    <w:rsid w:val="007E05FE"/>
    <w:rsid w:val="007E22E9"/>
    <w:rsid w:val="007E5512"/>
    <w:rsid w:val="007F403B"/>
    <w:rsid w:val="00800176"/>
    <w:rsid w:val="0080022F"/>
    <w:rsid w:val="0080069E"/>
    <w:rsid w:val="00801882"/>
    <w:rsid w:val="00802408"/>
    <w:rsid w:val="008100B3"/>
    <w:rsid w:val="008100C8"/>
    <w:rsid w:val="008117F2"/>
    <w:rsid w:val="00812C71"/>
    <w:rsid w:val="00813ACF"/>
    <w:rsid w:val="00822CD0"/>
    <w:rsid w:val="00823ECC"/>
    <w:rsid w:val="00825B11"/>
    <w:rsid w:val="0082761A"/>
    <w:rsid w:val="00830124"/>
    <w:rsid w:val="00831A1E"/>
    <w:rsid w:val="00832600"/>
    <w:rsid w:val="0083386A"/>
    <w:rsid w:val="00833AB1"/>
    <w:rsid w:val="00833C7A"/>
    <w:rsid w:val="00835672"/>
    <w:rsid w:val="00836244"/>
    <w:rsid w:val="00841037"/>
    <w:rsid w:val="0084342C"/>
    <w:rsid w:val="00845109"/>
    <w:rsid w:val="00846FB4"/>
    <w:rsid w:val="0084731C"/>
    <w:rsid w:val="00861FDD"/>
    <w:rsid w:val="0086227A"/>
    <w:rsid w:val="0086783C"/>
    <w:rsid w:val="00870D02"/>
    <w:rsid w:val="00870D28"/>
    <w:rsid w:val="00872E0F"/>
    <w:rsid w:val="0087564C"/>
    <w:rsid w:val="00876E40"/>
    <w:rsid w:val="00877009"/>
    <w:rsid w:val="00880F39"/>
    <w:rsid w:val="00881BD6"/>
    <w:rsid w:val="00882AB7"/>
    <w:rsid w:val="0088575E"/>
    <w:rsid w:val="00885CAF"/>
    <w:rsid w:val="00892ACF"/>
    <w:rsid w:val="0089353F"/>
    <w:rsid w:val="00896EAB"/>
    <w:rsid w:val="008A0337"/>
    <w:rsid w:val="008A3319"/>
    <w:rsid w:val="008A3C15"/>
    <w:rsid w:val="008A4D74"/>
    <w:rsid w:val="008B0795"/>
    <w:rsid w:val="008B0C0F"/>
    <w:rsid w:val="008B30E9"/>
    <w:rsid w:val="008B558C"/>
    <w:rsid w:val="008B6C7E"/>
    <w:rsid w:val="008C098C"/>
    <w:rsid w:val="008C113C"/>
    <w:rsid w:val="008C1984"/>
    <w:rsid w:val="008C30C4"/>
    <w:rsid w:val="008C3BF5"/>
    <w:rsid w:val="008C502A"/>
    <w:rsid w:val="008C7EC6"/>
    <w:rsid w:val="008D0BF3"/>
    <w:rsid w:val="008D2503"/>
    <w:rsid w:val="008D3BA2"/>
    <w:rsid w:val="008D556A"/>
    <w:rsid w:val="008D5E77"/>
    <w:rsid w:val="008E411E"/>
    <w:rsid w:val="008E4653"/>
    <w:rsid w:val="008E6170"/>
    <w:rsid w:val="008E7A24"/>
    <w:rsid w:val="008F1C48"/>
    <w:rsid w:val="008F2B6A"/>
    <w:rsid w:val="008F5667"/>
    <w:rsid w:val="008F57E9"/>
    <w:rsid w:val="008F67CB"/>
    <w:rsid w:val="008F764F"/>
    <w:rsid w:val="009003BF"/>
    <w:rsid w:val="009108B8"/>
    <w:rsid w:val="00910F76"/>
    <w:rsid w:val="00915A2F"/>
    <w:rsid w:val="00917E2A"/>
    <w:rsid w:val="00923223"/>
    <w:rsid w:val="009238FC"/>
    <w:rsid w:val="00923AB2"/>
    <w:rsid w:val="0092531D"/>
    <w:rsid w:val="00927BA0"/>
    <w:rsid w:val="00927E3C"/>
    <w:rsid w:val="009300DD"/>
    <w:rsid w:val="00930CF2"/>
    <w:rsid w:val="00930FF5"/>
    <w:rsid w:val="009361D3"/>
    <w:rsid w:val="00936F46"/>
    <w:rsid w:val="0094375E"/>
    <w:rsid w:val="00953CE9"/>
    <w:rsid w:val="00954C60"/>
    <w:rsid w:val="00955A1E"/>
    <w:rsid w:val="009604C5"/>
    <w:rsid w:val="00960ACF"/>
    <w:rsid w:val="00961017"/>
    <w:rsid w:val="00961335"/>
    <w:rsid w:val="009627DA"/>
    <w:rsid w:val="00964046"/>
    <w:rsid w:val="00964EE9"/>
    <w:rsid w:val="00964F48"/>
    <w:rsid w:val="009670D9"/>
    <w:rsid w:val="00972FD5"/>
    <w:rsid w:val="00976721"/>
    <w:rsid w:val="00976AF0"/>
    <w:rsid w:val="00985AC0"/>
    <w:rsid w:val="009867A9"/>
    <w:rsid w:val="00987D75"/>
    <w:rsid w:val="009914FD"/>
    <w:rsid w:val="00991DED"/>
    <w:rsid w:val="00992177"/>
    <w:rsid w:val="00992892"/>
    <w:rsid w:val="0099377F"/>
    <w:rsid w:val="009A1D33"/>
    <w:rsid w:val="009A216A"/>
    <w:rsid w:val="009B0300"/>
    <w:rsid w:val="009B0687"/>
    <w:rsid w:val="009B4BC4"/>
    <w:rsid w:val="009B5589"/>
    <w:rsid w:val="009B6F6E"/>
    <w:rsid w:val="009B7A64"/>
    <w:rsid w:val="009C052A"/>
    <w:rsid w:val="009C22F0"/>
    <w:rsid w:val="009C2E52"/>
    <w:rsid w:val="009C5742"/>
    <w:rsid w:val="009C634D"/>
    <w:rsid w:val="009C7C73"/>
    <w:rsid w:val="009D09B2"/>
    <w:rsid w:val="009D1894"/>
    <w:rsid w:val="009D7A62"/>
    <w:rsid w:val="009D7E3A"/>
    <w:rsid w:val="009E5EE5"/>
    <w:rsid w:val="009F005A"/>
    <w:rsid w:val="009F060E"/>
    <w:rsid w:val="009F62C3"/>
    <w:rsid w:val="00A009E1"/>
    <w:rsid w:val="00A01528"/>
    <w:rsid w:val="00A04CAD"/>
    <w:rsid w:val="00A05EBA"/>
    <w:rsid w:val="00A06538"/>
    <w:rsid w:val="00A12D02"/>
    <w:rsid w:val="00A15221"/>
    <w:rsid w:val="00A174BA"/>
    <w:rsid w:val="00A17910"/>
    <w:rsid w:val="00A17E00"/>
    <w:rsid w:val="00A21FEB"/>
    <w:rsid w:val="00A23187"/>
    <w:rsid w:val="00A23AA3"/>
    <w:rsid w:val="00A23B5F"/>
    <w:rsid w:val="00A26666"/>
    <w:rsid w:val="00A33441"/>
    <w:rsid w:val="00A33A06"/>
    <w:rsid w:val="00A34262"/>
    <w:rsid w:val="00A3443B"/>
    <w:rsid w:val="00A358EB"/>
    <w:rsid w:val="00A37343"/>
    <w:rsid w:val="00A4388C"/>
    <w:rsid w:val="00A448BE"/>
    <w:rsid w:val="00A4567F"/>
    <w:rsid w:val="00A45F50"/>
    <w:rsid w:val="00A46714"/>
    <w:rsid w:val="00A54843"/>
    <w:rsid w:val="00A5593E"/>
    <w:rsid w:val="00A64403"/>
    <w:rsid w:val="00A64CCC"/>
    <w:rsid w:val="00A70562"/>
    <w:rsid w:val="00A722F2"/>
    <w:rsid w:val="00A75E69"/>
    <w:rsid w:val="00A76434"/>
    <w:rsid w:val="00A80279"/>
    <w:rsid w:val="00A837EA"/>
    <w:rsid w:val="00A939FC"/>
    <w:rsid w:val="00AA0DFF"/>
    <w:rsid w:val="00AA48DB"/>
    <w:rsid w:val="00AA6D6C"/>
    <w:rsid w:val="00AA7036"/>
    <w:rsid w:val="00AA76E0"/>
    <w:rsid w:val="00AB0C57"/>
    <w:rsid w:val="00AB1A70"/>
    <w:rsid w:val="00AB4B93"/>
    <w:rsid w:val="00AB7BC7"/>
    <w:rsid w:val="00AC0555"/>
    <w:rsid w:val="00AC3CE1"/>
    <w:rsid w:val="00AC7B53"/>
    <w:rsid w:val="00AD5D52"/>
    <w:rsid w:val="00AD664C"/>
    <w:rsid w:val="00AD777B"/>
    <w:rsid w:val="00AE1C40"/>
    <w:rsid w:val="00AE1CDC"/>
    <w:rsid w:val="00AE3255"/>
    <w:rsid w:val="00AE4ED2"/>
    <w:rsid w:val="00AF4078"/>
    <w:rsid w:val="00AF4596"/>
    <w:rsid w:val="00AF62B4"/>
    <w:rsid w:val="00B03E19"/>
    <w:rsid w:val="00B0516F"/>
    <w:rsid w:val="00B0648B"/>
    <w:rsid w:val="00B07740"/>
    <w:rsid w:val="00B0788D"/>
    <w:rsid w:val="00B128F3"/>
    <w:rsid w:val="00B12E42"/>
    <w:rsid w:val="00B174A4"/>
    <w:rsid w:val="00B208FC"/>
    <w:rsid w:val="00B21CD1"/>
    <w:rsid w:val="00B3135E"/>
    <w:rsid w:val="00B35BA3"/>
    <w:rsid w:val="00B40276"/>
    <w:rsid w:val="00B40CB7"/>
    <w:rsid w:val="00B41B5C"/>
    <w:rsid w:val="00B41E08"/>
    <w:rsid w:val="00B4362D"/>
    <w:rsid w:val="00B43F73"/>
    <w:rsid w:val="00B444E8"/>
    <w:rsid w:val="00B45AEE"/>
    <w:rsid w:val="00B46417"/>
    <w:rsid w:val="00B52ABC"/>
    <w:rsid w:val="00B52BCB"/>
    <w:rsid w:val="00B60C6E"/>
    <w:rsid w:val="00B62C19"/>
    <w:rsid w:val="00B6458E"/>
    <w:rsid w:val="00B646E8"/>
    <w:rsid w:val="00B70D16"/>
    <w:rsid w:val="00B73B6F"/>
    <w:rsid w:val="00B74BB5"/>
    <w:rsid w:val="00B83525"/>
    <w:rsid w:val="00B847F1"/>
    <w:rsid w:val="00B852CF"/>
    <w:rsid w:val="00B85D9F"/>
    <w:rsid w:val="00B86BF1"/>
    <w:rsid w:val="00B96B13"/>
    <w:rsid w:val="00B97F71"/>
    <w:rsid w:val="00BA5931"/>
    <w:rsid w:val="00BA643D"/>
    <w:rsid w:val="00BA77B1"/>
    <w:rsid w:val="00BB5965"/>
    <w:rsid w:val="00BB6E73"/>
    <w:rsid w:val="00BB6EDE"/>
    <w:rsid w:val="00BC0E6B"/>
    <w:rsid w:val="00BC4002"/>
    <w:rsid w:val="00BC4039"/>
    <w:rsid w:val="00BC4788"/>
    <w:rsid w:val="00BC4E90"/>
    <w:rsid w:val="00BD1BFA"/>
    <w:rsid w:val="00BD239B"/>
    <w:rsid w:val="00BD2CBA"/>
    <w:rsid w:val="00BD424B"/>
    <w:rsid w:val="00BD75C8"/>
    <w:rsid w:val="00BD767D"/>
    <w:rsid w:val="00BD7A67"/>
    <w:rsid w:val="00BE3415"/>
    <w:rsid w:val="00BE3BBF"/>
    <w:rsid w:val="00BE47A9"/>
    <w:rsid w:val="00BE688C"/>
    <w:rsid w:val="00BE73AA"/>
    <w:rsid w:val="00BF2DEB"/>
    <w:rsid w:val="00BF39BA"/>
    <w:rsid w:val="00BF3BDE"/>
    <w:rsid w:val="00BF53AE"/>
    <w:rsid w:val="00BF58A6"/>
    <w:rsid w:val="00C0020E"/>
    <w:rsid w:val="00C00D89"/>
    <w:rsid w:val="00C063BE"/>
    <w:rsid w:val="00C073D6"/>
    <w:rsid w:val="00C07CE5"/>
    <w:rsid w:val="00C108E5"/>
    <w:rsid w:val="00C17EE9"/>
    <w:rsid w:val="00C213F1"/>
    <w:rsid w:val="00C34E2D"/>
    <w:rsid w:val="00C368A2"/>
    <w:rsid w:val="00C42190"/>
    <w:rsid w:val="00C44F54"/>
    <w:rsid w:val="00C457E6"/>
    <w:rsid w:val="00C45F02"/>
    <w:rsid w:val="00C5138C"/>
    <w:rsid w:val="00C51FE2"/>
    <w:rsid w:val="00C52F0D"/>
    <w:rsid w:val="00C536D8"/>
    <w:rsid w:val="00C55E63"/>
    <w:rsid w:val="00C55F5D"/>
    <w:rsid w:val="00C60C03"/>
    <w:rsid w:val="00C61906"/>
    <w:rsid w:val="00C65A0F"/>
    <w:rsid w:val="00C66416"/>
    <w:rsid w:val="00C6720B"/>
    <w:rsid w:val="00C72249"/>
    <w:rsid w:val="00C74F5D"/>
    <w:rsid w:val="00C7629B"/>
    <w:rsid w:val="00C777EC"/>
    <w:rsid w:val="00C7784E"/>
    <w:rsid w:val="00C80836"/>
    <w:rsid w:val="00C85F24"/>
    <w:rsid w:val="00C85FB7"/>
    <w:rsid w:val="00C86EF1"/>
    <w:rsid w:val="00C87051"/>
    <w:rsid w:val="00CA138A"/>
    <w:rsid w:val="00CA1C8F"/>
    <w:rsid w:val="00CA3030"/>
    <w:rsid w:val="00CA3CD3"/>
    <w:rsid w:val="00CA46BA"/>
    <w:rsid w:val="00CA5876"/>
    <w:rsid w:val="00CB0495"/>
    <w:rsid w:val="00CB0B11"/>
    <w:rsid w:val="00CB0CCF"/>
    <w:rsid w:val="00CB3E3D"/>
    <w:rsid w:val="00CB708D"/>
    <w:rsid w:val="00CC1C50"/>
    <w:rsid w:val="00CC3FAB"/>
    <w:rsid w:val="00CC4D44"/>
    <w:rsid w:val="00CC6D9A"/>
    <w:rsid w:val="00CD15B3"/>
    <w:rsid w:val="00CD345C"/>
    <w:rsid w:val="00CD76FF"/>
    <w:rsid w:val="00CE03A7"/>
    <w:rsid w:val="00CE357E"/>
    <w:rsid w:val="00CE64EF"/>
    <w:rsid w:val="00CF07A6"/>
    <w:rsid w:val="00CF0FFE"/>
    <w:rsid w:val="00CF52B0"/>
    <w:rsid w:val="00CF586B"/>
    <w:rsid w:val="00CF7CF7"/>
    <w:rsid w:val="00D035C9"/>
    <w:rsid w:val="00D03886"/>
    <w:rsid w:val="00D04600"/>
    <w:rsid w:val="00D1163E"/>
    <w:rsid w:val="00D13DFA"/>
    <w:rsid w:val="00D15918"/>
    <w:rsid w:val="00D21B43"/>
    <w:rsid w:val="00D23B2E"/>
    <w:rsid w:val="00D27127"/>
    <w:rsid w:val="00D30445"/>
    <w:rsid w:val="00D33A0D"/>
    <w:rsid w:val="00D33BD8"/>
    <w:rsid w:val="00D34579"/>
    <w:rsid w:val="00D351D3"/>
    <w:rsid w:val="00D4139B"/>
    <w:rsid w:val="00D4423F"/>
    <w:rsid w:val="00D4444D"/>
    <w:rsid w:val="00D4737E"/>
    <w:rsid w:val="00D47876"/>
    <w:rsid w:val="00D47A8B"/>
    <w:rsid w:val="00D5050A"/>
    <w:rsid w:val="00D53374"/>
    <w:rsid w:val="00D613DA"/>
    <w:rsid w:val="00D65CE2"/>
    <w:rsid w:val="00D66F8B"/>
    <w:rsid w:val="00D674CF"/>
    <w:rsid w:val="00D67AB8"/>
    <w:rsid w:val="00D72480"/>
    <w:rsid w:val="00D7295D"/>
    <w:rsid w:val="00D76010"/>
    <w:rsid w:val="00D76D00"/>
    <w:rsid w:val="00D80DD9"/>
    <w:rsid w:val="00D8173E"/>
    <w:rsid w:val="00D87A0D"/>
    <w:rsid w:val="00D90426"/>
    <w:rsid w:val="00D914E2"/>
    <w:rsid w:val="00D922E2"/>
    <w:rsid w:val="00D95BAC"/>
    <w:rsid w:val="00D960D6"/>
    <w:rsid w:val="00D9786E"/>
    <w:rsid w:val="00DA79FF"/>
    <w:rsid w:val="00DB02DB"/>
    <w:rsid w:val="00DB1E2B"/>
    <w:rsid w:val="00DB2286"/>
    <w:rsid w:val="00DB2E4F"/>
    <w:rsid w:val="00DC360B"/>
    <w:rsid w:val="00DC426A"/>
    <w:rsid w:val="00DD3430"/>
    <w:rsid w:val="00DD4DEB"/>
    <w:rsid w:val="00DD5BAF"/>
    <w:rsid w:val="00DD5D0F"/>
    <w:rsid w:val="00DD7056"/>
    <w:rsid w:val="00DD763F"/>
    <w:rsid w:val="00DD7900"/>
    <w:rsid w:val="00DE0294"/>
    <w:rsid w:val="00DE2CF2"/>
    <w:rsid w:val="00DE33F7"/>
    <w:rsid w:val="00DE7E64"/>
    <w:rsid w:val="00DF70E0"/>
    <w:rsid w:val="00E00F42"/>
    <w:rsid w:val="00E014A6"/>
    <w:rsid w:val="00E02CEA"/>
    <w:rsid w:val="00E0387F"/>
    <w:rsid w:val="00E04D4B"/>
    <w:rsid w:val="00E070B5"/>
    <w:rsid w:val="00E12A33"/>
    <w:rsid w:val="00E13411"/>
    <w:rsid w:val="00E1366E"/>
    <w:rsid w:val="00E16FBA"/>
    <w:rsid w:val="00E17DAE"/>
    <w:rsid w:val="00E26533"/>
    <w:rsid w:val="00E303F7"/>
    <w:rsid w:val="00E30714"/>
    <w:rsid w:val="00E32B6F"/>
    <w:rsid w:val="00E334F0"/>
    <w:rsid w:val="00E36EEA"/>
    <w:rsid w:val="00E41763"/>
    <w:rsid w:val="00E4432E"/>
    <w:rsid w:val="00E45115"/>
    <w:rsid w:val="00E503A3"/>
    <w:rsid w:val="00E53B1C"/>
    <w:rsid w:val="00E56503"/>
    <w:rsid w:val="00E607E2"/>
    <w:rsid w:val="00E611B6"/>
    <w:rsid w:val="00E61798"/>
    <w:rsid w:val="00E658BE"/>
    <w:rsid w:val="00E7122E"/>
    <w:rsid w:val="00E71259"/>
    <w:rsid w:val="00E73DEF"/>
    <w:rsid w:val="00E80047"/>
    <w:rsid w:val="00E80B9B"/>
    <w:rsid w:val="00E85579"/>
    <w:rsid w:val="00E871F1"/>
    <w:rsid w:val="00E876F5"/>
    <w:rsid w:val="00E87BA6"/>
    <w:rsid w:val="00E963CA"/>
    <w:rsid w:val="00E968CF"/>
    <w:rsid w:val="00EA152B"/>
    <w:rsid w:val="00EA3DFF"/>
    <w:rsid w:val="00EA7241"/>
    <w:rsid w:val="00EB226C"/>
    <w:rsid w:val="00EB4048"/>
    <w:rsid w:val="00EB5814"/>
    <w:rsid w:val="00EB6B3F"/>
    <w:rsid w:val="00EB77BA"/>
    <w:rsid w:val="00EB7F9C"/>
    <w:rsid w:val="00EC0994"/>
    <w:rsid w:val="00EC5F62"/>
    <w:rsid w:val="00EC6982"/>
    <w:rsid w:val="00ED016E"/>
    <w:rsid w:val="00ED113C"/>
    <w:rsid w:val="00ED2A85"/>
    <w:rsid w:val="00EE59C9"/>
    <w:rsid w:val="00EF4558"/>
    <w:rsid w:val="00EF52AB"/>
    <w:rsid w:val="00F00286"/>
    <w:rsid w:val="00F060AA"/>
    <w:rsid w:val="00F06B84"/>
    <w:rsid w:val="00F10C97"/>
    <w:rsid w:val="00F116ED"/>
    <w:rsid w:val="00F12552"/>
    <w:rsid w:val="00F135DB"/>
    <w:rsid w:val="00F137C2"/>
    <w:rsid w:val="00F144BB"/>
    <w:rsid w:val="00F15B03"/>
    <w:rsid w:val="00F16472"/>
    <w:rsid w:val="00F23C2B"/>
    <w:rsid w:val="00F300F7"/>
    <w:rsid w:val="00F305F9"/>
    <w:rsid w:val="00F3169A"/>
    <w:rsid w:val="00F31E88"/>
    <w:rsid w:val="00F37639"/>
    <w:rsid w:val="00F40680"/>
    <w:rsid w:val="00F412C0"/>
    <w:rsid w:val="00F42CE5"/>
    <w:rsid w:val="00F4340B"/>
    <w:rsid w:val="00F44E1D"/>
    <w:rsid w:val="00F45921"/>
    <w:rsid w:val="00F45A1A"/>
    <w:rsid w:val="00F50BA2"/>
    <w:rsid w:val="00F52175"/>
    <w:rsid w:val="00F52A69"/>
    <w:rsid w:val="00F56EFA"/>
    <w:rsid w:val="00F57BDA"/>
    <w:rsid w:val="00F60E76"/>
    <w:rsid w:val="00F6214A"/>
    <w:rsid w:val="00F72186"/>
    <w:rsid w:val="00F73A04"/>
    <w:rsid w:val="00F757A6"/>
    <w:rsid w:val="00F81A9E"/>
    <w:rsid w:val="00F84879"/>
    <w:rsid w:val="00F8613C"/>
    <w:rsid w:val="00F90B71"/>
    <w:rsid w:val="00F925CB"/>
    <w:rsid w:val="00F92FA8"/>
    <w:rsid w:val="00F93B98"/>
    <w:rsid w:val="00F94557"/>
    <w:rsid w:val="00FA088D"/>
    <w:rsid w:val="00FA13CB"/>
    <w:rsid w:val="00FA180A"/>
    <w:rsid w:val="00FA1E1D"/>
    <w:rsid w:val="00FA6257"/>
    <w:rsid w:val="00FA62AE"/>
    <w:rsid w:val="00FA63F1"/>
    <w:rsid w:val="00FA65FB"/>
    <w:rsid w:val="00FB0480"/>
    <w:rsid w:val="00FB1C45"/>
    <w:rsid w:val="00FB1D95"/>
    <w:rsid w:val="00FB2707"/>
    <w:rsid w:val="00FB433B"/>
    <w:rsid w:val="00FB4B05"/>
    <w:rsid w:val="00FC0121"/>
    <w:rsid w:val="00FC1F29"/>
    <w:rsid w:val="00FC36B9"/>
    <w:rsid w:val="00FC4D67"/>
    <w:rsid w:val="00FC4F35"/>
    <w:rsid w:val="00FC5E33"/>
    <w:rsid w:val="00FD200E"/>
    <w:rsid w:val="00FD329D"/>
    <w:rsid w:val="00FD3EFD"/>
    <w:rsid w:val="00FD5077"/>
    <w:rsid w:val="00FD5D80"/>
    <w:rsid w:val="00FD61C8"/>
    <w:rsid w:val="00FD6875"/>
    <w:rsid w:val="00FE04CE"/>
    <w:rsid w:val="00FE152C"/>
    <w:rsid w:val="00FE2D29"/>
    <w:rsid w:val="00FE3CC9"/>
    <w:rsid w:val="00FE42F7"/>
    <w:rsid w:val="00FE675C"/>
    <w:rsid w:val="00FF04AB"/>
    <w:rsid w:val="00FF0DB2"/>
    <w:rsid w:val="00FF2F69"/>
    <w:rsid w:val="00FF617C"/>
    <w:rsid w:val="01214A1E"/>
    <w:rsid w:val="014F1B49"/>
    <w:rsid w:val="0161201C"/>
    <w:rsid w:val="01674AD8"/>
    <w:rsid w:val="017B15F7"/>
    <w:rsid w:val="019B2A51"/>
    <w:rsid w:val="01BB069A"/>
    <w:rsid w:val="01C61FB3"/>
    <w:rsid w:val="01EE6DBE"/>
    <w:rsid w:val="01F2282B"/>
    <w:rsid w:val="020E7F3F"/>
    <w:rsid w:val="021A6004"/>
    <w:rsid w:val="022E08B9"/>
    <w:rsid w:val="023A07E4"/>
    <w:rsid w:val="02424847"/>
    <w:rsid w:val="025D291A"/>
    <w:rsid w:val="025D356C"/>
    <w:rsid w:val="027202B1"/>
    <w:rsid w:val="02721F48"/>
    <w:rsid w:val="02777861"/>
    <w:rsid w:val="02805163"/>
    <w:rsid w:val="02815E8D"/>
    <w:rsid w:val="02E41BF4"/>
    <w:rsid w:val="02F07CB0"/>
    <w:rsid w:val="030D75EF"/>
    <w:rsid w:val="031168BC"/>
    <w:rsid w:val="03426C59"/>
    <w:rsid w:val="03433AF1"/>
    <w:rsid w:val="03501AE4"/>
    <w:rsid w:val="03604B4E"/>
    <w:rsid w:val="03716722"/>
    <w:rsid w:val="039B623A"/>
    <w:rsid w:val="039D5F5F"/>
    <w:rsid w:val="03B44AA5"/>
    <w:rsid w:val="03B738DC"/>
    <w:rsid w:val="040020A7"/>
    <w:rsid w:val="04056C5D"/>
    <w:rsid w:val="04473247"/>
    <w:rsid w:val="044D2B93"/>
    <w:rsid w:val="046879E2"/>
    <w:rsid w:val="047B2D12"/>
    <w:rsid w:val="04833676"/>
    <w:rsid w:val="04930DBB"/>
    <w:rsid w:val="04971B4A"/>
    <w:rsid w:val="04A2371F"/>
    <w:rsid w:val="04A53BA4"/>
    <w:rsid w:val="04AA1834"/>
    <w:rsid w:val="04B36112"/>
    <w:rsid w:val="04D17C83"/>
    <w:rsid w:val="04E374DE"/>
    <w:rsid w:val="04FF00EB"/>
    <w:rsid w:val="0501459E"/>
    <w:rsid w:val="05100E82"/>
    <w:rsid w:val="05175FCF"/>
    <w:rsid w:val="052263A0"/>
    <w:rsid w:val="054E23E8"/>
    <w:rsid w:val="05586075"/>
    <w:rsid w:val="056E21E8"/>
    <w:rsid w:val="058E5789"/>
    <w:rsid w:val="059C5E7A"/>
    <w:rsid w:val="059F3F35"/>
    <w:rsid w:val="05AB2DB2"/>
    <w:rsid w:val="05C127AF"/>
    <w:rsid w:val="05C342DE"/>
    <w:rsid w:val="05D56659"/>
    <w:rsid w:val="05EB76F4"/>
    <w:rsid w:val="05EC4B85"/>
    <w:rsid w:val="05F56B6A"/>
    <w:rsid w:val="05F7106C"/>
    <w:rsid w:val="06027766"/>
    <w:rsid w:val="06305727"/>
    <w:rsid w:val="06322461"/>
    <w:rsid w:val="06363953"/>
    <w:rsid w:val="06647C6C"/>
    <w:rsid w:val="06665E33"/>
    <w:rsid w:val="068C02EE"/>
    <w:rsid w:val="06900262"/>
    <w:rsid w:val="06936D88"/>
    <w:rsid w:val="06A31CA0"/>
    <w:rsid w:val="06B1349B"/>
    <w:rsid w:val="06D31947"/>
    <w:rsid w:val="06D92562"/>
    <w:rsid w:val="06E410CE"/>
    <w:rsid w:val="06E760D7"/>
    <w:rsid w:val="06EA54F3"/>
    <w:rsid w:val="06F650AE"/>
    <w:rsid w:val="07075B45"/>
    <w:rsid w:val="070A76BD"/>
    <w:rsid w:val="072E5643"/>
    <w:rsid w:val="073D7196"/>
    <w:rsid w:val="07504429"/>
    <w:rsid w:val="07612720"/>
    <w:rsid w:val="07792B42"/>
    <w:rsid w:val="077E3D0B"/>
    <w:rsid w:val="078C511B"/>
    <w:rsid w:val="078D2D8A"/>
    <w:rsid w:val="079B4FAD"/>
    <w:rsid w:val="07BE2A34"/>
    <w:rsid w:val="07D30585"/>
    <w:rsid w:val="07D43E3E"/>
    <w:rsid w:val="07DF1893"/>
    <w:rsid w:val="07E53F70"/>
    <w:rsid w:val="07F03CBF"/>
    <w:rsid w:val="07F32C9E"/>
    <w:rsid w:val="07F42B67"/>
    <w:rsid w:val="08067202"/>
    <w:rsid w:val="080D0CE3"/>
    <w:rsid w:val="084D16D5"/>
    <w:rsid w:val="085B4E5E"/>
    <w:rsid w:val="086626CB"/>
    <w:rsid w:val="08790814"/>
    <w:rsid w:val="08817F9A"/>
    <w:rsid w:val="08933F38"/>
    <w:rsid w:val="089E56D2"/>
    <w:rsid w:val="08AA08E8"/>
    <w:rsid w:val="08B472FE"/>
    <w:rsid w:val="08B614BD"/>
    <w:rsid w:val="08B937A7"/>
    <w:rsid w:val="08C46B6B"/>
    <w:rsid w:val="08C60D7F"/>
    <w:rsid w:val="08CD671D"/>
    <w:rsid w:val="08D83875"/>
    <w:rsid w:val="08F56067"/>
    <w:rsid w:val="08F56798"/>
    <w:rsid w:val="09072AF5"/>
    <w:rsid w:val="090D78C9"/>
    <w:rsid w:val="09101FB3"/>
    <w:rsid w:val="09176903"/>
    <w:rsid w:val="091848BB"/>
    <w:rsid w:val="091F7720"/>
    <w:rsid w:val="09296C06"/>
    <w:rsid w:val="095E6BBD"/>
    <w:rsid w:val="096D3FC7"/>
    <w:rsid w:val="096D58F1"/>
    <w:rsid w:val="09BC6089"/>
    <w:rsid w:val="09F42918"/>
    <w:rsid w:val="09F8752F"/>
    <w:rsid w:val="0A0D439F"/>
    <w:rsid w:val="0A0F0D09"/>
    <w:rsid w:val="0A1D4600"/>
    <w:rsid w:val="0A1F68B2"/>
    <w:rsid w:val="0A210F95"/>
    <w:rsid w:val="0A2836E0"/>
    <w:rsid w:val="0A29194C"/>
    <w:rsid w:val="0A593073"/>
    <w:rsid w:val="0A7D7CC0"/>
    <w:rsid w:val="0A8E5529"/>
    <w:rsid w:val="0AB44EF5"/>
    <w:rsid w:val="0AB47350"/>
    <w:rsid w:val="0AC159A6"/>
    <w:rsid w:val="0AE34BB1"/>
    <w:rsid w:val="0AE5341B"/>
    <w:rsid w:val="0AE5455E"/>
    <w:rsid w:val="0AED0B6E"/>
    <w:rsid w:val="0B087CAF"/>
    <w:rsid w:val="0B280393"/>
    <w:rsid w:val="0B4B7099"/>
    <w:rsid w:val="0B62425D"/>
    <w:rsid w:val="0B6A1F74"/>
    <w:rsid w:val="0B746BBF"/>
    <w:rsid w:val="0B747542"/>
    <w:rsid w:val="0B785D91"/>
    <w:rsid w:val="0B7A1907"/>
    <w:rsid w:val="0B993C93"/>
    <w:rsid w:val="0B9E1A60"/>
    <w:rsid w:val="0BAB394C"/>
    <w:rsid w:val="0BAD70EA"/>
    <w:rsid w:val="0BBA235B"/>
    <w:rsid w:val="0BE60C5C"/>
    <w:rsid w:val="0BED4150"/>
    <w:rsid w:val="0C1A14EE"/>
    <w:rsid w:val="0C296CAE"/>
    <w:rsid w:val="0C2C1F9D"/>
    <w:rsid w:val="0C365370"/>
    <w:rsid w:val="0C3D5B53"/>
    <w:rsid w:val="0C442C80"/>
    <w:rsid w:val="0C47613B"/>
    <w:rsid w:val="0C4B30F1"/>
    <w:rsid w:val="0C7376A8"/>
    <w:rsid w:val="0C801F53"/>
    <w:rsid w:val="0C8076E1"/>
    <w:rsid w:val="0C872043"/>
    <w:rsid w:val="0CA97841"/>
    <w:rsid w:val="0CF22F65"/>
    <w:rsid w:val="0CFD3771"/>
    <w:rsid w:val="0D001BEA"/>
    <w:rsid w:val="0D0A7F77"/>
    <w:rsid w:val="0D1A72CC"/>
    <w:rsid w:val="0D4D0748"/>
    <w:rsid w:val="0D5F5515"/>
    <w:rsid w:val="0D5F6E17"/>
    <w:rsid w:val="0D796E56"/>
    <w:rsid w:val="0D8943DC"/>
    <w:rsid w:val="0D8A04E4"/>
    <w:rsid w:val="0D932BB8"/>
    <w:rsid w:val="0D98461B"/>
    <w:rsid w:val="0DA8488D"/>
    <w:rsid w:val="0DB904D9"/>
    <w:rsid w:val="0DBB0918"/>
    <w:rsid w:val="0DDA5907"/>
    <w:rsid w:val="0DE25782"/>
    <w:rsid w:val="0DE62B39"/>
    <w:rsid w:val="0DEE271A"/>
    <w:rsid w:val="0DF148E8"/>
    <w:rsid w:val="0E071B40"/>
    <w:rsid w:val="0E210D90"/>
    <w:rsid w:val="0E280BF1"/>
    <w:rsid w:val="0E2A2732"/>
    <w:rsid w:val="0E2F7B01"/>
    <w:rsid w:val="0E4B5699"/>
    <w:rsid w:val="0E512E80"/>
    <w:rsid w:val="0E597403"/>
    <w:rsid w:val="0E6B2D0D"/>
    <w:rsid w:val="0E6E1A32"/>
    <w:rsid w:val="0E7202FE"/>
    <w:rsid w:val="0E915BD0"/>
    <w:rsid w:val="0EA65E11"/>
    <w:rsid w:val="0EAA6595"/>
    <w:rsid w:val="0ECD4128"/>
    <w:rsid w:val="0EF05635"/>
    <w:rsid w:val="0F0913A4"/>
    <w:rsid w:val="0F273FFE"/>
    <w:rsid w:val="0F360DD3"/>
    <w:rsid w:val="0F3F06CB"/>
    <w:rsid w:val="0F6138E4"/>
    <w:rsid w:val="0F6B1793"/>
    <w:rsid w:val="0F7B5DFB"/>
    <w:rsid w:val="0FB52ECB"/>
    <w:rsid w:val="0FB842E0"/>
    <w:rsid w:val="0FF37EF3"/>
    <w:rsid w:val="0FFE4C46"/>
    <w:rsid w:val="10064480"/>
    <w:rsid w:val="100930B7"/>
    <w:rsid w:val="10156FD1"/>
    <w:rsid w:val="102C229A"/>
    <w:rsid w:val="10371F2F"/>
    <w:rsid w:val="105A6D80"/>
    <w:rsid w:val="107B23CF"/>
    <w:rsid w:val="107E1871"/>
    <w:rsid w:val="10824E25"/>
    <w:rsid w:val="10BD5626"/>
    <w:rsid w:val="10C85301"/>
    <w:rsid w:val="10C9417C"/>
    <w:rsid w:val="10EB0287"/>
    <w:rsid w:val="10F5099F"/>
    <w:rsid w:val="11046680"/>
    <w:rsid w:val="11390125"/>
    <w:rsid w:val="113D2646"/>
    <w:rsid w:val="11423CF0"/>
    <w:rsid w:val="11482C62"/>
    <w:rsid w:val="1159255C"/>
    <w:rsid w:val="115D038D"/>
    <w:rsid w:val="116741A8"/>
    <w:rsid w:val="11887A9E"/>
    <w:rsid w:val="1193737C"/>
    <w:rsid w:val="119C04D1"/>
    <w:rsid w:val="119E030F"/>
    <w:rsid w:val="11AC3296"/>
    <w:rsid w:val="11B46359"/>
    <w:rsid w:val="11BF3764"/>
    <w:rsid w:val="11BF5D6D"/>
    <w:rsid w:val="11EF6486"/>
    <w:rsid w:val="11F75962"/>
    <w:rsid w:val="11FC0451"/>
    <w:rsid w:val="120C4EB8"/>
    <w:rsid w:val="122D760A"/>
    <w:rsid w:val="12311F5A"/>
    <w:rsid w:val="12417B6B"/>
    <w:rsid w:val="12427601"/>
    <w:rsid w:val="124F1EC2"/>
    <w:rsid w:val="125944FB"/>
    <w:rsid w:val="12624EB7"/>
    <w:rsid w:val="126E1562"/>
    <w:rsid w:val="1282388F"/>
    <w:rsid w:val="128572E6"/>
    <w:rsid w:val="128A0F8B"/>
    <w:rsid w:val="129139EE"/>
    <w:rsid w:val="12B26461"/>
    <w:rsid w:val="12C61843"/>
    <w:rsid w:val="12D228CA"/>
    <w:rsid w:val="12F36759"/>
    <w:rsid w:val="1300045E"/>
    <w:rsid w:val="130A6921"/>
    <w:rsid w:val="131A000F"/>
    <w:rsid w:val="131B3912"/>
    <w:rsid w:val="133D024F"/>
    <w:rsid w:val="133D6D87"/>
    <w:rsid w:val="135A27D6"/>
    <w:rsid w:val="136063AF"/>
    <w:rsid w:val="13716BB4"/>
    <w:rsid w:val="137A4B27"/>
    <w:rsid w:val="13821EE1"/>
    <w:rsid w:val="13890B9C"/>
    <w:rsid w:val="13CB4137"/>
    <w:rsid w:val="13D11AEC"/>
    <w:rsid w:val="13F27FD8"/>
    <w:rsid w:val="13F97AE3"/>
    <w:rsid w:val="13FA3C10"/>
    <w:rsid w:val="14197590"/>
    <w:rsid w:val="141C7AF8"/>
    <w:rsid w:val="142D5867"/>
    <w:rsid w:val="14311C3C"/>
    <w:rsid w:val="14903F86"/>
    <w:rsid w:val="149214B9"/>
    <w:rsid w:val="149D1D6F"/>
    <w:rsid w:val="14A05CEA"/>
    <w:rsid w:val="14BA7BD0"/>
    <w:rsid w:val="14BE0DA8"/>
    <w:rsid w:val="14BE7C1E"/>
    <w:rsid w:val="14C00560"/>
    <w:rsid w:val="14DF2DE8"/>
    <w:rsid w:val="14E20E88"/>
    <w:rsid w:val="14E655C1"/>
    <w:rsid w:val="14E71B9C"/>
    <w:rsid w:val="14ED24C4"/>
    <w:rsid w:val="14EE4BE6"/>
    <w:rsid w:val="14FE6E45"/>
    <w:rsid w:val="15030DD2"/>
    <w:rsid w:val="15054594"/>
    <w:rsid w:val="151246C1"/>
    <w:rsid w:val="15300534"/>
    <w:rsid w:val="15430081"/>
    <w:rsid w:val="1549179A"/>
    <w:rsid w:val="154E28FC"/>
    <w:rsid w:val="155855A0"/>
    <w:rsid w:val="15701766"/>
    <w:rsid w:val="15760A82"/>
    <w:rsid w:val="15885993"/>
    <w:rsid w:val="15943580"/>
    <w:rsid w:val="159F71E4"/>
    <w:rsid w:val="15DA54BE"/>
    <w:rsid w:val="15DE1A29"/>
    <w:rsid w:val="1606476A"/>
    <w:rsid w:val="161C28F0"/>
    <w:rsid w:val="164768C1"/>
    <w:rsid w:val="1653553F"/>
    <w:rsid w:val="16883ABF"/>
    <w:rsid w:val="168D40EB"/>
    <w:rsid w:val="16AA3EEF"/>
    <w:rsid w:val="16BB65F1"/>
    <w:rsid w:val="16C30E50"/>
    <w:rsid w:val="16DF70C3"/>
    <w:rsid w:val="16E36A8E"/>
    <w:rsid w:val="17174321"/>
    <w:rsid w:val="171F5FAC"/>
    <w:rsid w:val="17382C6C"/>
    <w:rsid w:val="174D66F8"/>
    <w:rsid w:val="17690F92"/>
    <w:rsid w:val="178119E1"/>
    <w:rsid w:val="17B2733D"/>
    <w:rsid w:val="17D32110"/>
    <w:rsid w:val="17D91BE5"/>
    <w:rsid w:val="17EF333D"/>
    <w:rsid w:val="17F736BA"/>
    <w:rsid w:val="180B1C8C"/>
    <w:rsid w:val="1856228A"/>
    <w:rsid w:val="18655549"/>
    <w:rsid w:val="189D5730"/>
    <w:rsid w:val="18A256C7"/>
    <w:rsid w:val="18AE4270"/>
    <w:rsid w:val="18AE6BDF"/>
    <w:rsid w:val="18BC41FE"/>
    <w:rsid w:val="18D255E8"/>
    <w:rsid w:val="18D8320F"/>
    <w:rsid w:val="18E66D2F"/>
    <w:rsid w:val="18E73115"/>
    <w:rsid w:val="19063E34"/>
    <w:rsid w:val="190A6030"/>
    <w:rsid w:val="191206D3"/>
    <w:rsid w:val="19141287"/>
    <w:rsid w:val="192E2BD3"/>
    <w:rsid w:val="1932485A"/>
    <w:rsid w:val="19362545"/>
    <w:rsid w:val="197B5636"/>
    <w:rsid w:val="198D30EC"/>
    <w:rsid w:val="199618B0"/>
    <w:rsid w:val="19B95E03"/>
    <w:rsid w:val="1A200C49"/>
    <w:rsid w:val="1A25353F"/>
    <w:rsid w:val="1A2C7C12"/>
    <w:rsid w:val="1A353C8C"/>
    <w:rsid w:val="1A382E26"/>
    <w:rsid w:val="1A4570BB"/>
    <w:rsid w:val="1A5C16D9"/>
    <w:rsid w:val="1A5C6D63"/>
    <w:rsid w:val="1A7636B6"/>
    <w:rsid w:val="1A7B17BE"/>
    <w:rsid w:val="1A872913"/>
    <w:rsid w:val="1ABD703A"/>
    <w:rsid w:val="1ACD34F9"/>
    <w:rsid w:val="1AE133EF"/>
    <w:rsid w:val="1AEF4DAE"/>
    <w:rsid w:val="1AF77FAB"/>
    <w:rsid w:val="1AFB020E"/>
    <w:rsid w:val="1B3F38BA"/>
    <w:rsid w:val="1B492FF3"/>
    <w:rsid w:val="1B4950A4"/>
    <w:rsid w:val="1B556620"/>
    <w:rsid w:val="1B661E5B"/>
    <w:rsid w:val="1B9F4BBA"/>
    <w:rsid w:val="1BA1227E"/>
    <w:rsid w:val="1BA324C2"/>
    <w:rsid w:val="1BA61267"/>
    <w:rsid w:val="1BAF2B44"/>
    <w:rsid w:val="1BB222C6"/>
    <w:rsid w:val="1BDB48D0"/>
    <w:rsid w:val="1C041065"/>
    <w:rsid w:val="1C0448AF"/>
    <w:rsid w:val="1C2663BF"/>
    <w:rsid w:val="1C2B1A3B"/>
    <w:rsid w:val="1C36433C"/>
    <w:rsid w:val="1C376E21"/>
    <w:rsid w:val="1C446023"/>
    <w:rsid w:val="1C607E4F"/>
    <w:rsid w:val="1C721035"/>
    <w:rsid w:val="1C887DF5"/>
    <w:rsid w:val="1C89288A"/>
    <w:rsid w:val="1CA44A34"/>
    <w:rsid w:val="1CA47846"/>
    <w:rsid w:val="1CD565D5"/>
    <w:rsid w:val="1CDF6675"/>
    <w:rsid w:val="1CEF14EF"/>
    <w:rsid w:val="1CF43006"/>
    <w:rsid w:val="1D077570"/>
    <w:rsid w:val="1D081ACF"/>
    <w:rsid w:val="1D0966CF"/>
    <w:rsid w:val="1D14162A"/>
    <w:rsid w:val="1D325942"/>
    <w:rsid w:val="1D376C6D"/>
    <w:rsid w:val="1D672B1F"/>
    <w:rsid w:val="1D8B3670"/>
    <w:rsid w:val="1D9107BF"/>
    <w:rsid w:val="1DA73124"/>
    <w:rsid w:val="1DAE0556"/>
    <w:rsid w:val="1DB1270C"/>
    <w:rsid w:val="1DB67C12"/>
    <w:rsid w:val="1DB954FD"/>
    <w:rsid w:val="1DCB0132"/>
    <w:rsid w:val="1DCE1DF9"/>
    <w:rsid w:val="1DD50B1E"/>
    <w:rsid w:val="1E060554"/>
    <w:rsid w:val="1E0F6E32"/>
    <w:rsid w:val="1E2B6039"/>
    <w:rsid w:val="1E352541"/>
    <w:rsid w:val="1E415560"/>
    <w:rsid w:val="1E513F56"/>
    <w:rsid w:val="1E5D18EA"/>
    <w:rsid w:val="1E5D2CF6"/>
    <w:rsid w:val="1E604A81"/>
    <w:rsid w:val="1E706AC5"/>
    <w:rsid w:val="1E706D9C"/>
    <w:rsid w:val="1E841A5F"/>
    <w:rsid w:val="1E924026"/>
    <w:rsid w:val="1EA33881"/>
    <w:rsid w:val="1EA40105"/>
    <w:rsid w:val="1EA972F9"/>
    <w:rsid w:val="1EB2093F"/>
    <w:rsid w:val="1EBC7CC4"/>
    <w:rsid w:val="1EC665E8"/>
    <w:rsid w:val="1ED472E2"/>
    <w:rsid w:val="1EDC6093"/>
    <w:rsid w:val="1EDE4328"/>
    <w:rsid w:val="1F524DE1"/>
    <w:rsid w:val="1F59323B"/>
    <w:rsid w:val="1F607006"/>
    <w:rsid w:val="1F6634D3"/>
    <w:rsid w:val="1F69585D"/>
    <w:rsid w:val="1F6B38B0"/>
    <w:rsid w:val="1F9C6DAE"/>
    <w:rsid w:val="1FA519CB"/>
    <w:rsid w:val="1FC64CD9"/>
    <w:rsid w:val="1FD0749B"/>
    <w:rsid w:val="1FE35ADC"/>
    <w:rsid w:val="20392352"/>
    <w:rsid w:val="203A5CDB"/>
    <w:rsid w:val="206823A1"/>
    <w:rsid w:val="207A43DF"/>
    <w:rsid w:val="207F6629"/>
    <w:rsid w:val="20A45ED7"/>
    <w:rsid w:val="20B24112"/>
    <w:rsid w:val="20CB4F5C"/>
    <w:rsid w:val="20CC6CED"/>
    <w:rsid w:val="20D91DD8"/>
    <w:rsid w:val="20DD5762"/>
    <w:rsid w:val="20EE43F2"/>
    <w:rsid w:val="20F301B2"/>
    <w:rsid w:val="20F716A2"/>
    <w:rsid w:val="20F903BB"/>
    <w:rsid w:val="21011A51"/>
    <w:rsid w:val="21096B24"/>
    <w:rsid w:val="210B25F8"/>
    <w:rsid w:val="211E2099"/>
    <w:rsid w:val="2123675E"/>
    <w:rsid w:val="21637A27"/>
    <w:rsid w:val="216C08BA"/>
    <w:rsid w:val="21897EBC"/>
    <w:rsid w:val="21953A9B"/>
    <w:rsid w:val="21A665AD"/>
    <w:rsid w:val="21B33C19"/>
    <w:rsid w:val="21BB34D8"/>
    <w:rsid w:val="21D722C1"/>
    <w:rsid w:val="21DA490D"/>
    <w:rsid w:val="21DF24FF"/>
    <w:rsid w:val="21EF43AE"/>
    <w:rsid w:val="22136A87"/>
    <w:rsid w:val="222C0C93"/>
    <w:rsid w:val="224B3D5F"/>
    <w:rsid w:val="2258252F"/>
    <w:rsid w:val="225E4F1E"/>
    <w:rsid w:val="228271DE"/>
    <w:rsid w:val="22846251"/>
    <w:rsid w:val="228F63A9"/>
    <w:rsid w:val="22A177E6"/>
    <w:rsid w:val="22A93850"/>
    <w:rsid w:val="22CB7DB2"/>
    <w:rsid w:val="22E6677E"/>
    <w:rsid w:val="22F916E9"/>
    <w:rsid w:val="231D3794"/>
    <w:rsid w:val="233236E3"/>
    <w:rsid w:val="233B768D"/>
    <w:rsid w:val="2346752C"/>
    <w:rsid w:val="23585DD8"/>
    <w:rsid w:val="235B4AD3"/>
    <w:rsid w:val="237D05D8"/>
    <w:rsid w:val="239B1C02"/>
    <w:rsid w:val="239C1861"/>
    <w:rsid w:val="23AB3963"/>
    <w:rsid w:val="23BA793E"/>
    <w:rsid w:val="23D17044"/>
    <w:rsid w:val="23D172B3"/>
    <w:rsid w:val="23D61900"/>
    <w:rsid w:val="23E40684"/>
    <w:rsid w:val="23F23381"/>
    <w:rsid w:val="24094E30"/>
    <w:rsid w:val="2411563C"/>
    <w:rsid w:val="242447AF"/>
    <w:rsid w:val="24334C53"/>
    <w:rsid w:val="24453D47"/>
    <w:rsid w:val="24522DAA"/>
    <w:rsid w:val="24593D83"/>
    <w:rsid w:val="245F71B5"/>
    <w:rsid w:val="24771FAD"/>
    <w:rsid w:val="24D75451"/>
    <w:rsid w:val="24DC47FF"/>
    <w:rsid w:val="25005256"/>
    <w:rsid w:val="250439EF"/>
    <w:rsid w:val="2557729C"/>
    <w:rsid w:val="255A6A4F"/>
    <w:rsid w:val="257239B5"/>
    <w:rsid w:val="257A3E03"/>
    <w:rsid w:val="258C3DF5"/>
    <w:rsid w:val="25B87BA1"/>
    <w:rsid w:val="25E1786F"/>
    <w:rsid w:val="25EB11E1"/>
    <w:rsid w:val="25F252DE"/>
    <w:rsid w:val="25F453F1"/>
    <w:rsid w:val="25F574EA"/>
    <w:rsid w:val="260B280F"/>
    <w:rsid w:val="263F3EBB"/>
    <w:rsid w:val="266E1364"/>
    <w:rsid w:val="268237EA"/>
    <w:rsid w:val="268E2249"/>
    <w:rsid w:val="26A67D94"/>
    <w:rsid w:val="26C52C94"/>
    <w:rsid w:val="26E51871"/>
    <w:rsid w:val="26EC52C4"/>
    <w:rsid w:val="26FD1062"/>
    <w:rsid w:val="27102E1E"/>
    <w:rsid w:val="27224B0F"/>
    <w:rsid w:val="272C35EF"/>
    <w:rsid w:val="272F1E9F"/>
    <w:rsid w:val="2740495D"/>
    <w:rsid w:val="27423D01"/>
    <w:rsid w:val="274E1A68"/>
    <w:rsid w:val="27550634"/>
    <w:rsid w:val="2764417B"/>
    <w:rsid w:val="27773308"/>
    <w:rsid w:val="27795A37"/>
    <w:rsid w:val="278476CC"/>
    <w:rsid w:val="27B25792"/>
    <w:rsid w:val="27C76968"/>
    <w:rsid w:val="27F710A0"/>
    <w:rsid w:val="280B707A"/>
    <w:rsid w:val="281D59F0"/>
    <w:rsid w:val="282E0D0A"/>
    <w:rsid w:val="283659E1"/>
    <w:rsid w:val="284F7247"/>
    <w:rsid w:val="2854115A"/>
    <w:rsid w:val="286744CD"/>
    <w:rsid w:val="287B2854"/>
    <w:rsid w:val="2887096F"/>
    <w:rsid w:val="28891A68"/>
    <w:rsid w:val="28B0142C"/>
    <w:rsid w:val="28B031C4"/>
    <w:rsid w:val="28B813D8"/>
    <w:rsid w:val="28C05393"/>
    <w:rsid w:val="28C15F16"/>
    <w:rsid w:val="28C8217E"/>
    <w:rsid w:val="28D13A25"/>
    <w:rsid w:val="28E23AA6"/>
    <w:rsid w:val="28F24BB1"/>
    <w:rsid w:val="291433AE"/>
    <w:rsid w:val="292274D8"/>
    <w:rsid w:val="29432A42"/>
    <w:rsid w:val="294F62D4"/>
    <w:rsid w:val="2976043F"/>
    <w:rsid w:val="29834CA6"/>
    <w:rsid w:val="29914406"/>
    <w:rsid w:val="29AA7F26"/>
    <w:rsid w:val="29D014D4"/>
    <w:rsid w:val="29D250A3"/>
    <w:rsid w:val="29D97152"/>
    <w:rsid w:val="29DE670F"/>
    <w:rsid w:val="29EA6773"/>
    <w:rsid w:val="2A2622F9"/>
    <w:rsid w:val="2A2E7A7E"/>
    <w:rsid w:val="2A453934"/>
    <w:rsid w:val="2A4735A8"/>
    <w:rsid w:val="2A5F40B6"/>
    <w:rsid w:val="2ABC6246"/>
    <w:rsid w:val="2AD55C87"/>
    <w:rsid w:val="2B1324F3"/>
    <w:rsid w:val="2B1A174A"/>
    <w:rsid w:val="2B332625"/>
    <w:rsid w:val="2B435CD5"/>
    <w:rsid w:val="2B5120A9"/>
    <w:rsid w:val="2B565E56"/>
    <w:rsid w:val="2B5E4F05"/>
    <w:rsid w:val="2B6A4FED"/>
    <w:rsid w:val="2B7865F9"/>
    <w:rsid w:val="2B8C374E"/>
    <w:rsid w:val="2B8F46B6"/>
    <w:rsid w:val="2B991DFF"/>
    <w:rsid w:val="2BBF1140"/>
    <w:rsid w:val="2BF24C23"/>
    <w:rsid w:val="2BFC6B25"/>
    <w:rsid w:val="2C122B29"/>
    <w:rsid w:val="2C2D3859"/>
    <w:rsid w:val="2C421FD2"/>
    <w:rsid w:val="2C6B4093"/>
    <w:rsid w:val="2C7B029A"/>
    <w:rsid w:val="2C997AF3"/>
    <w:rsid w:val="2C997CDE"/>
    <w:rsid w:val="2C9E14E5"/>
    <w:rsid w:val="2CD25FF8"/>
    <w:rsid w:val="2CF3392B"/>
    <w:rsid w:val="2D010986"/>
    <w:rsid w:val="2D115C4A"/>
    <w:rsid w:val="2D377655"/>
    <w:rsid w:val="2D403484"/>
    <w:rsid w:val="2D651E34"/>
    <w:rsid w:val="2DAB5DC1"/>
    <w:rsid w:val="2DB90102"/>
    <w:rsid w:val="2DDF4989"/>
    <w:rsid w:val="2DF14475"/>
    <w:rsid w:val="2DF83CAE"/>
    <w:rsid w:val="2E0C5D55"/>
    <w:rsid w:val="2E1036F7"/>
    <w:rsid w:val="2E2F76FC"/>
    <w:rsid w:val="2E3B3187"/>
    <w:rsid w:val="2E422DCC"/>
    <w:rsid w:val="2E561494"/>
    <w:rsid w:val="2E754540"/>
    <w:rsid w:val="2E905186"/>
    <w:rsid w:val="2ED2330B"/>
    <w:rsid w:val="2ED67C3B"/>
    <w:rsid w:val="2EDC447A"/>
    <w:rsid w:val="2EE5733A"/>
    <w:rsid w:val="2EEE11AC"/>
    <w:rsid w:val="2EFE35E8"/>
    <w:rsid w:val="2F315682"/>
    <w:rsid w:val="2F391D7A"/>
    <w:rsid w:val="2F4E6128"/>
    <w:rsid w:val="2F593497"/>
    <w:rsid w:val="2F763E73"/>
    <w:rsid w:val="2F80221D"/>
    <w:rsid w:val="2FA6202F"/>
    <w:rsid w:val="2FC82E97"/>
    <w:rsid w:val="2FCD55D5"/>
    <w:rsid w:val="2FDB47FA"/>
    <w:rsid w:val="3002043D"/>
    <w:rsid w:val="301B7F9A"/>
    <w:rsid w:val="302B54AB"/>
    <w:rsid w:val="303F08C7"/>
    <w:rsid w:val="30412492"/>
    <w:rsid w:val="304704C5"/>
    <w:rsid w:val="30615FED"/>
    <w:rsid w:val="307147C9"/>
    <w:rsid w:val="309713C6"/>
    <w:rsid w:val="30A232E4"/>
    <w:rsid w:val="30C50C66"/>
    <w:rsid w:val="30DA03C2"/>
    <w:rsid w:val="30E063D2"/>
    <w:rsid w:val="30ED1711"/>
    <w:rsid w:val="31051242"/>
    <w:rsid w:val="31167200"/>
    <w:rsid w:val="311E32DE"/>
    <w:rsid w:val="312C69BA"/>
    <w:rsid w:val="31393DCB"/>
    <w:rsid w:val="31636DC3"/>
    <w:rsid w:val="316A224B"/>
    <w:rsid w:val="316D2854"/>
    <w:rsid w:val="31712EBC"/>
    <w:rsid w:val="31773920"/>
    <w:rsid w:val="317D5FB6"/>
    <w:rsid w:val="317E09E7"/>
    <w:rsid w:val="318C7F04"/>
    <w:rsid w:val="319259B0"/>
    <w:rsid w:val="319B7966"/>
    <w:rsid w:val="319C5AA7"/>
    <w:rsid w:val="319E3108"/>
    <w:rsid w:val="319F465C"/>
    <w:rsid w:val="31AC6475"/>
    <w:rsid w:val="31C17E80"/>
    <w:rsid w:val="31C32FA3"/>
    <w:rsid w:val="31CD468B"/>
    <w:rsid w:val="31D91BE1"/>
    <w:rsid w:val="31E60856"/>
    <w:rsid w:val="31EA35E8"/>
    <w:rsid w:val="321B4E8B"/>
    <w:rsid w:val="322B0BFF"/>
    <w:rsid w:val="322C0610"/>
    <w:rsid w:val="322E1BFD"/>
    <w:rsid w:val="323A3E96"/>
    <w:rsid w:val="323E22F7"/>
    <w:rsid w:val="32A5173A"/>
    <w:rsid w:val="32BB148C"/>
    <w:rsid w:val="32BB6217"/>
    <w:rsid w:val="32C94702"/>
    <w:rsid w:val="32EA311B"/>
    <w:rsid w:val="33062FB0"/>
    <w:rsid w:val="331F6F11"/>
    <w:rsid w:val="33291ACF"/>
    <w:rsid w:val="333D7CDA"/>
    <w:rsid w:val="336C20F6"/>
    <w:rsid w:val="337B2EC7"/>
    <w:rsid w:val="337D6DD6"/>
    <w:rsid w:val="3395721E"/>
    <w:rsid w:val="339670C9"/>
    <w:rsid w:val="339B1966"/>
    <w:rsid w:val="33A23507"/>
    <w:rsid w:val="33C1178D"/>
    <w:rsid w:val="33CD5CBF"/>
    <w:rsid w:val="33CF6A93"/>
    <w:rsid w:val="33CF7610"/>
    <w:rsid w:val="33D0547F"/>
    <w:rsid w:val="33D52CF0"/>
    <w:rsid w:val="33E3198C"/>
    <w:rsid w:val="33F352AE"/>
    <w:rsid w:val="340A2F83"/>
    <w:rsid w:val="341663D8"/>
    <w:rsid w:val="3438760C"/>
    <w:rsid w:val="343F29ED"/>
    <w:rsid w:val="34491953"/>
    <w:rsid w:val="344F1FA8"/>
    <w:rsid w:val="345721E6"/>
    <w:rsid w:val="3458515E"/>
    <w:rsid w:val="34751483"/>
    <w:rsid w:val="34847AD5"/>
    <w:rsid w:val="34B44B7E"/>
    <w:rsid w:val="34BD6F38"/>
    <w:rsid w:val="34D23D00"/>
    <w:rsid w:val="34F60D9B"/>
    <w:rsid w:val="35056F41"/>
    <w:rsid w:val="350A4AD0"/>
    <w:rsid w:val="350F0702"/>
    <w:rsid w:val="35120377"/>
    <w:rsid w:val="3517770D"/>
    <w:rsid w:val="35537C83"/>
    <w:rsid w:val="35717789"/>
    <w:rsid w:val="35856582"/>
    <w:rsid w:val="35A05C24"/>
    <w:rsid w:val="35A873D1"/>
    <w:rsid w:val="35C76FEA"/>
    <w:rsid w:val="36224A76"/>
    <w:rsid w:val="36312097"/>
    <w:rsid w:val="36395308"/>
    <w:rsid w:val="36460B81"/>
    <w:rsid w:val="36495886"/>
    <w:rsid w:val="36637A63"/>
    <w:rsid w:val="367F4F73"/>
    <w:rsid w:val="3681383F"/>
    <w:rsid w:val="36C61415"/>
    <w:rsid w:val="36CD61B3"/>
    <w:rsid w:val="36DF1B09"/>
    <w:rsid w:val="36F5558D"/>
    <w:rsid w:val="36FA75CB"/>
    <w:rsid w:val="36FE69CC"/>
    <w:rsid w:val="37077031"/>
    <w:rsid w:val="370A446C"/>
    <w:rsid w:val="37186290"/>
    <w:rsid w:val="371F5514"/>
    <w:rsid w:val="37236D14"/>
    <w:rsid w:val="374A1271"/>
    <w:rsid w:val="375E666B"/>
    <w:rsid w:val="376806DB"/>
    <w:rsid w:val="37846EE5"/>
    <w:rsid w:val="37855426"/>
    <w:rsid w:val="37892440"/>
    <w:rsid w:val="379461DF"/>
    <w:rsid w:val="379C5527"/>
    <w:rsid w:val="379F25AA"/>
    <w:rsid w:val="37B129B9"/>
    <w:rsid w:val="37B7331B"/>
    <w:rsid w:val="37BE432D"/>
    <w:rsid w:val="37C0269B"/>
    <w:rsid w:val="37C20289"/>
    <w:rsid w:val="37CC113C"/>
    <w:rsid w:val="37DD3769"/>
    <w:rsid w:val="37F97575"/>
    <w:rsid w:val="37FD02E4"/>
    <w:rsid w:val="37FE4685"/>
    <w:rsid w:val="38316343"/>
    <w:rsid w:val="38540962"/>
    <w:rsid w:val="385E697C"/>
    <w:rsid w:val="387067DB"/>
    <w:rsid w:val="38727B02"/>
    <w:rsid w:val="38812AD7"/>
    <w:rsid w:val="38906310"/>
    <w:rsid w:val="389F481E"/>
    <w:rsid w:val="389F5CD8"/>
    <w:rsid w:val="38AA6BDA"/>
    <w:rsid w:val="38B279EB"/>
    <w:rsid w:val="38B82AF5"/>
    <w:rsid w:val="38C7204D"/>
    <w:rsid w:val="38CC4010"/>
    <w:rsid w:val="38EA6C83"/>
    <w:rsid w:val="38F33F42"/>
    <w:rsid w:val="39041DE8"/>
    <w:rsid w:val="39182CD6"/>
    <w:rsid w:val="392B1828"/>
    <w:rsid w:val="3933761E"/>
    <w:rsid w:val="39452D74"/>
    <w:rsid w:val="394D58E5"/>
    <w:rsid w:val="39933B19"/>
    <w:rsid w:val="39A33CED"/>
    <w:rsid w:val="39B63F14"/>
    <w:rsid w:val="39BB11C0"/>
    <w:rsid w:val="39C027AE"/>
    <w:rsid w:val="39ED5AEC"/>
    <w:rsid w:val="39F25C1A"/>
    <w:rsid w:val="3A2B463D"/>
    <w:rsid w:val="3A386A14"/>
    <w:rsid w:val="3A3C0A2C"/>
    <w:rsid w:val="3A453174"/>
    <w:rsid w:val="3A4B5ACE"/>
    <w:rsid w:val="3A5133D0"/>
    <w:rsid w:val="3A52381C"/>
    <w:rsid w:val="3A58654F"/>
    <w:rsid w:val="3A687E26"/>
    <w:rsid w:val="3A8322BE"/>
    <w:rsid w:val="3AC638AE"/>
    <w:rsid w:val="3AC7728A"/>
    <w:rsid w:val="3ACB380C"/>
    <w:rsid w:val="3AEC176E"/>
    <w:rsid w:val="3AF6205F"/>
    <w:rsid w:val="3B050D2B"/>
    <w:rsid w:val="3B1D2FE9"/>
    <w:rsid w:val="3B1F566C"/>
    <w:rsid w:val="3B265D2B"/>
    <w:rsid w:val="3B3B78BC"/>
    <w:rsid w:val="3B497D60"/>
    <w:rsid w:val="3B4D0406"/>
    <w:rsid w:val="3B4F3729"/>
    <w:rsid w:val="3B5B70C5"/>
    <w:rsid w:val="3B5C1C29"/>
    <w:rsid w:val="3B716F78"/>
    <w:rsid w:val="3B8725C8"/>
    <w:rsid w:val="3B8A763F"/>
    <w:rsid w:val="3BB54638"/>
    <w:rsid w:val="3BD62991"/>
    <w:rsid w:val="3BD95935"/>
    <w:rsid w:val="3BF34A5A"/>
    <w:rsid w:val="3C2A50F0"/>
    <w:rsid w:val="3C2A7308"/>
    <w:rsid w:val="3C2B11E4"/>
    <w:rsid w:val="3C40286C"/>
    <w:rsid w:val="3C4373C4"/>
    <w:rsid w:val="3C582105"/>
    <w:rsid w:val="3C8D3F87"/>
    <w:rsid w:val="3C9508B9"/>
    <w:rsid w:val="3CB24362"/>
    <w:rsid w:val="3CBE1861"/>
    <w:rsid w:val="3CD06F1D"/>
    <w:rsid w:val="3CD9405C"/>
    <w:rsid w:val="3CDB019A"/>
    <w:rsid w:val="3CE83CA8"/>
    <w:rsid w:val="3CE95BF7"/>
    <w:rsid w:val="3CF672F5"/>
    <w:rsid w:val="3D087088"/>
    <w:rsid w:val="3D11065F"/>
    <w:rsid w:val="3D32517E"/>
    <w:rsid w:val="3D523215"/>
    <w:rsid w:val="3D5B4B1B"/>
    <w:rsid w:val="3D7778E1"/>
    <w:rsid w:val="3D797324"/>
    <w:rsid w:val="3DA13D55"/>
    <w:rsid w:val="3DD64A42"/>
    <w:rsid w:val="3DE738D7"/>
    <w:rsid w:val="3DFF7691"/>
    <w:rsid w:val="3E0D7DE3"/>
    <w:rsid w:val="3E21293C"/>
    <w:rsid w:val="3E6A644A"/>
    <w:rsid w:val="3E711D4C"/>
    <w:rsid w:val="3E861F2A"/>
    <w:rsid w:val="3E865C72"/>
    <w:rsid w:val="3E904DB9"/>
    <w:rsid w:val="3E920965"/>
    <w:rsid w:val="3E92378D"/>
    <w:rsid w:val="3E96143D"/>
    <w:rsid w:val="3EB47FE1"/>
    <w:rsid w:val="3EC57D85"/>
    <w:rsid w:val="3ECB596D"/>
    <w:rsid w:val="3ED81093"/>
    <w:rsid w:val="3EF76DEB"/>
    <w:rsid w:val="3F05312D"/>
    <w:rsid w:val="3F147322"/>
    <w:rsid w:val="3F1B7BDA"/>
    <w:rsid w:val="3F2D379F"/>
    <w:rsid w:val="3F3A5752"/>
    <w:rsid w:val="3F4F53D8"/>
    <w:rsid w:val="3F7561FB"/>
    <w:rsid w:val="3F787463"/>
    <w:rsid w:val="3F7D0582"/>
    <w:rsid w:val="3F8175A9"/>
    <w:rsid w:val="3F8651F0"/>
    <w:rsid w:val="3F9110FB"/>
    <w:rsid w:val="3F970AC9"/>
    <w:rsid w:val="3F983970"/>
    <w:rsid w:val="3FA04C1F"/>
    <w:rsid w:val="3FAB3EF2"/>
    <w:rsid w:val="3FAE48CE"/>
    <w:rsid w:val="3FB74B79"/>
    <w:rsid w:val="3FB97FE1"/>
    <w:rsid w:val="3FC62C11"/>
    <w:rsid w:val="3FE10133"/>
    <w:rsid w:val="3FE75BDA"/>
    <w:rsid w:val="3FF03FC2"/>
    <w:rsid w:val="400401B1"/>
    <w:rsid w:val="400F586A"/>
    <w:rsid w:val="40225FCC"/>
    <w:rsid w:val="40226334"/>
    <w:rsid w:val="402C43AB"/>
    <w:rsid w:val="402D0F85"/>
    <w:rsid w:val="4031573F"/>
    <w:rsid w:val="403645F3"/>
    <w:rsid w:val="40491F46"/>
    <w:rsid w:val="40A80747"/>
    <w:rsid w:val="40A86353"/>
    <w:rsid w:val="40AB287A"/>
    <w:rsid w:val="40AD206C"/>
    <w:rsid w:val="40B10073"/>
    <w:rsid w:val="40B158D4"/>
    <w:rsid w:val="40BA0BCA"/>
    <w:rsid w:val="40C2335B"/>
    <w:rsid w:val="40C64420"/>
    <w:rsid w:val="40C937AA"/>
    <w:rsid w:val="40CC47B9"/>
    <w:rsid w:val="40E41DEF"/>
    <w:rsid w:val="40F17FA1"/>
    <w:rsid w:val="40F2485A"/>
    <w:rsid w:val="40FC47E1"/>
    <w:rsid w:val="410209A3"/>
    <w:rsid w:val="41326F61"/>
    <w:rsid w:val="41345493"/>
    <w:rsid w:val="4138297C"/>
    <w:rsid w:val="414E1151"/>
    <w:rsid w:val="41827D8C"/>
    <w:rsid w:val="4188317F"/>
    <w:rsid w:val="41924FB9"/>
    <w:rsid w:val="41AC7FD4"/>
    <w:rsid w:val="41B34DF1"/>
    <w:rsid w:val="41BB0480"/>
    <w:rsid w:val="41BF708C"/>
    <w:rsid w:val="42041BE8"/>
    <w:rsid w:val="42097713"/>
    <w:rsid w:val="420D42E6"/>
    <w:rsid w:val="420E5E83"/>
    <w:rsid w:val="42186FAF"/>
    <w:rsid w:val="42436B6D"/>
    <w:rsid w:val="42635B8E"/>
    <w:rsid w:val="429A023C"/>
    <w:rsid w:val="42BB2A5D"/>
    <w:rsid w:val="42BF6F32"/>
    <w:rsid w:val="42CB6444"/>
    <w:rsid w:val="42F8184A"/>
    <w:rsid w:val="430A6E5A"/>
    <w:rsid w:val="4330416F"/>
    <w:rsid w:val="433E2AAC"/>
    <w:rsid w:val="434042F0"/>
    <w:rsid w:val="434F7A62"/>
    <w:rsid w:val="436752A6"/>
    <w:rsid w:val="43804E58"/>
    <w:rsid w:val="43843FDD"/>
    <w:rsid w:val="439F0E69"/>
    <w:rsid w:val="43D7406A"/>
    <w:rsid w:val="43DC5799"/>
    <w:rsid w:val="43F42B17"/>
    <w:rsid w:val="441A3D23"/>
    <w:rsid w:val="441E1F6C"/>
    <w:rsid w:val="44284DFE"/>
    <w:rsid w:val="443B29FC"/>
    <w:rsid w:val="443B4DCB"/>
    <w:rsid w:val="443D5D23"/>
    <w:rsid w:val="445D060C"/>
    <w:rsid w:val="4464327A"/>
    <w:rsid w:val="446A3FBF"/>
    <w:rsid w:val="449D077A"/>
    <w:rsid w:val="44A80AAF"/>
    <w:rsid w:val="44D8473A"/>
    <w:rsid w:val="44DE3A00"/>
    <w:rsid w:val="44E37827"/>
    <w:rsid w:val="44E46FB8"/>
    <w:rsid w:val="44E701A5"/>
    <w:rsid w:val="45080D22"/>
    <w:rsid w:val="450E74EC"/>
    <w:rsid w:val="45265484"/>
    <w:rsid w:val="452D74E0"/>
    <w:rsid w:val="45396AC7"/>
    <w:rsid w:val="457C4123"/>
    <w:rsid w:val="45855844"/>
    <w:rsid w:val="458B69F6"/>
    <w:rsid w:val="45981A81"/>
    <w:rsid w:val="45A54ECE"/>
    <w:rsid w:val="45A647C9"/>
    <w:rsid w:val="45BD516F"/>
    <w:rsid w:val="45C943D0"/>
    <w:rsid w:val="45DA6464"/>
    <w:rsid w:val="45DA6D30"/>
    <w:rsid w:val="45DE14B8"/>
    <w:rsid w:val="46204608"/>
    <w:rsid w:val="463842DE"/>
    <w:rsid w:val="46386E53"/>
    <w:rsid w:val="4639036D"/>
    <w:rsid w:val="463A05A5"/>
    <w:rsid w:val="463A5557"/>
    <w:rsid w:val="46460291"/>
    <w:rsid w:val="464A0A81"/>
    <w:rsid w:val="46625A9D"/>
    <w:rsid w:val="4666004F"/>
    <w:rsid w:val="466C30FA"/>
    <w:rsid w:val="46840DB6"/>
    <w:rsid w:val="469506DA"/>
    <w:rsid w:val="469B1818"/>
    <w:rsid w:val="46A9385A"/>
    <w:rsid w:val="46B32D03"/>
    <w:rsid w:val="46BB27C6"/>
    <w:rsid w:val="46C834CD"/>
    <w:rsid w:val="46CA4E0D"/>
    <w:rsid w:val="470B23CA"/>
    <w:rsid w:val="472762D3"/>
    <w:rsid w:val="47454177"/>
    <w:rsid w:val="474F15D8"/>
    <w:rsid w:val="4754049B"/>
    <w:rsid w:val="475E7C0D"/>
    <w:rsid w:val="476415D8"/>
    <w:rsid w:val="47701558"/>
    <w:rsid w:val="477426A5"/>
    <w:rsid w:val="47873BD6"/>
    <w:rsid w:val="4798256A"/>
    <w:rsid w:val="47A969F7"/>
    <w:rsid w:val="47B2336A"/>
    <w:rsid w:val="47BA4F6E"/>
    <w:rsid w:val="47D7366E"/>
    <w:rsid w:val="47E12DA0"/>
    <w:rsid w:val="480F2DD4"/>
    <w:rsid w:val="486C3D94"/>
    <w:rsid w:val="48A226AD"/>
    <w:rsid w:val="48A53C1E"/>
    <w:rsid w:val="48B2699F"/>
    <w:rsid w:val="48B67D8D"/>
    <w:rsid w:val="48C260C0"/>
    <w:rsid w:val="490250E0"/>
    <w:rsid w:val="4902628A"/>
    <w:rsid w:val="490B2882"/>
    <w:rsid w:val="492412C0"/>
    <w:rsid w:val="494C12D7"/>
    <w:rsid w:val="494E7D53"/>
    <w:rsid w:val="4988006D"/>
    <w:rsid w:val="499646A6"/>
    <w:rsid w:val="499F4D25"/>
    <w:rsid w:val="49B26E0D"/>
    <w:rsid w:val="49BB06FB"/>
    <w:rsid w:val="49BC2A68"/>
    <w:rsid w:val="49C135BD"/>
    <w:rsid w:val="49C30327"/>
    <w:rsid w:val="49F04BCB"/>
    <w:rsid w:val="49FD451C"/>
    <w:rsid w:val="4A02141C"/>
    <w:rsid w:val="4A07044F"/>
    <w:rsid w:val="4A152F65"/>
    <w:rsid w:val="4A211AFC"/>
    <w:rsid w:val="4A3E0914"/>
    <w:rsid w:val="4A3F1207"/>
    <w:rsid w:val="4A4A06BE"/>
    <w:rsid w:val="4A51007F"/>
    <w:rsid w:val="4A57472F"/>
    <w:rsid w:val="4A715E3D"/>
    <w:rsid w:val="4A8A336D"/>
    <w:rsid w:val="4A9F273E"/>
    <w:rsid w:val="4AA21AF5"/>
    <w:rsid w:val="4AA9131E"/>
    <w:rsid w:val="4AB72982"/>
    <w:rsid w:val="4B1B2082"/>
    <w:rsid w:val="4B322BA7"/>
    <w:rsid w:val="4B635F8B"/>
    <w:rsid w:val="4B65032C"/>
    <w:rsid w:val="4B712A43"/>
    <w:rsid w:val="4B82202B"/>
    <w:rsid w:val="4B9D0CCC"/>
    <w:rsid w:val="4BBE1692"/>
    <w:rsid w:val="4BCA0C2B"/>
    <w:rsid w:val="4BD65A7B"/>
    <w:rsid w:val="4C0B49E3"/>
    <w:rsid w:val="4C0C321C"/>
    <w:rsid w:val="4C180EC0"/>
    <w:rsid w:val="4C696745"/>
    <w:rsid w:val="4C6C54AA"/>
    <w:rsid w:val="4C737423"/>
    <w:rsid w:val="4C8B7167"/>
    <w:rsid w:val="4C987A51"/>
    <w:rsid w:val="4C993ABE"/>
    <w:rsid w:val="4CAA2DCE"/>
    <w:rsid w:val="4CB41FE9"/>
    <w:rsid w:val="4CB96EE9"/>
    <w:rsid w:val="4CD66C96"/>
    <w:rsid w:val="4CDC5A3B"/>
    <w:rsid w:val="4CDF0E5D"/>
    <w:rsid w:val="4CE376D5"/>
    <w:rsid w:val="4CEF1B21"/>
    <w:rsid w:val="4D0D3FCB"/>
    <w:rsid w:val="4D547564"/>
    <w:rsid w:val="4D653A8E"/>
    <w:rsid w:val="4D6C65CD"/>
    <w:rsid w:val="4D711D96"/>
    <w:rsid w:val="4D8217BA"/>
    <w:rsid w:val="4D940551"/>
    <w:rsid w:val="4D9C1BB4"/>
    <w:rsid w:val="4DC65A69"/>
    <w:rsid w:val="4DDE6D95"/>
    <w:rsid w:val="4DF4626D"/>
    <w:rsid w:val="4DFA655B"/>
    <w:rsid w:val="4DFC20A2"/>
    <w:rsid w:val="4DFF1B97"/>
    <w:rsid w:val="4E020B1B"/>
    <w:rsid w:val="4E043535"/>
    <w:rsid w:val="4E1362FB"/>
    <w:rsid w:val="4E25360E"/>
    <w:rsid w:val="4E2719FC"/>
    <w:rsid w:val="4E2A3123"/>
    <w:rsid w:val="4E3833C2"/>
    <w:rsid w:val="4E5E12F1"/>
    <w:rsid w:val="4E62045F"/>
    <w:rsid w:val="4E783F31"/>
    <w:rsid w:val="4EAC689C"/>
    <w:rsid w:val="4EB02D1C"/>
    <w:rsid w:val="4EB25AA5"/>
    <w:rsid w:val="4EDD2691"/>
    <w:rsid w:val="4EE2246C"/>
    <w:rsid w:val="4EF911E3"/>
    <w:rsid w:val="4EF94046"/>
    <w:rsid w:val="4F0048E8"/>
    <w:rsid w:val="4F0C760F"/>
    <w:rsid w:val="4F15188C"/>
    <w:rsid w:val="4F254410"/>
    <w:rsid w:val="4F255836"/>
    <w:rsid w:val="4F29165C"/>
    <w:rsid w:val="4F31752D"/>
    <w:rsid w:val="4F3F24FD"/>
    <w:rsid w:val="4F424E2C"/>
    <w:rsid w:val="4F4F67C3"/>
    <w:rsid w:val="4F580453"/>
    <w:rsid w:val="4F647CAE"/>
    <w:rsid w:val="4F7F4759"/>
    <w:rsid w:val="4F8A3560"/>
    <w:rsid w:val="4F8A6E9D"/>
    <w:rsid w:val="4FA00EA1"/>
    <w:rsid w:val="4FA7410F"/>
    <w:rsid w:val="4FB10DBD"/>
    <w:rsid w:val="4FD02150"/>
    <w:rsid w:val="4FD47514"/>
    <w:rsid w:val="4FDC31A9"/>
    <w:rsid w:val="4FE15CB0"/>
    <w:rsid w:val="4FF525AA"/>
    <w:rsid w:val="4FF63DCE"/>
    <w:rsid w:val="50091EC3"/>
    <w:rsid w:val="500A5543"/>
    <w:rsid w:val="501D01A2"/>
    <w:rsid w:val="501D19C7"/>
    <w:rsid w:val="50372FFC"/>
    <w:rsid w:val="50381A05"/>
    <w:rsid w:val="504305E6"/>
    <w:rsid w:val="504C6018"/>
    <w:rsid w:val="50500C93"/>
    <w:rsid w:val="505D0C63"/>
    <w:rsid w:val="506E1264"/>
    <w:rsid w:val="508B7406"/>
    <w:rsid w:val="509F73B0"/>
    <w:rsid w:val="50B26A6B"/>
    <w:rsid w:val="50C20F4E"/>
    <w:rsid w:val="50D40C4B"/>
    <w:rsid w:val="50E46F54"/>
    <w:rsid w:val="50F45E16"/>
    <w:rsid w:val="50FE6A63"/>
    <w:rsid w:val="511C3944"/>
    <w:rsid w:val="5144267E"/>
    <w:rsid w:val="514D07CA"/>
    <w:rsid w:val="515B4EA4"/>
    <w:rsid w:val="51604849"/>
    <w:rsid w:val="51747844"/>
    <w:rsid w:val="51777F08"/>
    <w:rsid w:val="51912DDA"/>
    <w:rsid w:val="51945814"/>
    <w:rsid w:val="51AB47E1"/>
    <w:rsid w:val="51B047FE"/>
    <w:rsid w:val="51B204B9"/>
    <w:rsid w:val="51B56296"/>
    <w:rsid w:val="51C72834"/>
    <w:rsid w:val="51E74EF3"/>
    <w:rsid w:val="520C2961"/>
    <w:rsid w:val="522663BF"/>
    <w:rsid w:val="522F500B"/>
    <w:rsid w:val="52307405"/>
    <w:rsid w:val="5238174F"/>
    <w:rsid w:val="523852D6"/>
    <w:rsid w:val="523E768F"/>
    <w:rsid w:val="5242577E"/>
    <w:rsid w:val="52617AED"/>
    <w:rsid w:val="527076ED"/>
    <w:rsid w:val="52783884"/>
    <w:rsid w:val="52AC28BC"/>
    <w:rsid w:val="52B05067"/>
    <w:rsid w:val="52C04366"/>
    <w:rsid w:val="52CC23E6"/>
    <w:rsid w:val="52D7787C"/>
    <w:rsid w:val="52DE7FFA"/>
    <w:rsid w:val="52E07238"/>
    <w:rsid w:val="52EA11D5"/>
    <w:rsid w:val="530516BE"/>
    <w:rsid w:val="532644A4"/>
    <w:rsid w:val="5329120F"/>
    <w:rsid w:val="53335E53"/>
    <w:rsid w:val="53684C9A"/>
    <w:rsid w:val="536F7921"/>
    <w:rsid w:val="5382736B"/>
    <w:rsid w:val="539E491F"/>
    <w:rsid w:val="53B24EEA"/>
    <w:rsid w:val="53B97E84"/>
    <w:rsid w:val="53BF4F14"/>
    <w:rsid w:val="53C72845"/>
    <w:rsid w:val="53CA6414"/>
    <w:rsid w:val="53D00E36"/>
    <w:rsid w:val="53D31D47"/>
    <w:rsid w:val="53DD499C"/>
    <w:rsid w:val="53EC3034"/>
    <w:rsid w:val="53EF09CA"/>
    <w:rsid w:val="53F014B1"/>
    <w:rsid w:val="5408182A"/>
    <w:rsid w:val="54125F57"/>
    <w:rsid w:val="54187343"/>
    <w:rsid w:val="541C31AF"/>
    <w:rsid w:val="5420466B"/>
    <w:rsid w:val="5433414C"/>
    <w:rsid w:val="54465F20"/>
    <w:rsid w:val="54545107"/>
    <w:rsid w:val="545D4199"/>
    <w:rsid w:val="548237F2"/>
    <w:rsid w:val="54831B18"/>
    <w:rsid w:val="549502FD"/>
    <w:rsid w:val="54AB09A6"/>
    <w:rsid w:val="54AF20D4"/>
    <w:rsid w:val="54B72A99"/>
    <w:rsid w:val="54BC49A0"/>
    <w:rsid w:val="54D509CE"/>
    <w:rsid w:val="55022976"/>
    <w:rsid w:val="5511219D"/>
    <w:rsid w:val="551C096F"/>
    <w:rsid w:val="55240097"/>
    <w:rsid w:val="552C3D46"/>
    <w:rsid w:val="554D13EE"/>
    <w:rsid w:val="556756A7"/>
    <w:rsid w:val="559341A6"/>
    <w:rsid w:val="55C57ADE"/>
    <w:rsid w:val="55CD6D0E"/>
    <w:rsid w:val="55CE22F2"/>
    <w:rsid w:val="55F31C9B"/>
    <w:rsid w:val="55F35F3C"/>
    <w:rsid w:val="56160365"/>
    <w:rsid w:val="561717F3"/>
    <w:rsid w:val="562A0E24"/>
    <w:rsid w:val="562F08F7"/>
    <w:rsid w:val="566A6F5A"/>
    <w:rsid w:val="566E6821"/>
    <w:rsid w:val="5678288C"/>
    <w:rsid w:val="56DD747D"/>
    <w:rsid w:val="56EA3155"/>
    <w:rsid w:val="56EE039D"/>
    <w:rsid w:val="56F96728"/>
    <w:rsid w:val="571F273F"/>
    <w:rsid w:val="572F7A73"/>
    <w:rsid w:val="575B5634"/>
    <w:rsid w:val="575D7EC0"/>
    <w:rsid w:val="576138FC"/>
    <w:rsid w:val="577E0234"/>
    <w:rsid w:val="578736CD"/>
    <w:rsid w:val="578739BB"/>
    <w:rsid w:val="57893C0F"/>
    <w:rsid w:val="5798256F"/>
    <w:rsid w:val="579840C7"/>
    <w:rsid w:val="57C2221D"/>
    <w:rsid w:val="57E1536E"/>
    <w:rsid w:val="57FD673B"/>
    <w:rsid w:val="580E764B"/>
    <w:rsid w:val="583A7FA8"/>
    <w:rsid w:val="58544955"/>
    <w:rsid w:val="58566AE7"/>
    <w:rsid w:val="585962B5"/>
    <w:rsid w:val="585F5B75"/>
    <w:rsid w:val="586D565D"/>
    <w:rsid w:val="587A4269"/>
    <w:rsid w:val="587E45B1"/>
    <w:rsid w:val="589A5A5F"/>
    <w:rsid w:val="58AF402A"/>
    <w:rsid w:val="58B94375"/>
    <w:rsid w:val="58BA4A70"/>
    <w:rsid w:val="58E07BF5"/>
    <w:rsid w:val="5902444F"/>
    <w:rsid w:val="591B5CBF"/>
    <w:rsid w:val="5927514C"/>
    <w:rsid w:val="59455622"/>
    <w:rsid w:val="594F610B"/>
    <w:rsid w:val="595368E2"/>
    <w:rsid w:val="59600EE5"/>
    <w:rsid w:val="59634BDC"/>
    <w:rsid w:val="597E7669"/>
    <w:rsid w:val="59941B20"/>
    <w:rsid w:val="599A4004"/>
    <w:rsid w:val="599B086D"/>
    <w:rsid w:val="59B927ED"/>
    <w:rsid w:val="59BF5C8E"/>
    <w:rsid w:val="59D97EC2"/>
    <w:rsid w:val="59E27409"/>
    <w:rsid w:val="59E52BA1"/>
    <w:rsid w:val="59ED36DC"/>
    <w:rsid w:val="59F15E1E"/>
    <w:rsid w:val="59FC781F"/>
    <w:rsid w:val="5A2838C3"/>
    <w:rsid w:val="5A3526A3"/>
    <w:rsid w:val="5A4E41C1"/>
    <w:rsid w:val="5A516530"/>
    <w:rsid w:val="5A563B55"/>
    <w:rsid w:val="5A6210CC"/>
    <w:rsid w:val="5A7348C9"/>
    <w:rsid w:val="5A7521D8"/>
    <w:rsid w:val="5A7E7218"/>
    <w:rsid w:val="5A9725BE"/>
    <w:rsid w:val="5AA809A8"/>
    <w:rsid w:val="5AC76508"/>
    <w:rsid w:val="5AD45AFB"/>
    <w:rsid w:val="5AD66F70"/>
    <w:rsid w:val="5AFC1624"/>
    <w:rsid w:val="5B037E8A"/>
    <w:rsid w:val="5B095493"/>
    <w:rsid w:val="5B0C55FA"/>
    <w:rsid w:val="5B115BA8"/>
    <w:rsid w:val="5B235AE9"/>
    <w:rsid w:val="5B246A53"/>
    <w:rsid w:val="5B275EF0"/>
    <w:rsid w:val="5B416E74"/>
    <w:rsid w:val="5B437EA2"/>
    <w:rsid w:val="5B534ED1"/>
    <w:rsid w:val="5B8859A0"/>
    <w:rsid w:val="5B9F7743"/>
    <w:rsid w:val="5BB522B5"/>
    <w:rsid w:val="5BBA4618"/>
    <w:rsid w:val="5BE30A05"/>
    <w:rsid w:val="5BF76727"/>
    <w:rsid w:val="5BF84DDB"/>
    <w:rsid w:val="5C111338"/>
    <w:rsid w:val="5C203778"/>
    <w:rsid w:val="5C307CF3"/>
    <w:rsid w:val="5C385C76"/>
    <w:rsid w:val="5C612663"/>
    <w:rsid w:val="5C691941"/>
    <w:rsid w:val="5C7919DF"/>
    <w:rsid w:val="5CB35D47"/>
    <w:rsid w:val="5CC85C68"/>
    <w:rsid w:val="5CEC3A93"/>
    <w:rsid w:val="5CEF405D"/>
    <w:rsid w:val="5CFE5040"/>
    <w:rsid w:val="5D1341B2"/>
    <w:rsid w:val="5D197BF7"/>
    <w:rsid w:val="5D251093"/>
    <w:rsid w:val="5D287B54"/>
    <w:rsid w:val="5D3047D1"/>
    <w:rsid w:val="5D494018"/>
    <w:rsid w:val="5D6B14A2"/>
    <w:rsid w:val="5D973634"/>
    <w:rsid w:val="5D9B0E6A"/>
    <w:rsid w:val="5D9E1AED"/>
    <w:rsid w:val="5D9E4E16"/>
    <w:rsid w:val="5DBA0135"/>
    <w:rsid w:val="5DCD5DE5"/>
    <w:rsid w:val="5DD437EF"/>
    <w:rsid w:val="5DE75AD7"/>
    <w:rsid w:val="5DF16302"/>
    <w:rsid w:val="5DFF4B46"/>
    <w:rsid w:val="5E125FBB"/>
    <w:rsid w:val="5E3450C1"/>
    <w:rsid w:val="5E3B0A10"/>
    <w:rsid w:val="5E424B71"/>
    <w:rsid w:val="5E88108E"/>
    <w:rsid w:val="5E881A80"/>
    <w:rsid w:val="5E920B9E"/>
    <w:rsid w:val="5EA423D5"/>
    <w:rsid w:val="5EB51AB3"/>
    <w:rsid w:val="5EBB2231"/>
    <w:rsid w:val="5EC137CC"/>
    <w:rsid w:val="5EC33621"/>
    <w:rsid w:val="5EF31C67"/>
    <w:rsid w:val="5EF4004E"/>
    <w:rsid w:val="5EF90E0A"/>
    <w:rsid w:val="5EFA106E"/>
    <w:rsid w:val="5EFF06CD"/>
    <w:rsid w:val="5F010576"/>
    <w:rsid w:val="5F0251FA"/>
    <w:rsid w:val="5F282623"/>
    <w:rsid w:val="5F4475AE"/>
    <w:rsid w:val="5F4A6799"/>
    <w:rsid w:val="5F6C2424"/>
    <w:rsid w:val="5F946A7C"/>
    <w:rsid w:val="5FBA79B0"/>
    <w:rsid w:val="5FC61813"/>
    <w:rsid w:val="5FC92441"/>
    <w:rsid w:val="5FCF2358"/>
    <w:rsid w:val="5FD57CF6"/>
    <w:rsid w:val="5FF50EAD"/>
    <w:rsid w:val="600676E3"/>
    <w:rsid w:val="601C5687"/>
    <w:rsid w:val="602B7B91"/>
    <w:rsid w:val="60391C4C"/>
    <w:rsid w:val="603B021E"/>
    <w:rsid w:val="60584683"/>
    <w:rsid w:val="605C7462"/>
    <w:rsid w:val="606F768E"/>
    <w:rsid w:val="607300F4"/>
    <w:rsid w:val="608D00E3"/>
    <w:rsid w:val="60992490"/>
    <w:rsid w:val="60A1419A"/>
    <w:rsid w:val="60A43A47"/>
    <w:rsid w:val="60B75A38"/>
    <w:rsid w:val="60C33C2B"/>
    <w:rsid w:val="60D1580F"/>
    <w:rsid w:val="60E97ACC"/>
    <w:rsid w:val="61160E7E"/>
    <w:rsid w:val="61311E12"/>
    <w:rsid w:val="61637659"/>
    <w:rsid w:val="617C570B"/>
    <w:rsid w:val="61853804"/>
    <w:rsid w:val="619439F8"/>
    <w:rsid w:val="619B53CA"/>
    <w:rsid w:val="619F1D80"/>
    <w:rsid w:val="619F3E9B"/>
    <w:rsid w:val="61A56DFA"/>
    <w:rsid w:val="61A67DD1"/>
    <w:rsid w:val="61EB5F1D"/>
    <w:rsid w:val="62156114"/>
    <w:rsid w:val="621B5631"/>
    <w:rsid w:val="621D3C4D"/>
    <w:rsid w:val="62383A2C"/>
    <w:rsid w:val="626D5F91"/>
    <w:rsid w:val="627E7D9D"/>
    <w:rsid w:val="628407FE"/>
    <w:rsid w:val="62850B19"/>
    <w:rsid w:val="62880405"/>
    <w:rsid w:val="629073C4"/>
    <w:rsid w:val="62950FFA"/>
    <w:rsid w:val="629872DB"/>
    <w:rsid w:val="62996318"/>
    <w:rsid w:val="62AA6D2C"/>
    <w:rsid w:val="62B0179B"/>
    <w:rsid w:val="62CC094F"/>
    <w:rsid w:val="630334E9"/>
    <w:rsid w:val="630738C4"/>
    <w:rsid w:val="6319788B"/>
    <w:rsid w:val="63242B23"/>
    <w:rsid w:val="632F6C03"/>
    <w:rsid w:val="632F7153"/>
    <w:rsid w:val="634463B2"/>
    <w:rsid w:val="635C73A1"/>
    <w:rsid w:val="63721EE7"/>
    <w:rsid w:val="63743838"/>
    <w:rsid w:val="637455EF"/>
    <w:rsid w:val="637509AF"/>
    <w:rsid w:val="63A23228"/>
    <w:rsid w:val="63AB5D44"/>
    <w:rsid w:val="63B04CF8"/>
    <w:rsid w:val="63BA7188"/>
    <w:rsid w:val="63DF59C2"/>
    <w:rsid w:val="63E6136F"/>
    <w:rsid w:val="63EA625B"/>
    <w:rsid w:val="63FC6F31"/>
    <w:rsid w:val="642E4F72"/>
    <w:rsid w:val="643A28D2"/>
    <w:rsid w:val="646469D4"/>
    <w:rsid w:val="647A419D"/>
    <w:rsid w:val="64846083"/>
    <w:rsid w:val="64851089"/>
    <w:rsid w:val="648C39B3"/>
    <w:rsid w:val="64983CC9"/>
    <w:rsid w:val="64B109D5"/>
    <w:rsid w:val="64DF774E"/>
    <w:rsid w:val="64E43E7F"/>
    <w:rsid w:val="64FE5C71"/>
    <w:rsid w:val="65107E36"/>
    <w:rsid w:val="654231AD"/>
    <w:rsid w:val="654C59B8"/>
    <w:rsid w:val="654E476E"/>
    <w:rsid w:val="657B11CD"/>
    <w:rsid w:val="658A6BCD"/>
    <w:rsid w:val="659D0782"/>
    <w:rsid w:val="659D7C90"/>
    <w:rsid w:val="65D04EEB"/>
    <w:rsid w:val="65D424B9"/>
    <w:rsid w:val="66001BA4"/>
    <w:rsid w:val="66025947"/>
    <w:rsid w:val="66302D67"/>
    <w:rsid w:val="663C7469"/>
    <w:rsid w:val="66B8269C"/>
    <w:rsid w:val="66B91BFB"/>
    <w:rsid w:val="66DA6749"/>
    <w:rsid w:val="66F12F06"/>
    <w:rsid w:val="671D46C8"/>
    <w:rsid w:val="671F22A3"/>
    <w:rsid w:val="67237599"/>
    <w:rsid w:val="67291A35"/>
    <w:rsid w:val="673669FF"/>
    <w:rsid w:val="67393CB7"/>
    <w:rsid w:val="673C6439"/>
    <w:rsid w:val="67485FEB"/>
    <w:rsid w:val="676A0B2B"/>
    <w:rsid w:val="676C3006"/>
    <w:rsid w:val="67827A7F"/>
    <w:rsid w:val="67887523"/>
    <w:rsid w:val="678F4E08"/>
    <w:rsid w:val="67A667D3"/>
    <w:rsid w:val="67A74C82"/>
    <w:rsid w:val="67A95111"/>
    <w:rsid w:val="67BE4135"/>
    <w:rsid w:val="67C365BF"/>
    <w:rsid w:val="67D8341E"/>
    <w:rsid w:val="67E46FF5"/>
    <w:rsid w:val="67ED6C16"/>
    <w:rsid w:val="680A6C82"/>
    <w:rsid w:val="6824034C"/>
    <w:rsid w:val="683422D9"/>
    <w:rsid w:val="683E3347"/>
    <w:rsid w:val="685E57CE"/>
    <w:rsid w:val="685F4AA0"/>
    <w:rsid w:val="68623D3F"/>
    <w:rsid w:val="686C7E0A"/>
    <w:rsid w:val="68757042"/>
    <w:rsid w:val="687D6111"/>
    <w:rsid w:val="6886166B"/>
    <w:rsid w:val="6895453F"/>
    <w:rsid w:val="68954A3C"/>
    <w:rsid w:val="689B0DF8"/>
    <w:rsid w:val="68B5096E"/>
    <w:rsid w:val="68BE0F9F"/>
    <w:rsid w:val="68CC10BC"/>
    <w:rsid w:val="68F44B09"/>
    <w:rsid w:val="68FA1B9A"/>
    <w:rsid w:val="6908074B"/>
    <w:rsid w:val="694E046E"/>
    <w:rsid w:val="69652D27"/>
    <w:rsid w:val="69784AF7"/>
    <w:rsid w:val="69952A0C"/>
    <w:rsid w:val="699A1218"/>
    <w:rsid w:val="699A58D3"/>
    <w:rsid w:val="699B4BDB"/>
    <w:rsid w:val="69A51678"/>
    <w:rsid w:val="69BB329B"/>
    <w:rsid w:val="69BD4C61"/>
    <w:rsid w:val="69E47849"/>
    <w:rsid w:val="69FA1728"/>
    <w:rsid w:val="69FB797B"/>
    <w:rsid w:val="69FC56C6"/>
    <w:rsid w:val="69FD3B6F"/>
    <w:rsid w:val="6A0065EF"/>
    <w:rsid w:val="6A107302"/>
    <w:rsid w:val="6A1F1C32"/>
    <w:rsid w:val="6A616283"/>
    <w:rsid w:val="6A641407"/>
    <w:rsid w:val="6A656882"/>
    <w:rsid w:val="6A8B60FB"/>
    <w:rsid w:val="6A9674BF"/>
    <w:rsid w:val="6A9A37E0"/>
    <w:rsid w:val="6A9E195B"/>
    <w:rsid w:val="6AA604CA"/>
    <w:rsid w:val="6AB67B97"/>
    <w:rsid w:val="6AD67FB2"/>
    <w:rsid w:val="6ADB41F3"/>
    <w:rsid w:val="6AFB4F4A"/>
    <w:rsid w:val="6B12444F"/>
    <w:rsid w:val="6B2A12A7"/>
    <w:rsid w:val="6B4533C9"/>
    <w:rsid w:val="6B5C39DF"/>
    <w:rsid w:val="6B5E11EE"/>
    <w:rsid w:val="6B6101E7"/>
    <w:rsid w:val="6B611EB1"/>
    <w:rsid w:val="6B961766"/>
    <w:rsid w:val="6BC8334A"/>
    <w:rsid w:val="6BD61A98"/>
    <w:rsid w:val="6BF77F96"/>
    <w:rsid w:val="6BFE19E1"/>
    <w:rsid w:val="6C050A47"/>
    <w:rsid w:val="6C0B1A74"/>
    <w:rsid w:val="6C16659B"/>
    <w:rsid w:val="6C173FCA"/>
    <w:rsid w:val="6C2025D8"/>
    <w:rsid w:val="6C27235B"/>
    <w:rsid w:val="6C3342D8"/>
    <w:rsid w:val="6C394A8B"/>
    <w:rsid w:val="6C420156"/>
    <w:rsid w:val="6C5142B7"/>
    <w:rsid w:val="6C7457E7"/>
    <w:rsid w:val="6C7D6E82"/>
    <w:rsid w:val="6C8311C3"/>
    <w:rsid w:val="6CA43F90"/>
    <w:rsid w:val="6CA5691E"/>
    <w:rsid w:val="6CBF0551"/>
    <w:rsid w:val="6CE64675"/>
    <w:rsid w:val="6CFC1EEB"/>
    <w:rsid w:val="6CFD2D93"/>
    <w:rsid w:val="6D102DD3"/>
    <w:rsid w:val="6D1B3C07"/>
    <w:rsid w:val="6D290842"/>
    <w:rsid w:val="6D3264E1"/>
    <w:rsid w:val="6D5F2AD0"/>
    <w:rsid w:val="6D680792"/>
    <w:rsid w:val="6D6E01D3"/>
    <w:rsid w:val="6D7376D1"/>
    <w:rsid w:val="6D9344A9"/>
    <w:rsid w:val="6DAB0FE0"/>
    <w:rsid w:val="6DBA7E85"/>
    <w:rsid w:val="6DEB24A9"/>
    <w:rsid w:val="6DEE7FF8"/>
    <w:rsid w:val="6E0B6604"/>
    <w:rsid w:val="6E1E5CB1"/>
    <w:rsid w:val="6E51496A"/>
    <w:rsid w:val="6E8555D0"/>
    <w:rsid w:val="6E876629"/>
    <w:rsid w:val="6E893B3A"/>
    <w:rsid w:val="6EAC7F6A"/>
    <w:rsid w:val="6EDA7020"/>
    <w:rsid w:val="6EDF1C43"/>
    <w:rsid w:val="6F08338C"/>
    <w:rsid w:val="6F101B9E"/>
    <w:rsid w:val="6F1B6C25"/>
    <w:rsid w:val="6F4173F5"/>
    <w:rsid w:val="6F492FDA"/>
    <w:rsid w:val="6F561A7D"/>
    <w:rsid w:val="6F6005AE"/>
    <w:rsid w:val="6F6A1B5E"/>
    <w:rsid w:val="6FA629B9"/>
    <w:rsid w:val="6FB41CDF"/>
    <w:rsid w:val="6FD5593E"/>
    <w:rsid w:val="6FE52B7F"/>
    <w:rsid w:val="700470F6"/>
    <w:rsid w:val="70047746"/>
    <w:rsid w:val="700B2945"/>
    <w:rsid w:val="700D135A"/>
    <w:rsid w:val="701B22C2"/>
    <w:rsid w:val="704A18A5"/>
    <w:rsid w:val="70535193"/>
    <w:rsid w:val="705353D7"/>
    <w:rsid w:val="70595CFD"/>
    <w:rsid w:val="70731CBA"/>
    <w:rsid w:val="70AB2A5F"/>
    <w:rsid w:val="70C40F6B"/>
    <w:rsid w:val="70FF2B52"/>
    <w:rsid w:val="71053071"/>
    <w:rsid w:val="710C4547"/>
    <w:rsid w:val="71146B3B"/>
    <w:rsid w:val="711E1A75"/>
    <w:rsid w:val="712629D6"/>
    <w:rsid w:val="712962EA"/>
    <w:rsid w:val="715E5257"/>
    <w:rsid w:val="718176C8"/>
    <w:rsid w:val="71BB1264"/>
    <w:rsid w:val="71C14470"/>
    <w:rsid w:val="71DD01AD"/>
    <w:rsid w:val="71E01DDD"/>
    <w:rsid w:val="71F11637"/>
    <w:rsid w:val="71F30847"/>
    <w:rsid w:val="72265FC8"/>
    <w:rsid w:val="722E55D3"/>
    <w:rsid w:val="723D68AF"/>
    <w:rsid w:val="724721AC"/>
    <w:rsid w:val="72705108"/>
    <w:rsid w:val="727F74C9"/>
    <w:rsid w:val="729452D5"/>
    <w:rsid w:val="72BC262E"/>
    <w:rsid w:val="72BF6492"/>
    <w:rsid w:val="72D6030D"/>
    <w:rsid w:val="72F657B0"/>
    <w:rsid w:val="72FC409A"/>
    <w:rsid w:val="73032FC0"/>
    <w:rsid w:val="730F48D7"/>
    <w:rsid w:val="73253B84"/>
    <w:rsid w:val="733D0BED"/>
    <w:rsid w:val="737B5C68"/>
    <w:rsid w:val="738707F8"/>
    <w:rsid w:val="738754CA"/>
    <w:rsid w:val="738B6F89"/>
    <w:rsid w:val="73C056D8"/>
    <w:rsid w:val="73CB6AC4"/>
    <w:rsid w:val="73D04B41"/>
    <w:rsid w:val="73D87921"/>
    <w:rsid w:val="73ED1A3A"/>
    <w:rsid w:val="73F05696"/>
    <w:rsid w:val="73F50B6F"/>
    <w:rsid w:val="74146799"/>
    <w:rsid w:val="741A1B16"/>
    <w:rsid w:val="741E67C6"/>
    <w:rsid w:val="742C5E27"/>
    <w:rsid w:val="743D10D3"/>
    <w:rsid w:val="74551D23"/>
    <w:rsid w:val="745D7B18"/>
    <w:rsid w:val="745F299C"/>
    <w:rsid w:val="746F1484"/>
    <w:rsid w:val="748F619D"/>
    <w:rsid w:val="74970808"/>
    <w:rsid w:val="74B800CA"/>
    <w:rsid w:val="74F47C30"/>
    <w:rsid w:val="74F55B27"/>
    <w:rsid w:val="751D14AB"/>
    <w:rsid w:val="753D165B"/>
    <w:rsid w:val="753F4690"/>
    <w:rsid w:val="75511543"/>
    <w:rsid w:val="756B2471"/>
    <w:rsid w:val="75726F76"/>
    <w:rsid w:val="758D6086"/>
    <w:rsid w:val="758F1A33"/>
    <w:rsid w:val="75E71D59"/>
    <w:rsid w:val="75F8009A"/>
    <w:rsid w:val="75FD0AFE"/>
    <w:rsid w:val="763A3819"/>
    <w:rsid w:val="763C4988"/>
    <w:rsid w:val="76471DE8"/>
    <w:rsid w:val="764C1D57"/>
    <w:rsid w:val="766E219F"/>
    <w:rsid w:val="76701D3D"/>
    <w:rsid w:val="76951140"/>
    <w:rsid w:val="76974BD9"/>
    <w:rsid w:val="76977026"/>
    <w:rsid w:val="76A0469C"/>
    <w:rsid w:val="76A70C95"/>
    <w:rsid w:val="76B111E2"/>
    <w:rsid w:val="76B71866"/>
    <w:rsid w:val="76B97960"/>
    <w:rsid w:val="76C46848"/>
    <w:rsid w:val="76D15D09"/>
    <w:rsid w:val="76E65B2B"/>
    <w:rsid w:val="76EB626F"/>
    <w:rsid w:val="76F57B1F"/>
    <w:rsid w:val="771349E5"/>
    <w:rsid w:val="7714635C"/>
    <w:rsid w:val="771C30FA"/>
    <w:rsid w:val="77206134"/>
    <w:rsid w:val="772F3A61"/>
    <w:rsid w:val="773553A7"/>
    <w:rsid w:val="77580A66"/>
    <w:rsid w:val="778D01FE"/>
    <w:rsid w:val="77A3436B"/>
    <w:rsid w:val="77B86288"/>
    <w:rsid w:val="77F437B1"/>
    <w:rsid w:val="780738D1"/>
    <w:rsid w:val="782226C6"/>
    <w:rsid w:val="783D4AFF"/>
    <w:rsid w:val="784D30F3"/>
    <w:rsid w:val="78693C27"/>
    <w:rsid w:val="788A2C6A"/>
    <w:rsid w:val="78AD0D21"/>
    <w:rsid w:val="78B73B4F"/>
    <w:rsid w:val="78B934ED"/>
    <w:rsid w:val="78C37C8A"/>
    <w:rsid w:val="78CA3347"/>
    <w:rsid w:val="78DE2D7C"/>
    <w:rsid w:val="7922596C"/>
    <w:rsid w:val="792F01A6"/>
    <w:rsid w:val="79382965"/>
    <w:rsid w:val="794C1894"/>
    <w:rsid w:val="795161CA"/>
    <w:rsid w:val="795B3B53"/>
    <w:rsid w:val="79820F11"/>
    <w:rsid w:val="79A81252"/>
    <w:rsid w:val="79AC037E"/>
    <w:rsid w:val="79B4594A"/>
    <w:rsid w:val="79B978EA"/>
    <w:rsid w:val="79BC708D"/>
    <w:rsid w:val="79EB1C7D"/>
    <w:rsid w:val="79FC340C"/>
    <w:rsid w:val="7A03350B"/>
    <w:rsid w:val="7A1B476E"/>
    <w:rsid w:val="7A50702E"/>
    <w:rsid w:val="7A71457E"/>
    <w:rsid w:val="7A8A3E6E"/>
    <w:rsid w:val="7A9722EA"/>
    <w:rsid w:val="7AA274F5"/>
    <w:rsid w:val="7AB92584"/>
    <w:rsid w:val="7AF27BF0"/>
    <w:rsid w:val="7AF60EB4"/>
    <w:rsid w:val="7B1966BE"/>
    <w:rsid w:val="7B1A6AB5"/>
    <w:rsid w:val="7B327BB5"/>
    <w:rsid w:val="7B33563C"/>
    <w:rsid w:val="7B3935AA"/>
    <w:rsid w:val="7B4B7032"/>
    <w:rsid w:val="7B4C0E94"/>
    <w:rsid w:val="7B5737ED"/>
    <w:rsid w:val="7B57474A"/>
    <w:rsid w:val="7B594633"/>
    <w:rsid w:val="7B763FD0"/>
    <w:rsid w:val="7B8D6D12"/>
    <w:rsid w:val="7B9147B3"/>
    <w:rsid w:val="7BAC1017"/>
    <w:rsid w:val="7BC5015F"/>
    <w:rsid w:val="7BDB40C8"/>
    <w:rsid w:val="7BE65680"/>
    <w:rsid w:val="7BFC639E"/>
    <w:rsid w:val="7C0D3863"/>
    <w:rsid w:val="7C1060A4"/>
    <w:rsid w:val="7C212B16"/>
    <w:rsid w:val="7C3015D8"/>
    <w:rsid w:val="7C344D27"/>
    <w:rsid w:val="7C6034EF"/>
    <w:rsid w:val="7C861E7B"/>
    <w:rsid w:val="7C8F3841"/>
    <w:rsid w:val="7C927737"/>
    <w:rsid w:val="7CB7076B"/>
    <w:rsid w:val="7CE055BA"/>
    <w:rsid w:val="7CE87DE8"/>
    <w:rsid w:val="7CFC1051"/>
    <w:rsid w:val="7D1017DE"/>
    <w:rsid w:val="7D15058B"/>
    <w:rsid w:val="7D157DA1"/>
    <w:rsid w:val="7D186764"/>
    <w:rsid w:val="7D1C26D8"/>
    <w:rsid w:val="7D213138"/>
    <w:rsid w:val="7D2521B2"/>
    <w:rsid w:val="7D317598"/>
    <w:rsid w:val="7D3230DC"/>
    <w:rsid w:val="7D4D08D5"/>
    <w:rsid w:val="7D551F58"/>
    <w:rsid w:val="7D6A282B"/>
    <w:rsid w:val="7D6F6E3B"/>
    <w:rsid w:val="7DE1203C"/>
    <w:rsid w:val="7DE73010"/>
    <w:rsid w:val="7DF04831"/>
    <w:rsid w:val="7DF22A1C"/>
    <w:rsid w:val="7E003666"/>
    <w:rsid w:val="7E0E1134"/>
    <w:rsid w:val="7E282CD5"/>
    <w:rsid w:val="7E2A173D"/>
    <w:rsid w:val="7E3672A9"/>
    <w:rsid w:val="7E4618EE"/>
    <w:rsid w:val="7E49452F"/>
    <w:rsid w:val="7E5537D4"/>
    <w:rsid w:val="7E577B57"/>
    <w:rsid w:val="7E660F2E"/>
    <w:rsid w:val="7E671FA4"/>
    <w:rsid w:val="7E7A400D"/>
    <w:rsid w:val="7E873820"/>
    <w:rsid w:val="7E8C3F75"/>
    <w:rsid w:val="7E9832EF"/>
    <w:rsid w:val="7EA80241"/>
    <w:rsid w:val="7EAB6E1B"/>
    <w:rsid w:val="7EB1614E"/>
    <w:rsid w:val="7EB96A33"/>
    <w:rsid w:val="7ED76DD4"/>
    <w:rsid w:val="7EE354CD"/>
    <w:rsid w:val="7EF84548"/>
    <w:rsid w:val="7F06366D"/>
    <w:rsid w:val="7F13011A"/>
    <w:rsid w:val="7F1E424B"/>
    <w:rsid w:val="7F4F1089"/>
    <w:rsid w:val="7F5456A0"/>
    <w:rsid w:val="7F5C0130"/>
    <w:rsid w:val="7F726E8A"/>
    <w:rsid w:val="7F79289E"/>
    <w:rsid w:val="7F7A306B"/>
    <w:rsid w:val="7F8F1F7C"/>
    <w:rsid w:val="7FA8445B"/>
    <w:rsid w:val="7FCA114D"/>
    <w:rsid w:val="7FD338C7"/>
    <w:rsid w:val="7FD422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0"/>
    <w:pPr>
      <w:keepNext/>
      <w:keepLines/>
      <w:numPr>
        <w:ilvl w:val="0"/>
        <w:numId w:val="1"/>
      </w:numPr>
      <w:spacing w:before="340" w:after="330" w:line="578" w:lineRule="auto"/>
      <w:jc w:val="center"/>
      <w:outlineLvl w:val="0"/>
    </w:pPr>
    <w:rPr>
      <w:b/>
      <w:bCs/>
      <w:kern w:val="44"/>
      <w:sz w:val="32"/>
      <w:szCs w:val="44"/>
    </w:rPr>
  </w:style>
  <w:style w:type="paragraph" w:styleId="4">
    <w:name w:val="heading 2"/>
    <w:basedOn w:val="1"/>
    <w:next w:val="1"/>
    <w:link w:val="62"/>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5">
    <w:name w:val="heading 3"/>
    <w:basedOn w:val="1"/>
    <w:next w:val="1"/>
    <w:link w:val="10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137"/>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7">
    <w:name w:val="heading 5"/>
    <w:basedOn w:val="1"/>
    <w:next w:val="1"/>
    <w:link w:val="91"/>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77"/>
    <w:qFormat/>
    <w:uiPriority w:val="0"/>
    <w:pPr>
      <w:keepNext/>
      <w:keepLines/>
      <w:numPr>
        <w:ilvl w:val="5"/>
        <w:numId w:val="1"/>
      </w:numPr>
      <w:spacing w:before="240" w:after="64" w:line="320" w:lineRule="auto"/>
      <w:outlineLvl w:val="5"/>
    </w:pPr>
    <w:rPr>
      <w:rFonts w:ascii="Cambria" w:hAnsi="Cambria"/>
      <w:b/>
      <w:bCs/>
      <w:sz w:val="24"/>
    </w:rPr>
  </w:style>
  <w:style w:type="paragraph" w:styleId="9">
    <w:name w:val="heading 7"/>
    <w:basedOn w:val="1"/>
    <w:next w:val="1"/>
    <w:link w:val="131"/>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116"/>
    <w:qFormat/>
    <w:uiPriority w:val="0"/>
    <w:pPr>
      <w:keepNext/>
      <w:keepLines/>
      <w:numPr>
        <w:ilvl w:val="7"/>
        <w:numId w:val="1"/>
      </w:numPr>
      <w:spacing w:before="240" w:after="64" w:line="320" w:lineRule="auto"/>
      <w:outlineLvl w:val="7"/>
    </w:pPr>
    <w:rPr>
      <w:rFonts w:ascii="Cambria" w:hAnsi="Cambria"/>
      <w:sz w:val="24"/>
    </w:rPr>
  </w:style>
  <w:style w:type="paragraph" w:styleId="11">
    <w:name w:val="heading 9"/>
    <w:basedOn w:val="1"/>
    <w:next w:val="1"/>
    <w:link w:val="95"/>
    <w:qFormat/>
    <w:uiPriority w:val="0"/>
    <w:pPr>
      <w:keepNext/>
      <w:keepLines/>
      <w:numPr>
        <w:ilvl w:val="8"/>
        <w:numId w:val="1"/>
      </w:numPr>
      <w:spacing w:before="240" w:after="64" w:line="320" w:lineRule="auto"/>
      <w:outlineLvl w:val="8"/>
    </w:pPr>
    <w:rPr>
      <w:rFonts w:ascii="Cambria" w:hAnsi="Cambria"/>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0"/>
    <w:qFormat/>
    <w:uiPriority w:val="99"/>
    <w:pPr>
      <w:tabs>
        <w:tab w:val="center" w:pos="4153"/>
        <w:tab w:val="right" w:pos="8306"/>
      </w:tabs>
      <w:snapToGrid w:val="0"/>
      <w:jc w:val="left"/>
    </w:pPr>
    <w:rPr>
      <w:sz w:val="18"/>
      <w:szCs w:val="18"/>
    </w:rPr>
  </w:style>
  <w:style w:type="paragraph" w:styleId="12">
    <w:name w:val="List 3"/>
    <w:basedOn w:val="1"/>
    <w:unhideWhenUsed/>
    <w:qFormat/>
    <w:uiPriority w:val="99"/>
    <w:pPr>
      <w:spacing w:before="100" w:beforeAutospacing="1" w:after="100" w:afterAutospacing="1"/>
      <w:ind w:left="1260" w:hanging="420"/>
    </w:pPr>
    <w:rPr>
      <w:szCs w:val="21"/>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Normal Indent"/>
    <w:basedOn w:val="1"/>
    <w:qFormat/>
    <w:uiPriority w:val="0"/>
    <w:pPr>
      <w:ind w:firstLine="420"/>
    </w:pPr>
    <w:rPr>
      <w:b/>
      <w:sz w:val="24"/>
      <w:szCs w:val="20"/>
    </w:rPr>
  </w:style>
  <w:style w:type="paragraph" w:styleId="15">
    <w:name w:val="caption"/>
    <w:basedOn w:val="1"/>
    <w:next w:val="1"/>
    <w:qFormat/>
    <w:uiPriority w:val="0"/>
    <w:rPr>
      <w:rFonts w:ascii="Cambria" w:hAnsi="Cambria" w:eastAsia="黑体"/>
      <w:sz w:val="20"/>
      <w:szCs w:val="22"/>
    </w:rPr>
  </w:style>
  <w:style w:type="paragraph" w:styleId="16">
    <w:name w:val="Document Map"/>
    <w:basedOn w:val="1"/>
    <w:link w:val="85"/>
    <w:qFormat/>
    <w:uiPriority w:val="0"/>
    <w:rPr>
      <w:rFonts w:ascii="宋体"/>
      <w:sz w:val="18"/>
      <w:szCs w:val="18"/>
    </w:rPr>
  </w:style>
  <w:style w:type="paragraph" w:styleId="17">
    <w:name w:val="annotation text"/>
    <w:basedOn w:val="1"/>
    <w:link w:val="109"/>
    <w:qFormat/>
    <w:uiPriority w:val="99"/>
    <w:pPr>
      <w:jc w:val="left"/>
    </w:pPr>
  </w:style>
  <w:style w:type="paragraph" w:styleId="18">
    <w:name w:val="Body Text 3"/>
    <w:basedOn w:val="1"/>
    <w:link w:val="127"/>
    <w:qFormat/>
    <w:uiPriority w:val="0"/>
    <w:rPr>
      <w:rFonts w:ascii="宋体"/>
      <w:sz w:val="24"/>
      <w:szCs w:val="20"/>
    </w:rPr>
  </w:style>
  <w:style w:type="paragraph" w:styleId="19">
    <w:name w:val="Body Text"/>
    <w:basedOn w:val="1"/>
    <w:link w:val="115"/>
    <w:qFormat/>
    <w:uiPriority w:val="0"/>
    <w:pPr>
      <w:jc w:val="center"/>
    </w:pPr>
    <w:rPr>
      <w:rFonts w:eastAsia="幼圆"/>
      <w:b/>
      <w:bCs/>
      <w:sz w:val="44"/>
    </w:rPr>
  </w:style>
  <w:style w:type="paragraph" w:styleId="20">
    <w:name w:val="Body Text Indent"/>
    <w:basedOn w:val="1"/>
    <w:next w:val="21"/>
    <w:link w:val="72"/>
    <w:qFormat/>
    <w:uiPriority w:val="0"/>
    <w:pPr>
      <w:spacing w:after="120"/>
      <w:ind w:left="420" w:leftChars="200"/>
    </w:pPr>
  </w:style>
  <w:style w:type="paragraph" w:styleId="21">
    <w:name w:val="envelope return"/>
    <w:basedOn w:val="1"/>
    <w:unhideWhenUsed/>
    <w:qFormat/>
    <w:uiPriority w:val="99"/>
    <w:pPr>
      <w:snapToGrid w:val="0"/>
    </w:pPr>
    <w:rPr>
      <w:rFonts w:ascii="Arial" w:hAnsi="Arial"/>
    </w:rPr>
  </w:style>
  <w:style w:type="paragraph" w:styleId="22">
    <w:name w:val="index 4"/>
    <w:basedOn w:val="1"/>
    <w:next w:val="1"/>
    <w:qFormat/>
    <w:uiPriority w:val="0"/>
    <w:pPr>
      <w:ind w:left="600" w:leftChars="600"/>
    </w:pPr>
    <w:rPr>
      <w:rFonts w:ascii="Calibri" w:hAnsi="Calibri"/>
    </w:rPr>
  </w:style>
  <w:style w:type="paragraph" w:styleId="23">
    <w:name w:val="toc 5"/>
    <w:basedOn w:val="1"/>
    <w:next w:val="1"/>
    <w:unhideWhenUsed/>
    <w:qFormat/>
    <w:uiPriority w:val="39"/>
    <w:pPr>
      <w:ind w:left="1680" w:leftChars="800"/>
    </w:pPr>
    <w:rPr>
      <w:rFonts w:ascii="Calibri" w:hAnsi="Calibri"/>
      <w:szCs w:val="22"/>
    </w:rPr>
  </w:style>
  <w:style w:type="paragraph" w:styleId="24">
    <w:name w:val="toc 3"/>
    <w:basedOn w:val="1"/>
    <w:next w:val="1"/>
    <w:qFormat/>
    <w:uiPriority w:val="39"/>
    <w:pPr>
      <w:ind w:left="840" w:leftChars="400"/>
    </w:pPr>
    <w:rPr>
      <w:rFonts w:ascii="Calibri" w:hAnsi="Calibri"/>
      <w:szCs w:val="22"/>
    </w:rPr>
  </w:style>
  <w:style w:type="paragraph" w:styleId="25">
    <w:name w:val="Plain Text"/>
    <w:basedOn w:val="1"/>
    <w:link w:val="78"/>
    <w:qFormat/>
    <w:uiPriority w:val="0"/>
    <w:rPr>
      <w:rFonts w:ascii="Ari"/>
    </w:rPr>
  </w:style>
  <w:style w:type="paragraph" w:styleId="26">
    <w:name w:val="toc 8"/>
    <w:basedOn w:val="1"/>
    <w:next w:val="1"/>
    <w:unhideWhenUsed/>
    <w:qFormat/>
    <w:uiPriority w:val="39"/>
    <w:pPr>
      <w:ind w:left="2940" w:leftChars="1400"/>
    </w:pPr>
    <w:rPr>
      <w:rFonts w:ascii="Calibri" w:hAnsi="Calibri"/>
      <w:szCs w:val="22"/>
    </w:rPr>
  </w:style>
  <w:style w:type="paragraph" w:styleId="27">
    <w:name w:val="Date"/>
    <w:basedOn w:val="1"/>
    <w:next w:val="1"/>
    <w:link w:val="86"/>
    <w:unhideWhenUsed/>
    <w:qFormat/>
    <w:uiPriority w:val="0"/>
  </w:style>
  <w:style w:type="paragraph" w:styleId="28">
    <w:name w:val="Body Text Indent 2"/>
    <w:basedOn w:val="1"/>
    <w:link w:val="108"/>
    <w:unhideWhenUsed/>
    <w:qFormat/>
    <w:uiPriority w:val="99"/>
    <w:pPr>
      <w:spacing w:line="420" w:lineRule="exact"/>
      <w:ind w:firstLine="525"/>
    </w:pPr>
    <w:rPr>
      <w:rFonts w:ascii="宋体"/>
      <w:kern w:val="0"/>
      <w:sz w:val="20"/>
      <w:szCs w:val="20"/>
    </w:rPr>
  </w:style>
  <w:style w:type="paragraph" w:styleId="29">
    <w:name w:val="Balloon Text"/>
    <w:basedOn w:val="1"/>
    <w:link w:val="130"/>
    <w:qFormat/>
    <w:uiPriority w:val="0"/>
    <w:rPr>
      <w:sz w:val="18"/>
      <w:szCs w:val="18"/>
    </w:rPr>
  </w:style>
  <w:style w:type="paragraph" w:styleId="30">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unhideWhenUsed/>
    <w:qFormat/>
    <w:uiPriority w:val="39"/>
    <w:pPr>
      <w:ind w:left="1260" w:leftChars="600"/>
    </w:pPr>
    <w:rPr>
      <w:rFonts w:ascii="Calibri" w:hAnsi="Calibri"/>
      <w:szCs w:val="22"/>
    </w:rPr>
  </w:style>
  <w:style w:type="paragraph" w:styleId="33">
    <w:name w:val="Subtitle"/>
    <w:basedOn w:val="1"/>
    <w:next w:val="1"/>
    <w:link w:val="104"/>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unhideWhenUsed/>
    <w:qFormat/>
    <w:uiPriority w:val="39"/>
    <w:pPr>
      <w:ind w:left="2100" w:leftChars="1000"/>
    </w:pPr>
    <w:rPr>
      <w:rFonts w:ascii="Calibri" w:hAnsi="Calibri"/>
      <w:szCs w:val="22"/>
    </w:rPr>
  </w:style>
  <w:style w:type="paragraph" w:styleId="35">
    <w:name w:val="Body Text Indent 3"/>
    <w:basedOn w:val="1"/>
    <w:link w:val="128"/>
    <w:qFormat/>
    <w:uiPriority w:val="0"/>
    <w:pPr>
      <w:spacing w:after="120"/>
      <w:ind w:left="420" w:leftChars="200"/>
    </w:pPr>
    <w:rPr>
      <w:sz w:val="16"/>
      <w:szCs w:val="20"/>
    </w:rPr>
  </w:style>
  <w:style w:type="paragraph" w:styleId="36">
    <w:name w:val="toc 2"/>
    <w:basedOn w:val="1"/>
    <w:next w:val="1"/>
    <w:qFormat/>
    <w:uiPriority w:val="39"/>
    <w:pPr>
      <w:ind w:left="420" w:leftChars="200"/>
    </w:pPr>
    <w:rPr>
      <w:rFonts w:ascii="Calibri" w:hAnsi="Calibri"/>
      <w:szCs w:val="22"/>
    </w:rPr>
  </w:style>
  <w:style w:type="paragraph" w:styleId="37">
    <w:name w:val="toc 9"/>
    <w:basedOn w:val="1"/>
    <w:next w:val="1"/>
    <w:unhideWhenUsed/>
    <w:qFormat/>
    <w:uiPriority w:val="39"/>
    <w:pPr>
      <w:ind w:left="3360" w:leftChars="1600"/>
    </w:pPr>
    <w:rPr>
      <w:rFonts w:ascii="Calibri" w:hAnsi="Calibri"/>
      <w:szCs w:val="22"/>
    </w:rPr>
  </w:style>
  <w:style w:type="paragraph" w:styleId="3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qFormat/>
    <w:uiPriority w:val="0"/>
    <w:pPr>
      <w:spacing w:line="220" w:lineRule="exact"/>
      <w:jc w:val="center"/>
    </w:pPr>
    <w:rPr>
      <w:rFonts w:ascii="仿宋_GB2312" w:hAnsi="Calibri" w:eastAsia="仿宋_GB2312"/>
      <w:szCs w:val="22"/>
    </w:rPr>
  </w:style>
  <w:style w:type="paragraph" w:styleId="41">
    <w:name w:val="Title"/>
    <w:basedOn w:val="1"/>
    <w:link w:val="8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2">
    <w:name w:val="annotation subject"/>
    <w:basedOn w:val="17"/>
    <w:next w:val="17"/>
    <w:link w:val="118"/>
    <w:qFormat/>
    <w:uiPriority w:val="0"/>
    <w:rPr>
      <w:b/>
      <w:bCs/>
    </w:rPr>
  </w:style>
  <w:style w:type="paragraph" w:styleId="43">
    <w:name w:val="Body Text First Indent 2"/>
    <w:basedOn w:val="20"/>
    <w:unhideWhenUsed/>
    <w:qFormat/>
    <w:uiPriority w:val="99"/>
    <w:pPr>
      <w:ind w:firstLine="420" w:firstLineChars="200"/>
    </w:p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rFonts w:cs="Times New Roman"/>
      <w:b/>
    </w:rPr>
  </w:style>
  <w:style w:type="character" w:styleId="48">
    <w:name w:val="page number"/>
    <w:qFormat/>
    <w:uiPriority w:val="0"/>
    <w:rPr>
      <w:rFonts w:eastAsia="宋体"/>
      <w:b/>
      <w:spacing w:val="0"/>
      <w:kern w:val="2"/>
      <w:sz w:val="24"/>
      <w:szCs w:val="24"/>
      <w:vertAlign w:val="baseline"/>
      <w:lang w:val="en-US" w:eastAsia="zh-CN" w:bidi="ar-SA"/>
    </w:rPr>
  </w:style>
  <w:style w:type="character" w:styleId="49">
    <w:name w:val="FollowedHyperlink"/>
    <w:qFormat/>
    <w:uiPriority w:val="0"/>
    <w:rPr>
      <w:color w:val="800080"/>
      <w:u w:val="single"/>
    </w:rPr>
  </w:style>
  <w:style w:type="character" w:styleId="50">
    <w:name w:val="Emphasis"/>
    <w:qFormat/>
    <w:uiPriority w:val="0"/>
    <w:rPr>
      <w:color w:val="CC0000"/>
    </w:rPr>
  </w:style>
  <w:style w:type="character" w:styleId="51">
    <w:name w:val="Hyperlink"/>
    <w:qFormat/>
    <w:uiPriority w:val="99"/>
    <w:rPr>
      <w:color w:val="0000FF"/>
      <w:u w:val="single"/>
    </w:rPr>
  </w:style>
  <w:style w:type="character" w:styleId="52">
    <w:name w:val="annotation reference"/>
    <w:qFormat/>
    <w:uiPriority w:val="99"/>
    <w:rPr>
      <w:sz w:val="21"/>
      <w:szCs w:val="21"/>
    </w:rPr>
  </w:style>
  <w:style w:type="character" w:styleId="53">
    <w:name w:val="HTML Cite"/>
    <w:qFormat/>
    <w:uiPriority w:val="0"/>
    <w:rPr>
      <w:color w:val="008000"/>
    </w:rPr>
  </w:style>
  <w:style w:type="character" w:customStyle="1" w:styleId="54">
    <w:name w:val="标题 1 Char1"/>
    <w:link w:val="3"/>
    <w:qFormat/>
    <w:uiPriority w:val="0"/>
    <w:rPr>
      <w:rFonts w:ascii="Times New Roman" w:hAnsi="Times New Roman" w:eastAsia="宋体" w:cs="Times New Roman"/>
      <w:b/>
      <w:bCs/>
      <w:kern w:val="44"/>
      <w:sz w:val="32"/>
      <w:szCs w:val="44"/>
    </w:rPr>
  </w:style>
  <w:style w:type="paragraph" w:styleId="55">
    <w:name w:val="List Paragraph"/>
    <w:basedOn w:val="1"/>
    <w:qFormat/>
    <w:uiPriority w:val="34"/>
    <w:pPr>
      <w:ind w:firstLine="420" w:firstLineChars="200"/>
    </w:pPr>
  </w:style>
  <w:style w:type="character" w:customStyle="1" w:styleId="56">
    <w:name w:val="标题 1 Char"/>
    <w:qFormat/>
    <w:uiPriority w:val="0"/>
    <w:rPr>
      <w:b/>
      <w:bCs/>
      <w:kern w:val="44"/>
      <w:sz w:val="32"/>
      <w:szCs w:val="44"/>
    </w:rPr>
  </w:style>
  <w:style w:type="character" w:customStyle="1" w:styleId="57">
    <w:name w:val="明显强调1"/>
    <w:qFormat/>
    <w:uiPriority w:val="0"/>
    <w:rPr>
      <w:b/>
      <w:bCs/>
      <w:i/>
      <w:iCs/>
      <w:color w:val="4F81BD"/>
    </w:rPr>
  </w:style>
  <w:style w:type="character" w:customStyle="1" w:styleId="58">
    <w:name w:val="批注文字 Char2"/>
    <w:qFormat/>
    <w:uiPriority w:val="0"/>
    <w:rPr>
      <w:kern w:val="2"/>
      <w:sz w:val="21"/>
    </w:rPr>
  </w:style>
  <w:style w:type="character" w:customStyle="1" w:styleId="59">
    <w:name w:val="标题 3 Char_0"/>
    <w:link w:val="60"/>
    <w:qFormat/>
    <w:uiPriority w:val="0"/>
    <w:rPr>
      <w:b/>
      <w:bCs/>
      <w:sz w:val="32"/>
      <w:szCs w:val="32"/>
    </w:rPr>
  </w:style>
  <w:style w:type="paragraph" w:customStyle="1" w:styleId="60">
    <w:name w:val="标题 3_0"/>
    <w:basedOn w:val="61"/>
    <w:next w:val="61"/>
    <w:link w:val="59"/>
    <w:qFormat/>
    <w:uiPriority w:val="0"/>
    <w:pPr>
      <w:keepNext/>
      <w:keepLines/>
      <w:spacing w:before="260" w:after="260" w:line="416" w:lineRule="auto"/>
      <w:outlineLvl w:val="2"/>
    </w:pPr>
    <w:rPr>
      <w:b/>
      <w:bCs/>
      <w:kern w:val="0"/>
      <w:sz w:val="32"/>
      <w:szCs w:val="32"/>
    </w:rPr>
  </w:style>
  <w:style w:type="paragraph" w:customStyle="1" w:styleId="6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2">
    <w:name w:val="标题 2 Char"/>
    <w:link w:val="4"/>
    <w:qFormat/>
    <w:uiPriority w:val="0"/>
    <w:rPr>
      <w:rFonts w:ascii="Cambria" w:hAnsi="Cambria"/>
      <w:b/>
      <w:bCs/>
      <w:kern w:val="2"/>
      <w:sz w:val="32"/>
      <w:szCs w:val="32"/>
    </w:rPr>
  </w:style>
  <w:style w:type="character" w:customStyle="1" w:styleId="63">
    <w:name w:val="正文文本 Char2"/>
    <w:semiHidden/>
    <w:qFormat/>
    <w:uiPriority w:val="99"/>
    <w:rPr>
      <w:rFonts w:ascii="Calibri" w:hAnsi="Calibri" w:eastAsia="宋体" w:cs="Times New Roman"/>
    </w:rPr>
  </w:style>
  <w:style w:type="character" w:customStyle="1" w:styleId="64">
    <w:name w:val="页脚 Char1"/>
    <w:semiHidden/>
    <w:qFormat/>
    <w:uiPriority w:val="99"/>
    <w:rPr>
      <w:rFonts w:ascii="Calibri" w:hAnsi="Calibri" w:eastAsia="宋体" w:cs="Times New Roman"/>
      <w:sz w:val="18"/>
      <w:szCs w:val="18"/>
    </w:rPr>
  </w:style>
  <w:style w:type="character" w:customStyle="1" w:styleId="65">
    <w:name w:val="明显引用 Char2"/>
    <w:qFormat/>
    <w:uiPriority w:val="99"/>
    <w:rPr>
      <w:b/>
      <w:bCs/>
      <w:i/>
      <w:iCs/>
      <w:color w:val="4F81BD"/>
      <w:kern w:val="2"/>
      <w:sz w:val="21"/>
      <w:szCs w:val="24"/>
    </w:rPr>
  </w:style>
  <w:style w:type="character" w:customStyle="1" w:styleId="66">
    <w:name w:val="引用 Char"/>
    <w:link w:val="67"/>
    <w:qFormat/>
    <w:uiPriority w:val="0"/>
    <w:rPr>
      <w:i/>
      <w:iCs/>
      <w:color w:val="000000"/>
    </w:rPr>
  </w:style>
  <w:style w:type="paragraph" w:customStyle="1" w:styleId="67">
    <w:name w:val="引用1"/>
    <w:basedOn w:val="1"/>
    <w:next w:val="1"/>
    <w:link w:val="66"/>
    <w:qFormat/>
    <w:uiPriority w:val="0"/>
    <w:rPr>
      <w:i/>
      <w:iCs/>
      <w:color w:val="000000"/>
      <w:kern w:val="0"/>
      <w:sz w:val="20"/>
      <w:szCs w:val="20"/>
    </w:rPr>
  </w:style>
  <w:style w:type="character" w:customStyle="1" w:styleId="68">
    <w:name w:val="标题 1 Char_0"/>
    <w:link w:val="69"/>
    <w:qFormat/>
    <w:uiPriority w:val="0"/>
    <w:rPr>
      <w:b/>
      <w:bCs/>
      <w:kern w:val="44"/>
      <w:sz w:val="44"/>
      <w:szCs w:val="44"/>
    </w:rPr>
  </w:style>
  <w:style w:type="paragraph" w:customStyle="1" w:styleId="69">
    <w:name w:val="标题 1_0"/>
    <w:basedOn w:val="61"/>
    <w:next w:val="61"/>
    <w:link w:val="68"/>
    <w:qFormat/>
    <w:uiPriority w:val="0"/>
    <w:pPr>
      <w:keepNext/>
      <w:keepLines/>
      <w:spacing w:before="340" w:after="330" w:line="578" w:lineRule="auto"/>
      <w:outlineLvl w:val="0"/>
    </w:pPr>
    <w:rPr>
      <w:b/>
      <w:bCs/>
      <w:kern w:val="44"/>
      <w:sz w:val="44"/>
      <w:szCs w:val="44"/>
    </w:rPr>
  </w:style>
  <w:style w:type="character" w:customStyle="1" w:styleId="70">
    <w:name w:val="正文文本缩进 3 Char1"/>
    <w:semiHidden/>
    <w:qFormat/>
    <w:uiPriority w:val="99"/>
    <w:rPr>
      <w:kern w:val="2"/>
      <w:sz w:val="16"/>
      <w:szCs w:val="16"/>
    </w:rPr>
  </w:style>
  <w:style w:type="character" w:customStyle="1" w:styleId="71">
    <w:name w:val="引用 Char1"/>
    <w:qFormat/>
    <w:uiPriority w:val="29"/>
    <w:rPr>
      <w:i/>
      <w:iCs/>
      <w:color w:val="000000"/>
      <w:kern w:val="2"/>
      <w:sz w:val="21"/>
    </w:rPr>
  </w:style>
  <w:style w:type="character" w:customStyle="1" w:styleId="72">
    <w:name w:val="正文文本缩进 Char"/>
    <w:link w:val="20"/>
    <w:qFormat/>
    <w:uiPriority w:val="0"/>
    <w:rPr>
      <w:kern w:val="2"/>
      <w:sz w:val="21"/>
      <w:szCs w:val="24"/>
    </w:rPr>
  </w:style>
  <w:style w:type="character" w:customStyle="1" w:styleId="73">
    <w:name w:val="font161"/>
    <w:qFormat/>
    <w:uiPriority w:val="0"/>
    <w:rPr>
      <w:b/>
      <w:sz w:val="32"/>
    </w:rPr>
  </w:style>
  <w:style w:type="character" w:customStyle="1" w:styleId="74">
    <w:name w:val="标题 4 Char_0"/>
    <w:link w:val="75"/>
    <w:qFormat/>
    <w:uiPriority w:val="0"/>
    <w:rPr>
      <w:rFonts w:ascii="Arial" w:hAnsi="Arial" w:eastAsia="黑体"/>
      <w:b/>
      <w:bCs/>
      <w:sz w:val="28"/>
      <w:szCs w:val="28"/>
    </w:rPr>
  </w:style>
  <w:style w:type="paragraph" w:customStyle="1" w:styleId="75">
    <w:name w:val="标题 4_0"/>
    <w:basedOn w:val="61"/>
    <w:next w:val="61"/>
    <w:link w:val="74"/>
    <w:qFormat/>
    <w:uiPriority w:val="0"/>
    <w:pPr>
      <w:keepNext/>
      <w:keepLines/>
      <w:spacing w:before="280" w:after="290" w:line="376" w:lineRule="auto"/>
      <w:outlineLvl w:val="3"/>
    </w:pPr>
    <w:rPr>
      <w:rFonts w:ascii="Arial" w:hAnsi="Arial" w:eastAsia="黑体"/>
      <w:b/>
      <w:bCs/>
      <w:kern w:val="0"/>
      <w:sz w:val="28"/>
      <w:szCs w:val="28"/>
    </w:rPr>
  </w:style>
  <w:style w:type="character" w:customStyle="1" w:styleId="76">
    <w:name w:val="页眉 Char"/>
    <w:link w:val="30"/>
    <w:qFormat/>
    <w:uiPriority w:val="0"/>
    <w:rPr>
      <w:kern w:val="2"/>
      <w:sz w:val="18"/>
      <w:szCs w:val="18"/>
    </w:rPr>
  </w:style>
  <w:style w:type="character" w:customStyle="1" w:styleId="77">
    <w:name w:val="标题 6 Char"/>
    <w:link w:val="8"/>
    <w:qFormat/>
    <w:uiPriority w:val="0"/>
    <w:rPr>
      <w:rFonts w:ascii="Cambria" w:hAnsi="Cambria" w:eastAsia="宋体" w:cs="Times New Roman"/>
      <w:b/>
      <w:bCs/>
      <w:kern w:val="2"/>
      <w:sz w:val="24"/>
      <w:szCs w:val="24"/>
    </w:rPr>
  </w:style>
  <w:style w:type="character" w:customStyle="1" w:styleId="78">
    <w:name w:val="纯文本 Char"/>
    <w:link w:val="25"/>
    <w:qFormat/>
    <w:uiPriority w:val="0"/>
    <w:rPr>
      <w:rFonts w:ascii="Ari"/>
      <w:lang w:val="en-US" w:eastAsia="zh-CN" w:bidi="ar-SA"/>
    </w:rPr>
  </w:style>
  <w:style w:type="character" w:customStyle="1" w:styleId="79">
    <w:name w:val="引用 Char2"/>
    <w:qFormat/>
    <w:uiPriority w:val="99"/>
    <w:rPr>
      <w:i/>
      <w:iCs/>
      <w:color w:val="000000"/>
      <w:kern w:val="2"/>
      <w:sz w:val="21"/>
      <w:szCs w:val="24"/>
    </w:rPr>
  </w:style>
  <w:style w:type="character" w:customStyle="1" w:styleId="80">
    <w:name w:val="rvts11"/>
    <w:qFormat/>
    <w:uiPriority w:val="0"/>
    <w:rPr>
      <w:rFonts w:hint="default" w:ascii="KNLe" w:hAnsi="KNLe"/>
      <w:sz w:val="24"/>
      <w:szCs w:val="24"/>
      <w:u w:val="single"/>
    </w:rPr>
  </w:style>
  <w:style w:type="character" w:customStyle="1" w:styleId="81">
    <w:name w:val="标题 Char"/>
    <w:link w:val="41"/>
    <w:qFormat/>
    <w:uiPriority w:val="0"/>
    <w:rPr>
      <w:rFonts w:ascii="Arial" w:hAnsi="Arial"/>
      <w:b/>
      <w:sz w:val="32"/>
    </w:rPr>
  </w:style>
  <w:style w:type="character" w:customStyle="1" w:styleId="82">
    <w:name w:val="标题5 Char Char"/>
    <w:link w:val="83"/>
    <w:qFormat/>
    <w:uiPriority w:val="0"/>
    <w:rPr>
      <w:rFonts w:ascii="Arial" w:hAnsi="Arial"/>
      <w:b/>
      <w:bCs/>
      <w:sz w:val="24"/>
      <w:szCs w:val="32"/>
    </w:rPr>
  </w:style>
  <w:style w:type="paragraph" w:customStyle="1" w:styleId="83">
    <w:name w:val="标题5"/>
    <w:basedOn w:val="5"/>
    <w:link w:val="82"/>
    <w:qFormat/>
    <w:uiPriority w:val="0"/>
    <w:pPr>
      <w:numPr>
        <w:ilvl w:val="0"/>
        <w:numId w:val="0"/>
      </w:numPr>
      <w:spacing w:line="413" w:lineRule="auto"/>
    </w:pPr>
    <w:rPr>
      <w:rFonts w:ascii="Arial" w:hAnsi="Arial"/>
      <w:kern w:val="0"/>
      <w:sz w:val="24"/>
    </w:rPr>
  </w:style>
  <w:style w:type="character" w:customStyle="1" w:styleId="84">
    <w:name w:val="副标题 Char2"/>
    <w:qFormat/>
    <w:uiPriority w:val="11"/>
    <w:rPr>
      <w:rFonts w:ascii="Cambria" w:hAnsi="Cambria" w:cs="Times New Roman"/>
      <w:b/>
      <w:bCs/>
      <w:kern w:val="28"/>
      <w:sz w:val="32"/>
      <w:szCs w:val="32"/>
    </w:rPr>
  </w:style>
  <w:style w:type="character" w:customStyle="1" w:styleId="85">
    <w:name w:val="文档结构图 Char"/>
    <w:link w:val="16"/>
    <w:qFormat/>
    <w:uiPriority w:val="0"/>
    <w:rPr>
      <w:rFonts w:ascii="宋体"/>
      <w:kern w:val="2"/>
      <w:sz w:val="18"/>
      <w:szCs w:val="18"/>
    </w:rPr>
  </w:style>
  <w:style w:type="character" w:customStyle="1" w:styleId="86">
    <w:name w:val="日期 Char"/>
    <w:link w:val="27"/>
    <w:qFormat/>
    <w:uiPriority w:val="0"/>
    <w:rPr>
      <w:kern w:val="2"/>
      <w:sz w:val="21"/>
      <w:szCs w:val="24"/>
    </w:rPr>
  </w:style>
  <w:style w:type="character" w:customStyle="1" w:styleId="87">
    <w:name w:val="批注主题 Char1"/>
    <w:qFormat/>
    <w:uiPriority w:val="0"/>
    <w:rPr>
      <w:b/>
      <w:bCs/>
      <w:kern w:val="2"/>
      <w:sz w:val="21"/>
      <w:szCs w:val="22"/>
    </w:rPr>
  </w:style>
  <w:style w:type="character" w:customStyle="1" w:styleId="88">
    <w:name w:val="font31"/>
    <w:qFormat/>
    <w:uiPriority w:val="0"/>
    <w:rPr>
      <w:rFonts w:hint="eastAsia" w:ascii="宋体" w:hAnsi="宋体" w:eastAsia="宋体" w:cs="宋体"/>
      <w:color w:val="000000"/>
      <w:sz w:val="20"/>
      <w:szCs w:val="20"/>
      <w:u w:val="none"/>
    </w:rPr>
  </w:style>
  <w:style w:type="character" w:customStyle="1" w:styleId="89">
    <w:name w:val="明显引用 Char"/>
    <w:link w:val="90"/>
    <w:qFormat/>
    <w:uiPriority w:val="0"/>
    <w:rPr>
      <w:b/>
      <w:bCs/>
      <w:i/>
      <w:iCs/>
      <w:color w:val="4F81BD"/>
    </w:rPr>
  </w:style>
  <w:style w:type="paragraph" w:customStyle="1" w:styleId="90">
    <w:name w:val="明显引用1"/>
    <w:basedOn w:val="1"/>
    <w:next w:val="1"/>
    <w:link w:val="89"/>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91">
    <w:name w:val="标题 5 Char"/>
    <w:link w:val="7"/>
    <w:qFormat/>
    <w:uiPriority w:val="0"/>
    <w:rPr>
      <w:b/>
      <w:bCs/>
      <w:kern w:val="2"/>
      <w:sz w:val="28"/>
      <w:szCs w:val="28"/>
    </w:rPr>
  </w:style>
  <w:style w:type="character" w:customStyle="1" w:styleId="92">
    <w:name w:val="日期 Char1"/>
    <w:qFormat/>
    <w:uiPriority w:val="0"/>
    <w:rPr>
      <w:rFonts w:ascii="Calibri" w:hAnsi="Calibri" w:eastAsia="宋体" w:cs="Times New Roman"/>
    </w:rPr>
  </w:style>
  <w:style w:type="character" w:customStyle="1" w:styleId="93">
    <w:name w:val="批注框文本 Char1"/>
    <w:qFormat/>
    <w:uiPriority w:val="0"/>
    <w:rPr>
      <w:kern w:val="2"/>
      <w:sz w:val="18"/>
      <w:szCs w:val="18"/>
    </w:rPr>
  </w:style>
  <w:style w:type="character" w:customStyle="1" w:styleId="94">
    <w:name w:val="标题 Char1"/>
    <w:qFormat/>
    <w:uiPriority w:val="10"/>
    <w:rPr>
      <w:rFonts w:ascii="Cambria" w:hAnsi="Cambria" w:eastAsia="宋体" w:cs="Times New Roman"/>
      <w:b/>
      <w:bCs/>
      <w:sz w:val="32"/>
      <w:szCs w:val="32"/>
    </w:rPr>
  </w:style>
  <w:style w:type="character" w:customStyle="1" w:styleId="95">
    <w:name w:val="标题 9 Char"/>
    <w:link w:val="11"/>
    <w:qFormat/>
    <w:uiPriority w:val="0"/>
    <w:rPr>
      <w:rFonts w:ascii="Cambria" w:hAnsi="Cambria" w:eastAsia="宋体" w:cs="Times New Roman"/>
      <w:kern w:val="2"/>
      <w:sz w:val="21"/>
      <w:szCs w:val="21"/>
    </w:rPr>
  </w:style>
  <w:style w:type="character" w:customStyle="1" w:styleId="96">
    <w:name w:val="不明显参考1"/>
    <w:qFormat/>
    <w:uiPriority w:val="0"/>
    <w:rPr>
      <w:smallCaps/>
      <w:color w:val="C0504D"/>
      <w:u w:val="single"/>
    </w:rPr>
  </w:style>
  <w:style w:type="character" w:customStyle="1" w:styleId="97">
    <w:name w:val="批注文字 Char1"/>
    <w:qFormat/>
    <w:uiPriority w:val="0"/>
    <w:rPr>
      <w:rFonts w:ascii="Calibri" w:hAnsi="Calibri" w:eastAsia="宋体" w:cs="Times New Roman"/>
    </w:rPr>
  </w:style>
  <w:style w:type="character" w:customStyle="1" w:styleId="98">
    <w:name w:val="标题 Char2"/>
    <w:qFormat/>
    <w:uiPriority w:val="10"/>
    <w:rPr>
      <w:rFonts w:ascii="Cambria" w:hAnsi="Cambria" w:cs="Times New Roman"/>
      <w:b/>
      <w:bCs/>
      <w:kern w:val="2"/>
      <w:sz w:val="32"/>
      <w:szCs w:val="32"/>
    </w:rPr>
  </w:style>
  <w:style w:type="character" w:customStyle="1" w:styleId="99">
    <w:name w:val="正文文本 3 Char1"/>
    <w:semiHidden/>
    <w:qFormat/>
    <w:uiPriority w:val="99"/>
    <w:rPr>
      <w:kern w:val="2"/>
      <w:sz w:val="16"/>
      <w:szCs w:val="16"/>
    </w:rPr>
  </w:style>
  <w:style w:type="character" w:customStyle="1" w:styleId="100">
    <w:name w:val="批注主题 Char2"/>
    <w:qFormat/>
    <w:uiPriority w:val="0"/>
    <w:rPr>
      <w:b/>
      <w:bCs/>
      <w:kern w:val="2"/>
      <w:sz w:val="21"/>
    </w:rPr>
  </w:style>
  <w:style w:type="character" w:customStyle="1" w:styleId="101">
    <w:name w:val="标题 3 Char"/>
    <w:link w:val="5"/>
    <w:qFormat/>
    <w:uiPriority w:val="0"/>
    <w:rPr>
      <w:b/>
      <w:bCs/>
      <w:kern w:val="2"/>
      <w:sz w:val="32"/>
      <w:szCs w:val="32"/>
    </w:rPr>
  </w:style>
  <w:style w:type="character" w:customStyle="1" w:styleId="102">
    <w:name w:val="正文文本 Char_0"/>
    <w:link w:val="103"/>
    <w:qFormat/>
    <w:uiPriority w:val="0"/>
    <w:rPr>
      <w:szCs w:val="24"/>
    </w:rPr>
  </w:style>
  <w:style w:type="paragraph" w:customStyle="1" w:styleId="103">
    <w:name w:val="正文文本_0"/>
    <w:basedOn w:val="61"/>
    <w:link w:val="102"/>
    <w:qFormat/>
    <w:uiPriority w:val="0"/>
    <w:pPr>
      <w:spacing w:after="120"/>
    </w:pPr>
    <w:rPr>
      <w:kern w:val="0"/>
      <w:sz w:val="20"/>
    </w:rPr>
  </w:style>
  <w:style w:type="character" w:customStyle="1" w:styleId="104">
    <w:name w:val="副标题 Char"/>
    <w:link w:val="33"/>
    <w:qFormat/>
    <w:uiPriority w:val="0"/>
    <w:rPr>
      <w:rFonts w:ascii="Cambria" w:hAnsi="Cambria"/>
      <w:b/>
      <w:bCs/>
      <w:kern w:val="28"/>
      <w:sz w:val="32"/>
      <w:szCs w:val="32"/>
    </w:rPr>
  </w:style>
  <w:style w:type="character" w:customStyle="1" w:styleId="105">
    <w:name w:val="bookmark"/>
    <w:basedOn w:val="46"/>
    <w:qFormat/>
    <w:uiPriority w:val="0"/>
  </w:style>
  <w:style w:type="character" w:customStyle="1" w:styleId="106">
    <w:name w:val="标题 5 Char_0"/>
    <w:link w:val="107"/>
    <w:qFormat/>
    <w:uiPriority w:val="0"/>
    <w:rPr>
      <w:rFonts w:ascii="Calibri" w:hAnsi="Calibri"/>
      <w:b/>
      <w:bCs/>
      <w:sz w:val="28"/>
      <w:szCs w:val="28"/>
    </w:rPr>
  </w:style>
  <w:style w:type="paragraph" w:customStyle="1" w:styleId="107">
    <w:name w:val="标题 5_0"/>
    <w:basedOn w:val="61"/>
    <w:next w:val="61"/>
    <w:link w:val="106"/>
    <w:qFormat/>
    <w:uiPriority w:val="0"/>
    <w:pPr>
      <w:keepNext/>
      <w:keepLines/>
      <w:spacing w:before="280" w:after="290" w:line="372" w:lineRule="auto"/>
      <w:outlineLvl w:val="4"/>
    </w:pPr>
    <w:rPr>
      <w:rFonts w:ascii="Calibri" w:hAnsi="Calibri"/>
      <w:b/>
      <w:bCs/>
      <w:kern w:val="0"/>
      <w:sz w:val="28"/>
      <w:szCs w:val="28"/>
    </w:rPr>
  </w:style>
  <w:style w:type="character" w:customStyle="1" w:styleId="108">
    <w:name w:val="正文文本缩进 2 Char"/>
    <w:link w:val="28"/>
    <w:qFormat/>
    <w:uiPriority w:val="99"/>
    <w:rPr>
      <w:rFonts w:ascii="宋体"/>
    </w:rPr>
  </w:style>
  <w:style w:type="character" w:customStyle="1" w:styleId="109">
    <w:name w:val="批注文字 Char"/>
    <w:link w:val="17"/>
    <w:qFormat/>
    <w:uiPriority w:val="99"/>
    <w:rPr>
      <w:kern w:val="2"/>
      <w:sz w:val="21"/>
      <w:szCs w:val="24"/>
    </w:rPr>
  </w:style>
  <w:style w:type="character" w:customStyle="1" w:styleId="110">
    <w:name w:val="font11"/>
    <w:qFormat/>
    <w:uiPriority w:val="0"/>
    <w:rPr>
      <w:rFonts w:hint="eastAsia" w:ascii="宋体" w:hAnsi="宋体" w:eastAsia="宋体" w:cs="宋体"/>
      <w:color w:val="000000"/>
      <w:sz w:val="20"/>
      <w:szCs w:val="20"/>
      <w:u w:val="none"/>
    </w:rPr>
  </w:style>
  <w:style w:type="character" w:customStyle="1" w:styleId="111">
    <w:name w:val="明显参考1"/>
    <w:qFormat/>
    <w:uiPriority w:val="0"/>
    <w:rPr>
      <w:b/>
      <w:bCs/>
      <w:smallCaps/>
      <w:color w:val="C0504D"/>
      <w:spacing w:val="5"/>
      <w:u w:val="single"/>
    </w:rPr>
  </w:style>
  <w:style w:type="character" w:customStyle="1" w:styleId="112">
    <w:name w:val="超链接_0"/>
    <w:qFormat/>
    <w:uiPriority w:val="99"/>
    <w:rPr>
      <w:rFonts w:ascii="Calibri" w:hAnsi="Calibri"/>
      <w:color w:val="0000FF"/>
      <w:u w:val="single"/>
    </w:rPr>
  </w:style>
  <w:style w:type="character" w:customStyle="1" w:styleId="113">
    <w:name w:val="文档结构图 Char2"/>
    <w:semiHidden/>
    <w:qFormat/>
    <w:uiPriority w:val="99"/>
    <w:rPr>
      <w:rFonts w:ascii="宋体" w:hAnsi="Calibri" w:eastAsia="宋体" w:cs="Times New Roman"/>
      <w:sz w:val="18"/>
      <w:szCs w:val="18"/>
    </w:rPr>
  </w:style>
  <w:style w:type="character" w:customStyle="1" w:styleId="114">
    <w:name w:val="textcontents"/>
    <w:qFormat/>
    <w:uiPriority w:val="0"/>
    <w:rPr>
      <w:rFonts w:cs="Times New Roman"/>
    </w:rPr>
  </w:style>
  <w:style w:type="character" w:customStyle="1" w:styleId="115">
    <w:name w:val="正文文本 Char"/>
    <w:link w:val="19"/>
    <w:qFormat/>
    <w:uiPriority w:val="0"/>
    <w:rPr>
      <w:rFonts w:eastAsia="幼圆"/>
      <w:b/>
      <w:bCs/>
      <w:kern w:val="2"/>
      <w:sz w:val="44"/>
      <w:szCs w:val="24"/>
    </w:rPr>
  </w:style>
  <w:style w:type="character" w:customStyle="1" w:styleId="116">
    <w:name w:val="标题 8 Char"/>
    <w:link w:val="10"/>
    <w:qFormat/>
    <w:uiPriority w:val="0"/>
    <w:rPr>
      <w:rFonts w:ascii="Cambria" w:hAnsi="Cambria" w:eastAsia="宋体" w:cs="Times New Roman"/>
      <w:kern w:val="2"/>
      <w:sz w:val="24"/>
      <w:szCs w:val="24"/>
    </w:rPr>
  </w:style>
  <w:style w:type="character" w:customStyle="1" w:styleId="117">
    <w:name w:val="副标题 Char1"/>
    <w:qFormat/>
    <w:uiPriority w:val="11"/>
    <w:rPr>
      <w:rFonts w:ascii="Cambria" w:hAnsi="Cambria" w:cs="Times New Roman"/>
      <w:b/>
      <w:bCs/>
      <w:kern w:val="28"/>
      <w:sz w:val="32"/>
      <w:szCs w:val="32"/>
    </w:rPr>
  </w:style>
  <w:style w:type="character" w:customStyle="1" w:styleId="118">
    <w:name w:val="批注主题 Char"/>
    <w:link w:val="42"/>
    <w:qFormat/>
    <w:uiPriority w:val="0"/>
    <w:rPr>
      <w:b/>
      <w:bCs/>
      <w:kern w:val="2"/>
      <w:sz w:val="21"/>
      <w:szCs w:val="24"/>
    </w:rPr>
  </w:style>
  <w:style w:type="character" w:customStyle="1" w:styleId="119">
    <w:name w:val="书籍标题1"/>
    <w:qFormat/>
    <w:uiPriority w:val="0"/>
    <w:rPr>
      <w:b/>
      <w:bCs/>
      <w:smallCaps/>
      <w:spacing w:val="5"/>
    </w:rPr>
  </w:style>
  <w:style w:type="character" w:customStyle="1" w:styleId="120">
    <w:name w:val="页脚 Char"/>
    <w:link w:val="2"/>
    <w:qFormat/>
    <w:uiPriority w:val="99"/>
    <w:rPr>
      <w:kern w:val="2"/>
      <w:sz w:val="18"/>
      <w:szCs w:val="18"/>
    </w:rPr>
  </w:style>
  <w:style w:type="character" w:customStyle="1" w:styleId="121">
    <w:name w:val="标题4 Char Char"/>
    <w:link w:val="122"/>
    <w:qFormat/>
    <w:uiPriority w:val="0"/>
    <w:rPr>
      <w:rFonts w:ascii="Arial" w:hAnsi="Arial"/>
      <w:b/>
      <w:bCs/>
      <w:sz w:val="24"/>
      <w:szCs w:val="32"/>
    </w:rPr>
  </w:style>
  <w:style w:type="paragraph" w:customStyle="1" w:styleId="122">
    <w:name w:val="标题4"/>
    <w:basedOn w:val="4"/>
    <w:next w:val="22"/>
    <w:link w:val="121"/>
    <w:qFormat/>
    <w:uiPriority w:val="0"/>
    <w:pPr>
      <w:numPr>
        <w:ilvl w:val="0"/>
        <w:numId w:val="0"/>
      </w:numPr>
      <w:spacing w:line="413" w:lineRule="auto"/>
    </w:pPr>
    <w:rPr>
      <w:rFonts w:ascii="Arial" w:hAnsi="Arial"/>
      <w:kern w:val="0"/>
      <w:sz w:val="24"/>
    </w:rPr>
  </w:style>
  <w:style w:type="character" w:customStyle="1" w:styleId="123">
    <w:name w:val="正文文本 Char1"/>
    <w:qFormat/>
    <w:uiPriority w:val="0"/>
    <w:rPr>
      <w:rFonts w:ascii="Calibri" w:hAnsi="Calibri" w:eastAsia="宋体" w:cs="Times New Roman"/>
    </w:rPr>
  </w:style>
  <w:style w:type="character" w:customStyle="1" w:styleId="124">
    <w:name w:val="明显引用 Char1"/>
    <w:qFormat/>
    <w:uiPriority w:val="30"/>
    <w:rPr>
      <w:b/>
      <w:bCs/>
      <w:i/>
      <w:iCs/>
      <w:color w:val="4F81BD"/>
      <w:kern w:val="2"/>
      <w:sz w:val="21"/>
    </w:rPr>
  </w:style>
  <w:style w:type="character" w:customStyle="1" w:styleId="125">
    <w:name w:val="页眉 Char1"/>
    <w:semiHidden/>
    <w:qFormat/>
    <w:uiPriority w:val="99"/>
    <w:rPr>
      <w:rFonts w:ascii="Calibri" w:hAnsi="Calibri" w:eastAsia="宋体" w:cs="Times New Roman"/>
      <w:sz w:val="18"/>
      <w:szCs w:val="18"/>
    </w:rPr>
  </w:style>
  <w:style w:type="character" w:customStyle="1" w:styleId="126">
    <w:name w:val="不明显强调1"/>
    <w:qFormat/>
    <w:uiPriority w:val="0"/>
    <w:rPr>
      <w:i/>
      <w:iCs/>
      <w:color w:val="808080"/>
    </w:rPr>
  </w:style>
  <w:style w:type="character" w:customStyle="1" w:styleId="127">
    <w:name w:val="正文文本 3 Char"/>
    <w:link w:val="18"/>
    <w:qFormat/>
    <w:uiPriority w:val="0"/>
    <w:rPr>
      <w:rFonts w:ascii="宋体"/>
      <w:kern w:val="2"/>
      <w:sz w:val="24"/>
    </w:rPr>
  </w:style>
  <w:style w:type="character" w:customStyle="1" w:styleId="128">
    <w:name w:val="正文文本缩进 3 Char"/>
    <w:link w:val="35"/>
    <w:qFormat/>
    <w:uiPriority w:val="0"/>
    <w:rPr>
      <w:kern w:val="2"/>
      <w:sz w:val="16"/>
    </w:rPr>
  </w:style>
  <w:style w:type="character" w:customStyle="1" w:styleId="129">
    <w:name w:val="font21"/>
    <w:qFormat/>
    <w:uiPriority w:val="0"/>
    <w:rPr>
      <w:rFonts w:hint="eastAsia" w:ascii="宋体" w:hAnsi="宋体" w:eastAsia="宋体" w:cs="宋体"/>
      <w:color w:val="000000"/>
      <w:sz w:val="20"/>
      <w:szCs w:val="20"/>
      <w:u w:val="none"/>
    </w:rPr>
  </w:style>
  <w:style w:type="character" w:customStyle="1" w:styleId="130">
    <w:name w:val="批注框文本 Char"/>
    <w:link w:val="29"/>
    <w:qFormat/>
    <w:uiPriority w:val="0"/>
    <w:rPr>
      <w:kern w:val="2"/>
      <w:sz w:val="18"/>
      <w:szCs w:val="18"/>
    </w:rPr>
  </w:style>
  <w:style w:type="character" w:customStyle="1" w:styleId="131">
    <w:name w:val="标题 7 Char"/>
    <w:link w:val="9"/>
    <w:qFormat/>
    <w:uiPriority w:val="0"/>
    <w:rPr>
      <w:b/>
      <w:bCs/>
      <w:kern w:val="2"/>
      <w:sz w:val="24"/>
      <w:szCs w:val="24"/>
    </w:rPr>
  </w:style>
  <w:style w:type="character" w:customStyle="1" w:styleId="132">
    <w:name w:val="文档结构图 Char1"/>
    <w:qFormat/>
    <w:uiPriority w:val="0"/>
    <w:rPr>
      <w:rFonts w:ascii="宋体" w:hAnsi="Calibri" w:eastAsia="宋体" w:cs="Times New Roman"/>
      <w:sz w:val="18"/>
      <w:szCs w:val="18"/>
    </w:rPr>
  </w:style>
  <w:style w:type="character" w:customStyle="1" w:styleId="133">
    <w:name w:val="标题 2 Char_0"/>
    <w:link w:val="134"/>
    <w:qFormat/>
    <w:uiPriority w:val="0"/>
    <w:rPr>
      <w:rFonts w:ascii="Cambria" w:hAnsi="Cambria"/>
      <w:b/>
      <w:bCs/>
      <w:sz w:val="32"/>
      <w:szCs w:val="32"/>
    </w:rPr>
  </w:style>
  <w:style w:type="paragraph" w:customStyle="1" w:styleId="134">
    <w:name w:val="标题 2_0"/>
    <w:basedOn w:val="61"/>
    <w:next w:val="61"/>
    <w:link w:val="133"/>
    <w:unhideWhenUsed/>
    <w:qFormat/>
    <w:uiPriority w:val="0"/>
    <w:pPr>
      <w:keepNext/>
      <w:keepLines/>
      <w:spacing w:before="260" w:after="260" w:line="416" w:lineRule="auto"/>
      <w:outlineLvl w:val="1"/>
    </w:pPr>
    <w:rPr>
      <w:rFonts w:ascii="Cambria" w:hAnsi="Cambria"/>
      <w:b/>
      <w:bCs/>
      <w:kern w:val="0"/>
      <w:sz w:val="32"/>
      <w:szCs w:val="32"/>
    </w:rPr>
  </w:style>
  <w:style w:type="character" w:customStyle="1" w:styleId="135">
    <w:name w:val="日期 Char2"/>
    <w:semiHidden/>
    <w:qFormat/>
    <w:uiPriority w:val="99"/>
    <w:rPr>
      <w:rFonts w:ascii="Calibri" w:hAnsi="Calibri" w:eastAsia="宋体" w:cs="Times New Roman"/>
    </w:rPr>
  </w:style>
  <w:style w:type="character" w:customStyle="1" w:styleId="136">
    <w:name w:val="批注框文本 Char2"/>
    <w:semiHidden/>
    <w:qFormat/>
    <w:uiPriority w:val="99"/>
    <w:rPr>
      <w:rFonts w:ascii="Calibri" w:hAnsi="Calibri" w:eastAsia="宋体" w:cs="Times New Roman"/>
      <w:sz w:val="18"/>
      <w:szCs w:val="18"/>
    </w:rPr>
  </w:style>
  <w:style w:type="character" w:customStyle="1" w:styleId="137">
    <w:name w:val="标题 4 Char"/>
    <w:link w:val="6"/>
    <w:qFormat/>
    <w:uiPriority w:val="0"/>
    <w:rPr>
      <w:rFonts w:ascii="Cambria" w:hAnsi="Cambria" w:eastAsia="宋体" w:cs="Times New Roman"/>
      <w:b/>
      <w:bCs/>
      <w:kern w:val="2"/>
      <w:sz w:val="28"/>
      <w:szCs w:val="28"/>
    </w:rPr>
  </w:style>
  <w:style w:type="character" w:customStyle="1" w:styleId="138">
    <w:name w:val="列出段落 Char"/>
    <w:link w:val="139"/>
    <w:qFormat/>
    <w:locked/>
    <w:uiPriority w:val="99"/>
    <w:rPr>
      <w:kern w:val="2"/>
      <w:sz w:val="21"/>
      <w:szCs w:val="24"/>
    </w:rPr>
  </w:style>
  <w:style w:type="paragraph" w:customStyle="1" w:styleId="139">
    <w:name w:val="List Paragraph1"/>
    <w:basedOn w:val="1"/>
    <w:link w:val="138"/>
    <w:qFormat/>
    <w:uiPriority w:val="99"/>
    <w:pPr>
      <w:ind w:firstLine="420" w:firstLineChars="200"/>
    </w:pPr>
  </w:style>
  <w:style w:type="paragraph" w:customStyle="1" w:styleId="140">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141">
    <w:name w:val="_Style 34"/>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_Style 3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空半行"/>
    <w:basedOn w:val="1"/>
    <w:qFormat/>
    <w:uiPriority w:val="0"/>
    <w:pPr>
      <w:adjustRightInd w:val="0"/>
      <w:spacing w:line="120" w:lineRule="exact"/>
      <w:textAlignment w:val="baseline"/>
    </w:pPr>
    <w:rPr>
      <w:rFonts w:ascii="Calibri" w:hAnsi="Calibri" w:eastAsia="仿宋_GB2312"/>
      <w:color w:val="FFFFFF"/>
      <w:kern w:val="0"/>
      <w:sz w:val="30"/>
      <w:szCs w:val="22"/>
    </w:rPr>
  </w:style>
  <w:style w:type="paragraph" w:customStyle="1" w:styleId="145">
    <w:name w:val="1方案格式1"/>
    <w:basedOn w:val="3"/>
    <w:qFormat/>
    <w:uiPriority w:val="0"/>
    <w:pPr>
      <w:numPr>
        <w:numId w:val="2"/>
      </w:numPr>
      <w:tabs>
        <w:tab w:val="left" w:pos="360"/>
      </w:tabs>
      <w:spacing w:beforeLines="50" w:afterLines="50" w:line="360" w:lineRule="auto"/>
      <w:ind w:left="0" w:firstLine="0"/>
    </w:pPr>
    <w:rPr>
      <w:rFonts w:eastAsia="微软雅黑"/>
      <w:bCs w:val="0"/>
      <w:sz w:val="48"/>
    </w:rPr>
  </w:style>
  <w:style w:type="paragraph" w:customStyle="1" w:styleId="146">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147">
    <w:name w:val="正文1"/>
    <w:qFormat/>
    <w:uiPriority w:val="0"/>
    <w:pPr>
      <w:widowControl w:val="0"/>
      <w:jc w:val="both"/>
    </w:pPr>
    <w:rPr>
      <w:rFonts w:ascii="Calibri" w:hAnsi="Calibri" w:eastAsia="宋体" w:cs="Times New Roman"/>
      <w:lang w:val="en-US" w:eastAsia="zh-CN" w:bidi="ar-SA"/>
    </w:rPr>
  </w:style>
  <w:style w:type="paragraph" w:customStyle="1" w:styleId="148">
    <w:name w:val="列出段落1"/>
    <w:basedOn w:val="1"/>
    <w:qFormat/>
    <w:uiPriority w:val="99"/>
    <w:pPr>
      <w:widowControl/>
      <w:ind w:left="720"/>
      <w:contextualSpacing/>
      <w:jc w:val="left"/>
    </w:pPr>
    <w:rPr>
      <w:rFonts w:ascii="Arial" w:hAnsi="Arial" w:eastAsia="黑体"/>
      <w:kern w:val="0"/>
      <w:sz w:val="24"/>
      <w:lang w:eastAsia="en-US"/>
    </w:rPr>
  </w:style>
  <w:style w:type="paragraph" w:customStyle="1" w:styleId="149">
    <w:name w:val="正文空2字"/>
    <w:basedOn w:val="1"/>
    <w:qFormat/>
    <w:locked/>
    <w:uiPriority w:val="0"/>
    <w:pPr>
      <w:spacing w:beforeLines="40" w:afterLines="40" w:line="360" w:lineRule="auto"/>
      <w:ind w:firstLine="200" w:firstLineChars="200"/>
    </w:pPr>
    <w:rPr>
      <w:kern w:val="0"/>
      <w:sz w:val="24"/>
      <w:lang w:bidi="en-US"/>
    </w:rPr>
  </w:style>
  <w:style w:type="paragraph" w:customStyle="1" w:styleId="150">
    <w:name w:val="正文_0_0_0"/>
    <w:qFormat/>
    <w:uiPriority w:val="0"/>
    <w:pPr>
      <w:widowControl w:val="0"/>
      <w:jc w:val="both"/>
    </w:pPr>
    <w:rPr>
      <w:rFonts w:ascii="Times New Roman" w:hAnsi="Times New Roman" w:eastAsia="宋体" w:cs="Times New Roman"/>
      <w:lang w:val="en-US" w:eastAsia="zh-CN" w:bidi="ar-SA"/>
    </w:rPr>
  </w:style>
  <w:style w:type="paragraph" w:customStyle="1" w:styleId="151">
    <w:name w:val="目录 5_0"/>
    <w:basedOn w:val="61"/>
    <w:next w:val="61"/>
    <w:qFormat/>
    <w:uiPriority w:val="39"/>
    <w:pPr>
      <w:ind w:left="1680" w:leftChars="800"/>
    </w:pPr>
    <w:rPr>
      <w:rFonts w:ascii="Calibri" w:hAnsi="Calibri"/>
    </w:rPr>
  </w:style>
  <w:style w:type="paragraph" w:customStyle="1" w:styleId="152">
    <w:name w:val="修订1"/>
    <w:qFormat/>
    <w:uiPriority w:val="0"/>
    <w:rPr>
      <w:rFonts w:ascii="Times New Roman" w:hAnsi="Times New Roman" w:eastAsia="宋体" w:cs="Times New Roman"/>
      <w:kern w:val="2"/>
      <w:sz w:val="21"/>
      <w:szCs w:val="24"/>
      <w:lang w:val="en-US" w:eastAsia="zh-CN" w:bidi="ar-SA"/>
    </w:rPr>
  </w:style>
  <w:style w:type="paragraph" w:customStyle="1" w:styleId="153">
    <w:name w:val="标题 11"/>
    <w:basedOn w:val="147"/>
    <w:next w:val="147"/>
    <w:qFormat/>
    <w:uiPriority w:val="0"/>
    <w:pPr>
      <w:keepNext/>
      <w:keepLines/>
      <w:spacing w:before="340" w:after="330" w:line="576" w:lineRule="auto"/>
      <w:outlineLvl w:val="0"/>
    </w:pPr>
    <w:rPr>
      <w:rFonts w:ascii="Times New Roman" w:hAnsi="Times New Roman" w:eastAsia="Times New Roman"/>
      <w:b/>
      <w:kern w:val="44"/>
      <w:sz w:val="44"/>
      <w:lang w:val="zh-CN"/>
    </w:rPr>
  </w:style>
  <w:style w:type="paragraph" w:customStyle="1" w:styleId="154">
    <w:name w:val="正文 + 行距: 固定值 20 磅"/>
    <w:basedOn w:val="1"/>
    <w:qFormat/>
    <w:uiPriority w:val="0"/>
    <w:pPr>
      <w:spacing w:line="400" w:lineRule="exact"/>
      <w:ind w:firstLine="716" w:firstLineChars="341"/>
    </w:pPr>
    <w:rPr>
      <w:rFonts w:ascii="Calibri" w:hAnsi="Calibri"/>
      <w:szCs w:val="22"/>
    </w:rPr>
  </w:style>
  <w:style w:type="paragraph" w:customStyle="1" w:styleId="155">
    <w:name w:val="TOC 标题1"/>
    <w:basedOn w:val="3"/>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56">
    <w:name w:val="表格文字"/>
    <w:basedOn w:val="1"/>
    <w:link w:val="187"/>
    <w:qFormat/>
    <w:uiPriority w:val="0"/>
    <w:pPr>
      <w:adjustRightInd w:val="0"/>
      <w:spacing w:line="420" w:lineRule="atLeast"/>
      <w:jc w:val="left"/>
      <w:textAlignment w:val="baseline"/>
    </w:pPr>
    <w:rPr>
      <w:rFonts w:ascii="Calibri" w:hAnsi="Calibri"/>
      <w:kern w:val="0"/>
      <w:szCs w:val="22"/>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2"/>
    </w:rPr>
  </w:style>
  <w:style w:type="paragraph" w:customStyle="1" w:styleId="158">
    <w:name w:val="文章正文"/>
    <w:basedOn w:val="1"/>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59">
    <w:name w:val="表格"/>
    <w:basedOn w:val="1"/>
    <w:qFormat/>
    <w:uiPriority w:val="0"/>
    <w:pPr>
      <w:jc w:val="center"/>
      <w:textAlignment w:val="center"/>
    </w:pPr>
    <w:rPr>
      <w:rFonts w:ascii="华文细黑" w:hAnsi="华文细黑"/>
      <w:kern w:val="0"/>
      <w:szCs w:val="22"/>
    </w:rPr>
  </w:style>
  <w:style w:type="paragraph" w:customStyle="1" w:styleId="16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2">
    <w:name w:val="列出段落2"/>
    <w:basedOn w:val="1"/>
    <w:qFormat/>
    <w:uiPriority w:val="99"/>
    <w:pPr>
      <w:ind w:firstLine="420" w:firstLineChars="200"/>
    </w:pPr>
  </w:style>
  <w:style w:type="paragraph" w:customStyle="1" w:styleId="163">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4">
    <w:name w:val="Char Char Char Char Char Char Char"/>
    <w:basedOn w:val="1"/>
    <w:qFormat/>
    <w:uiPriority w:val="0"/>
    <w:pPr>
      <w:adjustRightInd w:val="0"/>
      <w:spacing w:line="360" w:lineRule="auto"/>
    </w:pPr>
    <w:rPr>
      <w:kern w:val="0"/>
      <w:sz w:val="24"/>
      <w:szCs w:val="20"/>
    </w:rPr>
  </w:style>
  <w:style w:type="paragraph" w:customStyle="1" w:styleId="165">
    <w:name w:val="2方案格式2"/>
    <w:basedOn w:val="145"/>
    <w:qFormat/>
    <w:uiPriority w:val="0"/>
    <w:pPr>
      <w:numPr>
        <w:ilvl w:val="1"/>
      </w:numPr>
      <w:spacing w:before="50" w:after="50" w:line="240" w:lineRule="auto"/>
      <w:outlineLvl w:val="1"/>
    </w:pPr>
    <w:rPr>
      <w:sz w:val="44"/>
    </w:rPr>
  </w:style>
  <w:style w:type="paragraph" w:customStyle="1" w:styleId="16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文档正文"/>
    <w:basedOn w:val="1"/>
    <w:qFormat/>
    <w:uiPriority w:val="0"/>
    <w:pPr>
      <w:adjustRightInd w:val="0"/>
      <w:spacing w:line="480" w:lineRule="atLeast"/>
      <w:ind w:firstLine="567"/>
      <w:textAlignment w:val="baseline"/>
    </w:pPr>
    <w:rPr>
      <w:rFonts w:ascii="Ari" w:eastAsia="Ari"/>
      <w:kern w:val="0"/>
      <w:sz w:val="28"/>
      <w:szCs w:val="20"/>
    </w:rPr>
  </w:style>
  <w:style w:type="paragraph" w:customStyle="1" w:styleId="168">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
    <w:name w:val="目录 4_0"/>
    <w:basedOn w:val="61"/>
    <w:next w:val="61"/>
    <w:qFormat/>
    <w:uiPriority w:val="39"/>
    <w:pPr>
      <w:ind w:left="1260" w:leftChars="600"/>
    </w:pPr>
    <w:rPr>
      <w:rFonts w:ascii="Calibri" w:hAnsi="Calibri"/>
    </w:rPr>
  </w:style>
  <w:style w:type="paragraph" w:customStyle="1" w:styleId="170">
    <w:name w:val="目录 3_0"/>
    <w:basedOn w:val="61"/>
    <w:next w:val="61"/>
    <w:qFormat/>
    <w:uiPriority w:val="39"/>
    <w:pPr>
      <w:ind w:left="840" w:leftChars="400"/>
    </w:pPr>
    <w:rPr>
      <w:rFonts w:ascii="Calibri" w:hAnsi="Calibri"/>
    </w:rPr>
  </w:style>
  <w:style w:type="paragraph" w:customStyle="1" w:styleId="171">
    <w:name w:val="样式 标题 1 + 黑体 三号 非加粗 居中 段前: 6 磅 段后: 6 磅 行距: 固定值 20 磅"/>
    <w:basedOn w:val="3"/>
    <w:qFormat/>
    <w:uiPriority w:val="0"/>
    <w:pPr>
      <w:numPr>
        <w:numId w:val="0"/>
      </w:numPr>
      <w:spacing w:before="120" w:after="120" w:line="400" w:lineRule="exact"/>
    </w:pPr>
    <w:rPr>
      <w:rFonts w:ascii="黑体" w:hAnsi="黑体" w:eastAsia="黑体"/>
      <w:b w:val="0"/>
      <w:bCs w:val="0"/>
      <w:szCs w:val="20"/>
    </w:rPr>
  </w:style>
  <w:style w:type="paragraph" w:customStyle="1" w:styleId="172">
    <w:name w:val="1"/>
    <w:basedOn w:val="1"/>
    <w:next w:val="1"/>
    <w:qFormat/>
    <w:uiPriority w:val="0"/>
    <w:rPr>
      <w:rFonts w:ascii="Calibri" w:hAnsi="Calibri"/>
      <w:szCs w:val="22"/>
    </w:rPr>
  </w:style>
  <w:style w:type="paragraph" w:customStyle="1" w:styleId="173">
    <w:name w:val="Blockquote_0"/>
    <w:basedOn w:val="61"/>
    <w:qFormat/>
    <w:uiPriority w:val="0"/>
    <w:pPr>
      <w:autoSpaceDE w:val="0"/>
      <w:autoSpaceDN w:val="0"/>
      <w:adjustRightInd w:val="0"/>
      <w:spacing w:before="100" w:after="100"/>
      <w:ind w:left="360" w:right="360"/>
      <w:jc w:val="left"/>
    </w:pPr>
    <w:rPr>
      <w:rFonts w:ascii="Calibri" w:hAnsi="Calibri" w:eastAsia="Times New Roman"/>
      <w:kern w:val="0"/>
      <w:sz w:val="24"/>
      <w:szCs w:val="20"/>
    </w:rPr>
  </w:style>
  <w:style w:type="paragraph" w:customStyle="1" w:styleId="174">
    <w:name w:val="列出段落11"/>
    <w:basedOn w:val="1"/>
    <w:qFormat/>
    <w:uiPriority w:val="0"/>
    <w:pPr>
      <w:widowControl/>
      <w:ind w:left="720"/>
      <w:contextualSpacing/>
      <w:jc w:val="left"/>
    </w:pPr>
    <w:rPr>
      <w:rFonts w:ascii="Arial" w:hAnsi="Arial" w:eastAsia="黑体"/>
      <w:kern w:val="0"/>
      <w:sz w:val="24"/>
      <w:lang w:eastAsia="en-US"/>
    </w:rPr>
  </w:style>
  <w:style w:type="paragraph" w:customStyle="1" w:styleId="175">
    <w:name w:val="样式 标题 2 + Times New Roman 四号 非加粗 段前: 5 磅 段后: 0 磅 行距: 固定值 20..._0"/>
    <w:basedOn w:val="1"/>
    <w:qFormat/>
    <w:uiPriority w:val="0"/>
    <w:pPr>
      <w:keepNext/>
      <w:keepLines/>
      <w:spacing w:before="100" w:line="360" w:lineRule="auto"/>
      <w:outlineLvl w:val="1"/>
    </w:pPr>
    <w:rPr>
      <w:rFonts w:eastAsia="Times New Roman" w:cs="宋体"/>
      <w:kern w:val="0"/>
      <w:sz w:val="28"/>
      <w:szCs w:val="20"/>
    </w:rPr>
  </w:style>
  <w:style w:type="paragraph" w:customStyle="1" w:styleId="176">
    <w:name w:val="op_mapdots_lef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7">
    <w:name w:val="p0"/>
    <w:basedOn w:val="1"/>
    <w:qFormat/>
    <w:uiPriority w:val="0"/>
    <w:pPr>
      <w:widowControl/>
    </w:pPr>
    <w:rPr>
      <w:b/>
      <w:bCs/>
      <w:kern w:val="0"/>
      <w:sz w:val="24"/>
    </w:rPr>
  </w:style>
  <w:style w:type="paragraph" w:customStyle="1" w:styleId="178">
    <w:name w:val="Blockquote"/>
    <w:basedOn w:val="1"/>
    <w:qFormat/>
    <w:uiPriority w:val="0"/>
    <w:pPr>
      <w:autoSpaceDE w:val="0"/>
      <w:autoSpaceDN w:val="0"/>
      <w:adjustRightInd w:val="0"/>
      <w:spacing w:before="100" w:after="100"/>
      <w:ind w:left="360" w:right="360"/>
      <w:jc w:val="left"/>
    </w:pPr>
    <w:rPr>
      <w:rFonts w:ascii="Calibri" w:hAnsi="Calibri"/>
      <w:kern w:val="0"/>
      <w:sz w:val="24"/>
      <w:szCs w:val="22"/>
    </w:rPr>
  </w:style>
  <w:style w:type="paragraph" w:customStyle="1" w:styleId="179">
    <w:name w:val="3方案格式3"/>
    <w:basedOn w:val="165"/>
    <w:qFormat/>
    <w:uiPriority w:val="0"/>
    <w:pPr>
      <w:numPr>
        <w:ilvl w:val="2"/>
      </w:numPr>
      <w:outlineLvl w:val="2"/>
    </w:pPr>
    <w:rPr>
      <w:sz w:val="32"/>
    </w:rPr>
  </w:style>
  <w:style w:type="paragraph" w:customStyle="1" w:styleId="180">
    <w:name w:val="样式 标题 2 + Times New Roman 四号 非加粗 段前: 5 磅 段后: 0 磅 行距: 固定值 20..."/>
    <w:basedOn w:val="4"/>
    <w:qFormat/>
    <w:uiPriority w:val="0"/>
    <w:pPr>
      <w:numPr>
        <w:ilvl w:val="0"/>
        <w:numId w:val="0"/>
      </w:numPr>
      <w:spacing w:before="100" w:after="0" w:line="400" w:lineRule="exact"/>
    </w:pPr>
    <w:rPr>
      <w:rFonts w:ascii="Times New Roman" w:hAnsi="Times New Roman" w:eastAsia="黑体"/>
      <w:b w:val="0"/>
      <w:bCs w:val="0"/>
      <w:sz w:val="28"/>
      <w:szCs w:val="20"/>
    </w:rPr>
  </w:style>
  <w:style w:type="paragraph" w:customStyle="1" w:styleId="181">
    <w:name w:val="标题2"/>
    <w:basedOn w:val="4"/>
    <w:next w:val="19"/>
    <w:qFormat/>
    <w:uiPriority w:val="0"/>
    <w:pPr>
      <w:spacing w:before="156" w:after="156" w:line="360" w:lineRule="auto"/>
    </w:pPr>
    <w:rPr>
      <w:bCs w:val="0"/>
      <w:sz w:val="24"/>
    </w:rPr>
  </w:style>
  <w:style w:type="paragraph" w:customStyle="1" w:styleId="18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3">
    <w:name w:val="正文11"/>
    <w:qFormat/>
    <w:uiPriority w:val="0"/>
    <w:rPr>
      <w:rFonts w:ascii="Calibri" w:hAnsi="Calibri" w:eastAsia="宋体" w:cs="Calibri"/>
      <w:sz w:val="24"/>
      <w:szCs w:val="24"/>
      <w:lang w:val="en-US" w:eastAsia="zh-CN" w:bidi="ar-SA"/>
    </w:rPr>
  </w:style>
  <w:style w:type="paragraph" w:customStyle="1" w:styleId="184">
    <w:name w:val="正文2"/>
    <w:qFormat/>
    <w:uiPriority w:val="0"/>
    <w:rPr>
      <w:rFonts w:ascii="Times New Roman" w:hAnsi="Times New Roman" w:eastAsia="微软雅黑" w:cs="Times New Roman"/>
      <w:sz w:val="24"/>
      <w:szCs w:val="24"/>
      <w:lang w:val="en-US" w:eastAsia="zh-CN" w:bidi="ar-SA"/>
    </w:rPr>
  </w:style>
  <w:style w:type="paragraph" w:customStyle="1" w:styleId="185">
    <w:name w:val="列出段落3"/>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6">
    <w:name w:val="纯文本2"/>
    <w:basedOn w:val="1"/>
    <w:qFormat/>
    <w:uiPriority w:val="0"/>
    <w:pPr>
      <w:jc w:val="left"/>
    </w:pPr>
    <w:rPr>
      <w:rFonts w:hint="eastAsia" w:ascii="宋体" w:hAnsi="宋体" w:cs="Courier New"/>
      <w:kern w:val="1"/>
      <w:sz w:val="24"/>
      <w:szCs w:val="20"/>
      <w:lang w:bidi="hi-IN"/>
    </w:rPr>
  </w:style>
  <w:style w:type="character" w:customStyle="1" w:styleId="187">
    <w:name w:val="表格文字 字符"/>
    <w:link w:val="156"/>
    <w:qFormat/>
    <w:uiPriority w:val="0"/>
    <w:rPr>
      <w:rFonts w:ascii="Calibri" w:hAnsi="Calibri" w:eastAsia="宋体" w:cs="Times New Roman"/>
      <w:sz w:val="21"/>
      <w:szCs w:val="22"/>
    </w:rPr>
  </w:style>
  <w:style w:type="paragraph" w:customStyle="1" w:styleId="188">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_Style 2"/>
    <w:basedOn w:val="1"/>
    <w:qFormat/>
    <w:uiPriority w:val="0"/>
    <w:pPr>
      <w:ind w:firstLine="420" w:firstLineChars="200"/>
    </w:pPr>
    <w:rPr>
      <w:rFonts w:ascii="Calibri" w:hAnsi="Calibri"/>
    </w:rPr>
  </w:style>
  <w:style w:type="paragraph" w:customStyle="1" w:styleId="190">
    <w:name w:val="正文3"/>
    <w:basedOn w:val="1"/>
    <w:qFormat/>
    <w:uiPriority w:val="0"/>
    <w:pPr>
      <w:tabs>
        <w:tab w:val="left" w:pos="420"/>
      </w:tabs>
      <w:spacing w:line="360" w:lineRule="auto"/>
      <w:ind w:left="840" w:hanging="420"/>
    </w:pPr>
    <w:rPr>
      <w:rFonts w:ascii="宋体" w:hAnsi="宋体"/>
      <w:sz w:val="24"/>
    </w:rPr>
  </w:style>
  <w:style w:type="paragraph" w:customStyle="1" w:styleId="191">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192">
    <w:name w:val="首行缩进"/>
    <w:basedOn w:val="1"/>
    <w:qFormat/>
    <w:uiPriority w:val="0"/>
    <w:pPr>
      <w:ind w:firstLine="480" w:firstLineChars="200"/>
    </w:pPr>
    <w:rPr>
      <w:szCs w:val="20"/>
      <w:lang w:val="zh-CN"/>
    </w:rPr>
  </w:style>
  <w:style w:type="paragraph" w:customStyle="1" w:styleId="193">
    <w:name w:val="List Paragraph2"/>
    <w:basedOn w:val="1"/>
    <w:qFormat/>
    <w:uiPriority w:val="34"/>
    <w:pPr>
      <w:ind w:firstLine="420" w:firstLineChars="200"/>
    </w:pPr>
  </w:style>
  <w:style w:type="paragraph" w:customStyle="1" w:styleId="194">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195">
    <w:name w:val="9pt"/>
    <w:basedOn w:val="1"/>
    <w:qFormat/>
    <w:uiPriority w:val="0"/>
    <w:pPr>
      <w:widowControl/>
      <w:spacing w:line="200" w:lineRule="exact"/>
      <w:jc w:val="left"/>
    </w:pPr>
    <w:rPr>
      <w:color w:val="3366FF"/>
      <w:kern w:val="0"/>
      <w:sz w:val="18"/>
    </w:rPr>
  </w:style>
  <w:style w:type="paragraph" w:customStyle="1" w:styleId="196">
    <w:name w:val="BULLET2"/>
    <w:basedOn w:val="25"/>
    <w:qFormat/>
    <w:uiPriority w:val="0"/>
    <w:pPr>
      <w:widowControl/>
      <w:numPr>
        <w:ilvl w:val="0"/>
        <w:numId w:val="3"/>
      </w:numPr>
      <w:spacing w:line="300" w:lineRule="exact"/>
      <w:jc w:val="left"/>
    </w:pPr>
    <w:rPr>
      <w:rFonts w:ascii="Times New Roman"/>
      <w:kern w:val="0"/>
      <w:sz w:val="24"/>
      <w:szCs w:val="20"/>
      <w:lang w:eastAsia="en-US"/>
    </w:rPr>
  </w:style>
  <w:style w:type="paragraph" w:customStyle="1" w:styleId="197">
    <w:name w:val="BULLET1"/>
    <w:basedOn w:val="25"/>
    <w:qFormat/>
    <w:uiPriority w:val="0"/>
    <w:pPr>
      <w:widowControl/>
      <w:numPr>
        <w:ilvl w:val="0"/>
        <w:numId w:val="4"/>
      </w:numPr>
      <w:spacing w:line="300" w:lineRule="exact"/>
      <w:jc w:val="left"/>
    </w:pPr>
    <w:rPr>
      <w:rFonts w:ascii="Times New Roman"/>
      <w:kern w:val="0"/>
      <w:sz w:val="24"/>
      <w:szCs w:val="20"/>
      <w:lang w:eastAsia="en-US"/>
    </w:rPr>
  </w:style>
  <w:style w:type="paragraph" w:customStyle="1" w:styleId="198">
    <w:name w:val="Heading 31"/>
    <w:basedOn w:val="1"/>
    <w:qFormat/>
    <w:uiPriority w:val="0"/>
    <w:pPr>
      <w:autoSpaceDE w:val="0"/>
      <w:autoSpaceDN w:val="0"/>
      <w:adjustRightInd w:val="0"/>
      <w:ind w:left="550"/>
      <w:jc w:val="left"/>
      <w:outlineLvl w:val="2"/>
    </w:pPr>
    <w:rPr>
      <w:rFonts w:ascii="宋体" w:cs="宋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89E6A-B726-4724-B93C-6229F27534A2}">
  <ds:schemaRefs/>
</ds:datastoreItem>
</file>

<file path=docProps/app.xml><?xml version="1.0" encoding="utf-8"?>
<Properties xmlns="http://schemas.openxmlformats.org/officeDocument/2006/extended-properties" xmlns:vt="http://schemas.openxmlformats.org/officeDocument/2006/docPropsVTypes">
  <Template>Normal</Template>
  <Company>江苏省设备成套有限公司</Company>
  <Pages>58</Pages>
  <Words>4943</Words>
  <Characters>28179</Characters>
  <Lines>234</Lines>
  <Paragraphs>66</Paragraphs>
  <TotalTime>13</TotalTime>
  <ScaleCrop>false</ScaleCrop>
  <LinksUpToDate>false</LinksUpToDate>
  <CharactersWithSpaces>33056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2020-04-03T07:13:00Z</dcterms:created>
  <dc:creator>Lenovo User</dc:creator>
  <cp:lastModifiedBy>My，Name，LEFT，</cp:lastModifiedBy>
  <cp:lastPrinted>2018-12-18T08:31:00Z</cp:lastPrinted>
  <dcterms:modified xsi:type="dcterms:W3CDTF">2020-08-21T02:30:54Z</dcterms:modified>
  <dc:title>公开招标文件</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