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theme="minorBidi"/>
          <w:b/>
          <w:bCs/>
          <w:sz w:val="36"/>
          <w:szCs w:val="36"/>
        </w:rPr>
      </w:pPr>
      <w:bookmarkStart w:id="0" w:name="_Hlk55079194"/>
      <w:r>
        <w:rPr>
          <w:rFonts w:hint="eastAsia" w:ascii="黑体" w:hAnsi="黑体" w:eastAsia="黑体" w:cstheme="minorBidi"/>
          <w:b/>
          <w:bCs/>
          <w:sz w:val="36"/>
          <w:szCs w:val="36"/>
        </w:rPr>
        <w:t>附件一</w:t>
      </w:r>
    </w:p>
    <w:p>
      <w:pPr>
        <w:jc w:val="center"/>
        <w:rPr>
          <w:rFonts w:ascii="黑体" w:hAnsi="黑体" w:eastAsia="黑体" w:cstheme="minorBidi"/>
          <w:b/>
          <w:bCs/>
          <w:sz w:val="36"/>
          <w:szCs w:val="36"/>
        </w:rPr>
      </w:pPr>
      <w:r>
        <w:rPr>
          <w:rFonts w:hint="eastAsia" w:ascii="黑体" w:hAnsi="黑体" w:eastAsia="黑体" w:cstheme="minorBidi"/>
          <w:b/>
          <w:bCs/>
          <w:sz w:val="36"/>
          <w:szCs w:val="36"/>
        </w:rPr>
        <w:t>建设绩效考核办法</w:t>
      </w:r>
    </w:p>
    <w:p>
      <w:pPr>
        <w:jc w:val="center"/>
        <w:rPr>
          <w:b/>
          <w:bCs/>
          <w:szCs w:val="21"/>
        </w:rPr>
      </w:pPr>
    </w:p>
    <w:p>
      <w:pPr>
        <w:widowControl/>
        <w:adjustRightInd w:val="0"/>
        <w:snapToGrid w:val="0"/>
        <w:spacing w:line="360" w:lineRule="auto"/>
        <w:ind w:firstLine="480" w:firstLineChars="200"/>
        <w:jc w:val="left"/>
        <w:rPr>
          <w:rFonts w:ascii="仿宋" w:hAnsi="仿宋" w:eastAsia="仿宋"/>
          <w:bCs/>
          <w:kern w:val="0"/>
          <w:sz w:val="24"/>
        </w:rPr>
      </w:pPr>
      <w:r>
        <w:rPr>
          <w:rFonts w:hint="eastAsia" w:ascii="仿宋" w:hAnsi="仿宋" w:eastAsia="仿宋"/>
          <w:bCs/>
          <w:kern w:val="0"/>
          <w:sz w:val="24"/>
        </w:rPr>
        <w:t>根据财政部发布的《政府和社会资本合作（PPP）项目绩效管理操作指引》、工程施工相关规范、质量管理、竣工验收等要求，结合项目自身情况，制定本项目在建设期内新建工程的绩效考核办法和细则。对本P</w:t>
      </w:r>
      <w:r>
        <w:rPr>
          <w:rFonts w:ascii="仿宋" w:hAnsi="仿宋" w:eastAsia="仿宋"/>
          <w:bCs/>
          <w:kern w:val="0"/>
          <w:sz w:val="24"/>
        </w:rPr>
        <w:t>PP</w:t>
      </w:r>
      <w:r>
        <w:rPr>
          <w:rFonts w:hint="eastAsia" w:ascii="仿宋" w:hAnsi="仿宋" w:eastAsia="仿宋"/>
          <w:bCs/>
          <w:kern w:val="0"/>
          <w:sz w:val="24"/>
        </w:rPr>
        <w:t>项目中不涉及工程建设、可以直接投入运维的存量资产不适用建设绩效考核办法，应对照运营期绩效考核办法执行。</w:t>
      </w:r>
    </w:p>
    <w:p>
      <w:pPr>
        <w:widowControl/>
        <w:adjustRightInd w:val="0"/>
        <w:snapToGrid w:val="0"/>
        <w:spacing w:line="360" w:lineRule="auto"/>
        <w:ind w:firstLine="480" w:firstLineChars="200"/>
        <w:jc w:val="left"/>
        <w:rPr>
          <w:rFonts w:ascii="仿宋" w:hAnsi="仿宋" w:eastAsia="仿宋"/>
          <w:bCs/>
          <w:kern w:val="0"/>
          <w:sz w:val="24"/>
        </w:rPr>
      </w:pPr>
      <w:r>
        <w:rPr>
          <w:rFonts w:hint="eastAsia" w:ascii="仿宋" w:hAnsi="仿宋" w:eastAsia="仿宋"/>
          <w:bCs/>
          <w:kern w:val="0"/>
          <w:sz w:val="24"/>
        </w:rPr>
        <w:t>建设期内，灌南县财政局、住建局、生态环境局作为日常监管机构通过定期考核、工程建设节点考核与随机考核相结合的方式，对项目公司建设管理情况进行考核，形成的绩效评价结果应依法对外公开，接受社会监督。</w:t>
      </w:r>
      <w:bookmarkStart w:id="1" w:name="_Hlk36152157"/>
      <w:r>
        <w:rPr>
          <w:rFonts w:hint="eastAsia" w:ascii="仿宋" w:hAnsi="仿宋" w:eastAsia="仿宋"/>
          <w:bCs/>
          <w:kern w:val="0"/>
          <w:sz w:val="24"/>
        </w:rPr>
        <w:t>同时，政府方根据评价结果有权提取建设期履约保函。</w:t>
      </w:r>
      <w:bookmarkEnd w:id="1"/>
    </w:p>
    <w:p>
      <w:pPr>
        <w:widowControl/>
        <w:adjustRightInd w:val="0"/>
        <w:snapToGrid w:val="0"/>
        <w:spacing w:line="360" w:lineRule="auto"/>
        <w:ind w:firstLine="482" w:firstLineChars="200"/>
        <w:jc w:val="left"/>
        <w:rPr>
          <w:rFonts w:ascii="仿宋" w:hAnsi="仿宋" w:eastAsia="仿宋"/>
          <w:b/>
          <w:kern w:val="0"/>
          <w:sz w:val="24"/>
        </w:rPr>
      </w:pPr>
      <w:r>
        <w:rPr>
          <w:rFonts w:hint="eastAsia" w:ascii="仿宋" w:hAnsi="仿宋" w:eastAsia="仿宋"/>
          <w:b/>
          <w:kern w:val="0"/>
          <w:sz w:val="24"/>
        </w:rPr>
        <w:t>一、考核方式</w:t>
      </w:r>
    </w:p>
    <w:p>
      <w:pPr>
        <w:widowControl/>
        <w:adjustRightInd w:val="0"/>
        <w:snapToGrid w:val="0"/>
        <w:spacing w:line="360" w:lineRule="auto"/>
        <w:ind w:firstLine="480" w:firstLineChars="200"/>
        <w:jc w:val="left"/>
        <w:rPr>
          <w:rFonts w:ascii="仿宋" w:hAnsi="仿宋" w:eastAsia="仿宋"/>
          <w:bCs/>
          <w:kern w:val="0"/>
          <w:sz w:val="24"/>
        </w:rPr>
      </w:pPr>
      <w:r>
        <w:rPr>
          <w:rFonts w:hint="eastAsia" w:ascii="仿宋" w:hAnsi="仿宋" w:eastAsia="仿宋"/>
          <w:bCs/>
          <w:kern w:val="0"/>
          <w:sz w:val="24"/>
        </w:rPr>
        <w:t>考核方式应包括现场检查、资料核查和外部调查三个方式。</w:t>
      </w:r>
    </w:p>
    <w:p>
      <w:pPr>
        <w:widowControl/>
        <w:adjustRightInd w:val="0"/>
        <w:snapToGrid w:val="0"/>
        <w:spacing w:line="360" w:lineRule="auto"/>
        <w:ind w:firstLine="480" w:firstLineChars="200"/>
        <w:jc w:val="left"/>
        <w:rPr>
          <w:rFonts w:ascii="仿宋" w:hAnsi="仿宋" w:eastAsia="仿宋"/>
          <w:bCs/>
          <w:kern w:val="0"/>
          <w:sz w:val="24"/>
        </w:rPr>
      </w:pPr>
      <w:r>
        <w:rPr>
          <w:rFonts w:hint="eastAsia" w:ascii="仿宋" w:hAnsi="仿宋" w:eastAsia="仿宋"/>
          <w:bCs/>
          <w:kern w:val="0"/>
          <w:sz w:val="24"/>
        </w:rPr>
        <w:t>1、现场检查主要指通过现场对工程质量及安全文明生产管理等方面的检查，对工程实体、人员工作、施工环境等进行直观检查。</w:t>
      </w:r>
    </w:p>
    <w:p>
      <w:pPr>
        <w:widowControl/>
        <w:adjustRightInd w:val="0"/>
        <w:snapToGrid w:val="0"/>
        <w:spacing w:line="360" w:lineRule="auto"/>
        <w:ind w:firstLine="480" w:firstLineChars="200"/>
        <w:jc w:val="left"/>
        <w:rPr>
          <w:rFonts w:ascii="仿宋" w:hAnsi="仿宋" w:eastAsia="仿宋"/>
          <w:bCs/>
          <w:kern w:val="0"/>
          <w:sz w:val="24"/>
        </w:rPr>
      </w:pPr>
      <w:r>
        <w:rPr>
          <w:rFonts w:hint="eastAsia" w:ascii="仿宋" w:hAnsi="仿宋" w:eastAsia="仿宋"/>
          <w:bCs/>
          <w:kern w:val="0"/>
          <w:sz w:val="24"/>
        </w:rPr>
        <w:t>2、资料核查主要指通过对施工组织设计、施工记录、合同及支付台账，以及实施方案是否符合设计、规范要求等的审查。</w:t>
      </w:r>
    </w:p>
    <w:p>
      <w:pPr>
        <w:widowControl/>
        <w:adjustRightInd w:val="0"/>
        <w:snapToGrid w:val="0"/>
        <w:spacing w:line="360" w:lineRule="auto"/>
        <w:ind w:firstLine="480" w:firstLineChars="200"/>
        <w:jc w:val="left"/>
        <w:rPr>
          <w:rFonts w:ascii="仿宋" w:hAnsi="仿宋" w:eastAsia="仿宋"/>
          <w:bCs/>
          <w:kern w:val="0"/>
          <w:sz w:val="24"/>
        </w:rPr>
      </w:pPr>
      <w:r>
        <w:rPr>
          <w:rFonts w:hint="eastAsia" w:ascii="仿宋" w:hAnsi="仿宋" w:eastAsia="仿宋"/>
          <w:bCs/>
          <w:kern w:val="0"/>
          <w:sz w:val="24"/>
        </w:rPr>
        <w:t>3、外部调查主要指通过调查问卷、访谈、新闻报道等形式了解周边居民对于施工环境等的认可和看法。</w:t>
      </w:r>
    </w:p>
    <w:p>
      <w:pPr>
        <w:widowControl/>
        <w:adjustRightInd w:val="0"/>
        <w:snapToGrid w:val="0"/>
        <w:spacing w:line="360" w:lineRule="auto"/>
        <w:ind w:firstLine="482" w:firstLineChars="200"/>
        <w:jc w:val="left"/>
        <w:rPr>
          <w:rFonts w:ascii="仿宋" w:hAnsi="仿宋" w:eastAsia="仿宋"/>
          <w:b/>
          <w:kern w:val="0"/>
          <w:sz w:val="24"/>
        </w:rPr>
      </w:pPr>
      <w:r>
        <w:rPr>
          <w:rFonts w:hint="eastAsia" w:ascii="仿宋" w:hAnsi="仿宋" w:eastAsia="仿宋"/>
          <w:b/>
          <w:kern w:val="0"/>
          <w:sz w:val="24"/>
        </w:rPr>
        <w:t>二、考核时间</w:t>
      </w:r>
    </w:p>
    <w:p>
      <w:pPr>
        <w:widowControl/>
        <w:adjustRightInd w:val="0"/>
        <w:snapToGrid w:val="0"/>
        <w:spacing w:line="360" w:lineRule="auto"/>
        <w:ind w:firstLine="480" w:firstLineChars="200"/>
        <w:jc w:val="left"/>
        <w:rPr>
          <w:rFonts w:ascii="仿宋" w:hAnsi="仿宋" w:eastAsia="仿宋"/>
          <w:bCs/>
          <w:kern w:val="0"/>
          <w:sz w:val="24"/>
        </w:rPr>
      </w:pPr>
      <w:r>
        <w:rPr>
          <w:rFonts w:ascii="仿宋" w:hAnsi="仿宋" w:eastAsia="仿宋"/>
          <w:bCs/>
          <w:kern w:val="0"/>
          <w:sz w:val="24"/>
        </w:rPr>
        <w:t>1</w:t>
      </w:r>
      <w:r>
        <w:rPr>
          <w:rFonts w:hint="eastAsia" w:ascii="仿宋" w:hAnsi="仿宋" w:eastAsia="仿宋"/>
          <w:bCs/>
          <w:kern w:val="0"/>
          <w:sz w:val="24"/>
        </w:rPr>
        <w:t>、定期考核</w:t>
      </w:r>
    </w:p>
    <w:p>
      <w:pPr>
        <w:widowControl/>
        <w:adjustRightInd w:val="0"/>
        <w:snapToGrid w:val="0"/>
        <w:spacing w:line="360" w:lineRule="auto"/>
        <w:ind w:firstLine="480" w:firstLineChars="200"/>
        <w:jc w:val="left"/>
        <w:rPr>
          <w:rFonts w:ascii="仿宋" w:hAnsi="仿宋" w:eastAsia="仿宋"/>
          <w:bCs/>
          <w:kern w:val="0"/>
          <w:sz w:val="24"/>
        </w:rPr>
      </w:pPr>
      <w:r>
        <w:rPr>
          <w:rFonts w:hint="eastAsia" w:ascii="仿宋" w:hAnsi="仿宋" w:eastAsia="仿宋"/>
          <w:bCs/>
          <w:kern w:val="0"/>
          <w:sz w:val="24"/>
        </w:rPr>
        <w:t>定期考核项目公司设立后每年进行一次，考核小组需提前通知项目公司。考核小组在随机选取的区域进行现场考核，项目公司应提供相关资料以供检查，另外根据需要安排相关人员进行访谈，同时结合周边居民满意度调查结果形成考核结果。</w:t>
      </w:r>
    </w:p>
    <w:p>
      <w:pPr>
        <w:widowControl/>
        <w:adjustRightInd w:val="0"/>
        <w:snapToGrid w:val="0"/>
        <w:spacing w:line="360" w:lineRule="auto"/>
        <w:ind w:firstLine="480" w:firstLineChars="200"/>
        <w:jc w:val="left"/>
        <w:rPr>
          <w:rFonts w:ascii="仿宋" w:hAnsi="仿宋" w:eastAsia="仿宋"/>
          <w:bCs/>
          <w:kern w:val="0"/>
          <w:sz w:val="24"/>
        </w:rPr>
      </w:pPr>
      <w:r>
        <w:rPr>
          <w:rFonts w:ascii="仿宋" w:hAnsi="仿宋" w:eastAsia="仿宋"/>
          <w:bCs/>
          <w:kern w:val="0"/>
          <w:sz w:val="24"/>
        </w:rPr>
        <w:t>2</w:t>
      </w:r>
      <w:r>
        <w:rPr>
          <w:rFonts w:hint="eastAsia" w:ascii="仿宋" w:hAnsi="仿宋" w:eastAsia="仿宋"/>
          <w:bCs/>
          <w:kern w:val="0"/>
          <w:sz w:val="24"/>
        </w:rPr>
        <w:t>、工程施工节点考核</w:t>
      </w:r>
    </w:p>
    <w:p>
      <w:pPr>
        <w:widowControl/>
        <w:adjustRightInd w:val="0"/>
        <w:snapToGrid w:val="0"/>
        <w:spacing w:line="360" w:lineRule="auto"/>
        <w:ind w:firstLine="480" w:firstLineChars="200"/>
        <w:jc w:val="left"/>
        <w:rPr>
          <w:rFonts w:ascii="仿宋" w:hAnsi="仿宋" w:eastAsia="仿宋"/>
          <w:bCs/>
          <w:kern w:val="0"/>
          <w:sz w:val="24"/>
        </w:rPr>
      </w:pPr>
      <w:r>
        <w:rPr>
          <w:rFonts w:hint="eastAsia" w:ascii="仿宋" w:hAnsi="仿宋" w:eastAsia="仿宋"/>
          <w:bCs/>
          <w:kern w:val="0"/>
          <w:sz w:val="24"/>
        </w:rPr>
        <w:t>节点考核时间根据经政府方审批施工组织设计文件及施工进度计划中规定的施工节点要求确定。项目公司确认可以在规定的节点完成进度控制目标的，应在节点之前一个月内申报考核计划。在达到投资或验收目标后的一周内项目公司应将相关结果材料汇总上报考核小组，由考核小组组织考核工作。</w:t>
      </w:r>
    </w:p>
    <w:p>
      <w:pPr>
        <w:widowControl/>
        <w:adjustRightInd w:val="0"/>
        <w:snapToGrid w:val="0"/>
        <w:spacing w:line="360" w:lineRule="auto"/>
        <w:ind w:firstLine="480" w:firstLineChars="200"/>
        <w:jc w:val="left"/>
        <w:rPr>
          <w:rFonts w:ascii="仿宋" w:hAnsi="仿宋" w:eastAsia="仿宋"/>
          <w:bCs/>
          <w:kern w:val="0"/>
          <w:sz w:val="24"/>
        </w:rPr>
      </w:pPr>
      <w:r>
        <w:rPr>
          <w:rFonts w:ascii="仿宋" w:hAnsi="仿宋" w:eastAsia="仿宋"/>
          <w:bCs/>
          <w:kern w:val="0"/>
          <w:sz w:val="24"/>
        </w:rPr>
        <w:t>3</w:t>
      </w:r>
      <w:r>
        <w:rPr>
          <w:rFonts w:hint="eastAsia" w:ascii="仿宋" w:hAnsi="仿宋" w:eastAsia="仿宋"/>
          <w:bCs/>
          <w:kern w:val="0"/>
          <w:sz w:val="24"/>
        </w:rPr>
        <w:t>、随机考核</w:t>
      </w:r>
    </w:p>
    <w:p>
      <w:pPr>
        <w:widowControl/>
        <w:adjustRightInd w:val="0"/>
        <w:snapToGrid w:val="0"/>
        <w:spacing w:line="360" w:lineRule="auto"/>
        <w:ind w:firstLine="480" w:firstLineChars="200"/>
        <w:jc w:val="left"/>
        <w:rPr>
          <w:rFonts w:ascii="仿宋" w:hAnsi="仿宋" w:eastAsia="仿宋"/>
          <w:bCs/>
          <w:kern w:val="0"/>
          <w:sz w:val="24"/>
        </w:rPr>
      </w:pPr>
      <w:r>
        <w:rPr>
          <w:rFonts w:hint="eastAsia" w:ascii="仿宋" w:hAnsi="仿宋" w:eastAsia="仿宋"/>
          <w:bCs/>
          <w:kern w:val="0"/>
          <w:sz w:val="24"/>
        </w:rPr>
        <w:t>考核小组应提前半天通知项目公司考核时间，现场随机对工程质量、安全文明生产及实际工程进度情况等进行考核。考核过程中如发现缺陷，应采用拍照保留文件等形式记录，并向项目公司下达限期整改通知书，由项目公司进行整改。</w:t>
      </w:r>
    </w:p>
    <w:p>
      <w:pPr>
        <w:widowControl/>
        <w:adjustRightInd w:val="0"/>
        <w:snapToGrid w:val="0"/>
        <w:spacing w:line="360" w:lineRule="auto"/>
        <w:ind w:firstLine="482" w:firstLineChars="200"/>
        <w:jc w:val="left"/>
        <w:rPr>
          <w:rFonts w:ascii="仿宋" w:hAnsi="仿宋" w:eastAsia="仿宋"/>
          <w:b/>
          <w:kern w:val="0"/>
          <w:sz w:val="24"/>
        </w:rPr>
      </w:pPr>
      <w:r>
        <w:rPr>
          <w:rFonts w:hint="eastAsia" w:ascii="仿宋" w:hAnsi="仿宋" w:eastAsia="仿宋"/>
          <w:b/>
          <w:kern w:val="0"/>
          <w:sz w:val="24"/>
        </w:rPr>
        <w:t>三、考核扣款</w:t>
      </w:r>
    </w:p>
    <w:p>
      <w:pPr>
        <w:widowControl/>
        <w:adjustRightInd w:val="0"/>
        <w:snapToGrid w:val="0"/>
        <w:spacing w:line="360" w:lineRule="auto"/>
        <w:ind w:firstLine="480" w:firstLineChars="200"/>
        <w:jc w:val="left"/>
        <w:rPr>
          <w:rFonts w:ascii="仿宋" w:hAnsi="仿宋" w:eastAsia="仿宋"/>
          <w:bCs/>
          <w:kern w:val="0"/>
          <w:sz w:val="24"/>
        </w:rPr>
      </w:pPr>
      <w:r>
        <w:rPr>
          <w:rFonts w:hint="eastAsia" w:ascii="仿宋" w:hAnsi="仿宋" w:eastAsia="仿宋"/>
          <w:bCs/>
          <w:kern w:val="0"/>
          <w:sz w:val="24"/>
        </w:rPr>
        <w:t>政府方负责考核的部门，有权根据建设期考核结果按P</w:t>
      </w:r>
      <w:r>
        <w:rPr>
          <w:rFonts w:ascii="仿宋" w:hAnsi="仿宋" w:eastAsia="仿宋"/>
          <w:bCs/>
          <w:kern w:val="0"/>
          <w:sz w:val="24"/>
        </w:rPr>
        <w:t>PP</w:t>
      </w:r>
      <w:r>
        <w:rPr>
          <w:rFonts w:hint="eastAsia" w:ascii="仿宋" w:hAnsi="仿宋" w:eastAsia="仿宋"/>
          <w:bCs/>
          <w:kern w:val="0"/>
          <w:sz w:val="24"/>
        </w:rPr>
        <w:t>合同约定提取</w:t>
      </w:r>
      <w:bookmarkStart w:id="2" w:name="_Hlk36152844"/>
      <w:r>
        <w:rPr>
          <w:rFonts w:hint="eastAsia" w:ascii="仿宋" w:hAnsi="仿宋" w:eastAsia="仿宋"/>
          <w:bCs/>
          <w:kern w:val="0"/>
          <w:sz w:val="24"/>
        </w:rPr>
        <w:t>建设期履约保函</w:t>
      </w:r>
      <w:bookmarkEnd w:id="2"/>
      <w:r>
        <w:rPr>
          <w:rFonts w:hint="eastAsia" w:ascii="仿宋" w:hAnsi="仿宋" w:eastAsia="仿宋"/>
          <w:bCs/>
          <w:kern w:val="0"/>
          <w:sz w:val="24"/>
        </w:rPr>
        <w:t>相应金额。</w:t>
      </w:r>
    </w:p>
    <w:p>
      <w:pPr>
        <w:widowControl/>
        <w:adjustRightInd w:val="0"/>
        <w:snapToGrid w:val="0"/>
        <w:spacing w:line="360" w:lineRule="auto"/>
        <w:ind w:firstLine="480" w:firstLineChars="200"/>
        <w:jc w:val="left"/>
        <w:rPr>
          <w:rFonts w:ascii="仿宋" w:hAnsi="仿宋" w:eastAsia="仿宋"/>
          <w:bCs/>
          <w:kern w:val="0"/>
          <w:sz w:val="24"/>
        </w:rPr>
      </w:pPr>
      <w:r>
        <w:rPr>
          <w:rFonts w:hint="eastAsia" w:ascii="仿宋" w:hAnsi="仿宋" w:eastAsia="仿宋"/>
          <w:bCs/>
          <w:kern w:val="0"/>
          <w:sz w:val="24"/>
        </w:rPr>
        <w:t>1、实行情况通报。建设过程中，甲方组织考核后实行考核通报，将考核结果通报项目公司、各联合体成员和水务集团。</w:t>
      </w:r>
    </w:p>
    <w:p>
      <w:pPr>
        <w:widowControl/>
        <w:adjustRightInd w:val="0"/>
        <w:snapToGrid w:val="0"/>
        <w:spacing w:line="360" w:lineRule="auto"/>
        <w:ind w:firstLine="480" w:firstLineChars="200"/>
        <w:jc w:val="left"/>
        <w:rPr>
          <w:rFonts w:ascii="仿宋" w:hAnsi="仿宋" w:eastAsia="仿宋"/>
          <w:bCs/>
          <w:kern w:val="0"/>
          <w:sz w:val="24"/>
        </w:rPr>
      </w:pPr>
      <w:r>
        <w:rPr>
          <w:rFonts w:hint="eastAsia" w:ascii="仿宋" w:hAnsi="仿宋" w:eastAsia="仿宋"/>
          <w:bCs/>
          <w:kern w:val="0"/>
          <w:sz w:val="24"/>
        </w:rPr>
        <w:t>2、考核扣款</w:t>
      </w:r>
    </w:p>
    <w:p>
      <w:pPr>
        <w:widowControl/>
        <w:adjustRightInd w:val="0"/>
        <w:snapToGrid w:val="0"/>
        <w:spacing w:line="360" w:lineRule="auto"/>
        <w:ind w:firstLine="480" w:firstLineChars="200"/>
        <w:jc w:val="left"/>
        <w:rPr>
          <w:rFonts w:ascii="仿宋" w:hAnsi="仿宋" w:eastAsia="仿宋"/>
          <w:bCs/>
          <w:kern w:val="0"/>
          <w:sz w:val="24"/>
        </w:rPr>
      </w:pPr>
      <w:r>
        <w:rPr>
          <w:rFonts w:hint="eastAsia" w:ascii="仿宋" w:hAnsi="仿宋" w:eastAsia="仿宋"/>
          <w:bCs/>
          <w:kern w:val="0"/>
          <w:sz w:val="24"/>
        </w:rPr>
        <w:t>年度考核得分达到90分（含90分）的不予惩处。考核得分&lt;90分的，按低于90分的分值，每低1分相应提取建设期履约保函或保证金金额的百分之一惩处.如得分＜60分的，甲方有权提取全部建设期保函。对每次处罚金额通报项目公司及各联合体成员。</w:t>
      </w:r>
    </w:p>
    <w:p>
      <w:pPr>
        <w:pStyle w:val="11"/>
        <w:spacing w:before="156" w:beforeLines="50" w:after="156" w:afterLines="50"/>
        <w:rPr>
          <w:rFonts w:ascii="仿宋" w:hAnsi="仿宋" w:eastAsia="仿宋" w:cstheme="minorBidi"/>
          <w:b/>
          <w:bCs/>
          <w:sz w:val="36"/>
          <w:szCs w:val="36"/>
        </w:rPr>
      </w:pPr>
      <w:r>
        <w:rPr>
          <w:rFonts w:hint="eastAsia" w:ascii="仿宋" w:hAnsi="仿宋" w:eastAsia="仿宋"/>
          <w:bCs/>
          <w:kern w:val="0"/>
        </w:rPr>
        <w:t>3、对扣分的项目，实施机构对项目公司提出限期整改要求，必要时，实施机构可以约谈项目公司法定代表人，如整改不到位，按PPP项目合同的约定，实施机构可解除与社会资本的合作关系。</w:t>
      </w:r>
    </w:p>
    <w:p>
      <w:pPr>
        <w:widowControl/>
        <w:adjustRightInd w:val="0"/>
        <w:snapToGrid w:val="0"/>
        <w:spacing w:before="156" w:beforeLines="50" w:after="156" w:afterLines="50" w:line="360" w:lineRule="auto"/>
        <w:ind w:firstLine="482" w:firstLineChars="200"/>
        <w:jc w:val="left"/>
        <w:rPr>
          <w:rFonts w:ascii="仿宋" w:hAnsi="仿宋" w:eastAsia="仿宋"/>
          <w:b/>
          <w:kern w:val="0"/>
          <w:sz w:val="24"/>
        </w:rPr>
      </w:pPr>
      <w:r>
        <w:rPr>
          <w:rFonts w:hint="eastAsia" w:ascii="仿宋" w:hAnsi="仿宋" w:eastAsia="仿宋"/>
          <w:b/>
          <w:kern w:val="0"/>
          <w:sz w:val="24"/>
        </w:rPr>
        <w:t>四、建设绩效考核体系及主要指标</w:t>
      </w:r>
    </w:p>
    <w:p>
      <w:pPr>
        <w:pStyle w:val="11"/>
        <w:spacing w:before="0" w:after="0" w:line="480" w:lineRule="exact"/>
        <w:jc w:val="center"/>
        <w:rPr>
          <w:b/>
          <w:color w:val="auto"/>
        </w:rPr>
      </w:pPr>
      <w:r>
        <w:rPr>
          <w:rFonts w:hint="eastAsia"/>
          <w:b/>
          <w:color w:val="auto"/>
        </w:rPr>
        <w:t>建设绩效评价主要指标</w:t>
      </w:r>
    </w:p>
    <w:tbl>
      <w:tblPr>
        <w:tblStyle w:val="6"/>
        <w:tblW w:w="8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929"/>
        <w:gridCol w:w="5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271" w:type="dxa"/>
            <w:shd w:val="clear" w:color="auto" w:fill="auto"/>
            <w:noWrap/>
            <w:vAlign w:val="center"/>
          </w:tcPr>
          <w:p>
            <w:pPr>
              <w:adjustRightInd w:val="0"/>
              <w:snapToGrid w:val="0"/>
              <w:spacing w:line="600" w:lineRule="exact"/>
              <w:jc w:val="center"/>
              <w:rPr>
                <w:rFonts w:ascii="仿宋" w:hAnsi="仿宋" w:eastAsia="仿宋" w:cs="宋体"/>
              </w:rPr>
            </w:pPr>
            <w:r>
              <w:rPr>
                <w:rFonts w:hint="eastAsia" w:ascii="仿宋" w:hAnsi="仿宋" w:eastAsia="仿宋" w:cs="宋体"/>
              </w:rPr>
              <w:t>一级指标</w:t>
            </w:r>
          </w:p>
        </w:tc>
        <w:tc>
          <w:tcPr>
            <w:tcW w:w="1929" w:type="dxa"/>
            <w:shd w:val="clear" w:color="auto" w:fill="auto"/>
            <w:noWrap/>
            <w:vAlign w:val="center"/>
          </w:tcPr>
          <w:p>
            <w:pPr>
              <w:adjustRightInd w:val="0"/>
              <w:snapToGrid w:val="0"/>
              <w:spacing w:line="600" w:lineRule="exact"/>
              <w:jc w:val="center"/>
              <w:rPr>
                <w:rFonts w:ascii="仿宋" w:hAnsi="仿宋" w:eastAsia="仿宋" w:cs="宋体"/>
              </w:rPr>
            </w:pPr>
            <w:r>
              <w:rPr>
                <w:rFonts w:hint="eastAsia" w:ascii="仿宋" w:hAnsi="仿宋" w:eastAsia="仿宋" w:cs="宋体"/>
              </w:rPr>
              <w:t>二级指标</w:t>
            </w:r>
          </w:p>
        </w:tc>
        <w:tc>
          <w:tcPr>
            <w:tcW w:w="5186" w:type="dxa"/>
            <w:shd w:val="clear" w:color="auto" w:fill="auto"/>
            <w:noWrap/>
            <w:vAlign w:val="center"/>
          </w:tcPr>
          <w:p>
            <w:pPr>
              <w:adjustRightInd w:val="0"/>
              <w:snapToGrid w:val="0"/>
              <w:spacing w:line="600" w:lineRule="exact"/>
              <w:jc w:val="center"/>
              <w:rPr>
                <w:rFonts w:ascii="仿宋" w:hAnsi="仿宋" w:eastAsia="仿宋" w:cs="宋体"/>
              </w:rPr>
            </w:pPr>
            <w:r>
              <w:rPr>
                <w:rFonts w:hint="eastAsia" w:ascii="仿宋" w:hAnsi="仿宋" w:eastAsia="仿宋" w:cs="宋体"/>
              </w:rPr>
              <w:t>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restart"/>
            <w:shd w:val="clear" w:color="auto" w:fill="auto"/>
            <w:vAlign w:val="center"/>
          </w:tcPr>
          <w:p>
            <w:pPr>
              <w:adjustRightInd w:val="0"/>
              <w:snapToGrid w:val="0"/>
              <w:spacing w:line="600" w:lineRule="exact"/>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产出</w:t>
            </w:r>
          </w:p>
        </w:tc>
        <w:tc>
          <w:tcPr>
            <w:tcW w:w="1929" w:type="dxa"/>
            <w:shd w:val="clear" w:color="auto" w:fill="auto"/>
            <w:vAlign w:val="center"/>
          </w:tcPr>
          <w:p>
            <w:pPr>
              <w:adjustRightInd w:val="0"/>
              <w:snapToGrid w:val="0"/>
              <w:spacing w:line="600" w:lineRule="exact"/>
              <w:jc w:val="center"/>
              <w:rPr>
                <w:rFonts w:ascii="仿宋" w:hAnsi="仿宋" w:eastAsia="仿宋" w:cs="宋体"/>
                <w:color w:val="000000"/>
                <w:sz w:val="22"/>
                <w:szCs w:val="22"/>
              </w:rPr>
            </w:pPr>
            <w:r>
              <w:rPr>
                <w:rFonts w:hint="eastAsia" w:ascii="仿宋" w:hAnsi="仿宋" w:eastAsia="仿宋" w:cs="宋体"/>
                <w:color w:val="000000"/>
                <w:sz w:val="22"/>
                <w:szCs w:val="22"/>
              </w:rPr>
              <w:t>工程质量</w:t>
            </w:r>
          </w:p>
        </w:tc>
        <w:tc>
          <w:tcPr>
            <w:tcW w:w="5186" w:type="dxa"/>
            <w:shd w:val="clear" w:color="auto" w:fill="auto"/>
            <w:vAlign w:val="center"/>
          </w:tcPr>
          <w:p>
            <w:pPr>
              <w:adjustRightInd w:val="0"/>
              <w:snapToGrid w:val="0"/>
              <w:spacing w:line="600" w:lineRule="exact"/>
              <w:rPr>
                <w:rFonts w:ascii="仿宋" w:hAnsi="仿宋" w:eastAsia="仿宋" w:cs="宋体"/>
                <w:color w:val="000000"/>
                <w:sz w:val="22"/>
                <w:szCs w:val="22"/>
              </w:rPr>
            </w:pPr>
            <w:r>
              <w:rPr>
                <w:rFonts w:hint="eastAsia" w:ascii="仿宋" w:hAnsi="仿宋" w:eastAsia="仿宋" w:cs="宋体"/>
                <w:color w:val="000000"/>
                <w:sz w:val="22"/>
                <w:szCs w:val="22"/>
              </w:rPr>
              <w:t>主要考核：是否按施工规范要求,保证每道工序质量符合验收标准、是否委按规范要求对材料及构件进行检测试验、施工工艺、工序等符合设计、规范要求、设备安装与调试满足行业规范要求、有无质量事故。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shd w:val="clear" w:color="auto" w:fill="auto"/>
            <w:vAlign w:val="center"/>
          </w:tcPr>
          <w:p>
            <w:pPr>
              <w:adjustRightInd w:val="0"/>
              <w:snapToGrid w:val="0"/>
              <w:spacing w:line="600" w:lineRule="exact"/>
              <w:jc w:val="center"/>
              <w:rPr>
                <w:rFonts w:ascii="仿宋" w:hAnsi="仿宋" w:eastAsia="仿宋" w:cs="宋体"/>
                <w:b/>
                <w:bCs/>
                <w:color w:val="000000"/>
                <w:sz w:val="22"/>
                <w:szCs w:val="22"/>
              </w:rPr>
            </w:pPr>
          </w:p>
        </w:tc>
        <w:tc>
          <w:tcPr>
            <w:tcW w:w="1929" w:type="dxa"/>
            <w:shd w:val="clear" w:color="auto" w:fill="auto"/>
            <w:vAlign w:val="center"/>
          </w:tcPr>
          <w:p>
            <w:pPr>
              <w:adjustRightInd w:val="0"/>
              <w:snapToGrid w:val="0"/>
              <w:spacing w:line="600" w:lineRule="exact"/>
              <w:jc w:val="center"/>
              <w:rPr>
                <w:rFonts w:ascii="仿宋" w:hAnsi="仿宋" w:eastAsia="仿宋" w:cs="宋体"/>
                <w:color w:val="000000"/>
                <w:sz w:val="22"/>
                <w:szCs w:val="22"/>
              </w:rPr>
            </w:pPr>
            <w:r>
              <w:rPr>
                <w:rFonts w:hint="eastAsia" w:ascii="仿宋" w:hAnsi="仿宋" w:eastAsia="仿宋" w:cs="宋体"/>
                <w:color w:val="000000"/>
                <w:sz w:val="22"/>
                <w:szCs w:val="22"/>
              </w:rPr>
              <w:t>工程进度</w:t>
            </w:r>
          </w:p>
        </w:tc>
        <w:tc>
          <w:tcPr>
            <w:tcW w:w="5186" w:type="dxa"/>
            <w:shd w:val="clear" w:color="auto" w:fill="auto"/>
            <w:vAlign w:val="center"/>
          </w:tcPr>
          <w:p>
            <w:pPr>
              <w:adjustRightInd w:val="0"/>
              <w:snapToGrid w:val="0"/>
              <w:spacing w:line="600" w:lineRule="exact"/>
              <w:rPr>
                <w:rFonts w:ascii="仿宋" w:hAnsi="仿宋" w:eastAsia="仿宋" w:cs="宋体"/>
                <w:color w:val="000000"/>
                <w:sz w:val="22"/>
                <w:szCs w:val="22"/>
              </w:rPr>
            </w:pPr>
            <w:r>
              <w:rPr>
                <w:rFonts w:hint="eastAsia" w:ascii="仿宋" w:hAnsi="仿宋" w:eastAsia="仿宋" w:cs="宋体"/>
                <w:color w:val="000000"/>
                <w:sz w:val="22"/>
                <w:szCs w:val="22"/>
              </w:rPr>
              <w:t>主要考核：项目公司是否及时编制本项目建设期内总体实施方案、施工组织设计文件及各子项目施工进度计划、是否及时报政府审批、工程建设时关键节点进度是否落后项目总进度计划、各子项目是否存在实际进度滞后于甲方审批的施工进度计划、是否在甲方限期内采用有效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shd w:val="clear" w:color="auto" w:fill="auto"/>
            <w:vAlign w:val="center"/>
          </w:tcPr>
          <w:p>
            <w:pPr>
              <w:adjustRightInd w:val="0"/>
              <w:snapToGrid w:val="0"/>
              <w:spacing w:line="600" w:lineRule="exact"/>
              <w:jc w:val="center"/>
              <w:rPr>
                <w:rFonts w:ascii="仿宋" w:hAnsi="仿宋" w:eastAsia="仿宋" w:cs="宋体"/>
                <w:b/>
                <w:bCs/>
                <w:color w:val="000000"/>
                <w:sz w:val="22"/>
                <w:szCs w:val="22"/>
              </w:rPr>
            </w:pPr>
          </w:p>
        </w:tc>
        <w:tc>
          <w:tcPr>
            <w:tcW w:w="1929" w:type="dxa"/>
            <w:shd w:val="clear" w:color="auto" w:fill="auto"/>
            <w:vAlign w:val="center"/>
          </w:tcPr>
          <w:p>
            <w:pPr>
              <w:adjustRightInd w:val="0"/>
              <w:snapToGrid w:val="0"/>
              <w:spacing w:line="600" w:lineRule="exact"/>
              <w:jc w:val="center"/>
              <w:rPr>
                <w:rFonts w:ascii="仿宋" w:hAnsi="仿宋" w:eastAsia="仿宋" w:cs="宋体"/>
                <w:color w:val="000000"/>
                <w:sz w:val="22"/>
                <w:szCs w:val="22"/>
              </w:rPr>
            </w:pPr>
            <w:r>
              <w:rPr>
                <w:rFonts w:hint="eastAsia" w:ascii="仿宋" w:hAnsi="仿宋" w:eastAsia="仿宋" w:cs="宋体"/>
                <w:color w:val="000000"/>
                <w:sz w:val="22"/>
                <w:szCs w:val="22"/>
              </w:rPr>
              <w:t>竣工验收</w:t>
            </w:r>
          </w:p>
        </w:tc>
        <w:tc>
          <w:tcPr>
            <w:tcW w:w="5186" w:type="dxa"/>
            <w:shd w:val="clear" w:color="auto" w:fill="auto"/>
            <w:vAlign w:val="center"/>
          </w:tcPr>
          <w:p>
            <w:pPr>
              <w:adjustRightInd w:val="0"/>
              <w:snapToGrid w:val="0"/>
              <w:spacing w:line="600" w:lineRule="exact"/>
              <w:rPr>
                <w:rFonts w:ascii="仿宋" w:hAnsi="仿宋" w:eastAsia="仿宋" w:cs="宋体"/>
                <w:color w:val="000000"/>
                <w:sz w:val="22"/>
                <w:szCs w:val="22"/>
              </w:rPr>
            </w:pPr>
            <w:r>
              <w:rPr>
                <w:rFonts w:hint="eastAsia" w:ascii="仿宋" w:hAnsi="仿宋" w:eastAsia="仿宋" w:cs="宋体"/>
                <w:color w:val="000000"/>
                <w:sz w:val="22"/>
                <w:szCs w:val="22"/>
              </w:rPr>
              <w:t>主要考核：是否按要求通过完工验收、环保验收及竣工验收、是否及时完整的向甲方提交完整的建设工程档案、竣工验收及备案资料。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restart"/>
            <w:shd w:val="clear" w:color="auto" w:fill="auto"/>
            <w:vAlign w:val="center"/>
          </w:tcPr>
          <w:p>
            <w:pPr>
              <w:adjustRightInd w:val="0"/>
              <w:snapToGrid w:val="0"/>
              <w:spacing w:line="600" w:lineRule="exact"/>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效果</w:t>
            </w:r>
          </w:p>
        </w:tc>
        <w:tc>
          <w:tcPr>
            <w:tcW w:w="1929" w:type="dxa"/>
            <w:shd w:val="clear" w:color="auto" w:fill="auto"/>
            <w:vAlign w:val="center"/>
          </w:tcPr>
          <w:p>
            <w:pPr>
              <w:adjustRightInd w:val="0"/>
              <w:snapToGrid w:val="0"/>
              <w:spacing w:line="600" w:lineRule="exact"/>
              <w:jc w:val="center"/>
              <w:rPr>
                <w:rFonts w:ascii="仿宋" w:hAnsi="仿宋" w:eastAsia="仿宋" w:cs="宋体"/>
                <w:color w:val="000000"/>
                <w:sz w:val="22"/>
                <w:szCs w:val="22"/>
              </w:rPr>
            </w:pPr>
            <w:r>
              <w:rPr>
                <w:rFonts w:hint="eastAsia" w:ascii="仿宋" w:hAnsi="仿宋" w:eastAsia="仿宋" w:cs="宋体"/>
                <w:color w:val="000000"/>
                <w:sz w:val="22"/>
                <w:szCs w:val="22"/>
              </w:rPr>
              <w:t>社会影响</w:t>
            </w:r>
          </w:p>
        </w:tc>
        <w:tc>
          <w:tcPr>
            <w:tcW w:w="5186" w:type="dxa"/>
            <w:shd w:val="clear" w:color="auto" w:fill="auto"/>
            <w:vAlign w:val="center"/>
          </w:tcPr>
          <w:p>
            <w:pPr>
              <w:adjustRightInd w:val="0"/>
              <w:snapToGrid w:val="0"/>
              <w:spacing w:line="600" w:lineRule="exact"/>
              <w:rPr>
                <w:rFonts w:ascii="仿宋" w:hAnsi="仿宋" w:eastAsia="仿宋" w:cs="宋体"/>
                <w:color w:val="000000"/>
                <w:sz w:val="22"/>
                <w:szCs w:val="22"/>
              </w:rPr>
            </w:pPr>
            <w:r>
              <w:rPr>
                <w:rFonts w:hint="eastAsia" w:ascii="仿宋" w:hAnsi="仿宋" w:eastAsia="仿宋" w:cs="宋体"/>
                <w:color w:val="000000"/>
                <w:sz w:val="22"/>
                <w:szCs w:val="22"/>
              </w:rPr>
              <w:t>主要考核：项目建设活动对社会发展所带来的直接或间接的正负面影响情况，如重大诉讼、公众舆情与群体性事件、未发生社会有效举报或负面报道、未获得政府部门行政处罚等。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vAlign w:val="center"/>
          </w:tcPr>
          <w:p>
            <w:pPr>
              <w:adjustRightInd w:val="0"/>
              <w:snapToGrid w:val="0"/>
              <w:spacing w:line="600" w:lineRule="exact"/>
              <w:rPr>
                <w:rFonts w:ascii="仿宋" w:hAnsi="仿宋" w:eastAsia="仿宋" w:cs="宋体"/>
                <w:b/>
                <w:bCs/>
                <w:color w:val="000000"/>
                <w:sz w:val="22"/>
                <w:szCs w:val="22"/>
              </w:rPr>
            </w:pPr>
          </w:p>
        </w:tc>
        <w:tc>
          <w:tcPr>
            <w:tcW w:w="1929" w:type="dxa"/>
            <w:shd w:val="clear" w:color="auto" w:fill="auto"/>
            <w:vAlign w:val="center"/>
          </w:tcPr>
          <w:p>
            <w:pPr>
              <w:adjustRightInd w:val="0"/>
              <w:snapToGrid w:val="0"/>
              <w:spacing w:line="600" w:lineRule="exact"/>
              <w:jc w:val="center"/>
              <w:rPr>
                <w:rFonts w:ascii="仿宋" w:hAnsi="仿宋" w:eastAsia="仿宋" w:cs="宋体"/>
                <w:color w:val="000000"/>
                <w:sz w:val="22"/>
                <w:szCs w:val="22"/>
              </w:rPr>
            </w:pPr>
            <w:r>
              <w:rPr>
                <w:rFonts w:hint="eastAsia" w:ascii="仿宋" w:hAnsi="仿宋" w:eastAsia="仿宋" w:cs="宋体"/>
                <w:color w:val="000000"/>
                <w:sz w:val="22"/>
                <w:szCs w:val="22"/>
              </w:rPr>
              <w:t>生态影响</w:t>
            </w:r>
          </w:p>
        </w:tc>
        <w:tc>
          <w:tcPr>
            <w:tcW w:w="5186" w:type="dxa"/>
            <w:shd w:val="clear" w:color="auto" w:fill="auto"/>
            <w:vAlign w:val="center"/>
          </w:tcPr>
          <w:p>
            <w:pPr>
              <w:adjustRightInd w:val="0"/>
              <w:snapToGrid w:val="0"/>
              <w:spacing w:line="600" w:lineRule="exact"/>
              <w:rPr>
                <w:rFonts w:ascii="仿宋" w:hAnsi="仿宋" w:eastAsia="仿宋" w:cs="宋体"/>
                <w:color w:val="000000"/>
                <w:sz w:val="22"/>
                <w:szCs w:val="22"/>
              </w:rPr>
            </w:pPr>
            <w:r>
              <w:rPr>
                <w:rFonts w:hint="eastAsia" w:ascii="仿宋" w:hAnsi="仿宋" w:eastAsia="仿宋" w:cs="宋体"/>
                <w:color w:val="000000"/>
                <w:sz w:val="22"/>
                <w:szCs w:val="22"/>
              </w:rPr>
              <w:t>主要考核：项目建设期间对生态环境所带来的直接或间接的正负面影响情况。如节能减排、环保处罚等。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vAlign w:val="center"/>
          </w:tcPr>
          <w:p>
            <w:pPr>
              <w:adjustRightInd w:val="0"/>
              <w:snapToGrid w:val="0"/>
              <w:spacing w:line="600" w:lineRule="exact"/>
              <w:rPr>
                <w:rFonts w:ascii="仿宋" w:hAnsi="仿宋" w:eastAsia="仿宋" w:cs="宋体"/>
                <w:b/>
                <w:bCs/>
                <w:color w:val="000000"/>
                <w:sz w:val="22"/>
                <w:szCs w:val="22"/>
              </w:rPr>
            </w:pPr>
          </w:p>
        </w:tc>
        <w:tc>
          <w:tcPr>
            <w:tcW w:w="1929" w:type="dxa"/>
            <w:shd w:val="clear" w:color="auto" w:fill="auto"/>
            <w:vAlign w:val="center"/>
          </w:tcPr>
          <w:p>
            <w:pPr>
              <w:adjustRightInd w:val="0"/>
              <w:snapToGrid w:val="0"/>
              <w:spacing w:line="600" w:lineRule="exact"/>
              <w:jc w:val="center"/>
              <w:rPr>
                <w:rFonts w:ascii="仿宋" w:hAnsi="仿宋" w:eastAsia="仿宋" w:cs="宋体"/>
                <w:color w:val="000000"/>
                <w:sz w:val="22"/>
                <w:szCs w:val="22"/>
              </w:rPr>
            </w:pPr>
            <w:r>
              <w:rPr>
                <w:rFonts w:hint="eastAsia" w:ascii="仿宋" w:hAnsi="仿宋" w:eastAsia="仿宋" w:cs="宋体"/>
                <w:color w:val="000000"/>
                <w:sz w:val="22"/>
                <w:szCs w:val="22"/>
              </w:rPr>
              <w:t>可持续性</w:t>
            </w:r>
          </w:p>
        </w:tc>
        <w:tc>
          <w:tcPr>
            <w:tcW w:w="5186" w:type="dxa"/>
            <w:shd w:val="clear" w:color="auto" w:fill="auto"/>
            <w:vAlign w:val="center"/>
          </w:tcPr>
          <w:p>
            <w:pPr>
              <w:adjustRightInd w:val="0"/>
              <w:snapToGrid w:val="0"/>
              <w:spacing w:line="600" w:lineRule="exact"/>
              <w:rPr>
                <w:rFonts w:ascii="仿宋" w:hAnsi="仿宋" w:eastAsia="仿宋" w:cs="宋体"/>
                <w:color w:val="000000"/>
                <w:sz w:val="22"/>
                <w:szCs w:val="22"/>
              </w:rPr>
            </w:pPr>
            <w:r>
              <w:rPr>
                <w:rFonts w:hint="eastAsia" w:ascii="仿宋" w:hAnsi="仿宋" w:eastAsia="仿宋" w:cs="宋体"/>
                <w:color w:val="000000"/>
                <w:sz w:val="22"/>
                <w:szCs w:val="22"/>
              </w:rPr>
              <w:t>主要考核：项目公司或社会资本做好项目运营准备工作，如资源配置、潜在风险及沟通协调机制等。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vAlign w:val="center"/>
          </w:tcPr>
          <w:p>
            <w:pPr>
              <w:adjustRightInd w:val="0"/>
              <w:snapToGrid w:val="0"/>
              <w:spacing w:line="600" w:lineRule="exact"/>
              <w:rPr>
                <w:rFonts w:ascii="仿宋" w:hAnsi="仿宋" w:eastAsia="仿宋" w:cs="宋体"/>
                <w:b/>
                <w:bCs/>
                <w:color w:val="000000"/>
                <w:sz w:val="22"/>
                <w:szCs w:val="22"/>
              </w:rPr>
            </w:pPr>
          </w:p>
        </w:tc>
        <w:tc>
          <w:tcPr>
            <w:tcW w:w="1929" w:type="dxa"/>
            <w:shd w:val="clear" w:color="auto" w:fill="auto"/>
            <w:vAlign w:val="center"/>
          </w:tcPr>
          <w:p>
            <w:pPr>
              <w:adjustRightInd w:val="0"/>
              <w:snapToGrid w:val="0"/>
              <w:spacing w:line="600" w:lineRule="exact"/>
              <w:jc w:val="center"/>
              <w:rPr>
                <w:rFonts w:ascii="仿宋" w:hAnsi="仿宋" w:eastAsia="仿宋" w:cs="宋体"/>
                <w:color w:val="000000"/>
                <w:sz w:val="22"/>
                <w:szCs w:val="22"/>
              </w:rPr>
            </w:pPr>
            <w:r>
              <w:rPr>
                <w:rFonts w:hint="eastAsia" w:ascii="仿宋" w:hAnsi="仿宋" w:eastAsia="仿宋" w:cs="宋体"/>
                <w:color w:val="000000"/>
                <w:sz w:val="22"/>
                <w:szCs w:val="22"/>
              </w:rPr>
              <w:t>满意度</w:t>
            </w:r>
          </w:p>
        </w:tc>
        <w:tc>
          <w:tcPr>
            <w:tcW w:w="5186" w:type="dxa"/>
            <w:shd w:val="clear" w:color="auto" w:fill="auto"/>
            <w:vAlign w:val="center"/>
          </w:tcPr>
          <w:p>
            <w:pPr>
              <w:adjustRightInd w:val="0"/>
              <w:snapToGrid w:val="0"/>
              <w:spacing w:line="600" w:lineRule="exact"/>
              <w:rPr>
                <w:rFonts w:ascii="仿宋" w:hAnsi="仿宋" w:eastAsia="仿宋" w:cs="宋体"/>
                <w:color w:val="000000"/>
                <w:sz w:val="22"/>
                <w:szCs w:val="22"/>
              </w:rPr>
            </w:pPr>
            <w:r>
              <w:rPr>
                <w:rFonts w:hint="eastAsia" w:ascii="仿宋" w:hAnsi="仿宋" w:eastAsia="仿宋" w:cs="宋体"/>
                <w:color w:val="000000"/>
                <w:sz w:val="22"/>
                <w:szCs w:val="22"/>
              </w:rPr>
              <w:t>主要考核：政府相关部门、项目实施机构、社会公众（服务对象）对项目公司或社会资本建设期间相关工作的满意程度。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restart"/>
            <w:shd w:val="clear" w:color="auto" w:fill="auto"/>
            <w:vAlign w:val="center"/>
          </w:tcPr>
          <w:p>
            <w:pPr>
              <w:adjustRightInd w:val="0"/>
              <w:snapToGrid w:val="0"/>
              <w:spacing w:line="600" w:lineRule="exact"/>
              <w:jc w:val="center"/>
              <w:rPr>
                <w:rFonts w:ascii="仿宋" w:hAnsi="仿宋" w:eastAsia="仿宋" w:cs="宋体"/>
                <w:b/>
                <w:bCs/>
                <w:color w:val="000000"/>
                <w:sz w:val="22"/>
                <w:szCs w:val="22"/>
              </w:rPr>
            </w:pPr>
            <w:r>
              <w:rPr>
                <w:rFonts w:hint="eastAsia" w:ascii="仿宋" w:hAnsi="仿宋" w:eastAsia="仿宋" w:cs="宋体"/>
                <w:b/>
                <w:bCs/>
                <w:color w:val="000000"/>
                <w:sz w:val="22"/>
                <w:szCs w:val="22"/>
              </w:rPr>
              <w:t>管理</w:t>
            </w:r>
          </w:p>
        </w:tc>
        <w:tc>
          <w:tcPr>
            <w:tcW w:w="1929" w:type="dxa"/>
            <w:shd w:val="clear" w:color="auto" w:fill="auto"/>
            <w:vAlign w:val="center"/>
          </w:tcPr>
          <w:p>
            <w:pPr>
              <w:adjustRightInd w:val="0"/>
              <w:snapToGrid w:val="0"/>
              <w:spacing w:line="600" w:lineRule="exact"/>
              <w:jc w:val="center"/>
              <w:rPr>
                <w:rFonts w:ascii="仿宋" w:hAnsi="仿宋" w:eastAsia="仿宋" w:cs="宋体"/>
                <w:color w:val="000000"/>
                <w:sz w:val="22"/>
                <w:szCs w:val="22"/>
              </w:rPr>
            </w:pPr>
            <w:r>
              <w:rPr>
                <w:rFonts w:hint="eastAsia" w:ascii="仿宋" w:hAnsi="仿宋" w:eastAsia="仿宋" w:cs="宋体"/>
                <w:color w:val="000000"/>
                <w:sz w:val="22"/>
                <w:szCs w:val="22"/>
              </w:rPr>
              <w:t>组织管理</w:t>
            </w:r>
          </w:p>
        </w:tc>
        <w:tc>
          <w:tcPr>
            <w:tcW w:w="5186" w:type="dxa"/>
            <w:shd w:val="clear" w:color="auto" w:fill="auto"/>
            <w:vAlign w:val="center"/>
          </w:tcPr>
          <w:p>
            <w:pPr>
              <w:adjustRightInd w:val="0"/>
              <w:snapToGrid w:val="0"/>
              <w:spacing w:line="600" w:lineRule="exact"/>
              <w:rPr>
                <w:rFonts w:ascii="仿宋" w:hAnsi="仿宋" w:eastAsia="仿宋" w:cs="宋体"/>
                <w:color w:val="000000"/>
                <w:sz w:val="22"/>
                <w:szCs w:val="22"/>
              </w:rPr>
            </w:pPr>
            <w:r>
              <w:rPr>
                <w:rFonts w:hint="eastAsia" w:ascii="仿宋" w:hAnsi="仿宋" w:eastAsia="仿宋" w:cs="宋体"/>
                <w:color w:val="000000"/>
                <w:sz w:val="22"/>
                <w:szCs w:val="22"/>
              </w:rPr>
              <w:t>主要考核：项目公司组织架构是否健全、人员配置是否合理，能否满足项目日常运作需求。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vAlign w:val="center"/>
          </w:tcPr>
          <w:p>
            <w:pPr>
              <w:adjustRightInd w:val="0"/>
              <w:snapToGrid w:val="0"/>
              <w:spacing w:line="600" w:lineRule="exact"/>
              <w:rPr>
                <w:rFonts w:ascii="仿宋" w:hAnsi="仿宋" w:eastAsia="仿宋" w:cs="宋体"/>
                <w:b/>
                <w:bCs/>
                <w:color w:val="000000"/>
                <w:sz w:val="22"/>
                <w:szCs w:val="22"/>
              </w:rPr>
            </w:pPr>
          </w:p>
        </w:tc>
        <w:tc>
          <w:tcPr>
            <w:tcW w:w="1929" w:type="dxa"/>
            <w:shd w:val="clear" w:color="auto" w:fill="auto"/>
            <w:vAlign w:val="center"/>
          </w:tcPr>
          <w:p>
            <w:pPr>
              <w:adjustRightInd w:val="0"/>
              <w:snapToGrid w:val="0"/>
              <w:spacing w:line="600" w:lineRule="exact"/>
              <w:jc w:val="center"/>
              <w:rPr>
                <w:rFonts w:ascii="仿宋" w:hAnsi="仿宋" w:eastAsia="仿宋" w:cs="宋体"/>
                <w:color w:val="000000"/>
                <w:sz w:val="22"/>
                <w:szCs w:val="22"/>
              </w:rPr>
            </w:pPr>
            <w:r>
              <w:rPr>
                <w:rFonts w:hint="eastAsia" w:ascii="仿宋" w:hAnsi="仿宋" w:eastAsia="仿宋" w:cs="宋体"/>
                <w:color w:val="000000"/>
                <w:sz w:val="22"/>
                <w:szCs w:val="22"/>
              </w:rPr>
              <w:t>资金管理</w:t>
            </w:r>
          </w:p>
        </w:tc>
        <w:tc>
          <w:tcPr>
            <w:tcW w:w="5186" w:type="dxa"/>
            <w:shd w:val="clear" w:color="auto" w:fill="auto"/>
            <w:vAlign w:val="center"/>
          </w:tcPr>
          <w:p>
            <w:pPr>
              <w:adjustRightInd w:val="0"/>
              <w:snapToGrid w:val="0"/>
              <w:spacing w:line="600" w:lineRule="exact"/>
              <w:rPr>
                <w:rFonts w:ascii="仿宋" w:hAnsi="仿宋" w:eastAsia="仿宋" w:cs="宋体"/>
                <w:color w:val="000000"/>
                <w:sz w:val="22"/>
                <w:szCs w:val="22"/>
              </w:rPr>
            </w:pPr>
            <w:r>
              <w:rPr>
                <w:rFonts w:hint="eastAsia" w:ascii="仿宋" w:hAnsi="仿宋" w:eastAsia="仿宋" w:cs="宋体"/>
                <w:color w:val="000000"/>
                <w:sz w:val="22"/>
                <w:szCs w:val="22"/>
              </w:rPr>
              <w:t>主要考核：社会资本项目资本金及项目公司融资资金的到位率和及时性、项目公司是否P</w:t>
            </w:r>
            <w:r>
              <w:rPr>
                <w:rFonts w:ascii="仿宋" w:hAnsi="仿宋" w:eastAsia="仿宋" w:cs="宋体"/>
                <w:color w:val="000000"/>
                <w:sz w:val="22"/>
                <w:szCs w:val="22"/>
              </w:rPr>
              <w:t>PP</w:t>
            </w:r>
            <w:r>
              <w:rPr>
                <w:rFonts w:hint="eastAsia" w:ascii="仿宋" w:hAnsi="仿宋" w:eastAsia="仿宋" w:cs="宋体"/>
                <w:color w:val="000000"/>
                <w:sz w:val="22"/>
                <w:szCs w:val="22"/>
              </w:rPr>
              <w:t>合同约定及时支付工程款。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vAlign w:val="center"/>
          </w:tcPr>
          <w:p>
            <w:pPr>
              <w:adjustRightInd w:val="0"/>
              <w:snapToGrid w:val="0"/>
              <w:spacing w:line="600" w:lineRule="exact"/>
              <w:rPr>
                <w:rFonts w:ascii="仿宋" w:hAnsi="仿宋" w:eastAsia="仿宋" w:cs="宋体"/>
                <w:b/>
                <w:bCs/>
                <w:color w:val="000000"/>
                <w:sz w:val="22"/>
                <w:szCs w:val="22"/>
              </w:rPr>
            </w:pPr>
          </w:p>
        </w:tc>
        <w:tc>
          <w:tcPr>
            <w:tcW w:w="1929" w:type="dxa"/>
            <w:shd w:val="clear" w:color="auto" w:fill="auto"/>
            <w:vAlign w:val="center"/>
          </w:tcPr>
          <w:p>
            <w:pPr>
              <w:adjustRightInd w:val="0"/>
              <w:snapToGrid w:val="0"/>
              <w:spacing w:line="600" w:lineRule="exact"/>
              <w:jc w:val="center"/>
              <w:rPr>
                <w:rFonts w:ascii="仿宋" w:hAnsi="仿宋" w:eastAsia="仿宋" w:cs="宋体"/>
                <w:color w:val="000000"/>
                <w:sz w:val="22"/>
                <w:szCs w:val="22"/>
              </w:rPr>
            </w:pPr>
            <w:r>
              <w:rPr>
                <w:rFonts w:hint="eastAsia" w:ascii="仿宋" w:hAnsi="仿宋" w:eastAsia="仿宋" w:cs="宋体"/>
                <w:color w:val="000000"/>
                <w:sz w:val="22"/>
                <w:szCs w:val="22"/>
              </w:rPr>
              <w:t>档案管理</w:t>
            </w:r>
          </w:p>
        </w:tc>
        <w:tc>
          <w:tcPr>
            <w:tcW w:w="5186" w:type="dxa"/>
            <w:shd w:val="clear" w:color="auto" w:fill="auto"/>
            <w:vAlign w:val="center"/>
          </w:tcPr>
          <w:p>
            <w:pPr>
              <w:adjustRightInd w:val="0"/>
              <w:snapToGrid w:val="0"/>
              <w:spacing w:line="600" w:lineRule="exact"/>
              <w:rPr>
                <w:rFonts w:ascii="仿宋" w:hAnsi="仿宋" w:eastAsia="仿宋" w:cs="宋体"/>
                <w:color w:val="000000"/>
                <w:sz w:val="22"/>
                <w:szCs w:val="22"/>
              </w:rPr>
            </w:pPr>
            <w:r>
              <w:rPr>
                <w:rFonts w:hint="eastAsia" w:ascii="仿宋" w:hAnsi="仿宋" w:eastAsia="仿宋" w:cs="宋体"/>
                <w:color w:val="000000"/>
                <w:sz w:val="22"/>
                <w:szCs w:val="22"/>
              </w:rPr>
              <w:t>主要考核：项目建设相关资料的完整性、真实性以及归集整理的及时性。是否及时完整的提供甲方及政府相关部门备案。</w:t>
            </w:r>
          </w:p>
        </w:tc>
      </w:tr>
    </w:tbl>
    <w:p>
      <w:pPr>
        <w:pStyle w:val="11"/>
        <w:spacing w:before="0" w:after="0" w:line="480" w:lineRule="exact"/>
        <w:rPr>
          <w:b/>
          <w:color w:val="auto"/>
          <w:lang w:val="en-US"/>
        </w:rPr>
      </w:pPr>
    </w:p>
    <w:p>
      <w:pPr>
        <w:jc w:val="center"/>
        <w:rPr>
          <w:rFonts w:asciiTheme="minorHAnsi" w:hAnsiTheme="minorHAnsi" w:eastAsiaTheme="minorEastAsia" w:cstheme="minorBidi"/>
          <w:sz w:val="36"/>
          <w:szCs w:val="36"/>
        </w:rPr>
      </w:pPr>
    </w:p>
    <w:p>
      <w:pPr>
        <w:jc w:val="center"/>
        <w:rPr>
          <w:rFonts w:asciiTheme="minorHAnsi" w:hAnsiTheme="minorHAnsi" w:eastAsiaTheme="minorEastAsia" w:cstheme="minorBidi"/>
          <w:sz w:val="36"/>
          <w:szCs w:val="36"/>
        </w:rPr>
      </w:pPr>
    </w:p>
    <w:p>
      <w:pPr>
        <w:jc w:val="center"/>
        <w:rPr>
          <w:rFonts w:asciiTheme="minorHAnsi" w:hAnsiTheme="minorHAnsi" w:eastAsiaTheme="minorEastAsia" w:cstheme="minorBidi"/>
          <w:sz w:val="36"/>
          <w:szCs w:val="36"/>
        </w:rPr>
      </w:pPr>
    </w:p>
    <w:p>
      <w:pPr>
        <w:jc w:val="center"/>
        <w:rPr>
          <w:rFonts w:asciiTheme="minorHAnsi" w:hAnsiTheme="minorHAnsi" w:eastAsiaTheme="minorEastAsia" w:cstheme="minorBidi"/>
          <w:sz w:val="36"/>
          <w:szCs w:val="36"/>
        </w:rPr>
      </w:pPr>
    </w:p>
    <w:p>
      <w:pPr>
        <w:jc w:val="center"/>
        <w:rPr>
          <w:rFonts w:asciiTheme="minorHAnsi" w:hAnsiTheme="minorHAnsi" w:eastAsiaTheme="minorEastAsia" w:cstheme="minorBidi"/>
          <w:sz w:val="36"/>
          <w:szCs w:val="36"/>
        </w:rPr>
      </w:pPr>
    </w:p>
    <w:p>
      <w:pPr>
        <w:jc w:val="center"/>
        <w:rPr>
          <w:rFonts w:asciiTheme="minorHAnsi" w:hAnsiTheme="minorHAnsi" w:eastAsiaTheme="minorEastAsia" w:cstheme="minorBidi"/>
          <w:sz w:val="36"/>
          <w:szCs w:val="36"/>
        </w:rPr>
      </w:pPr>
    </w:p>
    <w:p>
      <w:pPr>
        <w:jc w:val="center"/>
        <w:rPr>
          <w:rFonts w:asciiTheme="minorHAnsi" w:hAnsiTheme="minorHAnsi" w:eastAsiaTheme="minorEastAsia" w:cstheme="minorBidi"/>
          <w:sz w:val="36"/>
          <w:szCs w:val="36"/>
        </w:rPr>
      </w:pPr>
    </w:p>
    <w:p>
      <w:pPr>
        <w:jc w:val="center"/>
        <w:rPr>
          <w:rFonts w:asciiTheme="minorHAnsi" w:hAnsiTheme="minorHAnsi" w:eastAsiaTheme="minorEastAsia" w:cstheme="minorBidi"/>
          <w:sz w:val="36"/>
          <w:szCs w:val="36"/>
        </w:rPr>
      </w:pPr>
    </w:p>
    <w:p>
      <w:pPr>
        <w:jc w:val="center"/>
        <w:rPr>
          <w:rFonts w:asciiTheme="minorHAnsi" w:hAnsiTheme="minorHAnsi" w:eastAsiaTheme="minorEastAsia" w:cstheme="minorBidi"/>
          <w:sz w:val="36"/>
          <w:szCs w:val="36"/>
        </w:rPr>
      </w:pPr>
    </w:p>
    <w:p>
      <w:pPr>
        <w:jc w:val="center"/>
        <w:rPr>
          <w:rFonts w:asciiTheme="minorHAnsi" w:hAnsiTheme="minorHAnsi" w:eastAsiaTheme="minorEastAsia" w:cstheme="minorBidi"/>
          <w:sz w:val="36"/>
          <w:szCs w:val="36"/>
        </w:rPr>
      </w:pPr>
    </w:p>
    <w:p>
      <w:pPr>
        <w:jc w:val="center"/>
        <w:rPr>
          <w:rFonts w:asciiTheme="minorHAnsi" w:hAnsiTheme="minorHAnsi" w:eastAsiaTheme="minorEastAsia" w:cstheme="minorBidi"/>
          <w:sz w:val="36"/>
          <w:szCs w:val="36"/>
        </w:rPr>
      </w:pPr>
    </w:p>
    <w:p>
      <w:pPr>
        <w:jc w:val="center"/>
        <w:rPr>
          <w:rFonts w:asciiTheme="minorHAnsi" w:hAnsiTheme="minorHAnsi" w:eastAsiaTheme="minorEastAsia" w:cstheme="minorBidi"/>
          <w:sz w:val="36"/>
          <w:szCs w:val="36"/>
        </w:rPr>
      </w:pPr>
    </w:p>
    <w:p>
      <w:pPr>
        <w:jc w:val="center"/>
        <w:rPr>
          <w:rFonts w:asciiTheme="minorHAnsi" w:hAnsiTheme="minorHAnsi" w:eastAsiaTheme="minorEastAsia" w:cstheme="minorBidi"/>
          <w:sz w:val="36"/>
          <w:szCs w:val="36"/>
        </w:rPr>
      </w:pPr>
    </w:p>
    <w:p>
      <w:pPr>
        <w:jc w:val="center"/>
        <w:rPr>
          <w:rFonts w:asciiTheme="minorHAnsi" w:hAnsiTheme="minorHAnsi" w:eastAsiaTheme="minorEastAsia" w:cstheme="minorBidi"/>
          <w:sz w:val="36"/>
          <w:szCs w:val="36"/>
        </w:rPr>
      </w:pPr>
    </w:p>
    <w:p>
      <w:pPr>
        <w:jc w:val="center"/>
        <w:rPr>
          <w:rFonts w:asciiTheme="minorHAnsi" w:hAnsiTheme="minorHAnsi" w:eastAsiaTheme="minorEastAsia" w:cstheme="minorBidi"/>
          <w:sz w:val="36"/>
          <w:szCs w:val="36"/>
        </w:rPr>
      </w:pPr>
    </w:p>
    <w:p>
      <w:pPr>
        <w:jc w:val="center"/>
        <w:rPr>
          <w:rFonts w:asciiTheme="minorHAnsi" w:hAnsiTheme="minorHAnsi" w:eastAsiaTheme="minorEastAsia" w:cstheme="minorBidi"/>
          <w:sz w:val="36"/>
          <w:szCs w:val="36"/>
        </w:rPr>
      </w:pPr>
    </w:p>
    <w:p>
      <w:pPr>
        <w:jc w:val="center"/>
        <w:rPr>
          <w:rFonts w:asciiTheme="minorHAnsi" w:hAnsiTheme="minorHAnsi" w:eastAsiaTheme="minorEastAsia" w:cstheme="minorBidi"/>
          <w:sz w:val="36"/>
          <w:szCs w:val="36"/>
        </w:rPr>
      </w:pPr>
    </w:p>
    <w:p>
      <w:pPr>
        <w:jc w:val="left"/>
        <w:rPr>
          <w:rFonts w:ascii="黑体" w:hAnsi="黑体" w:eastAsia="黑体" w:cstheme="minorBidi"/>
          <w:b/>
          <w:bCs/>
          <w:sz w:val="36"/>
          <w:szCs w:val="36"/>
        </w:rPr>
      </w:pPr>
      <w:r>
        <w:rPr>
          <w:rFonts w:hint="eastAsia" w:ascii="黑体" w:hAnsi="黑体" w:eastAsia="黑体" w:cstheme="minorBidi"/>
          <w:b/>
          <w:bCs/>
          <w:sz w:val="36"/>
          <w:szCs w:val="36"/>
        </w:rPr>
        <w:t>附件二</w:t>
      </w:r>
    </w:p>
    <w:p>
      <w:pPr>
        <w:jc w:val="center"/>
        <w:rPr>
          <w:rFonts w:ascii="黑体" w:hAnsi="黑体" w:eastAsia="黑体" w:cstheme="minorBidi"/>
          <w:b/>
          <w:bCs/>
          <w:sz w:val="36"/>
          <w:szCs w:val="36"/>
        </w:rPr>
      </w:pPr>
      <w:r>
        <w:rPr>
          <w:rFonts w:hint="eastAsia" w:ascii="黑体" w:hAnsi="黑体" w:eastAsia="黑体" w:cstheme="minorBidi"/>
          <w:b/>
          <w:bCs/>
          <w:sz w:val="36"/>
          <w:szCs w:val="36"/>
        </w:rPr>
        <w:t>运营绩效考核办法</w:t>
      </w:r>
    </w:p>
    <w:bookmarkEnd w:id="0"/>
    <w:p>
      <w:pPr>
        <w:pStyle w:val="11"/>
        <w:spacing w:before="0" w:after="0" w:line="480" w:lineRule="exact"/>
        <w:rPr>
          <w:rFonts w:ascii="仿宋" w:hAnsi="仿宋" w:eastAsia="仿宋"/>
          <w:bCs/>
          <w:color w:val="auto"/>
        </w:rPr>
      </w:pPr>
      <w:r>
        <w:rPr>
          <w:rFonts w:hint="eastAsia" w:ascii="仿宋" w:hAnsi="仿宋" w:eastAsia="仿宋"/>
          <w:bCs/>
          <w:color w:val="auto"/>
        </w:rPr>
        <w:t>根据财政部发布的《政府和社会资本合作（PPP）项目绩效管理操作指引》、国家住建部及江苏省住建厅及其他部门出台的污水处理要求及考核办法，结合项目自身情况，制定本项目绩效考核办法。</w:t>
      </w:r>
    </w:p>
    <w:p>
      <w:pPr>
        <w:pStyle w:val="11"/>
        <w:spacing w:before="0" w:after="0" w:line="480" w:lineRule="exact"/>
        <w:rPr>
          <w:rFonts w:ascii="仿宋" w:hAnsi="仿宋" w:eastAsia="仿宋"/>
          <w:bCs/>
          <w:color w:val="auto"/>
        </w:rPr>
      </w:pPr>
      <w:r>
        <w:rPr>
          <w:rFonts w:hint="eastAsia" w:ascii="仿宋" w:hAnsi="仿宋" w:eastAsia="仿宋"/>
          <w:bCs/>
          <w:color w:val="auto"/>
        </w:rPr>
        <w:t>运营期考核采用常规考核和临时考核的方式。由住建局组织考核小组对项目进行考核，并对考核结果下达整改通知书，项目公司应根据整改通知书的要求进行整改工作，并按P</w:t>
      </w:r>
      <w:r>
        <w:rPr>
          <w:rFonts w:ascii="仿宋" w:hAnsi="仿宋" w:eastAsia="仿宋"/>
          <w:bCs/>
          <w:color w:val="auto"/>
        </w:rPr>
        <w:t>PP</w:t>
      </w:r>
      <w:r>
        <w:rPr>
          <w:rFonts w:hint="eastAsia" w:ascii="仿宋" w:hAnsi="仿宋" w:eastAsia="仿宋"/>
          <w:bCs/>
          <w:color w:val="auto"/>
        </w:rPr>
        <w:t>合同约定及考核结果支付污水处理费。对本PPP项目中不涉及工程建设、可以直接投入运维的存量资产不适用建设绩效考核办法，应根据运营绩效考核办法执行。</w:t>
      </w:r>
    </w:p>
    <w:p>
      <w:pPr>
        <w:pStyle w:val="11"/>
        <w:spacing w:before="0" w:after="0" w:line="480" w:lineRule="exact"/>
        <w:rPr>
          <w:rFonts w:ascii="仿宋" w:hAnsi="仿宋" w:eastAsia="仿宋"/>
          <w:b/>
          <w:color w:val="auto"/>
        </w:rPr>
      </w:pPr>
      <w:r>
        <w:rPr>
          <w:rFonts w:hint="eastAsia" w:ascii="仿宋" w:hAnsi="仿宋" w:eastAsia="仿宋"/>
          <w:b/>
          <w:color w:val="auto"/>
        </w:rPr>
        <w:t>一、考核方式</w:t>
      </w:r>
    </w:p>
    <w:p>
      <w:pPr>
        <w:pStyle w:val="11"/>
        <w:spacing w:before="0" w:after="0" w:line="480" w:lineRule="exact"/>
        <w:rPr>
          <w:rFonts w:ascii="仿宋" w:hAnsi="仿宋" w:eastAsia="仿宋"/>
          <w:bCs/>
          <w:color w:val="auto"/>
        </w:rPr>
      </w:pPr>
      <w:r>
        <w:rPr>
          <w:rFonts w:hint="eastAsia" w:ascii="仿宋" w:hAnsi="仿宋" w:eastAsia="仿宋"/>
          <w:bCs/>
          <w:color w:val="auto"/>
        </w:rPr>
        <w:t>1、考核时点</w:t>
      </w:r>
    </w:p>
    <w:p>
      <w:pPr>
        <w:pStyle w:val="11"/>
        <w:spacing w:before="0" w:after="0" w:line="480" w:lineRule="exact"/>
        <w:rPr>
          <w:rFonts w:ascii="仿宋" w:hAnsi="仿宋" w:eastAsia="仿宋"/>
          <w:bCs/>
          <w:color w:val="auto"/>
        </w:rPr>
      </w:pPr>
      <w:r>
        <w:rPr>
          <w:rFonts w:hint="eastAsia" w:ascii="仿宋" w:hAnsi="仿宋" w:eastAsia="仿宋"/>
          <w:bCs/>
          <w:color w:val="auto"/>
        </w:rPr>
        <w:t>（1）常规考核</w:t>
      </w:r>
    </w:p>
    <w:p>
      <w:pPr>
        <w:pStyle w:val="11"/>
        <w:spacing w:before="0" w:after="0" w:line="480" w:lineRule="exact"/>
        <w:rPr>
          <w:rFonts w:ascii="仿宋" w:hAnsi="仿宋" w:eastAsia="仿宋"/>
          <w:bCs/>
          <w:color w:val="auto"/>
        </w:rPr>
      </w:pPr>
      <w:r>
        <w:rPr>
          <w:rFonts w:hint="eastAsia" w:ascii="仿宋" w:hAnsi="仿宋" w:eastAsia="仿宋"/>
          <w:bCs/>
          <w:color w:val="auto"/>
        </w:rPr>
        <w:t>常规考核每季度进行一次。项目公司应在每季度结束后五（5）日内向县住建局提交季度运营情况报告，县住建局应在收到项目公司提交的季度运营情况报告后五（5）日内进行考核，并在考核结束后三（3）日内将考核结果以书面形式反馈给项目公司及县财政局，项目公司应根据考核结果对经营活动进行整改。项目公司向县住建局提交运营情况报告后，县住建局无需提前通知项目公司，可以随时进行考核项目公司的运维服务绩效，并根据考核指标进行评分，统计运营绩效考核得分。</w:t>
      </w:r>
    </w:p>
    <w:p>
      <w:pPr>
        <w:pStyle w:val="11"/>
        <w:spacing w:before="0" w:after="0" w:line="480" w:lineRule="exact"/>
        <w:rPr>
          <w:rFonts w:ascii="仿宋" w:hAnsi="仿宋" w:eastAsia="仿宋"/>
          <w:bCs/>
          <w:color w:val="auto"/>
        </w:rPr>
      </w:pPr>
      <w:r>
        <w:rPr>
          <w:rFonts w:hint="eastAsia" w:ascii="仿宋" w:hAnsi="仿宋" w:eastAsia="仿宋"/>
          <w:bCs/>
          <w:color w:val="auto"/>
        </w:rPr>
        <w:t>（2）临时考核</w:t>
      </w:r>
    </w:p>
    <w:p>
      <w:pPr>
        <w:pStyle w:val="11"/>
        <w:spacing w:before="0" w:after="0" w:line="480" w:lineRule="exact"/>
        <w:rPr>
          <w:rFonts w:ascii="仿宋" w:hAnsi="仿宋" w:eastAsia="仿宋"/>
          <w:bCs/>
          <w:color w:val="auto"/>
        </w:rPr>
      </w:pPr>
      <w:r>
        <w:rPr>
          <w:rFonts w:hint="eastAsia" w:ascii="仿宋" w:hAnsi="仿宋" w:eastAsia="仿宋"/>
          <w:bCs/>
          <w:color w:val="auto"/>
        </w:rPr>
        <w:t>县住建局可以随时自行考核项目公司的运维服务绩效，如发现缺陷，则需在2个工作日内以书面形式通知项目公司。项目公司在接到县住建局的书面通知后，应及时修复缺陷。并根据考核指标进行评分，统计运营绩效考核得分。无论何种考核，项目公司应及时修复缺陷，否则县住建局可自行组织修复，并从项目公司提交的运营维护履约保函中兑取相应金额。</w:t>
      </w:r>
    </w:p>
    <w:p>
      <w:pPr>
        <w:pStyle w:val="11"/>
        <w:spacing w:before="0" w:after="0" w:line="480" w:lineRule="exact"/>
        <w:rPr>
          <w:rFonts w:ascii="仿宋" w:hAnsi="仿宋" w:eastAsia="仿宋"/>
          <w:bCs/>
          <w:color w:val="auto"/>
        </w:rPr>
      </w:pPr>
      <w:r>
        <w:rPr>
          <w:rFonts w:hint="eastAsia" w:ascii="仿宋" w:hAnsi="仿宋" w:eastAsia="仿宋"/>
          <w:bCs/>
          <w:color w:val="auto"/>
        </w:rPr>
        <w:t>2、考核分值权重设定</w:t>
      </w:r>
    </w:p>
    <w:p>
      <w:pPr>
        <w:pStyle w:val="11"/>
        <w:spacing w:before="0" w:after="0" w:line="480" w:lineRule="exact"/>
        <w:rPr>
          <w:rFonts w:ascii="仿宋" w:hAnsi="仿宋" w:eastAsia="仿宋"/>
          <w:bCs/>
          <w:color w:val="auto"/>
        </w:rPr>
      </w:pPr>
      <w:r>
        <w:rPr>
          <w:rFonts w:hint="eastAsia" w:ascii="仿宋" w:hAnsi="仿宋" w:eastAsia="仿宋"/>
          <w:bCs/>
          <w:color w:val="auto"/>
        </w:rPr>
        <w:t>本项目是按季考核，按年结算。其中：常规考核得分占比70%、每季度期内的临时考核算术平均分占比30%。每次考核分为污水处理厂（站）、配套管网及泵站两部分设定考核指标表进行考核，其中污水处理厂（站）考核得分权重为</w:t>
      </w:r>
      <w:r>
        <w:rPr>
          <w:rFonts w:ascii="仿宋" w:hAnsi="仿宋" w:eastAsia="仿宋"/>
          <w:bCs/>
          <w:color w:val="auto"/>
        </w:rPr>
        <w:t>70</w:t>
      </w:r>
      <w:r>
        <w:rPr>
          <w:rFonts w:hint="eastAsia" w:ascii="仿宋" w:hAnsi="仿宋" w:eastAsia="仿宋"/>
          <w:bCs/>
          <w:color w:val="auto"/>
        </w:rPr>
        <w:t>分，配套管网及泵站考核得分权重为</w:t>
      </w:r>
      <w:r>
        <w:rPr>
          <w:rFonts w:ascii="仿宋" w:hAnsi="仿宋" w:eastAsia="仿宋"/>
          <w:bCs/>
          <w:color w:val="auto"/>
        </w:rPr>
        <w:t>30</w:t>
      </w:r>
      <w:r>
        <w:rPr>
          <w:rFonts w:hint="eastAsia" w:ascii="仿宋" w:hAnsi="仿宋" w:eastAsia="仿宋"/>
          <w:bCs/>
          <w:color w:val="auto"/>
        </w:rPr>
        <w:t>分。</w:t>
      </w:r>
    </w:p>
    <w:p>
      <w:pPr>
        <w:pStyle w:val="11"/>
        <w:spacing w:before="0" w:after="0" w:line="480" w:lineRule="exact"/>
        <w:rPr>
          <w:rFonts w:ascii="仿宋" w:hAnsi="仿宋" w:eastAsia="仿宋"/>
          <w:b/>
          <w:color w:val="auto"/>
        </w:rPr>
      </w:pPr>
      <w:r>
        <w:rPr>
          <w:rFonts w:hint="eastAsia" w:ascii="仿宋" w:hAnsi="仿宋" w:eastAsia="仿宋"/>
          <w:b/>
          <w:color w:val="auto"/>
        </w:rPr>
        <w:t>二、考核扣款</w:t>
      </w:r>
    </w:p>
    <w:p>
      <w:pPr>
        <w:pStyle w:val="11"/>
        <w:spacing w:before="0" w:after="0" w:line="480" w:lineRule="exact"/>
        <w:rPr>
          <w:rFonts w:ascii="仿宋" w:hAnsi="仿宋" w:eastAsia="仿宋"/>
          <w:b/>
          <w:color w:val="auto"/>
        </w:rPr>
      </w:pPr>
      <w:r>
        <w:rPr>
          <w:rFonts w:hint="eastAsia" w:ascii="仿宋" w:hAnsi="仿宋" w:eastAsia="仿宋"/>
          <w:b/>
          <w:color w:val="auto"/>
        </w:rPr>
        <w:t>1、生活污水治理项目</w:t>
      </w:r>
    </w:p>
    <w:p>
      <w:pPr>
        <w:pStyle w:val="11"/>
        <w:spacing w:before="0" w:after="0" w:line="480" w:lineRule="exact"/>
        <w:rPr>
          <w:rFonts w:ascii="仿宋" w:hAnsi="仿宋" w:eastAsia="仿宋"/>
          <w:color w:val="auto"/>
        </w:rPr>
      </w:pPr>
      <w:r>
        <w:rPr>
          <w:rFonts w:hint="eastAsia" w:ascii="仿宋" w:hAnsi="仿宋" w:eastAsia="仿宋"/>
          <w:color w:val="auto"/>
        </w:rPr>
        <w:t>政府付费与绩效考核结果挂钩，以按实际污水处理量计算的污水处理服务费的基准值为基数并根据绩效考核结果确定。对于运维服务绩效未能到绩效标准要求的，当绩效考核得分在90分以下的，住建局将按公式减付污水处理服务费。</w:t>
      </w:r>
    </w:p>
    <w:p>
      <w:pPr>
        <w:pStyle w:val="11"/>
        <w:spacing w:before="0" w:after="0" w:line="480" w:lineRule="exact"/>
        <w:rPr>
          <w:rFonts w:ascii="仿宋" w:hAnsi="仿宋" w:eastAsia="仿宋"/>
          <w:color w:val="auto"/>
        </w:rPr>
      </w:pPr>
      <w:bookmarkStart w:id="3" w:name="_Hlk36152353"/>
      <w:r>
        <w:rPr>
          <w:rFonts w:hint="eastAsia" w:ascii="仿宋" w:hAnsi="仿宋" w:eastAsia="仿宋"/>
          <w:color w:val="auto"/>
        </w:rPr>
        <w:t>实际扣款=（90-绩效考核得分）/100×基准污水处理服务费×8</w:t>
      </w:r>
      <w:r>
        <w:rPr>
          <w:rFonts w:ascii="仿宋" w:hAnsi="仿宋" w:eastAsia="仿宋"/>
          <w:color w:val="auto"/>
        </w:rPr>
        <w:t>0%</w:t>
      </w:r>
    </w:p>
    <w:p>
      <w:pPr>
        <w:pStyle w:val="11"/>
        <w:spacing w:before="0" w:after="0" w:line="480" w:lineRule="exact"/>
        <w:rPr>
          <w:rFonts w:ascii="仿宋" w:hAnsi="仿宋" w:eastAsia="仿宋"/>
          <w:color w:val="auto"/>
        </w:rPr>
      </w:pPr>
      <w:r>
        <w:rPr>
          <w:rFonts w:hint="eastAsia" w:ascii="仿宋" w:hAnsi="仿宋" w:eastAsia="仿宋"/>
          <w:color w:val="auto"/>
        </w:rPr>
        <w:t>其中：绩效考核得分＝（污水处理厂（站）常规考核得分*70%+临时考核得分*30%）*70%+（配套管网及泵站常规考核得分*70%+临时考核得分*30%）*30%</w:t>
      </w:r>
    </w:p>
    <w:bookmarkEnd w:id="3"/>
    <w:p>
      <w:pPr>
        <w:pStyle w:val="11"/>
        <w:spacing w:before="0" w:after="0" w:line="480" w:lineRule="exact"/>
        <w:rPr>
          <w:rFonts w:ascii="仿宋" w:hAnsi="仿宋" w:eastAsia="仿宋"/>
          <w:color w:val="auto"/>
        </w:rPr>
      </w:pPr>
      <w:r>
        <w:rPr>
          <w:rFonts w:hint="eastAsia" w:ascii="仿宋" w:hAnsi="仿宋" w:eastAsia="仿宋"/>
          <w:color w:val="auto"/>
        </w:rPr>
        <w:t>当考核得分低于60分时，政府方将暂停支付当年度污水处理服务费，并可根据PPP合同约定提取运营保函，下年度第一季度考核得分超过70分后，上年根据考核结果计算的污水处理费由政府按70%与项目公司计算结清。</w:t>
      </w:r>
    </w:p>
    <w:p>
      <w:pPr>
        <w:pStyle w:val="11"/>
        <w:spacing w:before="0" w:after="0" w:line="480" w:lineRule="exact"/>
        <w:ind w:left="482" w:firstLine="0"/>
        <w:rPr>
          <w:rFonts w:ascii="仿宋" w:hAnsi="仿宋" w:eastAsia="仿宋"/>
          <w:b/>
          <w:color w:val="auto"/>
        </w:rPr>
      </w:pPr>
      <w:bookmarkStart w:id="4" w:name="_Hlk29723696"/>
      <w:r>
        <w:rPr>
          <w:rFonts w:hint="eastAsia" w:ascii="仿宋" w:hAnsi="仿宋" w:eastAsia="仿宋"/>
          <w:b/>
          <w:color w:val="auto"/>
        </w:rPr>
        <w:t>2、工业污水处理厂项目的绩效考核</w:t>
      </w:r>
    </w:p>
    <w:bookmarkEnd w:id="4"/>
    <w:p>
      <w:pPr>
        <w:pStyle w:val="11"/>
        <w:spacing w:before="0" w:after="0" w:line="480" w:lineRule="exact"/>
        <w:rPr>
          <w:rFonts w:ascii="仿宋" w:hAnsi="仿宋" w:eastAsia="仿宋"/>
          <w:color w:val="auto"/>
        </w:rPr>
      </w:pPr>
      <w:r>
        <w:rPr>
          <w:rFonts w:hint="eastAsia" w:ascii="仿宋" w:hAnsi="仿宋" w:eastAsia="仿宋"/>
          <w:color w:val="auto"/>
        </w:rPr>
        <w:t>对于两座工业污水处理厂根据工业污水处理厂运行绩效考核表分厂单独进行考核，当绩效考核得分在90分以下的，如政府方存在最低需求风险的支付责任，将按以下公式减付基本水量补贴支出。</w:t>
      </w:r>
    </w:p>
    <w:p>
      <w:pPr>
        <w:pStyle w:val="11"/>
        <w:spacing w:before="0" w:after="0" w:line="480" w:lineRule="exact"/>
        <w:rPr>
          <w:rFonts w:ascii="仿宋" w:hAnsi="仿宋" w:eastAsia="仿宋"/>
          <w:color w:val="auto"/>
        </w:rPr>
      </w:pPr>
      <w:r>
        <w:rPr>
          <w:rFonts w:hint="eastAsia" w:ascii="仿宋" w:hAnsi="仿宋" w:eastAsia="仿宋"/>
          <w:color w:val="auto"/>
        </w:rPr>
        <w:t>实际扣款=（90-绩效考核得分）/100</w:t>
      </w:r>
      <w:bookmarkStart w:id="5" w:name="_Hlk54894238"/>
      <w:r>
        <w:rPr>
          <w:rFonts w:hint="eastAsia" w:ascii="仿宋" w:hAnsi="仿宋" w:eastAsia="仿宋"/>
          <w:color w:val="auto"/>
        </w:rPr>
        <w:t>×</w:t>
      </w:r>
      <w:bookmarkEnd w:id="5"/>
      <w:r>
        <w:rPr>
          <w:rFonts w:hint="eastAsia" w:ascii="仿宋" w:hAnsi="仿宋" w:eastAsia="仿宋"/>
          <w:color w:val="auto"/>
        </w:rPr>
        <w:t>基本水量补贴支出×8</w:t>
      </w:r>
      <w:r>
        <w:rPr>
          <w:rFonts w:ascii="仿宋" w:hAnsi="仿宋" w:eastAsia="仿宋"/>
          <w:color w:val="auto"/>
        </w:rPr>
        <w:t>0%</w:t>
      </w:r>
    </w:p>
    <w:p>
      <w:pPr>
        <w:pStyle w:val="11"/>
        <w:spacing w:before="0" w:after="0" w:line="480" w:lineRule="exact"/>
        <w:rPr>
          <w:rFonts w:ascii="仿宋" w:hAnsi="仿宋" w:eastAsia="仿宋"/>
          <w:color w:val="auto"/>
        </w:rPr>
      </w:pPr>
      <w:r>
        <w:rPr>
          <w:rFonts w:hint="eastAsia" w:ascii="仿宋" w:hAnsi="仿宋" w:eastAsia="仿宋"/>
          <w:color w:val="auto"/>
        </w:rPr>
        <w:t>其中：绩效考核得分＝临时考核得分*30%+常规考核得分*70%</w:t>
      </w:r>
    </w:p>
    <w:p>
      <w:pPr>
        <w:pStyle w:val="11"/>
        <w:spacing w:before="0" w:after="0" w:line="480" w:lineRule="exact"/>
        <w:rPr>
          <w:rFonts w:ascii="仿宋" w:hAnsi="仿宋" w:eastAsia="仿宋"/>
          <w:color w:val="auto"/>
        </w:rPr>
      </w:pPr>
      <w:r>
        <w:rPr>
          <w:rFonts w:hint="eastAsia" w:ascii="仿宋" w:hAnsi="仿宋" w:eastAsia="仿宋"/>
          <w:color w:val="auto"/>
        </w:rPr>
        <w:t>当考核得分低于60分时，政府方将不再支付当年度基本水量补贴支出，有权中止P</w:t>
      </w:r>
      <w:r>
        <w:rPr>
          <w:rFonts w:ascii="仿宋" w:hAnsi="仿宋" w:eastAsia="仿宋"/>
          <w:color w:val="auto"/>
        </w:rPr>
        <w:t>PP</w:t>
      </w:r>
      <w:r>
        <w:rPr>
          <w:rFonts w:hint="eastAsia" w:ascii="仿宋" w:hAnsi="仿宋" w:eastAsia="仿宋"/>
          <w:color w:val="auto"/>
        </w:rPr>
        <w:t>协议，并可按5</w:t>
      </w:r>
      <w:r>
        <w:rPr>
          <w:rFonts w:ascii="仿宋" w:hAnsi="仿宋" w:eastAsia="仿宋"/>
          <w:color w:val="auto"/>
        </w:rPr>
        <w:t>%</w:t>
      </w:r>
      <w:r>
        <w:rPr>
          <w:rFonts w:hint="eastAsia" w:ascii="仿宋" w:hAnsi="仿宋" w:eastAsia="仿宋"/>
          <w:color w:val="auto"/>
        </w:rPr>
        <w:t>的比例提取运营期保函。</w:t>
      </w:r>
    </w:p>
    <w:p>
      <w:pPr>
        <w:pStyle w:val="11"/>
        <w:spacing w:before="0" w:after="0" w:line="480" w:lineRule="exact"/>
        <w:rPr>
          <w:rFonts w:ascii="仿宋" w:hAnsi="仿宋" w:eastAsia="仿宋"/>
          <w:b/>
          <w:color w:val="auto"/>
        </w:rPr>
      </w:pPr>
      <w:r>
        <w:rPr>
          <w:rFonts w:hint="eastAsia" w:ascii="仿宋" w:hAnsi="仿宋" w:eastAsia="仿宋"/>
          <w:b/>
          <w:color w:val="auto"/>
        </w:rPr>
        <w:t>三、运营绩效考核体系及主要指标</w:t>
      </w:r>
    </w:p>
    <w:p>
      <w:pPr>
        <w:pStyle w:val="11"/>
        <w:spacing w:before="0" w:after="0" w:line="480" w:lineRule="exact"/>
        <w:jc w:val="center"/>
        <w:rPr>
          <w:rFonts w:ascii="仿宋" w:hAnsi="仿宋" w:eastAsia="仿宋"/>
          <w:b/>
          <w:color w:val="auto"/>
        </w:rPr>
      </w:pPr>
      <w:r>
        <w:rPr>
          <w:rFonts w:hint="eastAsia" w:ascii="仿宋" w:hAnsi="仿宋" w:eastAsia="仿宋"/>
          <w:b/>
          <w:color w:val="auto"/>
        </w:rPr>
        <w:t>运营绩效评价主要指标表</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9"/>
        <w:gridCol w:w="1517"/>
        <w:gridCol w:w="5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blHeader/>
          <w:jc w:val="center"/>
        </w:trPr>
        <w:tc>
          <w:tcPr>
            <w:tcW w:w="639" w:type="pct"/>
            <w:shd w:val="clear" w:color="auto" w:fill="auto"/>
            <w:noWrap/>
            <w:vAlign w:val="center"/>
          </w:tcPr>
          <w:p>
            <w:pPr>
              <w:adjustRightInd w:val="0"/>
              <w:snapToGrid w:val="0"/>
              <w:spacing w:line="600" w:lineRule="exact"/>
              <w:jc w:val="center"/>
              <w:rPr>
                <w:rFonts w:ascii="仿宋" w:hAnsi="仿宋" w:eastAsia="仿宋" w:cs="宋体"/>
                <w:b/>
                <w:bCs/>
                <w:szCs w:val="21"/>
              </w:rPr>
            </w:pPr>
            <w:r>
              <w:rPr>
                <w:rFonts w:hint="eastAsia" w:ascii="仿宋" w:hAnsi="仿宋" w:eastAsia="仿宋" w:cs="宋体"/>
                <w:b/>
                <w:bCs/>
                <w:szCs w:val="21"/>
              </w:rPr>
              <w:t>一级指标</w:t>
            </w:r>
          </w:p>
        </w:tc>
        <w:tc>
          <w:tcPr>
            <w:tcW w:w="890" w:type="pct"/>
            <w:shd w:val="clear" w:color="auto" w:fill="auto"/>
            <w:noWrap/>
            <w:vAlign w:val="center"/>
          </w:tcPr>
          <w:p>
            <w:pPr>
              <w:adjustRightInd w:val="0"/>
              <w:snapToGrid w:val="0"/>
              <w:spacing w:line="600" w:lineRule="exact"/>
              <w:jc w:val="center"/>
              <w:rPr>
                <w:rFonts w:ascii="仿宋" w:hAnsi="仿宋" w:eastAsia="仿宋" w:cs="宋体"/>
                <w:b/>
                <w:bCs/>
                <w:szCs w:val="21"/>
              </w:rPr>
            </w:pPr>
            <w:r>
              <w:rPr>
                <w:rFonts w:hint="eastAsia" w:ascii="仿宋" w:hAnsi="仿宋" w:eastAsia="仿宋" w:cs="宋体"/>
                <w:b/>
                <w:bCs/>
                <w:szCs w:val="21"/>
              </w:rPr>
              <w:t>二级指标</w:t>
            </w:r>
          </w:p>
        </w:tc>
        <w:tc>
          <w:tcPr>
            <w:tcW w:w="3471" w:type="pct"/>
            <w:shd w:val="clear" w:color="auto" w:fill="auto"/>
            <w:vAlign w:val="center"/>
          </w:tcPr>
          <w:p>
            <w:pPr>
              <w:adjustRightInd w:val="0"/>
              <w:snapToGrid w:val="0"/>
              <w:spacing w:line="600" w:lineRule="exact"/>
              <w:jc w:val="center"/>
              <w:rPr>
                <w:rFonts w:ascii="仿宋" w:hAnsi="仿宋" w:eastAsia="仿宋" w:cs="宋体"/>
                <w:b/>
                <w:bCs/>
                <w:szCs w:val="21"/>
              </w:rPr>
            </w:pPr>
            <w:r>
              <w:rPr>
                <w:rFonts w:hint="eastAsia" w:ascii="仿宋" w:hAnsi="仿宋" w:eastAsia="仿宋" w:cs="宋体"/>
                <w:b/>
                <w:bCs/>
                <w:szCs w:val="21"/>
              </w:rPr>
              <w:t>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639" w:type="pct"/>
            <w:vMerge w:val="restart"/>
            <w:shd w:val="clear" w:color="auto" w:fill="auto"/>
            <w:vAlign w:val="center"/>
          </w:tcPr>
          <w:p>
            <w:pPr>
              <w:adjustRightInd w:val="0"/>
              <w:snapToGrid w:val="0"/>
              <w:spacing w:line="600" w:lineRule="exact"/>
              <w:jc w:val="center"/>
              <w:rPr>
                <w:rFonts w:ascii="仿宋" w:hAnsi="仿宋" w:eastAsia="仿宋" w:cs="宋体"/>
                <w:b/>
                <w:bCs/>
                <w:color w:val="000000"/>
                <w:szCs w:val="21"/>
              </w:rPr>
            </w:pPr>
            <w:r>
              <w:rPr>
                <w:rFonts w:hint="eastAsia" w:ascii="仿宋" w:hAnsi="仿宋" w:eastAsia="仿宋" w:cs="宋体"/>
                <w:b/>
                <w:bCs/>
                <w:color w:val="000000"/>
                <w:szCs w:val="21"/>
              </w:rPr>
              <w:t>产出</w:t>
            </w:r>
          </w:p>
        </w:tc>
        <w:tc>
          <w:tcPr>
            <w:tcW w:w="890" w:type="pct"/>
            <w:shd w:val="clear" w:color="auto" w:fill="auto"/>
            <w:vAlign w:val="center"/>
          </w:tcPr>
          <w:p>
            <w:pPr>
              <w:adjustRightInd w:val="0"/>
              <w:snapToGrid w:val="0"/>
              <w:spacing w:line="600" w:lineRule="exact"/>
              <w:jc w:val="center"/>
              <w:rPr>
                <w:rFonts w:ascii="仿宋" w:hAnsi="仿宋" w:eastAsia="仿宋" w:cs="宋体"/>
                <w:color w:val="000000"/>
                <w:szCs w:val="21"/>
              </w:rPr>
            </w:pPr>
            <w:r>
              <w:rPr>
                <w:rFonts w:hint="eastAsia" w:ascii="仿宋" w:hAnsi="仿宋" w:eastAsia="仿宋" w:cs="宋体"/>
                <w:color w:val="000000"/>
                <w:szCs w:val="21"/>
              </w:rPr>
              <w:t>项目运营</w:t>
            </w:r>
          </w:p>
        </w:tc>
        <w:tc>
          <w:tcPr>
            <w:tcW w:w="3471" w:type="pct"/>
            <w:shd w:val="clear" w:color="auto" w:fill="auto"/>
            <w:vAlign w:val="center"/>
          </w:tcPr>
          <w:p>
            <w:pPr>
              <w:adjustRightInd w:val="0"/>
              <w:snapToGrid w:val="0"/>
              <w:spacing w:line="600" w:lineRule="exact"/>
              <w:rPr>
                <w:rFonts w:ascii="仿宋" w:hAnsi="仿宋" w:eastAsia="仿宋" w:cs="宋体"/>
                <w:color w:val="000000"/>
                <w:szCs w:val="21"/>
              </w:rPr>
            </w:pPr>
            <w:r>
              <w:rPr>
                <w:rFonts w:hint="eastAsia" w:ascii="仿宋" w:hAnsi="仿宋" w:eastAsia="仿宋" w:cs="宋体"/>
                <w:color w:val="000000"/>
                <w:szCs w:val="21"/>
              </w:rPr>
              <w:t>主要考核：项目运营期内的污水收集率、污水处理率、污水进水水质、污水处理达标率、污水处理关键指标达标情况、污泥处置方法、污泥处置达标率、污水管网有无漏接及雨污混接（出现雨污合流、新增污水未收集、有渗漏现象未及时处理）、有未按规定组织日常巡查、有未对管网及时维修、有无垃圾及其它化学物质进入管网、管网有未按合同及规范要求检测及清淤等指标。相关考核事项需符合住建部、江苏省住建厅考核标准、设计文件及行业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pct"/>
            <w:vMerge w:val="continue"/>
            <w:vAlign w:val="center"/>
          </w:tcPr>
          <w:p>
            <w:pPr>
              <w:adjustRightInd w:val="0"/>
              <w:snapToGrid w:val="0"/>
              <w:spacing w:line="600" w:lineRule="exact"/>
              <w:rPr>
                <w:rFonts w:ascii="仿宋" w:hAnsi="仿宋" w:eastAsia="仿宋" w:cs="宋体"/>
                <w:b/>
                <w:bCs/>
                <w:color w:val="000000"/>
                <w:kern w:val="44"/>
                <w:szCs w:val="21"/>
              </w:rPr>
            </w:pPr>
          </w:p>
        </w:tc>
        <w:tc>
          <w:tcPr>
            <w:tcW w:w="890" w:type="pct"/>
            <w:shd w:val="clear" w:color="auto" w:fill="auto"/>
            <w:vAlign w:val="center"/>
          </w:tcPr>
          <w:p>
            <w:pPr>
              <w:adjustRightInd w:val="0"/>
              <w:snapToGrid w:val="0"/>
              <w:spacing w:line="600" w:lineRule="exact"/>
              <w:jc w:val="center"/>
              <w:rPr>
                <w:rFonts w:ascii="仿宋" w:hAnsi="仿宋" w:eastAsia="仿宋" w:cs="宋体"/>
                <w:color w:val="000000"/>
                <w:szCs w:val="21"/>
              </w:rPr>
            </w:pPr>
            <w:r>
              <w:rPr>
                <w:rFonts w:hint="eastAsia" w:ascii="仿宋" w:hAnsi="仿宋" w:eastAsia="仿宋" w:cs="宋体"/>
                <w:color w:val="000000"/>
                <w:szCs w:val="21"/>
              </w:rPr>
              <w:t>项目维护</w:t>
            </w:r>
          </w:p>
        </w:tc>
        <w:tc>
          <w:tcPr>
            <w:tcW w:w="3471" w:type="pct"/>
            <w:shd w:val="clear" w:color="auto" w:fill="auto"/>
            <w:vAlign w:val="center"/>
          </w:tcPr>
          <w:p>
            <w:pPr>
              <w:adjustRightInd w:val="0"/>
              <w:snapToGrid w:val="0"/>
              <w:spacing w:line="600" w:lineRule="exact"/>
              <w:rPr>
                <w:rFonts w:ascii="仿宋" w:hAnsi="仿宋" w:eastAsia="仿宋" w:cs="宋体"/>
                <w:color w:val="000000"/>
                <w:szCs w:val="21"/>
              </w:rPr>
            </w:pPr>
            <w:r>
              <w:rPr>
                <w:rFonts w:hint="eastAsia" w:ascii="仿宋" w:hAnsi="仿宋" w:eastAsia="仿宋" w:cs="宋体"/>
                <w:color w:val="000000"/>
                <w:szCs w:val="21"/>
              </w:rPr>
              <w:t>主要考核：项目设施设备等相关资产维护的数量、质量与时效等目标完成情况。如设施设备维护频次、完好率与维护及时性等。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pct"/>
            <w:vMerge w:val="continue"/>
            <w:vAlign w:val="center"/>
          </w:tcPr>
          <w:p>
            <w:pPr>
              <w:adjustRightInd w:val="0"/>
              <w:snapToGrid w:val="0"/>
              <w:spacing w:line="600" w:lineRule="exact"/>
              <w:rPr>
                <w:rFonts w:ascii="仿宋" w:hAnsi="仿宋" w:eastAsia="仿宋" w:cs="宋体"/>
                <w:b/>
                <w:bCs/>
                <w:color w:val="000000"/>
                <w:szCs w:val="21"/>
              </w:rPr>
            </w:pPr>
          </w:p>
        </w:tc>
        <w:tc>
          <w:tcPr>
            <w:tcW w:w="890" w:type="pct"/>
            <w:shd w:val="clear" w:color="auto" w:fill="auto"/>
            <w:vAlign w:val="center"/>
          </w:tcPr>
          <w:p>
            <w:pPr>
              <w:adjustRightInd w:val="0"/>
              <w:snapToGrid w:val="0"/>
              <w:spacing w:line="600" w:lineRule="exact"/>
              <w:jc w:val="center"/>
              <w:rPr>
                <w:rFonts w:ascii="仿宋" w:hAnsi="仿宋" w:eastAsia="仿宋" w:cs="宋体"/>
                <w:color w:val="000000"/>
                <w:szCs w:val="21"/>
              </w:rPr>
            </w:pPr>
            <w:r>
              <w:rPr>
                <w:rFonts w:hint="eastAsia" w:ascii="仿宋" w:hAnsi="仿宋" w:eastAsia="仿宋" w:cs="宋体"/>
                <w:color w:val="000000"/>
                <w:szCs w:val="21"/>
              </w:rPr>
              <w:t>成本效益</w:t>
            </w:r>
          </w:p>
        </w:tc>
        <w:tc>
          <w:tcPr>
            <w:tcW w:w="3471" w:type="pct"/>
            <w:shd w:val="clear" w:color="auto" w:fill="auto"/>
            <w:vAlign w:val="center"/>
          </w:tcPr>
          <w:p>
            <w:pPr>
              <w:adjustRightInd w:val="0"/>
              <w:snapToGrid w:val="0"/>
              <w:spacing w:line="600" w:lineRule="exact"/>
              <w:rPr>
                <w:rFonts w:ascii="仿宋" w:hAnsi="仿宋" w:eastAsia="仿宋" w:cs="宋体"/>
                <w:szCs w:val="21"/>
              </w:rPr>
            </w:pPr>
            <w:r>
              <w:rPr>
                <w:rFonts w:hint="eastAsia" w:ascii="仿宋" w:hAnsi="仿宋" w:eastAsia="仿宋" w:cs="宋体"/>
                <w:szCs w:val="21"/>
              </w:rPr>
              <w:t>主要考核：项目运营维护的成本情况。如成本构成合理性、成本节约率、预算执行情况等。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pct"/>
            <w:vMerge w:val="continue"/>
            <w:vAlign w:val="center"/>
          </w:tcPr>
          <w:p>
            <w:pPr>
              <w:adjustRightInd w:val="0"/>
              <w:snapToGrid w:val="0"/>
              <w:spacing w:line="600" w:lineRule="exact"/>
              <w:rPr>
                <w:rFonts w:ascii="仿宋" w:hAnsi="仿宋" w:eastAsia="仿宋" w:cs="宋体"/>
                <w:b/>
                <w:bCs/>
                <w:color w:val="000000"/>
                <w:szCs w:val="21"/>
              </w:rPr>
            </w:pPr>
          </w:p>
        </w:tc>
        <w:tc>
          <w:tcPr>
            <w:tcW w:w="890" w:type="pct"/>
            <w:shd w:val="clear" w:color="auto" w:fill="auto"/>
            <w:vAlign w:val="center"/>
          </w:tcPr>
          <w:p>
            <w:pPr>
              <w:adjustRightInd w:val="0"/>
              <w:snapToGrid w:val="0"/>
              <w:spacing w:line="600" w:lineRule="exact"/>
              <w:jc w:val="center"/>
              <w:rPr>
                <w:rFonts w:ascii="仿宋" w:hAnsi="仿宋" w:eastAsia="仿宋" w:cs="宋体"/>
                <w:szCs w:val="21"/>
              </w:rPr>
            </w:pPr>
            <w:r>
              <w:rPr>
                <w:rFonts w:hint="eastAsia" w:ascii="仿宋" w:hAnsi="仿宋" w:eastAsia="仿宋" w:cs="宋体"/>
                <w:szCs w:val="21"/>
              </w:rPr>
              <w:t>安全保障</w:t>
            </w:r>
          </w:p>
        </w:tc>
        <w:tc>
          <w:tcPr>
            <w:tcW w:w="3471" w:type="pct"/>
            <w:shd w:val="clear" w:color="auto" w:fill="auto"/>
            <w:vAlign w:val="center"/>
          </w:tcPr>
          <w:p>
            <w:pPr>
              <w:adjustRightInd w:val="0"/>
              <w:snapToGrid w:val="0"/>
              <w:spacing w:line="600" w:lineRule="exact"/>
              <w:rPr>
                <w:rFonts w:ascii="仿宋" w:hAnsi="仿宋" w:eastAsia="仿宋" w:cs="宋体"/>
                <w:szCs w:val="21"/>
              </w:rPr>
            </w:pPr>
            <w:r>
              <w:rPr>
                <w:rFonts w:hint="eastAsia" w:ascii="仿宋" w:hAnsi="仿宋" w:eastAsia="仿宋" w:cs="宋体"/>
                <w:szCs w:val="21"/>
              </w:rPr>
              <w:t>主要考核：项目公司（或社会资本）在提供公共服务过程中安全保障情况。如重大事故发生率、安全生产率、应急处理情况等。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pct"/>
            <w:vMerge w:val="restart"/>
            <w:shd w:val="clear" w:color="auto" w:fill="auto"/>
            <w:vAlign w:val="center"/>
          </w:tcPr>
          <w:p>
            <w:pPr>
              <w:adjustRightInd w:val="0"/>
              <w:snapToGrid w:val="0"/>
              <w:spacing w:line="600" w:lineRule="exact"/>
              <w:jc w:val="center"/>
              <w:rPr>
                <w:rFonts w:ascii="仿宋" w:hAnsi="仿宋" w:eastAsia="仿宋" w:cs="宋体"/>
                <w:b/>
                <w:bCs/>
                <w:color w:val="000000"/>
                <w:szCs w:val="21"/>
              </w:rPr>
            </w:pPr>
            <w:r>
              <w:rPr>
                <w:rFonts w:hint="eastAsia" w:ascii="仿宋" w:hAnsi="仿宋" w:eastAsia="仿宋" w:cs="宋体"/>
                <w:b/>
                <w:bCs/>
                <w:color w:val="000000"/>
                <w:szCs w:val="21"/>
              </w:rPr>
              <w:t>效果</w:t>
            </w:r>
          </w:p>
        </w:tc>
        <w:tc>
          <w:tcPr>
            <w:tcW w:w="890" w:type="pct"/>
            <w:shd w:val="clear" w:color="auto" w:fill="auto"/>
            <w:vAlign w:val="center"/>
          </w:tcPr>
          <w:p>
            <w:pPr>
              <w:adjustRightInd w:val="0"/>
              <w:snapToGrid w:val="0"/>
              <w:spacing w:line="600" w:lineRule="exact"/>
              <w:jc w:val="center"/>
              <w:rPr>
                <w:rFonts w:ascii="仿宋" w:hAnsi="仿宋" w:eastAsia="仿宋" w:cs="宋体"/>
                <w:color w:val="000000"/>
                <w:szCs w:val="21"/>
              </w:rPr>
            </w:pPr>
            <w:r>
              <w:rPr>
                <w:rFonts w:hint="eastAsia" w:ascii="仿宋" w:hAnsi="仿宋" w:eastAsia="仿宋" w:cs="宋体"/>
                <w:color w:val="000000"/>
                <w:szCs w:val="21"/>
              </w:rPr>
              <w:t>生态影响</w:t>
            </w:r>
          </w:p>
        </w:tc>
        <w:tc>
          <w:tcPr>
            <w:tcW w:w="3471" w:type="pct"/>
            <w:shd w:val="clear" w:color="auto" w:fill="auto"/>
            <w:vAlign w:val="center"/>
          </w:tcPr>
          <w:p>
            <w:pPr>
              <w:adjustRightInd w:val="0"/>
              <w:snapToGrid w:val="0"/>
              <w:spacing w:line="600" w:lineRule="exact"/>
              <w:rPr>
                <w:rFonts w:ascii="仿宋" w:hAnsi="仿宋" w:eastAsia="仿宋" w:cs="宋体"/>
                <w:color w:val="000000"/>
                <w:szCs w:val="21"/>
              </w:rPr>
            </w:pPr>
            <w:r>
              <w:rPr>
                <w:rFonts w:hint="eastAsia" w:ascii="仿宋" w:hAnsi="仿宋" w:eastAsia="仿宋" w:cs="宋体"/>
                <w:color w:val="000000"/>
                <w:szCs w:val="21"/>
              </w:rPr>
              <w:t>主要考核：项目运营中是否存在对生态环境所带来的直接或间接的负面影响情况，如环境污染、环保处罚等。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pct"/>
            <w:vMerge w:val="continue"/>
            <w:vAlign w:val="center"/>
          </w:tcPr>
          <w:p>
            <w:pPr>
              <w:adjustRightInd w:val="0"/>
              <w:snapToGrid w:val="0"/>
              <w:spacing w:line="600" w:lineRule="exact"/>
              <w:rPr>
                <w:rFonts w:ascii="仿宋" w:hAnsi="仿宋" w:eastAsia="仿宋" w:cs="宋体"/>
                <w:b/>
                <w:bCs/>
                <w:color w:val="000000"/>
                <w:szCs w:val="21"/>
              </w:rPr>
            </w:pPr>
          </w:p>
        </w:tc>
        <w:tc>
          <w:tcPr>
            <w:tcW w:w="890" w:type="pct"/>
            <w:shd w:val="clear" w:color="auto" w:fill="auto"/>
            <w:vAlign w:val="center"/>
          </w:tcPr>
          <w:p>
            <w:pPr>
              <w:adjustRightInd w:val="0"/>
              <w:snapToGrid w:val="0"/>
              <w:spacing w:line="600" w:lineRule="exact"/>
              <w:jc w:val="center"/>
              <w:rPr>
                <w:rFonts w:ascii="仿宋" w:hAnsi="仿宋" w:eastAsia="仿宋" w:cs="宋体"/>
                <w:color w:val="000000"/>
                <w:szCs w:val="21"/>
              </w:rPr>
            </w:pPr>
            <w:r>
              <w:rPr>
                <w:rFonts w:hint="eastAsia" w:ascii="仿宋" w:hAnsi="仿宋" w:eastAsia="仿宋" w:cs="宋体"/>
                <w:color w:val="000000"/>
                <w:szCs w:val="21"/>
              </w:rPr>
              <w:t>社会影响</w:t>
            </w:r>
          </w:p>
        </w:tc>
        <w:tc>
          <w:tcPr>
            <w:tcW w:w="3471" w:type="pct"/>
            <w:shd w:val="clear" w:color="auto" w:fill="auto"/>
            <w:vAlign w:val="center"/>
          </w:tcPr>
          <w:p>
            <w:pPr>
              <w:adjustRightInd w:val="0"/>
              <w:snapToGrid w:val="0"/>
              <w:spacing w:line="600" w:lineRule="exact"/>
              <w:rPr>
                <w:rFonts w:ascii="仿宋" w:hAnsi="仿宋" w:eastAsia="仿宋" w:cs="宋体"/>
                <w:color w:val="000000"/>
                <w:szCs w:val="21"/>
              </w:rPr>
            </w:pPr>
            <w:r>
              <w:rPr>
                <w:rFonts w:hint="eastAsia" w:ascii="仿宋" w:hAnsi="仿宋" w:eastAsia="仿宋" w:cs="宋体"/>
                <w:color w:val="000000"/>
                <w:szCs w:val="21"/>
              </w:rPr>
              <w:t>主要考核：项目实施对社会发展所带来的直接或间接的正负面影响情况。如</w:t>
            </w:r>
            <w:r>
              <w:rPr>
                <w:rFonts w:hint="eastAsia" w:ascii="仿宋" w:hAnsi="仿宋" w:eastAsia="仿宋" w:cs="宋体"/>
                <w:szCs w:val="21"/>
              </w:rPr>
              <w:t>重大诉讼、公众舆情与群体性事件等。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pct"/>
            <w:vMerge w:val="continue"/>
            <w:vAlign w:val="center"/>
          </w:tcPr>
          <w:p>
            <w:pPr>
              <w:adjustRightInd w:val="0"/>
              <w:snapToGrid w:val="0"/>
              <w:spacing w:line="600" w:lineRule="exact"/>
              <w:rPr>
                <w:rFonts w:ascii="仿宋" w:hAnsi="仿宋" w:eastAsia="仿宋" w:cs="宋体"/>
                <w:b/>
                <w:bCs/>
                <w:color w:val="000000"/>
                <w:szCs w:val="21"/>
              </w:rPr>
            </w:pPr>
          </w:p>
        </w:tc>
        <w:tc>
          <w:tcPr>
            <w:tcW w:w="890" w:type="pct"/>
            <w:shd w:val="clear" w:color="auto" w:fill="auto"/>
            <w:vAlign w:val="center"/>
          </w:tcPr>
          <w:p>
            <w:pPr>
              <w:adjustRightInd w:val="0"/>
              <w:snapToGrid w:val="0"/>
              <w:spacing w:line="600" w:lineRule="exact"/>
              <w:jc w:val="center"/>
              <w:rPr>
                <w:rFonts w:ascii="仿宋" w:hAnsi="仿宋" w:eastAsia="仿宋" w:cs="宋体"/>
                <w:color w:val="000000"/>
                <w:szCs w:val="21"/>
              </w:rPr>
            </w:pPr>
            <w:r>
              <w:rPr>
                <w:rFonts w:hint="eastAsia" w:ascii="仿宋" w:hAnsi="仿宋" w:eastAsia="仿宋" w:cs="宋体"/>
                <w:color w:val="000000"/>
                <w:szCs w:val="21"/>
              </w:rPr>
              <w:t>可持续性</w:t>
            </w:r>
          </w:p>
        </w:tc>
        <w:tc>
          <w:tcPr>
            <w:tcW w:w="3471" w:type="pct"/>
            <w:shd w:val="clear" w:color="auto" w:fill="auto"/>
            <w:vAlign w:val="center"/>
          </w:tcPr>
          <w:p>
            <w:pPr>
              <w:adjustRightInd w:val="0"/>
              <w:snapToGrid w:val="0"/>
              <w:spacing w:line="600" w:lineRule="exact"/>
              <w:rPr>
                <w:rFonts w:ascii="仿宋" w:hAnsi="仿宋" w:eastAsia="仿宋" w:cs="宋体"/>
                <w:color w:val="000000"/>
                <w:szCs w:val="21"/>
              </w:rPr>
            </w:pPr>
            <w:r>
              <w:rPr>
                <w:rFonts w:hint="eastAsia" w:ascii="仿宋" w:hAnsi="仿宋" w:eastAsia="仿宋" w:cs="宋体"/>
                <w:color w:val="000000"/>
                <w:szCs w:val="21"/>
              </w:rPr>
              <w:t>主要考核：项目在发展、运行管理、资金运转情况及财务状况等方面的可持续性情况。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pct"/>
            <w:vMerge w:val="continue"/>
            <w:vAlign w:val="center"/>
          </w:tcPr>
          <w:p>
            <w:pPr>
              <w:adjustRightInd w:val="0"/>
              <w:snapToGrid w:val="0"/>
              <w:spacing w:line="600" w:lineRule="exact"/>
              <w:rPr>
                <w:rFonts w:ascii="仿宋" w:hAnsi="仿宋" w:eastAsia="仿宋" w:cs="宋体"/>
                <w:b/>
                <w:bCs/>
                <w:color w:val="000000"/>
                <w:szCs w:val="21"/>
              </w:rPr>
            </w:pPr>
          </w:p>
        </w:tc>
        <w:tc>
          <w:tcPr>
            <w:tcW w:w="890" w:type="pct"/>
            <w:shd w:val="clear" w:color="auto" w:fill="auto"/>
            <w:vAlign w:val="center"/>
          </w:tcPr>
          <w:p>
            <w:pPr>
              <w:adjustRightInd w:val="0"/>
              <w:snapToGrid w:val="0"/>
              <w:spacing w:line="600" w:lineRule="exact"/>
              <w:jc w:val="center"/>
              <w:rPr>
                <w:rFonts w:ascii="仿宋" w:hAnsi="仿宋" w:eastAsia="仿宋" w:cs="宋体"/>
                <w:color w:val="000000"/>
                <w:szCs w:val="21"/>
              </w:rPr>
            </w:pPr>
            <w:r>
              <w:rPr>
                <w:rFonts w:hint="eastAsia" w:ascii="仿宋" w:hAnsi="仿宋" w:eastAsia="仿宋" w:cs="宋体"/>
                <w:color w:val="000000"/>
                <w:szCs w:val="21"/>
              </w:rPr>
              <w:t>满意度</w:t>
            </w:r>
          </w:p>
        </w:tc>
        <w:tc>
          <w:tcPr>
            <w:tcW w:w="3471" w:type="pct"/>
            <w:shd w:val="clear" w:color="auto" w:fill="auto"/>
            <w:vAlign w:val="center"/>
          </w:tcPr>
          <w:p>
            <w:pPr>
              <w:adjustRightInd w:val="0"/>
              <w:snapToGrid w:val="0"/>
              <w:spacing w:line="600" w:lineRule="exact"/>
              <w:rPr>
                <w:rFonts w:ascii="仿宋" w:hAnsi="仿宋" w:eastAsia="仿宋" w:cs="宋体"/>
                <w:color w:val="000000"/>
                <w:szCs w:val="21"/>
              </w:rPr>
            </w:pPr>
            <w:r>
              <w:rPr>
                <w:rFonts w:hint="eastAsia" w:ascii="仿宋" w:hAnsi="仿宋" w:eastAsia="仿宋" w:cs="宋体"/>
                <w:color w:val="000000"/>
                <w:szCs w:val="21"/>
              </w:rPr>
              <w:t>主要考核：政府相关部门、项目实施机构、社会公众（服务对象）对项目公司或社会资本提供公共服务质量和效率的满意程度。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pct"/>
            <w:vMerge w:val="restart"/>
            <w:shd w:val="clear" w:color="auto" w:fill="auto"/>
            <w:vAlign w:val="center"/>
          </w:tcPr>
          <w:p>
            <w:pPr>
              <w:adjustRightInd w:val="0"/>
              <w:snapToGrid w:val="0"/>
              <w:spacing w:line="600" w:lineRule="exact"/>
              <w:jc w:val="center"/>
              <w:rPr>
                <w:rFonts w:ascii="仿宋" w:hAnsi="仿宋" w:eastAsia="仿宋" w:cs="宋体"/>
                <w:b/>
                <w:bCs/>
                <w:color w:val="000000"/>
                <w:szCs w:val="21"/>
              </w:rPr>
            </w:pPr>
            <w:r>
              <w:rPr>
                <w:rFonts w:hint="eastAsia" w:ascii="仿宋" w:hAnsi="仿宋" w:eastAsia="仿宋" w:cs="宋体"/>
                <w:b/>
                <w:bCs/>
                <w:color w:val="000000"/>
                <w:szCs w:val="21"/>
              </w:rPr>
              <w:t>管理</w:t>
            </w:r>
          </w:p>
        </w:tc>
        <w:tc>
          <w:tcPr>
            <w:tcW w:w="890" w:type="pct"/>
            <w:shd w:val="clear" w:color="auto" w:fill="auto"/>
            <w:vAlign w:val="center"/>
          </w:tcPr>
          <w:p>
            <w:pPr>
              <w:adjustRightInd w:val="0"/>
              <w:snapToGrid w:val="0"/>
              <w:spacing w:line="600" w:lineRule="exact"/>
              <w:jc w:val="center"/>
              <w:rPr>
                <w:rFonts w:ascii="仿宋" w:hAnsi="仿宋" w:eastAsia="仿宋" w:cs="宋体"/>
                <w:color w:val="000000"/>
                <w:szCs w:val="21"/>
              </w:rPr>
            </w:pPr>
            <w:r>
              <w:rPr>
                <w:rFonts w:hint="eastAsia" w:ascii="仿宋" w:hAnsi="仿宋" w:eastAsia="仿宋" w:cs="宋体"/>
                <w:color w:val="000000"/>
                <w:szCs w:val="21"/>
              </w:rPr>
              <w:t>组织管理</w:t>
            </w:r>
          </w:p>
        </w:tc>
        <w:tc>
          <w:tcPr>
            <w:tcW w:w="3471" w:type="pct"/>
            <w:shd w:val="clear" w:color="auto" w:fill="auto"/>
            <w:vAlign w:val="center"/>
          </w:tcPr>
          <w:p>
            <w:pPr>
              <w:adjustRightInd w:val="0"/>
              <w:snapToGrid w:val="0"/>
              <w:spacing w:line="600" w:lineRule="exact"/>
              <w:rPr>
                <w:rFonts w:ascii="仿宋" w:hAnsi="仿宋" w:eastAsia="仿宋" w:cs="宋体"/>
                <w:color w:val="000000"/>
                <w:szCs w:val="21"/>
              </w:rPr>
            </w:pPr>
            <w:r>
              <w:rPr>
                <w:rFonts w:hint="eastAsia" w:ascii="仿宋" w:hAnsi="仿宋" w:eastAsia="仿宋" w:cs="宋体"/>
                <w:color w:val="000000"/>
                <w:szCs w:val="21"/>
              </w:rPr>
              <w:t>主要考核：项目运营管理实施及组织保障等情况。如组织架构、人员管理、岗位设置及决策审批流程等。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pct"/>
            <w:vMerge w:val="continue"/>
            <w:vAlign w:val="center"/>
          </w:tcPr>
          <w:p>
            <w:pPr>
              <w:adjustRightInd w:val="0"/>
              <w:snapToGrid w:val="0"/>
              <w:spacing w:line="600" w:lineRule="exact"/>
              <w:rPr>
                <w:rFonts w:ascii="仿宋" w:hAnsi="仿宋" w:eastAsia="仿宋" w:cs="宋体"/>
                <w:b/>
                <w:bCs/>
                <w:color w:val="000000"/>
                <w:szCs w:val="21"/>
              </w:rPr>
            </w:pPr>
          </w:p>
        </w:tc>
        <w:tc>
          <w:tcPr>
            <w:tcW w:w="890" w:type="pct"/>
            <w:shd w:val="clear" w:color="auto" w:fill="auto"/>
            <w:vAlign w:val="center"/>
          </w:tcPr>
          <w:p>
            <w:pPr>
              <w:adjustRightInd w:val="0"/>
              <w:snapToGrid w:val="0"/>
              <w:spacing w:line="600" w:lineRule="exact"/>
              <w:jc w:val="center"/>
              <w:rPr>
                <w:rFonts w:ascii="仿宋" w:hAnsi="仿宋" w:eastAsia="仿宋" w:cs="宋体"/>
                <w:color w:val="000000"/>
                <w:szCs w:val="21"/>
              </w:rPr>
            </w:pPr>
            <w:r>
              <w:rPr>
                <w:rFonts w:hint="eastAsia" w:ascii="仿宋" w:hAnsi="仿宋" w:eastAsia="仿宋" w:cs="宋体"/>
                <w:color w:val="000000"/>
                <w:szCs w:val="21"/>
              </w:rPr>
              <w:t>财务管理</w:t>
            </w:r>
          </w:p>
        </w:tc>
        <w:tc>
          <w:tcPr>
            <w:tcW w:w="3471" w:type="pct"/>
            <w:shd w:val="clear" w:color="000000" w:fill="FFFFFF"/>
            <w:vAlign w:val="center"/>
          </w:tcPr>
          <w:p>
            <w:pPr>
              <w:adjustRightInd w:val="0"/>
              <w:snapToGrid w:val="0"/>
              <w:spacing w:line="600" w:lineRule="exact"/>
              <w:rPr>
                <w:rFonts w:ascii="仿宋" w:hAnsi="仿宋" w:eastAsia="仿宋" w:cs="宋体"/>
                <w:color w:val="000000"/>
                <w:szCs w:val="21"/>
              </w:rPr>
            </w:pPr>
            <w:r>
              <w:rPr>
                <w:rFonts w:hint="eastAsia" w:ascii="仿宋" w:hAnsi="仿宋" w:eastAsia="仿宋" w:cs="宋体"/>
                <w:color w:val="000000"/>
                <w:szCs w:val="21"/>
              </w:rPr>
              <w:t>主要考核：项目资金筹措、支付及审批的管理、会计核算等财务管理内容的合规性。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pct"/>
            <w:vMerge w:val="continue"/>
            <w:vAlign w:val="center"/>
          </w:tcPr>
          <w:p>
            <w:pPr>
              <w:adjustRightInd w:val="0"/>
              <w:snapToGrid w:val="0"/>
              <w:spacing w:line="600" w:lineRule="exact"/>
              <w:rPr>
                <w:rFonts w:ascii="仿宋" w:hAnsi="仿宋" w:eastAsia="仿宋" w:cs="宋体"/>
                <w:b/>
                <w:bCs/>
                <w:color w:val="000000"/>
                <w:szCs w:val="21"/>
              </w:rPr>
            </w:pPr>
          </w:p>
        </w:tc>
        <w:tc>
          <w:tcPr>
            <w:tcW w:w="890" w:type="pct"/>
            <w:shd w:val="clear" w:color="auto" w:fill="auto"/>
            <w:vAlign w:val="center"/>
          </w:tcPr>
          <w:p>
            <w:pPr>
              <w:adjustRightInd w:val="0"/>
              <w:snapToGrid w:val="0"/>
              <w:spacing w:line="600" w:lineRule="exact"/>
              <w:jc w:val="center"/>
              <w:rPr>
                <w:rFonts w:ascii="仿宋" w:hAnsi="仿宋" w:eastAsia="仿宋" w:cs="宋体"/>
                <w:color w:val="000000"/>
                <w:szCs w:val="21"/>
              </w:rPr>
            </w:pPr>
            <w:r>
              <w:rPr>
                <w:rFonts w:hint="eastAsia" w:ascii="仿宋" w:hAnsi="仿宋" w:eastAsia="仿宋" w:cs="宋体"/>
                <w:color w:val="000000"/>
                <w:szCs w:val="21"/>
              </w:rPr>
              <w:t>制度管理</w:t>
            </w:r>
          </w:p>
        </w:tc>
        <w:tc>
          <w:tcPr>
            <w:tcW w:w="3471" w:type="pct"/>
            <w:shd w:val="clear" w:color="auto" w:fill="auto"/>
            <w:vAlign w:val="center"/>
          </w:tcPr>
          <w:p>
            <w:pPr>
              <w:adjustRightInd w:val="0"/>
              <w:snapToGrid w:val="0"/>
              <w:spacing w:line="600" w:lineRule="exact"/>
              <w:rPr>
                <w:rFonts w:ascii="仿宋" w:hAnsi="仿宋" w:eastAsia="仿宋" w:cs="宋体"/>
                <w:color w:val="000000"/>
                <w:szCs w:val="21"/>
              </w:rPr>
            </w:pPr>
            <w:r>
              <w:rPr>
                <w:rFonts w:hint="eastAsia" w:ascii="仿宋" w:hAnsi="仿宋" w:eastAsia="仿宋" w:cs="宋体"/>
                <w:color w:val="000000"/>
                <w:szCs w:val="21"/>
              </w:rPr>
              <w:t>主要考核：内控制度的健全程度，是否按制度执行。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pct"/>
            <w:vMerge w:val="continue"/>
            <w:vAlign w:val="center"/>
          </w:tcPr>
          <w:p>
            <w:pPr>
              <w:adjustRightInd w:val="0"/>
              <w:snapToGrid w:val="0"/>
              <w:spacing w:line="600" w:lineRule="exact"/>
              <w:rPr>
                <w:rFonts w:ascii="仿宋" w:hAnsi="仿宋" w:eastAsia="仿宋" w:cs="宋体"/>
                <w:b/>
                <w:bCs/>
                <w:color w:val="000000"/>
                <w:szCs w:val="21"/>
              </w:rPr>
            </w:pPr>
          </w:p>
        </w:tc>
        <w:tc>
          <w:tcPr>
            <w:tcW w:w="890" w:type="pct"/>
            <w:shd w:val="clear" w:color="auto" w:fill="auto"/>
            <w:vAlign w:val="center"/>
          </w:tcPr>
          <w:p>
            <w:pPr>
              <w:adjustRightInd w:val="0"/>
              <w:snapToGrid w:val="0"/>
              <w:spacing w:line="600" w:lineRule="exact"/>
              <w:jc w:val="center"/>
              <w:rPr>
                <w:rFonts w:ascii="仿宋" w:hAnsi="仿宋" w:eastAsia="仿宋" w:cs="宋体"/>
                <w:color w:val="000000"/>
                <w:szCs w:val="21"/>
              </w:rPr>
            </w:pPr>
            <w:r>
              <w:rPr>
                <w:rFonts w:hint="eastAsia" w:ascii="仿宋" w:hAnsi="仿宋" w:eastAsia="仿宋" w:cs="宋体"/>
                <w:color w:val="000000"/>
                <w:szCs w:val="21"/>
              </w:rPr>
              <w:t>档案管理</w:t>
            </w:r>
          </w:p>
        </w:tc>
        <w:tc>
          <w:tcPr>
            <w:tcW w:w="3471" w:type="pct"/>
            <w:shd w:val="clear" w:color="auto" w:fill="auto"/>
            <w:vAlign w:val="center"/>
          </w:tcPr>
          <w:p>
            <w:pPr>
              <w:adjustRightInd w:val="0"/>
              <w:snapToGrid w:val="0"/>
              <w:spacing w:line="600" w:lineRule="exact"/>
              <w:rPr>
                <w:rFonts w:ascii="仿宋" w:hAnsi="仿宋" w:eastAsia="仿宋" w:cs="宋体"/>
                <w:color w:val="000000"/>
                <w:szCs w:val="21"/>
              </w:rPr>
            </w:pPr>
            <w:r>
              <w:rPr>
                <w:rFonts w:hint="eastAsia" w:ascii="仿宋" w:hAnsi="仿宋" w:eastAsia="仿宋" w:cs="宋体"/>
                <w:color w:val="000000"/>
                <w:szCs w:val="21"/>
              </w:rPr>
              <w:t>主要考核：项目运营、维护等相关资料的完整性、真实性以及归集整理的及时性。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pct"/>
            <w:vMerge w:val="continue"/>
            <w:vAlign w:val="center"/>
          </w:tcPr>
          <w:p>
            <w:pPr>
              <w:adjustRightInd w:val="0"/>
              <w:snapToGrid w:val="0"/>
              <w:spacing w:line="600" w:lineRule="exact"/>
              <w:rPr>
                <w:rFonts w:ascii="仿宋" w:hAnsi="仿宋" w:eastAsia="仿宋" w:cs="宋体"/>
                <w:b/>
                <w:bCs/>
                <w:color w:val="000000"/>
                <w:szCs w:val="21"/>
              </w:rPr>
            </w:pPr>
          </w:p>
        </w:tc>
        <w:tc>
          <w:tcPr>
            <w:tcW w:w="890" w:type="pct"/>
            <w:shd w:val="clear" w:color="auto" w:fill="auto"/>
            <w:vAlign w:val="center"/>
          </w:tcPr>
          <w:p>
            <w:pPr>
              <w:adjustRightInd w:val="0"/>
              <w:snapToGrid w:val="0"/>
              <w:spacing w:line="600" w:lineRule="exact"/>
              <w:jc w:val="center"/>
              <w:rPr>
                <w:rFonts w:ascii="仿宋" w:hAnsi="仿宋" w:eastAsia="仿宋" w:cs="宋体"/>
                <w:color w:val="000000"/>
                <w:szCs w:val="21"/>
              </w:rPr>
            </w:pPr>
            <w:r>
              <w:rPr>
                <w:rFonts w:hint="eastAsia" w:ascii="仿宋" w:hAnsi="仿宋" w:eastAsia="仿宋" w:cs="宋体"/>
                <w:color w:val="000000"/>
                <w:szCs w:val="21"/>
              </w:rPr>
              <w:t>资料报送</w:t>
            </w:r>
          </w:p>
        </w:tc>
        <w:tc>
          <w:tcPr>
            <w:tcW w:w="3471" w:type="pct"/>
            <w:shd w:val="clear" w:color="auto" w:fill="auto"/>
            <w:vAlign w:val="center"/>
          </w:tcPr>
          <w:p>
            <w:pPr>
              <w:adjustRightInd w:val="0"/>
              <w:snapToGrid w:val="0"/>
              <w:spacing w:line="600" w:lineRule="exact"/>
              <w:rPr>
                <w:rFonts w:ascii="仿宋" w:hAnsi="仿宋" w:eastAsia="仿宋" w:cs="宋体"/>
                <w:color w:val="000000"/>
                <w:szCs w:val="21"/>
              </w:rPr>
            </w:pPr>
            <w:r>
              <w:rPr>
                <w:rFonts w:hint="eastAsia" w:ascii="仿宋" w:hAnsi="仿宋" w:eastAsia="仿宋" w:cs="宋体"/>
                <w:color w:val="000000"/>
                <w:szCs w:val="21"/>
              </w:rPr>
              <w:t>主要考核：项目公司是否按P</w:t>
            </w:r>
            <w:r>
              <w:rPr>
                <w:rFonts w:ascii="仿宋" w:hAnsi="仿宋" w:eastAsia="仿宋" w:cs="宋体"/>
                <w:color w:val="000000"/>
                <w:szCs w:val="21"/>
              </w:rPr>
              <w:t>PP</w:t>
            </w:r>
            <w:r>
              <w:rPr>
                <w:rFonts w:hint="eastAsia" w:ascii="仿宋" w:hAnsi="仿宋" w:eastAsia="仿宋" w:cs="宋体"/>
                <w:color w:val="000000"/>
                <w:szCs w:val="21"/>
              </w:rPr>
              <w:t>合同或政府方要求及时编制、报送运行报表、财务报告及统计资料。</w:t>
            </w:r>
          </w:p>
        </w:tc>
      </w:tr>
    </w:tbl>
    <w:p>
      <w:pPr>
        <w:pStyle w:val="11"/>
        <w:spacing w:before="0" w:after="0" w:line="480" w:lineRule="exact"/>
        <w:rPr>
          <w:b/>
          <w:color w:val="auto"/>
          <w:lang w:val="en-US"/>
        </w:rPr>
      </w:pPr>
    </w:p>
    <w:p>
      <w:pPr>
        <w:pStyle w:val="11"/>
        <w:spacing w:before="0" w:after="0" w:line="480" w:lineRule="exact"/>
        <w:rPr>
          <w:b/>
          <w:color w:val="auto"/>
          <w:lang w:val="en-US"/>
        </w:rPr>
      </w:pPr>
    </w:p>
    <w:p>
      <w:pPr>
        <w:pStyle w:val="11"/>
        <w:spacing w:before="0" w:after="0" w:line="480" w:lineRule="exact"/>
        <w:rPr>
          <w:b/>
          <w:color w:val="auto"/>
          <w:lang w:val="en-US"/>
        </w:rPr>
      </w:pPr>
    </w:p>
    <w:p>
      <w:pPr>
        <w:pStyle w:val="11"/>
        <w:spacing w:before="0" w:after="0" w:line="480" w:lineRule="exact"/>
        <w:rPr>
          <w:b/>
          <w:color w:val="auto"/>
          <w:lang w:val="en-US"/>
        </w:rPr>
      </w:pPr>
    </w:p>
    <w:p>
      <w:pPr>
        <w:pStyle w:val="11"/>
        <w:spacing w:before="0" w:after="0" w:line="480" w:lineRule="exact"/>
        <w:rPr>
          <w:b/>
          <w:color w:val="auto"/>
          <w:lang w:val="en-US"/>
        </w:rPr>
      </w:pPr>
    </w:p>
    <w:p>
      <w:pPr>
        <w:pStyle w:val="11"/>
        <w:spacing w:before="0" w:after="0" w:line="480" w:lineRule="exact"/>
        <w:rPr>
          <w:b/>
          <w:color w:val="auto"/>
          <w:lang w:val="en-US"/>
        </w:rPr>
      </w:pPr>
    </w:p>
    <w:p>
      <w:pPr>
        <w:pStyle w:val="11"/>
        <w:spacing w:before="0" w:after="0" w:line="480" w:lineRule="exact"/>
        <w:rPr>
          <w:b/>
          <w:color w:val="auto"/>
          <w:lang w:val="en-US"/>
        </w:rPr>
      </w:pPr>
    </w:p>
    <w:p>
      <w:pPr>
        <w:pStyle w:val="11"/>
        <w:spacing w:before="0" w:after="0" w:line="480" w:lineRule="exact"/>
        <w:rPr>
          <w:b/>
          <w:color w:val="auto"/>
          <w:lang w:val="en-US"/>
        </w:rPr>
      </w:pPr>
    </w:p>
    <w:p>
      <w:pPr>
        <w:pStyle w:val="11"/>
        <w:spacing w:before="0" w:after="0" w:line="480" w:lineRule="exact"/>
        <w:rPr>
          <w:b/>
          <w:color w:val="auto"/>
          <w:lang w:val="en-US"/>
        </w:rPr>
      </w:pPr>
    </w:p>
    <w:p>
      <w:pPr>
        <w:pStyle w:val="11"/>
        <w:spacing w:before="0" w:after="0" w:line="480" w:lineRule="exact"/>
        <w:rPr>
          <w:b/>
          <w:color w:val="auto"/>
          <w:lang w:val="en-US"/>
        </w:rPr>
      </w:pPr>
    </w:p>
    <w:p>
      <w:pPr>
        <w:pStyle w:val="11"/>
        <w:spacing w:before="0" w:after="0" w:line="480" w:lineRule="exact"/>
        <w:rPr>
          <w:b/>
          <w:color w:val="auto"/>
          <w:lang w:val="en-US"/>
        </w:rPr>
      </w:pPr>
    </w:p>
    <w:p>
      <w:pPr>
        <w:pStyle w:val="11"/>
        <w:spacing w:before="0" w:after="0" w:line="480" w:lineRule="exact"/>
        <w:rPr>
          <w:b/>
          <w:color w:val="auto"/>
          <w:lang w:val="en-US"/>
        </w:rPr>
      </w:pPr>
    </w:p>
    <w:p>
      <w:pPr>
        <w:pStyle w:val="11"/>
        <w:spacing w:before="0" w:after="0" w:line="480" w:lineRule="exact"/>
        <w:rPr>
          <w:b/>
          <w:color w:val="auto"/>
          <w:lang w:val="en-US"/>
        </w:rPr>
      </w:pPr>
    </w:p>
    <w:p>
      <w:pPr>
        <w:pStyle w:val="11"/>
        <w:spacing w:before="0" w:after="0" w:line="480" w:lineRule="exact"/>
        <w:rPr>
          <w:b/>
          <w:color w:val="auto"/>
          <w:lang w:val="en-US"/>
        </w:rPr>
      </w:pPr>
    </w:p>
    <w:p>
      <w:pPr>
        <w:pStyle w:val="11"/>
        <w:spacing w:before="0" w:after="0" w:line="480" w:lineRule="exact"/>
        <w:rPr>
          <w:b/>
          <w:color w:val="auto"/>
          <w:lang w:val="en-US"/>
        </w:rPr>
      </w:pPr>
    </w:p>
    <w:p>
      <w:pPr>
        <w:pStyle w:val="11"/>
        <w:spacing w:before="0" w:after="0" w:line="480" w:lineRule="exact"/>
        <w:rPr>
          <w:b/>
          <w:color w:val="auto"/>
          <w:lang w:val="en-US"/>
        </w:rPr>
      </w:pPr>
    </w:p>
    <w:p>
      <w:pPr>
        <w:jc w:val="left"/>
        <w:rPr>
          <w:rFonts w:ascii="黑体" w:hAnsi="黑体" w:eastAsia="黑体" w:cstheme="minorBidi"/>
          <w:b/>
          <w:bCs/>
          <w:sz w:val="36"/>
          <w:szCs w:val="36"/>
        </w:rPr>
      </w:pPr>
      <w:r>
        <w:rPr>
          <w:rFonts w:hint="eastAsia" w:ascii="黑体" w:hAnsi="黑体" w:eastAsia="黑体" w:cstheme="minorBidi"/>
          <w:b/>
          <w:bCs/>
          <w:sz w:val="36"/>
          <w:szCs w:val="36"/>
        </w:rPr>
        <w:t>附件三</w:t>
      </w:r>
    </w:p>
    <w:p>
      <w:pPr>
        <w:jc w:val="center"/>
        <w:rPr>
          <w:rFonts w:ascii="黑体" w:hAnsi="黑体" w:eastAsia="黑体" w:cstheme="minorBidi"/>
          <w:b/>
          <w:bCs/>
          <w:sz w:val="36"/>
          <w:szCs w:val="36"/>
        </w:rPr>
      </w:pPr>
      <w:r>
        <w:rPr>
          <w:rFonts w:hint="eastAsia" w:ascii="黑体" w:hAnsi="黑体" w:eastAsia="黑体" w:cstheme="minorBidi"/>
          <w:b/>
          <w:bCs/>
          <w:sz w:val="36"/>
          <w:szCs w:val="36"/>
        </w:rPr>
        <w:t>期满移交绩效考核办法</w:t>
      </w:r>
    </w:p>
    <w:p>
      <w:pPr>
        <w:rPr>
          <w:rFonts w:asciiTheme="minorHAnsi" w:hAnsiTheme="minorHAnsi" w:eastAsiaTheme="minorEastAsia" w:cstheme="minorBidi"/>
          <w:szCs w:val="22"/>
        </w:rPr>
      </w:pPr>
    </w:p>
    <w:p>
      <w:pPr>
        <w:pStyle w:val="11"/>
        <w:spacing w:before="0" w:after="0" w:line="520" w:lineRule="exact"/>
        <w:ind w:firstLine="482"/>
        <w:rPr>
          <w:rFonts w:ascii="仿宋" w:hAnsi="仿宋" w:eastAsia="仿宋"/>
          <w:color w:val="auto"/>
        </w:rPr>
      </w:pPr>
      <w:r>
        <w:rPr>
          <w:rFonts w:hint="eastAsia" w:ascii="仿宋" w:hAnsi="仿宋" w:eastAsia="仿宋"/>
          <w:color w:val="auto"/>
        </w:rPr>
        <w:t>特许期结束二十四（</w:t>
      </w:r>
      <w:r>
        <w:rPr>
          <w:rFonts w:ascii="仿宋" w:hAnsi="仿宋" w:eastAsia="仿宋"/>
          <w:color w:val="auto"/>
        </w:rPr>
        <w:t>24）个月前，住建局和项目公司应成立移交工作小组，由项目公司三（3）名授权代表和政府方的三（3）名授权代表组成。移交工作小组应在双方同意的时间举行会谈并商定项目设施移交的详尽程序、最后恢复性大修计划和将按照PPP合同约定的移交范围制定的详细移交清单。如因项目公司原因导致移交工作小组不能按期组建，项目公司应承担违约责任，且住建局有权自行安排移交程序、时间、最后恢复性大修等事项，并可以自行在运营期届满当日接收项目公司应移交的所有财产，自该日起，项目公司丧失污水处理厂及污水处理设施的所有权、运营</w:t>
      </w:r>
      <w:r>
        <w:rPr>
          <w:rFonts w:hint="eastAsia" w:ascii="仿宋" w:hAnsi="仿宋" w:eastAsia="仿宋"/>
          <w:color w:val="auto"/>
        </w:rPr>
        <w:t>权及其他任何权益，无权就移交范围内的任何财产或权益提出任何主张。</w:t>
      </w:r>
    </w:p>
    <w:p>
      <w:pPr>
        <w:pStyle w:val="11"/>
        <w:spacing w:before="0" w:after="0" w:line="520" w:lineRule="exact"/>
        <w:ind w:firstLine="482"/>
        <w:rPr>
          <w:rFonts w:ascii="仿宋" w:hAnsi="仿宋" w:eastAsia="仿宋"/>
          <w:b/>
          <w:bCs/>
          <w:color w:val="auto"/>
        </w:rPr>
      </w:pPr>
      <w:r>
        <w:rPr>
          <w:rFonts w:hint="eastAsia" w:ascii="仿宋" w:hAnsi="仿宋" w:eastAsia="仿宋"/>
          <w:b/>
          <w:bCs/>
          <w:color w:val="auto"/>
        </w:rPr>
        <w:t>一、考核方式</w:t>
      </w:r>
    </w:p>
    <w:p>
      <w:pPr>
        <w:pStyle w:val="11"/>
        <w:spacing w:before="0" w:after="0" w:line="520" w:lineRule="exact"/>
        <w:ind w:firstLine="482"/>
        <w:rPr>
          <w:rFonts w:ascii="仿宋" w:hAnsi="仿宋" w:eastAsia="仿宋"/>
          <w:color w:val="auto"/>
        </w:rPr>
      </w:pPr>
      <w:r>
        <w:rPr>
          <w:rFonts w:hint="eastAsia" w:ascii="仿宋" w:hAnsi="仿宋" w:eastAsia="仿宋"/>
          <w:color w:val="auto"/>
        </w:rPr>
        <w:t>移交期绩效考核满分为</w:t>
      </w:r>
      <w:r>
        <w:rPr>
          <w:rFonts w:ascii="仿宋" w:hAnsi="仿宋" w:eastAsia="仿宋"/>
          <w:color w:val="auto"/>
        </w:rPr>
        <w:t>100 分，考核分数与移交违约金金额挂钩，按照如下标准执行：（1）移交期绩效考核得分总分在90分及以上，视为达到移交标准和满足移交要求；（2）移交期绩效考核得分总分在</w:t>
      </w:r>
      <w:r>
        <w:rPr>
          <w:rFonts w:hint="eastAsia" w:ascii="仿宋" w:hAnsi="仿宋" w:eastAsia="仿宋"/>
          <w:color w:val="auto"/>
        </w:rPr>
        <w:t>7</w:t>
      </w:r>
      <w:r>
        <w:rPr>
          <w:rFonts w:ascii="仿宋" w:hAnsi="仿宋" w:eastAsia="仿宋"/>
          <w:color w:val="auto"/>
        </w:rPr>
        <w:t>0</w:t>
      </w:r>
      <w:r>
        <w:rPr>
          <w:rFonts w:hint="eastAsia" w:ascii="仿宋" w:hAnsi="仿宋" w:eastAsia="仿宋"/>
          <w:color w:val="auto"/>
        </w:rPr>
        <w:t>－</w:t>
      </w:r>
      <w:r>
        <w:rPr>
          <w:rFonts w:ascii="仿宋" w:hAnsi="仿宋" w:eastAsia="仿宋"/>
          <w:color w:val="auto"/>
        </w:rPr>
        <w:t>90分</w:t>
      </w:r>
      <w:r>
        <w:rPr>
          <w:rFonts w:hint="eastAsia" w:ascii="仿宋" w:hAnsi="仿宋" w:eastAsia="仿宋"/>
          <w:color w:val="auto"/>
        </w:rPr>
        <w:t>（</w:t>
      </w:r>
      <w:r>
        <w:rPr>
          <w:rFonts w:ascii="仿宋" w:hAnsi="仿宋" w:eastAsia="仿宋"/>
          <w:color w:val="auto"/>
        </w:rPr>
        <w:t>不含）</w:t>
      </w:r>
      <w:r>
        <w:rPr>
          <w:rFonts w:hint="eastAsia" w:ascii="仿宋" w:hAnsi="仿宋" w:eastAsia="仿宋"/>
          <w:color w:val="auto"/>
        </w:rPr>
        <w:t>以下</w:t>
      </w:r>
      <w:r>
        <w:rPr>
          <w:rFonts w:ascii="仿宋" w:hAnsi="仿宋" w:eastAsia="仿宋"/>
          <w:color w:val="auto"/>
        </w:rPr>
        <w:t>，</w:t>
      </w:r>
      <w:r>
        <w:rPr>
          <w:rFonts w:hint="eastAsia" w:ascii="仿宋" w:hAnsi="仿宋" w:eastAsia="仿宋"/>
          <w:color w:val="auto"/>
        </w:rPr>
        <w:t>县住建</w:t>
      </w:r>
      <w:r>
        <w:rPr>
          <w:rFonts w:ascii="仿宋" w:hAnsi="仿宋" w:eastAsia="仿宋"/>
          <w:color w:val="auto"/>
        </w:rPr>
        <w:t>局或政府指定机构有权</w:t>
      </w:r>
      <w:r>
        <w:rPr>
          <w:rFonts w:hint="eastAsia" w:ascii="仿宋" w:hAnsi="仿宋" w:eastAsia="仿宋"/>
          <w:color w:val="auto"/>
        </w:rPr>
        <w:t>按下列公司</w:t>
      </w:r>
      <w:r>
        <w:rPr>
          <w:rFonts w:ascii="仿宋" w:hAnsi="仿宋" w:eastAsia="仿宋"/>
          <w:color w:val="auto"/>
        </w:rPr>
        <w:t>兑取移交维修保函项下金额作为移交违约金；</w:t>
      </w:r>
    </w:p>
    <w:p>
      <w:pPr>
        <w:pStyle w:val="11"/>
        <w:spacing w:before="0" w:after="0" w:line="520" w:lineRule="exact"/>
        <w:ind w:firstLine="482"/>
        <w:rPr>
          <w:rFonts w:ascii="仿宋" w:hAnsi="仿宋" w:eastAsia="仿宋"/>
          <w:color w:val="auto"/>
        </w:rPr>
      </w:pPr>
      <w:r>
        <w:rPr>
          <w:rFonts w:ascii="仿宋" w:hAnsi="仿宋" w:eastAsia="仿宋"/>
          <w:color w:val="auto"/>
        </w:rPr>
        <w:t>移交违约金=（90-</w:t>
      </w:r>
      <w:r>
        <w:rPr>
          <w:rFonts w:hint="eastAsia" w:ascii="仿宋" w:hAnsi="仿宋" w:eastAsia="仿宋"/>
          <w:color w:val="auto"/>
        </w:rPr>
        <w:t>移交</w:t>
      </w:r>
      <w:r>
        <w:rPr>
          <w:rFonts w:ascii="仿宋" w:hAnsi="仿宋" w:eastAsia="仿宋"/>
          <w:color w:val="auto"/>
        </w:rPr>
        <w:t>绩效考核得分）/100×</w:t>
      </w:r>
      <w:r>
        <w:rPr>
          <w:rFonts w:hint="eastAsia" w:ascii="仿宋" w:hAnsi="仿宋" w:eastAsia="仿宋"/>
          <w:color w:val="auto"/>
        </w:rPr>
        <w:t>移交维修保函金额</w:t>
      </w:r>
    </w:p>
    <w:p>
      <w:pPr>
        <w:pStyle w:val="11"/>
        <w:spacing w:before="0" w:after="0" w:line="520" w:lineRule="exact"/>
        <w:ind w:firstLine="482"/>
        <w:rPr>
          <w:rFonts w:ascii="仿宋" w:hAnsi="仿宋" w:eastAsia="仿宋"/>
          <w:color w:val="auto"/>
        </w:rPr>
      </w:pPr>
      <w:r>
        <w:rPr>
          <w:rFonts w:hint="eastAsia" w:ascii="仿宋" w:hAnsi="仿宋" w:eastAsia="仿宋"/>
          <w:color w:val="auto"/>
        </w:rPr>
        <w:t>资产完好率过低</w:t>
      </w:r>
      <w:r>
        <w:rPr>
          <w:rFonts w:ascii="仿宋" w:hAnsi="仿宋" w:eastAsia="仿宋"/>
          <w:color w:val="auto"/>
        </w:rPr>
        <w:t>，</w:t>
      </w:r>
      <w:r>
        <w:rPr>
          <w:rFonts w:hint="eastAsia" w:ascii="仿宋" w:hAnsi="仿宋" w:eastAsia="仿宋"/>
          <w:color w:val="auto"/>
        </w:rPr>
        <w:t>移交违约金不能覆盖资产恢复性大修支出的，缺口部分由政府方在移交保函剩余部分中提取进行弥补</w:t>
      </w:r>
      <w:r>
        <w:rPr>
          <w:rFonts w:ascii="仿宋" w:hAnsi="仿宋" w:eastAsia="仿宋"/>
          <w:color w:val="auto"/>
        </w:rPr>
        <w:t>。</w:t>
      </w:r>
    </w:p>
    <w:p>
      <w:pPr>
        <w:pStyle w:val="11"/>
        <w:spacing w:before="0" w:after="0" w:line="520" w:lineRule="exact"/>
        <w:ind w:firstLine="482"/>
        <w:rPr>
          <w:rFonts w:ascii="仿宋" w:hAnsi="仿宋" w:eastAsia="仿宋"/>
          <w:color w:val="auto"/>
        </w:rPr>
      </w:pPr>
      <w:r>
        <w:rPr>
          <w:rFonts w:ascii="仿宋" w:hAnsi="仿宋" w:eastAsia="仿宋"/>
          <w:color w:val="auto"/>
        </w:rPr>
        <w:t>移交违约金的支付不免除项目公司（社会资本方）的相关权利及义务。</w:t>
      </w:r>
    </w:p>
    <w:p>
      <w:pPr>
        <w:pStyle w:val="11"/>
        <w:spacing w:before="0" w:after="0" w:line="520" w:lineRule="exact"/>
        <w:ind w:firstLine="482"/>
        <w:rPr>
          <w:rFonts w:ascii="仿宋" w:hAnsi="仿宋" w:eastAsia="仿宋"/>
          <w:b/>
          <w:bCs/>
          <w:color w:val="auto"/>
        </w:rPr>
      </w:pPr>
      <w:r>
        <w:rPr>
          <w:rFonts w:hint="eastAsia" w:ascii="仿宋" w:hAnsi="仿宋" w:eastAsia="仿宋"/>
          <w:b/>
          <w:bCs/>
          <w:color w:val="auto"/>
        </w:rPr>
        <w:t>二、移交绩效体系及主要指标</w:t>
      </w:r>
    </w:p>
    <w:p>
      <w:pPr>
        <w:pStyle w:val="11"/>
        <w:spacing w:before="0" w:after="0" w:line="480" w:lineRule="exact"/>
        <w:rPr>
          <w:rFonts w:ascii="仿宋" w:hAnsi="仿宋" w:eastAsia="仿宋"/>
          <w:color w:val="auto"/>
        </w:rPr>
      </w:pPr>
    </w:p>
    <w:p>
      <w:pPr>
        <w:pStyle w:val="11"/>
        <w:spacing w:before="0" w:after="0" w:line="480" w:lineRule="exact"/>
        <w:rPr>
          <w:rFonts w:ascii="仿宋" w:hAnsi="仿宋" w:eastAsia="仿宋"/>
          <w:color w:val="auto"/>
        </w:rPr>
      </w:pPr>
    </w:p>
    <w:p>
      <w:pPr>
        <w:pStyle w:val="11"/>
        <w:spacing w:before="0" w:after="0" w:line="480" w:lineRule="exact"/>
        <w:rPr>
          <w:rFonts w:ascii="仿宋" w:hAnsi="仿宋" w:eastAsia="仿宋"/>
          <w:color w:val="auto"/>
        </w:rPr>
      </w:pPr>
    </w:p>
    <w:tbl>
      <w:tblPr>
        <w:tblStyle w:val="6"/>
        <w:tblW w:w="8191" w:type="dxa"/>
        <w:tblInd w:w="0" w:type="dxa"/>
        <w:tblLayout w:type="autofit"/>
        <w:tblCellMar>
          <w:top w:w="0" w:type="dxa"/>
          <w:left w:w="108" w:type="dxa"/>
          <w:bottom w:w="0" w:type="dxa"/>
          <w:right w:w="108" w:type="dxa"/>
        </w:tblCellMar>
      </w:tblPr>
      <w:tblGrid>
        <w:gridCol w:w="704"/>
        <w:gridCol w:w="1559"/>
        <w:gridCol w:w="5928"/>
      </w:tblGrid>
      <w:tr>
        <w:tblPrEx>
          <w:tblCellMar>
            <w:top w:w="0" w:type="dxa"/>
            <w:left w:w="108" w:type="dxa"/>
            <w:bottom w:w="0" w:type="dxa"/>
            <w:right w:w="108" w:type="dxa"/>
          </w:tblCellMar>
        </w:tblPrEx>
        <w:trPr>
          <w:trHeight w:val="620"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序号</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一级指标</w:t>
            </w:r>
          </w:p>
        </w:tc>
        <w:tc>
          <w:tcPr>
            <w:tcW w:w="592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主要指标</w:t>
            </w:r>
          </w:p>
        </w:tc>
      </w:tr>
      <w:tr>
        <w:tblPrEx>
          <w:tblCellMar>
            <w:top w:w="0" w:type="dxa"/>
            <w:left w:w="108" w:type="dxa"/>
            <w:bottom w:w="0" w:type="dxa"/>
            <w:right w:w="108" w:type="dxa"/>
          </w:tblCellMar>
        </w:tblPrEx>
        <w:trPr>
          <w:trHeight w:val="2055"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移交组织</w:t>
            </w:r>
          </w:p>
        </w:tc>
        <w:tc>
          <w:tcPr>
            <w:tcW w:w="5928" w:type="dxa"/>
            <w:tcBorders>
              <w:top w:val="nil"/>
              <w:left w:val="nil"/>
              <w:bottom w:val="single" w:color="auto" w:sz="4" w:space="0"/>
              <w:right w:val="single" w:color="auto" w:sz="4" w:space="0"/>
            </w:tcBorders>
            <w:shd w:val="clear" w:color="auto" w:fill="auto"/>
            <w:vAlign w:val="center"/>
          </w:tcPr>
          <w:p>
            <w:pPr>
              <w:adjustRightInd w:val="0"/>
              <w:snapToGrid w:val="0"/>
              <w:spacing w:line="600" w:lineRule="exact"/>
              <w:rPr>
                <w:rFonts w:ascii="仿宋" w:hAnsi="仿宋" w:eastAsia="仿宋" w:cs="宋体"/>
                <w:color w:val="000000"/>
                <w:kern w:val="0"/>
                <w:sz w:val="20"/>
                <w:szCs w:val="20"/>
              </w:rPr>
            </w:pPr>
            <w:r>
              <w:rPr>
                <w:rFonts w:hint="eastAsia" w:ascii="仿宋" w:hAnsi="仿宋" w:eastAsia="仿宋" w:cs="宋体"/>
                <w:color w:val="000000"/>
                <w:szCs w:val="21"/>
              </w:rPr>
              <w:t>主要考核：1.移交程序是否符合PPP 项目合同约定，组织有序，保证移交工作顺利开展；2.员工是否得到妥善安置，员工合法权益得到保障，未发生劳动纠纷；3.项目公司及社会资本是否积极配合移交工作组开展工作，不得推诿扯皮、弄虚作假，保障移交工作按时完成。</w:t>
            </w:r>
          </w:p>
        </w:tc>
      </w:tr>
      <w:tr>
        <w:tblPrEx>
          <w:tblCellMar>
            <w:top w:w="0" w:type="dxa"/>
            <w:left w:w="108" w:type="dxa"/>
            <w:bottom w:w="0" w:type="dxa"/>
            <w:right w:w="108" w:type="dxa"/>
          </w:tblCellMar>
        </w:tblPrEx>
        <w:trPr>
          <w:trHeight w:val="2403" w:hRule="atLeast"/>
        </w:trPr>
        <w:tc>
          <w:tcPr>
            <w:tcW w:w="70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w:t>
            </w:r>
          </w:p>
        </w:tc>
        <w:tc>
          <w:tcPr>
            <w:tcW w:w="155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移交质量</w:t>
            </w:r>
          </w:p>
        </w:tc>
        <w:tc>
          <w:tcPr>
            <w:tcW w:w="5928" w:type="dxa"/>
            <w:tcBorders>
              <w:top w:val="nil"/>
              <w:left w:val="nil"/>
              <w:bottom w:val="single" w:color="auto" w:sz="4" w:space="0"/>
              <w:right w:val="single" w:color="auto" w:sz="4" w:space="0"/>
            </w:tcBorders>
            <w:shd w:val="clear" w:color="auto" w:fill="auto"/>
            <w:vAlign w:val="center"/>
          </w:tcPr>
          <w:p>
            <w:pPr>
              <w:adjustRightInd w:val="0"/>
              <w:snapToGrid w:val="0"/>
              <w:spacing w:line="600" w:lineRule="exact"/>
              <w:rPr>
                <w:rFonts w:ascii="仿宋" w:hAnsi="仿宋" w:eastAsia="仿宋" w:cs="宋体"/>
                <w:color w:val="000000"/>
                <w:szCs w:val="21"/>
              </w:rPr>
            </w:pPr>
            <w:r>
              <w:rPr>
                <w:rFonts w:hint="eastAsia" w:ascii="仿宋" w:hAnsi="仿宋" w:eastAsia="仿宋" w:cs="宋体"/>
                <w:color w:val="000000"/>
                <w:szCs w:val="21"/>
              </w:rPr>
              <w:t>主要考核：1.在移交日，所移交的项目设施是否处于良好的运营和使用状态，并且符合适用法律及PPP 项目合同规定的安全和环境保护等相关标准。2.所有与移交的设施、权益、文件等有关的负债、违约、侵权责任、抵押、质押等担保权益、产权约束或索赔权，是否均已全部清偿、赔偿或解除完毕。3.项目公司是否向县住建局或政府指定机构按P</w:t>
            </w:r>
            <w:r>
              <w:rPr>
                <w:rFonts w:ascii="仿宋" w:hAnsi="仿宋" w:eastAsia="仿宋" w:cs="宋体"/>
                <w:color w:val="000000"/>
                <w:szCs w:val="21"/>
              </w:rPr>
              <w:t>PP</w:t>
            </w:r>
            <w:r>
              <w:rPr>
                <w:rFonts w:hint="eastAsia" w:ascii="仿宋" w:hAnsi="仿宋" w:eastAsia="仿宋" w:cs="宋体"/>
                <w:color w:val="000000"/>
                <w:szCs w:val="21"/>
              </w:rPr>
              <w:t>合同约定无偿移交项目设施正常运行</w:t>
            </w:r>
            <w:r>
              <w:rPr>
                <w:rFonts w:ascii="仿宋" w:hAnsi="仿宋" w:eastAsia="仿宋" w:cs="宋体"/>
                <w:color w:val="000000"/>
                <w:szCs w:val="21"/>
              </w:rPr>
              <w:t>12</w:t>
            </w:r>
            <w:r>
              <w:rPr>
                <w:rFonts w:hint="eastAsia" w:ascii="仿宋" w:hAnsi="仿宋" w:eastAsia="仿宋" w:cs="宋体"/>
                <w:color w:val="000000"/>
                <w:szCs w:val="21"/>
              </w:rPr>
              <w:t>个月所需要的药剂、消耗性备件和事故抢修的零备件及清单。</w:t>
            </w:r>
          </w:p>
        </w:tc>
      </w:tr>
      <w:tr>
        <w:tblPrEx>
          <w:tblCellMar>
            <w:top w:w="0" w:type="dxa"/>
            <w:left w:w="108" w:type="dxa"/>
            <w:bottom w:w="0" w:type="dxa"/>
            <w:right w:w="108" w:type="dxa"/>
          </w:tblCellMar>
        </w:tblPrEx>
        <w:trPr>
          <w:trHeight w:val="1250" w:hRule="atLeast"/>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928" w:type="dxa"/>
            <w:tcBorders>
              <w:top w:val="nil"/>
              <w:left w:val="nil"/>
              <w:bottom w:val="single" w:color="auto" w:sz="4" w:space="0"/>
              <w:right w:val="single" w:color="auto" w:sz="4" w:space="0"/>
            </w:tcBorders>
            <w:shd w:val="clear" w:color="auto" w:fill="auto"/>
            <w:vAlign w:val="center"/>
          </w:tcPr>
          <w:p>
            <w:pPr>
              <w:adjustRightInd w:val="0"/>
              <w:snapToGrid w:val="0"/>
              <w:spacing w:line="600" w:lineRule="exact"/>
              <w:rPr>
                <w:rFonts w:ascii="仿宋" w:hAnsi="仿宋" w:eastAsia="仿宋" w:cs="宋体"/>
                <w:color w:val="000000"/>
                <w:szCs w:val="21"/>
              </w:rPr>
            </w:pPr>
            <w:r>
              <w:rPr>
                <w:rFonts w:hint="eastAsia" w:ascii="仿宋" w:hAnsi="仿宋" w:eastAsia="仿宋" w:cs="宋体"/>
                <w:color w:val="000000"/>
                <w:szCs w:val="21"/>
              </w:rPr>
              <w:t>主要考核:在移交日，污水处理厂关键性设备的整体完好率、其他设备的整体完好率、污水处理厂厂内房屋建筑物及构筑物资产完好程序。</w:t>
            </w:r>
            <w:bookmarkStart w:id="6" w:name="_GoBack"/>
            <w:bookmarkEnd w:id="6"/>
          </w:p>
        </w:tc>
      </w:tr>
      <w:tr>
        <w:tblPrEx>
          <w:tblCellMar>
            <w:top w:w="0" w:type="dxa"/>
            <w:left w:w="108" w:type="dxa"/>
            <w:bottom w:w="0" w:type="dxa"/>
            <w:right w:w="108" w:type="dxa"/>
          </w:tblCellMar>
        </w:tblPrEx>
        <w:trPr>
          <w:trHeight w:val="105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移交进度</w:t>
            </w:r>
          </w:p>
        </w:tc>
        <w:tc>
          <w:tcPr>
            <w:tcW w:w="5928" w:type="dxa"/>
            <w:tcBorders>
              <w:top w:val="nil"/>
              <w:left w:val="nil"/>
              <w:bottom w:val="single" w:color="auto" w:sz="4" w:space="0"/>
              <w:right w:val="single" w:color="auto" w:sz="4" w:space="0"/>
            </w:tcBorders>
            <w:shd w:val="clear" w:color="auto" w:fill="auto"/>
            <w:vAlign w:val="center"/>
          </w:tcPr>
          <w:p>
            <w:pPr>
              <w:adjustRightInd w:val="0"/>
              <w:snapToGrid w:val="0"/>
              <w:spacing w:line="600" w:lineRule="exact"/>
              <w:rPr>
                <w:rFonts w:ascii="仿宋" w:hAnsi="仿宋" w:eastAsia="仿宋" w:cs="宋体"/>
                <w:color w:val="000000"/>
                <w:szCs w:val="21"/>
              </w:rPr>
            </w:pPr>
            <w:r>
              <w:rPr>
                <w:rFonts w:hint="eastAsia" w:ascii="仿宋" w:hAnsi="仿宋" w:eastAsia="仿宋" w:cs="宋体"/>
                <w:color w:val="000000"/>
                <w:szCs w:val="21"/>
              </w:rPr>
              <w:t>主要考核：移交进度符合PPP项目合同约定，移交工作按时完成</w:t>
            </w:r>
          </w:p>
        </w:tc>
      </w:tr>
    </w:tbl>
    <w:p>
      <w:pPr>
        <w:rPr>
          <w:rFonts w:asciiTheme="minorEastAsia" w:hAnsiTheme="minorEastAsia" w:eastAsiaTheme="minorEastAsia" w:cstheme="minorBidi"/>
          <w:bCs/>
          <w:kern w:val="0"/>
          <w:sz w:val="28"/>
          <w:szCs w:val="28"/>
        </w:rPr>
      </w:pPr>
    </w:p>
    <w:p>
      <w:pPr>
        <w:pStyle w:val="11"/>
        <w:spacing w:before="0" w:after="0" w:line="480" w:lineRule="exact"/>
        <w:rPr>
          <w:b/>
          <w:color w:val="auto"/>
          <w:lang w:val="en-US"/>
        </w:rPr>
      </w:pPr>
    </w:p>
    <w:p>
      <w:pPr>
        <w:pStyle w:val="11"/>
        <w:spacing w:before="0" w:after="0" w:line="480" w:lineRule="exact"/>
        <w:rPr>
          <w:b/>
          <w:color w:val="auto"/>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AC"/>
    <w:rsid w:val="000117C8"/>
    <w:rsid w:val="00255BAC"/>
    <w:rsid w:val="0033679F"/>
    <w:rsid w:val="00376831"/>
    <w:rsid w:val="003D6853"/>
    <w:rsid w:val="00557BFF"/>
    <w:rsid w:val="00610C59"/>
    <w:rsid w:val="006D7673"/>
    <w:rsid w:val="00722B31"/>
    <w:rsid w:val="00815BBB"/>
    <w:rsid w:val="008C05AC"/>
    <w:rsid w:val="00903924"/>
    <w:rsid w:val="00903F97"/>
    <w:rsid w:val="00B7589A"/>
    <w:rsid w:val="00B914CA"/>
    <w:rsid w:val="00E30D37"/>
    <w:rsid w:val="51C26000"/>
    <w:rsid w:val="70932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style>
  <w:style w:type="paragraph" w:styleId="3">
    <w:name w:val="Balloon Text"/>
    <w:basedOn w:val="1"/>
    <w:link w:val="9"/>
    <w:semiHidden/>
    <w:unhideWhenUsed/>
    <w:qFormat/>
    <w:uiPriority w:val="99"/>
    <w:rPr>
      <w:rFonts w:asciiTheme="minorHAnsi" w:hAnsiTheme="minorHAnsi" w:eastAsiaTheme="minorEastAsia" w:cstheme="minorBidi"/>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annotation reference"/>
    <w:basedOn w:val="7"/>
    <w:qFormat/>
    <w:uiPriority w:val="0"/>
    <w:rPr>
      <w:sz w:val="21"/>
      <w:szCs w:val="21"/>
    </w:rPr>
  </w:style>
  <w:style w:type="character" w:customStyle="1" w:styleId="9">
    <w:name w:val="批注框文本 字符"/>
    <w:basedOn w:val="7"/>
    <w:link w:val="3"/>
    <w:semiHidden/>
    <w:qFormat/>
    <w:uiPriority w:val="99"/>
    <w:rPr>
      <w:sz w:val="18"/>
      <w:szCs w:val="18"/>
    </w:rPr>
  </w:style>
  <w:style w:type="character" w:customStyle="1" w:styleId="10">
    <w:name w:val="1234 Char"/>
    <w:link w:val="11"/>
    <w:qFormat/>
    <w:uiPriority w:val="0"/>
    <w:rPr>
      <w:rFonts w:ascii="宋体" w:hAnsi="宋体" w:cs="宋体"/>
      <w:color w:val="000000"/>
      <w:kern w:val="1"/>
      <w:sz w:val="24"/>
      <w:szCs w:val="24"/>
      <w:lang w:val="zh-CN"/>
    </w:rPr>
  </w:style>
  <w:style w:type="paragraph" w:customStyle="1" w:styleId="11">
    <w:name w:val="1234"/>
    <w:basedOn w:val="1"/>
    <w:link w:val="10"/>
    <w:qFormat/>
    <w:uiPriority w:val="0"/>
    <w:pPr>
      <w:spacing w:before="60" w:after="60" w:line="360" w:lineRule="auto"/>
      <w:ind w:firstLine="480"/>
    </w:pPr>
    <w:rPr>
      <w:rFonts w:ascii="宋体" w:hAnsi="宋体" w:cs="宋体" w:eastAsiaTheme="minorEastAsia"/>
      <w:color w:val="000000"/>
      <w:kern w:val="1"/>
      <w:sz w:val="24"/>
      <w:lang w:val="zh-CN"/>
    </w:rPr>
  </w:style>
  <w:style w:type="character" w:customStyle="1" w:styleId="12">
    <w:name w:val="批注文字 字符"/>
    <w:basedOn w:val="7"/>
    <w:link w:val="2"/>
    <w:qFormat/>
    <w:uiPriority w:val="0"/>
    <w:rPr>
      <w:rFonts w:ascii="Calibri" w:hAnsi="Calibri" w:eastAsia="宋体" w:cs="Times New Roman"/>
      <w:szCs w:val="24"/>
    </w:rPr>
  </w:style>
  <w:style w:type="character" w:customStyle="1" w:styleId="13">
    <w:name w:val="页眉 字符"/>
    <w:basedOn w:val="7"/>
    <w:link w:val="5"/>
    <w:qFormat/>
    <w:uiPriority w:val="0"/>
    <w:rPr>
      <w:sz w:val="18"/>
      <w:szCs w:val="18"/>
    </w:rPr>
  </w:style>
  <w:style w:type="character" w:customStyle="1" w:styleId="14">
    <w:name w:val="页脚 字符"/>
    <w:basedOn w:val="7"/>
    <w:link w:val="4"/>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789</Words>
  <Characters>4498</Characters>
  <Lines>37</Lines>
  <Paragraphs>10</Paragraphs>
  <TotalTime>72</TotalTime>
  <ScaleCrop>false</ScaleCrop>
  <LinksUpToDate>false</LinksUpToDate>
  <CharactersWithSpaces>5277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2020-11-04T06:35:00Z</dcterms:created>
  <dc:creator>国众联－陈艳华</dc:creator>
  <cp:lastModifiedBy>晴日月明</cp:lastModifiedBy>
  <dcterms:modified xsi:type="dcterms:W3CDTF">2020-11-13T08:53:57Z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