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b/>
          <w:sz w:val="40"/>
          <w:lang w:val="en-US" w:eastAsia="zh-CN"/>
        </w:rPr>
      </w:pPr>
      <w:r>
        <w:rPr>
          <w:rFonts w:hint="eastAsia" w:ascii="仿宋" w:hAnsi="仿宋" w:eastAsia="仿宋"/>
          <w:b/>
          <w:sz w:val="40"/>
          <w:lang w:val="en-US" w:eastAsia="zh-CN"/>
        </w:rPr>
        <w:t xml:space="preserve"> </w:t>
      </w:r>
      <w:bookmarkStart w:id="88" w:name="_GoBack"/>
      <w:bookmarkEnd w:id="88"/>
    </w:p>
    <w:p>
      <w:pPr>
        <w:spacing w:line="360" w:lineRule="auto"/>
        <w:rPr>
          <w:rFonts w:ascii="仿宋" w:hAnsi="仿宋" w:eastAsia="仿宋"/>
          <w:b/>
          <w:sz w:val="40"/>
        </w:rPr>
      </w:pPr>
    </w:p>
    <w:p>
      <w:pPr>
        <w:tabs>
          <w:tab w:val="center" w:pos="3957"/>
        </w:tabs>
        <w:spacing w:before="156" w:beforeLines="50" w:after="156" w:afterLines="50"/>
        <w:ind w:right="391"/>
        <w:jc w:val="center"/>
        <w:rPr>
          <w:rFonts w:ascii="仿宋" w:hAnsi="仿宋" w:eastAsia="仿宋"/>
          <w:b/>
          <w:sz w:val="56"/>
        </w:rPr>
      </w:pPr>
      <w:r>
        <w:rPr>
          <w:rFonts w:hint="eastAsia" w:ascii="仿宋" w:hAnsi="仿宋" w:eastAsia="仿宋"/>
          <w:b/>
          <w:sz w:val="56"/>
        </w:rPr>
        <w:t>苏州宿迁工业园区拓园发展项目</w:t>
      </w:r>
    </w:p>
    <w:p>
      <w:pPr>
        <w:spacing w:before="156" w:beforeLines="50" w:after="156" w:afterLines="50" w:line="360" w:lineRule="auto"/>
        <w:ind w:left="-17"/>
        <w:jc w:val="center"/>
        <w:rPr>
          <w:rFonts w:ascii="仿宋" w:hAnsi="仿宋" w:eastAsia="仿宋"/>
          <w:b/>
          <w:sz w:val="84"/>
          <w:szCs w:val="84"/>
        </w:rPr>
      </w:pPr>
    </w:p>
    <w:p>
      <w:pPr>
        <w:spacing w:before="156" w:beforeLines="50" w:after="156" w:afterLines="50" w:line="360" w:lineRule="auto"/>
        <w:ind w:left="-17"/>
        <w:jc w:val="center"/>
        <w:rPr>
          <w:rFonts w:ascii="仿宋" w:hAnsi="仿宋" w:eastAsia="仿宋"/>
          <w:b/>
          <w:sz w:val="62"/>
        </w:rPr>
      </w:pPr>
      <w:r>
        <w:rPr>
          <w:rFonts w:hint="eastAsia" w:ascii="仿宋" w:hAnsi="仿宋" w:eastAsia="仿宋"/>
          <w:b/>
          <w:sz w:val="66"/>
        </w:rPr>
        <w:t>投资合作协议</w:t>
      </w:r>
      <w:r>
        <w:rPr>
          <w:rFonts w:ascii="仿宋" w:hAnsi="仿宋" w:eastAsia="仿宋"/>
          <w:b/>
          <w:sz w:val="62"/>
        </w:rPr>
        <w:t xml:space="preserve"> </w:t>
      </w:r>
    </w:p>
    <w:p>
      <w:pPr>
        <w:spacing w:before="156" w:beforeLines="50" w:after="156" w:afterLines="50"/>
        <w:ind w:right="391"/>
        <w:jc w:val="center"/>
        <w:rPr>
          <w:rFonts w:ascii="仿宋" w:hAnsi="仿宋" w:eastAsia="仿宋"/>
          <w:b/>
          <w:bCs/>
          <w:sz w:val="36"/>
        </w:rPr>
      </w:pPr>
    </w:p>
    <w:p>
      <w:pPr>
        <w:spacing w:before="156" w:beforeLines="50" w:after="156" w:afterLines="50"/>
        <w:ind w:right="391"/>
        <w:jc w:val="center"/>
        <w:rPr>
          <w:rFonts w:ascii="仿宋" w:hAnsi="仿宋" w:eastAsia="仿宋"/>
          <w:b/>
          <w:bCs/>
          <w:sz w:val="36"/>
        </w:rPr>
      </w:pPr>
    </w:p>
    <w:p>
      <w:pPr>
        <w:spacing w:before="156" w:beforeLines="50" w:after="156" w:afterLines="50"/>
        <w:ind w:right="391"/>
        <w:jc w:val="center"/>
        <w:rPr>
          <w:rFonts w:ascii="仿宋" w:hAnsi="仿宋" w:eastAsia="仿宋"/>
          <w:b/>
          <w:bCs/>
          <w:sz w:val="36"/>
        </w:rPr>
      </w:pPr>
    </w:p>
    <w:p>
      <w:pPr>
        <w:spacing w:before="156" w:beforeLines="50" w:after="156" w:afterLines="50"/>
        <w:ind w:right="391"/>
        <w:jc w:val="center"/>
        <w:rPr>
          <w:rFonts w:ascii="仿宋" w:hAnsi="仿宋" w:eastAsia="仿宋"/>
          <w:b/>
          <w:bCs/>
          <w:sz w:val="36"/>
        </w:rPr>
      </w:pPr>
    </w:p>
    <w:p>
      <w:pPr>
        <w:spacing w:before="156" w:beforeLines="50" w:after="156" w:afterLines="50"/>
        <w:ind w:right="391"/>
        <w:jc w:val="center"/>
        <w:rPr>
          <w:rFonts w:ascii="仿宋" w:hAnsi="仿宋" w:eastAsia="仿宋"/>
          <w:b/>
          <w:bCs/>
          <w:sz w:val="36"/>
        </w:rPr>
      </w:pPr>
    </w:p>
    <w:p>
      <w:pPr>
        <w:spacing w:before="31" w:beforeLines="10" w:after="31" w:afterLines="10"/>
        <w:ind w:firstLine="206" w:firstLineChars="64"/>
        <w:jc w:val="center"/>
        <w:rPr>
          <w:rFonts w:ascii="仿宋" w:hAnsi="仿宋" w:eastAsia="仿宋"/>
          <w:b/>
          <w:bCs/>
          <w:sz w:val="32"/>
        </w:rPr>
      </w:pPr>
    </w:p>
    <w:tbl>
      <w:tblPr>
        <w:tblStyle w:val="22"/>
        <w:tblW w:w="0" w:type="auto"/>
        <w:jc w:val="center"/>
        <w:tblLayout w:type="fixed"/>
        <w:tblCellMar>
          <w:top w:w="0" w:type="dxa"/>
          <w:left w:w="108" w:type="dxa"/>
          <w:bottom w:w="0" w:type="dxa"/>
          <w:right w:w="108" w:type="dxa"/>
        </w:tblCellMar>
      </w:tblPr>
      <w:tblGrid>
        <w:gridCol w:w="7784"/>
      </w:tblGrid>
      <w:tr>
        <w:tblPrEx>
          <w:tblCellMar>
            <w:top w:w="0" w:type="dxa"/>
            <w:left w:w="108" w:type="dxa"/>
            <w:bottom w:w="0" w:type="dxa"/>
            <w:right w:w="108" w:type="dxa"/>
          </w:tblCellMar>
        </w:tblPrEx>
        <w:trPr>
          <w:trHeight w:val="664" w:hRule="atLeast"/>
          <w:jc w:val="center"/>
        </w:trPr>
        <w:tc>
          <w:tcPr>
            <w:tcW w:w="7784" w:type="dxa"/>
          </w:tcPr>
          <w:p>
            <w:pPr>
              <w:widowControl/>
              <w:jc w:val="center"/>
              <w:rPr>
                <w:rFonts w:ascii="仿宋" w:hAnsi="仿宋" w:eastAsia="仿宋"/>
                <w:b/>
                <w:sz w:val="40"/>
                <w:szCs w:val="44"/>
              </w:rPr>
            </w:pPr>
            <w:r>
              <w:rPr>
                <w:rFonts w:hint="eastAsia" w:ascii="仿宋" w:hAnsi="仿宋" w:eastAsia="仿宋"/>
                <w:b/>
                <w:sz w:val="32"/>
                <w:szCs w:val="44"/>
              </w:rPr>
              <w:t>苏州宿迁工业园区规划建设局</w:t>
            </w:r>
          </w:p>
        </w:tc>
      </w:tr>
      <w:tr>
        <w:tblPrEx>
          <w:tblCellMar>
            <w:top w:w="0" w:type="dxa"/>
            <w:left w:w="108" w:type="dxa"/>
            <w:bottom w:w="0" w:type="dxa"/>
            <w:right w:w="108" w:type="dxa"/>
          </w:tblCellMar>
        </w:tblPrEx>
        <w:trPr>
          <w:trHeight w:val="664" w:hRule="atLeast"/>
          <w:jc w:val="center"/>
        </w:trPr>
        <w:tc>
          <w:tcPr>
            <w:tcW w:w="7784" w:type="dxa"/>
          </w:tcPr>
          <w:p>
            <w:pPr>
              <w:widowControl/>
              <w:jc w:val="center"/>
              <w:rPr>
                <w:rFonts w:ascii="仿宋" w:hAnsi="仿宋" w:eastAsia="仿宋"/>
                <w:b/>
                <w:sz w:val="32"/>
                <w:szCs w:val="44"/>
              </w:rPr>
            </w:pPr>
            <w:r>
              <w:rPr>
                <w:rFonts w:hint="eastAsia" w:ascii="仿宋" w:hAnsi="仿宋" w:eastAsia="仿宋"/>
                <w:b/>
                <w:sz w:val="32"/>
                <w:szCs w:val="44"/>
              </w:rPr>
              <w:t>【中标社会资本】</w:t>
            </w:r>
          </w:p>
        </w:tc>
      </w:tr>
      <w:tr>
        <w:tblPrEx>
          <w:tblCellMar>
            <w:top w:w="0" w:type="dxa"/>
            <w:left w:w="108" w:type="dxa"/>
            <w:bottom w:w="0" w:type="dxa"/>
            <w:right w:w="108" w:type="dxa"/>
          </w:tblCellMar>
        </w:tblPrEx>
        <w:trPr>
          <w:trHeight w:val="664" w:hRule="atLeast"/>
          <w:jc w:val="center"/>
        </w:trPr>
        <w:tc>
          <w:tcPr>
            <w:tcW w:w="7784" w:type="dxa"/>
          </w:tcPr>
          <w:p>
            <w:pPr>
              <w:widowControl/>
              <w:jc w:val="center"/>
              <w:rPr>
                <w:rFonts w:ascii="仿宋" w:hAnsi="仿宋" w:eastAsia="仿宋"/>
                <w:b/>
                <w:sz w:val="32"/>
                <w:szCs w:val="44"/>
              </w:rPr>
            </w:pPr>
          </w:p>
        </w:tc>
      </w:tr>
      <w:tr>
        <w:tblPrEx>
          <w:tblCellMar>
            <w:top w:w="0" w:type="dxa"/>
            <w:left w:w="108" w:type="dxa"/>
            <w:bottom w:w="0" w:type="dxa"/>
            <w:right w:w="108" w:type="dxa"/>
          </w:tblCellMar>
        </w:tblPrEx>
        <w:trPr>
          <w:trHeight w:val="681" w:hRule="atLeast"/>
          <w:jc w:val="center"/>
        </w:trPr>
        <w:tc>
          <w:tcPr>
            <w:tcW w:w="7784" w:type="dxa"/>
          </w:tcPr>
          <w:p>
            <w:pPr>
              <w:widowControl/>
              <w:jc w:val="center"/>
              <w:rPr>
                <w:rFonts w:ascii="仿宋" w:hAnsi="仿宋" w:eastAsia="仿宋"/>
                <w:b/>
                <w:sz w:val="32"/>
                <w:szCs w:val="44"/>
              </w:rPr>
            </w:pPr>
            <w:r>
              <w:rPr>
                <w:rFonts w:hint="eastAsia" w:ascii="仿宋" w:hAnsi="仿宋" w:eastAsia="仿宋"/>
                <w:b/>
                <w:sz w:val="32"/>
                <w:szCs w:val="44"/>
              </w:rPr>
              <w:t>年 月 日</w:t>
            </w:r>
          </w:p>
        </w:tc>
      </w:tr>
    </w:tbl>
    <w:p>
      <w:pPr>
        <w:rPr>
          <w:rFonts w:ascii="仿宋" w:hAnsi="仿宋" w:eastAsia="仿宋"/>
        </w:rPr>
      </w:pPr>
    </w:p>
    <w:p>
      <w:pPr>
        <w:rPr>
          <w:rFonts w:ascii="仿宋" w:hAnsi="仿宋" w:eastAsia="仿宋"/>
        </w:rPr>
        <w:sectPr>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color w:val="auto"/>
          <w:kern w:val="2"/>
          <w:sz w:val="21"/>
          <w:szCs w:val="22"/>
          <w:lang w:val="zh-CN"/>
        </w:rPr>
        <w:id w:val="392248188"/>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38"/>
            <w:jc w:val="center"/>
            <w:rPr>
              <w:rFonts w:ascii="仿宋" w:hAnsi="仿宋" w:eastAsia="仿宋"/>
              <w:color w:val="auto"/>
            </w:rPr>
          </w:pPr>
          <w:r>
            <w:rPr>
              <w:rFonts w:ascii="仿宋" w:hAnsi="仿宋" w:eastAsia="仿宋"/>
              <w:color w:val="auto"/>
              <w:lang w:val="zh-CN"/>
            </w:rPr>
            <w:t>目录</w:t>
          </w:r>
        </w:p>
        <w:p>
          <w:pPr>
            <w:pStyle w:val="18"/>
            <w:tabs>
              <w:tab w:val="right" w:leader="dot" w:pos="8296"/>
            </w:tabs>
          </w:pPr>
          <w:r>
            <w:rPr>
              <w:sz w:val="24"/>
              <w:szCs w:val="28"/>
            </w:rPr>
            <w:fldChar w:fldCharType="begin"/>
          </w:r>
          <w:r>
            <w:rPr>
              <w:sz w:val="24"/>
              <w:szCs w:val="28"/>
            </w:rPr>
            <w:instrText xml:space="preserve"> TOC \o "1-3" \h \z \u </w:instrText>
          </w:r>
          <w:r>
            <w:rPr>
              <w:sz w:val="24"/>
              <w:szCs w:val="28"/>
            </w:rPr>
            <w:fldChar w:fldCharType="separate"/>
          </w:r>
          <w:r>
            <w:fldChar w:fldCharType="begin"/>
          </w:r>
          <w:r>
            <w:instrText xml:space="preserve"> HYPERLINK \l "_Toc62570350" </w:instrText>
          </w:r>
          <w:r>
            <w:fldChar w:fldCharType="separate"/>
          </w:r>
          <w:r>
            <w:rPr>
              <w:rStyle w:val="24"/>
              <w:rFonts w:hint="eastAsia" w:ascii="仿宋" w:hAnsi="仿宋" w:eastAsia="仿宋"/>
            </w:rPr>
            <w:t>第一章</w:t>
          </w:r>
          <w:r>
            <w:rPr>
              <w:rStyle w:val="24"/>
              <w:rFonts w:ascii="仿宋" w:hAnsi="仿宋" w:eastAsia="仿宋"/>
            </w:rPr>
            <w:t xml:space="preserve"> </w:t>
          </w:r>
          <w:r>
            <w:rPr>
              <w:rStyle w:val="24"/>
              <w:rFonts w:hint="eastAsia" w:ascii="仿宋" w:hAnsi="仿宋" w:eastAsia="仿宋"/>
            </w:rPr>
            <w:t>引言、定义和解释</w:t>
          </w:r>
          <w:r>
            <w:tab/>
          </w:r>
          <w:r>
            <w:fldChar w:fldCharType="begin"/>
          </w:r>
          <w:r>
            <w:instrText xml:space="preserve"> PAGEREF _Toc62570350 \h </w:instrText>
          </w:r>
          <w:r>
            <w:fldChar w:fldCharType="separate"/>
          </w:r>
          <w:r>
            <w:t>1</w:t>
          </w:r>
          <w:r>
            <w:fldChar w:fldCharType="end"/>
          </w:r>
          <w:r>
            <w:fldChar w:fldCharType="end"/>
          </w:r>
        </w:p>
        <w:p>
          <w:pPr>
            <w:pStyle w:val="18"/>
            <w:tabs>
              <w:tab w:val="right" w:leader="dot" w:pos="8296"/>
            </w:tabs>
          </w:pPr>
          <w:r>
            <w:fldChar w:fldCharType="begin"/>
          </w:r>
          <w:r>
            <w:instrText xml:space="preserve"> HYPERLINK \l "_Toc62570351" </w:instrText>
          </w:r>
          <w:r>
            <w:fldChar w:fldCharType="separate"/>
          </w:r>
          <w:r>
            <w:rPr>
              <w:rStyle w:val="24"/>
              <w:rFonts w:hint="eastAsia" w:ascii="仿宋" w:hAnsi="仿宋" w:eastAsia="仿宋"/>
            </w:rPr>
            <w:t>第二章</w:t>
          </w:r>
          <w:r>
            <w:rPr>
              <w:rStyle w:val="24"/>
              <w:rFonts w:ascii="仿宋" w:hAnsi="仿宋" w:eastAsia="仿宋"/>
            </w:rPr>
            <w:t xml:space="preserve">  </w:t>
          </w:r>
          <w:r>
            <w:rPr>
              <w:rStyle w:val="24"/>
              <w:rFonts w:hint="eastAsia" w:ascii="仿宋" w:hAnsi="仿宋" w:eastAsia="仿宋"/>
            </w:rPr>
            <w:t>合作关系的建立</w:t>
          </w:r>
          <w:r>
            <w:tab/>
          </w:r>
          <w:r>
            <w:fldChar w:fldCharType="begin"/>
          </w:r>
          <w:r>
            <w:instrText xml:space="preserve"> PAGEREF _Toc62570351 \h </w:instrText>
          </w:r>
          <w:r>
            <w:fldChar w:fldCharType="separate"/>
          </w:r>
          <w:r>
            <w:t>4</w:t>
          </w:r>
          <w:r>
            <w:fldChar w:fldCharType="end"/>
          </w:r>
          <w:r>
            <w:fldChar w:fldCharType="end"/>
          </w:r>
        </w:p>
        <w:p>
          <w:pPr>
            <w:pStyle w:val="18"/>
            <w:tabs>
              <w:tab w:val="right" w:leader="dot" w:pos="8296"/>
            </w:tabs>
          </w:pPr>
          <w:r>
            <w:fldChar w:fldCharType="begin"/>
          </w:r>
          <w:r>
            <w:instrText xml:space="preserve"> HYPERLINK \l "_Toc62570352" </w:instrText>
          </w:r>
          <w:r>
            <w:fldChar w:fldCharType="separate"/>
          </w:r>
          <w:r>
            <w:rPr>
              <w:rStyle w:val="24"/>
              <w:rFonts w:hint="eastAsia" w:ascii="仿宋" w:hAnsi="仿宋" w:eastAsia="仿宋"/>
            </w:rPr>
            <w:t>第三章</w:t>
          </w:r>
          <w:r>
            <w:rPr>
              <w:rStyle w:val="24"/>
              <w:rFonts w:ascii="仿宋" w:hAnsi="仿宋" w:eastAsia="仿宋"/>
            </w:rPr>
            <w:t xml:space="preserve">  </w:t>
          </w:r>
          <w:r>
            <w:rPr>
              <w:rStyle w:val="24"/>
              <w:rFonts w:hint="eastAsia" w:ascii="仿宋" w:hAnsi="仿宋" w:eastAsia="仿宋"/>
            </w:rPr>
            <w:t>声明与保证</w:t>
          </w:r>
          <w:r>
            <w:tab/>
          </w:r>
          <w:r>
            <w:fldChar w:fldCharType="begin"/>
          </w:r>
          <w:r>
            <w:instrText xml:space="preserve"> PAGEREF _Toc62570352 \h </w:instrText>
          </w:r>
          <w:r>
            <w:fldChar w:fldCharType="separate"/>
          </w:r>
          <w:r>
            <w:t>7</w:t>
          </w:r>
          <w:r>
            <w:fldChar w:fldCharType="end"/>
          </w:r>
          <w:r>
            <w:fldChar w:fldCharType="end"/>
          </w:r>
        </w:p>
        <w:p>
          <w:pPr>
            <w:pStyle w:val="18"/>
            <w:tabs>
              <w:tab w:val="right" w:leader="dot" w:pos="8296"/>
            </w:tabs>
          </w:pPr>
          <w:r>
            <w:fldChar w:fldCharType="begin"/>
          </w:r>
          <w:r>
            <w:instrText xml:space="preserve"> HYPERLINK \l "_Toc62570353" </w:instrText>
          </w:r>
          <w:r>
            <w:fldChar w:fldCharType="separate"/>
          </w:r>
          <w:r>
            <w:rPr>
              <w:rStyle w:val="24"/>
              <w:rFonts w:hint="eastAsia" w:ascii="仿宋" w:hAnsi="仿宋" w:eastAsia="仿宋"/>
            </w:rPr>
            <w:t>第四章</w:t>
          </w:r>
          <w:r>
            <w:rPr>
              <w:rStyle w:val="24"/>
              <w:rFonts w:ascii="仿宋" w:hAnsi="仿宋" w:eastAsia="仿宋"/>
            </w:rPr>
            <w:t xml:space="preserve">  </w:t>
          </w:r>
          <w:r>
            <w:rPr>
              <w:rStyle w:val="24"/>
              <w:rFonts w:hint="eastAsia" w:ascii="仿宋" w:hAnsi="仿宋" w:eastAsia="仿宋"/>
            </w:rPr>
            <w:t>项目公司组建</w:t>
          </w:r>
          <w:r>
            <w:tab/>
          </w:r>
          <w:r>
            <w:fldChar w:fldCharType="begin"/>
          </w:r>
          <w:r>
            <w:instrText xml:space="preserve"> PAGEREF _Toc62570353 \h </w:instrText>
          </w:r>
          <w:r>
            <w:fldChar w:fldCharType="separate"/>
          </w:r>
          <w:r>
            <w:t>7</w:t>
          </w:r>
          <w:r>
            <w:fldChar w:fldCharType="end"/>
          </w:r>
          <w:r>
            <w:fldChar w:fldCharType="end"/>
          </w:r>
        </w:p>
        <w:p>
          <w:pPr>
            <w:pStyle w:val="18"/>
            <w:tabs>
              <w:tab w:val="right" w:leader="dot" w:pos="8296"/>
            </w:tabs>
          </w:pPr>
          <w:r>
            <w:fldChar w:fldCharType="begin"/>
          </w:r>
          <w:r>
            <w:instrText xml:space="preserve"> HYPERLINK \l "_Toc62570354" </w:instrText>
          </w:r>
          <w:r>
            <w:fldChar w:fldCharType="separate"/>
          </w:r>
          <w:r>
            <w:rPr>
              <w:rStyle w:val="24"/>
              <w:rFonts w:hint="eastAsia" w:ascii="仿宋" w:hAnsi="仿宋" w:eastAsia="仿宋"/>
            </w:rPr>
            <w:t>第五章</w:t>
          </w:r>
          <w:r>
            <w:rPr>
              <w:rStyle w:val="24"/>
              <w:rFonts w:ascii="仿宋" w:hAnsi="仿宋" w:eastAsia="仿宋"/>
            </w:rPr>
            <w:t xml:space="preserve">  </w:t>
          </w:r>
          <w:r>
            <w:rPr>
              <w:rStyle w:val="24"/>
              <w:rFonts w:hint="eastAsia" w:ascii="仿宋" w:hAnsi="仿宋" w:eastAsia="仿宋"/>
            </w:rPr>
            <w:t>权利和义务及双方承诺</w:t>
          </w:r>
          <w:r>
            <w:tab/>
          </w:r>
          <w:r>
            <w:fldChar w:fldCharType="begin"/>
          </w:r>
          <w:r>
            <w:instrText xml:space="preserve"> PAGEREF _Toc62570354 \h </w:instrText>
          </w:r>
          <w:r>
            <w:fldChar w:fldCharType="separate"/>
          </w:r>
          <w:r>
            <w:t>8</w:t>
          </w:r>
          <w:r>
            <w:fldChar w:fldCharType="end"/>
          </w:r>
          <w:r>
            <w:fldChar w:fldCharType="end"/>
          </w:r>
        </w:p>
        <w:p>
          <w:pPr>
            <w:pStyle w:val="18"/>
            <w:tabs>
              <w:tab w:val="right" w:leader="dot" w:pos="8296"/>
            </w:tabs>
          </w:pPr>
          <w:r>
            <w:fldChar w:fldCharType="begin"/>
          </w:r>
          <w:r>
            <w:instrText xml:space="preserve"> HYPERLINK \l "_Toc62570355" </w:instrText>
          </w:r>
          <w:r>
            <w:fldChar w:fldCharType="separate"/>
          </w:r>
          <w:r>
            <w:rPr>
              <w:rStyle w:val="24"/>
              <w:rFonts w:hint="eastAsia" w:ascii="仿宋" w:hAnsi="仿宋" w:eastAsia="仿宋"/>
            </w:rPr>
            <w:t>第六章</w:t>
          </w:r>
          <w:r>
            <w:rPr>
              <w:rStyle w:val="24"/>
              <w:rFonts w:ascii="仿宋" w:hAnsi="仿宋" w:eastAsia="仿宋"/>
            </w:rPr>
            <w:t xml:space="preserve">  </w:t>
          </w:r>
          <w:r>
            <w:rPr>
              <w:rStyle w:val="24"/>
              <w:rFonts w:hint="eastAsia" w:ascii="仿宋" w:hAnsi="仿宋" w:eastAsia="仿宋"/>
            </w:rPr>
            <w:t>履约保函</w:t>
          </w:r>
          <w:r>
            <w:tab/>
          </w:r>
          <w:r>
            <w:fldChar w:fldCharType="begin"/>
          </w:r>
          <w:r>
            <w:instrText xml:space="preserve"> PAGEREF _Toc62570355 \h </w:instrText>
          </w:r>
          <w:r>
            <w:fldChar w:fldCharType="separate"/>
          </w:r>
          <w:r>
            <w:t>11</w:t>
          </w:r>
          <w:r>
            <w:fldChar w:fldCharType="end"/>
          </w:r>
          <w:r>
            <w:fldChar w:fldCharType="end"/>
          </w:r>
        </w:p>
        <w:p>
          <w:pPr>
            <w:pStyle w:val="18"/>
            <w:tabs>
              <w:tab w:val="right" w:leader="dot" w:pos="8296"/>
            </w:tabs>
          </w:pPr>
          <w:r>
            <w:fldChar w:fldCharType="begin"/>
          </w:r>
          <w:r>
            <w:instrText xml:space="preserve"> HYPERLINK \l "_Toc62570356" </w:instrText>
          </w:r>
          <w:r>
            <w:fldChar w:fldCharType="separate"/>
          </w:r>
          <w:r>
            <w:rPr>
              <w:rStyle w:val="24"/>
              <w:rFonts w:hint="eastAsia" w:ascii="仿宋" w:hAnsi="仿宋" w:eastAsia="仿宋"/>
            </w:rPr>
            <w:t>第七章</w:t>
          </w:r>
          <w:r>
            <w:rPr>
              <w:rStyle w:val="24"/>
              <w:rFonts w:ascii="仿宋" w:hAnsi="仿宋" w:eastAsia="仿宋"/>
            </w:rPr>
            <w:t xml:space="preserve">  </w:t>
          </w:r>
          <w:r>
            <w:rPr>
              <w:rStyle w:val="24"/>
              <w:rFonts w:hint="eastAsia" w:ascii="仿宋" w:hAnsi="仿宋" w:eastAsia="仿宋"/>
            </w:rPr>
            <w:t>股权转让</w:t>
          </w:r>
          <w:r>
            <w:tab/>
          </w:r>
          <w:r>
            <w:fldChar w:fldCharType="begin"/>
          </w:r>
          <w:r>
            <w:instrText xml:space="preserve"> PAGEREF _Toc62570356 \h </w:instrText>
          </w:r>
          <w:r>
            <w:fldChar w:fldCharType="separate"/>
          </w:r>
          <w:r>
            <w:t>13</w:t>
          </w:r>
          <w:r>
            <w:fldChar w:fldCharType="end"/>
          </w:r>
          <w:r>
            <w:fldChar w:fldCharType="end"/>
          </w:r>
        </w:p>
        <w:p>
          <w:pPr>
            <w:pStyle w:val="18"/>
            <w:tabs>
              <w:tab w:val="right" w:leader="dot" w:pos="8296"/>
            </w:tabs>
          </w:pPr>
          <w:r>
            <w:fldChar w:fldCharType="begin"/>
          </w:r>
          <w:r>
            <w:instrText xml:space="preserve"> HYPERLINK \l "_Toc62570357" </w:instrText>
          </w:r>
          <w:r>
            <w:fldChar w:fldCharType="separate"/>
          </w:r>
          <w:r>
            <w:rPr>
              <w:rStyle w:val="24"/>
              <w:rFonts w:hint="eastAsia" w:ascii="仿宋" w:hAnsi="仿宋" w:eastAsia="仿宋"/>
            </w:rPr>
            <w:t>第八章</w:t>
          </w:r>
          <w:r>
            <w:rPr>
              <w:rStyle w:val="24"/>
              <w:rFonts w:ascii="仿宋" w:hAnsi="仿宋" w:eastAsia="仿宋"/>
            </w:rPr>
            <w:t xml:space="preserve">  </w:t>
          </w:r>
          <w:r>
            <w:rPr>
              <w:rStyle w:val="24"/>
              <w:rFonts w:hint="eastAsia" w:ascii="仿宋" w:hAnsi="仿宋" w:eastAsia="仿宋"/>
            </w:rPr>
            <w:t>违约责任</w:t>
          </w:r>
          <w:r>
            <w:tab/>
          </w:r>
          <w:r>
            <w:fldChar w:fldCharType="begin"/>
          </w:r>
          <w:r>
            <w:instrText xml:space="preserve"> PAGEREF _Toc62570357 \h </w:instrText>
          </w:r>
          <w:r>
            <w:fldChar w:fldCharType="separate"/>
          </w:r>
          <w:r>
            <w:t>14</w:t>
          </w:r>
          <w:r>
            <w:fldChar w:fldCharType="end"/>
          </w:r>
          <w:r>
            <w:fldChar w:fldCharType="end"/>
          </w:r>
        </w:p>
        <w:p>
          <w:pPr>
            <w:pStyle w:val="18"/>
            <w:tabs>
              <w:tab w:val="right" w:leader="dot" w:pos="8296"/>
            </w:tabs>
          </w:pPr>
          <w:r>
            <w:fldChar w:fldCharType="begin"/>
          </w:r>
          <w:r>
            <w:instrText xml:space="preserve"> HYPERLINK \l "_Toc62570358" </w:instrText>
          </w:r>
          <w:r>
            <w:fldChar w:fldCharType="separate"/>
          </w:r>
          <w:r>
            <w:rPr>
              <w:rStyle w:val="24"/>
              <w:rFonts w:hint="eastAsia" w:ascii="仿宋" w:hAnsi="仿宋" w:eastAsia="仿宋"/>
            </w:rPr>
            <w:t>第九章</w:t>
          </w:r>
          <w:r>
            <w:rPr>
              <w:rStyle w:val="24"/>
              <w:rFonts w:ascii="仿宋" w:hAnsi="仿宋" w:eastAsia="仿宋"/>
            </w:rPr>
            <w:t xml:space="preserve">  </w:t>
          </w:r>
          <w:r>
            <w:rPr>
              <w:rStyle w:val="24"/>
              <w:rFonts w:hint="eastAsia" w:ascii="仿宋" w:hAnsi="仿宋" w:eastAsia="仿宋"/>
            </w:rPr>
            <w:t>政府方介入权</w:t>
          </w:r>
          <w:r>
            <w:tab/>
          </w:r>
          <w:r>
            <w:fldChar w:fldCharType="begin"/>
          </w:r>
          <w:r>
            <w:instrText xml:space="preserve"> PAGEREF _Toc62570358 \h </w:instrText>
          </w:r>
          <w:r>
            <w:fldChar w:fldCharType="separate"/>
          </w:r>
          <w:r>
            <w:t>16</w:t>
          </w:r>
          <w:r>
            <w:fldChar w:fldCharType="end"/>
          </w:r>
          <w:r>
            <w:fldChar w:fldCharType="end"/>
          </w:r>
        </w:p>
        <w:p>
          <w:pPr>
            <w:pStyle w:val="18"/>
            <w:tabs>
              <w:tab w:val="right" w:leader="dot" w:pos="8296"/>
            </w:tabs>
          </w:pPr>
          <w:r>
            <w:fldChar w:fldCharType="begin"/>
          </w:r>
          <w:r>
            <w:instrText xml:space="preserve"> HYPERLINK \l "_Toc62570359" </w:instrText>
          </w:r>
          <w:r>
            <w:fldChar w:fldCharType="separate"/>
          </w:r>
          <w:r>
            <w:rPr>
              <w:rStyle w:val="24"/>
              <w:rFonts w:hint="eastAsia" w:ascii="仿宋" w:hAnsi="仿宋" w:eastAsia="仿宋"/>
            </w:rPr>
            <w:t>第十章</w:t>
          </w:r>
          <w:r>
            <w:rPr>
              <w:rStyle w:val="24"/>
              <w:rFonts w:ascii="仿宋" w:hAnsi="仿宋" w:eastAsia="仿宋"/>
            </w:rPr>
            <w:t xml:space="preserve">  </w:t>
          </w:r>
          <w:r>
            <w:rPr>
              <w:rStyle w:val="24"/>
              <w:rFonts w:hint="eastAsia" w:ascii="仿宋" w:hAnsi="仿宋" w:eastAsia="仿宋"/>
            </w:rPr>
            <w:t>不可抗力</w:t>
          </w:r>
          <w:r>
            <w:tab/>
          </w:r>
          <w:r>
            <w:fldChar w:fldCharType="begin"/>
          </w:r>
          <w:r>
            <w:instrText xml:space="preserve"> PAGEREF _Toc62570359 \h </w:instrText>
          </w:r>
          <w:r>
            <w:fldChar w:fldCharType="separate"/>
          </w:r>
          <w:r>
            <w:t>19</w:t>
          </w:r>
          <w:r>
            <w:fldChar w:fldCharType="end"/>
          </w:r>
          <w:r>
            <w:fldChar w:fldCharType="end"/>
          </w:r>
        </w:p>
        <w:p>
          <w:pPr>
            <w:pStyle w:val="18"/>
            <w:tabs>
              <w:tab w:val="right" w:leader="dot" w:pos="8296"/>
            </w:tabs>
          </w:pPr>
          <w:r>
            <w:fldChar w:fldCharType="begin"/>
          </w:r>
          <w:r>
            <w:instrText xml:space="preserve"> HYPERLINK \l "_Toc62570360" </w:instrText>
          </w:r>
          <w:r>
            <w:fldChar w:fldCharType="separate"/>
          </w:r>
          <w:r>
            <w:rPr>
              <w:rStyle w:val="24"/>
              <w:rFonts w:hint="eastAsia" w:ascii="仿宋" w:hAnsi="仿宋" w:eastAsia="仿宋"/>
            </w:rPr>
            <w:t>第十一章</w:t>
          </w:r>
          <w:r>
            <w:rPr>
              <w:rStyle w:val="24"/>
              <w:rFonts w:ascii="仿宋" w:hAnsi="仿宋" w:eastAsia="仿宋"/>
            </w:rPr>
            <w:t xml:space="preserve">  </w:t>
          </w:r>
          <w:r>
            <w:rPr>
              <w:rStyle w:val="24"/>
              <w:rFonts w:hint="eastAsia" w:ascii="仿宋" w:hAnsi="仿宋" w:eastAsia="仿宋"/>
            </w:rPr>
            <w:t>争议解决</w:t>
          </w:r>
          <w:r>
            <w:tab/>
          </w:r>
          <w:r>
            <w:fldChar w:fldCharType="begin"/>
          </w:r>
          <w:r>
            <w:instrText xml:space="preserve"> PAGEREF _Toc62570360 \h </w:instrText>
          </w:r>
          <w:r>
            <w:fldChar w:fldCharType="separate"/>
          </w:r>
          <w:r>
            <w:t>20</w:t>
          </w:r>
          <w:r>
            <w:fldChar w:fldCharType="end"/>
          </w:r>
          <w:r>
            <w:fldChar w:fldCharType="end"/>
          </w:r>
        </w:p>
        <w:p>
          <w:pPr>
            <w:pStyle w:val="18"/>
            <w:tabs>
              <w:tab w:val="right" w:leader="dot" w:pos="8296"/>
            </w:tabs>
          </w:pPr>
          <w:r>
            <w:fldChar w:fldCharType="begin"/>
          </w:r>
          <w:r>
            <w:instrText xml:space="preserve"> HYPERLINK \l "_Toc62570361" </w:instrText>
          </w:r>
          <w:r>
            <w:fldChar w:fldCharType="separate"/>
          </w:r>
          <w:r>
            <w:rPr>
              <w:rStyle w:val="24"/>
              <w:rFonts w:hint="eastAsia" w:ascii="仿宋" w:hAnsi="仿宋" w:eastAsia="仿宋"/>
            </w:rPr>
            <w:t>第十二章</w:t>
          </w:r>
          <w:r>
            <w:rPr>
              <w:rStyle w:val="24"/>
              <w:rFonts w:ascii="仿宋" w:hAnsi="仿宋" w:eastAsia="仿宋"/>
            </w:rPr>
            <w:t xml:space="preserve">  </w:t>
          </w:r>
          <w:r>
            <w:rPr>
              <w:rStyle w:val="24"/>
              <w:rFonts w:hint="eastAsia" w:ascii="仿宋" w:hAnsi="仿宋" w:eastAsia="仿宋"/>
            </w:rPr>
            <w:t>合同的生效</w:t>
          </w:r>
          <w:r>
            <w:tab/>
          </w:r>
          <w:r>
            <w:fldChar w:fldCharType="begin"/>
          </w:r>
          <w:r>
            <w:instrText xml:space="preserve"> PAGEREF _Toc62570361 \h </w:instrText>
          </w:r>
          <w:r>
            <w:fldChar w:fldCharType="separate"/>
          </w:r>
          <w:r>
            <w:t>20</w:t>
          </w:r>
          <w:r>
            <w:fldChar w:fldCharType="end"/>
          </w:r>
          <w:r>
            <w:fldChar w:fldCharType="end"/>
          </w:r>
        </w:p>
        <w:p>
          <w:pPr>
            <w:pStyle w:val="18"/>
            <w:tabs>
              <w:tab w:val="right" w:leader="dot" w:pos="8296"/>
            </w:tabs>
          </w:pPr>
          <w:r>
            <w:fldChar w:fldCharType="begin"/>
          </w:r>
          <w:r>
            <w:instrText xml:space="preserve"> HYPERLINK \l "_Toc62570362" </w:instrText>
          </w:r>
          <w:r>
            <w:fldChar w:fldCharType="separate"/>
          </w:r>
          <w:r>
            <w:rPr>
              <w:rStyle w:val="24"/>
              <w:rFonts w:hint="eastAsia" w:ascii="仿宋" w:hAnsi="仿宋" w:eastAsia="仿宋"/>
            </w:rPr>
            <w:t>第十三章</w:t>
          </w:r>
          <w:r>
            <w:rPr>
              <w:rStyle w:val="24"/>
              <w:rFonts w:ascii="仿宋" w:hAnsi="仿宋" w:eastAsia="仿宋"/>
            </w:rPr>
            <w:t xml:space="preserve">  </w:t>
          </w:r>
          <w:r>
            <w:rPr>
              <w:rStyle w:val="24"/>
              <w:rFonts w:hint="eastAsia" w:ascii="仿宋" w:hAnsi="仿宋" w:eastAsia="仿宋"/>
            </w:rPr>
            <w:t>其他事项</w:t>
          </w:r>
          <w:r>
            <w:tab/>
          </w:r>
          <w:r>
            <w:fldChar w:fldCharType="begin"/>
          </w:r>
          <w:r>
            <w:instrText xml:space="preserve"> PAGEREF _Toc62570362 \h </w:instrText>
          </w:r>
          <w:r>
            <w:fldChar w:fldCharType="separate"/>
          </w:r>
          <w:r>
            <w:t>20</w:t>
          </w:r>
          <w:r>
            <w:fldChar w:fldCharType="end"/>
          </w:r>
          <w:r>
            <w:fldChar w:fldCharType="end"/>
          </w:r>
        </w:p>
        <w:p>
          <w:r>
            <w:rPr>
              <w:b/>
              <w:bCs/>
              <w:sz w:val="24"/>
              <w:szCs w:val="28"/>
              <w:lang w:val="zh-CN"/>
            </w:rPr>
            <w:fldChar w:fldCharType="end"/>
          </w:r>
        </w:p>
      </w:sdtContent>
    </w:sdt>
    <w:p>
      <w:pPr>
        <w:rPr>
          <w:rFonts w:ascii="仿宋" w:hAnsi="仿宋" w:eastAsia="仿宋"/>
        </w:rPr>
      </w:pPr>
    </w:p>
    <w:p>
      <w:pPr>
        <w:rPr>
          <w:rFonts w:ascii="仿宋" w:hAnsi="仿宋" w:eastAsia="仿宋"/>
        </w:rPr>
      </w:pPr>
    </w:p>
    <w:p>
      <w:pPr>
        <w:rPr>
          <w:rFonts w:ascii="仿宋" w:hAnsi="仿宋" w:eastAsia="仿宋"/>
        </w:rPr>
        <w:sectPr>
          <w:pgSz w:w="11906" w:h="16838"/>
          <w:pgMar w:top="1440" w:right="1800" w:bottom="1440" w:left="1800" w:header="851" w:footer="992" w:gutter="0"/>
          <w:cols w:space="425" w:num="1"/>
          <w:docGrid w:type="lines" w:linePitch="312" w:charSpace="0"/>
        </w:sectPr>
      </w:pPr>
    </w:p>
    <w:p>
      <w:pPr>
        <w:pStyle w:val="3"/>
        <w:numPr>
          <w:ilvl w:val="0"/>
          <w:numId w:val="0"/>
        </w:numPr>
        <w:ind w:left="-576"/>
        <w:jc w:val="center"/>
        <w:rPr>
          <w:rFonts w:ascii="仿宋" w:hAnsi="仿宋" w:eastAsia="仿宋"/>
        </w:rPr>
      </w:pPr>
      <w:bookmarkStart w:id="0" w:name="_Toc62570350"/>
      <w:bookmarkStart w:id="1" w:name="_Toc23171"/>
      <w:r>
        <w:rPr>
          <w:rFonts w:hint="eastAsia" w:ascii="仿宋" w:hAnsi="仿宋" w:eastAsia="仿宋"/>
        </w:rPr>
        <w:t>第一章 引言、定义和解释</w:t>
      </w:r>
      <w:bookmarkEnd w:id="0"/>
      <w:bookmarkEnd w:id="1"/>
    </w:p>
    <w:p>
      <w:pPr>
        <w:spacing w:before="156" w:beforeLines="50" w:after="156" w:afterLines="50" w:line="300" w:lineRule="auto"/>
        <w:ind w:left="240" w:firstLine="482"/>
        <w:rPr>
          <w:rFonts w:ascii="仿宋" w:hAnsi="仿宋" w:eastAsia="仿宋" w:cs="仿宋"/>
          <w:b/>
          <w:sz w:val="24"/>
          <w:szCs w:val="24"/>
        </w:rPr>
      </w:pPr>
      <w:r>
        <w:rPr>
          <w:rFonts w:hint="eastAsia" w:ascii="仿宋" w:hAnsi="仿宋" w:eastAsia="仿宋" w:cs="仿宋"/>
          <w:b/>
          <w:sz w:val="24"/>
          <w:szCs w:val="24"/>
        </w:rPr>
        <w:t>本协议于【】年【】月【】日由下列双方在</w:t>
      </w:r>
      <w:r>
        <w:rPr>
          <w:rFonts w:hint="eastAsia" w:ascii="仿宋" w:hAnsi="仿宋" w:eastAsia="仿宋" w:cs="仿宋"/>
          <w:b/>
          <w:sz w:val="24"/>
          <w:szCs w:val="24"/>
          <w:u w:val="single"/>
        </w:rPr>
        <w:t>宿迁市</w:t>
      </w:r>
      <w:r>
        <w:rPr>
          <w:rFonts w:hint="eastAsia" w:ascii="仿宋" w:hAnsi="仿宋" w:eastAsia="仿宋" w:cs="仿宋"/>
          <w:b/>
          <w:sz w:val="24"/>
          <w:szCs w:val="24"/>
        </w:rPr>
        <w:t>签订：</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甲方：</w:t>
      </w:r>
      <w:r>
        <w:rPr>
          <w:rFonts w:hint="eastAsia" w:ascii="仿宋" w:hAnsi="仿宋" w:eastAsia="仿宋" w:cs="仿宋"/>
          <w:kern w:val="0"/>
          <w:sz w:val="24"/>
          <w:szCs w:val="24"/>
        </w:rPr>
        <w:t>苏州宿迁工业园区规划建设局</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地址：</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法定代表人：</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乙方：【中标社会资本方名称】</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地址：</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法定代表人：</w:t>
      </w:r>
    </w:p>
    <w:p>
      <w:pPr>
        <w:adjustRightInd w:val="0"/>
        <w:snapToGrid w:val="0"/>
        <w:spacing w:line="560" w:lineRule="exact"/>
        <w:ind w:firstLine="480"/>
        <w:rPr>
          <w:rFonts w:ascii="仿宋" w:hAnsi="仿宋" w:eastAsia="仿宋" w:cs="仿宋"/>
          <w:sz w:val="24"/>
          <w:szCs w:val="36"/>
        </w:rPr>
      </w:pPr>
      <w:r>
        <w:rPr>
          <w:rFonts w:hint="eastAsia" w:ascii="仿宋" w:hAnsi="仿宋" w:eastAsia="仿宋" w:cs="仿宋"/>
          <w:sz w:val="24"/>
          <w:szCs w:val="36"/>
        </w:rPr>
        <w:t>鉴于：</w:t>
      </w:r>
    </w:p>
    <w:p>
      <w:pPr>
        <w:pStyle w:val="37"/>
        <w:widowControl/>
        <w:numPr>
          <w:ilvl w:val="0"/>
          <w:numId w:val="2"/>
        </w:numPr>
        <w:adjustRightInd w:val="0"/>
        <w:snapToGrid w:val="0"/>
        <w:ind w:leftChars="0" w:firstLineChars="0"/>
        <w:rPr>
          <w:rFonts w:ascii="仿宋" w:hAnsi="仿宋" w:eastAsia="仿宋" w:cs="仿宋"/>
          <w:b/>
          <w:sz w:val="24"/>
          <w:szCs w:val="28"/>
        </w:rPr>
      </w:pPr>
      <w:r>
        <w:rPr>
          <w:rFonts w:hint="eastAsia" w:ascii="仿宋" w:hAnsi="仿宋" w:eastAsia="仿宋" w:cs="仿宋"/>
          <w:bCs/>
          <w:sz w:val="24"/>
          <w:szCs w:val="28"/>
        </w:rPr>
        <w:t xml:space="preserve">  宿迁市人民政府（“政府”）决定通过政府与社会资本合作模式（以下简称“PPP模式”）运作苏州宿迁工业园区拓园发展项目（以下简称“本项目”），授权</w:t>
      </w:r>
      <w:r>
        <w:rPr>
          <w:rFonts w:hint="eastAsia" w:ascii="仿宋" w:hAnsi="仿宋" w:eastAsia="仿宋" w:cs="仿宋"/>
          <w:kern w:val="0"/>
          <w:sz w:val="24"/>
        </w:rPr>
        <w:t>苏州宿迁工业园区规划建设局</w:t>
      </w:r>
      <w:r>
        <w:rPr>
          <w:rFonts w:hint="eastAsia" w:ascii="仿宋" w:hAnsi="仿宋" w:eastAsia="仿宋" w:cs="仿宋"/>
          <w:bCs/>
          <w:sz w:val="24"/>
          <w:szCs w:val="28"/>
        </w:rPr>
        <w:t xml:space="preserve">为项目实施机构。 </w:t>
      </w:r>
    </w:p>
    <w:p>
      <w:pPr>
        <w:pStyle w:val="37"/>
        <w:widowControl/>
        <w:numPr>
          <w:ilvl w:val="0"/>
          <w:numId w:val="2"/>
        </w:numPr>
        <w:adjustRightInd w:val="0"/>
        <w:snapToGrid w:val="0"/>
        <w:ind w:leftChars="0" w:firstLineChars="0"/>
        <w:rPr>
          <w:rFonts w:ascii="仿宋" w:hAnsi="仿宋" w:eastAsia="仿宋" w:cs="仿宋"/>
          <w:b/>
          <w:sz w:val="24"/>
          <w:szCs w:val="28"/>
        </w:rPr>
      </w:pPr>
      <w:r>
        <w:rPr>
          <w:rFonts w:ascii="仿宋" w:hAnsi="仿宋" w:eastAsia="仿宋" w:cs="仿宋"/>
          <w:sz w:val="24"/>
          <w:szCs w:val="28"/>
        </w:rPr>
        <w:t xml:space="preserve">  </w:t>
      </w:r>
      <w:r>
        <w:rPr>
          <w:rFonts w:hint="eastAsia" w:ascii="仿宋" w:hAnsi="仿宋" w:eastAsia="仿宋" w:cs="仿宋"/>
          <w:sz w:val="24"/>
        </w:rPr>
        <w:t>苏州宿迁工业园区规划建设局</w:t>
      </w:r>
      <w:r>
        <w:rPr>
          <w:rFonts w:hint="eastAsia" w:ascii="仿宋" w:hAnsi="仿宋" w:eastAsia="仿宋" w:cs="仿宋"/>
          <w:sz w:val="24"/>
          <w:szCs w:val="28"/>
        </w:rPr>
        <w:t>委托江苏省政府采购中心于</w:t>
      </w:r>
      <w:r>
        <w:rPr>
          <w:rFonts w:ascii="仿宋" w:hAnsi="仿宋" w:eastAsia="仿宋" w:cs="仿宋"/>
          <w:sz w:val="24"/>
          <w:szCs w:val="28"/>
        </w:rPr>
        <w:t>2020</w:t>
      </w:r>
      <w:r>
        <w:rPr>
          <w:rFonts w:hint="eastAsia" w:ascii="仿宋" w:hAnsi="仿宋" w:eastAsia="仿宋" w:cs="仿宋"/>
          <w:sz w:val="24"/>
          <w:szCs w:val="28"/>
        </w:rPr>
        <w:t>年</w:t>
      </w:r>
      <w:r>
        <w:rPr>
          <w:rFonts w:ascii="仿宋" w:hAnsi="仿宋" w:eastAsia="仿宋" w:cs="仿宋"/>
          <w:sz w:val="24"/>
          <w:szCs w:val="28"/>
        </w:rPr>
        <w:t xml:space="preserve"> </w:t>
      </w:r>
      <w:r>
        <w:rPr>
          <w:rFonts w:hint="eastAsia" w:ascii="仿宋" w:hAnsi="仿宋" w:eastAsia="仿宋" w:cs="仿宋"/>
          <w:sz w:val="24"/>
          <w:szCs w:val="28"/>
        </w:rPr>
        <w:t>月日发布了本项目资格预审公告，</w:t>
      </w:r>
      <w:r>
        <w:rPr>
          <w:rFonts w:ascii="仿宋" w:hAnsi="仿宋" w:eastAsia="仿宋" w:cs="仿宋"/>
          <w:sz w:val="24"/>
          <w:szCs w:val="28"/>
        </w:rPr>
        <w:t xml:space="preserve">  </w:t>
      </w:r>
      <w:r>
        <w:rPr>
          <w:rFonts w:hint="eastAsia" w:ascii="仿宋" w:hAnsi="仿宋" w:eastAsia="仿宋" w:cs="仿宋"/>
          <w:sz w:val="24"/>
          <w:szCs w:val="28"/>
        </w:rPr>
        <w:t>年</w:t>
      </w:r>
      <w:r>
        <w:rPr>
          <w:rFonts w:ascii="仿宋" w:hAnsi="仿宋" w:eastAsia="仿宋" w:cs="仿宋"/>
          <w:sz w:val="24"/>
          <w:szCs w:val="28"/>
        </w:rPr>
        <w:t xml:space="preserve">  </w:t>
      </w:r>
      <w:r>
        <w:rPr>
          <w:rFonts w:hint="eastAsia" w:ascii="仿宋" w:hAnsi="仿宋" w:eastAsia="仿宋" w:cs="仿宋"/>
          <w:sz w:val="24"/>
          <w:szCs w:val="28"/>
        </w:rPr>
        <w:t>月</w:t>
      </w:r>
      <w:r>
        <w:rPr>
          <w:rFonts w:ascii="仿宋" w:hAnsi="仿宋" w:eastAsia="仿宋" w:cs="仿宋"/>
          <w:sz w:val="24"/>
          <w:szCs w:val="28"/>
        </w:rPr>
        <w:t xml:space="preserve"> </w:t>
      </w:r>
      <w:r>
        <w:rPr>
          <w:rFonts w:hint="eastAsia" w:ascii="仿宋" w:hAnsi="仿宋" w:eastAsia="仿宋" w:cs="仿宋"/>
          <w:sz w:val="24"/>
          <w:szCs w:val="28"/>
        </w:rPr>
        <w:t>日组织了资格预审评审；并于【】年【】月【】日发布了本项目招标公告，【中标社会资本名称】于投标文件接收截止时间之前提交了投标文件；评审专家根据公开招标文件中规定的程序和方法，对乙方提交的投标文件进行评审，并组织谈判小组进行确认谈判，最终【中标社会资本名称】确定为中标社会资本。</w:t>
      </w:r>
    </w:p>
    <w:p>
      <w:pPr>
        <w:pStyle w:val="37"/>
        <w:widowControl/>
        <w:numPr>
          <w:ilvl w:val="0"/>
          <w:numId w:val="2"/>
        </w:numPr>
        <w:adjustRightInd w:val="0"/>
        <w:snapToGrid w:val="0"/>
        <w:ind w:leftChars="0" w:firstLineChars="0"/>
        <w:rPr>
          <w:rFonts w:ascii="仿宋" w:hAnsi="仿宋" w:eastAsia="仿宋" w:cs="仿宋"/>
          <w:b/>
          <w:sz w:val="24"/>
          <w:szCs w:val="28"/>
        </w:rPr>
      </w:pPr>
      <w:r>
        <w:rPr>
          <w:rFonts w:hint="eastAsia" w:ascii="仿宋" w:hAnsi="仿宋" w:eastAsia="仿宋" w:cs="仿宋"/>
          <w:bCs/>
          <w:sz w:val="24"/>
          <w:szCs w:val="28"/>
        </w:rPr>
        <w:t>根据招标、投标</w:t>
      </w:r>
      <w:r>
        <w:rPr>
          <w:rFonts w:hint="eastAsia" w:ascii="仿宋" w:hAnsi="仿宋" w:eastAsia="仿宋" w:cs="仿宋"/>
          <w:sz w:val="24"/>
          <w:szCs w:val="28"/>
        </w:rPr>
        <w:t>文件及双方确认谈判的内容，【中标社会资本名称</w:t>
      </w:r>
      <w:r>
        <w:rPr>
          <w:rFonts w:hint="eastAsia" w:ascii="仿宋" w:hAnsi="仿宋" w:eastAsia="仿宋" w:cs="仿宋"/>
          <w:bCs/>
          <w:sz w:val="24"/>
          <w:szCs w:val="28"/>
        </w:rPr>
        <w:t>】将和政府授权出资代表宿迁交通产业集团有限公司按约定股权比例出资共同组建项目公司，在合作经营期限内由项目公司负责本项目的投资、融资、设计、建设及运营维护，</w:t>
      </w:r>
      <w:r>
        <w:rPr>
          <w:rFonts w:hint="eastAsia" w:ascii="仿宋" w:hAnsi="仿宋" w:eastAsia="仿宋" w:cs="仿宋"/>
          <w:sz w:val="24"/>
        </w:rPr>
        <w:t>在合作经营期限结束后，项目公司将《</w:t>
      </w:r>
      <w:r>
        <w:rPr>
          <w:rFonts w:ascii="仿宋" w:hAnsi="仿宋" w:eastAsia="仿宋" w:cs="仿宋"/>
          <w:sz w:val="24"/>
        </w:rPr>
        <w:t>PPP项目合同》约定的全部资产和经营权益完好无偿移交给</w:t>
      </w:r>
      <w:r>
        <w:rPr>
          <w:rFonts w:hint="eastAsia" w:ascii="仿宋" w:hAnsi="仿宋" w:eastAsia="仿宋" w:cs="仿宋"/>
          <w:sz w:val="24"/>
        </w:rPr>
        <w:t>苏州宿迁工业园区规划建设局</w:t>
      </w:r>
      <w:r>
        <w:rPr>
          <w:rFonts w:ascii="仿宋" w:hAnsi="仿宋" w:eastAsia="仿宋" w:cs="仿宋"/>
          <w:sz w:val="24"/>
        </w:rPr>
        <w:t>或宿迁市政府指定的部门</w:t>
      </w:r>
      <w:r>
        <w:rPr>
          <w:rFonts w:hint="eastAsia" w:ascii="仿宋" w:hAnsi="仿宋" w:eastAsia="仿宋" w:cs="仿宋"/>
          <w:sz w:val="24"/>
        </w:rPr>
        <w:t>。</w:t>
      </w:r>
    </w:p>
    <w:p>
      <w:pPr>
        <w:pStyle w:val="37"/>
        <w:widowControl/>
        <w:adjustRightInd w:val="0"/>
        <w:snapToGrid w:val="0"/>
        <w:ind w:leftChars="0" w:firstLineChars="0"/>
        <w:rPr>
          <w:rFonts w:ascii="仿宋" w:hAnsi="仿宋" w:eastAsia="仿宋" w:cs="仿宋"/>
          <w:sz w:val="32"/>
          <w:szCs w:val="36"/>
        </w:rPr>
      </w:pPr>
      <w:r>
        <w:rPr>
          <w:rFonts w:hint="eastAsia" w:ascii="仿宋" w:hAnsi="仿宋" w:eastAsia="仿宋" w:cs="仿宋"/>
          <w:sz w:val="24"/>
          <w:szCs w:val="28"/>
        </w:rPr>
        <w:t>本协议对签署双方均具有法律约束力，双方均需遵守执行。非经双方协商并达成一致意见，在本协议正式签署时不得有任何修改。</w:t>
      </w:r>
      <w:r>
        <w:rPr>
          <w:rFonts w:hint="eastAsia" w:ascii="仿宋" w:hAnsi="仿宋" w:eastAsia="仿宋" w:cs="仿宋"/>
          <w:sz w:val="24"/>
          <w:szCs w:val="36"/>
        </w:rPr>
        <w:t>为此，双方就以下内容达成协议并共同遵守执行：</w:t>
      </w:r>
    </w:p>
    <w:p>
      <w:pPr>
        <w:spacing w:line="560" w:lineRule="exact"/>
        <w:ind w:left="241" w:hanging="241" w:hangingChars="100"/>
        <w:rPr>
          <w:rFonts w:ascii="仿宋" w:hAnsi="仿宋" w:eastAsia="仿宋" w:cs="Calibri"/>
          <w:b/>
          <w:bCs/>
          <w:sz w:val="24"/>
          <w:szCs w:val="24"/>
        </w:rPr>
      </w:pPr>
      <w:bookmarkStart w:id="2" w:name="_Toc491850037"/>
      <w:bookmarkStart w:id="3" w:name="_Toc458783171"/>
      <w:r>
        <w:rPr>
          <w:rFonts w:hint="eastAsia" w:ascii="仿宋" w:hAnsi="仿宋" w:eastAsia="仿宋"/>
          <w:b/>
          <w:bCs/>
          <w:sz w:val="24"/>
          <w:szCs w:val="24"/>
        </w:rPr>
        <w:t>1.1定义</w:t>
      </w:r>
      <w:bookmarkEnd w:id="2"/>
      <w:bookmarkEnd w:id="3"/>
    </w:p>
    <w:p>
      <w:pPr>
        <w:spacing w:line="560" w:lineRule="exact"/>
        <w:ind w:firstLine="480"/>
        <w:rPr>
          <w:rFonts w:ascii="仿宋" w:hAnsi="仿宋" w:eastAsia="仿宋"/>
          <w:sz w:val="24"/>
          <w:szCs w:val="24"/>
        </w:rPr>
      </w:pPr>
      <w:r>
        <w:rPr>
          <w:rFonts w:hint="eastAsia" w:ascii="仿宋" w:hAnsi="仿宋" w:eastAsia="仿宋"/>
          <w:sz w:val="24"/>
          <w:szCs w:val="24"/>
        </w:rPr>
        <w:t>除非本协议另有约定，下述术语具有以下含义：</w:t>
      </w:r>
    </w:p>
    <w:p>
      <w:pPr>
        <w:spacing w:line="560" w:lineRule="exact"/>
        <w:rPr>
          <w:rFonts w:ascii="仿宋" w:hAnsi="仿宋"/>
        </w:rPr>
      </w:pPr>
      <w:bookmarkStart w:id="4" w:name="_Toc475566562"/>
      <w:r>
        <w:rPr>
          <w:rFonts w:ascii="仿宋" w:hAnsi="仿宋" w:eastAsia="仿宋"/>
          <w:sz w:val="24"/>
          <w:szCs w:val="24"/>
        </w:rPr>
        <w:t xml:space="preserve">1.1.1  </w:t>
      </w:r>
      <w:r>
        <w:rPr>
          <w:rFonts w:hint="eastAsia" w:ascii="仿宋" w:hAnsi="仿宋" w:eastAsia="仿宋"/>
          <w:sz w:val="24"/>
          <w:szCs w:val="24"/>
        </w:rPr>
        <w:t>项目公司，指乙方为实施本项目而按照适用法律规定及采购文件要求组建的特殊目的公司。</w:t>
      </w:r>
      <w:bookmarkEnd w:id="4"/>
    </w:p>
    <w:p>
      <w:pPr>
        <w:spacing w:line="560" w:lineRule="exact"/>
        <w:rPr>
          <w:rFonts w:ascii="仿宋" w:hAnsi="仿宋"/>
        </w:rPr>
      </w:pPr>
      <w:bookmarkStart w:id="5" w:name="_Toc475566563"/>
      <w:r>
        <w:rPr>
          <w:rFonts w:ascii="仿宋" w:hAnsi="仿宋" w:eastAsia="仿宋"/>
          <w:sz w:val="24"/>
          <w:szCs w:val="24"/>
        </w:rPr>
        <w:t xml:space="preserve">1.1.2  </w:t>
      </w:r>
      <w:r>
        <w:rPr>
          <w:rFonts w:hint="eastAsia" w:ascii="仿宋" w:hAnsi="仿宋" w:eastAsia="仿宋"/>
          <w:sz w:val="24"/>
          <w:szCs w:val="24"/>
        </w:rPr>
        <w:t>本项目，指苏州宿迁工业园区拓园发展项目。</w:t>
      </w:r>
    </w:p>
    <w:bookmarkEnd w:id="5"/>
    <w:p>
      <w:pPr>
        <w:spacing w:line="560" w:lineRule="exact"/>
        <w:rPr>
          <w:rFonts w:ascii="仿宋" w:hAnsi="仿宋"/>
        </w:rPr>
      </w:pPr>
      <w:bookmarkStart w:id="6" w:name="_Toc475566564"/>
      <w:r>
        <w:rPr>
          <w:rFonts w:ascii="仿宋" w:hAnsi="仿宋" w:eastAsia="仿宋"/>
          <w:sz w:val="24"/>
          <w:szCs w:val="24"/>
        </w:rPr>
        <w:t xml:space="preserve">1.1.3  </w:t>
      </w:r>
      <w:r>
        <w:rPr>
          <w:rFonts w:hint="eastAsia" w:ascii="仿宋" w:hAnsi="仿宋" w:eastAsia="仿宋"/>
          <w:sz w:val="24"/>
          <w:szCs w:val="24"/>
        </w:rPr>
        <w:t>本协议，指甲方与乙方就本项目而签订的《投资合作协议》。</w:t>
      </w:r>
      <w:bookmarkEnd w:id="6"/>
    </w:p>
    <w:p>
      <w:pPr>
        <w:spacing w:line="560" w:lineRule="exact"/>
        <w:rPr>
          <w:rFonts w:ascii="仿宋" w:hAnsi="仿宋"/>
        </w:rPr>
      </w:pPr>
      <w:bookmarkStart w:id="7" w:name="_Toc475566565"/>
      <w:r>
        <w:rPr>
          <w:rFonts w:ascii="仿宋" w:hAnsi="仿宋" w:eastAsia="仿宋"/>
          <w:sz w:val="24"/>
          <w:szCs w:val="24"/>
        </w:rPr>
        <w:t xml:space="preserve">1.1.4  </w:t>
      </w:r>
      <w:r>
        <w:rPr>
          <w:rFonts w:hint="eastAsia" w:ascii="仿宋" w:hAnsi="仿宋" w:eastAsia="仿宋"/>
          <w:sz w:val="24"/>
          <w:szCs w:val="24"/>
        </w:rPr>
        <w:t>《</w:t>
      </w:r>
      <w:r>
        <w:rPr>
          <w:rFonts w:ascii="仿宋" w:hAnsi="仿宋" w:eastAsia="仿宋"/>
          <w:sz w:val="24"/>
          <w:szCs w:val="24"/>
        </w:rPr>
        <w:t>PPP</w:t>
      </w:r>
      <w:r>
        <w:rPr>
          <w:rFonts w:hint="eastAsia" w:ascii="仿宋" w:hAnsi="仿宋" w:eastAsia="仿宋"/>
          <w:sz w:val="24"/>
          <w:szCs w:val="24"/>
        </w:rPr>
        <w:t>项目合同》，指甲方和乙方签署的《苏州宿迁工业园区拓园发展项目PPP项目合同》。</w:t>
      </w:r>
      <w:bookmarkEnd w:id="7"/>
    </w:p>
    <w:p>
      <w:pPr>
        <w:spacing w:line="560" w:lineRule="exact"/>
        <w:rPr>
          <w:rFonts w:ascii="仿宋" w:hAnsi="仿宋"/>
        </w:rPr>
      </w:pPr>
      <w:bookmarkStart w:id="8" w:name="_Toc475566566"/>
      <w:r>
        <w:rPr>
          <w:rFonts w:ascii="仿宋" w:hAnsi="仿宋" w:eastAsia="仿宋"/>
          <w:sz w:val="24"/>
          <w:szCs w:val="24"/>
        </w:rPr>
        <w:t xml:space="preserve">1.1.5  </w:t>
      </w:r>
      <w:r>
        <w:rPr>
          <w:rFonts w:hint="eastAsia" w:ascii="仿宋" w:hAnsi="仿宋" w:eastAsia="仿宋"/>
          <w:sz w:val="24"/>
          <w:szCs w:val="24"/>
        </w:rPr>
        <w:t>《股东协议》，指【宿迁交通产业集团有限公司】和乙方签订的《苏州宿迁工业园区拓园发展项目股东协议》。</w:t>
      </w:r>
      <w:bookmarkEnd w:id="8"/>
    </w:p>
    <w:p>
      <w:pPr>
        <w:spacing w:line="560" w:lineRule="exact"/>
        <w:rPr>
          <w:rFonts w:ascii="仿宋" w:hAnsi="仿宋"/>
        </w:rPr>
      </w:pPr>
      <w:bookmarkStart w:id="9" w:name="_Toc475566567"/>
      <w:r>
        <w:rPr>
          <w:rFonts w:ascii="仿宋" w:hAnsi="仿宋" w:eastAsia="仿宋"/>
          <w:sz w:val="24"/>
          <w:szCs w:val="24"/>
        </w:rPr>
        <w:t xml:space="preserve">1.1.6  </w:t>
      </w:r>
      <w:r>
        <w:rPr>
          <w:rFonts w:hint="eastAsia" w:ascii="仿宋" w:hAnsi="仿宋" w:eastAsia="仿宋"/>
          <w:sz w:val="24"/>
          <w:szCs w:val="24"/>
        </w:rPr>
        <w:t>《承继协议》，指项目公司与甲方及乙方签订关于《</w:t>
      </w:r>
      <w:r>
        <w:rPr>
          <w:rFonts w:ascii="仿宋" w:hAnsi="仿宋" w:eastAsia="仿宋"/>
          <w:sz w:val="24"/>
          <w:szCs w:val="24"/>
        </w:rPr>
        <w:t>PPP</w:t>
      </w:r>
      <w:r>
        <w:rPr>
          <w:rFonts w:hint="eastAsia" w:ascii="仿宋" w:hAnsi="仿宋" w:eastAsia="仿宋"/>
          <w:sz w:val="24"/>
          <w:szCs w:val="24"/>
        </w:rPr>
        <w:t>项目合同》的承继协议，由项目公司承继乙方在《PPP项目合同》文件项下的权利和义务。</w:t>
      </w:r>
      <w:r>
        <w:rPr>
          <w:rFonts w:ascii="仿宋" w:hAnsi="仿宋" w:eastAsia="仿宋"/>
          <w:sz w:val="24"/>
          <w:szCs w:val="24"/>
        </w:rPr>
        <w:t xml:space="preserve">  </w:t>
      </w:r>
    </w:p>
    <w:p>
      <w:pPr>
        <w:spacing w:line="560" w:lineRule="exact"/>
        <w:rPr>
          <w:rFonts w:ascii="仿宋" w:hAnsi="仿宋"/>
        </w:rPr>
      </w:pPr>
      <w:r>
        <w:rPr>
          <w:rFonts w:ascii="仿宋" w:hAnsi="仿宋" w:eastAsia="仿宋"/>
          <w:sz w:val="24"/>
          <w:szCs w:val="24"/>
        </w:rPr>
        <w:t xml:space="preserve">1.1.7   </w:t>
      </w:r>
      <w:r>
        <w:rPr>
          <w:rFonts w:hint="eastAsia" w:ascii="仿宋" w:hAnsi="仿宋" w:eastAsia="仿宋"/>
          <w:sz w:val="24"/>
          <w:szCs w:val="24"/>
        </w:rPr>
        <w:t>政府方，指宿迁市人民政府或其依法授权的实施机构苏州宿迁工业园区规划建设局，可指其中之一，也可统指人民政府和实施机构。</w:t>
      </w:r>
    </w:p>
    <w:p>
      <w:pPr>
        <w:spacing w:line="560" w:lineRule="exact"/>
        <w:rPr>
          <w:rFonts w:ascii="仿宋" w:hAnsi="仿宋"/>
        </w:rPr>
      </w:pPr>
      <w:r>
        <w:rPr>
          <w:rFonts w:ascii="仿宋" w:hAnsi="仿宋" w:eastAsia="仿宋"/>
          <w:sz w:val="24"/>
          <w:szCs w:val="24"/>
        </w:rPr>
        <w:t xml:space="preserve">1.1.8   </w:t>
      </w:r>
      <w:r>
        <w:rPr>
          <w:rFonts w:hint="eastAsia" w:ascii="仿宋" w:hAnsi="仿宋" w:eastAsia="仿宋"/>
          <w:sz w:val="24"/>
          <w:szCs w:val="24"/>
        </w:rPr>
        <w:t>融资方，指融资文件中的贷款人或项目融资资金的提供人。</w:t>
      </w:r>
    </w:p>
    <w:p>
      <w:pPr>
        <w:spacing w:line="560" w:lineRule="exact"/>
        <w:rPr>
          <w:rFonts w:ascii="仿宋" w:hAnsi="仿宋"/>
        </w:rPr>
      </w:pPr>
      <w:r>
        <w:rPr>
          <w:rFonts w:ascii="仿宋" w:hAnsi="仿宋" w:eastAsia="仿宋"/>
          <w:sz w:val="24"/>
          <w:szCs w:val="24"/>
        </w:rPr>
        <w:t xml:space="preserve">1.1.9   </w:t>
      </w:r>
      <w:r>
        <w:rPr>
          <w:rFonts w:hint="eastAsia" w:ascii="仿宋" w:hAnsi="仿宋" w:eastAsia="仿宋"/>
          <w:sz w:val="24"/>
          <w:szCs w:val="24"/>
        </w:rPr>
        <w:t>生效日，指本协议甲、乙双方法定代表人或授权代表签字并加盖公章之日。</w:t>
      </w:r>
    </w:p>
    <w:bookmarkEnd w:id="9"/>
    <w:p>
      <w:pPr>
        <w:spacing w:line="560" w:lineRule="exact"/>
        <w:rPr>
          <w:rFonts w:ascii="仿宋" w:hAnsi="仿宋"/>
        </w:rPr>
      </w:pPr>
      <w:r>
        <w:rPr>
          <w:rFonts w:ascii="仿宋" w:hAnsi="仿宋" w:eastAsia="仿宋"/>
          <w:sz w:val="24"/>
          <w:szCs w:val="24"/>
        </w:rPr>
        <w:t xml:space="preserve">1.1.10  </w:t>
      </w:r>
      <w:r>
        <w:rPr>
          <w:rFonts w:hint="eastAsia" w:ascii="仿宋" w:hAnsi="仿宋" w:eastAsia="仿宋"/>
          <w:sz w:val="24"/>
          <w:szCs w:val="24"/>
        </w:rPr>
        <w:t>项目设施，指与本项目建设和运营管理相关的设施，包括全部构筑物、建筑物、设施、设备等。</w:t>
      </w:r>
    </w:p>
    <w:p>
      <w:pPr>
        <w:spacing w:line="560" w:lineRule="exact"/>
        <w:rPr>
          <w:rFonts w:ascii="仿宋" w:hAnsi="仿宋"/>
        </w:rPr>
      </w:pPr>
      <w:r>
        <w:rPr>
          <w:rFonts w:ascii="仿宋" w:hAnsi="仿宋" w:eastAsia="仿宋"/>
          <w:sz w:val="24"/>
          <w:szCs w:val="24"/>
        </w:rPr>
        <w:t xml:space="preserve">1.1.11  </w:t>
      </w:r>
      <w:r>
        <w:rPr>
          <w:rFonts w:hint="eastAsia" w:ascii="仿宋" w:hAnsi="仿宋" w:eastAsia="仿宋"/>
          <w:sz w:val="24"/>
          <w:szCs w:val="24"/>
        </w:rPr>
        <w:t>批准，指为了使乙方能够履行其在本合同项下的义务和行使其在本合同项下的权利，乙方必须或希望从政府机关依法获得的所需要的任何许可、执照、同意、授权、批准、免除或相同及类似的文件。</w:t>
      </w:r>
    </w:p>
    <w:p>
      <w:pPr>
        <w:spacing w:line="560" w:lineRule="exact"/>
        <w:rPr>
          <w:rFonts w:ascii="仿宋" w:hAnsi="仿宋"/>
        </w:rPr>
      </w:pPr>
      <w:r>
        <w:rPr>
          <w:rFonts w:ascii="仿宋" w:hAnsi="仿宋" w:eastAsia="仿宋"/>
          <w:sz w:val="24"/>
          <w:szCs w:val="24"/>
        </w:rPr>
        <w:t xml:space="preserve">1.1.12  </w:t>
      </w:r>
      <w:r>
        <w:rPr>
          <w:rFonts w:hint="eastAsia" w:ascii="仿宋" w:hAnsi="仿宋" w:eastAsia="仿宋"/>
          <w:sz w:val="24"/>
          <w:szCs w:val="24"/>
        </w:rPr>
        <w:t>适用法律，指所有适用的中华人民共和国法律、法规、规章、地方性法规、司法解释、政府部门颁布的标准、规范或其他适用的强制性要求、有法律约束力的规范性文件等。为本协议目的，任何政府主管部门签发的对双方履行本协议有实质性影响的文件（包括批文、执照、许可、授权等）视为适用法律的一部分。</w:t>
      </w:r>
    </w:p>
    <w:p>
      <w:pPr>
        <w:spacing w:line="560" w:lineRule="exact"/>
        <w:rPr>
          <w:rFonts w:ascii="仿宋" w:hAnsi="仿宋"/>
        </w:rPr>
      </w:pPr>
      <w:r>
        <w:rPr>
          <w:rFonts w:ascii="仿宋" w:hAnsi="仿宋" w:eastAsia="仿宋"/>
          <w:sz w:val="24"/>
          <w:szCs w:val="24"/>
        </w:rPr>
        <w:t xml:space="preserve">1.1.13  </w:t>
      </w:r>
      <w:r>
        <w:rPr>
          <w:rFonts w:hint="eastAsia" w:ascii="仿宋" w:hAnsi="仿宋" w:eastAsia="仿宋"/>
          <w:sz w:val="24"/>
          <w:szCs w:val="24"/>
        </w:rPr>
        <w:t>履约保函，指乙方向甲方提交的由甲方认可的银行或其他金融机构出具的书面信用担保凭证，履约保函的担保事项主要为乙方履行在本协议项下的义务，以及项目公司履行在《PPP项目合同》项下的义务。履约保函包括建设期履约保函、运营期履约保函和移交维修保函。</w:t>
      </w:r>
    </w:p>
    <w:p>
      <w:pPr>
        <w:spacing w:line="560" w:lineRule="exact"/>
        <w:rPr>
          <w:rFonts w:ascii="仿宋" w:hAnsi="仿宋"/>
        </w:rPr>
      </w:pPr>
      <w:r>
        <w:rPr>
          <w:rFonts w:ascii="仿宋" w:hAnsi="仿宋" w:eastAsia="仿宋"/>
          <w:sz w:val="24"/>
          <w:szCs w:val="24"/>
        </w:rPr>
        <w:t xml:space="preserve">1.1.14  </w:t>
      </w:r>
      <w:r>
        <w:rPr>
          <w:rFonts w:hint="eastAsia" w:ascii="仿宋" w:hAnsi="仿宋" w:eastAsia="仿宋"/>
          <w:sz w:val="24"/>
          <w:szCs w:val="24"/>
        </w:rPr>
        <w:t>采购文件，指《</w:t>
      </w:r>
      <w:r>
        <w:rPr>
          <w:rFonts w:ascii="仿宋" w:hAnsi="仿宋" w:eastAsia="仿宋"/>
          <w:sz w:val="24"/>
          <w:szCs w:val="24"/>
        </w:rPr>
        <w:t xml:space="preserve"> </w:t>
      </w:r>
      <w:r>
        <w:rPr>
          <w:rFonts w:hint="eastAsia" w:ascii="仿宋" w:hAnsi="仿宋" w:eastAsia="仿宋"/>
          <w:sz w:val="24"/>
          <w:szCs w:val="24"/>
        </w:rPr>
        <w:t>苏州宿迁工业园区拓园发展项目采购文件》。</w:t>
      </w:r>
    </w:p>
    <w:p>
      <w:pPr>
        <w:spacing w:before="156" w:beforeLines="50" w:line="560" w:lineRule="exact"/>
        <w:ind w:left="241" w:hanging="241" w:hangingChars="100"/>
        <w:rPr>
          <w:rFonts w:ascii="仿宋" w:hAnsi="仿宋" w:eastAsia="仿宋" w:cs="Calibri"/>
          <w:b/>
          <w:bCs/>
          <w:sz w:val="24"/>
          <w:szCs w:val="24"/>
        </w:rPr>
      </w:pPr>
      <w:bookmarkStart w:id="10" w:name="_Toc491850038"/>
      <w:bookmarkStart w:id="11" w:name="_Toc428273395"/>
      <w:bookmarkStart w:id="12" w:name="_Toc458695169"/>
      <w:bookmarkStart w:id="13" w:name="_Toc458783172"/>
      <w:bookmarkStart w:id="14" w:name="_Toc433384507"/>
      <w:r>
        <w:rPr>
          <w:rFonts w:hint="eastAsia" w:ascii="仿宋" w:hAnsi="仿宋" w:eastAsia="仿宋"/>
          <w:b/>
          <w:bCs/>
          <w:sz w:val="24"/>
          <w:szCs w:val="24"/>
        </w:rPr>
        <w:t>1.2解释</w:t>
      </w:r>
      <w:bookmarkEnd w:id="10"/>
      <w:bookmarkEnd w:id="11"/>
      <w:bookmarkEnd w:id="12"/>
      <w:bookmarkEnd w:id="13"/>
    </w:p>
    <w:p>
      <w:pPr>
        <w:spacing w:before="156" w:beforeLines="50" w:after="156" w:afterLines="50"/>
        <w:ind w:left="240" w:firstLine="480"/>
        <w:rPr>
          <w:rFonts w:ascii="仿宋" w:hAnsi="仿宋" w:eastAsia="仿宋"/>
          <w:sz w:val="24"/>
          <w:szCs w:val="24"/>
        </w:rPr>
      </w:pPr>
      <w:bookmarkStart w:id="15" w:name="_Toc491850039"/>
      <w:bookmarkStart w:id="16" w:name="_Toc458783173"/>
      <w:bookmarkStart w:id="17" w:name="_Toc458695170"/>
      <w:r>
        <w:rPr>
          <w:rFonts w:hint="eastAsia" w:ascii="仿宋" w:hAnsi="仿宋" w:eastAsia="仿宋"/>
          <w:sz w:val="24"/>
          <w:szCs w:val="24"/>
        </w:rPr>
        <w:t>1.2.</w:t>
      </w:r>
      <w:r>
        <w:rPr>
          <w:rFonts w:ascii="仿宋" w:hAnsi="仿宋" w:eastAsia="仿宋"/>
          <w:sz w:val="24"/>
          <w:szCs w:val="24"/>
        </w:rPr>
        <w:t>1</w:t>
      </w:r>
      <w:r>
        <w:rPr>
          <w:rFonts w:hint="eastAsia" w:ascii="仿宋" w:hAnsi="仿宋" w:eastAsia="仿宋"/>
          <w:sz w:val="24"/>
          <w:szCs w:val="24"/>
        </w:rPr>
        <w:t xml:space="preserve"> 规则解释</w:t>
      </w:r>
      <w:bookmarkEnd w:id="15"/>
      <w:bookmarkEnd w:id="16"/>
      <w:bookmarkEnd w:id="17"/>
    </w:p>
    <w:p>
      <w:pPr>
        <w:numPr>
          <w:ilvl w:val="0"/>
          <w:numId w:val="3"/>
        </w:numPr>
        <w:adjustRightInd w:val="0"/>
        <w:snapToGrid w:val="0"/>
        <w:spacing w:line="560" w:lineRule="exact"/>
        <w:ind w:left="0" w:firstLine="480" w:firstLineChars="200"/>
        <w:rPr>
          <w:rFonts w:ascii="仿宋" w:hAnsi="仿宋" w:eastAsia="仿宋" w:cs="仿宋"/>
          <w:sz w:val="24"/>
          <w:szCs w:val="24"/>
        </w:rPr>
      </w:pPr>
      <w:r>
        <w:rPr>
          <w:rFonts w:hint="eastAsia" w:ascii="仿宋" w:hAnsi="仿宋" w:eastAsia="仿宋" w:cs="仿宋"/>
          <w:sz w:val="24"/>
          <w:szCs w:val="24"/>
        </w:rPr>
        <w:t>协议文件</w:t>
      </w:r>
    </w:p>
    <w:p>
      <w:pPr>
        <w:adjustRightInd w:val="0"/>
        <w:snapToGrid w:val="0"/>
        <w:spacing w:line="560" w:lineRule="exact"/>
        <w:ind w:firstLine="482"/>
        <w:rPr>
          <w:rFonts w:ascii="仿宋" w:hAnsi="仿宋" w:eastAsia="仿宋" w:cs="仿宋"/>
          <w:sz w:val="24"/>
          <w:szCs w:val="24"/>
        </w:rPr>
      </w:pPr>
      <w:r>
        <w:rPr>
          <w:rFonts w:hint="eastAsia" w:ascii="仿宋" w:hAnsi="仿宋" w:eastAsia="仿宋" w:cs="仿宋"/>
          <w:sz w:val="24"/>
          <w:szCs w:val="24"/>
        </w:rPr>
        <w:t>本协议每一份附件都应被视为本协议的一部分。</w:t>
      </w:r>
    </w:p>
    <w:p>
      <w:pPr>
        <w:numPr>
          <w:ilvl w:val="0"/>
          <w:numId w:val="3"/>
        </w:numPr>
        <w:adjustRightInd w:val="0"/>
        <w:snapToGrid w:val="0"/>
        <w:spacing w:line="560" w:lineRule="exact"/>
        <w:ind w:left="0" w:firstLine="482"/>
        <w:rPr>
          <w:rFonts w:ascii="仿宋" w:hAnsi="仿宋" w:eastAsia="仿宋" w:cs="仿宋"/>
          <w:sz w:val="24"/>
          <w:szCs w:val="24"/>
        </w:rPr>
      </w:pPr>
      <w:r>
        <w:rPr>
          <w:rFonts w:hint="eastAsia" w:ascii="仿宋" w:hAnsi="仿宋" w:eastAsia="仿宋" w:cs="仿宋"/>
          <w:sz w:val="24"/>
          <w:szCs w:val="24"/>
        </w:rPr>
        <w:t>完整的协议</w:t>
      </w:r>
    </w:p>
    <w:p>
      <w:pPr>
        <w:adjustRightInd w:val="0"/>
        <w:snapToGrid w:val="0"/>
        <w:spacing w:line="560" w:lineRule="exact"/>
        <w:ind w:firstLine="482"/>
        <w:rPr>
          <w:rFonts w:ascii="仿宋" w:hAnsi="仿宋" w:eastAsia="仿宋" w:cs="仿宋"/>
          <w:sz w:val="24"/>
          <w:szCs w:val="24"/>
        </w:rPr>
      </w:pPr>
      <w:r>
        <w:rPr>
          <w:rFonts w:hint="eastAsia" w:ascii="仿宋" w:hAnsi="仿宋" w:eastAsia="仿宋" w:cs="仿宋"/>
          <w:sz w:val="24"/>
          <w:szCs w:val="24"/>
        </w:rPr>
        <w:t>本协议构成双方对本项目完全的理解，代替双方以前所有的有关本项目的书面和口头陈述或安排。</w:t>
      </w:r>
    </w:p>
    <w:p>
      <w:pPr>
        <w:numPr>
          <w:ilvl w:val="0"/>
          <w:numId w:val="3"/>
        </w:numPr>
        <w:adjustRightInd w:val="0"/>
        <w:snapToGrid w:val="0"/>
        <w:spacing w:line="560" w:lineRule="exact"/>
        <w:ind w:left="0" w:firstLine="482"/>
        <w:rPr>
          <w:rFonts w:ascii="仿宋" w:hAnsi="仿宋" w:eastAsia="仿宋" w:cs="仿宋"/>
          <w:sz w:val="24"/>
          <w:szCs w:val="24"/>
        </w:rPr>
      </w:pPr>
      <w:r>
        <w:rPr>
          <w:rFonts w:hint="eastAsia" w:ascii="仿宋" w:hAnsi="仿宋" w:eastAsia="仿宋" w:cs="仿宋"/>
          <w:sz w:val="24"/>
          <w:szCs w:val="24"/>
        </w:rPr>
        <w:t>修改</w:t>
      </w:r>
    </w:p>
    <w:p>
      <w:pPr>
        <w:adjustRightInd w:val="0"/>
        <w:snapToGrid w:val="0"/>
        <w:spacing w:line="560" w:lineRule="exact"/>
        <w:ind w:firstLine="482"/>
        <w:rPr>
          <w:rFonts w:ascii="仿宋" w:hAnsi="仿宋" w:eastAsia="仿宋" w:cs="仿宋"/>
          <w:sz w:val="24"/>
          <w:szCs w:val="24"/>
        </w:rPr>
      </w:pPr>
      <w:r>
        <w:rPr>
          <w:rFonts w:hint="eastAsia" w:ascii="仿宋" w:hAnsi="仿宋" w:eastAsia="仿宋" w:cs="仿宋"/>
          <w:sz w:val="24"/>
          <w:szCs w:val="24"/>
        </w:rPr>
        <w:t>本协议任何修改、补充或变更只有以书面形式并由双方授权代表签字并盖章方可生效。</w:t>
      </w:r>
    </w:p>
    <w:p>
      <w:pPr>
        <w:numPr>
          <w:ilvl w:val="0"/>
          <w:numId w:val="3"/>
        </w:numPr>
        <w:adjustRightInd w:val="0"/>
        <w:snapToGrid w:val="0"/>
        <w:spacing w:line="560" w:lineRule="exact"/>
        <w:ind w:left="0" w:firstLine="480" w:firstLineChars="200"/>
        <w:rPr>
          <w:rFonts w:ascii="仿宋" w:hAnsi="仿宋" w:eastAsia="仿宋" w:cs="仿宋"/>
          <w:sz w:val="24"/>
          <w:szCs w:val="24"/>
        </w:rPr>
      </w:pPr>
      <w:r>
        <w:rPr>
          <w:rFonts w:hint="eastAsia" w:ascii="仿宋" w:hAnsi="仿宋" w:eastAsia="仿宋" w:cs="仿宋"/>
          <w:sz w:val="24"/>
          <w:szCs w:val="24"/>
        </w:rPr>
        <w:t>可分割性</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如果本协议中任何条款不合法、无效或不能执行，或者被任何有管辖权的仲裁庭或法院宣布为不合法、无效或不能执行，则</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a）其他条款仍然有效和</w:t>
      </w:r>
      <w:r>
        <w:rPr>
          <w:rFonts w:hint="eastAsia" w:ascii="仿宋" w:hAnsi="仿宋" w:eastAsia="仿宋" w:cs="仿宋"/>
          <w:sz w:val="24"/>
          <w:szCs w:val="24"/>
        </w:rPr>
        <w:t>可执行；并且</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b）双方应商定对不合法、无效或不能执行的条款进行修改或更换，使之合法、有效并可执行，并且这些修改或更改应尽可能恰如其分地平衡双方之间的利益、权利和义务。</w:t>
      </w:r>
    </w:p>
    <w:p>
      <w:pPr>
        <w:numPr>
          <w:ilvl w:val="0"/>
          <w:numId w:val="3"/>
        </w:numPr>
        <w:adjustRightInd w:val="0"/>
        <w:snapToGrid w:val="0"/>
        <w:spacing w:line="560" w:lineRule="exact"/>
        <w:ind w:left="0" w:firstLine="480" w:firstLineChars="200"/>
        <w:rPr>
          <w:rFonts w:ascii="仿宋" w:hAnsi="仿宋" w:eastAsia="仿宋" w:cs="仿宋"/>
          <w:sz w:val="24"/>
          <w:szCs w:val="24"/>
        </w:rPr>
      </w:pPr>
      <w:r>
        <w:rPr>
          <w:rFonts w:hint="eastAsia" w:ascii="仿宋" w:hAnsi="仿宋" w:eastAsia="仿宋" w:cs="仿宋"/>
          <w:sz w:val="24"/>
          <w:szCs w:val="24"/>
        </w:rPr>
        <w:t>本协议与附件的一致性</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在整个合作期限内，本协议附件的解释应与本协议保持一致，如果出现矛盾或不一致的地方，则应以本协议为准。</w:t>
      </w:r>
    </w:p>
    <w:p>
      <w:pPr>
        <w:spacing w:before="156" w:beforeLines="50"/>
        <w:ind w:firstLine="480"/>
        <w:rPr>
          <w:rFonts w:ascii="仿宋" w:hAnsi="仿宋" w:eastAsia="仿宋" w:cs="Calibri"/>
          <w:sz w:val="24"/>
          <w:szCs w:val="24"/>
        </w:rPr>
      </w:pPr>
      <w:bookmarkStart w:id="18" w:name="_Toc458783174"/>
      <w:bookmarkStart w:id="19" w:name="_Toc491850040"/>
      <w:bookmarkStart w:id="20" w:name="_Toc458695171"/>
      <w:r>
        <w:rPr>
          <w:rFonts w:hint="eastAsia" w:ascii="仿宋" w:hAnsi="仿宋" w:eastAsia="仿宋"/>
          <w:sz w:val="24"/>
          <w:szCs w:val="24"/>
        </w:rPr>
        <w:t>1.2.</w:t>
      </w:r>
      <w:r>
        <w:rPr>
          <w:rFonts w:ascii="仿宋" w:hAnsi="仿宋" w:eastAsia="仿宋"/>
          <w:sz w:val="24"/>
          <w:szCs w:val="24"/>
        </w:rPr>
        <w:t>2</w:t>
      </w:r>
      <w:r>
        <w:rPr>
          <w:rFonts w:hint="eastAsia" w:ascii="仿宋" w:hAnsi="仿宋" w:eastAsia="仿宋"/>
          <w:sz w:val="24"/>
          <w:szCs w:val="24"/>
        </w:rPr>
        <w:t>解释</w:t>
      </w:r>
      <w:bookmarkEnd w:id="18"/>
      <w:bookmarkEnd w:id="19"/>
      <w:bookmarkEnd w:id="20"/>
    </w:p>
    <w:p>
      <w:pPr>
        <w:spacing w:line="560" w:lineRule="exact"/>
        <w:ind w:firstLine="480"/>
        <w:rPr>
          <w:rFonts w:ascii="仿宋" w:hAnsi="仿宋" w:eastAsia="仿宋" w:cs="仿宋"/>
          <w:sz w:val="24"/>
          <w:szCs w:val="24"/>
        </w:rPr>
      </w:pPr>
      <w:r>
        <w:rPr>
          <w:rFonts w:hint="eastAsia" w:ascii="仿宋" w:hAnsi="仿宋" w:eastAsia="仿宋" w:cs="仿宋"/>
          <w:sz w:val="24"/>
          <w:szCs w:val="24"/>
        </w:rPr>
        <w:t>（1）除非上下文另有所指，“元”指人民币元；</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（2）人民币指中华人民共和国法定货币；</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（3）标题仅为方便设定，不构成对本协议的解释；</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（4）除本协议上下文另有规定外，参照的条款和附件均为本协议的条款和附件；</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（5）除非本协议上下文另有规定外，“一方”按适用情况分别指甲方或乙方，包括其继承人和允许的被让与人或受让人；“双方”指甲方和乙方，包括其继承人和允许的被让与人或受让人；</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（6）本协议中所指的日、星期、月和年均指公历日、</w:t>
      </w:r>
      <w:bookmarkStart w:id="21" w:name="OLE_LINK4"/>
      <w:bookmarkStart w:id="22" w:name="OLE_LINK7"/>
      <w:bookmarkStart w:id="23" w:name="OLE_LINK3"/>
      <w:r>
        <w:rPr>
          <w:rFonts w:hint="eastAsia" w:ascii="仿宋" w:hAnsi="仿宋" w:eastAsia="仿宋" w:cs="仿宋"/>
          <w:sz w:val="24"/>
          <w:szCs w:val="24"/>
        </w:rPr>
        <w:t>星期</w:t>
      </w:r>
      <w:bookmarkEnd w:id="21"/>
      <w:bookmarkEnd w:id="22"/>
      <w:bookmarkEnd w:id="23"/>
      <w:r>
        <w:rPr>
          <w:rFonts w:hint="eastAsia" w:ascii="仿宋" w:hAnsi="仿宋" w:eastAsia="仿宋" w:cs="仿宋"/>
          <w:sz w:val="24"/>
          <w:szCs w:val="24"/>
        </w:rPr>
        <w:t>、</w:t>
      </w:r>
      <w:bookmarkStart w:id="24" w:name="OLE_LINK10"/>
      <w:bookmarkStart w:id="25" w:name="OLE_LINK8"/>
      <w:r>
        <w:rPr>
          <w:rFonts w:hint="eastAsia" w:ascii="仿宋" w:hAnsi="仿宋" w:eastAsia="仿宋" w:cs="仿宋"/>
          <w:sz w:val="24"/>
          <w:szCs w:val="24"/>
        </w:rPr>
        <w:t>月</w:t>
      </w:r>
      <w:bookmarkEnd w:id="24"/>
      <w:bookmarkEnd w:id="25"/>
      <w:r>
        <w:rPr>
          <w:rFonts w:hint="eastAsia" w:ascii="仿宋" w:hAnsi="仿宋" w:eastAsia="仿宋" w:cs="仿宋"/>
          <w:sz w:val="24"/>
          <w:szCs w:val="24"/>
        </w:rPr>
        <w:t>和年；</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（7）除本协议上下文另有规定，本协议中“包括”指包括但不限于；</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（8）所指的协议是指列举的和作为附件的协议，并且在任何情况下均指对该协议不时所作的补充和修改。</w:t>
      </w:r>
    </w:p>
    <w:p>
      <w:pPr>
        <w:pStyle w:val="3"/>
        <w:numPr>
          <w:ilvl w:val="0"/>
          <w:numId w:val="0"/>
        </w:numPr>
        <w:ind w:left="-576"/>
        <w:jc w:val="center"/>
        <w:rPr>
          <w:rFonts w:ascii="仿宋" w:hAnsi="仿宋" w:eastAsia="仿宋"/>
        </w:rPr>
      </w:pPr>
      <w:bookmarkStart w:id="26" w:name="_Toc491850041"/>
      <w:bookmarkStart w:id="27" w:name="_Toc15849"/>
      <w:bookmarkStart w:id="28" w:name="_Toc62570351"/>
      <w:r>
        <w:rPr>
          <w:rFonts w:hint="eastAsia" w:ascii="仿宋" w:hAnsi="仿宋" w:eastAsia="仿宋"/>
        </w:rPr>
        <w:t xml:space="preserve">第二章  </w:t>
      </w:r>
      <w:bookmarkEnd w:id="26"/>
      <w:bookmarkEnd w:id="27"/>
      <w:r>
        <w:rPr>
          <w:rFonts w:hint="eastAsia" w:ascii="仿宋" w:hAnsi="仿宋" w:eastAsia="仿宋"/>
        </w:rPr>
        <w:t>合作关系的建立</w:t>
      </w:r>
      <w:bookmarkEnd w:id="28"/>
    </w:p>
    <w:bookmarkEnd w:id="14"/>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2.1</w:t>
      </w:r>
      <w:r>
        <w:rPr>
          <w:rFonts w:ascii="仿宋" w:hAnsi="仿宋" w:eastAsia="仿宋"/>
          <w:b/>
          <w:bCs/>
          <w:sz w:val="24"/>
          <w:szCs w:val="24"/>
        </w:rPr>
        <w:t xml:space="preserve"> </w:t>
      </w:r>
      <w:r>
        <w:rPr>
          <w:rFonts w:hint="eastAsia" w:ascii="仿宋" w:hAnsi="仿宋" w:eastAsia="仿宋"/>
          <w:b/>
          <w:bCs/>
          <w:sz w:val="24"/>
          <w:szCs w:val="24"/>
        </w:rPr>
        <w:t>项目实施范围</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为加快推进苏州宿迁工业园区新一轮扩区发展工作，同时发挥市场机制，利用社会资本的先进技术和经验，宿迁市人民政府决定采用政府和社会资本合作（</w:t>
      </w:r>
      <w:r>
        <w:rPr>
          <w:rFonts w:ascii="仿宋" w:hAnsi="仿宋" w:eastAsia="仿宋" w:cs="仿宋"/>
          <w:sz w:val="24"/>
          <w:szCs w:val="24"/>
        </w:rPr>
        <w:t>PPP）模式实施</w:t>
      </w:r>
      <w:r>
        <w:rPr>
          <w:rFonts w:hint="eastAsia" w:ascii="仿宋" w:hAnsi="仿宋" w:eastAsia="仿宋" w:cs="仿宋"/>
          <w:sz w:val="24"/>
          <w:szCs w:val="24"/>
        </w:rPr>
        <w:t>苏州宿迁工业园区拓园发展</w:t>
      </w:r>
      <w:r>
        <w:rPr>
          <w:rFonts w:ascii="仿宋" w:hAnsi="仿宋" w:eastAsia="仿宋" w:cs="仿宋"/>
          <w:sz w:val="24"/>
          <w:szCs w:val="24"/>
        </w:rPr>
        <w:t>项目。</w:t>
      </w:r>
      <w:r>
        <w:rPr>
          <w:rFonts w:hint="eastAsia" w:ascii="仿宋" w:hAnsi="仿宋" w:eastAsia="仿宋" w:cs="仿宋"/>
          <w:sz w:val="24"/>
          <w:szCs w:val="24"/>
        </w:rPr>
        <w:t>本项目实施范围东至为民河，西至</w:t>
      </w:r>
      <w:r>
        <w:rPr>
          <w:rFonts w:ascii="仿宋" w:hAnsi="仿宋" w:eastAsia="仿宋" w:cs="仿宋"/>
          <w:sz w:val="24"/>
          <w:szCs w:val="24"/>
        </w:rPr>
        <w:t>S250连接线、科工路，南至古城路、徐淮路、北京路，北至镜泊湖路、皂河灌溉总渠、清水河，包含原苏宿工业园区（原有区域）约13.6平方公里及拓园发展新增一期区域7.75平方公里，拓园后共计21.35平方公里。</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乙方作为本项目中选社会资本，按照采购文件要求出资组建项目公司，按照《</w:t>
      </w:r>
      <w:r>
        <w:rPr>
          <w:rFonts w:ascii="仿宋" w:hAnsi="仿宋" w:eastAsia="仿宋" w:cs="仿宋"/>
          <w:sz w:val="24"/>
          <w:szCs w:val="24"/>
        </w:rPr>
        <w:t>PPP项目合同》等合同文件约定负责本项目合作范围内的项目设施的【</w:t>
      </w:r>
      <w:r>
        <w:rPr>
          <w:rFonts w:hint="eastAsia" w:ascii="仿宋" w:hAnsi="仿宋" w:eastAsia="仿宋" w:cs="仿宋"/>
          <w:sz w:val="24"/>
          <w:szCs w:val="24"/>
        </w:rPr>
        <w:t>■</w:t>
      </w:r>
      <w:r>
        <w:rPr>
          <w:rFonts w:ascii="仿宋" w:hAnsi="仿宋" w:eastAsia="仿宋" w:cs="仿宋"/>
          <w:sz w:val="24"/>
          <w:szCs w:val="24"/>
        </w:rPr>
        <w:t>投融资；</w:t>
      </w:r>
      <w:r>
        <w:rPr>
          <w:rFonts w:hint="eastAsia" w:ascii="仿宋" w:hAnsi="仿宋" w:eastAsia="仿宋" w:cs="仿宋"/>
          <w:sz w:val="24"/>
          <w:szCs w:val="24"/>
        </w:rPr>
        <w:t>■</w:t>
      </w:r>
      <w:r>
        <w:rPr>
          <w:rFonts w:ascii="仿宋" w:hAnsi="仿宋" w:eastAsia="仿宋" w:cs="仿宋"/>
          <w:sz w:val="24"/>
          <w:szCs w:val="24"/>
        </w:rPr>
        <w:t>建设；</w:t>
      </w:r>
      <w:r>
        <w:rPr>
          <w:rFonts w:hint="eastAsia" w:ascii="仿宋" w:hAnsi="仿宋" w:eastAsia="仿宋" w:cs="仿宋"/>
          <w:sz w:val="24"/>
          <w:szCs w:val="24"/>
        </w:rPr>
        <w:t>■</w:t>
      </w:r>
      <w:r>
        <w:rPr>
          <w:rFonts w:ascii="仿宋" w:hAnsi="仿宋" w:eastAsia="仿宋" w:cs="仿宋"/>
          <w:sz w:val="24"/>
          <w:szCs w:val="24"/>
        </w:rPr>
        <w:t>运营维护；</w:t>
      </w:r>
      <w:r>
        <w:rPr>
          <w:rFonts w:hint="eastAsia" w:ascii="仿宋" w:hAnsi="仿宋" w:eastAsia="仿宋" w:cs="仿宋"/>
          <w:sz w:val="24"/>
          <w:szCs w:val="24"/>
        </w:rPr>
        <w:t>■</w:t>
      </w:r>
      <w:r>
        <w:rPr>
          <w:rFonts w:ascii="仿宋" w:hAnsi="仿宋" w:eastAsia="仿宋" w:cs="仿宋"/>
          <w:sz w:val="24"/>
          <w:szCs w:val="24"/>
        </w:rPr>
        <w:t>移交】工作。</w:t>
      </w:r>
    </w:p>
    <w:p>
      <w:pPr>
        <w:spacing w:line="560" w:lineRule="exact"/>
        <w:ind w:firstLine="482" w:firstLineChars="200"/>
        <w:rPr>
          <w:rFonts w:ascii="仿宋" w:hAnsi="仿宋" w:eastAsia="仿宋" w:cs="仿宋"/>
          <w:b/>
          <w:sz w:val="24"/>
          <w:szCs w:val="24"/>
        </w:rPr>
      </w:pPr>
      <w:r>
        <w:rPr>
          <w:rFonts w:ascii="仿宋" w:hAnsi="仿宋" w:eastAsia="仿宋" w:cs="仿宋"/>
          <w:b/>
          <w:sz w:val="24"/>
          <w:szCs w:val="24"/>
        </w:rPr>
        <w:t>2.2</w:t>
      </w:r>
      <w:r>
        <w:rPr>
          <w:rFonts w:hint="eastAsia" w:ascii="仿宋" w:hAnsi="仿宋" w:eastAsia="仿宋" w:cs="仿宋"/>
          <w:b/>
          <w:sz w:val="24"/>
          <w:szCs w:val="24"/>
        </w:rPr>
        <w:t xml:space="preserve"> 项目投融资规模</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本项目估算投资为</w:t>
      </w:r>
      <w:r>
        <w:rPr>
          <w:rFonts w:ascii="仿宋" w:hAnsi="仿宋" w:eastAsia="仿宋" w:cs="仿宋"/>
          <w:sz w:val="24"/>
          <w:szCs w:val="24"/>
        </w:rPr>
        <w:t>258965.30万元，其中项目资本金占总投资比例为20%，即51792.05 万元；剩余资金约207173.25万元通过融资方式解决。</w:t>
      </w:r>
    </w:p>
    <w:p>
      <w:pPr>
        <w:spacing w:line="560" w:lineRule="exact"/>
        <w:ind w:firstLine="482" w:firstLineChars="200"/>
        <w:rPr>
          <w:rFonts w:ascii="仿宋" w:hAnsi="仿宋" w:eastAsia="仿宋" w:cs="仿宋"/>
          <w:b/>
          <w:sz w:val="24"/>
          <w:szCs w:val="24"/>
        </w:rPr>
      </w:pPr>
      <w:r>
        <w:rPr>
          <w:rFonts w:ascii="仿宋" w:hAnsi="仿宋" w:eastAsia="仿宋" w:cs="仿宋"/>
          <w:b/>
          <w:sz w:val="24"/>
          <w:szCs w:val="24"/>
        </w:rPr>
        <w:t>2.3</w:t>
      </w:r>
      <w:r>
        <w:rPr>
          <w:rFonts w:ascii="仿宋" w:hAnsi="仿宋" w:eastAsia="仿宋" w:cs="仿宋"/>
          <w:b/>
          <w:sz w:val="24"/>
          <w:szCs w:val="24"/>
        </w:rPr>
        <w:tab/>
      </w:r>
      <w:r>
        <w:rPr>
          <w:rFonts w:hint="eastAsia" w:ascii="仿宋" w:hAnsi="仿宋" w:eastAsia="仿宋" w:cs="仿宋"/>
          <w:b/>
          <w:sz w:val="24"/>
          <w:szCs w:val="24"/>
        </w:rPr>
        <w:t xml:space="preserve"> </w:t>
      </w:r>
      <w:r>
        <w:rPr>
          <w:rFonts w:ascii="仿宋" w:hAnsi="仿宋" w:eastAsia="仿宋" w:cs="仿宋"/>
          <w:b/>
          <w:sz w:val="24"/>
          <w:szCs w:val="24"/>
        </w:rPr>
        <w:t>经营权授予</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甲方已获得本级人民政府的授权，通过与乙方签订《</w:t>
      </w:r>
      <w:r>
        <w:rPr>
          <w:rFonts w:ascii="仿宋" w:hAnsi="仿宋" w:eastAsia="仿宋" w:cs="仿宋"/>
          <w:sz w:val="24"/>
          <w:szCs w:val="24"/>
        </w:rPr>
        <w:t>PPP项目合同》等合同文件的方式，将本项目的经营权授予乙方，即由乙方负责项目设施的【</w:t>
      </w:r>
      <w:r>
        <w:rPr>
          <w:rFonts w:hint="eastAsia" w:ascii="仿宋" w:hAnsi="仿宋" w:eastAsia="仿宋" w:cs="仿宋"/>
          <w:sz w:val="24"/>
          <w:szCs w:val="24"/>
        </w:rPr>
        <w:t>■</w:t>
      </w:r>
      <w:r>
        <w:rPr>
          <w:rFonts w:ascii="仿宋" w:hAnsi="仿宋" w:eastAsia="仿宋" w:cs="仿宋"/>
          <w:sz w:val="24"/>
          <w:szCs w:val="24"/>
        </w:rPr>
        <w:t>投融资；</w:t>
      </w:r>
      <w:r>
        <w:rPr>
          <w:rFonts w:hint="eastAsia" w:ascii="仿宋" w:hAnsi="仿宋" w:eastAsia="仿宋" w:cs="仿宋"/>
          <w:sz w:val="24"/>
          <w:szCs w:val="24"/>
        </w:rPr>
        <w:t>■</w:t>
      </w:r>
      <w:r>
        <w:rPr>
          <w:rFonts w:ascii="仿宋" w:hAnsi="仿宋" w:eastAsia="仿宋" w:cs="仿宋"/>
          <w:sz w:val="24"/>
          <w:szCs w:val="24"/>
        </w:rPr>
        <w:t>建设；</w:t>
      </w:r>
      <w:r>
        <w:rPr>
          <w:rFonts w:hint="eastAsia" w:ascii="仿宋" w:hAnsi="仿宋" w:eastAsia="仿宋" w:cs="仿宋"/>
          <w:sz w:val="24"/>
          <w:szCs w:val="24"/>
        </w:rPr>
        <w:t>■</w:t>
      </w:r>
      <w:r>
        <w:rPr>
          <w:rFonts w:ascii="仿宋" w:hAnsi="仿宋" w:eastAsia="仿宋" w:cs="仿宋"/>
          <w:sz w:val="24"/>
          <w:szCs w:val="24"/>
        </w:rPr>
        <w:t>运营维护；</w:t>
      </w:r>
      <w:r>
        <w:rPr>
          <w:rFonts w:hint="eastAsia" w:ascii="仿宋" w:hAnsi="仿宋" w:eastAsia="仿宋" w:cs="仿宋"/>
          <w:sz w:val="24"/>
          <w:szCs w:val="24"/>
        </w:rPr>
        <w:t>■</w:t>
      </w:r>
      <w:r>
        <w:rPr>
          <w:rFonts w:ascii="仿宋" w:hAnsi="仿宋" w:eastAsia="仿宋" w:cs="仿宋"/>
          <w:sz w:val="24"/>
          <w:szCs w:val="24"/>
        </w:rPr>
        <w:t>移交】，并享有获取相应合理回报的权利。</w:t>
      </w:r>
    </w:p>
    <w:p>
      <w:pPr>
        <w:spacing w:line="560" w:lineRule="exact"/>
        <w:ind w:firstLine="482" w:firstLineChars="200"/>
        <w:rPr>
          <w:rFonts w:ascii="仿宋" w:hAnsi="仿宋" w:eastAsia="仿宋"/>
          <w:b/>
          <w:bCs/>
          <w:sz w:val="24"/>
          <w:szCs w:val="24"/>
        </w:rPr>
      </w:pPr>
      <w:r>
        <w:rPr>
          <w:rFonts w:ascii="仿宋" w:hAnsi="仿宋" w:eastAsia="仿宋"/>
          <w:b/>
          <w:bCs/>
          <w:sz w:val="24"/>
          <w:szCs w:val="24"/>
        </w:rPr>
        <w:t xml:space="preserve">2.4 </w:t>
      </w:r>
      <w:r>
        <w:rPr>
          <w:rFonts w:hint="eastAsia" w:ascii="仿宋" w:hAnsi="仿宋" w:eastAsia="仿宋"/>
          <w:b/>
          <w:bCs/>
          <w:sz w:val="24"/>
          <w:szCs w:val="24"/>
        </w:rPr>
        <w:t>项目合作内容</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项目具体合作内容包括：</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 xml:space="preserve">市政基础设施建设及运营维护 </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rPr>
        <w:t>主要包括园区道路、桥涵、河道、景观等相关设施的建设及运营维护服务</w:t>
      </w:r>
      <w:r>
        <w:rPr>
          <w:rFonts w:hint="eastAsia" w:ascii="仿宋" w:hAnsi="仿宋" w:eastAsia="仿宋" w:cs="仿宋"/>
          <w:sz w:val="24"/>
          <w:szCs w:val="24"/>
        </w:rPr>
        <w:t>；</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 xml:space="preserve">公共服务类设施建设及运营 </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rPr>
        <w:t>主要包括新建邻里中心、人才公寓等相关设施的建设和运营，存量的西楚金地商城（园区公舍配套商业）提升改造、园区公舍、工业坊、阳澄邻里中心、明日邻里中心等经营性设施的运营维护，停车场的运营维护等服务。</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rPr>
        <w:t>（</w:t>
      </w:r>
      <w:r>
        <w:rPr>
          <w:rFonts w:hint="eastAsia" w:ascii="仿宋" w:hAnsi="仿宋" w:eastAsia="仿宋" w:cs="仿宋"/>
          <w:sz w:val="24"/>
          <w:szCs w:val="24"/>
        </w:rPr>
        <w:t>3</w:t>
      </w:r>
      <w:r>
        <w:rPr>
          <w:rFonts w:ascii="仿宋" w:hAnsi="仿宋" w:eastAsia="仿宋" w:cs="仿宋"/>
          <w:sz w:val="24"/>
          <w:szCs w:val="24"/>
        </w:rPr>
        <w:t>）智慧城市建设及运营</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智慧城市包括运营智慧中心、公共服务平台和综合展示平台及相关设备设施。主要为智慧政务、智慧交通、智慧规划、智慧民生、智慧住建、智慧国土、智慧市政和智慧招商的建设及运营维护服务。</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rPr>
        <w:t>（</w:t>
      </w:r>
      <w:r>
        <w:rPr>
          <w:rFonts w:hint="eastAsia" w:ascii="仿宋" w:hAnsi="仿宋" w:eastAsia="仿宋" w:cs="仿宋"/>
          <w:sz w:val="24"/>
          <w:szCs w:val="24"/>
        </w:rPr>
        <w:t>4</w:t>
      </w:r>
      <w:r>
        <w:rPr>
          <w:rFonts w:ascii="仿宋" w:hAnsi="仿宋" w:eastAsia="仿宋" w:cs="仿宋"/>
          <w:sz w:val="24"/>
          <w:szCs w:val="24"/>
        </w:rPr>
        <w:t>）产城发展服务</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rPr>
        <w:t>主要包括为项目区域范围内提供产业项目招引、区域品牌建设、招引落户服务、人才资源服务、企业入驻服务等园区综合性发展服务。</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（5）其他扩展服务</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项目合作期限内，如苏宿园区管委会在园区范围内有新设置宣传</w:t>
      </w:r>
      <w:r>
        <w:rPr>
          <w:rFonts w:ascii="仿宋" w:hAnsi="仿宋" w:eastAsia="仿宋" w:cs="仿宋"/>
          <w:sz w:val="24"/>
          <w:szCs w:val="24"/>
        </w:rPr>
        <w:t>/</w:t>
      </w:r>
      <w:r>
        <w:rPr>
          <w:rFonts w:hint="eastAsia" w:ascii="仿宋" w:hAnsi="仿宋" w:eastAsia="仿宋" w:cs="仿宋"/>
          <w:sz w:val="24"/>
          <w:szCs w:val="24"/>
        </w:rPr>
        <w:t>广告牌、</w:t>
      </w:r>
      <w:r>
        <w:rPr>
          <w:rFonts w:ascii="仿宋" w:hAnsi="仿宋" w:eastAsia="仿宋" w:cs="仿宋"/>
          <w:sz w:val="24"/>
          <w:szCs w:val="24"/>
        </w:rPr>
        <w:t>5G</w:t>
      </w:r>
      <w:r>
        <w:rPr>
          <w:rFonts w:hint="eastAsia" w:ascii="仿宋" w:hAnsi="仿宋" w:eastAsia="仿宋" w:cs="仿宋"/>
          <w:sz w:val="24"/>
          <w:szCs w:val="24"/>
        </w:rPr>
        <w:t>智能移动终端、自助售卖机、无人值守停车场、临时占道收费停车位等需求，届时由甲方和项目公司协商一致后，交由项目公司负责相应的投资、建设和运营服务。</w:t>
      </w:r>
    </w:p>
    <w:p>
      <w:pPr>
        <w:spacing w:line="560" w:lineRule="exact"/>
        <w:ind w:firstLine="482" w:firstLineChars="200"/>
        <w:rPr>
          <w:rFonts w:ascii="仿宋" w:hAnsi="仿宋" w:eastAsia="仿宋"/>
          <w:b/>
          <w:bCs/>
          <w:sz w:val="24"/>
          <w:szCs w:val="24"/>
        </w:rPr>
      </w:pPr>
      <w:r>
        <w:rPr>
          <w:rFonts w:ascii="仿宋" w:hAnsi="仿宋" w:eastAsia="仿宋"/>
          <w:b/>
          <w:bCs/>
          <w:sz w:val="24"/>
          <w:szCs w:val="24"/>
        </w:rPr>
        <w:t xml:space="preserve">2.5 </w:t>
      </w:r>
      <w:r>
        <w:rPr>
          <w:rFonts w:hint="eastAsia" w:ascii="仿宋" w:hAnsi="仿宋" w:eastAsia="仿宋"/>
          <w:b/>
          <w:bCs/>
          <w:sz w:val="24"/>
          <w:szCs w:val="24"/>
        </w:rPr>
        <w:t>项目建设内容</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本项目包含新建和存量两部分，其中项目新建内容主要包括：园区道路、桥涵、河道、景观、公共服务载体等公共服务类基础设施建设工程，估算总投资约</w:t>
      </w:r>
      <w:r>
        <w:rPr>
          <w:rFonts w:ascii="仿宋" w:hAnsi="仿宋" w:eastAsia="仿宋" w:cs="仿宋"/>
          <w:sz w:val="24"/>
          <w:szCs w:val="24"/>
        </w:rPr>
        <w:t>25.90</w:t>
      </w:r>
      <w:r>
        <w:rPr>
          <w:rFonts w:hint="eastAsia" w:ascii="仿宋" w:hAnsi="仿宋" w:eastAsia="仿宋" w:cs="仿宋"/>
          <w:sz w:val="24"/>
          <w:szCs w:val="24"/>
        </w:rPr>
        <w:t>亿</w:t>
      </w:r>
      <w:r>
        <w:rPr>
          <w:rFonts w:ascii="仿宋" w:hAnsi="仿宋" w:eastAsia="仿宋" w:cs="仿宋"/>
          <w:sz w:val="24"/>
          <w:szCs w:val="24"/>
        </w:rPr>
        <w:t>元</w:t>
      </w:r>
      <w:r>
        <w:rPr>
          <w:rFonts w:hint="eastAsia" w:ascii="仿宋" w:hAnsi="仿宋" w:eastAsia="仿宋" w:cs="仿宋"/>
          <w:sz w:val="24"/>
          <w:szCs w:val="24"/>
        </w:rPr>
        <w:t>，项目新建内容详见批复的项目可行性研究报告，具体以经甲方认可的施工图设计文件的内容为准；存量项目主要包括园区公舍、智能制造产业园（工业坊）、阳澄邻里中心、明日邻里中心，存量项目采用委托运营的方式，在项目合作期限内，项目公司具有存量项目的经营权，存量项目的资产权属归属于苏州宿迁工业园区管委会或地方国有公司，存量项目资产租赁费具体以资产评估报告为准</w:t>
      </w:r>
      <w:r>
        <w:rPr>
          <w:rFonts w:ascii="仿宋" w:hAnsi="仿宋" w:eastAsia="仿宋" w:cs="仿宋"/>
          <w:sz w:val="24"/>
          <w:szCs w:val="24"/>
        </w:rPr>
        <w:t>。</w:t>
      </w:r>
      <w:r>
        <w:rPr>
          <w:rFonts w:hint="eastAsia" w:ascii="仿宋" w:hAnsi="仿宋" w:eastAsia="仿宋" w:cs="仿宋"/>
          <w:sz w:val="24"/>
          <w:szCs w:val="24"/>
        </w:rPr>
        <w:t>具体新建内容详见《</w:t>
      </w:r>
      <w:r>
        <w:rPr>
          <w:rFonts w:ascii="仿宋" w:hAnsi="仿宋" w:eastAsia="仿宋" w:cs="仿宋"/>
          <w:sz w:val="24"/>
          <w:szCs w:val="24"/>
        </w:rPr>
        <w:t>PPP项目合同》附件</w:t>
      </w:r>
      <w:r>
        <w:rPr>
          <w:rFonts w:hint="eastAsia" w:ascii="仿宋" w:hAnsi="仿宋" w:eastAsia="仿宋" w:cs="仿宋"/>
          <w:sz w:val="24"/>
          <w:szCs w:val="24"/>
        </w:rPr>
        <w:t>六，存量项目内容详见《</w:t>
      </w:r>
      <w:r>
        <w:rPr>
          <w:rFonts w:ascii="仿宋" w:hAnsi="仿宋" w:eastAsia="仿宋" w:cs="仿宋"/>
          <w:sz w:val="24"/>
          <w:szCs w:val="24"/>
        </w:rPr>
        <w:t>PPP项目合同》附件七。</w:t>
      </w:r>
    </w:p>
    <w:p>
      <w:pPr>
        <w:spacing w:line="560" w:lineRule="exact"/>
        <w:ind w:firstLine="482" w:firstLineChars="200"/>
        <w:rPr>
          <w:rFonts w:ascii="仿宋" w:hAnsi="仿宋" w:eastAsia="仿宋"/>
          <w:bCs/>
          <w:sz w:val="24"/>
        </w:rPr>
      </w:pPr>
      <w:r>
        <w:rPr>
          <w:rFonts w:hint="eastAsia" w:ascii="仿宋" w:hAnsi="仿宋" w:eastAsia="仿宋"/>
          <w:b/>
          <w:bCs/>
          <w:sz w:val="24"/>
          <w:szCs w:val="24"/>
        </w:rPr>
        <w:t>2.6合作</w:t>
      </w:r>
      <w:r>
        <w:rPr>
          <w:rFonts w:ascii="仿宋" w:hAnsi="仿宋" w:eastAsia="仿宋"/>
          <w:b/>
          <w:bCs/>
          <w:sz w:val="24"/>
          <w:szCs w:val="24"/>
        </w:rPr>
        <w:t>期限</w:t>
      </w:r>
    </w:p>
    <w:p>
      <w:pPr>
        <w:spacing w:line="560" w:lineRule="exact"/>
        <w:ind w:firstLine="482" w:firstLineChars="200"/>
        <w:rPr>
          <w:rFonts w:ascii="仿宋" w:hAnsi="仿宋" w:eastAsia="仿宋" w:cs="仿宋"/>
          <w:sz w:val="24"/>
          <w:szCs w:val="24"/>
        </w:rPr>
      </w:pPr>
      <w:r>
        <w:rPr>
          <w:rFonts w:hint="eastAsia" w:ascii="仿宋" w:hAnsi="仿宋" w:eastAsia="仿宋" w:cs="仿宋"/>
          <w:b/>
          <w:sz w:val="24"/>
          <w:szCs w:val="24"/>
        </w:rPr>
        <w:t>除依据《</w:t>
      </w:r>
      <w:r>
        <w:rPr>
          <w:rFonts w:ascii="仿宋" w:hAnsi="仿宋" w:eastAsia="仿宋" w:cs="仿宋"/>
          <w:b/>
          <w:sz w:val="24"/>
          <w:szCs w:val="24"/>
        </w:rPr>
        <w:t>PPP项目合同》约定的本项目合作期限予以延长</w:t>
      </w:r>
      <w:r>
        <w:rPr>
          <w:rFonts w:hint="eastAsia" w:ascii="仿宋" w:hAnsi="仿宋" w:eastAsia="仿宋" w:cs="仿宋"/>
          <w:b/>
          <w:sz w:val="24"/>
          <w:szCs w:val="24"/>
        </w:rPr>
        <w:t>或本项目提前终止的情形外，本项目合作期</w:t>
      </w:r>
      <w:r>
        <w:rPr>
          <w:rFonts w:ascii="仿宋" w:hAnsi="仿宋" w:eastAsia="仿宋" w:cs="仿宋"/>
          <w:b/>
          <w:sz w:val="24"/>
          <w:szCs w:val="24"/>
        </w:rPr>
        <w:t>10年（含建设期和运营期），</w:t>
      </w:r>
      <w:r>
        <w:rPr>
          <w:rFonts w:hint="eastAsia" w:ascii="仿宋" w:hAnsi="仿宋" w:eastAsia="仿宋" w:cs="仿宋"/>
          <w:b/>
          <w:sz w:val="24"/>
          <w:szCs w:val="24"/>
        </w:rPr>
        <w:t>自本协议生效日</w:t>
      </w:r>
      <w:r>
        <w:rPr>
          <w:rFonts w:ascii="仿宋" w:hAnsi="仿宋" w:eastAsia="仿宋" w:cs="仿宋"/>
          <w:b/>
          <w:sz w:val="24"/>
          <w:szCs w:val="24"/>
        </w:rPr>
        <w:t>起算</w:t>
      </w:r>
      <w:r>
        <w:rPr>
          <w:rFonts w:hint="eastAsia" w:ascii="仿宋" w:hAnsi="仿宋" w:eastAsia="仿宋" w:cs="仿宋"/>
          <w:b/>
          <w:sz w:val="24"/>
          <w:szCs w:val="24"/>
        </w:rPr>
        <w:t>。</w:t>
      </w:r>
      <w:r>
        <w:rPr>
          <w:rFonts w:ascii="仿宋" w:hAnsi="仿宋" w:eastAsia="仿宋" w:cs="仿宋"/>
          <w:sz w:val="24"/>
          <w:szCs w:val="24"/>
        </w:rPr>
        <w:t>其中，新建项目（含在建工程）总建设期为3年，2021年竣工的子项，运营期为9年，2022年竣工的子项，运营期为8年，2023年竣工的子项，运营期为7年。存量项目运营期为10年。</w:t>
      </w:r>
    </w:p>
    <w:p>
      <w:pPr>
        <w:spacing w:line="560" w:lineRule="exact"/>
        <w:ind w:firstLine="482" w:firstLineChars="200"/>
        <w:rPr>
          <w:rFonts w:ascii="仿宋" w:hAnsi="仿宋" w:eastAsia="仿宋"/>
          <w:b/>
          <w:bCs/>
          <w:sz w:val="24"/>
          <w:szCs w:val="24"/>
        </w:rPr>
      </w:pPr>
      <w:r>
        <w:rPr>
          <w:rFonts w:ascii="仿宋" w:hAnsi="仿宋" w:eastAsia="仿宋" w:cs="仿宋"/>
          <w:b/>
          <w:bCs/>
          <w:sz w:val="24"/>
          <w:szCs w:val="24"/>
        </w:rPr>
        <w:t>2.7</w:t>
      </w:r>
      <w:r>
        <w:rPr>
          <w:rFonts w:hint="eastAsia" w:ascii="仿宋" w:hAnsi="仿宋" w:eastAsia="仿宋"/>
          <w:b/>
          <w:bCs/>
          <w:sz w:val="24"/>
          <w:szCs w:val="24"/>
        </w:rPr>
        <w:t>协议安排</w:t>
      </w:r>
    </w:p>
    <w:p>
      <w:pPr>
        <w:adjustRightInd w:val="0"/>
        <w:snapToGrid w:val="0"/>
        <w:spacing w:before="120" w:after="120" w:line="360" w:lineRule="auto"/>
        <w:ind w:firstLine="480" w:firstLineChars="200"/>
        <w:rPr>
          <w:rFonts w:ascii="仿宋" w:hAnsi="仿宋" w:eastAsia="仿宋" w:cs="仿宋"/>
          <w:sz w:val="24"/>
          <w:szCs w:val="24"/>
        </w:rPr>
      </w:pPr>
      <w:r>
        <w:rPr>
          <w:rFonts w:hint="eastAsia" w:ascii="仿宋" w:hAnsi="仿宋" w:eastAsia="仿宋" w:cs="仿宋"/>
          <w:sz w:val="24"/>
          <w:szCs w:val="24"/>
        </w:rPr>
        <w:t>本协议签署之时，乙方应当按本项目采购文件规定与甲方同步签署《</w:t>
      </w:r>
      <w:r>
        <w:rPr>
          <w:rFonts w:ascii="仿宋" w:hAnsi="仿宋" w:eastAsia="仿宋" w:cs="仿宋"/>
          <w:sz w:val="24"/>
          <w:szCs w:val="24"/>
        </w:rPr>
        <w:t>PPP</w:t>
      </w:r>
      <w:r>
        <w:rPr>
          <w:rFonts w:hint="eastAsia" w:ascii="仿宋" w:hAnsi="仿宋" w:eastAsia="仿宋" w:cs="仿宋"/>
          <w:sz w:val="24"/>
          <w:szCs w:val="24"/>
        </w:rPr>
        <w:t>项目合同》，与政府方出资代表签署《股东协议》。</w:t>
      </w:r>
    </w:p>
    <w:p>
      <w:pPr>
        <w:adjustRightInd w:val="0"/>
        <w:snapToGrid w:val="0"/>
        <w:spacing w:before="120" w:after="120" w:line="360" w:lineRule="auto"/>
        <w:ind w:firstLine="480" w:firstLineChars="200"/>
        <w:rPr>
          <w:rFonts w:ascii="仿宋" w:hAnsi="仿宋" w:eastAsia="仿宋" w:cs="仿宋"/>
          <w:sz w:val="24"/>
          <w:szCs w:val="24"/>
        </w:rPr>
      </w:pPr>
      <w:r>
        <w:rPr>
          <w:rFonts w:hint="eastAsia" w:ascii="仿宋" w:hAnsi="仿宋" w:eastAsia="仿宋" w:cs="仿宋"/>
          <w:sz w:val="24"/>
          <w:szCs w:val="24"/>
        </w:rPr>
        <w:t>《股东协议》签署之日起30日内注册成立项目公司，项目公司在注册成立后的</w:t>
      </w:r>
      <w:r>
        <w:rPr>
          <w:rFonts w:ascii="仿宋" w:hAnsi="仿宋" w:eastAsia="仿宋" w:cs="仿宋"/>
          <w:sz w:val="24"/>
          <w:szCs w:val="24"/>
        </w:rPr>
        <w:t>10</w:t>
      </w:r>
      <w:r>
        <w:rPr>
          <w:rFonts w:hint="eastAsia" w:ascii="仿宋" w:hAnsi="仿宋" w:eastAsia="仿宋" w:cs="仿宋"/>
          <w:sz w:val="24"/>
          <w:szCs w:val="24"/>
        </w:rPr>
        <w:t>日内与甲方、乙方签署《承继协议》</w:t>
      </w:r>
      <w:r>
        <w:rPr>
          <w:rFonts w:ascii="仿宋" w:hAnsi="仿宋" w:eastAsia="仿宋" w:cs="仿宋"/>
          <w:sz w:val="24"/>
          <w:szCs w:val="24"/>
        </w:rPr>
        <w:t>。</w:t>
      </w:r>
    </w:p>
    <w:p>
      <w:pPr>
        <w:pStyle w:val="3"/>
        <w:numPr>
          <w:ilvl w:val="0"/>
          <w:numId w:val="0"/>
        </w:numPr>
        <w:ind w:left="-576"/>
        <w:jc w:val="center"/>
        <w:rPr>
          <w:rFonts w:ascii="仿宋" w:hAnsi="仿宋" w:eastAsia="仿宋"/>
        </w:rPr>
      </w:pPr>
      <w:bookmarkStart w:id="29" w:name="_Toc491850042"/>
      <w:bookmarkStart w:id="30" w:name="_Toc1511"/>
      <w:bookmarkStart w:id="31" w:name="_Toc62570352"/>
      <w:r>
        <w:rPr>
          <w:rFonts w:hint="eastAsia" w:ascii="仿宋" w:hAnsi="仿宋" w:eastAsia="仿宋"/>
        </w:rPr>
        <w:t xml:space="preserve">第三章  </w:t>
      </w:r>
      <w:bookmarkEnd w:id="29"/>
      <w:bookmarkEnd w:id="30"/>
      <w:r>
        <w:rPr>
          <w:rFonts w:hint="eastAsia" w:ascii="仿宋" w:hAnsi="仿宋" w:eastAsia="仿宋"/>
        </w:rPr>
        <w:t>声明与保证</w:t>
      </w:r>
      <w:bookmarkEnd w:id="31"/>
    </w:p>
    <w:p>
      <w:pPr>
        <w:spacing w:line="560" w:lineRule="exact"/>
        <w:ind w:firstLine="482" w:firstLineChars="200"/>
        <w:rPr>
          <w:rFonts w:ascii="仿宋" w:hAnsi="仿宋" w:eastAsia="仿宋" w:cs="仿宋"/>
          <w:b/>
          <w:bCs/>
          <w:sz w:val="24"/>
          <w:szCs w:val="24"/>
        </w:rPr>
      </w:pPr>
      <w:r>
        <w:rPr>
          <w:rFonts w:ascii="仿宋" w:hAnsi="仿宋" w:eastAsia="仿宋" w:cs="仿宋"/>
          <w:b/>
          <w:bCs/>
          <w:sz w:val="24"/>
          <w:szCs w:val="24"/>
        </w:rPr>
        <w:t xml:space="preserve">3.1 </w:t>
      </w:r>
      <w:r>
        <w:rPr>
          <w:rFonts w:hint="eastAsia" w:ascii="仿宋" w:hAnsi="仿宋" w:eastAsia="仿宋" w:cs="仿宋"/>
          <w:b/>
          <w:bCs/>
          <w:sz w:val="24"/>
          <w:szCs w:val="24"/>
        </w:rPr>
        <w:t>甲方的声明</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甲方在此向乙方声明，在生效日：</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甲方已获得宿迁市人民政府的授权和批准签署本</w:t>
      </w:r>
      <w:r>
        <w:rPr>
          <w:rFonts w:hint="eastAsia" w:ascii="仿宋" w:hAnsi="仿宋" w:eastAsia="仿宋" w:cs="仿宋"/>
          <w:sz w:val="24"/>
          <w:szCs w:val="24"/>
        </w:rPr>
        <w:t>协议</w:t>
      </w:r>
      <w:r>
        <w:rPr>
          <w:rFonts w:ascii="仿宋" w:hAnsi="仿宋" w:eastAsia="仿宋" w:cs="仿宋"/>
          <w:sz w:val="24"/>
          <w:szCs w:val="24"/>
        </w:rPr>
        <w:t>；</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甲方具有签署和履行本</w:t>
      </w:r>
      <w:r>
        <w:rPr>
          <w:rFonts w:hint="eastAsia" w:ascii="仿宋" w:hAnsi="仿宋" w:eastAsia="仿宋" w:cs="仿宋"/>
          <w:sz w:val="24"/>
          <w:szCs w:val="24"/>
        </w:rPr>
        <w:t>协议</w:t>
      </w:r>
      <w:r>
        <w:rPr>
          <w:rFonts w:ascii="仿宋" w:hAnsi="仿宋" w:eastAsia="仿宋" w:cs="仿宋"/>
          <w:sz w:val="24"/>
          <w:szCs w:val="24"/>
        </w:rPr>
        <w:t>的法人资格和权利；</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如果甲方在本</w:t>
      </w:r>
      <w:r>
        <w:rPr>
          <w:rFonts w:hint="eastAsia" w:ascii="仿宋" w:hAnsi="仿宋" w:eastAsia="仿宋" w:cs="仿宋"/>
          <w:sz w:val="24"/>
          <w:szCs w:val="24"/>
        </w:rPr>
        <w:t>协议第三章</w:t>
      </w:r>
      <w:r>
        <w:rPr>
          <w:rFonts w:ascii="仿宋" w:hAnsi="仿宋" w:eastAsia="仿宋" w:cs="仿宋"/>
          <w:sz w:val="24"/>
          <w:szCs w:val="24"/>
        </w:rPr>
        <w:t>下所作的声明被证明在作出之时在实质方面不属实，乙方有权终止本</w:t>
      </w:r>
      <w:r>
        <w:rPr>
          <w:rFonts w:hint="eastAsia" w:ascii="仿宋" w:hAnsi="仿宋" w:eastAsia="仿宋" w:cs="仿宋"/>
          <w:sz w:val="24"/>
          <w:szCs w:val="24"/>
        </w:rPr>
        <w:t>协议。</w:t>
      </w:r>
    </w:p>
    <w:p>
      <w:pPr>
        <w:spacing w:line="56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ascii="仿宋" w:hAnsi="仿宋" w:eastAsia="仿宋" w:cs="仿宋"/>
          <w:b/>
          <w:bCs/>
          <w:sz w:val="24"/>
          <w:szCs w:val="24"/>
        </w:rPr>
        <w:t xml:space="preserve">2 </w:t>
      </w:r>
      <w:r>
        <w:rPr>
          <w:rFonts w:hint="eastAsia" w:ascii="仿宋" w:hAnsi="仿宋" w:eastAsia="仿宋" w:cs="仿宋"/>
          <w:b/>
          <w:bCs/>
          <w:sz w:val="24"/>
          <w:szCs w:val="24"/>
        </w:rPr>
        <w:t>乙方的声明</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乙方在此向甲方声明，在生效日：</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（1）乙方已获得其董事会的授权和批准签署本协议；</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（2）乙方</w:t>
      </w:r>
      <w:r>
        <w:rPr>
          <w:rFonts w:ascii="仿宋" w:hAnsi="仿宋" w:eastAsia="仿宋" w:cs="仿宋"/>
          <w:sz w:val="24"/>
          <w:szCs w:val="24"/>
        </w:rPr>
        <w:t>具有签署和履行本</w:t>
      </w:r>
      <w:r>
        <w:rPr>
          <w:rFonts w:hint="eastAsia" w:ascii="仿宋" w:hAnsi="仿宋" w:eastAsia="仿宋" w:cs="仿宋"/>
          <w:sz w:val="24"/>
          <w:szCs w:val="24"/>
        </w:rPr>
        <w:t>协议</w:t>
      </w:r>
      <w:r>
        <w:rPr>
          <w:rFonts w:ascii="仿宋" w:hAnsi="仿宋" w:eastAsia="仿宋" w:cs="仿宋"/>
          <w:sz w:val="24"/>
          <w:szCs w:val="24"/>
        </w:rPr>
        <w:t>的法人资格和权利；</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如果</w:t>
      </w:r>
      <w:r>
        <w:rPr>
          <w:rFonts w:hint="eastAsia" w:ascii="仿宋" w:hAnsi="仿宋" w:eastAsia="仿宋" w:cs="仿宋"/>
          <w:sz w:val="24"/>
          <w:szCs w:val="24"/>
        </w:rPr>
        <w:t>乙方</w:t>
      </w:r>
      <w:r>
        <w:rPr>
          <w:rFonts w:ascii="仿宋" w:hAnsi="仿宋" w:eastAsia="仿宋" w:cs="仿宋"/>
          <w:sz w:val="24"/>
          <w:szCs w:val="24"/>
        </w:rPr>
        <w:t>在本</w:t>
      </w:r>
      <w:r>
        <w:rPr>
          <w:rFonts w:hint="eastAsia" w:ascii="仿宋" w:hAnsi="仿宋" w:eastAsia="仿宋" w:cs="仿宋"/>
          <w:sz w:val="24"/>
          <w:szCs w:val="24"/>
        </w:rPr>
        <w:t>协议第三章</w:t>
      </w:r>
      <w:r>
        <w:rPr>
          <w:rFonts w:ascii="仿宋" w:hAnsi="仿宋" w:eastAsia="仿宋" w:cs="仿宋"/>
          <w:sz w:val="24"/>
          <w:szCs w:val="24"/>
        </w:rPr>
        <w:t>下所作的声明被证明在作出之时在实质方面不属实，</w:t>
      </w:r>
      <w:r>
        <w:rPr>
          <w:rFonts w:hint="eastAsia" w:ascii="仿宋" w:hAnsi="仿宋" w:eastAsia="仿宋" w:cs="仿宋"/>
          <w:sz w:val="24"/>
          <w:szCs w:val="24"/>
        </w:rPr>
        <w:t>甲方</w:t>
      </w:r>
      <w:r>
        <w:rPr>
          <w:rFonts w:ascii="仿宋" w:hAnsi="仿宋" w:eastAsia="仿宋" w:cs="仿宋"/>
          <w:sz w:val="24"/>
          <w:szCs w:val="24"/>
        </w:rPr>
        <w:t>有权终止本</w:t>
      </w:r>
      <w:r>
        <w:rPr>
          <w:rFonts w:hint="eastAsia" w:ascii="仿宋" w:hAnsi="仿宋" w:eastAsia="仿宋" w:cs="仿宋"/>
          <w:sz w:val="24"/>
          <w:szCs w:val="24"/>
        </w:rPr>
        <w:t>协议。</w:t>
      </w:r>
    </w:p>
    <w:p>
      <w:pPr>
        <w:pStyle w:val="3"/>
        <w:numPr>
          <w:ilvl w:val="0"/>
          <w:numId w:val="0"/>
        </w:numPr>
        <w:ind w:left="-576"/>
        <w:jc w:val="center"/>
        <w:rPr>
          <w:rFonts w:ascii="仿宋" w:hAnsi="仿宋" w:eastAsia="仿宋"/>
        </w:rPr>
      </w:pPr>
      <w:bookmarkStart w:id="32" w:name="_Toc24016"/>
      <w:bookmarkStart w:id="33" w:name="_Toc491850043"/>
      <w:bookmarkStart w:id="34" w:name="_Toc62570353"/>
      <w:r>
        <w:rPr>
          <w:rFonts w:hint="eastAsia" w:ascii="仿宋" w:hAnsi="仿宋" w:eastAsia="仿宋"/>
        </w:rPr>
        <w:t>第四章  项目公司</w:t>
      </w:r>
      <w:bookmarkEnd w:id="32"/>
      <w:bookmarkEnd w:id="33"/>
      <w:r>
        <w:rPr>
          <w:rFonts w:hint="eastAsia" w:ascii="仿宋" w:hAnsi="仿宋" w:eastAsia="仿宋"/>
        </w:rPr>
        <w:t>组建</w:t>
      </w:r>
      <w:bookmarkEnd w:id="34"/>
    </w:p>
    <w:p>
      <w:pPr>
        <w:spacing w:line="560" w:lineRule="exact"/>
        <w:ind w:firstLine="482" w:firstLineChars="200"/>
        <w:rPr>
          <w:rFonts w:ascii="仿宋" w:hAnsi="仿宋" w:eastAsia="仿宋"/>
          <w:b/>
          <w:bCs/>
          <w:sz w:val="24"/>
          <w:szCs w:val="24"/>
        </w:rPr>
      </w:pPr>
      <w:r>
        <w:rPr>
          <w:rFonts w:ascii="仿宋" w:hAnsi="仿宋" w:eastAsia="仿宋"/>
          <w:b/>
          <w:bCs/>
          <w:sz w:val="24"/>
          <w:szCs w:val="24"/>
        </w:rPr>
        <w:t>4.1</w:t>
      </w:r>
      <w:r>
        <w:rPr>
          <w:rFonts w:hint="eastAsia" w:ascii="仿宋" w:hAnsi="仿宋" w:eastAsia="仿宋"/>
          <w:b/>
          <w:bCs/>
          <w:sz w:val="24"/>
          <w:szCs w:val="24"/>
        </w:rPr>
        <w:t>项目公司组建时间</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乙方与政府方授权出资代表宿迁交通产业集团有限公司应于《股东协议》签署生效之日起三十（30</w:t>
      </w:r>
      <w:r>
        <w:rPr>
          <w:rFonts w:ascii="仿宋" w:hAnsi="仿宋" w:eastAsia="仿宋" w:cs="仿宋"/>
          <w:sz w:val="24"/>
          <w:szCs w:val="24"/>
        </w:rPr>
        <w:t>）日内</w:t>
      </w:r>
      <w:r>
        <w:rPr>
          <w:rFonts w:hint="eastAsia" w:ascii="仿宋" w:hAnsi="仿宋" w:eastAsia="仿宋" w:cs="仿宋"/>
          <w:sz w:val="24"/>
          <w:szCs w:val="24"/>
        </w:rPr>
        <w:t>完成</w:t>
      </w:r>
      <w:r>
        <w:rPr>
          <w:rFonts w:ascii="仿宋" w:hAnsi="仿宋" w:eastAsia="仿宋" w:cs="仿宋"/>
          <w:sz w:val="24"/>
          <w:szCs w:val="24"/>
        </w:rPr>
        <w:t>项目公司</w:t>
      </w:r>
      <w:r>
        <w:rPr>
          <w:rFonts w:hint="eastAsia" w:ascii="仿宋" w:hAnsi="仿宋" w:eastAsia="仿宋" w:cs="仿宋"/>
          <w:sz w:val="24"/>
          <w:szCs w:val="24"/>
        </w:rPr>
        <w:t>的设立，并领取营业执照。</w:t>
      </w:r>
    </w:p>
    <w:p>
      <w:pPr>
        <w:spacing w:line="560" w:lineRule="exact"/>
        <w:ind w:firstLine="482" w:firstLineChars="200"/>
        <w:rPr>
          <w:rFonts w:ascii="仿宋" w:hAnsi="仿宋" w:eastAsia="仿宋"/>
          <w:b/>
          <w:bCs/>
          <w:sz w:val="24"/>
          <w:szCs w:val="24"/>
        </w:rPr>
      </w:pPr>
      <w:r>
        <w:rPr>
          <w:rFonts w:hint="eastAsia" w:ascii="仿宋" w:hAnsi="仿宋" w:eastAsia="仿宋"/>
          <w:b/>
          <w:bCs/>
          <w:sz w:val="24"/>
          <w:szCs w:val="24"/>
        </w:rPr>
        <w:t>4.2项目公司的注册资本及股东出资</w:t>
      </w:r>
    </w:p>
    <w:p>
      <w:pPr>
        <w:adjustRightInd w:val="0"/>
        <w:snapToGrid w:val="0"/>
        <w:spacing w:line="560" w:lineRule="exact"/>
        <w:ind w:firstLine="480"/>
        <w:rPr>
          <w:rFonts w:ascii="仿宋" w:hAnsi="仿宋" w:eastAsia="仿宋" w:cs="仿宋"/>
          <w:sz w:val="24"/>
          <w:szCs w:val="24"/>
        </w:rPr>
      </w:pPr>
      <w:bookmarkStart w:id="35" w:name="_Hlk40851487"/>
      <w:r>
        <w:rPr>
          <w:rFonts w:hint="eastAsia" w:ascii="仿宋" w:hAnsi="仿宋" w:eastAsia="仿宋" w:cs="仿宋"/>
          <w:sz w:val="24"/>
          <w:szCs w:val="24"/>
        </w:rPr>
        <w:t>4.2.1项目公司的注册资本与项目资本金保持一致，为人民币伍亿壹仟柒佰玖拾贰万零伍佰元（</w:t>
      </w:r>
      <w:r>
        <w:rPr>
          <w:rFonts w:ascii="仿宋" w:hAnsi="仿宋" w:eastAsia="仿宋" w:cs="仿宋"/>
          <w:sz w:val="24"/>
          <w:szCs w:val="24"/>
        </w:rPr>
        <w:t>RMB 517,920,5</w:t>
      </w:r>
      <w:r>
        <w:rPr>
          <w:rFonts w:hint="eastAsia" w:ascii="仿宋" w:hAnsi="仿宋" w:eastAsia="仿宋" w:cs="仿宋"/>
          <w:sz w:val="24"/>
          <w:szCs w:val="24"/>
        </w:rPr>
        <w:t>00.00）</w:t>
      </w:r>
      <w:r>
        <w:rPr>
          <w:rFonts w:ascii="仿宋" w:hAnsi="仿宋" w:eastAsia="仿宋" w:cs="仿宋"/>
          <w:sz w:val="24"/>
          <w:szCs w:val="24"/>
        </w:rPr>
        <w:t>，</w:t>
      </w:r>
      <w:r>
        <w:rPr>
          <w:rFonts w:hint="eastAsia" w:ascii="仿宋" w:hAnsi="仿宋" w:eastAsia="仿宋" w:cs="仿宋"/>
          <w:sz w:val="24"/>
          <w:szCs w:val="24"/>
        </w:rPr>
        <w:t>乙方及政府方出资代表</w:t>
      </w:r>
      <w:r>
        <w:rPr>
          <w:rFonts w:ascii="仿宋" w:hAnsi="仿宋" w:eastAsia="仿宋" w:cs="仿宋"/>
          <w:sz w:val="24"/>
          <w:szCs w:val="24"/>
        </w:rPr>
        <w:t>均以货币形式出资。</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4.2.2</w:t>
      </w:r>
      <w:bookmarkEnd w:id="35"/>
      <w:r>
        <w:rPr>
          <w:rFonts w:hint="eastAsia" w:ascii="仿宋" w:hAnsi="仿宋" w:eastAsia="仿宋" w:cs="仿宋"/>
          <w:sz w:val="24"/>
          <w:szCs w:val="24"/>
        </w:rPr>
        <w:t>如因项目投资增加或融资需要增加项目资本金，则增加部分由乙方予以补足，政府方出资代表不出资，采用降低政府方股权比例的方式，以满足要求。</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4.2.3政府方出资代表出资人民币壹亿零叁佰伍拾捌万肆仟壹佰元（</w:t>
      </w:r>
      <w:r>
        <w:rPr>
          <w:rFonts w:ascii="仿宋" w:hAnsi="仿宋" w:eastAsia="仿宋" w:cs="仿宋"/>
          <w:sz w:val="24"/>
          <w:szCs w:val="24"/>
        </w:rPr>
        <w:t>RMB 103,584,100.00</w:t>
      </w:r>
      <w:r>
        <w:rPr>
          <w:rFonts w:hint="eastAsia" w:ascii="仿宋" w:hAnsi="仿宋" w:eastAsia="仿宋" w:cs="仿宋"/>
          <w:sz w:val="24"/>
          <w:szCs w:val="24"/>
        </w:rPr>
        <w:t>），在项目公司中的股权比例为百分之二十（</w:t>
      </w:r>
      <w:r>
        <w:rPr>
          <w:rFonts w:ascii="仿宋" w:hAnsi="仿宋" w:eastAsia="仿宋" w:cs="仿宋"/>
          <w:sz w:val="24"/>
          <w:szCs w:val="24"/>
        </w:rPr>
        <w:t>2</w:t>
      </w:r>
      <w:r>
        <w:rPr>
          <w:rFonts w:hint="eastAsia" w:ascii="仿宋" w:hAnsi="仿宋" w:eastAsia="仿宋" w:cs="仿宋"/>
          <w:sz w:val="24"/>
          <w:szCs w:val="24"/>
        </w:rPr>
        <w:t>0%）；乙方出资人民币肆亿壹仟肆佰叁拾叁万陆仟肆佰元（</w:t>
      </w:r>
      <w:r>
        <w:rPr>
          <w:rFonts w:ascii="仿宋" w:hAnsi="仿宋" w:eastAsia="仿宋" w:cs="仿宋"/>
          <w:sz w:val="24"/>
          <w:szCs w:val="24"/>
        </w:rPr>
        <w:t>RMB 414,336,400.00</w:t>
      </w:r>
      <w:r>
        <w:rPr>
          <w:rFonts w:hint="eastAsia" w:ascii="仿宋" w:hAnsi="仿宋" w:eastAsia="仿宋" w:cs="仿宋"/>
          <w:sz w:val="24"/>
          <w:szCs w:val="24"/>
        </w:rPr>
        <w:t>），在项目公司的股权比例为百分之八十（</w:t>
      </w:r>
      <w:r>
        <w:rPr>
          <w:rFonts w:ascii="仿宋" w:hAnsi="仿宋" w:eastAsia="仿宋" w:cs="仿宋"/>
          <w:sz w:val="24"/>
          <w:szCs w:val="24"/>
        </w:rPr>
        <w:t>8</w:t>
      </w:r>
      <w:r>
        <w:rPr>
          <w:rFonts w:hint="eastAsia" w:ascii="仿宋" w:hAnsi="仿宋" w:eastAsia="仿宋" w:cs="仿宋"/>
          <w:sz w:val="24"/>
          <w:szCs w:val="24"/>
        </w:rPr>
        <w:t>0%），如乙方为联合体，各成员单位均应出资，且按照联合体协议约定出资比列履行出资义务。</w:t>
      </w:r>
    </w:p>
    <w:p>
      <w:pPr>
        <w:adjustRightInd w:val="0"/>
        <w:snapToGrid w:val="0"/>
        <w:spacing w:line="560" w:lineRule="exact"/>
        <w:ind w:firstLine="480"/>
        <w:rPr>
          <w:rFonts w:ascii="仿宋" w:hAnsi="仿宋" w:eastAsia="仿宋" w:cs="仿宋"/>
          <w:sz w:val="24"/>
          <w:szCs w:val="24"/>
        </w:rPr>
      </w:pPr>
      <w:r>
        <w:rPr>
          <w:rFonts w:ascii="仿宋" w:hAnsi="仿宋" w:eastAsia="仿宋" w:cs="仿宋"/>
          <w:sz w:val="24"/>
          <w:szCs w:val="24"/>
        </w:rPr>
        <w:t>4.2.4</w:t>
      </w:r>
      <w:r>
        <w:rPr>
          <w:rFonts w:hint="eastAsia" w:ascii="仿宋" w:hAnsi="仿宋" w:eastAsia="仿宋" w:cs="仿宋"/>
          <w:sz w:val="24"/>
          <w:szCs w:val="24"/>
        </w:rPr>
        <w:t xml:space="preserve"> 项目</w:t>
      </w:r>
      <w:r>
        <w:rPr>
          <w:rFonts w:ascii="仿宋" w:hAnsi="仿宋" w:eastAsia="仿宋" w:cs="仿宋"/>
          <w:sz w:val="24"/>
          <w:szCs w:val="24"/>
        </w:rPr>
        <w:t>公司注册资本分期到位，</w:t>
      </w:r>
      <w:r>
        <w:rPr>
          <w:rFonts w:hint="eastAsia" w:ascii="仿宋" w:hAnsi="仿宋" w:eastAsia="仿宋" w:cs="仿宋"/>
          <w:sz w:val="24"/>
          <w:szCs w:val="24"/>
        </w:rPr>
        <w:t>其中首期注册资本为人民币贰亿伍仟万元（</w:t>
      </w:r>
      <w:r>
        <w:rPr>
          <w:rFonts w:ascii="仿宋" w:hAnsi="仿宋" w:eastAsia="仿宋" w:cs="仿宋"/>
          <w:sz w:val="24"/>
          <w:szCs w:val="24"/>
        </w:rPr>
        <w:t>RMB 250,000,000.00）</w:t>
      </w:r>
      <w:r>
        <w:rPr>
          <w:rFonts w:hint="eastAsia" w:ascii="仿宋" w:hAnsi="仿宋" w:eastAsia="仿宋" w:cs="仿宋"/>
          <w:sz w:val="24"/>
          <w:szCs w:val="24"/>
        </w:rPr>
        <w:t>，政府方出资代表及乙方应在项目公司领取营业执照之日起六十（</w:t>
      </w:r>
      <w:r>
        <w:rPr>
          <w:rFonts w:ascii="仿宋" w:hAnsi="仿宋" w:eastAsia="仿宋" w:cs="仿宋"/>
          <w:sz w:val="24"/>
          <w:szCs w:val="24"/>
        </w:rPr>
        <w:t>60）日内</w:t>
      </w:r>
      <w:r>
        <w:rPr>
          <w:rFonts w:hint="eastAsia" w:ascii="仿宋" w:hAnsi="仿宋" w:eastAsia="仿宋" w:cs="仿宋"/>
          <w:sz w:val="24"/>
          <w:szCs w:val="24"/>
        </w:rPr>
        <w:t>按照股权比例将首期注册资本实缴到位，剩余注册资本按照项目实施进度进行缴纳，</w:t>
      </w:r>
      <w:r>
        <w:rPr>
          <w:rFonts w:ascii="仿宋" w:hAnsi="仿宋" w:eastAsia="仿宋" w:cs="仿宋"/>
          <w:sz w:val="24"/>
          <w:szCs w:val="24"/>
        </w:rPr>
        <w:t>但</w:t>
      </w:r>
      <w:r>
        <w:rPr>
          <w:rFonts w:hint="eastAsia" w:ascii="仿宋" w:hAnsi="仿宋" w:eastAsia="仿宋" w:cs="仿宋"/>
          <w:sz w:val="24"/>
          <w:szCs w:val="24"/>
        </w:rPr>
        <w:t>项目公司</w:t>
      </w:r>
      <w:r>
        <w:rPr>
          <w:rFonts w:ascii="仿宋" w:hAnsi="仿宋" w:eastAsia="仿宋" w:cs="仿宋"/>
          <w:sz w:val="24"/>
          <w:szCs w:val="24"/>
        </w:rPr>
        <w:t>各</w:t>
      </w:r>
      <w:r>
        <w:rPr>
          <w:rFonts w:hint="eastAsia" w:ascii="仿宋" w:hAnsi="仿宋" w:eastAsia="仿宋" w:cs="仿宋"/>
          <w:sz w:val="24"/>
          <w:szCs w:val="24"/>
        </w:rPr>
        <w:t>股东</w:t>
      </w:r>
      <w:r>
        <w:rPr>
          <w:rFonts w:ascii="仿宋" w:hAnsi="仿宋" w:eastAsia="仿宋" w:cs="仿宋"/>
          <w:sz w:val="24"/>
          <w:szCs w:val="24"/>
        </w:rPr>
        <w:t>方应在2022年12月31日前</w:t>
      </w:r>
      <w:r>
        <w:rPr>
          <w:rFonts w:hint="eastAsia" w:ascii="仿宋" w:hAnsi="仿宋" w:eastAsia="仿宋" w:cs="仿宋"/>
          <w:sz w:val="24"/>
          <w:szCs w:val="24"/>
        </w:rPr>
        <w:t>将各自认缴的</w:t>
      </w:r>
      <w:r>
        <w:rPr>
          <w:rFonts w:ascii="仿宋" w:hAnsi="仿宋" w:eastAsia="仿宋" w:cs="仿宋"/>
          <w:sz w:val="24"/>
          <w:szCs w:val="24"/>
        </w:rPr>
        <w:t>注册资本</w:t>
      </w:r>
      <w:r>
        <w:rPr>
          <w:rFonts w:hint="eastAsia" w:ascii="仿宋" w:hAnsi="仿宋" w:eastAsia="仿宋" w:cs="仿宋"/>
          <w:sz w:val="24"/>
          <w:szCs w:val="24"/>
        </w:rPr>
        <w:t>全部实缴到位。</w:t>
      </w:r>
    </w:p>
    <w:p>
      <w:pPr>
        <w:pStyle w:val="3"/>
        <w:numPr>
          <w:ilvl w:val="0"/>
          <w:numId w:val="0"/>
        </w:numPr>
        <w:ind w:left="-576"/>
        <w:jc w:val="center"/>
        <w:rPr>
          <w:rFonts w:ascii="仿宋" w:hAnsi="仿宋" w:eastAsia="仿宋"/>
        </w:rPr>
      </w:pPr>
      <w:bookmarkStart w:id="36" w:name="_Toc491850044"/>
      <w:bookmarkStart w:id="37" w:name="_Toc29465"/>
      <w:bookmarkStart w:id="38" w:name="_Toc62570354"/>
      <w:r>
        <w:rPr>
          <w:rFonts w:hint="eastAsia" w:ascii="仿宋" w:hAnsi="仿宋" w:eastAsia="仿宋"/>
        </w:rPr>
        <w:t xml:space="preserve">第五章  </w:t>
      </w:r>
      <w:bookmarkEnd w:id="36"/>
      <w:bookmarkEnd w:id="37"/>
      <w:r>
        <w:rPr>
          <w:rFonts w:hint="eastAsia" w:ascii="仿宋" w:hAnsi="仿宋" w:eastAsia="仿宋"/>
        </w:rPr>
        <w:t>权利和义务及双方承诺</w:t>
      </w:r>
      <w:bookmarkEnd w:id="38"/>
    </w:p>
    <w:p>
      <w:pPr>
        <w:spacing w:line="560" w:lineRule="exact"/>
        <w:ind w:firstLine="482" w:firstLineChars="200"/>
        <w:rPr>
          <w:rFonts w:ascii="仿宋" w:hAnsi="仿宋" w:eastAsia="仿宋" w:cs="仿宋"/>
          <w:b/>
          <w:bCs/>
          <w:sz w:val="24"/>
          <w:szCs w:val="24"/>
        </w:rPr>
      </w:pPr>
      <w:r>
        <w:rPr>
          <w:rFonts w:ascii="仿宋" w:hAnsi="仿宋" w:eastAsia="仿宋" w:cs="仿宋"/>
          <w:b/>
          <w:bCs/>
          <w:sz w:val="24"/>
          <w:szCs w:val="24"/>
        </w:rPr>
        <w:t>5.1</w:t>
      </w:r>
      <w:r>
        <w:rPr>
          <w:rFonts w:hint="eastAsia" w:ascii="仿宋" w:hAnsi="仿宋" w:eastAsia="仿宋" w:cs="仿宋"/>
          <w:b/>
          <w:bCs/>
          <w:sz w:val="24"/>
          <w:szCs w:val="24"/>
        </w:rPr>
        <w:t>甲方的权利和义务</w:t>
      </w:r>
      <w:bookmarkStart w:id="39" w:name="_Toc475566580"/>
    </w:p>
    <w:p>
      <w:pPr>
        <w:spacing w:line="560" w:lineRule="exact"/>
        <w:ind w:firstLine="480"/>
        <w:rPr>
          <w:rFonts w:ascii="仿宋" w:hAnsi="仿宋" w:cs="仿宋"/>
        </w:rPr>
      </w:pPr>
      <w:r>
        <w:rPr>
          <w:rFonts w:hint="eastAsia" w:ascii="仿宋" w:hAnsi="仿宋" w:eastAsia="仿宋" w:cs="仿宋"/>
          <w:sz w:val="24"/>
          <w:szCs w:val="24"/>
        </w:rPr>
        <w:t>5.1.1甲方有权自行或委托第三方机构对乙方和项目公司在合作范围内所有工作的开展情况进行监督管理和绩效评价。</w:t>
      </w:r>
      <w:bookmarkEnd w:id="39"/>
    </w:p>
    <w:p>
      <w:pPr>
        <w:spacing w:line="560" w:lineRule="exact"/>
        <w:ind w:firstLine="480"/>
        <w:rPr>
          <w:rFonts w:ascii="仿宋" w:hAnsi="仿宋" w:cs="仿宋"/>
        </w:rPr>
      </w:pPr>
      <w:bookmarkStart w:id="40" w:name="_Toc475566581"/>
      <w:r>
        <w:rPr>
          <w:rFonts w:hint="eastAsia" w:ascii="仿宋" w:hAnsi="仿宋" w:eastAsia="仿宋" w:cs="仿宋"/>
          <w:sz w:val="24"/>
          <w:szCs w:val="24"/>
        </w:rPr>
        <w:t>5.1.2甲方应当按照适用法律，在其权限和管辖范围内协助乙方获取项目公司开展合作范围内工作所必需的批准文件</w:t>
      </w:r>
      <w:bookmarkEnd w:id="40"/>
      <w:r>
        <w:rPr>
          <w:rFonts w:hint="eastAsia" w:ascii="仿宋" w:hAnsi="仿宋" w:eastAsia="仿宋" w:cs="仿宋"/>
          <w:sz w:val="24"/>
          <w:szCs w:val="24"/>
        </w:rPr>
        <w:t>。</w:t>
      </w:r>
    </w:p>
    <w:p>
      <w:pPr>
        <w:spacing w:line="560" w:lineRule="exact"/>
        <w:ind w:firstLine="480"/>
        <w:rPr>
          <w:rFonts w:ascii="仿宋" w:hAnsi="仿宋" w:cs="仿宋"/>
        </w:rPr>
      </w:pPr>
      <w:bookmarkStart w:id="41" w:name="_Toc475566582"/>
      <w:r>
        <w:rPr>
          <w:rFonts w:hint="eastAsia" w:ascii="仿宋" w:hAnsi="仿宋" w:eastAsia="仿宋" w:cs="仿宋"/>
          <w:sz w:val="24"/>
          <w:szCs w:val="24"/>
        </w:rPr>
        <w:t>5.1.3甲方应当督促政府方出资代表依约签署协议、履行股东职责、履行出资等义务。</w:t>
      </w:r>
      <w:bookmarkEnd w:id="41"/>
    </w:p>
    <w:p>
      <w:pPr>
        <w:spacing w:line="560" w:lineRule="exact"/>
        <w:ind w:firstLine="480"/>
        <w:rPr>
          <w:rFonts w:ascii="仿宋" w:hAnsi="仿宋" w:eastAsia="仿宋" w:cs="仿宋"/>
          <w:sz w:val="24"/>
          <w:szCs w:val="24"/>
        </w:rPr>
      </w:pPr>
      <w:r>
        <w:rPr>
          <w:rFonts w:hint="eastAsia" w:ascii="仿宋" w:hAnsi="仿宋" w:eastAsia="仿宋" w:cs="仿宋"/>
          <w:sz w:val="24"/>
          <w:szCs w:val="24"/>
        </w:rPr>
        <w:t>5.1.4甲方应当确保将本项目的财政支出责任纳入相应年度的财政预算，并按照《</w:t>
      </w:r>
      <w:r>
        <w:rPr>
          <w:rFonts w:ascii="仿宋" w:hAnsi="仿宋" w:eastAsia="仿宋" w:cs="仿宋"/>
          <w:sz w:val="24"/>
          <w:szCs w:val="24"/>
        </w:rPr>
        <w:t>PPP项目合同》约定根据绩效评价结果足额支付相应费用。</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.1.5</w:t>
      </w:r>
      <w:r>
        <w:rPr>
          <w:rFonts w:ascii="仿宋" w:hAnsi="仿宋" w:eastAsia="仿宋" w:cs="仿宋"/>
          <w:sz w:val="24"/>
          <w:szCs w:val="24"/>
        </w:rPr>
        <w:tab/>
      </w:r>
      <w:r>
        <w:rPr>
          <w:rFonts w:ascii="仿宋" w:hAnsi="仿宋" w:eastAsia="仿宋" w:cs="仿宋"/>
          <w:sz w:val="24"/>
          <w:szCs w:val="24"/>
        </w:rPr>
        <w:t>甲方有权享有《PPP项目合同》及适用法律规定的其它权利并承担相应义务。</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5.1.6在国家、江苏省、宿迁市政策允许的前提下，甲方为项目公司积极争取各项税费减免政策与水、电、气、热等优惠政策。</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5.1.7在政府严重违约，项目公司提前终止《</w:t>
      </w:r>
      <w:r>
        <w:rPr>
          <w:rFonts w:ascii="仿宋" w:hAnsi="仿宋" w:eastAsia="仿宋" w:cs="仿宋"/>
          <w:sz w:val="24"/>
          <w:szCs w:val="24"/>
        </w:rPr>
        <w:t>PPP项目合同》的情况下，甲方或宿迁市政府指定的部门有义务接收项目公司移交的项目设施，并向项目公司支付相应补偿。</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5.1.8如果因公共利益提前终止《</w:t>
      </w:r>
      <w:r>
        <w:rPr>
          <w:rFonts w:ascii="仿宋" w:hAnsi="仿宋" w:eastAsia="仿宋" w:cs="仿宋"/>
          <w:sz w:val="24"/>
          <w:szCs w:val="24"/>
        </w:rPr>
        <w:t>PPP项目合同》，收回项目运营权，甲方需根据《PPP项目合同》的约定给予项目公司相应补偿。</w:t>
      </w:r>
    </w:p>
    <w:p>
      <w:pPr>
        <w:spacing w:line="560" w:lineRule="exact"/>
        <w:ind w:firstLine="482" w:firstLineChars="200"/>
        <w:rPr>
          <w:rFonts w:ascii="仿宋" w:hAnsi="仿宋" w:cs="仿宋"/>
        </w:rPr>
      </w:pPr>
      <w:r>
        <w:rPr>
          <w:rFonts w:ascii="仿宋" w:hAnsi="仿宋" w:eastAsia="仿宋" w:cs="仿宋"/>
          <w:b/>
          <w:bCs/>
          <w:sz w:val="24"/>
          <w:szCs w:val="24"/>
        </w:rPr>
        <w:t>5.2乙方的</w:t>
      </w:r>
      <w:r>
        <w:rPr>
          <w:rFonts w:hint="eastAsia" w:ascii="仿宋" w:hAnsi="仿宋" w:eastAsia="仿宋" w:cs="仿宋"/>
          <w:b/>
          <w:bCs/>
          <w:sz w:val="24"/>
          <w:szCs w:val="24"/>
        </w:rPr>
        <w:t>权利及义务</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5.2.1</w:t>
      </w:r>
      <w:r>
        <w:rPr>
          <w:rFonts w:ascii="仿宋" w:hAnsi="仿宋" w:eastAsia="仿宋" w:cs="仿宋"/>
          <w:sz w:val="24"/>
          <w:szCs w:val="24"/>
        </w:rPr>
        <w:tab/>
      </w:r>
      <w:r>
        <w:rPr>
          <w:rFonts w:ascii="仿宋" w:hAnsi="仿宋" w:eastAsia="仿宋" w:cs="仿宋"/>
          <w:sz w:val="24"/>
          <w:szCs w:val="24"/>
        </w:rPr>
        <w:t>乙方有权根据合同文件约定享有合理的投资收益。</w:t>
      </w:r>
    </w:p>
    <w:p>
      <w:pPr>
        <w:spacing w:line="560" w:lineRule="exact"/>
        <w:ind w:firstLine="480"/>
        <w:rPr>
          <w:rFonts w:ascii="仿宋" w:hAnsi="仿宋" w:eastAsia="仿宋" w:cs="仿宋"/>
          <w:sz w:val="24"/>
          <w:szCs w:val="24"/>
        </w:rPr>
      </w:pPr>
      <w:r>
        <w:rPr>
          <w:rFonts w:ascii="仿宋" w:hAnsi="仿宋" w:eastAsia="仿宋" w:cs="仿宋"/>
          <w:sz w:val="24"/>
          <w:szCs w:val="24"/>
        </w:rPr>
        <w:t>5.2.2</w:t>
      </w:r>
      <w:r>
        <w:rPr>
          <w:rFonts w:ascii="仿宋" w:hAnsi="仿宋" w:eastAsia="仿宋" w:cs="仿宋"/>
          <w:sz w:val="24"/>
          <w:szCs w:val="24"/>
        </w:rPr>
        <w:tab/>
      </w:r>
      <w:r>
        <w:rPr>
          <w:rFonts w:ascii="仿宋" w:hAnsi="仿宋" w:eastAsia="仿宋" w:cs="仿宋"/>
          <w:sz w:val="24"/>
          <w:szCs w:val="24"/>
        </w:rPr>
        <w:t>乙方应当督促项目公司在成立之日起</w:t>
      </w:r>
      <w:r>
        <w:rPr>
          <w:rFonts w:hint="eastAsia" w:ascii="仿宋" w:hAnsi="仿宋" w:eastAsia="仿宋" w:cs="仿宋"/>
          <w:sz w:val="24"/>
          <w:szCs w:val="24"/>
        </w:rPr>
        <w:t>十（10）</w:t>
      </w:r>
      <w:r>
        <w:rPr>
          <w:rFonts w:ascii="仿宋" w:hAnsi="仿宋" w:eastAsia="仿宋" w:cs="仿宋"/>
          <w:sz w:val="24"/>
          <w:szCs w:val="24"/>
        </w:rPr>
        <w:t>日内与甲方及乙方签订关于《PPP项目合同》的《承继协议》，由项目公司承继乙方在前述合同文件项下的权利和义务。</w:t>
      </w:r>
    </w:p>
    <w:p>
      <w:pPr>
        <w:spacing w:line="560" w:lineRule="exact"/>
        <w:ind w:firstLine="480"/>
        <w:rPr>
          <w:rFonts w:ascii="仿宋" w:hAnsi="仿宋" w:eastAsia="仿宋" w:cs="仿宋"/>
          <w:sz w:val="24"/>
          <w:szCs w:val="24"/>
        </w:rPr>
      </w:pPr>
      <w:r>
        <w:rPr>
          <w:rFonts w:ascii="仿宋" w:hAnsi="仿宋" w:eastAsia="仿宋" w:cs="仿宋"/>
          <w:sz w:val="24"/>
          <w:szCs w:val="24"/>
        </w:rPr>
        <w:t>5.2.3乙方应当确保项目公司机构设置和技术、管理、财务人员素质符合约定的条件和要求并应满足项目建设和运营管理的需要，符合国家规定的市场准入条件。</w:t>
      </w:r>
    </w:p>
    <w:p>
      <w:pPr>
        <w:spacing w:line="560" w:lineRule="exact"/>
        <w:ind w:firstLine="480"/>
        <w:rPr>
          <w:rFonts w:ascii="仿宋" w:hAnsi="仿宋" w:eastAsia="仿宋" w:cs="仿宋"/>
          <w:sz w:val="24"/>
          <w:szCs w:val="24"/>
        </w:rPr>
      </w:pPr>
      <w:r>
        <w:rPr>
          <w:rFonts w:ascii="仿宋" w:hAnsi="仿宋" w:eastAsia="仿宋" w:cs="仿宋"/>
          <w:sz w:val="24"/>
          <w:szCs w:val="24"/>
        </w:rPr>
        <w:t>5.2.4</w:t>
      </w:r>
      <w:r>
        <w:rPr>
          <w:rFonts w:ascii="仿宋" w:hAnsi="仿宋" w:eastAsia="仿宋" w:cs="仿宋"/>
          <w:sz w:val="24"/>
          <w:szCs w:val="24"/>
        </w:rPr>
        <w:tab/>
      </w:r>
      <w:r>
        <w:rPr>
          <w:rFonts w:ascii="仿宋" w:hAnsi="仿宋" w:eastAsia="仿宋" w:cs="仿宋"/>
          <w:sz w:val="24"/>
          <w:szCs w:val="24"/>
        </w:rPr>
        <w:t>乙方与【政府方出资代表】签署《股东协议》、《公司章程》前应获得甲方认可，正式签署的《股东协议》（原件）、登记备案的《公司章程》（副本）及市场监督管理部门颁发的项目公司营业执照（副本）应交甲方存档一份。</w:t>
      </w:r>
    </w:p>
    <w:p>
      <w:pPr>
        <w:spacing w:line="560" w:lineRule="exact"/>
        <w:ind w:firstLine="480"/>
        <w:rPr>
          <w:rFonts w:ascii="仿宋" w:hAnsi="仿宋" w:eastAsia="仿宋" w:cs="仿宋"/>
          <w:sz w:val="24"/>
          <w:szCs w:val="24"/>
        </w:rPr>
      </w:pPr>
      <w:r>
        <w:rPr>
          <w:rFonts w:ascii="仿宋" w:hAnsi="仿宋" w:eastAsia="仿宋" w:cs="仿宋"/>
          <w:sz w:val="24"/>
          <w:szCs w:val="24"/>
        </w:rPr>
        <w:t>5.2.5</w:t>
      </w:r>
      <w:r>
        <w:rPr>
          <w:rFonts w:ascii="仿宋" w:hAnsi="仿宋" w:eastAsia="仿宋" w:cs="仿宋"/>
          <w:sz w:val="24"/>
          <w:szCs w:val="24"/>
        </w:rPr>
        <w:tab/>
      </w:r>
      <w:r>
        <w:rPr>
          <w:rFonts w:ascii="仿宋" w:hAnsi="仿宋" w:eastAsia="仿宋" w:cs="仿宋"/>
          <w:sz w:val="24"/>
          <w:szCs w:val="24"/>
        </w:rPr>
        <w:t>乙方应出资的项目资本金为</w:t>
      </w:r>
      <w:r>
        <w:rPr>
          <w:rFonts w:hint="eastAsia" w:ascii="仿宋" w:hAnsi="仿宋" w:eastAsia="仿宋" w:cs="仿宋"/>
          <w:sz w:val="24"/>
          <w:szCs w:val="24"/>
        </w:rPr>
        <w:t>肆亿壹仟肆佰叁拾叁万陆仟肆佰元（</w:t>
      </w:r>
      <w:r>
        <w:rPr>
          <w:rFonts w:ascii="仿宋" w:hAnsi="仿宋" w:eastAsia="仿宋" w:cs="仿宋"/>
          <w:sz w:val="24"/>
          <w:szCs w:val="24"/>
        </w:rPr>
        <w:t>RMB 414,336,400.00），乙方应采取有效措施确保项目资本金按双方商定方案注入，不得以任何方式通过项目公司筹措应由乙方出资的项目资本金，不得以债务性资金充当项目资本金。</w:t>
      </w:r>
    </w:p>
    <w:p>
      <w:pPr>
        <w:spacing w:line="560" w:lineRule="exact"/>
        <w:ind w:firstLine="480"/>
        <w:rPr>
          <w:rFonts w:ascii="仿宋" w:hAnsi="仿宋" w:eastAsia="仿宋" w:cs="仿宋"/>
          <w:sz w:val="24"/>
          <w:szCs w:val="24"/>
        </w:rPr>
      </w:pPr>
      <w:r>
        <w:rPr>
          <w:rFonts w:ascii="仿宋" w:hAnsi="仿宋" w:eastAsia="仿宋" w:cs="仿宋"/>
          <w:sz w:val="24"/>
          <w:szCs w:val="24"/>
        </w:rPr>
        <w:t>5.2.6</w:t>
      </w:r>
      <w:r>
        <w:rPr>
          <w:rFonts w:ascii="仿宋" w:hAnsi="仿宋" w:eastAsia="仿宋" w:cs="仿宋"/>
          <w:sz w:val="24"/>
          <w:szCs w:val="24"/>
        </w:rPr>
        <w:tab/>
      </w:r>
      <w:r>
        <w:rPr>
          <w:rFonts w:ascii="仿宋" w:hAnsi="仿宋" w:eastAsia="仿宋" w:cs="仿宋"/>
          <w:sz w:val="24"/>
          <w:szCs w:val="24"/>
        </w:rPr>
        <w:t>乙方应当确保项目公司采取多种渠道合法地筹集本项目资本金以外的其他资金。</w:t>
      </w:r>
      <w:r>
        <w:rPr>
          <w:rFonts w:hint="eastAsia" w:ascii="仿宋" w:hAnsi="仿宋" w:eastAsia="仿宋" w:cs="仿宋"/>
          <w:sz w:val="24"/>
          <w:szCs w:val="24"/>
        </w:rPr>
        <w:t>如项目公司无法在规定的期限内完成融资交割</w:t>
      </w:r>
      <w:r>
        <w:rPr>
          <w:rFonts w:ascii="仿宋" w:hAnsi="仿宋" w:eastAsia="仿宋" w:cs="仿宋"/>
          <w:sz w:val="24"/>
          <w:szCs w:val="24"/>
        </w:rPr>
        <w:t>，乙方负有补充融资义务，乙方应在前述债务性融资期限届满日后的</w:t>
      </w:r>
      <w:r>
        <w:rPr>
          <w:rFonts w:hint="eastAsia" w:ascii="仿宋" w:hAnsi="仿宋" w:eastAsia="仿宋" w:cs="仿宋"/>
          <w:sz w:val="24"/>
          <w:szCs w:val="24"/>
        </w:rPr>
        <w:t>三十（30）</w:t>
      </w:r>
      <w:r>
        <w:rPr>
          <w:rFonts w:ascii="仿宋" w:hAnsi="仿宋" w:eastAsia="仿宋" w:cs="仿宋"/>
          <w:sz w:val="24"/>
          <w:szCs w:val="24"/>
        </w:rPr>
        <w:t>日内向甲方提交补充融资方案，并经甲方批准后实施。乙方未按本协议约定向甲方提交补充融资方案，或提交的补充融资方案不能满足本项目融资需要的，乙方应与项目公司共同承担相应责任。</w:t>
      </w:r>
    </w:p>
    <w:p>
      <w:pPr>
        <w:spacing w:line="560" w:lineRule="exact"/>
        <w:ind w:firstLine="480"/>
        <w:rPr>
          <w:rFonts w:ascii="仿宋" w:hAnsi="仿宋" w:eastAsia="仿宋" w:cs="仿宋"/>
          <w:sz w:val="24"/>
          <w:szCs w:val="24"/>
        </w:rPr>
      </w:pPr>
      <w:r>
        <w:rPr>
          <w:rFonts w:ascii="仿宋" w:hAnsi="仿宋" w:eastAsia="仿宋" w:cs="仿宋"/>
          <w:sz w:val="24"/>
          <w:szCs w:val="24"/>
        </w:rPr>
        <w:t>5.2.7乙方应促使项目公司在签署前述《承继协议》后全面履行《PPP项目合同》文件项下的义务，乙方同时有义务采取必要的协助和保障措施，确保项目公司依照合同约定和绩效目标完成项目融资、项目建设及项目运营等义务。如项目公司在项目建设和运营过程中出现资金紧张、经营管理困难等导致无法继续实施项目建设和运营的，则乙方有义务采取有效措施限期恢复项目公司履约能力，确保项目的正常建设和运营管理。</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5.2.8乙方</w:t>
      </w:r>
      <w:r>
        <w:rPr>
          <w:rFonts w:ascii="仿宋" w:hAnsi="仿宋" w:eastAsia="仿宋" w:cs="仿宋"/>
          <w:sz w:val="24"/>
          <w:szCs w:val="24"/>
        </w:rPr>
        <w:t>依照适用法律行使股东权利，不得损害政府方</w:t>
      </w:r>
      <w:r>
        <w:rPr>
          <w:rFonts w:hint="eastAsia" w:ascii="仿宋" w:hAnsi="仿宋" w:eastAsia="仿宋" w:cs="仿宋"/>
          <w:sz w:val="24"/>
          <w:szCs w:val="24"/>
        </w:rPr>
        <w:t>出资代表的</w:t>
      </w:r>
      <w:r>
        <w:rPr>
          <w:rFonts w:ascii="仿宋" w:hAnsi="仿宋" w:eastAsia="仿宋" w:cs="仿宋"/>
          <w:sz w:val="24"/>
          <w:szCs w:val="24"/>
        </w:rPr>
        <w:t>合法利益、项目公司债权人利益，不得利用关联关系损害项目公司利益和</w:t>
      </w:r>
      <w:r>
        <w:rPr>
          <w:rFonts w:hint="eastAsia" w:ascii="仿宋" w:hAnsi="仿宋" w:eastAsia="仿宋" w:cs="仿宋"/>
          <w:sz w:val="24"/>
          <w:szCs w:val="24"/>
        </w:rPr>
        <w:t>甲方</w:t>
      </w:r>
      <w:r>
        <w:rPr>
          <w:rFonts w:ascii="仿宋" w:hAnsi="仿宋" w:eastAsia="仿宋" w:cs="仿宋"/>
          <w:sz w:val="24"/>
          <w:szCs w:val="24"/>
        </w:rPr>
        <w:t>利益。</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9乙方</w:t>
      </w:r>
      <w:r>
        <w:rPr>
          <w:rFonts w:ascii="仿宋" w:hAnsi="仿宋" w:eastAsia="仿宋" w:cs="仿宋"/>
          <w:sz w:val="24"/>
          <w:szCs w:val="24"/>
        </w:rPr>
        <w:t>有权享有《PPP项目合同》及适用法律规定的其它权利并承担相应义务。</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5.2.10如乙方为联合体，则联合体所有成员作为本项目的中标社会资本方就本协议项下乙方的义务向甲方承担连带责任。</w:t>
      </w:r>
    </w:p>
    <w:p>
      <w:pPr>
        <w:spacing w:line="56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5.3双方承诺</w:t>
      </w:r>
    </w:p>
    <w:p>
      <w:pPr>
        <w:spacing w:line="560" w:lineRule="exact"/>
        <w:ind w:firstLine="480" w:firstLineChars="200"/>
        <w:rPr>
          <w:rFonts w:ascii="仿宋" w:hAnsi="仿宋" w:eastAsia="仿宋" w:cs="仿宋"/>
          <w:bCs/>
          <w:sz w:val="24"/>
          <w:szCs w:val="24"/>
        </w:rPr>
      </w:pPr>
      <w:r>
        <w:rPr>
          <w:rFonts w:ascii="仿宋" w:hAnsi="仿宋" w:eastAsia="仿宋" w:cs="仿宋"/>
          <w:bCs/>
          <w:sz w:val="24"/>
          <w:szCs w:val="24"/>
        </w:rPr>
        <w:t>5.3.1</w:t>
      </w:r>
      <w:r>
        <w:rPr>
          <w:rFonts w:ascii="仿宋" w:hAnsi="仿宋" w:eastAsia="仿宋" w:cs="仿宋"/>
          <w:bCs/>
          <w:sz w:val="24"/>
          <w:szCs w:val="24"/>
        </w:rPr>
        <w:tab/>
      </w:r>
      <w:r>
        <w:rPr>
          <w:rFonts w:ascii="仿宋" w:hAnsi="仿宋" w:eastAsia="仿宋" w:cs="仿宋"/>
          <w:bCs/>
          <w:sz w:val="24"/>
          <w:szCs w:val="24"/>
        </w:rPr>
        <w:t>截至本协议生效日止，不存在可能会构成违反有关法律或可能妨碍其履行在本协议项下义务的情况；不存在未披露的对其签署本协议或履行其在本协议项下义务可能产生严重不利影响的事件，包括但不限于可能要提起的诉讼、仲裁、已经或将要进行的政府调查或行政处罚程序及其他法律程序。</w:t>
      </w:r>
    </w:p>
    <w:p>
      <w:pPr>
        <w:spacing w:line="560" w:lineRule="exact"/>
        <w:ind w:firstLine="480" w:firstLineChars="200"/>
        <w:rPr>
          <w:rFonts w:ascii="仿宋" w:hAnsi="仿宋" w:eastAsia="仿宋" w:cs="仿宋"/>
          <w:bCs/>
          <w:sz w:val="24"/>
          <w:szCs w:val="24"/>
        </w:rPr>
      </w:pPr>
      <w:r>
        <w:rPr>
          <w:rFonts w:ascii="仿宋" w:hAnsi="仿宋" w:eastAsia="仿宋" w:cs="仿宋"/>
          <w:bCs/>
          <w:sz w:val="24"/>
          <w:szCs w:val="24"/>
        </w:rPr>
        <w:t>5.3.2</w:t>
      </w:r>
      <w:r>
        <w:rPr>
          <w:rFonts w:ascii="仿宋" w:hAnsi="仿宋" w:eastAsia="仿宋" w:cs="仿宋"/>
          <w:bCs/>
          <w:sz w:val="24"/>
          <w:szCs w:val="24"/>
        </w:rPr>
        <w:tab/>
      </w:r>
      <w:r>
        <w:rPr>
          <w:rFonts w:ascii="仿宋" w:hAnsi="仿宋" w:eastAsia="仿宋" w:cs="仿宋"/>
          <w:bCs/>
          <w:sz w:val="24"/>
          <w:szCs w:val="24"/>
        </w:rPr>
        <w:t>无论是本协议的签署还是对本协议项下义务的履行，均不会抵触、违反或违背其营业执照、公司章程或任何适用法律或任何政府部门的批准，或其为签约一方的任何协议。</w:t>
      </w:r>
    </w:p>
    <w:p>
      <w:pPr>
        <w:pStyle w:val="3"/>
        <w:numPr>
          <w:ilvl w:val="0"/>
          <w:numId w:val="0"/>
        </w:numPr>
        <w:ind w:left="-576"/>
        <w:jc w:val="center"/>
        <w:rPr>
          <w:rFonts w:ascii="仿宋" w:hAnsi="仿宋" w:eastAsia="仿宋"/>
        </w:rPr>
      </w:pPr>
      <w:bookmarkStart w:id="42" w:name="_Toc62570355"/>
      <w:bookmarkStart w:id="43" w:name="_Toc491850046"/>
      <w:bookmarkStart w:id="44" w:name="_Toc5795"/>
      <w:r>
        <w:rPr>
          <w:rFonts w:hint="eastAsia" w:ascii="仿宋" w:hAnsi="仿宋" w:eastAsia="仿宋"/>
        </w:rPr>
        <w:t>第六章  履约保函</w:t>
      </w:r>
      <w:bookmarkEnd w:id="42"/>
    </w:p>
    <w:p>
      <w:pPr>
        <w:spacing w:line="560" w:lineRule="exact"/>
        <w:ind w:firstLine="482" w:firstLineChars="200"/>
        <w:rPr>
          <w:rFonts w:ascii="仿宋" w:hAnsi="仿宋" w:eastAsia="仿宋" w:cs="仿宋"/>
          <w:sz w:val="24"/>
        </w:rPr>
      </w:pPr>
      <w:bookmarkStart w:id="45" w:name="_Ref498697073"/>
      <w:r>
        <w:rPr>
          <w:rFonts w:ascii="仿宋" w:hAnsi="仿宋" w:eastAsia="仿宋" w:cs="仿宋"/>
          <w:b/>
          <w:bCs/>
          <w:sz w:val="24"/>
          <w:szCs w:val="24"/>
        </w:rPr>
        <w:t>6.1</w:t>
      </w:r>
      <w:r>
        <w:rPr>
          <w:rFonts w:hint="eastAsia" w:ascii="仿宋" w:hAnsi="仿宋" w:eastAsia="仿宋" w:cs="仿宋"/>
          <w:b/>
          <w:bCs/>
          <w:sz w:val="24"/>
          <w:szCs w:val="24"/>
        </w:rPr>
        <w:t>履约保函类型、金额及担保期限</w:t>
      </w:r>
      <w:bookmarkEnd w:id="45"/>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本项目履约保函包括建设期履约保函、运营期履约保函以及移交维修保函等，担保形式为：见索即付保函且不可撤销的独立保函。</w:t>
      </w:r>
    </w:p>
    <w:p>
      <w:pPr>
        <w:adjustRightInd w:val="0"/>
        <w:snapToGrid w:val="0"/>
        <w:spacing w:line="560" w:lineRule="exact"/>
        <w:ind w:firstLine="480"/>
        <w:rPr>
          <w:rFonts w:ascii="仿宋" w:hAnsi="仿宋" w:cs="仿宋"/>
        </w:rPr>
      </w:pPr>
      <w:r>
        <w:rPr>
          <w:rFonts w:hint="eastAsia" w:ascii="仿宋" w:hAnsi="仿宋" w:eastAsia="仿宋" w:cs="仿宋"/>
          <w:sz w:val="24"/>
          <w:szCs w:val="24"/>
        </w:rPr>
        <w:t>6.1.1建设期履约保函</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乙方应于</w:t>
      </w:r>
      <w:r>
        <w:rPr>
          <w:rFonts w:ascii="仿宋" w:hAnsi="仿宋" w:eastAsia="仿宋" w:cs="仿宋"/>
          <w:sz w:val="24"/>
          <w:szCs w:val="24"/>
        </w:rPr>
        <w:t>PPP项目</w:t>
      </w:r>
      <w:r>
        <w:rPr>
          <w:rFonts w:hint="eastAsia" w:ascii="仿宋" w:hAnsi="仿宋" w:eastAsia="仿宋" w:cs="仿宋"/>
          <w:sz w:val="24"/>
          <w:szCs w:val="24"/>
        </w:rPr>
        <w:t>合同签署前五（</w:t>
      </w:r>
      <w:r>
        <w:rPr>
          <w:rFonts w:ascii="仿宋" w:hAnsi="仿宋" w:eastAsia="仿宋" w:cs="仿宋"/>
          <w:sz w:val="24"/>
          <w:szCs w:val="24"/>
        </w:rPr>
        <w:t>5</w:t>
      </w:r>
      <w:r>
        <w:rPr>
          <w:rFonts w:hint="eastAsia" w:ascii="仿宋" w:hAnsi="仿宋" w:eastAsia="仿宋" w:cs="仿宋"/>
          <w:sz w:val="24"/>
          <w:szCs w:val="24"/>
        </w:rPr>
        <w:t>）个工作日内向甲方提交符合下列要求的建设期履约保函：</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由甲方可接受的</w:t>
      </w:r>
      <w:r>
        <w:rPr>
          <w:rFonts w:hint="eastAsia" w:ascii="仿宋" w:hAnsi="仿宋" w:eastAsia="仿宋" w:cs="仿宋"/>
          <w:sz w:val="24"/>
          <w:szCs w:val="24"/>
        </w:rPr>
        <w:t>，在我国境内（不含港、澳、台湾地区）依法注册的国有或全国性股份制商业银行的分行及以上银行出具</w:t>
      </w:r>
      <w:r>
        <w:rPr>
          <w:rFonts w:ascii="仿宋" w:hAnsi="仿宋" w:eastAsia="仿宋" w:cs="仿宋"/>
          <w:sz w:val="24"/>
          <w:szCs w:val="24"/>
        </w:rPr>
        <w:t>；</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金额为人民币</w:t>
      </w:r>
      <w:r>
        <w:rPr>
          <w:rFonts w:hint="eastAsia" w:ascii="仿宋" w:hAnsi="仿宋" w:eastAsia="仿宋" w:cs="仿宋"/>
          <w:sz w:val="24"/>
          <w:szCs w:val="24"/>
        </w:rPr>
        <w:t>壹亿伍仟万</w:t>
      </w:r>
      <w:r>
        <w:rPr>
          <w:rFonts w:ascii="仿宋" w:hAnsi="仿宋" w:eastAsia="仿宋" w:cs="仿宋"/>
          <w:sz w:val="24"/>
          <w:szCs w:val="24"/>
        </w:rPr>
        <w:t>元（RMB</w:t>
      </w:r>
      <w:r>
        <w:rPr>
          <w:rFonts w:hint="eastAsia" w:ascii="仿宋" w:hAnsi="仿宋" w:eastAsia="仿宋" w:cs="仿宋"/>
          <w:sz w:val="24"/>
          <w:szCs w:val="24"/>
        </w:rPr>
        <w:t xml:space="preserve"> 15</w:t>
      </w:r>
      <w:r>
        <w:rPr>
          <w:rFonts w:ascii="仿宋" w:hAnsi="仿宋" w:eastAsia="仿宋" w:cs="仿宋"/>
          <w:sz w:val="24"/>
          <w:szCs w:val="24"/>
        </w:rPr>
        <w:t>0,000,000</w:t>
      </w:r>
      <w:r>
        <w:rPr>
          <w:rFonts w:hint="eastAsia" w:ascii="仿宋" w:hAnsi="仿宋" w:eastAsia="仿宋" w:cs="仿宋"/>
          <w:sz w:val="24"/>
          <w:szCs w:val="24"/>
        </w:rPr>
        <w:t>.</w:t>
      </w:r>
      <w:r>
        <w:rPr>
          <w:rFonts w:ascii="仿宋" w:hAnsi="仿宋" w:eastAsia="仿宋" w:cs="仿宋"/>
          <w:sz w:val="24"/>
          <w:szCs w:val="24"/>
        </w:rPr>
        <w:t>00）。</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建设期履约保函作为乙方和项目公司履行本项目的建设义务和其他违约赔偿义务的担保，建设期履约保函在乙方提交运营期履约保函后三十（30）日内无息退还。</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6.1.2运营期履约保函</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乙方应于项目最后一个子项竣工验收合格后三十（</w:t>
      </w:r>
      <w:r>
        <w:rPr>
          <w:rFonts w:ascii="仿宋" w:hAnsi="仿宋" w:eastAsia="仿宋" w:cs="仿宋"/>
          <w:sz w:val="24"/>
          <w:szCs w:val="24"/>
        </w:rPr>
        <w:t>30）日内</w:t>
      </w:r>
      <w:r>
        <w:rPr>
          <w:rFonts w:hint="eastAsia" w:ascii="仿宋" w:hAnsi="仿宋" w:eastAsia="仿宋" w:cs="仿宋"/>
          <w:sz w:val="24"/>
          <w:szCs w:val="24"/>
        </w:rPr>
        <w:t>向甲方提交符合下列要求的运营期履约</w:t>
      </w:r>
      <w:r>
        <w:rPr>
          <w:rFonts w:ascii="仿宋" w:hAnsi="仿宋" w:eastAsia="仿宋" w:cs="仿宋"/>
          <w:sz w:val="24"/>
          <w:szCs w:val="24"/>
        </w:rPr>
        <w:t>保函</w:t>
      </w:r>
      <w:r>
        <w:rPr>
          <w:rFonts w:hint="eastAsia" w:ascii="仿宋" w:hAnsi="仿宋" w:eastAsia="仿宋" w:cs="仿宋"/>
          <w:sz w:val="24"/>
          <w:szCs w:val="24"/>
        </w:rPr>
        <w:t>：</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由甲方可接受的，</w:t>
      </w:r>
      <w:r>
        <w:rPr>
          <w:rFonts w:hint="eastAsia" w:ascii="仿宋" w:hAnsi="仿宋" w:eastAsia="仿宋" w:cs="仿宋"/>
          <w:sz w:val="24"/>
          <w:szCs w:val="24"/>
        </w:rPr>
        <w:t>在我国境内（不含港、澳、台湾地区）依法注册的国有或全国性股份制商业银行的分行及以上银行出具</w:t>
      </w:r>
      <w:r>
        <w:rPr>
          <w:rFonts w:ascii="仿宋" w:hAnsi="仿宋" w:eastAsia="仿宋" w:cs="仿宋"/>
          <w:sz w:val="24"/>
          <w:szCs w:val="24"/>
        </w:rPr>
        <w:t>；</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金额为人民币</w:t>
      </w:r>
      <w:r>
        <w:rPr>
          <w:rFonts w:hint="eastAsia" w:ascii="仿宋" w:hAnsi="仿宋" w:eastAsia="仿宋" w:cs="仿宋"/>
          <w:sz w:val="24"/>
          <w:szCs w:val="24"/>
        </w:rPr>
        <w:t>捌仟万</w:t>
      </w:r>
      <w:r>
        <w:rPr>
          <w:rFonts w:ascii="仿宋" w:hAnsi="仿宋" w:eastAsia="仿宋" w:cs="仿宋"/>
          <w:sz w:val="24"/>
          <w:szCs w:val="24"/>
        </w:rPr>
        <w:t>元（RMB</w:t>
      </w:r>
      <w:r>
        <w:rPr>
          <w:rFonts w:hint="eastAsia" w:ascii="仿宋" w:hAnsi="仿宋" w:eastAsia="仿宋" w:cs="仿宋"/>
          <w:sz w:val="24"/>
          <w:szCs w:val="24"/>
        </w:rPr>
        <w:t xml:space="preserve"> </w:t>
      </w:r>
      <w:r>
        <w:rPr>
          <w:rFonts w:ascii="仿宋" w:hAnsi="仿宋" w:eastAsia="仿宋" w:cs="仿宋"/>
          <w:sz w:val="24"/>
          <w:szCs w:val="24"/>
        </w:rPr>
        <w:t>80,000,000</w:t>
      </w:r>
      <w:r>
        <w:rPr>
          <w:rFonts w:hint="eastAsia" w:ascii="仿宋" w:hAnsi="仿宋" w:eastAsia="仿宋" w:cs="仿宋"/>
          <w:sz w:val="24"/>
          <w:szCs w:val="24"/>
        </w:rPr>
        <w:t>.</w:t>
      </w:r>
      <w:r>
        <w:rPr>
          <w:rFonts w:ascii="仿宋" w:hAnsi="仿宋" w:eastAsia="仿宋" w:cs="仿宋"/>
          <w:sz w:val="24"/>
          <w:szCs w:val="24"/>
        </w:rPr>
        <w:t>00）。</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运营期履约保函作为乙方和项目公司履行本项目的运营维护义务和其他违约赔偿义务的担保，运营期履约保函应于乙方提交移交维修保函之后三十（30）日内无息退还。</w:t>
      </w:r>
      <w:r>
        <w:rPr>
          <w:rFonts w:hint="eastAsia" w:ascii="仿宋" w:hAnsi="仿宋" w:eastAsia="仿宋" w:cs="仿宋"/>
          <w:sz w:val="24"/>
          <w:szCs w:val="24"/>
        </w:rPr>
        <w:tab/>
      </w:r>
    </w:p>
    <w:p>
      <w:pPr>
        <w:adjustRightInd w:val="0"/>
        <w:snapToGrid w:val="0"/>
        <w:spacing w:line="560" w:lineRule="exact"/>
        <w:ind w:firstLine="480"/>
        <w:rPr>
          <w:rFonts w:ascii="仿宋" w:hAnsi="仿宋" w:cs="仿宋"/>
        </w:rPr>
      </w:pPr>
      <w:r>
        <w:rPr>
          <w:rFonts w:hint="eastAsia" w:ascii="仿宋" w:hAnsi="仿宋" w:eastAsia="仿宋" w:cs="仿宋"/>
          <w:sz w:val="24"/>
          <w:szCs w:val="24"/>
        </w:rPr>
        <w:t>（3）移交维修保函</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乙方应于最后一个经营年开始前三十（</w:t>
      </w:r>
      <w:r>
        <w:rPr>
          <w:rFonts w:ascii="仿宋" w:hAnsi="仿宋" w:eastAsia="仿宋" w:cs="仿宋"/>
          <w:sz w:val="24"/>
          <w:szCs w:val="24"/>
        </w:rPr>
        <w:t>30）</w:t>
      </w:r>
      <w:r>
        <w:rPr>
          <w:rFonts w:hint="eastAsia" w:ascii="仿宋" w:hAnsi="仿宋" w:eastAsia="仿宋" w:cs="仿宋"/>
          <w:sz w:val="24"/>
          <w:szCs w:val="24"/>
        </w:rPr>
        <w:t>日内向甲方提交符合下列要求的移交维修保函：</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由甲方可接受的，</w:t>
      </w:r>
      <w:r>
        <w:rPr>
          <w:rFonts w:hint="eastAsia" w:ascii="仿宋" w:hAnsi="仿宋" w:eastAsia="仿宋" w:cs="仿宋"/>
          <w:sz w:val="24"/>
          <w:szCs w:val="24"/>
        </w:rPr>
        <w:t>在我国境内（不含港、澳、台湾地区）依法注册的国有或全国性股份制商业银行的分行及以上银行出具</w:t>
      </w:r>
      <w:r>
        <w:rPr>
          <w:rFonts w:ascii="仿宋" w:hAnsi="仿宋" w:eastAsia="仿宋" w:cs="仿宋"/>
          <w:sz w:val="24"/>
          <w:szCs w:val="24"/>
        </w:rPr>
        <w:t>；</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金额为人民币</w:t>
      </w:r>
      <w:r>
        <w:rPr>
          <w:rFonts w:hint="eastAsia" w:ascii="仿宋" w:hAnsi="仿宋" w:eastAsia="仿宋" w:cs="仿宋"/>
          <w:sz w:val="24"/>
          <w:szCs w:val="24"/>
        </w:rPr>
        <w:t>捌仟万</w:t>
      </w:r>
      <w:r>
        <w:rPr>
          <w:rFonts w:ascii="仿宋" w:hAnsi="仿宋" w:eastAsia="仿宋" w:cs="仿宋"/>
          <w:sz w:val="24"/>
          <w:szCs w:val="24"/>
        </w:rPr>
        <w:t>元（RMB</w:t>
      </w:r>
      <w:r>
        <w:rPr>
          <w:rFonts w:hint="eastAsia" w:ascii="仿宋" w:hAnsi="仿宋" w:eastAsia="仿宋" w:cs="仿宋"/>
          <w:sz w:val="24"/>
          <w:szCs w:val="24"/>
        </w:rPr>
        <w:t xml:space="preserve"> </w:t>
      </w:r>
      <w:r>
        <w:rPr>
          <w:rFonts w:ascii="仿宋" w:hAnsi="仿宋" w:eastAsia="仿宋" w:cs="仿宋"/>
          <w:sz w:val="24"/>
          <w:szCs w:val="24"/>
        </w:rPr>
        <w:t>80,000,000</w:t>
      </w:r>
      <w:r>
        <w:rPr>
          <w:rFonts w:hint="eastAsia" w:ascii="仿宋" w:hAnsi="仿宋" w:eastAsia="仿宋" w:cs="仿宋"/>
          <w:sz w:val="24"/>
          <w:szCs w:val="24"/>
        </w:rPr>
        <w:t>.</w:t>
      </w:r>
      <w:r>
        <w:rPr>
          <w:rFonts w:ascii="仿宋" w:hAnsi="仿宋" w:eastAsia="仿宋" w:cs="仿宋"/>
          <w:sz w:val="24"/>
          <w:szCs w:val="24"/>
        </w:rPr>
        <w:t>00）。</w:t>
      </w:r>
    </w:p>
    <w:p>
      <w:pPr>
        <w:adjustRightInd w:val="0"/>
        <w:snapToGrid w:val="0"/>
        <w:spacing w:line="560" w:lineRule="exact"/>
        <w:ind w:firstLine="480"/>
        <w:rPr>
          <w:rFonts w:ascii="仿宋" w:hAnsi="仿宋" w:eastAsia="仿宋" w:cs="仿宋"/>
          <w:sz w:val="24"/>
          <w:szCs w:val="24"/>
        </w:rPr>
      </w:pPr>
      <w:r>
        <w:rPr>
          <w:rFonts w:hint="eastAsia" w:ascii="仿宋" w:hAnsi="仿宋" w:eastAsia="仿宋" w:cs="仿宋"/>
          <w:sz w:val="24"/>
          <w:szCs w:val="24"/>
        </w:rPr>
        <w:t>移交维修保函作为乙方履行本项目移交期间的修复义务和其他违约赔偿义务的担保，移交维修保函在项目移交后十二（</w:t>
      </w:r>
      <w:r>
        <w:rPr>
          <w:rFonts w:ascii="仿宋" w:hAnsi="仿宋" w:eastAsia="仿宋" w:cs="仿宋"/>
          <w:sz w:val="24"/>
          <w:szCs w:val="24"/>
        </w:rPr>
        <w:t>12）个月届满之日</w:t>
      </w:r>
      <w:r>
        <w:rPr>
          <w:rFonts w:hint="eastAsia" w:ascii="仿宋" w:hAnsi="仿宋" w:eastAsia="仿宋" w:cs="仿宋"/>
          <w:sz w:val="24"/>
          <w:szCs w:val="24"/>
        </w:rPr>
        <w:t>的五（5）日内无息退还。</w:t>
      </w:r>
    </w:p>
    <w:p>
      <w:pPr>
        <w:spacing w:line="56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6.</w:t>
      </w:r>
      <w:r>
        <w:rPr>
          <w:rFonts w:ascii="仿宋" w:hAnsi="仿宋" w:eastAsia="仿宋" w:cs="仿宋"/>
          <w:b/>
          <w:bCs/>
          <w:sz w:val="24"/>
          <w:szCs w:val="24"/>
        </w:rPr>
        <w:t>2</w:t>
      </w:r>
      <w:r>
        <w:rPr>
          <w:rFonts w:hint="eastAsia" w:ascii="仿宋" w:hAnsi="仿宋" w:eastAsia="仿宋" w:cs="仿宋"/>
          <w:b/>
          <w:bCs/>
          <w:sz w:val="24"/>
          <w:szCs w:val="24"/>
        </w:rPr>
        <w:t>履约保函的兑取</w:t>
      </w:r>
    </w:p>
    <w:p>
      <w:pPr>
        <w:adjustRightInd w:val="0"/>
        <w:snapToGrid w:val="0"/>
        <w:spacing w:line="560" w:lineRule="exact"/>
        <w:ind w:firstLine="480"/>
        <w:rPr>
          <w:rFonts w:ascii="仿宋" w:hAnsi="仿宋" w:cs="仿宋"/>
        </w:rPr>
      </w:pPr>
      <w:r>
        <w:rPr>
          <w:rFonts w:hint="eastAsia" w:ascii="仿宋" w:hAnsi="仿宋" w:eastAsia="仿宋" w:cs="仿宋"/>
          <w:sz w:val="24"/>
          <w:szCs w:val="24"/>
        </w:rPr>
        <w:t>6.2.1如果发生因乙方或项目公司未全部或部分履行其在本协议以及《</w:t>
      </w:r>
      <w:r>
        <w:rPr>
          <w:rFonts w:ascii="仿宋" w:hAnsi="仿宋" w:eastAsia="仿宋" w:cs="仿宋"/>
          <w:sz w:val="24"/>
          <w:szCs w:val="24"/>
        </w:rPr>
        <w:t>PPP</w:t>
      </w:r>
      <w:r>
        <w:rPr>
          <w:rFonts w:hint="eastAsia" w:ascii="仿宋" w:hAnsi="仿宋" w:eastAsia="仿宋" w:cs="仿宋"/>
          <w:sz w:val="24"/>
          <w:szCs w:val="24"/>
        </w:rPr>
        <w:t>项目合同》项下的主要义务，且在甲方要求的合理期限内未予补正，或未按本协议的约定承担违约责任，甲方有权根据本协议及《P</w:t>
      </w:r>
      <w:r>
        <w:rPr>
          <w:rFonts w:ascii="仿宋" w:hAnsi="仿宋" w:eastAsia="仿宋" w:cs="仿宋"/>
          <w:sz w:val="24"/>
          <w:szCs w:val="24"/>
        </w:rPr>
        <w:t>PP</w:t>
      </w:r>
      <w:r>
        <w:rPr>
          <w:rFonts w:hint="eastAsia" w:ascii="仿宋" w:hAnsi="仿宋" w:eastAsia="仿宋" w:cs="仿宋"/>
          <w:sz w:val="24"/>
          <w:szCs w:val="24"/>
        </w:rPr>
        <w:t>项目合同》的约定相应兑取履约保函的金额。</w:t>
      </w:r>
    </w:p>
    <w:p>
      <w:pPr>
        <w:adjustRightInd w:val="0"/>
        <w:snapToGrid w:val="0"/>
        <w:spacing w:line="560" w:lineRule="exact"/>
        <w:ind w:firstLine="480"/>
        <w:rPr>
          <w:rFonts w:ascii="仿宋" w:hAnsi="仿宋" w:cs="仿宋"/>
        </w:rPr>
      </w:pPr>
      <w:r>
        <w:rPr>
          <w:rFonts w:hint="eastAsia" w:ascii="仿宋" w:hAnsi="仿宋" w:eastAsia="仿宋" w:cs="仿宋"/>
          <w:sz w:val="24"/>
          <w:szCs w:val="24"/>
        </w:rPr>
        <w:t>6.2.2如果乙方未按照本协议约定按时补充履约保函的金额，且乙方未能在收到甲方要求乙方纠正其违约行为的书面通知后三十（30）个工作</w:t>
      </w:r>
      <w:r>
        <w:rPr>
          <w:rFonts w:ascii="仿宋" w:hAnsi="仿宋" w:eastAsia="仿宋" w:cs="仿宋"/>
          <w:sz w:val="24"/>
          <w:szCs w:val="24"/>
        </w:rPr>
        <w:t>日内纠正其行为的，则从上述整改期限届满的次日起，</w:t>
      </w:r>
      <w:r>
        <w:rPr>
          <w:rFonts w:hint="eastAsia" w:ascii="仿宋" w:hAnsi="仿宋" w:eastAsia="仿宋" w:cs="仿宋"/>
          <w:sz w:val="24"/>
          <w:szCs w:val="24"/>
        </w:rPr>
        <w:t>甲方有权兑取履约保函届时所剩余的全部金额。</w:t>
      </w:r>
    </w:p>
    <w:p>
      <w:pPr>
        <w:adjustRightInd w:val="0"/>
        <w:snapToGrid w:val="0"/>
        <w:spacing w:line="560" w:lineRule="exact"/>
        <w:ind w:firstLine="480"/>
        <w:rPr>
          <w:rFonts w:ascii="仿宋" w:hAnsi="仿宋" w:cs="仿宋"/>
        </w:rPr>
      </w:pPr>
      <w:r>
        <w:rPr>
          <w:rFonts w:hint="eastAsia" w:ascii="仿宋" w:hAnsi="仿宋" w:eastAsia="仿宋" w:cs="仿宋"/>
          <w:sz w:val="24"/>
          <w:szCs w:val="24"/>
        </w:rPr>
        <w:t>6.2.3甲方在根据本条款兑取履约保函任何金额之前，应向乙方发出书面通知并告知兑取的理由和拟兑取的履约保函金额。如乙方在收到该等通知之日后七（</w:t>
      </w:r>
      <w:r>
        <w:rPr>
          <w:rFonts w:ascii="仿宋" w:hAnsi="仿宋" w:eastAsia="仿宋" w:cs="仿宋"/>
          <w:sz w:val="24"/>
          <w:szCs w:val="24"/>
        </w:rPr>
        <w:t>7</w:t>
      </w:r>
      <w:r>
        <w:rPr>
          <w:rFonts w:hint="eastAsia" w:ascii="仿宋" w:hAnsi="仿宋" w:eastAsia="仿宋" w:cs="仿宋"/>
          <w:sz w:val="24"/>
          <w:szCs w:val="24"/>
        </w:rPr>
        <w:t>）个工作日内将上述金额直接支付给甲方，则甲方停止兑取，否则甲方有权立即从履约保函中兑取该等金额。</w:t>
      </w:r>
    </w:p>
    <w:p>
      <w:pPr>
        <w:adjustRightInd w:val="0"/>
        <w:snapToGrid w:val="0"/>
        <w:spacing w:line="560" w:lineRule="exact"/>
        <w:ind w:firstLine="480"/>
        <w:rPr>
          <w:rFonts w:ascii="仿宋" w:hAnsi="仿宋" w:cs="仿宋"/>
        </w:rPr>
      </w:pPr>
      <w:r>
        <w:rPr>
          <w:rFonts w:hint="eastAsia" w:ascii="仿宋" w:hAnsi="仿宋" w:eastAsia="仿宋" w:cs="仿宋"/>
          <w:sz w:val="24"/>
          <w:szCs w:val="24"/>
        </w:rPr>
        <w:t>6.2.4如乙方开具的保函有效期短于本协议约定该保函担保期限的，乙方应当在该保函到期之日前三十（</w:t>
      </w:r>
      <w:r>
        <w:rPr>
          <w:rFonts w:ascii="仿宋" w:hAnsi="仿宋" w:eastAsia="仿宋" w:cs="仿宋"/>
          <w:sz w:val="24"/>
          <w:szCs w:val="24"/>
        </w:rPr>
        <w:t>30</w:t>
      </w:r>
      <w:r>
        <w:rPr>
          <w:rFonts w:hint="eastAsia" w:ascii="仿宋" w:hAnsi="仿宋" w:eastAsia="仿宋" w:cs="仿宋"/>
          <w:sz w:val="24"/>
          <w:szCs w:val="24"/>
        </w:rPr>
        <w:t>）日向甲方开具日期连贯的新保函，且乙方未能在收到甲方要求乙方纠正其违约行为的书面通知后三十（30）个工作</w:t>
      </w:r>
      <w:r>
        <w:rPr>
          <w:rFonts w:ascii="仿宋" w:hAnsi="仿宋" w:eastAsia="仿宋" w:cs="仿宋"/>
          <w:sz w:val="24"/>
          <w:szCs w:val="24"/>
        </w:rPr>
        <w:t>日内纠正其行为的，则从上述整改期限届满的次日起，</w:t>
      </w:r>
      <w:r>
        <w:rPr>
          <w:rFonts w:hint="eastAsia" w:ascii="仿宋" w:hAnsi="仿宋" w:eastAsia="仿宋" w:cs="仿宋"/>
          <w:sz w:val="24"/>
          <w:szCs w:val="24"/>
        </w:rPr>
        <w:t>甲方有权兑取该保函下全部金额。</w:t>
      </w:r>
    </w:p>
    <w:p>
      <w:pPr>
        <w:spacing w:line="560" w:lineRule="exact"/>
        <w:ind w:firstLine="482" w:firstLineChars="200"/>
        <w:rPr>
          <w:rFonts w:ascii="仿宋" w:hAnsi="仿宋" w:eastAsia="仿宋" w:cs="仿宋"/>
          <w:b/>
          <w:bCs/>
          <w:sz w:val="24"/>
          <w:szCs w:val="24"/>
        </w:rPr>
      </w:pPr>
      <w:bookmarkStart w:id="46" w:name="_Ref495911447"/>
      <w:r>
        <w:rPr>
          <w:rFonts w:ascii="仿宋" w:hAnsi="仿宋" w:eastAsia="仿宋" w:cs="仿宋"/>
          <w:b/>
          <w:bCs/>
          <w:sz w:val="24"/>
          <w:szCs w:val="24"/>
        </w:rPr>
        <w:t>6.3</w:t>
      </w:r>
      <w:r>
        <w:rPr>
          <w:rFonts w:hint="eastAsia" w:ascii="仿宋" w:hAnsi="仿宋" w:eastAsia="仿宋" w:cs="仿宋"/>
          <w:b/>
          <w:bCs/>
          <w:sz w:val="24"/>
          <w:szCs w:val="24"/>
        </w:rPr>
        <w:t>恢复履约保函金额</w:t>
      </w:r>
      <w:bookmarkEnd w:id="46"/>
    </w:p>
    <w:p>
      <w:pPr>
        <w:adjustRightInd w:val="0"/>
        <w:snapToGrid w:val="0"/>
        <w:spacing w:line="560" w:lineRule="exact"/>
        <w:ind w:firstLine="480"/>
        <w:rPr>
          <w:rFonts w:ascii="仿宋" w:hAnsi="仿宋" w:cs="仿宋"/>
        </w:rPr>
      </w:pPr>
      <w:bookmarkStart w:id="47" w:name="_Ref495913612"/>
      <w:r>
        <w:rPr>
          <w:rFonts w:hint="eastAsia" w:ascii="仿宋" w:hAnsi="仿宋" w:eastAsia="仿宋" w:cs="仿宋"/>
          <w:sz w:val="24"/>
          <w:szCs w:val="24"/>
        </w:rPr>
        <w:t>6.3.1若甲方在各保函担保期内根据本协议的约定兑取履约保函项下的金额，乙方应在履约保函被兑取之日起三十（3</w:t>
      </w:r>
      <w:r>
        <w:rPr>
          <w:rFonts w:ascii="仿宋" w:hAnsi="仿宋" w:eastAsia="仿宋" w:cs="仿宋"/>
          <w:sz w:val="24"/>
          <w:szCs w:val="24"/>
        </w:rPr>
        <w:t>0）个工作日</w:t>
      </w:r>
      <w:r>
        <w:rPr>
          <w:rFonts w:hint="eastAsia" w:ascii="仿宋" w:hAnsi="仿宋" w:eastAsia="仿宋" w:cs="仿宋"/>
          <w:sz w:val="24"/>
          <w:szCs w:val="24"/>
        </w:rPr>
        <w:t>内将履约保函补充至前款中规定的金额，并向甲方出示其已经恢复履约保函金额的证明。</w:t>
      </w:r>
      <w:bookmarkEnd w:id="47"/>
    </w:p>
    <w:p>
      <w:pPr>
        <w:adjustRightInd w:val="0"/>
        <w:snapToGrid w:val="0"/>
        <w:spacing w:line="560" w:lineRule="exact"/>
        <w:ind w:firstLine="480"/>
        <w:rPr>
          <w:rFonts w:ascii="仿宋" w:hAnsi="仿宋" w:cs="仿宋"/>
        </w:rPr>
      </w:pPr>
      <w:r>
        <w:rPr>
          <w:rFonts w:hint="eastAsia" w:ascii="仿宋" w:hAnsi="仿宋" w:eastAsia="仿宋" w:cs="仿宋"/>
          <w:sz w:val="24"/>
          <w:szCs w:val="24"/>
        </w:rPr>
        <w:t>6.3.2若乙方未在前款约定的期限内补足或恢复履约保函金额，甲方有权发出催告，乙方应在三十（30）个工作</w:t>
      </w:r>
      <w:r>
        <w:rPr>
          <w:rFonts w:ascii="仿宋" w:hAnsi="仿宋" w:eastAsia="仿宋" w:cs="仿宋"/>
          <w:sz w:val="24"/>
          <w:szCs w:val="24"/>
        </w:rPr>
        <w:t>日</w:t>
      </w:r>
      <w:r>
        <w:rPr>
          <w:rFonts w:hint="eastAsia" w:ascii="仿宋" w:hAnsi="仿宋" w:eastAsia="仿宋" w:cs="仿宋"/>
          <w:sz w:val="24"/>
          <w:szCs w:val="24"/>
        </w:rPr>
        <w:t>内补足。否则，甲方有权兑取履约保函项下的剩余金额，并有权解除本协议，及《PPP项目合同》《承继协议》等系列合同，终止PPP项目合作，收回PPP项目经营权。</w:t>
      </w:r>
    </w:p>
    <w:p>
      <w:pPr>
        <w:adjustRightInd w:val="0"/>
        <w:snapToGrid w:val="0"/>
        <w:spacing w:line="560" w:lineRule="exact"/>
        <w:ind w:firstLine="480"/>
        <w:rPr>
          <w:rFonts w:ascii="仿宋" w:hAnsi="仿宋" w:cs="仿宋"/>
        </w:rPr>
      </w:pPr>
      <w:r>
        <w:rPr>
          <w:rFonts w:hint="eastAsia" w:ascii="仿宋" w:hAnsi="仿宋" w:eastAsia="仿宋" w:cs="仿宋"/>
          <w:sz w:val="24"/>
          <w:szCs w:val="24"/>
        </w:rPr>
        <w:t>6.3.3甲方行使兑取履约保函的权利不影响甲方在本协议项下的其他权利，并且不应解除乙方或项目公司履行本协议以及《</w:t>
      </w:r>
      <w:r>
        <w:rPr>
          <w:rFonts w:ascii="仿宋" w:hAnsi="仿宋" w:eastAsia="仿宋" w:cs="仿宋"/>
          <w:sz w:val="24"/>
          <w:szCs w:val="24"/>
        </w:rPr>
        <w:t>PPP</w:t>
      </w:r>
      <w:r>
        <w:rPr>
          <w:rFonts w:hint="eastAsia" w:ascii="仿宋" w:hAnsi="仿宋" w:eastAsia="仿宋" w:cs="仿宋"/>
          <w:sz w:val="24"/>
          <w:szCs w:val="24"/>
        </w:rPr>
        <w:t>项目合同》项下的义务。</w:t>
      </w:r>
    </w:p>
    <w:p>
      <w:pPr>
        <w:pStyle w:val="3"/>
        <w:numPr>
          <w:ilvl w:val="0"/>
          <w:numId w:val="0"/>
        </w:numPr>
        <w:ind w:left="-576"/>
        <w:jc w:val="center"/>
        <w:rPr>
          <w:rFonts w:ascii="仿宋" w:hAnsi="仿宋" w:eastAsia="仿宋"/>
        </w:rPr>
      </w:pPr>
      <w:bookmarkStart w:id="48" w:name="_Toc62570356"/>
      <w:r>
        <w:rPr>
          <w:rFonts w:hint="eastAsia" w:ascii="仿宋" w:hAnsi="仿宋" w:eastAsia="仿宋"/>
        </w:rPr>
        <w:t>第七章  股权</w:t>
      </w:r>
      <w:bookmarkEnd w:id="43"/>
      <w:bookmarkEnd w:id="44"/>
      <w:r>
        <w:rPr>
          <w:rFonts w:hint="eastAsia" w:ascii="仿宋" w:hAnsi="仿宋" w:eastAsia="仿宋"/>
        </w:rPr>
        <w:t>转让</w:t>
      </w:r>
      <w:bookmarkEnd w:id="48"/>
    </w:p>
    <w:p>
      <w:pPr>
        <w:spacing w:line="560" w:lineRule="exact"/>
        <w:ind w:firstLine="482" w:firstLineChars="200"/>
        <w:rPr>
          <w:rFonts w:ascii="仿宋" w:hAnsi="仿宋" w:eastAsia="仿宋" w:cs="仿宋"/>
          <w:b/>
          <w:bCs/>
          <w:sz w:val="24"/>
          <w:szCs w:val="24"/>
        </w:rPr>
      </w:pPr>
      <w:bookmarkStart w:id="49" w:name="_Toc433384515"/>
      <w:r>
        <w:rPr>
          <w:rFonts w:hint="eastAsia" w:ascii="仿宋" w:hAnsi="仿宋" w:eastAsia="仿宋" w:cs="仿宋"/>
          <w:b/>
          <w:bCs/>
          <w:sz w:val="24"/>
          <w:szCs w:val="24"/>
        </w:rPr>
        <w:t>7.1股权锁定期</w:t>
      </w:r>
    </w:p>
    <w:p>
      <w:pPr>
        <w:adjustRightInd w:val="0"/>
        <w:snapToGrid w:val="0"/>
        <w:spacing w:line="560" w:lineRule="exact"/>
        <w:ind w:firstLine="480"/>
        <w:rPr>
          <w:rFonts w:ascii="Calibri" w:hAnsi="Calibri" w:eastAsia="仿宋" w:cs="Calibri"/>
          <w:sz w:val="24"/>
          <w:szCs w:val="24"/>
          <w:lang w:val="zh-CN"/>
        </w:rPr>
      </w:pPr>
      <w:r>
        <w:rPr>
          <w:rFonts w:hint="eastAsia" w:ascii="Calibri" w:hAnsi="Calibri" w:eastAsia="仿宋" w:cs="Calibri"/>
          <w:sz w:val="24"/>
          <w:szCs w:val="24"/>
          <w:lang w:val="zh-CN"/>
        </w:rPr>
        <w:t>项目公司成立之日起至最后一个子项目进入运营期第二（</w:t>
      </w:r>
      <w:r>
        <w:rPr>
          <w:rFonts w:ascii="Calibri" w:hAnsi="Calibri" w:eastAsia="仿宋" w:cs="Calibri"/>
          <w:sz w:val="24"/>
          <w:szCs w:val="24"/>
          <w:lang w:val="zh-CN"/>
        </w:rPr>
        <w:t>2</w:t>
      </w:r>
      <w:r>
        <w:rPr>
          <w:rFonts w:hint="eastAsia" w:ascii="Calibri" w:hAnsi="Calibri" w:eastAsia="仿宋" w:cs="Calibri"/>
          <w:sz w:val="24"/>
          <w:szCs w:val="24"/>
          <w:lang w:val="zh-CN"/>
        </w:rPr>
        <w:t>）年内，乙方不得转让其在项目公司中的股权。</w:t>
      </w:r>
      <w:r>
        <w:rPr>
          <w:rFonts w:ascii="仿宋" w:hAnsi="仿宋" w:eastAsia="仿宋" w:cs="仿宋"/>
          <w:sz w:val="24"/>
          <w:szCs w:val="24"/>
        </w:rPr>
        <w:t>除非这种转让为中国法律所要求，或是法院</w:t>
      </w:r>
      <w:r>
        <w:rPr>
          <w:rFonts w:hint="eastAsia" w:ascii="仿宋" w:hAnsi="仿宋" w:eastAsia="仿宋" w:cs="仿宋"/>
          <w:sz w:val="24"/>
          <w:szCs w:val="24"/>
        </w:rPr>
        <w:t>、仲裁庭</w:t>
      </w:r>
      <w:r>
        <w:rPr>
          <w:rFonts w:ascii="仿宋" w:hAnsi="仿宋" w:eastAsia="仿宋" w:cs="仿宋"/>
          <w:sz w:val="24"/>
          <w:szCs w:val="24"/>
        </w:rPr>
        <w:t>或具有适当管辖权的政府部门所命令或宿迁市政府所要求的转让。</w:t>
      </w:r>
    </w:p>
    <w:p>
      <w:pPr>
        <w:spacing w:line="560" w:lineRule="exact"/>
        <w:ind w:firstLine="482" w:firstLineChars="200"/>
        <w:rPr>
          <w:rFonts w:ascii="仿宋" w:hAnsi="仿宋" w:eastAsia="仿宋" w:cs="仿宋"/>
          <w:b/>
          <w:bCs/>
          <w:sz w:val="24"/>
          <w:szCs w:val="24"/>
        </w:rPr>
      </w:pPr>
      <w:r>
        <w:rPr>
          <w:rFonts w:ascii="仿宋" w:hAnsi="仿宋" w:eastAsia="仿宋" w:cs="仿宋"/>
          <w:b/>
          <w:bCs/>
          <w:sz w:val="24"/>
          <w:szCs w:val="24"/>
        </w:rPr>
        <w:t>7.2</w:t>
      </w:r>
      <w:r>
        <w:rPr>
          <w:rFonts w:ascii="仿宋" w:hAnsi="仿宋" w:eastAsia="仿宋" w:cs="仿宋"/>
          <w:b/>
          <w:bCs/>
          <w:sz w:val="24"/>
          <w:szCs w:val="24"/>
        </w:rPr>
        <w:tab/>
      </w:r>
      <w:r>
        <w:rPr>
          <w:rFonts w:ascii="仿宋" w:hAnsi="仿宋" w:eastAsia="仿宋" w:cs="仿宋"/>
          <w:b/>
          <w:bCs/>
          <w:sz w:val="24"/>
          <w:szCs w:val="24"/>
        </w:rPr>
        <w:t xml:space="preserve"> </w:t>
      </w:r>
      <w:r>
        <w:rPr>
          <w:rFonts w:hint="eastAsia" w:ascii="仿宋" w:hAnsi="仿宋" w:eastAsia="仿宋" w:cs="仿宋"/>
          <w:b/>
          <w:bCs/>
          <w:sz w:val="24"/>
          <w:szCs w:val="24"/>
        </w:rPr>
        <w:t>股权锁定期的例外情形</w:t>
      </w:r>
    </w:p>
    <w:p>
      <w:pPr>
        <w:adjustRightInd w:val="0"/>
        <w:snapToGrid w:val="0"/>
        <w:spacing w:line="560" w:lineRule="exact"/>
        <w:ind w:firstLine="480"/>
        <w:rPr>
          <w:rFonts w:ascii="Calibri" w:hAnsi="Calibri" w:eastAsia="仿宋" w:cs="Calibri"/>
          <w:sz w:val="24"/>
          <w:szCs w:val="24"/>
          <w:lang w:val="zh-CN"/>
        </w:rPr>
      </w:pPr>
      <w:r>
        <w:rPr>
          <w:rFonts w:ascii="Calibri" w:hAnsi="Calibri" w:eastAsia="仿宋" w:cs="Calibri"/>
          <w:sz w:val="24"/>
          <w:szCs w:val="24"/>
          <w:lang w:val="zh-CN"/>
        </w:rPr>
        <w:tab/>
      </w:r>
      <w:r>
        <w:rPr>
          <w:rFonts w:ascii="Calibri" w:hAnsi="Calibri" w:eastAsia="仿宋" w:cs="Calibri"/>
          <w:sz w:val="24"/>
          <w:szCs w:val="24"/>
          <w:lang w:val="zh-CN"/>
        </w:rPr>
        <w:t>如出现以下情形的，经</w:t>
      </w:r>
      <w:r>
        <w:rPr>
          <w:rFonts w:hint="eastAsia" w:ascii="Calibri" w:hAnsi="Calibri" w:eastAsia="仿宋" w:cs="Calibri"/>
          <w:sz w:val="24"/>
          <w:szCs w:val="24"/>
          <w:lang w:val="zh-CN"/>
        </w:rPr>
        <w:t>甲方</w:t>
      </w:r>
      <w:r>
        <w:rPr>
          <w:rFonts w:ascii="Calibri" w:hAnsi="Calibri" w:eastAsia="仿宋" w:cs="Calibri"/>
          <w:sz w:val="24"/>
          <w:szCs w:val="24"/>
          <w:lang w:val="zh-CN"/>
        </w:rPr>
        <w:t>书面同意后，乙方可以转让其在项目公司中的股权：</w:t>
      </w:r>
    </w:p>
    <w:p>
      <w:pPr>
        <w:adjustRightInd w:val="0"/>
        <w:snapToGrid w:val="0"/>
        <w:spacing w:line="560" w:lineRule="exact"/>
        <w:ind w:firstLine="480"/>
        <w:rPr>
          <w:rFonts w:ascii="Calibri" w:hAnsi="Calibri" w:eastAsia="仿宋" w:cs="Calibri"/>
          <w:sz w:val="24"/>
          <w:szCs w:val="24"/>
          <w:lang w:val="zh-CN"/>
        </w:rPr>
      </w:pPr>
      <w:r>
        <w:rPr>
          <w:rFonts w:hint="eastAsia" w:ascii="Calibri" w:hAnsi="Calibri" w:eastAsia="仿宋" w:cs="Calibri"/>
          <w:sz w:val="24"/>
          <w:szCs w:val="24"/>
          <w:lang w:val="zh-CN"/>
        </w:rPr>
        <w:t>（</w:t>
      </w:r>
      <w:r>
        <w:rPr>
          <w:rFonts w:ascii="Calibri" w:hAnsi="Calibri" w:eastAsia="仿宋" w:cs="Calibri"/>
          <w:sz w:val="24"/>
          <w:szCs w:val="24"/>
          <w:lang w:val="zh-CN"/>
        </w:rPr>
        <w:t>1）项目贷款人为履行本项目融资项下的担保而涉及的股权结构变更；</w:t>
      </w:r>
    </w:p>
    <w:p>
      <w:pPr>
        <w:adjustRightInd w:val="0"/>
        <w:snapToGrid w:val="0"/>
        <w:spacing w:line="560" w:lineRule="exact"/>
        <w:ind w:firstLine="480"/>
        <w:rPr>
          <w:rFonts w:ascii="Calibri" w:hAnsi="Calibri" w:eastAsia="仿宋" w:cs="Calibri"/>
          <w:sz w:val="24"/>
          <w:szCs w:val="24"/>
          <w:lang w:val="zh-CN"/>
        </w:rPr>
      </w:pPr>
      <w:r>
        <w:rPr>
          <w:rFonts w:hint="eastAsia" w:ascii="Calibri" w:hAnsi="Calibri" w:eastAsia="仿宋" w:cs="Calibri"/>
          <w:sz w:val="24"/>
          <w:szCs w:val="24"/>
          <w:lang w:val="zh-CN"/>
        </w:rPr>
        <w:t>（</w:t>
      </w:r>
      <w:r>
        <w:rPr>
          <w:rFonts w:ascii="Calibri" w:hAnsi="Calibri" w:eastAsia="仿宋" w:cs="Calibri"/>
          <w:sz w:val="24"/>
          <w:szCs w:val="24"/>
          <w:lang w:val="zh-CN"/>
        </w:rPr>
        <w:t>2）</w:t>
      </w:r>
      <w:r>
        <w:rPr>
          <w:rFonts w:hint="eastAsia" w:ascii="Calibri" w:hAnsi="Calibri" w:eastAsia="仿宋" w:cs="Calibri"/>
          <w:sz w:val="24"/>
          <w:szCs w:val="24"/>
          <w:lang w:val="zh-CN"/>
        </w:rPr>
        <w:t>在符合法律法规的前提下，征询监管部门同意后，</w:t>
      </w:r>
      <w:r>
        <w:rPr>
          <w:rFonts w:ascii="Calibri" w:hAnsi="Calibri" w:eastAsia="仿宋" w:cs="Calibri"/>
          <w:sz w:val="24"/>
          <w:szCs w:val="24"/>
          <w:lang w:val="zh-CN"/>
        </w:rPr>
        <w:t>将其在项目公司中的股权转让给乙方的关联公司；</w:t>
      </w:r>
    </w:p>
    <w:p>
      <w:pPr>
        <w:adjustRightInd w:val="0"/>
        <w:snapToGrid w:val="0"/>
        <w:spacing w:line="560" w:lineRule="exact"/>
        <w:ind w:firstLine="480"/>
        <w:rPr>
          <w:rFonts w:ascii="Calibri" w:hAnsi="Calibri" w:eastAsia="仿宋" w:cs="Calibri"/>
          <w:sz w:val="24"/>
          <w:szCs w:val="24"/>
          <w:lang w:val="zh-CN"/>
        </w:rPr>
      </w:pPr>
      <w:r>
        <w:rPr>
          <w:rFonts w:hint="eastAsia" w:ascii="Calibri" w:hAnsi="Calibri" w:eastAsia="仿宋" w:cs="Calibri"/>
          <w:sz w:val="24"/>
          <w:szCs w:val="24"/>
          <w:lang w:val="zh-CN"/>
        </w:rPr>
        <w:t>（</w:t>
      </w:r>
      <w:r>
        <w:rPr>
          <w:rFonts w:ascii="Calibri" w:hAnsi="Calibri" w:eastAsia="仿宋" w:cs="Calibri"/>
          <w:sz w:val="24"/>
          <w:szCs w:val="24"/>
          <w:lang w:val="zh-CN"/>
        </w:rPr>
        <w:t>3）</w:t>
      </w:r>
      <w:r>
        <w:rPr>
          <w:rFonts w:hint="eastAsia" w:ascii="Calibri" w:hAnsi="Calibri" w:eastAsia="仿宋" w:cs="Calibri"/>
          <w:sz w:val="24"/>
          <w:szCs w:val="24"/>
          <w:lang w:val="zh-CN"/>
        </w:rPr>
        <w:t xml:space="preserve"> </w:t>
      </w:r>
      <w:r>
        <w:rPr>
          <w:rFonts w:ascii="Calibri" w:hAnsi="Calibri" w:eastAsia="仿宋" w:cs="Calibri"/>
          <w:sz w:val="24"/>
          <w:szCs w:val="24"/>
          <w:lang w:val="zh-CN"/>
        </w:rPr>
        <w:t>项目公司引入</w:t>
      </w:r>
      <w:r>
        <w:rPr>
          <w:rFonts w:hint="eastAsia" w:ascii="Calibri" w:hAnsi="Calibri" w:eastAsia="仿宋" w:cs="Calibri"/>
          <w:sz w:val="24"/>
          <w:szCs w:val="24"/>
          <w:lang w:val="zh-CN"/>
        </w:rPr>
        <w:t>省级及省级以上</w:t>
      </w:r>
      <w:r>
        <w:rPr>
          <w:rFonts w:ascii="Calibri" w:hAnsi="Calibri" w:eastAsia="仿宋" w:cs="Calibri"/>
          <w:sz w:val="24"/>
          <w:szCs w:val="24"/>
          <w:lang w:val="zh-CN"/>
        </w:rPr>
        <w:t>PPP基金作为项目公司股东，但引入的基金不能成为项目公司的控股股东。</w:t>
      </w:r>
    </w:p>
    <w:p>
      <w:pPr>
        <w:adjustRightInd w:val="0"/>
        <w:snapToGrid w:val="0"/>
        <w:spacing w:line="560" w:lineRule="exact"/>
        <w:ind w:firstLine="480"/>
        <w:rPr>
          <w:rFonts w:ascii="Calibri" w:hAnsi="Calibri" w:eastAsia="仿宋" w:cs="Calibri"/>
          <w:sz w:val="24"/>
          <w:szCs w:val="24"/>
          <w:lang w:val="zh-CN"/>
        </w:rPr>
      </w:pPr>
      <w:r>
        <w:rPr>
          <w:rFonts w:hint="eastAsia" w:ascii="Calibri" w:hAnsi="Calibri" w:eastAsia="仿宋" w:cs="Calibri"/>
          <w:sz w:val="24"/>
          <w:szCs w:val="24"/>
          <w:lang w:val="zh-CN"/>
        </w:rPr>
        <w:t>（</w:t>
      </w:r>
      <w:r>
        <w:rPr>
          <w:rFonts w:ascii="Calibri" w:hAnsi="Calibri" w:eastAsia="仿宋" w:cs="Calibri"/>
          <w:sz w:val="24"/>
          <w:szCs w:val="24"/>
          <w:lang w:val="zh-CN"/>
        </w:rPr>
        <w:t>4）</w:t>
      </w:r>
      <w:r>
        <w:rPr>
          <w:rFonts w:hint="eastAsia" w:ascii="Calibri" w:hAnsi="Calibri" w:eastAsia="仿宋" w:cs="Calibri"/>
          <w:sz w:val="24"/>
          <w:szCs w:val="24"/>
          <w:lang w:val="zh-CN"/>
        </w:rPr>
        <w:t>乙方</w:t>
      </w:r>
      <w:r>
        <w:rPr>
          <w:rFonts w:ascii="Calibri" w:hAnsi="Calibri" w:eastAsia="仿宋" w:cs="Calibri"/>
          <w:sz w:val="24"/>
          <w:szCs w:val="24"/>
          <w:lang w:val="zh-CN"/>
        </w:rPr>
        <w:t>为联合体的，联合体成员之间进行股权转让。</w:t>
      </w:r>
    </w:p>
    <w:p>
      <w:pPr>
        <w:adjustRightInd w:val="0"/>
        <w:snapToGrid w:val="0"/>
        <w:spacing w:line="560" w:lineRule="exact"/>
        <w:ind w:firstLine="480"/>
        <w:rPr>
          <w:rFonts w:ascii="Calibri" w:hAnsi="Calibri" w:eastAsia="仿宋" w:cs="Calibri"/>
          <w:sz w:val="24"/>
          <w:szCs w:val="24"/>
          <w:lang w:val="zh-CN"/>
        </w:rPr>
      </w:pPr>
      <w:r>
        <w:rPr>
          <w:rFonts w:hint="eastAsia" w:ascii="Calibri" w:hAnsi="Calibri" w:eastAsia="仿宋" w:cs="Calibri"/>
          <w:sz w:val="24"/>
          <w:szCs w:val="24"/>
          <w:lang w:val="zh-CN"/>
        </w:rPr>
        <w:t>（</w:t>
      </w:r>
      <w:r>
        <w:rPr>
          <w:rFonts w:ascii="Calibri" w:hAnsi="Calibri" w:eastAsia="仿宋" w:cs="Calibri"/>
          <w:sz w:val="24"/>
          <w:szCs w:val="24"/>
          <w:lang w:val="zh-CN"/>
        </w:rPr>
        <w:t>5）</w:t>
      </w:r>
      <w:r>
        <w:rPr>
          <w:rFonts w:hint="eastAsia" w:ascii="Calibri" w:hAnsi="Calibri" w:eastAsia="仿宋" w:cs="Calibri"/>
          <w:sz w:val="24"/>
          <w:szCs w:val="24"/>
          <w:lang w:val="zh-CN"/>
        </w:rPr>
        <w:t>政府方出资代表</w:t>
      </w:r>
      <w:r>
        <w:rPr>
          <w:rFonts w:ascii="Calibri" w:hAnsi="Calibri" w:eastAsia="仿宋" w:cs="Calibri"/>
          <w:sz w:val="24"/>
          <w:szCs w:val="24"/>
          <w:lang w:val="zh-CN"/>
        </w:rPr>
        <w:t>转让其在项目公司股权的不受股权</w:t>
      </w:r>
      <w:r>
        <w:rPr>
          <w:rFonts w:hint="eastAsia" w:ascii="Calibri" w:hAnsi="Calibri" w:eastAsia="仿宋" w:cs="Calibri"/>
          <w:sz w:val="24"/>
          <w:szCs w:val="24"/>
          <w:lang w:val="zh-CN"/>
        </w:rPr>
        <w:t>锁定期</w:t>
      </w:r>
      <w:r>
        <w:rPr>
          <w:rFonts w:ascii="Calibri" w:hAnsi="Calibri" w:eastAsia="仿宋" w:cs="Calibri"/>
          <w:sz w:val="24"/>
          <w:szCs w:val="24"/>
          <w:lang w:val="zh-CN"/>
        </w:rPr>
        <w:t>限制。</w:t>
      </w:r>
    </w:p>
    <w:p>
      <w:pPr>
        <w:spacing w:line="56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7.3股权转让要求</w:t>
      </w:r>
    </w:p>
    <w:p>
      <w:pPr>
        <w:adjustRightInd w:val="0"/>
        <w:snapToGrid w:val="0"/>
        <w:spacing w:line="560" w:lineRule="exact"/>
        <w:ind w:firstLine="480"/>
        <w:rPr>
          <w:rFonts w:ascii="Calibri" w:hAnsi="Calibri" w:eastAsia="仿宋" w:cs="Calibri"/>
          <w:sz w:val="24"/>
          <w:szCs w:val="24"/>
          <w:lang w:val="zh-CN"/>
        </w:rPr>
      </w:pPr>
      <w:r>
        <w:rPr>
          <w:rFonts w:hint="eastAsia" w:ascii="Calibri" w:hAnsi="Calibri" w:eastAsia="仿宋" w:cs="Calibri"/>
          <w:sz w:val="24"/>
          <w:szCs w:val="24"/>
          <w:lang w:val="zh-CN"/>
        </w:rPr>
        <w:t>经甲方事先书面同意并与受转让方按本协议原则性条款及条件不变的条件下签署新的合同或补充协议，乙方可以向具备以下条件的受转让方转让本协议项下的权利和义务，为了保证股权转让顺利过渡，设置十二（</w:t>
      </w:r>
      <w:r>
        <w:rPr>
          <w:rFonts w:ascii="Calibri" w:hAnsi="Calibri" w:eastAsia="仿宋" w:cs="Calibri"/>
          <w:sz w:val="24"/>
          <w:szCs w:val="24"/>
          <w:lang w:val="zh-CN"/>
        </w:rPr>
        <w:t>12）个月的运营过渡期，期间转让方</w:t>
      </w:r>
      <w:r>
        <w:rPr>
          <w:rFonts w:hint="eastAsia" w:ascii="Calibri" w:hAnsi="Calibri" w:eastAsia="仿宋" w:cs="Calibri"/>
          <w:sz w:val="24"/>
          <w:szCs w:val="24"/>
          <w:lang w:val="zh-CN"/>
        </w:rPr>
        <w:t>与受让方</w:t>
      </w:r>
      <w:r>
        <w:rPr>
          <w:rFonts w:ascii="Calibri" w:hAnsi="Calibri" w:eastAsia="仿宋" w:cs="Calibri"/>
          <w:sz w:val="24"/>
          <w:szCs w:val="24"/>
          <w:lang w:val="zh-CN"/>
        </w:rPr>
        <w:t>对本项目建设、运营等责任承担连带责任：</w:t>
      </w:r>
    </w:p>
    <w:p>
      <w:pPr>
        <w:adjustRightInd w:val="0"/>
        <w:snapToGrid w:val="0"/>
        <w:spacing w:line="560" w:lineRule="exact"/>
        <w:ind w:firstLine="480"/>
        <w:rPr>
          <w:rFonts w:ascii="Calibri" w:hAnsi="Calibri" w:eastAsia="仿宋" w:cs="Calibri"/>
          <w:sz w:val="24"/>
          <w:szCs w:val="24"/>
          <w:lang w:val="zh-CN"/>
        </w:rPr>
      </w:pPr>
      <w:r>
        <w:rPr>
          <w:rFonts w:hint="eastAsia" w:ascii="Calibri" w:hAnsi="Calibri" w:eastAsia="仿宋" w:cs="Calibri"/>
          <w:sz w:val="24"/>
          <w:szCs w:val="24"/>
          <w:lang w:val="zh-CN"/>
        </w:rPr>
        <w:t>（</w:t>
      </w:r>
      <w:r>
        <w:rPr>
          <w:rFonts w:ascii="Calibri" w:hAnsi="Calibri" w:eastAsia="仿宋" w:cs="Calibri"/>
          <w:sz w:val="24"/>
          <w:szCs w:val="24"/>
          <w:lang w:val="zh-CN"/>
        </w:rPr>
        <w:t>1）</w:t>
      </w:r>
      <w:r>
        <w:rPr>
          <w:rFonts w:ascii="Calibri" w:hAnsi="Calibri" w:eastAsia="仿宋" w:cs="Calibri"/>
          <w:sz w:val="24"/>
          <w:szCs w:val="24"/>
          <w:lang w:val="zh-CN"/>
        </w:rPr>
        <w:tab/>
      </w:r>
      <w:r>
        <w:rPr>
          <w:rFonts w:ascii="Calibri" w:hAnsi="Calibri" w:eastAsia="仿宋" w:cs="Calibri"/>
          <w:sz w:val="24"/>
          <w:szCs w:val="24"/>
          <w:lang w:val="zh-CN"/>
        </w:rPr>
        <w:t>受让方的运营、技术、财务等方面应不低于采购时招标文件与本</w:t>
      </w:r>
      <w:r>
        <w:rPr>
          <w:rFonts w:hint="eastAsia" w:ascii="Calibri" w:hAnsi="Calibri" w:eastAsia="仿宋" w:cs="Calibri"/>
          <w:sz w:val="24"/>
          <w:szCs w:val="24"/>
          <w:lang w:val="zh-CN"/>
        </w:rPr>
        <w:t>协议</w:t>
      </w:r>
      <w:r>
        <w:rPr>
          <w:rFonts w:ascii="Calibri" w:hAnsi="Calibri" w:eastAsia="仿宋" w:cs="Calibri"/>
          <w:sz w:val="24"/>
          <w:szCs w:val="24"/>
          <w:lang w:val="zh-CN"/>
        </w:rPr>
        <w:t>约定的条件；</w:t>
      </w:r>
    </w:p>
    <w:p>
      <w:pPr>
        <w:adjustRightInd w:val="0"/>
        <w:snapToGrid w:val="0"/>
        <w:spacing w:line="560" w:lineRule="exact"/>
        <w:ind w:firstLine="480"/>
        <w:rPr>
          <w:rFonts w:ascii="Calibri" w:hAnsi="Calibri" w:eastAsia="仿宋" w:cs="Calibri"/>
          <w:sz w:val="24"/>
          <w:szCs w:val="24"/>
          <w:lang w:val="zh-CN"/>
        </w:rPr>
      </w:pPr>
      <w:r>
        <w:rPr>
          <w:rFonts w:hint="eastAsia" w:ascii="Calibri" w:hAnsi="Calibri" w:eastAsia="仿宋" w:cs="Calibri"/>
          <w:sz w:val="24"/>
          <w:szCs w:val="24"/>
          <w:lang w:val="zh-CN"/>
        </w:rPr>
        <w:t>（</w:t>
      </w:r>
      <w:r>
        <w:rPr>
          <w:rFonts w:ascii="Calibri" w:hAnsi="Calibri" w:eastAsia="仿宋" w:cs="Calibri"/>
          <w:sz w:val="24"/>
          <w:szCs w:val="24"/>
          <w:lang w:val="zh-CN"/>
        </w:rPr>
        <w:t>2）</w:t>
      </w:r>
      <w:r>
        <w:rPr>
          <w:rFonts w:ascii="Calibri" w:hAnsi="Calibri" w:eastAsia="仿宋" w:cs="Calibri"/>
          <w:sz w:val="24"/>
          <w:szCs w:val="24"/>
          <w:lang w:val="zh-CN"/>
        </w:rPr>
        <w:tab/>
      </w:r>
      <w:r>
        <w:rPr>
          <w:rFonts w:ascii="Calibri" w:hAnsi="Calibri" w:eastAsia="仿宋" w:cs="Calibri"/>
          <w:sz w:val="24"/>
          <w:szCs w:val="24"/>
          <w:lang w:val="zh-CN"/>
        </w:rPr>
        <w:t>股权受让方应出具书面声明，表明其已经完全理解并接受本</w:t>
      </w:r>
      <w:r>
        <w:rPr>
          <w:rFonts w:hint="eastAsia" w:ascii="Calibri" w:hAnsi="Calibri" w:eastAsia="仿宋" w:cs="Calibri"/>
          <w:sz w:val="24"/>
          <w:szCs w:val="24"/>
          <w:lang w:val="zh-CN"/>
        </w:rPr>
        <w:t>协议</w:t>
      </w:r>
      <w:r>
        <w:rPr>
          <w:rFonts w:ascii="Calibri" w:hAnsi="Calibri" w:eastAsia="仿宋" w:cs="Calibri"/>
          <w:sz w:val="24"/>
          <w:szCs w:val="24"/>
          <w:lang w:val="zh-CN"/>
        </w:rPr>
        <w:t>全部条款规定的内容，特别需要完善处理和安排原股东在本项目下相关融资贷款合同、相关债务以及本项目下一切责任义务的法律变更、交接和延续。</w:t>
      </w:r>
    </w:p>
    <w:bookmarkEnd w:id="49"/>
    <w:p>
      <w:pPr>
        <w:pStyle w:val="3"/>
        <w:numPr>
          <w:ilvl w:val="0"/>
          <w:numId w:val="0"/>
        </w:numPr>
        <w:ind w:left="-576"/>
        <w:jc w:val="center"/>
        <w:rPr>
          <w:rFonts w:ascii="仿宋" w:hAnsi="仿宋" w:eastAsia="仿宋"/>
        </w:rPr>
      </w:pPr>
      <w:bookmarkStart w:id="50" w:name="_Toc491850047"/>
      <w:bookmarkStart w:id="51" w:name="_Toc62570357"/>
      <w:bookmarkStart w:id="52" w:name="_Toc25032"/>
      <w:bookmarkStart w:id="53" w:name="_Toc433384519"/>
      <w:r>
        <w:rPr>
          <w:rFonts w:hint="eastAsia" w:ascii="仿宋" w:hAnsi="仿宋" w:eastAsia="仿宋"/>
        </w:rPr>
        <w:t>第八章  违约责任</w:t>
      </w:r>
      <w:bookmarkEnd w:id="50"/>
      <w:bookmarkEnd w:id="51"/>
      <w:bookmarkEnd w:id="52"/>
      <w:bookmarkEnd w:id="53"/>
    </w:p>
    <w:p>
      <w:pPr>
        <w:spacing w:line="560" w:lineRule="exact"/>
        <w:ind w:firstLine="482" w:firstLineChars="200"/>
        <w:rPr>
          <w:rFonts w:ascii="仿宋" w:hAnsi="仿宋" w:eastAsia="仿宋" w:cs="仿宋"/>
          <w:sz w:val="24"/>
          <w:szCs w:val="24"/>
        </w:rPr>
      </w:pPr>
      <w:bookmarkStart w:id="54" w:name="_Toc486194819"/>
      <w:bookmarkStart w:id="55" w:name="_Toc455342792"/>
      <w:bookmarkStart w:id="56" w:name="_Toc428520565"/>
      <w:r>
        <w:rPr>
          <w:rFonts w:hint="eastAsia" w:ascii="仿宋" w:hAnsi="仿宋" w:eastAsia="仿宋" w:cs="仿宋"/>
          <w:b/>
          <w:bCs/>
          <w:sz w:val="24"/>
          <w:szCs w:val="24"/>
        </w:rPr>
        <w:t>8.1甲方违约责任</w:t>
      </w:r>
    </w:p>
    <w:p>
      <w:pPr>
        <w:spacing w:line="560" w:lineRule="exact"/>
        <w:ind w:firstLine="480"/>
        <w:rPr>
          <w:rFonts w:ascii="仿宋" w:hAnsi="仿宋" w:eastAsia="仿宋" w:cs="仿宋"/>
          <w:sz w:val="24"/>
          <w:szCs w:val="24"/>
        </w:rPr>
      </w:pPr>
      <w:r>
        <w:rPr>
          <w:rFonts w:ascii="仿宋" w:hAnsi="仿宋" w:eastAsia="仿宋" w:cs="仿宋"/>
          <w:sz w:val="24"/>
          <w:szCs w:val="24"/>
        </w:rPr>
        <w:t>8.1.1因甲方原因导致未能在本协议签署后30日内注册成立项目公司，且甲方未能在收到乙方要求甲方纠正其违约行为的书面通知后30日内改正此行为的，项目公司注册每延期一日，甲方应向乙方支付2</w:t>
      </w:r>
      <w:r>
        <w:rPr>
          <w:rFonts w:hint="eastAsia" w:ascii="仿宋" w:hAnsi="仿宋" w:eastAsia="仿宋" w:cs="仿宋"/>
          <w:sz w:val="24"/>
          <w:szCs w:val="24"/>
        </w:rPr>
        <w:t>万</w:t>
      </w:r>
      <w:r>
        <w:rPr>
          <w:rFonts w:ascii="仿宋" w:hAnsi="仿宋" w:eastAsia="仿宋" w:cs="仿宋"/>
          <w:sz w:val="24"/>
          <w:szCs w:val="24"/>
        </w:rPr>
        <w:t>元的违约金。因甲方原因致使在本协议签署后60日内项目公司仍未能注册的，则乙方有权单方面发出解除本协议通知，与甲方解除本协议。</w:t>
      </w:r>
    </w:p>
    <w:p>
      <w:pPr>
        <w:spacing w:line="560" w:lineRule="exact"/>
        <w:ind w:firstLine="480"/>
        <w:rPr>
          <w:rFonts w:ascii="仿宋" w:hAnsi="仿宋" w:eastAsia="仿宋" w:cs="仿宋"/>
          <w:sz w:val="24"/>
          <w:szCs w:val="24"/>
        </w:rPr>
      </w:pPr>
      <w:r>
        <w:rPr>
          <w:rFonts w:ascii="仿宋" w:hAnsi="仿宋" w:eastAsia="仿宋" w:cs="仿宋"/>
          <w:sz w:val="24"/>
          <w:szCs w:val="24"/>
        </w:rPr>
        <w:t>8.1.2因甲方原因导致【</w:t>
      </w:r>
      <w:r>
        <w:rPr>
          <w:rFonts w:hint="eastAsia" w:ascii="仿宋" w:hAnsi="仿宋" w:eastAsia="仿宋" w:cs="仿宋"/>
          <w:sz w:val="24"/>
          <w:szCs w:val="24"/>
        </w:rPr>
        <w:t>宿迁交通产业集团有限公司</w:t>
      </w:r>
      <w:r>
        <w:rPr>
          <w:rFonts w:ascii="仿宋" w:hAnsi="仿宋" w:eastAsia="仿宋" w:cs="仿宋"/>
          <w:sz w:val="24"/>
          <w:szCs w:val="24"/>
        </w:rPr>
        <w:t>】未能按照本协议及《股东协议》约定将项目资本金出资到位，且甲方未能在收到乙方要求甲方纠正其违约行为的书面通知后30日内改正此行为的，乙方有权单方面发出解除本协议通知，与甲方解除本协议。</w:t>
      </w:r>
    </w:p>
    <w:p>
      <w:pPr>
        <w:spacing w:line="560" w:lineRule="exact"/>
        <w:ind w:firstLine="480"/>
        <w:rPr>
          <w:rFonts w:ascii="仿宋" w:hAnsi="仿宋" w:eastAsia="仿宋" w:cs="仿宋"/>
          <w:sz w:val="24"/>
          <w:szCs w:val="24"/>
        </w:rPr>
      </w:pPr>
      <w:r>
        <w:rPr>
          <w:rFonts w:ascii="仿宋" w:hAnsi="仿宋" w:eastAsia="仿宋" w:cs="仿宋"/>
          <w:sz w:val="24"/>
          <w:szCs w:val="24"/>
        </w:rPr>
        <w:t>8.1.3因甲方原因致使本协议无法履行，且甲方未能在收到乙方要求甲方纠正其违约行为的书面通知后30日内改正此行为的，乙方有权通过向甲方发出有效通知的方式，终止或解除本协议，甲方应当按照【□约定补偿标准；</w:t>
      </w:r>
      <w:r>
        <w:rPr>
          <w:rFonts w:hint="eastAsia" w:ascii="仿宋" w:hAnsi="仿宋" w:eastAsia="仿宋" w:cs="仿宋"/>
          <w:sz w:val="24"/>
          <w:szCs w:val="24"/>
        </w:rPr>
        <w:t>■</w:t>
      </w:r>
      <w:r>
        <w:rPr>
          <w:rFonts w:ascii="仿宋" w:hAnsi="仿宋" w:eastAsia="仿宋" w:cs="仿宋"/>
          <w:sz w:val="24"/>
          <w:szCs w:val="24"/>
        </w:rPr>
        <w:t>遵循“恢复相同经济地位”原则另行商定补偿方案】对乙方的损失给予补偿。</w:t>
      </w:r>
    </w:p>
    <w:p>
      <w:pPr>
        <w:spacing w:line="560" w:lineRule="exact"/>
        <w:ind w:firstLine="480"/>
        <w:rPr>
          <w:rFonts w:ascii="仿宋" w:hAnsi="仿宋" w:eastAsia="仿宋" w:cs="仿宋"/>
          <w:b/>
          <w:bCs/>
          <w:sz w:val="24"/>
        </w:rPr>
      </w:pPr>
      <w:r>
        <w:rPr>
          <w:rFonts w:ascii="仿宋" w:hAnsi="仿宋" w:eastAsia="仿宋" w:cs="仿宋"/>
          <w:b/>
          <w:bCs/>
          <w:sz w:val="24"/>
          <w:szCs w:val="24"/>
        </w:rPr>
        <w:t xml:space="preserve">8.2 </w:t>
      </w:r>
      <w:r>
        <w:rPr>
          <w:rFonts w:hint="eastAsia" w:ascii="仿宋" w:hAnsi="仿宋" w:eastAsia="仿宋" w:cs="仿宋"/>
          <w:b/>
          <w:bCs/>
          <w:sz w:val="24"/>
          <w:szCs w:val="24"/>
        </w:rPr>
        <w:t>乙方违约责任</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8.2.1如乙方原因而未按本协议约定时间成立项目公司，</w:t>
      </w:r>
      <w:bookmarkStart w:id="57" w:name="_Hlk55922786"/>
      <w:r>
        <w:rPr>
          <w:rFonts w:hint="eastAsia" w:ascii="仿宋" w:hAnsi="仿宋" w:eastAsia="仿宋" w:cs="仿宋"/>
          <w:sz w:val="24"/>
          <w:szCs w:val="24"/>
        </w:rPr>
        <w:t>且乙方未能在收到甲方要求乙方纠正其违约行为的书面通知后30日内纠正其行为的，则从约定期限届满的次日起，</w:t>
      </w:r>
      <w:bookmarkEnd w:id="57"/>
      <w:r>
        <w:rPr>
          <w:rFonts w:hint="eastAsia" w:ascii="仿宋" w:hAnsi="仿宋" w:eastAsia="仿宋" w:cs="仿宋"/>
          <w:sz w:val="24"/>
          <w:szCs w:val="24"/>
        </w:rPr>
        <w:t>甲方有权按5</w:t>
      </w:r>
      <w:r>
        <w:rPr>
          <w:rFonts w:ascii="仿宋" w:hAnsi="仿宋" w:eastAsia="仿宋" w:cs="仿宋"/>
          <w:sz w:val="24"/>
          <w:szCs w:val="24"/>
        </w:rPr>
        <w:t>万元/日计算违约金，从建设期履约保函中扣除</w:t>
      </w:r>
      <w:r>
        <w:rPr>
          <w:rFonts w:hint="eastAsia" w:ascii="仿宋" w:hAnsi="仿宋" w:eastAsia="仿宋" w:cs="仿宋"/>
          <w:sz w:val="24"/>
          <w:szCs w:val="24"/>
        </w:rPr>
        <w:t>，若延期超过60</w:t>
      </w:r>
      <w:r>
        <w:rPr>
          <w:rFonts w:ascii="仿宋" w:hAnsi="仿宋" w:eastAsia="仿宋" w:cs="仿宋"/>
          <w:sz w:val="24"/>
          <w:szCs w:val="24"/>
        </w:rPr>
        <w:t>日，</w:t>
      </w:r>
      <w:r>
        <w:rPr>
          <w:rFonts w:hint="eastAsia" w:ascii="仿宋" w:hAnsi="仿宋" w:eastAsia="仿宋" w:cs="仿宋"/>
          <w:sz w:val="24"/>
          <w:szCs w:val="24"/>
        </w:rPr>
        <w:t>甲方有权取消乙方的中标资格、解除合同、终止合作，并追究其相应损失赔偿责任。</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8.2.2乙方未按本协议约定按时、足额缴纳项目资本金或注册资本的，且乙方未能在收到甲方要求乙方纠正其违约行为的书面通知后</w:t>
      </w:r>
      <w:r>
        <w:rPr>
          <w:rFonts w:ascii="仿宋" w:hAnsi="仿宋" w:eastAsia="仿宋" w:cs="仿宋"/>
          <w:sz w:val="24"/>
          <w:szCs w:val="24"/>
        </w:rPr>
        <w:t>30日内纠正其行为的，则从</w:t>
      </w:r>
      <w:r>
        <w:rPr>
          <w:rFonts w:hint="eastAsia" w:ascii="仿宋" w:hAnsi="仿宋" w:eastAsia="仿宋" w:cs="仿宋"/>
          <w:sz w:val="24"/>
          <w:szCs w:val="24"/>
        </w:rPr>
        <w:t>注册资本缴纳期限</w:t>
      </w:r>
      <w:r>
        <w:rPr>
          <w:rFonts w:ascii="仿宋" w:hAnsi="仿宋" w:eastAsia="仿宋" w:cs="仿宋"/>
          <w:sz w:val="24"/>
          <w:szCs w:val="24"/>
        </w:rPr>
        <w:t>届满的次日起，</w:t>
      </w:r>
      <w:r>
        <w:rPr>
          <w:rFonts w:hint="eastAsia" w:ascii="仿宋" w:hAnsi="仿宋" w:eastAsia="仿宋" w:cs="仿宋"/>
          <w:sz w:val="24"/>
          <w:szCs w:val="24"/>
        </w:rPr>
        <w:t>每逾期一日按逾期未缴纳金额的万分之三计算违约金，晚于本协议要求一百八十（</w:t>
      </w:r>
      <w:r>
        <w:rPr>
          <w:rFonts w:ascii="仿宋" w:hAnsi="仿宋" w:eastAsia="仿宋" w:cs="仿宋"/>
          <w:sz w:val="24"/>
          <w:szCs w:val="24"/>
        </w:rPr>
        <w:t>180）天的，</w:t>
      </w:r>
      <w:r>
        <w:rPr>
          <w:rFonts w:hint="eastAsia" w:ascii="仿宋" w:hAnsi="仿宋" w:eastAsia="仿宋" w:cs="仿宋"/>
          <w:sz w:val="24"/>
          <w:szCs w:val="24"/>
        </w:rPr>
        <w:t>甲方有权取消乙方的中标资格、解除合同、终止合作，并追究其相应损失赔偿责任。</w:t>
      </w:r>
    </w:p>
    <w:p>
      <w:pPr>
        <w:spacing w:line="560" w:lineRule="exact"/>
        <w:ind w:firstLine="480"/>
        <w:rPr>
          <w:rFonts w:ascii="仿宋" w:hAnsi="仿宋" w:cs="仿宋"/>
        </w:rPr>
      </w:pPr>
      <w:r>
        <w:rPr>
          <w:rFonts w:ascii="仿宋" w:hAnsi="仿宋" w:eastAsia="仿宋" w:cs="仿宋"/>
          <w:sz w:val="24"/>
          <w:szCs w:val="24"/>
        </w:rPr>
        <w:t>8.2.3乙方在项目建设期内抽回、侵占或挪用项目资本金及其他建设资金，且乙方未能在收到甲方要求乙方纠正其违约行为的书面通知后30日内改正此行为的，</w:t>
      </w:r>
      <w:r>
        <w:rPr>
          <w:rFonts w:hint="eastAsia" w:ascii="仿宋" w:hAnsi="仿宋" w:eastAsia="仿宋" w:cs="仿宋"/>
          <w:sz w:val="24"/>
          <w:szCs w:val="24"/>
        </w:rPr>
        <w:t>则从甲方发出书面通知</w:t>
      </w:r>
      <w:r>
        <w:rPr>
          <w:rFonts w:ascii="仿宋" w:hAnsi="仿宋" w:eastAsia="仿宋" w:cs="仿宋"/>
          <w:sz w:val="24"/>
          <w:szCs w:val="24"/>
        </w:rPr>
        <w:t>的次日起，乙方应向甲方支付以抽回、侵占或挪用资金为基数每日万分之</w:t>
      </w:r>
      <w:r>
        <w:rPr>
          <w:rFonts w:hint="eastAsia" w:ascii="仿宋" w:hAnsi="仿宋" w:eastAsia="仿宋" w:cs="仿宋"/>
          <w:sz w:val="24"/>
          <w:szCs w:val="24"/>
        </w:rPr>
        <w:t>三</w:t>
      </w:r>
      <w:r>
        <w:rPr>
          <w:rFonts w:ascii="仿宋" w:hAnsi="仿宋" w:eastAsia="仿宋" w:cs="仿宋"/>
          <w:sz w:val="24"/>
          <w:szCs w:val="24"/>
        </w:rPr>
        <w:t>的违约金。</w:t>
      </w:r>
      <w:r>
        <w:rPr>
          <w:rFonts w:hint="eastAsia" w:ascii="仿宋" w:hAnsi="仿宋" w:eastAsia="仿宋" w:cs="仿宋"/>
          <w:sz w:val="24"/>
          <w:szCs w:val="24"/>
        </w:rPr>
        <w:t>如果经甲方催告后仍不履约的，甲方有权解除本协议，及《</w:t>
      </w:r>
      <w:r>
        <w:rPr>
          <w:rFonts w:ascii="仿宋" w:hAnsi="仿宋" w:eastAsia="仿宋" w:cs="仿宋"/>
          <w:sz w:val="24"/>
          <w:szCs w:val="24"/>
        </w:rPr>
        <w:t>PPP项目合同》《承继协议》等系列合同，终止PPP项目合作，收回PPP项目经营权</w:t>
      </w:r>
      <w:r>
        <w:rPr>
          <w:rFonts w:hint="eastAsia" w:ascii="仿宋" w:hAnsi="仿宋" w:eastAsia="仿宋" w:cs="仿宋"/>
          <w:sz w:val="24"/>
          <w:szCs w:val="24"/>
        </w:rPr>
        <w:t>同时，乙方应承担违约责任并向甲方支付本条约定的违约金。</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8.2.4如乙方未能按时递交本协议第六章第6.1条规定的履约保函的，甲方有权兑取乙方已提交的前一份保函的相应金额。</w:t>
      </w:r>
    </w:p>
    <w:p>
      <w:pPr>
        <w:spacing w:line="560" w:lineRule="exact"/>
        <w:ind w:firstLine="480"/>
        <w:rPr>
          <w:rFonts w:ascii="仿宋" w:hAnsi="仿宋" w:eastAsia="仿宋"/>
          <w:sz w:val="24"/>
          <w:szCs w:val="24"/>
        </w:rPr>
      </w:pPr>
      <w:r>
        <w:rPr>
          <w:rFonts w:hint="eastAsia" w:ascii="仿宋" w:hAnsi="仿宋" w:eastAsia="仿宋"/>
          <w:sz w:val="24"/>
          <w:szCs w:val="24"/>
        </w:rPr>
        <w:t>8</w:t>
      </w:r>
      <w:r>
        <w:rPr>
          <w:rFonts w:ascii="仿宋" w:hAnsi="仿宋" w:eastAsia="仿宋"/>
          <w:sz w:val="24"/>
          <w:szCs w:val="24"/>
        </w:rPr>
        <w:t>.2.5</w:t>
      </w:r>
      <w:r>
        <w:rPr>
          <w:rFonts w:hint="eastAsia" w:ascii="仿宋" w:hAnsi="仿宋" w:eastAsia="仿宋"/>
          <w:sz w:val="24"/>
          <w:szCs w:val="24"/>
        </w:rPr>
        <w:t>因乙方原因导致</w:t>
      </w:r>
      <w:r>
        <w:rPr>
          <w:rFonts w:ascii="仿宋" w:hAnsi="仿宋" w:eastAsia="仿宋"/>
          <w:sz w:val="24"/>
          <w:szCs w:val="24"/>
        </w:rPr>
        <w:t>项目公司未能</w:t>
      </w:r>
      <w:r>
        <w:rPr>
          <w:rFonts w:hint="eastAsia" w:ascii="仿宋" w:hAnsi="仿宋" w:eastAsia="仿宋"/>
          <w:sz w:val="24"/>
          <w:szCs w:val="24"/>
        </w:rPr>
        <w:t>按照本协议约定期限与甲方及乙方</w:t>
      </w:r>
      <w:r>
        <w:rPr>
          <w:rFonts w:ascii="仿宋" w:hAnsi="仿宋" w:eastAsia="仿宋"/>
          <w:sz w:val="24"/>
          <w:szCs w:val="24"/>
        </w:rPr>
        <w:t>签订</w:t>
      </w:r>
      <w:r>
        <w:rPr>
          <w:rFonts w:hint="eastAsia" w:ascii="仿宋" w:hAnsi="仿宋" w:eastAsia="仿宋"/>
          <w:sz w:val="24"/>
          <w:szCs w:val="24"/>
        </w:rPr>
        <w:t>《承继协议》的，</w:t>
      </w:r>
      <w:r>
        <w:rPr>
          <w:rFonts w:ascii="仿宋" w:hAnsi="仿宋" w:eastAsia="仿宋"/>
          <w:sz w:val="24"/>
          <w:szCs w:val="24"/>
        </w:rPr>
        <w:t>每延期</w:t>
      </w:r>
      <w:r>
        <w:rPr>
          <w:rFonts w:hint="eastAsia" w:ascii="仿宋" w:hAnsi="仿宋" w:eastAsia="仿宋"/>
          <w:sz w:val="24"/>
          <w:szCs w:val="24"/>
        </w:rPr>
        <w:t>一日，</w:t>
      </w:r>
      <w:r>
        <w:rPr>
          <w:rFonts w:ascii="仿宋" w:hAnsi="仿宋" w:eastAsia="仿宋"/>
          <w:sz w:val="24"/>
          <w:szCs w:val="24"/>
        </w:rPr>
        <w:t>乙方应向甲方支付</w:t>
      </w:r>
      <w:r>
        <w:rPr>
          <w:rFonts w:hint="eastAsia" w:ascii="仿宋" w:hAnsi="仿宋" w:eastAsia="仿宋"/>
          <w:sz w:val="24"/>
          <w:szCs w:val="24"/>
        </w:rPr>
        <w:t>5万</w:t>
      </w:r>
      <w:r>
        <w:rPr>
          <w:rFonts w:ascii="仿宋" w:hAnsi="仿宋" w:eastAsia="仿宋"/>
          <w:sz w:val="24"/>
          <w:szCs w:val="24"/>
        </w:rPr>
        <w:t>元的违约金</w:t>
      </w:r>
      <w:r>
        <w:rPr>
          <w:rFonts w:hint="eastAsia" w:ascii="仿宋" w:hAnsi="仿宋" w:eastAsia="仿宋"/>
          <w:sz w:val="24"/>
          <w:szCs w:val="24"/>
        </w:rPr>
        <w:t>；</w:t>
      </w:r>
      <w:r>
        <w:rPr>
          <w:rFonts w:ascii="仿宋" w:hAnsi="仿宋" w:eastAsia="仿宋"/>
          <w:sz w:val="24"/>
          <w:szCs w:val="24"/>
        </w:rPr>
        <w:t>如</w:t>
      </w:r>
      <w:r>
        <w:rPr>
          <w:rFonts w:hint="eastAsia" w:ascii="仿宋" w:hAnsi="仿宋" w:eastAsia="仿宋"/>
          <w:sz w:val="24"/>
          <w:szCs w:val="24"/>
        </w:rPr>
        <w:t>延期超过30日，则甲方有权单方解除本协议、PPP合同等系列合同，终止PPP项目合作，收回PPP项目经营权。</w:t>
      </w:r>
    </w:p>
    <w:p>
      <w:pPr>
        <w:spacing w:line="560" w:lineRule="exact"/>
        <w:ind w:firstLine="480"/>
        <w:rPr>
          <w:rFonts w:ascii="仿宋" w:hAnsi="仿宋" w:eastAsia="仿宋"/>
          <w:sz w:val="24"/>
          <w:szCs w:val="24"/>
        </w:rPr>
      </w:pPr>
      <w:r>
        <w:rPr>
          <w:rFonts w:hint="eastAsia" w:ascii="仿宋" w:hAnsi="仿宋" w:eastAsia="仿宋"/>
          <w:sz w:val="24"/>
          <w:szCs w:val="24"/>
        </w:rPr>
        <w:t>8</w:t>
      </w:r>
      <w:r>
        <w:rPr>
          <w:rFonts w:ascii="仿宋" w:hAnsi="仿宋" w:eastAsia="仿宋"/>
          <w:sz w:val="24"/>
          <w:szCs w:val="24"/>
        </w:rPr>
        <w:t>.2.6</w:t>
      </w:r>
      <w:r>
        <w:rPr>
          <w:rFonts w:hint="eastAsia" w:ascii="仿宋" w:hAnsi="仿宋" w:eastAsia="仿宋"/>
          <w:sz w:val="24"/>
          <w:szCs w:val="24"/>
        </w:rPr>
        <w:t>乙方承担本项目的融资补充责任，包括但不限于股东借款、增信等措施，如项目</w:t>
      </w:r>
      <w:r>
        <w:rPr>
          <w:rFonts w:ascii="仿宋" w:hAnsi="仿宋" w:eastAsia="仿宋"/>
          <w:sz w:val="24"/>
          <w:szCs w:val="24"/>
        </w:rPr>
        <w:t>公司无法在规定的期限内</w:t>
      </w:r>
      <w:r>
        <w:rPr>
          <w:rFonts w:hint="eastAsia" w:ascii="仿宋" w:hAnsi="仿宋" w:eastAsia="仿宋"/>
          <w:sz w:val="24"/>
          <w:szCs w:val="24"/>
        </w:rPr>
        <w:t>完成融资交割</w:t>
      </w:r>
      <w:r>
        <w:rPr>
          <w:rFonts w:ascii="仿宋" w:hAnsi="仿宋" w:eastAsia="仿宋"/>
          <w:sz w:val="24"/>
          <w:szCs w:val="24"/>
        </w:rPr>
        <w:t>，</w:t>
      </w:r>
      <w:r>
        <w:rPr>
          <w:rFonts w:hint="eastAsia" w:ascii="仿宋" w:hAnsi="仿宋" w:eastAsia="仿宋"/>
          <w:sz w:val="24"/>
          <w:szCs w:val="24"/>
        </w:rPr>
        <w:t>且乙方未</w:t>
      </w:r>
      <w:r>
        <w:rPr>
          <w:rFonts w:ascii="仿宋" w:hAnsi="仿宋" w:eastAsia="仿宋"/>
          <w:sz w:val="24"/>
          <w:szCs w:val="24"/>
        </w:rPr>
        <w:t>按本协议约定向甲方提交补充融资方案，</w:t>
      </w:r>
      <w:r>
        <w:rPr>
          <w:rFonts w:hint="eastAsia" w:ascii="仿宋" w:hAnsi="仿宋" w:eastAsia="仿宋"/>
          <w:sz w:val="24"/>
          <w:szCs w:val="24"/>
        </w:rPr>
        <w:t>或提交</w:t>
      </w:r>
      <w:r>
        <w:rPr>
          <w:rFonts w:ascii="仿宋" w:hAnsi="仿宋" w:eastAsia="仿宋"/>
          <w:sz w:val="24"/>
          <w:szCs w:val="24"/>
        </w:rPr>
        <w:t>的补充融资方案</w:t>
      </w:r>
      <w:r>
        <w:rPr>
          <w:rFonts w:hint="eastAsia" w:ascii="仿宋" w:hAnsi="仿宋" w:eastAsia="仿宋"/>
          <w:sz w:val="24"/>
          <w:szCs w:val="24"/>
        </w:rPr>
        <w:t>未能</w:t>
      </w:r>
      <w:r>
        <w:rPr>
          <w:rFonts w:ascii="仿宋" w:hAnsi="仿宋" w:eastAsia="仿宋"/>
          <w:sz w:val="24"/>
          <w:szCs w:val="24"/>
        </w:rPr>
        <w:t>满足</w:t>
      </w:r>
      <w:r>
        <w:rPr>
          <w:rFonts w:hint="eastAsia" w:ascii="仿宋" w:hAnsi="仿宋" w:eastAsia="仿宋"/>
          <w:sz w:val="24"/>
          <w:szCs w:val="24"/>
        </w:rPr>
        <w:t>本项目</w:t>
      </w:r>
      <w:r>
        <w:rPr>
          <w:rFonts w:ascii="仿宋" w:hAnsi="仿宋" w:eastAsia="仿宋"/>
          <w:sz w:val="24"/>
          <w:szCs w:val="24"/>
        </w:rPr>
        <w:t>融资需要的，每延期</w:t>
      </w:r>
      <w:r>
        <w:rPr>
          <w:rFonts w:hint="eastAsia" w:ascii="仿宋" w:hAnsi="仿宋" w:eastAsia="仿宋"/>
          <w:sz w:val="24"/>
          <w:szCs w:val="24"/>
        </w:rPr>
        <w:t>一日，</w:t>
      </w:r>
      <w:r>
        <w:rPr>
          <w:rFonts w:ascii="仿宋" w:hAnsi="仿宋" w:eastAsia="仿宋"/>
          <w:sz w:val="24"/>
          <w:szCs w:val="24"/>
        </w:rPr>
        <w:t>乙方应向甲方支付</w:t>
      </w:r>
      <w:r>
        <w:rPr>
          <w:rFonts w:hint="eastAsia" w:ascii="仿宋" w:hAnsi="仿宋" w:eastAsia="仿宋"/>
          <w:sz w:val="24"/>
          <w:szCs w:val="24"/>
        </w:rPr>
        <w:t>5万</w:t>
      </w:r>
      <w:r>
        <w:rPr>
          <w:rFonts w:ascii="仿宋" w:hAnsi="仿宋" w:eastAsia="仿宋"/>
          <w:sz w:val="24"/>
          <w:szCs w:val="24"/>
        </w:rPr>
        <w:t>元的违约金。如</w:t>
      </w:r>
      <w:r>
        <w:rPr>
          <w:rFonts w:hint="eastAsia" w:ascii="仿宋" w:hAnsi="仿宋" w:eastAsia="仿宋"/>
          <w:sz w:val="24"/>
          <w:szCs w:val="24"/>
        </w:rPr>
        <w:t>延期时间超过180日，则甲方有权单方解除本协议、</w:t>
      </w:r>
      <w:r>
        <w:rPr>
          <w:rFonts w:ascii="仿宋" w:hAnsi="仿宋" w:eastAsia="仿宋"/>
          <w:sz w:val="24"/>
          <w:szCs w:val="24"/>
        </w:rPr>
        <w:t>PPP合同等系列合同，终止PPP项目合作，收回PPP项目经营权，</w:t>
      </w:r>
      <w:r>
        <w:rPr>
          <w:rFonts w:hint="eastAsia" w:ascii="仿宋" w:hAnsi="仿宋" w:eastAsia="仿宋"/>
          <w:sz w:val="24"/>
          <w:szCs w:val="24"/>
        </w:rPr>
        <w:t>并且甲方有权没收乙方提交的履约保函。</w:t>
      </w:r>
    </w:p>
    <w:p>
      <w:pPr>
        <w:spacing w:line="560" w:lineRule="exact"/>
        <w:ind w:firstLine="480"/>
        <w:rPr>
          <w:rFonts w:ascii="仿宋" w:hAnsi="仿宋" w:eastAsia="仿宋"/>
          <w:sz w:val="24"/>
          <w:szCs w:val="24"/>
        </w:rPr>
      </w:pPr>
      <w:r>
        <w:rPr>
          <w:rFonts w:ascii="仿宋" w:hAnsi="仿宋" w:eastAsia="仿宋"/>
          <w:sz w:val="24"/>
          <w:szCs w:val="24"/>
        </w:rPr>
        <w:t>8.2.7</w:t>
      </w:r>
      <w:r>
        <w:rPr>
          <w:rFonts w:hint="eastAsia" w:ascii="仿宋" w:hAnsi="仿宋" w:eastAsia="仿宋"/>
          <w:sz w:val="24"/>
          <w:szCs w:val="24"/>
        </w:rPr>
        <w:t>因乙方原因致使本协议无法履行，且乙方未能在收到甲方要求乙方纠正其违约行为的书面通知后</w:t>
      </w:r>
      <w:r>
        <w:rPr>
          <w:rFonts w:ascii="仿宋" w:hAnsi="仿宋" w:eastAsia="仿宋"/>
          <w:sz w:val="24"/>
          <w:szCs w:val="24"/>
        </w:rPr>
        <w:t>30</w:t>
      </w:r>
      <w:r>
        <w:rPr>
          <w:rFonts w:hint="eastAsia" w:ascii="仿宋" w:hAnsi="仿宋" w:eastAsia="仿宋"/>
          <w:sz w:val="24"/>
          <w:szCs w:val="24"/>
        </w:rPr>
        <w:t>日内改正此行为的，甲方有权通过向乙方发出有效通知的方式，终止或解除本协议、</w:t>
      </w:r>
      <w:r>
        <w:rPr>
          <w:rFonts w:ascii="仿宋" w:hAnsi="仿宋" w:eastAsia="仿宋"/>
          <w:sz w:val="24"/>
          <w:szCs w:val="24"/>
        </w:rPr>
        <w:t>PPP合同等系列合同，终止PPP项目合作，收回PPP项目经营权。</w:t>
      </w:r>
    </w:p>
    <w:p>
      <w:pPr>
        <w:spacing w:line="560" w:lineRule="exact"/>
        <w:ind w:firstLine="480"/>
        <w:rPr>
          <w:rFonts w:ascii="仿宋" w:hAnsi="仿宋" w:cs="仿宋"/>
        </w:rPr>
      </w:pPr>
      <w:r>
        <w:rPr>
          <w:rFonts w:hint="eastAsia" w:ascii="仿宋" w:hAnsi="仿宋" w:eastAsia="仿宋" w:cs="仿宋"/>
          <w:sz w:val="24"/>
          <w:szCs w:val="24"/>
        </w:rPr>
        <w:t>8.2.8乙方未全面履行投标文件和本协议中的其他义务的，应依法承担损失赔偿责任，赔偿甲方由此而造成的实际损失。</w:t>
      </w:r>
    </w:p>
    <w:bookmarkEnd w:id="54"/>
    <w:bookmarkEnd w:id="55"/>
    <w:bookmarkEnd w:id="56"/>
    <w:p>
      <w:pPr>
        <w:pStyle w:val="3"/>
        <w:numPr>
          <w:ilvl w:val="0"/>
          <w:numId w:val="0"/>
        </w:numPr>
        <w:ind w:left="-576"/>
        <w:jc w:val="center"/>
        <w:rPr>
          <w:rFonts w:ascii="仿宋" w:hAnsi="仿宋" w:eastAsia="仿宋"/>
        </w:rPr>
      </w:pPr>
      <w:bookmarkStart w:id="58" w:name="_Toc15850"/>
      <w:bookmarkStart w:id="59" w:name="_Toc433384520"/>
      <w:bookmarkStart w:id="60" w:name="_Toc491850048"/>
      <w:bookmarkStart w:id="61" w:name="_Toc62570358"/>
      <w:r>
        <w:rPr>
          <w:rFonts w:hint="eastAsia" w:ascii="仿宋" w:hAnsi="仿宋" w:eastAsia="仿宋"/>
        </w:rPr>
        <w:t>第九章</w:t>
      </w:r>
      <w:r>
        <w:rPr>
          <w:rFonts w:ascii="仿宋" w:hAnsi="仿宋" w:eastAsia="仿宋"/>
          <w:lang w:val="en-US"/>
        </w:rPr>
        <w:t xml:space="preserve">  </w:t>
      </w:r>
      <w:bookmarkEnd w:id="58"/>
      <w:bookmarkEnd w:id="59"/>
      <w:bookmarkEnd w:id="60"/>
      <w:r>
        <w:rPr>
          <w:rFonts w:hint="eastAsia" w:ascii="仿宋" w:hAnsi="仿宋" w:eastAsia="仿宋"/>
        </w:rPr>
        <w:t>政府方介入权</w:t>
      </w:r>
      <w:bookmarkEnd w:id="61"/>
    </w:p>
    <w:p>
      <w:pPr>
        <w:spacing w:line="560" w:lineRule="exact"/>
        <w:ind w:firstLine="480"/>
        <w:rPr>
          <w:rFonts w:ascii="仿宋" w:hAnsi="仿宋" w:eastAsia="仿宋" w:cs="仿宋"/>
          <w:b/>
          <w:sz w:val="24"/>
          <w:szCs w:val="24"/>
        </w:rPr>
      </w:pPr>
      <w:r>
        <w:rPr>
          <w:rFonts w:ascii="仿宋" w:hAnsi="仿宋" w:eastAsia="仿宋" w:cs="仿宋"/>
          <w:b/>
          <w:sz w:val="24"/>
          <w:szCs w:val="24"/>
        </w:rPr>
        <w:t>9.1</w:t>
      </w:r>
      <w:r>
        <w:rPr>
          <w:rFonts w:ascii="仿宋" w:hAnsi="仿宋" w:eastAsia="仿宋" w:cs="仿宋"/>
          <w:b/>
          <w:sz w:val="24"/>
          <w:szCs w:val="24"/>
        </w:rPr>
        <w:tab/>
      </w:r>
      <w:r>
        <w:rPr>
          <w:rFonts w:ascii="仿宋" w:hAnsi="仿宋" w:eastAsia="仿宋" w:cs="仿宋"/>
          <w:b/>
          <w:sz w:val="24"/>
          <w:szCs w:val="24"/>
        </w:rPr>
        <w:t xml:space="preserve"> 介入权的行使</w:t>
      </w:r>
    </w:p>
    <w:p>
      <w:pPr>
        <w:spacing w:line="560" w:lineRule="exact"/>
        <w:ind w:firstLine="480"/>
        <w:rPr>
          <w:rFonts w:ascii="仿宋" w:hAnsi="仿宋" w:eastAsia="仿宋" w:cs="仿宋"/>
          <w:sz w:val="24"/>
          <w:szCs w:val="24"/>
        </w:rPr>
      </w:pPr>
      <w:r>
        <w:rPr>
          <w:rFonts w:ascii="仿宋" w:hAnsi="仿宋" w:eastAsia="仿宋" w:cs="仿宋"/>
          <w:sz w:val="24"/>
          <w:szCs w:val="24"/>
        </w:rPr>
        <w:t>9.1.1甲方介入的条件</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出现下列情况之一的，则甲方有权行使第</w:t>
      </w:r>
      <w:r>
        <w:rPr>
          <w:rFonts w:ascii="仿宋" w:hAnsi="仿宋" w:eastAsia="仿宋" w:cs="仿宋"/>
          <w:sz w:val="24"/>
          <w:szCs w:val="24"/>
        </w:rPr>
        <w:t>9.1.2 款所述介入权：</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1）建设期内</w:t>
      </w:r>
      <w:r>
        <w:rPr>
          <w:rFonts w:hint="eastAsia" w:ascii="仿宋" w:hAnsi="仿宋" w:eastAsia="仿宋" w:cs="仿宋"/>
          <w:sz w:val="24"/>
          <w:szCs w:val="24"/>
        </w:rPr>
        <w:t>项目公司</w:t>
      </w:r>
      <w:r>
        <w:rPr>
          <w:rFonts w:ascii="仿宋" w:hAnsi="仿宋" w:eastAsia="仿宋" w:cs="仿宋"/>
          <w:sz w:val="24"/>
          <w:szCs w:val="24"/>
        </w:rPr>
        <w:t>书面表示放弃项目或被视为放弃项目建设；</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项目公司</w:t>
      </w:r>
      <w:r>
        <w:rPr>
          <w:rFonts w:ascii="仿宋" w:hAnsi="仿宋" w:eastAsia="仿宋" w:cs="仿宋"/>
          <w:sz w:val="24"/>
          <w:szCs w:val="24"/>
        </w:rPr>
        <w:t>违反本</w:t>
      </w:r>
      <w:r>
        <w:rPr>
          <w:rFonts w:hint="eastAsia" w:ascii="仿宋" w:hAnsi="仿宋" w:eastAsia="仿宋" w:cs="仿宋"/>
          <w:sz w:val="24"/>
          <w:szCs w:val="24"/>
        </w:rPr>
        <w:t>协议和PPP项目</w:t>
      </w:r>
      <w:r>
        <w:rPr>
          <w:rFonts w:ascii="仿宋" w:hAnsi="仿宋" w:eastAsia="仿宋" w:cs="仿宋"/>
          <w:sz w:val="24"/>
          <w:szCs w:val="24"/>
        </w:rPr>
        <w:t>合同约定建设、运营维护项目，且在约定期限内，或收到甲方通知后的30日内未能或无法纠正和改正，包括：</w:t>
      </w:r>
    </w:p>
    <w:p>
      <w:pPr>
        <w:spacing w:line="560" w:lineRule="exact"/>
        <w:ind w:firstLine="480"/>
        <w:rPr>
          <w:rFonts w:ascii="仿宋" w:hAnsi="仿宋" w:eastAsia="仿宋" w:cs="仿宋"/>
          <w:sz w:val="24"/>
          <w:szCs w:val="24"/>
        </w:rPr>
      </w:pPr>
      <w:r>
        <w:rPr>
          <w:rFonts w:ascii="仿宋" w:hAnsi="仿宋" w:eastAsia="仿宋" w:cs="仿宋"/>
          <w:sz w:val="24"/>
          <w:szCs w:val="24"/>
        </w:rPr>
        <w:t>a.因经营管理不善等原因，造成财务状况严重恶化，影响本项目正常运营的；</w:t>
      </w:r>
    </w:p>
    <w:p>
      <w:pPr>
        <w:spacing w:line="560" w:lineRule="exact"/>
        <w:ind w:firstLine="480"/>
        <w:rPr>
          <w:rFonts w:ascii="仿宋" w:hAnsi="仿宋" w:eastAsia="仿宋" w:cs="仿宋"/>
          <w:sz w:val="24"/>
          <w:szCs w:val="24"/>
        </w:rPr>
      </w:pPr>
      <w:r>
        <w:rPr>
          <w:rFonts w:ascii="仿宋" w:hAnsi="仿宋" w:eastAsia="仿宋" w:cs="仿宋"/>
          <w:sz w:val="24"/>
          <w:szCs w:val="24"/>
        </w:rPr>
        <w:t>b.因可归责于</w:t>
      </w:r>
      <w:r>
        <w:rPr>
          <w:rFonts w:hint="eastAsia" w:ascii="仿宋" w:hAnsi="仿宋" w:eastAsia="仿宋" w:cs="仿宋"/>
          <w:sz w:val="24"/>
          <w:szCs w:val="24"/>
        </w:rPr>
        <w:t>项目公司</w:t>
      </w:r>
      <w:r>
        <w:rPr>
          <w:rFonts w:ascii="仿宋" w:hAnsi="仿宋" w:eastAsia="仿宋" w:cs="仿宋"/>
          <w:sz w:val="24"/>
          <w:szCs w:val="24"/>
        </w:rPr>
        <w:t>的原因导致设计、施工等存在重大缺陷，影响本</w:t>
      </w:r>
      <w:r>
        <w:rPr>
          <w:rFonts w:hint="eastAsia" w:ascii="仿宋" w:hAnsi="仿宋" w:eastAsia="仿宋" w:cs="仿宋"/>
          <w:sz w:val="24"/>
          <w:szCs w:val="24"/>
        </w:rPr>
        <w:t>项目正常运营的；</w:t>
      </w:r>
    </w:p>
    <w:p>
      <w:pPr>
        <w:spacing w:line="560" w:lineRule="exact"/>
        <w:ind w:firstLine="480"/>
        <w:rPr>
          <w:rFonts w:ascii="仿宋" w:hAnsi="仿宋" w:eastAsia="仿宋" w:cs="仿宋"/>
          <w:sz w:val="24"/>
          <w:szCs w:val="24"/>
        </w:rPr>
      </w:pPr>
      <w:r>
        <w:rPr>
          <w:rFonts w:ascii="仿宋" w:hAnsi="仿宋" w:eastAsia="仿宋" w:cs="仿宋"/>
          <w:sz w:val="24"/>
          <w:szCs w:val="24"/>
        </w:rPr>
        <w:t>c.擅自转让、出租项目经营权的；</w:t>
      </w:r>
    </w:p>
    <w:p>
      <w:pPr>
        <w:spacing w:line="560" w:lineRule="exact"/>
        <w:ind w:firstLine="480"/>
        <w:rPr>
          <w:rFonts w:ascii="仿宋" w:hAnsi="仿宋" w:eastAsia="仿宋" w:cs="仿宋"/>
          <w:sz w:val="24"/>
          <w:szCs w:val="24"/>
        </w:rPr>
      </w:pPr>
      <w:r>
        <w:rPr>
          <w:rFonts w:ascii="仿宋" w:hAnsi="仿宋" w:eastAsia="仿宋" w:cs="仿宋"/>
          <w:sz w:val="24"/>
          <w:szCs w:val="24"/>
        </w:rPr>
        <w:t>d.擅自将所经营的项目设施或收益权进行处置或者设置抵押或质押的；</w:t>
      </w:r>
    </w:p>
    <w:p>
      <w:pPr>
        <w:spacing w:line="560" w:lineRule="exact"/>
        <w:ind w:firstLine="480"/>
        <w:rPr>
          <w:rFonts w:ascii="仿宋" w:hAnsi="仿宋" w:eastAsia="仿宋" w:cs="仿宋"/>
          <w:sz w:val="24"/>
          <w:szCs w:val="24"/>
        </w:rPr>
      </w:pPr>
      <w:r>
        <w:rPr>
          <w:rFonts w:ascii="仿宋" w:hAnsi="仿宋" w:eastAsia="仿宋" w:cs="仿宋"/>
          <w:sz w:val="24"/>
          <w:szCs w:val="24"/>
        </w:rPr>
        <w:t>e.因管理不善，发生较大或重特大质量事故、安全事故的；</w:t>
      </w:r>
    </w:p>
    <w:p>
      <w:pPr>
        <w:spacing w:line="560" w:lineRule="exact"/>
        <w:ind w:firstLine="480"/>
        <w:rPr>
          <w:rFonts w:ascii="仿宋" w:hAnsi="仿宋" w:eastAsia="仿宋" w:cs="仿宋"/>
          <w:sz w:val="24"/>
          <w:szCs w:val="24"/>
        </w:rPr>
      </w:pPr>
      <w:r>
        <w:rPr>
          <w:rFonts w:ascii="仿宋" w:hAnsi="仿宋" w:eastAsia="仿宋" w:cs="仿宋"/>
          <w:sz w:val="24"/>
          <w:szCs w:val="24"/>
        </w:rPr>
        <w:t>f.擅自停业、歇业；</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3）存在危及社会公众人身健康或安全、财产安全或环境安全的情形，且</w:t>
      </w:r>
      <w:r>
        <w:rPr>
          <w:rFonts w:hint="eastAsia" w:ascii="仿宋" w:hAnsi="仿宋" w:eastAsia="仿宋" w:cs="仿宋"/>
          <w:sz w:val="24"/>
          <w:szCs w:val="24"/>
        </w:rPr>
        <w:t>项目公司</w:t>
      </w:r>
      <w:r>
        <w:rPr>
          <w:rFonts w:ascii="仿宋" w:hAnsi="仿宋" w:eastAsia="仿宋" w:cs="仿宋"/>
          <w:sz w:val="24"/>
          <w:szCs w:val="24"/>
        </w:rPr>
        <w:t>不具备应对能力的；</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4）发生紧急情况或危机，且甲方有理由认为该紧急情况或危机将导致人员伤亡、严重财产损失或造成环境污染且</w:t>
      </w:r>
      <w:r>
        <w:rPr>
          <w:rFonts w:hint="eastAsia" w:ascii="仿宋" w:hAnsi="仿宋" w:eastAsia="仿宋" w:cs="仿宋"/>
          <w:sz w:val="24"/>
          <w:szCs w:val="24"/>
        </w:rPr>
        <w:t>项目公司</w:t>
      </w:r>
      <w:r>
        <w:rPr>
          <w:rFonts w:ascii="仿宋" w:hAnsi="仿宋" w:eastAsia="仿宋" w:cs="仿宋"/>
          <w:sz w:val="24"/>
          <w:szCs w:val="24"/>
        </w:rPr>
        <w:t>不具备应对能力的；</w:t>
      </w:r>
    </w:p>
    <w:p>
      <w:pPr>
        <w:spacing w:line="560" w:lineRule="exact"/>
        <w:ind w:firstLine="480"/>
        <w:rPr>
          <w:rFonts w:ascii="仿宋" w:hAnsi="仿宋" w:eastAsia="仿宋" w:cs="仿宋"/>
          <w:sz w:val="24"/>
          <w:szCs w:val="24"/>
        </w:rPr>
      </w:pPr>
      <w:r>
        <w:rPr>
          <w:rFonts w:ascii="仿宋" w:hAnsi="仿宋" w:eastAsia="仿宋" w:cs="仿宋"/>
          <w:sz w:val="24"/>
          <w:szCs w:val="24"/>
        </w:rPr>
        <w:t>9.1.2 甲方介入的方式</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甲方行使介入权的，有权采用增加监管方式、监管频次、替代部分履行、整顿或临时接管等方式，以保证项目顺利运行。甲方行使介入权，不应被视为根据本协议受让项目资产或承担项目公司的义务。甲方行使介入权后，项目公司应配合甲方及其指定第三方，并向其提供所有合理的协助。</w:t>
      </w:r>
    </w:p>
    <w:p>
      <w:pPr>
        <w:spacing w:line="560" w:lineRule="exact"/>
        <w:ind w:firstLine="480"/>
        <w:rPr>
          <w:rFonts w:ascii="仿宋" w:hAnsi="仿宋" w:eastAsia="仿宋" w:cs="仿宋"/>
          <w:sz w:val="24"/>
          <w:szCs w:val="24"/>
        </w:rPr>
      </w:pPr>
      <w:r>
        <w:rPr>
          <w:rFonts w:ascii="仿宋" w:hAnsi="仿宋" w:eastAsia="仿宋" w:cs="仿宋"/>
          <w:sz w:val="24"/>
          <w:szCs w:val="24"/>
        </w:rPr>
        <w:t>9.1.3 介入权的限制</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甲方无正当理由行使介入权，影响本协议或PPP项目合同正常履行且损害项目公司利益的，项目公司有权要求甲方赔偿相应损失。</w:t>
      </w:r>
    </w:p>
    <w:p>
      <w:pPr>
        <w:spacing w:line="560" w:lineRule="exact"/>
        <w:ind w:firstLine="480"/>
        <w:rPr>
          <w:rFonts w:ascii="仿宋" w:hAnsi="仿宋" w:eastAsia="仿宋" w:cs="仿宋"/>
          <w:b/>
          <w:sz w:val="24"/>
          <w:szCs w:val="24"/>
        </w:rPr>
      </w:pPr>
      <w:r>
        <w:rPr>
          <w:rFonts w:ascii="仿宋" w:hAnsi="仿宋" w:eastAsia="仿宋" w:cs="仿宋"/>
          <w:b/>
          <w:sz w:val="24"/>
          <w:szCs w:val="24"/>
        </w:rPr>
        <w:t>9.2</w:t>
      </w:r>
      <w:r>
        <w:rPr>
          <w:rFonts w:ascii="仿宋" w:hAnsi="仿宋" w:eastAsia="仿宋" w:cs="仿宋"/>
          <w:b/>
          <w:sz w:val="24"/>
          <w:szCs w:val="24"/>
        </w:rPr>
        <w:tab/>
      </w:r>
      <w:r>
        <w:rPr>
          <w:rFonts w:ascii="仿宋" w:hAnsi="仿宋" w:eastAsia="仿宋" w:cs="仿宋"/>
          <w:b/>
          <w:sz w:val="24"/>
          <w:szCs w:val="24"/>
        </w:rPr>
        <w:t>介入权的行使程序</w:t>
      </w:r>
    </w:p>
    <w:p>
      <w:pPr>
        <w:spacing w:line="560" w:lineRule="exact"/>
        <w:ind w:firstLine="480"/>
        <w:rPr>
          <w:rFonts w:ascii="仿宋" w:hAnsi="仿宋" w:eastAsia="仿宋" w:cs="仿宋"/>
          <w:sz w:val="24"/>
          <w:szCs w:val="24"/>
        </w:rPr>
      </w:pPr>
      <w:r>
        <w:rPr>
          <w:rFonts w:ascii="仿宋" w:hAnsi="仿宋" w:eastAsia="仿宋" w:cs="仿宋"/>
          <w:sz w:val="24"/>
          <w:szCs w:val="24"/>
        </w:rPr>
        <w:t>9.2.1 通知</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甲方根据本合同约定行使介入权之前，应提前</w:t>
      </w:r>
      <w:r>
        <w:rPr>
          <w:rFonts w:ascii="仿宋" w:hAnsi="仿宋" w:eastAsia="仿宋" w:cs="仿宋"/>
          <w:sz w:val="24"/>
          <w:szCs w:val="24"/>
        </w:rPr>
        <w:t>10日以书面形式通知</w:t>
      </w:r>
      <w:r>
        <w:rPr>
          <w:rFonts w:hint="eastAsia" w:ascii="仿宋" w:hAnsi="仿宋" w:eastAsia="仿宋" w:cs="仿宋"/>
          <w:sz w:val="24"/>
          <w:szCs w:val="24"/>
        </w:rPr>
        <w:t>项目公司</w:t>
      </w:r>
      <w:r>
        <w:rPr>
          <w:rFonts w:ascii="仿宋" w:hAnsi="仿宋" w:eastAsia="仿宋" w:cs="仿宋"/>
          <w:sz w:val="24"/>
          <w:szCs w:val="24"/>
        </w:rPr>
        <w:t>，通知内容包括：</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1） 介入原因；</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 介入方式；</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 介入的范围和程度；</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 介入权行使主体；</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 介入起始日期；</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 介入持续期限；</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7） 介入对</w:t>
      </w:r>
      <w:r>
        <w:rPr>
          <w:rFonts w:hint="eastAsia" w:ascii="仿宋" w:hAnsi="仿宋" w:eastAsia="仿宋" w:cs="仿宋"/>
          <w:sz w:val="24"/>
          <w:szCs w:val="24"/>
        </w:rPr>
        <w:t>项目公司</w:t>
      </w:r>
      <w:r>
        <w:rPr>
          <w:rFonts w:ascii="仿宋" w:hAnsi="仿宋" w:eastAsia="仿宋" w:cs="仿宋"/>
          <w:sz w:val="24"/>
          <w:szCs w:val="24"/>
        </w:rPr>
        <w:t>的影响和处理等。</w:t>
      </w:r>
    </w:p>
    <w:p>
      <w:pPr>
        <w:spacing w:line="560" w:lineRule="exact"/>
        <w:ind w:firstLine="480"/>
        <w:rPr>
          <w:rFonts w:ascii="仿宋" w:hAnsi="仿宋" w:eastAsia="仿宋" w:cs="仿宋"/>
          <w:sz w:val="24"/>
          <w:szCs w:val="24"/>
        </w:rPr>
      </w:pPr>
      <w:r>
        <w:rPr>
          <w:rFonts w:ascii="仿宋" w:hAnsi="仿宋" w:eastAsia="仿宋" w:cs="仿宋"/>
          <w:sz w:val="24"/>
          <w:szCs w:val="24"/>
        </w:rPr>
        <w:t xml:space="preserve">17.2.2 </w:t>
      </w:r>
      <w:r>
        <w:rPr>
          <w:rFonts w:hint="eastAsia" w:ascii="仿宋" w:hAnsi="仿宋" w:eastAsia="仿宋" w:cs="仿宋"/>
          <w:sz w:val="24"/>
          <w:szCs w:val="24"/>
        </w:rPr>
        <w:t>项目公司</w:t>
      </w:r>
      <w:r>
        <w:rPr>
          <w:rFonts w:ascii="仿宋" w:hAnsi="仿宋" w:eastAsia="仿宋" w:cs="仿宋"/>
          <w:sz w:val="24"/>
          <w:szCs w:val="24"/>
        </w:rPr>
        <w:t>的异议</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项目公司对甲方行使介入权有异议的，应自收到甲方发出的前述通知</w:t>
      </w:r>
      <w:r>
        <w:rPr>
          <w:rFonts w:ascii="仿宋" w:hAnsi="仿宋" w:eastAsia="仿宋" w:cs="仿宋"/>
          <w:sz w:val="24"/>
          <w:szCs w:val="24"/>
        </w:rPr>
        <w:t>10 日内提出异议，</w:t>
      </w:r>
      <w:r>
        <w:rPr>
          <w:rFonts w:hint="eastAsia" w:ascii="仿宋" w:hAnsi="仿宋" w:eastAsia="仿宋" w:cs="仿宋"/>
          <w:sz w:val="24"/>
          <w:szCs w:val="24"/>
        </w:rPr>
        <w:t>甲方收到异议后，应在</w:t>
      </w:r>
      <w:r>
        <w:rPr>
          <w:rFonts w:ascii="仿宋" w:hAnsi="仿宋" w:eastAsia="仿宋" w:cs="仿宋"/>
          <w:sz w:val="24"/>
          <w:szCs w:val="24"/>
        </w:rPr>
        <w:t xml:space="preserve"> 20日内给予回复。双方无法达成一致意见的，按照本</w:t>
      </w:r>
      <w:r>
        <w:rPr>
          <w:rFonts w:hint="eastAsia" w:ascii="仿宋" w:hAnsi="仿宋" w:eastAsia="仿宋" w:cs="仿宋"/>
          <w:sz w:val="24"/>
          <w:szCs w:val="24"/>
        </w:rPr>
        <w:t>协议</w:t>
      </w:r>
      <w:r>
        <w:rPr>
          <w:rFonts w:ascii="仿宋" w:hAnsi="仿宋" w:eastAsia="仿宋" w:cs="仿宋"/>
          <w:sz w:val="24"/>
          <w:szCs w:val="24"/>
        </w:rPr>
        <w:t>第</w:t>
      </w:r>
      <w:r>
        <w:rPr>
          <w:rFonts w:hint="eastAsia" w:ascii="仿宋" w:hAnsi="仿宋" w:eastAsia="仿宋" w:cs="仿宋"/>
          <w:sz w:val="24"/>
          <w:szCs w:val="24"/>
        </w:rPr>
        <w:t>十一章的约定执行，但争议解决期间内不影响甲方行使介入权。</w:t>
      </w:r>
    </w:p>
    <w:p>
      <w:pPr>
        <w:spacing w:line="560" w:lineRule="exact"/>
        <w:ind w:firstLine="480"/>
        <w:rPr>
          <w:rFonts w:ascii="仿宋" w:hAnsi="仿宋" w:eastAsia="仿宋" w:cs="仿宋"/>
          <w:sz w:val="24"/>
          <w:szCs w:val="24"/>
        </w:rPr>
      </w:pPr>
      <w:r>
        <w:rPr>
          <w:rFonts w:ascii="仿宋" w:hAnsi="仿宋" w:eastAsia="仿宋" w:cs="仿宋"/>
          <w:sz w:val="24"/>
          <w:szCs w:val="24"/>
        </w:rPr>
        <w:t>9.3</w:t>
      </w:r>
      <w:r>
        <w:rPr>
          <w:rFonts w:ascii="仿宋" w:hAnsi="仿宋" w:eastAsia="仿宋" w:cs="仿宋"/>
          <w:sz w:val="24"/>
          <w:szCs w:val="24"/>
        </w:rPr>
        <w:tab/>
      </w:r>
      <w:r>
        <w:rPr>
          <w:rFonts w:ascii="仿宋" w:hAnsi="仿宋" w:eastAsia="仿宋" w:cs="仿宋"/>
          <w:sz w:val="24"/>
          <w:szCs w:val="24"/>
        </w:rPr>
        <w:t>介入持续时间和范围</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甲方介入的时间和范围不应超过足以使项目公司改正或可以合理地被期望有能力改正导致介入的违约事件，或缓解紧急事件或使项目公司具备应对能力解除紧急事件所必需的范围</w:t>
      </w:r>
      <w:r>
        <w:rPr>
          <w:rFonts w:ascii="仿宋" w:hAnsi="仿宋" w:eastAsia="仿宋" w:cs="仿宋"/>
          <w:sz w:val="24"/>
          <w:szCs w:val="24"/>
        </w:rPr>
        <w:t>和程度。甲方根据第9.1.1 款第（1）、（2）项约定进行的介入仍然无法补救</w:t>
      </w:r>
      <w:r>
        <w:rPr>
          <w:rFonts w:hint="eastAsia" w:ascii="仿宋" w:hAnsi="仿宋" w:eastAsia="仿宋" w:cs="仿宋"/>
          <w:sz w:val="24"/>
          <w:szCs w:val="24"/>
        </w:rPr>
        <w:t>项目公司</w:t>
      </w:r>
      <w:r>
        <w:rPr>
          <w:rFonts w:ascii="仿宋" w:hAnsi="仿宋" w:eastAsia="仿宋" w:cs="仿宋"/>
          <w:sz w:val="24"/>
          <w:szCs w:val="24"/>
        </w:rPr>
        <w:t>的违约行为，甲方有权根据</w:t>
      </w:r>
      <w:r>
        <w:rPr>
          <w:rFonts w:hint="eastAsia" w:ascii="仿宋" w:hAnsi="仿宋" w:eastAsia="仿宋" w:cs="仿宋"/>
          <w:sz w:val="24"/>
          <w:szCs w:val="24"/>
        </w:rPr>
        <w:t>第8.2.7</w:t>
      </w:r>
      <w:r>
        <w:rPr>
          <w:rFonts w:ascii="仿宋" w:hAnsi="仿宋" w:eastAsia="仿宋" w:cs="仿宋"/>
          <w:sz w:val="24"/>
          <w:szCs w:val="24"/>
        </w:rPr>
        <w:t>条约定终止本</w:t>
      </w:r>
      <w:r>
        <w:rPr>
          <w:rFonts w:hint="eastAsia" w:ascii="仿宋" w:hAnsi="仿宋" w:eastAsia="仿宋" w:cs="仿宋"/>
          <w:sz w:val="24"/>
          <w:szCs w:val="24"/>
        </w:rPr>
        <w:t>协议</w:t>
      </w:r>
      <w:r>
        <w:rPr>
          <w:rFonts w:ascii="仿宋" w:hAnsi="仿宋" w:eastAsia="仿宋" w:cs="仿宋"/>
          <w:sz w:val="24"/>
          <w:szCs w:val="24"/>
        </w:rPr>
        <w:t>。</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项目公司对导致临时接管的违约行为进行纠正后，经项目公司书面申请，甲方应当终止临时</w:t>
      </w:r>
      <w:r>
        <w:rPr>
          <w:rFonts w:ascii="仿宋" w:hAnsi="仿宋" w:eastAsia="仿宋" w:cs="仿宋"/>
          <w:sz w:val="24"/>
          <w:szCs w:val="24"/>
        </w:rPr>
        <w:t>接管，恢复</w:t>
      </w:r>
      <w:r>
        <w:rPr>
          <w:rFonts w:hint="eastAsia" w:ascii="仿宋" w:hAnsi="仿宋" w:eastAsia="仿宋" w:cs="仿宋"/>
          <w:sz w:val="24"/>
          <w:szCs w:val="24"/>
        </w:rPr>
        <w:t>项目公司</w:t>
      </w:r>
      <w:r>
        <w:rPr>
          <w:rFonts w:ascii="仿宋" w:hAnsi="仿宋" w:eastAsia="仿宋" w:cs="仿宋"/>
          <w:sz w:val="24"/>
          <w:szCs w:val="24"/>
        </w:rPr>
        <w:t>的经营权。如单次临时接管持续不间断超过 120 天，甲方有权提前终止</w:t>
      </w:r>
      <w:r>
        <w:rPr>
          <w:rFonts w:hint="eastAsia" w:ascii="仿宋" w:hAnsi="仿宋" w:eastAsia="仿宋" w:cs="仿宋"/>
          <w:sz w:val="24"/>
          <w:szCs w:val="24"/>
        </w:rPr>
        <w:t>本协议和PPP</w:t>
      </w:r>
      <w:r>
        <w:rPr>
          <w:rFonts w:ascii="仿宋" w:hAnsi="仿宋" w:eastAsia="仿宋" w:cs="仿宋"/>
          <w:sz w:val="24"/>
          <w:szCs w:val="24"/>
        </w:rPr>
        <w:t>项目合同，收回乙方的经营权。</w:t>
      </w:r>
    </w:p>
    <w:p>
      <w:pPr>
        <w:spacing w:line="560" w:lineRule="exact"/>
        <w:ind w:firstLine="480"/>
        <w:rPr>
          <w:rFonts w:ascii="仿宋" w:hAnsi="仿宋" w:eastAsia="仿宋" w:cs="仿宋"/>
          <w:b/>
          <w:sz w:val="24"/>
          <w:szCs w:val="24"/>
        </w:rPr>
      </w:pPr>
      <w:r>
        <w:rPr>
          <w:rFonts w:ascii="仿宋" w:hAnsi="仿宋" w:eastAsia="仿宋" w:cs="仿宋"/>
          <w:b/>
          <w:sz w:val="24"/>
          <w:szCs w:val="24"/>
        </w:rPr>
        <w:t>9.4</w:t>
      </w:r>
      <w:r>
        <w:rPr>
          <w:rFonts w:ascii="仿宋" w:hAnsi="仿宋" w:eastAsia="仿宋" w:cs="仿宋"/>
          <w:b/>
          <w:sz w:val="24"/>
          <w:szCs w:val="24"/>
        </w:rPr>
        <w:tab/>
      </w:r>
      <w:r>
        <w:rPr>
          <w:rFonts w:ascii="仿宋" w:hAnsi="仿宋" w:eastAsia="仿宋" w:cs="仿宋"/>
          <w:b/>
          <w:sz w:val="24"/>
          <w:szCs w:val="24"/>
        </w:rPr>
        <w:t>介入期间的费用和收入</w:t>
      </w:r>
    </w:p>
    <w:p>
      <w:pPr>
        <w:spacing w:line="560" w:lineRule="exact"/>
        <w:ind w:firstLine="480"/>
        <w:rPr>
          <w:rFonts w:ascii="仿宋" w:hAnsi="仿宋" w:eastAsia="仿宋" w:cs="仿宋"/>
          <w:sz w:val="24"/>
          <w:szCs w:val="24"/>
        </w:rPr>
      </w:pPr>
      <w:r>
        <w:rPr>
          <w:rFonts w:ascii="仿宋" w:hAnsi="仿宋" w:eastAsia="仿宋" w:cs="仿宋"/>
          <w:sz w:val="24"/>
          <w:szCs w:val="24"/>
        </w:rPr>
        <w:t>9.4.1 甲方根据第9.1.1 款第（1）-（4）项约定进行的介入，</w:t>
      </w:r>
      <w:r>
        <w:rPr>
          <w:rFonts w:hint="eastAsia" w:ascii="仿宋" w:hAnsi="仿宋" w:eastAsia="仿宋" w:cs="仿宋"/>
          <w:sz w:val="24"/>
          <w:szCs w:val="24"/>
        </w:rPr>
        <w:t>项目公司</w:t>
      </w:r>
      <w:r>
        <w:rPr>
          <w:rFonts w:ascii="仿宋" w:hAnsi="仿宋" w:eastAsia="仿宋" w:cs="仿宋"/>
          <w:sz w:val="24"/>
          <w:szCs w:val="24"/>
        </w:rPr>
        <w:t>应承担因甲方介入所引发的所有费用，该费用甲方有权</w:t>
      </w:r>
      <w:r>
        <w:rPr>
          <w:rFonts w:hint="eastAsia" w:ascii="仿宋" w:hAnsi="仿宋" w:eastAsia="仿宋" w:cs="仿宋"/>
          <w:sz w:val="24"/>
          <w:szCs w:val="24"/>
        </w:rPr>
        <w:t>从建设期履约保函或运营期履约保函项下兑取该部分款项或从可行性缺口</w:t>
      </w:r>
      <w:r>
        <w:rPr>
          <w:rFonts w:ascii="仿宋" w:hAnsi="仿宋" w:eastAsia="仿宋" w:cs="仿宋"/>
          <w:sz w:val="24"/>
          <w:szCs w:val="24"/>
        </w:rPr>
        <w:t>补贴中扣减或者要求</w:t>
      </w:r>
      <w:r>
        <w:rPr>
          <w:rFonts w:hint="eastAsia" w:ascii="仿宋" w:hAnsi="仿宋" w:eastAsia="仿宋" w:cs="仿宋"/>
          <w:sz w:val="24"/>
          <w:szCs w:val="24"/>
        </w:rPr>
        <w:t>项目公司</w:t>
      </w:r>
      <w:r>
        <w:rPr>
          <w:rFonts w:ascii="仿宋" w:hAnsi="仿宋" w:eastAsia="仿宋" w:cs="仿宋"/>
          <w:sz w:val="24"/>
          <w:szCs w:val="24"/>
        </w:rPr>
        <w:t>另行支付。介入期间的运营收入</w:t>
      </w:r>
      <w:r>
        <w:rPr>
          <w:rFonts w:hint="eastAsia" w:ascii="仿宋" w:hAnsi="仿宋" w:eastAsia="仿宋" w:cs="仿宋"/>
          <w:sz w:val="24"/>
          <w:szCs w:val="24"/>
        </w:rPr>
        <w:t>抵减当年的可行性缺口补助</w:t>
      </w:r>
      <w:r>
        <w:rPr>
          <w:rFonts w:ascii="仿宋" w:hAnsi="仿宋" w:eastAsia="仿宋" w:cs="仿宋"/>
          <w:sz w:val="24"/>
          <w:szCs w:val="24"/>
        </w:rPr>
        <w:t>。</w:t>
      </w:r>
    </w:p>
    <w:p>
      <w:pPr>
        <w:spacing w:line="560" w:lineRule="exact"/>
        <w:ind w:firstLine="480"/>
        <w:rPr>
          <w:rFonts w:ascii="仿宋" w:hAnsi="仿宋" w:eastAsia="仿宋" w:cs="仿宋"/>
          <w:sz w:val="24"/>
        </w:rPr>
      </w:pPr>
      <w:r>
        <w:rPr>
          <w:rFonts w:ascii="仿宋" w:hAnsi="仿宋" w:eastAsia="仿宋" w:cs="仿宋"/>
          <w:sz w:val="24"/>
          <w:szCs w:val="24"/>
        </w:rPr>
        <w:t xml:space="preserve">9.4.2 </w:t>
      </w:r>
      <w:r>
        <w:rPr>
          <w:rFonts w:hint="eastAsia" w:ascii="仿宋" w:hAnsi="仿宋" w:eastAsia="仿宋" w:cs="仿宋"/>
          <w:sz w:val="24"/>
          <w:szCs w:val="24"/>
        </w:rPr>
        <w:t>甲方应在停止介入后30日内将介入过程中发生的费用明细交予乙方。</w:t>
      </w:r>
    </w:p>
    <w:p>
      <w:pPr>
        <w:pStyle w:val="3"/>
        <w:numPr>
          <w:ilvl w:val="0"/>
          <w:numId w:val="0"/>
        </w:numPr>
        <w:ind w:left="-576"/>
        <w:jc w:val="center"/>
        <w:rPr>
          <w:rFonts w:ascii="仿宋" w:hAnsi="仿宋" w:eastAsia="仿宋"/>
          <w:lang w:val="en-US"/>
        </w:rPr>
      </w:pPr>
      <w:bookmarkStart w:id="62" w:name="_Toc62570359"/>
      <w:r>
        <w:rPr>
          <w:rFonts w:hint="eastAsia" w:ascii="仿宋" w:hAnsi="仿宋" w:eastAsia="仿宋"/>
        </w:rPr>
        <w:t>第十章</w:t>
      </w:r>
      <w:r>
        <w:rPr>
          <w:rFonts w:ascii="仿宋" w:hAnsi="仿宋" w:eastAsia="仿宋"/>
          <w:lang w:val="en-US"/>
        </w:rPr>
        <w:t xml:space="preserve">  </w:t>
      </w:r>
      <w:r>
        <w:rPr>
          <w:rFonts w:hint="eastAsia" w:ascii="仿宋" w:hAnsi="仿宋" w:eastAsia="仿宋"/>
        </w:rPr>
        <w:t>不可抗力</w:t>
      </w:r>
      <w:bookmarkEnd w:id="62"/>
    </w:p>
    <w:p>
      <w:pPr>
        <w:rPr>
          <w:lang w:val="zh-CN"/>
        </w:rPr>
      </w:pPr>
    </w:p>
    <w:p>
      <w:pPr>
        <w:spacing w:line="560" w:lineRule="exact"/>
        <w:ind w:firstLine="482" w:firstLineChars="200"/>
      </w:pPr>
      <w:bookmarkStart w:id="63" w:name="_Toc25762936"/>
      <w:bookmarkStart w:id="64" w:name="_Toc25661032"/>
      <w:bookmarkStart w:id="65" w:name="_Toc25914772"/>
      <w:r>
        <w:rPr>
          <w:rFonts w:ascii="仿宋" w:hAnsi="仿宋" w:eastAsia="仿宋" w:cs="仿宋"/>
          <w:b/>
          <w:bCs/>
          <w:sz w:val="24"/>
          <w:szCs w:val="24"/>
        </w:rPr>
        <w:t>10.1</w:t>
      </w:r>
      <w:r>
        <w:rPr>
          <w:rFonts w:hint="eastAsia" w:ascii="仿宋" w:hAnsi="仿宋" w:eastAsia="仿宋" w:cs="仿宋"/>
          <w:b/>
          <w:bCs/>
          <w:sz w:val="24"/>
          <w:szCs w:val="24"/>
        </w:rPr>
        <w:t>不可抗力事件</w:t>
      </w:r>
      <w:bookmarkEnd w:id="63"/>
      <w:bookmarkEnd w:id="64"/>
      <w:bookmarkEnd w:id="65"/>
    </w:p>
    <w:p>
      <w:pPr>
        <w:spacing w:line="560" w:lineRule="exact"/>
        <w:ind w:firstLine="480"/>
        <w:rPr>
          <w:rFonts w:ascii="仿宋" w:hAnsi="仿宋" w:eastAsia="仿宋" w:cs="仿宋"/>
          <w:sz w:val="24"/>
          <w:szCs w:val="24"/>
        </w:rPr>
      </w:pPr>
      <w:r>
        <w:rPr>
          <w:rFonts w:hint="eastAsia" w:ascii="仿宋" w:hAnsi="仿宋" w:eastAsia="仿宋" w:cs="仿宋"/>
          <w:sz w:val="24"/>
          <w:szCs w:val="24"/>
        </w:rPr>
        <w:t>不可抗力指在签订和履行本协议时不能合理预见的，并且声称遭受不可抗力影响的一方不能克服和不能避免的事件，包括符合下述条件的：</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（1）雷电、干旱、地震、火山爆发、滑坡、水灾、火灾、暴风雨、海啸、洪水、台风、龙卷风或任何其它天灾；</w:t>
      </w:r>
      <w:bookmarkStart w:id="66" w:name="_Ref145929456"/>
    </w:p>
    <w:p>
      <w:pPr>
        <w:spacing w:line="560" w:lineRule="exact"/>
        <w:ind w:firstLine="480"/>
        <w:rPr>
          <w:rFonts w:ascii="仿宋" w:hAnsi="仿宋" w:eastAsia="仿宋" w:cs="仿宋"/>
          <w:sz w:val="24"/>
          <w:szCs w:val="24"/>
        </w:rPr>
      </w:pPr>
      <w:r>
        <w:rPr>
          <w:rFonts w:hint="eastAsia" w:ascii="仿宋" w:hAnsi="仿宋" w:eastAsia="仿宋" w:cs="仿宋"/>
          <w:sz w:val="24"/>
          <w:szCs w:val="24"/>
        </w:rPr>
        <w:t>（2）大规模流行病、饥荒或瘟疫</w:t>
      </w:r>
      <w:bookmarkEnd w:id="66"/>
      <w:r>
        <w:rPr>
          <w:rFonts w:hint="eastAsia" w:ascii="仿宋" w:hAnsi="仿宋" w:eastAsia="仿宋" w:cs="仿宋"/>
          <w:sz w:val="24"/>
          <w:szCs w:val="24"/>
        </w:rPr>
        <w:t>；</w:t>
      </w:r>
      <w:bookmarkStart w:id="67" w:name="_Ref145929465"/>
    </w:p>
    <w:p>
      <w:pPr>
        <w:spacing w:line="560" w:lineRule="exact"/>
        <w:ind w:firstLine="480"/>
        <w:rPr>
          <w:rFonts w:ascii="仿宋" w:hAnsi="仿宋" w:eastAsia="仿宋" w:cs="仿宋"/>
          <w:sz w:val="24"/>
          <w:szCs w:val="24"/>
        </w:rPr>
      </w:pPr>
      <w:r>
        <w:rPr>
          <w:rFonts w:hint="eastAsia" w:ascii="仿宋" w:hAnsi="仿宋" w:eastAsia="仿宋" w:cs="仿宋"/>
          <w:sz w:val="24"/>
          <w:szCs w:val="24"/>
        </w:rPr>
        <w:t>（3）战争行为（无论是宣战的或未宣战的）、入侵、武装冲突或敌对行为、封锁、暴乱、恐怖行为或军事力量的使用</w:t>
      </w:r>
      <w:bookmarkEnd w:id="67"/>
      <w:r>
        <w:rPr>
          <w:rFonts w:hint="eastAsia" w:ascii="仿宋" w:hAnsi="仿宋" w:eastAsia="仿宋" w:cs="仿宋"/>
          <w:sz w:val="24"/>
          <w:szCs w:val="24"/>
        </w:rPr>
        <w:t>；</w:t>
      </w:r>
      <w:bookmarkStart w:id="68" w:name="_Ref145929471"/>
    </w:p>
    <w:p>
      <w:pPr>
        <w:spacing w:line="560" w:lineRule="exact"/>
        <w:ind w:firstLine="480"/>
        <w:rPr>
          <w:rFonts w:ascii="仿宋" w:hAnsi="仿宋" w:eastAsia="仿宋" w:cs="仿宋"/>
          <w:sz w:val="24"/>
          <w:szCs w:val="24"/>
        </w:rPr>
      </w:pPr>
      <w:r>
        <w:rPr>
          <w:rFonts w:hint="eastAsia" w:ascii="仿宋" w:hAnsi="仿宋" w:eastAsia="仿宋" w:cs="仿宋"/>
          <w:sz w:val="24"/>
          <w:szCs w:val="24"/>
        </w:rPr>
        <w:t>（4）全国性、地区性或行业性罢工</w:t>
      </w:r>
      <w:bookmarkEnd w:id="68"/>
      <w:r>
        <w:rPr>
          <w:rFonts w:hint="eastAsia" w:ascii="仿宋" w:hAnsi="仿宋" w:eastAsia="仿宋" w:cs="仿宋"/>
          <w:sz w:val="24"/>
          <w:szCs w:val="24"/>
        </w:rPr>
        <w:t>；</w:t>
      </w:r>
    </w:p>
    <w:p>
      <w:pPr>
        <w:spacing w:line="560" w:lineRule="exact"/>
        <w:ind w:firstLine="480"/>
        <w:rPr>
          <w:rFonts w:ascii="仿宋" w:hAnsi="仿宋" w:eastAsia="仿宋" w:cs="仿宋"/>
          <w:sz w:val="24"/>
          <w:szCs w:val="24"/>
        </w:rPr>
      </w:pPr>
      <w:bookmarkStart w:id="69" w:name="_Hlk24984566"/>
      <w:r>
        <w:rPr>
          <w:rFonts w:hint="eastAsia" w:ascii="仿宋" w:hAnsi="仿宋" w:eastAsia="仿宋" w:cs="仿宋"/>
          <w:sz w:val="24"/>
          <w:szCs w:val="24"/>
        </w:rPr>
        <w:t>（</w:t>
      </w:r>
      <w:r>
        <w:rPr>
          <w:rFonts w:ascii="仿宋" w:hAnsi="仿宋" w:eastAsia="仿宋" w:cs="仿宋"/>
          <w:sz w:val="24"/>
          <w:szCs w:val="24"/>
        </w:rPr>
        <w:t>5）不能合理预见的重大交通阻滞或停运；</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6）化学或放射性污染或核辐射；</w:t>
      </w:r>
      <w:bookmarkEnd w:id="69"/>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）市级以上任何政府部门对项目设施或其任何部分实行的征收、征用、国有化；</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）政府部门实施进口限制、配额或分配限制。</w:t>
      </w:r>
    </w:p>
    <w:p>
      <w:pPr>
        <w:spacing w:line="560" w:lineRule="exact"/>
        <w:ind w:firstLine="480"/>
        <w:rPr>
          <w:rFonts w:ascii="仿宋" w:hAnsi="仿宋" w:eastAsia="仿宋" w:cs="仿宋"/>
          <w:sz w:val="24"/>
          <w:szCs w:val="24"/>
        </w:rPr>
      </w:pPr>
      <w:r>
        <w:rPr>
          <w:rFonts w:ascii="仿宋" w:hAnsi="仿宋" w:eastAsia="仿宋" w:cs="仿宋"/>
          <w:sz w:val="24"/>
          <w:szCs w:val="24"/>
        </w:rPr>
        <w:t xml:space="preserve">10.2 </w:t>
      </w:r>
      <w:r>
        <w:rPr>
          <w:rFonts w:ascii="仿宋" w:hAnsi="仿宋" w:eastAsia="仿宋" w:cs="仿宋"/>
          <w:sz w:val="24"/>
          <w:szCs w:val="24"/>
        </w:rPr>
        <w:tab/>
      </w:r>
      <w:r>
        <w:rPr>
          <w:rFonts w:ascii="仿宋" w:hAnsi="仿宋" w:eastAsia="仿宋" w:cs="仿宋"/>
          <w:sz w:val="24"/>
          <w:szCs w:val="24"/>
        </w:rPr>
        <w:t>因不可抗力致使一方不能履行本协议的，根据不可抗力的影响可全部或部分免除该方在本协议项下的相应义务，但该方应及时采取补救措施并通知对方，并在10日内向对方提供证明。一方未及时采取补救措施的，应就扩大的损失负赔偿责任。</w:t>
      </w:r>
    </w:p>
    <w:p>
      <w:pPr>
        <w:spacing w:line="560" w:lineRule="exact"/>
        <w:ind w:firstLine="480"/>
        <w:rPr>
          <w:rFonts w:ascii="仿宋" w:hAnsi="仿宋" w:eastAsia="仿宋" w:cs="仿宋"/>
          <w:sz w:val="24"/>
          <w:szCs w:val="24"/>
        </w:rPr>
      </w:pPr>
      <w:r>
        <w:rPr>
          <w:rFonts w:ascii="仿宋" w:hAnsi="仿宋" w:eastAsia="仿宋" w:cs="仿宋"/>
          <w:sz w:val="24"/>
          <w:szCs w:val="24"/>
        </w:rPr>
        <w:t xml:space="preserve">10.3 </w:t>
      </w:r>
      <w:r>
        <w:rPr>
          <w:rFonts w:ascii="仿宋" w:hAnsi="仿宋" w:eastAsia="仿宋" w:cs="仿宋"/>
          <w:sz w:val="24"/>
          <w:szCs w:val="24"/>
        </w:rPr>
        <w:tab/>
      </w:r>
      <w:r>
        <w:rPr>
          <w:rFonts w:ascii="仿宋" w:hAnsi="仿宋" w:eastAsia="仿宋" w:cs="仿宋"/>
          <w:sz w:val="24"/>
          <w:szCs w:val="24"/>
        </w:rPr>
        <w:t>因不可抗力致使本协议无法按期履行或不能履行的，在不可抗力事件持续期间，受影响方无需为其中止履约或履约延误承担违约责任。</w:t>
      </w:r>
    </w:p>
    <w:p>
      <w:pPr>
        <w:pStyle w:val="3"/>
        <w:numPr>
          <w:ilvl w:val="0"/>
          <w:numId w:val="0"/>
        </w:numPr>
        <w:ind w:left="-576"/>
        <w:jc w:val="center"/>
        <w:rPr>
          <w:rFonts w:ascii="仿宋" w:hAnsi="仿宋" w:eastAsia="仿宋"/>
        </w:rPr>
      </w:pPr>
      <w:bookmarkStart w:id="70" w:name="_Toc491850049"/>
      <w:bookmarkStart w:id="71" w:name="_Toc17859"/>
      <w:bookmarkStart w:id="72" w:name="_Toc433384521"/>
      <w:bookmarkStart w:id="73" w:name="_Toc62570360"/>
      <w:r>
        <w:rPr>
          <w:rFonts w:hint="eastAsia" w:ascii="仿宋" w:hAnsi="仿宋" w:eastAsia="仿宋"/>
        </w:rPr>
        <w:t>第十一章  争议解决</w:t>
      </w:r>
      <w:bookmarkEnd w:id="70"/>
      <w:bookmarkEnd w:id="71"/>
      <w:bookmarkEnd w:id="72"/>
      <w:bookmarkEnd w:id="73"/>
    </w:p>
    <w:p>
      <w:pPr>
        <w:spacing w:line="560" w:lineRule="exact"/>
        <w:ind w:firstLine="480"/>
        <w:rPr>
          <w:rFonts w:ascii="仿宋" w:hAnsi="仿宋" w:eastAsia="仿宋" w:cs="仿宋"/>
          <w:sz w:val="24"/>
          <w:szCs w:val="24"/>
        </w:rPr>
      </w:pPr>
      <w:r>
        <w:rPr>
          <w:rFonts w:hint="eastAsia" w:ascii="仿宋" w:hAnsi="仿宋" w:eastAsia="仿宋" w:cs="仿宋"/>
          <w:sz w:val="24"/>
          <w:szCs w:val="24"/>
        </w:rPr>
        <w:t>11.1如果就本协议的解释或执行发生争议，各方可以共同聘请专家或第三方机构进行调解。调解达成一致的，应当签订补充协议并遵照执行。若在争议发生的六十（</w:t>
      </w:r>
      <w:r>
        <w:rPr>
          <w:rFonts w:ascii="仿宋" w:hAnsi="仿宋" w:eastAsia="仿宋" w:cs="仿宋"/>
          <w:sz w:val="24"/>
          <w:szCs w:val="24"/>
        </w:rPr>
        <w:t>60）日内</w:t>
      </w:r>
      <w:r>
        <w:rPr>
          <w:rFonts w:hint="eastAsia" w:ascii="仿宋" w:hAnsi="仿宋" w:eastAsia="仿宋" w:cs="仿宋"/>
          <w:sz w:val="24"/>
          <w:szCs w:val="24"/>
        </w:rPr>
        <w:t>仍</w:t>
      </w:r>
      <w:r>
        <w:rPr>
          <w:rFonts w:ascii="仿宋" w:hAnsi="仿宋" w:eastAsia="仿宋" w:cs="仿宋"/>
          <w:sz w:val="24"/>
          <w:szCs w:val="24"/>
        </w:rPr>
        <w:t>未能解决，则任何一方均有权向甲方所在地有管辖权的法院提起诉讼</w:t>
      </w:r>
      <w:r>
        <w:rPr>
          <w:rFonts w:hint="eastAsia" w:ascii="仿宋" w:hAnsi="仿宋" w:eastAsia="仿宋" w:cs="仿宋"/>
          <w:sz w:val="24"/>
          <w:szCs w:val="24"/>
        </w:rPr>
        <w:t>。</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11.2在解决争议诉讼期间，除本协议中有争议正在进行诉讼的部分外，</w:t>
      </w:r>
      <w:bookmarkStart w:id="74" w:name="_Hlk27755080"/>
      <w:r>
        <w:rPr>
          <w:rFonts w:hint="eastAsia" w:ascii="仿宋" w:hAnsi="仿宋" w:eastAsia="仿宋" w:cs="仿宋"/>
          <w:sz w:val="24"/>
          <w:szCs w:val="24"/>
        </w:rPr>
        <w:t>本协议的其他部分仍然有效，合作各方应继续履行本协议的其它各项条款。</w:t>
      </w:r>
      <w:bookmarkEnd w:id="74"/>
    </w:p>
    <w:p>
      <w:pPr>
        <w:pStyle w:val="3"/>
        <w:numPr>
          <w:ilvl w:val="0"/>
          <w:numId w:val="0"/>
        </w:numPr>
        <w:ind w:left="-576"/>
        <w:jc w:val="center"/>
        <w:rPr>
          <w:rFonts w:ascii="仿宋" w:hAnsi="仿宋" w:eastAsia="仿宋"/>
        </w:rPr>
      </w:pPr>
      <w:bookmarkStart w:id="75" w:name="_Toc433384522"/>
      <w:bookmarkStart w:id="76" w:name="_Toc6829"/>
      <w:bookmarkStart w:id="77" w:name="_Toc491850050"/>
      <w:bookmarkStart w:id="78" w:name="_Toc62570361"/>
      <w:r>
        <w:rPr>
          <w:rFonts w:hint="eastAsia" w:ascii="仿宋" w:hAnsi="仿宋" w:eastAsia="仿宋"/>
        </w:rPr>
        <w:t>第十二章  合同的生效</w:t>
      </w:r>
      <w:bookmarkEnd w:id="75"/>
      <w:bookmarkEnd w:id="76"/>
      <w:bookmarkEnd w:id="77"/>
      <w:bookmarkEnd w:id="78"/>
    </w:p>
    <w:p>
      <w:pPr>
        <w:spacing w:line="560" w:lineRule="exact"/>
        <w:ind w:firstLine="480"/>
        <w:rPr>
          <w:rFonts w:ascii="仿宋" w:hAnsi="仿宋" w:eastAsia="仿宋" w:cs="仿宋"/>
          <w:sz w:val="24"/>
          <w:szCs w:val="28"/>
        </w:rPr>
      </w:pPr>
      <w:r>
        <w:rPr>
          <w:rFonts w:hint="eastAsia" w:ascii="仿宋" w:hAnsi="仿宋" w:eastAsia="仿宋" w:cs="仿宋"/>
          <w:sz w:val="24"/>
          <w:szCs w:val="28"/>
        </w:rPr>
        <w:t>12.1本协议生效起始日期为甲乙双方盖章并由双方法定代表人或授权代理人签字之日，若甲乙双方盖章及双方法定代表人或授权代理人签字之日不一致的，则以较晚的日期作为协议生效日期。</w:t>
      </w:r>
    </w:p>
    <w:p>
      <w:pPr>
        <w:spacing w:line="560" w:lineRule="exact"/>
        <w:ind w:firstLine="480"/>
        <w:rPr>
          <w:rFonts w:ascii="仿宋" w:hAnsi="仿宋" w:eastAsia="仿宋" w:cs="仿宋"/>
          <w:sz w:val="24"/>
          <w:szCs w:val="28"/>
        </w:rPr>
      </w:pPr>
      <w:r>
        <w:rPr>
          <w:rFonts w:ascii="仿宋" w:hAnsi="仿宋" w:eastAsia="仿宋" w:cs="仿宋"/>
          <w:sz w:val="24"/>
          <w:szCs w:val="28"/>
        </w:rPr>
        <w:t>12.2</w:t>
      </w:r>
      <w:bookmarkStart w:id="79" w:name="_Toc475566629"/>
      <w:r>
        <w:rPr>
          <w:rFonts w:hint="eastAsia" w:ascii="仿宋" w:hAnsi="仿宋" w:eastAsia="仿宋" w:cs="仿宋"/>
          <w:sz w:val="24"/>
          <w:szCs w:val="28"/>
        </w:rPr>
        <w:t xml:space="preserve"> </w:t>
      </w:r>
      <w:r>
        <w:rPr>
          <w:rFonts w:ascii="仿宋" w:hAnsi="仿宋" w:eastAsia="仿宋" w:cs="仿宋"/>
          <w:sz w:val="24"/>
          <w:szCs w:val="28"/>
        </w:rPr>
        <w:t>《PPP项目合同》签订后，本合同仍然有效，本合同与《PPP项目合同》互为补充，但本合同与《PPP项目合同》如有矛盾之处，以《PPP项目合同》为准。</w:t>
      </w:r>
    </w:p>
    <w:p>
      <w:pPr>
        <w:spacing w:line="560" w:lineRule="exact"/>
        <w:ind w:firstLine="480"/>
        <w:rPr>
          <w:rFonts w:ascii="仿宋" w:hAnsi="仿宋" w:eastAsia="仿宋" w:cs="仿宋"/>
          <w:sz w:val="24"/>
          <w:szCs w:val="28"/>
        </w:rPr>
      </w:pPr>
      <w:r>
        <w:rPr>
          <w:rFonts w:ascii="仿宋" w:hAnsi="仿宋" w:eastAsia="仿宋" w:cs="仿宋"/>
          <w:sz w:val="24"/>
          <w:szCs w:val="28"/>
        </w:rPr>
        <w:tab/>
      </w:r>
      <w:r>
        <w:rPr>
          <w:rFonts w:ascii="仿宋" w:hAnsi="仿宋" w:eastAsia="仿宋" w:cs="仿宋"/>
          <w:sz w:val="24"/>
          <w:szCs w:val="28"/>
        </w:rPr>
        <w:t>12.3</w:t>
      </w:r>
      <w:r>
        <w:rPr>
          <w:rFonts w:hint="eastAsia" w:ascii="仿宋" w:hAnsi="仿宋" w:eastAsia="仿宋" w:cs="仿宋"/>
          <w:sz w:val="24"/>
          <w:szCs w:val="28"/>
        </w:rPr>
        <w:t xml:space="preserve"> </w:t>
      </w:r>
      <w:r>
        <w:rPr>
          <w:rFonts w:ascii="仿宋" w:hAnsi="仿宋" w:eastAsia="仿宋" w:cs="仿宋"/>
          <w:sz w:val="24"/>
          <w:szCs w:val="28"/>
        </w:rPr>
        <w:t>除本协议另有约定外，本协议应在项目合作期届满后终止。</w:t>
      </w:r>
    </w:p>
    <w:p>
      <w:pPr>
        <w:spacing w:line="560" w:lineRule="exact"/>
        <w:ind w:firstLine="480"/>
        <w:rPr>
          <w:rFonts w:ascii="仿宋" w:hAnsi="仿宋" w:eastAsia="仿宋" w:cs="仿宋"/>
          <w:b/>
          <w:sz w:val="24"/>
          <w:szCs w:val="28"/>
        </w:rPr>
      </w:pPr>
      <w:r>
        <w:rPr>
          <w:rFonts w:ascii="仿宋" w:hAnsi="仿宋" w:eastAsia="仿宋" w:cs="仿宋"/>
          <w:sz w:val="24"/>
          <w:szCs w:val="28"/>
        </w:rPr>
        <w:t xml:space="preserve">12.4 </w:t>
      </w:r>
      <w:r>
        <w:rPr>
          <w:rFonts w:ascii="仿宋" w:hAnsi="仿宋" w:eastAsia="仿宋" w:cs="仿宋"/>
          <w:sz w:val="24"/>
          <w:szCs w:val="28"/>
        </w:rPr>
        <w:tab/>
      </w:r>
      <w:r>
        <w:rPr>
          <w:rFonts w:ascii="仿宋" w:hAnsi="仿宋" w:eastAsia="仿宋" w:cs="仿宋"/>
          <w:sz w:val="24"/>
          <w:szCs w:val="28"/>
        </w:rPr>
        <w:t>若《PPP项目合同》提前终止的，除非双方另有约定，则本协议应在《PPP项目合同》签约各方已履行完成提前终止相关责任义务后，方可终止。</w:t>
      </w:r>
      <w:bookmarkEnd w:id="79"/>
      <w:bookmarkStart w:id="80" w:name="_Hlk10721953"/>
    </w:p>
    <w:bookmarkEnd w:id="80"/>
    <w:p>
      <w:pPr>
        <w:pStyle w:val="3"/>
        <w:numPr>
          <w:ilvl w:val="0"/>
          <w:numId w:val="0"/>
        </w:numPr>
        <w:ind w:left="-576"/>
        <w:jc w:val="center"/>
        <w:rPr>
          <w:rFonts w:ascii="仿宋" w:hAnsi="仿宋" w:eastAsia="仿宋"/>
        </w:rPr>
      </w:pPr>
      <w:bookmarkStart w:id="81" w:name="_Toc491850051"/>
      <w:bookmarkStart w:id="82" w:name="_Toc62570362"/>
      <w:bookmarkStart w:id="83" w:name="_Toc433384523"/>
      <w:bookmarkStart w:id="84" w:name="_Toc21248"/>
      <w:r>
        <w:rPr>
          <w:rFonts w:hint="eastAsia" w:ascii="仿宋" w:hAnsi="仿宋" w:eastAsia="仿宋"/>
        </w:rPr>
        <w:t>第十三章  其他事项</w:t>
      </w:r>
      <w:bookmarkEnd w:id="81"/>
      <w:bookmarkEnd w:id="82"/>
      <w:bookmarkEnd w:id="83"/>
      <w:bookmarkEnd w:id="84"/>
    </w:p>
    <w:p>
      <w:pPr>
        <w:spacing w:line="560" w:lineRule="exact"/>
        <w:ind w:firstLine="480"/>
        <w:rPr>
          <w:rFonts w:ascii="仿宋" w:hAnsi="仿宋" w:eastAsia="仿宋" w:cs="仿宋"/>
          <w:sz w:val="24"/>
          <w:szCs w:val="24"/>
        </w:rPr>
      </w:pPr>
      <w:r>
        <w:rPr>
          <w:rFonts w:hint="eastAsia" w:ascii="仿宋" w:hAnsi="仿宋" w:eastAsia="仿宋" w:cs="仿宋"/>
          <w:sz w:val="24"/>
          <w:szCs w:val="24"/>
        </w:rPr>
        <w:t>13.1本协议一式【肆】份，双方各执【贰】份。</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13.2本协议未尽事宜，由各方另行协商确定。</w:t>
      </w:r>
    </w:p>
    <w:p>
      <w:pPr>
        <w:spacing w:line="560" w:lineRule="exact"/>
        <w:ind w:firstLine="480"/>
        <w:rPr>
          <w:rFonts w:ascii="仿宋" w:hAnsi="仿宋" w:eastAsia="仿宋" w:cs="仿宋"/>
          <w:sz w:val="24"/>
          <w:szCs w:val="24"/>
        </w:rPr>
      </w:pPr>
      <w:r>
        <w:rPr>
          <w:rFonts w:hint="eastAsia" w:ascii="仿宋" w:hAnsi="仿宋" w:eastAsia="仿宋" w:cs="仿宋"/>
          <w:sz w:val="24"/>
          <w:szCs w:val="24"/>
        </w:rPr>
        <w:t>13.3各方对本协议及合作的所有商业机密资料承担保密义务，未经许可，不得对任何其他第三方泄露和传播。</w:t>
      </w:r>
    </w:p>
    <w:p>
      <w:pPr>
        <w:spacing w:line="560" w:lineRule="exact"/>
        <w:ind w:firstLine="440"/>
        <w:rPr>
          <w:rFonts w:ascii="仿宋" w:hAnsi="仿宋" w:eastAsia="仿宋" w:cs="仿宋"/>
          <w:sz w:val="24"/>
          <w:szCs w:val="24"/>
        </w:rPr>
      </w:pPr>
      <w:r>
        <w:rPr>
          <w:rFonts w:hint="eastAsia" w:ascii="仿宋" w:hAnsi="仿宋" w:eastAsia="仿宋" w:cs="Times New Roman"/>
          <w:sz w:val="22"/>
        </w:rPr>
        <w:br w:type="page"/>
      </w:r>
      <w:r>
        <w:rPr>
          <w:rFonts w:hint="eastAsia" w:ascii="仿宋" w:hAnsi="仿宋" w:eastAsia="仿宋" w:cs="仿宋"/>
          <w:sz w:val="24"/>
          <w:szCs w:val="24"/>
        </w:rPr>
        <w:t>【签署页】</w:t>
      </w:r>
    </w:p>
    <w:p>
      <w:pPr>
        <w:spacing w:line="560" w:lineRule="exact"/>
        <w:ind w:firstLine="440"/>
        <w:rPr>
          <w:rFonts w:ascii="仿宋" w:hAnsi="仿宋" w:eastAsia="仿宋" w:cs="仿宋"/>
          <w:sz w:val="24"/>
          <w:szCs w:val="24"/>
        </w:rPr>
      </w:pPr>
    </w:p>
    <w:tbl>
      <w:tblPr>
        <w:tblStyle w:val="22"/>
        <w:tblW w:w="8535" w:type="dxa"/>
        <w:tblInd w:w="0" w:type="dxa"/>
        <w:tblLayout w:type="fixed"/>
        <w:tblCellMar>
          <w:top w:w="0" w:type="dxa"/>
          <w:left w:w="108" w:type="dxa"/>
          <w:bottom w:w="0" w:type="dxa"/>
          <w:right w:w="108" w:type="dxa"/>
        </w:tblCellMar>
      </w:tblPr>
      <w:tblGrid>
        <w:gridCol w:w="5812"/>
        <w:gridCol w:w="2723"/>
      </w:tblGrid>
      <w:tr>
        <w:tblPrEx>
          <w:tblCellMar>
            <w:top w:w="0" w:type="dxa"/>
            <w:left w:w="108" w:type="dxa"/>
            <w:bottom w:w="0" w:type="dxa"/>
            <w:right w:w="108" w:type="dxa"/>
          </w:tblCellMar>
        </w:tblPrEx>
        <w:tc>
          <w:tcPr>
            <w:tcW w:w="5812" w:type="dxa"/>
          </w:tcPr>
          <w:p>
            <w:pPr>
              <w:pStyle w:val="42"/>
              <w:widowControl/>
              <w:spacing w:before="156" w:beforeLines="50" w:afterLines="50"/>
              <w:ind w:left="210" w:firstLine="480"/>
              <w:rPr>
                <w:rFonts w:ascii="仿宋" w:hAnsi="仿宋" w:cs="仿宋"/>
                <w:szCs w:val="24"/>
              </w:rPr>
            </w:pPr>
            <w:r>
              <w:rPr>
                <w:rFonts w:hint="eastAsia" w:ascii="仿宋" w:hAnsi="仿宋" w:cs="仿宋"/>
                <w:szCs w:val="24"/>
              </w:rPr>
              <w:t>甲方（公章）</w:t>
            </w:r>
          </w:p>
        </w:tc>
        <w:tc>
          <w:tcPr>
            <w:tcW w:w="2723" w:type="dxa"/>
          </w:tcPr>
          <w:p>
            <w:pPr>
              <w:pStyle w:val="42"/>
              <w:widowControl/>
              <w:spacing w:before="156" w:beforeLines="50" w:afterLines="50"/>
              <w:ind w:left="210" w:firstLine="480"/>
              <w:rPr>
                <w:rFonts w:ascii="仿宋" w:hAnsi="仿宋" w:cs="仿宋"/>
                <w:szCs w:val="24"/>
              </w:rPr>
            </w:pPr>
          </w:p>
        </w:tc>
      </w:tr>
      <w:tr>
        <w:tblPrEx>
          <w:tblCellMar>
            <w:top w:w="0" w:type="dxa"/>
            <w:left w:w="108" w:type="dxa"/>
            <w:bottom w:w="0" w:type="dxa"/>
            <w:right w:w="108" w:type="dxa"/>
          </w:tblCellMar>
        </w:tblPrEx>
        <w:trPr>
          <w:trHeight w:val="4270" w:hRule="atLeast"/>
        </w:trPr>
        <w:tc>
          <w:tcPr>
            <w:tcW w:w="5812" w:type="dxa"/>
          </w:tcPr>
          <w:p>
            <w:pPr>
              <w:pStyle w:val="42"/>
              <w:widowControl/>
              <w:spacing w:before="156" w:beforeLines="50" w:afterLines="50"/>
              <w:ind w:left="210" w:firstLine="480"/>
              <w:rPr>
                <w:rFonts w:ascii="仿宋" w:hAnsi="仿宋" w:cs="仿宋"/>
                <w:szCs w:val="24"/>
              </w:rPr>
            </w:pPr>
          </w:p>
          <w:p>
            <w:pPr>
              <w:pStyle w:val="42"/>
              <w:widowControl/>
              <w:spacing w:before="156" w:beforeLines="50" w:afterLines="50"/>
              <w:ind w:left="210" w:firstLine="480"/>
              <w:rPr>
                <w:rFonts w:ascii="仿宋" w:hAnsi="仿宋" w:cs="仿宋"/>
                <w:szCs w:val="24"/>
              </w:rPr>
            </w:pPr>
            <w:r>
              <w:rPr>
                <w:rFonts w:hint="eastAsia" w:ascii="仿宋" w:hAnsi="仿宋" w:cs="仿宋"/>
                <w:szCs w:val="24"/>
              </w:rPr>
              <w:t>法定代表人/授权代表（签字或盖章）</w:t>
            </w:r>
          </w:p>
          <w:p>
            <w:pPr>
              <w:pStyle w:val="42"/>
              <w:widowControl/>
              <w:spacing w:before="156" w:beforeLines="50" w:afterLines="50"/>
              <w:ind w:left="210" w:firstLine="480"/>
              <w:rPr>
                <w:rFonts w:ascii="仿宋" w:hAnsi="仿宋" w:cs="仿宋"/>
                <w:szCs w:val="24"/>
              </w:rPr>
            </w:pPr>
          </w:p>
          <w:p>
            <w:pPr>
              <w:pStyle w:val="42"/>
              <w:widowControl/>
              <w:spacing w:before="156" w:beforeLines="50" w:afterLines="50"/>
              <w:ind w:left="210" w:firstLine="480"/>
              <w:rPr>
                <w:rFonts w:ascii="仿宋" w:hAnsi="仿宋" w:cs="仿宋"/>
                <w:szCs w:val="24"/>
              </w:rPr>
            </w:pPr>
            <w:r>
              <w:rPr>
                <w:rFonts w:hint="eastAsia" w:ascii="仿宋" w:hAnsi="仿宋" w:cs="仿宋"/>
                <w:szCs w:val="24"/>
              </w:rPr>
              <w:t>签署日期：</w:t>
            </w:r>
          </w:p>
        </w:tc>
        <w:tc>
          <w:tcPr>
            <w:tcW w:w="2723" w:type="dxa"/>
          </w:tcPr>
          <w:p>
            <w:pPr>
              <w:pStyle w:val="42"/>
              <w:widowControl/>
              <w:spacing w:before="156" w:beforeLines="50" w:afterLines="50"/>
              <w:ind w:left="210" w:firstLine="480"/>
              <w:rPr>
                <w:rFonts w:ascii="仿宋" w:hAnsi="仿宋" w:cs="仿宋"/>
                <w:szCs w:val="24"/>
              </w:rPr>
            </w:pPr>
          </w:p>
        </w:tc>
      </w:tr>
      <w:tr>
        <w:tblPrEx>
          <w:tblCellMar>
            <w:top w:w="0" w:type="dxa"/>
            <w:left w:w="108" w:type="dxa"/>
            <w:bottom w:w="0" w:type="dxa"/>
            <w:right w:w="108" w:type="dxa"/>
          </w:tblCellMar>
        </w:tblPrEx>
        <w:trPr>
          <w:gridAfter w:val="1"/>
          <w:wAfter w:w="2723" w:type="dxa"/>
        </w:trPr>
        <w:tc>
          <w:tcPr>
            <w:tcW w:w="5812" w:type="dxa"/>
          </w:tcPr>
          <w:p>
            <w:pPr>
              <w:pStyle w:val="42"/>
              <w:widowControl/>
              <w:spacing w:before="156" w:beforeLines="50" w:afterLines="50"/>
              <w:ind w:left="210" w:firstLine="480"/>
              <w:rPr>
                <w:rFonts w:ascii="仿宋" w:hAnsi="仿宋" w:cs="仿宋"/>
                <w:szCs w:val="24"/>
              </w:rPr>
            </w:pPr>
            <w:bookmarkStart w:id="85" w:name="_如果根据第41.1条款未能实现融资交割是由于下列原因之一，则第41.2条款的规"/>
            <w:bookmarkEnd w:id="85"/>
            <w:bookmarkStart w:id="86" w:name="_如果根据第40.1条款未能实现融资交割，中标人和招标人可以协商推迟一段时间，第"/>
            <w:bookmarkEnd w:id="86"/>
            <w:bookmarkStart w:id="87" w:name="_如果授标按第42.2条款的规定被撤销："/>
            <w:bookmarkEnd w:id="87"/>
            <w:r>
              <w:rPr>
                <w:rFonts w:hint="eastAsia" w:ascii="仿宋" w:hAnsi="仿宋" w:cs="仿宋"/>
                <w:szCs w:val="24"/>
              </w:rPr>
              <w:t>乙方（公章）</w:t>
            </w:r>
          </w:p>
        </w:tc>
      </w:tr>
      <w:tr>
        <w:tblPrEx>
          <w:tblCellMar>
            <w:top w:w="0" w:type="dxa"/>
            <w:left w:w="108" w:type="dxa"/>
            <w:bottom w:w="0" w:type="dxa"/>
            <w:right w:w="108" w:type="dxa"/>
          </w:tblCellMar>
        </w:tblPrEx>
        <w:trPr>
          <w:gridAfter w:val="1"/>
          <w:wAfter w:w="2723" w:type="dxa"/>
          <w:trHeight w:val="4270" w:hRule="atLeast"/>
        </w:trPr>
        <w:tc>
          <w:tcPr>
            <w:tcW w:w="5812" w:type="dxa"/>
          </w:tcPr>
          <w:p>
            <w:pPr>
              <w:pStyle w:val="42"/>
              <w:widowControl/>
              <w:spacing w:before="156" w:beforeLines="50" w:afterLines="50"/>
              <w:ind w:left="210" w:firstLine="480"/>
              <w:rPr>
                <w:rFonts w:ascii="仿宋" w:hAnsi="仿宋" w:cs="仿宋"/>
                <w:szCs w:val="24"/>
              </w:rPr>
            </w:pPr>
          </w:p>
          <w:p>
            <w:pPr>
              <w:pStyle w:val="42"/>
              <w:widowControl/>
              <w:spacing w:before="156" w:beforeLines="50" w:afterLines="50"/>
              <w:ind w:left="210" w:firstLine="480"/>
              <w:rPr>
                <w:rFonts w:ascii="仿宋" w:hAnsi="仿宋" w:cs="仿宋"/>
                <w:szCs w:val="24"/>
              </w:rPr>
            </w:pPr>
            <w:r>
              <w:rPr>
                <w:rFonts w:hint="eastAsia" w:ascii="仿宋" w:hAnsi="仿宋" w:cs="仿宋"/>
                <w:szCs w:val="24"/>
              </w:rPr>
              <w:t>法定代表人/授权代表（签字或盖章）</w:t>
            </w:r>
          </w:p>
          <w:p>
            <w:pPr>
              <w:pStyle w:val="42"/>
              <w:widowControl/>
              <w:spacing w:before="156" w:beforeLines="50" w:afterLines="50"/>
              <w:ind w:left="210" w:firstLine="480"/>
              <w:rPr>
                <w:rFonts w:ascii="仿宋" w:hAnsi="仿宋" w:cs="仿宋"/>
                <w:szCs w:val="24"/>
              </w:rPr>
            </w:pPr>
          </w:p>
          <w:p>
            <w:pPr>
              <w:pStyle w:val="42"/>
              <w:widowControl/>
              <w:spacing w:before="156" w:beforeLines="50" w:afterLines="50"/>
              <w:ind w:left="210" w:firstLine="480"/>
              <w:rPr>
                <w:rFonts w:ascii="仿宋" w:hAnsi="仿宋" w:cs="仿宋"/>
                <w:szCs w:val="24"/>
              </w:rPr>
            </w:pPr>
            <w:r>
              <w:rPr>
                <w:rFonts w:hint="eastAsia" w:ascii="仿宋" w:hAnsi="仿宋" w:cs="仿宋"/>
                <w:szCs w:val="24"/>
              </w:rPr>
              <w:t>签署日期：</w:t>
            </w:r>
          </w:p>
        </w:tc>
      </w:tr>
    </w:tbl>
    <w:p>
      <w:pPr>
        <w:spacing w:line="560" w:lineRule="exact"/>
        <w:ind w:firstLine="480"/>
        <w:rPr>
          <w:rFonts w:ascii="仿宋" w:hAnsi="仿宋" w:eastAsia="仿宋"/>
          <w:sz w:val="24"/>
          <w:szCs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4438221"/>
    </w:sdtPr>
    <w:sdtEndPr>
      <w:rPr>
        <w:rFonts w:ascii="Times New Roman" w:hAnsi="Times New Roman" w:cs="Times New Roman"/>
      </w:rPr>
    </w:sdtEndPr>
    <w:sdtContent>
      <w:p>
        <w:pPr>
          <w:pStyle w:val="1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21</w:t>
        </w:r>
        <w:r>
          <w:rPr>
            <w:rFonts w:ascii="Times New Roman" w:hAnsi="Times New Roman" w:cs="Times New Roma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266B7"/>
    <w:multiLevelType w:val="multilevel"/>
    <w:tmpl w:val="3D8266B7"/>
    <w:lvl w:ilvl="0" w:tentative="0">
      <w:start w:val="1"/>
      <w:numFmt w:val="decimal"/>
      <w:pStyle w:val="2"/>
      <w:lvlText w:val="第%1章"/>
      <w:lvlJc w:val="left"/>
      <w:pPr>
        <w:ind w:left="432" w:hanging="432"/>
      </w:pPr>
    </w:lvl>
    <w:lvl w:ilvl="1" w:tentative="0">
      <w:start w:val="1"/>
      <w:numFmt w:val="decimal"/>
      <w:pStyle w:val="3"/>
      <w:lvlText w:val="%1.%2"/>
      <w:lvlJc w:val="left"/>
      <w:pPr>
        <w:ind w:left="1001"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
    <w:nsid w:val="59B88D00"/>
    <w:multiLevelType w:val="multilevel"/>
    <w:tmpl w:val="59B88D00"/>
    <w:lvl w:ilvl="0" w:tentative="0">
      <w:start w:val="1"/>
      <w:numFmt w:val="bullet"/>
      <w:lvlText w:val=""/>
      <w:lvlJc w:val="left"/>
      <w:pPr>
        <w:ind w:left="620" w:hanging="420"/>
      </w:pPr>
      <w:rPr>
        <w:rFonts w:hint="default" w:ascii="Wingdings" w:hAnsi="Wingdings" w:cs="Wingdings"/>
      </w:rPr>
    </w:lvl>
    <w:lvl w:ilvl="1" w:tentative="0">
      <w:start w:val="1"/>
      <w:numFmt w:val="bullet"/>
      <w:lvlText w:val=""/>
      <w:lvlJc w:val="left"/>
      <w:pPr>
        <w:ind w:left="1040" w:hanging="420"/>
      </w:pPr>
      <w:rPr>
        <w:rFonts w:hint="default" w:ascii="Wingdings" w:hAnsi="Wingdings" w:cs="Wingdings"/>
      </w:rPr>
    </w:lvl>
    <w:lvl w:ilvl="2" w:tentative="0">
      <w:start w:val="1"/>
      <w:numFmt w:val="bullet"/>
      <w:lvlText w:val=""/>
      <w:lvlJc w:val="left"/>
      <w:pPr>
        <w:ind w:left="1460" w:hanging="420"/>
      </w:pPr>
      <w:rPr>
        <w:rFonts w:hint="default" w:ascii="Wingdings" w:hAnsi="Wingdings" w:cs="Wingdings"/>
      </w:rPr>
    </w:lvl>
    <w:lvl w:ilvl="3" w:tentative="0">
      <w:start w:val="1"/>
      <w:numFmt w:val="bullet"/>
      <w:lvlText w:val=""/>
      <w:lvlJc w:val="left"/>
      <w:pPr>
        <w:ind w:left="1880" w:hanging="420"/>
      </w:pPr>
      <w:rPr>
        <w:rFonts w:hint="default" w:ascii="Wingdings" w:hAnsi="Wingdings" w:cs="Wingdings"/>
      </w:rPr>
    </w:lvl>
    <w:lvl w:ilvl="4" w:tentative="0">
      <w:start w:val="1"/>
      <w:numFmt w:val="bullet"/>
      <w:lvlText w:val=""/>
      <w:lvlJc w:val="left"/>
      <w:pPr>
        <w:ind w:left="2300" w:hanging="420"/>
      </w:pPr>
      <w:rPr>
        <w:rFonts w:hint="default" w:ascii="Wingdings" w:hAnsi="Wingdings" w:cs="Wingdings"/>
      </w:rPr>
    </w:lvl>
    <w:lvl w:ilvl="5" w:tentative="0">
      <w:start w:val="1"/>
      <w:numFmt w:val="bullet"/>
      <w:lvlText w:val=""/>
      <w:lvlJc w:val="left"/>
      <w:pPr>
        <w:ind w:left="2720" w:hanging="420"/>
      </w:pPr>
      <w:rPr>
        <w:rFonts w:hint="default" w:ascii="Wingdings" w:hAnsi="Wingdings" w:cs="Wingdings"/>
      </w:rPr>
    </w:lvl>
    <w:lvl w:ilvl="6" w:tentative="0">
      <w:start w:val="1"/>
      <w:numFmt w:val="bullet"/>
      <w:lvlText w:val=""/>
      <w:lvlJc w:val="left"/>
      <w:pPr>
        <w:ind w:left="3140" w:hanging="420"/>
      </w:pPr>
      <w:rPr>
        <w:rFonts w:hint="default" w:ascii="Wingdings" w:hAnsi="Wingdings" w:cs="Wingdings"/>
      </w:rPr>
    </w:lvl>
    <w:lvl w:ilvl="7" w:tentative="0">
      <w:start w:val="1"/>
      <w:numFmt w:val="bullet"/>
      <w:lvlText w:val=""/>
      <w:lvlJc w:val="left"/>
      <w:pPr>
        <w:ind w:left="3560" w:hanging="420"/>
      </w:pPr>
      <w:rPr>
        <w:rFonts w:hint="default" w:ascii="Wingdings" w:hAnsi="Wingdings" w:cs="Wingdings"/>
      </w:rPr>
    </w:lvl>
    <w:lvl w:ilvl="8" w:tentative="0">
      <w:start w:val="1"/>
      <w:numFmt w:val="bullet"/>
      <w:lvlText w:val=""/>
      <w:lvlJc w:val="left"/>
      <w:pPr>
        <w:ind w:left="3980" w:hanging="420"/>
      </w:pPr>
      <w:rPr>
        <w:rFonts w:hint="default" w:ascii="Wingdings" w:hAnsi="Wingdings" w:cs="Wingdings"/>
      </w:rPr>
    </w:lvl>
  </w:abstractNum>
  <w:abstractNum w:abstractNumId="2">
    <w:nsid w:val="59B88D0B"/>
    <w:multiLevelType w:val="multilevel"/>
    <w:tmpl w:val="59B88D0B"/>
    <w:lvl w:ilvl="0" w:tentative="0">
      <w:start w:val="1"/>
      <w:numFmt w:val="decimal"/>
      <w:lvlText w:val="（%1）"/>
      <w:lvlJc w:val="left"/>
      <w:pPr>
        <w:ind w:left="1200" w:hanging="420"/>
      </w:p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5E"/>
    <w:rsid w:val="000041A6"/>
    <w:rsid w:val="00004262"/>
    <w:rsid w:val="00006DB0"/>
    <w:rsid w:val="00007881"/>
    <w:rsid w:val="00015F3C"/>
    <w:rsid w:val="00016AF7"/>
    <w:rsid w:val="000200DD"/>
    <w:rsid w:val="0002395A"/>
    <w:rsid w:val="000248EF"/>
    <w:rsid w:val="00025788"/>
    <w:rsid w:val="00027B02"/>
    <w:rsid w:val="00033C03"/>
    <w:rsid w:val="000347B2"/>
    <w:rsid w:val="00035A0D"/>
    <w:rsid w:val="00036249"/>
    <w:rsid w:val="0004013C"/>
    <w:rsid w:val="00040FC5"/>
    <w:rsid w:val="0004203B"/>
    <w:rsid w:val="00042381"/>
    <w:rsid w:val="0004300F"/>
    <w:rsid w:val="00044FC4"/>
    <w:rsid w:val="00047AD9"/>
    <w:rsid w:val="00051B75"/>
    <w:rsid w:val="00051DE1"/>
    <w:rsid w:val="00051F78"/>
    <w:rsid w:val="00053DBF"/>
    <w:rsid w:val="00061A14"/>
    <w:rsid w:val="0006452A"/>
    <w:rsid w:val="000664FA"/>
    <w:rsid w:val="000700DA"/>
    <w:rsid w:val="0007484D"/>
    <w:rsid w:val="00074E39"/>
    <w:rsid w:val="000831C4"/>
    <w:rsid w:val="000839CD"/>
    <w:rsid w:val="000A09FE"/>
    <w:rsid w:val="000A400D"/>
    <w:rsid w:val="000A48FF"/>
    <w:rsid w:val="000A4955"/>
    <w:rsid w:val="000A55A0"/>
    <w:rsid w:val="000B63DC"/>
    <w:rsid w:val="000B6997"/>
    <w:rsid w:val="000B7BC1"/>
    <w:rsid w:val="000C1ADD"/>
    <w:rsid w:val="000C1B67"/>
    <w:rsid w:val="000C4925"/>
    <w:rsid w:val="000C4BF9"/>
    <w:rsid w:val="000D164D"/>
    <w:rsid w:val="000D1B48"/>
    <w:rsid w:val="000D3935"/>
    <w:rsid w:val="000D5142"/>
    <w:rsid w:val="000E1322"/>
    <w:rsid w:val="000E4E64"/>
    <w:rsid w:val="000E5B74"/>
    <w:rsid w:val="000E666C"/>
    <w:rsid w:val="000E6B58"/>
    <w:rsid w:val="000E7391"/>
    <w:rsid w:val="000F17D1"/>
    <w:rsid w:val="000F3457"/>
    <w:rsid w:val="000F35CB"/>
    <w:rsid w:val="000F4FDD"/>
    <w:rsid w:val="000F6073"/>
    <w:rsid w:val="000F7A14"/>
    <w:rsid w:val="001020A5"/>
    <w:rsid w:val="00104782"/>
    <w:rsid w:val="00110857"/>
    <w:rsid w:val="00110AEB"/>
    <w:rsid w:val="0011209D"/>
    <w:rsid w:val="00114CDE"/>
    <w:rsid w:val="00115CE5"/>
    <w:rsid w:val="001162EC"/>
    <w:rsid w:val="0012494D"/>
    <w:rsid w:val="00124D67"/>
    <w:rsid w:val="0012691A"/>
    <w:rsid w:val="00132495"/>
    <w:rsid w:val="001343ED"/>
    <w:rsid w:val="001349DD"/>
    <w:rsid w:val="00135BDA"/>
    <w:rsid w:val="00137925"/>
    <w:rsid w:val="00140096"/>
    <w:rsid w:val="001450D4"/>
    <w:rsid w:val="001457ED"/>
    <w:rsid w:val="00150745"/>
    <w:rsid w:val="00151A42"/>
    <w:rsid w:val="00152191"/>
    <w:rsid w:val="00153A65"/>
    <w:rsid w:val="00157088"/>
    <w:rsid w:val="001577A4"/>
    <w:rsid w:val="001609B1"/>
    <w:rsid w:val="00161855"/>
    <w:rsid w:val="00162E00"/>
    <w:rsid w:val="00163448"/>
    <w:rsid w:val="00163F20"/>
    <w:rsid w:val="00164957"/>
    <w:rsid w:val="00164DEE"/>
    <w:rsid w:val="00165749"/>
    <w:rsid w:val="00166C5D"/>
    <w:rsid w:val="00166EE7"/>
    <w:rsid w:val="00167A83"/>
    <w:rsid w:val="0017252A"/>
    <w:rsid w:val="001756AB"/>
    <w:rsid w:val="00177241"/>
    <w:rsid w:val="00181DD2"/>
    <w:rsid w:val="00182B58"/>
    <w:rsid w:val="0018355F"/>
    <w:rsid w:val="001928BE"/>
    <w:rsid w:val="00194B15"/>
    <w:rsid w:val="00194E97"/>
    <w:rsid w:val="001A6990"/>
    <w:rsid w:val="001A6A8E"/>
    <w:rsid w:val="001B02A8"/>
    <w:rsid w:val="001B2B0F"/>
    <w:rsid w:val="001B3124"/>
    <w:rsid w:val="001B4FEE"/>
    <w:rsid w:val="001B7395"/>
    <w:rsid w:val="001C2668"/>
    <w:rsid w:val="001C2A15"/>
    <w:rsid w:val="001C6D03"/>
    <w:rsid w:val="001D69B1"/>
    <w:rsid w:val="001E2181"/>
    <w:rsid w:val="001E2BB4"/>
    <w:rsid w:val="001E78EF"/>
    <w:rsid w:val="001F0131"/>
    <w:rsid w:val="001F5FD4"/>
    <w:rsid w:val="001F6859"/>
    <w:rsid w:val="00203183"/>
    <w:rsid w:val="0020679B"/>
    <w:rsid w:val="00215F89"/>
    <w:rsid w:val="0022317D"/>
    <w:rsid w:val="00225A1A"/>
    <w:rsid w:val="0023518E"/>
    <w:rsid w:val="002360B1"/>
    <w:rsid w:val="00241516"/>
    <w:rsid w:val="00242ED6"/>
    <w:rsid w:val="00243254"/>
    <w:rsid w:val="002503B2"/>
    <w:rsid w:val="00251EF1"/>
    <w:rsid w:val="0025279E"/>
    <w:rsid w:val="00253F70"/>
    <w:rsid w:val="00256DA8"/>
    <w:rsid w:val="00257244"/>
    <w:rsid w:val="002603C0"/>
    <w:rsid w:val="00260AF0"/>
    <w:rsid w:val="0027453E"/>
    <w:rsid w:val="0027653C"/>
    <w:rsid w:val="00285DCE"/>
    <w:rsid w:val="00287F20"/>
    <w:rsid w:val="00295570"/>
    <w:rsid w:val="00295A8E"/>
    <w:rsid w:val="00296531"/>
    <w:rsid w:val="00296BF6"/>
    <w:rsid w:val="00297CDB"/>
    <w:rsid w:val="002A0743"/>
    <w:rsid w:val="002B14B1"/>
    <w:rsid w:val="002B7166"/>
    <w:rsid w:val="002C104D"/>
    <w:rsid w:val="002C2CBF"/>
    <w:rsid w:val="002E56D8"/>
    <w:rsid w:val="002E5F25"/>
    <w:rsid w:val="002F15FF"/>
    <w:rsid w:val="002F39A9"/>
    <w:rsid w:val="0031021D"/>
    <w:rsid w:val="00317577"/>
    <w:rsid w:val="00321BEF"/>
    <w:rsid w:val="003222BD"/>
    <w:rsid w:val="003256B7"/>
    <w:rsid w:val="00332EB7"/>
    <w:rsid w:val="00337D1B"/>
    <w:rsid w:val="00343E68"/>
    <w:rsid w:val="0034515A"/>
    <w:rsid w:val="0034555E"/>
    <w:rsid w:val="00355647"/>
    <w:rsid w:val="00355FDB"/>
    <w:rsid w:val="003733B3"/>
    <w:rsid w:val="00375569"/>
    <w:rsid w:val="00377133"/>
    <w:rsid w:val="003802D6"/>
    <w:rsid w:val="00384490"/>
    <w:rsid w:val="003847D9"/>
    <w:rsid w:val="003876B3"/>
    <w:rsid w:val="003A08C5"/>
    <w:rsid w:val="003A60E0"/>
    <w:rsid w:val="003B0DDF"/>
    <w:rsid w:val="003B1B4E"/>
    <w:rsid w:val="003B1D27"/>
    <w:rsid w:val="003B2EE9"/>
    <w:rsid w:val="003B42AE"/>
    <w:rsid w:val="003B77EF"/>
    <w:rsid w:val="003C31DA"/>
    <w:rsid w:val="003C3594"/>
    <w:rsid w:val="003C54A6"/>
    <w:rsid w:val="003D2610"/>
    <w:rsid w:val="003D330C"/>
    <w:rsid w:val="003E3F4D"/>
    <w:rsid w:val="003F3306"/>
    <w:rsid w:val="003F762B"/>
    <w:rsid w:val="003F7D8D"/>
    <w:rsid w:val="004018E3"/>
    <w:rsid w:val="00411DCD"/>
    <w:rsid w:val="0042401E"/>
    <w:rsid w:val="00426687"/>
    <w:rsid w:val="00426EC8"/>
    <w:rsid w:val="00427EE6"/>
    <w:rsid w:val="004309E7"/>
    <w:rsid w:val="00430E08"/>
    <w:rsid w:val="004310F2"/>
    <w:rsid w:val="00431BD2"/>
    <w:rsid w:val="0043285A"/>
    <w:rsid w:val="00441093"/>
    <w:rsid w:val="00441DC4"/>
    <w:rsid w:val="004437BB"/>
    <w:rsid w:val="004449BF"/>
    <w:rsid w:val="0044667D"/>
    <w:rsid w:val="00451364"/>
    <w:rsid w:val="004516AF"/>
    <w:rsid w:val="00452423"/>
    <w:rsid w:val="00453844"/>
    <w:rsid w:val="004618D1"/>
    <w:rsid w:val="004634E0"/>
    <w:rsid w:val="004635C7"/>
    <w:rsid w:val="00465D72"/>
    <w:rsid w:val="00474055"/>
    <w:rsid w:val="00474D0B"/>
    <w:rsid w:val="00475820"/>
    <w:rsid w:val="004758BC"/>
    <w:rsid w:val="00475DD3"/>
    <w:rsid w:val="00475E18"/>
    <w:rsid w:val="00484526"/>
    <w:rsid w:val="00487221"/>
    <w:rsid w:val="0049649C"/>
    <w:rsid w:val="004A406E"/>
    <w:rsid w:val="004A66F5"/>
    <w:rsid w:val="004B4D0F"/>
    <w:rsid w:val="004B74E9"/>
    <w:rsid w:val="004C2189"/>
    <w:rsid w:val="004C2BFA"/>
    <w:rsid w:val="004C504B"/>
    <w:rsid w:val="004D3B63"/>
    <w:rsid w:val="004D4E57"/>
    <w:rsid w:val="004E05E3"/>
    <w:rsid w:val="004E09F9"/>
    <w:rsid w:val="004E0D33"/>
    <w:rsid w:val="004E2C90"/>
    <w:rsid w:val="004E6FBC"/>
    <w:rsid w:val="004F30BB"/>
    <w:rsid w:val="004F6F1A"/>
    <w:rsid w:val="00500921"/>
    <w:rsid w:val="00501BA6"/>
    <w:rsid w:val="0050618F"/>
    <w:rsid w:val="00506683"/>
    <w:rsid w:val="0051568D"/>
    <w:rsid w:val="005176B7"/>
    <w:rsid w:val="0052022D"/>
    <w:rsid w:val="00527BE3"/>
    <w:rsid w:val="00527F0A"/>
    <w:rsid w:val="00530C2A"/>
    <w:rsid w:val="00533C8C"/>
    <w:rsid w:val="005369A3"/>
    <w:rsid w:val="005465B1"/>
    <w:rsid w:val="00555EE4"/>
    <w:rsid w:val="00563891"/>
    <w:rsid w:val="005741AB"/>
    <w:rsid w:val="005755ED"/>
    <w:rsid w:val="0057708C"/>
    <w:rsid w:val="005808C0"/>
    <w:rsid w:val="00582733"/>
    <w:rsid w:val="005833F0"/>
    <w:rsid w:val="005836D4"/>
    <w:rsid w:val="005863F9"/>
    <w:rsid w:val="00587D59"/>
    <w:rsid w:val="00591350"/>
    <w:rsid w:val="00595849"/>
    <w:rsid w:val="00597181"/>
    <w:rsid w:val="005A073C"/>
    <w:rsid w:val="005A07A7"/>
    <w:rsid w:val="005A4570"/>
    <w:rsid w:val="005A77EC"/>
    <w:rsid w:val="005B293D"/>
    <w:rsid w:val="005B2F04"/>
    <w:rsid w:val="005B6F78"/>
    <w:rsid w:val="005C6093"/>
    <w:rsid w:val="005C74B0"/>
    <w:rsid w:val="005D08E7"/>
    <w:rsid w:val="005E1203"/>
    <w:rsid w:val="005E28BA"/>
    <w:rsid w:val="005F02A6"/>
    <w:rsid w:val="005F0CF6"/>
    <w:rsid w:val="005F3C41"/>
    <w:rsid w:val="00602BF4"/>
    <w:rsid w:val="006046D9"/>
    <w:rsid w:val="00605252"/>
    <w:rsid w:val="006110C8"/>
    <w:rsid w:val="006116BD"/>
    <w:rsid w:val="00611C7F"/>
    <w:rsid w:val="0061688E"/>
    <w:rsid w:val="00620290"/>
    <w:rsid w:val="0062267B"/>
    <w:rsid w:val="00626AE8"/>
    <w:rsid w:val="006341C4"/>
    <w:rsid w:val="006428FD"/>
    <w:rsid w:val="0064349F"/>
    <w:rsid w:val="00644E5A"/>
    <w:rsid w:val="00645968"/>
    <w:rsid w:val="00647337"/>
    <w:rsid w:val="00650027"/>
    <w:rsid w:val="006512A4"/>
    <w:rsid w:val="00652326"/>
    <w:rsid w:val="006562B6"/>
    <w:rsid w:val="00662B1B"/>
    <w:rsid w:val="0067333E"/>
    <w:rsid w:val="00673BF7"/>
    <w:rsid w:val="00677F60"/>
    <w:rsid w:val="00677FCC"/>
    <w:rsid w:val="00682389"/>
    <w:rsid w:val="006844F5"/>
    <w:rsid w:val="0068662A"/>
    <w:rsid w:val="00693AE6"/>
    <w:rsid w:val="006A500B"/>
    <w:rsid w:val="006A7705"/>
    <w:rsid w:val="006B13B8"/>
    <w:rsid w:val="006B1991"/>
    <w:rsid w:val="006B3E72"/>
    <w:rsid w:val="006B4379"/>
    <w:rsid w:val="006B5DB1"/>
    <w:rsid w:val="006C31D0"/>
    <w:rsid w:val="006C505F"/>
    <w:rsid w:val="006C7014"/>
    <w:rsid w:val="006D1647"/>
    <w:rsid w:val="006D3CCD"/>
    <w:rsid w:val="006E1BEC"/>
    <w:rsid w:val="006E3EAA"/>
    <w:rsid w:val="006E5D51"/>
    <w:rsid w:val="006E60AF"/>
    <w:rsid w:val="006E68F1"/>
    <w:rsid w:val="006E7CF0"/>
    <w:rsid w:val="006F1C2C"/>
    <w:rsid w:val="006F425F"/>
    <w:rsid w:val="00700356"/>
    <w:rsid w:val="00700A38"/>
    <w:rsid w:val="00700F3C"/>
    <w:rsid w:val="00701609"/>
    <w:rsid w:val="00706B7B"/>
    <w:rsid w:val="007157C4"/>
    <w:rsid w:val="00721263"/>
    <w:rsid w:val="0072217F"/>
    <w:rsid w:val="00723253"/>
    <w:rsid w:val="00735889"/>
    <w:rsid w:val="0074333D"/>
    <w:rsid w:val="007447C1"/>
    <w:rsid w:val="007462B2"/>
    <w:rsid w:val="00755CEA"/>
    <w:rsid w:val="00764D1D"/>
    <w:rsid w:val="00765204"/>
    <w:rsid w:val="00770644"/>
    <w:rsid w:val="0077223E"/>
    <w:rsid w:val="00775CF2"/>
    <w:rsid w:val="007764FD"/>
    <w:rsid w:val="00780FCF"/>
    <w:rsid w:val="0078546D"/>
    <w:rsid w:val="00787516"/>
    <w:rsid w:val="007920D2"/>
    <w:rsid w:val="00793A10"/>
    <w:rsid w:val="00795345"/>
    <w:rsid w:val="00796D6A"/>
    <w:rsid w:val="00797B6F"/>
    <w:rsid w:val="007A2E0F"/>
    <w:rsid w:val="007A4E15"/>
    <w:rsid w:val="007A5F9E"/>
    <w:rsid w:val="007B216F"/>
    <w:rsid w:val="007B2C76"/>
    <w:rsid w:val="007C1DCD"/>
    <w:rsid w:val="007C2786"/>
    <w:rsid w:val="007D3EE7"/>
    <w:rsid w:val="007D541A"/>
    <w:rsid w:val="007E1695"/>
    <w:rsid w:val="007E2243"/>
    <w:rsid w:val="007F0163"/>
    <w:rsid w:val="007F1CFC"/>
    <w:rsid w:val="007F5141"/>
    <w:rsid w:val="007F66CA"/>
    <w:rsid w:val="00800F64"/>
    <w:rsid w:val="0080184B"/>
    <w:rsid w:val="0080674F"/>
    <w:rsid w:val="00810AE9"/>
    <w:rsid w:val="008119E7"/>
    <w:rsid w:val="0081433A"/>
    <w:rsid w:val="008164F0"/>
    <w:rsid w:val="00821947"/>
    <w:rsid w:val="00824469"/>
    <w:rsid w:val="0083089A"/>
    <w:rsid w:val="008314CC"/>
    <w:rsid w:val="00836889"/>
    <w:rsid w:val="00841822"/>
    <w:rsid w:val="00844A78"/>
    <w:rsid w:val="0084595E"/>
    <w:rsid w:val="00847551"/>
    <w:rsid w:val="00847682"/>
    <w:rsid w:val="008539E5"/>
    <w:rsid w:val="00854F19"/>
    <w:rsid w:val="00861046"/>
    <w:rsid w:val="00866545"/>
    <w:rsid w:val="008724D8"/>
    <w:rsid w:val="008757A1"/>
    <w:rsid w:val="00880D47"/>
    <w:rsid w:val="00880E11"/>
    <w:rsid w:val="008868AE"/>
    <w:rsid w:val="00892B03"/>
    <w:rsid w:val="00895479"/>
    <w:rsid w:val="00896D9B"/>
    <w:rsid w:val="008A593E"/>
    <w:rsid w:val="008A6290"/>
    <w:rsid w:val="008A62F9"/>
    <w:rsid w:val="008A7750"/>
    <w:rsid w:val="008B011D"/>
    <w:rsid w:val="008B3354"/>
    <w:rsid w:val="008C120C"/>
    <w:rsid w:val="008C43D1"/>
    <w:rsid w:val="008C4480"/>
    <w:rsid w:val="008C4E34"/>
    <w:rsid w:val="008D1CF8"/>
    <w:rsid w:val="008D32CD"/>
    <w:rsid w:val="008D5D2D"/>
    <w:rsid w:val="008D62E0"/>
    <w:rsid w:val="008E006C"/>
    <w:rsid w:val="009021E6"/>
    <w:rsid w:val="00903D3F"/>
    <w:rsid w:val="00905D76"/>
    <w:rsid w:val="009063ED"/>
    <w:rsid w:val="009148CC"/>
    <w:rsid w:val="00915637"/>
    <w:rsid w:val="009173DF"/>
    <w:rsid w:val="00922A2D"/>
    <w:rsid w:val="00924700"/>
    <w:rsid w:val="00925D98"/>
    <w:rsid w:val="00926F9F"/>
    <w:rsid w:val="009445E0"/>
    <w:rsid w:val="00947F12"/>
    <w:rsid w:val="00952E9D"/>
    <w:rsid w:val="009547EB"/>
    <w:rsid w:val="0098354B"/>
    <w:rsid w:val="00983E7C"/>
    <w:rsid w:val="009869D3"/>
    <w:rsid w:val="00987995"/>
    <w:rsid w:val="009913A2"/>
    <w:rsid w:val="009927E3"/>
    <w:rsid w:val="009951A2"/>
    <w:rsid w:val="009A0ED9"/>
    <w:rsid w:val="009B77D3"/>
    <w:rsid w:val="009C6B39"/>
    <w:rsid w:val="009D0BD0"/>
    <w:rsid w:val="009D1FA3"/>
    <w:rsid w:val="009D22D1"/>
    <w:rsid w:val="009D359E"/>
    <w:rsid w:val="009D735B"/>
    <w:rsid w:val="009E1246"/>
    <w:rsid w:val="009E4452"/>
    <w:rsid w:val="009F56D4"/>
    <w:rsid w:val="00A0549E"/>
    <w:rsid w:val="00A07215"/>
    <w:rsid w:val="00A153D8"/>
    <w:rsid w:val="00A15835"/>
    <w:rsid w:val="00A176B3"/>
    <w:rsid w:val="00A229D1"/>
    <w:rsid w:val="00A22AC1"/>
    <w:rsid w:val="00A22B97"/>
    <w:rsid w:val="00A334D3"/>
    <w:rsid w:val="00A375EF"/>
    <w:rsid w:val="00A37D36"/>
    <w:rsid w:val="00A41B64"/>
    <w:rsid w:val="00A425C4"/>
    <w:rsid w:val="00A4284C"/>
    <w:rsid w:val="00A4716B"/>
    <w:rsid w:val="00A54C01"/>
    <w:rsid w:val="00A55EB3"/>
    <w:rsid w:val="00A56029"/>
    <w:rsid w:val="00A6042B"/>
    <w:rsid w:val="00A63805"/>
    <w:rsid w:val="00A72218"/>
    <w:rsid w:val="00A72700"/>
    <w:rsid w:val="00A7575E"/>
    <w:rsid w:val="00A76DF9"/>
    <w:rsid w:val="00A81964"/>
    <w:rsid w:val="00A911DC"/>
    <w:rsid w:val="00A920FE"/>
    <w:rsid w:val="00A921E3"/>
    <w:rsid w:val="00A947C3"/>
    <w:rsid w:val="00AA2374"/>
    <w:rsid w:val="00AA3070"/>
    <w:rsid w:val="00AA7700"/>
    <w:rsid w:val="00AB0396"/>
    <w:rsid w:val="00AB13B3"/>
    <w:rsid w:val="00AB299F"/>
    <w:rsid w:val="00AB2CA4"/>
    <w:rsid w:val="00AB3F20"/>
    <w:rsid w:val="00AB68B6"/>
    <w:rsid w:val="00AB76DE"/>
    <w:rsid w:val="00AC11AB"/>
    <w:rsid w:val="00AC278C"/>
    <w:rsid w:val="00AC579B"/>
    <w:rsid w:val="00AE02D7"/>
    <w:rsid w:val="00AE256C"/>
    <w:rsid w:val="00AF0E94"/>
    <w:rsid w:val="00AF5578"/>
    <w:rsid w:val="00B010AE"/>
    <w:rsid w:val="00B01FA5"/>
    <w:rsid w:val="00B02077"/>
    <w:rsid w:val="00B0272E"/>
    <w:rsid w:val="00B0462A"/>
    <w:rsid w:val="00B06835"/>
    <w:rsid w:val="00B112AB"/>
    <w:rsid w:val="00B13CF3"/>
    <w:rsid w:val="00B14895"/>
    <w:rsid w:val="00B16A36"/>
    <w:rsid w:val="00B21240"/>
    <w:rsid w:val="00B40AC3"/>
    <w:rsid w:val="00B42176"/>
    <w:rsid w:val="00B524EC"/>
    <w:rsid w:val="00B60A8A"/>
    <w:rsid w:val="00B62A78"/>
    <w:rsid w:val="00B62ADF"/>
    <w:rsid w:val="00B65134"/>
    <w:rsid w:val="00B6693A"/>
    <w:rsid w:val="00B671D4"/>
    <w:rsid w:val="00B72CBD"/>
    <w:rsid w:val="00B816AC"/>
    <w:rsid w:val="00B81C98"/>
    <w:rsid w:val="00B8672B"/>
    <w:rsid w:val="00B87740"/>
    <w:rsid w:val="00B952F1"/>
    <w:rsid w:val="00BA048C"/>
    <w:rsid w:val="00BA0830"/>
    <w:rsid w:val="00BA6509"/>
    <w:rsid w:val="00BA7B58"/>
    <w:rsid w:val="00BB09D9"/>
    <w:rsid w:val="00BB0FA9"/>
    <w:rsid w:val="00BB19B1"/>
    <w:rsid w:val="00BB4A67"/>
    <w:rsid w:val="00BC5050"/>
    <w:rsid w:val="00BC5DE0"/>
    <w:rsid w:val="00BD0CF4"/>
    <w:rsid w:val="00BD6316"/>
    <w:rsid w:val="00BE1EFD"/>
    <w:rsid w:val="00BE2594"/>
    <w:rsid w:val="00BE40E8"/>
    <w:rsid w:val="00BE484E"/>
    <w:rsid w:val="00BE4CC3"/>
    <w:rsid w:val="00BE6DEC"/>
    <w:rsid w:val="00BF133B"/>
    <w:rsid w:val="00C02163"/>
    <w:rsid w:val="00C107B6"/>
    <w:rsid w:val="00C10AA0"/>
    <w:rsid w:val="00C1150E"/>
    <w:rsid w:val="00C14ABA"/>
    <w:rsid w:val="00C16321"/>
    <w:rsid w:val="00C17A41"/>
    <w:rsid w:val="00C17F9B"/>
    <w:rsid w:val="00C20452"/>
    <w:rsid w:val="00C20E51"/>
    <w:rsid w:val="00C21894"/>
    <w:rsid w:val="00C24D6A"/>
    <w:rsid w:val="00C25231"/>
    <w:rsid w:val="00C27F9A"/>
    <w:rsid w:val="00C36F16"/>
    <w:rsid w:val="00C37AC2"/>
    <w:rsid w:val="00C42C48"/>
    <w:rsid w:val="00C43555"/>
    <w:rsid w:val="00C45475"/>
    <w:rsid w:val="00C45614"/>
    <w:rsid w:val="00C46717"/>
    <w:rsid w:val="00C47414"/>
    <w:rsid w:val="00C5098E"/>
    <w:rsid w:val="00C5159F"/>
    <w:rsid w:val="00C573D6"/>
    <w:rsid w:val="00C6084E"/>
    <w:rsid w:val="00C61056"/>
    <w:rsid w:val="00C629A0"/>
    <w:rsid w:val="00C65911"/>
    <w:rsid w:val="00C701F2"/>
    <w:rsid w:val="00C71222"/>
    <w:rsid w:val="00C7212F"/>
    <w:rsid w:val="00C7704F"/>
    <w:rsid w:val="00C77A8F"/>
    <w:rsid w:val="00C81E3C"/>
    <w:rsid w:val="00C91B0E"/>
    <w:rsid w:val="00C92E1B"/>
    <w:rsid w:val="00C943BE"/>
    <w:rsid w:val="00C94764"/>
    <w:rsid w:val="00CA1658"/>
    <w:rsid w:val="00CA1CE5"/>
    <w:rsid w:val="00CA43FA"/>
    <w:rsid w:val="00CB2C19"/>
    <w:rsid w:val="00CD0225"/>
    <w:rsid w:val="00CE044F"/>
    <w:rsid w:val="00CE15BA"/>
    <w:rsid w:val="00CE2A1A"/>
    <w:rsid w:val="00CF145F"/>
    <w:rsid w:val="00CF4A1E"/>
    <w:rsid w:val="00D0136C"/>
    <w:rsid w:val="00D013DD"/>
    <w:rsid w:val="00D04900"/>
    <w:rsid w:val="00D15943"/>
    <w:rsid w:val="00D21CDB"/>
    <w:rsid w:val="00D23B65"/>
    <w:rsid w:val="00D25AB6"/>
    <w:rsid w:val="00D32991"/>
    <w:rsid w:val="00D34493"/>
    <w:rsid w:val="00D37610"/>
    <w:rsid w:val="00D42725"/>
    <w:rsid w:val="00D436C0"/>
    <w:rsid w:val="00D437B1"/>
    <w:rsid w:val="00D47DDB"/>
    <w:rsid w:val="00D553DC"/>
    <w:rsid w:val="00D55FC1"/>
    <w:rsid w:val="00D56C62"/>
    <w:rsid w:val="00D57446"/>
    <w:rsid w:val="00D71C2C"/>
    <w:rsid w:val="00D74139"/>
    <w:rsid w:val="00D752E0"/>
    <w:rsid w:val="00D75423"/>
    <w:rsid w:val="00D83310"/>
    <w:rsid w:val="00D85638"/>
    <w:rsid w:val="00D85B50"/>
    <w:rsid w:val="00D86070"/>
    <w:rsid w:val="00D92A66"/>
    <w:rsid w:val="00D944B6"/>
    <w:rsid w:val="00DA64FC"/>
    <w:rsid w:val="00DB18C4"/>
    <w:rsid w:val="00DB3F02"/>
    <w:rsid w:val="00DB6D29"/>
    <w:rsid w:val="00DD0283"/>
    <w:rsid w:val="00DD0CB1"/>
    <w:rsid w:val="00DD4FD6"/>
    <w:rsid w:val="00DD7F84"/>
    <w:rsid w:val="00DE15EE"/>
    <w:rsid w:val="00DE3B0B"/>
    <w:rsid w:val="00DE5B47"/>
    <w:rsid w:val="00DE6126"/>
    <w:rsid w:val="00DE631D"/>
    <w:rsid w:val="00DF4F64"/>
    <w:rsid w:val="00DF6BA5"/>
    <w:rsid w:val="00E025F3"/>
    <w:rsid w:val="00E113CC"/>
    <w:rsid w:val="00E127EE"/>
    <w:rsid w:val="00E127FE"/>
    <w:rsid w:val="00E140CF"/>
    <w:rsid w:val="00E17230"/>
    <w:rsid w:val="00E173AB"/>
    <w:rsid w:val="00E20AFF"/>
    <w:rsid w:val="00E23B50"/>
    <w:rsid w:val="00E25F18"/>
    <w:rsid w:val="00E26612"/>
    <w:rsid w:val="00E34D01"/>
    <w:rsid w:val="00E37A79"/>
    <w:rsid w:val="00E4156E"/>
    <w:rsid w:val="00E42FFA"/>
    <w:rsid w:val="00E4360E"/>
    <w:rsid w:val="00E45A30"/>
    <w:rsid w:val="00E46AAF"/>
    <w:rsid w:val="00E5235B"/>
    <w:rsid w:val="00E535BE"/>
    <w:rsid w:val="00E53A8D"/>
    <w:rsid w:val="00E57186"/>
    <w:rsid w:val="00E6310C"/>
    <w:rsid w:val="00E64DB3"/>
    <w:rsid w:val="00E66787"/>
    <w:rsid w:val="00E67784"/>
    <w:rsid w:val="00E67964"/>
    <w:rsid w:val="00E72AA0"/>
    <w:rsid w:val="00E73818"/>
    <w:rsid w:val="00E76087"/>
    <w:rsid w:val="00E8085D"/>
    <w:rsid w:val="00E81FC5"/>
    <w:rsid w:val="00E83498"/>
    <w:rsid w:val="00E83662"/>
    <w:rsid w:val="00E83953"/>
    <w:rsid w:val="00E8540C"/>
    <w:rsid w:val="00E8768F"/>
    <w:rsid w:val="00E900C9"/>
    <w:rsid w:val="00E9069D"/>
    <w:rsid w:val="00E91A29"/>
    <w:rsid w:val="00E9249B"/>
    <w:rsid w:val="00EA7683"/>
    <w:rsid w:val="00EB0A5D"/>
    <w:rsid w:val="00EB150D"/>
    <w:rsid w:val="00EB498F"/>
    <w:rsid w:val="00EB5F6E"/>
    <w:rsid w:val="00EC1B1E"/>
    <w:rsid w:val="00EC4DF7"/>
    <w:rsid w:val="00ED0508"/>
    <w:rsid w:val="00ED445C"/>
    <w:rsid w:val="00ED6765"/>
    <w:rsid w:val="00ED6CCF"/>
    <w:rsid w:val="00ED7D34"/>
    <w:rsid w:val="00EE1BF2"/>
    <w:rsid w:val="00EE20E6"/>
    <w:rsid w:val="00EE5863"/>
    <w:rsid w:val="00EF294F"/>
    <w:rsid w:val="00EF3F4D"/>
    <w:rsid w:val="00EF59D8"/>
    <w:rsid w:val="00EF7D64"/>
    <w:rsid w:val="00F1107A"/>
    <w:rsid w:val="00F1142E"/>
    <w:rsid w:val="00F14AF0"/>
    <w:rsid w:val="00F15DA8"/>
    <w:rsid w:val="00F202C8"/>
    <w:rsid w:val="00F203E9"/>
    <w:rsid w:val="00F213B9"/>
    <w:rsid w:val="00F2468A"/>
    <w:rsid w:val="00F276B9"/>
    <w:rsid w:val="00F30142"/>
    <w:rsid w:val="00F319F3"/>
    <w:rsid w:val="00F33EC1"/>
    <w:rsid w:val="00F348EB"/>
    <w:rsid w:val="00F34A7F"/>
    <w:rsid w:val="00F34B50"/>
    <w:rsid w:val="00F3604B"/>
    <w:rsid w:val="00F41BB7"/>
    <w:rsid w:val="00F47F0B"/>
    <w:rsid w:val="00F52803"/>
    <w:rsid w:val="00F5464E"/>
    <w:rsid w:val="00F55525"/>
    <w:rsid w:val="00F60306"/>
    <w:rsid w:val="00F60D50"/>
    <w:rsid w:val="00F624DC"/>
    <w:rsid w:val="00F65161"/>
    <w:rsid w:val="00F72FCE"/>
    <w:rsid w:val="00F7585A"/>
    <w:rsid w:val="00F83B1B"/>
    <w:rsid w:val="00F83FB4"/>
    <w:rsid w:val="00F8466E"/>
    <w:rsid w:val="00F87B59"/>
    <w:rsid w:val="00F90D01"/>
    <w:rsid w:val="00F92143"/>
    <w:rsid w:val="00F953B4"/>
    <w:rsid w:val="00FA41D9"/>
    <w:rsid w:val="00FB02DB"/>
    <w:rsid w:val="00FB2728"/>
    <w:rsid w:val="00FB4E70"/>
    <w:rsid w:val="00FB500C"/>
    <w:rsid w:val="00FC1F96"/>
    <w:rsid w:val="00FC4B0E"/>
    <w:rsid w:val="00FC7742"/>
    <w:rsid w:val="00FD0CF0"/>
    <w:rsid w:val="00FD140B"/>
    <w:rsid w:val="00FD18D2"/>
    <w:rsid w:val="00FD5194"/>
    <w:rsid w:val="00FD65CC"/>
    <w:rsid w:val="00FE23DA"/>
    <w:rsid w:val="00FE25B5"/>
    <w:rsid w:val="00FE39DB"/>
    <w:rsid w:val="00FE6591"/>
    <w:rsid w:val="00FE66A7"/>
    <w:rsid w:val="00FE6F46"/>
    <w:rsid w:val="00FE78A9"/>
    <w:rsid w:val="0CC105F6"/>
    <w:rsid w:val="1D68291A"/>
    <w:rsid w:val="27E54D3E"/>
    <w:rsid w:val="41EC7E58"/>
    <w:rsid w:val="71836A46"/>
    <w:rsid w:val="7AAD02F2"/>
    <w:rsid w:val="7CB86B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numPr>
        <w:ilvl w:val="0"/>
        <w:numId w:val="1"/>
      </w:numPr>
      <w:autoSpaceDE w:val="0"/>
      <w:autoSpaceDN w:val="0"/>
      <w:adjustRightInd w:val="0"/>
      <w:snapToGrid w:val="0"/>
      <w:spacing w:before="240" w:after="240" w:line="360" w:lineRule="auto"/>
      <w:ind w:left="0" w:firstLine="0"/>
      <w:jc w:val="center"/>
      <w:outlineLvl w:val="0"/>
    </w:pPr>
    <w:rPr>
      <w:rFonts w:ascii="仿宋_GB2312" w:hAnsi="宋体" w:eastAsia="仿宋_GB2312" w:cs="Times New Roman"/>
      <w:b/>
      <w:bCs/>
      <w:kern w:val="0"/>
      <w:sz w:val="28"/>
      <w:szCs w:val="28"/>
      <w:lang w:val="zh-CN"/>
    </w:rPr>
  </w:style>
  <w:style w:type="paragraph" w:styleId="3">
    <w:name w:val="heading 2"/>
    <w:basedOn w:val="1"/>
    <w:next w:val="1"/>
    <w:link w:val="29"/>
    <w:unhideWhenUsed/>
    <w:qFormat/>
    <w:uiPriority w:val="9"/>
    <w:pPr>
      <w:keepNext/>
      <w:keepLines/>
      <w:numPr>
        <w:ilvl w:val="1"/>
        <w:numId w:val="1"/>
      </w:numPr>
      <w:adjustRightInd w:val="0"/>
      <w:snapToGrid w:val="0"/>
      <w:spacing w:before="260" w:after="260" w:line="360" w:lineRule="auto"/>
      <w:ind w:left="0" w:firstLine="0"/>
      <w:outlineLvl w:val="1"/>
    </w:pPr>
    <w:rPr>
      <w:rFonts w:ascii="仿宋_GB2312" w:hAnsi="Arial" w:eastAsia="仿宋_GB2312" w:cs="Times New Roman"/>
      <w:b/>
      <w:kern w:val="0"/>
      <w:sz w:val="28"/>
      <w:szCs w:val="24"/>
      <w:lang w:val="zh-CN"/>
    </w:rPr>
  </w:style>
  <w:style w:type="paragraph" w:styleId="4">
    <w:name w:val="heading 3"/>
    <w:basedOn w:val="1"/>
    <w:next w:val="1"/>
    <w:link w:val="30"/>
    <w:unhideWhenUsed/>
    <w:qFormat/>
    <w:uiPriority w:val="9"/>
    <w:pPr>
      <w:keepLines/>
      <w:numPr>
        <w:ilvl w:val="2"/>
        <w:numId w:val="1"/>
      </w:numPr>
      <w:adjustRightInd w:val="0"/>
      <w:snapToGrid w:val="0"/>
      <w:spacing w:line="360" w:lineRule="auto"/>
      <w:ind w:left="0" w:firstLine="0"/>
      <w:outlineLvl w:val="2"/>
    </w:pPr>
    <w:rPr>
      <w:rFonts w:ascii="Calibri" w:hAnsi="Calibri" w:eastAsia="仿宋" w:cs="Times New Roman"/>
      <w:sz w:val="24"/>
      <w:szCs w:val="24"/>
      <w:lang w:val="zh-CN"/>
    </w:rPr>
  </w:style>
  <w:style w:type="paragraph" w:styleId="5">
    <w:name w:val="heading 4"/>
    <w:basedOn w:val="1"/>
    <w:next w:val="1"/>
    <w:link w:val="31"/>
    <w:unhideWhenUsed/>
    <w:qFormat/>
    <w:uiPriority w:val="9"/>
    <w:pPr>
      <w:keepLines/>
      <w:numPr>
        <w:ilvl w:val="3"/>
        <w:numId w:val="1"/>
      </w:numPr>
      <w:spacing w:line="360" w:lineRule="auto"/>
      <w:ind w:left="0" w:firstLine="0"/>
      <w:outlineLvl w:val="3"/>
    </w:pPr>
    <w:rPr>
      <w:rFonts w:ascii="Cambria" w:hAnsi="Cambria" w:eastAsia="仿宋" w:cs="Times New Roman"/>
      <w:bCs/>
      <w:sz w:val="24"/>
      <w:szCs w:val="28"/>
      <w:lang w:val="zh-CN"/>
    </w:rPr>
  </w:style>
  <w:style w:type="paragraph" w:styleId="6">
    <w:name w:val="heading 5"/>
    <w:basedOn w:val="1"/>
    <w:next w:val="1"/>
    <w:link w:val="32"/>
    <w:semiHidden/>
    <w:unhideWhenUsed/>
    <w:qFormat/>
    <w:uiPriority w:val="0"/>
    <w:pPr>
      <w:keepNext/>
      <w:keepLines/>
      <w:numPr>
        <w:ilvl w:val="4"/>
        <w:numId w:val="1"/>
      </w:numPr>
      <w:spacing w:before="280" w:after="290" w:line="374" w:lineRule="auto"/>
      <w:outlineLvl w:val="4"/>
    </w:pPr>
    <w:rPr>
      <w:rFonts w:ascii="Calibri" w:hAnsi="Calibri" w:eastAsia="仿宋" w:cs="Times New Roman"/>
      <w:b/>
      <w:bCs/>
      <w:sz w:val="28"/>
      <w:szCs w:val="28"/>
      <w:lang w:val="zh-CN"/>
    </w:rPr>
  </w:style>
  <w:style w:type="paragraph" w:styleId="7">
    <w:name w:val="heading 6"/>
    <w:basedOn w:val="1"/>
    <w:next w:val="1"/>
    <w:link w:val="33"/>
    <w:unhideWhenUsed/>
    <w:qFormat/>
    <w:uiPriority w:val="0"/>
    <w:pPr>
      <w:keepNext/>
      <w:keepLines/>
      <w:numPr>
        <w:ilvl w:val="5"/>
        <w:numId w:val="1"/>
      </w:numPr>
      <w:spacing w:before="240" w:after="64" w:line="319" w:lineRule="auto"/>
      <w:outlineLvl w:val="5"/>
    </w:pPr>
    <w:rPr>
      <w:rFonts w:ascii="Calibri Light" w:hAnsi="Calibri Light" w:eastAsia="宋体" w:cs="Times New Roman"/>
      <w:b/>
      <w:bCs/>
      <w:sz w:val="24"/>
      <w:szCs w:val="24"/>
      <w:lang w:val="zh-CN"/>
    </w:rPr>
  </w:style>
  <w:style w:type="paragraph" w:styleId="8">
    <w:name w:val="heading 7"/>
    <w:basedOn w:val="1"/>
    <w:next w:val="1"/>
    <w:link w:val="34"/>
    <w:unhideWhenUsed/>
    <w:qFormat/>
    <w:uiPriority w:val="0"/>
    <w:pPr>
      <w:keepNext/>
      <w:keepLines/>
      <w:numPr>
        <w:ilvl w:val="6"/>
        <w:numId w:val="1"/>
      </w:numPr>
      <w:spacing w:before="240" w:after="64" w:line="319" w:lineRule="auto"/>
      <w:outlineLvl w:val="6"/>
    </w:pPr>
    <w:rPr>
      <w:rFonts w:ascii="Calibri" w:hAnsi="Calibri" w:eastAsia="仿宋" w:cs="Times New Roman"/>
      <w:b/>
      <w:bCs/>
      <w:sz w:val="24"/>
      <w:szCs w:val="24"/>
      <w:lang w:val="zh-CN"/>
    </w:rPr>
  </w:style>
  <w:style w:type="paragraph" w:styleId="9">
    <w:name w:val="heading 8"/>
    <w:basedOn w:val="1"/>
    <w:next w:val="1"/>
    <w:link w:val="35"/>
    <w:unhideWhenUsed/>
    <w:qFormat/>
    <w:uiPriority w:val="0"/>
    <w:pPr>
      <w:keepNext/>
      <w:keepLines/>
      <w:numPr>
        <w:ilvl w:val="7"/>
        <w:numId w:val="1"/>
      </w:numPr>
      <w:spacing w:before="240" w:after="64" w:line="319" w:lineRule="auto"/>
      <w:outlineLvl w:val="7"/>
    </w:pPr>
    <w:rPr>
      <w:rFonts w:ascii="Calibri Light" w:hAnsi="Calibri Light" w:eastAsia="宋体" w:cs="Times New Roman"/>
      <w:sz w:val="24"/>
      <w:szCs w:val="24"/>
      <w:lang w:val="zh-CN"/>
    </w:rPr>
  </w:style>
  <w:style w:type="paragraph" w:styleId="10">
    <w:name w:val="heading 9"/>
    <w:basedOn w:val="1"/>
    <w:next w:val="1"/>
    <w:link w:val="36"/>
    <w:unhideWhenUsed/>
    <w:qFormat/>
    <w:uiPriority w:val="0"/>
    <w:pPr>
      <w:keepNext/>
      <w:keepLines/>
      <w:numPr>
        <w:ilvl w:val="8"/>
        <w:numId w:val="1"/>
      </w:numPr>
      <w:spacing w:before="240" w:after="64" w:line="319" w:lineRule="auto"/>
      <w:outlineLvl w:val="8"/>
    </w:pPr>
    <w:rPr>
      <w:rFonts w:ascii="Calibri Light" w:hAnsi="Calibri Light" w:eastAsia="宋体" w:cs="Times New Roman"/>
      <w:szCs w:val="21"/>
      <w:lang w:val="zh-CN"/>
    </w:rPr>
  </w:style>
  <w:style w:type="character" w:default="1" w:styleId="23">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40"/>
    <w:semiHidden/>
    <w:unhideWhenUsed/>
    <w:qFormat/>
    <w:uiPriority w:val="99"/>
    <w:pPr>
      <w:jc w:val="left"/>
    </w:pPr>
  </w:style>
  <w:style w:type="paragraph" w:styleId="12">
    <w:name w:val="Body Text Indent"/>
    <w:basedOn w:val="1"/>
    <w:link w:val="43"/>
    <w:semiHidden/>
    <w:unhideWhenUsed/>
    <w:qFormat/>
    <w:uiPriority w:val="99"/>
    <w:pPr>
      <w:spacing w:after="120"/>
      <w:ind w:left="283"/>
    </w:pPr>
  </w:style>
  <w:style w:type="paragraph" w:styleId="13">
    <w:name w:val="toc 3"/>
    <w:basedOn w:val="1"/>
    <w:next w:val="1"/>
    <w:unhideWhenUsed/>
    <w:qFormat/>
    <w:uiPriority w:val="39"/>
    <w:pPr>
      <w:ind w:left="840" w:leftChars="400"/>
    </w:pPr>
  </w:style>
  <w:style w:type="paragraph" w:styleId="14">
    <w:name w:val="Date"/>
    <w:basedOn w:val="1"/>
    <w:next w:val="1"/>
    <w:link w:val="47"/>
    <w:semiHidden/>
    <w:unhideWhenUsed/>
    <w:uiPriority w:val="99"/>
  </w:style>
  <w:style w:type="paragraph" w:styleId="15">
    <w:name w:val="Balloon Text"/>
    <w:basedOn w:val="1"/>
    <w:link w:val="39"/>
    <w:semiHidden/>
    <w:unhideWhenUsed/>
    <w:uiPriority w:val="99"/>
    <w:rPr>
      <w:sz w:val="18"/>
      <w:szCs w:val="18"/>
    </w:rPr>
  </w:style>
  <w:style w:type="paragraph" w:styleId="16">
    <w:name w:val="footer"/>
    <w:basedOn w:val="1"/>
    <w:link w:val="27"/>
    <w:unhideWhenUsed/>
    <w:qFormat/>
    <w:uiPriority w:val="99"/>
    <w:pPr>
      <w:tabs>
        <w:tab w:val="center" w:pos="4153"/>
        <w:tab w:val="right" w:pos="8306"/>
      </w:tabs>
      <w:snapToGrid w:val="0"/>
      <w:jc w:val="left"/>
    </w:pPr>
    <w:rPr>
      <w:sz w:val="18"/>
      <w:szCs w:val="18"/>
    </w:rPr>
  </w:style>
  <w:style w:type="paragraph" w:styleId="17">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8">
    <w:name w:val="toc 2"/>
    <w:basedOn w:val="1"/>
    <w:next w:val="1"/>
    <w:unhideWhenUsed/>
    <w:uiPriority w:val="39"/>
    <w:pPr>
      <w:ind w:left="420" w:leftChars="200"/>
    </w:pPr>
  </w:style>
  <w:style w:type="paragraph" w:styleId="19">
    <w:name w:val="Normal (Web)"/>
    <w:basedOn w:val="1"/>
    <w:semiHidden/>
    <w:unhideWhenUsed/>
    <w:uiPriority w:val="0"/>
    <w:pPr>
      <w:spacing w:line="360" w:lineRule="auto"/>
      <w:ind w:left="240" w:leftChars="100" w:firstLine="880" w:firstLineChars="200"/>
    </w:pPr>
    <w:rPr>
      <w:rFonts w:ascii="Calibri" w:hAnsi="Calibri" w:eastAsia="仿宋" w:cs="Calibri"/>
      <w:sz w:val="24"/>
      <w:szCs w:val="24"/>
    </w:rPr>
  </w:style>
  <w:style w:type="paragraph" w:styleId="20">
    <w:name w:val="annotation subject"/>
    <w:basedOn w:val="11"/>
    <w:next w:val="11"/>
    <w:link w:val="41"/>
    <w:semiHidden/>
    <w:unhideWhenUsed/>
    <w:uiPriority w:val="99"/>
    <w:rPr>
      <w:b/>
      <w:bCs/>
    </w:rPr>
  </w:style>
  <w:style w:type="paragraph" w:styleId="21">
    <w:name w:val="Body Text First Indent 2"/>
    <w:basedOn w:val="12"/>
    <w:link w:val="45"/>
    <w:unhideWhenUsed/>
    <w:qFormat/>
    <w:uiPriority w:val="99"/>
    <w:pPr>
      <w:spacing w:after="0" w:line="360" w:lineRule="auto"/>
      <w:ind w:left="0" w:firstLine="420" w:firstLineChars="200"/>
    </w:pPr>
    <w:rPr>
      <w:rFonts w:ascii="Times New Roman" w:hAnsi="Times New Roman" w:eastAsia="宋体" w:cs="Times New Roman"/>
      <w:sz w:val="28"/>
      <w:szCs w:val="20"/>
      <w:lang w:val="zh-CN"/>
    </w:r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character" w:customStyle="1" w:styleId="26">
    <w:name w:val="页眉 Char"/>
    <w:basedOn w:val="23"/>
    <w:link w:val="17"/>
    <w:qFormat/>
    <w:uiPriority w:val="99"/>
    <w:rPr>
      <w:sz w:val="18"/>
      <w:szCs w:val="18"/>
    </w:rPr>
  </w:style>
  <w:style w:type="character" w:customStyle="1" w:styleId="27">
    <w:name w:val="页脚 Char"/>
    <w:basedOn w:val="23"/>
    <w:link w:val="16"/>
    <w:qFormat/>
    <w:uiPriority w:val="99"/>
    <w:rPr>
      <w:sz w:val="18"/>
      <w:szCs w:val="18"/>
    </w:rPr>
  </w:style>
  <w:style w:type="character" w:customStyle="1" w:styleId="28">
    <w:name w:val="标题 1 Char"/>
    <w:basedOn w:val="23"/>
    <w:link w:val="2"/>
    <w:qFormat/>
    <w:uiPriority w:val="0"/>
    <w:rPr>
      <w:rFonts w:ascii="仿宋_GB2312" w:hAnsi="宋体" w:eastAsia="仿宋_GB2312" w:cs="Times New Roman"/>
      <w:b/>
      <w:bCs/>
      <w:kern w:val="0"/>
      <w:sz w:val="28"/>
      <w:szCs w:val="28"/>
      <w:lang w:val="zh-CN" w:eastAsia="zh-CN"/>
    </w:rPr>
  </w:style>
  <w:style w:type="character" w:customStyle="1" w:styleId="29">
    <w:name w:val="标题 2 Char"/>
    <w:basedOn w:val="23"/>
    <w:link w:val="3"/>
    <w:semiHidden/>
    <w:qFormat/>
    <w:uiPriority w:val="0"/>
    <w:rPr>
      <w:rFonts w:ascii="仿宋_GB2312" w:hAnsi="Arial" w:eastAsia="仿宋_GB2312" w:cs="Times New Roman"/>
      <w:b/>
      <w:kern w:val="0"/>
      <w:sz w:val="28"/>
      <w:szCs w:val="24"/>
      <w:lang w:val="zh-CN" w:eastAsia="zh-CN"/>
    </w:rPr>
  </w:style>
  <w:style w:type="character" w:customStyle="1" w:styleId="30">
    <w:name w:val="标题 3 Char"/>
    <w:basedOn w:val="23"/>
    <w:link w:val="4"/>
    <w:semiHidden/>
    <w:qFormat/>
    <w:uiPriority w:val="0"/>
    <w:rPr>
      <w:rFonts w:ascii="Calibri" w:hAnsi="Calibri" w:eastAsia="仿宋" w:cs="Times New Roman"/>
      <w:sz w:val="24"/>
      <w:szCs w:val="24"/>
      <w:lang w:val="zh-CN" w:eastAsia="zh-CN"/>
    </w:rPr>
  </w:style>
  <w:style w:type="character" w:customStyle="1" w:styleId="31">
    <w:name w:val="标题 4 Char"/>
    <w:basedOn w:val="23"/>
    <w:link w:val="5"/>
    <w:semiHidden/>
    <w:qFormat/>
    <w:uiPriority w:val="0"/>
    <w:rPr>
      <w:rFonts w:ascii="Cambria" w:hAnsi="Cambria" w:eastAsia="仿宋" w:cs="Times New Roman"/>
      <w:bCs/>
      <w:sz w:val="24"/>
      <w:szCs w:val="28"/>
      <w:lang w:val="zh-CN" w:eastAsia="zh-CN"/>
    </w:rPr>
  </w:style>
  <w:style w:type="character" w:customStyle="1" w:styleId="32">
    <w:name w:val="标题 5 Char"/>
    <w:basedOn w:val="23"/>
    <w:link w:val="6"/>
    <w:semiHidden/>
    <w:qFormat/>
    <w:uiPriority w:val="0"/>
    <w:rPr>
      <w:rFonts w:ascii="Calibri" w:hAnsi="Calibri" w:eastAsia="仿宋" w:cs="Times New Roman"/>
      <w:b/>
      <w:bCs/>
      <w:sz w:val="28"/>
      <w:szCs w:val="28"/>
      <w:lang w:val="zh-CN" w:eastAsia="zh-CN"/>
    </w:rPr>
  </w:style>
  <w:style w:type="character" w:customStyle="1" w:styleId="33">
    <w:name w:val="标题 6 Char"/>
    <w:basedOn w:val="23"/>
    <w:link w:val="7"/>
    <w:semiHidden/>
    <w:qFormat/>
    <w:uiPriority w:val="0"/>
    <w:rPr>
      <w:rFonts w:ascii="Calibri Light" w:hAnsi="Calibri Light" w:eastAsia="宋体" w:cs="Times New Roman"/>
      <w:b/>
      <w:bCs/>
      <w:sz w:val="24"/>
      <w:szCs w:val="24"/>
      <w:lang w:val="zh-CN" w:eastAsia="zh-CN"/>
    </w:rPr>
  </w:style>
  <w:style w:type="character" w:customStyle="1" w:styleId="34">
    <w:name w:val="标题 7 Char"/>
    <w:basedOn w:val="23"/>
    <w:link w:val="8"/>
    <w:semiHidden/>
    <w:qFormat/>
    <w:uiPriority w:val="0"/>
    <w:rPr>
      <w:rFonts w:ascii="Calibri" w:hAnsi="Calibri" w:eastAsia="仿宋" w:cs="Times New Roman"/>
      <w:b/>
      <w:bCs/>
      <w:sz w:val="24"/>
      <w:szCs w:val="24"/>
      <w:lang w:val="zh-CN" w:eastAsia="zh-CN"/>
    </w:rPr>
  </w:style>
  <w:style w:type="character" w:customStyle="1" w:styleId="35">
    <w:name w:val="标题 8 Char"/>
    <w:basedOn w:val="23"/>
    <w:link w:val="9"/>
    <w:semiHidden/>
    <w:qFormat/>
    <w:uiPriority w:val="0"/>
    <w:rPr>
      <w:rFonts w:ascii="Calibri Light" w:hAnsi="Calibri Light" w:eastAsia="宋体" w:cs="Times New Roman"/>
      <w:sz w:val="24"/>
      <w:szCs w:val="24"/>
      <w:lang w:val="zh-CN" w:eastAsia="zh-CN"/>
    </w:rPr>
  </w:style>
  <w:style w:type="character" w:customStyle="1" w:styleId="36">
    <w:name w:val="标题 9 Char"/>
    <w:basedOn w:val="23"/>
    <w:link w:val="10"/>
    <w:semiHidden/>
    <w:qFormat/>
    <w:uiPriority w:val="0"/>
    <w:rPr>
      <w:rFonts w:ascii="Calibri Light" w:hAnsi="Calibri Light" w:eastAsia="宋体" w:cs="Times New Roman"/>
      <w:szCs w:val="21"/>
      <w:lang w:val="zh-CN" w:eastAsia="zh-CN"/>
    </w:rPr>
  </w:style>
  <w:style w:type="paragraph" w:customStyle="1" w:styleId="37">
    <w:name w:val="msolistparagraph"/>
    <w:basedOn w:val="1"/>
    <w:qFormat/>
    <w:uiPriority w:val="0"/>
    <w:pPr>
      <w:spacing w:line="560" w:lineRule="exact"/>
      <w:ind w:left="100" w:leftChars="100" w:firstLine="420" w:firstLineChars="200"/>
    </w:pPr>
    <w:rPr>
      <w:rFonts w:ascii="Times New Roman" w:hAnsi="Times New Roman" w:eastAsia="宋体" w:cs="Times New Roman"/>
      <w:szCs w:val="24"/>
    </w:rPr>
  </w:style>
  <w:style w:type="paragraph" w:customStyle="1" w:styleId="38">
    <w:name w:val="TOC 标题1"/>
    <w:basedOn w:val="2"/>
    <w:next w:val="1"/>
    <w:unhideWhenUsed/>
    <w:qFormat/>
    <w:uiPriority w:val="39"/>
    <w:pPr>
      <w:widowControl/>
      <w:numPr>
        <w:numId w:val="0"/>
      </w:numPr>
      <w:autoSpaceDE/>
      <w:autoSpaceDN/>
      <w:adjustRightInd/>
      <w:snapToGrid/>
      <w:spacing w:after="0" w:line="259" w:lineRule="auto"/>
      <w:jc w:val="left"/>
      <w:outlineLvl w:val="9"/>
    </w:pPr>
    <w:rPr>
      <w:rFonts w:asciiTheme="majorHAnsi" w:hAnsiTheme="majorHAnsi" w:eastAsiaTheme="majorEastAsia" w:cstheme="majorBidi"/>
      <w:b w:val="0"/>
      <w:bCs w:val="0"/>
      <w:color w:val="2F5597" w:themeColor="accent1" w:themeShade="BF"/>
      <w:sz w:val="32"/>
      <w:szCs w:val="32"/>
      <w:lang w:val="en-US"/>
    </w:rPr>
  </w:style>
  <w:style w:type="character" w:customStyle="1" w:styleId="39">
    <w:name w:val="批注框文本 Char"/>
    <w:basedOn w:val="23"/>
    <w:link w:val="15"/>
    <w:semiHidden/>
    <w:qFormat/>
    <w:uiPriority w:val="99"/>
    <w:rPr>
      <w:sz w:val="18"/>
      <w:szCs w:val="18"/>
    </w:rPr>
  </w:style>
  <w:style w:type="character" w:customStyle="1" w:styleId="40">
    <w:name w:val="批注文字 Char"/>
    <w:basedOn w:val="23"/>
    <w:link w:val="11"/>
    <w:semiHidden/>
    <w:qFormat/>
    <w:uiPriority w:val="99"/>
    <w:rPr>
      <w:kern w:val="2"/>
      <w:sz w:val="21"/>
      <w:szCs w:val="22"/>
    </w:rPr>
  </w:style>
  <w:style w:type="character" w:customStyle="1" w:styleId="41">
    <w:name w:val="批注主题 Char"/>
    <w:basedOn w:val="40"/>
    <w:link w:val="20"/>
    <w:semiHidden/>
    <w:qFormat/>
    <w:uiPriority w:val="99"/>
    <w:rPr>
      <w:b/>
      <w:bCs/>
      <w:kern w:val="2"/>
      <w:sz w:val="21"/>
      <w:szCs w:val="22"/>
    </w:rPr>
  </w:style>
  <w:style w:type="paragraph" w:customStyle="1" w:styleId="42">
    <w:name w:val="样式 左侧:  1.27 厘米 段前: 6 磅 段后: 7.8 磅"/>
    <w:basedOn w:val="1"/>
    <w:qFormat/>
    <w:uiPriority w:val="0"/>
    <w:pPr>
      <w:adjustRightInd w:val="0"/>
      <w:snapToGrid w:val="0"/>
      <w:spacing w:before="120" w:after="156" w:line="360" w:lineRule="auto"/>
      <w:ind w:left="720" w:leftChars="100" w:firstLine="200" w:firstLineChars="200"/>
    </w:pPr>
    <w:rPr>
      <w:rFonts w:ascii="Times New Roman" w:hAnsi="Times New Roman" w:eastAsia="仿宋" w:cs="Times New Roman"/>
      <w:sz w:val="24"/>
      <w:szCs w:val="20"/>
    </w:rPr>
  </w:style>
  <w:style w:type="character" w:customStyle="1" w:styleId="43">
    <w:name w:val="正文文本缩进 Char"/>
    <w:basedOn w:val="23"/>
    <w:link w:val="12"/>
    <w:semiHidden/>
    <w:qFormat/>
    <w:uiPriority w:val="99"/>
    <w:rPr>
      <w:kern w:val="2"/>
      <w:sz w:val="21"/>
      <w:szCs w:val="22"/>
    </w:rPr>
  </w:style>
  <w:style w:type="character" w:customStyle="1" w:styleId="44">
    <w:name w:val="正文文本首行缩进 2 字符"/>
    <w:basedOn w:val="43"/>
    <w:semiHidden/>
    <w:qFormat/>
    <w:uiPriority w:val="99"/>
    <w:rPr>
      <w:kern w:val="2"/>
      <w:sz w:val="21"/>
      <w:szCs w:val="22"/>
    </w:rPr>
  </w:style>
  <w:style w:type="character" w:customStyle="1" w:styleId="45">
    <w:name w:val="正文首行缩进 2 Char"/>
    <w:link w:val="21"/>
    <w:qFormat/>
    <w:uiPriority w:val="99"/>
    <w:rPr>
      <w:rFonts w:ascii="Times New Roman" w:hAnsi="Times New Roman" w:eastAsia="宋体" w:cs="Times New Roman"/>
      <w:kern w:val="2"/>
      <w:sz w:val="28"/>
      <w:lang w:val="zh-CN" w:eastAsia="zh-CN"/>
    </w:rPr>
  </w:style>
  <w:style w:type="paragraph" w:customStyle="1" w:styleId="46">
    <w:name w:val="修订版本号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7">
    <w:name w:val="日期 Char"/>
    <w:basedOn w:val="23"/>
    <w:link w:val="1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9E63C-ECB2-4995-ABE6-50900718A087}">
  <ds:schemaRefs/>
</ds:datastoreItem>
</file>

<file path=docProps/app.xml><?xml version="1.0" encoding="utf-8"?>
<Properties xmlns="http://schemas.openxmlformats.org/officeDocument/2006/extended-properties" xmlns:vt="http://schemas.openxmlformats.org/officeDocument/2006/docPropsVTypes">
  <Template>Normal</Template>
  <Company>Allbrightlaw</Company>
  <Pages>23</Pages>
  <Words>2057</Words>
  <Characters>11728</Characters>
  <Lines>97</Lines>
  <Paragraphs>27</Paragraphs>
  <TotalTime>745</TotalTime>
  <ScaleCrop>false</ScaleCrop>
  <LinksUpToDate>false</LinksUpToDate>
  <CharactersWithSpaces>13758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2021-01-06T01:14:00Z</dcterms:created>
  <dc:creator>Scott Xia</dc:creator>
  <cp:lastModifiedBy>李俊</cp:lastModifiedBy>
  <cp:lastPrinted>2020-06-07T15:51:00Z</cp:lastPrinted>
  <dcterms:modified xsi:type="dcterms:W3CDTF">2021-02-22T01:50:26Z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