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仿宋_GB2312" w:hAnsi="华文仿宋" w:eastAsia="仿宋_GB2312" w:cs="Times New Roman"/>
          <w:b/>
          <w:sz w:val="28"/>
          <w:szCs w:val="28"/>
          <w:highlight w:val="none"/>
        </w:rPr>
      </w:pPr>
      <w:bookmarkStart w:id="58" w:name="_GoBack"/>
    </w:p>
    <w:p>
      <w:pPr>
        <w:spacing w:line="276" w:lineRule="auto"/>
        <w:jc w:val="center"/>
        <w:rPr>
          <w:rFonts w:ascii="仿宋_GB2312" w:hAnsi="华文仿宋" w:eastAsia="仿宋_GB2312" w:cs="Times New Roman"/>
          <w:b/>
          <w:sz w:val="36"/>
          <w:szCs w:val="36"/>
          <w:highlight w:val="none"/>
        </w:rPr>
      </w:pPr>
    </w:p>
    <w:p>
      <w:pPr>
        <w:spacing w:before="32" w:after="32" w:line="276" w:lineRule="auto"/>
        <w:jc w:val="left"/>
        <w:rPr>
          <w:rFonts w:ascii="仿宋_GB2312" w:hAnsi="华文仿宋" w:eastAsia="仿宋_GB2312" w:cs="Times New Roman"/>
          <w:b/>
          <w:color w:val="000000"/>
          <w:sz w:val="36"/>
          <w:szCs w:val="36"/>
          <w:highlight w:val="none"/>
        </w:rPr>
      </w:pPr>
    </w:p>
    <w:p>
      <w:pPr>
        <w:spacing w:before="32" w:after="32" w:line="276" w:lineRule="auto"/>
        <w:jc w:val="center"/>
        <w:rPr>
          <w:rFonts w:ascii="仿宋_GB2312" w:hAnsi="华文仿宋" w:eastAsia="仿宋_GB2312" w:cs="Times New Roman"/>
          <w:b/>
          <w:color w:val="000000"/>
          <w:sz w:val="72"/>
          <w:szCs w:val="72"/>
          <w:highlight w:val="none"/>
        </w:rPr>
      </w:pPr>
      <w:r>
        <w:rPr>
          <w:rFonts w:hint="eastAsia" w:ascii="仿宋_GB2312" w:hAnsi="华文仿宋" w:eastAsia="仿宋_GB2312" w:cs="Times New Roman"/>
          <w:b/>
          <w:color w:val="000000"/>
          <w:sz w:val="72"/>
          <w:szCs w:val="72"/>
          <w:highlight w:val="none"/>
        </w:rPr>
        <w:t>公司章程</w:t>
      </w:r>
    </w:p>
    <w:p>
      <w:pPr>
        <w:spacing w:before="80" w:after="80" w:line="360" w:lineRule="auto"/>
        <w:jc w:val="center"/>
        <w:rPr>
          <w:rFonts w:ascii="仿宋_GB2312" w:hAnsi="华文仿宋" w:eastAsia="仿宋_GB2312"/>
          <w:b/>
          <w:sz w:val="48"/>
          <w:szCs w:val="28"/>
          <w:highlight w:val="none"/>
        </w:rPr>
      </w:pPr>
    </w:p>
    <w:p>
      <w:pPr>
        <w:spacing w:line="276" w:lineRule="auto"/>
        <w:jc w:val="center"/>
        <w:rPr>
          <w:rFonts w:ascii="仿宋_GB2312" w:hAnsi="华文仿宋" w:eastAsia="仿宋_GB2312" w:cs="Arial"/>
          <w:b/>
          <w:bCs/>
          <w:sz w:val="36"/>
          <w:szCs w:val="36"/>
          <w:highlight w:val="none"/>
        </w:rPr>
      </w:pPr>
    </w:p>
    <w:p>
      <w:pPr>
        <w:spacing w:before="24" w:after="24" w:line="276" w:lineRule="auto"/>
        <w:rPr>
          <w:rFonts w:ascii="仿宋_GB2312" w:hAnsi="华文仿宋" w:eastAsia="仿宋_GB2312" w:cs="Times New Roman"/>
          <w:b/>
          <w:color w:val="000000"/>
          <w:kern w:val="0"/>
          <w:sz w:val="36"/>
          <w:szCs w:val="36"/>
          <w:highlight w:val="none"/>
        </w:rPr>
      </w:pPr>
    </w:p>
    <w:p>
      <w:pPr>
        <w:spacing w:before="24" w:after="24" w:line="276" w:lineRule="auto"/>
        <w:rPr>
          <w:rFonts w:ascii="仿宋_GB2312" w:hAnsi="华文仿宋" w:eastAsia="仿宋_GB2312" w:cs="Times New Roman"/>
          <w:b/>
          <w:color w:val="000000"/>
          <w:kern w:val="0"/>
          <w:sz w:val="36"/>
          <w:szCs w:val="36"/>
          <w:highlight w:val="none"/>
        </w:rPr>
      </w:pPr>
    </w:p>
    <w:p>
      <w:pPr>
        <w:spacing w:before="24" w:after="24" w:line="276" w:lineRule="auto"/>
        <w:rPr>
          <w:rFonts w:ascii="仿宋_GB2312" w:hAnsi="华文仿宋" w:eastAsia="仿宋_GB2312" w:cs="Times New Roman"/>
          <w:b/>
          <w:color w:val="000000"/>
          <w:kern w:val="0"/>
          <w:sz w:val="36"/>
          <w:szCs w:val="36"/>
          <w:highlight w:val="none"/>
        </w:rPr>
      </w:pPr>
    </w:p>
    <w:p>
      <w:pPr>
        <w:spacing w:before="24" w:after="24" w:line="276" w:lineRule="auto"/>
        <w:rPr>
          <w:rFonts w:ascii="仿宋_GB2312" w:hAnsi="华文仿宋" w:eastAsia="仿宋_GB2312" w:cs="Times New Roman"/>
          <w:b/>
          <w:color w:val="000000"/>
          <w:kern w:val="0"/>
          <w:sz w:val="36"/>
          <w:szCs w:val="36"/>
          <w:highlight w:val="none"/>
        </w:rPr>
      </w:pPr>
    </w:p>
    <w:p>
      <w:pPr>
        <w:spacing w:before="24" w:after="24" w:line="276" w:lineRule="auto"/>
        <w:rPr>
          <w:rFonts w:ascii="仿宋_GB2312" w:hAnsi="华文仿宋" w:eastAsia="仿宋_GB2312" w:cs="Times New Roman"/>
          <w:b/>
          <w:color w:val="000000"/>
          <w:kern w:val="0"/>
          <w:sz w:val="36"/>
          <w:szCs w:val="36"/>
          <w:highlight w:val="none"/>
        </w:rPr>
      </w:pPr>
    </w:p>
    <w:p>
      <w:pPr>
        <w:spacing w:before="24" w:after="24" w:line="276" w:lineRule="auto"/>
        <w:rPr>
          <w:rFonts w:ascii="仿宋_GB2312" w:hAnsi="华文仿宋" w:eastAsia="仿宋_GB2312" w:cs="Times New Roman"/>
          <w:b/>
          <w:color w:val="000000"/>
          <w:kern w:val="0"/>
          <w:sz w:val="36"/>
          <w:szCs w:val="36"/>
          <w:highlight w:val="none"/>
        </w:rPr>
      </w:pPr>
    </w:p>
    <w:p>
      <w:pPr>
        <w:spacing w:before="24" w:after="24" w:line="276" w:lineRule="auto"/>
        <w:rPr>
          <w:rFonts w:ascii="仿宋_GB2312" w:hAnsi="华文仿宋" w:eastAsia="仿宋_GB2312" w:cs="Times New Roman"/>
          <w:b/>
          <w:color w:val="000000"/>
          <w:kern w:val="0"/>
          <w:sz w:val="36"/>
          <w:szCs w:val="36"/>
          <w:highlight w:val="none"/>
        </w:rPr>
      </w:pPr>
    </w:p>
    <w:p>
      <w:pPr>
        <w:spacing w:before="24" w:after="24" w:line="276" w:lineRule="auto"/>
        <w:jc w:val="center"/>
        <w:rPr>
          <w:rFonts w:ascii="仿宋_GB2312" w:hAnsi="华文仿宋" w:eastAsia="仿宋_GB2312" w:cs="Times New Roman"/>
          <w:b/>
          <w:sz w:val="36"/>
          <w:szCs w:val="36"/>
          <w:highlight w:val="none"/>
        </w:rPr>
      </w:pPr>
      <w:r>
        <w:rPr>
          <w:rFonts w:hint="eastAsia" w:ascii="仿宋_GB2312" w:hAnsi="华文仿宋" w:eastAsia="仿宋_GB2312" w:cs="Times New Roman"/>
          <w:b/>
          <w:sz w:val="36"/>
          <w:szCs w:val="36"/>
          <w:highlight w:val="none"/>
        </w:rPr>
        <w:t>二</w:t>
      </w:r>
      <w:r>
        <w:rPr>
          <w:rFonts w:hint="eastAsia" w:ascii="宋体" w:hAnsi="宋体" w:eastAsia="宋体" w:cs="宋体"/>
          <w:b/>
          <w:sz w:val="36"/>
          <w:szCs w:val="36"/>
          <w:highlight w:val="none"/>
        </w:rPr>
        <w:t>〇</w:t>
      </w:r>
      <w:r>
        <w:rPr>
          <w:rFonts w:hint="eastAsia" w:ascii="仿宋_GB2312" w:hAnsi="华文仿宋" w:eastAsia="仿宋_GB2312" w:cs="Times New Roman"/>
          <w:b/>
          <w:sz w:val="36"/>
          <w:szCs w:val="36"/>
          <w:highlight w:val="none"/>
        </w:rPr>
        <w:t>二</w:t>
      </w:r>
      <w:r>
        <w:rPr>
          <w:rFonts w:hint="eastAsia" w:ascii="宋体" w:hAnsi="宋体" w:eastAsia="宋体" w:cs="宋体"/>
          <w:b/>
          <w:sz w:val="36"/>
          <w:szCs w:val="36"/>
          <w:highlight w:val="none"/>
        </w:rPr>
        <w:t>一</w:t>
      </w:r>
      <w:r>
        <w:rPr>
          <w:rFonts w:hint="eastAsia" w:ascii="仿宋_GB2312" w:hAnsi="华文仿宋" w:eastAsia="仿宋_GB2312" w:cs="Times New Roman"/>
          <w:b/>
          <w:sz w:val="36"/>
          <w:szCs w:val="36"/>
          <w:highlight w:val="none"/>
        </w:rPr>
        <w:t>年</w:t>
      </w:r>
      <w:r>
        <w:rPr>
          <w:rFonts w:ascii="仿宋_GB2312" w:hAnsi="华文仿宋" w:eastAsia="仿宋_GB2312" w:cs="Times New Roman"/>
          <w:b/>
          <w:sz w:val="36"/>
          <w:szCs w:val="36"/>
          <w:highlight w:val="none"/>
        </w:rPr>
        <w:t xml:space="preserve">   </w:t>
      </w:r>
      <w:r>
        <w:rPr>
          <w:rFonts w:hint="eastAsia" w:ascii="仿宋_GB2312" w:hAnsi="华文仿宋" w:eastAsia="仿宋_GB2312" w:cs="Times New Roman"/>
          <w:b/>
          <w:sz w:val="36"/>
          <w:szCs w:val="36"/>
          <w:highlight w:val="none"/>
        </w:rPr>
        <w:t>月</w:t>
      </w:r>
    </w:p>
    <w:p>
      <w:pPr>
        <w:widowControl/>
        <w:jc w:val="left"/>
        <w:rPr>
          <w:rFonts w:ascii="仿宋_GB2312" w:hAnsi="华文仿宋" w:eastAsia="仿宋_GB2312" w:cs="Times New Roman"/>
          <w:b/>
          <w:sz w:val="36"/>
          <w:szCs w:val="36"/>
          <w:highlight w:val="none"/>
        </w:rPr>
      </w:pPr>
      <w:r>
        <w:rPr>
          <w:rFonts w:ascii="仿宋_GB2312" w:hAnsi="华文仿宋" w:eastAsia="仿宋_GB2312" w:cs="Times New Roman"/>
          <w:b/>
          <w:sz w:val="36"/>
          <w:szCs w:val="36"/>
          <w:highlight w:val="none"/>
        </w:rPr>
        <w:br w:type="page"/>
      </w:r>
    </w:p>
    <w:p>
      <w:pPr>
        <w:spacing w:line="360" w:lineRule="auto"/>
        <w:jc w:val="center"/>
        <w:rPr>
          <w:rFonts w:ascii="仿宋_GB2312" w:hAnsi="华文仿宋" w:eastAsia="仿宋_GB2312" w:cs="Times New Roman"/>
          <w:b/>
          <w:sz w:val="28"/>
          <w:szCs w:val="28"/>
          <w:highlight w:val="none"/>
          <w:lang w:val="zh-CN"/>
        </w:rPr>
      </w:pPr>
      <w:r>
        <w:rPr>
          <w:rFonts w:hint="eastAsia" w:ascii="仿宋_GB2312" w:hAnsi="华文仿宋" w:eastAsia="仿宋_GB2312" w:cs="Times New Roman"/>
          <w:b/>
          <w:sz w:val="28"/>
          <w:szCs w:val="28"/>
          <w:highlight w:val="none"/>
          <w:lang w:val="zh-CN"/>
        </w:rPr>
        <w:t>目录</w:t>
      </w:r>
    </w:p>
    <w:sdt>
      <w:sdtPr>
        <w:rPr>
          <w:rFonts w:hint="eastAsia" w:ascii="仿宋_GB2312" w:hAnsi="华文仿宋" w:eastAsia="仿宋_GB2312" w:cstheme="minorBidi"/>
          <w:b w:val="0"/>
          <w:bCs w:val="0"/>
          <w:caps w:val="0"/>
          <w:sz w:val="28"/>
          <w:szCs w:val="28"/>
          <w:highlight w:val="none"/>
          <w:lang w:val="zh-CN"/>
        </w:rPr>
        <w:id w:val="-1372995788"/>
        <w:docPartObj>
          <w:docPartGallery w:val="Table of Contents"/>
          <w:docPartUnique/>
        </w:docPartObj>
      </w:sdtPr>
      <w:sdtEndPr>
        <w:rPr>
          <w:rFonts w:hint="eastAsia" w:ascii="仿宋_GB2312" w:hAnsi="华文仿宋" w:eastAsia="仿宋_GB2312" w:cstheme="minorBidi"/>
          <w:b w:val="0"/>
          <w:bCs w:val="0"/>
          <w:caps w:val="0"/>
          <w:sz w:val="28"/>
          <w:szCs w:val="28"/>
          <w:highlight w:val="none"/>
          <w:lang w:val="zh-CN"/>
        </w:rPr>
      </w:sdtEndPr>
      <w:sdtContent>
        <w:p>
          <w:pPr>
            <w:pStyle w:val="29"/>
            <w:rPr>
              <w:rFonts w:ascii="仿宋_GB2312" w:hAnsi="华文仿宋" w:eastAsia="仿宋_GB2312" w:cstheme="minorBidi"/>
              <w:sz w:val="21"/>
              <w:szCs w:val="22"/>
              <w:highlight w:val="none"/>
            </w:rPr>
          </w:pPr>
          <w:r>
            <w:rPr>
              <w:rFonts w:ascii="仿宋_GB2312" w:hAnsi="华文仿宋" w:eastAsia="仿宋_GB2312"/>
              <w:sz w:val="28"/>
              <w:szCs w:val="28"/>
              <w:highlight w:val="none"/>
            </w:rPr>
            <w:fldChar w:fldCharType="begin"/>
          </w:r>
          <w:r>
            <w:rPr>
              <w:rFonts w:ascii="仿宋_GB2312" w:hAnsi="华文仿宋" w:eastAsia="仿宋_GB2312"/>
              <w:sz w:val="28"/>
              <w:szCs w:val="28"/>
              <w:highlight w:val="none"/>
            </w:rPr>
            <w:instrText xml:space="preserve"> TOC \o "1-1" \h \z \u </w:instrText>
          </w:r>
          <w:r>
            <w:rPr>
              <w:rFonts w:ascii="仿宋_GB2312" w:hAnsi="华文仿宋" w:eastAsia="仿宋_GB2312"/>
              <w:sz w:val="28"/>
              <w:szCs w:val="28"/>
              <w:highlight w:val="none"/>
            </w:rPr>
            <w:fldChar w:fldCharType="separate"/>
          </w:r>
          <w:r>
            <w:rPr>
              <w:highlight w:val="none"/>
            </w:rPr>
            <w:fldChar w:fldCharType="begin"/>
          </w:r>
          <w:r>
            <w:rPr>
              <w:highlight w:val="none"/>
            </w:rPr>
            <w:instrText xml:space="preserve"> HYPERLINK \l "_Toc438125214" </w:instrText>
          </w:r>
          <w:r>
            <w:rPr>
              <w:highlight w:val="none"/>
            </w:rPr>
            <w:fldChar w:fldCharType="separate"/>
          </w:r>
          <w:r>
            <w:rPr>
              <w:rStyle w:val="45"/>
              <w:rFonts w:hint="eastAsia" w:ascii="仿宋_GB2312" w:hAnsi="华文仿宋" w:eastAsia="仿宋_GB2312"/>
              <w:kern w:val="0"/>
              <w:highlight w:val="none"/>
            </w:rPr>
            <w:t>第一章</w:t>
          </w:r>
          <w:r>
            <w:rPr>
              <w:rStyle w:val="45"/>
              <w:rFonts w:ascii="仿宋_GB2312" w:hAnsi="华文仿宋" w:eastAsia="仿宋_GB2312"/>
              <w:kern w:val="0"/>
              <w:highlight w:val="none"/>
            </w:rPr>
            <w:t xml:space="preserve"> </w:t>
          </w:r>
          <w:r>
            <w:rPr>
              <w:rStyle w:val="45"/>
              <w:rFonts w:hint="eastAsia" w:ascii="仿宋_GB2312" w:hAnsi="华文仿宋" w:eastAsia="仿宋_GB2312"/>
              <w:kern w:val="0"/>
              <w:highlight w:val="none"/>
            </w:rPr>
            <w:t>定义与释义</w:t>
          </w:r>
          <w:r>
            <w:rPr>
              <w:rFonts w:ascii="仿宋_GB2312" w:hAnsi="华文仿宋" w:eastAsia="仿宋_GB2312"/>
              <w:highlight w:val="none"/>
            </w:rPr>
            <w:tab/>
          </w:r>
          <w:r>
            <w:rPr>
              <w:rFonts w:ascii="仿宋_GB2312" w:hAnsi="华文仿宋" w:eastAsia="仿宋_GB2312"/>
              <w:highlight w:val="none"/>
            </w:rPr>
            <w:fldChar w:fldCharType="begin"/>
          </w:r>
          <w:r>
            <w:rPr>
              <w:rFonts w:ascii="仿宋_GB2312" w:hAnsi="华文仿宋" w:eastAsia="仿宋_GB2312"/>
              <w:highlight w:val="none"/>
            </w:rPr>
            <w:instrText xml:space="preserve"> PAGEREF _Toc438125214 \h </w:instrText>
          </w:r>
          <w:r>
            <w:rPr>
              <w:rFonts w:ascii="仿宋_GB2312" w:hAnsi="华文仿宋" w:eastAsia="仿宋_GB2312"/>
              <w:highlight w:val="none"/>
            </w:rPr>
            <w:fldChar w:fldCharType="separate"/>
          </w:r>
          <w:r>
            <w:rPr>
              <w:rFonts w:ascii="仿宋_GB2312" w:hAnsi="华文仿宋" w:eastAsia="仿宋_GB2312"/>
              <w:highlight w:val="none"/>
            </w:rPr>
            <w:t>- 1 -</w:t>
          </w:r>
          <w:r>
            <w:rPr>
              <w:rFonts w:ascii="仿宋_GB2312" w:hAnsi="华文仿宋" w:eastAsia="仿宋_GB2312"/>
              <w:highlight w:val="none"/>
            </w:rPr>
            <w:fldChar w:fldCharType="end"/>
          </w:r>
          <w:r>
            <w:rPr>
              <w:rFonts w:ascii="仿宋_GB2312" w:hAnsi="华文仿宋" w:eastAsia="仿宋_GB2312"/>
              <w:highlight w:val="none"/>
            </w:rPr>
            <w:fldChar w:fldCharType="end"/>
          </w:r>
        </w:p>
        <w:p>
          <w:pPr>
            <w:pStyle w:val="29"/>
            <w:rPr>
              <w:rFonts w:ascii="仿宋_GB2312" w:hAnsi="华文仿宋" w:eastAsia="仿宋_GB2312" w:cstheme="minorBidi"/>
              <w:sz w:val="21"/>
              <w:szCs w:val="22"/>
              <w:highlight w:val="none"/>
            </w:rPr>
          </w:pPr>
          <w:r>
            <w:rPr>
              <w:highlight w:val="none"/>
            </w:rPr>
            <w:fldChar w:fldCharType="begin"/>
          </w:r>
          <w:r>
            <w:rPr>
              <w:highlight w:val="none"/>
            </w:rPr>
            <w:instrText xml:space="preserve"> HYPERLINK \l "_Toc438125215" </w:instrText>
          </w:r>
          <w:r>
            <w:rPr>
              <w:highlight w:val="none"/>
            </w:rPr>
            <w:fldChar w:fldCharType="separate"/>
          </w:r>
          <w:r>
            <w:rPr>
              <w:rStyle w:val="45"/>
              <w:rFonts w:hint="eastAsia" w:ascii="仿宋_GB2312" w:hAnsi="华文仿宋" w:eastAsia="仿宋_GB2312"/>
              <w:highlight w:val="none"/>
            </w:rPr>
            <w:t>第二章</w:t>
          </w:r>
          <w:r>
            <w:rPr>
              <w:rStyle w:val="45"/>
              <w:rFonts w:ascii="仿宋_GB2312" w:hAnsi="华文仿宋" w:eastAsia="仿宋_GB2312"/>
              <w:highlight w:val="none"/>
            </w:rPr>
            <w:t xml:space="preserve"> </w:t>
          </w:r>
          <w:r>
            <w:rPr>
              <w:rStyle w:val="45"/>
              <w:rFonts w:hint="eastAsia" w:ascii="仿宋_GB2312" w:hAnsi="华文仿宋" w:eastAsia="仿宋_GB2312"/>
              <w:highlight w:val="none"/>
            </w:rPr>
            <w:t>公司</w:t>
          </w:r>
          <w:r>
            <w:rPr>
              <w:rFonts w:ascii="仿宋_GB2312" w:hAnsi="华文仿宋" w:eastAsia="仿宋_GB2312"/>
              <w:highlight w:val="none"/>
            </w:rPr>
            <w:tab/>
          </w:r>
          <w:r>
            <w:rPr>
              <w:rFonts w:ascii="仿宋_GB2312" w:hAnsi="华文仿宋" w:eastAsia="仿宋_GB2312"/>
              <w:highlight w:val="none"/>
            </w:rPr>
            <w:fldChar w:fldCharType="begin"/>
          </w:r>
          <w:r>
            <w:rPr>
              <w:rFonts w:ascii="仿宋_GB2312" w:hAnsi="华文仿宋" w:eastAsia="仿宋_GB2312"/>
              <w:highlight w:val="none"/>
            </w:rPr>
            <w:instrText xml:space="preserve"> PAGEREF _Toc438125215 \h </w:instrText>
          </w:r>
          <w:r>
            <w:rPr>
              <w:rFonts w:ascii="仿宋_GB2312" w:hAnsi="华文仿宋" w:eastAsia="仿宋_GB2312"/>
              <w:highlight w:val="none"/>
            </w:rPr>
            <w:fldChar w:fldCharType="separate"/>
          </w:r>
          <w:r>
            <w:rPr>
              <w:rFonts w:ascii="仿宋_GB2312" w:hAnsi="华文仿宋" w:eastAsia="仿宋_GB2312"/>
              <w:highlight w:val="none"/>
            </w:rPr>
            <w:t>- 4 -</w:t>
          </w:r>
          <w:r>
            <w:rPr>
              <w:rFonts w:ascii="仿宋_GB2312" w:hAnsi="华文仿宋" w:eastAsia="仿宋_GB2312"/>
              <w:highlight w:val="none"/>
            </w:rPr>
            <w:fldChar w:fldCharType="end"/>
          </w:r>
          <w:r>
            <w:rPr>
              <w:rFonts w:ascii="仿宋_GB2312" w:hAnsi="华文仿宋" w:eastAsia="仿宋_GB2312"/>
              <w:highlight w:val="none"/>
            </w:rPr>
            <w:fldChar w:fldCharType="end"/>
          </w:r>
        </w:p>
        <w:p>
          <w:pPr>
            <w:pStyle w:val="29"/>
            <w:rPr>
              <w:rFonts w:ascii="仿宋_GB2312" w:hAnsi="华文仿宋" w:eastAsia="仿宋_GB2312" w:cstheme="minorBidi"/>
              <w:sz w:val="21"/>
              <w:szCs w:val="22"/>
              <w:highlight w:val="none"/>
            </w:rPr>
          </w:pPr>
          <w:r>
            <w:rPr>
              <w:highlight w:val="none"/>
            </w:rPr>
            <w:fldChar w:fldCharType="begin"/>
          </w:r>
          <w:r>
            <w:rPr>
              <w:highlight w:val="none"/>
            </w:rPr>
            <w:instrText xml:space="preserve"> HYPERLINK \l "_Toc438125216" </w:instrText>
          </w:r>
          <w:r>
            <w:rPr>
              <w:highlight w:val="none"/>
            </w:rPr>
            <w:fldChar w:fldCharType="separate"/>
          </w:r>
          <w:r>
            <w:rPr>
              <w:rStyle w:val="45"/>
              <w:rFonts w:hint="eastAsia" w:ascii="仿宋_GB2312" w:hAnsi="华文仿宋" w:eastAsia="仿宋_GB2312"/>
              <w:highlight w:val="none"/>
            </w:rPr>
            <w:t>第三章</w:t>
          </w:r>
          <w:r>
            <w:rPr>
              <w:rStyle w:val="45"/>
              <w:rFonts w:ascii="仿宋_GB2312" w:hAnsi="华文仿宋" w:eastAsia="仿宋_GB2312"/>
              <w:highlight w:val="none"/>
            </w:rPr>
            <w:t xml:space="preserve"> </w:t>
          </w:r>
          <w:r>
            <w:rPr>
              <w:rStyle w:val="45"/>
              <w:rFonts w:hint="eastAsia" w:ascii="仿宋_GB2312" w:hAnsi="华文仿宋" w:eastAsia="仿宋_GB2312"/>
              <w:highlight w:val="none"/>
            </w:rPr>
            <w:t>注册资本和股东权利</w:t>
          </w:r>
          <w:r>
            <w:rPr>
              <w:rFonts w:ascii="仿宋_GB2312" w:hAnsi="华文仿宋" w:eastAsia="仿宋_GB2312"/>
              <w:highlight w:val="none"/>
            </w:rPr>
            <w:tab/>
          </w:r>
          <w:r>
            <w:rPr>
              <w:rFonts w:ascii="仿宋_GB2312" w:hAnsi="华文仿宋" w:eastAsia="仿宋_GB2312"/>
              <w:highlight w:val="none"/>
            </w:rPr>
            <w:fldChar w:fldCharType="begin"/>
          </w:r>
          <w:r>
            <w:rPr>
              <w:rFonts w:ascii="仿宋_GB2312" w:hAnsi="华文仿宋" w:eastAsia="仿宋_GB2312"/>
              <w:highlight w:val="none"/>
            </w:rPr>
            <w:instrText xml:space="preserve"> PAGEREF _Toc438125216 \h </w:instrText>
          </w:r>
          <w:r>
            <w:rPr>
              <w:rFonts w:ascii="仿宋_GB2312" w:hAnsi="华文仿宋" w:eastAsia="仿宋_GB2312"/>
              <w:highlight w:val="none"/>
            </w:rPr>
            <w:fldChar w:fldCharType="separate"/>
          </w:r>
          <w:r>
            <w:rPr>
              <w:rFonts w:ascii="仿宋_GB2312" w:hAnsi="华文仿宋" w:eastAsia="仿宋_GB2312"/>
              <w:highlight w:val="none"/>
            </w:rPr>
            <w:t>- 5 -</w:t>
          </w:r>
          <w:r>
            <w:rPr>
              <w:rFonts w:ascii="仿宋_GB2312" w:hAnsi="华文仿宋" w:eastAsia="仿宋_GB2312"/>
              <w:highlight w:val="none"/>
            </w:rPr>
            <w:fldChar w:fldCharType="end"/>
          </w:r>
          <w:r>
            <w:rPr>
              <w:rFonts w:ascii="仿宋_GB2312" w:hAnsi="华文仿宋" w:eastAsia="仿宋_GB2312"/>
              <w:highlight w:val="none"/>
            </w:rPr>
            <w:fldChar w:fldCharType="end"/>
          </w:r>
        </w:p>
        <w:p>
          <w:pPr>
            <w:pStyle w:val="29"/>
            <w:rPr>
              <w:rFonts w:ascii="仿宋_GB2312" w:hAnsi="华文仿宋" w:eastAsia="仿宋_GB2312" w:cstheme="minorBidi"/>
              <w:sz w:val="21"/>
              <w:szCs w:val="22"/>
              <w:highlight w:val="none"/>
            </w:rPr>
          </w:pPr>
          <w:r>
            <w:rPr>
              <w:highlight w:val="none"/>
            </w:rPr>
            <w:fldChar w:fldCharType="begin"/>
          </w:r>
          <w:r>
            <w:rPr>
              <w:highlight w:val="none"/>
            </w:rPr>
            <w:instrText xml:space="preserve"> HYPERLINK \l "_Toc438125217" </w:instrText>
          </w:r>
          <w:r>
            <w:rPr>
              <w:highlight w:val="none"/>
            </w:rPr>
            <w:fldChar w:fldCharType="separate"/>
          </w:r>
          <w:r>
            <w:rPr>
              <w:rStyle w:val="45"/>
              <w:rFonts w:hint="eastAsia" w:ascii="仿宋_GB2312" w:hAnsi="华文仿宋" w:eastAsia="仿宋_GB2312"/>
              <w:highlight w:val="none"/>
            </w:rPr>
            <w:t>第四章</w:t>
          </w:r>
          <w:r>
            <w:rPr>
              <w:rStyle w:val="45"/>
              <w:rFonts w:ascii="仿宋_GB2312" w:hAnsi="华文仿宋" w:eastAsia="仿宋_GB2312"/>
              <w:highlight w:val="none"/>
            </w:rPr>
            <w:t xml:space="preserve"> </w:t>
          </w:r>
          <w:r>
            <w:rPr>
              <w:rStyle w:val="45"/>
              <w:rFonts w:hint="eastAsia" w:ascii="仿宋_GB2312" w:hAnsi="华文仿宋" w:eastAsia="仿宋_GB2312"/>
              <w:highlight w:val="none"/>
            </w:rPr>
            <w:t>股东会</w:t>
          </w:r>
          <w:r>
            <w:rPr>
              <w:rFonts w:ascii="仿宋_GB2312" w:hAnsi="华文仿宋" w:eastAsia="仿宋_GB2312"/>
              <w:highlight w:val="none"/>
            </w:rPr>
            <w:tab/>
          </w:r>
          <w:r>
            <w:rPr>
              <w:rFonts w:ascii="仿宋_GB2312" w:hAnsi="华文仿宋" w:eastAsia="仿宋_GB2312"/>
              <w:highlight w:val="none"/>
            </w:rPr>
            <w:fldChar w:fldCharType="begin"/>
          </w:r>
          <w:r>
            <w:rPr>
              <w:rFonts w:ascii="仿宋_GB2312" w:hAnsi="华文仿宋" w:eastAsia="仿宋_GB2312"/>
              <w:highlight w:val="none"/>
            </w:rPr>
            <w:instrText xml:space="preserve"> PAGEREF _Toc438125217 \h </w:instrText>
          </w:r>
          <w:r>
            <w:rPr>
              <w:rFonts w:ascii="仿宋_GB2312" w:hAnsi="华文仿宋" w:eastAsia="仿宋_GB2312"/>
              <w:highlight w:val="none"/>
            </w:rPr>
            <w:fldChar w:fldCharType="separate"/>
          </w:r>
          <w:r>
            <w:rPr>
              <w:rFonts w:ascii="仿宋_GB2312" w:hAnsi="华文仿宋" w:eastAsia="仿宋_GB2312"/>
              <w:highlight w:val="none"/>
            </w:rPr>
            <w:t>- 9 -</w:t>
          </w:r>
          <w:r>
            <w:rPr>
              <w:rFonts w:ascii="仿宋_GB2312" w:hAnsi="华文仿宋" w:eastAsia="仿宋_GB2312"/>
              <w:highlight w:val="none"/>
            </w:rPr>
            <w:fldChar w:fldCharType="end"/>
          </w:r>
          <w:r>
            <w:rPr>
              <w:rFonts w:ascii="仿宋_GB2312" w:hAnsi="华文仿宋" w:eastAsia="仿宋_GB2312"/>
              <w:highlight w:val="none"/>
            </w:rPr>
            <w:fldChar w:fldCharType="end"/>
          </w:r>
        </w:p>
        <w:p>
          <w:pPr>
            <w:pStyle w:val="29"/>
            <w:rPr>
              <w:rFonts w:ascii="仿宋_GB2312" w:hAnsi="华文仿宋" w:eastAsia="仿宋_GB2312" w:cstheme="minorBidi"/>
              <w:sz w:val="21"/>
              <w:szCs w:val="22"/>
              <w:highlight w:val="none"/>
            </w:rPr>
          </w:pPr>
          <w:r>
            <w:rPr>
              <w:highlight w:val="none"/>
            </w:rPr>
            <w:fldChar w:fldCharType="begin"/>
          </w:r>
          <w:r>
            <w:rPr>
              <w:highlight w:val="none"/>
            </w:rPr>
            <w:instrText xml:space="preserve"> HYPERLINK \l "_Toc438125218" </w:instrText>
          </w:r>
          <w:r>
            <w:rPr>
              <w:highlight w:val="none"/>
            </w:rPr>
            <w:fldChar w:fldCharType="separate"/>
          </w:r>
          <w:r>
            <w:rPr>
              <w:rStyle w:val="45"/>
              <w:rFonts w:hint="eastAsia" w:ascii="仿宋_GB2312" w:hAnsi="华文仿宋" w:eastAsia="仿宋_GB2312"/>
              <w:kern w:val="0"/>
              <w:highlight w:val="none"/>
            </w:rPr>
            <w:t>第五章</w:t>
          </w:r>
          <w:r>
            <w:rPr>
              <w:rStyle w:val="45"/>
              <w:rFonts w:ascii="仿宋_GB2312" w:hAnsi="华文仿宋" w:eastAsia="仿宋_GB2312"/>
              <w:kern w:val="0"/>
              <w:highlight w:val="none"/>
            </w:rPr>
            <w:t xml:space="preserve"> </w:t>
          </w:r>
          <w:r>
            <w:rPr>
              <w:rStyle w:val="45"/>
              <w:rFonts w:hint="eastAsia" w:ascii="仿宋_GB2312" w:hAnsi="华文仿宋" w:eastAsia="仿宋_GB2312"/>
              <w:kern w:val="0"/>
              <w:highlight w:val="none"/>
            </w:rPr>
            <w:t>董事会</w:t>
          </w:r>
          <w:r>
            <w:rPr>
              <w:rFonts w:ascii="仿宋_GB2312" w:hAnsi="华文仿宋" w:eastAsia="仿宋_GB2312"/>
              <w:highlight w:val="none"/>
            </w:rPr>
            <w:tab/>
          </w:r>
          <w:r>
            <w:rPr>
              <w:rFonts w:ascii="仿宋_GB2312" w:hAnsi="华文仿宋" w:eastAsia="仿宋_GB2312"/>
              <w:highlight w:val="none"/>
            </w:rPr>
            <w:fldChar w:fldCharType="begin"/>
          </w:r>
          <w:r>
            <w:rPr>
              <w:rFonts w:ascii="仿宋_GB2312" w:hAnsi="华文仿宋" w:eastAsia="仿宋_GB2312"/>
              <w:highlight w:val="none"/>
            </w:rPr>
            <w:instrText xml:space="preserve"> PAGEREF _Toc438125218 \h </w:instrText>
          </w:r>
          <w:r>
            <w:rPr>
              <w:rFonts w:ascii="仿宋_GB2312" w:hAnsi="华文仿宋" w:eastAsia="仿宋_GB2312"/>
              <w:highlight w:val="none"/>
            </w:rPr>
            <w:fldChar w:fldCharType="separate"/>
          </w:r>
          <w:r>
            <w:rPr>
              <w:rFonts w:ascii="仿宋_GB2312" w:hAnsi="华文仿宋" w:eastAsia="仿宋_GB2312"/>
              <w:highlight w:val="none"/>
            </w:rPr>
            <w:t>- 11 -</w:t>
          </w:r>
          <w:r>
            <w:rPr>
              <w:rFonts w:ascii="仿宋_GB2312" w:hAnsi="华文仿宋" w:eastAsia="仿宋_GB2312"/>
              <w:highlight w:val="none"/>
            </w:rPr>
            <w:fldChar w:fldCharType="end"/>
          </w:r>
          <w:r>
            <w:rPr>
              <w:rFonts w:ascii="仿宋_GB2312" w:hAnsi="华文仿宋" w:eastAsia="仿宋_GB2312"/>
              <w:highlight w:val="none"/>
            </w:rPr>
            <w:fldChar w:fldCharType="end"/>
          </w:r>
        </w:p>
        <w:p>
          <w:pPr>
            <w:pStyle w:val="29"/>
            <w:rPr>
              <w:rFonts w:ascii="仿宋_GB2312" w:hAnsi="华文仿宋" w:eastAsia="仿宋_GB2312" w:cstheme="minorBidi"/>
              <w:sz w:val="21"/>
              <w:szCs w:val="22"/>
              <w:highlight w:val="none"/>
            </w:rPr>
          </w:pPr>
          <w:r>
            <w:rPr>
              <w:highlight w:val="none"/>
            </w:rPr>
            <w:fldChar w:fldCharType="begin"/>
          </w:r>
          <w:r>
            <w:rPr>
              <w:highlight w:val="none"/>
            </w:rPr>
            <w:instrText xml:space="preserve"> HYPERLINK \l "_Toc438125219" </w:instrText>
          </w:r>
          <w:r>
            <w:rPr>
              <w:highlight w:val="none"/>
            </w:rPr>
            <w:fldChar w:fldCharType="separate"/>
          </w:r>
          <w:r>
            <w:rPr>
              <w:rStyle w:val="45"/>
              <w:rFonts w:hint="eastAsia" w:ascii="仿宋_GB2312" w:hAnsi="华文仿宋" w:eastAsia="仿宋_GB2312"/>
              <w:kern w:val="0"/>
              <w:highlight w:val="none"/>
            </w:rPr>
            <w:t>第六章</w:t>
          </w:r>
          <w:r>
            <w:rPr>
              <w:rStyle w:val="45"/>
              <w:rFonts w:ascii="仿宋_GB2312" w:hAnsi="华文仿宋" w:eastAsia="仿宋_GB2312"/>
              <w:kern w:val="0"/>
              <w:highlight w:val="none"/>
            </w:rPr>
            <w:t xml:space="preserve"> </w:t>
          </w:r>
          <w:r>
            <w:rPr>
              <w:rStyle w:val="45"/>
              <w:rFonts w:hint="eastAsia" w:ascii="仿宋_GB2312" w:hAnsi="华文仿宋" w:eastAsia="仿宋_GB2312"/>
              <w:kern w:val="0"/>
              <w:highlight w:val="none"/>
            </w:rPr>
            <w:t>监事会</w:t>
          </w:r>
          <w:r>
            <w:rPr>
              <w:rFonts w:ascii="仿宋_GB2312" w:hAnsi="华文仿宋" w:eastAsia="仿宋_GB2312"/>
              <w:highlight w:val="none"/>
            </w:rPr>
            <w:tab/>
          </w:r>
          <w:r>
            <w:rPr>
              <w:rFonts w:ascii="仿宋_GB2312" w:hAnsi="华文仿宋" w:eastAsia="仿宋_GB2312"/>
              <w:highlight w:val="none"/>
            </w:rPr>
            <w:fldChar w:fldCharType="begin"/>
          </w:r>
          <w:r>
            <w:rPr>
              <w:rFonts w:ascii="仿宋_GB2312" w:hAnsi="华文仿宋" w:eastAsia="仿宋_GB2312"/>
              <w:highlight w:val="none"/>
            </w:rPr>
            <w:instrText xml:space="preserve"> PAGEREF _Toc438125219 \h </w:instrText>
          </w:r>
          <w:r>
            <w:rPr>
              <w:rFonts w:ascii="仿宋_GB2312" w:hAnsi="华文仿宋" w:eastAsia="仿宋_GB2312"/>
              <w:highlight w:val="none"/>
            </w:rPr>
            <w:fldChar w:fldCharType="separate"/>
          </w:r>
          <w:r>
            <w:rPr>
              <w:rFonts w:ascii="仿宋_GB2312" w:hAnsi="华文仿宋" w:eastAsia="仿宋_GB2312"/>
              <w:highlight w:val="none"/>
            </w:rPr>
            <w:t>- 14 -</w:t>
          </w:r>
          <w:r>
            <w:rPr>
              <w:rFonts w:ascii="仿宋_GB2312" w:hAnsi="华文仿宋" w:eastAsia="仿宋_GB2312"/>
              <w:highlight w:val="none"/>
            </w:rPr>
            <w:fldChar w:fldCharType="end"/>
          </w:r>
          <w:r>
            <w:rPr>
              <w:rFonts w:ascii="仿宋_GB2312" w:hAnsi="华文仿宋" w:eastAsia="仿宋_GB2312"/>
              <w:highlight w:val="none"/>
            </w:rPr>
            <w:fldChar w:fldCharType="end"/>
          </w:r>
        </w:p>
        <w:p>
          <w:pPr>
            <w:pStyle w:val="29"/>
            <w:rPr>
              <w:rFonts w:ascii="仿宋_GB2312" w:hAnsi="华文仿宋" w:eastAsia="仿宋_GB2312" w:cstheme="minorBidi"/>
              <w:sz w:val="21"/>
              <w:szCs w:val="22"/>
              <w:highlight w:val="none"/>
            </w:rPr>
          </w:pPr>
          <w:r>
            <w:rPr>
              <w:highlight w:val="none"/>
            </w:rPr>
            <w:fldChar w:fldCharType="begin"/>
          </w:r>
          <w:r>
            <w:rPr>
              <w:highlight w:val="none"/>
            </w:rPr>
            <w:instrText xml:space="preserve"> HYPERLINK \l "_Toc438125220" </w:instrText>
          </w:r>
          <w:r>
            <w:rPr>
              <w:highlight w:val="none"/>
            </w:rPr>
            <w:fldChar w:fldCharType="separate"/>
          </w:r>
          <w:r>
            <w:rPr>
              <w:rStyle w:val="45"/>
              <w:rFonts w:hint="eastAsia" w:ascii="仿宋_GB2312" w:hAnsi="华文仿宋" w:eastAsia="仿宋_GB2312"/>
              <w:kern w:val="0"/>
              <w:highlight w:val="none"/>
            </w:rPr>
            <w:t>第七章</w:t>
          </w:r>
          <w:r>
            <w:rPr>
              <w:rStyle w:val="45"/>
              <w:rFonts w:ascii="仿宋_GB2312" w:hAnsi="华文仿宋" w:eastAsia="仿宋_GB2312"/>
              <w:kern w:val="0"/>
              <w:highlight w:val="none"/>
            </w:rPr>
            <w:t xml:space="preserve"> </w:t>
          </w:r>
          <w:r>
            <w:rPr>
              <w:rStyle w:val="45"/>
              <w:rFonts w:hint="eastAsia" w:ascii="仿宋_GB2312" w:hAnsi="华文仿宋" w:eastAsia="仿宋_GB2312"/>
              <w:kern w:val="0"/>
              <w:highlight w:val="none"/>
            </w:rPr>
            <w:t>经营管理机构</w:t>
          </w:r>
          <w:r>
            <w:rPr>
              <w:rFonts w:ascii="仿宋_GB2312" w:hAnsi="华文仿宋" w:eastAsia="仿宋_GB2312"/>
              <w:highlight w:val="none"/>
            </w:rPr>
            <w:tab/>
          </w:r>
          <w:r>
            <w:rPr>
              <w:rFonts w:ascii="仿宋_GB2312" w:hAnsi="华文仿宋" w:eastAsia="仿宋_GB2312"/>
              <w:highlight w:val="none"/>
            </w:rPr>
            <w:fldChar w:fldCharType="begin"/>
          </w:r>
          <w:r>
            <w:rPr>
              <w:rFonts w:ascii="仿宋_GB2312" w:hAnsi="华文仿宋" w:eastAsia="仿宋_GB2312"/>
              <w:highlight w:val="none"/>
            </w:rPr>
            <w:instrText xml:space="preserve"> PAGEREF _Toc438125220 \h </w:instrText>
          </w:r>
          <w:r>
            <w:rPr>
              <w:rFonts w:ascii="仿宋_GB2312" w:hAnsi="华文仿宋" w:eastAsia="仿宋_GB2312"/>
              <w:highlight w:val="none"/>
            </w:rPr>
            <w:fldChar w:fldCharType="separate"/>
          </w:r>
          <w:r>
            <w:rPr>
              <w:rFonts w:ascii="仿宋_GB2312" w:hAnsi="华文仿宋" w:eastAsia="仿宋_GB2312"/>
              <w:highlight w:val="none"/>
            </w:rPr>
            <w:t>- 15 -</w:t>
          </w:r>
          <w:r>
            <w:rPr>
              <w:rFonts w:ascii="仿宋_GB2312" w:hAnsi="华文仿宋" w:eastAsia="仿宋_GB2312"/>
              <w:highlight w:val="none"/>
            </w:rPr>
            <w:fldChar w:fldCharType="end"/>
          </w:r>
          <w:r>
            <w:rPr>
              <w:rFonts w:ascii="仿宋_GB2312" w:hAnsi="华文仿宋" w:eastAsia="仿宋_GB2312"/>
              <w:highlight w:val="none"/>
            </w:rPr>
            <w:fldChar w:fldCharType="end"/>
          </w:r>
        </w:p>
        <w:p>
          <w:pPr>
            <w:pStyle w:val="29"/>
            <w:rPr>
              <w:rFonts w:ascii="仿宋_GB2312" w:hAnsi="华文仿宋" w:eastAsia="仿宋_GB2312" w:cstheme="minorBidi"/>
              <w:sz w:val="21"/>
              <w:szCs w:val="22"/>
              <w:highlight w:val="none"/>
            </w:rPr>
          </w:pPr>
          <w:r>
            <w:rPr>
              <w:highlight w:val="none"/>
            </w:rPr>
            <w:fldChar w:fldCharType="begin"/>
          </w:r>
          <w:r>
            <w:rPr>
              <w:highlight w:val="none"/>
            </w:rPr>
            <w:instrText xml:space="preserve"> HYPERLINK \l "_Toc438125221" </w:instrText>
          </w:r>
          <w:r>
            <w:rPr>
              <w:highlight w:val="none"/>
            </w:rPr>
            <w:fldChar w:fldCharType="separate"/>
          </w:r>
          <w:r>
            <w:rPr>
              <w:rStyle w:val="45"/>
              <w:rFonts w:hint="eastAsia" w:ascii="仿宋_GB2312" w:hAnsi="华文仿宋" w:eastAsia="仿宋_GB2312"/>
              <w:kern w:val="0"/>
              <w:highlight w:val="none"/>
            </w:rPr>
            <w:t>第八章</w:t>
          </w:r>
          <w:r>
            <w:rPr>
              <w:rStyle w:val="45"/>
              <w:rFonts w:ascii="仿宋_GB2312" w:hAnsi="华文仿宋" w:eastAsia="仿宋_GB2312"/>
              <w:kern w:val="0"/>
              <w:highlight w:val="none"/>
            </w:rPr>
            <w:t xml:space="preserve"> </w:t>
          </w:r>
          <w:r>
            <w:rPr>
              <w:rStyle w:val="45"/>
              <w:rFonts w:hint="eastAsia" w:ascii="仿宋_GB2312" w:hAnsi="华文仿宋" w:eastAsia="仿宋_GB2312"/>
              <w:kern w:val="0"/>
              <w:highlight w:val="none"/>
            </w:rPr>
            <w:t>劳动管理与工会</w:t>
          </w:r>
          <w:r>
            <w:rPr>
              <w:rFonts w:ascii="仿宋_GB2312" w:hAnsi="华文仿宋" w:eastAsia="仿宋_GB2312"/>
              <w:highlight w:val="none"/>
            </w:rPr>
            <w:tab/>
          </w:r>
          <w:r>
            <w:rPr>
              <w:rFonts w:ascii="仿宋_GB2312" w:hAnsi="华文仿宋" w:eastAsia="仿宋_GB2312"/>
              <w:highlight w:val="none"/>
            </w:rPr>
            <w:fldChar w:fldCharType="begin"/>
          </w:r>
          <w:r>
            <w:rPr>
              <w:rFonts w:ascii="仿宋_GB2312" w:hAnsi="华文仿宋" w:eastAsia="仿宋_GB2312"/>
              <w:highlight w:val="none"/>
            </w:rPr>
            <w:instrText xml:space="preserve"> PAGEREF _Toc438125221 \h </w:instrText>
          </w:r>
          <w:r>
            <w:rPr>
              <w:rFonts w:ascii="仿宋_GB2312" w:hAnsi="华文仿宋" w:eastAsia="仿宋_GB2312"/>
              <w:highlight w:val="none"/>
            </w:rPr>
            <w:fldChar w:fldCharType="separate"/>
          </w:r>
          <w:r>
            <w:rPr>
              <w:rFonts w:ascii="仿宋_GB2312" w:hAnsi="华文仿宋" w:eastAsia="仿宋_GB2312"/>
              <w:highlight w:val="none"/>
            </w:rPr>
            <w:t>- 16 -</w:t>
          </w:r>
          <w:r>
            <w:rPr>
              <w:rFonts w:ascii="仿宋_GB2312" w:hAnsi="华文仿宋" w:eastAsia="仿宋_GB2312"/>
              <w:highlight w:val="none"/>
            </w:rPr>
            <w:fldChar w:fldCharType="end"/>
          </w:r>
          <w:r>
            <w:rPr>
              <w:rFonts w:ascii="仿宋_GB2312" w:hAnsi="华文仿宋" w:eastAsia="仿宋_GB2312"/>
              <w:highlight w:val="none"/>
            </w:rPr>
            <w:fldChar w:fldCharType="end"/>
          </w:r>
        </w:p>
        <w:p>
          <w:pPr>
            <w:pStyle w:val="29"/>
            <w:rPr>
              <w:rFonts w:ascii="仿宋_GB2312" w:hAnsi="华文仿宋" w:eastAsia="仿宋_GB2312" w:cstheme="minorBidi"/>
              <w:sz w:val="21"/>
              <w:szCs w:val="22"/>
              <w:highlight w:val="none"/>
            </w:rPr>
          </w:pPr>
          <w:r>
            <w:rPr>
              <w:highlight w:val="none"/>
            </w:rPr>
            <w:fldChar w:fldCharType="begin"/>
          </w:r>
          <w:r>
            <w:rPr>
              <w:highlight w:val="none"/>
            </w:rPr>
            <w:instrText xml:space="preserve"> HYPERLINK \l "_Toc438125222" </w:instrText>
          </w:r>
          <w:r>
            <w:rPr>
              <w:highlight w:val="none"/>
            </w:rPr>
            <w:fldChar w:fldCharType="separate"/>
          </w:r>
          <w:r>
            <w:rPr>
              <w:rStyle w:val="45"/>
              <w:rFonts w:hint="eastAsia" w:ascii="仿宋_GB2312" w:hAnsi="华文仿宋" w:eastAsia="仿宋_GB2312"/>
              <w:kern w:val="44"/>
              <w:highlight w:val="none"/>
            </w:rPr>
            <w:t>第九章</w:t>
          </w:r>
          <w:r>
            <w:rPr>
              <w:rStyle w:val="45"/>
              <w:rFonts w:ascii="仿宋_GB2312" w:hAnsi="华文仿宋" w:eastAsia="仿宋_GB2312"/>
              <w:kern w:val="44"/>
              <w:highlight w:val="none"/>
            </w:rPr>
            <w:t xml:space="preserve"> </w:t>
          </w:r>
          <w:r>
            <w:rPr>
              <w:rStyle w:val="45"/>
              <w:rFonts w:hint="eastAsia" w:ascii="仿宋_GB2312" w:hAnsi="华文仿宋" w:eastAsia="仿宋_GB2312"/>
              <w:kern w:val="44"/>
              <w:highlight w:val="none"/>
            </w:rPr>
            <w:t>会计与审计制度</w:t>
          </w:r>
          <w:r>
            <w:rPr>
              <w:rFonts w:ascii="仿宋_GB2312" w:hAnsi="华文仿宋" w:eastAsia="仿宋_GB2312"/>
              <w:highlight w:val="none"/>
            </w:rPr>
            <w:tab/>
          </w:r>
          <w:r>
            <w:rPr>
              <w:rFonts w:ascii="仿宋_GB2312" w:hAnsi="华文仿宋" w:eastAsia="仿宋_GB2312"/>
              <w:highlight w:val="none"/>
            </w:rPr>
            <w:fldChar w:fldCharType="begin"/>
          </w:r>
          <w:r>
            <w:rPr>
              <w:rFonts w:ascii="仿宋_GB2312" w:hAnsi="华文仿宋" w:eastAsia="仿宋_GB2312"/>
              <w:highlight w:val="none"/>
            </w:rPr>
            <w:instrText xml:space="preserve"> PAGEREF _Toc438125222 \h </w:instrText>
          </w:r>
          <w:r>
            <w:rPr>
              <w:rFonts w:ascii="仿宋_GB2312" w:hAnsi="华文仿宋" w:eastAsia="仿宋_GB2312"/>
              <w:highlight w:val="none"/>
            </w:rPr>
            <w:fldChar w:fldCharType="separate"/>
          </w:r>
          <w:r>
            <w:rPr>
              <w:rFonts w:ascii="仿宋_GB2312" w:hAnsi="华文仿宋" w:eastAsia="仿宋_GB2312"/>
              <w:highlight w:val="none"/>
            </w:rPr>
            <w:t>- 18 -</w:t>
          </w:r>
          <w:r>
            <w:rPr>
              <w:rFonts w:ascii="仿宋_GB2312" w:hAnsi="华文仿宋" w:eastAsia="仿宋_GB2312"/>
              <w:highlight w:val="none"/>
            </w:rPr>
            <w:fldChar w:fldCharType="end"/>
          </w:r>
          <w:r>
            <w:rPr>
              <w:rFonts w:ascii="仿宋_GB2312" w:hAnsi="华文仿宋" w:eastAsia="仿宋_GB2312"/>
              <w:highlight w:val="none"/>
            </w:rPr>
            <w:fldChar w:fldCharType="end"/>
          </w:r>
        </w:p>
        <w:p>
          <w:pPr>
            <w:pStyle w:val="29"/>
            <w:rPr>
              <w:rFonts w:ascii="仿宋_GB2312" w:hAnsi="华文仿宋" w:eastAsia="仿宋_GB2312" w:cstheme="minorBidi"/>
              <w:sz w:val="21"/>
              <w:szCs w:val="22"/>
              <w:highlight w:val="none"/>
            </w:rPr>
          </w:pPr>
          <w:r>
            <w:rPr>
              <w:highlight w:val="none"/>
            </w:rPr>
            <w:fldChar w:fldCharType="begin"/>
          </w:r>
          <w:r>
            <w:rPr>
              <w:highlight w:val="none"/>
            </w:rPr>
            <w:instrText xml:space="preserve"> HYPERLINK \l "_Toc438125223" </w:instrText>
          </w:r>
          <w:r>
            <w:rPr>
              <w:highlight w:val="none"/>
            </w:rPr>
            <w:fldChar w:fldCharType="separate"/>
          </w:r>
          <w:r>
            <w:rPr>
              <w:rStyle w:val="45"/>
              <w:rFonts w:hint="eastAsia" w:ascii="仿宋_GB2312" w:hAnsi="华文仿宋" w:eastAsia="仿宋_GB2312"/>
              <w:kern w:val="0"/>
              <w:highlight w:val="none"/>
            </w:rPr>
            <w:t>第十章</w:t>
          </w:r>
          <w:r>
            <w:rPr>
              <w:rStyle w:val="45"/>
              <w:rFonts w:ascii="仿宋_GB2312" w:hAnsi="华文仿宋" w:eastAsia="仿宋_GB2312"/>
              <w:kern w:val="0"/>
              <w:highlight w:val="none"/>
            </w:rPr>
            <w:t xml:space="preserve"> </w:t>
          </w:r>
          <w:r>
            <w:rPr>
              <w:rStyle w:val="45"/>
              <w:rFonts w:hint="eastAsia" w:ascii="仿宋_GB2312" w:hAnsi="华文仿宋" w:eastAsia="仿宋_GB2312"/>
              <w:kern w:val="0"/>
              <w:highlight w:val="none"/>
            </w:rPr>
            <w:t>利润分配与债务承担</w:t>
          </w:r>
          <w:r>
            <w:rPr>
              <w:rFonts w:ascii="仿宋_GB2312" w:hAnsi="华文仿宋" w:eastAsia="仿宋_GB2312"/>
              <w:highlight w:val="none"/>
            </w:rPr>
            <w:tab/>
          </w:r>
          <w:r>
            <w:rPr>
              <w:rFonts w:ascii="仿宋_GB2312" w:hAnsi="华文仿宋" w:eastAsia="仿宋_GB2312"/>
              <w:highlight w:val="none"/>
            </w:rPr>
            <w:fldChar w:fldCharType="begin"/>
          </w:r>
          <w:r>
            <w:rPr>
              <w:rFonts w:ascii="仿宋_GB2312" w:hAnsi="华文仿宋" w:eastAsia="仿宋_GB2312"/>
              <w:highlight w:val="none"/>
            </w:rPr>
            <w:instrText xml:space="preserve"> PAGEREF _Toc438125223 \h </w:instrText>
          </w:r>
          <w:r>
            <w:rPr>
              <w:rFonts w:ascii="仿宋_GB2312" w:hAnsi="华文仿宋" w:eastAsia="仿宋_GB2312"/>
              <w:highlight w:val="none"/>
            </w:rPr>
            <w:fldChar w:fldCharType="separate"/>
          </w:r>
          <w:r>
            <w:rPr>
              <w:rFonts w:ascii="仿宋_GB2312" w:hAnsi="华文仿宋" w:eastAsia="仿宋_GB2312"/>
              <w:highlight w:val="none"/>
            </w:rPr>
            <w:t>- 18 -</w:t>
          </w:r>
          <w:r>
            <w:rPr>
              <w:rFonts w:ascii="仿宋_GB2312" w:hAnsi="华文仿宋" w:eastAsia="仿宋_GB2312"/>
              <w:highlight w:val="none"/>
            </w:rPr>
            <w:fldChar w:fldCharType="end"/>
          </w:r>
          <w:r>
            <w:rPr>
              <w:rFonts w:ascii="仿宋_GB2312" w:hAnsi="华文仿宋" w:eastAsia="仿宋_GB2312"/>
              <w:highlight w:val="none"/>
            </w:rPr>
            <w:fldChar w:fldCharType="end"/>
          </w:r>
        </w:p>
        <w:p>
          <w:pPr>
            <w:pStyle w:val="29"/>
            <w:rPr>
              <w:rFonts w:ascii="仿宋_GB2312" w:hAnsi="华文仿宋" w:eastAsia="仿宋_GB2312" w:cstheme="minorBidi"/>
              <w:sz w:val="21"/>
              <w:szCs w:val="22"/>
              <w:highlight w:val="none"/>
            </w:rPr>
          </w:pPr>
          <w:r>
            <w:rPr>
              <w:highlight w:val="none"/>
            </w:rPr>
            <w:fldChar w:fldCharType="begin"/>
          </w:r>
          <w:r>
            <w:rPr>
              <w:highlight w:val="none"/>
            </w:rPr>
            <w:instrText xml:space="preserve"> HYPERLINK \l "_Toc438125224" </w:instrText>
          </w:r>
          <w:r>
            <w:rPr>
              <w:highlight w:val="none"/>
            </w:rPr>
            <w:fldChar w:fldCharType="separate"/>
          </w:r>
          <w:r>
            <w:rPr>
              <w:rStyle w:val="45"/>
              <w:rFonts w:hint="eastAsia" w:ascii="仿宋_GB2312" w:hAnsi="华文仿宋" w:eastAsia="仿宋_GB2312"/>
              <w:highlight w:val="none"/>
            </w:rPr>
            <w:t>第十一章</w:t>
          </w:r>
          <w:r>
            <w:rPr>
              <w:rStyle w:val="45"/>
              <w:rFonts w:ascii="仿宋_GB2312" w:hAnsi="华文仿宋" w:eastAsia="仿宋_GB2312"/>
              <w:highlight w:val="none"/>
            </w:rPr>
            <w:t xml:space="preserve"> </w:t>
          </w:r>
          <w:r>
            <w:rPr>
              <w:rStyle w:val="45"/>
              <w:rFonts w:hint="eastAsia" w:ascii="仿宋_GB2312" w:hAnsi="华文仿宋" w:eastAsia="仿宋_GB2312"/>
              <w:highlight w:val="none"/>
            </w:rPr>
            <w:t>解散与清算</w:t>
          </w:r>
          <w:r>
            <w:rPr>
              <w:rFonts w:ascii="仿宋_GB2312" w:hAnsi="华文仿宋" w:eastAsia="仿宋_GB2312"/>
              <w:highlight w:val="none"/>
            </w:rPr>
            <w:tab/>
          </w:r>
          <w:r>
            <w:rPr>
              <w:rFonts w:ascii="仿宋_GB2312" w:hAnsi="华文仿宋" w:eastAsia="仿宋_GB2312"/>
              <w:highlight w:val="none"/>
            </w:rPr>
            <w:fldChar w:fldCharType="begin"/>
          </w:r>
          <w:r>
            <w:rPr>
              <w:rFonts w:ascii="仿宋_GB2312" w:hAnsi="华文仿宋" w:eastAsia="仿宋_GB2312"/>
              <w:highlight w:val="none"/>
            </w:rPr>
            <w:instrText xml:space="preserve"> PAGEREF _Toc438125224 \h </w:instrText>
          </w:r>
          <w:r>
            <w:rPr>
              <w:rFonts w:ascii="仿宋_GB2312" w:hAnsi="华文仿宋" w:eastAsia="仿宋_GB2312"/>
              <w:highlight w:val="none"/>
            </w:rPr>
            <w:fldChar w:fldCharType="separate"/>
          </w:r>
          <w:r>
            <w:rPr>
              <w:rFonts w:ascii="仿宋_GB2312" w:hAnsi="华文仿宋" w:eastAsia="仿宋_GB2312"/>
              <w:highlight w:val="none"/>
            </w:rPr>
            <w:t>- 19 -</w:t>
          </w:r>
          <w:r>
            <w:rPr>
              <w:rFonts w:ascii="仿宋_GB2312" w:hAnsi="华文仿宋" w:eastAsia="仿宋_GB2312"/>
              <w:highlight w:val="none"/>
            </w:rPr>
            <w:fldChar w:fldCharType="end"/>
          </w:r>
          <w:r>
            <w:rPr>
              <w:rFonts w:ascii="仿宋_GB2312" w:hAnsi="华文仿宋" w:eastAsia="仿宋_GB2312"/>
              <w:highlight w:val="none"/>
            </w:rPr>
            <w:fldChar w:fldCharType="end"/>
          </w:r>
        </w:p>
        <w:p>
          <w:pPr>
            <w:pStyle w:val="29"/>
            <w:rPr>
              <w:rFonts w:ascii="仿宋_GB2312" w:hAnsi="华文仿宋" w:eastAsia="仿宋_GB2312" w:cstheme="minorBidi"/>
              <w:sz w:val="21"/>
              <w:szCs w:val="22"/>
              <w:highlight w:val="none"/>
            </w:rPr>
          </w:pPr>
          <w:r>
            <w:rPr>
              <w:highlight w:val="none"/>
            </w:rPr>
            <w:fldChar w:fldCharType="begin"/>
          </w:r>
          <w:r>
            <w:rPr>
              <w:highlight w:val="none"/>
            </w:rPr>
            <w:instrText xml:space="preserve"> HYPERLINK \l "_Toc438125225" </w:instrText>
          </w:r>
          <w:r>
            <w:rPr>
              <w:highlight w:val="none"/>
            </w:rPr>
            <w:fldChar w:fldCharType="separate"/>
          </w:r>
          <w:r>
            <w:rPr>
              <w:rStyle w:val="45"/>
              <w:rFonts w:hint="eastAsia" w:ascii="仿宋_GB2312" w:hAnsi="华文仿宋" w:eastAsia="仿宋_GB2312"/>
              <w:kern w:val="0"/>
              <w:highlight w:val="none"/>
            </w:rPr>
            <w:t>第十二章</w:t>
          </w:r>
          <w:r>
            <w:rPr>
              <w:rStyle w:val="45"/>
              <w:rFonts w:ascii="仿宋_GB2312" w:hAnsi="华文仿宋" w:eastAsia="仿宋_GB2312"/>
              <w:kern w:val="0"/>
              <w:highlight w:val="none"/>
            </w:rPr>
            <w:t xml:space="preserve"> </w:t>
          </w:r>
          <w:r>
            <w:rPr>
              <w:rStyle w:val="45"/>
              <w:rFonts w:hint="eastAsia" w:ascii="仿宋_GB2312" w:hAnsi="华文仿宋" w:eastAsia="仿宋_GB2312"/>
              <w:kern w:val="0"/>
              <w:highlight w:val="none"/>
            </w:rPr>
            <w:t>保险</w:t>
          </w:r>
          <w:r>
            <w:rPr>
              <w:rFonts w:ascii="仿宋_GB2312" w:hAnsi="华文仿宋" w:eastAsia="仿宋_GB2312"/>
              <w:highlight w:val="none"/>
            </w:rPr>
            <w:tab/>
          </w:r>
          <w:r>
            <w:rPr>
              <w:rFonts w:ascii="仿宋_GB2312" w:hAnsi="华文仿宋" w:eastAsia="仿宋_GB2312"/>
              <w:highlight w:val="none"/>
            </w:rPr>
            <w:fldChar w:fldCharType="begin"/>
          </w:r>
          <w:r>
            <w:rPr>
              <w:rFonts w:ascii="仿宋_GB2312" w:hAnsi="华文仿宋" w:eastAsia="仿宋_GB2312"/>
              <w:highlight w:val="none"/>
            </w:rPr>
            <w:instrText xml:space="preserve"> PAGEREF _Toc438125225 \h </w:instrText>
          </w:r>
          <w:r>
            <w:rPr>
              <w:rFonts w:ascii="仿宋_GB2312" w:hAnsi="华文仿宋" w:eastAsia="仿宋_GB2312"/>
              <w:highlight w:val="none"/>
            </w:rPr>
            <w:fldChar w:fldCharType="separate"/>
          </w:r>
          <w:r>
            <w:rPr>
              <w:rFonts w:ascii="仿宋_GB2312" w:hAnsi="华文仿宋" w:eastAsia="仿宋_GB2312"/>
              <w:highlight w:val="none"/>
            </w:rPr>
            <w:t>- 22 -</w:t>
          </w:r>
          <w:r>
            <w:rPr>
              <w:rFonts w:ascii="仿宋_GB2312" w:hAnsi="华文仿宋" w:eastAsia="仿宋_GB2312"/>
              <w:highlight w:val="none"/>
            </w:rPr>
            <w:fldChar w:fldCharType="end"/>
          </w:r>
          <w:r>
            <w:rPr>
              <w:rFonts w:ascii="仿宋_GB2312" w:hAnsi="华文仿宋" w:eastAsia="仿宋_GB2312"/>
              <w:highlight w:val="none"/>
            </w:rPr>
            <w:fldChar w:fldCharType="end"/>
          </w:r>
        </w:p>
        <w:p>
          <w:pPr>
            <w:pStyle w:val="29"/>
            <w:rPr>
              <w:rFonts w:ascii="仿宋_GB2312" w:hAnsi="华文仿宋" w:eastAsia="仿宋_GB2312" w:cstheme="minorBidi"/>
              <w:sz w:val="21"/>
              <w:szCs w:val="22"/>
              <w:highlight w:val="none"/>
            </w:rPr>
          </w:pPr>
          <w:r>
            <w:rPr>
              <w:highlight w:val="none"/>
            </w:rPr>
            <w:fldChar w:fldCharType="begin"/>
          </w:r>
          <w:r>
            <w:rPr>
              <w:highlight w:val="none"/>
            </w:rPr>
            <w:instrText xml:space="preserve"> HYPERLINK \l "_Toc438125226" </w:instrText>
          </w:r>
          <w:r>
            <w:rPr>
              <w:highlight w:val="none"/>
            </w:rPr>
            <w:fldChar w:fldCharType="separate"/>
          </w:r>
          <w:r>
            <w:rPr>
              <w:rStyle w:val="45"/>
              <w:rFonts w:hint="eastAsia" w:ascii="仿宋_GB2312" w:hAnsi="华文仿宋" w:eastAsia="仿宋_GB2312"/>
              <w:highlight w:val="none"/>
            </w:rPr>
            <w:t>第十三章</w:t>
          </w:r>
          <w:r>
            <w:rPr>
              <w:rStyle w:val="45"/>
              <w:rFonts w:ascii="仿宋_GB2312" w:hAnsi="华文仿宋" w:eastAsia="仿宋_GB2312"/>
              <w:highlight w:val="none"/>
            </w:rPr>
            <w:t xml:space="preserve"> </w:t>
          </w:r>
          <w:r>
            <w:rPr>
              <w:rStyle w:val="45"/>
              <w:rFonts w:hint="eastAsia" w:ascii="仿宋_GB2312" w:hAnsi="华文仿宋" w:eastAsia="仿宋_GB2312"/>
              <w:highlight w:val="none"/>
            </w:rPr>
            <w:t>保密</w:t>
          </w:r>
          <w:r>
            <w:rPr>
              <w:rFonts w:ascii="仿宋_GB2312" w:hAnsi="华文仿宋" w:eastAsia="仿宋_GB2312"/>
              <w:highlight w:val="none"/>
            </w:rPr>
            <w:tab/>
          </w:r>
          <w:r>
            <w:rPr>
              <w:rFonts w:ascii="仿宋_GB2312" w:hAnsi="华文仿宋" w:eastAsia="仿宋_GB2312"/>
              <w:highlight w:val="none"/>
            </w:rPr>
            <w:fldChar w:fldCharType="begin"/>
          </w:r>
          <w:r>
            <w:rPr>
              <w:rFonts w:ascii="仿宋_GB2312" w:hAnsi="华文仿宋" w:eastAsia="仿宋_GB2312"/>
              <w:highlight w:val="none"/>
            </w:rPr>
            <w:instrText xml:space="preserve"> PAGEREF _Toc438125226 \h </w:instrText>
          </w:r>
          <w:r>
            <w:rPr>
              <w:rFonts w:ascii="仿宋_GB2312" w:hAnsi="华文仿宋" w:eastAsia="仿宋_GB2312"/>
              <w:highlight w:val="none"/>
            </w:rPr>
            <w:fldChar w:fldCharType="separate"/>
          </w:r>
          <w:r>
            <w:rPr>
              <w:rFonts w:ascii="仿宋_GB2312" w:hAnsi="华文仿宋" w:eastAsia="仿宋_GB2312"/>
              <w:highlight w:val="none"/>
            </w:rPr>
            <w:t>- 23 -</w:t>
          </w:r>
          <w:r>
            <w:rPr>
              <w:rFonts w:ascii="仿宋_GB2312" w:hAnsi="华文仿宋" w:eastAsia="仿宋_GB2312"/>
              <w:highlight w:val="none"/>
            </w:rPr>
            <w:fldChar w:fldCharType="end"/>
          </w:r>
          <w:r>
            <w:rPr>
              <w:rFonts w:ascii="仿宋_GB2312" w:hAnsi="华文仿宋" w:eastAsia="仿宋_GB2312"/>
              <w:highlight w:val="none"/>
            </w:rPr>
            <w:fldChar w:fldCharType="end"/>
          </w:r>
        </w:p>
        <w:p>
          <w:pPr>
            <w:pStyle w:val="29"/>
            <w:rPr>
              <w:rFonts w:ascii="仿宋_GB2312" w:hAnsi="华文仿宋" w:eastAsia="仿宋_GB2312" w:cstheme="minorBidi"/>
              <w:sz w:val="21"/>
              <w:szCs w:val="22"/>
              <w:highlight w:val="none"/>
            </w:rPr>
          </w:pPr>
          <w:r>
            <w:rPr>
              <w:highlight w:val="none"/>
            </w:rPr>
            <w:fldChar w:fldCharType="begin"/>
          </w:r>
          <w:r>
            <w:rPr>
              <w:highlight w:val="none"/>
            </w:rPr>
            <w:instrText xml:space="preserve"> HYPERLINK \l "_Toc438125227" </w:instrText>
          </w:r>
          <w:r>
            <w:rPr>
              <w:highlight w:val="none"/>
            </w:rPr>
            <w:fldChar w:fldCharType="separate"/>
          </w:r>
          <w:r>
            <w:rPr>
              <w:rStyle w:val="45"/>
              <w:rFonts w:hint="eastAsia" w:ascii="仿宋_GB2312" w:hAnsi="华文仿宋" w:eastAsia="仿宋_GB2312"/>
              <w:highlight w:val="none"/>
            </w:rPr>
            <w:t>第十四章</w:t>
          </w:r>
          <w:r>
            <w:rPr>
              <w:rStyle w:val="45"/>
              <w:rFonts w:ascii="仿宋_GB2312" w:hAnsi="华文仿宋" w:eastAsia="仿宋_GB2312"/>
              <w:highlight w:val="none"/>
            </w:rPr>
            <w:t xml:space="preserve"> </w:t>
          </w:r>
          <w:r>
            <w:rPr>
              <w:rStyle w:val="45"/>
              <w:rFonts w:hint="eastAsia" w:ascii="仿宋_GB2312" w:hAnsi="华文仿宋" w:eastAsia="仿宋_GB2312"/>
              <w:highlight w:val="none"/>
            </w:rPr>
            <w:t>争议解决</w:t>
          </w:r>
          <w:r>
            <w:rPr>
              <w:rFonts w:ascii="仿宋_GB2312" w:hAnsi="华文仿宋" w:eastAsia="仿宋_GB2312"/>
              <w:highlight w:val="none"/>
            </w:rPr>
            <w:tab/>
          </w:r>
          <w:r>
            <w:rPr>
              <w:rFonts w:ascii="仿宋_GB2312" w:hAnsi="华文仿宋" w:eastAsia="仿宋_GB2312"/>
              <w:highlight w:val="none"/>
            </w:rPr>
            <w:fldChar w:fldCharType="begin"/>
          </w:r>
          <w:r>
            <w:rPr>
              <w:rFonts w:ascii="仿宋_GB2312" w:hAnsi="华文仿宋" w:eastAsia="仿宋_GB2312"/>
              <w:highlight w:val="none"/>
            </w:rPr>
            <w:instrText xml:space="preserve"> PAGEREF _Toc438125227 \h </w:instrText>
          </w:r>
          <w:r>
            <w:rPr>
              <w:rFonts w:ascii="仿宋_GB2312" w:hAnsi="华文仿宋" w:eastAsia="仿宋_GB2312"/>
              <w:highlight w:val="none"/>
            </w:rPr>
            <w:fldChar w:fldCharType="separate"/>
          </w:r>
          <w:r>
            <w:rPr>
              <w:rFonts w:ascii="仿宋_GB2312" w:hAnsi="华文仿宋" w:eastAsia="仿宋_GB2312"/>
              <w:highlight w:val="none"/>
            </w:rPr>
            <w:t>- 23 -</w:t>
          </w:r>
          <w:r>
            <w:rPr>
              <w:rFonts w:ascii="仿宋_GB2312" w:hAnsi="华文仿宋" w:eastAsia="仿宋_GB2312"/>
              <w:highlight w:val="none"/>
            </w:rPr>
            <w:fldChar w:fldCharType="end"/>
          </w:r>
          <w:r>
            <w:rPr>
              <w:rFonts w:ascii="仿宋_GB2312" w:hAnsi="华文仿宋" w:eastAsia="仿宋_GB2312"/>
              <w:highlight w:val="none"/>
            </w:rPr>
            <w:fldChar w:fldCharType="end"/>
          </w:r>
        </w:p>
        <w:p>
          <w:pPr>
            <w:pStyle w:val="29"/>
            <w:rPr>
              <w:rFonts w:ascii="仿宋_GB2312" w:hAnsi="华文仿宋" w:eastAsia="仿宋_GB2312" w:cstheme="minorBidi"/>
              <w:sz w:val="21"/>
              <w:szCs w:val="22"/>
              <w:highlight w:val="none"/>
            </w:rPr>
          </w:pPr>
          <w:r>
            <w:rPr>
              <w:highlight w:val="none"/>
            </w:rPr>
            <w:fldChar w:fldCharType="begin"/>
          </w:r>
          <w:r>
            <w:rPr>
              <w:highlight w:val="none"/>
            </w:rPr>
            <w:instrText xml:space="preserve"> HYPERLINK \l "_Toc438125228" </w:instrText>
          </w:r>
          <w:r>
            <w:rPr>
              <w:highlight w:val="none"/>
            </w:rPr>
            <w:fldChar w:fldCharType="separate"/>
          </w:r>
          <w:r>
            <w:rPr>
              <w:rStyle w:val="45"/>
              <w:rFonts w:hint="eastAsia" w:ascii="仿宋_GB2312" w:hAnsi="华文仿宋" w:eastAsia="仿宋_GB2312"/>
              <w:highlight w:val="none"/>
            </w:rPr>
            <w:t>第十五章</w:t>
          </w:r>
          <w:r>
            <w:rPr>
              <w:rStyle w:val="45"/>
              <w:rFonts w:ascii="仿宋_GB2312" w:hAnsi="华文仿宋" w:eastAsia="仿宋_GB2312"/>
              <w:highlight w:val="none"/>
            </w:rPr>
            <w:t xml:space="preserve"> </w:t>
          </w:r>
          <w:r>
            <w:rPr>
              <w:rStyle w:val="45"/>
              <w:rFonts w:hint="eastAsia" w:ascii="仿宋_GB2312" w:hAnsi="华文仿宋" w:eastAsia="仿宋_GB2312"/>
              <w:highlight w:val="none"/>
            </w:rPr>
            <w:t>通知</w:t>
          </w:r>
          <w:r>
            <w:rPr>
              <w:rFonts w:ascii="仿宋_GB2312" w:hAnsi="华文仿宋" w:eastAsia="仿宋_GB2312"/>
              <w:highlight w:val="none"/>
            </w:rPr>
            <w:tab/>
          </w:r>
          <w:r>
            <w:rPr>
              <w:rFonts w:ascii="仿宋_GB2312" w:hAnsi="华文仿宋" w:eastAsia="仿宋_GB2312"/>
              <w:highlight w:val="none"/>
            </w:rPr>
            <w:fldChar w:fldCharType="begin"/>
          </w:r>
          <w:r>
            <w:rPr>
              <w:rFonts w:ascii="仿宋_GB2312" w:hAnsi="华文仿宋" w:eastAsia="仿宋_GB2312"/>
              <w:highlight w:val="none"/>
            </w:rPr>
            <w:instrText xml:space="preserve"> PAGEREF _Toc438125228 \h </w:instrText>
          </w:r>
          <w:r>
            <w:rPr>
              <w:rFonts w:ascii="仿宋_GB2312" w:hAnsi="华文仿宋" w:eastAsia="仿宋_GB2312"/>
              <w:highlight w:val="none"/>
            </w:rPr>
            <w:fldChar w:fldCharType="separate"/>
          </w:r>
          <w:r>
            <w:rPr>
              <w:rFonts w:ascii="仿宋_GB2312" w:hAnsi="华文仿宋" w:eastAsia="仿宋_GB2312"/>
              <w:highlight w:val="none"/>
            </w:rPr>
            <w:t>- 24 -</w:t>
          </w:r>
          <w:r>
            <w:rPr>
              <w:rFonts w:ascii="仿宋_GB2312" w:hAnsi="华文仿宋" w:eastAsia="仿宋_GB2312"/>
              <w:highlight w:val="none"/>
            </w:rPr>
            <w:fldChar w:fldCharType="end"/>
          </w:r>
          <w:r>
            <w:rPr>
              <w:rFonts w:ascii="仿宋_GB2312" w:hAnsi="华文仿宋" w:eastAsia="仿宋_GB2312"/>
              <w:highlight w:val="none"/>
            </w:rPr>
            <w:fldChar w:fldCharType="end"/>
          </w:r>
        </w:p>
        <w:p>
          <w:pPr>
            <w:pStyle w:val="29"/>
            <w:rPr>
              <w:rFonts w:ascii="仿宋_GB2312" w:hAnsi="华文仿宋" w:eastAsia="仿宋_GB2312" w:cstheme="minorBidi"/>
              <w:sz w:val="21"/>
              <w:szCs w:val="22"/>
              <w:highlight w:val="none"/>
            </w:rPr>
          </w:pPr>
          <w:r>
            <w:rPr>
              <w:highlight w:val="none"/>
            </w:rPr>
            <w:fldChar w:fldCharType="begin"/>
          </w:r>
          <w:r>
            <w:rPr>
              <w:highlight w:val="none"/>
            </w:rPr>
            <w:instrText xml:space="preserve"> HYPERLINK \l "_Toc438125229" </w:instrText>
          </w:r>
          <w:r>
            <w:rPr>
              <w:highlight w:val="none"/>
            </w:rPr>
            <w:fldChar w:fldCharType="separate"/>
          </w:r>
          <w:r>
            <w:rPr>
              <w:rStyle w:val="45"/>
              <w:rFonts w:hint="eastAsia" w:ascii="仿宋_GB2312" w:hAnsi="华文仿宋" w:eastAsia="仿宋_GB2312"/>
              <w:kern w:val="44"/>
              <w:highlight w:val="none"/>
            </w:rPr>
            <w:t>第十六章</w:t>
          </w:r>
          <w:r>
            <w:rPr>
              <w:rStyle w:val="45"/>
              <w:rFonts w:ascii="仿宋_GB2312" w:hAnsi="华文仿宋" w:eastAsia="仿宋_GB2312"/>
              <w:kern w:val="44"/>
              <w:highlight w:val="none"/>
            </w:rPr>
            <w:t xml:space="preserve"> </w:t>
          </w:r>
          <w:r>
            <w:rPr>
              <w:rStyle w:val="45"/>
              <w:rFonts w:hint="eastAsia" w:ascii="仿宋_GB2312" w:hAnsi="华文仿宋" w:eastAsia="仿宋_GB2312"/>
              <w:kern w:val="44"/>
              <w:highlight w:val="none"/>
            </w:rPr>
            <w:t>附则</w:t>
          </w:r>
          <w:r>
            <w:rPr>
              <w:rFonts w:ascii="仿宋_GB2312" w:hAnsi="华文仿宋" w:eastAsia="仿宋_GB2312"/>
              <w:highlight w:val="none"/>
            </w:rPr>
            <w:tab/>
          </w:r>
          <w:r>
            <w:rPr>
              <w:rFonts w:ascii="仿宋_GB2312" w:hAnsi="华文仿宋" w:eastAsia="仿宋_GB2312"/>
              <w:highlight w:val="none"/>
            </w:rPr>
            <w:fldChar w:fldCharType="begin"/>
          </w:r>
          <w:r>
            <w:rPr>
              <w:rFonts w:ascii="仿宋_GB2312" w:hAnsi="华文仿宋" w:eastAsia="仿宋_GB2312"/>
              <w:highlight w:val="none"/>
            </w:rPr>
            <w:instrText xml:space="preserve"> PAGEREF _Toc438125229 \h </w:instrText>
          </w:r>
          <w:r>
            <w:rPr>
              <w:rFonts w:ascii="仿宋_GB2312" w:hAnsi="华文仿宋" w:eastAsia="仿宋_GB2312"/>
              <w:highlight w:val="none"/>
            </w:rPr>
            <w:fldChar w:fldCharType="separate"/>
          </w:r>
          <w:r>
            <w:rPr>
              <w:rFonts w:ascii="仿宋_GB2312" w:hAnsi="华文仿宋" w:eastAsia="仿宋_GB2312"/>
              <w:highlight w:val="none"/>
            </w:rPr>
            <w:t>- 24 -</w:t>
          </w:r>
          <w:r>
            <w:rPr>
              <w:rFonts w:ascii="仿宋_GB2312" w:hAnsi="华文仿宋" w:eastAsia="仿宋_GB2312"/>
              <w:highlight w:val="none"/>
            </w:rPr>
            <w:fldChar w:fldCharType="end"/>
          </w:r>
          <w:r>
            <w:rPr>
              <w:rFonts w:ascii="仿宋_GB2312" w:hAnsi="华文仿宋" w:eastAsia="仿宋_GB2312"/>
              <w:highlight w:val="none"/>
            </w:rPr>
            <w:fldChar w:fldCharType="end"/>
          </w:r>
        </w:p>
        <w:p>
          <w:pPr>
            <w:spacing w:line="360" w:lineRule="auto"/>
            <w:rPr>
              <w:rFonts w:ascii="仿宋_GB2312" w:hAnsi="华文仿宋" w:eastAsia="仿宋_GB2312"/>
              <w:sz w:val="28"/>
              <w:szCs w:val="28"/>
              <w:highlight w:val="none"/>
            </w:rPr>
          </w:pPr>
          <w:r>
            <w:rPr>
              <w:rFonts w:ascii="仿宋_GB2312" w:hAnsi="华文仿宋" w:eastAsia="仿宋_GB2312"/>
              <w:sz w:val="28"/>
              <w:szCs w:val="28"/>
              <w:highlight w:val="none"/>
            </w:rPr>
            <w:fldChar w:fldCharType="end"/>
          </w:r>
        </w:p>
      </w:sdtContent>
    </w:sdt>
    <w:p>
      <w:pPr>
        <w:widowControl/>
        <w:jc w:val="left"/>
        <w:rPr>
          <w:rFonts w:ascii="仿宋_GB2312" w:hAnsi="华文仿宋" w:eastAsia="仿宋_GB2312" w:cs="Times New Roman"/>
          <w:bCs/>
          <w:sz w:val="28"/>
          <w:szCs w:val="28"/>
          <w:highlight w:val="none"/>
        </w:rPr>
      </w:pPr>
      <w:r>
        <w:rPr>
          <w:rFonts w:ascii="仿宋_GB2312" w:hAnsi="华文仿宋" w:eastAsia="仿宋_GB2312" w:cs="Times New Roman"/>
          <w:bCs/>
          <w:sz w:val="28"/>
          <w:szCs w:val="28"/>
          <w:highlight w:val="none"/>
        </w:rPr>
        <w:br w:type="page"/>
      </w:r>
    </w:p>
    <w:p>
      <w:pPr>
        <w:pStyle w:val="2"/>
        <w:numPr>
          <w:ilvl w:val="0"/>
          <w:numId w:val="0"/>
        </w:numPr>
        <w:spacing w:before="120" w:after="120" w:line="360" w:lineRule="auto"/>
        <w:ind w:left="119" w:firstLine="643"/>
        <w:jc w:val="center"/>
        <w:rPr>
          <w:rFonts w:ascii="仿宋_GB2312" w:hAnsi="华文仿宋" w:eastAsia="仿宋_GB2312"/>
          <w:sz w:val="32"/>
          <w:szCs w:val="32"/>
          <w:highlight w:val="none"/>
        </w:rPr>
      </w:pPr>
      <w:r>
        <w:rPr>
          <w:rFonts w:hint="eastAsia" w:ascii="仿宋_GB2312" w:hAnsi="华文仿宋" w:eastAsia="仿宋_GB2312"/>
          <w:sz w:val="32"/>
          <w:szCs w:val="32"/>
          <w:highlight w:val="none"/>
        </w:rPr>
        <w:t>第一章</w:t>
      </w:r>
      <w:r>
        <w:rPr>
          <w:rFonts w:ascii="仿宋_GB2312" w:hAnsi="华文仿宋" w:eastAsia="仿宋_GB2312"/>
          <w:sz w:val="32"/>
          <w:szCs w:val="32"/>
          <w:highlight w:val="none"/>
        </w:rPr>
        <w:t xml:space="preserve">  </w:t>
      </w:r>
      <w:r>
        <w:rPr>
          <w:rFonts w:hint="eastAsia" w:ascii="仿宋_GB2312" w:hAnsi="华文仿宋" w:eastAsia="仿宋_GB2312"/>
          <w:sz w:val="32"/>
          <w:szCs w:val="32"/>
          <w:highlight w:val="none"/>
        </w:rPr>
        <w:t>总则</w:t>
      </w:r>
    </w:p>
    <w:p>
      <w:pPr>
        <w:pStyle w:val="62"/>
        <w:numPr>
          <w:ilvl w:val="0"/>
          <w:numId w:val="3"/>
        </w:numPr>
        <w:adjustRightInd w:val="0"/>
        <w:snapToGrid w:val="0"/>
        <w:spacing w:before="120" w:after="120" w:line="360" w:lineRule="auto"/>
        <w:ind w:left="0" w:firstLine="560"/>
        <w:rPr>
          <w:rFonts w:ascii="仿宋_GB2312" w:hAnsi="华文仿宋" w:eastAsia="仿宋_GB2312"/>
          <w:sz w:val="28"/>
          <w:szCs w:val="28"/>
          <w:highlight w:val="none"/>
        </w:rPr>
      </w:pPr>
      <w:r>
        <w:rPr>
          <w:rFonts w:ascii="仿宋_GB2312" w:hAnsi="华文仿宋" w:eastAsia="仿宋_GB2312"/>
          <w:sz w:val="28"/>
          <w:szCs w:val="28"/>
          <w:highlight w:val="none"/>
        </w:rPr>
        <w:t xml:space="preserve"> </w:t>
      </w:r>
      <w:r>
        <w:rPr>
          <w:rFonts w:hint="eastAsia" w:ascii="仿宋_GB2312" w:hAnsi="华文仿宋" w:eastAsia="仿宋_GB2312"/>
          <w:sz w:val="28"/>
          <w:szCs w:val="28"/>
          <w:highlight w:val="none"/>
        </w:rPr>
        <w:t>《中华人民共和国公司法》及有关法律、法规的规定及《</w:t>
      </w:r>
      <w:r>
        <w:rPr>
          <w:rFonts w:hint="eastAsia" w:ascii="仿宋_GB2312" w:hAnsi="华文仿宋" w:eastAsia="仿宋_GB2312"/>
          <w:bCs/>
          <w:sz w:val="28"/>
          <w:szCs w:val="28"/>
          <w:highlight w:val="none"/>
        </w:rPr>
        <w:t>苏州宿迁工业园区拓园发展项目PPP项目合同》（以下简称“《PPP项目合同》”），</w:t>
      </w:r>
      <w:r>
        <w:rPr>
          <w:rFonts w:hint="eastAsia" w:ascii="仿宋_GB2312" w:hAnsi="华文仿宋" w:eastAsia="仿宋_GB2312"/>
          <w:sz w:val="28"/>
          <w:szCs w:val="28"/>
          <w:highlight w:val="none"/>
        </w:rPr>
        <w:t>（中标社会资本名称）及宿迁交通产业集团有限公司于</w:t>
      </w:r>
      <w:r>
        <w:rPr>
          <w:rFonts w:ascii="仿宋_GB2312" w:hAnsi="华文仿宋" w:eastAsia="仿宋_GB2312"/>
          <w:sz w:val="28"/>
          <w:szCs w:val="28"/>
          <w:highlight w:val="none"/>
          <w:u w:val="single"/>
        </w:rPr>
        <w:t xml:space="preserve">    </w:t>
      </w:r>
      <w:r>
        <w:rPr>
          <w:rFonts w:hint="eastAsia" w:ascii="仿宋_GB2312" w:hAnsi="华文仿宋" w:eastAsia="仿宋_GB2312"/>
          <w:sz w:val="28"/>
          <w:szCs w:val="28"/>
          <w:highlight w:val="none"/>
        </w:rPr>
        <w:t>年</w:t>
      </w:r>
      <w:r>
        <w:rPr>
          <w:rFonts w:ascii="仿宋_GB2312" w:hAnsi="华文仿宋" w:eastAsia="仿宋_GB2312"/>
          <w:sz w:val="28"/>
          <w:szCs w:val="28"/>
          <w:highlight w:val="none"/>
          <w:u w:val="single"/>
        </w:rPr>
        <w:t xml:space="preserve">    </w:t>
      </w:r>
      <w:r>
        <w:rPr>
          <w:rFonts w:hint="eastAsia" w:ascii="仿宋_GB2312" w:hAnsi="华文仿宋" w:eastAsia="仿宋_GB2312"/>
          <w:sz w:val="28"/>
          <w:szCs w:val="28"/>
          <w:highlight w:val="none"/>
        </w:rPr>
        <w:t>月</w:t>
      </w:r>
      <w:r>
        <w:rPr>
          <w:rFonts w:ascii="仿宋_GB2312" w:hAnsi="华文仿宋" w:eastAsia="仿宋_GB2312"/>
          <w:sz w:val="28"/>
          <w:szCs w:val="28"/>
          <w:highlight w:val="none"/>
          <w:u w:val="single"/>
        </w:rPr>
        <w:t xml:space="preserve">    </w:t>
      </w:r>
      <w:r>
        <w:rPr>
          <w:rFonts w:hint="eastAsia" w:ascii="仿宋_GB2312" w:hAnsi="华文仿宋" w:eastAsia="仿宋_GB2312"/>
          <w:sz w:val="28"/>
          <w:szCs w:val="28"/>
          <w:highlight w:val="none"/>
        </w:rPr>
        <w:t>日在</w:t>
      </w:r>
      <w:r>
        <w:rPr>
          <w:rFonts w:ascii="仿宋_GB2312" w:hAnsi="华文仿宋" w:eastAsia="仿宋_GB2312"/>
          <w:sz w:val="28"/>
          <w:szCs w:val="28"/>
          <w:highlight w:val="none"/>
          <w:u w:val="single"/>
        </w:rPr>
        <w:t xml:space="preserve">    </w:t>
      </w:r>
      <w:r>
        <w:rPr>
          <w:rFonts w:hint="eastAsia" w:ascii="仿宋_GB2312" w:hAnsi="华文仿宋" w:eastAsia="仿宋_GB2312"/>
          <w:sz w:val="28"/>
          <w:szCs w:val="28"/>
          <w:highlight w:val="none"/>
        </w:rPr>
        <w:t>签订了《</w:t>
      </w:r>
      <w:r>
        <w:rPr>
          <w:rFonts w:hint="eastAsia" w:ascii="仿宋_GB2312" w:hAnsi="华文仿宋" w:eastAsia="仿宋_GB2312"/>
          <w:bCs/>
          <w:sz w:val="28"/>
          <w:szCs w:val="28"/>
          <w:highlight w:val="none"/>
        </w:rPr>
        <w:t>苏州宿迁工业园区拓园发展项目股东协议</w:t>
      </w:r>
      <w:r>
        <w:rPr>
          <w:rFonts w:hint="eastAsia" w:ascii="仿宋_GB2312" w:hAnsi="华文仿宋" w:eastAsia="仿宋_GB2312"/>
          <w:sz w:val="28"/>
          <w:szCs w:val="28"/>
          <w:highlight w:val="none"/>
        </w:rPr>
        <w:t>》（以下简称“《股东协议》”），由股东协议各方共同出资设立</w:t>
      </w:r>
      <w:r>
        <w:rPr>
          <w:rFonts w:ascii="仿宋_GB2312" w:hAnsi="华文仿宋" w:eastAsia="仿宋_GB2312"/>
          <w:sz w:val="28"/>
          <w:szCs w:val="28"/>
          <w:highlight w:val="none"/>
          <w:u w:val="single"/>
        </w:rPr>
        <w:t xml:space="preserve">        </w:t>
      </w:r>
      <w:r>
        <w:rPr>
          <w:rFonts w:hint="eastAsia" w:ascii="仿宋_GB2312" w:hAnsi="华文仿宋" w:eastAsia="仿宋_GB2312"/>
          <w:sz w:val="28"/>
          <w:szCs w:val="28"/>
          <w:highlight w:val="none"/>
        </w:rPr>
        <w:t>项目公司（以下简称“项目公司”或“公司”），为维护公司、股东和债权人的合法权益，规范公司的组织及行为，经股东各方协商一致，特制定本章程。</w:t>
      </w:r>
    </w:p>
    <w:p>
      <w:pPr>
        <w:pStyle w:val="62"/>
        <w:numPr>
          <w:ilvl w:val="0"/>
          <w:numId w:val="3"/>
        </w:numPr>
        <w:adjustRightInd w:val="0"/>
        <w:snapToGrid w:val="0"/>
        <w:spacing w:before="120" w:after="120" w:line="360" w:lineRule="auto"/>
        <w:ind w:left="0" w:firstLine="560"/>
        <w:rPr>
          <w:rFonts w:ascii="仿宋_GB2312" w:hAnsi="华文仿宋" w:eastAsia="仿宋_GB2312"/>
          <w:sz w:val="28"/>
          <w:szCs w:val="28"/>
          <w:highlight w:val="none"/>
        </w:rPr>
      </w:pPr>
      <w:bookmarkStart w:id="0" w:name="_Toc367133012"/>
      <w:bookmarkEnd w:id="0"/>
      <w:bookmarkStart w:id="1" w:name="_Toc50861717"/>
      <w:bookmarkStart w:id="2" w:name="_Toc51213921"/>
      <w:bookmarkStart w:id="3" w:name="_Toc50861853"/>
      <w:bookmarkStart w:id="4" w:name="_Toc51225599"/>
      <w:bookmarkStart w:id="5" w:name="_Toc123461403"/>
      <w:bookmarkStart w:id="6" w:name="_Toc50860348"/>
      <w:bookmarkStart w:id="7" w:name="_Toc51274096"/>
      <w:bookmarkStart w:id="8" w:name="_Toc50453928"/>
      <w:r>
        <w:rPr>
          <w:rFonts w:ascii="仿宋_GB2312" w:hAnsi="华文仿宋" w:eastAsia="仿宋_GB2312"/>
          <w:sz w:val="28"/>
          <w:szCs w:val="28"/>
          <w:highlight w:val="none"/>
        </w:rPr>
        <w:t xml:space="preserve"> </w:t>
      </w:r>
      <w:bookmarkEnd w:id="1"/>
      <w:bookmarkEnd w:id="2"/>
      <w:bookmarkEnd w:id="3"/>
      <w:bookmarkEnd w:id="4"/>
      <w:bookmarkEnd w:id="5"/>
      <w:bookmarkEnd w:id="6"/>
      <w:bookmarkEnd w:id="7"/>
      <w:bookmarkEnd w:id="8"/>
      <w:r>
        <w:rPr>
          <w:rFonts w:hint="eastAsia" w:ascii="仿宋_GB2312" w:hAnsi="华文仿宋" w:eastAsia="仿宋_GB2312"/>
          <w:sz w:val="28"/>
          <w:szCs w:val="28"/>
          <w:highlight w:val="none"/>
        </w:rPr>
        <w:t>项目公司的名称及住所</w:t>
      </w:r>
    </w:p>
    <w:p>
      <w:pPr>
        <w:adjustRightInd w:val="0"/>
        <w:snapToGrid w:val="0"/>
        <w:spacing w:before="120" w:after="12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公司名称：***【】有限责任公司；</w:t>
      </w:r>
    </w:p>
    <w:p>
      <w:pPr>
        <w:adjustRightInd w:val="0"/>
        <w:snapToGrid w:val="0"/>
        <w:spacing w:before="120" w:after="12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公司住所：***市【】。</w:t>
      </w:r>
    </w:p>
    <w:p>
      <w:pPr>
        <w:pStyle w:val="62"/>
        <w:numPr>
          <w:ilvl w:val="0"/>
          <w:numId w:val="3"/>
        </w:numPr>
        <w:adjustRightInd w:val="0"/>
        <w:snapToGrid w:val="0"/>
        <w:spacing w:before="120" w:after="120" w:line="360" w:lineRule="auto"/>
        <w:ind w:left="0" w:firstLine="560"/>
        <w:rPr>
          <w:rFonts w:ascii="仿宋_GB2312" w:hAnsi="华文仿宋" w:eastAsia="仿宋_GB2312"/>
          <w:sz w:val="28"/>
          <w:szCs w:val="28"/>
          <w:highlight w:val="none"/>
        </w:rPr>
      </w:pPr>
      <w:r>
        <w:rPr>
          <w:rFonts w:ascii="仿宋_GB2312" w:hAnsi="华文仿宋" w:eastAsia="仿宋_GB2312"/>
          <w:sz w:val="28"/>
          <w:szCs w:val="28"/>
          <w:highlight w:val="none"/>
        </w:rPr>
        <w:t xml:space="preserve"> </w:t>
      </w:r>
      <w:r>
        <w:rPr>
          <w:rFonts w:hint="eastAsia" w:ascii="仿宋_GB2312" w:hAnsi="华文仿宋" w:eastAsia="仿宋_GB2312"/>
          <w:sz w:val="28"/>
          <w:szCs w:val="28"/>
          <w:highlight w:val="none"/>
        </w:rPr>
        <w:t>各股东方</w:t>
      </w:r>
    </w:p>
    <w:p>
      <w:pPr>
        <w:adjustRightInd w:val="0"/>
        <w:snapToGrid w:val="0"/>
        <w:spacing w:before="120" w:after="12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宿迁交通产业集团有限公司（以下简称“</w:t>
      </w:r>
      <w:bookmarkStart w:id="9" w:name="_Hlk55322690"/>
      <w:r>
        <w:rPr>
          <w:rFonts w:hint="eastAsia" w:ascii="仿宋_GB2312" w:hAnsi="华文仿宋" w:eastAsia="仿宋_GB2312"/>
          <w:sz w:val="28"/>
          <w:szCs w:val="28"/>
          <w:highlight w:val="none"/>
        </w:rPr>
        <w:t>宿迁交产集团</w:t>
      </w:r>
      <w:bookmarkEnd w:id="9"/>
      <w:r>
        <w:rPr>
          <w:rFonts w:hint="eastAsia" w:ascii="仿宋_GB2312" w:hAnsi="华文仿宋" w:eastAsia="仿宋_GB2312"/>
          <w:sz w:val="28"/>
          <w:szCs w:val="28"/>
          <w:highlight w:val="none"/>
        </w:rPr>
        <w:t>”）</w:t>
      </w:r>
    </w:p>
    <w:p>
      <w:pPr>
        <w:adjustRightInd w:val="0"/>
        <w:snapToGrid w:val="0"/>
        <w:spacing w:before="120" w:after="12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住所：</w:t>
      </w:r>
    </w:p>
    <w:p>
      <w:pPr>
        <w:adjustRightInd w:val="0"/>
        <w:snapToGrid w:val="0"/>
        <w:spacing w:before="120" w:after="12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法定代表人：</w:t>
      </w:r>
    </w:p>
    <w:p>
      <w:pPr>
        <w:adjustRightInd w:val="0"/>
        <w:snapToGrid w:val="0"/>
        <w:spacing w:before="120" w:after="12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中标社会资本：</w:t>
      </w:r>
    </w:p>
    <w:p>
      <w:pPr>
        <w:adjustRightInd w:val="0"/>
        <w:snapToGrid w:val="0"/>
        <w:spacing w:before="120" w:after="12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住所</w:t>
      </w:r>
    </w:p>
    <w:p>
      <w:pPr>
        <w:adjustRightInd w:val="0"/>
        <w:snapToGrid w:val="0"/>
        <w:spacing w:before="120" w:after="12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法定代表人：</w:t>
      </w:r>
    </w:p>
    <w:p>
      <w:pPr>
        <w:pStyle w:val="62"/>
        <w:numPr>
          <w:ilvl w:val="0"/>
          <w:numId w:val="3"/>
        </w:numPr>
        <w:adjustRightInd w:val="0"/>
        <w:snapToGrid w:val="0"/>
        <w:spacing w:before="120" w:after="120" w:line="360" w:lineRule="auto"/>
        <w:ind w:left="0" w:firstLine="560"/>
        <w:rPr>
          <w:rFonts w:ascii="仿宋_GB2312" w:hAnsi="华文仿宋" w:eastAsia="仿宋_GB2312"/>
          <w:sz w:val="28"/>
          <w:szCs w:val="28"/>
          <w:highlight w:val="none"/>
        </w:rPr>
      </w:pPr>
      <w:r>
        <w:rPr>
          <w:rFonts w:ascii="仿宋_GB2312" w:hAnsi="华文仿宋" w:eastAsia="仿宋_GB2312"/>
          <w:sz w:val="28"/>
          <w:szCs w:val="28"/>
          <w:highlight w:val="none"/>
        </w:rPr>
        <w:t xml:space="preserve"> </w:t>
      </w:r>
      <w:r>
        <w:rPr>
          <w:rFonts w:hint="eastAsia" w:ascii="仿宋_GB2312" w:hAnsi="华文仿宋" w:eastAsia="仿宋_GB2312"/>
          <w:sz w:val="28"/>
          <w:szCs w:val="28"/>
          <w:highlight w:val="none"/>
        </w:rPr>
        <w:t>本公司为中国法人，受中国法律管辖和保护。其一切活动必须遵守中国的法律、法规、规章的规定，并遵守《</w:t>
      </w:r>
      <w:r>
        <w:rPr>
          <w:rFonts w:ascii="仿宋_GB2312" w:hAnsi="华文仿宋" w:eastAsia="仿宋_GB2312"/>
          <w:sz w:val="28"/>
          <w:szCs w:val="28"/>
          <w:highlight w:val="none"/>
        </w:rPr>
        <w:t>PPP项目合同》及《股东协议》的约定。如本章程中的各项条款与法律、法规、规章</w:t>
      </w:r>
      <w:r>
        <w:rPr>
          <w:rFonts w:hint="eastAsia" w:ascii="仿宋_GB2312" w:hAnsi="华文仿宋" w:eastAsia="仿宋_GB2312"/>
          <w:sz w:val="28"/>
          <w:szCs w:val="28"/>
          <w:highlight w:val="none"/>
        </w:rPr>
        <w:t>的强制性规定不符或违反《</w:t>
      </w:r>
      <w:r>
        <w:rPr>
          <w:rFonts w:ascii="仿宋_GB2312" w:hAnsi="华文仿宋" w:eastAsia="仿宋_GB2312"/>
          <w:sz w:val="28"/>
          <w:szCs w:val="28"/>
          <w:highlight w:val="none"/>
        </w:rPr>
        <w:t>PPP项目合同》、《股东协议》的约定的，以法律、法规、规章的规定或《PPP项目合同》、《股东协议》的约定为准。</w:t>
      </w:r>
    </w:p>
    <w:p>
      <w:pPr>
        <w:pStyle w:val="62"/>
        <w:numPr>
          <w:ilvl w:val="0"/>
          <w:numId w:val="3"/>
        </w:numPr>
        <w:adjustRightInd w:val="0"/>
        <w:snapToGrid w:val="0"/>
        <w:spacing w:before="120" w:after="120" w:line="360" w:lineRule="auto"/>
        <w:ind w:left="0" w:firstLine="560"/>
        <w:rPr>
          <w:rFonts w:ascii="仿宋_GB2312" w:hAnsi="华文仿宋" w:eastAsia="仿宋_GB2312"/>
          <w:sz w:val="28"/>
          <w:szCs w:val="28"/>
          <w:highlight w:val="none"/>
        </w:rPr>
      </w:pPr>
      <w:r>
        <w:rPr>
          <w:rFonts w:ascii="仿宋_GB2312" w:hAnsi="华文仿宋" w:eastAsia="仿宋_GB2312"/>
          <w:sz w:val="28"/>
          <w:szCs w:val="28"/>
          <w:highlight w:val="none"/>
        </w:rPr>
        <w:t xml:space="preserve"> </w:t>
      </w:r>
      <w:bookmarkStart w:id="10" w:name="_Toc107159085"/>
      <w:bookmarkEnd w:id="10"/>
      <w:bookmarkStart w:id="11" w:name="_Toc107114772"/>
      <w:bookmarkEnd w:id="11"/>
      <w:bookmarkStart w:id="12" w:name="_Toc106760822"/>
      <w:bookmarkEnd w:id="12"/>
      <w:bookmarkStart w:id="13" w:name="_Toc107159084"/>
      <w:bookmarkEnd w:id="13"/>
      <w:bookmarkStart w:id="14" w:name="_Toc106760821"/>
      <w:bookmarkEnd w:id="14"/>
      <w:bookmarkStart w:id="15" w:name="_Toc107114773"/>
      <w:bookmarkEnd w:id="15"/>
      <w:bookmarkStart w:id="16" w:name="_Toc123461409"/>
      <w:bookmarkStart w:id="17" w:name="_Toc107159086"/>
      <w:r>
        <w:rPr>
          <w:rFonts w:hint="eastAsia" w:ascii="仿宋_GB2312" w:hAnsi="华文仿宋" w:eastAsia="仿宋_GB2312"/>
          <w:sz w:val="28"/>
          <w:szCs w:val="28"/>
          <w:highlight w:val="none"/>
        </w:rPr>
        <w:t>项目公司的组织形式</w:t>
      </w:r>
    </w:p>
    <w:p>
      <w:pPr>
        <w:adjustRightInd w:val="0"/>
        <w:snapToGrid w:val="0"/>
        <w:spacing w:before="120" w:after="12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本项目公司为有限责任公司。项目公司以其全部资产对公司的债务承担责任，股东各方以其认缴的出资额为限对公司承担责任。</w:t>
      </w:r>
    </w:p>
    <w:p>
      <w:pPr>
        <w:adjustRightInd w:val="0"/>
        <w:snapToGrid w:val="0"/>
        <w:spacing w:before="120" w:after="120" w:line="360" w:lineRule="auto"/>
        <w:ind w:firstLine="560" w:firstLineChars="200"/>
        <w:rPr>
          <w:rFonts w:ascii="仿宋_GB2312" w:hAnsi="华文仿宋" w:eastAsia="仿宋_GB2312"/>
          <w:sz w:val="28"/>
          <w:szCs w:val="28"/>
          <w:highlight w:val="none"/>
        </w:rPr>
      </w:pPr>
    </w:p>
    <w:p>
      <w:pPr>
        <w:pStyle w:val="2"/>
        <w:numPr>
          <w:ilvl w:val="0"/>
          <w:numId w:val="0"/>
        </w:numPr>
        <w:spacing w:before="120" w:after="120" w:line="360" w:lineRule="auto"/>
        <w:ind w:left="119"/>
        <w:jc w:val="center"/>
        <w:rPr>
          <w:rFonts w:ascii="仿宋_GB2312" w:hAnsi="华文仿宋" w:eastAsia="仿宋_GB2312"/>
          <w:b w:val="0"/>
          <w:bCs w:val="0"/>
          <w:sz w:val="32"/>
          <w:szCs w:val="32"/>
          <w:highlight w:val="none"/>
        </w:rPr>
      </w:pPr>
      <w:r>
        <w:rPr>
          <w:rFonts w:hint="eastAsia" w:ascii="仿宋_GB2312" w:hAnsi="华文仿宋" w:eastAsia="仿宋_GB2312"/>
          <w:sz w:val="32"/>
          <w:szCs w:val="32"/>
          <w:highlight w:val="none"/>
        </w:rPr>
        <w:t>第二章</w:t>
      </w:r>
      <w:r>
        <w:rPr>
          <w:rFonts w:ascii="仿宋_GB2312" w:hAnsi="华文仿宋" w:eastAsia="仿宋_GB2312"/>
          <w:sz w:val="32"/>
          <w:szCs w:val="32"/>
          <w:highlight w:val="none"/>
        </w:rPr>
        <w:t xml:space="preserve"> </w:t>
      </w:r>
      <w:r>
        <w:rPr>
          <w:rFonts w:hint="eastAsia" w:ascii="仿宋_GB2312" w:hAnsi="华文仿宋" w:eastAsia="仿宋_GB2312"/>
          <w:sz w:val="32"/>
          <w:szCs w:val="32"/>
          <w:highlight w:val="none"/>
        </w:rPr>
        <w:t>经营范围及经营期限</w:t>
      </w:r>
    </w:p>
    <w:p>
      <w:pPr>
        <w:pStyle w:val="62"/>
        <w:numPr>
          <w:ilvl w:val="0"/>
          <w:numId w:val="3"/>
        </w:numPr>
        <w:adjustRightInd w:val="0"/>
        <w:snapToGrid w:val="0"/>
        <w:spacing w:before="120" w:beforeLines="50" w:after="120" w:afterLines="50" w:line="360" w:lineRule="auto"/>
        <w:ind w:left="0" w:firstLine="560"/>
        <w:rPr>
          <w:rFonts w:ascii="仿宋_GB2312" w:hAnsi="华文仿宋" w:eastAsia="仿宋_GB2312"/>
          <w:sz w:val="28"/>
          <w:szCs w:val="28"/>
          <w:highlight w:val="none"/>
        </w:rPr>
      </w:pPr>
      <w:r>
        <w:rPr>
          <w:rFonts w:ascii="仿宋_GB2312" w:hAnsi="华文仿宋" w:eastAsia="仿宋_GB2312"/>
          <w:sz w:val="28"/>
          <w:szCs w:val="28"/>
          <w:highlight w:val="none"/>
        </w:rPr>
        <w:t xml:space="preserve"> </w:t>
      </w:r>
      <w:r>
        <w:rPr>
          <w:rFonts w:hint="eastAsia" w:ascii="仿宋_GB2312" w:hAnsi="华文仿宋" w:eastAsia="仿宋_GB2312"/>
          <w:sz w:val="28"/>
          <w:szCs w:val="28"/>
          <w:highlight w:val="none"/>
        </w:rPr>
        <w:t>经营范围</w:t>
      </w:r>
      <w:bookmarkEnd w:id="16"/>
      <w:bookmarkEnd w:id="17"/>
    </w:p>
    <w:p>
      <w:pPr>
        <w:snapToGrid w:val="0"/>
        <w:spacing w:before="120" w:beforeLines="50" w:after="120" w:afterLines="50" w:line="360" w:lineRule="auto"/>
        <w:ind w:firstLine="560" w:firstLineChars="200"/>
        <w:rPr>
          <w:rFonts w:ascii="仿宋_GB2312" w:hAnsi="华文仿宋" w:eastAsia="仿宋_GB2312"/>
          <w:sz w:val="28"/>
          <w:highlight w:val="none"/>
        </w:rPr>
      </w:pPr>
      <w:r>
        <w:rPr>
          <w:rFonts w:hint="eastAsia" w:ascii="仿宋_GB2312" w:hAnsi="华文仿宋" w:eastAsia="仿宋_GB2312"/>
          <w:sz w:val="28"/>
          <w:szCs w:val="28"/>
          <w:highlight w:val="none"/>
        </w:rPr>
        <w:t>项目公司的经营范围为根据《</w:t>
      </w:r>
      <w:r>
        <w:rPr>
          <w:rFonts w:ascii="仿宋_GB2312" w:hAnsi="华文仿宋" w:eastAsia="仿宋_GB2312"/>
          <w:sz w:val="28"/>
          <w:szCs w:val="28"/>
          <w:highlight w:val="none"/>
        </w:rPr>
        <w:t>PPP项目</w:t>
      </w:r>
      <w:r>
        <w:rPr>
          <w:rFonts w:hint="eastAsia" w:ascii="仿宋_GB2312" w:hAnsi="华文仿宋" w:eastAsia="仿宋_GB2312"/>
          <w:sz w:val="28"/>
          <w:szCs w:val="28"/>
          <w:highlight w:val="none"/>
        </w:rPr>
        <w:t>合同》的约定，负责苏州宿迁工业园区拓园发展</w:t>
      </w:r>
      <w:r>
        <w:rPr>
          <w:rFonts w:ascii="仿宋_GB2312" w:hAnsi="华文仿宋" w:eastAsia="仿宋_GB2312"/>
          <w:sz w:val="28"/>
          <w:szCs w:val="28"/>
          <w:highlight w:val="none"/>
        </w:rPr>
        <w:t>PPP项目</w:t>
      </w:r>
      <w:r>
        <w:rPr>
          <w:rFonts w:hint="eastAsia" w:ascii="仿宋_GB2312" w:hAnsi="华文仿宋" w:eastAsia="仿宋_GB2312"/>
          <w:sz w:val="28"/>
          <w:szCs w:val="28"/>
          <w:highlight w:val="none"/>
        </w:rPr>
        <w:t>项下的投融资、设计、建设、运营、维护及产业发展等业务</w:t>
      </w:r>
      <w:r>
        <w:rPr>
          <w:rFonts w:hint="eastAsia" w:ascii="仿宋_GB2312" w:hAnsi="华文仿宋" w:eastAsia="仿宋_GB2312"/>
          <w:sz w:val="28"/>
          <w:highlight w:val="none"/>
        </w:rPr>
        <w:t>（</w:t>
      </w:r>
      <w:r>
        <w:rPr>
          <w:rFonts w:hint="eastAsia" w:ascii="仿宋_GB2312" w:hAnsi="华文仿宋" w:eastAsia="仿宋_GB2312"/>
          <w:sz w:val="28"/>
          <w:szCs w:val="28"/>
          <w:highlight w:val="none"/>
        </w:rPr>
        <w:t>具体以市场监督管理部门登记注册的经营范围为准</w:t>
      </w:r>
      <w:r>
        <w:rPr>
          <w:rFonts w:hint="eastAsia" w:ascii="仿宋_GB2312" w:hAnsi="华文仿宋" w:eastAsia="仿宋_GB2312"/>
          <w:sz w:val="28"/>
          <w:highlight w:val="none"/>
        </w:rPr>
        <w:t>）。</w:t>
      </w:r>
    </w:p>
    <w:p>
      <w:pPr>
        <w:pStyle w:val="62"/>
        <w:numPr>
          <w:ilvl w:val="0"/>
          <w:numId w:val="3"/>
        </w:numPr>
        <w:adjustRightInd w:val="0"/>
        <w:snapToGrid w:val="0"/>
        <w:spacing w:before="120" w:beforeLines="50" w:after="120" w:afterLines="50" w:line="360" w:lineRule="auto"/>
        <w:ind w:left="0" w:firstLine="560"/>
        <w:rPr>
          <w:rFonts w:ascii="仿宋_GB2312" w:hAnsi="华文仿宋" w:eastAsia="仿宋_GB2312"/>
          <w:sz w:val="28"/>
          <w:szCs w:val="28"/>
          <w:highlight w:val="none"/>
        </w:rPr>
      </w:pPr>
      <w:bookmarkStart w:id="18" w:name="_Ref107162920"/>
      <w:bookmarkStart w:id="19" w:name="_Toc123461410"/>
      <w:bookmarkStart w:id="20" w:name="_Toc107159088"/>
      <w:r>
        <w:rPr>
          <w:rFonts w:ascii="仿宋_GB2312" w:hAnsi="华文仿宋" w:eastAsia="仿宋_GB2312"/>
          <w:sz w:val="28"/>
          <w:szCs w:val="28"/>
          <w:highlight w:val="none"/>
        </w:rPr>
        <w:t xml:space="preserve"> </w:t>
      </w:r>
      <w:r>
        <w:rPr>
          <w:rFonts w:hint="eastAsia" w:ascii="仿宋_GB2312" w:hAnsi="华文仿宋" w:eastAsia="仿宋_GB2312"/>
          <w:sz w:val="28"/>
          <w:szCs w:val="28"/>
          <w:highlight w:val="none"/>
        </w:rPr>
        <w:t>经营期限</w:t>
      </w:r>
      <w:bookmarkEnd w:id="18"/>
      <w:bookmarkEnd w:id="19"/>
      <w:bookmarkEnd w:id="20"/>
    </w:p>
    <w:p>
      <w:pPr>
        <w:snapToGrid w:val="0"/>
        <w:spacing w:before="120" w:beforeLines="50" w:after="120" w:afterLines="5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除非出现《</w:t>
      </w:r>
      <w:r>
        <w:rPr>
          <w:rFonts w:ascii="仿宋_GB2312" w:hAnsi="华文仿宋" w:eastAsia="仿宋_GB2312"/>
          <w:sz w:val="28"/>
          <w:szCs w:val="28"/>
          <w:highlight w:val="none"/>
        </w:rPr>
        <w:t>PPP</w:t>
      </w:r>
      <w:r>
        <w:rPr>
          <w:rFonts w:hint="eastAsia" w:ascii="仿宋_GB2312" w:hAnsi="华文仿宋" w:eastAsia="仿宋_GB2312"/>
          <w:sz w:val="28"/>
          <w:szCs w:val="28"/>
          <w:highlight w:val="none"/>
        </w:rPr>
        <w:t>项目合同》及《股东协议》中约定的项目提前终止或延期的情况，项目公司经营期限应自项目公司营业执照签发之日起，至《</w:t>
      </w:r>
      <w:r>
        <w:rPr>
          <w:rFonts w:ascii="仿宋_GB2312" w:hAnsi="华文仿宋" w:eastAsia="仿宋_GB2312"/>
          <w:sz w:val="28"/>
          <w:szCs w:val="28"/>
          <w:highlight w:val="none"/>
        </w:rPr>
        <w:t>PPP项目合同</w:t>
      </w:r>
      <w:r>
        <w:rPr>
          <w:rFonts w:hint="eastAsia" w:ascii="仿宋_GB2312" w:hAnsi="华文仿宋" w:eastAsia="仿宋_GB2312"/>
          <w:sz w:val="28"/>
          <w:szCs w:val="28"/>
          <w:highlight w:val="none"/>
        </w:rPr>
        <w:t>》约定的合作期满后一（</w:t>
      </w:r>
      <w:r>
        <w:rPr>
          <w:rFonts w:ascii="仿宋_GB2312" w:hAnsi="华文仿宋" w:eastAsia="仿宋_GB2312"/>
          <w:sz w:val="28"/>
          <w:szCs w:val="28"/>
          <w:highlight w:val="none"/>
        </w:rPr>
        <w:t>1）年</w:t>
      </w:r>
      <w:r>
        <w:rPr>
          <w:rFonts w:hint="eastAsia" w:ascii="仿宋_GB2312" w:hAnsi="华文仿宋" w:eastAsia="仿宋_GB2312"/>
          <w:sz w:val="28"/>
          <w:szCs w:val="28"/>
          <w:highlight w:val="none"/>
        </w:rPr>
        <w:t>止（具体以市场监督管理部门登记注册的经营期限为准）。</w:t>
      </w:r>
    </w:p>
    <w:p>
      <w:pPr>
        <w:snapToGrid w:val="0"/>
        <w:spacing w:before="120" w:beforeLines="50" w:after="120" w:afterLines="5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股东一方提议延长项目公司期限的，应在约定的项目公司经营期限届满前六个月提出，</w:t>
      </w:r>
      <w:r>
        <w:rPr>
          <w:rFonts w:ascii="仿宋_GB2312" w:hAnsi="华文仿宋" w:eastAsia="仿宋_GB2312"/>
          <w:sz w:val="28"/>
          <w:szCs w:val="28"/>
          <w:highlight w:val="none"/>
        </w:rPr>
        <w:t>经</w:t>
      </w:r>
      <w:r>
        <w:rPr>
          <w:rFonts w:hint="eastAsia" w:ascii="仿宋_GB2312" w:hAnsi="华文仿宋" w:eastAsia="仿宋_GB2312"/>
          <w:sz w:val="28"/>
          <w:szCs w:val="28"/>
          <w:highlight w:val="none"/>
        </w:rPr>
        <w:t>股东会全体一致表决通过后</w:t>
      </w:r>
      <w:r>
        <w:rPr>
          <w:rFonts w:ascii="仿宋_GB2312" w:hAnsi="华文仿宋" w:eastAsia="仿宋_GB2312"/>
          <w:sz w:val="28"/>
          <w:szCs w:val="28"/>
          <w:highlight w:val="none"/>
        </w:rPr>
        <w:t>，</w:t>
      </w:r>
      <w:r>
        <w:rPr>
          <w:rFonts w:hint="eastAsia" w:ascii="仿宋_GB2312" w:hAnsi="华文仿宋" w:eastAsia="仿宋_GB2312"/>
          <w:sz w:val="28"/>
          <w:szCs w:val="28"/>
          <w:highlight w:val="none"/>
        </w:rPr>
        <w:t>向原市场监督管理部门申请延长。</w:t>
      </w:r>
    </w:p>
    <w:p>
      <w:pPr>
        <w:pStyle w:val="62"/>
        <w:numPr>
          <w:ilvl w:val="0"/>
          <w:numId w:val="3"/>
        </w:numPr>
        <w:adjustRightInd w:val="0"/>
        <w:snapToGrid w:val="0"/>
        <w:spacing w:before="120" w:beforeLines="50" w:after="120" w:afterLines="50" w:line="360" w:lineRule="auto"/>
        <w:ind w:left="0" w:firstLine="560"/>
        <w:rPr>
          <w:rFonts w:ascii="仿宋_GB2312" w:hAnsi="华文仿宋" w:eastAsia="仿宋_GB2312"/>
          <w:sz w:val="28"/>
          <w:szCs w:val="28"/>
          <w:highlight w:val="none"/>
        </w:rPr>
      </w:pPr>
      <w:r>
        <w:rPr>
          <w:rFonts w:ascii="仿宋_GB2312" w:hAnsi="华文仿宋" w:eastAsia="仿宋_GB2312"/>
          <w:sz w:val="28"/>
          <w:szCs w:val="28"/>
          <w:highlight w:val="none"/>
        </w:rPr>
        <w:t xml:space="preserve"> </w:t>
      </w:r>
      <w:r>
        <w:rPr>
          <w:rFonts w:hint="eastAsia" w:ascii="仿宋_GB2312" w:hAnsi="华文仿宋" w:eastAsia="仿宋_GB2312"/>
          <w:sz w:val="28"/>
          <w:szCs w:val="28"/>
          <w:highlight w:val="none"/>
        </w:rPr>
        <w:t>各股东方应共同努力及时取得设立公司及开展业务所必要的行政审批。</w:t>
      </w:r>
    </w:p>
    <w:p>
      <w:pPr>
        <w:pStyle w:val="2"/>
        <w:numPr>
          <w:ilvl w:val="0"/>
          <w:numId w:val="0"/>
        </w:numPr>
        <w:spacing w:before="120" w:after="120" w:line="360" w:lineRule="auto"/>
        <w:ind w:left="119"/>
        <w:jc w:val="center"/>
        <w:rPr>
          <w:rFonts w:ascii="仿宋_GB2312" w:hAnsi="华文仿宋" w:eastAsia="仿宋_GB2312"/>
          <w:b w:val="0"/>
          <w:sz w:val="32"/>
          <w:szCs w:val="32"/>
          <w:highlight w:val="none"/>
        </w:rPr>
      </w:pPr>
      <w:bookmarkStart w:id="21" w:name="_Toc438125216"/>
      <w:r>
        <w:rPr>
          <w:rFonts w:hint="eastAsia" w:ascii="仿宋_GB2312" w:hAnsi="华文仿宋" w:eastAsia="仿宋_GB2312"/>
          <w:sz w:val="32"/>
          <w:szCs w:val="32"/>
          <w:highlight w:val="none"/>
        </w:rPr>
        <w:t>第三章</w:t>
      </w:r>
      <w:r>
        <w:rPr>
          <w:rFonts w:ascii="仿宋_GB2312" w:hAnsi="华文仿宋" w:eastAsia="仿宋_GB2312"/>
          <w:sz w:val="32"/>
          <w:szCs w:val="32"/>
          <w:highlight w:val="none"/>
        </w:rPr>
        <w:t xml:space="preserve"> </w:t>
      </w:r>
      <w:r>
        <w:rPr>
          <w:rFonts w:hint="eastAsia" w:ascii="仿宋_GB2312" w:hAnsi="华文仿宋" w:eastAsia="仿宋_GB2312"/>
          <w:sz w:val="32"/>
          <w:szCs w:val="32"/>
          <w:highlight w:val="none"/>
        </w:rPr>
        <w:t>注册资本和股东</w:t>
      </w:r>
      <w:bookmarkEnd w:id="21"/>
      <w:r>
        <w:rPr>
          <w:rFonts w:hint="eastAsia" w:ascii="仿宋_GB2312" w:hAnsi="华文仿宋" w:eastAsia="仿宋_GB2312"/>
          <w:sz w:val="32"/>
          <w:szCs w:val="32"/>
          <w:highlight w:val="none"/>
        </w:rPr>
        <w:t>比例</w:t>
      </w:r>
    </w:p>
    <w:p>
      <w:pPr>
        <w:pStyle w:val="62"/>
        <w:numPr>
          <w:ilvl w:val="0"/>
          <w:numId w:val="3"/>
        </w:numPr>
        <w:adjustRightInd w:val="0"/>
        <w:snapToGrid w:val="0"/>
        <w:spacing w:before="120" w:beforeLines="50" w:after="120" w:afterLines="50" w:line="360" w:lineRule="auto"/>
        <w:ind w:left="0" w:firstLine="560"/>
        <w:rPr>
          <w:rFonts w:ascii="仿宋_GB2312" w:hAnsi="华文仿宋" w:eastAsia="仿宋_GB2312"/>
          <w:sz w:val="28"/>
          <w:szCs w:val="28"/>
          <w:highlight w:val="none"/>
        </w:rPr>
      </w:pPr>
      <w:bookmarkStart w:id="22" w:name="_注册资本"/>
      <w:bookmarkEnd w:id="22"/>
      <w:bookmarkStart w:id="23" w:name="_投资总额"/>
      <w:bookmarkEnd w:id="23"/>
      <w:bookmarkStart w:id="24" w:name="_Toc123461412"/>
      <w:r>
        <w:rPr>
          <w:rFonts w:ascii="仿宋_GB2312" w:hAnsi="华文仿宋" w:eastAsia="仿宋_GB2312"/>
          <w:sz w:val="28"/>
          <w:szCs w:val="28"/>
          <w:highlight w:val="none"/>
        </w:rPr>
        <w:t xml:space="preserve"> 注册资本</w:t>
      </w:r>
      <w:bookmarkEnd w:id="24"/>
    </w:p>
    <w:p>
      <w:pPr>
        <w:pStyle w:val="62"/>
        <w:numPr>
          <w:ilvl w:val="0"/>
          <w:numId w:val="3"/>
        </w:numPr>
        <w:adjustRightInd w:val="0"/>
        <w:snapToGrid w:val="0"/>
        <w:spacing w:before="120" w:beforeLines="50" w:after="120" w:afterLines="50" w:line="360" w:lineRule="auto"/>
        <w:ind w:left="0" w:firstLine="560"/>
        <w:rPr>
          <w:rFonts w:ascii="仿宋_GB2312" w:hAnsi="华文仿宋" w:eastAsia="仿宋_GB2312"/>
          <w:sz w:val="28"/>
          <w:szCs w:val="28"/>
          <w:highlight w:val="none"/>
        </w:rPr>
      </w:pPr>
      <w:r>
        <w:rPr>
          <w:rFonts w:hint="eastAsia" w:ascii="仿宋_GB2312" w:hAnsi="华文仿宋" w:eastAsia="仿宋_GB2312"/>
          <w:sz w:val="28"/>
          <w:szCs w:val="28"/>
          <w:highlight w:val="none"/>
        </w:rPr>
        <w:t>项目公司的注册资本为人民币伍亿壹仟柒佰玖拾贰万零伍佰元整（¥</w:t>
      </w:r>
      <w:r>
        <w:rPr>
          <w:rFonts w:ascii="仿宋_GB2312" w:hAnsi="华文仿宋" w:eastAsia="仿宋_GB2312"/>
          <w:sz w:val="28"/>
          <w:szCs w:val="28"/>
          <w:highlight w:val="none"/>
        </w:rPr>
        <w:t>517,920,500</w:t>
      </w:r>
      <w:r>
        <w:rPr>
          <w:rFonts w:hint="eastAsia" w:ascii="仿宋_GB2312" w:hAnsi="华文仿宋" w:eastAsia="仿宋_GB2312"/>
          <w:sz w:val="28"/>
          <w:szCs w:val="28"/>
          <w:highlight w:val="none"/>
        </w:rPr>
        <w:t>）。</w:t>
      </w:r>
    </w:p>
    <w:p>
      <w:pPr>
        <w:snapToGrid w:val="0"/>
        <w:spacing w:before="120" w:beforeLines="50" w:after="120" w:afterLines="5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若项目建设投资总额增加或融资需要，项目公司应相应调整资本金，由（中标社会资本名称）出资，政府方出资代表不出资，可采用降低宿迁交产集团股权比例的方式，以满足法定要求。</w:t>
      </w:r>
    </w:p>
    <w:p>
      <w:pPr>
        <w:pStyle w:val="62"/>
        <w:numPr>
          <w:ilvl w:val="0"/>
          <w:numId w:val="3"/>
        </w:numPr>
        <w:adjustRightInd w:val="0"/>
        <w:snapToGrid w:val="0"/>
        <w:spacing w:before="120" w:beforeLines="50" w:after="120" w:afterLines="50" w:line="360" w:lineRule="auto"/>
        <w:ind w:left="0" w:firstLine="560"/>
        <w:rPr>
          <w:rFonts w:ascii="仿宋_GB2312" w:hAnsi="华文仿宋" w:eastAsia="仿宋_GB2312"/>
          <w:sz w:val="28"/>
          <w:szCs w:val="28"/>
          <w:highlight w:val="none"/>
        </w:rPr>
      </w:pPr>
      <w:r>
        <w:rPr>
          <w:rFonts w:ascii="仿宋_GB2312" w:hAnsi="华文仿宋" w:eastAsia="仿宋_GB2312"/>
          <w:sz w:val="28"/>
          <w:szCs w:val="28"/>
          <w:highlight w:val="none"/>
        </w:rPr>
        <w:t xml:space="preserve"> </w:t>
      </w:r>
      <w:r>
        <w:rPr>
          <w:rFonts w:hint="eastAsia" w:ascii="仿宋_GB2312" w:hAnsi="华文仿宋" w:eastAsia="仿宋_GB2312"/>
          <w:sz w:val="28"/>
          <w:szCs w:val="28"/>
          <w:highlight w:val="none"/>
        </w:rPr>
        <w:t>出资比例</w:t>
      </w:r>
    </w:p>
    <w:p>
      <w:pPr>
        <w:snapToGrid w:val="0"/>
        <w:spacing w:before="120" w:beforeLines="50" w:after="120" w:afterLines="5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项目公司各股东的出资比例如下所示：</w:t>
      </w:r>
    </w:p>
    <w:tbl>
      <w:tblPr>
        <w:tblStyle w:val="40"/>
        <w:tblW w:w="78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0"/>
        <w:gridCol w:w="2693"/>
        <w:gridCol w:w="1843"/>
        <w:gridCol w:w="2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37" w:hRule="atLeas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pStyle w:val="88"/>
              <w:snapToGrid w:val="0"/>
              <w:spacing w:after="0" w:line="240" w:lineRule="auto"/>
              <w:jc w:val="center"/>
              <w:rPr>
                <w:rFonts w:ascii="仿宋_GB2312" w:hAnsi="华文仿宋" w:eastAsia="仿宋_GB2312" w:cstheme="minorBidi"/>
                <w:b/>
                <w:bCs/>
                <w:sz w:val="28"/>
                <w:szCs w:val="28"/>
                <w:highlight w:val="none"/>
              </w:rPr>
            </w:pPr>
            <w:r>
              <w:rPr>
                <w:rFonts w:ascii="仿宋_GB2312" w:hAnsi="华文仿宋" w:eastAsia="仿宋_GB2312" w:cstheme="minorBidi"/>
                <w:b/>
                <w:bCs/>
                <w:sz w:val="28"/>
                <w:szCs w:val="28"/>
                <w:highlight w:val="none"/>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88"/>
              <w:snapToGrid w:val="0"/>
              <w:spacing w:after="0" w:line="240" w:lineRule="auto"/>
              <w:jc w:val="center"/>
              <w:rPr>
                <w:rFonts w:ascii="仿宋_GB2312" w:hAnsi="华文仿宋" w:eastAsia="仿宋_GB2312" w:cstheme="minorBidi"/>
                <w:b/>
                <w:bCs/>
                <w:sz w:val="28"/>
                <w:szCs w:val="28"/>
                <w:highlight w:val="none"/>
              </w:rPr>
            </w:pPr>
            <w:r>
              <w:rPr>
                <w:rFonts w:ascii="仿宋_GB2312" w:hAnsi="华文仿宋" w:eastAsia="仿宋_GB2312" w:cstheme="minorBidi"/>
                <w:b/>
                <w:bCs/>
                <w:sz w:val="28"/>
                <w:szCs w:val="28"/>
                <w:highlight w:val="none"/>
              </w:rPr>
              <w:t>股东名称</w:t>
            </w: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88"/>
              <w:snapToGrid w:val="0"/>
              <w:spacing w:after="0" w:line="240" w:lineRule="auto"/>
              <w:jc w:val="center"/>
              <w:rPr>
                <w:rFonts w:ascii="仿宋_GB2312" w:hAnsi="华文仿宋" w:eastAsia="仿宋_GB2312" w:cstheme="minorBidi"/>
                <w:b/>
                <w:bCs/>
                <w:sz w:val="28"/>
                <w:szCs w:val="28"/>
                <w:highlight w:val="none"/>
              </w:rPr>
            </w:pPr>
            <w:r>
              <w:rPr>
                <w:rFonts w:ascii="仿宋_GB2312" w:hAnsi="华文仿宋" w:eastAsia="仿宋_GB2312" w:cstheme="minorBidi"/>
                <w:b/>
                <w:bCs/>
                <w:sz w:val="28"/>
                <w:szCs w:val="28"/>
                <w:highlight w:val="none"/>
              </w:rPr>
              <w:t>持股比例</w:t>
            </w:r>
          </w:p>
        </w:tc>
        <w:tc>
          <w:tcPr>
            <w:tcW w:w="2471" w:type="dxa"/>
            <w:tcBorders>
              <w:top w:val="single" w:color="000000" w:sz="4" w:space="0"/>
              <w:left w:val="single" w:color="000000" w:sz="4" w:space="0"/>
              <w:bottom w:val="single" w:color="000000" w:sz="4" w:space="0"/>
              <w:right w:val="single" w:color="000000" w:sz="4" w:space="0"/>
            </w:tcBorders>
            <w:vAlign w:val="center"/>
          </w:tcPr>
          <w:p>
            <w:pPr>
              <w:pStyle w:val="88"/>
              <w:snapToGrid w:val="0"/>
              <w:spacing w:after="0" w:line="240" w:lineRule="auto"/>
              <w:jc w:val="center"/>
              <w:rPr>
                <w:rFonts w:ascii="仿宋_GB2312" w:hAnsi="华文仿宋" w:eastAsia="仿宋_GB2312" w:cstheme="minorBidi"/>
                <w:b/>
                <w:bCs/>
                <w:sz w:val="28"/>
                <w:szCs w:val="28"/>
                <w:highlight w:val="none"/>
              </w:rPr>
            </w:pPr>
            <w:r>
              <w:rPr>
                <w:rFonts w:ascii="仿宋_GB2312" w:hAnsi="华文仿宋" w:eastAsia="仿宋_GB2312" w:cstheme="minorBidi"/>
                <w:b/>
                <w:bCs/>
                <w:sz w:val="28"/>
                <w:szCs w:val="28"/>
                <w:highlight w:val="none"/>
              </w:rPr>
              <w:t>认缴出资数额</w:t>
            </w:r>
          </w:p>
          <w:p>
            <w:pPr>
              <w:pStyle w:val="88"/>
              <w:snapToGrid w:val="0"/>
              <w:spacing w:after="0" w:line="240" w:lineRule="auto"/>
              <w:jc w:val="center"/>
              <w:rPr>
                <w:rFonts w:ascii="仿宋_GB2312" w:hAnsi="华文仿宋" w:eastAsia="仿宋_GB2312" w:cstheme="minorBidi"/>
                <w:b/>
                <w:bCs/>
                <w:sz w:val="28"/>
                <w:szCs w:val="28"/>
                <w:highlight w:val="none"/>
              </w:rPr>
            </w:pPr>
            <w:r>
              <w:rPr>
                <w:rFonts w:hint="eastAsia" w:ascii="仿宋_GB2312" w:hAnsi="华文仿宋" w:eastAsia="仿宋_GB2312" w:cstheme="minorBidi"/>
                <w:b/>
                <w:bCs/>
                <w:sz w:val="28"/>
                <w:szCs w:val="28"/>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74" w:hRule="atLeas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pStyle w:val="88"/>
              <w:snapToGrid w:val="0"/>
              <w:spacing w:before="120" w:after="120" w:line="240" w:lineRule="auto"/>
              <w:jc w:val="center"/>
              <w:rPr>
                <w:rFonts w:ascii="仿宋_GB2312" w:hAnsi="华文仿宋" w:eastAsia="仿宋_GB2312" w:cstheme="minorBidi"/>
                <w:sz w:val="28"/>
                <w:szCs w:val="28"/>
                <w:highlight w:val="none"/>
              </w:rPr>
            </w:pPr>
            <w:r>
              <w:rPr>
                <w:rFonts w:ascii="仿宋_GB2312" w:hAnsi="华文仿宋" w:eastAsia="仿宋_GB2312" w:cstheme="minorBidi"/>
                <w:sz w:val="28"/>
                <w:szCs w:val="28"/>
                <w:highlight w:val="none"/>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jc w:val="center"/>
              <w:rPr>
                <w:rFonts w:ascii="仿宋_GB2312" w:hAnsi="华文仿宋" w:eastAsia="仿宋_GB2312"/>
                <w:sz w:val="28"/>
                <w:szCs w:val="28"/>
                <w:highlight w:val="none"/>
              </w:rPr>
            </w:pPr>
            <w:r>
              <w:rPr>
                <w:rFonts w:hint="eastAsia" w:ascii="仿宋_GB2312" w:hAnsi="华文仿宋" w:eastAsia="仿宋_GB2312"/>
                <w:sz w:val="28"/>
                <w:szCs w:val="28"/>
                <w:highlight w:val="none"/>
              </w:rPr>
              <w:t>宿迁交产集团</w:t>
            </w: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88"/>
              <w:snapToGrid w:val="0"/>
              <w:spacing w:before="120" w:after="120" w:line="240" w:lineRule="auto"/>
              <w:jc w:val="center"/>
              <w:rPr>
                <w:rFonts w:ascii="仿宋_GB2312" w:hAnsi="华文仿宋" w:eastAsia="仿宋_GB2312" w:cstheme="minorBidi"/>
                <w:sz w:val="28"/>
                <w:szCs w:val="28"/>
                <w:highlight w:val="none"/>
              </w:rPr>
            </w:pPr>
            <w:r>
              <w:rPr>
                <w:rFonts w:ascii="仿宋_GB2312" w:hAnsi="华文仿宋" w:eastAsia="仿宋_GB2312" w:cstheme="minorBidi"/>
                <w:sz w:val="28"/>
                <w:szCs w:val="28"/>
                <w:highlight w:val="none"/>
              </w:rPr>
              <w:t>20%</w:t>
            </w:r>
          </w:p>
        </w:tc>
        <w:tc>
          <w:tcPr>
            <w:tcW w:w="2471" w:type="dxa"/>
            <w:tcBorders>
              <w:top w:val="single" w:color="000000" w:sz="4" w:space="0"/>
              <w:left w:val="single" w:color="000000" w:sz="4" w:space="0"/>
              <w:bottom w:val="single" w:color="000000" w:sz="4" w:space="0"/>
              <w:right w:val="single" w:color="000000" w:sz="4" w:space="0"/>
            </w:tcBorders>
            <w:vAlign w:val="center"/>
          </w:tcPr>
          <w:p>
            <w:pPr>
              <w:pStyle w:val="88"/>
              <w:snapToGrid w:val="0"/>
              <w:spacing w:before="120" w:after="120" w:line="240" w:lineRule="auto"/>
              <w:jc w:val="center"/>
              <w:rPr>
                <w:rFonts w:ascii="仿宋_GB2312" w:hAnsi="华文仿宋" w:eastAsia="仿宋_GB2312" w:cstheme="minorBidi"/>
                <w:sz w:val="28"/>
                <w:szCs w:val="28"/>
                <w:highlight w:val="none"/>
              </w:rPr>
            </w:pPr>
            <w:r>
              <w:rPr>
                <w:rFonts w:ascii="仿宋_GB2312" w:hAnsi="华文仿宋" w:eastAsia="仿宋_GB2312" w:cstheme="minorBidi"/>
                <w:sz w:val="28"/>
                <w:szCs w:val="28"/>
                <w:highlight w:val="none"/>
              </w:rPr>
              <w:t>10358.41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7" w:hRule="atLeas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pStyle w:val="88"/>
              <w:snapToGrid w:val="0"/>
              <w:spacing w:before="120" w:after="120" w:line="240" w:lineRule="auto"/>
              <w:jc w:val="center"/>
              <w:rPr>
                <w:rFonts w:ascii="仿宋_GB2312" w:hAnsi="华文仿宋" w:eastAsia="仿宋_GB2312" w:cstheme="minorBidi"/>
                <w:sz w:val="28"/>
                <w:szCs w:val="28"/>
                <w:highlight w:val="none"/>
              </w:rPr>
            </w:pPr>
            <w:bookmarkStart w:id="25" w:name="_Hlk55322713"/>
            <w:r>
              <w:rPr>
                <w:rFonts w:ascii="仿宋_GB2312" w:hAnsi="华文仿宋" w:eastAsia="仿宋_GB2312" w:cstheme="minorBidi"/>
                <w:sz w:val="28"/>
                <w:szCs w:val="28"/>
                <w:highlight w:val="none"/>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88"/>
              <w:snapToGrid w:val="0"/>
              <w:spacing w:before="120" w:after="120" w:line="240" w:lineRule="auto"/>
              <w:jc w:val="center"/>
              <w:rPr>
                <w:rFonts w:ascii="仿宋_GB2312" w:hAnsi="华文仿宋" w:eastAsia="仿宋_GB2312" w:cstheme="minorBidi"/>
                <w:sz w:val="28"/>
                <w:szCs w:val="28"/>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88"/>
              <w:snapToGrid w:val="0"/>
              <w:spacing w:before="120" w:after="120" w:line="240" w:lineRule="auto"/>
              <w:jc w:val="center"/>
              <w:rPr>
                <w:rFonts w:ascii="仿宋_GB2312" w:hAnsi="华文仿宋" w:eastAsia="仿宋_GB2312" w:cstheme="minorBidi"/>
                <w:sz w:val="28"/>
                <w:szCs w:val="28"/>
                <w:highlight w:val="none"/>
              </w:rPr>
            </w:pPr>
          </w:p>
        </w:tc>
        <w:tc>
          <w:tcPr>
            <w:tcW w:w="2471" w:type="dxa"/>
            <w:tcBorders>
              <w:top w:val="single" w:color="000000" w:sz="4" w:space="0"/>
              <w:left w:val="single" w:color="000000" w:sz="4" w:space="0"/>
              <w:bottom w:val="single" w:color="000000" w:sz="4" w:space="0"/>
              <w:right w:val="single" w:color="000000" w:sz="4" w:space="0"/>
            </w:tcBorders>
            <w:vAlign w:val="center"/>
          </w:tcPr>
          <w:p>
            <w:pPr>
              <w:pStyle w:val="88"/>
              <w:snapToGrid w:val="0"/>
              <w:spacing w:before="120" w:after="120" w:line="240" w:lineRule="auto"/>
              <w:jc w:val="center"/>
              <w:rPr>
                <w:rFonts w:ascii="仿宋_GB2312" w:hAnsi="华文仿宋" w:eastAsia="仿宋_GB2312" w:cstheme="minorBidi"/>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7" w:hRule="atLeas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pStyle w:val="88"/>
              <w:snapToGrid w:val="0"/>
              <w:spacing w:before="120" w:after="120" w:line="240" w:lineRule="auto"/>
              <w:jc w:val="center"/>
              <w:rPr>
                <w:rFonts w:ascii="仿宋_GB2312" w:hAnsi="华文仿宋" w:eastAsia="仿宋_GB2312" w:cstheme="minorBidi"/>
                <w:sz w:val="28"/>
                <w:szCs w:val="28"/>
                <w:highlight w:val="none"/>
              </w:rPr>
            </w:pPr>
            <w:r>
              <w:rPr>
                <w:rFonts w:ascii="仿宋_GB2312" w:hAnsi="华文仿宋" w:eastAsia="仿宋_GB2312" w:cstheme="minorBidi"/>
                <w:sz w:val="28"/>
                <w:szCs w:val="28"/>
                <w:highlight w:val="none"/>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88"/>
              <w:snapToGrid w:val="0"/>
              <w:spacing w:before="120" w:after="120" w:line="240" w:lineRule="auto"/>
              <w:jc w:val="center"/>
              <w:rPr>
                <w:rFonts w:ascii="仿宋_GB2312" w:hAnsi="华文仿宋" w:eastAsia="仿宋_GB2312" w:cstheme="minorBidi"/>
                <w:sz w:val="28"/>
                <w:szCs w:val="28"/>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88"/>
              <w:snapToGrid w:val="0"/>
              <w:spacing w:before="120" w:after="120" w:line="240" w:lineRule="auto"/>
              <w:jc w:val="center"/>
              <w:rPr>
                <w:rFonts w:ascii="仿宋_GB2312" w:hAnsi="华文仿宋" w:eastAsia="仿宋_GB2312" w:cstheme="minorBidi"/>
                <w:sz w:val="28"/>
                <w:szCs w:val="28"/>
                <w:highlight w:val="none"/>
              </w:rPr>
            </w:pPr>
          </w:p>
        </w:tc>
        <w:tc>
          <w:tcPr>
            <w:tcW w:w="2471" w:type="dxa"/>
            <w:tcBorders>
              <w:top w:val="single" w:color="000000" w:sz="4" w:space="0"/>
              <w:left w:val="single" w:color="000000" w:sz="4" w:space="0"/>
              <w:bottom w:val="single" w:color="000000" w:sz="4" w:space="0"/>
              <w:right w:val="single" w:color="000000" w:sz="4" w:space="0"/>
            </w:tcBorders>
            <w:vAlign w:val="center"/>
          </w:tcPr>
          <w:p>
            <w:pPr>
              <w:pStyle w:val="88"/>
              <w:snapToGrid w:val="0"/>
              <w:spacing w:before="120" w:after="120" w:line="240" w:lineRule="auto"/>
              <w:jc w:val="center"/>
              <w:rPr>
                <w:rFonts w:ascii="仿宋_GB2312" w:hAnsi="华文仿宋" w:eastAsia="仿宋_GB2312" w:cstheme="minorBidi"/>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9" w:hRule="atLeas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pStyle w:val="88"/>
              <w:snapToGrid w:val="0"/>
              <w:spacing w:before="120" w:after="120" w:line="240" w:lineRule="auto"/>
              <w:jc w:val="center"/>
              <w:rPr>
                <w:rFonts w:ascii="仿宋_GB2312" w:hAnsi="华文仿宋" w:eastAsia="仿宋_GB2312" w:cstheme="minorBidi"/>
                <w:sz w:val="28"/>
                <w:szCs w:val="28"/>
                <w:highlight w:val="none"/>
              </w:rPr>
            </w:pPr>
            <w:r>
              <w:rPr>
                <w:rFonts w:ascii="仿宋_GB2312" w:hAnsi="华文仿宋" w:eastAsia="仿宋_GB2312" w:cstheme="minorBidi"/>
                <w:sz w:val="28"/>
                <w:szCs w:val="28"/>
                <w:highlight w:val="none"/>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jc w:val="center"/>
              <w:rPr>
                <w:rFonts w:ascii="仿宋_GB2312" w:hAnsi="华文仿宋" w:eastAsia="仿宋_GB2312"/>
                <w:sz w:val="28"/>
                <w:szCs w:val="28"/>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88"/>
              <w:snapToGrid w:val="0"/>
              <w:spacing w:before="120" w:after="120" w:line="240" w:lineRule="auto"/>
              <w:jc w:val="center"/>
              <w:rPr>
                <w:rFonts w:ascii="仿宋_GB2312" w:hAnsi="华文仿宋" w:eastAsia="仿宋_GB2312" w:cstheme="minorBidi"/>
                <w:sz w:val="28"/>
                <w:szCs w:val="28"/>
                <w:highlight w:val="none"/>
              </w:rPr>
            </w:pPr>
          </w:p>
        </w:tc>
        <w:tc>
          <w:tcPr>
            <w:tcW w:w="2471" w:type="dxa"/>
            <w:tcBorders>
              <w:top w:val="single" w:color="000000" w:sz="4" w:space="0"/>
              <w:left w:val="single" w:color="000000" w:sz="4" w:space="0"/>
              <w:bottom w:val="single" w:color="000000" w:sz="4" w:space="0"/>
              <w:right w:val="single" w:color="000000" w:sz="4" w:space="0"/>
            </w:tcBorders>
            <w:vAlign w:val="center"/>
          </w:tcPr>
          <w:p>
            <w:pPr>
              <w:pStyle w:val="88"/>
              <w:snapToGrid w:val="0"/>
              <w:spacing w:before="120" w:after="120" w:line="240" w:lineRule="auto"/>
              <w:jc w:val="center"/>
              <w:rPr>
                <w:rFonts w:ascii="仿宋_GB2312" w:hAnsi="华文仿宋" w:eastAsia="仿宋_GB2312" w:cstheme="minorBidi"/>
                <w:sz w:val="28"/>
                <w:szCs w:val="28"/>
                <w:highlight w:val="none"/>
              </w:rPr>
            </w:pPr>
          </w:p>
        </w:tc>
      </w:tr>
      <w:bookmarkEnd w:id="25"/>
    </w:tbl>
    <w:p>
      <w:pPr>
        <w:pStyle w:val="62"/>
        <w:numPr>
          <w:ilvl w:val="0"/>
          <w:numId w:val="3"/>
        </w:numPr>
        <w:adjustRightInd w:val="0"/>
        <w:snapToGrid w:val="0"/>
        <w:spacing w:before="120" w:beforeLines="50" w:after="120" w:afterLines="50" w:line="360" w:lineRule="auto"/>
        <w:ind w:left="0" w:firstLine="560"/>
        <w:rPr>
          <w:rFonts w:ascii="仿宋_GB2312" w:hAnsi="华文仿宋" w:eastAsia="仿宋_GB2312"/>
          <w:sz w:val="28"/>
          <w:szCs w:val="28"/>
          <w:highlight w:val="none"/>
        </w:rPr>
      </w:pPr>
      <w:r>
        <w:rPr>
          <w:rFonts w:ascii="仿宋_GB2312" w:hAnsi="华文仿宋" w:eastAsia="仿宋_GB2312"/>
          <w:sz w:val="28"/>
          <w:szCs w:val="28"/>
          <w:highlight w:val="none"/>
        </w:rPr>
        <w:t xml:space="preserve"> </w:t>
      </w:r>
      <w:r>
        <w:rPr>
          <w:rFonts w:hint="eastAsia" w:ascii="仿宋_GB2312" w:hAnsi="华文仿宋" w:eastAsia="仿宋_GB2312"/>
          <w:sz w:val="28"/>
          <w:szCs w:val="28"/>
          <w:highlight w:val="none"/>
        </w:rPr>
        <w:t>出资形式</w:t>
      </w:r>
    </w:p>
    <w:p>
      <w:pPr>
        <w:snapToGrid w:val="0"/>
        <w:spacing w:before="120" w:beforeLines="50" w:after="120" w:afterLines="50"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股东各方均须以货币形式出资</w:t>
      </w:r>
      <w:r>
        <w:rPr>
          <w:rFonts w:ascii="仿宋_GB2312" w:eastAsia="仿宋_GB2312"/>
          <w:sz w:val="28"/>
          <w:szCs w:val="28"/>
          <w:highlight w:val="none"/>
        </w:rPr>
        <w:t>。</w:t>
      </w:r>
    </w:p>
    <w:p>
      <w:pPr>
        <w:pStyle w:val="62"/>
        <w:numPr>
          <w:ilvl w:val="0"/>
          <w:numId w:val="3"/>
        </w:numPr>
        <w:adjustRightInd w:val="0"/>
        <w:snapToGrid w:val="0"/>
        <w:spacing w:before="120" w:beforeLines="50" w:after="120" w:afterLines="50" w:line="360" w:lineRule="auto"/>
        <w:ind w:left="0" w:firstLine="560"/>
        <w:rPr>
          <w:rFonts w:ascii="仿宋_GB2312" w:hAnsi="华文仿宋" w:eastAsia="仿宋_GB2312"/>
          <w:sz w:val="28"/>
          <w:szCs w:val="28"/>
          <w:highlight w:val="none"/>
        </w:rPr>
      </w:pPr>
      <w:r>
        <w:rPr>
          <w:rFonts w:ascii="仿宋_GB2312" w:hAnsi="华文仿宋" w:eastAsia="仿宋_GB2312" w:cstheme="minorBidi"/>
          <w:sz w:val="28"/>
          <w:szCs w:val="28"/>
          <w:highlight w:val="none"/>
        </w:rPr>
        <w:t xml:space="preserve"> </w:t>
      </w:r>
      <w:bookmarkStart w:id="26" w:name="_Toc123461414"/>
      <w:r>
        <w:rPr>
          <w:rFonts w:hint="eastAsia" w:ascii="仿宋_GB2312" w:hAnsi="华文仿宋" w:eastAsia="仿宋_GB2312"/>
          <w:sz w:val="28"/>
          <w:szCs w:val="28"/>
          <w:highlight w:val="none"/>
        </w:rPr>
        <w:t>出资期限</w:t>
      </w:r>
      <w:bookmarkEnd w:id="26"/>
    </w:p>
    <w:p>
      <w:pPr>
        <w:snapToGrid w:val="0"/>
        <w:spacing w:before="120" w:beforeLines="50" w:after="120" w:afterLines="50"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公司的首期注册资本金额为人民</w:t>
      </w:r>
      <w:r>
        <w:rPr>
          <w:rFonts w:ascii="仿宋_GB2312" w:eastAsia="仿宋_GB2312"/>
          <w:sz w:val="28"/>
          <w:szCs w:val="28"/>
          <w:highlight w:val="none"/>
        </w:rPr>
        <w:t>25000万元，股东各方须于公司</w:t>
      </w:r>
      <w:r>
        <w:rPr>
          <w:rFonts w:hint="eastAsia" w:ascii="仿宋_GB2312" w:eastAsia="仿宋_GB2312"/>
          <w:sz w:val="28"/>
          <w:szCs w:val="28"/>
          <w:highlight w:val="none"/>
        </w:rPr>
        <w:t>领取营业执照之日起</w:t>
      </w:r>
      <w:r>
        <w:rPr>
          <w:rFonts w:ascii="仿宋_GB2312" w:eastAsia="仿宋_GB2312"/>
          <w:sz w:val="28"/>
          <w:szCs w:val="28"/>
          <w:highlight w:val="none"/>
        </w:rPr>
        <w:t>60日内按照股权比例实缴到位</w:t>
      </w:r>
      <w:r>
        <w:rPr>
          <w:rFonts w:hint="eastAsia" w:ascii="仿宋_GB2312" w:eastAsia="仿宋_GB2312"/>
          <w:sz w:val="28"/>
          <w:szCs w:val="28"/>
          <w:highlight w:val="none"/>
        </w:rPr>
        <w:t>。</w:t>
      </w:r>
    </w:p>
    <w:p>
      <w:pPr>
        <w:snapToGrid w:val="0"/>
        <w:spacing w:before="120" w:beforeLines="50" w:after="120" w:afterLines="50"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公司的剩余注册资本由各股东方根据项目实施进度进行缴纳，所有股东方须在</w:t>
      </w:r>
      <w:r>
        <w:rPr>
          <w:rFonts w:ascii="仿宋_GB2312" w:eastAsia="仿宋_GB2312"/>
          <w:sz w:val="28"/>
          <w:szCs w:val="28"/>
          <w:highlight w:val="none"/>
        </w:rPr>
        <w:t xml:space="preserve"> 2022年12月31日前将应缴注册资本按照股权比例全部实缴到位。</w:t>
      </w:r>
    </w:p>
    <w:p>
      <w:pPr>
        <w:snapToGrid w:val="0"/>
        <w:spacing w:before="120" w:beforeLines="50" w:after="120" w:afterLines="50" w:line="360" w:lineRule="auto"/>
        <w:ind w:firstLine="560" w:firstLineChars="200"/>
        <w:rPr>
          <w:rFonts w:ascii="仿宋_GB2312" w:eastAsia="仿宋_GB2312"/>
          <w:sz w:val="28"/>
          <w:szCs w:val="28"/>
          <w:highlight w:val="none"/>
        </w:rPr>
      </w:pPr>
      <w:r>
        <w:rPr>
          <w:rFonts w:hint="eastAsia" w:ascii="仿宋_GB2312" w:eastAsia="仿宋_GB2312"/>
          <w:sz w:val="28"/>
          <w:szCs w:val="28"/>
          <w:highlight w:val="none"/>
        </w:rPr>
        <w:t>如果任何一方无正当理由未能按本章程第十一条及第十二条的规定缴付出资，即视同该方违约。违约方应按照股东协议第</w:t>
      </w:r>
      <w:r>
        <w:rPr>
          <w:rFonts w:ascii="仿宋_GB2312" w:eastAsia="仿宋_GB2312"/>
          <w:sz w:val="28"/>
          <w:szCs w:val="28"/>
          <w:highlight w:val="none"/>
        </w:rPr>
        <w:t xml:space="preserve">      条款的约定</w:t>
      </w:r>
      <w:r>
        <w:rPr>
          <w:rFonts w:hint="eastAsia" w:ascii="仿宋_GB2312" w:eastAsia="仿宋_GB2312"/>
          <w:sz w:val="28"/>
          <w:szCs w:val="28"/>
          <w:highlight w:val="none"/>
        </w:rPr>
        <w:t>向遵守出资义务的股东他方（下称“守约方”）承担违约责任（每逾期一日按逾期未缴纳金额的万分之三计算违约金），同时应依约履行出资义务和赔偿因其违约而使守约方遭受的任何直接和间接损失和损害。</w:t>
      </w:r>
    </w:p>
    <w:p>
      <w:pPr>
        <w:pStyle w:val="62"/>
        <w:numPr>
          <w:ilvl w:val="0"/>
          <w:numId w:val="3"/>
        </w:numPr>
        <w:adjustRightInd w:val="0"/>
        <w:snapToGrid w:val="0"/>
        <w:spacing w:before="120" w:beforeLines="50" w:after="120" w:afterLines="50" w:line="360" w:lineRule="auto"/>
        <w:ind w:left="0" w:firstLine="560"/>
        <w:rPr>
          <w:rFonts w:ascii="仿宋_GB2312" w:hAnsi="华文仿宋" w:eastAsia="仿宋_GB2312"/>
          <w:sz w:val="28"/>
          <w:szCs w:val="28"/>
          <w:highlight w:val="none"/>
        </w:rPr>
      </w:pPr>
      <w:bookmarkStart w:id="27" w:name="_Toc123461415"/>
      <w:r>
        <w:rPr>
          <w:rFonts w:ascii="仿宋_GB2312" w:hAnsi="华文仿宋" w:eastAsia="仿宋_GB2312"/>
          <w:sz w:val="28"/>
          <w:szCs w:val="28"/>
          <w:highlight w:val="none"/>
        </w:rPr>
        <w:t xml:space="preserve"> </w:t>
      </w:r>
      <w:r>
        <w:rPr>
          <w:rFonts w:hint="eastAsia" w:ascii="仿宋_GB2312" w:hAnsi="华文仿宋" w:eastAsia="仿宋_GB2312"/>
          <w:sz w:val="28"/>
          <w:szCs w:val="28"/>
          <w:highlight w:val="none"/>
        </w:rPr>
        <w:t>出资证明书及股东名册</w:t>
      </w:r>
      <w:bookmarkEnd w:id="27"/>
    </w:p>
    <w:p>
      <w:pPr>
        <w:spacing w:before="120" w:beforeLines="50" w:after="120" w:afterLines="5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项目公司经市场监督管理部门</w:t>
      </w:r>
      <w:r>
        <w:rPr>
          <w:rFonts w:ascii="仿宋_GB2312" w:hAnsi="华文仿宋" w:eastAsia="仿宋_GB2312"/>
          <w:sz w:val="28"/>
          <w:szCs w:val="28"/>
          <w:highlight w:val="none"/>
        </w:rPr>
        <w:t>核准设立后，负责依法向公司股东签发盖有公司印章的出资证明书，并依法置备公司股东名册。</w:t>
      </w:r>
    </w:p>
    <w:p>
      <w:pPr>
        <w:pStyle w:val="62"/>
        <w:numPr>
          <w:ilvl w:val="0"/>
          <w:numId w:val="3"/>
        </w:numPr>
        <w:adjustRightInd w:val="0"/>
        <w:snapToGrid w:val="0"/>
        <w:spacing w:before="120" w:beforeLines="50" w:after="120" w:afterLines="50" w:line="360" w:lineRule="auto"/>
        <w:ind w:left="0" w:firstLine="560"/>
        <w:rPr>
          <w:rFonts w:ascii="仿宋_GB2312" w:hAnsi="华文仿宋" w:eastAsia="仿宋_GB2312"/>
          <w:sz w:val="28"/>
          <w:szCs w:val="28"/>
          <w:highlight w:val="none"/>
        </w:rPr>
      </w:pPr>
      <w:bookmarkStart w:id="28" w:name="_Toc123461417"/>
      <w:r>
        <w:rPr>
          <w:rFonts w:ascii="仿宋_GB2312" w:hAnsi="华文仿宋" w:eastAsia="仿宋_GB2312"/>
          <w:sz w:val="28"/>
          <w:szCs w:val="28"/>
          <w:highlight w:val="none"/>
        </w:rPr>
        <w:t xml:space="preserve"> </w:t>
      </w:r>
      <w:r>
        <w:rPr>
          <w:rFonts w:hint="eastAsia" w:ascii="仿宋_GB2312" w:hAnsi="华文仿宋" w:eastAsia="仿宋_GB2312"/>
          <w:sz w:val="28"/>
          <w:szCs w:val="28"/>
          <w:highlight w:val="none"/>
        </w:rPr>
        <w:t>股东的权利</w:t>
      </w:r>
      <w:bookmarkEnd w:id="28"/>
    </w:p>
    <w:p>
      <w:pPr>
        <w:pStyle w:val="62"/>
        <w:adjustRightInd w:val="0"/>
        <w:snapToGrid w:val="0"/>
        <w:spacing w:before="120" w:beforeLines="50" w:after="120" w:afterLines="50" w:line="360" w:lineRule="auto"/>
        <w:ind w:left="560" w:firstLine="0" w:firstLineChars="0"/>
        <w:rPr>
          <w:rFonts w:ascii="仿宋_GB2312" w:hAnsi="华文仿宋" w:eastAsia="仿宋_GB2312"/>
          <w:sz w:val="28"/>
          <w:szCs w:val="28"/>
          <w:highlight w:val="none"/>
        </w:rPr>
      </w:pPr>
      <w:r>
        <w:rPr>
          <w:rFonts w:hint="eastAsia" w:ascii="仿宋_GB2312" w:hAnsi="华文仿宋" w:eastAsia="仿宋_GB2312"/>
          <w:sz w:val="28"/>
          <w:szCs w:val="28"/>
          <w:highlight w:val="none"/>
        </w:rPr>
        <w:t>各股东方享有以下权利：</w:t>
      </w:r>
    </w:p>
    <w:p>
      <w:pPr>
        <w:spacing w:before="120" w:beforeLines="50" w:after="120" w:afterLines="5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w:t>
      </w:r>
      <w:r>
        <w:rPr>
          <w:rFonts w:ascii="仿宋_GB2312" w:hAnsi="华文仿宋" w:eastAsia="仿宋_GB2312"/>
          <w:sz w:val="28"/>
          <w:szCs w:val="28"/>
          <w:highlight w:val="none"/>
        </w:rPr>
        <w:t>1）</w:t>
      </w:r>
      <w:r>
        <w:rPr>
          <w:rFonts w:hint="eastAsia" w:ascii="仿宋_GB2312" w:hAnsi="华文仿宋" w:eastAsia="仿宋_GB2312"/>
          <w:sz w:val="28"/>
          <w:szCs w:val="28"/>
          <w:highlight w:val="none"/>
        </w:rPr>
        <w:t>股东以其出资额享有所有者的资产受益权，根据项目公司的利润分配方案按股权比例分享项目公司利润；</w:t>
      </w:r>
    </w:p>
    <w:p>
      <w:pPr>
        <w:spacing w:before="120" w:beforeLines="50" w:after="120" w:afterLines="5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w:t>
      </w:r>
      <w:r>
        <w:rPr>
          <w:rFonts w:ascii="仿宋_GB2312" w:hAnsi="华文仿宋" w:eastAsia="仿宋_GB2312"/>
          <w:sz w:val="28"/>
          <w:szCs w:val="28"/>
          <w:highlight w:val="none"/>
        </w:rPr>
        <w:t>2）股东有权参与项目公司经营中重大问题的决策；</w:t>
      </w:r>
    </w:p>
    <w:p>
      <w:pPr>
        <w:spacing w:before="120" w:beforeLines="50" w:after="120" w:afterLines="5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w:t>
      </w:r>
      <w:r>
        <w:rPr>
          <w:rFonts w:ascii="仿宋_GB2312" w:hAnsi="华文仿宋" w:eastAsia="仿宋_GB2312"/>
          <w:sz w:val="28"/>
          <w:szCs w:val="28"/>
          <w:highlight w:val="none"/>
        </w:rPr>
        <w:t>3）股东有权出席股东会，并在股东会上按股权比例行使表决权；</w:t>
      </w:r>
    </w:p>
    <w:p>
      <w:pPr>
        <w:spacing w:before="120" w:beforeLines="50" w:after="120" w:afterLines="5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w:t>
      </w:r>
      <w:r>
        <w:rPr>
          <w:rFonts w:ascii="仿宋_GB2312" w:hAnsi="华文仿宋" w:eastAsia="仿宋_GB2312"/>
          <w:sz w:val="28"/>
          <w:szCs w:val="28"/>
          <w:highlight w:val="none"/>
        </w:rPr>
        <w:t>4） 有权按照</w:t>
      </w:r>
      <w:r>
        <w:rPr>
          <w:rFonts w:hint="eastAsia" w:ascii="仿宋_GB2312" w:hAnsi="华文仿宋" w:eastAsia="仿宋_GB2312"/>
          <w:sz w:val="28"/>
          <w:szCs w:val="28"/>
          <w:highlight w:val="none"/>
        </w:rPr>
        <w:t>本章程的规定委派项目公司的董事、监事的权利；</w:t>
      </w:r>
    </w:p>
    <w:p>
      <w:pPr>
        <w:spacing w:before="120" w:beforeLines="50" w:after="120" w:afterLines="5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w:t>
      </w:r>
      <w:r>
        <w:rPr>
          <w:rFonts w:ascii="仿宋_GB2312" w:hAnsi="华文仿宋" w:eastAsia="仿宋_GB2312"/>
          <w:sz w:val="28"/>
          <w:szCs w:val="28"/>
          <w:highlight w:val="none"/>
        </w:rPr>
        <w:t>5）股东有权查阅股东会议记录、董事会决议和项目公司财务会计报告；</w:t>
      </w:r>
    </w:p>
    <w:p>
      <w:pPr>
        <w:spacing w:before="120" w:beforeLines="50" w:after="120" w:afterLines="5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w:t>
      </w:r>
      <w:r>
        <w:rPr>
          <w:rFonts w:ascii="仿宋_GB2312" w:hAnsi="华文仿宋" w:eastAsia="仿宋_GB2312"/>
          <w:sz w:val="28"/>
          <w:szCs w:val="28"/>
          <w:highlight w:val="none"/>
        </w:rPr>
        <w:t>6</w:t>
      </w:r>
      <w:r>
        <w:rPr>
          <w:rFonts w:hint="eastAsia" w:ascii="仿宋_GB2312" w:hAnsi="华文仿宋" w:eastAsia="仿宋_GB2312"/>
          <w:sz w:val="28"/>
          <w:szCs w:val="28"/>
          <w:highlight w:val="none"/>
        </w:rPr>
        <w:t>）股东有权了解项目公司经营状况和财务状况；</w:t>
      </w:r>
    </w:p>
    <w:p>
      <w:pPr>
        <w:spacing w:before="120" w:beforeLines="50" w:after="120" w:afterLines="5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w:t>
      </w:r>
      <w:r>
        <w:rPr>
          <w:rFonts w:ascii="仿宋_GB2312" w:hAnsi="华文仿宋" w:eastAsia="仿宋_GB2312"/>
          <w:sz w:val="28"/>
          <w:szCs w:val="28"/>
          <w:highlight w:val="none"/>
        </w:rPr>
        <w:t>7）股东有权对董事会和董事的工作提出质询，要求其作出明确的答复；</w:t>
      </w:r>
    </w:p>
    <w:p>
      <w:pPr>
        <w:spacing w:before="120" w:beforeLines="50" w:after="120" w:afterLines="5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w:t>
      </w:r>
      <w:r>
        <w:rPr>
          <w:rFonts w:ascii="仿宋_GB2312" w:hAnsi="华文仿宋" w:eastAsia="仿宋_GB2312"/>
          <w:sz w:val="28"/>
          <w:szCs w:val="28"/>
          <w:highlight w:val="none"/>
        </w:rPr>
        <w:t>8）股东在项目公司新增注册资本时享有优先认缴出资的权利；</w:t>
      </w:r>
    </w:p>
    <w:p>
      <w:pPr>
        <w:spacing w:before="120" w:beforeLines="50" w:after="120" w:afterLines="5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w:t>
      </w:r>
      <w:r>
        <w:rPr>
          <w:rFonts w:ascii="仿宋_GB2312" w:hAnsi="华文仿宋" w:eastAsia="仿宋_GB2312"/>
          <w:sz w:val="28"/>
          <w:szCs w:val="28"/>
          <w:highlight w:val="none"/>
        </w:rPr>
        <w:t>9）股东享有共同制定或修改项目公司章程的权利；</w:t>
      </w:r>
    </w:p>
    <w:p>
      <w:pPr>
        <w:spacing w:before="120" w:beforeLines="50" w:after="120" w:afterLines="50" w:line="360" w:lineRule="auto"/>
        <w:ind w:firstLine="560" w:firstLineChars="200"/>
        <w:rPr>
          <w:rFonts w:ascii="仿宋_GB2312" w:hAnsi="华文仿宋" w:eastAsia="仿宋_GB2312"/>
          <w:sz w:val="28"/>
          <w:highlight w:val="none"/>
        </w:rPr>
      </w:pPr>
      <w:r>
        <w:rPr>
          <w:rFonts w:hint="eastAsia" w:ascii="仿宋_GB2312" w:hAnsi="华文仿宋" w:eastAsia="仿宋_GB2312"/>
          <w:sz w:val="28"/>
          <w:szCs w:val="28"/>
          <w:highlight w:val="none"/>
        </w:rPr>
        <w:t>（</w:t>
      </w:r>
      <w:r>
        <w:rPr>
          <w:rFonts w:ascii="仿宋_GB2312" w:hAnsi="华文仿宋" w:eastAsia="仿宋_GB2312"/>
          <w:sz w:val="28"/>
          <w:szCs w:val="28"/>
          <w:highlight w:val="none"/>
        </w:rPr>
        <w:t>10）</w:t>
      </w:r>
      <w:r>
        <w:rPr>
          <w:rFonts w:hint="eastAsia" w:ascii="仿宋_GB2312" w:hAnsi="华文仿宋" w:eastAsia="仿宋_GB2312"/>
          <w:sz w:val="28"/>
          <w:szCs w:val="28"/>
          <w:highlight w:val="none"/>
        </w:rPr>
        <w:t>股东在董事、高级管理人员违反法律、行政法规或者公司章程的规定，损害其利益的情况下，可以向人民法院提起诉讼。</w:t>
      </w:r>
    </w:p>
    <w:p>
      <w:pPr>
        <w:pStyle w:val="62"/>
        <w:numPr>
          <w:ilvl w:val="0"/>
          <w:numId w:val="3"/>
        </w:numPr>
        <w:adjustRightInd w:val="0"/>
        <w:snapToGrid w:val="0"/>
        <w:spacing w:before="120" w:beforeLines="50" w:after="120" w:afterLines="50" w:line="360" w:lineRule="auto"/>
        <w:ind w:left="0" w:firstLine="560"/>
        <w:rPr>
          <w:rFonts w:ascii="仿宋_GB2312" w:hAnsi="华文仿宋" w:eastAsia="仿宋_GB2312"/>
          <w:sz w:val="28"/>
          <w:szCs w:val="28"/>
          <w:highlight w:val="none"/>
        </w:rPr>
      </w:pPr>
      <w:bookmarkStart w:id="29" w:name="_Toc123461418"/>
      <w:r>
        <w:rPr>
          <w:rFonts w:ascii="仿宋_GB2312" w:hAnsi="华文仿宋" w:eastAsia="仿宋_GB2312"/>
          <w:sz w:val="28"/>
          <w:szCs w:val="28"/>
          <w:highlight w:val="none"/>
        </w:rPr>
        <w:t xml:space="preserve"> 股东的义务</w:t>
      </w:r>
      <w:bookmarkEnd w:id="29"/>
    </w:p>
    <w:p>
      <w:pPr>
        <w:snapToGrid w:val="0"/>
        <w:spacing w:before="120" w:after="50" w:line="360" w:lineRule="auto"/>
        <w:ind w:firstLine="560" w:firstLineChars="200"/>
        <w:jc w:val="left"/>
        <w:rPr>
          <w:rFonts w:ascii="仿宋_GB2312" w:hAnsi="华文仿宋" w:eastAsia="仿宋_GB2312"/>
          <w:sz w:val="28"/>
          <w:szCs w:val="28"/>
          <w:highlight w:val="none"/>
        </w:rPr>
      </w:pPr>
      <w:r>
        <w:rPr>
          <w:rFonts w:hint="eastAsia" w:ascii="仿宋_GB2312" w:hAnsi="华文仿宋" w:eastAsia="仿宋_GB2312"/>
          <w:sz w:val="28"/>
          <w:szCs w:val="28"/>
          <w:highlight w:val="none"/>
        </w:rPr>
        <w:t>宿迁交产集团承担如下义务：</w:t>
      </w:r>
    </w:p>
    <w:p>
      <w:pPr>
        <w:spacing w:before="120" w:beforeLines="50" w:after="120" w:afterLines="50" w:line="360" w:lineRule="auto"/>
        <w:ind w:firstLine="560" w:firstLineChars="200"/>
        <w:rPr>
          <w:rFonts w:ascii="仿宋_GB2312" w:eastAsia="仿宋_GB2312"/>
          <w:sz w:val="28"/>
          <w:szCs w:val="28"/>
          <w:highlight w:val="none"/>
        </w:rPr>
      </w:pPr>
      <w:r>
        <w:rPr>
          <w:rFonts w:ascii="仿宋_GB2312" w:eastAsia="仿宋_GB2312"/>
          <w:sz w:val="28"/>
          <w:szCs w:val="28"/>
          <w:highlight w:val="none"/>
        </w:rPr>
        <w:t>（1）按照</w:t>
      </w:r>
      <w:r>
        <w:rPr>
          <w:rFonts w:hint="eastAsia" w:ascii="仿宋_GB2312" w:hAnsi="华文仿宋" w:eastAsia="仿宋_GB2312"/>
          <w:sz w:val="28"/>
          <w:szCs w:val="28"/>
          <w:highlight w:val="none"/>
        </w:rPr>
        <w:t>《股东协议》的约定及本章程的规定，</w:t>
      </w:r>
      <w:r>
        <w:rPr>
          <w:rFonts w:ascii="仿宋_GB2312" w:eastAsia="仿宋_GB2312"/>
          <w:sz w:val="28"/>
          <w:szCs w:val="28"/>
          <w:highlight w:val="none"/>
        </w:rPr>
        <w:t>履行出资义务；</w:t>
      </w:r>
    </w:p>
    <w:p>
      <w:pPr>
        <w:spacing w:before="120" w:beforeLines="50" w:after="120" w:afterLines="50" w:line="360" w:lineRule="auto"/>
        <w:ind w:firstLine="560" w:firstLineChars="200"/>
        <w:rPr>
          <w:rFonts w:ascii="仿宋_GB2312" w:eastAsia="仿宋_GB2312"/>
          <w:sz w:val="28"/>
          <w:szCs w:val="28"/>
          <w:highlight w:val="none"/>
        </w:rPr>
      </w:pPr>
      <w:r>
        <w:rPr>
          <w:rFonts w:ascii="仿宋_GB2312" w:eastAsia="仿宋_GB2312"/>
          <w:sz w:val="28"/>
          <w:szCs w:val="28"/>
          <w:highlight w:val="none"/>
        </w:rPr>
        <w:t>（2）促使其推荐的董事按照</w:t>
      </w:r>
      <w:r>
        <w:rPr>
          <w:rFonts w:hint="eastAsia" w:ascii="仿宋_GB2312" w:hAnsi="华文仿宋" w:eastAsia="仿宋_GB2312"/>
          <w:sz w:val="28"/>
          <w:szCs w:val="28"/>
          <w:highlight w:val="none"/>
        </w:rPr>
        <w:t>本章程的</w:t>
      </w:r>
      <w:r>
        <w:rPr>
          <w:rFonts w:ascii="仿宋_GB2312" w:eastAsia="仿宋_GB2312"/>
          <w:sz w:val="28"/>
          <w:szCs w:val="28"/>
          <w:highlight w:val="none"/>
        </w:rPr>
        <w:t>相关规定，同意其他股东提名的人员担任有关职务，除非有充足的证据说明其他股东提名的人员不符合</w:t>
      </w:r>
      <w:r>
        <w:rPr>
          <w:rFonts w:hint="eastAsia" w:ascii="仿宋_GB2312" w:hAnsi="华文仿宋" w:eastAsia="仿宋_GB2312"/>
          <w:sz w:val="28"/>
          <w:szCs w:val="28"/>
          <w:highlight w:val="none"/>
        </w:rPr>
        <w:t>章程规定</w:t>
      </w:r>
      <w:r>
        <w:rPr>
          <w:rFonts w:ascii="仿宋_GB2312" w:eastAsia="仿宋_GB2312"/>
          <w:sz w:val="28"/>
          <w:szCs w:val="28"/>
          <w:highlight w:val="none"/>
        </w:rPr>
        <w:t>的任职资格；</w:t>
      </w:r>
    </w:p>
    <w:p>
      <w:pPr>
        <w:spacing w:before="120" w:beforeLines="50" w:after="120" w:afterLines="50" w:line="360" w:lineRule="auto"/>
        <w:ind w:firstLine="560" w:firstLineChars="200"/>
        <w:rPr>
          <w:rFonts w:ascii="仿宋_GB2312" w:eastAsia="仿宋_GB2312"/>
          <w:sz w:val="28"/>
          <w:szCs w:val="28"/>
          <w:highlight w:val="none"/>
        </w:rPr>
      </w:pPr>
      <w:r>
        <w:rPr>
          <w:rFonts w:ascii="仿宋_GB2312" w:eastAsia="仿宋_GB2312"/>
          <w:sz w:val="28"/>
          <w:szCs w:val="28"/>
          <w:highlight w:val="none"/>
        </w:rPr>
        <w:t>（3）协助公司申请和办理政府有关部门要求的各种与本项目有关的审批手续；</w:t>
      </w:r>
    </w:p>
    <w:p>
      <w:pPr>
        <w:spacing w:before="120" w:beforeLines="50" w:after="120" w:afterLines="50" w:line="360" w:lineRule="auto"/>
        <w:ind w:firstLine="560" w:firstLineChars="200"/>
        <w:rPr>
          <w:rFonts w:ascii="仿宋_GB2312" w:eastAsia="仿宋_GB2312"/>
          <w:sz w:val="28"/>
          <w:szCs w:val="28"/>
          <w:highlight w:val="none"/>
        </w:rPr>
      </w:pPr>
      <w:r>
        <w:rPr>
          <w:rFonts w:ascii="仿宋_GB2312" w:eastAsia="仿宋_GB2312"/>
          <w:sz w:val="28"/>
          <w:szCs w:val="28"/>
          <w:highlight w:val="none"/>
        </w:rPr>
        <w:t>（4）协助公司在项目合作期间，与政府有关部门就项目规划、设计、投融资、建设及运营过程中出现的问题进行沟通;</w:t>
      </w:r>
    </w:p>
    <w:p>
      <w:pPr>
        <w:spacing w:before="120" w:beforeLines="50" w:after="120" w:afterLines="50" w:line="360" w:lineRule="auto"/>
        <w:ind w:firstLine="560" w:firstLineChars="200"/>
        <w:rPr>
          <w:rFonts w:ascii="仿宋_GB2312" w:hAnsi="华文仿宋" w:eastAsia="仿宋_GB2312"/>
          <w:sz w:val="28"/>
          <w:szCs w:val="28"/>
          <w:highlight w:val="none"/>
        </w:rPr>
      </w:pPr>
      <w:r>
        <w:rPr>
          <w:rFonts w:ascii="仿宋_GB2312" w:eastAsia="仿宋_GB2312"/>
          <w:sz w:val="28"/>
          <w:szCs w:val="28"/>
          <w:highlight w:val="none"/>
        </w:rPr>
        <w:t>（5）按照公司董事会的委托协助公司处理其他事宜。</w:t>
      </w:r>
    </w:p>
    <w:p>
      <w:pPr>
        <w:spacing w:before="120" w:beforeLines="50" w:after="120" w:afterLines="5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其他股东承担如下义务：</w:t>
      </w:r>
    </w:p>
    <w:p>
      <w:pPr>
        <w:spacing w:before="120" w:beforeLines="50" w:after="120" w:afterLines="50" w:line="360" w:lineRule="auto"/>
        <w:ind w:firstLine="560" w:firstLineChars="200"/>
        <w:rPr>
          <w:rFonts w:ascii="仿宋_GB2312" w:eastAsia="仿宋_GB2312"/>
          <w:sz w:val="28"/>
          <w:szCs w:val="28"/>
          <w:highlight w:val="none"/>
        </w:rPr>
      </w:pPr>
      <w:r>
        <w:rPr>
          <w:rFonts w:ascii="仿宋_GB2312" w:eastAsia="仿宋_GB2312"/>
          <w:sz w:val="28"/>
          <w:szCs w:val="28"/>
          <w:highlight w:val="none"/>
        </w:rPr>
        <w:t>（1）促使公司与</w:t>
      </w:r>
      <w:r>
        <w:rPr>
          <w:rFonts w:hint="eastAsia" w:ascii="仿宋_GB2312" w:hAnsi="华文仿宋" w:eastAsia="仿宋_GB2312"/>
          <w:sz w:val="28"/>
          <w:szCs w:val="28"/>
          <w:highlight w:val="none"/>
        </w:rPr>
        <w:t>苏州宿迁工业园区规划建设局</w:t>
      </w:r>
      <w:r>
        <w:rPr>
          <w:rFonts w:ascii="仿宋_GB2312" w:eastAsia="仿宋_GB2312"/>
          <w:sz w:val="28"/>
          <w:szCs w:val="28"/>
          <w:highlight w:val="none"/>
        </w:rPr>
        <w:t>签订《</w:t>
      </w:r>
      <w:r>
        <w:rPr>
          <w:rFonts w:hint="eastAsia" w:ascii="仿宋_GB2312" w:eastAsia="仿宋_GB2312"/>
          <w:sz w:val="28"/>
          <w:szCs w:val="28"/>
          <w:highlight w:val="none"/>
        </w:rPr>
        <w:t>承继协议</w:t>
      </w:r>
      <w:r>
        <w:rPr>
          <w:rFonts w:ascii="仿宋_GB2312" w:eastAsia="仿宋_GB2312"/>
          <w:sz w:val="28"/>
          <w:szCs w:val="28"/>
          <w:highlight w:val="none"/>
        </w:rPr>
        <w:t>》，并协助公司高质量地履行《PPP项目合同》约定的各项义务；</w:t>
      </w:r>
    </w:p>
    <w:p>
      <w:pPr>
        <w:spacing w:before="120" w:beforeLines="50" w:after="120" w:afterLines="50" w:line="360" w:lineRule="auto"/>
        <w:ind w:firstLine="560" w:firstLineChars="200"/>
        <w:rPr>
          <w:rFonts w:ascii="仿宋_GB2312" w:eastAsia="仿宋_GB2312"/>
          <w:sz w:val="28"/>
          <w:szCs w:val="28"/>
          <w:highlight w:val="none"/>
        </w:rPr>
      </w:pPr>
      <w:r>
        <w:rPr>
          <w:rFonts w:ascii="仿宋_GB2312" w:eastAsia="仿宋_GB2312"/>
          <w:sz w:val="28"/>
          <w:szCs w:val="28"/>
          <w:highlight w:val="none"/>
        </w:rPr>
        <w:t>（2）按照</w:t>
      </w:r>
      <w:r>
        <w:rPr>
          <w:rFonts w:hint="eastAsia" w:ascii="仿宋_GB2312" w:hAnsi="华文仿宋" w:eastAsia="仿宋_GB2312"/>
          <w:sz w:val="28"/>
          <w:szCs w:val="28"/>
          <w:highlight w:val="none"/>
        </w:rPr>
        <w:t>《股东协议》及本章程</w:t>
      </w:r>
      <w:r>
        <w:rPr>
          <w:rFonts w:ascii="仿宋_GB2312" w:eastAsia="仿宋_GB2312"/>
          <w:sz w:val="28"/>
          <w:szCs w:val="28"/>
          <w:highlight w:val="none"/>
        </w:rPr>
        <w:t>的</w:t>
      </w:r>
      <w:r>
        <w:rPr>
          <w:rFonts w:hint="eastAsia" w:ascii="仿宋_GB2312" w:hAnsi="华文仿宋" w:eastAsia="仿宋_GB2312"/>
          <w:sz w:val="28"/>
          <w:szCs w:val="28"/>
          <w:highlight w:val="none"/>
        </w:rPr>
        <w:t>规定</w:t>
      </w:r>
      <w:r>
        <w:rPr>
          <w:rFonts w:ascii="仿宋_GB2312" w:eastAsia="仿宋_GB2312"/>
          <w:sz w:val="28"/>
          <w:szCs w:val="28"/>
          <w:highlight w:val="none"/>
        </w:rPr>
        <w:t>，履行出资义务；</w:t>
      </w:r>
    </w:p>
    <w:p>
      <w:pPr>
        <w:spacing w:before="120" w:beforeLines="50" w:after="120" w:afterLines="50" w:line="360" w:lineRule="auto"/>
        <w:ind w:firstLine="560" w:firstLineChars="200"/>
        <w:rPr>
          <w:rFonts w:ascii="仿宋_GB2312" w:eastAsia="仿宋_GB2312"/>
          <w:sz w:val="28"/>
          <w:szCs w:val="28"/>
          <w:highlight w:val="none"/>
        </w:rPr>
      </w:pPr>
      <w:r>
        <w:rPr>
          <w:rFonts w:ascii="仿宋_GB2312" w:eastAsia="仿宋_GB2312"/>
          <w:sz w:val="28"/>
          <w:szCs w:val="28"/>
          <w:highlight w:val="none"/>
        </w:rPr>
        <w:t>（3）促使其推荐的董事按照本</w:t>
      </w:r>
      <w:r>
        <w:rPr>
          <w:rFonts w:hint="eastAsia" w:ascii="仿宋_GB2312" w:hAnsi="华文仿宋" w:eastAsia="仿宋_GB2312"/>
          <w:sz w:val="28"/>
          <w:szCs w:val="28"/>
          <w:highlight w:val="none"/>
        </w:rPr>
        <w:t>章程</w:t>
      </w:r>
      <w:r>
        <w:rPr>
          <w:rFonts w:ascii="仿宋_GB2312" w:eastAsia="仿宋_GB2312"/>
          <w:sz w:val="28"/>
          <w:szCs w:val="28"/>
          <w:highlight w:val="none"/>
        </w:rPr>
        <w:t>的相关</w:t>
      </w:r>
      <w:r>
        <w:rPr>
          <w:rFonts w:hint="eastAsia" w:ascii="仿宋_GB2312" w:hAnsi="华文仿宋" w:eastAsia="仿宋_GB2312"/>
          <w:sz w:val="28"/>
          <w:szCs w:val="28"/>
          <w:highlight w:val="none"/>
        </w:rPr>
        <w:t>规定，</w:t>
      </w:r>
      <w:r>
        <w:rPr>
          <w:rFonts w:ascii="仿宋_GB2312" w:eastAsia="仿宋_GB2312"/>
          <w:sz w:val="28"/>
          <w:szCs w:val="28"/>
          <w:highlight w:val="none"/>
        </w:rPr>
        <w:t>同意其他各方提名的人员担任有关职务，除非有充足的证据说明其他各方提名的人员不符合本</w:t>
      </w:r>
      <w:r>
        <w:rPr>
          <w:rFonts w:hint="eastAsia" w:ascii="仿宋_GB2312" w:hAnsi="华文仿宋" w:eastAsia="仿宋_GB2312"/>
          <w:sz w:val="28"/>
          <w:szCs w:val="28"/>
          <w:highlight w:val="none"/>
        </w:rPr>
        <w:t>章程规定</w:t>
      </w:r>
      <w:r>
        <w:rPr>
          <w:rFonts w:ascii="仿宋_GB2312" w:eastAsia="仿宋_GB2312"/>
          <w:sz w:val="28"/>
          <w:szCs w:val="28"/>
          <w:highlight w:val="none"/>
        </w:rPr>
        <w:t>的任职资格；</w:t>
      </w:r>
    </w:p>
    <w:p>
      <w:pPr>
        <w:spacing w:before="120" w:beforeLines="50" w:after="120" w:afterLines="50" w:line="360" w:lineRule="auto"/>
        <w:ind w:firstLine="560" w:firstLineChars="200"/>
        <w:rPr>
          <w:rFonts w:ascii="仿宋_GB2312" w:eastAsia="仿宋_GB2312"/>
          <w:sz w:val="28"/>
          <w:szCs w:val="28"/>
          <w:highlight w:val="none"/>
        </w:rPr>
      </w:pPr>
      <w:r>
        <w:rPr>
          <w:rFonts w:ascii="仿宋_GB2312" w:eastAsia="仿宋_GB2312"/>
          <w:sz w:val="28"/>
          <w:szCs w:val="28"/>
          <w:highlight w:val="none"/>
        </w:rPr>
        <w:t>（4）视公司需要，协助培训公司的各级管理人员和专业技术人员；</w:t>
      </w:r>
    </w:p>
    <w:p>
      <w:pPr>
        <w:spacing w:before="120" w:beforeLines="50" w:after="120" w:afterLines="50" w:line="360" w:lineRule="auto"/>
        <w:ind w:firstLine="560" w:firstLineChars="200"/>
        <w:rPr>
          <w:rFonts w:ascii="仿宋_GB2312" w:eastAsia="仿宋_GB2312"/>
          <w:sz w:val="28"/>
          <w:szCs w:val="28"/>
          <w:highlight w:val="none"/>
        </w:rPr>
      </w:pPr>
      <w:r>
        <w:rPr>
          <w:rFonts w:ascii="仿宋_GB2312" w:eastAsia="仿宋_GB2312"/>
          <w:sz w:val="28"/>
          <w:szCs w:val="28"/>
          <w:highlight w:val="none"/>
        </w:rPr>
        <w:t>（5）按照董事会的委托，协助公司处理其他事宜；</w:t>
      </w:r>
    </w:p>
    <w:p>
      <w:pPr>
        <w:spacing w:before="120" w:beforeLines="50" w:after="120" w:afterLines="50" w:line="360" w:lineRule="auto"/>
        <w:ind w:firstLine="560" w:firstLineChars="200"/>
        <w:rPr>
          <w:rFonts w:ascii="仿宋_GB2312" w:hAnsi="华文仿宋" w:eastAsia="仿宋_GB2312"/>
          <w:sz w:val="28"/>
          <w:szCs w:val="28"/>
          <w:highlight w:val="none"/>
        </w:rPr>
      </w:pPr>
      <w:r>
        <w:rPr>
          <w:rFonts w:ascii="仿宋_GB2312" w:eastAsia="仿宋_GB2312"/>
          <w:sz w:val="28"/>
          <w:szCs w:val="28"/>
          <w:highlight w:val="none"/>
        </w:rPr>
        <w:t>（6）其他</w:t>
      </w:r>
      <w:r>
        <w:rPr>
          <w:rFonts w:hint="eastAsia" w:ascii="仿宋_GB2312" w:hAnsi="华文仿宋" w:eastAsia="仿宋_GB2312"/>
          <w:sz w:val="28"/>
          <w:szCs w:val="28"/>
          <w:highlight w:val="none"/>
        </w:rPr>
        <w:t>本章程规定</w:t>
      </w:r>
      <w:r>
        <w:rPr>
          <w:rFonts w:ascii="仿宋_GB2312" w:eastAsia="仿宋_GB2312"/>
          <w:sz w:val="28"/>
          <w:szCs w:val="28"/>
          <w:highlight w:val="none"/>
        </w:rPr>
        <w:t>的义务。</w:t>
      </w:r>
      <w:r>
        <w:rPr>
          <w:rFonts w:ascii="仿宋_GB2312" w:eastAsia="仿宋_GB2312"/>
          <w:szCs w:val="28"/>
          <w:highlight w:val="none"/>
        </w:rPr>
        <w:t xml:space="preserve"> </w:t>
      </w:r>
    </w:p>
    <w:p>
      <w:pPr>
        <w:pStyle w:val="62"/>
        <w:numPr>
          <w:ilvl w:val="0"/>
          <w:numId w:val="3"/>
        </w:numPr>
        <w:adjustRightInd w:val="0"/>
        <w:snapToGrid w:val="0"/>
        <w:spacing w:before="120" w:beforeLines="50" w:after="120" w:afterLines="50" w:line="360" w:lineRule="auto"/>
        <w:ind w:left="0" w:firstLine="560"/>
        <w:rPr>
          <w:rFonts w:ascii="仿宋_GB2312" w:hAnsi="华文仿宋" w:eastAsia="仿宋_GB2312"/>
          <w:sz w:val="28"/>
          <w:szCs w:val="28"/>
          <w:highlight w:val="none"/>
        </w:rPr>
      </w:pPr>
      <w:r>
        <w:rPr>
          <w:rFonts w:ascii="仿宋_GB2312" w:hAnsi="华文仿宋" w:eastAsia="仿宋_GB2312"/>
          <w:sz w:val="28"/>
          <w:szCs w:val="28"/>
          <w:highlight w:val="none"/>
        </w:rPr>
        <w:t xml:space="preserve"> </w:t>
      </w:r>
      <w:bookmarkStart w:id="30" w:name="_Toc425689115"/>
      <w:bookmarkStart w:id="31" w:name="_Toc243412293"/>
      <w:r>
        <w:rPr>
          <w:rFonts w:hint="eastAsia" w:ascii="仿宋_GB2312" w:hAnsi="华文仿宋" w:eastAsia="仿宋_GB2312"/>
          <w:sz w:val="28"/>
          <w:szCs w:val="28"/>
          <w:highlight w:val="none"/>
        </w:rPr>
        <w:t>股权转让的限制</w:t>
      </w:r>
    </w:p>
    <w:p>
      <w:pPr>
        <w:snapToGrid w:val="0"/>
        <w:spacing w:before="120" w:beforeLines="50" w:after="120" w:afterLines="5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当一方股东满足《</w:t>
      </w:r>
      <w:r>
        <w:rPr>
          <w:rFonts w:ascii="仿宋_GB2312" w:hAnsi="华文仿宋" w:eastAsia="仿宋_GB2312"/>
          <w:sz w:val="28"/>
          <w:szCs w:val="28"/>
          <w:highlight w:val="none"/>
        </w:rPr>
        <w:t>PPP项目合同》、《股东协议》</w:t>
      </w:r>
      <w:r>
        <w:rPr>
          <w:rFonts w:hint="eastAsia" w:ascii="仿宋_GB2312" w:hAnsi="华文仿宋" w:eastAsia="仿宋_GB2312"/>
          <w:sz w:val="28"/>
          <w:szCs w:val="28"/>
          <w:highlight w:val="none"/>
        </w:rPr>
        <w:t>约定的股权转让条件，拟对外转让其在公司中的全部或部分股权时，应当取得项目实施机构和其他股东的一致书面同意，并向原登记机关办理变更登记手续。同等情况下，公司其他股东方具有优先购买权。</w:t>
      </w:r>
    </w:p>
    <w:p>
      <w:pPr>
        <w:snapToGrid w:val="0"/>
        <w:spacing w:before="120" w:beforeLines="50" w:after="120" w:afterLines="5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一方股东应就其股权转让事项书面通知公司其他方股东征求意见，公司其他股东方自接到书面通知之日起满三十日未答复的，视为同意转让。其他股东方不同意转让的，不同意转让的股东应当购买该转让的股权；不购买的，视为同意转让。</w:t>
      </w:r>
    </w:p>
    <w:p>
      <w:pPr>
        <w:snapToGrid w:val="0"/>
        <w:spacing w:before="120" w:beforeLines="50" w:after="120" w:afterLines="5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一方违反《</w:t>
      </w:r>
      <w:r>
        <w:rPr>
          <w:rFonts w:ascii="仿宋_GB2312" w:hAnsi="华文仿宋" w:eastAsia="仿宋_GB2312"/>
          <w:sz w:val="28"/>
          <w:szCs w:val="28"/>
          <w:highlight w:val="none"/>
        </w:rPr>
        <w:t>PPP项目合同》、《股东协议》及</w:t>
      </w:r>
      <w:r>
        <w:rPr>
          <w:rFonts w:hint="eastAsia" w:ascii="仿宋_GB2312" w:hAnsi="华文仿宋" w:eastAsia="仿宋_GB2312"/>
          <w:sz w:val="28"/>
          <w:szCs w:val="28"/>
          <w:highlight w:val="none"/>
        </w:rPr>
        <w:t>本章程中关于股权转让的规定，擅自对外转让股权的，其转让行为无效，并且擅自转让股权的股东应独自承担相应的责任和赔偿。</w:t>
      </w:r>
    </w:p>
    <w:p>
      <w:pPr>
        <w:pStyle w:val="62"/>
        <w:numPr>
          <w:ilvl w:val="0"/>
          <w:numId w:val="3"/>
        </w:numPr>
        <w:adjustRightInd w:val="0"/>
        <w:snapToGrid w:val="0"/>
        <w:spacing w:before="120" w:beforeLines="50" w:after="120" w:afterLines="50" w:line="360" w:lineRule="auto"/>
        <w:ind w:left="0" w:firstLine="560"/>
        <w:rPr>
          <w:rFonts w:ascii="仿宋_GB2312" w:hAnsi="华文仿宋" w:eastAsia="仿宋_GB2312"/>
          <w:sz w:val="28"/>
          <w:szCs w:val="28"/>
          <w:highlight w:val="none"/>
        </w:rPr>
      </w:pPr>
      <w:r>
        <w:rPr>
          <w:rFonts w:ascii="仿宋_GB2312" w:hAnsi="华文仿宋" w:eastAsia="仿宋_GB2312"/>
          <w:sz w:val="28"/>
          <w:szCs w:val="28"/>
          <w:highlight w:val="none"/>
        </w:rPr>
        <w:t xml:space="preserve"> 项目公司权益的处置限制</w:t>
      </w:r>
    </w:p>
    <w:p>
      <w:pPr>
        <w:snapToGrid w:val="0"/>
        <w:spacing w:before="120" w:beforeLines="50" w:after="120" w:afterLines="50" w:line="360" w:lineRule="auto"/>
        <w:ind w:firstLine="560" w:firstLineChars="200"/>
        <w:rPr>
          <w:rFonts w:ascii="仿宋_GB2312" w:hAnsi="华文仿宋" w:eastAsia="仿宋_GB2312"/>
          <w:sz w:val="28"/>
          <w:szCs w:val="28"/>
          <w:highlight w:val="none"/>
        </w:rPr>
      </w:pPr>
      <w:r>
        <w:rPr>
          <w:rFonts w:ascii="仿宋_GB2312" w:hAnsi="华文仿宋" w:eastAsia="仿宋_GB2312"/>
          <w:sz w:val="28"/>
          <w:szCs w:val="28"/>
          <w:highlight w:val="none"/>
        </w:rPr>
        <w:t>除非经本合同签署各方一致书面同意，并</w:t>
      </w:r>
      <w:r>
        <w:rPr>
          <w:rFonts w:hint="eastAsia" w:ascii="仿宋_GB2312" w:hAnsi="华文仿宋" w:eastAsia="仿宋_GB2312"/>
          <w:sz w:val="28"/>
          <w:szCs w:val="28"/>
          <w:highlight w:val="none"/>
        </w:rPr>
        <w:t>经实施机构书面同意，任何一方均不得在其持有的项目公司的全部或部分股权上设置股权质押及设置其他第三方权利。</w:t>
      </w:r>
    </w:p>
    <w:p>
      <w:pPr>
        <w:snapToGrid w:val="0"/>
        <w:spacing w:before="120" w:beforeLines="50" w:after="120" w:afterLines="50" w:line="360" w:lineRule="auto"/>
        <w:ind w:firstLine="560" w:firstLineChars="200"/>
        <w:rPr>
          <w:rFonts w:ascii="仿宋_GB2312" w:hAnsi="华文仿宋" w:eastAsia="仿宋_GB2312"/>
          <w:sz w:val="28"/>
          <w:szCs w:val="28"/>
          <w:highlight w:val="none"/>
        </w:rPr>
      </w:pPr>
    </w:p>
    <w:p>
      <w:pPr>
        <w:adjustRightInd w:val="0"/>
        <w:spacing w:before="120" w:beforeLines="50" w:after="120" w:afterLines="50" w:line="360" w:lineRule="auto"/>
        <w:jc w:val="center"/>
        <w:outlineLvl w:val="0"/>
        <w:rPr>
          <w:rFonts w:ascii="仿宋_GB2312" w:hAnsi="华文仿宋" w:eastAsia="仿宋_GB2312"/>
          <w:b/>
          <w:bCs/>
          <w:sz w:val="32"/>
          <w:szCs w:val="32"/>
          <w:highlight w:val="none"/>
        </w:rPr>
      </w:pPr>
      <w:bookmarkStart w:id="32" w:name="_Toc438125217"/>
      <w:r>
        <w:rPr>
          <w:rFonts w:hint="eastAsia" w:ascii="仿宋_GB2312" w:hAnsi="华文仿宋" w:eastAsia="仿宋_GB2312"/>
          <w:b/>
          <w:bCs/>
          <w:sz w:val="32"/>
          <w:szCs w:val="32"/>
          <w:highlight w:val="none"/>
        </w:rPr>
        <w:t>第四章</w:t>
      </w:r>
      <w:r>
        <w:rPr>
          <w:rFonts w:ascii="仿宋_GB2312" w:hAnsi="华文仿宋" w:eastAsia="仿宋_GB2312"/>
          <w:b/>
          <w:bCs/>
          <w:sz w:val="32"/>
          <w:szCs w:val="32"/>
          <w:highlight w:val="none"/>
        </w:rPr>
        <w:t xml:space="preserve"> </w:t>
      </w:r>
      <w:r>
        <w:rPr>
          <w:rFonts w:hint="eastAsia" w:ascii="仿宋_GB2312" w:hAnsi="华文仿宋" w:eastAsia="仿宋_GB2312"/>
          <w:b/>
          <w:bCs/>
          <w:sz w:val="32"/>
          <w:szCs w:val="32"/>
          <w:highlight w:val="none"/>
        </w:rPr>
        <w:t>股东会</w:t>
      </w:r>
      <w:bookmarkEnd w:id="32"/>
    </w:p>
    <w:bookmarkEnd w:id="30"/>
    <w:bookmarkEnd w:id="31"/>
    <w:p>
      <w:pPr>
        <w:pStyle w:val="62"/>
        <w:numPr>
          <w:ilvl w:val="0"/>
          <w:numId w:val="3"/>
        </w:numPr>
        <w:adjustRightInd w:val="0"/>
        <w:snapToGrid w:val="0"/>
        <w:spacing w:before="120" w:beforeLines="50" w:after="120" w:afterLines="50" w:line="360" w:lineRule="auto"/>
        <w:ind w:left="0" w:firstLine="560"/>
        <w:rPr>
          <w:rFonts w:ascii="仿宋_GB2312" w:hAnsi="华文仿宋" w:eastAsia="仿宋_GB2312"/>
          <w:sz w:val="28"/>
          <w:szCs w:val="28"/>
          <w:highlight w:val="none"/>
        </w:rPr>
      </w:pPr>
      <w:r>
        <w:rPr>
          <w:rFonts w:ascii="仿宋_GB2312" w:hAnsi="华文仿宋" w:eastAsia="仿宋_GB2312"/>
          <w:sz w:val="28"/>
          <w:szCs w:val="28"/>
          <w:highlight w:val="none"/>
        </w:rPr>
        <w:t xml:space="preserve"> </w:t>
      </w:r>
      <w:r>
        <w:rPr>
          <w:rFonts w:hint="eastAsia" w:ascii="仿宋_GB2312" w:hAnsi="华文仿宋" w:eastAsia="仿宋_GB2312"/>
          <w:sz w:val="28"/>
          <w:szCs w:val="28"/>
          <w:highlight w:val="none"/>
        </w:rPr>
        <w:t>股东会组成</w:t>
      </w:r>
    </w:p>
    <w:p>
      <w:pPr>
        <w:spacing w:line="360" w:lineRule="auto"/>
        <w:ind w:firstLine="425" w:firstLineChars="152"/>
        <w:rPr>
          <w:rFonts w:ascii="仿宋_GB2312" w:hAnsi="华文仿宋" w:eastAsia="仿宋_GB2312"/>
          <w:sz w:val="28"/>
          <w:highlight w:val="none"/>
        </w:rPr>
      </w:pPr>
      <w:r>
        <w:rPr>
          <w:rFonts w:ascii="仿宋_GB2312" w:hAnsi="华文仿宋" w:eastAsia="仿宋_GB2312"/>
          <w:sz w:val="28"/>
          <w:highlight w:val="none"/>
        </w:rPr>
        <w:t>股东会由</w:t>
      </w:r>
      <w:r>
        <w:rPr>
          <w:rFonts w:hint="eastAsia" w:ascii="仿宋_GB2312" w:hAnsi="华文仿宋" w:eastAsia="仿宋_GB2312"/>
          <w:sz w:val="28"/>
          <w:highlight w:val="none"/>
        </w:rPr>
        <w:t>公司全体股东组成。</w:t>
      </w:r>
    </w:p>
    <w:p>
      <w:pPr>
        <w:pStyle w:val="62"/>
        <w:numPr>
          <w:ilvl w:val="0"/>
          <w:numId w:val="3"/>
        </w:numPr>
        <w:adjustRightInd w:val="0"/>
        <w:snapToGrid w:val="0"/>
        <w:spacing w:before="120" w:beforeLines="50" w:after="120" w:afterLines="50" w:line="360" w:lineRule="auto"/>
        <w:ind w:left="0" w:firstLine="562"/>
        <w:rPr>
          <w:rFonts w:ascii="仿宋_GB2312" w:hAnsi="华文仿宋" w:eastAsia="仿宋_GB2312"/>
          <w:b/>
          <w:bCs/>
          <w:kern w:val="0"/>
          <w:sz w:val="28"/>
          <w:szCs w:val="28"/>
          <w:highlight w:val="none"/>
        </w:rPr>
      </w:pPr>
      <w:r>
        <w:rPr>
          <w:rFonts w:ascii="仿宋_GB2312" w:hAnsi="华文仿宋" w:eastAsia="仿宋_GB2312"/>
          <w:b/>
          <w:bCs/>
          <w:kern w:val="0"/>
          <w:sz w:val="28"/>
          <w:szCs w:val="28"/>
          <w:highlight w:val="none"/>
        </w:rPr>
        <w:t xml:space="preserve"> </w:t>
      </w:r>
      <w:r>
        <w:rPr>
          <w:rFonts w:hint="eastAsia" w:ascii="仿宋_GB2312" w:hAnsi="华文仿宋" w:eastAsia="仿宋_GB2312"/>
          <w:sz w:val="28"/>
          <w:szCs w:val="28"/>
          <w:highlight w:val="none"/>
        </w:rPr>
        <w:t>股东会职权</w:t>
      </w:r>
    </w:p>
    <w:p>
      <w:pPr>
        <w:spacing w:line="360" w:lineRule="auto"/>
        <w:ind w:firstLine="425" w:firstLineChars="152"/>
        <w:rPr>
          <w:rFonts w:ascii="仿宋_GB2312" w:hAnsi="华文仿宋" w:eastAsia="仿宋_GB2312"/>
          <w:sz w:val="28"/>
          <w:highlight w:val="none"/>
        </w:rPr>
      </w:pPr>
      <w:r>
        <w:rPr>
          <w:rFonts w:ascii="仿宋_GB2312" w:hAnsi="华文仿宋" w:eastAsia="仿宋_GB2312"/>
          <w:sz w:val="28"/>
          <w:highlight w:val="none"/>
        </w:rPr>
        <w:t>股东会行使下列职权：</w:t>
      </w:r>
    </w:p>
    <w:p>
      <w:pPr>
        <w:pStyle w:val="62"/>
        <w:numPr>
          <w:ilvl w:val="0"/>
          <w:numId w:val="4"/>
        </w:numPr>
        <w:spacing w:line="360" w:lineRule="auto"/>
        <w:ind w:left="0" w:firstLine="560"/>
        <w:rPr>
          <w:rFonts w:ascii="仿宋_GB2312" w:hAnsi="华文仿宋" w:eastAsia="仿宋_GB2312"/>
          <w:sz w:val="28"/>
          <w:highlight w:val="none"/>
        </w:rPr>
      </w:pPr>
      <w:bookmarkStart w:id="33" w:name="_Ref280359835"/>
      <w:r>
        <w:rPr>
          <w:rFonts w:hint="eastAsia" w:ascii="仿宋_GB2312" w:hAnsi="华文仿宋" w:eastAsia="仿宋_GB2312"/>
          <w:sz w:val="28"/>
          <w:highlight w:val="none"/>
        </w:rPr>
        <w:t>决定公司的经营方针、投资计划；</w:t>
      </w:r>
    </w:p>
    <w:p>
      <w:pPr>
        <w:pStyle w:val="62"/>
        <w:numPr>
          <w:ilvl w:val="0"/>
          <w:numId w:val="4"/>
        </w:numPr>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选举和更换非由职工代表担任的董事、监事，决定有关董事、监事的报酬事项；</w:t>
      </w:r>
    </w:p>
    <w:p>
      <w:pPr>
        <w:pStyle w:val="62"/>
        <w:numPr>
          <w:ilvl w:val="0"/>
          <w:numId w:val="4"/>
        </w:numPr>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审议批准董事会的报告；</w:t>
      </w:r>
    </w:p>
    <w:p>
      <w:pPr>
        <w:pStyle w:val="62"/>
        <w:numPr>
          <w:ilvl w:val="0"/>
          <w:numId w:val="4"/>
        </w:numPr>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审议批准监事会的报告；</w:t>
      </w:r>
    </w:p>
    <w:p>
      <w:pPr>
        <w:pStyle w:val="62"/>
        <w:numPr>
          <w:ilvl w:val="0"/>
          <w:numId w:val="4"/>
        </w:numPr>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审议批准公司的年度财务预算方案、决算方案；</w:t>
      </w:r>
    </w:p>
    <w:p>
      <w:pPr>
        <w:pStyle w:val="62"/>
        <w:numPr>
          <w:ilvl w:val="0"/>
          <w:numId w:val="4"/>
        </w:numPr>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审议批准公司的利润分配方案和弥补亏损方案；</w:t>
      </w:r>
    </w:p>
    <w:p>
      <w:pPr>
        <w:pStyle w:val="62"/>
        <w:numPr>
          <w:ilvl w:val="0"/>
          <w:numId w:val="4"/>
        </w:numPr>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对公司增加或者减少注册资本作出决议；</w:t>
      </w:r>
    </w:p>
    <w:p>
      <w:pPr>
        <w:pStyle w:val="62"/>
        <w:numPr>
          <w:ilvl w:val="0"/>
          <w:numId w:val="4"/>
        </w:numPr>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对公司股权转让作出决议；</w:t>
      </w:r>
    </w:p>
    <w:p>
      <w:pPr>
        <w:pStyle w:val="62"/>
        <w:numPr>
          <w:ilvl w:val="0"/>
          <w:numId w:val="4"/>
        </w:numPr>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对公司合并、分立、解散、清算或者变更公司形式作出决议；</w:t>
      </w:r>
    </w:p>
    <w:p>
      <w:pPr>
        <w:pStyle w:val="62"/>
        <w:numPr>
          <w:ilvl w:val="0"/>
          <w:numId w:val="4"/>
        </w:numPr>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制定和修改公司章程；</w:t>
      </w:r>
    </w:p>
    <w:p>
      <w:pPr>
        <w:pStyle w:val="62"/>
        <w:numPr>
          <w:ilvl w:val="0"/>
          <w:numId w:val="4"/>
        </w:numPr>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变更项目公司的名称和地址；</w:t>
      </w:r>
    </w:p>
    <w:p>
      <w:pPr>
        <w:pStyle w:val="62"/>
        <w:numPr>
          <w:ilvl w:val="0"/>
          <w:numId w:val="4"/>
        </w:numPr>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延长项目公司经营期限；</w:t>
      </w:r>
    </w:p>
    <w:p>
      <w:pPr>
        <w:pStyle w:val="62"/>
        <w:numPr>
          <w:ilvl w:val="0"/>
          <w:numId w:val="4"/>
        </w:numPr>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股东会认为应由其决定的其他事项。</w:t>
      </w:r>
      <w:bookmarkEnd w:id="33"/>
    </w:p>
    <w:p>
      <w:pPr>
        <w:pStyle w:val="62"/>
        <w:numPr>
          <w:ilvl w:val="0"/>
          <w:numId w:val="3"/>
        </w:numPr>
        <w:adjustRightInd w:val="0"/>
        <w:snapToGrid w:val="0"/>
        <w:spacing w:before="120" w:beforeLines="50" w:after="120" w:afterLines="50" w:line="360" w:lineRule="auto"/>
        <w:ind w:left="0" w:firstLine="562"/>
        <w:rPr>
          <w:rFonts w:ascii="仿宋_GB2312" w:eastAsia="仿宋_GB2312"/>
          <w:sz w:val="28"/>
          <w:szCs w:val="28"/>
          <w:highlight w:val="none"/>
        </w:rPr>
      </w:pPr>
      <w:r>
        <w:rPr>
          <w:rFonts w:ascii="仿宋_GB2312" w:hAnsi="华文仿宋" w:eastAsia="仿宋_GB2312"/>
          <w:b/>
          <w:bCs/>
          <w:kern w:val="0"/>
          <w:sz w:val="28"/>
          <w:szCs w:val="28"/>
          <w:highlight w:val="none"/>
        </w:rPr>
        <w:t xml:space="preserve"> </w:t>
      </w:r>
      <w:r>
        <w:rPr>
          <w:rFonts w:hint="eastAsia" w:ascii="仿宋_GB2312" w:eastAsia="仿宋_GB2312"/>
          <w:sz w:val="28"/>
          <w:szCs w:val="28"/>
          <w:highlight w:val="none"/>
        </w:rPr>
        <w:t>股东会做出决议时应以实现公司经营宗旨、以及符合公司长远利益和长远发展为指导。股东会会议实行股权投票表决制，即由股东按照实缴出资比例行使表决权。</w:t>
      </w:r>
    </w:p>
    <w:p>
      <w:pPr>
        <w:pStyle w:val="62"/>
        <w:numPr>
          <w:ilvl w:val="0"/>
          <w:numId w:val="3"/>
        </w:numPr>
        <w:adjustRightInd w:val="0"/>
        <w:snapToGrid w:val="0"/>
        <w:spacing w:before="120" w:beforeLines="50" w:after="120" w:afterLines="50" w:line="360" w:lineRule="auto"/>
        <w:ind w:left="0" w:firstLine="560"/>
        <w:rPr>
          <w:rFonts w:ascii="仿宋_GB2312" w:hAnsi="华文仿宋" w:eastAsia="仿宋_GB2312"/>
          <w:sz w:val="28"/>
          <w:szCs w:val="28"/>
          <w:highlight w:val="none"/>
        </w:rPr>
      </w:pPr>
      <w:r>
        <w:rPr>
          <w:rFonts w:ascii="仿宋_GB2312" w:hAnsi="华文仿宋" w:eastAsia="仿宋_GB2312"/>
          <w:sz w:val="28"/>
          <w:szCs w:val="28"/>
          <w:highlight w:val="none"/>
        </w:rPr>
        <w:t xml:space="preserve"> </w:t>
      </w:r>
      <w:r>
        <w:rPr>
          <w:rFonts w:hint="eastAsia" w:ascii="仿宋_GB2312" w:hAnsi="华文仿宋" w:eastAsia="仿宋_GB2312"/>
          <w:sz w:val="28"/>
          <w:szCs w:val="28"/>
          <w:highlight w:val="none"/>
        </w:rPr>
        <w:t>上述第二十条的股东会职权事项中，第（11）、（12）事项应由全体股东一致表决通过；第（7）、（9）、（10）项事项应由代表三分之二（2/3）以上表决权的股东表决通过；对于股东会决议的其他事项，须经代表半数以上表决权的股东通过。</w:t>
      </w:r>
      <w:r>
        <w:rPr>
          <w:rFonts w:ascii="仿宋_GB2312" w:hAnsi="华文仿宋" w:eastAsia="仿宋_GB2312"/>
          <w:sz w:val="28"/>
          <w:szCs w:val="28"/>
          <w:highlight w:val="none"/>
        </w:rPr>
        <w:t>甲方对涉及第（7）、（8）、（9）、（10）项事项享有一票否决权。</w:t>
      </w:r>
    </w:p>
    <w:p>
      <w:pPr>
        <w:numPr>
          <w:ilvl w:val="0"/>
          <w:numId w:val="3"/>
        </w:numPr>
        <w:spacing w:line="360" w:lineRule="auto"/>
        <w:ind w:left="0" w:firstLine="560" w:firstLineChars="200"/>
        <w:rPr>
          <w:rFonts w:ascii="仿宋_GB2312" w:hAnsi="华文仿宋" w:eastAsia="仿宋_GB2312"/>
          <w:sz w:val="28"/>
          <w:szCs w:val="28"/>
          <w:highlight w:val="none"/>
        </w:rPr>
      </w:pPr>
      <w:r>
        <w:rPr>
          <w:rFonts w:ascii="仿宋_GB2312" w:hAnsi="华文仿宋" w:eastAsia="仿宋_GB2312" w:cs="Times New Roman"/>
          <w:kern w:val="0"/>
          <w:sz w:val="28"/>
          <w:szCs w:val="28"/>
          <w:highlight w:val="none"/>
        </w:rPr>
        <w:t xml:space="preserve"> </w:t>
      </w:r>
      <w:r>
        <w:rPr>
          <w:rFonts w:hint="eastAsia" w:ascii="仿宋_GB2312" w:hAnsi="华文仿宋" w:eastAsia="仿宋_GB2312"/>
          <w:sz w:val="28"/>
          <w:szCs w:val="28"/>
          <w:highlight w:val="none"/>
        </w:rPr>
        <w:t>股东会会议分为定期会议和临时会议。定期会议每年召开一次；代表十分之一以上表决权的股东，三分之一以上的董事，监事会提议召开临时会议的，应当召开临时会议。</w:t>
      </w:r>
    </w:p>
    <w:p>
      <w:pPr>
        <w:numPr>
          <w:ilvl w:val="0"/>
          <w:numId w:val="3"/>
        </w:numPr>
        <w:spacing w:line="360" w:lineRule="auto"/>
        <w:ind w:left="0" w:firstLine="560" w:firstLineChars="200"/>
        <w:rPr>
          <w:rFonts w:ascii="仿宋_GB2312" w:eastAsia="仿宋_GB2312"/>
          <w:sz w:val="28"/>
          <w:szCs w:val="28"/>
          <w:highlight w:val="none"/>
        </w:rPr>
      </w:pPr>
      <w:r>
        <w:rPr>
          <w:rFonts w:ascii="仿宋_GB2312" w:hAnsi="华文仿宋" w:eastAsia="仿宋_GB2312"/>
          <w:sz w:val="28"/>
          <w:szCs w:val="28"/>
          <w:highlight w:val="none"/>
        </w:rPr>
        <w:t xml:space="preserve"> </w:t>
      </w:r>
      <w:r>
        <w:rPr>
          <w:rFonts w:hint="eastAsia" w:ascii="仿宋_GB2312" w:hAnsi="华文仿宋" w:eastAsia="仿宋_GB2312"/>
          <w:sz w:val="28"/>
          <w:szCs w:val="28"/>
          <w:highlight w:val="none"/>
        </w:rPr>
        <w:t>首次股东会会议由（     ）召集和主持。除首次股东会外，</w:t>
      </w:r>
      <w:r>
        <w:rPr>
          <w:rFonts w:hint="eastAsia" w:ascii="仿宋_GB2312" w:eastAsia="仿宋_GB2312"/>
          <w:sz w:val="28"/>
          <w:szCs w:val="28"/>
          <w:highlight w:val="none"/>
        </w:rPr>
        <w:t>股东会会议由董事会召集，董事长主持；董事长不能履行职务或者不履行职务的，由半数以上董事共同推举一名董事主持。董事会不能履行或者不履行召集股东会会议职责的，由监事会召集和主持；监事会不召集和主持的，代表十分之一（</w:t>
      </w:r>
      <w:r>
        <w:rPr>
          <w:rFonts w:ascii="仿宋_GB2312" w:eastAsia="仿宋_GB2312"/>
          <w:sz w:val="28"/>
          <w:szCs w:val="28"/>
          <w:highlight w:val="none"/>
        </w:rPr>
        <w:t>1/10）以上表决权的股东可以自行召集和主持。</w:t>
      </w:r>
    </w:p>
    <w:p>
      <w:pPr>
        <w:numPr>
          <w:ilvl w:val="0"/>
          <w:numId w:val="3"/>
        </w:numPr>
        <w:spacing w:line="360" w:lineRule="auto"/>
        <w:ind w:left="0" w:firstLine="560" w:firstLineChars="200"/>
        <w:rPr>
          <w:rFonts w:ascii="仿宋_GB2312" w:hAnsi="华文仿宋" w:eastAsia="仿宋_GB2312"/>
          <w:kern w:val="0"/>
          <w:sz w:val="28"/>
          <w:szCs w:val="28"/>
          <w:highlight w:val="none"/>
        </w:rPr>
      </w:pPr>
      <w:r>
        <w:rPr>
          <w:rFonts w:ascii="仿宋_GB2312" w:hAnsi="华文仿宋" w:eastAsia="仿宋_GB2312" w:cs="Times New Roman"/>
          <w:kern w:val="0"/>
          <w:sz w:val="28"/>
          <w:szCs w:val="28"/>
          <w:highlight w:val="none"/>
        </w:rPr>
        <w:t xml:space="preserve"> </w:t>
      </w:r>
      <w:r>
        <w:rPr>
          <w:rFonts w:hint="eastAsia" w:ascii="仿宋_GB2312" w:eastAsia="仿宋_GB2312"/>
          <w:sz w:val="28"/>
          <w:szCs w:val="28"/>
          <w:highlight w:val="none"/>
        </w:rPr>
        <w:t>召开股东会会议，应当于会议召开十五（</w:t>
      </w:r>
      <w:r>
        <w:rPr>
          <w:rFonts w:ascii="仿宋_GB2312" w:eastAsia="仿宋_GB2312"/>
          <w:sz w:val="28"/>
          <w:szCs w:val="28"/>
          <w:highlight w:val="none"/>
        </w:rPr>
        <w:t>15）日前通知全体股东。</w:t>
      </w:r>
      <w:r>
        <w:rPr>
          <w:rFonts w:hint="eastAsia" w:ascii="仿宋_GB2312" w:hAnsi="华文仿宋" w:eastAsia="仿宋_GB2312" w:cs="Times New Roman"/>
          <w:kern w:val="0"/>
          <w:sz w:val="28"/>
          <w:szCs w:val="28"/>
          <w:highlight w:val="none"/>
        </w:rPr>
        <w:t>股东各方均有义务委派代表出席股东会会议。</w:t>
      </w:r>
    </w:p>
    <w:p>
      <w:pPr>
        <w:numPr>
          <w:ilvl w:val="0"/>
          <w:numId w:val="3"/>
        </w:numPr>
        <w:spacing w:line="360" w:lineRule="auto"/>
        <w:ind w:left="0" w:firstLine="560" w:firstLineChars="200"/>
        <w:rPr>
          <w:rFonts w:ascii="仿宋_GB2312" w:eastAsia="仿宋_GB2312" w:cs="Times New Roman"/>
          <w:sz w:val="28"/>
          <w:szCs w:val="28"/>
          <w:highlight w:val="none"/>
        </w:rPr>
      </w:pPr>
      <w:r>
        <w:rPr>
          <w:rFonts w:ascii="仿宋_GB2312" w:hAnsi="华文仿宋" w:eastAsia="仿宋_GB2312" w:cs="Times New Roman"/>
          <w:sz w:val="28"/>
          <w:szCs w:val="28"/>
          <w:highlight w:val="none"/>
        </w:rPr>
        <w:t xml:space="preserve"> </w:t>
      </w:r>
      <w:r>
        <w:rPr>
          <w:rFonts w:hint="eastAsia" w:ascii="仿宋_GB2312" w:eastAsia="仿宋_GB2312" w:cs="Times New Roman"/>
          <w:sz w:val="28"/>
          <w:szCs w:val="28"/>
          <w:highlight w:val="none"/>
        </w:rPr>
        <w:t>股东会应当对所议事项的决定制定会议记录，出席会议的股东应当在会议记录上签名。</w:t>
      </w:r>
    </w:p>
    <w:p>
      <w:pPr>
        <w:numPr>
          <w:ilvl w:val="0"/>
          <w:numId w:val="3"/>
        </w:numPr>
        <w:spacing w:line="360" w:lineRule="auto"/>
        <w:ind w:left="0" w:firstLine="560" w:firstLineChars="200"/>
        <w:rPr>
          <w:rFonts w:ascii="仿宋_GB2312" w:eastAsia="仿宋_GB2312" w:cs="Times New Roman"/>
          <w:sz w:val="28"/>
          <w:szCs w:val="28"/>
          <w:highlight w:val="none"/>
        </w:rPr>
      </w:pPr>
      <w:r>
        <w:rPr>
          <w:rFonts w:ascii="仿宋_GB2312" w:hAnsi="华文仿宋" w:eastAsia="仿宋_GB2312" w:cs="Times New Roman"/>
          <w:sz w:val="28"/>
          <w:szCs w:val="28"/>
          <w:highlight w:val="none"/>
        </w:rPr>
        <w:t xml:space="preserve"> </w:t>
      </w:r>
      <w:r>
        <w:rPr>
          <w:rFonts w:hint="eastAsia" w:ascii="仿宋_GB2312" w:eastAsia="仿宋_GB2312" w:cs="Times New Roman"/>
          <w:sz w:val="28"/>
          <w:szCs w:val="28"/>
          <w:highlight w:val="none"/>
        </w:rPr>
        <w:t>股东以书面形式一致表示同意的，可以不召开股东会会议，直接作出决定，并由全体股东在决定文件上签名、盖章。</w:t>
      </w:r>
    </w:p>
    <w:p>
      <w:pPr>
        <w:numPr>
          <w:ilvl w:val="0"/>
          <w:numId w:val="3"/>
        </w:numPr>
        <w:spacing w:line="360" w:lineRule="auto"/>
        <w:ind w:left="0" w:firstLine="560" w:firstLineChars="200"/>
        <w:rPr>
          <w:rFonts w:ascii="仿宋_GB2312" w:hAnsi="华文仿宋" w:eastAsia="仿宋_GB2312"/>
          <w:sz w:val="28"/>
          <w:szCs w:val="28"/>
          <w:highlight w:val="none"/>
        </w:rPr>
      </w:pPr>
      <w:r>
        <w:rPr>
          <w:rFonts w:ascii="仿宋_GB2312" w:hAnsi="华文仿宋" w:eastAsia="仿宋_GB2312"/>
          <w:sz w:val="28"/>
          <w:szCs w:val="28"/>
          <w:highlight w:val="none"/>
        </w:rPr>
        <w:t xml:space="preserve"> </w:t>
      </w:r>
      <w:r>
        <w:rPr>
          <w:rFonts w:hint="eastAsia" w:ascii="仿宋_GB2312" w:hAnsi="华文仿宋" w:eastAsia="仿宋_GB2312" w:cs="Times New Roman"/>
          <w:sz w:val="28"/>
          <w:szCs w:val="28"/>
          <w:highlight w:val="none"/>
        </w:rPr>
        <w:t>如股东会会议对相关事项不能做出有效决议，股东各方的授权代表应在该等股东会会议结束后十（</w:t>
      </w:r>
      <w:r>
        <w:rPr>
          <w:rFonts w:ascii="仿宋_GB2312" w:hAnsi="华文仿宋" w:eastAsia="仿宋_GB2312" w:cs="Times New Roman"/>
          <w:sz w:val="28"/>
          <w:szCs w:val="28"/>
          <w:highlight w:val="none"/>
        </w:rPr>
        <w:t>10）日内进行磋商，以促使股东会</w:t>
      </w:r>
      <w:r>
        <w:rPr>
          <w:rFonts w:hint="eastAsia" w:ascii="仿宋_GB2312" w:hAnsi="华文仿宋" w:eastAsia="仿宋_GB2312" w:cs="Times New Roman"/>
          <w:sz w:val="28"/>
          <w:szCs w:val="28"/>
          <w:highlight w:val="none"/>
        </w:rPr>
        <w:t>作出有效决议。如各方代表不能在前述期限内进行磋商，或磋商不能达成一致意见，或在各方代表磋商结束后七（</w:t>
      </w:r>
      <w:r>
        <w:rPr>
          <w:rFonts w:ascii="仿宋_GB2312" w:hAnsi="华文仿宋" w:eastAsia="仿宋_GB2312" w:cs="Times New Roman"/>
          <w:sz w:val="28"/>
          <w:szCs w:val="28"/>
          <w:highlight w:val="none"/>
        </w:rPr>
        <w:t>7）日内股东会仍不能</w:t>
      </w:r>
      <w:r>
        <w:rPr>
          <w:rFonts w:hint="eastAsia" w:ascii="仿宋_GB2312" w:hAnsi="华文仿宋" w:eastAsia="仿宋_GB2312" w:cs="Times New Roman"/>
          <w:sz w:val="28"/>
          <w:szCs w:val="28"/>
          <w:highlight w:val="none"/>
        </w:rPr>
        <w:t>作出有效决议，则适用本章程第八十九条的规定。</w:t>
      </w:r>
    </w:p>
    <w:p>
      <w:pPr>
        <w:numPr>
          <w:ilvl w:val="0"/>
          <w:numId w:val="3"/>
        </w:numPr>
        <w:spacing w:line="360" w:lineRule="auto"/>
        <w:ind w:left="0" w:firstLine="560" w:firstLineChars="200"/>
        <w:rPr>
          <w:rFonts w:ascii="仿宋_GB2312" w:hAnsi="华文仿宋" w:eastAsia="仿宋_GB2312"/>
          <w:sz w:val="28"/>
          <w:szCs w:val="28"/>
          <w:highlight w:val="none"/>
        </w:rPr>
      </w:pPr>
      <w:r>
        <w:rPr>
          <w:rFonts w:ascii="仿宋_GB2312" w:hAnsi="华文仿宋" w:eastAsia="仿宋_GB2312" w:cs="Times New Roman"/>
          <w:sz w:val="28"/>
          <w:szCs w:val="28"/>
          <w:highlight w:val="none"/>
        </w:rPr>
        <w:t xml:space="preserve"> </w:t>
      </w:r>
      <w:r>
        <w:rPr>
          <w:rFonts w:hint="eastAsia" w:ascii="仿宋_GB2312" w:hAnsi="华文仿宋" w:eastAsia="仿宋_GB2312" w:cs="Times New Roman"/>
          <w:sz w:val="28"/>
          <w:szCs w:val="28"/>
          <w:highlight w:val="none"/>
        </w:rPr>
        <w:t>公司不应因股东出席任何股东会会议而向其支付任何报酬。但是，股东为履行其在本章程下的职责所发生的有关合理费用（如合理范围内的差旅费和住宿费）应由公司予以承担。</w:t>
      </w:r>
    </w:p>
    <w:p>
      <w:pPr>
        <w:spacing w:before="120" w:beforeLines="50" w:after="120" w:afterLines="50" w:line="360" w:lineRule="auto"/>
        <w:jc w:val="center"/>
        <w:outlineLvl w:val="0"/>
        <w:rPr>
          <w:rFonts w:ascii="仿宋_GB2312" w:hAnsi="华文仿宋" w:eastAsia="仿宋_GB2312"/>
          <w:b/>
          <w:bCs/>
          <w:kern w:val="0"/>
          <w:sz w:val="32"/>
          <w:szCs w:val="32"/>
          <w:highlight w:val="none"/>
        </w:rPr>
      </w:pPr>
      <w:bookmarkStart w:id="34" w:name="_Toc438125218"/>
      <w:r>
        <w:rPr>
          <w:rFonts w:hint="eastAsia" w:ascii="仿宋_GB2312" w:hAnsi="华文仿宋" w:eastAsia="仿宋_GB2312"/>
          <w:b/>
          <w:bCs/>
          <w:kern w:val="0"/>
          <w:sz w:val="32"/>
          <w:szCs w:val="32"/>
          <w:highlight w:val="none"/>
        </w:rPr>
        <w:t>第五章</w:t>
      </w:r>
      <w:r>
        <w:rPr>
          <w:rFonts w:ascii="仿宋_GB2312" w:hAnsi="华文仿宋" w:eastAsia="仿宋_GB2312"/>
          <w:b/>
          <w:bCs/>
          <w:kern w:val="0"/>
          <w:sz w:val="32"/>
          <w:szCs w:val="32"/>
          <w:highlight w:val="none"/>
        </w:rPr>
        <w:t xml:space="preserve"> </w:t>
      </w:r>
      <w:r>
        <w:rPr>
          <w:rFonts w:hint="eastAsia" w:ascii="仿宋_GB2312" w:hAnsi="华文仿宋" w:eastAsia="仿宋_GB2312"/>
          <w:b/>
          <w:bCs/>
          <w:kern w:val="0"/>
          <w:sz w:val="32"/>
          <w:szCs w:val="32"/>
          <w:highlight w:val="none"/>
        </w:rPr>
        <w:t>董事会</w:t>
      </w:r>
      <w:bookmarkEnd w:id="34"/>
    </w:p>
    <w:p>
      <w:pPr>
        <w:numPr>
          <w:ilvl w:val="0"/>
          <w:numId w:val="3"/>
        </w:numPr>
        <w:spacing w:line="360" w:lineRule="auto"/>
        <w:ind w:left="0" w:firstLine="560" w:firstLineChars="200"/>
        <w:rPr>
          <w:rFonts w:ascii="仿宋_GB2312" w:hAnsi="华文仿宋" w:eastAsia="仿宋_GB2312"/>
          <w:sz w:val="28"/>
          <w:szCs w:val="28"/>
          <w:highlight w:val="none"/>
        </w:rPr>
      </w:pPr>
      <w:r>
        <w:rPr>
          <w:rFonts w:ascii="仿宋_GB2312" w:hAnsi="华文仿宋" w:eastAsia="仿宋_GB2312" w:cs="Times New Roman"/>
          <w:sz w:val="28"/>
          <w:szCs w:val="28"/>
          <w:highlight w:val="none"/>
        </w:rPr>
        <w:t xml:space="preserve"> </w:t>
      </w:r>
      <w:r>
        <w:rPr>
          <w:rFonts w:hint="eastAsia" w:ascii="仿宋_GB2312" w:hAnsi="华文仿宋" w:eastAsia="仿宋_GB2312" w:cs="Times New Roman"/>
          <w:sz w:val="28"/>
          <w:szCs w:val="28"/>
          <w:highlight w:val="none"/>
        </w:rPr>
        <w:t>公司首次股东会确定公司董事会成立相关事宜。</w:t>
      </w:r>
    </w:p>
    <w:p>
      <w:pPr>
        <w:numPr>
          <w:ilvl w:val="0"/>
          <w:numId w:val="3"/>
        </w:numPr>
        <w:spacing w:line="360" w:lineRule="auto"/>
        <w:ind w:left="0" w:firstLine="560" w:firstLineChars="200"/>
        <w:rPr>
          <w:rFonts w:ascii="仿宋_GB2312" w:hAnsi="华文仿宋" w:eastAsia="仿宋_GB2312"/>
          <w:sz w:val="28"/>
          <w:szCs w:val="28"/>
          <w:highlight w:val="none"/>
        </w:rPr>
      </w:pPr>
      <w:r>
        <w:rPr>
          <w:rFonts w:ascii="仿宋_GB2312" w:hAnsi="华文仿宋" w:eastAsia="仿宋_GB2312" w:cs="Times New Roman"/>
          <w:sz w:val="28"/>
          <w:szCs w:val="28"/>
          <w:highlight w:val="none"/>
        </w:rPr>
        <w:t xml:space="preserve"> </w:t>
      </w:r>
      <w:r>
        <w:rPr>
          <w:rFonts w:hint="eastAsia" w:ascii="仿宋_GB2312" w:hAnsi="华文仿宋" w:eastAsia="仿宋_GB2312" w:cs="Times New Roman"/>
          <w:sz w:val="28"/>
          <w:szCs w:val="28"/>
          <w:highlight w:val="none"/>
        </w:rPr>
        <w:t>董事会成员共9</w:t>
      </w:r>
      <w:r>
        <w:rPr>
          <w:rFonts w:ascii="仿宋_GB2312" w:hAnsi="华文仿宋" w:eastAsia="仿宋_GB2312" w:cs="Times New Roman"/>
          <w:sz w:val="28"/>
          <w:szCs w:val="28"/>
          <w:highlight w:val="none"/>
        </w:rPr>
        <w:t>人，其中董事长1名，由</w:t>
      </w:r>
      <w:r>
        <w:rPr>
          <w:rFonts w:hint="eastAsia" w:ascii="仿宋_GB2312" w:hAnsi="华文仿宋" w:eastAsia="仿宋_GB2312" w:cs="Times New Roman"/>
          <w:sz w:val="28"/>
          <w:szCs w:val="28"/>
          <w:highlight w:val="none"/>
        </w:rPr>
        <w:t>（ ）推荐、董事会选举产生；董事8</w:t>
      </w:r>
      <w:r>
        <w:rPr>
          <w:rFonts w:ascii="仿宋_GB2312" w:hAnsi="华文仿宋" w:eastAsia="仿宋_GB2312" w:cs="Times New Roman"/>
          <w:sz w:val="28"/>
          <w:szCs w:val="28"/>
          <w:highlight w:val="none"/>
        </w:rPr>
        <w:t>名，其中</w:t>
      </w:r>
      <w:r>
        <w:rPr>
          <w:rFonts w:hint="eastAsia" w:ascii="仿宋_GB2312" w:hAnsi="华文仿宋" w:eastAsia="仿宋_GB2312" w:cs="Times New Roman"/>
          <w:sz w:val="28"/>
          <w:szCs w:val="28"/>
          <w:highlight w:val="none"/>
        </w:rPr>
        <w:t>宿迁交产集团委派</w:t>
      </w:r>
      <w:r>
        <w:rPr>
          <w:rFonts w:ascii="仿宋_GB2312" w:hAnsi="华文仿宋" w:eastAsia="仿宋_GB2312" w:cs="Times New Roman"/>
          <w:sz w:val="28"/>
          <w:szCs w:val="28"/>
          <w:highlight w:val="none"/>
        </w:rPr>
        <w:t>1名董事；</w:t>
      </w:r>
      <w:r>
        <w:rPr>
          <w:rFonts w:hint="eastAsia" w:ascii="仿宋_GB2312" w:hAnsi="华文仿宋" w:eastAsia="仿宋_GB2312" w:cs="Times New Roman"/>
          <w:sz w:val="28"/>
          <w:szCs w:val="28"/>
          <w:highlight w:val="none"/>
        </w:rPr>
        <w:t>（） 委派7</w:t>
      </w:r>
      <w:r>
        <w:rPr>
          <w:rFonts w:ascii="仿宋_GB2312" w:hAnsi="华文仿宋" w:eastAsia="仿宋_GB2312" w:cs="Times New Roman"/>
          <w:sz w:val="28"/>
          <w:szCs w:val="28"/>
          <w:highlight w:val="none"/>
        </w:rPr>
        <w:t>名董事，并推荐1名职工董事、经公司职工大会选举产生。</w:t>
      </w:r>
    </w:p>
    <w:p>
      <w:pPr>
        <w:numPr>
          <w:ilvl w:val="0"/>
          <w:numId w:val="3"/>
        </w:numPr>
        <w:spacing w:line="360" w:lineRule="auto"/>
        <w:ind w:left="0" w:firstLine="560" w:firstLineChars="200"/>
        <w:rPr>
          <w:rFonts w:ascii="仿宋_GB2312" w:hAnsi="华文仿宋" w:eastAsia="仿宋_GB2312"/>
          <w:sz w:val="28"/>
          <w:szCs w:val="28"/>
          <w:highlight w:val="none"/>
        </w:rPr>
      </w:pPr>
      <w:r>
        <w:rPr>
          <w:rFonts w:ascii="仿宋_GB2312" w:hAnsi="华文仿宋" w:eastAsia="仿宋_GB2312" w:cs="Times New Roman"/>
          <w:sz w:val="28"/>
          <w:szCs w:val="28"/>
          <w:highlight w:val="none"/>
        </w:rPr>
        <w:t xml:space="preserve"> </w:t>
      </w:r>
      <w:r>
        <w:rPr>
          <w:rFonts w:hint="eastAsia" w:ascii="仿宋_GB2312" w:hAnsi="华文仿宋" w:eastAsia="仿宋_GB2312" w:cs="Times New Roman"/>
          <w:sz w:val="28"/>
          <w:szCs w:val="28"/>
          <w:highlight w:val="none"/>
        </w:rPr>
        <w:t>董事会设董事长一（</w:t>
      </w:r>
      <w:r>
        <w:rPr>
          <w:rFonts w:ascii="仿宋_GB2312" w:hAnsi="华文仿宋" w:eastAsia="仿宋_GB2312" w:cs="Times New Roman"/>
          <w:sz w:val="28"/>
          <w:szCs w:val="28"/>
          <w:highlight w:val="none"/>
        </w:rPr>
        <w:t>1）名，董事长是</w:t>
      </w:r>
      <w:r>
        <w:rPr>
          <w:rFonts w:hint="eastAsia" w:ascii="仿宋_GB2312" w:hAnsi="华文仿宋" w:eastAsia="仿宋_GB2312" w:cs="Times New Roman"/>
          <w:sz w:val="28"/>
          <w:szCs w:val="28"/>
          <w:highlight w:val="none"/>
        </w:rPr>
        <w:t>公司的法定代表人，由（ ）提名，董事会选举产生。</w:t>
      </w:r>
    </w:p>
    <w:p>
      <w:pPr>
        <w:numPr>
          <w:ilvl w:val="0"/>
          <w:numId w:val="3"/>
        </w:numPr>
        <w:spacing w:line="360" w:lineRule="auto"/>
        <w:ind w:left="0" w:firstLine="560" w:firstLineChars="200"/>
        <w:rPr>
          <w:rFonts w:ascii="仿宋_GB2312" w:hAnsi="华文仿宋" w:eastAsia="仿宋_GB2312"/>
          <w:sz w:val="28"/>
          <w:szCs w:val="28"/>
          <w:highlight w:val="none"/>
        </w:rPr>
      </w:pPr>
      <w:r>
        <w:rPr>
          <w:rFonts w:ascii="仿宋_GB2312" w:hAnsi="华文仿宋" w:eastAsia="仿宋_GB2312" w:cs="Times New Roman"/>
          <w:sz w:val="28"/>
          <w:szCs w:val="28"/>
          <w:highlight w:val="none"/>
        </w:rPr>
        <w:t xml:space="preserve"> </w:t>
      </w:r>
      <w:r>
        <w:rPr>
          <w:rFonts w:hint="eastAsia" w:ascii="仿宋_GB2312" w:hAnsi="华文仿宋" w:eastAsia="仿宋_GB2312" w:cs="Times New Roman"/>
          <w:sz w:val="28"/>
          <w:szCs w:val="28"/>
          <w:highlight w:val="none"/>
        </w:rPr>
        <w:t>每名董事任期</w:t>
      </w:r>
      <w:r>
        <w:rPr>
          <w:rFonts w:ascii="仿宋_GB2312" w:hAnsi="华文仿宋" w:eastAsia="仿宋_GB2312" w:cs="Times New Roman"/>
          <w:sz w:val="28"/>
          <w:szCs w:val="28"/>
          <w:highlight w:val="none"/>
        </w:rPr>
        <w:t>3年，任期届满可以连任。委派董事的一方可随时提议免除该董事并另行委派人选接替其职务。如董事因退休、辞职、无行为能力或其他合理原因因故不能履行董事职责的，或因原委派方或职工大会代表撤换该董事而出现空缺，则原委派/推荐该董事的一方应委派继任人，接任该董事的剩余任期。在本</w:t>
      </w:r>
      <w:r>
        <w:rPr>
          <w:rFonts w:hint="eastAsia" w:ascii="仿宋_GB2312" w:hAnsi="华文仿宋" w:eastAsia="仿宋_GB2312" w:cs="Times New Roman"/>
          <w:sz w:val="28"/>
          <w:szCs w:val="28"/>
          <w:highlight w:val="none"/>
        </w:rPr>
        <w:t>章程签订之时以及每次委派或替换董事之时，各方及</w:t>
      </w:r>
      <w:r>
        <w:rPr>
          <w:rFonts w:ascii="仿宋_GB2312" w:hAnsi="华文仿宋" w:eastAsia="仿宋_GB2312" w:cs="Times New Roman"/>
          <w:sz w:val="28"/>
          <w:szCs w:val="28"/>
          <w:highlight w:val="none"/>
        </w:rPr>
        <w:t>/或职工代表大会均应将其委派或替换董事的姓名通知各方。</w:t>
      </w:r>
    </w:p>
    <w:p>
      <w:pPr>
        <w:numPr>
          <w:ilvl w:val="0"/>
          <w:numId w:val="3"/>
        </w:numPr>
        <w:spacing w:line="360" w:lineRule="auto"/>
        <w:ind w:left="0" w:firstLine="560" w:firstLineChars="200"/>
        <w:rPr>
          <w:rFonts w:ascii="仿宋_GB2312" w:hAnsi="华文仿宋" w:eastAsia="仿宋_GB2312"/>
          <w:sz w:val="28"/>
          <w:szCs w:val="28"/>
          <w:highlight w:val="none"/>
        </w:rPr>
      </w:pPr>
      <w:r>
        <w:rPr>
          <w:rFonts w:ascii="仿宋_GB2312" w:hAnsi="华文仿宋" w:eastAsia="仿宋_GB2312" w:cs="Times New Roman"/>
          <w:sz w:val="28"/>
          <w:szCs w:val="28"/>
          <w:highlight w:val="none"/>
        </w:rPr>
        <w:t xml:space="preserve"> </w:t>
      </w:r>
      <w:r>
        <w:rPr>
          <w:rFonts w:hint="eastAsia" w:ascii="仿宋_GB2312" w:hAnsi="华文仿宋" w:eastAsia="仿宋_GB2312" w:cs="Times New Roman"/>
          <w:sz w:val="28"/>
          <w:szCs w:val="28"/>
          <w:highlight w:val="none"/>
        </w:rPr>
        <w:t>董事会职权</w:t>
      </w:r>
      <w:r>
        <w:rPr>
          <w:rFonts w:ascii="仿宋_GB2312" w:hAnsi="华文仿宋" w:eastAsia="仿宋_GB2312" w:cs="Times New Roman"/>
          <w:sz w:val="28"/>
          <w:szCs w:val="28"/>
          <w:highlight w:val="none"/>
        </w:rPr>
        <w:t xml:space="preserve"> </w:t>
      </w:r>
    </w:p>
    <w:p>
      <w:pPr>
        <w:spacing w:line="360" w:lineRule="auto"/>
        <w:ind w:firstLine="560" w:firstLineChars="200"/>
        <w:rPr>
          <w:rFonts w:ascii="仿宋_GB2312" w:hAnsi="华文仿宋" w:eastAsia="仿宋_GB2312"/>
          <w:sz w:val="28"/>
          <w:highlight w:val="none"/>
        </w:rPr>
      </w:pPr>
      <w:r>
        <w:rPr>
          <w:rFonts w:ascii="仿宋_GB2312" w:hAnsi="华文仿宋" w:eastAsia="仿宋_GB2312"/>
          <w:sz w:val="28"/>
          <w:highlight w:val="none"/>
        </w:rPr>
        <w:t>董事会对股东会负责，按照公司章程规定行使下列职权：</w:t>
      </w:r>
    </w:p>
    <w:p>
      <w:pPr>
        <w:pStyle w:val="62"/>
        <w:numPr>
          <w:ilvl w:val="0"/>
          <w:numId w:val="5"/>
        </w:numPr>
        <w:snapToGrid w:val="0"/>
        <w:spacing w:line="360" w:lineRule="auto"/>
        <w:ind w:left="0" w:firstLine="560"/>
        <w:rPr>
          <w:rFonts w:ascii="仿宋_GB2312" w:hAnsi="华文仿宋" w:eastAsia="仿宋_GB2312"/>
          <w:sz w:val="28"/>
          <w:highlight w:val="none"/>
        </w:rPr>
      </w:pPr>
      <w:r>
        <w:rPr>
          <w:rFonts w:ascii="仿宋_GB2312" w:hAnsi="华文仿宋" w:eastAsia="仿宋_GB2312"/>
          <w:sz w:val="28"/>
          <w:highlight w:val="none"/>
        </w:rPr>
        <w:t>召集股东会会议，并向股东会报告工作；</w:t>
      </w:r>
    </w:p>
    <w:p>
      <w:pPr>
        <w:pStyle w:val="62"/>
        <w:numPr>
          <w:ilvl w:val="0"/>
          <w:numId w:val="5"/>
        </w:numPr>
        <w:snapToGrid w:val="0"/>
        <w:spacing w:line="360" w:lineRule="auto"/>
        <w:ind w:left="0" w:firstLine="560"/>
        <w:rPr>
          <w:rFonts w:ascii="仿宋_GB2312" w:hAnsi="华文仿宋" w:eastAsia="仿宋_GB2312"/>
          <w:sz w:val="28"/>
          <w:highlight w:val="none"/>
        </w:rPr>
      </w:pPr>
      <w:r>
        <w:rPr>
          <w:rFonts w:ascii="仿宋_GB2312" w:hAnsi="华文仿宋" w:eastAsia="仿宋_GB2312"/>
          <w:sz w:val="28"/>
          <w:highlight w:val="none"/>
        </w:rPr>
        <w:t>执行股东会的决议；</w:t>
      </w:r>
    </w:p>
    <w:p>
      <w:pPr>
        <w:pStyle w:val="62"/>
        <w:numPr>
          <w:ilvl w:val="0"/>
          <w:numId w:val="5"/>
        </w:numPr>
        <w:snapToGrid w:val="0"/>
        <w:spacing w:line="360" w:lineRule="auto"/>
        <w:ind w:left="0" w:firstLine="560"/>
        <w:rPr>
          <w:rFonts w:ascii="仿宋_GB2312" w:hAnsi="华文仿宋" w:eastAsia="仿宋_GB2312"/>
          <w:sz w:val="28"/>
          <w:highlight w:val="none"/>
        </w:rPr>
      </w:pPr>
      <w:r>
        <w:rPr>
          <w:rFonts w:ascii="仿宋_GB2312" w:hAnsi="华文仿宋" w:eastAsia="仿宋_GB2312"/>
          <w:sz w:val="28"/>
          <w:highlight w:val="none"/>
        </w:rPr>
        <w:t>决定公司的经营计划</w:t>
      </w:r>
      <w:r>
        <w:rPr>
          <w:rFonts w:hint="eastAsia" w:ascii="仿宋_GB2312" w:hAnsi="华文仿宋" w:eastAsia="仿宋_GB2312"/>
          <w:sz w:val="28"/>
          <w:highlight w:val="none"/>
        </w:rPr>
        <w:t>、</w:t>
      </w:r>
      <w:r>
        <w:rPr>
          <w:rFonts w:ascii="仿宋_GB2312" w:hAnsi="华文仿宋" w:eastAsia="仿宋_GB2312"/>
          <w:sz w:val="28"/>
          <w:highlight w:val="none"/>
        </w:rPr>
        <w:t>投资方案</w:t>
      </w:r>
      <w:r>
        <w:rPr>
          <w:rFonts w:hint="eastAsia" w:ascii="仿宋_GB2312" w:hAnsi="华文仿宋" w:eastAsia="仿宋_GB2312"/>
          <w:sz w:val="28"/>
          <w:highlight w:val="none"/>
        </w:rPr>
        <w:t>和经济性裁员计划</w:t>
      </w:r>
      <w:r>
        <w:rPr>
          <w:rFonts w:ascii="仿宋_GB2312" w:hAnsi="华文仿宋" w:eastAsia="仿宋_GB2312"/>
          <w:sz w:val="28"/>
          <w:highlight w:val="none"/>
        </w:rPr>
        <w:t>；</w:t>
      </w:r>
    </w:p>
    <w:p>
      <w:pPr>
        <w:pStyle w:val="62"/>
        <w:numPr>
          <w:ilvl w:val="0"/>
          <w:numId w:val="5"/>
        </w:numPr>
        <w:snapToGrid w:val="0"/>
        <w:spacing w:line="360" w:lineRule="auto"/>
        <w:ind w:left="0" w:firstLine="560"/>
        <w:rPr>
          <w:rFonts w:ascii="仿宋_GB2312" w:hAnsi="华文仿宋" w:eastAsia="仿宋_GB2312"/>
          <w:sz w:val="28"/>
          <w:highlight w:val="none"/>
        </w:rPr>
      </w:pPr>
      <w:r>
        <w:rPr>
          <w:rFonts w:ascii="仿宋_GB2312" w:hAnsi="华文仿宋" w:eastAsia="仿宋_GB2312"/>
          <w:sz w:val="28"/>
          <w:highlight w:val="none"/>
        </w:rPr>
        <w:t>制订公司的年度财务预算方案、决算方案；</w:t>
      </w:r>
    </w:p>
    <w:p>
      <w:pPr>
        <w:pStyle w:val="62"/>
        <w:numPr>
          <w:ilvl w:val="0"/>
          <w:numId w:val="5"/>
        </w:numPr>
        <w:snapToGrid w:val="0"/>
        <w:spacing w:line="360" w:lineRule="auto"/>
        <w:ind w:left="0" w:firstLine="560"/>
        <w:rPr>
          <w:rFonts w:ascii="仿宋_GB2312" w:hAnsi="华文仿宋" w:eastAsia="仿宋_GB2312"/>
          <w:sz w:val="28"/>
          <w:highlight w:val="none"/>
        </w:rPr>
      </w:pPr>
      <w:r>
        <w:rPr>
          <w:rFonts w:ascii="仿宋_GB2312" w:hAnsi="华文仿宋" w:eastAsia="仿宋_GB2312"/>
          <w:sz w:val="28"/>
          <w:highlight w:val="none"/>
        </w:rPr>
        <w:t>制订公司的利润分配方案和弥补亏损方案；</w:t>
      </w:r>
    </w:p>
    <w:p>
      <w:pPr>
        <w:pStyle w:val="62"/>
        <w:numPr>
          <w:ilvl w:val="0"/>
          <w:numId w:val="5"/>
        </w:numPr>
        <w:snapToGrid w:val="0"/>
        <w:spacing w:line="360" w:lineRule="auto"/>
        <w:ind w:left="0" w:firstLine="560"/>
        <w:rPr>
          <w:rFonts w:ascii="仿宋_GB2312" w:hAnsi="华文仿宋" w:eastAsia="仿宋_GB2312"/>
          <w:sz w:val="28"/>
          <w:highlight w:val="none"/>
        </w:rPr>
      </w:pPr>
      <w:bookmarkStart w:id="35" w:name="_Ref280360450"/>
      <w:r>
        <w:rPr>
          <w:rFonts w:ascii="仿宋_GB2312" w:hAnsi="华文仿宋" w:eastAsia="仿宋_GB2312"/>
          <w:sz w:val="28"/>
          <w:highlight w:val="none"/>
        </w:rPr>
        <w:t>制订公司增加或者减少注册资本</w:t>
      </w:r>
      <w:r>
        <w:rPr>
          <w:rFonts w:hint="eastAsia" w:ascii="仿宋_GB2312" w:hAnsi="华文仿宋" w:eastAsia="仿宋_GB2312"/>
          <w:sz w:val="28"/>
          <w:highlight w:val="none"/>
        </w:rPr>
        <w:t>方案；</w:t>
      </w:r>
    </w:p>
    <w:p>
      <w:pPr>
        <w:pStyle w:val="62"/>
        <w:numPr>
          <w:ilvl w:val="0"/>
          <w:numId w:val="5"/>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制定</w:t>
      </w:r>
      <w:r>
        <w:rPr>
          <w:rFonts w:ascii="仿宋_GB2312" w:hAnsi="华文仿宋" w:eastAsia="仿宋_GB2312"/>
          <w:sz w:val="28"/>
          <w:highlight w:val="none"/>
        </w:rPr>
        <w:t>发行公司债券的方案</w:t>
      </w:r>
      <w:r>
        <w:rPr>
          <w:rFonts w:hint="eastAsia" w:ascii="仿宋_GB2312" w:hAnsi="华文仿宋" w:eastAsia="仿宋_GB2312"/>
          <w:sz w:val="28"/>
          <w:highlight w:val="none"/>
        </w:rPr>
        <w:t>；</w:t>
      </w:r>
    </w:p>
    <w:p>
      <w:pPr>
        <w:pStyle w:val="62"/>
        <w:numPr>
          <w:ilvl w:val="0"/>
          <w:numId w:val="5"/>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决定项目融资文件的签订及融资方案的实施</w:t>
      </w:r>
      <w:r>
        <w:rPr>
          <w:rFonts w:ascii="仿宋_GB2312" w:hAnsi="华文仿宋" w:eastAsia="仿宋_GB2312"/>
          <w:sz w:val="28"/>
          <w:highlight w:val="none"/>
        </w:rPr>
        <w:t>；</w:t>
      </w:r>
      <w:bookmarkEnd w:id="35"/>
    </w:p>
    <w:p>
      <w:pPr>
        <w:pStyle w:val="62"/>
        <w:numPr>
          <w:ilvl w:val="0"/>
          <w:numId w:val="5"/>
        </w:numPr>
        <w:snapToGrid w:val="0"/>
        <w:spacing w:line="360" w:lineRule="auto"/>
        <w:ind w:left="0" w:firstLine="560"/>
        <w:rPr>
          <w:rFonts w:ascii="仿宋_GB2312" w:hAnsi="华文仿宋" w:eastAsia="仿宋_GB2312"/>
          <w:sz w:val="28"/>
          <w:highlight w:val="none"/>
        </w:rPr>
      </w:pPr>
      <w:bookmarkStart w:id="36" w:name="_Ref280360453"/>
      <w:r>
        <w:rPr>
          <w:rFonts w:ascii="仿宋_GB2312" w:hAnsi="华文仿宋" w:eastAsia="仿宋_GB2312"/>
          <w:sz w:val="28"/>
          <w:highlight w:val="none"/>
        </w:rPr>
        <w:t>制订公司合并、分立、解散或变更公司形式的方案；</w:t>
      </w:r>
      <w:bookmarkEnd w:id="36"/>
    </w:p>
    <w:p>
      <w:pPr>
        <w:pStyle w:val="62"/>
        <w:numPr>
          <w:ilvl w:val="0"/>
          <w:numId w:val="5"/>
        </w:numPr>
        <w:snapToGrid w:val="0"/>
        <w:spacing w:line="360" w:lineRule="auto"/>
        <w:ind w:left="0" w:firstLine="560"/>
        <w:rPr>
          <w:rFonts w:ascii="仿宋_GB2312" w:hAnsi="华文仿宋" w:eastAsia="仿宋_GB2312"/>
          <w:sz w:val="28"/>
          <w:highlight w:val="none"/>
        </w:rPr>
      </w:pPr>
      <w:r>
        <w:rPr>
          <w:rFonts w:ascii="仿宋_GB2312" w:hAnsi="华文仿宋" w:eastAsia="仿宋_GB2312"/>
          <w:sz w:val="28"/>
          <w:highlight w:val="none"/>
        </w:rPr>
        <w:t>决定公司内部管理机构的设置；</w:t>
      </w:r>
    </w:p>
    <w:p>
      <w:pPr>
        <w:pStyle w:val="62"/>
        <w:numPr>
          <w:ilvl w:val="0"/>
          <w:numId w:val="5"/>
        </w:numPr>
        <w:snapToGrid w:val="0"/>
        <w:spacing w:line="360" w:lineRule="auto"/>
        <w:ind w:left="0" w:firstLine="560"/>
        <w:rPr>
          <w:rFonts w:ascii="仿宋_GB2312" w:hAnsi="华文仿宋" w:eastAsia="仿宋_GB2312"/>
          <w:sz w:val="28"/>
          <w:highlight w:val="none"/>
        </w:rPr>
      </w:pPr>
      <w:r>
        <w:rPr>
          <w:rFonts w:ascii="仿宋_GB2312" w:hAnsi="华文仿宋" w:eastAsia="仿宋_GB2312"/>
          <w:sz w:val="28"/>
          <w:highlight w:val="none"/>
        </w:rPr>
        <w:t>决定聘任或者解聘公司</w:t>
      </w:r>
      <w:r>
        <w:rPr>
          <w:rFonts w:hint="eastAsia" w:ascii="仿宋_GB2312" w:hAnsi="华文仿宋" w:eastAsia="仿宋_GB2312"/>
          <w:sz w:val="28"/>
          <w:highlight w:val="none"/>
        </w:rPr>
        <w:t>总</w:t>
      </w:r>
      <w:r>
        <w:rPr>
          <w:rFonts w:ascii="仿宋_GB2312" w:hAnsi="华文仿宋" w:eastAsia="仿宋_GB2312"/>
          <w:sz w:val="28"/>
          <w:highlight w:val="none"/>
        </w:rPr>
        <w:t>经理及其报酬事项，并根据</w:t>
      </w:r>
      <w:r>
        <w:rPr>
          <w:rFonts w:hint="eastAsia" w:ascii="仿宋_GB2312" w:hAnsi="华文仿宋" w:eastAsia="仿宋_GB2312"/>
          <w:sz w:val="28"/>
          <w:highlight w:val="none"/>
        </w:rPr>
        <w:t>总经理的提名决定聘任或者解聘公司副总经理、财务负责人等高级管理人员及其报酬事项；</w:t>
      </w:r>
    </w:p>
    <w:p>
      <w:pPr>
        <w:pStyle w:val="62"/>
        <w:numPr>
          <w:ilvl w:val="0"/>
          <w:numId w:val="5"/>
        </w:numPr>
        <w:snapToGrid w:val="0"/>
        <w:spacing w:line="360" w:lineRule="auto"/>
        <w:ind w:left="0" w:firstLine="560"/>
        <w:rPr>
          <w:rFonts w:ascii="仿宋_GB2312" w:hAnsi="华文仿宋" w:eastAsia="仿宋_GB2312"/>
          <w:sz w:val="28"/>
          <w:highlight w:val="none"/>
        </w:rPr>
      </w:pPr>
      <w:r>
        <w:rPr>
          <w:rFonts w:ascii="仿宋_GB2312" w:hAnsi="华文仿宋" w:eastAsia="仿宋_GB2312"/>
          <w:sz w:val="28"/>
          <w:highlight w:val="none"/>
        </w:rPr>
        <w:t>聘任或解聘会计师事务所，并决定其报酬；</w:t>
      </w:r>
    </w:p>
    <w:p>
      <w:pPr>
        <w:pStyle w:val="62"/>
        <w:numPr>
          <w:ilvl w:val="0"/>
          <w:numId w:val="5"/>
        </w:numPr>
        <w:snapToGrid w:val="0"/>
        <w:spacing w:line="360" w:lineRule="auto"/>
        <w:ind w:left="0" w:firstLine="560"/>
        <w:rPr>
          <w:rFonts w:ascii="仿宋_GB2312" w:hAnsi="华文仿宋" w:eastAsia="仿宋_GB2312"/>
          <w:sz w:val="28"/>
          <w:highlight w:val="none"/>
        </w:rPr>
      </w:pPr>
      <w:r>
        <w:rPr>
          <w:rFonts w:ascii="仿宋_GB2312" w:hAnsi="华文仿宋" w:eastAsia="仿宋_GB2312"/>
          <w:sz w:val="28"/>
          <w:highlight w:val="none"/>
        </w:rPr>
        <w:t>制定公司的基本管理制度；</w:t>
      </w:r>
    </w:p>
    <w:p>
      <w:pPr>
        <w:pStyle w:val="62"/>
        <w:numPr>
          <w:ilvl w:val="0"/>
          <w:numId w:val="5"/>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决议影响公共利益或公共安全的事项；</w:t>
      </w:r>
    </w:p>
    <w:p>
      <w:pPr>
        <w:pStyle w:val="62"/>
        <w:numPr>
          <w:ilvl w:val="0"/>
          <w:numId w:val="5"/>
        </w:numPr>
        <w:snapToGrid w:val="0"/>
        <w:spacing w:line="360" w:lineRule="auto"/>
        <w:ind w:left="0" w:firstLine="560"/>
        <w:rPr>
          <w:rFonts w:ascii="仿宋_GB2312" w:hAnsi="华文仿宋" w:eastAsia="仿宋_GB2312"/>
          <w:sz w:val="28"/>
          <w:highlight w:val="none"/>
        </w:rPr>
      </w:pPr>
      <w:r>
        <w:rPr>
          <w:rFonts w:ascii="仿宋_GB2312" w:hAnsi="华文仿宋" w:eastAsia="仿宋_GB2312"/>
          <w:sz w:val="28"/>
          <w:highlight w:val="none"/>
        </w:rPr>
        <w:t>公司章程规定的其他职权。</w:t>
      </w:r>
    </w:p>
    <w:p>
      <w:pPr>
        <w:numPr>
          <w:ilvl w:val="0"/>
          <w:numId w:val="3"/>
        </w:numPr>
        <w:spacing w:line="360" w:lineRule="auto"/>
        <w:ind w:left="0" w:firstLine="560" w:firstLineChars="200"/>
        <w:rPr>
          <w:rFonts w:ascii="仿宋_GB2312" w:eastAsia="仿宋_GB2312" w:cs="Times New Roman"/>
          <w:sz w:val="28"/>
          <w:szCs w:val="28"/>
          <w:highlight w:val="none"/>
        </w:rPr>
      </w:pPr>
      <w:r>
        <w:rPr>
          <w:rFonts w:ascii="仿宋_GB2312" w:hAnsi="华文仿宋" w:eastAsia="仿宋_GB2312" w:cs="Times New Roman"/>
          <w:sz w:val="28"/>
          <w:szCs w:val="28"/>
          <w:highlight w:val="none"/>
        </w:rPr>
        <w:t xml:space="preserve"> </w:t>
      </w:r>
      <w:r>
        <w:rPr>
          <w:rFonts w:hint="eastAsia" w:ascii="仿宋_GB2312" w:eastAsia="仿宋_GB2312" w:cs="Times New Roman"/>
          <w:sz w:val="28"/>
          <w:szCs w:val="28"/>
          <w:highlight w:val="none"/>
        </w:rPr>
        <w:t>董事会在做出决议时应以实现项目公司经营宗旨、以及符合项目公司长远利益和长远发展为指导。董事会决议的表决，实行一人一票，董事长有权作为董事投票。</w:t>
      </w:r>
    </w:p>
    <w:p>
      <w:pPr>
        <w:numPr>
          <w:ilvl w:val="0"/>
          <w:numId w:val="3"/>
        </w:numPr>
        <w:spacing w:line="360" w:lineRule="auto"/>
        <w:ind w:left="0" w:firstLine="560" w:firstLineChars="200"/>
        <w:rPr>
          <w:rFonts w:ascii="仿宋_GB2312" w:eastAsia="仿宋_GB2312" w:cs="Times New Roman"/>
          <w:sz w:val="28"/>
          <w:szCs w:val="28"/>
          <w:highlight w:val="none"/>
        </w:rPr>
      </w:pPr>
      <w:r>
        <w:rPr>
          <w:rFonts w:hint="eastAsia" w:ascii="仿宋_GB2312" w:eastAsia="仿宋_GB2312" w:cs="Times New Roman"/>
          <w:sz w:val="28"/>
          <w:szCs w:val="28"/>
          <w:highlight w:val="none"/>
        </w:rPr>
        <w:t xml:space="preserve"> 本章程三十三条约定的决议事项中，</w:t>
      </w:r>
      <w:bookmarkStart w:id="37" w:name="_Hlk55381902"/>
      <w:r>
        <w:rPr>
          <w:rFonts w:hint="eastAsia" w:ascii="仿宋_GB2312" w:eastAsia="仿宋_GB2312" w:cs="Times New Roman"/>
          <w:sz w:val="28"/>
          <w:szCs w:val="28"/>
          <w:highlight w:val="none"/>
        </w:rPr>
        <w:t>由全体董事的过半数同意方可通过。</w:t>
      </w:r>
    </w:p>
    <w:bookmarkEnd w:id="37"/>
    <w:p>
      <w:pPr>
        <w:spacing w:line="360" w:lineRule="auto"/>
        <w:ind w:firstLine="425" w:firstLineChars="152"/>
        <w:rPr>
          <w:rFonts w:ascii="仿宋_GB2312" w:hAnsi="华文仿宋" w:eastAsia="仿宋_GB2312"/>
          <w:sz w:val="28"/>
          <w:highlight w:val="none"/>
        </w:rPr>
      </w:pPr>
      <w:r>
        <w:rPr>
          <w:rFonts w:hint="eastAsia" w:ascii="仿宋_GB2312" w:hAnsi="华文仿宋" w:eastAsia="仿宋_GB2312" w:cs="Times New Roman"/>
          <w:sz w:val="28"/>
          <w:szCs w:val="28"/>
          <w:highlight w:val="none"/>
        </w:rPr>
        <w:t>但</w:t>
      </w:r>
      <w:r>
        <w:rPr>
          <w:rFonts w:hint="eastAsia" w:ascii="仿宋_GB2312" w:hAnsi="华文仿宋" w:eastAsia="仿宋_GB2312"/>
          <w:sz w:val="28"/>
          <w:highlight w:val="none"/>
        </w:rPr>
        <w:t>对于涉及（</w:t>
      </w:r>
      <w:r>
        <w:rPr>
          <w:rFonts w:ascii="仿宋_GB2312" w:hAnsi="华文仿宋" w:eastAsia="仿宋_GB2312"/>
          <w:sz w:val="28"/>
          <w:highlight w:val="none"/>
        </w:rPr>
        <w:t>8）、（</w:t>
      </w:r>
      <w:r>
        <w:rPr>
          <w:rFonts w:hint="eastAsia" w:ascii="仿宋_GB2312" w:hAnsi="华文仿宋" w:eastAsia="仿宋_GB2312"/>
          <w:sz w:val="28"/>
          <w:highlight w:val="none"/>
        </w:rPr>
        <w:t>14</w:t>
      </w:r>
      <w:r>
        <w:rPr>
          <w:rFonts w:ascii="仿宋_GB2312" w:hAnsi="华文仿宋" w:eastAsia="仿宋_GB2312"/>
          <w:sz w:val="28"/>
          <w:highlight w:val="none"/>
        </w:rPr>
        <w:t>）</w:t>
      </w:r>
      <w:r>
        <w:rPr>
          <w:rFonts w:hint="eastAsia" w:ascii="仿宋_GB2312" w:hAnsi="华文仿宋" w:eastAsia="仿宋_GB2312"/>
          <w:sz w:val="28"/>
          <w:highlight w:val="none"/>
        </w:rPr>
        <w:t>项事项，宿迁交产集团委派的董事拥有一票否决权。</w:t>
      </w:r>
    </w:p>
    <w:p>
      <w:pPr>
        <w:numPr>
          <w:ilvl w:val="0"/>
          <w:numId w:val="3"/>
        </w:numPr>
        <w:spacing w:line="360" w:lineRule="auto"/>
        <w:ind w:left="0" w:firstLine="562" w:firstLineChars="200"/>
        <w:rPr>
          <w:rFonts w:ascii="仿宋_GB2312" w:hAnsi="华文仿宋" w:eastAsia="仿宋_GB2312"/>
          <w:b/>
          <w:bCs/>
          <w:kern w:val="0"/>
          <w:sz w:val="28"/>
          <w:szCs w:val="28"/>
          <w:highlight w:val="none"/>
        </w:rPr>
      </w:pPr>
      <w:r>
        <w:rPr>
          <w:rFonts w:ascii="仿宋_GB2312" w:hAnsi="华文仿宋" w:eastAsia="仿宋_GB2312"/>
          <w:b/>
          <w:bCs/>
          <w:kern w:val="0"/>
          <w:sz w:val="28"/>
          <w:szCs w:val="28"/>
          <w:highlight w:val="none"/>
        </w:rPr>
        <w:t xml:space="preserve"> </w:t>
      </w:r>
      <w:r>
        <w:rPr>
          <w:rFonts w:hint="eastAsia" w:ascii="仿宋_GB2312" w:hAnsi="华文仿宋" w:eastAsia="仿宋_GB2312"/>
          <w:b/>
          <w:bCs/>
          <w:kern w:val="0"/>
          <w:sz w:val="28"/>
          <w:szCs w:val="28"/>
          <w:highlight w:val="none"/>
        </w:rPr>
        <w:t>董事长职权</w:t>
      </w:r>
    </w:p>
    <w:p>
      <w:pPr>
        <w:spacing w:line="360" w:lineRule="auto"/>
        <w:ind w:firstLine="425" w:firstLineChars="152"/>
        <w:rPr>
          <w:rFonts w:ascii="仿宋_GB2312" w:hAnsi="华文仿宋" w:eastAsia="仿宋_GB2312"/>
          <w:bCs/>
          <w:sz w:val="28"/>
          <w:szCs w:val="28"/>
          <w:highlight w:val="none"/>
        </w:rPr>
      </w:pPr>
      <w:r>
        <w:rPr>
          <w:rFonts w:hint="eastAsia" w:ascii="仿宋_GB2312" w:hAnsi="华文仿宋" w:eastAsia="仿宋_GB2312" w:cs="Times New Roman"/>
          <w:sz w:val="28"/>
          <w:szCs w:val="28"/>
          <w:highlight w:val="none"/>
        </w:rPr>
        <w:t>董事长是项目公司的法定代表人，其职权如下：</w:t>
      </w:r>
    </w:p>
    <w:p>
      <w:pPr>
        <w:pStyle w:val="62"/>
        <w:numPr>
          <w:ilvl w:val="0"/>
          <w:numId w:val="6"/>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 xml:space="preserve">召集、主持董事会会议； </w:t>
      </w:r>
    </w:p>
    <w:p>
      <w:pPr>
        <w:pStyle w:val="62"/>
        <w:numPr>
          <w:ilvl w:val="0"/>
          <w:numId w:val="6"/>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检查董事会决议实施情况；</w:t>
      </w:r>
    </w:p>
    <w:p>
      <w:pPr>
        <w:pStyle w:val="62"/>
        <w:numPr>
          <w:ilvl w:val="0"/>
          <w:numId w:val="6"/>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 xml:space="preserve">定期或不定期地听取项目公司高级管理人员工作报告，对执行情况提出意见及建议，对项目公司高级管理人员违反董事会决议的做法，有权下令制止； </w:t>
      </w:r>
    </w:p>
    <w:p>
      <w:pPr>
        <w:pStyle w:val="62"/>
        <w:numPr>
          <w:ilvl w:val="0"/>
          <w:numId w:val="6"/>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 xml:space="preserve">签署项目公司高级管理人员的聘任、解聘文件； </w:t>
      </w:r>
    </w:p>
    <w:p>
      <w:pPr>
        <w:pStyle w:val="62"/>
        <w:numPr>
          <w:ilvl w:val="0"/>
          <w:numId w:val="6"/>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 xml:space="preserve">经董事会授权，对外代表项目公司处理有关问题，对内代表董事会签署有关文件； </w:t>
      </w:r>
    </w:p>
    <w:p>
      <w:pPr>
        <w:pStyle w:val="62"/>
        <w:numPr>
          <w:ilvl w:val="0"/>
          <w:numId w:val="6"/>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经董事会授权，项目公司发生不可抗力或突发事件时，对项目公司事务行使特别裁决和处置权；本条款所称突发事件，是指突然发生，造成或者可能造成严重社会危害，需要采取应急处置措施予以应对的自然灾害、事故灾难、公共卫生事件和社会安全事件；</w:t>
      </w:r>
    </w:p>
    <w:p>
      <w:pPr>
        <w:pStyle w:val="62"/>
        <w:numPr>
          <w:ilvl w:val="0"/>
          <w:numId w:val="6"/>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董事长不能履行职务或者不履行职务的，由副董事长主持，但中国法律规定必须由董事长行使的职权除外；</w:t>
      </w:r>
    </w:p>
    <w:p>
      <w:pPr>
        <w:pStyle w:val="62"/>
        <w:numPr>
          <w:ilvl w:val="0"/>
          <w:numId w:val="6"/>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董事长应在董事会规定的授权范围内行使其权力。未经董事会授权，董事长不得用合同约束项目公司或代表项目公司采取其它行动。</w:t>
      </w:r>
    </w:p>
    <w:p>
      <w:pPr>
        <w:numPr>
          <w:ilvl w:val="0"/>
          <w:numId w:val="3"/>
        </w:numPr>
        <w:spacing w:line="360" w:lineRule="auto"/>
        <w:ind w:left="0" w:firstLine="562" w:firstLineChars="200"/>
        <w:rPr>
          <w:rFonts w:ascii="仿宋_GB2312" w:hAnsi="华文仿宋" w:eastAsia="仿宋_GB2312"/>
          <w:b/>
          <w:bCs/>
          <w:kern w:val="0"/>
          <w:sz w:val="28"/>
          <w:szCs w:val="28"/>
          <w:highlight w:val="none"/>
        </w:rPr>
      </w:pPr>
      <w:r>
        <w:rPr>
          <w:rFonts w:ascii="仿宋_GB2312" w:hAnsi="华文仿宋" w:eastAsia="仿宋_GB2312"/>
          <w:b/>
          <w:bCs/>
          <w:kern w:val="0"/>
          <w:sz w:val="28"/>
          <w:szCs w:val="28"/>
          <w:highlight w:val="none"/>
        </w:rPr>
        <w:t xml:space="preserve"> </w:t>
      </w:r>
      <w:r>
        <w:rPr>
          <w:rFonts w:hint="eastAsia" w:ascii="仿宋_GB2312" w:hAnsi="华文仿宋" w:eastAsia="仿宋_GB2312" w:cs="Times New Roman"/>
          <w:sz w:val="28"/>
          <w:szCs w:val="28"/>
          <w:highlight w:val="none"/>
        </w:rPr>
        <w:t>董事会会议</w:t>
      </w:r>
    </w:p>
    <w:p>
      <w:pPr>
        <w:spacing w:line="360" w:lineRule="auto"/>
        <w:ind w:firstLine="565" w:firstLineChars="202"/>
        <w:rPr>
          <w:rFonts w:ascii="仿宋_GB2312" w:hAnsi="华文仿宋" w:eastAsia="仿宋_GB2312"/>
          <w:sz w:val="28"/>
          <w:highlight w:val="none"/>
        </w:rPr>
      </w:pPr>
      <w:r>
        <w:rPr>
          <w:rFonts w:ascii="仿宋_GB2312" w:hAnsi="华文仿宋" w:eastAsia="仿宋_GB2312"/>
          <w:sz w:val="28"/>
          <w:highlight w:val="none"/>
        </w:rPr>
        <w:t>董事会会议每</w:t>
      </w:r>
      <w:r>
        <w:rPr>
          <w:rFonts w:hint="eastAsia" w:ascii="仿宋_GB2312" w:hAnsi="华文仿宋" w:eastAsia="仿宋_GB2312"/>
          <w:sz w:val="28"/>
          <w:highlight w:val="none"/>
        </w:rPr>
        <w:t>季度</w:t>
      </w:r>
      <w:r>
        <w:rPr>
          <w:rFonts w:ascii="仿宋_GB2312" w:hAnsi="华文仿宋" w:eastAsia="仿宋_GB2312"/>
          <w:sz w:val="28"/>
          <w:highlight w:val="none"/>
        </w:rPr>
        <w:t>至少召开</w:t>
      </w:r>
      <w:r>
        <w:rPr>
          <w:rFonts w:hint="eastAsia" w:ascii="仿宋_GB2312" w:hAnsi="华文仿宋" w:eastAsia="仿宋_GB2312"/>
          <w:sz w:val="28"/>
          <w:highlight w:val="none"/>
        </w:rPr>
        <w:t>一（</w:t>
      </w:r>
      <w:r>
        <w:rPr>
          <w:rFonts w:ascii="仿宋_GB2312" w:hAnsi="华文仿宋" w:eastAsia="仿宋_GB2312"/>
          <w:sz w:val="28"/>
          <w:highlight w:val="none"/>
        </w:rPr>
        <w:t>1）次会议，在项目公司住所或董事会指定的其他地点举行。经</w:t>
      </w:r>
      <w:r>
        <w:rPr>
          <w:rFonts w:hint="eastAsia" w:ascii="仿宋_GB2312" w:hAnsi="华文仿宋" w:eastAsia="仿宋_GB2312"/>
          <w:sz w:val="28"/>
          <w:highlight w:val="none"/>
        </w:rPr>
        <w:t>两</w:t>
      </w:r>
      <w:r>
        <w:rPr>
          <w:rFonts w:ascii="仿宋_GB2312" w:hAnsi="华文仿宋" w:eastAsia="仿宋_GB2312"/>
          <w:sz w:val="28"/>
          <w:highlight w:val="none"/>
        </w:rPr>
        <w:t>（2）名（含本数）以上的董事或监事会提议，或董事长认为有必要时，董事长应召开董事会临时会议。董事长负责召集并主持董事会会议。</w:t>
      </w:r>
    </w:p>
    <w:p>
      <w:pPr>
        <w:spacing w:line="360" w:lineRule="auto"/>
        <w:ind w:firstLine="565" w:firstLineChars="202"/>
        <w:rPr>
          <w:rFonts w:ascii="仿宋_GB2312" w:hAnsi="华文仿宋" w:eastAsia="仿宋_GB2312"/>
          <w:sz w:val="28"/>
          <w:highlight w:val="none"/>
        </w:rPr>
      </w:pPr>
      <w:r>
        <w:rPr>
          <w:rFonts w:ascii="仿宋_GB2312" w:hAnsi="华文仿宋" w:eastAsia="仿宋_GB2312"/>
          <w:sz w:val="28"/>
          <w:highlight w:val="none"/>
        </w:rPr>
        <w:t>召开董事会会议的通知应包括会议时间和地点、议事日程，并应当于会议召开十五（15）日以前书面通知全体董事和有关列席人员。董事有权在不迟于董事会会议召开前十（10）日向董事长建议其认为应由董事会会议讨论的议题，由董事长决定是否采纳。董事长应在不迟于董事会会议召开前五(5)日确定会议议题和议事日程并书面通知全体董事。</w:t>
      </w:r>
    </w:p>
    <w:p>
      <w:pPr>
        <w:numPr>
          <w:ilvl w:val="0"/>
          <w:numId w:val="3"/>
        </w:numPr>
        <w:spacing w:line="360" w:lineRule="auto"/>
        <w:ind w:left="0" w:firstLine="562" w:firstLineChars="200"/>
        <w:rPr>
          <w:rFonts w:ascii="仿宋_GB2312" w:hAnsi="华文仿宋" w:eastAsia="仿宋_GB2312"/>
          <w:kern w:val="0"/>
          <w:sz w:val="28"/>
          <w:szCs w:val="28"/>
          <w:highlight w:val="none"/>
        </w:rPr>
      </w:pPr>
      <w:r>
        <w:rPr>
          <w:rFonts w:ascii="仿宋_GB2312" w:hAnsi="华文仿宋" w:eastAsia="仿宋_GB2312"/>
          <w:b/>
          <w:bCs/>
          <w:kern w:val="0"/>
          <w:sz w:val="28"/>
          <w:szCs w:val="28"/>
          <w:highlight w:val="none"/>
        </w:rPr>
        <w:t xml:space="preserve">  </w:t>
      </w:r>
      <w:r>
        <w:rPr>
          <w:rFonts w:hint="eastAsia" w:ascii="仿宋_GB2312" w:hAnsi="华文仿宋" w:eastAsia="仿宋_GB2312"/>
          <w:kern w:val="0"/>
          <w:sz w:val="28"/>
          <w:szCs w:val="28"/>
          <w:highlight w:val="none"/>
        </w:rPr>
        <w:t>股东各方</w:t>
      </w:r>
      <w:r>
        <w:rPr>
          <w:rFonts w:ascii="仿宋_GB2312" w:hAnsi="华文仿宋" w:eastAsia="仿宋_GB2312"/>
          <w:kern w:val="0"/>
          <w:sz w:val="28"/>
          <w:szCs w:val="28"/>
          <w:highlight w:val="none"/>
        </w:rPr>
        <w:t>有义务确保其委派的董事出席董事会会议。董事因故不能参加董事会会议，应出具书面委托书，委托其他董事代为出席会议并载明委托权限。</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kern w:val="0"/>
          <w:sz w:val="28"/>
          <w:szCs w:val="28"/>
          <w:highlight w:val="none"/>
        </w:rPr>
        <w:t xml:space="preserve"> 如果一方所委派的董事不出席董事会会议也不委托其他董事代表其出席会议，致使董事会五（5）日内不能</w:t>
      </w:r>
      <w:r>
        <w:rPr>
          <w:rFonts w:hint="eastAsia" w:ascii="仿宋_GB2312" w:hAnsi="华文仿宋" w:eastAsia="仿宋_GB2312"/>
          <w:kern w:val="0"/>
          <w:sz w:val="28"/>
          <w:szCs w:val="28"/>
          <w:highlight w:val="none"/>
        </w:rPr>
        <w:t>作出有效决议，则另一方（通知人）可以向不出席董事会会议的董事及委派他们的一方（被通知人），按照该方法定地址（住所）再次发出书面通知，敦促其在规定日期内出席董事会会议。该敦促通知应至少在确定召开会议日期的十五（15）日前，以带回执的挂号函形式发出，并应当注明在本通知发出的至少十（10）日内被通知人应书面答复是否出席董事会会议。</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kern w:val="0"/>
          <w:sz w:val="28"/>
          <w:szCs w:val="28"/>
          <w:highlight w:val="none"/>
        </w:rPr>
        <w:t xml:space="preserve"> </w:t>
      </w:r>
      <w:r>
        <w:rPr>
          <w:rFonts w:hint="eastAsia" w:ascii="仿宋_GB2312" w:hAnsi="华文仿宋" w:eastAsia="仿宋_GB2312"/>
          <w:kern w:val="0"/>
          <w:sz w:val="28"/>
          <w:szCs w:val="28"/>
          <w:highlight w:val="none"/>
        </w:rPr>
        <w:t>如果被通知人在通知规定的期限内仍未答复是否出席董事会会议，则应视为被通知人弃权，在通知人收到挂号函回执后，通知人所委派的董事可召开董事会特别会议，仍可作出有效决议。</w:t>
      </w:r>
    </w:p>
    <w:p>
      <w:pPr>
        <w:numPr>
          <w:ilvl w:val="0"/>
          <w:numId w:val="3"/>
        </w:numPr>
        <w:spacing w:line="360" w:lineRule="auto"/>
        <w:ind w:left="0" w:firstLine="560" w:firstLineChars="200"/>
        <w:rPr>
          <w:rFonts w:ascii="仿宋_GB2312" w:hAnsi="华文仿宋" w:eastAsia="仿宋_GB2312"/>
          <w:kern w:val="0"/>
          <w:sz w:val="28"/>
          <w:szCs w:val="28"/>
          <w:highlight w:val="none"/>
        </w:rPr>
      </w:pPr>
      <w:r>
        <w:rPr>
          <w:rFonts w:ascii="仿宋_GB2312" w:hAnsi="华文仿宋" w:eastAsia="仿宋_GB2312"/>
          <w:kern w:val="0"/>
          <w:sz w:val="28"/>
          <w:szCs w:val="28"/>
          <w:highlight w:val="none"/>
        </w:rPr>
        <w:t xml:space="preserve"> </w:t>
      </w:r>
      <w:r>
        <w:rPr>
          <w:rFonts w:hint="eastAsia" w:ascii="仿宋_GB2312" w:hAnsi="华文仿宋" w:eastAsia="仿宋_GB2312"/>
          <w:kern w:val="0"/>
          <w:sz w:val="28"/>
          <w:szCs w:val="28"/>
          <w:highlight w:val="none"/>
        </w:rPr>
        <w:t>一方所委派的某位董事在一年内二（2）次不参加董事会会议（包括董事会临时会议），也不委托授权代表出席会议的，则另一方有权要求该方更换该董事，委派方应在合理期限内予以更换，并委派新任董事。</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kern w:val="0"/>
          <w:sz w:val="28"/>
          <w:szCs w:val="28"/>
          <w:highlight w:val="none"/>
        </w:rPr>
        <w:t xml:space="preserve"> 委托董事辞去或丧失董事资格时，其所委托的授权代表亦同时终止和解除作为授权代表的身份和职责。</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kern w:val="0"/>
          <w:sz w:val="28"/>
          <w:szCs w:val="28"/>
          <w:highlight w:val="none"/>
        </w:rPr>
        <w:t xml:space="preserve"> </w:t>
      </w:r>
      <w:r>
        <w:rPr>
          <w:rFonts w:hint="eastAsia" w:ascii="仿宋_GB2312" w:hAnsi="华文仿宋" w:eastAsia="仿宋_GB2312"/>
          <w:kern w:val="0"/>
          <w:sz w:val="28"/>
          <w:szCs w:val="28"/>
          <w:highlight w:val="none"/>
        </w:rPr>
        <w:t>经全体董事会成员</w:t>
      </w:r>
      <w:r>
        <w:rPr>
          <w:rFonts w:ascii="仿宋_GB2312" w:hAnsi="华文仿宋" w:eastAsia="仿宋_GB2312"/>
          <w:kern w:val="0"/>
          <w:sz w:val="28"/>
          <w:szCs w:val="28"/>
          <w:highlight w:val="none"/>
        </w:rPr>
        <w:t>(不包括其授权代表)事先一致书面同意，董事会可以不召开会议而采取董事会书面决议方式决定事项。这类董事会决议应在董事会纪要中备案，书面通过的董事会决议与董事亲自出席会议表决通过的决议具有同等效力。</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kern w:val="0"/>
          <w:sz w:val="28"/>
          <w:szCs w:val="28"/>
          <w:highlight w:val="none"/>
        </w:rPr>
        <w:t xml:space="preserve"> 董事会书面决议应由全体董事(不包括其授权代表)</w:t>
      </w:r>
      <w:r>
        <w:rPr>
          <w:rFonts w:hint="eastAsia" w:ascii="仿宋_GB2312" w:hAnsi="华文仿宋" w:eastAsia="仿宋_GB2312"/>
          <w:kern w:val="0"/>
          <w:sz w:val="28"/>
          <w:szCs w:val="28"/>
          <w:highlight w:val="none"/>
        </w:rPr>
        <w:t>各自在就该项决议事项的书面决议案(包括在该书面决议案的多个副本或影印本)上签署并：写明对每一项决议案是投赞成票、反对票或弃权票；及写明其签署日期，并且第一个签署的董事及最后一个签署的董事的签署日期相隔不超过三十（30）日，方为有效。</w:t>
      </w:r>
    </w:p>
    <w:p>
      <w:pPr>
        <w:numPr>
          <w:ilvl w:val="0"/>
          <w:numId w:val="3"/>
        </w:numPr>
        <w:spacing w:line="360" w:lineRule="auto"/>
        <w:ind w:left="0" w:firstLine="560" w:firstLineChars="200"/>
        <w:rPr>
          <w:rFonts w:ascii="仿宋_GB2312" w:hAnsi="华文仿宋" w:eastAsia="仿宋_GB2312"/>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kern w:val="0"/>
          <w:sz w:val="28"/>
          <w:szCs w:val="28"/>
          <w:highlight w:val="none"/>
        </w:rPr>
        <w:t>董事会专职人员领取薪酬，兼职人员不领取薪酬；董事履行其董事职责时发生的差旅费由项目公司负担。与举行董事会会议有关的全部费用由项目公司承担。</w:t>
      </w:r>
    </w:p>
    <w:p>
      <w:pPr>
        <w:numPr>
          <w:ilvl w:val="0"/>
          <w:numId w:val="3"/>
        </w:numPr>
        <w:spacing w:line="360" w:lineRule="auto"/>
        <w:ind w:left="0" w:firstLine="560" w:firstLineChars="200"/>
        <w:rPr>
          <w:rFonts w:ascii="仿宋_GB2312" w:hAnsi="华文仿宋" w:eastAsia="仿宋_GB2312"/>
          <w:kern w:val="0"/>
          <w:sz w:val="28"/>
          <w:szCs w:val="28"/>
          <w:highlight w:val="none"/>
        </w:rPr>
      </w:pPr>
      <w:r>
        <w:rPr>
          <w:rFonts w:hint="eastAsia" w:ascii="仿宋_GB2312" w:hAnsi="华文仿宋" w:eastAsia="仿宋_GB2312"/>
          <w:kern w:val="0"/>
          <w:sz w:val="28"/>
          <w:szCs w:val="28"/>
          <w:highlight w:val="none"/>
        </w:rPr>
        <w:t>公司不应因董事会成员出席任何董事会会议而向其支付任何报酬。但是，董事为履行其在本章程下的职责所发生的有关合理费用（如合理范围内的差旅费和住宿费）应由公司予以承担。</w:t>
      </w:r>
    </w:p>
    <w:p>
      <w:pPr>
        <w:spacing w:line="360" w:lineRule="auto"/>
        <w:ind w:firstLine="427" w:firstLineChars="152"/>
        <w:rPr>
          <w:rFonts w:ascii="仿宋_GB2312" w:hAnsi="华文仿宋" w:eastAsia="仿宋_GB2312" w:cs="Times New Roman"/>
          <w:b/>
          <w:bCs/>
          <w:kern w:val="0"/>
          <w:sz w:val="28"/>
          <w:szCs w:val="28"/>
          <w:highlight w:val="none"/>
        </w:rPr>
      </w:pPr>
    </w:p>
    <w:p>
      <w:pPr>
        <w:spacing w:before="120" w:beforeLines="50" w:after="120" w:afterLines="50" w:line="360" w:lineRule="auto"/>
        <w:jc w:val="center"/>
        <w:outlineLvl w:val="0"/>
        <w:rPr>
          <w:rFonts w:ascii="仿宋_GB2312" w:hAnsi="华文仿宋" w:eastAsia="仿宋_GB2312"/>
          <w:b/>
          <w:bCs/>
          <w:kern w:val="0"/>
          <w:sz w:val="32"/>
          <w:szCs w:val="32"/>
          <w:highlight w:val="none"/>
        </w:rPr>
      </w:pPr>
      <w:bookmarkStart w:id="38" w:name="_Toc438125219"/>
      <w:r>
        <w:rPr>
          <w:rFonts w:hint="eastAsia" w:ascii="仿宋_GB2312" w:hAnsi="华文仿宋" w:eastAsia="仿宋_GB2312"/>
          <w:b/>
          <w:bCs/>
          <w:kern w:val="0"/>
          <w:sz w:val="32"/>
          <w:szCs w:val="32"/>
          <w:highlight w:val="none"/>
        </w:rPr>
        <w:t>第六章</w:t>
      </w:r>
      <w:r>
        <w:rPr>
          <w:rFonts w:ascii="仿宋_GB2312" w:hAnsi="华文仿宋" w:eastAsia="仿宋_GB2312"/>
          <w:b/>
          <w:bCs/>
          <w:kern w:val="0"/>
          <w:sz w:val="32"/>
          <w:szCs w:val="32"/>
          <w:highlight w:val="none"/>
        </w:rPr>
        <w:t xml:space="preserve"> </w:t>
      </w:r>
      <w:r>
        <w:rPr>
          <w:rFonts w:hint="eastAsia" w:ascii="仿宋_GB2312" w:hAnsi="华文仿宋" w:eastAsia="仿宋_GB2312"/>
          <w:b/>
          <w:bCs/>
          <w:kern w:val="0"/>
          <w:sz w:val="32"/>
          <w:szCs w:val="32"/>
          <w:highlight w:val="none"/>
        </w:rPr>
        <w:t>监事会</w:t>
      </w:r>
      <w:bookmarkEnd w:id="38"/>
    </w:p>
    <w:p>
      <w:pPr>
        <w:numPr>
          <w:ilvl w:val="0"/>
          <w:numId w:val="3"/>
        </w:numPr>
        <w:spacing w:line="360" w:lineRule="auto"/>
        <w:ind w:left="0" w:firstLine="560" w:firstLineChars="200"/>
        <w:rPr>
          <w:rFonts w:ascii="仿宋_GB2312" w:eastAsia="仿宋_GB2312"/>
          <w:bCs/>
          <w:sz w:val="28"/>
          <w:szCs w:val="28"/>
          <w:highlight w:val="none"/>
        </w:rPr>
      </w:pPr>
      <w:r>
        <w:rPr>
          <w:rFonts w:ascii="仿宋_GB2312" w:hAnsi="华文仿宋" w:eastAsia="仿宋_GB2312"/>
          <w:bCs/>
          <w:kern w:val="0"/>
          <w:sz w:val="28"/>
          <w:szCs w:val="28"/>
          <w:highlight w:val="none"/>
        </w:rPr>
        <w:t xml:space="preserve"> </w:t>
      </w:r>
      <w:r>
        <w:rPr>
          <w:rFonts w:ascii="仿宋_GB2312" w:hAnsi="华文仿宋" w:eastAsia="仿宋_GB2312"/>
          <w:kern w:val="0"/>
          <w:sz w:val="28"/>
          <w:szCs w:val="28"/>
          <w:highlight w:val="none"/>
        </w:rPr>
        <w:t>公司设监事会。监事会由三（3）名监事组成，其中</w:t>
      </w:r>
      <w:r>
        <w:rPr>
          <w:rFonts w:hint="eastAsia" w:ascii="仿宋_GB2312" w:hAnsi="华文仿宋" w:eastAsia="仿宋_GB2312"/>
          <w:kern w:val="0"/>
          <w:sz w:val="28"/>
          <w:szCs w:val="28"/>
          <w:highlight w:val="none"/>
        </w:rPr>
        <w:t>宿迁交产集团</w:t>
      </w:r>
      <w:r>
        <w:rPr>
          <w:rFonts w:ascii="仿宋_GB2312" w:hAnsi="华文仿宋" w:eastAsia="仿宋_GB2312"/>
          <w:kern w:val="0"/>
          <w:sz w:val="28"/>
          <w:szCs w:val="28"/>
          <w:highlight w:val="none"/>
        </w:rPr>
        <w:t>委派一（1）名，</w:t>
      </w:r>
      <w:r>
        <w:rPr>
          <w:rFonts w:hint="eastAsia" w:ascii="仿宋_GB2312" w:hAnsi="华文仿宋" w:eastAsia="仿宋_GB2312"/>
          <w:kern w:val="0"/>
          <w:sz w:val="28"/>
          <w:szCs w:val="28"/>
          <w:highlight w:val="none"/>
        </w:rPr>
        <w:t>（）</w:t>
      </w:r>
      <w:r>
        <w:rPr>
          <w:rFonts w:ascii="仿宋_GB2312" w:hAnsi="华文仿宋" w:eastAsia="仿宋_GB2312"/>
          <w:kern w:val="0"/>
          <w:sz w:val="28"/>
          <w:szCs w:val="28"/>
          <w:highlight w:val="none"/>
        </w:rPr>
        <w:t>委派一（1）名，</w:t>
      </w:r>
      <w:r>
        <w:rPr>
          <w:rFonts w:hint="eastAsia" w:ascii="仿宋_GB2312" w:hAnsi="华文仿宋" w:eastAsia="仿宋_GB2312"/>
          <w:kern w:val="0"/>
          <w:sz w:val="28"/>
          <w:szCs w:val="28"/>
          <w:highlight w:val="none"/>
        </w:rPr>
        <w:t>职工大会</w:t>
      </w:r>
      <w:r>
        <w:rPr>
          <w:rFonts w:ascii="仿宋_GB2312" w:hAnsi="华文仿宋" w:eastAsia="仿宋_GB2312"/>
          <w:kern w:val="0"/>
          <w:sz w:val="28"/>
          <w:szCs w:val="28"/>
          <w:highlight w:val="none"/>
        </w:rPr>
        <w:t>代表</w:t>
      </w:r>
      <w:r>
        <w:rPr>
          <w:rFonts w:hint="eastAsia" w:ascii="仿宋_GB2312" w:hAnsi="华文仿宋" w:eastAsia="仿宋_GB2312"/>
          <w:kern w:val="0"/>
          <w:sz w:val="28"/>
          <w:szCs w:val="28"/>
          <w:highlight w:val="none"/>
        </w:rPr>
        <w:t>推荐</w:t>
      </w:r>
      <w:r>
        <w:rPr>
          <w:rFonts w:ascii="仿宋_GB2312" w:hAnsi="华文仿宋" w:eastAsia="仿宋_GB2312"/>
          <w:kern w:val="0"/>
          <w:sz w:val="28"/>
          <w:szCs w:val="28"/>
          <w:highlight w:val="none"/>
        </w:rPr>
        <w:t>一（1）名。</w:t>
      </w:r>
      <w:r>
        <w:rPr>
          <w:rFonts w:hint="eastAsia" w:ascii="仿宋_GB2312" w:hAnsi="华文仿宋" w:eastAsia="仿宋_GB2312"/>
          <w:kern w:val="0"/>
          <w:sz w:val="28"/>
          <w:szCs w:val="28"/>
          <w:highlight w:val="none"/>
        </w:rPr>
        <w:t>职工监事</w:t>
      </w:r>
      <w:r>
        <w:rPr>
          <w:rFonts w:ascii="仿宋_GB2312" w:hAnsi="华文仿宋" w:eastAsia="仿宋_GB2312"/>
          <w:kern w:val="0"/>
          <w:sz w:val="28"/>
          <w:szCs w:val="28"/>
          <w:highlight w:val="none"/>
        </w:rPr>
        <w:t>由项目公司员工通过</w:t>
      </w:r>
      <w:r>
        <w:rPr>
          <w:rFonts w:hint="eastAsia" w:ascii="仿宋_GB2312" w:hAnsi="华文仿宋" w:eastAsia="仿宋_GB2312"/>
          <w:kern w:val="0"/>
          <w:sz w:val="28"/>
          <w:szCs w:val="28"/>
          <w:highlight w:val="none"/>
        </w:rPr>
        <w:t>职工大表大会</w:t>
      </w:r>
      <w:r>
        <w:rPr>
          <w:rFonts w:ascii="仿宋_GB2312" w:hAnsi="华文仿宋" w:eastAsia="仿宋_GB2312"/>
          <w:kern w:val="0"/>
          <w:sz w:val="28"/>
          <w:szCs w:val="28"/>
          <w:highlight w:val="none"/>
        </w:rPr>
        <w:t>民主选举产生。董事、高级管理人员不得兼任监事。</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监事会主席应由宿迁交产集团委派的代表担任，经监事会过半数选举产生。</w:t>
      </w:r>
      <w:r>
        <w:rPr>
          <w:rFonts w:ascii="仿宋_GB2312" w:hAnsi="华文仿宋" w:eastAsia="仿宋_GB2312"/>
          <w:bCs/>
          <w:kern w:val="0"/>
          <w:sz w:val="28"/>
          <w:szCs w:val="28"/>
          <w:highlight w:val="none"/>
        </w:rPr>
        <w:t>监事会主席召集和主持监事会会议；监事会主席不能履行职务或者不履行职务的，由其余监事共同推举一名监事召集和主持监事会会议。</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监事的任期每届为三（3）年</w:t>
      </w:r>
      <w:r>
        <w:rPr>
          <w:rFonts w:hint="eastAsia" w:ascii="仿宋_GB2312" w:hAnsi="华文仿宋" w:eastAsia="仿宋_GB2312"/>
          <w:bCs/>
          <w:kern w:val="0"/>
          <w:sz w:val="28"/>
          <w:szCs w:val="28"/>
          <w:highlight w:val="none"/>
        </w:rPr>
        <w:t>，</w:t>
      </w:r>
      <w:r>
        <w:rPr>
          <w:rFonts w:ascii="仿宋_GB2312" w:hAnsi="华文仿宋" w:eastAsia="仿宋_GB2312"/>
          <w:bCs/>
          <w:kern w:val="0"/>
          <w:sz w:val="28"/>
          <w:szCs w:val="28"/>
          <w:highlight w:val="none"/>
        </w:rPr>
        <w:t>监事任期届满，可以连选连任。</w:t>
      </w:r>
      <w:r>
        <w:rPr>
          <w:rFonts w:hint="eastAsia" w:ascii="仿宋_GB2312" w:hAnsi="华文仿宋" w:eastAsia="仿宋_GB2312"/>
          <w:bCs/>
          <w:kern w:val="0"/>
          <w:sz w:val="28"/>
          <w:szCs w:val="28"/>
          <w:highlight w:val="none"/>
        </w:rPr>
        <w:t>委派监事的一方可随时免除该监事并推荐他人接替其职务。监事经委派方再次委派可以连任。如监事会因监事退休、辞职、无行为能力或其他合理原因因故不能履行监事职责的，或因原委派方或职工大会代表撤换该监事而出现空缺，则</w:t>
      </w:r>
      <w:r>
        <w:rPr>
          <w:rFonts w:ascii="仿宋_GB2312" w:hAnsi="华文仿宋" w:eastAsia="仿宋_GB2312"/>
          <w:bCs/>
          <w:kern w:val="0"/>
          <w:sz w:val="28"/>
          <w:szCs w:val="28"/>
          <w:highlight w:val="none"/>
        </w:rPr>
        <w:t>原委派该监事的一方应委派继任人，接任该监事的剩余任期。在本备忘录签订之时以及每次委派或替换监事之时，各方及/或职工代表大会均应将其委派或替换监事的姓名通知各方。</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监事会职权</w:t>
      </w:r>
    </w:p>
    <w:p>
      <w:pPr>
        <w:spacing w:line="360" w:lineRule="auto"/>
        <w:ind w:firstLine="560" w:firstLineChars="200"/>
        <w:rPr>
          <w:rFonts w:ascii="仿宋_GB2312" w:hAnsi="华文仿宋" w:eastAsia="仿宋_GB2312"/>
          <w:sz w:val="28"/>
          <w:highlight w:val="none"/>
        </w:rPr>
      </w:pPr>
      <w:r>
        <w:rPr>
          <w:rFonts w:ascii="仿宋_GB2312" w:hAnsi="华文仿宋" w:eastAsia="仿宋_GB2312"/>
          <w:sz w:val="28"/>
          <w:highlight w:val="none"/>
        </w:rPr>
        <w:t>监事会行使下列职权：</w:t>
      </w:r>
    </w:p>
    <w:p>
      <w:pPr>
        <w:pStyle w:val="62"/>
        <w:numPr>
          <w:ilvl w:val="0"/>
          <w:numId w:val="7"/>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自行或委托有资质的中介机构检查项目公司财务；</w:t>
      </w:r>
    </w:p>
    <w:p>
      <w:pPr>
        <w:pStyle w:val="62"/>
        <w:numPr>
          <w:ilvl w:val="0"/>
          <w:numId w:val="7"/>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对董事和高级管理人员执行公司职务的行为是否符合中国法律或者公司章程进行监督；</w:t>
      </w:r>
    </w:p>
    <w:p>
      <w:pPr>
        <w:pStyle w:val="62"/>
        <w:numPr>
          <w:ilvl w:val="0"/>
          <w:numId w:val="7"/>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当董事、高级管理人员的行为损害项目公司的利益时，要求董事、高级管理人员予以纠正；</w:t>
      </w:r>
    </w:p>
    <w:p>
      <w:pPr>
        <w:pStyle w:val="62"/>
        <w:numPr>
          <w:ilvl w:val="0"/>
          <w:numId w:val="7"/>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列席董事会会议，并对董事会决议事项提出质询或者建议；</w:t>
      </w:r>
    </w:p>
    <w:p>
      <w:pPr>
        <w:pStyle w:val="62"/>
        <w:numPr>
          <w:ilvl w:val="0"/>
          <w:numId w:val="7"/>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提议召开临时股东会会议，在董事会不履行本章程规定的召集和主持股东会会议职责时召集和主持股东会会议；</w:t>
      </w:r>
    </w:p>
    <w:p>
      <w:pPr>
        <w:pStyle w:val="62"/>
        <w:numPr>
          <w:ilvl w:val="0"/>
          <w:numId w:val="7"/>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向股东会会议提出提案；</w:t>
      </w:r>
    </w:p>
    <w:p>
      <w:pPr>
        <w:pStyle w:val="62"/>
        <w:numPr>
          <w:ilvl w:val="0"/>
          <w:numId w:val="7"/>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公司章程和法律法规等明确规定的其他职权。</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监事会行使职权所必需的费用由项目公司承担。</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监事会每年度至少召开一</w:t>
      </w:r>
      <w:r>
        <w:rPr>
          <w:rFonts w:hint="eastAsia" w:ascii="仿宋_GB2312" w:hAnsi="华文仿宋" w:eastAsia="仿宋_GB2312"/>
          <w:bCs/>
          <w:kern w:val="0"/>
          <w:sz w:val="28"/>
          <w:szCs w:val="28"/>
          <w:highlight w:val="none"/>
        </w:rPr>
        <w:t>（</w:t>
      </w:r>
      <w:r>
        <w:rPr>
          <w:rFonts w:ascii="仿宋_GB2312" w:hAnsi="华文仿宋" w:eastAsia="仿宋_GB2312"/>
          <w:bCs/>
          <w:kern w:val="0"/>
          <w:sz w:val="28"/>
          <w:szCs w:val="28"/>
          <w:highlight w:val="none"/>
        </w:rPr>
        <w:t>1）次会议，监事可以提议召开临时监事会会议。</w:t>
      </w:r>
      <w:r>
        <w:rPr>
          <w:rFonts w:hint="eastAsia" w:ascii="仿宋_GB2312" w:hAnsi="华文仿宋" w:eastAsia="仿宋_GB2312"/>
          <w:bCs/>
          <w:kern w:val="0"/>
          <w:sz w:val="28"/>
          <w:szCs w:val="28"/>
          <w:highlight w:val="none"/>
        </w:rPr>
        <w:t>监事会会议有效召开的人数为二（</w:t>
      </w:r>
      <w:r>
        <w:rPr>
          <w:rFonts w:ascii="仿宋_GB2312" w:hAnsi="华文仿宋" w:eastAsia="仿宋_GB2312"/>
          <w:bCs/>
          <w:kern w:val="0"/>
          <w:sz w:val="28"/>
          <w:szCs w:val="28"/>
          <w:highlight w:val="none"/>
        </w:rPr>
        <w:t>2）名监事，监事会的所有决议应当经全体监事的半数以上通过方为有效，并应以书面形式</w:t>
      </w:r>
      <w:r>
        <w:rPr>
          <w:rFonts w:hint="eastAsia" w:ascii="仿宋_GB2312" w:hAnsi="华文仿宋" w:eastAsia="仿宋_GB2312"/>
          <w:bCs/>
          <w:kern w:val="0"/>
          <w:sz w:val="28"/>
          <w:szCs w:val="28"/>
          <w:highlight w:val="none"/>
        </w:rPr>
        <w:t>作出，全体出席会议的监事或代表应当在决议上签名。</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监事会应当对所议事项的决定作成会议记录，出席会议的监事应当在会议记录上签名。</w:t>
      </w:r>
    </w:p>
    <w:p>
      <w:pPr>
        <w:spacing w:line="360" w:lineRule="auto"/>
        <w:ind w:firstLine="425" w:firstLineChars="152"/>
        <w:rPr>
          <w:rFonts w:ascii="仿宋_GB2312" w:hAnsi="华文仿宋" w:eastAsia="仿宋_GB2312" w:cs="Times New Roman"/>
          <w:bCs/>
          <w:kern w:val="0"/>
          <w:sz w:val="28"/>
          <w:szCs w:val="28"/>
          <w:highlight w:val="none"/>
        </w:rPr>
      </w:pPr>
    </w:p>
    <w:p>
      <w:pPr>
        <w:pStyle w:val="62"/>
        <w:adjustRightInd w:val="0"/>
        <w:snapToGrid w:val="0"/>
        <w:spacing w:before="120" w:beforeLines="50" w:after="120" w:afterLines="50" w:line="360" w:lineRule="auto"/>
        <w:ind w:left="420" w:firstLine="0" w:firstLineChars="0"/>
        <w:jc w:val="center"/>
        <w:outlineLvl w:val="0"/>
        <w:rPr>
          <w:rFonts w:ascii="仿宋_GB2312" w:hAnsi="华文仿宋" w:eastAsia="仿宋_GB2312"/>
          <w:b/>
          <w:bCs/>
          <w:kern w:val="0"/>
          <w:sz w:val="32"/>
          <w:szCs w:val="32"/>
          <w:highlight w:val="none"/>
        </w:rPr>
      </w:pPr>
      <w:bookmarkStart w:id="39" w:name="_Toc438125220"/>
      <w:r>
        <w:rPr>
          <w:rFonts w:hint="eastAsia" w:ascii="仿宋_GB2312" w:hAnsi="华文仿宋" w:eastAsia="仿宋_GB2312"/>
          <w:b/>
          <w:bCs/>
          <w:kern w:val="0"/>
          <w:sz w:val="32"/>
          <w:szCs w:val="32"/>
          <w:highlight w:val="none"/>
        </w:rPr>
        <w:t>第七章</w:t>
      </w:r>
      <w:r>
        <w:rPr>
          <w:rFonts w:ascii="仿宋_GB2312" w:hAnsi="华文仿宋" w:eastAsia="仿宋_GB2312"/>
          <w:b/>
          <w:bCs/>
          <w:kern w:val="0"/>
          <w:sz w:val="32"/>
          <w:szCs w:val="32"/>
          <w:highlight w:val="none"/>
        </w:rPr>
        <w:t xml:space="preserve"> </w:t>
      </w:r>
      <w:r>
        <w:rPr>
          <w:rFonts w:hint="eastAsia" w:ascii="仿宋_GB2312" w:hAnsi="华文仿宋" w:eastAsia="仿宋_GB2312"/>
          <w:b/>
          <w:bCs/>
          <w:kern w:val="0"/>
          <w:sz w:val="32"/>
          <w:szCs w:val="32"/>
          <w:highlight w:val="none"/>
        </w:rPr>
        <w:t>经营管理机构</w:t>
      </w:r>
      <w:bookmarkEnd w:id="39"/>
    </w:p>
    <w:p>
      <w:pPr>
        <w:numPr>
          <w:ilvl w:val="0"/>
          <w:numId w:val="3"/>
        </w:numPr>
        <w:spacing w:line="360" w:lineRule="auto"/>
        <w:ind w:left="0" w:firstLine="560" w:firstLineChars="200"/>
        <w:rPr>
          <w:rFonts w:ascii="仿宋_GB2312" w:eastAsia="仿宋_GB2312"/>
          <w:bCs/>
          <w:sz w:val="28"/>
          <w:szCs w:val="28"/>
          <w:highlight w:val="none"/>
        </w:rPr>
      </w:pPr>
      <w:bookmarkStart w:id="40" w:name="_Ref364758136"/>
      <w:r>
        <w:rPr>
          <w:rFonts w:ascii="仿宋_GB2312" w:hAnsi="华文仿宋" w:eastAsia="仿宋_GB2312"/>
          <w:bCs/>
          <w:kern w:val="0"/>
          <w:sz w:val="28"/>
          <w:szCs w:val="28"/>
          <w:highlight w:val="none"/>
        </w:rPr>
        <w:t xml:space="preserve"> 项目公司设立经营管理机构，负责日常经营管理工作。经营管理机构由高级管理人员组成，包括总经理一</w:t>
      </w:r>
      <w:r>
        <w:rPr>
          <w:rFonts w:hint="eastAsia" w:ascii="仿宋_GB2312" w:hAnsi="华文仿宋" w:eastAsia="仿宋_GB2312"/>
          <w:bCs/>
          <w:kern w:val="0"/>
          <w:sz w:val="28"/>
          <w:szCs w:val="28"/>
          <w:highlight w:val="none"/>
        </w:rPr>
        <w:t>（</w:t>
      </w:r>
      <w:r>
        <w:rPr>
          <w:rFonts w:ascii="仿宋_GB2312" w:hAnsi="华文仿宋" w:eastAsia="仿宋_GB2312"/>
          <w:bCs/>
          <w:kern w:val="0"/>
          <w:sz w:val="28"/>
          <w:szCs w:val="28"/>
          <w:highlight w:val="none"/>
        </w:rPr>
        <w:t>1）人</w:t>
      </w:r>
      <w:r>
        <w:rPr>
          <w:rFonts w:hint="eastAsia" w:ascii="仿宋_GB2312" w:hAnsi="华文仿宋" w:eastAsia="仿宋_GB2312"/>
          <w:bCs/>
          <w:kern w:val="0"/>
          <w:sz w:val="28"/>
          <w:szCs w:val="28"/>
          <w:highlight w:val="none"/>
        </w:rPr>
        <w:t>（由中标社会资本提名，董事会聘任）</w:t>
      </w:r>
      <w:r>
        <w:rPr>
          <w:rFonts w:ascii="仿宋_GB2312" w:hAnsi="华文仿宋" w:eastAsia="仿宋_GB2312"/>
          <w:bCs/>
          <w:kern w:val="0"/>
          <w:sz w:val="28"/>
          <w:szCs w:val="28"/>
          <w:highlight w:val="none"/>
        </w:rPr>
        <w:t>、</w:t>
      </w:r>
      <w:r>
        <w:rPr>
          <w:rFonts w:ascii="仿宋_GB2312" w:eastAsia="仿宋_GB2312"/>
          <w:bCs/>
          <w:sz w:val="28"/>
          <w:szCs w:val="28"/>
          <w:highlight w:val="none"/>
        </w:rPr>
        <w:t>副总经理人数根据经营管理需要确定 (其中</w:t>
      </w:r>
      <w:r>
        <w:rPr>
          <w:rFonts w:hint="eastAsia" w:ascii="仿宋_GB2312" w:hAnsi="华文仿宋" w:eastAsia="仿宋_GB2312"/>
          <w:bCs/>
          <w:kern w:val="0"/>
          <w:sz w:val="28"/>
          <w:szCs w:val="28"/>
          <w:highlight w:val="none"/>
        </w:rPr>
        <w:t>宿迁交产集团</w:t>
      </w:r>
      <w:r>
        <w:rPr>
          <w:rFonts w:ascii="仿宋_GB2312" w:eastAsia="仿宋_GB2312"/>
          <w:bCs/>
          <w:sz w:val="28"/>
          <w:szCs w:val="28"/>
          <w:highlight w:val="none"/>
        </w:rPr>
        <w:t>提名1名，</w:t>
      </w:r>
      <w:r>
        <w:rPr>
          <w:rFonts w:hint="eastAsia" w:ascii="仿宋_GB2312" w:eastAsia="仿宋_GB2312"/>
          <w:bCs/>
          <w:sz w:val="28"/>
          <w:szCs w:val="28"/>
          <w:highlight w:val="none"/>
        </w:rPr>
        <w:t>其他由中标社会资本提名，</w:t>
      </w:r>
      <w:r>
        <w:rPr>
          <w:rFonts w:ascii="仿宋_GB2312" w:eastAsia="仿宋_GB2312"/>
          <w:bCs/>
          <w:sz w:val="28"/>
          <w:szCs w:val="28"/>
          <w:highlight w:val="none"/>
        </w:rPr>
        <w:t>并经董事会聘任)、财务总监1名(由</w:t>
      </w:r>
      <w:r>
        <w:rPr>
          <w:rFonts w:hint="eastAsia" w:ascii="仿宋_GB2312" w:hAnsi="华文仿宋" w:eastAsia="仿宋_GB2312"/>
          <w:bCs/>
          <w:kern w:val="0"/>
          <w:sz w:val="28"/>
          <w:szCs w:val="28"/>
          <w:highlight w:val="none"/>
        </w:rPr>
        <w:t>中标社会资本</w:t>
      </w:r>
      <w:r>
        <w:rPr>
          <w:rFonts w:ascii="仿宋_GB2312" w:eastAsia="仿宋_GB2312"/>
          <w:bCs/>
          <w:sz w:val="28"/>
          <w:szCs w:val="28"/>
          <w:highlight w:val="none"/>
        </w:rPr>
        <w:t>提名，并经董事会聘任）。高级管理人员任期在聘任合同中约定，一般为3年。</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bookmarkEnd w:id="40"/>
      <w:r>
        <w:rPr>
          <w:rFonts w:ascii="仿宋_GB2312" w:hAnsi="华文仿宋" w:eastAsia="仿宋_GB2312"/>
          <w:bCs/>
          <w:kern w:val="0"/>
          <w:sz w:val="28"/>
          <w:szCs w:val="28"/>
          <w:highlight w:val="none"/>
        </w:rPr>
        <w:t>总经理直接对董事会负责，执行董事会各项决议，组织领导项目公司的全面</w:t>
      </w:r>
      <w:r>
        <w:rPr>
          <w:rFonts w:hint="eastAsia" w:ascii="仿宋_GB2312" w:hAnsi="华文仿宋" w:eastAsia="仿宋_GB2312"/>
          <w:bCs/>
          <w:kern w:val="0"/>
          <w:sz w:val="28"/>
          <w:szCs w:val="28"/>
          <w:highlight w:val="none"/>
        </w:rPr>
        <w:t>开展</w:t>
      </w:r>
      <w:r>
        <w:rPr>
          <w:rFonts w:ascii="仿宋_GB2312" w:hAnsi="华文仿宋" w:eastAsia="仿宋_GB2312"/>
          <w:bCs/>
          <w:kern w:val="0"/>
          <w:sz w:val="28"/>
          <w:szCs w:val="28"/>
          <w:highlight w:val="none"/>
        </w:rPr>
        <w:t>；副总经理等高级管理人员分管各部门的具体业务，对总经理负责。</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总经理职责</w:t>
      </w:r>
    </w:p>
    <w:p>
      <w:pPr>
        <w:spacing w:line="360" w:lineRule="auto"/>
        <w:ind w:firstLine="425" w:firstLineChars="152"/>
        <w:rPr>
          <w:rFonts w:ascii="仿宋_GB2312" w:hAnsi="华文仿宋" w:eastAsia="仿宋_GB2312"/>
          <w:sz w:val="28"/>
          <w:highlight w:val="none"/>
        </w:rPr>
      </w:pPr>
      <w:r>
        <w:rPr>
          <w:rFonts w:ascii="仿宋_GB2312" w:hAnsi="华文仿宋" w:eastAsia="仿宋_GB2312"/>
          <w:sz w:val="28"/>
          <w:highlight w:val="none"/>
        </w:rPr>
        <w:t>总经理应履行下列职责：</w:t>
      </w:r>
    </w:p>
    <w:p>
      <w:pPr>
        <w:pStyle w:val="62"/>
        <w:numPr>
          <w:ilvl w:val="0"/>
          <w:numId w:val="8"/>
        </w:numPr>
        <w:snapToGrid w:val="0"/>
        <w:spacing w:line="360" w:lineRule="auto"/>
        <w:ind w:left="0" w:firstLine="560"/>
        <w:rPr>
          <w:rFonts w:ascii="仿宋_GB2312" w:hAnsi="华文仿宋" w:eastAsia="仿宋_GB2312"/>
          <w:sz w:val="28"/>
          <w:highlight w:val="none"/>
        </w:rPr>
      </w:pPr>
      <w:r>
        <w:rPr>
          <w:rFonts w:ascii="仿宋_GB2312" w:hAnsi="华文仿宋" w:eastAsia="仿宋_GB2312"/>
          <w:sz w:val="28"/>
          <w:highlight w:val="none"/>
        </w:rPr>
        <w:t>主持项目公司的生产经营管理工作，组织实施董事会决议；</w:t>
      </w:r>
    </w:p>
    <w:p>
      <w:pPr>
        <w:pStyle w:val="62"/>
        <w:numPr>
          <w:ilvl w:val="0"/>
          <w:numId w:val="8"/>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组织实施项目公司的年度经营计划、投资方案（包括投融资、建设、运营、产城发展服务方案）</w:t>
      </w:r>
      <w:r>
        <w:rPr>
          <w:rFonts w:ascii="仿宋_GB2312" w:hAnsi="华文仿宋" w:eastAsia="仿宋_GB2312"/>
          <w:sz w:val="28"/>
          <w:highlight w:val="none"/>
        </w:rPr>
        <w:t>；</w:t>
      </w:r>
    </w:p>
    <w:p>
      <w:pPr>
        <w:pStyle w:val="62"/>
        <w:numPr>
          <w:ilvl w:val="0"/>
          <w:numId w:val="8"/>
        </w:numPr>
        <w:snapToGrid w:val="0"/>
        <w:spacing w:line="360" w:lineRule="auto"/>
        <w:ind w:left="0" w:firstLine="560"/>
        <w:rPr>
          <w:rFonts w:ascii="仿宋_GB2312" w:hAnsi="华文仿宋" w:eastAsia="仿宋_GB2312"/>
          <w:sz w:val="28"/>
          <w:highlight w:val="none"/>
        </w:rPr>
      </w:pPr>
      <w:r>
        <w:rPr>
          <w:rFonts w:ascii="仿宋_GB2312" w:hAnsi="华文仿宋" w:eastAsia="仿宋_GB2312"/>
          <w:sz w:val="28"/>
          <w:highlight w:val="none"/>
        </w:rPr>
        <w:t>拟订项目公司的内部机构设置方案；</w:t>
      </w:r>
    </w:p>
    <w:p>
      <w:pPr>
        <w:pStyle w:val="62"/>
        <w:numPr>
          <w:ilvl w:val="0"/>
          <w:numId w:val="8"/>
        </w:numPr>
        <w:snapToGrid w:val="0"/>
        <w:spacing w:line="360" w:lineRule="auto"/>
        <w:ind w:left="0" w:firstLine="560"/>
        <w:rPr>
          <w:rFonts w:ascii="仿宋_GB2312" w:hAnsi="华文仿宋" w:eastAsia="仿宋_GB2312"/>
          <w:sz w:val="28"/>
          <w:highlight w:val="none"/>
        </w:rPr>
      </w:pPr>
      <w:r>
        <w:rPr>
          <w:rFonts w:ascii="仿宋_GB2312" w:hAnsi="华文仿宋" w:eastAsia="仿宋_GB2312"/>
          <w:sz w:val="28"/>
          <w:highlight w:val="none"/>
        </w:rPr>
        <w:t>拟订项目公司的基本管理制度；</w:t>
      </w:r>
    </w:p>
    <w:p>
      <w:pPr>
        <w:pStyle w:val="62"/>
        <w:numPr>
          <w:ilvl w:val="0"/>
          <w:numId w:val="8"/>
        </w:numPr>
        <w:snapToGrid w:val="0"/>
        <w:spacing w:line="360" w:lineRule="auto"/>
        <w:ind w:left="0" w:firstLine="560"/>
        <w:rPr>
          <w:rFonts w:ascii="仿宋_GB2312" w:hAnsi="华文仿宋" w:eastAsia="仿宋_GB2312"/>
          <w:sz w:val="28"/>
          <w:highlight w:val="none"/>
        </w:rPr>
      </w:pPr>
      <w:r>
        <w:rPr>
          <w:rFonts w:ascii="仿宋_GB2312" w:hAnsi="华文仿宋" w:eastAsia="仿宋_GB2312"/>
          <w:sz w:val="28"/>
          <w:highlight w:val="none"/>
        </w:rPr>
        <w:t>制定项目公司的具体规章；</w:t>
      </w:r>
    </w:p>
    <w:p>
      <w:pPr>
        <w:pStyle w:val="62"/>
        <w:numPr>
          <w:ilvl w:val="0"/>
          <w:numId w:val="8"/>
        </w:numPr>
        <w:snapToGrid w:val="0"/>
        <w:spacing w:line="360" w:lineRule="auto"/>
        <w:ind w:left="0" w:firstLine="560"/>
        <w:rPr>
          <w:rFonts w:ascii="仿宋_GB2312" w:hAnsi="华文仿宋" w:eastAsia="仿宋_GB2312"/>
          <w:sz w:val="28"/>
          <w:highlight w:val="none"/>
        </w:rPr>
      </w:pPr>
      <w:r>
        <w:rPr>
          <w:rFonts w:hint="eastAsia" w:ascii="仿宋_GB2312" w:hAnsi="华文仿宋" w:eastAsia="仿宋_GB2312"/>
          <w:sz w:val="28"/>
          <w:highlight w:val="none"/>
        </w:rPr>
        <w:t>聘任或解聘除应由董事会聘任或解聘以外的负责管理人员；</w:t>
      </w:r>
    </w:p>
    <w:p>
      <w:pPr>
        <w:pStyle w:val="62"/>
        <w:numPr>
          <w:ilvl w:val="0"/>
          <w:numId w:val="8"/>
        </w:numPr>
        <w:snapToGrid w:val="0"/>
        <w:spacing w:line="360" w:lineRule="auto"/>
        <w:ind w:left="0" w:firstLine="560"/>
        <w:rPr>
          <w:rFonts w:ascii="仿宋_GB2312" w:hAnsi="华文仿宋" w:eastAsia="仿宋_GB2312"/>
          <w:sz w:val="28"/>
          <w:highlight w:val="none"/>
        </w:rPr>
      </w:pPr>
      <w:r>
        <w:rPr>
          <w:rFonts w:ascii="仿宋_GB2312" w:hAnsi="华文仿宋" w:eastAsia="仿宋_GB2312"/>
          <w:sz w:val="28"/>
          <w:highlight w:val="none"/>
        </w:rPr>
        <w:t>董事会授予的其他职权。</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总经理有权在董事会会议召开十（10）日前向董事长建议并提交其认为应由董事会讨论决定的会议议题，由董事长决定是否采纳。</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项目公司与总经理等高级管理人员的聘用合同，由董事长代表项目公司签订。</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其他管理人员的职权及义务</w:t>
      </w:r>
    </w:p>
    <w:p>
      <w:pPr>
        <w:pStyle w:val="62"/>
        <w:numPr>
          <w:ilvl w:val="0"/>
          <w:numId w:val="9"/>
        </w:numPr>
        <w:snapToGrid w:val="0"/>
        <w:spacing w:line="360" w:lineRule="auto"/>
        <w:ind w:left="0" w:firstLine="560"/>
        <w:rPr>
          <w:rFonts w:ascii="仿宋_GB2312" w:eastAsia="仿宋_GB2312"/>
          <w:sz w:val="28"/>
          <w:highlight w:val="none"/>
        </w:rPr>
      </w:pPr>
      <w:r>
        <w:rPr>
          <w:rFonts w:ascii="仿宋_GB2312" w:eastAsia="仿宋_GB2312"/>
          <w:sz w:val="28"/>
          <w:highlight w:val="none"/>
        </w:rPr>
        <w:t>副总经理对董事会及总经理负责，协助总经理管理项目公司。</w:t>
      </w:r>
    </w:p>
    <w:p>
      <w:pPr>
        <w:pStyle w:val="62"/>
        <w:numPr>
          <w:ilvl w:val="0"/>
          <w:numId w:val="9"/>
        </w:numPr>
        <w:snapToGrid w:val="0"/>
        <w:spacing w:line="360" w:lineRule="auto"/>
        <w:ind w:left="0" w:firstLine="560"/>
        <w:rPr>
          <w:rFonts w:ascii="仿宋_GB2312" w:eastAsia="仿宋_GB2312"/>
          <w:sz w:val="28"/>
          <w:highlight w:val="none"/>
        </w:rPr>
      </w:pPr>
      <w:r>
        <w:rPr>
          <w:rFonts w:ascii="仿宋_GB2312" w:eastAsia="仿宋_GB2312"/>
          <w:sz w:val="28"/>
          <w:highlight w:val="none"/>
        </w:rPr>
        <w:t>财务总监为公司财务负责人，对董事会及总经理负责。</w:t>
      </w:r>
    </w:p>
    <w:p>
      <w:pPr>
        <w:pStyle w:val="62"/>
        <w:numPr>
          <w:ilvl w:val="0"/>
          <w:numId w:val="9"/>
        </w:numPr>
        <w:snapToGrid w:val="0"/>
        <w:spacing w:line="360" w:lineRule="auto"/>
        <w:ind w:left="0" w:firstLine="560"/>
        <w:rPr>
          <w:rFonts w:ascii="仿宋_GB2312" w:hAnsi="华文仿宋" w:eastAsia="仿宋_GB2312"/>
          <w:sz w:val="28"/>
          <w:highlight w:val="none"/>
        </w:rPr>
      </w:pPr>
      <w:r>
        <w:rPr>
          <w:rFonts w:ascii="仿宋_GB2312" w:eastAsia="仿宋_GB2312"/>
          <w:sz w:val="28"/>
          <w:highlight w:val="none"/>
        </w:rPr>
        <w:t>项目公司可设若干部门经理，分别负责项目公司各部门的工作，办理总经理和副总经理交办的事项，并对总经理负责。</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总经理等高级管理人员未经董事会批准，不得兼任其他经济实体的职务，不得参与其他公司对项目公司的商业竞争。对高级管理人员未经批准的兼职行为，董事会将责令其在规定期限内辞去兼职，未能在规定期限内辞去兼职的，董事会将解聘其公司职务。如确有事实证明总经理等高级管理人员有营私舞弊、严重失职行为的，经董事会决定，可随时解聘，并由有关部门依法对相关人员进行处理。</w:t>
      </w:r>
    </w:p>
    <w:p>
      <w:pPr>
        <w:spacing w:line="360" w:lineRule="auto"/>
        <w:ind w:firstLine="425" w:firstLineChars="152"/>
        <w:rPr>
          <w:rFonts w:ascii="仿宋_GB2312" w:hAnsi="华文仿宋" w:eastAsia="仿宋_GB2312" w:cs="Times New Roman"/>
          <w:bCs/>
          <w:kern w:val="0"/>
          <w:sz w:val="28"/>
          <w:szCs w:val="28"/>
          <w:highlight w:val="none"/>
        </w:rPr>
      </w:pPr>
    </w:p>
    <w:p>
      <w:pPr>
        <w:pStyle w:val="62"/>
        <w:adjustRightInd w:val="0"/>
        <w:snapToGrid w:val="0"/>
        <w:spacing w:before="120" w:beforeLines="50" w:after="120" w:afterLines="50" w:line="360" w:lineRule="auto"/>
        <w:ind w:left="420" w:firstLine="0" w:firstLineChars="0"/>
        <w:jc w:val="center"/>
        <w:outlineLvl w:val="0"/>
        <w:rPr>
          <w:rFonts w:ascii="仿宋_GB2312" w:hAnsi="华文仿宋" w:eastAsia="仿宋_GB2312"/>
          <w:b/>
          <w:bCs/>
          <w:kern w:val="0"/>
          <w:sz w:val="32"/>
          <w:szCs w:val="32"/>
          <w:highlight w:val="none"/>
        </w:rPr>
      </w:pPr>
      <w:bookmarkStart w:id="41" w:name="_Toc438125221"/>
      <w:r>
        <w:rPr>
          <w:rFonts w:hint="eastAsia" w:ascii="仿宋_GB2312" w:hAnsi="华文仿宋" w:eastAsia="仿宋_GB2312"/>
          <w:b/>
          <w:bCs/>
          <w:kern w:val="0"/>
          <w:sz w:val="32"/>
          <w:szCs w:val="32"/>
          <w:highlight w:val="none"/>
        </w:rPr>
        <w:t>第八章</w:t>
      </w:r>
      <w:r>
        <w:rPr>
          <w:rFonts w:ascii="仿宋_GB2312" w:hAnsi="华文仿宋" w:eastAsia="仿宋_GB2312"/>
          <w:b/>
          <w:bCs/>
          <w:kern w:val="0"/>
          <w:sz w:val="32"/>
          <w:szCs w:val="32"/>
          <w:highlight w:val="none"/>
        </w:rPr>
        <w:t xml:space="preserve"> </w:t>
      </w:r>
      <w:r>
        <w:rPr>
          <w:rFonts w:hint="eastAsia" w:ascii="仿宋_GB2312" w:hAnsi="华文仿宋" w:eastAsia="仿宋_GB2312"/>
          <w:b/>
          <w:bCs/>
          <w:kern w:val="0"/>
          <w:sz w:val="32"/>
          <w:szCs w:val="32"/>
          <w:highlight w:val="none"/>
        </w:rPr>
        <w:t>劳动管理与工会</w:t>
      </w:r>
      <w:bookmarkEnd w:id="41"/>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bookmarkStart w:id="42" w:name="_Hlk55392034"/>
      <w:r>
        <w:rPr>
          <w:rFonts w:hint="eastAsia" w:ascii="仿宋_GB2312" w:hAnsi="华文仿宋" w:eastAsia="仿宋_GB2312"/>
          <w:bCs/>
          <w:kern w:val="0"/>
          <w:sz w:val="28"/>
          <w:szCs w:val="28"/>
          <w:highlight w:val="none"/>
        </w:rPr>
        <w:t>除适用法律另有规定外，项目公司对高级管理人员实行聘任制，对其他员工实行合同制。项目公司员工劳动合同的订立和解除、工资、福利、劳动保险、劳动保护、劳动纪律、带薪休假等事宜，应符合适用法律、地方政府的有关规定和董事会制定的有关政策。劳动合同订立后，应报当地劳动管理部门备案。项目公司总经理、副总经理、财务总监的聘请和工资待遇、社会保险、福利、差旅费标准等，由董事会会议讨论决定。</w:t>
      </w:r>
    </w:p>
    <w:bookmarkEnd w:id="42"/>
    <w:p>
      <w:pPr>
        <w:numPr>
          <w:ilvl w:val="0"/>
          <w:numId w:val="3"/>
        </w:numPr>
        <w:spacing w:line="360" w:lineRule="auto"/>
        <w:ind w:left="0" w:firstLine="562" w:firstLineChars="200"/>
        <w:rPr>
          <w:rFonts w:ascii="仿宋_GB2312" w:hAnsi="华文仿宋" w:eastAsia="仿宋_GB2312"/>
          <w:bCs/>
          <w:kern w:val="0"/>
          <w:sz w:val="28"/>
          <w:szCs w:val="28"/>
          <w:highlight w:val="none"/>
        </w:rPr>
      </w:pPr>
      <w:r>
        <w:rPr>
          <w:rFonts w:ascii="仿宋_GB2312" w:hAnsi="华文仿宋" w:eastAsia="仿宋_GB2312"/>
          <w:b/>
          <w:bCs/>
          <w:kern w:val="0"/>
          <w:sz w:val="28"/>
          <w:szCs w:val="28"/>
          <w:highlight w:val="none"/>
        </w:rPr>
        <w:t xml:space="preserve">  </w:t>
      </w:r>
      <w:r>
        <w:rPr>
          <w:rFonts w:ascii="仿宋_GB2312" w:hAnsi="华文仿宋" w:eastAsia="仿宋_GB2312"/>
          <w:bCs/>
          <w:kern w:val="0"/>
          <w:sz w:val="28"/>
          <w:szCs w:val="28"/>
          <w:highlight w:val="none"/>
        </w:rPr>
        <w:t>项目公司所有员工，依照国家政策、法律、法规</w:t>
      </w:r>
      <w:r>
        <w:rPr>
          <w:rFonts w:hint="eastAsia" w:ascii="仿宋_GB2312" w:hAnsi="华文仿宋" w:eastAsia="仿宋_GB2312"/>
          <w:bCs/>
          <w:kern w:val="0"/>
          <w:sz w:val="28"/>
          <w:szCs w:val="28"/>
          <w:highlight w:val="none"/>
        </w:rPr>
        <w:t>和宿迁市人民政府的相关规定，享有包括但不限于养老保险、失业保险、医疗保险、工伤保险、生育保险和住房公积金等法定权利和劳动合同约定的权利，并承担相应的义务。</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项目公司的职工有权按照《中华人民共和国工会法》及其他中国法律法规的规定，建立工会组织，开展工会活动。</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项目公司工会是职工利益的代表，它的任务是：依法维护职工的民主权利和物质利益，协助项目公司安排和合理使用福利、奖励基金，组织职工学习政治、业务、科学、技术知识、开展文艺、体育活动，教育职工遵守劳动纪律、努力完成项目公司的各项经济任务。</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项目公司工会有权代表职工和项目公司签订集体劳动合同，并监督该合同的执行。</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项目公司工会负责人可以列席有关讨论项目公司的发展规划、生产经营活动等重大问题的管理层会议，并反映职工的意见和要求。</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项目公司工会参加调解职工和项目公司之间发生的争议。</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项目公司应按照有关中国法律的规定拨交工会经费。项目公司工会按照中华全国总工会制定的《基层工会经费使用管理办法》及公司财务管理规定使用工会经费。</w:t>
      </w:r>
    </w:p>
    <w:p>
      <w:pPr>
        <w:pStyle w:val="62"/>
        <w:adjustRightInd w:val="0"/>
        <w:snapToGrid w:val="0"/>
        <w:spacing w:before="100" w:beforeAutospacing="1" w:after="100" w:afterAutospacing="1" w:line="360" w:lineRule="auto"/>
        <w:ind w:left="420" w:firstLine="0" w:firstLineChars="0"/>
        <w:jc w:val="center"/>
        <w:outlineLvl w:val="0"/>
        <w:rPr>
          <w:rFonts w:ascii="仿宋_GB2312" w:hAnsi="华文仿宋" w:eastAsia="仿宋_GB2312"/>
          <w:b/>
          <w:bCs/>
          <w:kern w:val="44"/>
          <w:sz w:val="32"/>
          <w:szCs w:val="32"/>
          <w:highlight w:val="none"/>
        </w:rPr>
      </w:pPr>
      <w:bookmarkStart w:id="43" w:name="_Toc425689121"/>
      <w:bookmarkStart w:id="44" w:name="_Toc438125222"/>
      <w:r>
        <w:rPr>
          <w:rFonts w:hint="eastAsia" w:ascii="仿宋_GB2312" w:hAnsi="华文仿宋" w:eastAsia="仿宋_GB2312"/>
          <w:b/>
          <w:bCs/>
          <w:kern w:val="44"/>
          <w:sz w:val="32"/>
          <w:szCs w:val="32"/>
          <w:highlight w:val="none"/>
        </w:rPr>
        <w:t>第九章</w:t>
      </w:r>
      <w:r>
        <w:rPr>
          <w:rFonts w:ascii="仿宋_GB2312" w:hAnsi="华文仿宋" w:eastAsia="仿宋_GB2312"/>
          <w:b/>
          <w:bCs/>
          <w:kern w:val="44"/>
          <w:sz w:val="32"/>
          <w:szCs w:val="32"/>
          <w:highlight w:val="none"/>
        </w:rPr>
        <w:t xml:space="preserve"> </w:t>
      </w:r>
      <w:r>
        <w:rPr>
          <w:rFonts w:hint="eastAsia" w:ascii="仿宋_GB2312" w:hAnsi="华文仿宋" w:eastAsia="仿宋_GB2312"/>
          <w:b/>
          <w:bCs/>
          <w:kern w:val="44"/>
          <w:sz w:val="32"/>
          <w:szCs w:val="32"/>
          <w:highlight w:val="none"/>
        </w:rPr>
        <w:t>会计与审计制度</w:t>
      </w:r>
      <w:bookmarkEnd w:id="43"/>
      <w:bookmarkEnd w:id="44"/>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项目公司应当依照法律、行政法规和国务院财政部门的规定建立并执行本公司的财务、会计制度</w:t>
      </w:r>
      <w:r>
        <w:rPr>
          <w:rFonts w:hint="eastAsia" w:ascii="仿宋_GB2312" w:hAnsi="华文仿宋" w:eastAsia="仿宋_GB2312"/>
          <w:bCs/>
          <w:kern w:val="0"/>
          <w:sz w:val="28"/>
          <w:szCs w:val="28"/>
          <w:highlight w:val="none"/>
        </w:rPr>
        <w:t>，提交董事会通过后执行</w:t>
      </w:r>
      <w:r>
        <w:rPr>
          <w:rFonts w:ascii="仿宋_GB2312" w:hAnsi="华文仿宋" w:eastAsia="仿宋_GB2312"/>
          <w:bCs/>
          <w:kern w:val="0"/>
          <w:sz w:val="28"/>
          <w:szCs w:val="28"/>
          <w:highlight w:val="none"/>
        </w:rPr>
        <w:t>。</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在每一会计年度结束后六十（60）日内，总经理应组织完成编制该会计年度的财务报告。</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在</w:t>
      </w:r>
      <w:r>
        <w:rPr>
          <w:rFonts w:hint="eastAsia" w:ascii="仿宋_GB2312" w:hAnsi="华文仿宋" w:eastAsia="仿宋_GB2312"/>
          <w:bCs/>
          <w:kern w:val="0"/>
          <w:sz w:val="28"/>
          <w:szCs w:val="28"/>
          <w:highlight w:val="none"/>
        </w:rPr>
        <w:t>每一会计年度结束后九十（</w:t>
      </w:r>
      <w:r>
        <w:rPr>
          <w:rFonts w:ascii="仿宋_GB2312" w:hAnsi="华文仿宋" w:eastAsia="仿宋_GB2312"/>
          <w:bCs/>
          <w:kern w:val="0"/>
          <w:sz w:val="28"/>
          <w:szCs w:val="28"/>
          <w:highlight w:val="none"/>
        </w:rPr>
        <w:t>90）日内，项目公司应聘请中国的注册会计师完成年度财务报告的审计，并由会计师向董事会和总经理报告审计结果。</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项目公司的外汇事宜，依照中国国家外汇管理规定办理。</w:t>
      </w:r>
    </w:p>
    <w:p>
      <w:pPr>
        <w:pStyle w:val="62"/>
        <w:adjustRightInd w:val="0"/>
        <w:snapToGrid w:val="0"/>
        <w:spacing w:before="120" w:beforeLines="50" w:after="120" w:afterLines="50" w:line="360" w:lineRule="auto"/>
        <w:ind w:left="420" w:firstLine="0" w:firstLineChars="0"/>
        <w:jc w:val="center"/>
        <w:outlineLvl w:val="0"/>
        <w:rPr>
          <w:rFonts w:ascii="仿宋_GB2312" w:hAnsi="华文仿宋" w:eastAsia="仿宋_GB2312"/>
          <w:b/>
          <w:bCs/>
          <w:kern w:val="0"/>
          <w:sz w:val="32"/>
          <w:szCs w:val="32"/>
          <w:highlight w:val="none"/>
        </w:rPr>
      </w:pPr>
      <w:bookmarkStart w:id="45" w:name="_Toc438125223"/>
      <w:r>
        <w:rPr>
          <w:rFonts w:hint="eastAsia" w:ascii="仿宋_GB2312" w:hAnsi="华文仿宋" w:eastAsia="仿宋_GB2312"/>
          <w:b/>
          <w:bCs/>
          <w:kern w:val="0"/>
          <w:sz w:val="32"/>
          <w:szCs w:val="32"/>
          <w:highlight w:val="none"/>
        </w:rPr>
        <w:t>第十章</w:t>
      </w:r>
      <w:r>
        <w:rPr>
          <w:rFonts w:ascii="仿宋_GB2312" w:hAnsi="华文仿宋" w:eastAsia="仿宋_GB2312"/>
          <w:b/>
          <w:bCs/>
          <w:kern w:val="0"/>
          <w:sz w:val="32"/>
          <w:szCs w:val="32"/>
          <w:highlight w:val="none"/>
        </w:rPr>
        <w:t xml:space="preserve"> </w:t>
      </w:r>
      <w:r>
        <w:rPr>
          <w:rFonts w:hint="eastAsia" w:ascii="仿宋_GB2312" w:hAnsi="华文仿宋" w:eastAsia="仿宋_GB2312"/>
          <w:b/>
          <w:bCs/>
          <w:kern w:val="0"/>
          <w:sz w:val="32"/>
          <w:szCs w:val="32"/>
          <w:highlight w:val="none"/>
        </w:rPr>
        <w:t>利润分配与债务承担</w:t>
      </w:r>
      <w:bookmarkEnd w:id="45"/>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项目公司分配当年税后利润，应当提取利润的百分之十（</w:t>
      </w:r>
      <w:r>
        <w:rPr>
          <w:rFonts w:ascii="仿宋_GB2312" w:hAnsi="华文仿宋" w:eastAsia="仿宋_GB2312"/>
          <w:bCs/>
          <w:kern w:val="0"/>
          <w:sz w:val="28"/>
          <w:szCs w:val="28"/>
          <w:highlight w:val="none"/>
        </w:rPr>
        <w:t>10%）列入公司法定公积金，公司法定公积金累计额为项目公司注册资本的百分之五十（50%）以上时，可不再提取。项目公司法定公积金不足弥补上一年度亏损的，在提取法定公积金之前，应当先用当年利润弥补亏损。</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在项目公司根据适用法律缴纳税款、弥补亏损、扣除法定公积金后，股东各方依照实缴的出资比例分配税后利润。</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项目公司的年度利润分配方案，由财务总监协助总经理编制并经董事会提交股东会审批。</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如项目公司发生亏损，由财务总监协助总经理编制亏损分析报告，详细描述亏损的原因、亏损额和制订补救方案，在甲方董事和总经理联签后经董事会提交股东会审批。</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股东各方一致同意，当项目公司经营期限届满时，公司应按照《</w:t>
      </w:r>
      <w:r>
        <w:rPr>
          <w:rFonts w:ascii="仿宋_GB2312" w:hAnsi="华文仿宋" w:eastAsia="仿宋_GB2312"/>
          <w:bCs/>
          <w:kern w:val="0"/>
          <w:sz w:val="28"/>
          <w:szCs w:val="28"/>
          <w:highlight w:val="none"/>
        </w:rPr>
        <w:t>PPP项目合同</w:t>
      </w:r>
      <w:r>
        <w:rPr>
          <w:rFonts w:hint="eastAsia" w:ascii="仿宋_GB2312" w:hAnsi="华文仿宋" w:eastAsia="仿宋_GB2312"/>
          <w:bCs/>
          <w:kern w:val="0"/>
          <w:sz w:val="28"/>
          <w:szCs w:val="28"/>
          <w:highlight w:val="none"/>
        </w:rPr>
        <w:t>》的有关约定，将《</w:t>
      </w:r>
      <w:r>
        <w:rPr>
          <w:rFonts w:ascii="仿宋_GB2312" w:hAnsi="华文仿宋" w:eastAsia="仿宋_GB2312"/>
          <w:bCs/>
          <w:kern w:val="0"/>
          <w:sz w:val="28"/>
          <w:szCs w:val="28"/>
          <w:highlight w:val="none"/>
        </w:rPr>
        <w:t>PPP项目合同</w:t>
      </w:r>
      <w:r>
        <w:rPr>
          <w:rFonts w:hint="eastAsia" w:ascii="仿宋_GB2312" w:hAnsi="华文仿宋" w:eastAsia="仿宋_GB2312"/>
          <w:bCs/>
          <w:kern w:val="0"/>
          <w:sz w:val="28"/>
          <w:szCs w:val="28"/>
          <w:highlight w:val="none"/>
        </w:rPr>
        <w:t>》约定的资产及所有权、土地使用权等全部无偿移交给政府指定接收机构。</w:t>
      </w:r>
    </w:p>
    <w:p>
      <w:pPr>
        <w:widowControl/>
        <w:jc w:val="left"/>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br w:type="page"/>
      </w:r>
    </w:p>
    <w:p>
      <w:pPr>
        <w:pStyle w:val="62"/>
        <w:adjustRightInd w:val="0"/>
        <w:snapToGrid w:val="0"/>
        <w:spacing w:before="120" w:beforeLines="50" w:after="120" w:afterLines="50" w:line="360" w:lineRule="auto"/>
        <w:ind w:left="420" w:firstLine="0" w:firstLineChars="0"/>
        <w:jc w:val="center"/>
        <w:outlineLvl w:val="0"/>
        <w:rPr>
          <w:rFonts w:ascii="仿宋_GB2312" w:hAnsi="华文仿宋" w:eastAsia="仿宋_GB2312"/>
          <w:b/>
          <w:kern w:val="0"/>
          <w:sz w:val="32"/>
          <w:szCs w:val="32"/>
          <w:highlight w:val="none"/>
        </w:rPr>
      </w:pPr>
      <w:bookmarkStart w:id="46" w:name="_Toc438125224"/>
      <w:r>
        <w:rPr>
          <w:rFonts w:hint="eastAsia" w:ascii="仿宋_GB2312" w:hAnsi="华文仿宋" w:eastAsia="仿宋_GB2312"/>
          <w:b/>
          <w:bCs/>
          <w:kern w:val="0"/>
          <w:sz w:val="32"/>
          <w:szCs w:val="32"/>
          <w:highlight w:val="none"/>
        </w:rPr>
        <w:t>第十一章</w:t>
      </w:r>
      <w:r>
        <w:rPr>
          <w:rFonts w:ascii="仿宋_GB2312" w:hAnsi="华文仿宋" w:eastAsia="仿宋_GB2312"/>
          <w:b/>
          <w:bCs/>
          <w:kern w:val="0"/>
          <w:sz w:val="32"/>
          <w:szCs w:val="32"/>
          <w:highlight w:val="none"/>
        </w:rPr>
        <w:t xml:space="preserve"> </w:t>
      </w:r>
      <w:r>
        <w:rPr>
          <w:rFonts w:hint="eastAsia" w:ascii="仿宋_GB2312" w:hAnsi="华文仿宋" w:eastAsia="仿宋_GB2312"/>
          <w:b/>
          <w:bCs/>
          <w:kern w:val="0"/>
          <w:sz w:val="32"/>
          <w:szCs w:val="32"/>
          <w:highlight w:val="none"/>
        </w:rPr>
        <w:t>解散与清算</w:t>
      </w:r>
      <w:bookmarkEnd w:id="46"/>
    </w:p>
    <w:p>
      <w:pPr>
        <w:numPr>
          <w:ilvl w:val="0"/>
          <w:numId w:val="3"/>
        </w:numPr>
        <w:spacing w:line="360" w:lineRule="auto"/>
        <w:ind w:left="0" w:firstLine="560" w:firstLineChars="200"/>
        <w:rPr>
          <w:rFonts w:ascii="仿宋_GB2312" w:hAnsi="华文仿宋" w:eastAsia="仿宋_GB2312"/>
          <w:bCs/>
          <w:kern w:val="0"/>
          <w:sz w:val="28"/>
          <w:szCs w:val="28"/>
          <w:highlight w:val="none"/>
        </w:rPr>
      </w:pPr>
      <w:bookmarkStart w:id="47" w:name="_Ref363636631"/>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解散事由</w:t>
      </w:r>
    </w:p>
    <w:p>
      <w:pPr>
        <w:spacing w:line="360" w:lineRule="auto"/>
        <w:ind w:firstLine="565" w:firstLineChars="202"/>
        <w:rPr>
          <w:rFonts w:ascii="仿宋_GB2312" w:hAnsi="华文仿宋" w:eastAsia="仿宋_GB2312"/>
          <w:sz w:val="28"/>
          <w:highlight w:val="none"/>
        </w:rPr>
      </w:pPr>
      <w:r>
        <w:rPr>
          <w:rFonts w:ascii="仿宋_GB2312" w:hAnsi="华文仿宋" w:eastAsia="仿宋_GB2312"/>
          <w:sz w:val="28"/>
          <w:highlight w:val="none"/>
        </w:rPr>
        <w:t>如</w:t>
      </w:r>
      <w:r>
        <w:rPr>
          <w:rFonts w:hint="eastAsia" w:ascii="仿宋_GB2312" w:hAnsi="华文仿宋" w:eastAsia="仿宋_GB2312"/>
          <w:sz w:val="28"/>
          <w:highlight w:val="none"/>
        </w:rPr>
        <w:t>发生《股东协议》或《</w:t>
      </w:r>
      <w:r>
        <w:rPr>
          <w:rFonts w:ascii="仿宋_GB2312" w:hAnsi="华文仿宋" w:eastAsia="仿宋_GB2312"/>
          <w:sz w:val="28"/>
          <w:highlight w:val="none"/>
        </w:rPr>
        <w:t>PPP项目合同》提前终止的情况，</w:t>
      </w:r>
      <w:r>
        <w:rPr>
          <w:rFonts w:hint="eastAsia" w:ascii="仿宋_GB2312" w:hAnsi="华文仿宋" w:eastAsia="仿宋_GB2312"/>
          <w:sz w:val="28"/>
          <w:highlight w:val="none"/>
        </w:rPr>
        <w:t>股东</w:t>
      </w:r>
      <w:r>
        <w:rPr>
          <w:rFonts w:ascii="仿宋_GB2312" w:hAnsi="华文仿宋" w:eastAsia="仿宋_GB2312"/>
          <w:sz w:val="28"/>
          <w:highlight w:val="none"/>
        </w:rPr>
        <w:t>一方可书面通知</w:t>
      </w:r>
      <w:r>
        <w:rPr>
          <w:rFonts w:hint="eastAsia" w:ascii="仿宋_GB2312" w:hAnsi="华文仿宋" w:eastAsia="仿宋_GB2312"/>
          <w:sz w:val="28"/>
          <w:highlight w:val="none"/>
        </w:rPr>
        <w:t>其他股东</w:t>
      </w:r>
      <w:r>
        <w:rPr>
          <w:rFonts w:ascii="仿宋_GB2312" w:hAnsi="华文仿宋" w:eastAsia="仿宋_GB2312"/>
          <w:sz w:val="28"/>
          <w:highlight w:val="none"/>
        </w:rPr>
        <w:t>，要求解散</w:t>
      </w:r>
      <w:r>
        <w:rPr>
          <w:rFonts w:hint="eastAsia" w:ascii="仿宋_GB2312" w:hAnsi="华文仿宋" w:eastAsia="仿宋_GB2312"/>
          <w:sz w:val="28"/>
          <w:highlight w:val="none"/>
        </w:rPr>
        <w:t>项目公司，通知发出后三十（</w:t>
      </w:r>
      <w:r>
        <w:rPr>
          <w:rFonts w:ascii="仿宋_GB2312" w:hAnsi="华文仿宋" w:eastAsia="仿宋_GB2312"/>
          <w:sz w:val="28"/>
          <w:highlight w:val="none"/>
        </w:rPr>
        <w:t>30）日内，</w:t>
      </w:r>
      <w:r>
        <w:rPr>
          <w:rFonts w:hint="eastAsia" w:ascii="仿宋_GB2312" w:hAnsi="华文仿宋" w:eastAsia="仿宋_GB2312"/>
          <w:sz w:val="28"/>
          <w:highlight w:val="none"/>
        </w:rPr>
        <w:t>股东各方</w:t>
      </w:r>
      <w:r>
        <w:rPr>
          <w:rFonts w:ascii="仿宋_GB2312" w:hAnsi="华文仿宋" w:eastAsia="仿宋_GB2312"/>
          <w:sz w:val="28"/>
          <w:highlight w:val="none"/>
        </w:rPr>
        <w:t>应促使</w:t>
      </w:r>
      <w:r>
        <w:rPr>
          <w:rFonts w:hint="eastAsia" w:ascii="仿宋_GB2312" w:hAnsi="华文仿宋" w:eastAsia="仿宋_GB2312"/>
          <w:sz w:val="28"/>
          <w:highlight w:val="none"/>
        </w:rPr>
        <w:t>股东会作出</w:t>
      </w:r>
      <w:r>
        <w:rPr>
          <w:rFonts w:ascii="仿宋_GB2312" w:hAnsi="华文仿宋" w:eastAsia="仿宋_GB2312"/>
          <w:sz w:val="28"/>
          <w:highlight w:val="none"/>
        </w:rPr>
        <w:t>解散</w:t>
      </w:r>
      <w:r>
        <w:rPr>
          <w:rFonts w:hint="eastAsia" w:ascii="仿宋_GB2312" w:hAnsi="华文仿宋" w:eastAsia="仿宋_GB2312"/>
          <w:sz w:val="28"/>
          <w:highlight w:val="none"/>
        </w:rPr>
        <w:t>项目公司的决议，经审批机关批准后项目公司</w:t>
      </w:r>
      <w:r>
        <w:rPr>
          <w:rFonts w:ascii="仿宋_GB2312" w:hAnsi="华文仿宋" w:eastAsia="仿宋_GB2312"/>
          <w:sz w:val="28"/>
          <w:highlight w:val="none"/>
        </w:rPr>
        <w:t>解散</w:t>
      </w:r>
      <w:bookmarkEnd w:id="47"/>
      <w:r>
        <w:rPr>
          <w:rFonts w:hint="eastAsia" w:ascii="仿宋_GB2312" w:hAnsi="华文仿宋" w:eastAsia="仿宋_GB2312"/>
          <w:sz w:val="28"/>
          <w:highlight w:val="none"/>
        </w:rPr>
        <w:t>。</w:t>
      </w:r>
    </w:p>
    <w:p>
      <w:pPr>
        <w:numPr>
          <w:ilvl w:val="0"/>
          <w:numId w:val="3"/>
        </w:numPr>
        <w:spacing w:line="360" w:lineRule="auto"/>
        <w:ind w:left="0" w:firstLine="562" w:firstLineChars="200"/>
        <w:rPr>
          <w:rFonts w:ascii="仿宋_GB2312" w:hAnsi="华文仿宋" w:eastAsia="仿宋_GB2312"/>
          <w:bCs/>
          <w:kern w:val="0"/>
          <w:sz w:val="28"/>
          <w:szCs w:val="28"/>
          <w:highlight w:val="none"/>
        </w:rPr>
      </w:pPr>
      <w:bookmarkStart w:id="48" w:name="_Ref363562469"/>
      <w:r>
        <w:rPr>
          <w:rFonts w:ascii="仿宋_GB2312" w:hAnsi="华文仿宋" w:eastAsia="仿宋_GB2312"/>
          <w:b/>
          <w:bCs/>
          <w:kern w:val="0"/>
          <w:sz w:val="28"/>
          <w:szCs w:val="28"/>
          <w:highlight w:val="none"/>
        </w:rPr>
        <w:t xml:space="preserve"> </w:t>
      </w:r>
      <w:r>
        <w:rPr>
          <w:rFonts w:hint="eastAsia" w:ascii="仿宋_GB2312" w:hAnsi="华文仿宋" w:eastAsia="仿宋_GB2312"/>
          <w:bCs/>
          <w:kern w:val="0"/>
          <w:sz w:val="28"/>
          <w:szCs w:val="28"/>
          <w:highlight w:val="none"/>
        </w:rPr>
        <w:t>项目公司因不能清偿到期债务，被依法宣告破产的，由人民法院依照有关法律的规定进行破产清算</w:t>
      </w:r>
      <w:bookmarkEnd w:id="48"/>
      <w:r>
        <w:rPr>
          <w:rFonts w:hint="eastAsia" w:ascii="仿宋_GB2312" w:hAnsi="华文仿宋" w:eastAsia="仿宋_GB2312"/>
          <w:bCs/>
          <w:kern w:val="0"/>
          <w:sz w:val="28"/>
          <w:szCs w:val="28"/>
          <w:highlight w:val="none"/>
        </w:rPr>
        <w:t>。</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bookmarkStart w:id="49" w:name="_Ref363562476"/>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项目公司因违反适用法律被依法责令关闭或者公司全部或主要资产或权益被依法没收、征用或被收归国有的，由政府主管部门</w:t>
      </w:r>
      <w:r>
        <w:rPr>
          <w:rFonts w:ascii="仿宋_GB2312" w:hAnsi="华文仿宋" w:eastAsia="仿宋_GB2312"/>
          <w:bCs/>
          <w:kern w:val="0"/>
          <w:sz w:val="28"/>
          <w:szCs w:val="28"/>
          <w:highlight w:val="none"/>
        </w:rPr>
        <w:t>组织项目公司股东、有关政府部门及必要时请第三方参与成立清算委员会，进行清算</w:t>
      </w:r>
      <w:bookmarkEnd w:id="49"/>
      <w:r>
        <w:rPr>
          <w:rFonts w:hint="eastAsia" w:ascii="仿宋_GB2312" w:hAnsi="华文仿宋" w:eastAsia="仿宋_GB2312"/>
          <w:bCs/>
          <w:kern w:val="0"/>
          <w:sz w:val="28"/>
          <w:szCs w:val="28"/>
          <w:highlight w:val="none"/>
        </w:rPr>
        <w:t>。</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项目公司因除本第八十条、第八十一条之外的其它原因解散时，项目公司应依中国有关法律、法规之规定，由股东会在十五（</w:t>
      </w:r>
      <w:r>
        <w:rPr>
          <w:rFonts w:ascii="仿宋_GB2312" w:hAnsi="华文仿宋" w:eastAsia="仿宋_GB2312"/>
          <w:bCs/>
          <w:kern w:val="0"/>
          <w:sz w:val="28"/>
          <w:szCs w:val="28"/>
          <w:highlight w:val="none"/>
        </w:rPr>
        <w:t>15）日内组成清算委员会对项目公司进行清算。</w:t>
      </w:r>
      <w:r>
        <w:rPr>
          <w:rFonts w:hint="eastAsia" w:ascii="仿宋_GB2312" w:hAnsi="华文仿宋" w:eastAsia="仿宋_GB2312"/>
          <w:bCs/>
          <w:kern w:val="0"/>
          <w:sz w:val="28"/>
          <w:szCs w:val="28"/>
          <w:highlight w:val="none"/>
        </w:rPr>
        <w:t>股东各方在清算委员会中委派的人员与其在董事会中委派的人员人数相同，并应由股东会任命后生效，股东会可以决定聘请专业机构人员作为清算委员会顾问。</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清算委员会成立之日，即为清算开始之日（下称“清算开始日”）。</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清算委员会应按照适用法律开展工作。清算费用和清算委员会成员的酬劳应从项目公司剩余资产中优先支付。</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在清算开始日，如果按照《</w:t>
      </w:r>
      <w:r>
        <w:rPr>
          <w:rFonts w:ascii="仿宋_GB2312" w:hAnsi="华文仿宋" w:eastAsia="仿宋_GB2312"/>
          <w:bCs/>
          <w:kern w:val="0"/>
          <w:sz w:val="28"/>
          <w:szCs w:val="28"/>
          <w:highlight w:val="none"/>
        </w:rPr>
        <w:t>PPP项目合同</w:t>
      </w:r>
      <w:r>
        <w:rPr>
          <w:rFonts w:hint="eastAsia" w:ascii="仿宋_GB2312" w:hAnsi="华文仿宋" w:eastAsia="仿宋_GB2312"/>
          <w:bCs/>
          <w:kern w:val="0"/>
          <w:sz w:val="28"/>
          <w:szCs w:val="28"/>
          <w:highlight w:val="none"/>
        </w:rPr>
        <w:t>》的约定进行的项目设施移交手续尚未完成，则由清算委员会接管并代为履行公司在该等移交活动中的所有权利和义务，直至移交手续全部完成或清算期限届满之日（以较早者为准）为止。</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在清算开始日之后三十（</w:t>
      </w:r>
      <w:r>
        <w:rPr>
          <w:rFonts w:ascii="仿宋_GB2312" w:hAnsi="华文仿宋" w:eastAsia="仿宋_GB2312"/>
          <w:bCs/>
          <w:kern w:val="0"/>
          <w:sz w:val="28"/>
          <w:szCs w:val="28"/>
          <w:highlight w:val="none"/>
        </w:rPr>
        <w:t>30）日内</w:t>
      </w:r>
      <w:r>
        <w:rPr>
          <w:rFonts w:hint="eastAsia" w:ascii="仿宋_GB2312" w:hAnsi="华文仿宋" w:eastAsia="仿宋_GB2312"/>
          <w:bCs/>
          <w:kern w:val="0"/>
          <w:sz w:val="28"/>
          <w:szCs w:val="28"/>
          <w:highlight w:val="none"/>
        </w:rPr>
        <w:t>，清算委员会应当制定清算方案，并报项目公司股东会、实施机构及有关机构确认。</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清算委员会在与清算有关的一切法律事务方面有权代表公司行使并享有法律赋予的权利。对有关清算事项，清算委员会的成员每人拥有一（</w:t>
      </w:r>
      <w:r>
        <w:rPr>
          <w:rFonts w:ascii="仿宋_GB2312" w:hAnsi="华文仿宋" w:eastAsia="仿宋_GB2312"/>
          <w:bCs/>
          <w:kern w:val="0"/>
          <w:sz w:val="28"/>
          <w:szCs w:val="28"/>
          <w:highlight w:val="none"/>
        </w:rPr>
        <w:t>1）票表决权。</w:t>
      </w:r>
      <w:r>
        <w:rPr>
          <w:rFonts w:hint="eastAsia" w:ascii="仿宋_GB2312" w:hAnsi="华文仿宋" w:eastAsia="仿宋_GB2312"/>
          <w:bCs/>
          <w:kern w:val="0"/>
          <w:sz w:val="28"/>
          <w:szCs w:val="28"/>
          <w:highlight w:val="none"/>
        </w:rPr>
        <w:t>清算委员会表决待决事项时须经三分之二以上多数通过。清算委员会的任何成员在未获得清算委员会的明确授权的情况下无权采取任何对清算委员会或公司有约束力的行动。</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清算委员会完成清算工作后，应当制作清算终结报告。清算终结报告应当包括以下内容：</w:t>
      </w:r>
    </w:p>
    <w:p>
      <w:pPr>
        <w:spacing w:line="360" w:lineRule="auto"/>
        <w:ind w:firstLine="565" w:firstLineChars="202"/>
        <w:rPr>
          <w:rFonts w:ascii="仿宋_GB2312" w:hAnsi="华文仿宋" w:eastAsia="仿宋_GB2312"/>
          <w:sz w:val="28"/>
          <w:highlight w:val="none"/>
        </w:rPr>
      </w:pPr>
      <w:r>
        <w:rPr>
          <w:rFonts w:hint="eastAsia" w:ascii="仿宋_GB2312" w:hAnsi="华文仿宋" w:eastAsia="仿宋_GB2312"/>
          <w:sz w:val="28"/>
          <w:highlight w:val="none"/>
        </w:rPr>
        <w:t>（</w:t>
      </w:r>
      <w:r>
        <w:rPr>
          <w:rFonts w:ascii="仿宋_GB2312" w:hAnsi="华文仿宋" w:eastAsia="仿宋_GB2312"/>
          <w:sz w:val="28"/>
          <w:highlight w:val="none"/>
        </w:rPr>
        <w:t>1）</w:t>
      </w:r>
      <w:r>
        <w:rPr>
          <w:rFonts w:hint="eastAsia" w:ascii="仿宋_GB2312" w:hAnsi="华文仿宋" w:eastAsia="仿宋_GB2312"/>
          <w:sz w:val="28"/>
          <w:highlight w:val="none"/>
        </w:rPr>
        <w:t>清算的原因、期限、过程；</w:t>
      </w:r>
    </w:p>
    <w:p>
      <w:pPr>
        <w:spacing w:line="360" w:lineRule="auto"/>
        <w:ind w:firstLine="565" w:firstLineChars="202"/>
        <w:rPr>
          <w:rFonts w:ascii="仿宋_GB2312" w:hAnsi="华文仿宋" w:eastAsia="仿宋_GB2312"/>
          <w:sz w:val="28"/>
          <w:highlight w:val="none"/>
        </w:rPr>
      </w:pPr>
      <w:r>
        <w:rPr>
          <w:rFonts w:hint="eastAsia" w:ascii="仿宋_GB2312" w:hAnsi="华文仿宋" w:eastAsia="仿宋_GB2312"/>
          <w:sz w:val="28"/>
          <w:highlight w:val="none"/>
        </w:rPr>
        <w:t>（</w:t>
      </w:r>
      <w:r>
        <w:rPr>
          <w:rFonts w:ascii="仿宋_GB2312" w:hAnsi="华文仿宋" w:eastAsia="仿宋_GB2312"/>
          <w:sz w:val="28"/>
          <w:highlight w:val="none"/>
        </w:rPr>
        <w:t>2）</w:t>
      </w:r>
      <w:r>
        <w:rPr>
          <w:rFonts w:hint="eastAsia" w:ascii="仿宋_GB2312" w:hAnsi="华文仿宋" w:eastAsia="仿宋_GB2312"/>
          <w:sz w:val="28"/>
          <w:highlight w:val="none"/>
        </w:rPr>
        <w:t>债权债务的处理情况；</w:t>
      </w:r>
    </w:p>
    <w:p>
      <w:pPr>
        <w:spacing w:line="360" w:lineRule="auto"/>
        <w:ind w:firstLine="565" w:firstLineChars="202"/>
        <w:rPr>
          <w:rFonts w:ascii="仿宋_GB2312" w:hAnsi="华文仿宋" w:eastAsia="仿宋_GB2312"/>
          <w:sz w:val="28"/>
          <w:highlight w:val="none"/>
        </w:rPr>
      </w:pPr>
      <w:r>
        <w:rPr>
          <w:rFonts w:hint="eastAsia" w:ascii="仿宋_GB2312" w:hAnsi="华文仿宋" w:eastAsia="仿宋_GB2312"/>
          <w:sz w:val="28"/>
          <w:highlight w:val="none"/>
        </w:rPr>
        <w:t>（</w:t>
      </w:r>
      <w:r>
        <w:rPr>
          <w:rFonts w:ascii="仿宋_GB2312" w:hAnsi="华文仿宋" w:eastAsia="仿宋_GB2312"/>
          <w:sz w:val="28"/>
          <w:highlight w:val="none"/>
        </w:rPr>
        <w:t>3）</w:t>
      </w:r>
      <w:r>
        <w:rPr>
          <w:rFonts w:hint="eastAsia" w:ascii="仿宋_GB2312" w:hAnsi="华文仿宋" w:eastAsia="仿宋_GB2312"/>
          <w:sz w:val="28"/>
          <w:highlight w:val="none"/>
        </w:rPr>
        <w:t>清算资产的处理结果。</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清算终结报告应报经股东会批准后，报审批机关备案。自清算终结报告提交原审批机构后，股东会应根据有关中国法律的规定尽快向有关政府部门办理项目公司注销登记。</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清算结束后，项目公司如有《</w:t>
      </w:r>
      <w:r>
        <w:rPr>
          <w:rFonts w:ascii="仿宋_GB2312" w:hAnsi="华文仿宋" w:eastAsia="仿宋_GB2312"/>
          <w:bCs/>
          <w:kern w:val="0"/>
          <w:sz w:val="28"/>
          <w:szCs w:val="28"/>
          <w:highlight w:val="none"/>
        </w:rPr>
        <w:t>PPP项目合同</w:t>
      </w:r>
      <w:r>
        <w:rPr>
          <w:rFonts w:hint="eastAsia" w:ascii="仿宋_GB2312" w:hAnsi="华文仿宋" w:eastAsia="仿宋_GB2312"/>
          <w:bCs/>
          <w:kern w:val="0"/>
          <w:sz w:val="28"/>
          <w:szCs w:val="28"/>
          <w:highlight w:val="none"/>
        </w:rPr>
        <w:t>》约定的移交范围以外的剩余资产（包括《</w:t>
      </w:r>
      <w:r>
        <w:rPr>
          <w:rFonts w:ascii="仿宋_GB2312" w:hAnsi="华文仿宋" w:eastAsia="仿宋_GB2312"/>
          <w:bCs/>
          <w:kern w:val="0"/>
          <w:sz w:val="28"/>
          <w:szCs w:val="28"/>
          <w:highlight w:val="none"/>
        </w:rPr>
        <w:t>PPP项目合同</w:t>
      </w:r>
      <w:r>
        <w:rPr>
          <w:rFonts w:hint="eastAsia" w:ascii="仿宋_GB2312" w:hAnsi="华文仿宋" w:eastAsia="仿宋_GB2312"/>
          <w:bCs/>
          <w:kern w:val="0"/>
          <w:sz w:val="28"/>
          <w:szCs w:val="28"/>
          <w:highlight w:val="none"/>
        </w:rPr>
        <w:t>》项下所约定的提前解散补偿金额）的，应按股东届时的出资比例分配。</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若项目公司合资期满时，双方有任何未解决的争议，则任何一方均可将该争议根据本章程第九十五条的约定将争议提交诉讼。</w:t>
      </w:r>
    </w:p>
    <w:p>
      <w:pPr>
        <w:pStyle w:val="62"/>
        <w:adjustRightInd w:val="0"/>
        <w:snapToGrid w:val="0"/>
        <w:spacing w:before="120" w:beforeLines="50" w:after="120" w:afterLines="50" w:line="360" w:lineRule="auto"/>
        <w:ind w:left="420" w:firstLine="0" w:firstLineChars="0"/>
        <w:jc w:val="center"/>
        <w:outlineLvl w:val="0"/>
        <w:rPr>
          <w:rFonts w:ascii="仿宋_GB2312" w:hAnsi="华文仿宋" w:eastAsia="仿宋_GB2312"/>
          <w:b/>
          <w:sz w:val="32"/>
          <w:szCs w:val="32"/>
          <w:highlight w:val="none"/>
        </w:rPr>
      </w:pPr>
      <w:bookmarkStart w:id="50" w:name="_Toc438125226"/>
      <w:r>
        <w:rPr>
          <w:rFonts w:hint="eastAsia" w:ascii="仿宋_GB2312" w:hAnsi="华文仿宋" w:eastAsia="仿宋_GB2312"/>
          <w:b/>
          <w:sz w:val="32"/>
          <w:szCs w:val="32"/>
          <w:highlight w:val="none"/>
        </w:rPr>
        <w:t>第十二章</w:t>
      </w:r>
      <w:r>
        <w:rPr>
          <w:rFonts w:ascii="仿宋_GB2312" w:hAnsi="华文仿宋" w:eastAsia="仿宋_GB2312"/>
          <w:b/>
          <w:sz w:val="32"/>
          <w:szCs w:val="32"/>
          <w:highlight w:val="none"/>
        </w:rPr>
        <w:t xml:space="preserve"> </w:t>
      </w:r>
      <w:r>
        <w:rPr>
          <w:rFonts w:hint="eastAsia" w:ascii="仿宋_GB2312" w:hAnsi="华文仿宋" w:eastAsia="仿宋_GB2312"/>
          <w:b/>
          <w:sz w:val="32"/>
          <w:szCs w:val="32"/>
          <w:highlight w:val="none"/>
        </w:rPr>
        <w:t>保密</w:t>
      </w:r>
      <w:bookmarkEnd w:id="50"/>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任何一方股东对因本章程的签订和履行而自其他股东方获取的商业秘密负有保密义务。上述保密义务同样适用于该方的代表人、代理人、雇员、外部顾问和一切自该方获取商业秘密的单位和个人。</w:t>
      </w:r>
    </w:p>
    <w:p>
      <w:pPr>
        <w:pStyle w:val="62"/>
        <w:adjustRightInd w:val="0"/>
        <w:snapToGrid w:val="0"/>
        <w:spacing w:before="120" w:beforeLines="50" w:after="120" w:afterLines="50" w:line="360" w:lineRule="auto"/>
        <w:ind w:left="420" w:firstLine="0" w:firstLineChars="0"/>
        <w:jc w:val="center"/>
        <w:outlineLvl w:val="0"/>
        <w:rPr>
          <w:rFonts w:ascii="仿宋_GB2312" w:hAnsi="华文仿宋" w:eastAsia="仿宋_GB2312"/>
          <w:b/>
          <w:sz w:val="32"/>
          <w:szCs w:val="32"/>
          <w:highlight w:val="none"/>
        </w:rPr>
      </w:pPr>
      <w:bookmarkStart w:id="51" w:name="_Toc438125227"/>
      <w:r>
        <w:rPr>
          <w:rFonts w:hint="eastAsia" w:ascii="仿宋_GB2312" w:hAnsi="华文仿宋" w:eastAsia="仿宋_GB2312"/>
          <w:b/>
          <w:sz w:val="32"/>
          <w:szCs w:val="32"/>
          <w:highlight w:val="none"/>
        </w:rPr>
        <w:t>第十四章</w:t>
      </w:r>
      <w:r>
        <w:rPr>
          <w:rFonts w:ascii="仿宋_GB2312" w:hAnsi="华文仿宋" w:eastAsia="仿宋_GB2312"/>
          <w:b/>
          <w:sz w:val="32"/>
          <w:szCs w:val="32"/>
          <w:highlight w:val="none"/>
        </w:rPr>
        <w:t xml:space="preserve"> </w:t>
      </w:r>
      <w:r>
        <w:rPr>
          <w:rFonts w:hint="eastAsia" w:ascii="仿宋_GB2312" w:hAnsi="华文仿宋" w:eastAsia="仿宋_GB2312"/>
          <w:b/>
          <w:sz w:val="32"/>
          <w:szCs w:val="32"/>
          <w:highlight w:val="none"/>
        </w:rPr>
        <w:t>争议解决</w:t>
      </w:r>
      <w:bookmarkEnd w:id="51"/>
    </w:p>
    <w:p>
      <w:pPr>
        <w:numPr>
          <w:ilvl w:val="0"/>
          <w:numId w:val="3"/>
        </w:numPr>
        <w:spacing w:line="360" w:lineRule="auto"/>
        <w:ind w:left="0" w:firstLine="560" w:firstLineChars="200"/>
        <w:rPr>
          <w:rFonts w:ascii="仿宋_GB2312" w:hAnsi="华文仿宋" w:eastAsia="仿宋_GB2312"/>
          <w:bCs/>
          <w:kern w:val="0"/>
          <w:sz w:val="28"/>
          <w:szCs w:val="28"/>
          <w:highlight w:val="none"/>
        </w:rPr>
      </w:pPr>
      <w:bookmarkStart w:id="52" w:name="_Ref425709878"/>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协商解决</w:t>
      </w:r>
      <w:bookmarkEnd w:id="52"/>
    </w:p>
    <w:p>
      <w:pPr>
        <w:adjustRightInd w:val="0"/>
        <w:snapToGrid w:val="0"/>
        <w:spacing w:before="24" w:beforeLines="10" w:after="24" w:afterLines="10" w:line="360" w:lineRule="auto"/>
        <w:ind w:firstLine="560" w:firstLineChars="200"/>
        <w:rPr>
          <w:rFonts w:ascii="仿宋_GB2312" w:hAnsi="华文仿宋" w:eastAsia="仿宋_GB2312"/>
          <w:sz w:val="28"/>
          <w:szCs w:val="28"/>
          <w:highlight w:val="none"/>
        </w:rPr>
      </w:pPr>
      <w:r>
        <w:rPr>
          <w:rFonts w:ascii="仿宋_GB2312" w:hAnsi="华文仿宋" w:eastAsia="仿宋_GB2312"/>
          <w:sz w:val="28"/>
          <w:szCs w:val="28"/>
          <w:highlight w:val="none"/>
        </w:rPr>
        <w:t>因本章程的签订、履行所发生的或与本章程有关的一切争议，</w:t>
      </w:r>
      <w:r>
        <w:rPr>
          <w:rFonts w:hint="eastAsia" w:ascii="仿宋_GB2312" w:hAnsi="华文仿宋" w:eastAsia="仿宋_GB2312"/>
          <w:sz w:val="28"/>
          <w:szCs w:val="28"/>
          <w:highlight w:val="none"/>
        </w:rPr>
        <w:t>各方可以共同聘请专家或第三方机构进行调解。</w:t>
      </w:r>
      <w:r>
        <w:rPr>
          <w:rFonts w:ascii="仿宋_GB2312" w:hAnsi="华文仿宋" w:eastAsia="仿宋_GB2312"/>
          <w:sz w:val="28"/>
          <w:szCs w:val="28"/>
          <w:highlight w:val="none"/>
        </w:rPr>
        <w:t>若在争议</w:t>
      </w:r>
      <w:r>
        <w:rPr>
          <w:rFonts w:hint="eastAsia" w:ascii="仿宋_GB2312" w:hAnsi="华文仿宋" w:eastAsia="仿宋_GB2312"/>
          <w:sz w:val="28"/>
          <w:szCs w:val="28"/>
          <w:highlight w:val="none"/>
        </w:rPr>
        <w:t>发生六十（</w:t>
      </w:r>
      <w:r>
        <w:rPr>
          <w:rFonts w:ascii="仿宋_GB2312" w:hAnsi="华文仿宋" w:eastAsia="仿宋_GB2312"/>
          <w:sz w:val="28"/>
          <w:szCs w:val="28"/>
          <w:highlight w:val="none"/>
        </w:rPr>
        <w:t>60）日内仍未能得到解决，则应适用第</w:t>
      </w:r>
      <w:r>
        <w:rPr>
          <w:rFonts w:hint="eastAsia" w:ascii="仿宋_GB2312" w:hAnsi="华文仿宋" w:eastAsia="仿宋_GB2312"/>
          <w:sz w:val="28"/>
          <w:szCs w:val="28"/>
          <w:highlight w:val="none"/>
        </w:rPr>
        <w:t>九十四款的规定。</w:t>
      </w:r>
      <w:bookmarkStart w:id="53" w:name="_Ref425709851"/>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bCs/>
          <w:kern w:val="0"/>
          <w:sz w:val="28"/>
          <w:szCs w:val="28"/>
          <w:highlight w:val="none"/>
        </w:rPr>
        <w:t xml:space="preserve"> </w:t>
      </w:r>
      <w:r>
        <w:rPr>
          <w:rFonts w:hint="eastAsia" w:ascii="仿宋_GB2312" w:hAnsi="华文仿宋" w:eastAsia="仿宋_GB2312"/>
          <w:bCs/>
          <w:kern w:val="0"/>
          <w:sz w:val="28"/>
          <w:szCs w:val="28"/>
          <w:highlight w:val="none"/>
        </w:rPr>
        <w:t>诉讼</w:t>
      </w:r>
      <w:bookmarkEnd w:id="53"/>
    </w:p>
    <w:p>
      <w:pPr>
        <w:adjustRightInd w:val="0"/>
        <w:snapToGrid w:val="0"/>
        <w:spacing w:before="24" w:beforeLines="10" w:after="24" w:afterLines="1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若股东各方不能按照第九十四条的规定解决争议，则任何一方均有权向甲方所在地法院提起诉讼解决。</w:t>
      </w:r>
    </w:p>
    <w:p>
      <w:pPr>
        <w:adjustRightInd w:val="0"/>
        <w:snapToGrid w:val="0"/>
        <w:spacing w:before="24" w:beforeLines="10" w:after="24" w:afterLines="10" w:line="360" w:lineRule="auto"/>
        <w:ind w:firstLine="560" w:firstLineChars="200"/>
        <w:rPr>
          <w:rFonts w:ascii="仿宋_GB2312" w:hAnsi="华文仿宋" w:eastAsia="仿宋_GB2312"/>
          <w:b/>
          <w:kern w:val="0"/>
          <w:sz w:val="28"/>
          <w:szCs w:val="28"/>
          <w:highlight w:val="none"/>
        </w:rPr>
      </w:pPr>
      <w:r>
        <w:rPr>
          <w:rFonts w:hint="eastAsia" w:ascii="仿宋_GB2312" w:hAnsi="华文仿宋" w:eastAsia="仿宋_GB2312"/>
          <w:sz w:val="28"/>
          <w:szCs w:val="28"/>
          <w:highlight w:val="none"/>
        </w:rPr>
        <w:t>诉讼期间，除本章程中有争议正在进行诉讼的内容</w:t>
      </w:r>
      <w:r>
        <w:rPr>
          <w:rFonts w:ascii="仿宋_GB2312" w:hAnsi="华文仿宋" w:eastAsia="仿宋_GB2312"/>
          <w:sz w:val="28"/>
          <w:szCs w:val="28"/>
          <w:highlight w:val="none"/>
        </w:rPr>
        <w:t>外，</w:t>
      </w:r>
      <w:r>
        <w:rPr>
          <w:rFonts w:hint="eastAsia" w:ascii="仿宋_GB2312" w:hAnsi="华文仿宋" w:eastAsia="仿宋_GB2312"/>
          <w:sz w:val="28"/>
          <w:szCs w:val="28"/>
          <w:highlight w:val="none"/>
        </w:rPr>
        <w:t>股东各方</w:t>
      </w:r>
      <w:r>
        <w:rPr>
          <w:rFonts w:ascii="仿宋_GB2312" w:hAnsi="华文仿宋" w:eastAsia="仿宋_GB2312"/>
          <w:sz w:val="28"/>
          <w:szCs w:val="28"/>
          <w:highlight w:val="none"/>
        </w:rPr>
        <w:t>应继续履行本章程的其它各项条款</w:t>
      </w:r>
      <w:r>
        <w:rPr>
          <w:rFonts w:hint="eastAsia" w:ascii="仿宋_GB2312" w:hAnsi="华文仿宋" w:eastAsia="仿宋_GB2312"/>
          <w:sz w:val="28"/>
          <w:szCs w:val="28"/>
          <w:highlight w:val="none"/>
        </w:rPr>
        <w:t>，且应尽力促使项目公司履行</w:t>
      </w:r>
      <w:r>
        <w:rPr>
          <w:rFonts w:hint="eastAsia" w:ascii="仿宋_GB2312" w:hAnsi="华文仿宋" w:eastAsia="仿宋_GB2312"/>
          <w:bCs/>
          <w:kern w:val="0"/>
          <w:sz w:val="28"/>
          <w:szCs w:val="28"/>
          <w:highlight w:val="none"/>
        </w:rPr>
        <w:t>《</w:t>
      </w:r>
      <w:r>
        <w:rPr>
          <w:rFonts w:ascii="仿宋_GB2312" w:hAnsi="华文仿宋" w:eastAsia="仿宋_GB2312"/>
          <w:bCs/>
          <w:sz w:val="28"/>
          <w:szCs w:val="28"/>
          <w:highlight w:val="none"/>
        </w:rPr>
        <w:t>PPP项目合同</w:t>
      </w:r>
      <w:r>
        <w:rPr>
          <w:rFonts w:hint="eastAsia" w:ascii="仿宋_GB2312" w:hAnsi="华文仿宋" w:eastAsia="仿宋_GB2312"/>
          <w:bCs/>
          <w:kern w:val="0"/>
          <w:sz w:val="28"/>
          <w:szCs w:val="28"/>
          <w:highlight w:val="none"/>
        </w:rPr>
        <w:t>》</w:t>
      </w:r>
      <w:r>
        <w:rPr>
          <w:rFonts w:hint="eastAsia" w:ascii="仿宋_GB2312" w:hAnsi="华文仿宋" w:eastAsia="仿宋_GB2312"/>
          <w:sz w:val="28"/>
          <w:szCs w:val="28"/>
          <w:highlight w:val="none"/>
        </w:rPr>
        <w:t>约定</w:t>
      </w:r>
      <w:r>
        <w:rPr>
          <w:rFonts w:ascii="仿宋_GB2312" w:hAnsi="华文仿宋" w:eastAsia="仿宋_GB2312"/>
          <w:sz w:val="28"/>
          <w:szCs w:val="28"/>
          <w:highlight w:val="none"/>
        </w:rPr>
        <w:t>。</w:t>
      </w:r>
    </w:p>
    <w:p>
      <w:pPr>
        <w:numPr>
          <w:ilvl w:val="0"/>
          <w:numId w:val="3"/>
        </w:numPr>
        <w:spacing w:line="360" w:lineRule="auto"/>
        <w:ind w:left="0" w:firstLine="562" w:firstLineChars="200"/>
        <w:rPr>
          <w:rFonts w:ascii="仿宋_GB2312" w:hAnsi="华文仿宋" w:eastAsia="仿宋_GB2312"/>
          <w:bCs/>
          <w:kern w:val="0"/>
          <w:sz w:val="28"/>
          <w:szCs w:val="28"/>
          <w:highlight w:val="none"/>
        </w:rPr>
      </w:pPr>
      <w:r>
        <w:rPr>
          <w:rFonts w:ascii="仿宋_GB2312" w:hAnsi="华文仿宋" w:eastAsia="仿宋_GB2312"/>
          <w:b/>
          <w:bCs/>
          <w:kern w:val="44"/>
          <w:sz w:val="28"/>
          <w:szCs w:val="28"/>
          <w:highlight w:val="none"/>
        </w:rPr>
        <w:t xml:space="preserve">  </w:t>
      </w:r>
      <w:r>
        <w:rPr>
          <w:rFonts w:ascii="仿宋_GB2312" w:hAnsi="华文仿宋" w:eastAsia="仿宋_GB2312"/>
          <w:bCs/>
          <w:kern w:val="0"/>
          <w:sz w:val="28"/>
          <w:szCs w:val="28"/>
          <w:highlight w:val="none"/>
        </w:rPr>
        <w:t>本章程之效力、解释和执行以及争议解决均适用中国法律。</w:t>
      </w:r>
    </w:p>
    <w:p>
      <w:pPr>
        <w:pStyle w:val="62"/>
        <w:adjustRightInd w:val="0"/>
        <w:snapToGrid w:val="0"/>
        <w:spacing w:before="100" w:beforeAutospacing="1" w:after="100" w:afterAutospacing="1" w:line="360" w:lineRule="auto"/>
        <w:ind w:left="420" w:firstLine="0" w:firstLineChars="0"/>
        <w:jc w:val="center"/>
        <w:outlineLvl w:val="0"/>
        <w:rPr>
          <w:rFonts w:ascii="仿宋_GB2312" w:hAnsi="华文仿宋" w:eastAsia="仿宋_GB2312"/>
          <w:b/>
          <w:sz w:val="32"/>
          <w:szCs w:val="32"/>
          <w:highlight w:val="none"/>
        </w:rPr>
      </w:pPr>
      <w:bookmarkStart w:id="54" w:name="_Toc438125228"/>
      <w:bookmarkStart w:id="55" w:name="_Toc425689129"/>
      <w:r>
        <w:rPr>
          <w:rFonts w:hint="eastAsia" w:ascii="仿宋_GB2312" w:hAnsi="华文仿宋" w:eastAsia="仿宋_GB2312"/>
          <w:b/>
          <w:sz w:val="32"/>
          <w:szCs w:val="32"/>
          <w:highlight w:val="none"/>
        </w:rPr>
        <w:t>第十五章</w:t>
      </w:r>
      <w:r>
        <w:rPr>
          <w:rFonts w:ascii="仿宋_GB2312" w:hAnsi="华文仿宋" w:eastAsia="仿宋_GB2312"/>
          <w:b/>
          <w:sz w:val="32"/>
          <w:szCs w:val="32"/>
          <w:highlight w:val="none"/>
        </w:rPr>
        <w:t xml:space="preserve"> </w:t>
      </w:r>
      <w:r>
        <w:rPr>
          <w:rFonts w:hint="eastAsia" w:ascii="仿宋_GB2312" w:hAnsi="华文仿宋" w:eastAsia="仿宋_GB2312"/>
          <w:b/>
          <w:sz w:val="32"/>
          <w:szCs w:val="32"/>
          <w:highlight w:val="none"/>
        </w:rPr>
        <w:t>通知</w:t>
      </w:r>
      <w:bookmarkEnd w:id="54"/>
    </w:p>
    <w:bookmarkEnd w:id="55"/>
    <w:p>
      <w:pPr>
        <w:numPr>
          <w:ilvl w:val="0"/>
          <w:numId w:val="3"/>
        </w:numPr>
        <w:spacing w:line="360" w:lineRule="auto"/>
        <w:ind w:left="0" w:firstLine="562" w:firstLineChars="200"/>
        <w:rPr>
          <w:rFonts w:ascii="仿宋_GB2312" w:hAnsi="华文仿宋" w:eastAsia="仿宋_GB2312"/>
          <w:b/>
          <w:bCs/>
          <w:kern w:val="44"/>
          <w:sz w:val="28"/>
          <w:szCs w:val="28"/>
          <w:highlight w:val="none"/>
        </w:rPr>
      </w:pPr>
      <w:r>
        <w:rPr>
          <w:rFonts w:ascii="仿宋_GB2312" w:hAnsi="华文仿宋" w:eastAsia="仿宋_GB2312"/>
          <w:b/>
          <w:bCs/>
          <w:kern w:val="44"/>
          <w:sz w:val="28"/>
          <w:szCs w:val="28"/>
          <w:highlight w:val="none"/>
        </w:rPr>
        <w:t xml:space="preserve"> </w:t>
      </w:r>
      <w:r>
        <w:rPr>
          <w:rFonts w:hint="eastAsia" w:ascii="仿宋_GB2312" w:hAnsi="华文仿宋" w:eastAsia="仿宋_GB2312"/>
          <w:b/>
          <w:bCs/>
          <w:kern w:val="44"/>
          <w:sz w:val="28"/>
          <w:szCs w:val="28"/>
          <w:highlight w:val="none"/>
        </w:rPr>
        <w:t>地址</w:t>
      </w:r>
    </w:p>
    <w:p>
      <w:pPr>
        <w:adjustRightInd w:val="0"/>
        <w:snapToGrid w:val="0"/>
        <w:spacing w:before="120" w:beforeLines="50" w:after="120" w:afterLines="5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本章程项下的通知、同意或其他通讯联系必须以中文书写，并通过专人递交、公认的国际快递、挂号或传真按下述地址，或各方通知的其他地址或传真号码。</w:t>
      </w:r>
    </w:p>
    <w:p>
      <w:pPr>
        <w:adjustRightInd w:val="0"/>
        <w:snapToGrid w:val="0"/>
        <w:spacing w:before="120" w:after="12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宿迁交通产业集团有限公司</w:t>
      </w:r>
    </w:p>
    <w:p>
      <w:pPr>
        <w:adjustRightInd w:val="0"/>
        <w:snapToGrid w:val="0"/>
        <w:spacing w:before="120" w:after="120" w:line="360" w:lineRule="auto"/>
        <w:ind w:firstLine="560" w:firstLineChars="200"/>
        <w:rPr>
          <w:rFonts w:ascii="仿宋_GB2312" w:hAnsi="华文仿宋" w:eastAsia="仿宋_GB2312" w:cs="宋体"/>
          <w:sz w:val="28"/>
          <w:szCs w:val="28"/>
          <w:highlight w:val="none"/>
        </w:rPr>
      </w:pPr>
      <w:r>
        <w:rPr>
          <w:rFonts w:hint="eastAsia" w:ascii="仿宋_GB2312" w:hAnsi="华文仿宋" w:eastAsia="仿宋_GB2312" w:cs="宋体"/>
          <w:sz w:val="28"/>
          <w:szCs w:val="28"/>
          <w:highlight w:val="none"/>
        </w:rPr>
        <w:t>地址：</w:t>
      </w:r>
    </w:p>
    <w:p>
      <w:pPr>
        <w:adjustRightInd w:val="0"/>
        <w:snapToGrid w:val="0"/>
        <w:spacing w:before="120" w:after="12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收件人：</w:t>
      </w:r>
    </w:p>
    <w:p>
      <w:pPr>
        <w:adjustRightInd w:val="0"/>
        <w:snapToGrid w:val="0"/>
        <w:spacing w:before="120" w:after="12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电话：</w:t>
      </w:r>
    </w:p>
    <w:p>
      <w:pPr>
        <w:adjustRightInd w:val="0"/>
        <w:snapToGrid w:val="0"/>
        <w:spacing w:before="120" w:after="12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传真：</w:t>
      </w:r>
    </w:p>
    <w:p>
      <w:pPr>
        <w:adjustRightInd w:val="0"/>
        <w:snapToGrid w:val="0"/>
        <w:spacing w:before="120" w:after="120" w:line="360" w:lineRule="auto"/>
        <w:ind w:firstLine="560" w:firstLineChars="200"/>
        <w:rPr>
          <w:rFonts w:ascii="仿宋_GB2312" w:hAnsi="华文仿宋" w:eastAsia="仿宋_GB2312"/>
          <w:sz w:val="28"/>
          <w:szCs w:val="28"/>
          <w:highlight w:val="none"/>
        </w:rPr>
      </w:pPr>
    </w:p>
    <w:p>
      <w:pPr>
        <w:adjustRightInd w:val="0"/>
        <w:snapToGrid w:val="0"/>
        <w:spacing w:before="120" w:after="12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中标社会资本名称：</w:t>
      </w:r>
    </w:p>
    <w:p>
      <w:pPr>
        <w:adjustRightInd w:val="0"/>
        <w:snapToGrid w:val="0"/>
        <w:spacing w:before="120" w:after="120" w:line="360" w:lineRule="auto"/>
        <w:ind w:firstLine="560" w:firstLineChars="200"/>
        <w:rPr>
          <w:rFonts w:ascii="仿宋_GB2312" w:hAnsi="华文仿宋" w:eastAsia="仿宋_GB2312" w:cs="宋体"/>
          <w:sz w:val="28"/>
          <w:szCs w:val="28"/>
          <w:highlight w:val="none"/>
        </w:rPr>
      </w:pPr>
      <w:r>
        <w:rPr>
          <w:rFonts w:hint="eastAsia" w:ascii="仿宋_GB2312" w:hAnsi="华文仿宋" w:eastAsia="仿宋_GB2312" w:cs="宋体"/>
          <w:sz w:val="28"/>
          <w:szCs w:val="28"/>
          <w:highlight w:val="none"/>
        </w:rPr>
        <w:t>地址：</w:t>
      </w:r>
    </w:p>
    <w:p>
      <w:pPr>
        <w:adjustRightInd w:val="0"/>
        <w:snapToGrid w:val="0"/>
        <w:spacing w:before="120" w:after="12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收件人：</w:t>
      </w:r>
    </w:p>
    <w:p>
      <w:pPr>
        <w:adjustRightInd w:val="0"/>
        <w:snapToGrid w:val="0"/>
        <w:spacing w:before="120" w:after="12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电话：</w:t>
      </w:r>
    </w:p>
    <w:p>
      <w:pPr>
        <w:adjustRightInd w:val="0"/>
        <w:snapToGrid w:val="0"/>
        <w:spacing w:before="120" w:after="120"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传真：</w:t>
      </w:r>
    </w:p>
    <w:p>
      <w:pPr>
        <w:numPr>
          <w:ilvl w:val="0"/>
          <w:numId w:val="3"/>
        </w:numPr>
        <w:spacing w:line="360" w:lineRule="auto"/>
        <w:ind w:left="0" w:firstLine="562" w:firstLineChars="200"/>
        <w:rPr>
          <w:rFonts w:ascii="仿宋_GB2312" w:hAnsi="华文仿宋" w:eastAsia="仿宋_GB2312"/>
          <w:kern w:val="44"/>
          <w:sz w:val="28"/>
          <w:szCs w:val="28"/>
          <w:highlight w:val="none"/>
        </w:rPr>
      </w:pPr>
      <w:r>
        <w:rPr>
          <w:rFonts w:ascii="仿宋_GB2312" w:hAnsi="华文仿宋" w:eastAsia="仿宋_GB2312"/>
          <w:b/>
          <w:bCs/>
          <w:kern w:val="44"/>
          <w:sz w:val="28"/>
          <w:szCs w:val="28"/>
          <w:highlight w:val="none"/>
        </w:rPr>
        <w:t xml:space="preserve"> </w:t>
      </w:r>
      <w:r>
        <w:rPr>
          <w:rFonts w:hint="eastAsia" w:ascii="仿宋_GB2312" w:hAnsi="华文仿宋" w:eastAsia="仿宋_GB2312"/>
          <w:kern w:val="44"/>
          <w:sz w:val="28"/>
          <w:szCs w:val="28"/>
          <w:highlight w:val="none"/>
        </w:rPr>
        <w:t>根据本章程向任何一方发出的所有通知或其他通信，应在递交时</w:t>
      </w:r>
      <w:r>
        <w:rPr>
          <w:rFonts w:ascii="仿宋_GB2312" w:hAnsi="华文仿宋" w:eastAsia="仿宋_GB2312"/>
          <w:kern w:val="44"/>
          <w:sz w:val="28"/>
          <w:szCs w:val="28"/>
          <w:highlight w:val="none"/>
        </w:rPr>
        <w:t xml:space="preserve"> （</w:t>
      </w:r>
      <w:r>
        <w:rPr>
          <w:rFonts w:hint="eastAsia" w:ascii="仿宋_GB2312" w:hAnsi="华文仿宋" w:eastAsia="仿宋_GB2312"/>
          <w:kern w:val="44"/>
          <w:sz w:val="28"/>
          <w:szCs w:val="28"/>
          <w:highlight w:val="none"/>
        </w:rPr>
        <w:t>如果是由专人递交或邮寄的）或在收到时（如果是传真发出的）视为正式送达或作出。在收件地非工作日或非工作时间收到的通知或其他通信，应视为在该地的下一个工作日送达。</w:t>
      </w:r>
    </w:p>
    <w:p>
      <w:pPr>
        <w:numPr>
          <w:ilvl w:val="0"/>
          <w:numId w:val="3"/>
        </w:numPr>
        <w:spacing w:line="360" w:lineRule="auto"/>
        <w:ind w:left="0" w:firstLine="560" w:firstLineChars="200"/>
        <w:rPr>
          <w:rFonts w:ascii="仿宋_GB2312" w:hAnsi="华文仿宋" w:eastAsia="仿宋_GB2312"/>
          <w:kern w:val="44"/>
          <w:sz w:val="28"/>
          <w:szCs w:val="28"/>
          <w:highlight w:val="none"/>
        </w:rPr>
      </w:pPr>
      <w:r>
        <w:rPr>
          <w:rFonts w:ascii="仿宋_GB2312" w:hAnsi="华文仿宋" w:eastAsia="仿宋_GB2312"/>
          <w:kern w:val="44"/>
          <w:sz w:val="28"/>
          <w:szCs w:val="28"/>
          <w:highlight w:val="none"/>
        </w:rPr>
        <w:t xml:space="preserve"> </w:t>
      </w:r>
      <w:r>
        <w:rPr>
          <w:rFonts w:hint="eastAsia" w:ascii="仿宋_GB2312" w:hAnsi="华文仿宋" w:eastAsia="仿宋_GB2312"/>
          <w:kern w:val="44"/>
          <w:sz w:val="28"/>
          <w:szCs w:val="28"/>
          <w:highlight w:val="none"/>
        </w:rPr>
        <w:t>地址改变的及时通知</w:t>
      </w:r>
    </w:p>
    <w:p>
      <w:pPr>
        <w:spacing w:line="360" w:lineRule="auto"/>
        <w:ind w:firstLine="425" w:firstLineChars="152"/>
        <w:rPr>
          <w:rFonts w:ascii="仿宋_GB2312" w:hAnsi="华文仿宋" w:eastAsia="仿宋_GB2312"/>
          <w:sz w:val="28"/>
          <w:highlight w:val="none"/>
        </w:rPr>
      </w:pPr>
      <w:r>
        <w:rPr>
          <w:rFonts w:hint="eastAsia" w:ascii="仿宋_GB2312" w:hAnsi="华文仿宋" w:eastAsia="仿宋_GB2312"/>
          <w:sz w:val="28"/>
          <w:highlight w:val="none"/>
        </w:rPr>
        <w:t>如果甲方或乙方更改第九十二条款所述的任何具体内容，更改方必须在新的内容启用前以书面形式通知对方。</w:t>
      </w:r>
    </w:p>
    <w:p>
      <w:pPr>
        <w:pStyle w:val="62"/>
        <w:snapToGrid w:val="0"/>
        <w:spacing w:before="100" w:beforeAutospacing="1" w:after="100" w:afterAutospacing="1" w:line="360" w:lineRule="auto"/>
        <w:ind w:firstLine="0" w:firstLineChars="0"/>
        <w:jc w:val="center"/>
        <w:outlineLvl w:val="0"/>
        <w:rPr>
          <w:rFonts w:ascii="仿宋_GB2312" w:hAnsi="华文仿宋" w:eastAsia="仿宋_GB2312"/>
          <w:b/>
          <w:bCs/>
          <w:kern w:val="44"/>
          <w:sz w:val="32"/>
          <w:szCs w:val="32"/>
          <w:highlight w:val="none"/>
        </w:rPr>
      </w:pPr>
      <w:bookmarkStart w:id="56" w:name="_Toc438125229"/>
      <w:bookmarkStart w:id="57" w:name="_Toc425689131"/>
      <w:r>
        <w:rPr>
          <w:rFonts w:hint="eastAsia" w:ascii="仿宋_GB2312" w:hAnsi="华文仿宋" w:eastAsia="仿宋_GB2312"/>
          <w:b/>
          <w:bCs/>
          <w:kern w:val="44"/>
          <w:sz w:val="32"/>
          <w:szCs w:val="32"/>
          <w:highlight w:val="none"/>
        </w:rPr>
        <w:t>第十六章</w:t>
      </w:r>
      <w:r>
        <w:rPr>
          <w:rFonts w:ascii="仿宋_GB2312" w:hAnsi="华文仿宋" w:eastAsia="仿宋_GB2312"/>
          <w:b/>
          <w:bCs/>
          <w:kern w:val="44"/>
          <w:sz w:val="32"/>
          <w:szCs w:val="32"/>
          <w:highlight w:val="none"/>
        </w:rPr>
        <w:t xml:space="preserve"> 附则</w:t>
      </w:r>
      <w:bookmarkEnd w:id="56"/>
      <w:bookmarkEnd w:id="57"/>
    </w:p>
    <w:p>
      <w:pPr>
        <w:numPr>
          <w:ilvl w:val="0"/>
          <w:numId w:val="3"/>
        </w:numPr>
        <w:spacing w:line="360" w:lineRule="auto"/>
        <w:ind w:left="0" w:firstLine="560" w:firstLineChars="200"/>
        <w:rPr>
          <w:rFonts w:ascii="仿宋_GB2312" w:hAnsi="华文仿宋" w:eastAsia="仿宋_GB2312"/>
          <w:kern w:val="44"/>
          <w:sz w:val="28"/>
          <w:szCs w:val="28"/>
          <w:highlight w:val="none"/>
        </w:rPr>
      </w:pPr>
      <w:r>
        <w:rPr>
          <w:rFonts w:ascii="仿宋_GB2312" w:hAnsi="华文仿宋" w:eastAsia="仿宋_GB2312"/>
          <w:kern w:val="44"/>
          <w:sz w:val="28"/>
          <w:szCs w:val="28"/>
          <w:highlight w:val="none"/>
        </w:rPr>
        <w:t xml:space="preserve"> </w:t>
      </w:r>
      <w:r>
        <w:rPr>
          <w:rFonts w:hint="eastAsia" w:ascii="仿宋_GB2312" w:hAnsi="华文仿宋" w:eastAsia="仿宋_GB2312"/>
          <w:kern w:val="44"/>
          <w:sz w:val="28"/>
          <w:szCs w:val="28"/>
          <w:highlight w:val="none"/>
        </w:rPr>
        <w:t>项目公司根据需要或涉及公司登记事项变更的，可修改公司章程，修改后的项目公司章程不得与法律、法规相抵触，修改项目公司章程应由代表三分之二以上表决权的股东通过。修改后的项目公司章程应送原市场监督管理部门备案，涉及变更登记事项的，同时应向市场监督管理部门做变更登记。</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kern w:val="44"/>
          <w:sz w:val="28"/>
          <w:szCs w:val="28"/>
          <w:highlight w:val="none"/>
        </w:rPr>
        <w:t xml:space="preserve"> </w:t>
      </w:r>
      <w:r>
        <w:rPr>
          <w:rFonts w:hint="eastAsia" w:ascii="仿宋_GB2312" w:hAnsi="华文仿宋" w:eastAsia="仿宋_GB2312"/>
          <w:kern w:val="44"/>
          <w:sz w:val="28"/>
          <w:szCs w:val="28"/>
          <w:highlight w:val="none"/>
        </w:rPr>
        <w:t>本章程自</w:t>
      </w:r>
      <w:r>
        <w:rPr>
          <w:rFonts w:ascii="仿宋_GB2312" w:hAnsi="华文仿宋" w:eastAsia="仿宋_GB2312"/>
          <w:kern w:val="44"/>
          <w:sz w:val="28"/>
          <w:szCs w:val="28"/>
          <w:highlight w:val="none"/>
        </w:rPr>
        <w:t>合同双方法定代表人或授权代表正式签订并加盖公章后，报审批机关和市政府批准之日起生效。</w:t>
      </w:r>
    </w:p>
    <w:p>
      <w:pPr>
        <w:numPr>
          <w:ilvl w:val="0"/>
          <w:numId w:val="3"/>
        </w:numPr>
        <w:spacing w:line="360" w:lineRule="auto"/>
        <w:ind w:left="0" w:firstLine="560" w:firstLineChars="200"/>
        <w:rPr>
          <w:rFonts w:ascii="仿宋_GB2312" w:hAnsi="华文仿宋" w:eastAsia="仿宋_GB2312"/>
          <w:bCs/>
          <w:kern w:val="0"/>
          <w:sz w:val="28"/>
          <w:szCs w:val="28"/>
          <w:highlight w:val="none"/>
        </w:rPr>
      </w:pPr>
      <w:r>
        <w:rPr>
          <w:rFonts w:ascii="仿宋_GB2312" w:hAnsi="华文仿宋" w:eastAsia="仿宋_GB2312"/>
          <w:kern w:val="44"/>
          <w:sz w:val="28"/>
          <w:szCs w:val="28"/>
          <w:highlight w:val="none"/>
        </w:rPr>
        <w:t xml:space="preserve"> </w:t>
      </w:r>
      <w:r>
        <w:rPr>
          <w:rFonts w:hint="eastAsia" w:ascii="仿宋_GB2312" w:hAnsi="华文仿宋" w:eastAsia="仿宋_GB2312"/>
          <w:kern w:val="44"/>
          <w:sz w:val="28"/>
          <w:szCs w:val="28"/>
          <w:highlight w:val="none"/>
        </w:rPr>
        <w:t>章程的解释权属于项目公司股东会。</w:t>
      </w:r>
    </w:p>
    <w:p>
      <w:pPr>
        <w:numPr>
          <w:ilvl w:val="0"/>
          <w:numId w:val="3"/>
        </w:numPr>
        <w:spacing w:line="360" w:lineRule="auto"/>
        <w:ind w:left="0" w:firstLine="560" w:firstLineChars="200"/>
        <w:rPr>
          <w:rFonts w:ascii="仿宋_GB2312" w:hAnsi="华文仿宋" w:eastAsia="仿宋_GB2312"/>
          <w:kern w:val="44"/>
          <w:sz w:val="28"/>
          <w:szCs w:val="28"/>
          <w:highlight w:val="none"/>
        </w:rPr>
      </w:pPr>
      <w:r>
        <w:rPr>
          <w:rFonts w:ascii="仿宋_GB2312" w:hAnsi="华文仿宋" w:eastAsia="仿宋_GB2312"/>
          <w:kern w:val="44"/>
          <w:sz w:val="28"/>
          <w:szCs w:val="28"/>
          <w:highlight w:val="none"/>
        </w:rPr>
        <w:t xml:space="preserve"> </w:t>
      </w:r>
      <w:r>
        <w:rPr>
          <w:rFonts w:hint="eastAsia" w:ascii="仿宋_GB2312" w:hAnsi="华文仿宋" w:eastAsia="仿宋_GB2312"/>
          <w:kern w:val="44"/>
          <w:sz w:val="28"/>
          <w:szCs w:val="28"/>
          <w:highlight w:val="none"/>
        </w:rPr>
        <w:t>本章程正本一式</w:t>
      </w:r>
      <w:r>
        <w:rPr>
          <w:rFonts w:hint="eastAsia" w:ascii="仿宋_GB2312" w:hAnsi="华文仿宋" w:eastAsia="仿宋_GB2312"/>
          <w:kern w:val="44"/>
          <w:sz w:val="28"/>
          <w:szCs w:val="28"/>
          <w:highlight w:val="none"/>
          <w:u w:val="single"/>
        </w:rPr>
        <w:t xml:space="preserve">   </w:t>
      </w:r>
      <w:r>
        <w:rPr>
          <w:rFonts w:hint="eastAsia" w:ascii="仿宋_GB2312" w:hAnsi="华文仿宋" w:eastAsia="仿宋_GB2312"/>
          <w:kern w:val="44"/>
          <w:sz w:val="28"/>
          <w:szCs w:val="28"/>
          <w:highlight w:val="none"/>
        </w:rPr>
        <w:t>（ ）份，双方各执</w:t>
      </w:r>
      <w:r>
        <w:rPr>
          <w:rFonts w:hint="eastAsia" w:ascii="仿宋_GB2312" w:hAnsi="华文仿宋" w:eastAsia="仿宋_GB2312"/>
          <w:kern w:val="44"/>
          <w:sz w:val="28"/>
          <w:szCs w:val="28"/>
          <w:highlight w:val="none"/>
          <w:u w:val="single"/>
        </w:rPr>
        <w:t xml:space="preserve">   </w:t>
      </w:r>
      <w:r>
        <w:rPr>
          <w:rFonts w:hint="eastAsia" w:ascii="仿宋_GB2312" w:hAnsi="华文仿宋" w:eastAsia="仿宋_GB2312"/>
          <w:kern w:val="44"/>
          <w:sz w:val="28"/>
          <w:szCs w:val="28"/>
          <w:highlight w:val="none"/>
        </w:rPr>
        <w:t xml:space="preserve">（ </w:t>
      </w:r>
      <w:r>
        <w:rPr>
          <w:rFonts w:ascii="仿宋_GB2312" w:hAnsi="华文仿宋" w:eastAsia="仿宋_GB2312"/>
          <w:kern w:val="44"/>
          <w:sz w:val="28"/>
          <w:szCs w:val="28"/>
          <w:highlight w:val="none"/>
        </w:rPr>
        <w:t>）份，项目公司留存</w:t>
      </w:r>
      <w:r>
        <w:rPr>
          <w:rFonts w:hint="eastAsia" w:ascii="仿宋_GB2312" w:hAnsi="华文仿宋" w:eastAsia="仿宋_GB2312"/>
          <w:kern w:val="44"/>
          <w:sz w:val="28"/>
          <w:szCs w:val="28"/>
          <w:highlight w:val="none"/>
          <w:u w:val="single"/>
        </w:rPr>
        <w:t xml:space="preserve">   </w:t>
      </w:r>
      <w:r>
        <w:rPr>
          <w:rFonts w:hint="eastAsia" w:ascii="仿宋_GB2312" w:hAnsi="华文仿宋" w:eastAsia="仿宋_GB2312"/>
          <w:kern w:val="44"/>
          <w:sz w:val="28"/>
          <w:szCs w:val="28"/>
          <w:highlight w:val="none"/>
        </w:rPr>
        <w:t xml:space="preserve">（ </w:t>
      </w:r>
      <w:r>
        <w:rPr>
          <w:rFonts w:ascii="仿宋_GB2312" w:hAnsi="华文仿宋" w:eastAsia="仿宋_GB2312"/>
          <w:kern w:val="44"/>
          <w:sz w:val="28"/>
          <w:szCs w:val="28"/>
          <w:highlight w:val="none"/>
        </w:rPr>
        <w:t>）份，其余</w:t>
      </w:r>
      <w:r>
        <w:rPr>
          <w:rFonts w:hint="eastAsia" w:ascii="仿宋_GB2312" w:hAnsi="华文仿宋" w:eastAsia="仿宋_GB2312"/>
          <w:kern w:val="44"/>
          <w:sz w:val="28"/>
          <w:szCs w:val="28"/>
          <w:highlight w:val="none"/>
        </w:rPr>
        <w:t>报项目公司登记机关备案。每份具有同等法律效力。</w:t>
      </w:r>
    </w:p>
    <w:p>
      <w:pPr>
        <w:numPr>
          <w:ilvl w:val="0"/>
          <w:numId w:val="3"/>
        </w:numPr>
        <w:spacing w:line="360" w:lineRule="auto"/>
        <w:ind w:left="0" w:firstLine="560" w:firstLineChars="200"/>
        <w:rPr>
          <w:rFonts w:ascii="仿宋_GB2312" w:hAnsi="华文仿宋" w:eastAsia="仿宋_GB2312"/>
          <w:sz w:val="28"/>
          <w:szCs w:val="28"/>
          <w:highlight w:val="none"/>
        </w:rPr>
      </w:pPr>
      <w:r>
        <w:rPr>
          <w:rFonts w:ascii="仿宋_GB2312" w:hAnsi="华文仿宋" w:eastAsia="仿宋_GB2312"/>
          <w:kern w:val="44"/>
          <w:sz w:val="28"/>
          <w:szCs w:val="28"/>
          <w:highlight w:val="none"/>
        </w:rPr>
        <w:t xml:space="preserve"> </w:t>
      </w:r>
      <w:r>
        <w:rPr>
          <w:rFonts w:hint="eastAsia" w:ascii="仿宋_GB2312" w:hAnsi="华文仿宋" w:eastAsia="仿宋_GB2312"/>
          <w:kern w:val="44"/>
          <w:sz w:val="28"/>
          <w:szCs w:val="28"/>
          <w:highlight w:val="none"/>
        </w:rPr>
        <w:t>本章程已由股东各方法定代表人或各自正式授权的代表在本章程的文首注明的日期签署并加盖公章，对本章程双方均具法律约束力。</w:t>
      </w:r>
      <w:r>
        <w:rPr>
          <w:rFonts w:ascii="仿宋_GB2312" w:hAnsi="华文仿宋" w:eastAsia="仿宋_GB2312"/>
          <w:sz w:val="28"/>
          <w:szCs w:val="28"/>
          <w:highlight w:val="none"/>
        </w:rPr>
        <w:br w:type="page"/>
      </w:r>
    </w:p>
    <w:p>
      <w:pPr>
        <w:adjustRightInd w:val="0"/>
        <w:snapToGrid w:val="0"/>
        <w:spacing w:before="120" w:beforeLines="50" w:after="120" w:afterLines="50" w:line="360" w:lineRule="auto"/>
        <w:ind w:firstLine="560" w:firstLineChars="200"/>
        <w:rPr>
          <w:rFonts w:ascii="仿宋_GB2312" w:hAnsi="华文仿宋" w:eastAsia="仿宋_GB2312" w:cs="Times New Roman"/>
          <w:sz w:val="28"/>
          <w:szCs w:val="28"/>
          <w:highlight w:val="none"/>
        </w:rPr>
        <w:sectPr>
          <w:headerReference r:id="rId3" w:type="default"/>
          <w:footerReference r:id="rId4" w:type="default"/>
          <w:type w:val="continuous"/>
          <w:pgSz w:w="11907" w:h="16839"/>
          <w:pgMar w:top="1440" w:right="1797" w:bottom="1440" w:left="1797" w:header="851" w:footer="737" w:gutter="0"/>
          <w:pgNumType w:fmt="numberInDash"/>
          <w:cols w:space="425" w:num="1"/>
          <w:docGrid w:linePitch="312" w:charSpace="0"/>
        </w:sectPr>
      </w:pPr>
    </w:p>
    <w:p>
      <w:pPr>
        <w:adjustRightInd w:val="0"/>
        <w:snapToGrid w:val="0"/>
        <w:spacing w:before="120" w:beforeLines="50" w:after="120" w:afterLines="50" w:line="360" w:lineRule="auto"/>
        <w:ind w:firstLine="560" w:firstLineChars="200"/>
        <w:jc w:val="center"/>
        <w:rPr>
          <w:rFonts w:ascii="仿宋_GB2312" w:hAnsi="华文仿宋" w:eastAsia="仿宋_GB2312" w:cs="Times New Roman"/>
          <w:sz w:val="28"/>
          <w:szCs w:val="28"/>
          <w:highlight w:val="none"/>
        </w:rPr>
      </w:pPr>
      <w:r>
        <w:rPr>
          <w:rFonts w:hint="eastAsia" w:ascii="仿宋_GB2312" w:hAnsi="华文仿宋" w:eastAsia="仿宋_GB2312" w:cs="Times New Roman"/>
          <w:sz w:val="28"/>
          <w:szCs w:val="28"/>
          <w:highlight w:val="none"/>
        </w:rPr>
        <w:t>（此页无正文）</w:t>
      </w:r>
    </w:p>
    <w:p>
      <w:pPr>
        <w:adjustRightInd w:val="0"/>
        <w:snapToGrid w:val="0"/>
        <w:spacing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宿迁交通产业集团有限公司（盖章）</w:t>
      </w:r>
    </w:p>
    <w:p>
      <w:pPr>
        <w:adjustRightInd w:val="0"/>
        <w:snapToGrid w:val="0"/>
        <w:spacing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法定代表人或授权代表（签字）：</w:t>
      </w:r>
    </w:p>
    <w:p>
      <w:pPr>
        <w:adjustRightInd w:val="0"/>
        <w:snapToGrid w:val="0"/>
        <w:spacing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签署日期：</w:t>
      </w:r>
    </w:p>
    <w:p>
      <w:pPr>
        <w:adjustRightInd w:val="0"/>
        <w:snapToGrid w:val="0"/>
        <w:spacing w:line="360" w:lineRule="auto"/>
        <w:ind w:firstLine="560" w:firstLineChars="200"/>
        <w:rPr>
          <w:rFonts w:ascii="仿宋_GB2312" w:hAnsi="华文仿宋" w:eastAsia="仿宋_GB2312"/>
          <w:sz w:val="28"/>
          <w:szCs w:val="28"/>
          <w:highlight w:val="none"/>
        </w:rPr>
      </w:pPr>
    </w:p>
    <w:p>
      <w:pPr>
        <w:adjustRightInd w:val="0"/>
        <w:snapToGrid w:val="0"/>
        <w:spacing w:line="360" w:lineRule="auto"/>
        <w:ind w:firstLine="560" w:firstLineChars="200"/>
        <w:rPr>
          <w:rFonts w:ascii="仿宋_GB2312" w:hAnsi="华文仿宋" w:eastAsia="仿宋_GB2312"/>
          <w:sz w:val="28"/>
          <w:szCs w:val="28"/>
          <w:highlight w:val="none"/>
        </w:rPr>
      </w:pPr>
    </w:p>
    <w:p>
      <w:pPr>
        <w:adjustRightInd w:val="0"/>
        <w:snapToGrid w:val="0"/>
        <w:spacing w:line="360" w:lineRule="auto"/>
        <w:ind w:firstLine="560" w:firstLineChars="200"/>
        <w:rPr>
          <w:rFonts w:ascii="仿宋_GB2312" w:hAnsi="华文仿宋" w:eastAsia="仿宋_GB2312"/>
          <w:sz w:val="28"/>
          <w:szCs w:val="28"/>
          <w:highlight w:val="none"/>
        </w:rPr>
      </w:pPr>
    </w:p>
    <w:p>
      <w:pPr>
        <w:adjustRightInd w:val="0"/>
        <w:snapToGrid w:val="0"/>
        <w:spacing w:line="360" w:lineRule="auto"/>
        <w:ind w:firstLine="560" w:firstLineChars="200"/>
        <w:rPr>
          <w:rFonts w:ascii="仿宋_GB2312" w:hAnsi="华文仿宋" w:eastAsia="仿宋_GB2312"/>
          <w:sz w:val="28"/>
          <w:szCs w:val="28"/>
          <w:highlight w:val="none"/>
        </w:rPr>
      </w:pPr>
    </w:p>
    <w:p>
      <w:pPr>
        <w:adjustRightInd w:val="0"/>
        <w:snapToGrid w:val="0"/>
        <w:spacing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中标社会资本名称（盖章）</w:t>
      </w:r>
    </w:p>
    <w:p>
      <w:pPr>
        <w:adjustRightInd w:val="0"/>
        <w:snapToGrid w:val="0"/>
        <w:spacing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法定代表人或授权代表（签字）：</w:t>
      </w:r>
    </w:p>
    <w:p>
      <w:pPr>
        <w:adjustRightInd w:val="0"/>
        <w:snapToGrid w:val="0"/>
        <w:spacing w:line="360" w:lineRule="auto"/>
        <w:ind w:firstLine="560" w:firstLineChars="200"/>
        <w:rPr>
          <w:rFonts w:ascii="仿宋_GB2312" w:hAnsi="华文仿宋" w:eastAsia="仿宋_GB2312"/>
          <w:sz w:val="28"/>
          <w:szCs w:val="28"/>
          <w:highlight w:val="none"/>
        </w:rPr>
      </w:pPr>
      <w:r>
        <w:rPr>
          <w:rFonts w:hint="eastAsia" w:ascii="仿宋_GB2312" w:hAnsi="华文仿宋" w:eastAsia="仿宋_GB2312"/>
          <w:sz w:val="28"/>
          <w:szCs w:val="28"/>
          <w:highlight w:val="none"/>
        </w:rPr>
        <w:t>签署日期：</w:t>
      </w:r>
    </w:p>
    <w:p>
      <w:pPr>
        <w:adjustRightInd w:val="0"/>
        <w:snapToGrid w:val="0"/>
        <w:spacing w:line="360" w:lineRule="auto"/>
        <w:rPr>
          <w:rFonts w:ascii="仿宋_GB2312" w:hAnsi="华文仿宋" w:eastAsia="仿宋_GB2312"/>
          <w:sz w:val="28"/>
          <w:szCs w:val="28"/>
          <w:highlight w:val="none"/>
        </w:rPr>
      </w:pPr>
    </w:p>
    <w:bookmarkEnd w:id="58"/>
    <w:sectPr>
      <w:type w:val="continuous"/>
      <w:pgSz w:w="11907" w:h="16839"/>
      <w:pgMar w:top="1440" w:right="1797" w:bottom="1440" w:left="1797" w:header="851" w:footer="737"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G Times">
    <w:altName w:val="Times New Roman"/>
    <w:panose1 w:val="00000000000000000000"/>
    <w:charset w:val="00"/>
    <w:family w:val="roman"/>
    <w:pitch w:val="default"/>
    <w:sig w:usb0="00000000" w:usb1="00000000" w:usb2="00000000" w:usb3="00000000" w:csb0="00000093" w:csb1="00000000"/>
  </w:font>
  <w:font w:name="Courier New">
    <w:panose1 w:val="02070309020205020404"/>
    <w:charset w:val="00"/>
    <w:family w:val="modern"/>
    <w:pitch w:val="default"/>
    <w:sig w:usb0="E0002EFF" w:usb1="C0007843" w:usb2="00000009" w:usb3="00000000" w:csb0="400001FF" w:csb1="FFFF0000"/>
  </w:font>
  <w:font w:name="仿宋体">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0914649"/>
    </w:sdtPr>
    <w:sdtContent>
      <w:p>
        <w:pPr>
          <w:pStyle w:val="27"/>
          <w:jc w:val="center"/>
        </w:pPr>
        <w:r>
          <w:fldChar w:fldCharType="begin"/>
        </w:r>
        <w:r>
          <w:instrText xml:space="preserve">PAGE   \* MERGEFORMAT</w:instrText>
        </w:r>
        <w:r>
          <w:fldChar w:fldCharType="separate"/>
        </w:r>
        <w:r>
          <w:rPr>
            <w:lang w:val="zh-CN"/>
          </w:rPr>
          <w:t>-</w:t>
        </w:r>
        <w:r>
          <w:t xml:space="preserve"> 26 -</w:t>
        </w:r>
        <w:r>
          <w:fldChar w:fldCharType="end"/>
        </w:r>
      </w:p>
    </w:sdtContent>
  </w:sdt>
  <w:p>
    <w:pPr>
      <w:pStyle w:val="27"/>
      <w:tabs>
        <w:tab w:val="left" w:pos="6846"/>
        <w:tab w:val="clear" w:pos="8306"/>
      </w:tabs>
      <w:ind w:right="-340" w:rightChars="-162"/>
      <w:jc w:val="right"/>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rPr>
        <w:rFonts w:ascii="华文仿宋" w:hAnsi="华文仿宋" w:eastAsia="华文仿宋"/>
        <w:sz w:val="20"/>
        <w:szCs w:val="20"/>
      </w:rPr>
    </w:pPr>
    <w:r>
      <w:rPr>
        <w:rFonts w:hint="eastAsia" w:ascii="华文仿宋" w:hAnsi="华文仿宋" w:eastAsia="华文仿宋"/>
        <w:sz w:val="20"/>
        <w:szCs w:val="20"/>
      </w:rPr>
      <w:t xml:space="preserve">苏州宿迁工业园区拓园发展项目                                          </w:t>
    </w:r>
    <w:r>
      <w:rPr>
        <w:rFonts w:ascii="华文仿宋" w:hAnsi="华文仿宋" w:eastAsia="华文仿宋"/>
        <w:sz w:val="20"/>
        <w:szCs w:val="20"/>
      </w:rPr>
      <w:t xml:space="preserve">     </w:t>
    </w:r>
    <w:r>
      <w:rPr>
        <w:rFonts w:hint="eastAsia" w:ascii="华文仿宋" w:hAnsi="华文仿宋" w:eastAsia="华文仿宋"/>
        <w:sz w:val="20"/>
        <w:szCs w:val="20"/>
      </w:rPr>
      <w:t>公司章程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B0F"/>
    <w:multiLevelType w:val="multilevel"/>
    <w:tmpl w:val="09856B0F"/>
    <w:lvl w:ilvl="0" w:tentative="0">
      <w:start w:val="1"/>
      <w:numFmt w:val="decimal"/>
      <w:lvlText w:val="（%1）"/>
      <w:lvlJc w:val="left"/>
      <w:pPr>
        <w:ind w:left="420" w:hanging="420"/>
      </w:pPr>
      <w:rPr>
        <w:rFonts w:hint="default"/>
        <w:color w:val="auto"/>
        <w:sz w:val="28"/>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8D7AB8"/>
    <w:multiLevelType w:val="multilevel"/>
    <w:tmpl w:val="1C8D7AB8"/>
    <w:lvl w:ilvl="0" w:tentative="0">
      <w:start w:val="1"/>
      <w:numFmt w:val="decimal"/>
      <w:lvlText w:val="（%1）"/>
      <w:lvlJc w:val="left"/>
      <w:pPr>
        <w:ind w:left="420" w:hanging="420"/>
      </w:pPr>
      <w:rPr>
        <w:rFonts w:hint="default"/>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DA216F0"/>
    <w:multiLevelType w:val="multilevel"/>
    <w:tmpl w:val="1DA216F0"/>
    <w:lvl w:ilvl="0" w:tentative="0">
      <w:start w:val="1"/>
      <w:numFmt w:val="chineseCountingThousand"/>
      <w:pStyle w:val="35"/>
      <w:lvlText w:val="第%1章　"/>
      <w:lvlJc w:val="left"/>
      <w:pPr>
        <w:tabs>
          <w:tab w:val="left" w:pos="1440"/>
        </w:tabs>
        <w:ind w:left="720" w:hanging="720"/>
      </w:pPr>
      <w:rPr>
        <w:rFonts w:hint="eastAsia"/>
        <w:sz w:val="32"/>
      </w:rPr>
    </w:lvl>
    <w:lvl w:ilvl="1" w:tentative="0">
      <w:start w:val="1"/>
      <w:numFmt w:val="lowerRoman"/>
      <w:lvlText w:val="(%2)"/>
      <w:lvlJc w:val="left"/>
      <w:pPr>
        <w:tabs>
          <w:tab w:val="left" w:pos="861"/>
        </w:tabs>
        <w:ind w:left="861" w:hanging="720"/>
      </w:pPr>
      <w:rPr>
        <w:rFonts w:hint="eastAsia"/>
      </w:rPr>
    </w:lvl>
    <w:lvl w:ilvl="2" w:tentative="0">
      <w:start w:val="1"/>
      <w:numFmt w:val="lowerLetter"/>
      <w:lvlText w:val="(%3)"/>
      <w:lvlJc w:val="left"/>
      <w:pPr>
        <w:tabs>
          <w:tab w:val="left" w:pos="1335"/>
        </w:tabs>
        <w:ind w:left="1335" w:hanging="49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5E462C4"/>
    <w:multiLevelType w:val="multilevel"/>
    <w:tmpl w:val="25E462C4"/>
    <w:lvl w:ilvl="0" w:tentative="0">
      <w:start w:val="1"/>
      <w:numFmt w:val="decimal"/>
      <w:lvlText w:val="（%1）"/>
      <w:lvlJc w:val="left"/>
      <w:pPr>
        <w:ind w:left="420" w:hanging="420"/>
      </w:pPr>
      <w:rPr>
        <w:rFonts w:hint="default"/>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EA17FDB"/>
    <w:multiLevelType w:val="multilevel"/>
    <w:tmpl w:val="2EA17FDB"/>
    <w:lvl w:ilvl="0" w:tentative="0">
      <w:start w:val="1"/>
      <w:numFmt w:val="chineseCountingThousand"/>
      <w:lvlText w:val="第%1条"/>
      <w:lvlJc w:val="left"/>
      <w:pPr>
        <w:ind w:left="1281" w:hanging="360"/>
      </w:pPr>
      <w:rPr>
        <w:rFonts w:hint="eastAsia"/>
        <w:b/>
        <w:i w:val="0"/>
        <w:sz w:val="28"/>
      </w:rPr>
    </w:lvl>
    <w:lvl w:ilvl="1" w:tentative="0">
      <w:start w:val="1"/>
      <w:numFmt w:val="lowerLetter"/>
      <w:lvlText w:val="%2."/>
      <w:lvlJc w:val="left"/>
      <w:pPr>
        <w:ind w:left="2001" w:hanging="360"/>
      </w:pPr>
    </w:lvl>
    <w:lvl w:ilvl="2" w:tentative="0">
      <w:start w:val="11"/>
      <w:numFmt w:val="decimal"/>
      <w:lvlText w:val="（%3）"/>
      <w:lvlJc w:val="left"/>
      <w:pPr>
        <w:ind w:left="3621" w:hanging="1080"/>
      </w:pPr>
      <w:rPr>
        <w:rFonts w:hint="default"/>
      </w:rPr>
    </w:lvl>
    <w:lvl w:ilvl="3" w:tentative="0">
      <w:start w:val="1"/>
      <w:numFmt w:val="decimal"/>
      <w:lvlText w:val="%4."/>
      <w:lvlJc w:val="left"/>
      <w:pPr>
        <w:ind w:left="3441" w:hanging="360"/>
      </w:pPr>
    </w:lvl>
    <w:lvl w:ilvl="4" w:tentative="0">
      <w:start w:val="1"/>
      <w:numFmt w:val="lowerLetter"/>
      <w:lvlText w:val="%5."/>
      <w:lvlJc w:val="left"/>
      <w:pPr>
        <w:ind w:left="4161" w:hanging="360"/>
      </w:pPr>
    </w:lvl>
    <w:lvl w:ilvl="5" w:tentative="0">
      <w:start w:val="1"/>
      <w:numFmt w:val="lowerRoman"/>
      <w:lvlText w:val="%6."/>
      <w:lvlJc w:val="right"/>
      <w:pPr>
        <w:ind w:left="4881" w:hanging="180"/>
      </w:pPr>
    </w:lvl>
    <w:lvl w:ilvl="6" w:tentative="0">
      <w:start w:val="1"/>
      <w:numFmt w:val="decimal"/>
      <w:lvlText w:val="%7."/>
      <w:lvlJc w:val="left"/>
      <w:pPr>
        <w:ind w:left="5601" w:hanging="360"/>
      </w:pPr>
    </w:lvl>
    <w:lvl w:ilvl="7" w:tentative="0">
      <w:start w:val="1"/>
      <w:numFmt w:val="lowerLetter"/>
      <w:lvlText w:val="%8."/>
      <w:lvlJc w:val="left"/>
      <w:pPr>
        <w:ind w:left="6321" w:hanging="360"/>
      </w:pPr>
    </w:lvl>
    <w:lvl w:ilvl="8" w:tentative="0">
      <w:start w:val="1"/>
      <w:numFmt w:val="lowerRoman"/>
      <w:lvlText w:val="%9."/>
      <w:lvlJc w:val="right"/>
      <w:pPr>
        <w:ind w:left="7041" w:hanging="180"/>
      </w:pPr>
    </w:lvl>
  </w:abstractNum>
  <w:abstractNum w:abstractNumId="5">
    <w:nsid w:val="471E7AFA"/>
    <w:multiLevelType w:val="multilevel"/>
    <w:tmpl w:val="471E7AFA"/>
    <w:lvl w:ilvl="0" w:tentative="0">
      <w:start w:val="1"/>
      <w:numFmt w:val="decimal"/>
      <w:lvlText w:val="（%1）"/>
      <w:lvlJc w:val="left"/>
      <w:pPr>
        <w:ind w:left="420" w:hanging="420"/>
      </w:pPr>
      <w:rPr>
        <w:rFonts w:hint="default"/>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BA6540B"/>
    <w:multiLevelType w:val="multilevel"/>
    <w:tmpl w:val="4BA6540B"/>
    <w:lvl w:ilvl="0" w:tentative="0">
      <w:start w:val="1"/>
      <w:numFmt w:val="decimal"/>
      <w:lvlText w:val="（%1）"/>
      <w:lvlJc w:val="left"/>
      <w:pPr>
        <w:ind w:left="1146" w:hanging="360"/>
      </w:pPr>
      <w:rPr>
        <w:rFonts w:hint="default"/>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7">
    <w:nsid w:val="593A5ED5"/>
    <w:multiLevelType w:val="multilevel"/>
    <w:tmpl w:val="593A5ED5"/>
    <w:lvl w:ilvl="0" w:tentative="0">
      <w:start w:val="1"/>
      <w:numFmt w:val="decimal"/>
      <w:lvlText w:val="（%1）"/>
      <w:lvlJc w:val="left"/>
      <w:pPr>
        <w:ind w:left="420" w:hanging="420"/>
      </w:pPr>
      <w:rPr>
        <w:rFonts w:hint="default"/>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F6053CB"/>
    <w:multiLevelType w:val="multilevel"/>
    <w:tmpl w:val="7F6053CB"/>
    <w:lvl w:ilvl="0" w:tentative="0">
      <w:start w:val="1"/>
      <w:numFmt w:val="decimal"/>
      <w:pStyle w:val="2"/>
      <w:lvlText w:val="第%1条"/>
      <w:lvlJc w:val="left"/>
      <w:pPr>
        <w:tabs>
          <w:tab w:val="left" w:pos="743"/>
        </w:tabs>
        <w:ind w:left="0" w:firstLine="119"/>
      </w:pPr>
      <w:rPr>
        <w:rFonts w:hint="default" w:ascii="Times New Roman" w:hAnsi="Times New Roman" w:eastAsia="宋体"/>
        <w:b/>
        <w:i w:val="0"/>
        <w:sz w:val="28"/>
      </w:rPr>
    </w:lvl>
    <w:lvl w:ilvl="1" w:tentative="0">
      <w:start w:val="1"/>
      <w:numFmt w:val="decimal"/>
      <w:pStyle w:val="3"/>
      <w:lvlText w:val="%1.%2"/>
      <w:lvlJc w:val="left"/>
      <w:pPr>
        <w:tabs>
          <w:tab w:val="left" w:pos="743"/>
        </w:tabs>
        <w:ind w:left="743" w:hanging="624"/>
      </w:pPr>
      <w:rPr>
        <w:rFonts w:hint="default" w:ascii="Times New Roman" w:hAnsi="Times New Roman" w:eastAsia="宋体"/>
        <w:b/>
        <w:i w:val="0"/>
        <w:sz w:val="24"/>
        <w:szCs w:val="24"/>
      </w:rPr>
    </w:lvl>
    <w:lvl w:ilvl="2" w:tentative="0">
      <w:start w:val="1"/>
      <w:numFmt w:val="decimal"/>
      <w:pStyle w:val="4"/>
      <w:lvlText w:val="%1.%2.%3"/>
      <w:lvlJc w:val="left"/>
      <w:pPr>
        <w:tabs>
          <w:tab w:val="left" w:pos="1220"/>
        </w:tabs>
        <w:ind w:left="1220" w:hanging="680"/>
      </w:pPr>
      <w:rPr>
        <w:rFonts w:hint="default" w:ascii="Times New Roman" w:hAnsi="Times New Roman" w:eastAsia="宋体"/>
        <w:b/>
        <w:i w:val="0"/>
        <w:sz w:val="24"/>
        <w:szCs w:val="24"/>
      </w:rPr>
    </w:lvl>
    <w:lvl w:ilvl="3" w:tentative="0">
      <w:start w:val="1"/>
      <w:numFmt w:val="lowerLetter"/>
      <w:pStyle w:val="5"/>
      <w:lvlText w:val="(%4)"/>
      <w:lvlJc w:val="left"/>
      <w:pPr>
        <w:tabs>
          <w:tab w:val="left" w:pos="695"/>
        </w:tabs>
        <w:ind w:left="695" w:hanging="864"/>
      </w:pPr>
      <w:rPr>
        <w:rFonts w:hint="eastAsia"/>
        <w:b/>
        <w:i w:val="0"/>
      </w:rPr>
    </w:lvl>
    <w:lvl w:ilvl="4" w:tentative="0">
      <w:start w:val="1"/>
      <w:numFmt w:val="lowerRoman"/>
      <w:pStyle w:val="6"/>
      <w:lvlText w:val="(%5)"/>
      <w:lvlJc w:val="left"/>
      <w:pPr>
        <w:tabs>
          <w:tab w:val="left" w:pos="839"/>
        </w:tabs>
        <w:ind w:left="839" w:hanging="1008"/>
      </w:pPr>
      <w:rPr>
        <w:rFonts w:hint="eastAsia"/>
        <w:color w:val="auto"/>
      </w:rPr>
    </w:lvl>
    <w:lvl w:ilvl="5" w:tentative="0">
      <w:start w:val="1"/>
      <w:numFmt w:val="decimal"/>
      <w:pStyle w:val="7"/>
      <w:lvlText w:val="%1.%2.%3.%4.%5.%6"/>
      <w:lvlJc w:val="left"/>
      <w:pPr>
        <w:tabs>
          <w:tab w:val="left" w:pos="983"/>
        </w:tabs>
        <w:ind w:left="983" w:hanging="1152"/>
      </w:pPr>
      <w:rPr>
        <w:rFonts w:hint="eastAsia"/>
      </w:rPr>
    </w:lvl>
    <w:lvl w:ilvl="6" w:tentative="0">
      <w:start w:val="1"/>
      <w:numFmt w:val="decimal"/>
      <w:pStyle w:val="8"/>
      <w:lvlText w:val="%1.%2.%3.%4.%5.%6.%7"/>
      <w:lvlJc w:val="left"/>
      <w:pPr>
        <w:tabs>
          <w:tab w:val="left" w:pos="1127"/>
        </w:tabs>
        <w:ind w:left="1127" w:hanging="1296"/>
      </w:pPr>
      <w:rPr>
        <w:rFonts w:hint="eastAsia"/>
      </w:rPr>
    </w:lvl>
    <w:lvl w:ilvl="7" w:tentative="0">
      <w:start w:val="1"/>
      <w:numFmt w:val="decimal"/>
      <w:pStyle w:val="9"/>
      <w:lvlText w:val="%1.%2.%3.%4.%5.%6.%7.%8"/>
      <w:lvlJc w:val="left"/>
      <w:pPr>
        <w:tabs>
          <w:tab w:val="left" w:pos="1271"/>
        </w:tabs>
        <w:ind w:left="1271" w:hanging="1440"/>
      </w:pPr>
      <w:rPr>
        <w:rFonts w:hint="eastAsia"/>
      </w:rPr>
    </w:lvl>
    <w:lvl w:ilvl="8" w:tentative="0">
      <w:start w:val="1"/>
      <w:numFmt w:val="decimal"/>
      <w:pStyle w:val="10"/>
      <w:lvlText w:val="%1.%2.%3.%4.%5.%6.%7.%8.%9"/>
      <w:lvlJc w:val="left"/>
      <w:pPr>
        <w:tabs>
          <w:tab w:val="left" w:pos="1415"/>
        </w:tabs>
        <w:ind w:left="1415" w:hanging="1584"/>
      </w:pPr>
      <w:rPr>
        <w:rFonts w:hint="eastAsia"/>
      </w:rPr>
    </w:lvl>
  </w:abstractNum>
  <w:num w:numId="1">
    <w:abstractNumId w:val="8"/>
  </w:num>
  <w:num w:numId="2">
    <w:abstractNumId w:val="2"/>
  </w:num>
  <w:num w:numId="3">
    <w:abstractNumId w:val="4"/>
  </w:num>
  <w:num w:numId="4">
    <w:abstractNumId w:val="6"/>
  </w:num>
  <w:num w:numId="5">
    <w:abstractNumId w:val="0"/>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0"/>
    <w:rsid w:val="00001090"/>
    <w:rsid w:val="000054EE"/>
    <w:rsid w:val="00006997"/>
    <w:rsid w:val="000104CB"/>
    <w:rsid w:val="00016605"/>
    <w:rsid w:val="0002233F"/>
    <w:rsid w:val="0002364A"/>
    <w:rsid w:val="00027191"/>
    <w:rsid w:val="0003170D"/>
    <w:rsid w:val="00032F7D"/>
    <w:rsid w:val="0003358A"/>
    <w:rsid w:val="00046495"/>
    <w:rsid w:val="00050230"/>
    <w:rsid w:val="00052C13"/>
    <w:rsid w:val="000556CE"/>
    <w:rsid w:val="000565C0"/>
    <w:rsid w:val="000572DB"/>
    <w:rsid w:val="00057BE9"/>
    <w:rsid w:val="000620D5"/>
    <w:rsid w:val="00065CC7"/>
    <w:rsid w:val="0007171C"/>
    <w:rsid w:val="00072327"/>
    <w:rsid w:val="000729B9"/>
    <w:rsid w:val="00081D6E"/>
    <w:rsid w:val="00081DDA"/>
    <w:rsid w:val="00083F47"/>
    <w:rsid w:val="00086948"/>
    <w:rsid w:val="000869A6"/>
    <w:rsid w:val="00096312"/>
    <w:rsid w:val="0009671C"/>
    <w:rsid w:val="000A4657"/>
    <w:rsid w:val="000A46C4"/>
    <w:rsid w:val="000A5E28"/>
    <w:rsid w:val="000B362D"/>
    <w:rsid w:val="000B427D"/>
    <w:rsid w:val="000B52D0"/>
    <w:rsid w:val="000C0C22"/>
    <w:rsid w:val="000C5669"/>
    <w:rsid w:val="000D2CD7"/>
    <w:rsid w:val="000D394D"/>
    <w:rsid w:val="000D433B"/>
    <w:rsid w:val="000E0E67"/>
    <w:rsid w:val="000E3AE7"/>
    <w:rsid w:val="000E59E7"/>
    <w:rsid w:val="000F50F2"/>
    <w:rsid w:val="00102221"/>
    <w:rsid w:val="00103A04"/>
    <w:rsid w:val="0010661E"/>
    <w:rsid w:val="00126491"/>
    <w:rsid w:val="001275F3"/>
    <w:rsid w:val="00141131"/>
    <w:rsid w:val="00145AA7"/>
    <w:rsid w:val="00155C83"/>
    <w:rsid w:val="00155CDB"/>
    <w:rsid w:val="00157ED3"/>
    <w:rsid w:val="001715EA"/>
    <w:rsid w:val="0017228F"/>
    <w:rsid w:val="00172C79"/>
    <w:rsid w:val="00174706"/>
    <w:rsid w:val="0018699B"/>
    <w:rsid w:val="00186ECB"/>
    <w:rsid w:val="001931C6"/>
    <w:rsid w:val="00195607"/>
    <w:rsid w:val="001B6554"/>
    <w:rsid w:val="001D0807"/>
    <w:rsid w:val="001D242F"/>
    <w:rsid w:val="001D51D2"/>
    <w:rsid w:val="001E06B0"/>
    <w:rsid w:val="001E4BD0"/>
    <w:rsid w:val="001F7539"/>
    <w:rsid w:val="00200D53"/>
    <w:rsid w:val="002010AF"/>
    <w:rsid w:val="0020203F"/>
    <w:rsid w:val="002206E5"/>
    <w:rsid w:val="00222FAC"/>
    <w:rsid w:val="0023353B"/>
    <w:rsid w:val="002344E1"/>
    <w:rsid w:val="0023793E"/>
    <w:rsid w:val="00241A16"/>
    <w:rsid w:val="00245A9B"/>
    <w:rsid w:val="0024694E"/>
    <w:rsid w:val="002552DB"/>
    <w:rsid w:val="00263AB5"/>
    <w:rsid w:val="00263BA4"/>
    <w:rsid w:val="00267437"/>
    <w:rsid w:val="002708D8"/>
    <w:rsid w:val="00274ECE"/>
    <w:rsid w:val="00281481"/>
    <w:rsid w:val="002832C5"/>
    <w:rsid w:val="002838F3"/>
    <w:rsid w:val="00290CB5"/>
    <w:rsid w:val="00292AFE"/>
    <w:rsid w:val="00293F4C"/>
    <w:rsid w:val="00295B82"/>
    <w:rsid w:val="002A0E0F"/>
    <w:rsid w:val="002A14B0"/>
    <w:rsid w:val="002A2157"/>
    <w:rsid w:val="002A5837"/>
    <w:rsid w:val="002A6041"/>
    <w:rsid w:val="002A7C8B"/>
    <w:rsid w:val="002B67AE"/>
    <w:rsid w:val="002B7E6D"/>
    <w:rsid w:val="002C113E"/>
    <w:rsid w:val="002C4689"/>
    <w:rsid w:val="002C6125"/>
    <w:rsid w:val="002C74D4"/>
    <w:rsid w:val="002C772A"/>
    <w:rsid w:val="002D2515"/>
    <w:rsid w:val="002D685A"/>
    <w:rsid w:val="002E22E6"/>
    <w:rsid w:val="002E3DDC"/>
    <w:rsid w:val="002E4CA6"/>
    <w:rsid w:val="002E5787"/>
    <w:rsid w:val="002E5E9C"/>
    <w:rsid w:val="002F0A86"/>
    <w:rsid w:val="0030073B"/>
    <w:rsid w:val="003060CC"/>
    <w:rsid w:val="0031184E"/>
    <w:rsid w:val="0031685F"/>
    <w:rsid w:val="00331615"/>
    <w:rsid w:val="00342243"/>
    <w:rsid w:val="0034365F"/>
    <w:rsid w:val="0034377D"/>
    <w:rsid w:val="003449EC"/>
    <w:rsid w:val="003573A6"/>
    <w:rsid w:val="0036484E"/>
    <w:rsid w:val="00366825"/>
    <w:rsid w:val="00374565"/>
    <w:rsid w:val="0037464B"/>
    <w:rsid w:val="00374942"/>
    <w:rsid w:val="003776D6"/>
    <w:rsid w:val="00397575"/>
    <w:rsid w:val="003A2510"/>
    <w:rsid w:val="003A5E00"/>
    <w:rsid w:val="003A6DA6"/>
    <w:rsid w:val="003B1A56"/>
    <w:rsid w:val="003B38A1"/>
    <w:rsid w:val="003B6B68"/>
    <w:rsid w:val="003C15C4"/>
    <w:rsid w:val="003C3097"/>
    <w:rsid w:val="003C497D"/>
    <w:rsid w:val="003C5915"/>
    <w:rsid w:val="003E0341"/>
    <w:rsid w:val="003E4261"/>
    <w:rsid w:val="003E5462"/>
    <w:rsid w:val="003F1AEE"/>
    <w:rsid w:val="003F3820"/>
    <w:rsid w:val="003F4E6B"/>
    <w:rsid w:val="003F574B"/>
    <w:rsid w:val="003F6B0F"/>
    <w:rsid w:val="00413590"/>
    <w:rsid w:val="00414697"/>
    <w:rsid w:val="0045214E"/>
    <w:rsid w:val="00456357"/>
    <w:rsid w:val="00456EAF"/>
    <w:rsid w:val="00462FCA"/>
    <w:rsid w:val="0046617F"/>
    <w:rsid w:val="00467E1A"/>
    <w:rsid w:val="00473AA8"/>
    <w:rsid w:val="004743BE"/>
    <w:rsid w:val="004758C3"/>
    <w:rsid w:val="004861DB"/>
    <w:rsid w:val="00487821"/>
    <w:rsid w:val="00487E54"/>
    <w:rsid w:val="00492678"/>
    <w:rsid w:val="00495584"/>
    <w:rsid w:val="004A050D"/>
    <w:rsid w:val="004A52A5"/>
    <w:rsid w:val="004B0A59"/>
    <w:rsid w:val="004B1532"/>
    <w:rsid w:val="004B3C42"/>
    <w:rsid w:val="004C04AE"/>
    <w:rsid w:val="004C1EFD"/>
    <w:rsid w:val="004C4D41"/>
    <w:rsid w:val="004C5A29"/>
    <w:rsid w:val="004D0D3C"/>
    <w:rsid w:val="004D7E0A"/>
    <w:rsid w:val="004E2668"/>
    <w:rsid w:val="004E5C7C"/>
    <w:rsid w:val="004F1A34"/>
    <w:rsid w:val="004F49DD"/>
    <w:rsid w:val="004F69F7"/>
    <w:rsid w:val="00505EB3"/>
    <w:rsid w:val="0050627A"/>
    <w:rsid w:val="005063D5"/>
    <w:rsid w:val="00510C2E"/>
    <w:rsid w:val="005115DC"/>
    <w:rsid w:val="00514231"/>
    <w:rsid w:val="005167B0"/>
    <w:rsid w:val="00516ED3"/>
    <w:rsid w:val="00525AC9"/>
    <w:rsid w:val="00531521"/>
    <w:rsid w:val="005319DB"/>
    <w:rsid w:val="005442F7"/>
    <w:rsid w:val="00545B10"/>
    <w:rsid w:val="00546248"/>
    <w:rsid w:val="005471E9"/>
    <w:rsid w:val="0055590C"/>
    <w:rsid w:val="005563E3"/>
    <w:rsid w:val="00560030"/>
    <w:rsid w:val="0057013B"/>
    <w:rsid w:val="00572205"/>
    <w:rsid w:val="00574888"/>
    <w:rsid w:val="00577663"/>
    <w:rsid w:val="005805B0"/>
    <w:rsid w:val="00583434"/>
    <w:rsid w:val="00583B6F"/>
    <w:rsid w:val="005A0AF9"/>
    <w:rsid w:val="005B0D98"/>
    <w:rsid w:val="005B2A2F"/>
    <w:rsid w:val="005B3ED2"/>
    <w:rsid w:val="005B6DE1"/>
    <w:rsid w:val="005C225E"/>
    <w:rsid w:val="005C5BE6"/>
    <w:rsid w:val="005D4B05"/>
    <w:rsid w:val="005E5781"/>
    <w:rsid w:val="005F1EAA"/>
    <w:rsid w:val="005F281C"/>
    <w:rsid w:val="005F388F"/>
    <w:rsid w:val="00600D8A"/>
    <w:rsid w:val="006026BC"/>
    <w:rsid w:val="00603178"/>
    <w:rsid w:val="00606E88"/>
    <w:rsid w:val="00613F21"/>
    <w:rsid w:val="00615EA6"/>
    <w:rsid w:val="006206CD"/>
    <w:rsid w:val="006402E5"/>
    <w:rsid w:val="00641CDD"/>
    <w:rsid w:val="00653049"/>
    <w:rsid w:val="00654675"/>
    <w:rsid w:val="00656324"/>
    <w:rsid w:val="00656F9D"/>
    <w:rsid w:val="00661168"/>
    <w:rsid w:val="00662B2E"/>
    <w:rsid w:val="00665A8A"/>
    <w:rsid w:val="006747C6"/>
    <w:rsid w:val="00676F17"/>
    <w:rsid w:val="00682BAD"/>
    <w:rsid w:val="00686F06"/>
    <w:rsid w:val="00695240"/>
    <w:rsid w:val="00695636"/>
    <w:rsid w:val="006A1CB4"/>
    <w:rsid w:val="006A7A13"/>
    <w:rsid w:val="006B0D3E"/>
    <w:rsid w:val="006B3816"/>
    <w:rsid w:val="006B4471"/>
    <w:rsid w:val="006B4568"/>
    <w:rsid w:val="006B638B"/>
    <w:rsid w:val="006C0162"/>
    <w:rsid w:val="006C063B"/>
    <w:rsid w:val="006C2CCB"/>
    <w:rsid w:val="006C3668"/>
    <w:rsid w:val="006C7A40"/>
    <w:rsid w:val="006D6193"/>
    <w:rsid w:val="006D62E6"/>
    <w:rsid w:val="006D6E61"/>
    <w:rsid w:val="006F2182"/>
    <w:rsid w:val="006F447D"/>
    <w:rsid w:val="0070273A"/>
    <w:rsid w:val="00703654"/>
    <w:rsid w:val="00704A5F"/>
    <w:rsid w:val="00707C68"/>
    <w:rsid w:val="00711D9D"/>
    <w:rsid w:val="00712726"/>
    <w:rsid w:val="00712762"/>
    <w:rsid w:val="00714504"/>
    <w:rsid w:val="00714B13"/>
    <w:rsid w:val="007207C3"/>
    <w:rsid w:val="0072182D"/>
    <w:rsid w:val="00721E65"/>
    <w:rsid w:val="007257D0"/>
    <w:rsid w:val="00727CB8"/>
    <w:rsid w:val="007343B3"/>
    <w:rsid w:val="00734F0B"/>
    <w:rsid w:val="007362C4"/>
    <w:rsid w:val="00746D2D"/>
    <w:rsid w:val="00747EF2"/>
    <w:rsid w:val="00754FD8"/>
    <w:rsid w:val="00760C27"/>
    <w:rsid w:val="00764223"/>
    <w:rsid w:val="0076691B"/>
    <w:rsid w:val="00766AC2"/>
    <w:rsid w:val="0077209A"/>
    <w:rsid w:val="00774FF0"/>
    <w:rsid w:val="00777EA5"/>
    <w:rsid w:val="00784BC6"/>
    <w:rsid w:val="00784EB9"/>
    <w:rsid w:val="00787965"/>
    <w:rsid w:val="00794ED5"/>
    <w:rsid w:val="00795D0D"/>
    <w:rsid w:val="00796916"/>
    <w:rsid w:val="00797607"/>
    <w:rsid w:val="007A0331"/>
    <w:rsid w:val="007A5DD2"/>
    <w:rsid w:val="007A6258"/>
    <w:rsid w:val="007B3AD1"/>
    <w:rsid w:val="007C16C8"/>
    <w:rsid w:val="007C6069"/>
    <w:rsid w:val="007C72D0"/>
    <w:rsid w:val="007C75DC"/>
    <w:rsid w:val="007D5F4E"/>
    <w:rsid w:val="007E038C"/>
    <w:rsid w:val="007F2DD4"/>
    <w:rsid w:val="0080777F"/>
    <w:rsid w:val="00821E6D"/>
    <w:rsid w:val="00834C0B"/>
    <w:rsid w:val="008359EC"/>
    <w:rsid w:val="008405E1"/>
    <w:rsid w:val="008422EF"/>
    <w:rsid w:val="00847B4D"/>
    <w:rsid w:val="0085630E"/>
    <w:rsid w:val="0085685E"/>
    <w:rsid w:val="008614B2"/>
    <w:rsid w:val="0086434A"/>
    <w:rsid w:val="008677D0"/>
    <w:rsid w:val="00871B2E"/>
    <w:rsid w:val="00873DAB"/>
    <w:rsid w:val="0088529C"/>
    <w:rsid w:val="00890E7A"/>
    <w:rsid w:val="00893487"/>
    <w:rsid w:val="008A0B6A"/>
    <w:rsid w:val="008A58CE"/>
    <w:rsid w:val="008B345F"/>
    <w:rsid w:val="008B5482"/>
    <w:rsid w:val="008B6B72"/>
    <w:rsid w:val="008B7A68"/>
    <w:rsid w:val="008C161A"/>
    <w:rsid w:val="008D002C"/>
    <w:rsid w:val="008D27F1"/>
    <w:rsid w:val="008D77EC"/>
    <w:rsid w:val="008E3D8C"/>
    <w:rsid w:val="008E4642"/>
    <w:rsid w:val="008E7F36"/>
    <w:rsid w:val="008F277A"/>
    <w:rsid w:val="008F3F7A"/>
    <w:rsid w:val="008F4BE4"/>
    <w:rsid w:val="0090086B"/>
    <w:rsid w:val="00910B66"/>
    <w:rsid w:val="009263A0"/>
    <w:rsid w:val="009322BC"/>
    <w:rsid w:val="00944489"/>
    <w:rsid w:val="00947102"/>
    <w:rsid w:val="009626A4"/>
    <w:rsid w:val="009703CF"/>
    <w:rsid w:val="00972595"/>
    <w:rsid w:val="00973CE4"/>
    <w:rsid w:val="0098665E"/>
    <w:rsid w:val="009908A3"/>
    <w:rsid w:val="0099196E"/>
    <w:rsid w:val="00993FD9"/>
    <w:rsid w:val="00995782"/>
    <w:rsid w:val="009A20DB"/>
    <w:rsid w:val="009B1B97"/>
    <w:rsid w:val="009B2B26"/>
    <w:rsid w:val="009B4A5B"/>
    <w:rsid w:val="009B706B"/>
    <w:rsid w:val="009B75AD"/>
    <w:rsid w:val="009C6E38"/>
    <w:rsid w:val="009C7CB8"/>
    <w:rsid w:val="009D1B10"/>
    <w:rsid w:val="009D1CF9"/>
    <w:rsid w:val="009D1E10"/>
    <w:rsid w:val="009D3E6E"/>
    <w:rsid w:val="009D4054"/>
    <w:rsid w:val="009D5A55"/>
    <w:rsid w:val="009E086D"/>
    <w:rsid w:val="009E11B4"/>
    <w:rsid w:val="009E48F8"/>
    <w:rsid w:val="009E533E"/>
    <w:rsid w:val="009E6F93"/>
    <w:rsid w:val="009F46A3"/>
    <w:rsid w:val="00A03B9B"/>
    <w:rsid w:val="00A11424"/>
    <w:rsid w:val="00A1156C"/>
    <w:rsid w:val="00A12059"/>
    <w:rsid w:val="00A12D68"/>
    <w:rsid w:val="00A13997"/>
    <w:rsid w:val="00A1416C"/>
    <w:rsid w:val="00A16F8D"/>
    <w:rsid w:val="00A17FF8"/>
    <w:rsid w:val="00A25DFA"/>
    <w:rsid w:val="00A301FC"/>
    <w:rsid w:val="00A359B3"/>
    <w:rsid w:val="00A414DC"/>
    <w:rsid w:val="00A64B2A"/>
    <w:rsid w:val="00A66C51"/>
    <w:rsid w:val="00A70F62"/>
    <w:rsid w:val="00A72712"/>
    <w:rsid w:val="00A7444D"/>
    <w:rsid w:val="00A85D24"/>
    <w:rsid w:val="00A9673E"/>
    <w:rsid w:val="00AA11EA"/>
    <w:rsid w:val="00AA662D"/>
    <w:rsid w:val="00AB2B46"/>
    <w:rsid w:val="00AB4EE0"/>
    <w:rsid w:val="00AB593B"/>
    <w:rsid w:val="00AC15E7"/>
    <w:rsid w:val="00AC5800"/>
    <w:rsid w:val="00AC7982"/>
    <w:rsid w:val="00AD0B93"/>
    <w:rsid w:val="00AE024A"/>
    <w:rsid w:val="00AE2AF8"/>
    <w:rsid w:val="00AE51FF"/>
    <w:rsid w:val="00AF4A28"/>
    <w:rsid w:val="00AF4ADA"/>
    <w:rsid w:val="00B03BFB"/>
    <w:rsid w:val="00B07DD9"/>
    <w:rsid w:val="00B122E0"/>
    <w:rsid w:val="00B23278"/>
    <w:rsid w:val="00B23525"/>
    <w:rsid w:val="00B329FF"/>
    <w:rsid w:val="00B37DF1"/>
    <w:rsid w:val="00B5069F"/>
    <w:rsid w:val="00B55038"/>
    <w:rsid w:val="00B624D8"/>
    <w:rsid w:val="00B77B4B"/>
    <w:rsid w:val="00B87FE3"/>
    <w:rsid w:val="00B93E34"/>
    <w:rsid w:val="00B953C7"/>
    <w:rsid w:val="00BA05DD"/>
    <w:rsid w:val="00BA0B03"/>
    <w:rsid w:val="00BA10F2"/>
    <w:rsid w:val="00BA367A"/>
    <w:rsid w:val="00BA3A7D"/>
    <w:rsid w:val="00BA52DB"/>
    <w:rsid w:val="00BB4618"/>
    <w:rsid w:val="00BC105E"/>
    <w:rsid w:val="00BD1485"/>
    <w:rsid w:val="00BD2089"/>
    <w:rsid w:val="00BD3913"/>
    <w:rsid w:val="00BE12D8"/>
    <w:rsid w:val="00BE28AE"/>
    <w:rsid w:val="00BE4523"/>
    <w:rsid w:val="00BF0E24"/>
    <w:rsid w:val="00BF5C75"/>
    <w:rsid w:val="00C003AC"/>
    <w:rsid w:val="00C1147C"/>
    <w:rsid w:val="00C11526"/>
    <w:rsid w:val="00C1530F"/>
    <w:rsid w:val="00C16CD5"/>
    <w:rsid w:val="00C27A42"/>
    <w:rsid w:val="00C30418"/>
    <w:rsid w:val="00C34DDF"/>
    <w:rsid w:val="00C34E1F"/>
    <w:rsid w:val="00C3593C"/>
    <w:rsid w:val="00C4038E"/>
    <w:rsid w:val="00C417BC"/>
    <w:rsid w:val="00C453F3"/>
    <w:rsid w:val="00C45F94"/>
    <w:rsid w:val="00C471A1"/>
    <w:rsid w:val="00C522EE"/>
    <w:rsid w:val="00C552C2"/>
    <w:rsid w:val="00C61306"/>
    <w:rsid w:val="00C6199C"/>
    <w:rsid w:val="00C718E7"/>
    <w:rsid w:val="00C71E26"/>
    <w:rsid w:val="00C86C4D"/>
    <w:rsid w:val="00C92C26"/>
    <w:rsid w:val="00C94BAC"/>
    <w:rsid w:val="00C97E14"/>
    <w:rsid w:val="00CA046E"/>
    <w:rsid w:val="00CA6D84"/>
    <w:rsid w:val="00CB2A73"/>
    <w:rsid w:val="00CB32BB"/>
    <w:rsid w:val="00CB45E5"/>
    <w:rsid w:val="00CC692C"/>
    <w:rsid w:val="00CD3350"/>
    <w:rsid w:val="00CD55A3"/>
    <w:rsid w:val="00CD590B"/>
    <w:rsid w:val="00CD6FC3"/>
    <w:rsid w:val="00CE2662"/>
    <w:rsid w:val="00CE44AC"/>
    <w:rsid w:val="00CE4BF8"/>
    <w:rsid w:val="00CF0CDF"/>
    <w:rsid w:val="00CF656D"/>
    <w:rsid w:val="00D164F5"/>
    <w:rsid w:val="00D2050E"/>
    <w:rsid w:val="00D30042"/>
    <w:rsid w:val="00D32CB8"/>
    <w:rsid w:val="00D4197A"/>
    <w:rsid w:val="00D43AF4"/>
    <w:rsid w:val="00D57F18"/>
    <w:rsid w:val="00D63E98"/>
    <w:rsid w:val="00D65173"/>
    <w:rsid w:val="00D66E43"/>
    <w:rsid w:val="00D73FED"/>
    <w:rsid w:val="00D85A16"/>
    <w:rsid w:val="00D92383"/>
    <w:rsid w:val="00D932C4"/>
    <w:rsid w:val="00D94C52"/>
    <w:rsid w:val="00D9605A"/>
    <w:rsid w:val="00D96F4B"/>
    <w:rsid w:val="00DA1B6F"/>
    <w:rsid w:val="00DA5786"/>
    <w:rsid w:val="00DA7863"/>
    <w:rsid w:val="00DA7AE6"/>
    <w:rsid w:val="00DB35EE"/>
    <w:rsid w:val="00DB3888"/>
    <w:rsid w:val="00DB5B4C"/>
    <w:rsid w:val="00DC3A68"/>
    <w:rsid w:val="00DC414E"/>
    <w:rsid w:val="00DD25F5"/>
    <w:rsid w:val="00DE53FA"/>
    <w:rsid w:val="00E00A07"/>
    <w:rsid w:val="00E031DB"/>
    <w:rsid w:val="00E21A6F"/>
    <w:rsid w:val="00E226B1"/>
    <w:rsid w:val="00E259AE"/>
    <w:rsid w:val="00E313C7"/>
    <w:rsid w:val="00E31F93"/>
    <w:rsid w:val="00E35D99"/>
    <w:rsid w:val="00E40BD0"/>
    <w:rsid w:val="00E417DD"/>
    <w:rsid w:val="00E465FB"/>
    <w:rsid w:val="00E54A56"/>
    <w:rsid w:val="00E561F0"/>
    <w:rsid w:val="00E632C0"/>
    <w:rsid w:val="00E6578E"/>
    <w:rsid w:val="00E6635E"/>
    <w:rsid w:val="00E74F25"/>
    <w:rsid w:val="00E87343"/>
    <w:rsid w:val="00E914F3"/>
    <w:rsid w:val="00E916F2"/>
    <w:rsid w:val="00EA079F"/>
    <w:rsid w:val="00EA247C"/>
    <w:rsid w:val="00EA2C7F"/>
    <w:rsid w:val="00EA373D"/>
    <w:rsid w:val="00EA3879"/>
    <w:rsid w:val="00EA42A3"/>
    <w:rsid w:val="00EA7A3E"/>
    <w:rsid w:val="00EC2BB4"/>
    <w:rsid w:val="00EC2EEC"/>
    <w:rsid w:val="00EC59EE"/>
    <w:rsid w:val="00ED04E9"/>
    <w:rsid w:val="00ED1816"/>
    <w:rsid w:val="00EE0BA9"/>
    <w:rsid w:val="00EE50DD"/>
    <w:rsid w:val="00EE59A4"/>
    <w:rsid w:val="00EE5E8D"/>
    <w:rsid w:val="00EE7671"/>
    <w:rsid w:val="00EF05B1"/>
    <w:rsid w:val="00EF1915"/>
    <w:rsid w:val="00F07C3C"/>
    <w:rsid w:val="00F1030A"/>
    <w:rsid w:val="00F105ED"/>
    <w:rsid w:val="00F17A92"/>
    <w:rsid w:val="00F20E70"/>
    <w:rsid w:val="00F22F30"/>
    <w:rsid w:val="00F23719"/>
    <w:rsid w:val="00F263A5"/>
    <w:rsid w:val="00F31B31"/>
    <w:rsid w:val="00F32747"/>
    <w:rsid w:val="00F36D9D"/>
    <w:rsid w:val="00F40117"/>
    <w:rsid w:val="00F46E83"/>
    <w:rsid w:val="00F474BB"/>
    <w:rsid w:val="00F47B24"/>
    <w:rsid w:val="00F5343A"/>
    <w:rsid w:val="00F53857"/>
    <w:rsid w:val="00F553B2"/>
    <w:rsid w:val="00F63600"/>
    <w:rsid w:val="00F66BF1"/>
    <w:rsid w:val="00F67C47"/>
    <w:rsid w:val="00F73A52"/>
    <w:rsid w:val="00F73EB5"/>
    <w:rsid w:val="00F75E88"/>
    <w:rsid w:val="00F77553"/>
    <w:rsid w:val="00F82A0C"/>
    <w:rsid w:val="00F849AF"/>
    <w:rsid w:val="00F86376"/>
    <w:rsid w:val="00F905ED"/>
    <w:rsid w:val="00F90CB7"/>
    <w:rsid w:val="00F91C4B"/>
    <w:rsid w:val="00F951EC"/>
    <w:rsid w:val="00F9566E"/>
    <w:rsid w:val="00F96B7C"/>
    <w:rsid w:val="00FA0A93"/>
    <w:rsid w:val="00FB09F2"/>
    <w:rsid w:val="00FB61D5"/>
    <w:rsid w:val="00FB6EC2"/>
    <w:rsid w:val="00FC0CF7"/>
    <w:rsid w:val="00FC1179"/>
    <w:rsid w:val="00FC46DA"/>
    <w:rsid w:val="00FC51F2"/>
    <w:rsid w:val="00FD029C"/>
    <w:rsid w:val="00FD2E6C"/>
    <w:rsid w:val="00FD4FE5"/>
    <w:rsid w:val="00FE082B"/>
    <w:rsid w:val="00FE7421"/>
    <w:rsid w:val="00FE7E51"/>
    <w:rsid w:val="286262C0"/>
    <w:rsid w:val="2D12063C"/>
    <w:rsid w:val="4DEF1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qFormat="1" w:unhideWhenUsed="0" w:uiPriority="0"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iPriority="0" w:semiHidden="0" w:name="page number"/>
    <w:lsdException w:uiPriority="99" w:name="endnote reference"/>
    <w:lsdException w:uiPriority="99" w:name="endnote text"/>
    <w:lsdException w:qFormat="1"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0"/>
    <w:qFormat/>
    <w:uiPriority w:val="0"/>
    <w:pPr>
      <w:keepNext/>
      <w:keepLines/>
      <w:numPr>
        <w:ilvl w:val="0"/>
        <w:numId w:val="1"/>
      </w:numPr>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51"/>
    <w:unhideWhenUsed/>
    <w:qFormat/>
    <w:uiPriority w:val="0"/>
    <w:pPr>
      <w:keepNext/>
      <w:keepLines/>
      <w:numPr>
        <w:ilvl w:val="1"/>
        <w:numId w:val="1"/>
      </w:numPr>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52"/>
    <w:unhideWhenUsed/>
    <w:qFormat/>
    <w:uiPriority w:val="0"/>
    <w:pPr>
      <w:keepNext/>
      <w:keepLines/>
      <w:numPr>
        <w:ilvl w:val="2"/>
        <w:numId w:val="1"/>
      </w:numPr>
      <w:spacing w:before="260" w:after="260" w:line="416" w:lineRule="auto"/>
      <w:outlineLvl w:val="2"/>
    </w:pPr>
    <w:rPr>
      <w:rFonts w:ascii="Calibri" w:hAnsi="Calibri" w:eastAsia="宋体" w:cs="Times New Roman"/>
      <w:b/>
      <w:bCs/>
      <w:sz w:val="32"/>
      <w:szCs w:val="32"/>
    </w:rPr>
  </w:style>
  <w:style w:type="paragraph" w:styleId="5">
    <w:name w:val="heading 4"/>
    <w:basedOn w:val="1"/>
    <w:next w:val="1"/>
    <w:link w:val="53"/>
    <w:unhideWhenUsed/>
    <w:qFormat/>
    <w:uiPriority w:val="0"/>
    <w:pPr>
      <w:keepNext/>
      <w:keepLines/>
      <w:numPr>
        <w:ilvl w:val="3"/>
        <w:numId w:val="1"/>
      </w:numPr>
      <w:spacing w:before="280" w:after="290" w:line="376" w:lineRule="auto"/>
      <w:outlineLvl w:val="3"/>
    </w:pPr>
    <w:rPr>
      <w:rFonts w:ascii="Cambria" w:hAnsi="Cambria" w:eastAsia="宋体" w:cs="Times New Roman"/>
      <w:b/>
      <w:bCs/>
      <w:sz w:val="28"/>
      <w:szCs w:val="28"/>
    </w:rPr>
  </w:style>
  <w:style w:type="paragraph" w:styleId="6">
    <w:name w:val="heading 5"/>
    <w:basedOn w:val="1"/>
    <w:next w:val="1"/>
    <w:link w:val="54"/>
    <w:unhideWhenUsed/>
    <w:qFormat/>
    <w:uiPriority w:val="0"/>
    <w:pPr>
      <w:keepNext/>
      <w:keepLines/>
      <w:numPr>
        <w:ilvl w:val="4"/>
        <w:numId w:val="1"/>
      </w:numPr>
      <w:spacing w:before="280" w:after="290" w:line="376" w:lineRule="auto"/>
      <w:outlineLvl w:val="4"/>
    </w:pPr>
    <w:rPr>
      <w:rFonts w:ascii="Calibri" w:hAnsi="Calibri" w:eastAsia="宋体" w:cs="Times New Roman"/>
      <w:b/>
      <w:bCs/>
      <w:sz w:val="28"/>
      <w:szCs w:val="28"/>
    </w:rPr>
  </w:style>
  <w:style w:type="paragraph" w:styleId="7">
    <w:name w:val="heading 6"/>
    <w:basedOn w:val="1"/>
    <w:next w:val="1"/>
    <w:link w:val="55"/>
    <w:unhideWhenUsed/>
    <w:qFormat/>
    <w:uiPriority w:val="0"/>
    <w:pPr>
      <w:keepNext/>
      <w:keepLines/>
      <w:numPr>
        <w:ilvl w:val="5"/>
        <w:numId w:val="1"/>
      </w:numPr>
      <w:spacing w:before="240" w:after="64" w:line="320" w:lineRule="auto"/>
      <w:outlineLvl w:val="5"/>
    </w:pPr>
    <w:rPr>
      <w:rFonts w:ascii="Cambria" w:hAnsi="Cambria" w:eastAsia="宋体" w:cs="Times New Roman"/>
      <w:b/>
      <w:bCs/>
      <w:sz w:val="24"/>
      <w:szCs w:val="24"/>
    </w:rPr>
  </w:style>
  <w:style w:type="paragraph" w:styleId="8">
    <w:name w:val="heading 7"/>
    <w:basedOn w:val="1"/>
    <w:next w:val="1"/>
    <w:link w:val="56"/>
    <w:unhideWhenUsed/>
    <w:qFormat/>
    <w:uiPriority w:val="0"/>
    <w:pPr>
      <w:keepNext/>
      <w:keepLines/>
      <w:numPr>
        <w:ilvl w:val="6"/>
        <w:numId w:val="1"/>
      </w:numPr>
      <w:spacing w:before="240" w:after="64" w:line="320" w:lineRule="auto"/>
      <w:outlineLvl w:val="6"/>
    </w:pPr>
    <w:rPr>
      <w:rFonts w:ascii="Calibri" w:hAnsi="Calibri" w:eastAsia="宋体" w:cs="Times New Roman"/>
      <w:b/>
      <w:bCs/>
      <w:sz w:val="24"/>
      <w:szCs w:val="24"/>
    </w:rPr>
  </w:style>
  <w:style w:type="paragraph" w:styleId="9">
    <w:name w:val="heading 8"/>
    <w:basedOn w:val="1"/>
    <w:next w:val="1"/>
    <w:link w:val="57"/>
    <w:unhideWhenUsed/>
    <w:qFormat/>
    <w:uiPriority w:val="0"/>
    <w:pPr>
      <w:keepNext/>
      <w:keepLines/>
      <w:numPr>
        <w:ilvl w:val="7"/>
        <w:numId w:val="1"/>
      </w:numPr>
      <w:spacing w:before="240" w:after="64" w:line="320" w:lineRule="auto"/>
      <w:outlineLvl w:val="7"/>
    </w:pPr>
    <w:rPr>
      <w:rFonts w:ascii="Cambria" w:hAnsi="Cambria" w:eastAsia="宋体" w:cs="Times New Roman"/>
      <w:sz w:val="24"/>
      <w:szCs w:val="24"/>
    </w:rPr>
  </w:style>
  <w:style w:type="paragraph" w:styleId="10">
    <w:name w:val="heading 9"/>
    <w:basedOn w:val="1"/>
    <w:next w:val="1"/>
    <w:link w:val="58"/>
    <w:unhideWhenUsed/>
    <w:qFormat/>
    <w:uiPriority w:val="0"/>
    <w:pPr>
      <w:keepNext/>
      <w:keepLines/>
      <w:numPr>
        <w:ilvl w:val="8"/>
        <w:numId w:val="1"/>
      </w:numPr>
      <w:spacing w:before="240" w:after="64" w:line="320" w:lineRule="auto"/>
      <w:outlineLvl w:val="8"/>
    </w:pPr>
    <w:rPr>
      <w:rFonts w:ascii="Cambria" w:hAnsi="Cambria" w:eastAsia="宋体" w:cs="Times New Roman"/>
      <w:szCs w:val="21"/>
    </w:rPr>
  </w:style>
  <w:style w:type="character" w:default="1" w:styleId="42">
    <w:name w:val="Default Paragraph Font"/>
    <w:semiHidden/>
    <w:unhideWhenUsed/>
    <w:uiPriority w:val="1"/>
  </w:style>
  <w:style w:type="table" w:default="1" w:styleId="40">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260"/>
      <w:jc w:val="left"/>
    </w:pPr>
    <w:rPr>
      <w:rFonts w:ascii="Calibri" w:hAnsi="Calibri" w:eastAsia="宋体" w:cs="Times New Roman"/>
      <w:sz w:val="18"/>
      <w:szCs w:val="18"/>
    </w:rPr>
  </w:style>
  <w:style w:type="paragraph" w:styleId="12">
    <w:name w:val="table of authorities"/>
    <w:basedOn w:val="1"/>
    <w:next w:val="1"/>
    <w:semiHidden/>
    <w:unhideWhenUsed/>
    <w:qFormat/>
    <w:uiPriority w:val="99"/>
    <w:pPr>
      <w:ind w:left="420" w:leftChars="200"/>
    </w:pPr>
    <w:rPr>
      <w:rFonts w:ascii="Calibri" w:hAnsi="Calibri" w:eastAsia="宋体" w:cs="Times New Roman"/>
    </w:rPr>
  </w:style>
  <w:style w:type="paragraph" w:styleId="13">
    <w:name w:val="Normal Indent"/>
    <w:basedOn w:val="1"/>
    <w:uiPriority w:val="0"/>
    <w:pPr>
      <w:spacing w:beforeLines="10" w:afterLines="10" w:line="360" w:lineRule="auto"/>
      <w:ind w:firstLine="420" w:firstLineChars="200"/>
    </w:pPr>
    <w:rPr>
      <w:rFonts w:ascii="Times New Roman" w:hAnsi="Times New Roman" w:eastAsia="宋体" w:cs="Times New Roman"/>
      <w:sz w:val="24"/>
      <w:szCs w:val="24"/>
    </w:rPr>
  </w:style>
  <w:style w:type="paragraph" w:styleId="14">
    <w:name w:val="Document Map"/>
    <w:basedOn w:val="1"/>
    <w:link w:val="63"/>
    <w:semiHidden/>
    <w:unhideWhenUsed/>
    <w:uiPriority w:val="99"/>
    <w:rPr>
      <w:rFonts w:ascii="宋体" w:hAnsi="Calibri" w:eastAsia="宋体" w:cs="Times New Roman"/>
      <w:sz w:val="18"/>
      <w:szCs w:val="18"/>
    </w:rPr>
  </w:style>
  <w:style w:type="paragraph" w:styleId="15">
    <w:name w:val="toa heading"/>
    <w:basedOn w:val="1"/>
    <w:next w:val="12"/>
    <w:semiHidden/>
    <w:qFormat/>
    <w:uiPriority w:val="0"/>
    <w:pPr>
      <w:keepNext/>
      <w:spacing w:before="120" w:after="120" w:line="240" w:lineRule="exact"/>
      <w:jc w:val="center"/>
    </w:pPr>
    <w:rPr>
      <w:rFonts w:ascii="Times New Roman" w:hAnsi="Times New Roman" w:eastAsia="宋体" w:cs="Times New Roman"/>
      <w:b/>
      <w:bCs/>
      <w:caps/>
      <w:kern w:val="0"/>
      <w:sz w:val="24"/>
      <w:szCs w:val="24"/>
      <w:lang w:val="en-GB"/>
    </w:rPr>
  </w:style>
  <w:style w:type="paragraph" w:styleId="16">
    <w:name w:val="annotation text"/>
    <w:basedOn w:val="1"/>
    <w:link w:val="78"/>
    <w:qFormat/>
    <w:uiPriority w:val="99"/>
    <w:pPr>
      <w:jc w:val="left"/>
    </w:pPr>
    <w:rPr>
      <w:rFonts w:ascii="Times New Roman" w:hAnsi="Times New Roman" w:eastAsia="宋体" w:cs="Times New Roman"/>
      <w:szCs w:val="24"/>
    </w:rPr>
  </w:style>
  <w:style w:type="paragraph" w:styleId="17">
    <w:name w:val="Body Text"/>
    <w:basedOn w:val="1"/>
    <w:link w:val="83"/>
    <w:unhideWhenUsed/>
    <w:qFormat/>
    <w:uiPriority w:val="99"/>
    <w:pPr>
      <w:spacing w:after="120"/>
    </w:pPr>
    <w:rPr>
      <w:rFonts w:ascii="Calibri" w:hAnsi="Calibri" w:eastAsia="宋体" w:cs="Times New Roman"/>
    </w:rPr>
  </w:style>
  <w:style w:type="paragraph" w:styleId="18">
    <w:name w:val="Body Text Indent"/>
    <w:basedOn w:val="1"/>
    <w:link w:val="66"/>
    <w:qFormat/>
    <w:uiPriority w:val="0"/>
    <w:pPr>
      <w:spacing w:beforeLines="10" w:afterLines="10" w:line="360" w:lineRule="auto"/>
      <w:ind w:left="2205"/>
    </w:pPr>
    <w:rPr>
      <w:rFonts w:ascii="宋体" w:hAnsi="Times New Roman" w:eastAsia="宋体" w:cs="Times New Roman"/>
      <w:bCs/>
      <w:sz w:val="24"/>
      <w:szCs w:val="20"/>
    </w:rPr>
  </w:style>
  <w:style w:type="paragraph" w:styleId="19">
    <w:name w:val="Block Text"/>
    <w:basedOn w:val="1"/>
    <w:qFormat/>
    <w:uiPriority w:val="0"/>
    <w:pPr>
      <w:spacing w:beforeLines="10" w:afterLines="10" w:line="360" w:lineRule="auto"/>
      <w:ind w:left="-107" w:leftChars="-175" w:right="18" w:hanging="313" w:hangingChars="87"/>
      <w:jc w:val="center"/>
    </w:pPr>
    <w:rPr>
      <w:rFonts w:ascii="CG Times" w:hAnsi="CG Times" w:eastAsia="黑体" w:cs="Times New Roman"/>
      <w:sz w:val="36"/>
      <w:szCs w:val="24"/>
    </w:rPr>
  </w:style>
  <w:style w:type="paragraph" w:styleId="20">
    <w:name w:val="toc 5"/>
    <w:basedOn w:val="1"/>
    <w:next w:val="1"/>
    <w:unhideWhenUsed/>
    <w:qFormat/>
    <w:uiPriority w:val="39"/>
    <w:pPr>
      <w:ind w:left="840"/>
      <w:jc w:val="left"/>
    </w:pPr>
    <w:rPr>
      <w:rFonts w:ascii="Calibri" w:hAnsi="Calibri" w:eastAsia="宋体" w:cs="Times New Roman"/>
      <w:sz w:val="18"/>
      <w:szCs w:val="18"/>
    </w:rPr>
  </w:style>
  <w:style w:type="paragraph" w:styleId="21">
    <w:name w:val="toc 3"/>
    <w:basedOn w:val="1"/>
    <w:next w:val="1"/>
    <w:unhideWhenUsed/>
    <w:qFormat/>
    <w:uiPriority w:val="39"/>
    <w:pPr>
      <w:ind w:left="420"/>
      <w:jc w:val="left"/>
    </w:pPr>
    <w:rPr>
      <w:rFonts w:ascii="Calibri" w:hAnsi="Calibri" w:eastAsia="宋体" w:cs="Times New Roman"/>
      <w:i/>
      <w:iCs/>
      <w:sz w:val="20"/>
      <w:szCs w:val="20"/>
    </w:rPr>
  </w:style>
  <w:style w:type="paragraph" w:styleId="22">
    <w:name w:val="Plain Text"/>
    <w:basedOn w:val="1"/>
    <w:link w:val="72"/>
    <w:qFormat/>
    <w:uiPriority w:val="0"/>
    <w:pPr>
      <w:spacing w:afterLines="50" w:line="312" w:lineRule="auto"/>
      <w:ind w:firstLine="200" w:firstLineChars="200"/>
    </w:pPr>
    <w:rPr>
      <w:rFonts w:ascii="Times New Roman" w:hAnsi="Times New Roman" w:eastAsia="宋体" w:cs="Courier New"/>
      <w:szCs w:val="21"/>
    </w:rPr>
  </w:style>
  <w:style w:type="paragraph" w:styleId="23">
    <w:name w:val="toc 8"/>
    <w:basedOn w:val="1"/>
    <w:next w:val="1"/>
    <w:unhideWhenUsed/>
    <w:qFormat/>
    <w:uiPriority w:val="39"/>
    <w:pPr>
      <w:ind w:left="1470"/>
      <w:jc w:val="left"/>
    </w:pPr>
    <w:rPr>
      <w:rFonts w:ascii="Calibri" w:hAnsi="Calibri" w:eastAsia="宋体" w:cs="Times New Roman"/>
      <w:sz w:val="18"/>
      <w:szCs w:val="18"/>
    </w:rPr>
  </w:style>
  <w:style w:type="paragraph" w:styleId="24">
    <w:name w:val="Date"/>
    <w:basedOn w:val="1"/>
    <w:next w:val="1"/>
    <w:link w:val="60"/>
    <w:unhideWhenUsed/>
    <w:qFormat/>
    <w:uiPriority w:val="0"/>
    <w:pPr>
      <w:ind w:left="100" w:leftChars="2500"/>
    </w:pPr>
    <w:rPr>
      <w:rFonts w:ascii="Calibri" w:hAnsi="Calibri" w:eastAsia="宋体" w:cs="Times New Roman"/>
    </w:rPr>
  </w:style>
  <w:style w:type="paragraph" w:styleId="25">
    <w:name w:val="Body Text Indent 2"/>
    <w:basedOn w:val="1"/>
    <w:link w:val="82"/>
    <w:semiHidden/>
    <w:unhideWhenUsed/>
    <w:qFormat/>
    <w:uiPriority w:val="99"/>
    <w:pPr>
      <w:spacing w:after="120" w:line="480" w:lineRule="auto"/>
      <w:ind w:left="420" w:leftChars="200"/>
    </w:pPr>
    <w:rPr>
      <w:rFonts w:ascii="Calibri" w:hAnsi="Calibri" w:eastAsia="宋体" w:cs="Times New Roman"/>
    </w:rPr>
  </w:style>
  <w:style w:type="paragraph" w:styleId="26">
    <w:name w:val="Balloon Text"/>
    <w:basedOn w:val="1"/>
    <w:link w:val="59"/>
    <w:semiHidden/>
    <w:unhideWhenUsed/>
    <w:qFormat/>
    <w:uiPriority w:val="99"/>
    <w:rPr>
      <w:rFonts w:ascii="Calibri" w:hAnsi="Calibri" w:eastAsia="宋体" w:cs="Times New Roman"/>
      <w:sz w:val="18"/>
      <w:szCs w:val="18"/>
    </w:rPr>
  </w:style>
  <w:style w:type="paragraph" w:styleId="27">
    <w:name w:val="footer"/>
    <w:basedOn w:val="1"/>
    <w:link w:val="49"/>
    <w:unhideWhenUsed/>
    <w:qFormat/>
    <w:uiPriority w:val="99"/>
    <w:pPr>
      <w:tabs>
        <w:tab w:val="center" w:pos="4153"/>
        <w:tab w:val="right" w:pos="8306"/>
      </w:tabs>
      <w:snapToGrid w:val="0"/>
      <w:jc w:val="left"/>
    </w:pPr>
    <w:rPr>
      <w:sz w:val="18"/>
      <w:szCs w:val="18"/>
    </w:rPr>
  </w:style>
  <w:style w:type="paragraph" w:styleId="28">
    <w:name w:val="header"/>
    <w:basedOn w:val="1"/>
    <w:link w:val="48"/>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pPr>
      <w:tabs>
        <w:tab w:val="left" w:pos="630"/>
        <w:tab w:val="right" w:leader="dot" w:pos="8302"/>
      </w:tabs>
      <w:spacing w:before="100" w:beforeAutospacing="1" w:after="100" w:afterAutospacing="1"/>
      <w:jc w:val="left"/>
    </w:pPr>
    <w:rPr>
      <w:rFonts w:ascii="Times New Roman" w:hAnsi="Times New Roman" w:eastAsia="宋体" w:cs="Times New Roman"/>
      <w:b/>
      <w:bCs/>
      <w:caps/>
      <w:sz w:val="24"/>
      <w:szCs w:val="20"/>
    </w:rPr>
  </w:style>
  <w:style w:type="paragraph" w:styleId="30">
    <w:name w:val="toc 4"/>
    <w:basedOn w:val="1"/>
    <w:next w:val="1"/>
    <w:unhideWhenUsed/>
    <w:qFormat/>
    <w:uiPriority w:val="39"/>
    <w:pPr>
      <w:ind w:left="630"/>
      <w:jc w:val="left"/>
    </w:pPr>
    <w:rPr>
      <w:rFonts w:ascii="Calibri" w:hAnsi="Calibri" w:eastAsia="宋体" w:cs="Times New Roman"/>
      <w:sz w:val="18"/>
      <w:szCs w:val="18"/>
    </w:rPr>
  </w:style>
  <w:style w:type="paragraph" w:styleId="31">
    <w:name w:val="footnote text"/>
    <w:basedOn w:val="1"/>
    <w:link w:val="75"/>
    <w:semiHidden/>
    <w:qFormat/>
    <w:uiPriority w:val="0"/>
    <w:pPr>
      <w:snapToGrid w:val="0"/>
      <w:jc w:val="left"/>
    </w:pPr>
    <w:rPr>
      <w:rFonts w:ascii="Times New Roman" w:hAnsi="Times New Roman" w:eastAsia="宋体" w:cs="Times New Roman"/>
      <w:sz w:val="18"/>
      <w:szCs w:val="18"/>
    </w:rPr>
  </w:style>
  <w:style w:type="paragraph" w:styleId="32">
    <w:name w:val="toc 6"/>
    <w:basedOn w:val="1"/>
    <w:next w:val="1"/>
    <w:unhideWhenUsed/>
    <w:qFormat/>
    <w:uiPriority w:val="39"/>
    <w:pPr>
      <w:ind w:left="1050"/>
      <w:jc w:val="left"/>
    </w:pPr>
    <w:rPr>
      <w:rFonts w:ascii="Calibri" w:hAnsi="Calibri" w:eastAsia="宋体" w:cs="Times New Roman"/>
      <w:sz w:val="18"/>
      <w:szCs w:val="18"/>
    </w:rPr>
  </w:style>
  <w:style w:type="paragraph" w:styleId="33">
    <w:name w:val="toc 2"/>
    <w:basedOn w:val="1"/>
    <w:next w:val="1"/>
    <w:unhideWhenUsed/>
    <w:qFormat/>
    <w:uiPriority w:val="39"/>
    <w:pPr>
      <w:ind w:left="210"/>
      <w:jc w:val="left"/>
    </w:pPr>
    <w:rPr>
      <w:rFonts w:ascii="Calibri" w:hAnsi="Calibri" w:eastAsia="宋体" w:cs="Times New Roman"/>
      <w:smallCaps/>
      <w:sz w:val="20"/>
      <w:szCs w:val="20"/>
    </w:rPr>
  </w:style>
  <w:style w:type="paragraph" w:styleId="34">
    <w:name w:val="toc 9"/>
    <w:basedOn w:val="1"/>
    <w:next w:val="1"/>
    <w:unhideWhenUsed/>
    <w:qFormat/>
    <w:uiPriority w:val="39"/>
    <w:pPr>
      <w:ind w:left="1680"/>
      <w:jc w:val="left"/>
    </w:pPr>
    <w:rPr>
      <w:rFonts w:ascii="Calibri" w:hAnsi="Calibri" w:eastAsia="宋体" w:cs="Times New Roman"/>
      <w:sz w:val="18"/>
      <w:szCs w:val="18"/>
    </w:rPr>
  </w:style>
  <w:style w:type="paragraph" w:styleId="35">
    <w:name w:val="Body Text 2"/>
    <w:basedOn w:val="1"/>
    <w:link w:val="79"/>
    <w:qFormat/>
    <w:uiPriority w:val="0"/>
    <w:pPr>
      <w:widowControl/>
      <w:numPr>
        <w:ilvl w:val="0"/>
        <w:numId w:val="2"/>
      </w:numPr>
      <w:tabs>
        <w:tab w:val="clear" w:pos="1440"/>
      </w:tabs>
      <w:spacing w:beforeLines="50" w:line="336" w:lineRule="auto"/>
      <w:ind w:left="0" w:firstLine="0"/>
      <w:jc w:val="left"/>
    </w:pPr>
    <w:rPr>
      <w:rFonts w:ascii="Times New Roman" w:hAnsi="Times New Roman" w:eastAsia="黑体" w:cs="Times New Roman"/>
      <w:kern w:val="0"/>
      <w:sz w:val="24"/>
      <w:szCs w:val="20"/>
      <w:lang w:val="en-GB"/>
    </w:rPr>
  </w:style>
  <w:style w:type="paragraph" w:styleId="3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37">
    <w:name w:val="Title"/>
    <w:basedOn w:val="1"/>
    <w:next w:val="1"/>
    <w:link w:val="64"/>
    <w:qFormat/>
    <w:uiPriority w:val="10"/>
    <w:pPr>
      <w:spacing w:before="240" w:after="60"/>
      <w:jc w:val="center"/>
      <w:outlineLvl w:val="0"/>
    </w:pPr>
    <w:rPr>
      <w:rFonts w:ascii="Cambria" w:hAnsi="Cambria" w:eastAsia="宋体" w:cs="Times New Roman"/>
      <w:b/>
      <w:bCs/>
      <w:sz w:val="32"/>
      <w:szCs w:val="32"/>
    </w:rPr>
  </w:style>
  <w:style w:type="paragraph" w:styleId="38">
    <w:name w:val="annotation subject"/>
    <w:basedOn w:val="16"/>
    <w:next w:val="16"/>
    <w:link w:val="85"/>
    <w:semiHidden/>
    <w:unhideWhenUsed/>
    <w:qFormat/>
    <w:uiPriority w:val="99"/>
    <w:rPr>
      <w:rFonts w:asciiTheme="minorHAnsi" w:hAnsiTheme="minorHAnsi" w:eastAsiaTheme="minorEastAsia" w:cstheme="minorBidi"/>
      <w:b/>
      <w:bCs/>
      <w:szCs w:val="22"/>
    </w:rPr>
  </w:style>
  <w:style w:type="paragraph" w:styleId="39">
    <w:name w:val="Body Text First Indent 2"/>
    <w:basedOn w:val="18"/>
    <w:link w:val="90"/>
    <w:semiHidden/>
    <w:unhideWhenUsed/>
    <w:qFormat/>
    <w:uiPriority w:val="99"/>
    <w:pPr>
      <w:spacing w:beforeLines="0" w:afterLines="0" w:line="240" w:lineRule="auto"/>
      <w:ind w:left="360" w:firstLine="360"/>
    </w:pPr>
    <w:rPr>
      <w:rFonts w:asciiTheme="minorHAnsi" w:hAnsiTheme="minorHAnsi" w:eastAsiaTheme="minorEastAsia" w:cstheme="minorBidi"/>
      <w:bCs w:val="0"/>
      <w:sz w:val="21"/>
      <w:szCs w:val="22"/>
    </w:rPr>
  </w:style>
  <w:style w:type="table" w:styleId="41">
    <w:name w:val="Table Grid"/>
    <w:basedOn w:val="40"/>
    <w:qFormat/>
    <w:uiPriority w:val="59"/>
    <w:rPr>
      <w:rFonts w:ascii="Calibri" w:hAnsi="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22"/>
    <w:rPr>
      <w:b/>
      <w:bCs/>
    </w:rPr>
  </w:style>
  <w:style w:type="character" w:styleId="44">
    <w:name w:val="page number"/>
    <w:unhideWhenUsed/>
    <w:qFormat/>
    <w:uiPriority w:val="0"/>
    <w:rPr>
      <w:rFonts w:eastAsia="宋体" w:cs="Times New Roman"/>
      <w:szCs w:val="22"/>
      <w:lang w:eastAsia="zh-CN"/>
    </w:rPr>
  </w:style>
  <w:style w:type="character" w:styleId="45">
    <w:name w:val="Hyperlink"/>
    <w:unhideWhenUsed/>
    <w:qFormat/>
    <w:uiPriority w:val="99"/>
    <w:rPr>
      <w:color w:val="0000FF"/>
      <w:u w:val="single"/>
    </w:rPr>
  </w:style>
  <w:style w:type="character" w:styleId="46">
    <w:name w:val="annotation reference"/>
    <w:semiHidden/>
    <w:qFormat/>
    <w:uiPriority w:val="0"/>
    <w:rPr>
      <w:sz w:val="21"/>
      <w:szCs w:val="21"/>
    </w:rPr>
  </w:style>
  <w:style w:type="character" w:styleId="47">
    <w:name w:val="footnote reference"/>
    <w:semiHidden/>
    <w:qFormat/>
    <w:uiPriority w:val="0"/>
    <w:rPr>
      <w:vertAlign w:val="superscript"/>
    </w:rPr>
  </w:style>
  <w:style w:type="character" w:customStyle="1" w:styleId="48">
    <w:name w:val="页眉 Char"/>
    <w:basedOn w:val="42"/>
    <w:link w:val="28"/>
    <w:qFormat/>
    <w:uiPriority w:val="99"/>
    <w:rPr>
      <w:sz w:val="18"/>
      <w:szCs w:val="18"/>
    </w:rPr>
  </w:style>
  <w:style w:type="character" w:customStyle="1" w:styleId="49">
    <w:name w:val="页脚 Char"/>
    <w:basedOn w:val="42"/>
    <w:link w:val="27"/>
    <w:qFormat/>
    <w:uiPriority w:val="99"/>
    <w:rPr>
      <w:sz w:val="18"/>
      <w:szCs w:val="18"/>
    </w:rPr>
  </w:style>
  <w:style w:type="character" w:customStyle="1" w:styleId="50">
    <w:name w:val="标题 1 Char"/>
    <w:basedOn w:val="42"/>
    <w:link w:val="2"/>
    <w:qFormat/>
    <w:uiPriority w:val="0"/>
    <w:rPr>
      <w:rFonts w:ascii="Calibri" w:hAnsi="Calibri" w:eastAsia="宋体" w:cs="Times New Roman"/>
      <w:b/>
      <w:bCs/>
      <w:kern w:val="44"/>
      <w:sz w:val="44"/>
      <w:szCs w:val="44"/>
    </w:rPr>
  </w:style>
  <w:style w:type="character" w:customStyle="1" w:styleId="51">
    <w:name w:val="标题 2 Char"/>
    <w:basedOn w:val="42"/>
    <w:link w:val="3"/>
    <w:uiPriority w:val="0"/>
    <w:rPr>
      <w:rFonts w:ascii="Cambria" w:hAnsi="Cambria" w:eastAsia="宋体" w:cs="Times New Roman"/>
      <w:b/>
      <w:bCs/>
      <w:sz w:val="32"/>
      <w:szCs w:val="32"/>
    </w:rPr>
  </w:style>
  <w:style w:type="character" w:customStyle="1" w:styleId="52">
    <w:name w:val="标题 3 Char"/>
    <w:basedOn w:val="42"/>
    <w:link w:val="4"/>
    <w:uiPriority w:val="0"/>
    <w:rPr>
      <w:rFonts w:ascii="Calibri" w:hAnsi="Calibri" w:eastAsia="宋体" w:cs="Times New Roman"/>
      <w:b/>
      <w:bCs/>
      <w:sz w:val="32"/>
      <w:szCs w:val="32"/>
    </w:rPr>
  </w:style>
  <w:style w:type="character" w:customStyle="1" w:styleId="53">
    <w:name w:val="标题 4 Char"/>
    <w:basedOn w:val="42"/>
    <w:link w:val="5"/>
    <w:uiPriority w:val="0"/>
    <w:rPr>
      <w:rFonts w:ascii="Cambria" w:hAnsi="Cambria" w:eastAsia="宋体" w:cs="Times New Roman"/>
      <w:b/>
      <w:bCs/>
      <w:sz w:val="28"/>
      <w:szCs w:val="28"/>
    </w:rPr>
  </w:style>
  <w:style w:type="character" w:customStyle="1" w:styleId="54">
    <w:name w:val="标题 5 Char"/>
    <w:basedOn w:val="42"/>
    <w:link w:val="6"/>
    <w:uiPriority w:val="0"/>
    <w:rPr>
      <w:rFonts w:ascii="Calibri" w:hAnsi="Calibri" w:eastAsia="宋体" w:cs="Times New Roman"/>
      <w:b/>
      <w:bCs/>
      <w:sz w:val="28"/>
      <w:szCs w:val="28"/>
    </w:rPr>
  </w:style>
  <w:style w:type="character" w:customStyle="1" w:styleId="55">
    <w:name w:val="标题 6 Char"/>
    <w:basedOn w:val="42"/>
    <w:link w:val="7"/>
    <w:uiPriority w:val="0"/>
    <w:rPr>
      <w:rFonts w:ascii="Cambria" w:hAnsi="Cambria" w:eastAsia="宋体" w:cs="Times New Roman"/>
      <w:b/>
      <w:bCs/>
      <w:sz w:val="24"/>
      <w:szCs w:val="24"/>
    </w:rPr>
  </w:style>
  <w:style w:type="character" w:customStyle="1" w:styleId="56">
    <w:name w:val="标题 7 Char"/>
    <w:basedOn w:val="42"/>
    <w:link w:val="8"/>
    <w:uiPriority w:val="0"/>
    <w:rPr>
      <w:rFonts w:ascii="Calibri" w:hAnsi="Calibri" w:eastAsia="宋体" w:cs="Times New Roman"/>
      <w:b/>
      <w:bCs/>
      <w:sz w:val="24"/>
      <w:szCs w:val="24"/>
    </w:rPr>
  </w:style>
  <w:style w:type="character" w:customStyle="1" w:styleId="57">
    <w:name w:val="标题 8 Char"/>
    <w:basedOn w:val="42"/>
    <w:link w:val="9"/>
    <w:uiPriority w:val="0"/>
    <w:rPr>
      <w:rFonts w:ascii="Cambria" w:hAnsi="Cambria" w:eastAsia="宋体" w:cs="Times New Roman"/>
      <w:sz w:val="24"/>
      <w:szCs w:val="24"/>
    </w:rPr>
  </w:style>
  <w:style w:type="character" w:customStyle="1" w:styleId="58">
    <w:name w:val="标题 9 Char"/>
    <w:basedOn w:val="42"/>
    <w:link w:val="10"/>
    <w:uiPriority w:val="0"/>
    <w:rPr>
      <w:rFonts w:ascii="Cambria" w:hAnsi="Cambria" w:eastAsia="宋体" w:cs="Times New Roman"/>
      <w:szCs w:val="21"/>
    </w:rPr>
  </w:style>
  <w:style w:type="character" w:customStyle="1" w:styleId="59">
    <w:name w:val="批注框文本 Char"/>
    <w:basedOn w:val="42"/>
    <w:link w:val="26"/>
    <w:semiHidden/>
    <w:uiPriority w:val="99"/>
    <w:rPr>
      <w:rFonts w:ascii="Calibri" w:hAnsi="Calibri" w:eastAsia="宋体" w:cs="Times New Roman"/>
      <w:sz w:val="18"/>
      <w:szCs w:val="18"/>
    </w:rPr>
  </w:style>
  <w:style w:type="character" w:customStyle="1" w:styleId="60">
    <w:name w:val="日期 Char"/>
    <w:basedOn w:val="42"/>
    <w:link w:val="24"/>
    <w:uiPriority w:val="0"/>
    <w:rPr>
      <w:rFonts w:ascii="Calibri" w:hAnsi="Calibri" w:eastAsia="宋体" w:cs="Times New Roman"/>
    </w:rPr>
  </w:style>
  <w:style w:type="paragraph" w:customStyle="1" w:styleId="61">
    <w:name w:val="TOC 标题1"/>
    <w:basedOn w:val="2"/>
    <w:next w:val="1"/>
    <w:qFormat/>
    <w:uiPriority w:val="39"/>
    <w:pPr>
      <w:widowControl/>
      <w:spacing w:before="480" w:after="0" w:line="276" w:lineRule="auto"/>
      <w:ind w:left="432" w:hanging="432"/>
      <w:jc w:val="left"/>
      <w:outlineLvl w:val="9"/>
    </w:pPr>
    <w:rPr>
      <w:rFonts w:ascii="Cambria" w:hAnsi="Cambria"/>
      <w:color w:val="365F91"/>
      <w:kern w:val="0"/>
      <w:sz w:val="28"/>
      <w:szCs w:val="28"/>
    </w:rPr>
  </w:style>
  <w:style w:type="paragraph" w:styleId="62">
    <w:name w:val="List Paragraph"/>
    <w:basedOn w:val="1"/>
    <w:qFormat/>
    <w:uiPriority w:val="34"/>
    <w:pPr>
      <w:ind w:firstLine="420" w:firstLineChars="200"/>
    </w:pPr>
    <w:rPr>
      <w:rFonts w:ascii="Calibri" w:hAnsi="Calibri" w:eastAsia="宋体" w:cs="Times New Roman"/>
    </w:rPr>
  </w:style>
  <w:style w:type="character" w:customStyle="1" w:styleId="63">
    <w:name w:val="文档结构图 Char"/>
    <w:basedOn w:val="42"/>
    <w:link w:val="14"/>
    <w:semiHidden/>
    <w:uiPriority w:val="99"/>
    <w:rPr>
      <w:rFonts w:ascii="宋体" w:hAnsi="Calibri" w:eastAsia="宋体" w:cs="Times New Roman"/>
      <w:sz w:val="18"/>
      <w:szCs w:val="18"/>
    </w:rPr>
  </w:style>
  <w:style w:type="character" w:customStyle="1" w:styleId="64">
    <w:name w:val="标题 Char"/>
    <w:basedOn w:val="42"/>
    <w:link w:val="37"/>
    <w:uiPriority w:val="10"/>
    <w:rPr>
      <w:rFonts w:ascii="Cambria" w:hAnsi="Cambria" w:eastAsia="宋体" w:cs="Times New Roman"/>
      <w:b/>
      <w:bCs/>
      <w:sz w:val="32"/>
      <w:szCs w:val="32"/>
    </w:rPr>
  </w:style>
  <w:style w:type="paragraph" w:customStyle="1" w:styleId="65">
    <w:name w:val="Style1"/>
    <w:basedOn w:val="2"/>
    <w:uiPriority w:val="0"/>
    <w:pPr>
      <w:keepLines w:val="0"/>
      <w:widowControl/>
      <w:numPr>
        <w:numId w:val="0"/>
      </w:numPr>
      <w:tabs>
        <w:tab w:val="left" w:pos="360"/>
      </w:tabs>
      <w:autoSpaceDE w:val="0"/>
      <w:autoSpaceDN w:val="0"/>
      <w:adjustRightInd w:val="0"/>
      <w:spacing w:beforeLines="100" w:afterLines="50" w:line="360" w:lineRule="auto"/>
      <w:jc w:val="center"/>
      <w:outlineLvl w:val="9"/>
    </w:pPr>
    <w:rPr>
      <w:rFonts w:ascii="宋体" w:hAnsi="CG Times"/>
      <w:bCs w:val="0"/>
      <w:kern w:val="0"/>
      <w:sz w:val="36"/>
      <w:szCs w:val="20"/>
    </w:rPr>
  </w:style>
  <w:style w:type="character" w:customStyle="1" w:styleId="66">
    <w:name w:val="正文文本缩进 Char"/>
    <w:basedOn w:val="42"/>
    <w:link w:val="18"/>
    <w:uiPriority w:val="0"/>
    <w:rPr>
      <w:rFonts w:ascii="宋体" w:hAnsi="Times New Roman" w:eastAsia="宋体" w:cs="Times New Roman"/>
      <w:bCs/>
      <w:sz w:val="24"/>
      <w:szCs w:val="20"/>
    </w:rPr>
  </w:style>
  <w:style w:type="paragraph" w:customStyle="1" w:styleId="67">
    <w:name w:val="正文一级"/>
    <w:basedOn w:val="1"/>
    <w:uiPriority w:val="0"/>
    <w:pPr>
      <w:widowControl/>
      <w:autoSpaceDE w:val="0"/>
      <w:autoSpaceDN w:val="0"/>
      <w:adjustRightInd w:val="0"/>
      <w:spacing w:beforeLines="50" w:after="120" w:line="360" w:lineRule="auto"/>
      <w:ind w:left="567" w:right="-11"/>
    </w:pPr>
    <w:rPr>
      <w:rFonts w:ascii="宋体" w:hAnsi="CG Times" w:eastAsia="宋体" w:cs="Times New Roman"/>
      <w:kern w:val="0"/>
      <w:sz w:val="24"/>
      <w:szCs w:val="20"/>
    </w:rPr>
  </w:style>
  <w:style w:type="paragraph" w:customStyle="1" w:styleId="68">
    <w:name w:val="Char"/>
    <w:basedOn w:val="1"/>
    <w:uiPriority w:val="0"/>
    <w:rPr>
      <w:rFonts w:ascii="Times New Roman" w:hAnsi="Times New Roman" w:eastAsia="宋体" w:cs="Times New Roman"/>
      <w:sz w:val="28"/>
      <w:szCs w:val="28"/>
    </w:rPr>
  </w:style>
  <w:style w:type="paragraph" w:customStyle="1" w:styleId="69">
    <w:name w:val="s19qjli960sb120sa120sl36"/>
    <w:uiPriority w:val="0"/>
    <w:pPr>
      <w:widowControl w:val="0"/>
      <w:autoSpaceDE w:val="0"/>
      <w:autoSpaceDN w:val="0"/>
      <w:adjustRightInd w:val="0"/>
    </w:pPr>
    <w:rPr>
      <w:rFonts w:ascii="仿宋体" w:hAnsi="Times New Roman" w:eastAsia="仿宋体" w:cs="Times New Roman"/>
      <w:lang w:val="en-US" w:eastAsia="zh-CN" w:bidi="ar-SA"/>
    </w:rPr>
  </w:style>
  <w:style w:type="paragraph" w:customStyle="1" w:styleId="70">
    <w:name w:val="Body Text 21"/>
    <w:basedOn w:val="1"/>
    <w:uiPriority w:val="0"/>
    <w:pPr>
      <w:spacing w:beforeLines="50" w:line="360" w:lineRule="auto"/>
    </w:pPr>
    <w:rPr>
      <w:rFonts w:ascii="Arial" w:hAnsi="Arial" w:eastAsia="宋体" w:cs="Times New Roman"/>
      <w:kern w:val="0"/>
      <w:sz w:val="24"/>
      <w:szCs w:val="20"/>
    </w:rPr>
  </w:style>
  <w:style w:type="paragraph" w:customStyle="1" w:styleId="71">
    <w:name w:val="样式 左侧:  1.27 厘米 段前: 6 磅 段后: 7.8 磅"/>
    <w:basedOn w:val="1"/>
    <w:uiPriority w:val="99"/>
    <w:pPr>
      <w:spacing w:before="120" w:after="156"/>
      <w:ind w:left="720"/>
    </w:pPr>
    <w:rPr>
      <w:rFonts w:ascii="Times New Roman" w:hAnsi="Times New Roman" w:eastAsia="宋体" w:cs="宋体"/>
      <w:sz w:val="24"/>
      <w:szCs w:val="20"/>
    </w:rPr>
  </w:style>
  <w:style w:type="character" w:customStyle="1" w:styleId="72">
    <w:name w:val="纯文本 Char"/>
    <w:basedOn w:val="42"/>
    <w:link w:val="22"/>
    <w:uiPriority w:val="0"/>
    <w:rPr>
      <w:rFonts w:ascii="Times New Roman" w:hAnsi="Times New Roman" w:eastAsia="宋体" w:cs="Courier New"/>
      <w:szCs w:val="21"/>
    </w:rPr>
  </w:style>
  <w:style w:type="paragraph" w:customStyle="1" w:styleId="73">
    <w:name w:val="Char3"/>
    <w:basedOn w:val="1"/>
    <w:uiPriority w:val="0"/>
    <w:rPr>
      <w:rFonts w:ascii="Times New Roman" w:hAnsi="Times New Roman" w:eastAsia="宋体" w:cs="Times New Roman"/>
      <w:sz w:val="28"/>
      <w:szCs w:val="28"/>
    </w:rPr>
  </w:style>
  <w:style w:type="paragraph" w:customStyle="1" w:styleId="74">
    <w:name w:val="Char2"/>
    <w:basedOn w:val="1"/>
    <w:uiPriority w:val="0"/>
    <w:rPr>
      <w:rFonts w:ascii="Times New Roman" w:hAnsi="Times New Roman" w:eastAsia="宋体" w:cs="Times New Roman"/>
      <w:sz w:val="28"/>
      <w:szCs w:val="28"/>
    </w:rPr>
  </w:style>
  <w:style w:type="character" w:customStyle="1" w:styleId="75">
    <w:name w:val="脚注文本 Char"/>
    <w:basedOn w:val="42"/>
    <w:link w:val="31"/>
    <w:semiHidden/>
    <w:uiPriority w:val="0"/>
    <w:rPr>
      <w:rFonts w:ascii="Times New Roman" w:hAnsi="Times New Roman" w:eastAsia="宋体" w:cs="Times New Roman"/>
      <w:sz w:val="18"/>
      <w:szCs w:val="18"/>
    </w:rPr>
  </w:style>
  <w:style w:type="character" w:customStyle="1" w:styleId="76">
    <w:name w:val="未命名11"/>
    <w:uiPriority w:val="0"/>
    <w:rPr>
      <w:rFonts w:hint="eastAsia" w:ascii="宋体" w:hAnsi="宋体" w:eastAsia="宋体"/>
      <w:sz w:val="18"/>
      <w:szCs w:val="18"/>
    </w:rPr>
  </w:style>
  <w:style w:type="paragraph" w:customStyle="1" w:styleId="77">
    <w:name w:val="Char1"/>
    <w:basedOn w:val="1"/>
    <w:uiPriority w:val="0"/>
    <w:rPr>
      <w:rFonts w:ascii="Times New Roman" w:hAnsi="Times New Roman" w:eastAsia="宋体" w:cs="Times New Roman"/>
      <w:sz w:val="28"/>
      <w:szCs w:val="28"/>
    </w:rPr>
  </w:style>
  <w:style w:type="character" w:customStyle="1" w:styleId="78">
    <w:name w:val="批注文字 Char"/>
    <w:basedOn w:val="42"/>
    <w:link w:val="16"/>
    <w:qFormat/>
    <w:uiPriority w:val="99"/>
    <w:rPr>
      <w:rFonts w:ascii="Times New Roman" w:hAnsi="Times New Roman" w:eastAsia="宋体" w:cs="Times New Roman"/>
      <w:szCs w:val="24"/>
    </w:rPr>
  </w:style>
  <w:style w:type="character" w:customStyle="1" w:styleId="79">
    <w:name w:val="正文文本 2 Char"/>
    <w:basedOn w:val="42"/>
    <w:link w:val="35"/>
    <w:uiPriority w:val="0"/>
    <w:rPr>
      <w:rFonts w:ascii="Times New Roman" w:hAnsi="Times New Roman" w:eastAsia="黑体" w:cs="Times New Roman"/>
      <w:kern w:val="0"/>
      <w:sz w:val="24"/>
      <w:szCs w:val="20"/>
      <w:lang w:val="en-GB"/>
    </w:rPr>
  </w:style>
  <w:style w:type="paragraph" w:customStyle="1" w:styleId="80">
    <w:name w:val="样式1"/>
    <w:basedOn w:val="1"/>
    <w:qFormat/>
    <w:uiPriority w:val="0"/>
    <w:pPr>
      <w:adjustRightInd w:val="0"/>
      <w:spacing w:line="360" w:lineRule="atLeast"/>
      <w:jc w:val="left"/>
      <w:textAlignment w:val="center"/>
    </w:pPr>
    <w:rPr>
      <w:rFonts w:ascii="CG Times" w:hAnsi="Times New Roman" w:eastAsia="宋体" w:cs="Times New Roman"/>
      <w:kern w:val="0"/>
      <w:sz w:val="24"/>
      <w:szCs w:val="20"/>
    </w:rPr>
  </w:style>
  <w:style w:type="paragraph" w:customStyle="1" w:styleId="81">
    <w:name w:val="样式 标题2"/>
    <w:basedOn w:val="3"/>
    <w:next w:val="1"/>
    <w:qFormat/>
    <w:uiPriority w:val="0"/>
    <w:pPr>
      <w:keepNext w:val="0"/>
      <w:keepLines w:val="0"/>
      <w:widowControl/>
      <w:numPr>
        <w:ilvl w:val="0"/>
        <w:numId w:val="0"/>
      </w:numPr>
      <w:autoSpaceDE w:val="0"/>
      <w:autoSpaceDN w:val="0"/>
      <w:adjustRightInd w:val="0"/>
      <w:spacing w:before="0" w:afterLines="100" w:line="360" w:lineRule="auto"/>
    </w:pPr>
    <w:rPr>
      <w:rFonts w:ascii="宋体" w:hAnsi="CG Times" w:cs="宋体"/>
      <w:bCs w:val="0"/>
      <w:kern w:val="0"/>
      <w:sz w:val="28"/>
      <w:szCs w:val="20"/>
    </w:rPr>
  </w:style>
  <w:style w:type="character" w:customStyle="1" w:styleId="82">
    <w:name w:val="正文文本缩进 2 Char"/>
    <w:basedOn w:val="42"/>
    <w:link w:val="25"/>
    <w:semiHidden/>
    <w:qFormat/>
    <w:uiPriority w:val="99"/>
    <w:rPr>
      <w:rFonts w:ascii="Calibri" w:hAnsi="Calibri" w:eastAsia="宋体" w:cs="Times New Roman"/>
    </w:rPr>
  </w:style>
  <w:style w:type="character" w:customStyle="1" w:styleId="83">
    <w:name w:val="正文文本 Char"/>
    <w:basedOn w:val="42"/>
    <w:link w:val="17"/>
    <w:qFormat/>
    <w:uiPriority w:val="99"/>
    <w:rPr>
      <w:rFonts w:ascii="Calibri" w:hAnsi="Calibri" w:eastAsia="宋体" w:cs="Times New Roman"/>
    </w:rPr>
  </w:style>
  <w:style w:type="paragraph" w:customStyle="1" w:styleId="84">
    <w:name w:val="正文二级"/>
    <w:basedOn w:val="1"/>
    <w:qFormat/>
    <w:uiPriority w:val="0"/>
    <w:pPr>
      <w:spacing w:beforeLines="50" w:afterLines="50" w:line="360" w:lineRule="auto"/>
      <w:ind w:left="720" w:leftChars="300"/>
    </w:pPr>
    <w:rPr>
      <w:rFonts w:ascii="CG Times" w:hAnsi="CG Times" w:eastAsia="宋体" w:cs="Times New Roman"/>
      <w:sz w:val="24"/>
      <w:szCs w:val="20"/>
    </w:rPr>
  </w:style>
  <w:style w:type="character" w:customStyle="1" w:styleId="85">
    <w:name w:val="批注主题 Char"/>
    <w:basedOn w:val="78"/>
    <w:link w:val="38"/>
    <w:semiHidden/>
    <w:qFormat/>
    <w:uiPriority w:val="99"/>
    <w:rPr>
      <w:rFonts w:ascii="Times New Roman" w:hAnsi="Times New Roman" w:eastAsia="宋体" w:cs="Times New Roman"/>
      <w:b/>
      <w:bCs/>
      <w:szCs w:val="24"/>
    </w:rPr>
  </w:style>
  <w:style w:type="paragraph" w:customStyle="1" w:styleId="8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87">
    <w:name w:val="NormalCharacter"/>
    <w:qFormat/>
    <w:uiPriority w:val="0"/>
  </w:style>
  <w:style w:type="paragraph" w:customStyle="1" w:styleId="88">
    <w:name w:val="HtmlNormal"/>
    <w:basedOn w:val="1"/>
    <w:qFormat/>
    <w:uiPriority w:val="0"/>
    <w:pPr>
      <w:widowControl/>
      <w:spacing w:after="160" w:line="259" w:lineRule="auto"/>
      <w:textAlignment w:val="baseline"/>
    </w:pPr>
    <w:rPr>
      <w:rFonts w:ascii="等线" w:hAnsi="等线" w:eastAsia="等线" w:cs="Times New Roman"/>
      <w:sz w:val="24"/>
      <w:szCs w:val="24"/>
    </w:rPr>
  </w:style>
  <w:style w:type="paragraph" w:customStyle="1" w:styleId="89">
    <w:name w:val="UserStyle_19"/>
    <w:basedOn w:val="1"/>
    <w:qFormat/>
    <w:uiPriority w:val="0"/>
    <w:pPr>
      <w:widowControl/>
      <w:spacing w:after="160" w:line="259" w:lineRule="auto"/>
      <w:ind w:firstLine="420" w:firstLineChars="200"/>
      <w:textAlignment w:val="baseline"/>
    </w:pPr>
    <w:rPr>
      <w:rFonts w:ascii="等线" w:hAnsi="等线" w:eastAsia="等线" w:cs="Times New Roman"/>
      <w:sz w:val="24"/>
      <w:szCs w:val="24"/>
    </w:rPr>
  </w:style>
  <w:style w:type="character" w:customStyle="1" w:styleId="90">
    <w:name w:val="正文首行缩进 2 Char"/>
    <w:basedOn w:val="66"/>
    <w:link w:val="39"/>
    <w:semiHidden/>
    <w:qFormat/>
    <w:uiPriority w:val="99"/>
    <w:rPr>
      <w:rFonts w:ascii="宋体" w:hAnsi="Times New Roman" w:eastAsia="宋体" w:cs="Times New Roman"/>
      <w:bCs w:val="0"/>
      <w:sz w:val="24"/>
      <w:szCs w:val="20"/>
    </w:rPr>
  </w:style>
  <w:style w:type="paragraph" w:customStyle="1" w:styleId="91">
    <w:name w:val="列出段落1"/>
    <w:basedOn w:val="1"/>
    <w:qFormat/>
    <w:uiPriority w:val="34"/>
    <w:pPr>
      <w:ind w:firstLine="420" w:firstLineChars="200"/>
    </w:pPr>
    <w:rPr>
      <w:rFonts w:ascii="等线" w:hAnsi="等线" w:eastAsia="等线"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D47CC3-E8E7-4CD3-9557-2049190652B2}">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26</Pages>
  <Words>1898</Words>
  <Characters>10820</Characters>
  <Lines>90</Lines>
  <Paragraphs>25</Paragraphs>
  <TotalTime>19</TotalTime>
  <ScaleCrop>false</ScaleCrop>
  <LinksUpToDate>false</LinksUpToDate>
  <CharactersWithSpaces>12693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2015-09-25T07:25:00Z</dcterms:created>
  <dc:creator>Scott Xia</dc:creator>
  <cp:lastModifiedBy>李俊</cp:lastModifiedBy>
  <dcterms:modified xsi:type="dcterms:W3CDTF">2021-02-22T01:48:11Z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