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360" w:lineRule="auto"/>
        <w:rPr>
          <w:rFonts w:ascii="Arial" w:hAnsi="Arial" w:cs="Arial"/>
          <w:b/>
          <w:kern w:val="0"/>
          <w:sz w:val="48"/>
          <w:szCs w:val="48"/>
          <w:highlight w:val="none"/>
        </w:rPr>
      </w:pPr>
    </w:p>
    <w:p>
      <w:pPr>
        <w:widowControl/>
        <w:spacing w:line="360" w:lineRule="auto"/>
        <w:jc w:val="center"/>
        <w:rPr>
          <w:rFonts w:hint="eastAsia" w:ascii="Arial" w:hAnsi="Arial" w:eastAsia="宋体" w:cs="Arial"/>
          <w:b/>
          <w:kern w:val="0"/>
          <w:sz w:val="48"/>
          <w:szCs w:val="48"/>
          <w:highlight w:val="none"/>
          <w:lang w:eastAsia="zh-CN"/>
        </w:rPr>
      </w:pPr>
      <w:r>
        <w:rPr>
          <w:rFonts w:hint="eastAsia" w:ascii="Arial" w:hAnsi="Arial" w:cs="Arial"/>
          <w:b/>
          <w:kern w:val="0"/>
          <w:sz w:val="48"/>
          <w:szCs w:val="48"/>
          <w:highlight w:val="none"/>
          <w:lang w:eastAsia="zh-CN"/>
        </w:rPr>
        <w:t>南京市建邺区兴隆街道居民小区垃圾分类集中投放点建设项目</w:t>
      </w:r>
    </w:p>
    <w:p>
      <w:pPr>
        <w:widowControl/>
        <w:spacing w:line="360" w:lineRule="auto"/>
        <w:jc w:val="center"/>
        <w:rPr>
          <w:rFonts w:ascii="Arial" w:hAnsi="Arial" w:cs="Arial"/>
          <w:b/>
          <w:kern w:val="0"/>
          <w:sz w:val="72"/>
          <w:szCs w:val="72"/>
          <w:highlight w:val="none"/>
        </w:rPr>
      </w:pPr>
    </w:p>
    <w:p>
      <w:pPr>
        <w:widowControl/>
        <w:spacing w:line="360" w:lineRule="auto"/>
        <w:jc w:val="center"/>
        <w:rPr>
          <w:rFonts w:ascii="Arial" w:hAnsi="宋体" w:cs="Arial"/>
          <w:b/>
          <w:kern w:val="0"/>
          <w:sz w:val="72"/>
          <w:szCs w:val="72"/>
          <w:highlight w:val="none"/>
        </w:rPr>
      </w:pPr>
    </w:p>
    <w:p>
      <w:pPr>
        <w:pStyle w:val="6"/>
        <w:rPr>
          <w:highlight w:val="none"/>
        </w:rPr>
      </w:pPr>
    </w:p>
    <w:p>
      <w:pPr>
        <w:widowControl/>
        <w:spacing w:line="360" w:lineRule="auto"/>
        <w:jc w:val="center"/>
        <w:rPr>
          <w:rFonts w:ascii="Arial" w:hAnsi="Arial" w:cs="Arial"/>
          <w:b/>
          <w:kern w:val="0"/>
          <w:sz w:val="72"/>
          <w:szCs w:val="72"/>
          <w:highlight w:val="none"/>
        </w:rPr>
      </w:pPr>
      <w:r>
        <w:rPr>
          <w:rFonts w:ascii="Arial" w:hAnsi="宋体" w:cs="Arial"/>
          <w:b/>
          <w:kern w:val="0"/>
          <w:sz w:val="72"/>
          <w:szCs w:val="72"/>
          <w:highlight w:val="none"/>
        </w:rPr>
        <w:t>招</w:t>
      </w:r>
      <w:r>
        <w:rPr>
          <w:rFonts w:ascii="Arial" w:hAnsi="Arial" w:cs="Arial"/>
          <w:b/>
          <w:kern w:val="0"/>
          <w:sz w:val="72"/>
          <w:szCs w:val="72"/>
          <w:highlight w:val="none"/>
        </w:rPr>
        <w:t xml:space="preserve"> </w:t>
      </w:r>
      <w:r>
        <w:rPr>
          <w:rFonts w:ascii="Arial" w:hAnsi="宋体" w:cs="Arial"/>
          <w:b/>
          <w:kern w:val="0"/>
          <w:sz w:val="72"/>
          <w:szCs w:val="72"/>
          <w:highlight w:val="none"/>
        </w:rPr>
        <w:t>标</w:t>
      </w:r>
      <w:r>
        <w:rPr>
          <w:rFonts w:ascii="Arial" w:hAnsi="Arial" w:cs="Arial"/>
          <w:b/>
          <w:kern w:val="0"/>
          <w:sz w:val="72"/>
          <w:szCs w:val="72"/>
          <w:highlight w:val="none"/>
        </w:rPr>
        <w:t xml:space="preserve"> </w:t>
      </w:r>
      <w:r>
        <w:rPr>
          <w:rFonts w:ascii="Arial" w:hAnsi="宋体" w:cs="Arial"/>
          <w:b/>
          <w:kern w:val="0"/>
          <w:sz w:val="72"/>
          <w:szCs w:val="72"/>
          <w:highlight w:val="none"/>
        </w:rPr>
        <w:t>文</w:t>
      </w:r>
      <w:r>
        <w:rPr>
          <w:rFonts w:ascii="Arial" w:hAnsi="Arial" w:cs="Arial"/>
          <w:b/>
          <w:kern w:val="0"/>
          <w:sz w:val="72"/>
          <w:szCs w:val="72"/>
          <w:highlight w:val="none"/>
        </w:rPr>
        <w:t xml:space="preserve"> </w:t>
      </w:r>
      <w:r>
        <w:rPr>
          <w:rFonts w:ascii="Arial" w:hAnsi="宋体" w:cs="Arial"/>
          <w:b/>
          <w:kern w:val="0"/>
          <w:sz w:val="72"/>
          <w:szCs w:val="72"/>
          <w:highlight w:val="none"/>
        </w:rPr>
        <w:t>件</w:t>
      </w:r>
    </w:p>
    <w:p>
      <w:pPr>
        <w:widowControl/>
        <w:spacing w:line="360" w:lineRule="auto"/>
        <w:jc w:val="center"/>
        <w:rPr>
          <w:rFonts w:ascii="Arial" w:hAnsi="Arial" w:cs="Arial"/>
          <w:b/>
          <w:kern w:val="0"/>
          <w:sz w:val="36"/>
          <w:szCs w:val="36"/>
          <w:highlight w:val="none"/>
        </w:rPr>
      </w:pPr>
    </w:p>
    <w:p>
      <w:pPr>
        <w:widowControl/>
        <w:spacing w:line="360" w:lineRule="auto"/>
        <w:jc w:val="center"/>
        <w:rPr>
          <w:rFonts w:ascii="Arial" w:hAnsi="Arial" w:cs="Arial"/>
          <w:b/>
          <w:kern w:val="0"/>
          <w:sz w:val="36"/>
          <w:szCs w:val="36"/>
          <w:highlight w:val="none"/>
        </w:rPr>
      </w:pPr>
    </w:p>
    <w:p>
      <w:pPr>
        <w:widowControl/>
        <w:spacing w:line="360" w:lineRule="auto"/>
        <w:jc w:val="center"/>
        <w:rPr>
          <w:rFonts w:hint="default" w:ascii="Arial" w:hAnsi="Arial" w:cs="Arial"/>
          <w:b/>
          <w:kern w:val="0"/>
          <w:sz w:val="36"/>
          <w:szCs w:val="36"/>
          <w:highlight w:val="none"/>
          <w:lang w:val="en-US"/>
        </w:rPr>
      </w:pPr>
      <w:r>
        <w:rPr>
          <w:rFonts w:ascii="Arial" w:hAnsi="宋体" w:cs="Arial"/>
          <w:b/>
          <w:kern w:val="0"/>
          <w:sz w:val="36"/>
          <w:szCs w:val="36"/>
          <w:highlight w:val="none"/>
        </w:rPr>
        <w:t>项目编号：</w:t>
      </w:r>
      <w:r>
        <w:rPr>
          <w:rFonts w:hint="eastAsia" w:ascii="Arial" w:hAnsi="宋体" w:cs="Arial"/>
          <w:b/>
          <w:kern w:val="0"/>
          <w:sz w:val="36"/>
          <w:szCs w:val="36"/>
          <w:highlight w:val="none"/>
          <w:lang w:val="en-US" w:eastAsia="zh-CN"/>
        </w:rPr>
        <w:t>NJKZ-XLZC-2021-002</w:t>
      </w:r>
    </w:p>
    <w:p>
      <w:pPr>
        <w:widowControl/>
        <w:spacing w:line="360" w:lineRule="auto"/>
        <w:jc w:val="center"/>
        <w:rPr>
          <w:rFonts w:ascii="Arial" w:hAnsi="Arial" w:cs="Arial"/>
          <w:b/>
          <w:kern w:val="0"/>
          <w:sz w:val="72"/>
          <w:szCs w:val="72"/>
          <w:highlight w:val="none"/>
        </w:rPr>
      </w:pPr>
    </w:p>
    <w:p>
      <w:pPr>
        <w:widowControl/>
        <w:shd w:val="clear" w:color="auto" w:fill="FFFFFF"/>
        <w:spacing w:line="360" w:lineRule="auto"/>
        <w:rPr>
          <w:rFonts w:ascii="Arial" w:hAnsi="Arial" w:cs="Arial"/>
          <w:kern w:val="0"/>
          <w:sz w:val="44"/>
          <w:szCs w:val="44"/>
          <w:highlight w:val="none"/>
        </w:rPr>
      </w:pPr>
      <w:r>
        <w:rPr>
          <w:rFonts w:ascii="Arial" w:hAnsi="Arial" w:cs="Arial"/>
          <w:kern w:val="0"/>
          <w:sz w:val="32"/>
          <w:szCs w:val="32"/>
          <w:highlight w:val="none"/>
        </w:rPr>
        <w:t>  </w:t>
      </w:r>
    </w:p>
    <w:p>
      <w:pPr>
        <w:widowControl/>
        <w:spacing w:line="360" w:lineRule="auto"/>
        <w:jc w:val="center"/>
        <w:rPr>
          <w:rFonts w:ascii="Arial" w:hAnsi="Arial" w:cs="Arial"/>
          <w:b/>
          <w:kern w:val="0"/>
          <w:sz w:val="36"/>
          <w:szCs w:val="36"/>
          <w:highlight w:val="none"/>
        </w:rPr>
      </w:pPr>
    </w:p>
    <w:p>
      <w:pPr>
        <w:widowControl/>
        <w:spacing w:line="360" w:lineRule="auto"/>
        <w:jc w:val="center"/>
        <w:rPr>
          <w:rFonts w:ascii="Arial" w:hAnsi="宋体" w:cs="Arial"/>
          <w:b/>
          <w:kern w:val="0"/>
          <w:sz w:val="36"/>
          <w:szCs w:val="36"/>
          <w:highlight w:val="none"/>
        </w:rPr>
      </w:pPr>
    </w:p>
    <w:p>
      <w:pPr>
        <w:widowControl/>
        <w:spacing w:line="360" w:lineRule="auto"/>
        <w:jc w:val="center"/>
        <w:rPr>
          <w:rFonts w:ascii="Arial" w:hAnsi="Arial" w:cs="Arial"/>
          <w:b/>
          <w:kern w:val="0"/>
          <w:sz w:val="36"/>
          <w:szCs w:val="36"/>
          <w:highlight w:val="none"/>
        </w:rPr>
      </w:pPr>
    </w:p>
    <w:p>
      <w:pPr>
        <w:widowControl/>
        <w:shd w:val="clear" w:color="auto" w:fill="FFFFFF"/>
        <w:spacing w:line="360" w:lineRule="auto"/>
        <w:jc w:val="center"/>
        <w:rPr>
          <w:rFonts w:ascii="Arial" w:hAnsi="Arial" w:cs="Arial"/>
          <w:b/>
          <w:kern w:val="0"/>
          <w:sz w:val="36"/>
          <w:szCs w:val="36"/>
          <w:highlight w:val="none"/>
        </w:rPr>
      </w:pPr>
      <w:r>
        <w:rPr>
          <w:rFonts w:hint="eastAsia" w:ascii="Arial" w:hAnsi="宋体" w:cs="Arial"/>
          <w:b/>
          <w:kern w:val="0"/>
          <w:sz w:val="36"/>
          <w:szCs w:val="36"/>
          <w:highlight w:val="none"/>
        </w:rPr>
        <w:t>202</w:t>
      </w:r>
      <w:r>
        <w:rPr>
          <w:rFonts w:hint="eastAsia" w:ascii="Arial" w:hAnsi="宋体" w:cs="Arial"/>
          <w:b/>
          <w:kern w:val="0"/>
          <w:sz w:val="36"/>
          <w:szCs w:val="36"/>
          <w:highlight w:val="none"/>
          <w:lang w:val="en-US" w:eastAsia="zh-CN"/>
        </w:rPr>
        <w:t>1</w:t>
      </w:r>
      <w:r>
        <w:rPr>
          <w:rFonts w:ascii="Arial" w:hAnsi="宋体" w:cs="Arial"/>
          <w:b/>
          <w:kern w:val="0"/>
          <w:sz w:val="36"/>
          <w:szCs w:val="36"/>
          <w:highlight w:val="none"/>
        </w:rPr>
        <w:t>年</w:t>
      </w:r>
      <w:r>
        <w:rPr>
          <w:rFonts w:hint="eastAsia" w:ascii="Arial" w:hAnsi="Arial" w:cs="Arial"/>
          <w:b/>
          <w:kern w:val="0"/>
          <w:sz w:val="36"/>
          <w:szCs w:val="36"/>
          <w:highlight w:val="none"/>
          <w:lang w:val="en-US" w:eastAsia="zh-CN"/>
        </w:rPr>
        <w:t>02</w:t>
      </w:r>
      <w:r>
        <w:rPr>
          <w:rFonts w:ascii="Arial" w:hAnsi="宋体" w:cs="Arial"/>
          <w:b/>
          <w:kern w:val="0"/>
          <w:sz w:val="36"/>
          <w:szCs w:val="36"/>
          <w:highlight w:val="none"/>
        </w:rPr>
        <w:t>月</w:t>
      </w:r>
    </w:p>
    <w:p>
      <w:pPr>
        <w:widowControl/>
        <w:shd w:val="clear" w:color="auto" w:fill="FFFFFF"/>
        <w:spacing w:line="360" w:lineRule="auto"/>
        <w:jc w:val="center"/>
        <w:rPr>
          <w:rFonts w:ascii="Arial" w:hAnsi="Arial" w:cs="Arial"/>
          <w:b/>
          <w:kern w:val="0"/>
          <w:sz w:val="36"/>
          <w:szCs w:val="36"/>
          <w:highlight w:val="none"/>
        </w:rPr>
      </w:pPr>
      <w:r>
        <w:rPr>
          <w:rFonts w:ascii="Arial" w:hAnsi="Arial" w:cs="Arial"/>
          <w:b/>
          <w:kern w:val="0"/>
          <w:sz w:val="36"/>
          <w:szCs w:val="36"/>
          <w:highlight w:val="none"/>
        </w:rPr>
        <w:br w:type="page"/>
      </w:r>
    </w:p>
    <w:p>
      <w:pPr>
        <w:pStyle w:val="153"/>
        <w:jc w:val="center"/>
        <w:rPr>
          <w:rFonts w:ascii="Arial" w:hAnsi="Arial" w:cs="Arial"/>
          <w:color w:val="auto"/>
          <w:sz w:val="36"/>
          <w:szCs w:val="36"/>
          <w:highlight w:val="none"/>
        </w:rPr>
      </w:pPr>
      <w:r>
        <w:rPr>
          <w:rFonts w:ascii="Arial" w:hAnsi="宋体" w:cs="Arial"/>
          <w:color w:val="auto"/>
          <w:sz w:val="36"/>
          <w:szCs w:val="36"/>
          <w:highlight w:val="none"/>
          <w:lang w:val="zh-CN"/>
        </w:rPr>
        <w:t>目</w:t>
      </w:r>
      <w:r>
        <w:rPr>
          <w:rFonts w:ascii="Arial" w:hAnsi="Arial" w:cs="Arial"/>
          <w:color w:val="auto"/>
          <w:sz w:val="36"/>
          <w:szCs w:val="36"/>
          <w:highlight w:val="none"/>
          <w:lang w:val="zh-CN"/>
        </w:rPr>
        <w:t xml:space="preserve">  </w:t>
      </w:r>
      <w:r>
        <w:rPr>
          <w:rFonts w:ascii="Arial" w:hAnsi="宋体" w:cs="Arial"/>
          <w:color w:val="auto"/>
          <w:sz w:val="36"/>
          <w:szCs w:val="36"/>
          <w:highlight w:val="none"/>
          <w:lang w:val="zh-CN"/>
        </w:rPr>
        <w:t>录</w:t>
      </w:r>
    </w:p>
    <w:p>
      <w:pPr>
        <w:pStyle w:val="31"/>
        <w:tabs>
          <w:tab w:val="right" w:leader="dot" w:pos="8296"/>
        </w:tabs>
        <w:rPr>
          <w:rFonts w:ascii="Arial" w:hAnsi="Arial" w:cs="Arial"/>
          <w:sz w:val="28"/>
          <w:szCs w:val="28"/>
          <w:highlight w:val="none"/>
        </w:rPr>
      </w:pPr>
    </w:p>
    <w:p>
      <w:pPr>
        <w:pStyle w:val="31"/>
        <w:tabs>
          <w:tab w:val="right" w:leader="dot" w:pos="8506"/>
        </w:tabs>
        <w:rPr>
          <w:sz w:val="28"/>
          <w:szCs w:val="28"/>
          <w:highlight w:val="none"/>
        </w:rPr>
      </w:pPr>
      <w:r>
        <w:rPr>
          <w:rFonts w:ascii="Arial" w:hAnsi="Arial" w:cs="Arial"/>
          <w:sz w:val="28"/>
          <w:szCs w:val="28"/>
          <w:highlight w:val="none"/>
        </w:rPr>
        <w:fldChar w:fldCharType="begin"/>
      </w:r>
      <w:r>
        <w:rPr>
          <w:rFonts w:ascii="Arial" w:hAnsi="Arial" w:cs="Arial"/>
          <w:sz w:val="28"/>
          <w:szCs w:val="28"/>
          <w:highlight w:val="none"/>
        </w:rPr>
        <w:instrText xml:space="preserve">TOC \o "1-1" \h \u </w:instrText>
      </w:r>
      <w:r>
        <w:rPr>
          <w:rFonts w:ascii="Arial" w:hAnsi="Arial" w:cs="Arial"/>
          <w:sz w:val="28"/>
          <w:szCs w:val="28"/>
          <w:highlight w:val="none"/>
        </w:rPr>
        <w:fldChar w:fldCharType="separate"/>
      </w:r>
      <w:r>
        <w:rPr>
          <w:highlight w:val="none"/>
        </w:rPr>
        <w:fldChar w:fldCharType="begin"/>
      </w:r>
      <w:r>
        <w:rPr>
          <w:highlight w:val="none"/>
        </w:rPr>
        <w:instrText xml:space="preserve"> HYPERLINK \l "_Toc24495" </w:instrText>
      </w:r>
      <w:r>
        <w:rPr>
          <w:highlight w:val="none"/>
        </w:rPr>
        <w:fldChar w:fldCharType="separate"/>
      </w:r>
      <w:r>
        <w:rPr>
          <w:rFonts w:ascii="Arial" w:hAnsi="Arial" w:cs="Arial"/>
          <w:kern w:val="0"/>
          <w:sz w:val="28"/>
          <w:szCs w:val="28"/>
          <w:highlight w:val="none"/>
        </w:rPr>
        <w:t xml:space="preserve">第一章 </w:t>
      </w:r>
      <w:r>
        <w:rPr>
          <w:rFonts w:hint="eastAsia" w:cs="Arial" w:asciiTheme="minorEastAsia" w:hAnsiTheme="minorEastAsia" w:eastAsiaTheme="minorEastAsia"/>
          <w:sz w:val="28"/>
          <w:szCs w:val="28"/>
          <w:highlight w:val="none"/>
        </w:rPr>
        <w:t>投标邀请</w:t>
      </w:r>
      <w:r>
        <w:rPr>
          <w:sz w:val="28"/>
          <w:szCs w:val="28"/>
          <w:highlight w:val="none"/>
        </w:rPr>
        <w:tab/>
      </w:r>
      <w:r>
        <w:rPr>
          <w:sz w:val="28"/>
          <w:szCs w:val="28"/>
          <w:highlight w:val="none"/>
        </w:rPr>
        <w:fldChar w:fldCharType="begin"/>
      </w:r>
      <w:r>
        <w:rPr>
          <w:sz w:val="28"/>
          <w:szCs w:val="28"/>
          <w:highlight w:val="none"/>
        </w:rPr>
        <w:instrText xml:space="preserve"> PAGEREF _Toc24495 </w:instrText>
      </w:r>
      <w:r>
        <w:rPr>
          <w:sz w:val="28"/>
          <w:szCs w:val="28"/>
          <w:highlight w:val="none"/>
        </w:rPr>
        <w:fldChar w:fldCharType="separate"/>
      </w:r>
      <w:r>
        <w:rPr>
          <w:sz w:val="28"/>
          <w:szCs w:val="28"/>
          <w:highlight w:val="none"/>
        </w:rPr>
        <w:t>3</w:t>
      </w:r>
      <w:r>
        <w:rPr>
          <w:sz w:val="28"/>
          <w:szCs w:val="28"/>
          <w:highlight w:val="none"/>
        </w:rPr>
        <w:fldChar w:fldCharType="end"/>
      </w:r>
      <w:r>
        <w:rPr>
          <w:sz w:val="28"/>
          <w:szCs w:val="28"/>
          <w:highlight w:val="none"/>
        </w:rPr>
        <w:fldChar w:fldCharType="end"/>
      </w:r>
    </w:p>
    <w:p>
      <w:pPr>
        <w:pStyle w:val="31"/>
        <w:tabs>
          <w:tab w:val="right" w:leader="dot" w:pos="8506"/>
        </w:tabs>
        <w:rPr>
          <w:sz w:val="28"/>
          <w:szCs w:val="28"/>
          <w:highlight w:val="none"/>
        </w:rPr>
      </w:pPr>
      <w:r>
        <w:rPr>
          <w:highlight w:val="none"/>
        </w:rPr>
        <w:fldChar w:fldCharType="begin"/>
      </w:r>
      <w:r>
        <w:rPr>
          <w:highlight w:val="none"/>
        </w:rPr>
        <w:instrText xml:space="preserve"> HYPERLINK \l "_Toc2024" </w:instrText>
      </w:r>
      <w:r>
        <w:rPr>
          <w:highlight w:val="none"/>
        </w:rPr>
        <w:fldChar w:fldCharType="separate"/>
      </w:r>
      <w:r>
        <w:rPr>
          <w:rFonts w:ascii="Arial" w:cs="Arial"/>
          <w:sz w:val="28"/>
          <w:szCs w:val="28"/>
          <w:highlight w:val="none"/>
        </w:rPr>
        <w:t>第二章</w:t>
      </w:r>
      <w:r>
        <w:rPr>
          <w:rFonts w:ascii="Arial" w:hAnsi="Arial" w:cs="Arial"/>
          <w:sz w:val="28"/>
          <w:szCs w:val="28"/>
          <w:highlight w:val="none"/>
        </w:rPr>
        <w:t xml:space="preserve"> </w:t>
      </w:r>
      <w:r>
        <w:rPr>
          <w:rFonts w:hint="eastAsia" w:ascii="Arial" w:cs="Arial"/>
          <w:sz w:val="28"/>
          <w:szCs w:val="28"/>
          <w:highlight w:val="none"/>
          <w:lang w:eastAsia="zh-CN"/>
        </w:rPr>
        <w:t>供应商</w:t>
      </w:r>
      <w:r>
        <w:rPr>
          <w:rFonts w:ascii="Arial" w:cs="Arial"/>
          <w:sz w:val="28"/>
          <w:szCs w:val="28"/>
          <w:highlight w:val="none"/>
        </w:rPr>
        <w:t>须知</w:t>
      </w:r>
      <w:r>
        <w:rPr>
          <w:sz w:val="28"/>
          <w:szCs w:val="28"/>
          <w:highlight w:val="none"/>
        </w:rPr>
        <w:tab/>
      </w:r>
      <w:r>
        <w:rPr>
          <w:sz w:val="28"/>
          <w:szCs w:val="28"/>
          <w:highlight w:val="none"/>
        </w:rPr>
        <w:fldChar w:fldCharType="begin"/>
      </w:r>
      <w:r>
        <w:rPr>
          <w:sz w:val="28"/>
          <w:szCs w:val="28"/>
          <w:highlight w:val="none"/>
        </w:rPr>
        <w:instrText xml:space="preserve"> PAGEREF _Toc2024 </w:instrText>
      </w:r>
      <w:r>
        <w:rPr>
          <w:sz w:val="28"/>
          <w:szCs w:val="28"/>
          <w:highlight w:val="none"/>
        </w:rPr>
        <w:fldChar w:fldCharType="separate"/>
      </w:r>
      <w:r>
        <w:rPr>
          <w:sz w:val="28"/>
          <w:szCs w:val="28"/>
          <w:highlight w:val="none"/>
        </w:rPr>
        <w:t>3</w:t>
      </w:r>
      <w:r>
        <w:rPr>
          <w:sz w:val="28"/>
          <w:szCs w:val="28"/>
          <w:highlight w:val="none"/>
        </w:rPr>
        <w:fldChar w:fldCharType="end"/>
      </w:r>
      <w:r>
        <w:rPr>
          <w:sz w:val="28"/>
          <w:szCs w:val="28"/>
          <w:highlight w:val="none"/>
        </w:rPr>
        <w:fldChar w:fldCharType="end"/>
      </w:r>
    </w:p>
    <w:p>
      <w:pPr>
        <w:pStyle w:val="31"/>
        <w:tabs>
          <w:tab w:val="right" w:leader="dot" w:pos="8506"/>
        </w:tabs>
        <w:rPr>
          <w:sz w:val="28"/>
          <w:szCs w:val="28"/>
          <w:highlight w:val="none"/>
        </w:rPr>
      </w:pPr>
      <w:r>
        <w:rPr>
          <w:highlight w:val="none"/>
        </w:rPr>
        <w:fldChar w:fldCharType="begin"/>
      </w:r>
      <w:r>
        <w:rPr>
          <w:highlight w:val="none"/>
        </w:rPr>
        <w:instrText xml:space="preserve"> HYPERLINK \l "_Toc15117" </w:instrText>
      </w:r>
      <w:r>
        <w:rPr>
          <w:highlight w:val="none"/>
        </w:rPr>
        <w:fldChar w:fldCharType="separate"/>
      </w:r>
      <w:r>
        <w:rPr>
          <w:rFonts w:ascii="Arial" w:hAnsi="Arial" w:cs="Arial"/>
          <w:kern w:val="0"/>
          <w:sz w:val="28"/>
          <w:szCs w:val="28"/>
          <w:highlight w:val="none"/>
        </w:rPr>
        <w:t> 第三章 评标标准</w:t>
      </w:r>
      <w:r>
        <w:rPr>
          <w:sz w:val="28"/>
          <w:szCs w:val="28"/>
          <w:highlight w:val="none"/>
        </w:rPr>
        <w:tab/>
      </w:r>
      <w:r>
        <w:rPr>
          <w:sz w:val="28"/>
          <w:szCs w:val="28"/>
          <w:highlight w:val="none"/>
        </w:rPr>
        <w:fldChar w:fldCharType="begin"/>
      </w:r>
      <w:r>
        <w:rPr>
          <w:sz w:val="28"/>
          <w:szCs w:val="28"/>
          <w:highlight w:val="none"/>
        </w:rPr>
        <w:instrText xml:space="preserve"> PAGEREF _Toc15117 </w:instrText>
      </w:r>
      <w:r>
        <w:rPr>
          <w:sz w:val="28"/>
          <w:szCs w:val="28"/>
          <w:highlight w:val="none"/>
        </w:rPr>
        <w:fldChar w:fldCharType="separate"/>
      </w:r>
      <w:r>
        <w:rPr>
          <w:sz w:val="28"/>
          <w:szCs w:val="28"/>
          <w:highlight w:val="none"/>
        </w:rPr>
        <w:t>21</w:t>
      </w:r>
      <w:r>
        <w:rPr>
          <w:sz w:val="28"/>
          <w:szCs w:val="28"/>
          <w:highlight w:val="none"/>
        </w:rPr>
        <w:fldChar w:fldCharType="end"/>
      </w:r>
      <w:r>
        <w:rPr>
          <w:sz w:val="28"/>
          <w:szCs w:val="28"/>
          <w:highlight w:val="none"/>
        </w:rPr>
        <w:fldChar w:fldCharType="end"/>
      </w:r>
    </w:p>
    <w:p>
      <w:pPr>
        <w:pStyle w:val="31"/>
        <w:tabs>
          <w:tab w:val="right" w:leader="dot" w:pos="8506"/>
        </w:tabs>
        <w:rPr>
          <w:sz w:val="28"/>
          <w:szCs w:val="28"/>
          <w:highlight w:val="none"/>
        </w:rPr>
      </w:pPr>
      <w:r>
        <w:rPr>
          <w:highlight w:val="none"/>
        </w:rPr>
        <w:fldChar w:fldCharType="begin"/>
      </w:r>
      <w:r>
        <w:rPr>
          <w:highlight w:val="none"/>
        </w:rPr>
        <w:instrText xml:space="preserve"> HYPERLINK \l "_Toc26083" </w:instrText>
      </w:r>
      <w:r>
        <w:rPr>
          <w:highlight w:val="none"/>
        </w:rPr>
        <w:fldChar w:fldCharType="separate"/>
      </w:r>
      <w:r>
        <w:rPr>
          <w:rFonts w:ascii="Arial" w:hAnsi="Arial" w:cs="Arial"/>
          <w:kern w:val="0"/>
          <w:sz w:val="28"/>
          <w:szCs w:val="28"/>
          <w:highlight w:val="none"/>
        </w:rPr>
        <w:t>第四章 采购需求</w:t>
      </w:r>
      <w:r>
        <w:rPr>
          <w:sz w:val="28"/>
          <w:szCs w:val="28"/>
          <w:highlight w:val="none"/>
        </w:rPr>
        <w:tab/>
      </w:r>
      <w:r>
        <w:rPr>
          <w:sz w:val="28"/>
          <w:szCs w:val="28"/>
          <w:highlight w:val="none"/>
        </w:rPr>
        <w:fldChar w:fldCharType="begin"/>
      </w:r>
      <w:r>
        <w:rPr>
          <w:sz w:val="28"/>
          <w:szCs w:val="28"/>
          <w:highlight w:val="none"/>
        </w:rPr>
        <w:instrText xml:space="preserve"> PAGEREF _Toc26083 </w:instrText>
      </w:r>
      <w:r>
        <w:rPr>
          <w:sz w:val="28"/>
          <w:szCs w:val="28"/>
          <w:highlight w:val="none"/>
        </w:rPr>
        <w:fldChar w:fldCharType="separate"/>
      </w:r>
      <w:r>
        <w:rPr>
          <w:sz w:val="28"/>
          <w:szCs w:val="28"/>
          <w:highlight w:val="none"/>
        </w:rPr>
        <w:t>23</w:t>
      </w:r>
      <w:r>
        <w:rPr>
          <w:sz w:val="28"/>
          <w:szCs w:val="28"/>
          <w:highlight w:val="none"/>
        </w:rPr>
        <w:fldChar w:fldCharType="end"/>
      </w:r>
      <w:r>
        <w:rPr>
          <w:sz w:val="28"/>
          <w:szCs w:val="28"/>
          <w:highlight w:val="none"/>
        </w:rPr>
        <w:fldChar w:fldCharType="end"/>
      </w:r>
    </w:p>
    <w:p>
      <w:pPr>
        <w:pStyle w:val="31"/>
        <w:tabs>
          <w:tab w:val="right" w:leader="dot" w:pos="8506"/>
        </w:tabs>
        <w:rPr>
          <w:rFonts w:hint="eastAsia" w:eastAsia="宋体"/>
          <w:sz w:val="28"/>
          <w:szCs w:val="28"/>
          <w:highlight w:val="none"/>
          <w:lang w:val="en-US" w:eastAsia="zh-CN"/>
        </w:rPr>
      </w:pPr>
      <w:r>
        <w:rPr>
          <w:highlight w:val="none"/>
        </w:rPr>
        <w:fldChar w:fldCharType="begin"/>
      </w:r>
      <w:r>
        <w:rPr>
          <w:highlight w:val="none"/>
        </w:rPr>
        <w:instrText xml:space="preserve"> HYPERLINK \l "_Toc383" </w:instrText>
      </w:r>
      <w:r>
        <w:rPr>
          <w:highlight w:val="none"/>
        </w:rPr>
        <w:fldChar w:fldCharType="separate"/>
      </w:r>
      <w:r>
        <w:rPr>
          <w:rFonts w:ascii="Arial" w:hAnsi="Arial" w:cs="Arial"/>
          <w:sz w:val="28"/>
          <w:szCs w:val="28"/>
          <w:highlight w:val="none"/>
        </w:rPr>
        <w:t>第五章 主要条款及格式</w:t>
      </w:r>
      <w:r>
        <w:rPr>
          <w:sz w:val="28"/>
          <w:szCs w:val="28"/>
          <w:highlight w:val="none"/>
        </w:rPr>
        <w:tab/>
      </w:r>
      <w:r>
        <w:rPr>
          <w:rFonts w:hint="eastAsia"/>
          <w:sz w:val="28"/>
          <w:szCs w:val="28"/>
          <w:highlight w:val="none"/>
          <w:lang w:val="en-US" w:eastAsia="zh-CN"/>
        </w:rPr>
        <w:t>3</w:t>
      </w:r>
      <w:r>
        <w:rPr>
          <w:sz w:val="28"/>
          <w:szCs w:val="28"/>
          <w:highlight w:val="none"/>
        </w:rPr>
        <w:fldChar w:fldCharType="end"/>
      </w:r>
      <w:r>
        <w:rPr>
          <w:rFonts w:hint="eastAsia"/>
          <w:sz w:val="28"/>
          <w:szCs w:val="28"/>
          <w:highlight w:val="none"/>
          <w:lang w:val="en-US" w:eastAsia="zh-CN"/>
        </w:rPr>
        <w:t>5</w:t>
      </w:r>
    </w:p>
    <w:p>
      <w:pPr>
        <w:pStyle w:val="31"/>
        <w:tabs>
          <w:tab w:val="right" w:leader="dot" w:pos="8506"/>
        </w:tabs>
        <w:rPr>
          <w:sz w:val="28"/>
          <w:szCs w:val="28"/>
          <w:highlight w:val="none"/>
        </w:rPr>
      </w:pPr>
      <w:r>
        <w:rPr>
          <w:highlight w:val="none"/>
        </w:rPr>
        <w:fldChar w:fldCharType="begin"/>
      </w:r>
      <w:r>
        <w:rPr>
          <w:highlight w:val="none"/>
        </w:rPr>
        <w:instrText xml:space="preserve"> HYPERLINK \l "_Toc24445" </w:instrText>
      </w:r>
      <w:r>
        <w:rPr>
          <w:highlight w:val="none"/>
        </w:rPr>
        <w:fldChar w:fldCharType="separate"/>
      </w:r>
      <w:r>
        <w:rPr>
          <w:rFonts w:ascii="Arial" w:hAnsi="Arial" w:cs="Arial"/>
          <w:sz w:val="28"/>
          <w:szCs w:val="28"/>
          <w:highlight w:val="none"/>
        </w:rPr>
        <w:t>第六章 附件</w:t>
      </w:r>
      <w:r>
        <w:rPr>
          <w:sz w:val="28"/>
          <w:szCs w:val="28"/>
          <w:highlight w:val="none"/>
        </w:rPr>
        <w:tab/>
      </w:r>
      <w:r>
        <w:rPr>
          <w:sz w:val="28"/>
          <w:szCs w:val="28"/>
          <w:highlight w:val="none"/>
        </w:rPr>
        <w:fldChar w:fldCharType="begin"/>
      </w:r>
      <w:r>
        <w:rPr>
          <w:sz w:val="28"/>
          <w:szCs w:val="28"/>
          <w:highlight w:val="none"/>
        </w:rPr>
        <w:instrText xml:space="preserve"> PAGEREF _Toc24445 </w:instrText>
      </w:r>
      <w:r>
        <w:rPr>
          <w:sz w:val="28"/>
          <w:szCs w:val="28"/>
          <w:highlight w:val="none"/>
        </w:rPr>
        <w:fldChar w:fldCharType="separate"/>
      </w:r>
      <w:r>
        <w:rPr>
          <w:sz w:val="28"/>
          <w:szCs w:val="28"/>
          <w:highlight w:val="none"/>
        </w:rPr>
        <w:t>30</w:t>
      </w:r>
      <w:r>
        <w:rPr>
          <w:sz w:val="28"/>
          <w:szCs w:val="28"/>
          <w:highlight w:val="none"/>
        </w:rPr>
        <w:fldChar w:fldCharType="end"/>
      </w:r>
      <w:r>
        <w:rPr>
          <w:sz w:val="28"/>
          <w:szCs w:val="28"/>
          <w:highlight w:val="none"/>
        </w:rPr>
        <w:fldChar w:fldCharType="end"/>
      </w:r>
    </w:p>
    <w:p>
      <w:pPr>
        <w:spacing w:line="480" w:lineRule="auto"/>
        <w:rPr>
          <w:rFonts w:ascii="Arial" w:hAnsi="Arial" w:cs="Arial"/>
          <w:sz w:val="28"/>
          <w:szCs w:val="28"/>
          <w:highlight w:val="none"/>
        </w:rPr>
      </w:pPr>
      <w:r>
        <w:rPr>
          <w:rFonts w:ascii="Arial" w:hAnsi="Arial" w:cs="Arial"/>
          <w:sz w:val="28"/>
          <w:szCs w:val="28"/>
          <w:highlight w:val="none"/>
        </w:rPr>
        <w:fldChar w:fldCharType="end"/>
      </w:r>
    </w:p>
    <w:p>
      <w:pPr>
        <w:widowControl/>
        <w:shd w:val="clear" w:color="auto" w:fill="FFFFFF"/>
        <w:spacing w:line="360" w:lineRule="auto"/>
        <w:jc w:val="center"/>
        <w:rPr>
          <w:rFonts w:ascii="Arial" w:hAnsi="Arial" w:cs="Arial"/>
          <w:b/>
          <w:kern w:val="0"/>
          <w:sz w:val="36"/>
          <w:szCs w:val="36"/>
          <w:highlight w:val="none"/>
        </w:rPr>
      </w:pPr>
    </w:p>
    <w:p>
      <w:pPr>
        <w:pStyle w:val="3"/>
        <w:rPr>
          <w:rFonts w:ascii="Arial" w:hAnsi="Arial" w:cs="Arial"/>
          <w:kern w:val="0"/>
          <w:szCs w:val="21"/>
          <w:highlight w:val="none"/>
        </w:rPr>
      </w:pPr>
      <w:r>
        <w:rPr>
          <w:rFonts w:ascii="Arial" w:hAnsi="Arial" w:cs="Arial"/>
          <w:kern w:val="0"/>
          <w:sz w:val="36"/>
          <w:szCs w:val="36"/>
          <w:highlight w:val="none"/>
          <w:shd w:val="clear" w:color="auto" w:fill="FFFFFF"/>
        </w:rPr>
        <w:br w:type="page"/>
      </w:r>
      <w:bookmarkStart w:id="0" w:name="_Toc481057143"/>
      <w:r>
        <w:rPr>
          <w:rFonts w:ascii="Arial" w:hAnsi="Arial" w:cs="Arial"/>
          <w:kern w:val="0"/>
          <w:sz w:val="36"/>
          <w:szCs w:val="36"/>
          <w:highlight w:val="none"/>
          <w:shd w:val="clear" w:color="auto" w:fill="FFFFFF"/>
        </w:rPr>
        <w:t xml:space="preserve">  </w:t>
      </w:r>
      <w:bookmarkEnd w:id="0"/>
      <w:bookmarkStart w:id="1" w:name="_Toc17776"/>
      <w:bookmarkStart w:id="2" w:name="_Toc24495"/>
      <w:bookmarkStart w:id="3" w:name="_Hlk50570657"/>
      <w:r>
        <w:rPr>
          <w:rFonts w:hint="eastAsia" w:cs="Arial" w:asciiTheme="minorEastAsia" w:hAnsiTheme="minorEastAsia" w:eastAsiaTheme="minorEastAsia"/>
          <w:highlight w:val="none"/>
        </w:rPr>
        <w:t>投标邀请</w:t>
      </w:r>
      <w:bookmarkEnd w:id="1"/>
      <w:bookmarkEnd w:id="2"/>
    </w:p>
    <w:bookmarkEnd w:id="3"/>
    <w:p>
      <w:pPr>
        <w:spacing w:line="360" w:lineRule="auto"/>
        <w:ind w:firstLine="484" w:firstLineChars="202"/>
        <w:rPr>
          <w:rFonts w:ascii="Arial" w:hAnsi="Arial" w:cs="Arial"/>
          <w:b w:val="0"/>
          <w:bCs/>
          <w:color w:val="auto"/>
          <w:sz w:val="24"/>
          <w:highlight w:val="none"/>
        </w:rPr>
      </w:pPr>
      <w:bookmarkStart w:id="4" w:name="_Hlk50571159"/>
      <w:bookmarkStart w:id="5" w:name="_Toc2024"/>
      <w:r>
        <w:rPr>
          <w:rFonts w:hint="eastAsia" w:ascii="Arial" w:hAnsi="Arial" w:cs="Arial"/>
          <w:b w:val="0"/>
          <w:bCs/>
          <w:color w:val="auto"/>
          <w:sz w:val="24"/>
          <w:highlight w:val="none"/>
          <w:u w:val="single"/>
          <w:lang w:val="en-US" w:eastAsia="zh-CN"/>
        </w:rPr>
        <w:t>南京堃正工程项目管理有限公司</w:t>
      </w:r>
      <w:r>
        <w:rPr>
          <w:rFonts w:hint="eastAsia" w:ascii="Arial" w:hAnsi="Arial" w:cs="Arial"/>
          <w:b w:val="0"/>
          <w:bCs/>
          <w:color w:val="auto"/>
          <w:sz w:val="24"/>
          <w:highlight w:val="none"/>
        </w:rPr>
        <w:t>受</w:t>
      </w:r>
      <w:r>
        <w:rPr>
          <w:rFonts w:hint="eastAsia" w:ascii="Arial" w:hAnsi="Arial" w:cs="Arial"/>
          <w:b w:val="0"/>
          <w:bCs/>
          <w:color w:val="auto"/>
          <w:sz w:val="24"/>
          <w:highlight w:val="none"/>
          <w:u w:val="single"/>
          <w:lang w:val="en-US" w:eastAsia="zh-CN"/>
        </w:rPr>
        <w:t>南京市建邺区人民政府兴隆办事处</w:t>
      </w:r>
      <w:r>
        <w:rPr>
          <w:rFonts w:hint="eastAsia" w:ascii="Arial" w:hAnsi="Arial" w:cs="Arial"/>
          <w:b w:val="0"/>
          <w:bCs/>
          <w:color w:val="auto"/>
          <w:sz w:val="24"/>
          <w:highlight w:val="none"/>
        </w:rPr>
        <w:t>委托，就</w:t>
      </w:r>
      <w:r>
        <w:rPr>
          <w:rFonts w:hint="eastAsia" w:ascii="Arial" w:hAnsi="Arial" w:cs="Arial"/>
          <w:b w:val="0"/>
          <w:bCs/>
          <w:color w:val="auto"/>
          <w:spacing w:val="8"/>
          <w:kern w:val="0"/>
          <w:sz w:val="24"/>
          <w:highlight w:val="none"/>
          <w:u w:val="single"/>
          <w:lang w:eastAsia="zh-CN"/>
        </w:rPr>
        <w:t>南京市建邺区兴隆街道居民小区垃圾分类集中投放点建设项目</w:t>
      </w:r>
      <w:r>
        <w:rPr>
          <w:rFonts w:hint="eastAsia" w:ascii="Arial" w:hAnsi="Arial" w:cs="Arial"/>
          <w:b w:val="0"/>
          <w:bCs/>
          <w:color w:val="auto"/>
          <w:sz w:val="24"/>
          <w:highlight w:val="none"/>
        </w:rPr>
        <w:t>进行公开招标采购，现欢迎符合相关条件的供应商参加投标。</w:t>
      </w:r>
    </w:p>
    <w:p>
      <w:pPr>
        <w:widowControl/>
        <w:pBdr>
          <w:top w:val="single" w:color="auto" w:sz="4" w:space="1"/>
          <w:left w:val="single" w:color="auto" w:sz="4" w:space="4"/>
          <w:bottom w:val="single" w:color="auto" w:sz="4" w:space="1"/>
          <w:right w:val="single" w:color="auto" w:sz="4" w:space="4"/>
        </w:pBdr>
        <w:shd w:val="clear" w:color="auto" w:fill="FFFFFF" w:themeFill="background1"/>
        <w:spacing w:line="360" w:lineRule="auto"/>
        <w:ind w:firstLine="369"/>
        <w:rPr>
          <w:rFonts w:ascii="Arial" w:hAnsi="Arial" w:cs="Arial"/>
          <w:b w:val="0"/>
          <w:bCs/>
          <w:color w:val="auto"/>
          <w:spacing w:val="8"/>
          <w:kern w:val="0"/>
          <w:sz w:val="24"/>
          <w:highlight w:val="none"/>
        </w:rPr>
      </w:pPr>
      <w:r>
        <w:rPr>
          <w:rFonts w:hint="eastAsia" w:ascii="Arial" w:hAnsi="Arial" w:cs="Arial"/>
          <w:b w:val="0"/>
          <w:bCs/>
          <w:color w:val="auto"/>
          <w:spacing w:val="8"/>
          <w:kern w:val="0"/>
          <w:sz w:val="24"/>
          <w:highlight w:val="none"/>
          <w:u w:val="single"/>
          <w:lang w:eastAsia="zh-CN"/>
        </w:rPr>
        <w:t>南京市建邺区兴隆街道居民小区垃圾分类</w:t>
      </w:r>
      <w:r>
        <w:rPr>
          <w:rFonts w:hint="eastAsia" w:ascii="Arial" w:hAnsi="Arial" w:cs="Arial"/>
          <w:b w:val="0"/>
          <w:bCs/>
          <w:color w:val="auto"/>
          <w:spacing w:val="8"/>
          <w:kern w:val="0"/>
          <w:sz w:val="24"/>
          <w:highlight w:val="none"/>
          <w:u w:val="single"/>
          <w:lang w:eastAsia="zh-CN"/>
        </w:rPr>
        <w:t>集中投放点建设项目</w:t>
      </w:r>
      <w:r>
        <w:rPr>
          <w:rFonts w:ascii="Arial" w:hAnsi="Arial" w:cs="Arial"/>
          <w:b w:val="0"/>
          <w:bCs/>
          <w:color w:val="auto"/>
          <w:spacing w:val="8"/>
          <w:kern w:val="0"/>
          <w:sz w:val="24"/>
          <w:highlight w:val="none"/>
        </w:rPr>
        <w:t>的潜在</w:t>
      </w:r>
      <w:r>
        <w:rPr>
          <w:rFonts w:hint="eastAsia" w:ascii="Arial" w:hAnsi="Arial" w:cs="Arial"/>
          <w:b w:val="0"/>
          <w:bCs/>
          <w:color w:val="auto"/>
          <w:spacing w:val="8"/>
          <w:kern w:val="0"/>
          <w:sz w:val="24"/>
          <w:highlight w:val="none"/>
          <w:lang w:eastAsia="zh-CN"/>
        </w:rPr>
        <w:t>供应商</w:t>
      </w:r>
      <w:r>
        <w:rPr>
          <w:rFonts w:ascii="Arial" w:hAnsi="Arial" w:cs="Arial"/>
          <w:b w:val="0"/>
          <w:bCs/>
          <w:color w:val="auto"/>
          <w:spacing w:val="8"/>
          <w:kern w:val="0"/>
          <w:sz w:val="24"/>
          <w:highlight w:val="none"/>
        </w:rPr>
        <w:t>应在</w:t>
      </w:r>
      <w:r>
        <w:rPr>
          <w:rFonts w:hint="eastAsia" w:ascii="Arial" w:hAnsi="Arial" w:cs="Arial"/>
          <w:b/>
          <w:bCs w:val="0"/>
          <w:color w:val="auto"/>
          <w:spacing w:val="8"/>
          <w:kern w:val="0"/>
          <w:sz w:val="24"/>
          <w:highlight w:val="none"/>
          <w:u w:val="single"/>
          <w:lang w:val="en-US" w:eastAsia="zh-CN"/>
        </w:rPr>
        <w:t>电子邮箱</w:t>
      </w:r>
      <w:r>
        <w:rPr>
          <w:rFonts w:ascii="Arial" w:hAnsi="Arial" w:cs="Arial"/>
          <w:b w:val="0"/>
          <w:bCs/>
          <w:color w:val="auto"/>
          <w:spacing w:val="8"/>
          <w:kern w:val="0"/>
          <w:sz w:val="24"/>
          <w:highlight w:val="none"/>
        </w:rPr>
        <w:t>获取招标文件，并于</w:t>
      </w:r>
      <w:r>
        <w:rPr>
          <w:rFonts w:hint="eastAsia" w:ascii="Arial" w:hAnsi="Arial" w:cs="Arial"/>
          <w:b w:val="0"/>
          <w:bCs/>
          <w:color w:val="auto"/>
          <w:spacing w:val="8"/>
          <w:kern w:val="0"/>
          <w:sz w:val="24"/>
          <w:highlight w:val="none"/>
        </w:rPr>
        <w:t>202</w:t>
      </w:r>
      <w:r>
        <w:rPr>
          <w:rFonts w:hint="eastAsia" w:ascii="Arial" w:hAnsi="Arial" w:cs="Arial"/>
          <w:b w:val="0"/>
          <w:bCs/>
          <w:color w:val="auto"/>
          <w:spacing w:val="8"/>
          <w:kern w:val="0"/>
          <w:sz w:val="24"/>
          <w:highlight w:val="none"/>
          <w:lang w:val="en-US" w:eastAsia="zh-CN"/>
        </w:rPr>
        <w:t>1</w:t>
      </w:r>
      <w:r>
        <w:rPr>
          <w:rFonts w:ascii="Arial" w:hAnsi="Arial" w:cs="Arial"/>
          <w:b w:val="0"/>
          <w:bCs/>
          <w:color w:val="auto"/>
          <w:spacing w:val="8"/>
          <w:kern w:val="0"/>
          <w:sz w:val="24"/>
          <w:highlight w:val="none"/>
        </w:rPr>
        <w:t>年</w:t>
      </w:r>
      <w:r>
        <w:rPr>
          <w:rFonts w:hint="eastAsia" w:ascii="Arial" w:hAnsi="Arial" w:cs="Arial"/>
          <w:b w:val="0"/>
          <w:bCs/>
          <w:color w:val="auto"/>
          <w:spacing w:val="8"/>
          <w:kern w:val="0"/>
          <w:sz w:val="24"/>
          <w:highlight w:val="none"/>
          <w:lang w:val="en-US" w:eastAsia="zh-CN"/>
        </w:rPr>
        <w:t>03</w:t>
      </w:r>
      <w:r>
        <w:rPr>
          <w:rFonts w:ascii="Arial" w:hAnsi="Arial" w:cs="Arial"/>
          <w:b w:val="0"/>
          <w:bCs/>
          <w:color w:val="auto"/>
          <w:spacing w:val="8"/>
          <w:kern w:val="0"/>
          <w:sz w:val="24"/>
          <w:highlight w:val="none"/>
        </w:rPr>
        <w:t>月</w:t>
      </w:r>
      <w:r>
        <w:rPr>
          <w:rFonts w:hint="eastAsia" w:ascii="Arial" w:hAnsi="Arial" w:cs="Arial"/>
          <w:b w:val="0"/>
          <w:bCs/>
          <w:color w:val="auto"/>
          <w:spacing w:val="8"/>
          <w:kern w:val="0"/>
          <w:sz w:val="24"/>
          <w:highlight w:val="none"/>
          <w:lang w:val="en-US" w:eastAsia="zh-CN"/>
        </w:rPr>
        <w:t>01</w:t>
      </w:r>
      <w:r>
        <w:rPr>
          <w:rFonts w:ascii="Arial" w:hAnsi="Arial" w:cs="Arial"/>
          <w:b w:val="0"/>
          <w:bCs/>
          <w:color w:val="auto"/>
          <w:spacing w:val="8"/>
          <w:kern w:val="0"/>
          <w:sz w:val="24"/>
          <w:highlight w:val="none"/>
        </w:rPr>
        <w:t>日14点 3</w:t>
      </w:r>
      <w:r>
        <w:rPr>
          <w:rFonts w:hint="eastAsia" w:ascii="Arial" w:hAnsi="Arial" w:cs="Arial"/>
          <w:b w:val="0"/>
          <w:bCs/>
          <w:color w:val="auto"/>
          <w:spacing w:val="8"/>
          <w:kern w:val="0"/>
          <w:sz w:val="24"/>
          <w:highlight w:val="none"/>
        </w:rPr>
        <w:t>0</w:t>
      </w:r>
      <w:r>
        <w:rPr>
          <w:rFonts w:ascii="Arial" w:hAnsi="Arial" w:cs="Arial"/>
          <w:b w:val="0"/>
          <w:bCs/>
          <w:color w:val="auto"/>
          <w:spacing w:val="8"/>
          <w:kern w:val="0"/>
          <w:sz w:val="24"/>
          <w:highlight w:val="none"/>
        </w:rPr>
        <w:t>分（北京时间）前递交投标文件。</w:t>
      </w:r>
    </w:p>
    <w:p>
      <w:pPr>
        <w:widowControl/>
        <w:shd w:val="clear" w:color="auto" w:fill="FFFFFF" w:themeFill="background1"/>
        <w:spacing w:line="360" w:lineRule="auto"/>
        <w:ind w:firstLine="369"/>
        <w:rPr>
          <w:rFonts w:ascii="Arial" w:hAnsi="Arial" w:cs="Arial"/>
          <w:b w:val="0"/>
          <w:bCs/>
          <w:color w:val="auto"/>
          <w:spacing w:val="8"/>
          <w:kern w:val="0"/>
          <w:sz w:val="24"/>
          <w:highlight w:val="none"/>
        </w:rPr>
      </w:pPr>
    </w:p>
    <w:p>
      <w:pPr>
        <w:widowControl/>
        <w:shd w:val="clear" w:color="auto" w:fill="FFFFFF" w:themeFill="background1"/>
        <w:spacing w:line="360" w:lineRule="auto"/>
        <w:rPr>
          <w:rFonts w:ascii="Arial" w:hAnsi="Arial" w:cs="Arial"/>
          <w:b w:val="0"/>
          <w:bCs/>
          <w:color w:val="auto"/>
          <w:spacing w:val="8"/>
          <w:kern w:val="0"/>
          <w:sz w:val="24"/>
          <w:highlight w:val="none"/>
        </w:rPr>
      </w:pPr>
      <w:r>
        <w:rPr>
          <w:rFonts w:ascii="Arial" w:hAnsi="Arial" w:cs="Arial"/>
          <w:b w:val="0"/>
          <w:bCs/>
          <w:color w:val="auto"/>
          <w:spacing w:val="8"/>
          <w:kern w:val="0"/>
          <w:sz w:val="24"/>
          <w:highlight w:val="none"/>
        </w:rPr>
        <w:t> 一、项目基本情况</w:t>
      </w:r>
    </w:p>
    <w:p>
      <w:pPr>
        <w:pStyle w:val="14"/>
        <w:spacing w:line="360" w:lineRule="auto"/>
        <w:rPr>
          <w:rFonts w:hint="default" w:eastAsiaTheme="minorEastAsia"/>
          <w:b w:val="0"/>
          <w:bCs/>
          <w:color w:val="auto"/>
          <w:spacing w:val="8"/>
          <w:kern w:val="0"/>
          <w:szCs w:val="24"/>
          <w:highlight w:val="none"/>
          <w:u w:val="single"/>
          <w:lang w:val="en-US" w:eastAsia="zh-CN"/>
        </w:rPr>
      </w:pPr>
      <w:r>
        <w:rPr>
          <w:rFonts w:eastAsiaTheme="minorEastAsia"/>
          <w:b w:val="0"/>
          <w:bCs/>
          <w:color w:val="auto"/>
          <w:spacing w:val="8"/>
          <w:kern w:val="0"/>
          <w:szCs w:val="24"/>
          <w:highlight w:val="none"/>
        </w:rPr>
        <w:t>1.1项目编号：</w:t>
      </w:r>
      <w:r>
        <w:rPr>
          <w:rFonts w:hint="eastAsia" w:eastAsiaTheme="minorEastAsia"/>
          <w:b w:val="0"/>
          <w:bCs/>
          <w:color w:val="auto"/>
          <w:spacing w:val="8"/>
          <w:kern w:val="0"/>
          <w:szCs w:val="24"/>
          <w:highlight w:val="none"/>
          <w:lang w:val="en-US" w:eastAsia="zh-CN"/>
        </w:rPr>
        <w:t xml:space="preserve">NJKZ-XLZC-2021-002    </w:t>
      </w:r>
    </w:p>
    <w:p>
      <w:pPr>
        <w:widowControl/>
        <w:shd w:val="clear" w:color="auto" w:fill="FFFFFF" w:themeFill="background1"/>
        <w:spacing w:line="360" w:lineRule="auto"/>
        <w:ind w:firstLine="370"/>
        <w:rPr>
          <w:rFonts w:hint="eastAsia" w:eastAsiaTheme="minorEastAsia"/>
          <w:b w:val="0"/>
          <w:bCs/>
          <w:color w:val="auto"/>
          <w:spacing w:val="8"/>
          <w:kern w:val="0"/>
          <w:sz w:val="24"/>
          <w:highlight w:val="none"/>
          <w:lang w:eastAsia="zh-CN"/>
        </w:rPr>
      </w:pPr>
      <w:r>
        <w:rPr>
          <w:rFonts w:eastAsiaTheme="minorEastAsia"/>
          <w:b w:val="0"/>
          <w:bCs/>
          <w:color w:val="auto"/>
          <w:spacing w:val="8"/>
          <w:kern w:val="0"/>
          <w:sz w:val="24"/>
          <w:highlight w:val="none"/>
        </w:rPr>
        <w:t>1.2项目名称：</w:t>
      </w:r>
      <w:r>
        <w:rPr>
          <w:rFonts w:hint="eastAsia" w:eastAsiaTheme="minorEastAsia"/>
          <w:b w:val="0"/>
          <w:bCs/>
          <w:color w:val="auto"/>
          <w:spacing w:val="8"/>
          <w:kern w:val="0"/>
          <w:sz w:val="24"/>
          <w:highlight w:val="none"/>
          <w:lang w:eastAsia="zh-CN"/>
        </w:rPr>
        <w:t>南京市建邺区兴隆街道居民小区垃圾分类集中投放点建设项目。</w:t>
      </w:r>
    </w:p>
    <w:p>
      <w:pPr>
        <w:widowControl/>
        <w:shd w:val="clear" w:color="auto" w:fill="FFFFFF" w:themeFill="background1"/>
        <w:spacing w:line="360" w:lineRule="auto"/>
        <w:ind w:firstLine="370"/>
        <w:rPr>
          <w:rFonts w:hint="eastAsia" w:ascii="宋体" w:hAnsi="宋体"/>
          <w:b w:val="0"/>
          <w:bCs/>
          <w:color w:val="auto"/>
          <w:kern w:val="0"/>
          <w:sz w:val="24"/>
          <w:highlight w:val="none"/>
          <w:lang w:val="en-US" w:eastAsia="zh-CN"/>
        </w:rPr>
      </w:pPr>
      <w:r>
        <w:rPr>
          <w:rFonts w:eastAsiaTheme="minorEastAsia"/>
          <w:b w:val="0"/>
          <w:bCs/>
          <w:color w:val="auto"/>
          <w:spacing w:val="8"/>
          <w:kern w:val="0"/>
          <w:sz w:val="24"/>
          <w:highlight w:val="none"/>
        </w:rPr>
        <w:t>1.</w:t>
      </w:r>
      <w:r>
        <w:rPr>
          <w:rFonts w:hint="eastAsia" w:eastAsiaTheme="minorEastAsia"/>
          <w:b w:val="0"/>
          <w:bCs/>
          <w:color w:val="auto"/>
          <w:spacing w:val="8"/>
          <w:kern w:val="0"/>
          <w:sz w:val="24"/>
          <w:highlight w:val="none"/>
          <w:lang w:val="en-US" w:eastAsia="zh-CN"/>
        </w:rPr>
        <w:t>3标段</w:t>
      </w:r>
      <w:r>
        <w:rPr>
          <w:rFonts w:hint="eastAsia" w:ascii="宋体" w:hAnsi="宋体"/>
          <w:b w:val="0"/>
          <w:bCs/>
          <w:color w:val="auto"/>
          <w:kern w:val="0"/>
          <w:sz w:val="24"/>
          <w:highlight w:val="none"/>
          <w:lang w:val="en-US" w:eastAsia="zh-CN"/>
        </w:rPr>
        <w:t>划分：本项目共分两个标段。</w:t>
      </w:r>
    </w:p>
    <w:p>
      <w:pPr>
        <w:widowControl/>
        <w:shd w:val="clear" w:color="auto" w:fill="FFFFFF" w:themeFill="background1"/>
        <w:spacing w:line="360" w:lineRule="auto"/>
        <w:ind w:firstLine="370"/>
        <w:rPr>
          <w:rFonts w:hint="eastAsia" w:ascii="宋体" w:hAnsi="宋体"/>
          <w:b w:val="0"/>
          <w:bCs/>
          <w:color w:val="auto"/>
          <w:kern w:val="0"/>
          <w:sz w:val="24"/>
          <w:highlight w:val="none"/>
          <w:lang w:val="en-US" w:eastAsia="zh-CN"/>
        </w:rPr>
      </w:pPr>
      <w:r>
        <w:rPr>
          <w:rFonts w:hint="eastAsia" w:ascii="宋体" w:hAnsi="宋体"/>
          <w:b w:val="0"/>
          <w:bCs/>
          <w:color w:val="auto"/>
          <w:kern w:val="0"/>
          <w:sz w:val="24"/>
          <w:highlight w:val="none"/>
          <w:lang w:val="en-US" w:eastAsia="zh-CN"/>
        </w:rPr>
        <w:t xml:space="preserve">   一标段：</w:t>
      </w:r>
    </w:p>
    <w:p>
      <w:pPr>
        <w:widowControl/>
        <w:shd w:val="clear" w:color="auto" w:fill="FFFFFF" w:themeFill="background1"/>
        <w:spacing w:line="360" w:lineRule="auto"/>
        <w:ind w:firstLine="370"/>
        <w:rPr>
          <w:rFonts w:hint="eastAsia" w:eastAsiaTheme="minorEastAsia"/>
          <w:b w:val="0"/>
          <w:bCs/>
          <w:color w:val="auto"/>
          <w:spacing w:val="8"/>
          <w:kern w:val="0"/>
          <w:sz w:val="24"/>
          <w:highlight w:val="none"/>
          <w:lang w:val="en-US" w:eastAsia="zh-CN"/>
        </w:rPr>
      </w:pPr>
      <w:r>
        <w:rPr>
          <w:rFonts w:hint="eastAsia" w:ascii="宋体" w:hAnsi="宋体"/>
          <w:b w:val="0"/>
          <w:bCs/>
          <w:color w:val="auto"/>
          <w:kern w:val="0"/>
          <w:sz w:val="24"/>
          <w:highlight w:val="none"/>
          <w:lang w:val="en-US" w:eastAsia="zh-CN"/>
        </w:rPr>
        <w:t>项目名称：</w:t>
      </w:r>
      <w:r>
        <w:rPr>
          <w:rFonts w:hint="eastAsia" w:eastAsiaTheme="minorEastAsia"/>
          <w:b w:val="0"/>
          <w:bCs/>
          <w:color w:val="auto"/>
          <w:spacing w:val="8"/>
          <w:kern w:val="0"/>
          <w:sz w:val="24"/>
          <w:highlight w:val="none"/>
          <w:lang w:eastAsia="zh-CN"/>
        </w:rPr>
        <w:t>南京市建邺区兴隆街道居民小区垃圾分类集中投放点建设项目</w:t>
      </w:r>
      <w:r>
        <w:rPr>
          <w:rFonts w:hint="eastAsia" w:eastAsiaTheme="minorEastAsia"/>
          <w:b w:val="0"/>
          <w:bCs/>
          <w:color w:val="auto"/>
          <w:spacing w:val="8"/>
          <w:kern w:val="0"/>
          <w:sz w:val="24"/>
          <w:highlight w:val="none"/>
          <w:lang w:val="en-US" w:eastAsia="zh-CN"/>
        </w:rPr>
        <w:t>标段一</w:t>
      </w:r>
    </w:p>
    <w:p>
      <w:pPr>
        <w:widowControl/>
        <w:shd w:val="clear" w:color="auto" w:fill="FFFFFF" w:themeFill="background1"/>
        <w:spacing w:line="360" w:lineRule="auto"/>
        <w:ind w:firstLine="370"/>
        <w:rPr>
          <w:rFonts w:hint="default" w:ascii="宋体" w:hAnsi="宋体" w:eastAsia="宋体"/>
          <w:b w:val="0"/>
          <w:bCs/>
          <w:color w:val="auto"/>
          <w:kern w:val="0"/>
          <w:sz w:val="24"/>
          <w:highlight w:val="none"/>
          <w:lang w:val="en-US" w:eastAsia="zh-CN"/>
        </w:rPr>
      </w:pPr>
      <w:r>
        <w:rPr>
          <w:rFonts w:hint="eastAsia" w:ascii="宋体" w:hAnsi="宋体"/>
          <w:b w:val="0"/>
          <w:bCs/>
          <w:color w:val="auto"/>
          <w:kern w:val="0"/>
          <w:sz w:val="24"/>
          <w:highlight w:val="none"/>
          <w:lang w:val="en-US" w:eastAsia="zh-CN"/>
        </w:rPr>
        <w:t>采购规模及范围：一标段包含万达西地、精金花园、涵碧楼、紫鑫中华广场、丹桂园、印长江，碧瑶花园三期等7个居民小区共计9个垃圾分类房27个垃圾分类亭</w:t>
      </w:r>
    </w:p>
    <w:p>
      <w:pPr>
        <w:widowControl/>
        <w:shd w:val="clear" w:color="auto" w:fill="FFFFFF" w:themeFill="background1"/>
        <w:spacing w:line="360" w:lineRule="auto"/>
        <w:ind w:firstLine="370"/>
        <w:rPr>
          <w:rFonts w:hint="default" w:ascii="宋体" w:hAnsi="宋体" w:eastAsia="宋体"/>
          <w:b w:val="0"/>
          <w:bCs/>
          <w:color w:val="auto"/>
          <w:kern w:val="0"/>
          <w:sz w:val="24"/>
          <w:highlight w:val="none"/>
          <w:lang w:val="en-US" w:eastAsia="zh-CN"/>
        </w:rPr>
      </w:pPr>
      <w:r>
        <w:rPr>
          <w:rFonts w:hint="eastAsia" w:ascii="宋体" w:hAnsi="宋体"/>
          <w:b w:val="0"/>
          <w:bCs/>
          <w:color w:val="auto"/>
          <w:kern w:val="0"/>
          <w:sz w:val="24"/>
          <w:highlight w:val="none"/>
          <w:lang w:val="en-US" w:eastAsia="zh-CN"/>
        </w:rPr>
        <w:t xml:space="preserve">   二标段</w:t>
      </w:r>
      <w:bookmarkStart w:id="19" w:name="_GoBack"/>
      <w:bookmarkEnd w:id="19"/>
      <w:r>
        <w:rPr>
          <w:rFonts w:hint="eastAsia" w:ascii="宋体" w:hAnsi="宋体"/>
          <w:b w:val="0"/>
          <w:bCs/>
          <w:color w:val="auto"/>
          <w:kern w:val="0"/>
          <w:sz w:val="24"/>
          <w:highlight w:val="none"/>
          <w:lang w:val="en-US" w:eastAsia="zh-CN"/>
        </w:rPr>
        <w:t>：</w:t>
      </w:r>
    </w:p>
    <w:p>
      <w:pPr>
        <w:widowControl/>
        <w:shd w:val="clear" w:color="auto" w:fill="FFFFFF" w:themeFill="background1"/>
        <w:spacing w:line="360" w:lineRule="auto"/>
        <w:ind w:firstLine="370"/>
        <w:rPr>
          <w:rFonts w:hint="eastAsia" w:eastAsiaTheme="minorEastAsia"/>
          <w:b w:val="0"/>
          <w:bCs/>
          <w:color w:val="auto"/>
          <w:spacing w:val="8"/>
          <w:kern w:val="0"/>
          <w:sz w:val="24"/>
          <w:highlight w:val="none"/>
          <w:lang w:val="en-US" w:eastAsia="zh-CN"/>
        </w:rPr>
      </w:pPr>
      <w:r>
        <w:rPr>
          <w:rFonts w:hint="eastAsia" w:ascii="宋体" w:hAnsi="宋体"/>
          <w:b w:val="0"/>
          <w:bCs/>
          <w:color w:val="auto"/>
          <w:kern w:val="0"/>
          <w:sz w:val="24"/>
          <w:highlight w:val="none"/>
          <w:lang w:val="en-US" w:eastAsia="zh-CN"/>
        </w:rPr>
        <w:t>项目名称：</w:t>
      </w:r>
      <w:r>
        <w:rPr>
          <w:rFonts w:hint="eastAsia" w:eastAsiaTheme="minorEastAsia"/>
          <w:b w:val="0"/>
          <w:bCs/>
          <w:color w:val="auto"/>
          <w:spacing w:val="8"/>
          <w:kern w:val="0"/>
          <w:sz w:val="24"/>
          <w:highlight w:val="none"/>
          <w:lang w:eastAsia="zh-CN"/>
        </w:rPr>
        <w:t>南京市建邺区兴隆街道居民小区垃圾分类集中投放点建设项目</w:t>
      </w:r>
      <w:r>
        <w:rPr>
          <w:rFonts w:hint="eastAsia" w:eastAsiaTheme="minorEastAsia"/>
          <w:b w:val="0"/>
          <w:bCs/>
          <w:color w:val="auto"/>
          <w:spacing w:val="8"/>
          <w:kern w:val="0"/>
          <w:sz w:val="24"/>
          <w:highlight w:val="none"/>
          <w:lang w:val="en-US" w:eastAsia="zh-CN"/>
        </w:rPr>
        <w:t>标段二</w:t>
      </w:r>
    </w:p>
    <w:p>
      <w:pPr>
        <w:widowControl/>
        <w:shd w:val="clear" w:color="auto" w:fill="FFFFFF" w:themeFill="background1"/>
        <w:spacing w:line="360" w:lineRule="auto"/>
        <w:ind w:firstLine="370"/>
        <w:rPr>
          <w:rFonts w:hint="eastAsia" w:ascii="宋体" w:hAnsi="宋体"/>
          <w:b w:val="0"/>
          <w:bCs/>
          <w:color w:val="auto"/>
          <w:kern w:val="0"/>
          <w:sz w:val="24"/>
          <w:highlight w:val="none"/>
          <w:lang w:val="en-US" w:eastAsia="zh-CN"/>
        </w:rPr>
      </w:pPr>
      <w:r>
        <w:rPr>
          <w:rFonts w:hint="eastAsia" w:ascii="宋体" w:hAnsi="宋体"/>
          <w:b w:val="0"/>
          <w:bCs/>
          <w:color w:val="auto"/>
          <w:kern w:val="0"/>
          <w:sz w:val="24"/>
          <w:highlight w:val="none"/>
          <w:lang w:val="en-US" w:eastAsia="zh-CN"/>
        </w:rPr>
        <w:t>采购规模及范围：二标段包含莱蒙水榭春天、星雨华府、紫薇园、御江金城、积善新寓，清竹园三期等6个居民小区共计7个垃圾分类房31个垃圾分类亭</w:t>
      </w:r>
    </w:p>
    <w:p>
      <w:pPr>
        <w:widowControl/>
        <w:shd w:val="clear" w:color="auto" w:fill="FFFFFF" w:themeFill="background1"/>
        <w:spacing w:line="360" w:lineRule="auto"/>
        <w:ind w:firstLine="370"/>
        <w:rPr>
          <w:rFonts w:hint="default" w:ascii="宋体" w:hAnsi="宋体" w:eastAsia="宋体"/>
          <w:b w:val="0"/>
          <w:bCs/>
          <w:color w:val="auto"/>
          <w:kern w:val="0"/>
          <w:sz w:val="24"/>
          <w:highlight w:val="none"/>
          <w:lang w:val="en-US" w:eastAsia="zh-CN"/>
        </w:rPr>
      </w:pPr>
      <w:r>
        <w:rPr>
          <w:rFonts w:hint="eastAsia" w:ascii="宋体" w:hAnsi="宋体"/>
          <w:b w:val="0"/>
          <w:bCs/>
          <w:color w:val="auto"/>
          <w:kern w:val="0"/>
          <w:sz w:val="24"/>
          <w:highlight w:val="none"/>
          <w:lang w:val="en-US" w:eastAsia="zh-CN"/>
        </w:rPr>
        <w:t>注：</w:t>
      </w:r>
      <w:r>
        <w:rPr>
          <w:rFonts w:hint="eastAsia" w:ascii="宋体" w:hAnsi="宋体"/>
          <w:b w:val="0"/>
          <w:bCs/>
          <w:color w:val="auto"/>
          <w:kern w:val="0"/>
          <w:sz w:val="24"/>
          <w:highlight w:val="none"/>
          <w:lang w:val="en-US" w:eastAsia="zh-CN"/>
        </w:rPr>
        <w:t>本项目共分两个标段，</w:t>
      </w:r>
      <w:r>
        <w:rPr>
          <w:rFonts w:hint="eastAsia" w:ascii="宋体" w:hAnsi="宋体"/>
          <w:sz w:val="24"/>
          <w:szCs w:val="24"/>
          <w:highlight w:val="none"/>
        </w:rPr>
        <w:t>标段</w:t>
      </w:r>
      <w:r>
        <w:rPr>
          <w:rFonts w:hint="eastAsia" w:ascii="宋体" w:hAnsi="宋体"/>
          <w:sz w:val="24"/>
          <w:szCs w:val="24"/>
          <w:highlight w:val="none"/>
          <w:lang w:val="en-US" w:eastAsia="zh-CN"/>
        </w:rPr>
        <w:t>一</w:t>
      </w:r>
      <w:r>
        <w:rPr>
          <w:rFonts w:hint="eastAsia" w:ascii="宋体" w:hAnsi="宋体"/>
          <w:sz w:val="24"/>
          <w:szCs w:val="24"/>
          <w:highlight w:val="none"/>
        </w:rPr>
        <w:t>、标段</w:t>
      </w:r>
      <w:r>
        <w:rPr>
          <w:rFonts w:hint="eastAsia" w:ascii="宋体" w:hAnsi="宋体"/>
          <w:sz w:val="24"/>
          <w:szCs w:val="24"/>
          <w:highlight w:val="none"/>
          <w:lang w:val="en-US" w:eastAsia="zh-CN"/>
        </w:rPr>
        <w:t>二</w:t>
      </w:r>
      <w:r>
        <w:rPr>
          <w:rFonts w:hint="eastAsia" w:ascii="宋体" w:hAnsi="宋体"/>
          <w:sz w:val="24"/>
          <w:szCs w:val="24"/>
          <w:highlight w:val="none"/>
        </w:rPr>
        <w:t>同时开标同时评标，如同一</w:t>
      </w:r>
      <w:r>
        <w:rPr>
          <w:rFonts w:hint="eastAsia" w:ascii="宋体" w:hAnsi="宋体"/>
          <w:sz w:val="24"/>
          <w:szCs w:val="24"/>
          <w:highlight w:val="none"/>
          <w:lang w:val="en-US" w:eastAsia="zh-CN"/>
        </w:rPr>
        <w:t>供应商</w:t>
      </w:r>
      <w:r>
        <w:rPr>
          <w:rFonts w:hint="eastAsia" w:ascii="宋体" w:hAnsi="宋体"/>
          <w:sz w:val="24"/>
          <w:szCs w:val="24"/>
          <w:highlight w:val="none"/>
        </w:rPr>
        <w:t>同时投两个标段，只允许中其中一个标段。开、评标均按照标段</w:t>
      </w:r>
      <w:r>
        <w:rPr>
          <w:rFonts w:hint="eastAsia" w:ascii="宋体" w:hAnsi="宋体"/>
          <w:sz w:val="24"/>
          <w:szCs w:val="24"/>
          <w:highlight w:val="none"/>
          <w:lang w:val="en-US" w:eastAsia="zh-CN"/>
        </w:rPr>
        <w:t>一</w:t>
      </w:r>
      <w:r>
        <w:rPr>
          <w:rFonts w:hint="eastAsia" w:ascii="宋体" w:hAnsi="宋体"/>
          <w:sz w:val="24"/>
          <w:szCs w:val="24"/>
          <w:highlight w:val="none"/>
        </w:rPr>
        <w:t>、标段</w:t>
      </w:r>
      <w:r>
        <w:rPr>
          <w:rFonts w:hint="eastAsia" w:ascii="宋体" w:hAnsi="宋体"/>
          <w:sz w:val="24"/>
          <w:szCs w:val="24"/>
          <w:highlight w:val="none"/>
          <w:lang w:val="en-US" w:eastAsia="zh-CN"/>
        </w:rPr>
        <w:t>二</w:t>
      </w:r>
      <w:r>
        <w:rPr>
          <w:rFonts w:hint="eastAsia" w:ascii="宋体" w:hAnsi="宋体"/>
          <w:sz w:val="24"/>
          <w:szCs w:val="24"/>
          <w:highlight w:val="none"/>
        </w:rPr>
        <w:t>的顺序进行，</w:t>
      </w:r>
      <w:r>
        <w:rPr>
          <w:rFonts w:hint="eastAsia" w:ascii="宋体" w:hAnsi="宋体"/>
          <w:sz w:val="24"/>
          <w:szCs w:val="24"/>
          <w:highlight w:val="none"/>
          <w:lang w:val="en-US" w:eastAsia="zh-CN"/>
        </w:rPr>
        <w:t>供应商</w:t>
      </w:r>
      <w:r>
        <w:rPr>
          <w:rFonts w:hint="eastAsia" w:ascii="宋体" w:hAnsi="宋体"/>
          <w:sz w:val="24"/>
          <w:szCs w:val="24"/>
          <w:highlight w:val="none"/>
        </w:rPr>
        <w:t>在之前评标标段成为第一中标候选人的，仍可参与之后标段的评审，但不能再被推荐为中标候选人</w:t>
      </w:r>
    </w:p>
    <w:p>
      <w:pPr>
        <w:widowControl/>
        <w:shd w:val="clear" w:color="auto" w:fill="FFFFFF" w:themeFill="background1"/>
        <w:spacing w:line="360" w:lineRule="auto"/>
        <w:ind w:firstLine="370"/>
        <w:rPr>
          <w:rFonts w:hint="eastAsia" w:eastAsiaTheme="minorEastAsia"/>
          <w:b w:val="0"/>
          <w:bCs/>
          <w:color w:val="auto"/>
          <w:spacing w:val="8"/>
          <w:kern w:val="0"/>
          <w:szCs w:val="24"/>
          <w:highlight w:val="none"/>
          <w:lang w:eastAsia="zh-CN"/>
        </w:rPr>
      </w:pPr>
      <w:r>
        <w:rPr>
          <w:rFonts w:hint="eastAsia" w:ascii="宋体" w:hAnsi="宋体"/>
          <w:b w:val="0"/>
          <w:bCs/>
          <w:color w:val="auto"/>
          <w:kern w:val="0"/>
          <w:sz w:val="24"/>
          <w:highlight w:val="none"/>
        </w:rPr>
        <w:t>1.4预算金额及最高限价：</w:t>
      </w:r>
      <w:r>
        <w:rPr>
          <w:rFonts w:hint="eastAsia" w:ascii="宋体" w:hAnsi="宋体"/>
          <w:b w:val="0"/>
          <w:bCs/>
          <w:color w:val="auto"/>
          <w:kern w:val="0"/>
          <w:sz w:val="24"/>
          <w:highlight w:val="none"/>
          <w:lang w:val="en-US" w:eastAsia="zh-CN"/>
        </w:rPr>
        <w:t>标段一：340.2万元，标段二：342.6万元</w:t>
      </w:r>
      <w:r>
        <w:rPr>
          <w:rFonts w:hint="eastAsia" w:eastAsiaTheme="minorEastAsia"/>
          <w:b w:val="0"/>
          <w:bCs/>
          <w:color w:val="auto"/>
          <w:spacing w:val="8"/>
          <w:kern w:val="0"/>
          <w:szCs w:val="24"/>
          <w:highlight w:val="none"/>
        </w:rPr>
        <w:t xml:space="preserve"> </w:t>
      </w:r>
      <w:r>
        <w:rPr>
          <w:rFonts w:hint="eastAsia" w:eastAsiaTheme="minorEastAsia"/>
          <w:b w:val="0"/>
          <w:bCs/>
          <w:color w:val="auto"/>
          <w:spacing w:val="8"/>
          <w:kern w:val="0"/>
          <w:szCs w:val="24"/>
          <w:highlight w:val="none"/>
          <w:lang w:eastAsia="zh-CN"/>
        </w:rPr>
        <w:t>。</w:t>
      </w:r>
    </w:p>
    <w:p>
      <w:pPr>
        <w:widowControl/>
        <w:shd w:val="clear" w:color="auto" w:fill="FFFFFF" w:themeFill="background1"/>
        <w:spacing w:line="360" w:lineRule="auto"/>
        <w:ind w:firstLine="370"/>
        <w:rPr>
          <w:rFonts w:hint="eastAsia" w:eastAsia="宋体"/>
          <w:b w:val="0"/>
          <w:bCs/>
          <w:color w:val="auto"/>
          <w:spacing w:val="8"/>
          <w:kern w:val="0"/>
          <w:sz w:val="24"/>
          <w:highlight w:val="none"/>
          <w:lang w:eastAsia="zh-CN"/>
        </w:rPr>
      </w:pPr>
      <w:r>
        <w:rPr>
          <w:rFonts w:eastAsiaTheme="minorEastAsia"/>
          <w:b w:val="0"/>
          <w:bCs/>
          <w:color w:val="auto"/>
          <w:spacing w:val="8"/>
          <w:kern w:val="0"/>
          <w:sz w:val="24"/>
          <w:highlight w:val="none"/>
        </w:rPr>
        <w:t>1.</w:t>
      </w:r>
      <w:r>
        <w:rPr>
          <w:rFonts w:hint="eastAsia" w:eastAsiaTheme="minorEastAsia"/>
          <w:b w:val="0"/>
          <w:bCs/>
          <w:color w:val="auto"/>
          <w:spacing w:val="8"/>
          <w:kern w:val="0"/>
          <w:sz w:val="24"/>
          <w:highlight w:val="none"/>
        </w:rPr>
        <w:t>5</w:t>
      </w:r>
      <w:r>
        <w:rPr>
          <w:rFonts w:eastAsiaTheme="minorEastAsia"/>
          <w:b w:val="0"/>
          <w:bCs/>
          <w:color w:val="auto"/>
          <w:spacing w:val="8"/>
          <w:kern w:val="0"/>
          <w:sz w:val="24"/>
          <w:highlight w:val="none"/>
        </w:rPr>
        <w:t>采购需求：</w:t>
      </w:r>
      <w:r>
        <w:rPr>
          <w:rFonts w:hint="eastAsia" w:ascii="宋体" w:hAnsi="宋体"/>
          <w:b w:val="0"/>
          <w:bCs/>
          <w:color w:val="auto"/>
          <w:kern w:val="0"/>
          <w:sz w:val="24"/>
          <w:highlight w:val="none"/>
        </w:rPr>
        <w:t>为响应南京市《</w:t>
      </w:r>
      <w:r>
        <w:rPr>
          <w:rFonts w:hint="eastAsia" w:ascii="宋体" w:hAnsi="宋体"/>
          <w:b w:val="0"/>
          <w:bCs/>
          <w:color w:val="auto"/>
          <w:kern w:val="0"/>
          <w:sz w:val="24"/>
          <w:highlight w:val="none"/>
          <w:lang w:val="en-US" w:eastAsia="zh-CN"/>
        </w:rPr>
        <w:t>南京市城市居住小区生活垃圾分类收集设施设置导则</w:t>
      </w:r>
      <w:r>
        <w:rPr>
          <w:rFonts w:hint="eastAsia" w:ascii="宋体" w:hAnsi="宋体"/>
          <w:b w:val="0"/>
          <w:bCs/>
          <w:color w:val="auto"/>
          <w:kern w:val="0"/>
          <w:sz w:val="24"/>
          <w:highlight w:val="none"/>
        </w:rPr>
        <w:t>》的政策号召，探索垃圾分类高效实施模式，现</w:t>
      </w:r>
      <w:r>
        <w:rPr>
          <w:rFonts w:hint="eastAsia" w:eastAsiaTheme="minorEastAsia"/>
          <w:b w:val="0"/>
          <w:bCs/>
          <w:color w:val="auto"/>
          <w:spacing w:val="8"/>
          <w:kern w:val="0"/>
          <w:sz w:val="24"/>
          <w:highlight w:val="none"/>
          <w:lang w:eastAsia="zh-CN"/>
        </w:rPr>
        <w:t>南京市建邺区兴隆街道居民小区垃圾分类集中投放点建设项目</w:t>
      </w:r>
      <w:r>
        <w:rPr>
          <w:rFonts w:hint="eastAsia" w:ascii="宋体" w:hAnsi="宋体"/>
          <w:b w:val="0"/>
          <w:bCs/>
          <w:color w:val="auto"/>
          <w:kern w:val="0"/>
          <w:sz w:val="24"/>
          <w:highlight w:val="none"/>
        </w:rPr>
        <w:t>，进行公开采购活动</w:t>
      </w:r>
      <w:r>
        <w:rPr>
          <w:rFonts w:hint="eastAsia" w:ascii="宋体" w:hAnsi="宋体"/>
          <w:b w:val="0"/>
          <w:bCs/>
          <w:color w:val="auto"/>
          <w:kern w:val="0"/>
          <w:sz w:val="24"/>
          <w:highlight w:val="none"/>
          <w:lang w:eastAsia="zh-CN"/>
        </w:rPr>
        <w:t>，</w:t>
      </w:r>
      <w:r>
        <w:rPr>
          <w:rFonts w:hint="eastAsia" w:ascii="宋体" w:hAnsi="宋体"/>
          <w:b w:val="0"/>
          <w:bCs/>
          <w:color w:val="auto"/>
          <w:kern w:val="0"/>
          <w:sz w:val="24"/>
          <w:highlight w:val="none"/>
          <w:lang w:val="en-US" w:eastAsia="zh-CN"/>
        </w:rPr>
        <w:t>具体需求详见第四章采购需求</w:t>
      </w:r>
      <w:r>
        <w:rPr>
          <w:rFonts w:hint="eastAsia" w:ascii="宋体" w:hAnsi="宋体"/>
          <w:b w:val="0"/>
          <w:bCs/>
          <w:color w:val="auto"/>
          <w:kern w:val="0"/>
          <w:sz w:val="24"/>
          <w:highlight w:val="none"/>
          <w:lang w:eastAsia="zh-CN"/>
        </w:rPr>
        <w:t>。</w:t>
      </w:r>
    </w:p>
    <w:p>
      <w:pPr>
        <w:pStyle w:val="14"/>
        <w:spacing w:line="360" w:lineRule="auto"/>
        <w:rPr>
          <w:rFonts w:hint="eastAsia" w:eastAsiaTheme="minorEastAsia"/>
          <w:b w:val="0"/>
          <w:bCs/>
          <w:color w:val="auto"/>
          <w:spacing w:val="8"/>
          <w:kern w:val="0"/>
          <w:szCs w:val="24"/>
          <w:highlight w:val="none"/>
          <w:lang w:eastAsia="zh-CN"/>
        </w:rPr>
      </w:pPr>
      <w:r>
        <w:rPr>
          <w:rFonts w:eastAsiaTheme="minorEastAsia"/>
          <w:b w:val="0"/>
          <w:bCs/>
          <w:color w:val="auto"/>
          <w:spacing w:val="8"/>
          <w:kern w:val="0"/>
          <w:szCs w:val="24"/>
          <w:highlight w:val="none"/>
        </w:rPr>
        <w:t>1.</w:t>
      </w:r>
      <w:r>
        <w:rPr>
          <w:rFonts w:hint="eastAsia" w:eastAsiaTheme="minorEastAsia"/>
          <w:b w:val="0"/>
          <w:bCs/>
          <w:color w:val="auto"/>
          <w:spacing w:val="8"/>
          <w:kern w:val="0"/>
          <w:szCs w:val="24"/>
          <w:highlight w:val="none"/>
        </w:rPr>
        <w:t>6</w:t>
      </w:r>
      <w:r>
        <w:rPr>
          <w:rFonts w:hint="eastAsia" w:eastAsiaTheme="minorEastAsia"/>
          <w:b w:val="0"/>
          <w:bCs/>
          <w:color w:val="auto"/>
          <w:spacing w:val="8"/>
          <w:kern w:val="0"/>
          <w:szCs w:val="24"/>
          <w:highlight w:val="none"/>
          <w:lang w:val="en-US" w:eastAsia="zh-CN"/>
        </w:rPr>
        <w:t>合同履行</w:t>
      </w:r>
      <w:r>
        <w:rPr>
          <w:rFonts w:eastAsiaTheme="minorEastAsia"/>
          <w:b w:val="0"/>
          <w:bCs/>
          <w:color w:val="auto"/>
          <w:spacing w:val="8"/>
          <w:kern w:val="0"/>
          <w:szCs w:val="24"/>
          <w:highlight w:val="none"/>
        </w:rPr>
        <w:t>期限：具备进场条件或接招标人书面通知后，</w:t>
      </w:r>
      <w:r>
        <w:rPr>
          <w:rFonts w:hint="eastAsia" w:eastAsiaTheme="minorEastAsia"/>
          <w:b w:val="0"/>
          <w:bCs/>
          <w:color w:val="auto"/>
          <w:spacing w:val="8"/>
          <w:kern w:val="0"/>
          <w:szCs w:val="24"/>
          <w:highlight w:val="none"/>
          <w:lang w:val="en-US" w:eastAsia="zh-CN"/>
        </w:rPr>
        <w:t>20</w:t>
      </w:r>
      <w:r>
        <w:rPr>
          <w:rFonts w:eastAsiaTheme="minorEastAsia"/>
          <w:b w:val="0"/>
          <w:bCs/>
          <w:color w:val="auto"/>
          <w:spacing w:val="8"/>
          <w:kern w:val="0"/>
          <w:szCs w:val="24"/>
          <w:highlight w:val="none"/>
        </w:rPr>
        <w:t>日内交付使用</w:t>
      </w:r>
      <w:r>
        <w:rPr>
          <w:rFonts w:hint="eastAsia" w:eastAsiaTheme="minorEastAsia"/>
          <w:b w:val="0"/>
          <w:bCs/>
          <w:color w:val="auto"/>
          <w:spacing w:val="8"/>
          <w:kern w:val="0"/>
          <w:szCs w:val="24"/>
          <w:highlight w:val="none"/>
          <w:lang w:eastAsia="zh-CN"/>
        </w:rPr>
        <w:t>。</w:t>
      </w:r>
    </w:p>
    <w:p>
      <w:pPr>
        <w:pStyle w:val="14"/>
        <w:spacing w:line="360" w:lineRule="auto"/>
        <w:rPr>
          <w:rFonts w:hint="default" w:eastAsiaTheme="minorEastAsia"/>
          <w:b w:val="0"/>
          <w:bCs/>
          <w:color w:val="auto"/>
          <w:spacing w:val="8"/>
          <w:kern w:val="0"/>
          <w:szCs w:val="24"/>
          <w:highlight w:val="none"/>
          <w:lang w:val="en-US" w:eastAsia="zh-CN"/>
        </w:rPr>
      </w:pPr>
      <w:r>
        <w:rPr>
          <w:rFonts w:eastAsiaTheme="minorEastAsia"/>
          <w:b w:val="0"/>
          <w:bCs/>
          <w:color w:val="auto"/>
          <w:spacing w:val="8"/>
          <w:kern w:val="0"/>
          <w:szCs w:val="24"/>
          <w:highlight w:val="none"/>
        </w:rPr>
        <w:t>1.</w:t>
      </w:r>
      <w:r>
        <w:rPr>
          <w:rFonts w:hint="eastAsia" w:eastAsiaTheme="minorEastAsia"/>
          <w:b w:val="0"/>
          <w:bCs/>
          <w:color w:val="auto"/>
          <w:spacing w:val="8"/>
          <w:kern w:val="0"/>
          <w:szCs w:val="24"/>
          <w:highlight w:val="none"/>
        </w:rPr>
        <w:t>7</w:t>
      </w:r>
      <w:r>
        <w:rPr>
          <w:rFonts w:hint="eastAsia" w:eastAsiaTheme="minorEastAsia"/>
          <w:b w:val="0"/>
          <w:bCs/>
          <w:color w:val="auto"/>
          <w:spacing w:val="8"/>
          <w:kern w:val="0"/>
          <w:szCs w:val="24"/>
          <w:highlight w:val="none"/>
          <w:lang w:val="en-US" w:eastAsia="zh-CN"/>
        </w:rPr>
        <w:t>质保期：经验收合格后5年。</w:t>
      </w:r>
    </w:p>
    <w:p>
      <w:pPr>
        <w:pStyle w:val="14"/>
        <w:spacing w:line="360" w:lineRule="auto"/>
        <w:rPr>
          <w:rFonts w:eastAsiaTheme="minorEastAsia"/>
          <w:b w:val="0"/>
          <w:bCs/>
          <w:color w:val="auto"/>
          <w:spacing w:val="8"/>
          <w:kern w:val="0"/>
          <w:szCs w:val="24"/>
          <w:highlight w:val="none"/>
        </w:rPr>
      </w:pPr>
      <w:r>
        <w:rPr>
          <w:rFonts w:eastAsiaTheme="minorEastAsia"/>
          <w:b w:val="0"/>
          <w:bCs/>
          <w:color w:val="auto"/>
          <w:spacing w:val="8"/>
          <w:kern w:val="0"/>
          <w:szCs w:val="24"/>
          <w:highlight w:val="none"/>
        </w:rPr>
        <w:t>1.</w:t>
      </w:r>
      <w:r>
        <w:rPr>
          <w:rFonts w:hint="eastAsia" w:eastAsiaTheme="minorEastAsia"/>
          <w:b w:val="0"/>
          <w:bCs/>
          <w:color w:val="auto"/>
          <w:spacing w:val="8"/>
          <w:kern w:val="0"/>
          <w:szCs w:val="24"/>
          <w:highlight w:val="none"/>
          <w:lang w:val="en-US" w:eastAsia="zh-CN"/>
        </w:rPr>
        <w:t>8</w:t>
      </w:r>
      <w:r>
        <w:rPr>
          <w:rFonts w:eastAsiaTheme="minorEastAsia"/>
          <w:b w:val="0"/>
          <w:bCs/>
          <w:color w:val="auto"/>
          <w:spacing w:val="8"/>
          <w:kern w:val="0"/>
          <w:szCs w:val="24"/>
          <w:highlight w:val="none"/>
        </w:rPr>
        <w:t>本项目不接受联合体投标。</w:t>
      </w:r>
    </w:p>
    <w:p>
      <w:pPr>
        <w:widowControl/>
        <w:shd w:val="clear" w:color="auto" w:fill="FFFFFF" w:themeFill="background1"/>
        <w:spacing w:line="360" w:lineRule="auto"/>
        <w:outlineLvl w:val="1"/>
        <w:rPr>
          <w:rFonts w:ascii="Arial" w:hAnsi="Arial" w:cs="Arial"/>
          <w:b w:val="0"/>
          <w:bCs/>
          <w:color w:val="auto"/>
          <w:spacing w:val="8"/>
          <w:kern w:val="0"/>
          <w:sz w:val="24"/>
          <w:highlight w:val="none"/>
        </w:rPr>
      </w:pPr>
      <w:r>
        <w:rPr>
          <w:rFonts w:ascii="Arial" w:hAnsi="Arial" w:cs="Arial"/>
          <w:b w:val="0"/>
          <w:bCs/>
          <w:color w:val="auto"/>
          <w:spacing w:val="8"/>
          <w:kern w:val="0"/>
          <w:sz w:val="24"/>
          <w:highlight w:val="none"/>
        </w:rPr>
        <w:t>二、申请人的资格要求：</w:t>
      </w:r>
    </w:p>
    <w:p>
      <w:pPr>
        <w:widowControl/>
        <w:shd w:val="clear" w:color="auto" w:fill="FFFFFF" w:themeFill="background1"/>
        <w:spacing w:line="360" w:lineRule="auto"/>
        <w:ind w:firstLine="370"/>
        <w:rPr>
          <w:rFonts w:ascii="Arial" w:hAnsi="Arial" w:cs="Arial"/>
          <w:b w:val="0"/>
          <w:bCs/>
          <w:color w:val="auto"/>
          <w:spacing w:val="8"/>
          <w:kern w:val="0"/>
          <w:sz w:val="24"/>
          <w:highlight w:val="none"/>
        </w:rPr>
      </w:pPr>
      <w:r>
        <w:rPr>
          <w:rFonts w:ascii="Arial" w:hAnsi="Arial" w:cs="Arial"/>
          <w:b w:val="0"/>
          <w:bCs/>
          <w:color w:val="auto"/>
          <w:spacing w:val="8"/>
          <w:kern w:val="0"/>
          <w:sz w:val="24"/>
          <w:highlight w:val="none"/>
        </w:rPr>
        <w:t>2.1满足《中华人民共和国政府采购法》第二十二条规定；</w:t>
      </w:r>
    </w:p>
    <w:p>
      <w:pPr>
        <w:spacing w:line="360" w:lineRule="auto"/>
        <w:ind w:firstLine="484" w:firstLineChars="202"/>
        <w:rPr>
          <w:rFonts w:ascii="Arial" w:hAnsi="Arial" w:cs="Arial"/>
          <w:b w:val="0"/>
          <w:bCs/>
          <w:color w:val="auto"/>
          <w:sz w:val="24"/>
          <w:highlight w:val="none"/>
        </w:rPr>
      </w:pPr>
      <w:r>
        <w:rPr>
          <w:rFonts w:ascii="Arial" w:hAnsi="Arial" w:cs="Arial"/>
          <w:b w:val="0"/>
          <w:bCs/>
          <w:color w:val="auto"/>
          <w:sz w:val="24"/>
          <w:highlight w:val="none"/>
        </w:rPr>
        <w:t>（1）具有独立承担民事责任的能力</w:t>
      </w:r>
      <w:r>
        <w:rPr>
          <w:rFonts w:ascii="Arial" w:hAnsi="Arial" w:cs="Arial"/>
          <w:b w:val="0"/>
          <w:bCs/>
          <w:color w:val="auto"/>
          <w:sz w:val="24"/>
          <w:highlight w:val="none"/>
        </w:rPr>
        <w:t>（</w:t>
      </w:r>
      <w:r>
        <w:rPr>
          <w:rFonts w:hint="eastAsia" w:ascii="宋体" w:hAnsi="宋体" w:cs="宋体"/>
          <w:color w:val="000000"/>
          <w:sz w:val="24"/>
          <w:szCs w:val="24"/>
          <w:highlight w:val="none"/>
        </w:rPr>
        <w:t>提供有效的营业执照副本复印件或自然人身份证复印件，原件备查</w:t>
      </w:r>
      <w:r>
        <w:rPr>
          <w:rFonts w:ascii="Arial" w:hAnsi="Arial" w:cs="Arial"/>
          <w:b w:val="0"/>
          <w:bCs/>
          <w:color w:val="auto"/>
          <w:sz w:val="24"/>
          <w:highlight w:val="none"/>
        </w:rPr>
        <w:t xml:space="preserve">）； </w:t>
      </w:r>
    </w:p>
    <w:p>
      <w:pPr>
        <w:spacing w:line="360" w:lineRule="auto"/>
        <w:ind w:firstLine="484" w:firstLineChars="202"/>
        <w:rPr>
          <w:rFonts w:ascii="Arial" w:hAnsi="Arial" w:cs="Arial"/>
          <w:b w:val="0"/>
          <w:bCs/>
          <w:color w:val="auto"/>
          <w:sz w:val="24"/>
          <w:highlight w:val="none"/>
        </w:rPr>
      </w:pPr>
      <w:r>
        <w:rPr>
          <w:rFonts w:ascii="Arial" w:hAnsi="Arial" w:cs="Arial"/>
          <w:b w:val="0"/>
          <w:bCs/>
          <w:color w:val="auto"/>
          <w:sz w:val="24"/>
          <w:highlight w:val="none"/>
        </w:rPr>
        <w:t>（2）具有良好的商业信誉和健全的财务会计制度（</w:t>
      </w:r>
      <w:r>
        <w:rPr>
          <w:rFonts w:hint="eastAsia" w:ascii="宋体" w:hAnsi="宋体" w:cs="宋体"/>
          <w:color w:val="000000"/>
          <w:sz w:val="24"/>
          <w:szCs w:val="24"/>
          <w:highlight w:val="none"/>
          <w:shd w:val="clear" w:color="auto" w:fill="FFFFFF"/>
        </w:rPr>
        <w:t>提供2019年度或2020年度财务状况报告</w:t>
      </w:r>
      <w:r>
        <w:rPr>
          <w:rFonts w:hint="eastAsia" w:ascii="宋体" w:hAnsi="宋体" w:cs="宋体"/>
          <w:color w:val="000000"/>
          <w:sz w:val="24"/>
          <w:szCs w:val="24"/>
          <w:highlight w:val="none"/>
          <w:shd w:val="clear" w:color="auto" w:fill="FFFFFF"/>
          <w:lang w:eastAsia="zh-CN"/>
        </w:rPr>
        <w:t>，</w:t>
      </w:r>
      <w:r>
        <w:rPr>
          <w:rFonts w:hint="eastAsia" w:ascii="宋体" w:hAnsi="宋体" w:cs="宋体"/>
          <w:color w:val="000000"/>
          <w:sz w:val="24"/>
          <w:szCs w:val="24"/>
          <w:highlight w:val="none"/>
          <w:shd w:val="clear" w:color="auto" w:fill="FFFFFF"/>
        </w:rPr>
        <w:t>成立不满一年的提供至少一个月财务状况报告或投标截止时间前六个月内银行出具的资信证明，或财政部门认可的政府采购专业担保机构出具的投标担保函</w:t>
      </w:r>
      <w:r>
        <w:rPr>
          <w:rFonts w:ascii="Arial" w:hAnsi="Arial" w:cs="Arial"/>
          <w:b w:val="0"/>
          <w:bCs/>
          <w:color w:val="auto"/>
          <w:sz w:val="24"/>
          <w:highlight w:val="none"/>
        </w:rPr>
        <w:t>）；</w:t>
      </w:r>
    </w:p>
    <w:p>
      <w:pPr>
        <w:spacing w:line="360" w:lineRule="auto"/>
        <w:ind w:firstLine="484" w:firstLineChars="202"/>
        <w:rPr>
          <w:rFonts w:ascii="Arial" w:hAnsi="Arial" w:cs="Arial"/>
          <w:b w:val="0"/>
          <w:bCs/>
          <w:color w:val="auto"/>
          <w:sz w:val="24"/>
          <w:highlight w:val="none"/>
        </w:rPr>
      </w:pPr>
      <w:r>
        <w:rPr>
          <w:rFonts w:ascii="Arial" w:hAnsi="Arial" w:cs="Arial"/>
          <w:b w:val="0"/>
          <w:bCs/>
          <w:color w:val="auto"/>
          <w:sz w:val="24"/>
          <w:highlight w:val="none"/>
        </w:rPr>
        <w:t>（3）具有履行合同所必需的设备和专业技术能力（</w:t>
      </w:r>
      <w:r>
        <w:rPr>
          <w:rFonts w:hint="eastAsia" w:ascii="宋体" w:hAnsi="宋体" w:cs="宋体"/>
          <w:color w:val="000000"/>
          <w:sz w:val="24"/>
          <w:szCs w:val="24"/>
          <w:highlight w:val="none"/>
          <w:shd w:val="clear" w:color="auto" w:fill="FFFFFF"/>
        </w:rPr>
        <w:t>根据项目需求提供履行合同所必需的设备和专业技术能力的证明材料</w:t>
      </w:r>
      <w:r>
        <w:rPr>
          <w:rFonts w:ascii="Arial" w:hAnsi="Arial" w:cs="Arial"/>
          <w:b w:val="0"/>
          <w:bCs/>
          <w:color w:val="auto"/>
          <w:sz w:val="24"/>
          <w:highlight w:val="none"/>
        </w:rPr>
        <w:t>）；</w:t>
      </w:r>
    </w:p>
    <w:p>
      <w:pPr>
        <w:spacing w:line="360" w:lineRule="auto"/>
        <w:ind w:firstLine="484" w:firstLineChars="202"/>
        <w:rPr>
          <w:rFonts w:ascii="Arial" w:hAnsi="Arial" w:cs="Arial"/>
          <w:b w:val="0"/>
          <w:bCs/>
          <w:color w:val="auto"/>
          <w:sz w:val="24"/>
          <w:highlight w:val="none"/>
        </w:rPr>
      </w:pPr>
      <w:r>
        <w:rPr>
          <w:rFonts w:ascii="Arial" w:hAnsi="Arial" w:cs="Arial"/>
          <w:b w:val="0"/>
          <w:bCs/>
          <w:color w:val="auto"/>
          <w:sz w:val="24"/>
          <w:highlight w:val="none"/>
        </w:rPr>
        <w:t>（4）有依法缴纳税收和社会保障资金的良好记录（</w:t>
      </w:r>
      <w:r>
        <w:rPr>
          <w:rFonts w:hint="eastAsia" w:ascii="宋体" w:hAnsi="宋体" w:cs="宋体"/>
          <w:color w:val="000000"/>
          <w:sz w:val="24"/>
          <w:szCs w:val="24"/>
          <w:highlight w:val="none"/>
          <w:shd w:val="clear" w:color="auto" w:fill="FFFFFF"/>
        </w:rPr>
        <w:t>提供参加政府采购活动前一年内（至少一个月）依法缴纳税收和社会保障资金的相关材料</w:t>
      </w:r>
      <w:r>
        <w:rPr>
          <w:rFonts w:ascii="Arial" w:hAnsi="Arial" w:cs="Arial"/>
          <w:b w:val="0"/>
          <w:bCs/>
          <w:color w:val="auto"/>
          <w:sz w:val="24"/>
          <w:highlight w:val="none"/>
        </w:rPr>
        <w:t>）；</w:t>
      </w:r>
    </w:p>
    <w:p>
      <w:pPr>
        <w:spacing w:line="360" w:lineRule="auto"/>
        <w:ind w:firstLine="484" w:firstLineChars="202"/>
        <w:rPr>
          <w:rFonts w:ascii="Arial" w:hAnsi="Arial" w:cs="Arial"/>
          <w:b w:val="0"/>
          <w:bCs/>
          <w:color w:val="auto"/>
          <w:sz w:val="24"/>
          <w:highlight w:val="none"/>
        </w:rPr>
      </w:pPr>
      <w:r>
        <w:rPr>
          <w:rFonts w:ascii="Arial" w:hAnsi="Arial" w:cs="Arial"/>
          <w:b w:val="0"/>
          <w:bCs/>
          <w:color w:val="auto"/>
          <w:sz w:val="24"/>
          <w:highlight w:val="none"/>
        </w:rPr>
        <w:t>（5）参加政府采购活动前三年内，在经营活动中没有重大违法记录（</w:t>
      </w:r>
      <w:r>
        <w:rPr>
          <w:rFonts w:hint="eastAsia" w:ascii="宋体" w:hAnsi="宋体" w:cs="宋体"/>
          <w:color w:val="000000"/>
          <w:sz w:val="24"/>
          <w:szCs w:val="24"/>
          <w:highlight w:val="none"/>
          <w:shd w:val="clear" w:color="auto" w:fill="FFFFFF"/>
        </w:rPr>
        <w:t>提供参加政府采购活动前3年内在经营活动中没有重大违法记录的书面声明，格式见后附件</w:t>
      </w:r>
      <w:r>
        <w:rPr>
          <w:rFonts w:ascii="Arial" w:hAnsi="Arial" w:cs="Arial"/>
          <w:b w:val="0"/>
          <w:bCs/>
          <w:color w:val="auto"/>
          <w:sz w:val="24"/>
          <w:highlight w:val="none"/>
        </w:rPr>
        <w:t>）；</w:t>
      </w:r>
    </w:p>
    <w:p>
      <w:pPr>
        <w:spacing w:line="360" w:lineRule="auto"/>
        <w:ind w:firstLine="484" w:firstLineChars="202"/>
        <w:rPr>
          <w:rFonts w:ascii="Arial" w:hAnsi="Arial" w:cs="Arial"/>
          <w:b w:val="0"/>
          <w:bCs/>
          <w:color w:val="auto"/>
          <w:sz w:val="24"/>
          <w:highlight w:val="none"/>
        </w:rPr>
      </w:pPr>
      <w:r>
        <w:rPr>
          <w:rFonts w:ascii="Arial" w:hAnsi="Arial" w:cs="Arial"/>
          <w:b w:val="0"/>
          <w:bCs/>
          <w:color w:val="auto"/>
          <w:sz w:val="24"/>
          <w:highlight w:val="none"/>
        </w:rPr>
        <w:t>（6）法律、行政法规规定的其他条件：无</w:t>
      </w:r>
    </w:p>
    <w:p>
      <w:pPr>
        <w:widowControl/>
        <w:shd w:val="clear" w:color="auto" w:fill="FFFFFF" w:themeFill="background1"/>
        <w:spacing w:line="360" w:lineRule="auto"/>
        <w:ind w:firstLine="370"/>
        <w:rPr>
          <w:rFonts w:ascii="Arial" w:hAnsi="Arial" w:cs="Arial"/>
          <w:b w:val="0"/>
          <w:bCs/>
          <w:color w:val="auto"/>
          <w:spacing w:val="8"/>
          <w:kern w:val="0"/>
          <w:sz w:val="24"/>
          <w:highlight w:val="none"/>
        </w:rPr>
      </w:pPr>
      <w:r>
        <w:rPr>
          <w:rFonts w:ascii="Arial" w:hAnsi="Arial" w:cs="Arial"/>
          <w:b w:val="0"/>
          <w:bCs/>
          <w:color w:val="auto"/>
          <w:spacing w:val="8"/>
          <w:kern w:val="0"/>
          <w:sz w:val="24"/>
          <w:highlight w:val="none"/>
        </w:rPr>
        <w:t>2.2落实政府采购政策需满足的资格要求：</w:t>
      </w:r>
      <w:r>
        <w:rPr>
          <w:rFonts w:hint="eastAsia" w:ascii="Arial" w:hAnsi="Arial" w:cs="Arial"/>
          <w:b w:val="0"/>
          <w:bCs/>
          <w:color w:val="auto"/>
          <w:spacing w:val="8"/>
          <w:kern w:val="0"/>
          <w:sz w:val="24"/>
          <w:highlight w:val="none"/>
        </w:rPr>
        <w:t>无。</w:t>
      </w:r>
    </w:p>
    <w:p>
      <w:pPr>
        <w:widowControl/>
        <w:shd w:val="clear" w:color="auto" w:fill="FFFFFF" w:themeFill="background1"/>
        <w:spacing w:line="360" w:lineRule="auto"/>
        <w:ind w:firstLine="370"/>
        <w:rPr>
          <w:rFonts w:ascii="Arial" w:hAnsi="Arial" w:cs="Arial"/>
          <w:b w:val="0"/>
          <w:bCs/>
          <w:color w:val="auto"/>
          <w:sz w:val="24"/>
          <w:highlight w:val="none"/>
        </w:rPr>
      </w:pPr>
      <w:r>
        <w:rPr>
          <w:rFonts w:ascii="Arial" w:hAnsi="Arial" w:cs="Arial"/>
          <w:b w:val="0"/>
          <w:bCs/>
          <w:color w:val="auto"/>
          <w:spacing w:val="8"/>
          <w:kern w:val="0"/>
          <w:sz w:val="24"/>
          <w:highlight w:val="none"/>
        </w:rPr>
        <w:t>2.3</w:t>
      </w:r>
      <w:r>
        <w:rPr>
          <w:rFonts w:ascii="Arial" w:hAnsi="Arial" w:cs="Arial"/>
          <w:b w:val="0"/>
          <w:bCs/>
          <w:color w:val="auto"/>
          <w:sz w:val="24"/>
          <w:highlight w:val="none"/>
        </w:rPr>
        <w:t>采购人根据采购项目的特殊要求规定的特定条件，并提供符合特殊要求的证明材料或者情况说明</w:t>
      </w:r>
      <w:r>
        <w:rPr>
          <w:rFonts w:hint="eastAsia" w:ascii="Arial" w:hAnsi="Arial" w:cs="Arial"/>
          <w:b w:val="0"/>
          <w:bCs/>
          <w:color w:val="auto"/>
          <w:sz w:val="24"/>
          <w:highlight w:val="none"/>
        </w:rPr>
        <w:t>。</w:t>
      </w:r>
    </w:p>
    <w:p>
      <w:pPr>
        <w:widowControl/>
        <w:shd w:val="clear" w:color="auto" w:fill="FFFFFF" w:themeFill="background1"/>
        <w:spacing w:line="360" w:lineRule="auto"/>
        <w:ind w:firstLine="370"/>
        <w:rPr>
          <w:rFonts w:ascii="Arial" w:hAnsi="Arial" w:cs="Arial"/>
          <w:b w:val="0"/>
          <w:bCs/>
          <w:color w:val="auto"/>
          <w:spacing w:val="8"/>
          <w:kern w:val="0"/>
          <w:sz w:val="24"/>
          <w:highlight w:val="none"/>
        </w:rPr>
      </w:pPr>
      <w:r>
        <w:rPr>
          <w:rFonts w:hint="eastAsia" w:ascii="宋体" w:hAnsi="宋体" w:cs="宋体"/>
          <w:color w:val="000000"/>
          <w:kern w:val="0"/>
          <w:sz w:val="24"/>
          <w:szCs w:val="24"/>
          <w:highlight w:val="none"/>
        </w:rPr>
        <w:t>（1）本项目</w:t>
      </w:r>
      <w:r>
        <w:rPr>
          <w:rFonts w:hint="eastAsia" w:ascii="宋体" w:hAnsi="宋体" w:cs="宋体"/>
          <w:b/>
          <w:color w:val="000000"/>
          <w:kern w:val="0"/>
          <w:sz w:val="24"/>
          <w:szCs w:val="24"/>
          <w:highlight w:val="none"/>
          <w:u w:val="single"/>
        </w:rPr>
        <w:t>不接受</w:t>
      </w:r>
      <w:r>
        <w:rPr>
          <w:rFonts w:hint="eastAsia" w:ascii="宋体" w:hAnsi="宋体" w:cs="宋体"/>
          <w:color w:val="000000"/>
          <w:kern w:val="0"/>
          <w:sz w:val="24"/>
          <w:szCs w:val="24"/>
          <w:highlight w:val="none"/>
        </w:rPr>
        <w:t>联合体投标。</w:t>
      </w:r>
    </w:p>
    <w:p>
      <w:pPr>
        <w:spacing w:line="360" w:lineRule="auto"/>
        <w:ind w:firstLine="517" w:firstLineChars="202"/>
        <w:rPr>
          <w:rFonts w:ascii="Arial" w:hAnsi="Arial" w:cs="Arial"/>
          <w:b w:val="0"/>
          <w:bCs/>
          <w:color w:val="auto"/>
          <w:sz w:val="24"/>
          <w:highlight w:val="none"/>
        </w:rPr>
      </w:pPr>
      <w:r>
        <w:rPr>
          <w:rFonts w:ascii="Arial" w:hAnsi="Arial" w:cs="Arial"/>
          <w:b w:val="0"/>
          <w:bCs/>
          <w:color w:val="auto"/>
          <w:spacing w:val="8"/>
          <w:kern w:val="0"/>
          <w:sz w:val="24"/>
          <w:highlight w:val="none"/>
        </w:rPr>
        <w:t>2.4</w:t>
      </w:r>
      <w:r>
        <w:rPr>
          <w:rFonts w:ascii="Arial" w:hAnsi="Arial" w:cs="Arial"/>
          <w:b w:val="0"/>
          <w:bCs/>
          <w:color w:val="auto"/>
          <w:sz w:val="24"/>
          <w:highlight w:val="none"/>
        </w:rPr>
        <w:t>第2.1（5）条所称重大违法记录，是指供应商因违法经营受到刑事处罚或者责令停产停业、吊销许可证或者执照、较大数额罚款等行政处罚。</w:t>
      </w:r>
    </w:p>
    <w:p>
      <w:pPr>
        <w:spacing w:line="360" w:lineRule="auto"/>
        <w:ind w:firstLine="484" w:firstLineChars="202"/>
        <w:rPr>
          <w:rFonts w:ascii="Arial" w:hAnsi="Arial" w:cs="Arial"/>
          <w:b w:val="0"/>
          <w:bCs/>
          <w:color w:val="auto"/>
          <w:sz w:val="24"/>
          <w:highlight w:val="none"/>
        </w:rPr>
      </w:pPr>
      <w:r>
        <w:rPr>
          <w:rFonts w:ascii="Arial" w:hAnsi="Arial" w:cs="Arial"/>
          <w:b w:val="0"/>
          <w:bCs/>
          <w:color w:val="auto"/>
          <w:sz w:val="24"/>
          <w:highlight w:val="none"/>
        </w:rPr>
        <w:t>2.5 供应商在参加政府采购活动前3年内因违法经营被禁止在一定期限内参加政府采购活动，期限届满的，可以参加政府采购活动。</w:t>
      </w:r>
    </w:p>
    <w:p>
      <w:pPr>
        <w:spacing w:line="360" w:lineRule="auto"/>
        <w:ind w:firstLine="484" w:firstLineChars="202"/>
        <w:rPr>
          <w:rFonts w:ascii="Arial" w:hAnsi="Arial" w:cs="Arial"/>
          <w:b w:val="0"/>
          <w:bCs/>
          <w:color w:val="auto"/>
          <w:sz w:val="24"/>
          <w:highlight w:val="none"/>
        </w:rPr>
      </w:pPr>
      <w:r>
        <w:rPr>
          <w:rFonts w:ascii="Arial" w:hAnsi="Arial" w:cs="Arial"/>
          <w:b w:val="0"/>
          <w:bCs/>
          <w:color w:val="auto"/>
          <w:sz w:val="24"/>
          <w:highlight w:val="none"/>
        </w:rPr>
        <w:t>2.6单位负责人为同一人或者存在直接控股、管理关系的不同供应商，不得参加同一合同项下的政府采购活动。</w:t>
      </w:r>
    </w:p>
    <w:p>
      <w:pPr>
        <w:spacing w:line="360" w:lineRule="auto"/>
        <w:ind w:firstLine="484" w:firstLineChars="202"/>
        <w:rPr>
          <w:rFonts w:ascii="Arial" w:hAnsi="Arial" w:cs="Arial"/>
          <w:b w:val="0"/>
          <w:bCs/>
          <w:color w:val="auto"/>
          <w:sz w:val="24"/>
          <w:highlight w:val="none"/>
        </w:rPr>
      </w:pPr>
      <w:r>
        <w:rPr>
          <w:rFonts w:ascii="Arial" w:hAnsi="Arial" w:cs="Arial"/>
          <w:b w:val="0"/>
          <w:bCs/>
          <w:color w:val="auto"/>
          <w:sz w:val="24"/>
          <w:highlight w:val="none"/>
        </w:rPr>
        <w:t>为采购项目提供整体设计、规范编制或者项目管理、监理、检测等服务的供应商，不得再参加该采购项目的其他采购活动。</w:t>
      </w:r>
    </w:p>
    <w:p>
      <w:pPr>
        <w:spacing w:line="360" w:lineRule="auto"/>
        <w:ind w:firstLine="484" w:firstLineChars="202"/>
        <w:rPr>
          <w:rFonts w:ascii="Arial" w:hAnsi="Arial" w:cs="Arial"/>
          <w:b w:val="0"/>
          <w:bCs/>
          <w:color w:val="auto"/>
          <w:sz w:val="24"/>
          <w:highlight w:val="none"/>
        </w:rPr>
      </w:pPr>
      <w:r>
        <w:rPr>
          <w:rFonts w:ascii="Arial" w:hAnsi="Arial" w:cs="Arial"/>
          <w:b w:val="0"/>
          <w:bCs/>
          <w:color w:val="auto"/>
          <w:sz w:val="24"/>
          <w:highlight w:val="none"/>
        </w:rPr>
        <w:t>2.7拒绝列入失信被执行人、重大税收违法案件当事人名单、政府采购严重违法失信行为记录名单的供应商参与政府采购活动。采购代理机构将在开标结束后，通过“中国政府采购网”、“信用中国”网站、“信用江苏”网站等渠道查询</w:t>
      </w:r>
      <w:r>
        <w:rPr>
          <w:rFonts w:hint="eastAsia" w:ascii="Arial" w:hAnsi="Arial" w:cs="Arial"/>
          <w:b w:val="0"/>
          <w:bCs/>
          <w:color w:val="auto"/>
          <w:sz w:val="24"/>
          <w:highlight w:val="none"/>
          <w:lang w:eastAsia="zh-CN"/>
        </w:rPr>
        <w:t>供应商</w:t>
      </w:r>
      <w:r>
        <w:rPr>
          <w:rFonts w:ascii="Arial" w:hAnsi="Arial" w:cs="Arial"/>
          <w:b w:val="0"/>
          <w:bCs/>
          <w:color w:val="auto"/>
          <w:sz w:val="24"/>
          <w:highlight w:val="none"/>
        </w:rPr>
        <w:t>信用记录并保存。</w:t>
      </w:r>
    </w:p>
    <w:p>
      <w:pPr>
        <w:spacing w:line="360" w:lineRule="auto"/>
        <w:rPr>
          <w:rFonts w:ascii="Arial" w:hAnsi="Arial" w:cs="Arial"/>
          <w:b w:val="0"/>
          <w:bCs/>
          <w:color w:val="auto"/>
          <w:sz w:val="24"/>
          <w:highlight w:val="none"/>
        </w:rPr>
      </w:pPr>
      <w:r>
        <w:rPr>
          <w:rFonts w:ascii="Arial" w:hAnsi="Arial" w:cs="Arial"/>
          <w:b w:val="0"/>
          <w:bCs/>
          <w:color w:val="auto"/>
          <w:spacing w:val="8"/>
          <w:kern w:val="0"/>
          <w:sz w:val="24"/>
          <w:highlight w:val="none"/>
        </w:rPr>
        <w:t>三、获取招标文件</w:t>
      </w:r>
    </w:p>
    <w:p>
      <w:pPr>
        <w:pStyle w:val="14"/>
        <w:spacing w:line="360" w:lineRule="auto"/>
        <w:ind w:firstLine="512" w:firstLineChars="200"/>
        <w:rPr>
          <w:rFonts w:ascii="Arial" w:hAnsi="Arial" w:cs="Arial"/>
          <w:b w:val="0"/>
          <w:bCs/>
          <w:color w:val="auto"/>
          <w:spacing w:val="8"/>
          <w:kern w:val="0"/>
          <w:szCs w:val="24"/>
          <w:highlight w:val="none"/>
        </w:rPr>
      </w:pPr>
      <w:r>
        <w:rPr>
          <w:rFonts w:hint="eastAsia" w:ascii="Arial" w:hAnsi="Arial" w:cs="Arial"/>
          <w:b w:val="0"/>
          <w:bCs/>
          <w:color w:val="auto"/>
          <w:spacing w:val="8"/>
          <w:kern w:val="0"/>
          <w:szCs w:val="24"/>
          <w:highlight w:val="none"/>
        </w:rPr>
        <w:t>3.1</w:t>
      </w:r>
      <w:r>
        <w:rPr>
          <w:rFonts w:ascii="Arial" w:hAnsi="Arial" w:cs="Arial"/>
          <w:b w:val="0"/>
          <w:bCs/>
          <w:color w:val="auto"/>
          <w:spacing w:val="8"/>
          <w:kern w:val="0"/>
          <w:szCs w:val="24"/>
          <w:highlight w:val="none"/>
        </w:rPr>
        <w:t>获取时间：从</w:t>
      </w:r>
      <w:r>
        <w:rPr>
          <w:rFonts w:hint="eastAsia" w:ascii="Arial" w:hAnsi="Arial" w:cs="Arial"/>
          <w:b w:val="0"/>
          <w:bCs/>
          <w:color w:val="auto"/>
          <w:spacing w:val="8"/>
          <w:kern w:val="0"/>
          <w:szCs w:val="24"/>
          <w:highlight w:val="none"/>
        </w:rPr>
        <w:t>202</w:t>
      </w:r>
      <w:r>
        <w:rPr>
          <w:rFonts w:hint="eastAsia" w:ascii="Arial" w:hAnsi="Arial" w:cs="Arial"/>
          <w:b w:val="0"/>
          <w:bCs/>
          <w:color w:val="auto"/>
          <w:spacing w:val="8"/>
          <w:kern w:val="0"/>
          <w:szCs w:val="24"/>
          <w:highlight w:val="none"/>
          <w:lang w:val="en-US" w:eastAsia="zh-CN"/>
        </w:rPr>
        <w:t>1</w:t>
      </w:r>
      <w:r>
        <w:rPr>
          <w:rFonts w:ascii="Arial" w:hAnsi="Arial" w:cs="Arial"/>
          <w:b w:val="0"/>
          <w:bCs/>
          <w:color w:val="auto"/>
          <w:spacing w:val="8"/>
          <w:kern w:val="0"/>
          <w:szCs w:val="24"/>
          <w:highlight w:val="none"/>
        </w:rPr>
        <w:t>年</w:t>
      </w:r>
      <w:r>
        <w:rPr>
          <w:rFonts w:hint="eastAsia" w:ascii="Arial" w:hAnsi="Arial" w:cs="Arial"/>
          <w:b w:val="0"/>
          <w:bCs/>
          <w:color w:val="auto"/>
          <w:spacing w:val="8"/>
          <w:kern w:val="0"/>
          <w:szCs w:val="24"/>
          <w:highlight w:val="none"/>
          <w:lang w:val="en-US" w:eastAsia="zh-CN"/>
        </w:rPr>
        <w:t>02</w:t>
      </w:r>
      <w:r>
        <w:rPr>
          <w:rFonts w:ascii="Arial" w:hAnsi="Arial" w:cs="Arial"/>
          <w:b w:val="0"/>
          <w:bCs/>
          <w:color w:val="auto"/>
          <w:spacing w:val="8"/>
          <w:kern w:val="0"/>
          <w:szCs w:val="24"/>
          <w:highlight w:val="none"/>
        </w:rPr>
        <w:t>月</w:t>
      </w:r>
      <w:r>
        <w:rPr>
          <w:rFonts w:hint="eastAsia" w:ascii="Arial" w:hAnsi="Arial" w:cs="Arial"/>
          <w:b w:val="0"/>
          <w:bCs/>
          <w:color w:val="auto"/>
          <w:spacing w:val="8"/>
          <w:kern w:val="0"/>
          <w:szCs w:val="24"/>
          <w:highlight w:val="none"/>
          <w:lang w:val="en-US" w:eastAsia="zh-CN"/>
        </w:rPr>
        <w:t>09</w:t>
      </w:r>
      <w:r>
        <w:rPr>
          <w:rFonts w:ascii="Arial" w:hAnsi="Arial" w:cs="Arial"/>
          <w:b w:val="0"/>
          <w:bCs/>
          <w:color w:val="auto"/>
          <w:spacing w:val="8"/>
          <w:kern w:val="0"/>
          <w:szCs w:val="24"/>
          <w:highlight w:val="none"/>
        </w:rPr>
        <w:t>日</w:t>
      </w:r>
      <w:r>
        <w:rPr>
          <w:rFonts w:hint="eastAsia" w:ascii="Arial" w:hAnsi="Arial" w:cs="Arial"/>
          <w:b w:val="0"/>
          <w:bCs/>
          <w:color w:val="auto"/>
          <w:spacing w:val="8"/>
          <w:kern w:val="0"/>
          <w:szCs w:val="24"/>
          <w:highlight w:val="none"/>
          <w:lang w:val="en-US" w:eastAsia="zh-CN"/>
        </w:rPr>
        <w:t>09</w:t>
      </w:r>
      <w:r>
        <w:rPr>
          <w:rFonts w:ascii="Arial" w:hAnsi="Arial" w:cs="Arial"/>
          <w:b w:val="0"/>
          <w:bCs/>
          <w:color w:val="auto"/>
          <w:spacing w:val="8"/>
          <w:kern w:val="0"/>
          <w:szCs w:val="24"/>
          <w:highlight w:val="none"/>
        </w:rPr>
        <w:t>:</w:t>
      </w:r>
      <w:r>
        <w:rPr>
          <w:rFonts w:hint="eastAsia" w:ascii="Arial" w:hAnsi="Arial" w:cs="Arial"/>
          <w:b w:val="0"/>
          <w:bCs/>
          <w:color w:val="auto"/>
          <w:spacing w:val="8"/>
          <w:kern w:val="0"/>
          <w:szCs w:val="24"/>
          <w:highlight w:val="none"/>
          <w:lang w:val="en-US" w:eastAsia="zh-CN"/>
        </w:rPr>
        <w:t>3</w:t>
      </w:r>
      <w:r>
        <w:rPr>
          <w:rFonts w:ascii="Arial" w:hAnsi="Arial" w:cs="Arial"/>
          <w:b w:val="0"/>
          <w:bCs/>
          <w:color w:val="auto"/>
          <w:spacing w:val="8"/>
          <w:kern w:val="0"/>
          <w:szCs w:val="24"/>
          <w:highlight w:val="none"/>
        </w:rPr>
        <w:t>0</w:t>
      </w:r>
      <w:r>
        <w:rPr>
          <w:rFonts w:hint="eastAsia" w:ascii="Arial" w:hAnsi="Arial" w:cs="Arial"/>
          <w:b w:val="0"/>
          <w:bCs/>
          <w:color w:val="auto"/>
          <w:spacing w:val="8"/>
          <w:kern w:val="0"/>
          <w:szCs w:val="24"/>
          <w:highlight w:val="none"/>
        </w:rPr>
        <w:t>至202</w:t>
      </w:r>
      <w:r>
        <w:rPr>
          <w:rFonts w:hint="eastAsia" w:ascii="Arial" w:hAnsi="Arial" w:cs="Arial"/>
          <w:b w:val="0"/>
          <w:bCs/>
          <w:color w:val="auto"/>
          <w:spacing w:val="8"/>
          <w:kern w:val="0"/>
          <w:szCs w:val="24"/>
          <w:highlight w:val="none"/>
          <w:lang w:val="en-US" w:eastAsia="zh-CN"/>
        </w:rPr>
        <w:t>1</w:t>
      </w:r>
      <w:r>
        <w:rPr>
          <w:rFonts w:ascii="Arial" w:hAnsi="Arial" w:cs="Arial"/>
          <w:b w:val="0"/>
          <w:bCs/>
          <w:color w:val="auto"/>
          <w:spacing w:val="8"/>
          <w:kern w:val="0"/>
          <w:szCs w:val="24"/>
          <w:highlight w:val="none"/>
        </w:rPr>
        <w:t>年</w:t>
      </w:r>
      <w:r>
        <w:rPr>
          <w:rFonts w:hint="eastAsia" w:ascii="Arial" w:hAnsi="Arial" w:cs="Arial"/>
          <w:b w:val="0"/>
          <w:bCs/>
          <w:color w:val="auto"/>
          <w:spacing w:val="8"/>
          <w:kern w:val="0"/>
          <w:szCs w:val="24"/>
          <w:highlight w:val="none"/>
          <w:lang w:val="en-US" w:eastAsia="zh-CN"/>
        </w:rPr>
        <w:t>02</w:t>
      </w:r>
      <w:r>
        <w:rPr>
          <w:rFonts w:ascii="Arial" w:hAnsi="Arial" w:cs="Arial"/>
          <w:b w:val="0"/>
          <w:bCs/>
          <w:color w:val="auto"/>
          <w:spacing w:val="8"/>
          <w:kern w:val="0"/>
          <w:szCs w:val="24"/>
          <w:highlight w:val="none"/>
        </w:rPr>
        <w:t>月</w:t>
      </w:r>
      <w:r>
        <w:rPr>
          <w:rFonts w:hint="eastAsia" w:ascii="Arial" w:hAnsi="Arial" w:cs="Arial"/>
          <w:b w:val="0"/>
          <w:bCs/>
          <w:color w:val="auto"/>
          <w:spacing w:val="8"/>
          <w:kern w:val="0"/>
          <w:szCs w:val="24"/>
          <w:highlight w:val="none"/>
          <w:lang w:val="en-US" w:eastAsia="zh-CN"/>
        </w:rPr>
        <w:t>22</w:t>
      </w:r>
      <w:r>
        <w:rPr>
          <w:rFonts w:ascii="Arial" w:hAnsi="Arial" w:cs="Arial"/>
          <w:b w:val="0"/>
          <w:bCs/>
          <w:color w:val="auto"/>
          <w:spacing w:val="8"/>
          <w:kern w:val="0"/>
          <w:szCs w:val="24"/>
          <w:highlight w:val="none"/>
        </w:rPr>
        <w:t>日17:00</w:t>
      </w:r>
      <w:r>
        <w:rPr>
          <w:rFonts w:hint="eastAsia" w:ascii="Arial" w:hAnsi="Arial" w:cs="Arial"/>
          <w:b w:val="0"/>
          <w:bCs/>
          <w:color w:val="auto"/>
          <w:spacing w:val="8"/>
          <w:kern w:val="0"/>
          <w:szCs w:val="24"/>
          <w:highlight w:val="none"/>
        </w:rPr>
        <w:t>，每日上午9:</w:t>
      </w:r>
      <w:r>
        <w:rPr>
          <w:rFonts w:hint="eastAsia" w:ascii="Arial" w:hAnsi="Arial" w:cs="Arial"/>
          <w:b w:val="0"/>
          <w:bCs/>
          <w:color w:val="auto"/>
          <w:spacing w:val="8"/>
          <w:kern w:val="0"/>
          <w:szCs w:val="24"/>
          <w:highlight w:val="none"/>
          <w:lang w:val="en-US" w:eastAsia="zh-CN"/>
        </w:rPr>
        <w:t>3</w:t>
      </w:r>
      <w:r>
        <w:rPr>
          <w:rFonts w:hint="eastAsia" w:ascii="Arial" w:hAnsi="Arial" w:cs="Arial"/>
          <w:b w:val="0"/>
          <w:bCs/>
          <w:color w:val="auto"/>
          <w:spacing w:val="8"/>
          <w:kern w:val="0"/>
          <w:szCs w:val="24"/>
          <w:highlight w:val="none"/>
        </w:rPr>
        <w:t>0-11:30，下午14:</w:t>
      </w:r>
      <w:r>
        <w:rPr>
          <w:rFonts w:hint="eastAsia" w:ascii="Arial" w:hAnsi="Arial" w:cs="Arial"/>
          <w:b w:val="0"/>
          <w:bCs/>
          <w:color w:val="auto"/>
          <w:spacing w:val="8"/>
          <w:kern w:val="0"/>
          <w:szCs w:val="24"/>
          <w:highlight w:val="none"/>
          <w:lang w:val="en-US" w:eastAsia="zh-CN"/>
        </w:rPr>
        <w:t>3</w:t>
      </w:r>
      <w:r>
        <w:rPr>
          <w:rFonts w:hint="eastAsia" w:ascii="Arial" w:hAnsi="Arial" w:cs="Arial"/>
          <w:b w:val="0"/>
          <w:bCs/>
          <w:color w:val="auto"/>
          <w:spacing w:val="8"/>
          <w:kern w:val="0"/>
          <w:szCs w:val="24"/>
          <w:highlight w:val="none"/>
        </w:rPr>
        <w:t>0-17:00（北京时间，法定节假日除外）。</w:t>
      </w:r>
    </w:p>
    <w:p>
      <w:pPr>
        <w:pStyle w:val="14"/>
        <w:spacing w:line="360" w:lineRule="auto"/>
        <w:ind w:firstLine="512" w:firstLineChars="200"/>
        <w:rPr>
          <w:rFonts w:ascii="Arial" w:hAnsi="Arial" w:cs="Arial"/>
          <w:b w:val="0"/>
          <w:bCs/>
          <w:color w:val="auto"/>
          <w:spacing w:val="8"/>
          <w:kern w:val="0"/>
          <w:szCs w:val="24"/>
          <w:highlight w:val="none"/>
        </w:rPr>
      </w:pPr>
      <w:r>
        <w:rPr>
          <w:rFonts w:hint="eastAsia" w:ascii="Arial" w:hAnsi="Arial" w:cs="Arial"/>
          <w:b w:val="0"/>
          <w:bCs/>
          <w:color w:val="auto"/>
          <w:spacing w:val="8"/>
          <w:kern w:val="0"/>
          <w:szCs w:val="24"/>
          <w:highlight w:val="none"/>
        </w:rPr>
        <w:t>3.2获取方式：因疫情原因，暂不现场发售招标文件，请将报名所需资料(授权委托人身份证复印件加盖单位公章、单位介绍信或授权委托书原件、付款记录截图、联系人及联系方式以扫描件形式)发送至邮箱∶</w:t>
      </w:r>
      <w:r>
        <w:rPr>
          <w:rFonts w:hint="eastAsia" w:ascii="Arial" w:hAnsi="Arial" w:cs="Arial"/>
          <w:b w:val="0"/>
          <w:bCs/>
          <w:color w:val="auto"/>
          <w:spacing w:val="8"/>
          <w:kern w:val="0"/>
          <w:szCs w:val="24"/>
          <w:highlight w:val="none"/>
          <w:lang w:val="en-US" w:eastAsia="zh-CN"/>
        </w:rPr>
        <w:t>1457292900@QQ</w:t>
      </w:r>
      <w:r>
        <w:rPr>
          <w:rFonts w:hint="eastAsia" w:ascii="Arial" w:hAnsi="Arial" w:cs="Arial"/>
          <w:b w:val="0"/>
          <w:bCs/>
          <w:color w:val="auto"/>
          <w:spacing w:val="8"/>
          <w:kern w:val="0"/>
          <w:szCs w:val="24"/>
          <w:highlight w:val="none"/>
        </w:rPr>
        <w:t>.com，核验通过后，将招标文件发送至报名邮箱。联系人:</w:t>
      </w:r>
      <w:r>
        <w:rPr>
          <w:rFonts w:hint="eastAsia" w:ascii="Arial" w:hAnsi="Arial" w:cs="Arial"/>
          <w:b w:val="0"/>
          <w:bCs/>
          <w:color w:val="auto"/>
          <w:spacing w:val="8"/>
          <w:kern w:val="0"/>
          <w:szCs w:val="24"/>
          <w:highlight w:val="none"/>
          <w:lang w:val="en-US" w:eastAsia="zh-CN"/>
        </w:rPr>
        <w:t>陆</w:t>
      </w:r>
      <w:r>
        <w:rPr>
          <w:rFonts w:hint="eastAsia" w:ascii="Arial" w:hAnsi="Arial" w:cs="Arial"/>
          <w:b w:val="0"/>
          <w:bCs/>
          <w:color w:val="auto"/>
          <w:spacing w:val="8"/>
          <w:kern w:val="0"/>
          <w:szCs w:val="24"/>
          <w:highlight w:val="none"/>
        </w:rPr>
        <w:t>工，联系方式:</w:t>
      </w:r>
      <w:r>
        <w:rPr>
          <w:rFonts w:hint="eastAsia" w:ascii="Arial" w:hAnsi="Arial" w:cs="Arial"/>
          <w:b w:val="0"/>
          <w:bCs/>
          <w:color w:val="auto"/>
          <w:spacing w:val="8"/>
          <w:kern w:val="0"/>
          <w:szCs w:val="24"/>
          <w:highlight w:val="none"/>
          <w:lang w:val="en-US" w:eastAsia="zh-CN"/>
        </w:rPr>
        <w:t>18361104150</w:t>
      </w:r>
      <w:r>
        <w:rPr>
          <w:rFonts w:hint="eastAsia" w:ascii="Arial" w:hAnsi="Arial" w:cs="Arial"/>
          <w:b w:val="0"/>
          <w:bCs/>
          <w:color w:val="auto"/>
          <w:spacing w:val="8"/>
          <w:kern w:val="0"/>
          <w:szCs w:val="24"/>
          <w:highlight w:val="none"/>
        </w:rPr>
        <w:t>。</w:t>
      </w:r>
    </w:p>
    <w:p>
      <w:pPr>
        <w:pStyle w:val="14"/>
        <w:spacing w:line="360" w:lineRule="auto"/>
        <w:ind w:firstLine="512" w:firstLineChars="200"/>
        <w:rPr>
          <w:rFonts w:ascii="Arial" w:hAnsi="Arial" w:cs="Arial"/>
          <w:b w:val="0"/>
          <w:bCs/>
          <w:color w:val="auto"/>
          <w:spacing w:val="8"/>
          <w:kern w:val="0"/>
          <w:szCs w:val="24"/>
          <w:highlight w:val="none"/>
        </w:rPr>
      </w:pPr>
      <w:r>
        <w:rPr>
          <w:rFonts w:hint="eastAsia" w:ascii="Arial" w:hAnsi="Arial" w:cs="Arial"/>
          <w:b w:val="0"/>
          <w:bCs/>
          <w:color w:val="auto"/>
          <w:spacing w:val="8"/>
          <w:kern w:val="0"/>
          <w:szCs w:val="24"/>
          <w:highlight w:val="none"/>
        </w:rPr>
        <w:t>3.3招标文件服务费：人民币</w:t>
      </w:r>
      <w:r>
        <w:rPr>
          <w:rFonts w:hint="eastAsia" w:ascii="Arial" w:hAnsi="Arial" w:cs="Arial"/>
          <w:b w:val="0"/>
          <w:bCs/>
          <w:color w:val="auto"/>
          <w:spacing w:val="8"/>
          <w:kern w:val="0"/>
          <w:szCs w:val="24"/>
          <w:highlight w:val="none"/>
          <w:lang w:val="en-US" w:eastAsia="zh-CN"/>
        </w:rPr>
        <w:t>5</w:t>
      </w:r>
      <w:r>
        <w:rPr>
          <w:rFonts w:hint="eastAsia" w:ascii="Arial" w:hAnsi="Arial" w:cs="Arial"/>
          <w:b w:val="0"/>
          <w:bCs/>
          <w:color w:val="auto"/>
          <w:spacing w:val="8"/>
          <w:kern w:val="0"/>
          <w:szCs w:val="24"/>
          <w:highlight w:val="none"/>
        </w:rPr>
        <w:t>00元/标段，</w:t>
      </w:r>
      <w:r>
        <w:rPr>
          <w:rFonts w:hint="eastAsia" w:ascii="Arial" w:hAnsi="Arial" w:cs="Arial"/>
          <w:b w:val="0"/>
          <w:bCs/>
          <w:color w:val="auto"/>
          <w:spacing w:val="8"/>
          <w:kern w:val="0"/>
          <w:szCs w:val="24"/>
          <w:highlight w:val="none"/>
          <w:lang w:val="en-US" w:eastAsia="zh-CN"/>
        </w:rPr>
        <w:t>付款方式：支付宝转账，账号：张林华13770573847，</w:t>
      </w:r>
      <w:r>
        <w:rPr>
          <w:rFonts w:hint="eastAsia" w:ascii="Arial" w:hAnsi="Arial" w:cs="Arial"/>
          <w:b w:val="0"/>
          <w:bCs/>
          <w:color w:val="auto"/>
          <w:spacing w:val="8"/>
          <w:kern w:val="0"/>
          <w:szCs w:val="24"/>
          <w:highlight w:val="none"/>
        </w:rPr>
        <w:t>获取后不退。</w:t>
      </w:r>
    </w:p>
    <w:p>
      <w:pPr>
        <w:widowControl/>
        <w:shd w:val="clear" w:color="auto" w:fill="FFFFFF" w:themeFill="background1"/>
        <w:spacing w:line="360" w:lineRule="auto"/>
        <w:outlineLvl w:val="1"/>
        <w:rPr>
          <w:rFonts w:ascii="Arial" w:hAnsi="Arial" w:cs="Arial"/>
          <w:b w:val="0"/>
          <w:bCs/>
          <w:color w:val="auto"/>
          <w:spacing w:val="8"/>
          <w:kern w:val="0"/>
          <w:sz w:val="24"/>
          <w:highlight w:val="none"/>
        </w:rPr>
      </w:pPr>
      <w:r>
        <w:rPr>
          <w:rFonts w:ascii="Arial" w:hAnsi="Arial" w:cs="Arial"/>
          <w:b w:val="0"/>
          <w:bCs/>
          <w:color w:val="auto"/>
          <w:spacing w:val="8"/>
          <w:kern w:val="0"/>
          <w:sz w:val="24"/>
          <w:highlight w:val="none"/>
        </w:rPr>
        <w:t>四、提交投标文件截止时间、开标时间和地点</w:t>
      </w:r>
    </w:p>
    <w:p>
      <w:pPr>
        <w:widowControl/>
        <w:shd w:val="clear" w:color="auto" w:fill="FFFFFF" w:themeFill="background1"/>
        <w:spacing w:line="360" w:lineRule="auto"/>
        <w:ind w:firstLine="370"/>
        <w:rPr>
          <w:rFonts w:ascii="Arial" w:hAnsi="Arial" w:cs="Arial"/>
          <w:b w:val="0"/>
          <w:bCs/>
          <w:color w:val="auto"/>
          <w:spacing w:val="8"/>
          <w:kern w:val="0"/>
          <w:sz w:val="24"/>
          <w:highlight w:val="none"/>
        </w:rPr>
      </w:pPr>
      <w:r>
        <w:rPr>
          <w:rFonts w:ascii="Arial" w:hAnsi="Arial" w:cs="Arial"/>
          <w:b w:val="0"/>
          <w:bCs/>
          <w:color w:val="auto"/>
          <w:spacing w:val="8"/>
          <w:kern w:val="0"/>
          <w:sz w:val="24"/>
          <w:highlight w:val="none"/>
        </w:rPr>
        <w:t>4.1</w:t>
      </w:r>
      <w:r>
        <w:rPr>
          <w:rFonts w:hint="eastAsia" w:ascii="Arial" w:hAnsi="Arial" w:cs="Arial"/>
          <w:b w:val="0"/>
          <w:bCs/>
          <w:color w:val="auto"/>
          <w:spacing w:val="8"/>
          <w:kern w:val="0"/>
          <w:sz w:val="24"/>
          <w:highlight w:val="none"/>
        </w:rPr>
        <w:t xml:space="preserve"> </w:t>
      </w:r>
      <w:r>
        <w:rPr>
          <w:rFonts w:hint="eastAsia" w:ascii="Arial" w:hAnsi="Arial" w:cs="Arial"/>
          <w:b w:val="0"/>
          <w:bCs/>
          <w:color w:val="auto"/>
          <w:spacing w:val="8"/>
          <w:kern w:val="0"/>
          <w:sz w:val="24"/>
          <w:highlight w:val="none"/>
          <w:u w:val="single"/>
        </w:rPr>
        <w:t>202</w:t>
      </w:r>
      <w:r>
        <w:rPr>
          <w:rFonts w:hint="eastAsia" w:ascii="Arial" w:hAnsi="Arial" w:cs="Arial"/>
          <w:b w:val="0"/>
          <w:bCs/>
          <w:color w:val="auto"/>
          <w:spacing w:val="8"/>
          <w:kern w:val="0"/>
          <w:sz w:val="24"/>
          <w:highlight w:val="none"/>
          <w:u w:val="single"/>
          <w:lang w:val="en-US" w:eastAsia="zh-CN"/>
        </w:rPr>
        <w:t>1</w:t>
      </w:r>
      <w:r>
        <w:rPr>
          <w:rFonts w:ascii="Arial" w:hAnsi="Arial" w:cs="Arial"/>
          <w:b w:val="0"/>
          <w:bCs/>
          <w:color w:val="auto"/>
          <w:spacing w:val="8"/>
          <w:kern w:val="0"/>
          <w:sz w:val="24"/>
          <w:highlight w:val="none"/>
          <w:u w:val="single"/>
        </w:rPr>
        <w:t>年</w:t>
      </w:r>
      <w:r>
        <w:rPr>
          <w:rFonts w:hint="eastAsia" w:ascii="Arial" w:hAnsi="Arial" w:cs="Arial"/>
          <w:b w:val="0"/>
          <w:bCs/>
          <w:color w:val="auto"/>
          <w:spacing w:val="8"/>
          <w:kern w:val="0"/>
          <w:sz w:val="24"/>
          <w:highlight w:val="none"/>
          <w:u w:val="single"/>
          <w:lang w:val="en-US" w:eastAsia="zh-CN"/>
        </w:rPr>
        <w:t>03</w:t>
      </w:r>
      <w:r>
        <w:rPr>
          <w:rFonts w:ascii="Arial" w:hAnsi="Arial" w:cs="Arial"/>
          <w:b w:val="0"/>
          <w:bCs/>
          <w:color w:val="auto"/>
          <w:spacing w:val="8"/>
          <w:kern w:val="0"/>
          <w:sz w:val="24"/>
          <w:highlight w:val="none"/>
          <w:u w:val="single"/>
        </w:rPr>
        <w:t>月</w:t>
      </w:r>
      <w:r>
        <w:rPr>
          <w:rFonts w:hint="eastAsia" w:ascii="Arial" w:hAnsi="Arial" w:cs="Arial"/>
          <w:b w:val="0"/>
          <w:bCs/>
          <w:color w:val="auto"/>
          <w:spacing w:val="8"/>
          <w:kern w:val="0"/>
          <w:sz w:val="24"/>
          <w:highlight w:val="none"/>
          <w:u w:val="single"/>
          <w:lang w:val="en-US" w:eastAsia="zh-CN"/>
        </w:rPr>
        <w:t>01</w:t>
      </w:r>
      <w:r>
        <w:rPr>
          <w:rFonts w:ascii="Arial" w:hAnsi="Arial" w:cs="Arial"/>
          <w:b w:val="0"/>
          <w:bCs/>
          <w:color w:val="auto"/>
          <w:spacing w:val="8"/>
          <w:kern w:val="0"/>
          <w:sz w:val="24"/>
          <w:highlight w:val="none"/>
          <w:u w:val="single"/>
        </w:rPr>
        <w:t>日14点3</w:t>
      </w:r>
      <w:r>
        <w:rPr>
          <w:rFonts w:hint="eastAsia" w:ascii="Arial" w:hAnsi="Arial" w:cs="Arial"/>
          <w:b w:val="0"/>
          <w:bCs/>
          <w:color w:val="auto"/>
          <w:spacing w:val="8"/>
          <w:kern w:val="0"/>
          <w:sz w:val="24"/>
          <w:highlight w:val="none"/>
          <w:u w:val="single"/>
        </w:rPr>
        <w:t>0</w:t>
      </w:r>
      <w:r>
        <w:rPr>
          <w:rFonts w:ascii="Arial" w:hAnsi="Arial" w:cs="Arial"/>
          <w:b w:val="0"/>
          <w:bCs/>
          <w:color w:val="auto"/>
          <w:spacing w:val="8"/>
          <w:kern w:val="0"/>
          <w:sz w:val="24"/>
          <w:highlight w:val="none"/>
          <w:u w:val="single"/>
        </w:rPr>
        <w:t>分</w:t>
      </w:r>
      <w:r>
        <w:rPr>
          <w:rFonts w:ascii="Arial" w:hAnsi="Arial" w:cs="Arial"/>
          <w:b w:val="0"/>
          <w:bCs/>
          <w:color w:val="auto"/>
          <w:spacing w:val="8"/>
          <w:kern w:val="0"/>
          <w:sz w:val="24"/>
          <w:highlight w:val="none"/>
        </w:rPr>
        <w:t>（北京时间）</w:t>
      </w:r>
    </w:p>
    <w:p>
      <w:pPr>
        <w:widowControl/>
        <w:shd w:val="clear" w:color="auto" w:fill="FFFFFF" w:themeFill="background1"/>
        <w:spacing w:line="360" w:lineRule="auto"/>
        <w:ind w:firstLine="370"/>
        <w:rPr>
          <w:rFonts w:hint="eastAsia" w:ascii="Arial" w:hAnsi="Arial" w:eastAsia="宋体" w:cs="Arial"/>
          <w:b w:val="0"/>
          <w:bCs/>
          <w:color w:val="auto"/>
          <w:spacing w:val="8"/>
          <w:kern w:val="0"/>
          <w:sz w:val="24"/>
          <w:highlight w:val="none"/>
          <w:lang w:eastAsia="zh-CN"/>
        </w:rPr>
      </w:pPr>
      <w:r>
        <w:rPr>
          <w:rFonts w:hint="eastAsia" w:ascii="Arial" w:hAnsi="Arial" w:cs="Arial"/>
          <w:b w:val="0"/>
          <w:bCs/>
          <w:color w:val="auto"/>
          <w:spacing w:val="8"/>
          <w:kern w:val="0"/>
          <w:sz w:val="24"/>
          <w:highlight w:val="none"/>
        </w:rPr>
        <w:t>4.2标书接收地点：</w:t>
      </w:r>
      <w:r>
        <w:rPr>
          <w:rFonts w:hint="eastAsia" w:ascii="Arial" w:hAnsi="Arial" w:cs="Arial"/>
          <w:b w:val="0"/>
          <w:bCs/>
          <w:color w:val="auto"/>
          <w:spacing w:val="8"/>
          <w:kern w:val="0"/>
          <w:sz w:val="24"/>
          <w:szCs w:val="24"/>
          <w:highlight w:val="none"/>
          <w:lang w:eastAsia="zh-CN"/>
        </w:rPr>
        <w:t>南京市鼓楼区浦江路26号浦江大厦11楼110</w:t>
      </w:r>
      <w:r>
        <w:rPr>
          <w:rFonts w:hint="eastAsia" w:ascii="Arial" w:hAnsi="Arial" w:cs="Arial"/>
          <w:b w:val="0"/>
          <w:bCs/>
          <w:color w:val="auto"/>
          <w:spacing w:val="8"/>
          <w:kern w:val="0"/>
          <w:sz w:val="24"/>
          <w:szCs w:val="24"/>
          <w:highlight w:val="none"/>
          <w:lang w:val="en-US" w:eastAsia="zh-CN"/>
        </w:rPr>
        <w:t>5</w:t>
      </w:r>
      <w:r>
        <w:rPr>
          <w:rFonts w:hint="eastAsia" w:ascii="Arial" w:hAnsi="Arial" w:cs="Arial"/>
          <w:b w:val="0"/>
          <w:bCs/>
          <w:color w:val="auto"/>
          <w:spacing w:val="8"/>
          <w:kern w:val="0"/>
          <w:sz w:val="24"/>
          <w:szCs w:val="24"/>
          <w:highlight w:val="none"/>
          <w:lang w:eastAsia="zh-CN"/>
        </w:rPr>
        <w:t>室</w:t>
      </w:r>
    </w:p>
    <w:p>
      <w:pPr>
        <w:widowControl/>
        <w:shd w:val="clear" w:color="auto" w:fill="FFFFFF" w:themeFill="background1"/>
        <w:spacing w:line="360" w:lineRule="auto"/>
        <w:ind w:firstLine="370"/>
        <w:rPr>
          <w:rFonts w:hint="eastAsia" w:ascii="Arial" w:hAnsi="Arial" w:eastAsia="宋体" w:cs="Arial"/>
          <w:b w:val="0"/>
          <w:bCs/>
          <w:color w:val="auto"/>
          <w:spacing w:val="8"/>
          <w:kern w:val="0"/>
          <w:sz w:val="24"/>
          <w:szCs w:val="24"/>
          <w:highlight w:val="none"/>
          <w:lang w:eastAsia="zh-CN"/>
        </w:rPr>
      </w:pPr>
      <w:r>
        <w:rPr>
          <w:rFonts w:hint="eastAsia" w:ascii="Arial" w:hAnsi="Arial" w:cs="Arial"/>
          <w:b w:val="0"/>
          <w:bCs/>
          <w:color w:val="auto"/>
          <w:spacing w:val="8"/>
          <w:kern w:val="0"/>
          <w:sz w:val="24"/>
          <w:highlight w:val="none"/>
        </w:rPr>
        <w:t>开标地点</w:t>
      </w:r>
      <w:r>
        <w:rPr>
          <w:rFonts w:hint="eastAsia" w:ascii="Arial" w:hAnsi="Arial" w:cs="Arial"/>
          <w:b w:val="0"/>
          <w:bCs/>
          <w:color w:val="auto"/>
          <w:spacing w:val="8"/>
          <w:kern w:val="0"/>
          <w:sz w:val="24"/>
          <w:szCs w:val="24"/>
          <w:highlight w:val="none"/>
        </w:rPr>
        <w:t>：</w:t>
      </w:r>
      <w:r>
        <w:rPr>
          <w:rFonts w:hint="eastAsia" w:ascii="Arial" w:hAnsi="Arial" w:cs="Arial"/>
          <w:b w:val="0"/>
          <w:bCs/>
          <w:color w:val="auto"/>
          <w:spacing w:val="8"/>
          <w:kern w:val="0"/>
          <w:sz w:val="24"/>
          <w:szCs w:val="24"/>
          <w:highlight w:val="none"/>
          <w:lang w:eastAsia="zh-CN"/>
        </w:rPr>
        <w:t>南京市鼓楼区浦江路26号浦江大厦11楼110</w:t>
      </w:r>
      <w:r>
        <w:rPr>
          <w:rFonts w:hint="eastAsia" w:ascii="Arial" w:hAnsi="Arial" w:cs="Arial"/>
          <w:b w:val="0"/>
          <w:bCs/>
          <w:color w:val="auto"/>
          <w:spacing w:val="8"/>
          <w:kern w:val="0"/>
          <w:sz w:val="24"/>
          <w:szCs w:val="24"/>
          <w:highlight w:val="none"/>
          <w:lang w:val="en-US" w:eastAsia="zh-CN"/>
        </w:rPr>
        <w:t>5</w:t>
      </w:r>
      <w:r>
        <w:rPr>
          <w:rFonts w:hint="eastAsia" w:ascii="Arial" w:hAnsi="Arial" w:cs="Arial"/>
          <w:b w:val="0"/>
          <w:bCs/>
          <w:color w:val="auto"/>
          <w:spacing w:val="8"/>
          <w:kern w:val="0"/>
          <w:sz w:val="24"/>
          <w:szCs w:val="24"/>
          <w:highlight w:val="none"/>
          <w:lang w:eastAsia="zh-CN"/>
        </w:rPr>
        <w:t>室</w:t>
      </w:r>
    </w:p>
    <w:p>
      <w:pPr>
        <w:widowControl/>
        <w:shd w:val="clear" w:color="auto" w:fill="FFFFFF" w:themeFill="background1"/>
        <w:spacing w:line="360" w:lineRule="auto"/>
        <w:ind w:firstLine="370"/>
        <w:rPr>
          <w:rFonts w:ascii="Arial" w:hAnsi="Arial" w:cs="Arial"/>
          <w:b w:val="0"/>
          <w:bCs/>
          <w:color w:val="auto"/>
          <w:sz w:val="24"/>
          <w:highlight w:val="none"/>
        </w:rPr>
      </w:pPr>
      <w:r>
        <w:rPr>
          <w:rFonts w:ascii="Arial" w:hAnsi="Arial" w:cs="Arial"/>
          <w:b w:val="0"/>
          <w:bCs/>
          <w:color w:val="auto"/>
          <w:spacing w:val="8"/>
          <w:kern w:val="0"/>
          <w:sz w:val="24"/>
          <w:highlight w:val="none"/>
        </w:rPr>
        <w:t>4.3</w:t>
      </w:r>
      <w:r>
        <w:rPr>
          <w:rFonts w:hint="eastAsia" w:ascii="Arial" w:hAnsi="宋体" w:cs="Arial"/>
          <w:b w:val="0"/>
          <w:bCs/>
          <w:color w:val="auto"/>
          <w:sz w:val="24"/>
          <w:highlight w:val="none"/>
        </w:rPr>
        <w:t>供应商</w:t>
      </w:r>
      <w:r>
        <w:rPr>
          <w:rFonts w:ascii="Arial" w:hAnsi="宋体" w:cs="Arial"/>
          <w:b w:val="0"/>
          <w:bCs/>
          <w:color w:val="auto"/>
          <w:sz w:val="24"/>
          <w:highlight w:val="none"/>
        </w:rPr>
        <w:t>应提供电子版投标文件</w:t>
      </w:r>
      <w:r>
        <w:rPr>
          <w:rFonts w:ascii="Arial" w:hAnsi="Arial" w:cs="Arial"/>
          <w:b w:val="0"/>
          <w:bCs/>
          <w:color w:val="auto"/>
          <w:sz w:val="24"/>
          <w:highlight w:val="none"/>
        </w:rPr>
        <w:t>1</w:t>
      </w:r>
      <w:r>
        <w:rPr>
          <w:rFonts w:ascii="Arial" w:hAnsi="宋体" w:cs="Arial"/>
          <w:b w:val="0"/>
          <w:bCs/>
          <w:color w:val="auto"/>
          <w:sz w:val="24"/>
          <w:highlight w:val="none"/>
        </w:rPr>
        <w:t>份（一般应为</w:t>
      </w:r>
      <w:r>
        <w:rPr>
          <w:rFonts w:ascii="Arial" w:hAnsi="Arial" w:cs="Arial"/>
          <w:b w:val="0"/>
          <w:bCs/>
          <w:color w:val="auto"/>
          <w:sz w:val="24"/>
          <w:highlight w:val="none"/>
        </w:rPr>
        <w:t>PDF</w:t>
      </w:r>
      <w:r>
        <w:rPr>
          <w:rFonts w:ascii="Arial" w:hAnsi="宋体" w:cs="Arial"/>
          <w:b w:val="0"/>
          <w:bCs/>
          <w:color w:val="auto"/>
          <w:sz w:val="24"/>
          <w:highlight w:val="none"/>
        </w:rPr>
        <w:t>格式、</w:t>
      </w:r>
      <w:r>
        <w:rPr>
          <w:rFonts w:ascii="Arial" w:hAnsi="Arial" w:cs="Arial"/>
          <w:b w:val="0"/>
          <w:bCs/>
          <w:color w:val="auto"/>
          <w:sz w:val="24"/>
          <w:highlight w:val="none"/>
        </w:rPr>
        <w:t>U</w:t>
      </w:r>
      <w:r>
        <w:rPr>
          <w:rFonts w:ascii="Arial" w:hAnsi="宋体" w:cs="Arial"/>
          <w:b w:val="0"/>
          <w:bCs/>
          <w:color w:val="auto"/>
          <w:sz w:val="24"/>
          <w:highlight w:val="none"/>
        </w:rPr>
        <w:t>盘形式（单独封装）、随纸质正本文件一并提交）。当电子版文件和纸质正本文件不一致时，以纸质正本文件为准。电子版文件用于辅助评标，</w:t>
      </w:r>
      <w:r>
        <w:rPr>
          <w:rFonts w:hint="eastAsia" w:ascii="Arial" w:hAnsi="宋体" w:cs="Arial"/>
          <w:b w:val="0"/>
          <w:bCs/>
          <w:color w:val="auto"/>
          <w:sz w:val="24"/>
          <w:highlight w:val="none"/>
        </w:rPr>
        <w:t>供应商</w:t>
      </w:r>
      <w:r>
        <w:rPr>
          <w:rFonts w:ascii="Arial" w:hAnsi="宋体" w:cs="Arial"/>
          <w:b w:val="0"/>
          <w:bCs/>
          <w:color w:val="auto"/>
          <w:sz w:val="24"/>
          <w:highlight w:val="none"/>
        </w:rPr>
        <w:t>需承担前述不一致造成的不利后果。</w:t>
      </w:r>
    </w:p>
    <w:p>
      <w:pPr>
        <w:widowControl/>
        <w:shd w:val="clear" w:color="auto" w:fill="FFFFFF" w:themeFill="background1"/>
        <w:spacing w:line="360" w:lineRule="auto"/>
        <w:outlineLvl w:val="1"/>
        <w:rPr>
          <w:rFonts w:ascii="Arial" w:hAnsi="Arial" w:cs="Arial"/>
          <w:b w:val="0"/>
          <w:bCs/>
          <w:color w:val="auto"/>
          <w:spacing w:val="8"/>
          <w:kern w:val="0"/>
          <w:sz w:val="24"/>
          <w:highlight w:val="none"/>
        </w:rPr>
      </w:pPr>
      <w:r>
        <w:rPr>
          <w:rFonts w:ascii="Arial" w:hAnsi="Arial" w:cs="Arial"/>
          <w:b w:val="0"/>
          <w:bCs/>
          <w:color w:val="auto"/>
          <w:spacing w:val="8"/>
          <w:kern w:val="0"/>
          <w:sz w:val="24"/>
          <w:highlight w:val="none"/>
        </w:rPr>
        <w:t>五、公告期限</w:t>
      </w:r>
    </w:p>
    <w:p>
      <w:pPr>
        <w:widowControl/>
        <w:shd w:val="clear" w:color="auto" w:fill="FFFFFF" w:themeFill="background1"/>
        <w:spacing w:line="360" w:lineRule="auto"/>
        <w:ind w:firstLine="370"/>
        <w:rPr>
          <w:rFonts w:ascii="Arial" w:hAnsi="Arial" w:cs="Arial"/>
          <w:b w:val="0"/>
          <w:bCs/>
          <w:color w:val="auto"/>
          <w:spacing w:val="8"/>
          <w:kern w:val="0"/>
          <w:sz w:val="24"/>
          <w:highlight w:val="none"/>
        </w:rPr>
      </w:pPr>
      <w:r>
        <w:rPr>
          <w:rFonts w:ascii="Arial" w:hAnsi="Arial" w:cs="Arial"/>
          <w:b w:val="0"/>
          <w:bCs/>
          <w:color w:val="auto"/>
          <w:spacing w:val="8"/>
          <w:kern w:val="0"/>
          <w:sz w:val="24"/>
          <w:highlight w:val="none"/>
        </w:rPr>
        <w:t>自本公告发布之日</w:t>
      </w:r>
      <w:r>
        <w:rPr>
          <w:rFonts w:ascii="Arial" w:hAnsi="Arial" w:cs="Arial"/>
          <w:b w:val="0"/>
          <w:bCs/>
          <w:color w:val="auto"/>
          <w:spacing w:val="8"/>
          <w:kern w:val="0"/>
          <w:sz w:val="24"/>
          <w:highlight w:val="none"/>
        </w:rPr>
        <w:t>起5</w:t>
      </w:r>
      <w:r>
        <w:rPr>
          <w:rFonts w:ascii="Arial" w:hAnsi="Arial" w:cs="Arial"/>
          <w:b w:val="0"/>
          <w:bCs/>
          <w:color w:val="auto"/>
          <w:spacing w:val="8"/>
          <w:kern w:val="0"/>
          <w:sz w:val="24"/>
          <w:highlight w:val="none"/>
        </w:rPr>
        <w:t>个工作日。</w:t>
      </w:r>
    </w:p>
    <w:p>
      <w:pPr>
        <w:widowControl/>
        <w:shd w:val="clear" w:color="auto" w:fill="FFFFFF" w:themeFill="background1"/>
        <w:spacing w:line="360" w:lineRule="auto"/>
        <w:outlineLvl w:val="1"/>
        <w:rPr>
          <w:rFonts w:ascii="Arial" w:hAnsi="Arial" w:cs="Arial"/>
          <w:b w:val="0"/>
          <w:bCs/>
          <w:color w:val="auto"/>
          <w:spacing w:val="8"/>
          <w:kern w:val="0"/>
          <w:sz w:val="24"/>
          <w:highlight w:val="none"/>
        </w:rPr>
      </w:pPr>
      <w:r>
        <w:rPr>
          <w:rFonts w:ascii="Arial" w:hAnsi="Arial" w:cs="Arial"/>
          <w:b w:val="0"/>
          <w:bCs/>
          <w:color w:val="auto"/>
          <w:spacing w:val="8"/>
          <w:kern w:val="0"/>
          <w:sz w:val="24"/>
          <w:highlight w:val="none"/>
        </w:rPr>
        <w:t>六、其他补充事宜</w:t>
      </w:r>
    </w:p>
    <w:p>
      <w:pPr>
        <w:widowControl/>
        <w:shd w:val="clear" w:color="auto" w:fill="FFFFFF" w:themeFill="background1"/>
        <w:spacing w:line="360" w:lineRule="auto"/>
        <w:ind w:firstLine="415" w:firstLineChars="173"/>
        <w:outlineLvl w:val="1"/>
        <w:rPr>
          <w:rFonts w:ascii="Arial" w:hAnsi="Arial" w:cs="Arial"/>
          <w:b w:val="0"/>
          <w:bCs/>
          <w:color w:val="auto"/>
          <w:sz w:val="24"/>
          <w:highlight w:val="none"/>
          <w:lang w:val="zh-CN"/>
        </w:rPr>
      </w:pPr>
      <w:r>
        <w:rPr>
          <w:rFonts w:ascii="Arial" w:hAnsi="Arial" w:cs="Arial"/>
          <w:b w:val="0"/>
          <w:bCs/>
          <w:color w:val="auto"/>
          <w:sz w:val="24"/>
          <w:highlight w:val="none"/>
          <w:lang w:val="zh-CN"/>
        </w:rPr>
        <w:t>6.1本项目在</w:t>
      </w:r>
      <w:r>
        <w:rPr>
          <w:rFonts w:hint="eastAsia" w:ascii="宋体" w:hAnsi="宋体" w:cs="宋体"/>
          <w:b w:val="0"/>
          <w:bCs/>
          <w:color w:val="auto"/>
          <w:sz w:val="24"/>
          <w:highlight w:val="none"/>
          <w:lang w:val="zh-CN"/>
        </w:rPr>
        <w:t>江苏政府采购网（http://www.ccgp-jiangsu.gov.cn/）</w:t>
      </w:r>
      <w:r>
        <w:rPr>
          <w:rFonts w:ascii="Arial" w:hAnsi="Arial" w:cs="Arial"/>
          <w:b w:val="0"/>
          <w:bCs/>
          <w:color w:val="auto"/>
          <w:sz w:val="24"/>
          <w:highlight w:val="none"/>
          <w:lang w:val="zh-CN"/>
        </w:rPr>
        <w:t>网站发布公告。</w:t>
      </w:r>
    </w:p>
    <w:p>
      <w:pPr>
        <w:widowControl/>
        <w:shd w:val="clear" w:color="auto" w:fill="FFFFFF" w:themeFill="background1"/>
        <w:spacing w:line="360" w:lineRule="auto"/>
        <w:ind w:firstLine="415" w:firstLineChars="173"/>
        <w:outlineLvl w:val="1"/>
        <w:rPr>
          <w:rFonts w:ascii="Arial" w:hAnsi="Arial" w:cs="Arial"/>
          <w:b w:val="0"/>
          <w:bCs/>
          <w:color w:val="auto"/>
          <w:sz w:val="24"/>
          <w:highlight w:val="none"/>
          <w:lang w:val="zh-CN"/>
        </w:rPr>
      </w:pPr>
      <w:r>
        <w:rPr>
          <w:rFonts w:ascii="Arial" w:hAnsi="Arial" w:cs="Arial"/>
          <w:b w:val="0"/>
          <w:bCs/>
          <w:color w:val="auto"/>
          <w:sz w:val="24"/>
          <w:highlight w:val="none"/>
          <w:lang w:val="zh-CN"/>
        </w:rPr>
        <w:t>6.2 采购项目需要落实的政府采购政策，包括但不限于：</w:t>
      </w:r>
    </w:p>
    <w:p>
      <w:pPr>
        <w:widowControl/>
        <w:shd w:val="clear" w:color="auto" w:fill="FFFFFF" w:themeFill="background1"/>
        <w:spacing w:line="360" w:lineRule="auto"/>
        <w:ind w:firstLine="415" w:firstLineChars="173"/>
        <w:outlineLvl w:val="1"/>
        <w:rPr>
          <w:rFonts w:ascii="Arial" w:hAnsi="Arial" w:cs="Arial"/>
          <w:b w:val="0"/>
          <w:bCs/>
          <w:color w:val="auto"/>
          <w:sz w:val="24"/>
          <w:highlight w:val="none"/>
          <w:lang w:val="zh-CN"/>
        </w:rPr>
      </w:pPr>
      <w:r>
        <w:rPr>
          <w:rFonts w:ascii="Arial" w:hAnsi="Arial" w:cs="Arial"/>
          <w:b w:val="0"/>
          <w:bCs/>
          <w:color w:val="auto"/>
          <w:sz w:val="24"/>
          <w:highlight w:val="none"/>
          <w:lang w:val="zh-CN"/>
        </w:rPr>
        <w:t>（1）政府采购促进中小企业发展</w:t>
      </w:r>
    </w:p>
    <w:p>
      <w:pPr>
        <w:widowControl/>
        <w:shd w:val="clear" w:color="auto" w:fill="FFFFFF" w:themeFill="background1"/>
        <w:spacing w:line="360" w:lineRule="auto"/>
        <w:ind w:firstLine="415" w:firstLineChars="173"/>
        <w:outlineLvl w:val="1"/>
        <w:rPr>
          <w:rFonts w:ascii="Arial" w:hAnsi="Arial" w:cs="Arial"/>
          <w:b w:val="0"/>
          <w:bCs/>
          <w:color w:val="auto"/>
          <w:sz w:val="24"/>
          <w:highlight w:val="none"/>
          <w:lang w:val="zh-CN"/>
        </w:rPr>
      </w:pPr>
      <w:r>
        <w:rPr>
          <w:rFonts w:ascii="Arial" w:hAnsi="Arial" w:cs="Arial"/>
          <w:b w:val="0"/>
          <w:bCs/>
          <w:color w:val="auto"/>
          <w:sz w:val="24"/>
          <w:highlight w:val="none"/>
          <w:lang w:val="zh-CN"/>
        </w:rPr>
        <w:t>（2）政府采购支持监狱企业发展</w:t>
      </w:r>
    </w:p>
    <w:p>
      <w:pPr>
        <w:widowControl/>
        <w:shd w:val="clear" w:color="auto" w:fill="FFFFFF" w:themeFill="background1"/>
        <w:spacing w:line="360" w:lineRule="auto"/>
        <w:ind w:firstLine="415" w:firstLineChars="173"/>
        <w:outlineLvl w:val="1"/>
        <w:rPr>
          <w:rFonts w:ascii="Arial" w:hAnsi="Arial" w:cs="Arial"/>
          <w:b w:val="0"/>
          <w:bCs/>
          <w:color w:val="auto"/>
          <w:sz w:val="24"/>
          <w:highlight w:val="none"/>
          <w:lang w:val="zh-CN"/>
        </w:rPr>
      </w:pPr>
      <w:r>
        <w:rPr>
          <w:rFonts w:ascii="Arial" w:hAnsi="Arial" w:cs="Arial"/>
          <w:b w:val="0"/>
          <w:bCs/>
          <w:color w:val="auto"/>
          <w:sz w:val="24"/>
          <w:highlight w:val="none"/>
          <w:lang w:val="zh-CN"/>
        </w:rPr>
        <w:t>（3）政府采购促进残疾人就业</w:t>
      </w:r>
    </w:p>
    <w:p>
      <w:pPr>
        <w:widowControl/>
        <w:shd w:val="clear" w:color="auto" w:fill="FFFFFF" w:themeFill="background1"/>
        <w:spacing w:line="360" w:lineRule="auto"/>
        <w:ind w:firstLine="415" w:firstLineChars="173"/>
        <w:outlineLvl w:val="1"/>
        <w:rPr>
          <w:rFonts w:ascii="Arial" w:hAnsi="Arial" w:cs="Arial"/>
          <w:b w:val="0"/>
          <w:bCs/>
          <w:color w:val="auto"/>
          <w:sz w:val="24"/>
          <w:highlight w:val="none"/>
          <w:lang w:val="zh-CN"/>
        </w:rPr>
      </w:pPr>
      <w:r>
        <w:rPr>
          <w:rFonts w:ascii="Arial" w:hAnsi="Arial" w:cs="Arial"/>
          <w:b w:val="0"/>
          <w:bCs/>
          <w:color w:val="auto"/>
          <w:sz w:val="24"/>
          <w:highlight w:val="none"/>
          <w:lang w:val="zh-CN"/>
        </w:rPr>
        <w:t>（4）政府采购鼓励采购节能环保产品</w:t>
      </w:r>
    </w:p>
    <w:p>
      <w:pPr>
        <w:widowControl/>
        <w:shd w:val="clear" w:color="auto" w:fill="FFFFFF" w:themeFill="background1"/>
        <w:spacing w:line="360" w:lineRule="auto"/>
        <w:ind w:firstLine="415" w:firstLineChars="173"/>
        <w:outlineLvl w:val="1"/>
        <w:rPr>
          <w:rFonts w:ascii="Arial" w:hAnsi="Arial" w:cs="Arial"/>
          <w:b w:val="0"/>
          <w:bCs/>
          <w:color w:val="auto"/>
          <w:sz w:val="24"/>
          <w:highlight w:val="none"/>
          <w:lang w:val="zh-CN"/>
        </w:rPr>
      </w:pPr>
      <w:r>
        <w:rPr>
          <w:rFonts w:ascii="Arial" w:hAnsi="Arial" w:cs="Arial"/>
          <w:b w:val="0"/>
          <w:bCs/>
          <w:color w:val="auto"/>
          <w:sz w:val="24"/>
          <w:highlight w:val="none"/>
          <w:lang w:val="zh-CN"/>
        </w:rPr>
        <w:t>6.3供应商诚信档案管理</w:t>
      </w:r>
    </w:p>
    <w:p>
      <w:pPr>
        <w:widowControl/>
        <w:shd w:val="clear" w:color="auto" w:fill="FFFFFF"/>
        <w:spacing w:line="360" w:lineRule="auto"/>
        <w:ind w:firstLine="420"/>
        <w:rPr>
          <w:rFonts w:ascii="Arial" w:hAnsi="Arial" w:cs="Arial"/>
          <w:b w:val="0"/>
          <w:bCs/>
          <w:color w:val="auto"/>
          <w:kern w:val="0"/>
          <w:sz w:val="24"/>
          <w:highlight w:val="none"/>
        </w:rPr>
      </w:pPr>
      <w:r>
        <w:rPr>
          <w:rFonts w:ascii="Arial" w:hAnsi="Arial" w:cs="Arial"/>
          <w:b w:val="0"/>
          <w:bCs/>
          <w:color w:val="auto"/>
          <w:kern w:val="0"/>
          <w:sz w:val="24"/>
          <w:highlight w:val="none"/>
        </w:rPr>
        <w:t>根据《南京市政府采购供应商信用管理工作暂行办法》（宁财规[2018]10号）有关规定，凡在南京地区参加政府采购活动的供应商，应当事先登陆“信用南京”（www.njcredit.gov.cn）或“南京市政府采购网”（www.njgp.gov.cn）主页“政府采购供应商诚信档案”栏目进行注册登记。由于特殊原因未及时注册的供应商可先行获取采购文件，但必须在提交投标（响应）文件截止日2天前办理登记注册手续。</w:t>
      </w:r>
    </w:p>
    <w:p>
      <w:pPr>
        <w:widowControl/>
        <w:shd w:val="clear" w:color="auto" w:fill="FFFFFF"/>
        <w:spacing w:line="360" w:lineRule="auto"/>
        <w:ind w:firstLine="420"/>
        <w:rPr>
          <w:rFonts w:ascii="Arial" w:hAnsi="Arial" w:cs="Arial"/>
          <w:b w:val="0"/>
          <w:bCs/>
          <w:color w:val="auto"/>
          <w:kern w:val="0"/>
          <w:sz w:val="24"/>
          <w:highlight w:val="none"/>
        </w:rPr>
      </w:pPr>
      <w:r>
        <w:rPr>
          <w:rFonts w:ascii="Arial" w:hAnsi="Arial" w:cs="Arial"/>
          <w:b w:val="0"/>
          <w:bCs/>
          <w:color w:val="auto"/>
          <w:kern w:val="0"/>
          <w:sz w:val="24"/>
          <w:highlight w:val="none"/>
        </w:rPr>
        <w:t xml:space="preserve"> 供应商申请网上注册的，应当按以下程序进行： </w:t>
      </w:r>
    </w:p>
    <w:p>
      <w:pPr>
        <w:widowControl/>
        <w:shd w:val="clear" w:color="auto" w:fill="FFFFFF"/>
        <w:spacing w:line="360" w:lineRule="auto"/>
        <w:rPr>
          <w:rFonts w:ascii="Arial" w:hAnsi="Arial" w:cs="Arial"/>
          <w:b w:val="0"/>
          <w:bCs/>
          <w:color w:val="auto"/>
          <w:kern w:val="0"/>
          <w:sz w:val="24"/>
          <w:highlight w:val="none"/>
        </w:rPr>
      </w:pPr>
      <w:r>
        <w:rPr>
          <w:rFonts w:ascii="Arial" w:hAnsi="Arial" w:cs="Arial"/>
          <w:b w:val="0"/>
          <w:bCs/>
          <w:color w:val="auto"/>
          <w:kern w:val="0"/>
          <w:sz w:val="24"/>
          <w:highlight w:val="none"/>
        </w:rPr>
        <w:t xml:space="preserve">   （1）登陆“信用南京”或“南京市政府采购网”网站，点击“政府采购供应商诚信档案”图标，在弹出的用户登录界面，点击“新用户注册”；</w:t>
      </w:r>
    </w:p>
    <w:p>
      <w:pPr>
        <w:widowControl/>
        <w:shd w:val="clear" w:color="auto" w:fill="FFFFFF"/>
        <w:spacing w:line="360" w:lineRule="auto"/>
        <w:rPr>
          <w:rFonts w:ascii="Arial" w:hAnsi="Arial" w:cs="Arial"/>
          <w:b w:val="0"/>
          <w:bCs/>
          <w:color w:val="auto"/>
          <w:kern w:val="0"/>
          <w:sz w:val="24"/>
          <w:highlight w:val="none"/>
        </w:rPr>
      </w:pPr>
      <w:r>
        <w:rPr>
          <w:rFonts w:ascii="Arial" w:hAnsi="Arial" w:cs="Arial"/>
          <w:b w:val="0"/>
          <w:bCs/>
          <w:color w:val="auto"/>
          <w:kern w:val="0"/>
          <w:sz w:val="24"/>
          <w:highlight w:val="none"/>
        </w:rPr>
        <w:t xml:space="preserve">   （2）在“新用户注册”界面，供应商自行设置用户名、登录密码，如实填写“南京市政府采购供应商诚信档案注册登记表”，根据本办法第十七条规定上传相关资料，并进行信用承诺确认后，提交注册申请；系统审核后，供应商即可登录系统进行相关功能操作。</w:t>
      </w:r>
    </w:p>
    <w:p>
      <w:pPr>
        <w:widowControl/>
        <w:shd w:val="clear" w:color="auto" w:fill="FFFFFF"/>
        <w:spacing w:line="360" w:lineRule="auto"/>
        <w:ind w:firstLine="420"/>
        <w:rPr>
          <w:rFonts w:ascii="Arial" w:hAnsi="Arial" w:cs="Arial"/>
          <w:b w:val="0"/>
          <w:bCs/>
          <w:color w:val="auto"/>
          <w:kern w:val="0"/>
          <w:sz w:val="24"/>
          <w:highlight w:val="none"/>
        </w:rPr>
      </w:pPr>
      <w:r>
        <w:rPr>
          <w:rFonts w:ascii="Arial" w:hAnsi="Arial" w:cs="Arial"/>
          <w:b w:val="0"/>
          <w:bCs/>
          <w:color w:val="auto"/>
          <w:kern w:val="0"/>
          <w:sz w:val="24"/>
          <w:highlight w:val="none"/>
        </w:rPr>
        <w:t>注册成功后，供应商参加本次政府采购活动时，在采购文件发布之日起至递交投标文件截止日前，应先登录“信用南京”在线打印其“南京市政府采购供应商信用记录表”，经法定代表人签名盖章后作为投标文件的组成部分“南京市政府采购供应商信用记录表”是其参加本次政府采购活动的必备材料。</w:t>
      </w:r>
    </w:p>
    <w:p>
      <w:pPr>
        <w:widowControl/>
        <w:shd w:val="clear" w:color="auto" w:fill="FFFFFF" w:themeFill="background1"/>
        <w:spacing w:line="360" w:lineRule="auto"/>
        <w:ind w:firstLine="415" w:firstLineChars="173"/>
        <w:outlineLvl w:val="1"/>
        <w:rPr>
          <w:rFonts w:ascii="Arial" w:hAnsi="Arial" w:cs="Arial"/>
          <w:b w:val="0"/>
          <w:bCs/>
          <w:color w:val="auto"/>
          <w:kern w:val="0"/>
          <w:sz w:val="24"/>
          <w:highlight w:val="none"/>
        </w:rPr>
      </w:pPr>
      <w:r>
        <w:rPr>
          <w:rFonts w:ascii="Arial" w:hAnsi="Arial" w:cs="Arial"/>
          <w:b w:val="0"/>
          <w:bCs/>
          <w:color w:val="auto"/>
          <w:kern w:val="0"/>
          <w:sz w:val="24"/>
          <w:highlight w:val="none"/>
        </w:rPr>
        <w:t>南京市政府采购供应商诚信档案管理系统客服电话：025-52718366；供应商可就用户注册与打印“南京市政府采购供应商信用记录表”等事宜进行咨询。</w:t>
      </w:r>
    </w:p>
    <w:p>
      <w:pPr>
        <w:widowControl/>
        <w:shd w:val="clear" w:color="auto" w:fill="FFFFFF" w:themeFill="background1"/>
        <w:spacing w:line="360" w:lineRule="auto"/>
        <w:ind w:firstLine="415" w:firstLineChars="173"/>
        <w:outlineLvl w:val="1"/>
        <w:rPr>
          <w:rFonts w:ascii="Arial" w:hAnsi="Arial" w:cs="Arial"/>
          <w:b w:val="0"/>
          <w:bCs/>
          <w:color w:val="auto"/>
          <w:sz w:val="24"/>
          <w:highlight w:val="none"/>
        </w:rPr>
      </w:pPr>
      <w:r>
        <w:rPr>
          <w:rFonts w:ascii="Arial" w:hAnsi="Arial" w:cs="Arial"/>
          <w:b w:val="0"/>
          <w:bCs/>
          <w:color w:val="auto"/>
          <w:sz w:val="24"/>
          <w:highlight w:val="none"/>
          <w:lang w:val="zh-CN"/>
        </w:rPr>
        <w:t>6.</w:t>
      </w:r>
      <w:r>
        <w:rPr>
          <w:rFonts w:hint="eastAsia" w:ascii="Arial" w:hAnsi="Arial" w:cs="Arial"/>
          <w:b w:val="0"/>
          <w:bCs/>
          <w:color w:val="auto"/>
          <w:sz w:val="24"/>
          <w:highlight w:val="none"/>
        </w:rPr>
        <w:t>4</w:t>
      </w:r>
      <w:r>
        <w:rPr>
          <w:rFonts w:ascii="Arial" w:hAnsi="Arial" w:cs="Arial"/>
          <w:b w:val="0"/>
          <w:bCs/>
          <w:color w:val="auto"/>
          <w:sz w:val="24"/>
          <w:highlight w:val="none"/>
        </w:rPr>
        <w:t>本次招标请按</w:t>
      </w:r>
      <w:r>
        <w:rPr>
          <w:rFonts w:hint="eastAsia" w:ascii="Arial" w:hAnsi="Arial" w:cs="Arial"/>
          <w:b w:val="0"/>
          <w:bCs/>
          <w:color w:val="auto"/>
          <w:sz w:val="24"/>
          <w:highlight w:val="none"/>
        </w:rPr>
        <w:t>标段</w:t>
      </w:r>
      <w:r>
        <w:rPr>
          <w:rFonts w:ascii="Arial" w:hAnsi="Arial" w:cs="Arial"/>
          <w:b w:val="0"/>
          <w:bCs/>
          <w:color w:val="auto"/>
          <w:sz w:val="24"/>
          <w:highlight w:val="none"/>
        </w:rPr>
        <w:t>购买招标文件，并按“</w:t>
      </w:r>
      <w:r>
        <w:rPr>
          <w:rFonts w:hint="eastAsia" w:ascii="Arial" w:hAnsi="Arial" w:cs="Arial"/>
          <w:b w:val="0"/>
          <w:bCs/>
          <w:color w:val="auto"/>
          <w:sz w:val="24"/>
          <w:highlight w:val="none"/>
        </w:rPr>
        <w:t>标段</w:t>
      </w:r>
      <w:r>
        <w:rPr>
          <w:rFonts w:ascii="Arial" w:hAnsi="Arial" w:cs="Arial"/>
          <w:b w:val="0"/>
          <w:bCs/>
          <w:color w:val="auto"/>
          <w:sz w:val="24"/>
          <w:highlight w:val="none"/>
        </w:rPr>
        <w:t>”开标、评标。</w:t>
      </w:r>
    </w:p>
    <w:p>
      <w:pPr>
        <w:widowControl/>
        <w:shd w:val="clear" w:color="auto" w:fill="FFFFFF" w:themeFill="background1"/>
        <w:spacing w:line="360" w:lineRule="auto"/>
        <w:ind w:firstLine="415" w:firstLineChars="173"/>
        <w:outlineLvl w:val="1"/>
        <w:rPr>
          <w:rFonts w:ascii="Arial" w:hAnsi="Arial" w:cs="Arial"/>
          <w:b w:val="0"/>
          <w:bCs/>
          <w:color w:val="auto"/>
          <w:sz w:val="24"/>
          <w:highlight w:val="none"/>
          <w:lang w:val="zh-CN"/>
        </w:rPr>
      </w:pPr>
      <w:r>
        <w:rPr>
          <w:rFonts w:ascii="Arial" w:hAnsi="Arial" w:cs="Arial"/>
          <w:b w:val="0"/>
          <w:bCs/>
          <w:color w:val="auto"/>
          <w:sz w:val="24"/>
          <w:highlight w:val="none"/>
          <w:lang w:val="zh-CN"/>
        </w:rPr>
        <w:t>6.</w:t>
      </w:r>
      <w:r>
        <w:rPr>
          <w:rFonts w:hint="eastAsia" w:ascii="Arial" w:hAnsi="Arial" w:cs="Arial"/>
          <w:b w:val="0"/>
          <w:bCs/>
          <w:color w:val="auto"/>
          <w:sz w:val="24"/>
          <w:highlight w:val="none"/>
        </w:rPr>
        <w:t>5</w:t>
      </w:r>
      <w:r>
        <w:rPr>
          <w:rFonts w:ascii="Arial" w:hAnsi="Arial" w:cs="Arial"/>
          <w:b w:val="0"/>
          <w:bCs/>
          <w:color w:val="auto"/>
          <w:sz w:val="24"/>
          <w:highlight w:val="none"/>
          <w:lang w:val="zh-CN"/>
        </w:rPr>
        <w:t xml:space="preserve"> 在单一品目的货物采购招标中，同一品牌的产品有多家供应商参加投标，只能按照一家供应商计算。</w:t>
      </w:r>
    </w:p>
    <w:p>
      <w:pPr>
        <w:widowControl/>
        <w:shd w:val="clear" w:color="auto" w:fill="FFFFFF" w:themeFill="background1"/>
        <w:spacing w:line="360" w:lineRule="auto"/>
        <w:ind w:firstLine="415" w:firstLineChars="173"/>
        <w:outlineLvl w:val="1"/>
        <w:rPr>
          <w:rFonts w:ascii="Arial" w:hAnsi="Arial" w:cs="Arial"/>
          <w:b w:val="0"/>
          <w:bCs/>
          <w:color w:val="auto"/>
          <w:sz w:val="24"/>
          <w:highlight w:val="none"/>
          <w:lang w:val="zh-CN"/>
        </w:rPr>
      </w:pPr>
      <w:r>
        <w:rPr>
          <w:rFonts w:ascii="Arial" w:hAnsi="Arial" w:cs="Arial"/>
          <w:b w:val="0"/>
          <w:bCs/>
          <w:color w:val="auto"/>
          <w:sz w:val="24"/>
          <w:highlight w:val="none"/>
          <w:lang w:val="zh-CN"/>
        </w:rPr>
        <w:t>6.</w:t>
      </w:r>
      <w:r>
        <w:rPr>
          <w:rFonts w:hint="eastAsia" w:ascii="Arial" w:hAnsi="Arial" w:cs="Arial"/>
          <w:b w:val="0"/>
          <w:bCs/>
          <w:color w:val="auto"/>
          <w:sz w:val="24"/>
          <w:highlight w:val="none"/>
        </w:rPr>
        <w:t>6</w:t>
      </w:r>
      <w:r>
        <w:rPr>
          <w:rFonts w:hint="eastAsia" w:ascii="Arial" w:hAnsi="Arial" w:cs="Arial"/>
          <w:b w:val="0"/>
          <w:bCs/>
          <w:color w:val="auto"/>
          <w:sz w:val="24"/>
          <w:highlight w:val="none"/>
          <w:lang w:val="zh-CN"/>
        </w:rPr>
        <w:t>供应商</w:t>
      </w:r>
      <w:r>
        <w:rPr>
          <w:rFonts w:ascii="Arial" w:hAnsi="Arial" w:cs="Arial"/>
          <w:b w:val="0"/>
          <w:bCs/>
          <w:color w:val="auto"/>
          <w:sz w:val="24"/>
          <w:highlight w:val="none"/>
          <w:lang w:val="zh-CN"/>
        </w:rPr>
        <w:t>应当从</w:t>
      </w:r>
      <w:r>
        <w:rPr>
          <w:rFonts w:hint="eastAsia" w:ascii="Arial" w:hAnsi="Arial" w:cs="Arial"/>
          <w:b w:val="0"/>
          <w:bCs/>
          <w:color w:val="auto"/>
          <w:sz w:val="24"/>
          <w:highlight w:val="none"/>
          <w:lang w:val="zh-CN"/>
        </w:rPr>
        <w:t>招标</w:t>
      </w:r>
      <w:r>
        <w:rPr>
          <w:rFonts w:ascii="Arial" w:hAnsi="Arial" w:cs="Arial"/>
          <w:b w:val="0"/>
          <w:bCs/>
          <w:color w:val="auto"/>
          <w:sz w:val="24"/>
          <w:highlight w:val="none"/>
          <w:lang w:val="zh-CN"/>
        </w:rPr>
        <w:t>代理机构合法获得招标项目的招标文件。</w:t>
      </w:r>
    </w:p>
    <w:p>
      <w:pPr>
        <w:widowControl/>
        <w:shd w:val="clear" w:color="auto" w:fill="FFFFFF" w:themeFill="background1"/>
        <w:spacing w:line="360" w:lineRule="auto"/>
        <w:ind w:firstLine="415" w:firstLineChars="173"/>
        <w:outlineLvl w:val="1"/>
        <w:rPr>
          <w:rFonts w:hint="default" w:ascii="Arial" w:hAnsi="Arial" w:eastAsia="宋体" w:cs="Arial"/>
          <w:b w:val="0"/>
          <w:bCs/>
          <w:color w:val="auto"/>
          <w:sz w:val="24"/>
          <w:highlight w:val="none"/>
          <w:lang w:val="en-US" w:eastAsia="zh-CN"/>
        </w:rPr>
      </w:pPr>
      <w:r>
        <w:rPr>
          <w:rFonts w:ascii="Arial" w:hAnsi="Arial" w:cs="Arial"/>
          <w:b w:val="0"/>
          <w:bCs/>
          <w:color w:val="auto"/>
          <w:sz w:val="24"/>
          <w:highlight w:val="none"/>
        </w:rPr>
        <w:t>6.</w:t>
      </w:r>
      <w:r>
        <w:rPr>
          <w:rFonts w:hint="eastAsia" w:ascii="Arial" w:hAnsi="Arial" w:cs="Arial"/>
          <w:b w:val="0"/>
          <w:bCs/>
          <w:color w:val="auto"/>
          <w:sz w:val="24"/>
          <w:highlight w:val="none"/>
        </w:rPr>
        <w:t>7</w:t>
      </w:r>
      <w:r>
        <w:rPr>
          <w:rFonts w:ascii="Arial" w:hAnsi="Arial" w:cs="Arial"/>
          <w:b w:val="0"/>
          <w:bCs/>
          <w:color w:val="auto"/>
          <w:sz w:val="24"/>
          <w:highlight w:val="none"/>
        </w:rPr>
        <w:t xml:space="preserve"> 勘察现场或答疑：</w:t>
      </w:r>
      <w:r>
        <w:rPr>
          <w:rFonts w:hint="eastAsia" w:ascii="Arial" w:hAnsi="Arial" w:cs="Arial"/>
          <w:b w:val="0"/>
          <w:bCs/>
          <w:color w:val="auto"/>
          <w:sz w:val="24"/>
          <w:highlight w:val="none"/>
          <w:u w:val="thick"/>
          <w:lang w:val="en-US" w:eastAsia="zh-CN"/>
        </w:rPr>
        <w:t>由供应商自行勘察现场</w:t>
      </w:r>
    </w:p>
    <w:p>
      <w:pPr>
        <w:widowControl/>
        <w:shd w:val="clear" w:color="auto" w:fill="FFFFFF" w:themeFill="background1"/>
        <w:spacing w:line="360" w:lineRule="auto"/>
        <w:ind w:firstLine="415" w:firstLineChars="173"/>
        <w:outlineLvl w:val="1"/>
        <w:rPr>
          <w:rFonts w:ascii="Arial" w:hAnsi="Arial" w:cs="Arial"/>
          <w:b w:val="0"/>
          <w:bCs/>
          <w:color w:val="auto"/>
          <w:sz w:val="24"/>
          <w:highlight w:val="none"/>
          <w:u w:val="thick"/>
        </w:rPr>
      </w:pPr>
      <w:r>
        <w:rPr>
          <w:rFonts w:ascii="Arial" w:hAnsi="Arial" w:cs="Arial"/>
          <w:b w:val="0"/>
          <w:bCs/>
          <w:color w:val="auto"/>
          <w:sz w:val="24"/>
          <w:highlight w:val="none"/>
        </w:rPr>
        <w:t>6.</w:t>
      </w:r>
      <w:r>
        <w:rPr>
          <w:rFonts w:hint="eastAsia" w:ascii="Arial" w:hAnsi="Arial" w:cs="Arial"/>
          <w:b w:val="0"/>
          <w:bCs/>
          <w:color w:val="auto"/>
          <w:sz w:val="24"/>
          <w:highlight w:val="none"/>
          <w:lang w:val="en-US" w:eastAsia="zh-CN"/>
        </w:rPr>
        <w:t>8</w:t>
      </w:r>
      <w:r>
        <w:rPr>
          <w:rFonts w:ascii="Arial" w:hAnsi="Arial" w:cs="Arial"/>
          <w:b w:val="0"/>
          <w:bCs/>
          <w:color w:val="auto"/>
          <w:sz w:val="24"/>
          <w:highlight w:val="none"/>
        </w:rPr>
        <w:t xml:space="preserve"> </w:t>
      </w:r>
      <w:r>
        <w:rPr>
          <w:rFonts w:hint="eastAsia" w:ascii="Arial" w:hAnsi="Arial" w:cs="Arial"/>
          <w:b w:val="0"/>
          <w:bCs/>
          <w:color w:val="auto"/>
          <w:sz w:val="24"/>
          <w:highlight w:val="none"/>
          <w:lang w:val="en-US" w:eastAsia="zh-CN"/>
        </w:rPr>
        <w:t>供应商</w:t>
      </w:r>
      <w:r>
        <w:rPr>
          <w:rFonts w:hint="eastAsia" w:ascii="宋体" w:hAnsi="宋体"/>
          <w:snapToGrid w:val="0"/>
          <w:kern w:val="0"/>
          <w:sz w:val="24"/>
          <w:szCs w:val="21"/>
          <w:highlight w:val="none"/>
        </w:rPr>
        <w:t>投标多个标段的，应当以标段为单位分别编制</w:t>
      </w:r>
      <w:r>
        <w:rPr>
          <w:rFonts w:hint="eastAsia" w:ascii="宋体" w:hAnsi="宋体"/>
          <w:snapToGrid w:val="0"/>
          <w:kern w:val="0"/>
          <w:sz w:val="24"/>
          <w:szCs w:val="21"/>
          <w:highlight w:val="none"/>
          <w:lang w:val="en-US" w:eastAsia="zh-CN"/>
        </w:rPr>
        <w:t>投标</w:t>
      </w:r>
      <w:r>
        <w:rPr>
          <w:rFonts w:hint="eastAsia" w:ascii="宋体" w:hAnsi="宋体"/>
          <w:snapToGrid w:val="0"/>
          <w:kern w:val="0"/>
          <w:sz w:val="24"/>
          <w:szCs w:val="21"/>
          <w:highlight w:val="none"/>
        </w:rPr>
        <w:t>文件，各标段须按要求独立装订成册</w:t>
      </w:r>
    </w:p>
    <w:p>
      <w:pPr>
        <w:widowControl/>
        <w:shd w:val="clear" w:color="auto" w:fill="FFFFFF" w:themeFill="background1"/>
        <w:spacing w:line="360" w:lineRule="auto"/>
        <w:rPr>
          <w:rFonts w:ascii="Arial" w:hAnsi="Arial" w:cs="Arial"/>
          <w:b w:val="0"/>
          <w:bCs/>
          <w:color w:val="auto"/>
          <w:spacing w:val="8"/>
          <w:kern w:val="0"/>
          <w:sz w:val="24"/>
          <w:highlight w:val="none"/>
        </w:rPr>
      </w:pPr>
      <w:r>
        <w:rPr>
          <w:rFonts w:ascii="Arial" w:hAnsi="Arial" w:cs="Arial"/>
          <w:b w:val="0"/>
          <w:bCs/>
          <w:color w:val="auto"/>
          <w:spacing w:val="8"/>
          <w:kern w:val="0"/>
          <w:sz w:val="24"/>
          <w:highlight w:val="none"/>
        </w:rPr>
        <w:t>七、对本次</w:t>
      </w:r>
      <w:r>
        <w:rPr>
          <w:rFonts w:hint="eastAsia" w:ascii="Arial" w:hAnsi="Arial" w:cs="Arial"/>
          <w:b w:val="0"/>
          <w:bCs/>
          <w:color w:val="auto"/>
          <w:spacing w:val="8"/>
          <w:kern w:val="0"/>
          <w:sz w:val="24"/>
          <w:highlight w:val="none"/>
          <w:lang w:val="en-US" w:eastAsia="zh-CN"/>
        </w:rPr>
        <w:t>采购</w:t>
      </w:r>
      <w:r>
        <w:rPr>
          <w:rFonts w:ascii="Arial" w:hAnsi="Arial" w:cs="Arial"/>
          <w:b w:val="0"/>
          <w:bCs/>
          <w:color w:val="auto"/>
          <w:spacing w:val="8"/>
          <w:kern w:val="0"/>
          <w:sz w:val="24"/>
          <w:highlight w:val="none"/>
        </w:rPr>
        <w:t>提出询问，请按以下方式联系</w:t>
      </w:r>
    </w:p>
    <w:p>
      <w:pPr>
        <w:widowControl/>
        <w:shd w:val="clear" w:color="auto" w:fill="FFFFFF" w:themeFill="background1"/>
        <w:spacing w:line="360" w:lineRule="auto"/>
        <w:jc w:val="left"/>
        <w:rPr>
          <w:rFonts w:ascii="Arial" w:hAnsi="Arial" w:cs="Arial"/>
          <w:b w:val="0"/>
          <w:bCs/>
          <w:color w:val="auto"/>
          <w:spacing w:val="8"/>
          <w:kern w:val="0"/>
          <w:sz w:val="24"/>
          <w:highlight w:val="none"/>
        </w:rPr>
      </w:pPr>
      <w:r>
        <w:rPr>
          <w:rFonts w:ascii="Arial" w:hAnsi="Arial" w:cs="Arial"/>
          <w:b w:val="0"/>
          <w:bCs/>
          <w:color w:val="auto"/>
          <w:spacing w:val="8"/>
          <w:kern w:val="0"/>
          <w:sz w:val="24"/>
          <w:highlight w:val="none"/>
        </w:rPr>
        <w:t>　</w:t>
      </w:r>
      <w:bookmarkEnd w:id="4"/>
      <w:r>
        <w:rPr>
          <w:rFonts w:ascii="Arial" w:hAnsi="Arial" w:cs="Arial"/>
          <w:b w:val="0"/>
          <w:bCs/>
          <w:color w:val="auto"/>
          <w:spacing w:val="8"/>
          <w:kern w:val="0"/>
          <w:sz w:val="24"/>
          <w:highlight w:val="none"/>
        </w:rPr>
        <w:t>7.1采购人信息</w:t>
      </w:r>
    </w:p>
    <w:p>
      <w:pPr>
        <w:widowControl/>
        <w:shd w:val="clear" w:color="auto" w:fill="FFFFFF" w:themeFill="background1"/>
        <w:spacing w:line="360" w:lineRule="auto"/>
        <w:jc w:val="left"/>
        <w:rPr>
          <w:rFonts w:ascii="Arial" w:hAnsi="Arial" w:cs="Arial"/>
          <w:b w:val="0"/>
          <w:bCs/>
          <w:color w:val="auto"/>
          <w:spacing w:val="8"/>
          <w:kern w:val="0"/>
          <w:sz w:val="24"/>
          <w:highlight w:val="none"/>
        </w:rPr>
      </w:pPr>
      <w:r>
        <w:rPr>
          <w:rFonts w:ascii="Arial" w:hAnsi="Arial" w:cs="Arial"/>
          <w:b w:val="0"/>
          <w:bCs/>
          <w:color w:val="auto"/>
          <w:spacing w:val="8"/>
          <w:kern w:val="0"/>
          <w:sz w:val="24"/>
          <w:highlight w:val="none"/>
        </w:rPr>
        <w:t>名 称：</w:t>
      </w:r>
      <w:r>
        <w:rPr>
          <w:rFonts w:hint="eastAsia" w:ascii="Arial" w:hAnsi="Arial" w:cs="Arial"/>
          <w:b w:val="0"/>
          <w:bCs/>
          <w:color w:val="auto"/>
          <w:sz w:val="24"/>
          <w:highlight w:val="none"/>
          <w:u w:val="none"/>
          <w:lang w:val="en-US" w:eastAsia="zh-CN"/>
        </w:rPr>
        <w:t>南京市建邺区人民政府兴隆办事处</w:t>
      </w:r>
    </w:p>
    <w:p>
      <w:pPr>
        <w:widowControl/>
        <w:shd w:val="clear" w:color="auto" w:fill="FFFFFF" w:themeFill="background1"/>
        <w:spacing w:line="360" w:lineRule="auto"/>
        <w:jc w:val="left"/>
        <w:rPr>
          <w:rFonts w:hint="eastAsia" w:ascii="Arial" w:hAnsi="Arial" w:eastAsia="宋体" w:cs="Arial"/>
          <w:b w:val="0"/>
          <w:bCs/>
          <w:color w:val="auto"/>
          <w:spacing w:val="8"/>
          <w:kern w:val="0"/>
          <w:sz w:val="24"/>
          <w:highlight w:val="none"/>
          <w:lang w:eastAsia="zh-CN"/>
        </w:rPr>
      </w:pPr>
      <w:r>
        <w:rPr>
          <w:rFonts w:hint="eastAsia" w:ascii="Arial" w:hAnsi="Arial" w:cs="Arial"/>
          <w:b w:val="0"/>
          <w:bCs/>
          <w:color w:val="auto"/>
          <w:spacing w:val="8"/>
          <w:kern w:val="0"/>
          <w:sz w:val="24"/>
          <w:highlight w:val="none"/>
        </w:rPr>
        <w:t>联系人</w:t>
      </w:r>
      <w:r>
        <w:rPr>
          <w:rFonts w:ascii="Arial" w:hAnsi="Arial" w:cs="Arial"/>
          <w:b w:val="0"/>
          <w:bCs/>
          <w:color w:val="auto"/>
          <w:spacing w:val="8"/>
          <w:kern w:val="0"/>
          <w:sz w:val="24"/>
          <w:highlight w:val="none"/>
        </w:rPr>
        <w:t>：</w:t>
      </w:r>
      <w:r>
        <w:rPr>
          <w:rFonts w:hint="eastAsia" w:ascii="Arial" w:hAnsi="Arial" w:cs="Arial"/>
          <w:b w:val="0"/>
          <w:bCs/>
          <w:color w:val="auto"/>
          <w:spacing w:val="8"/>
          <w:kern w:val="0"/>
          <w:sz w:val="24"/>
          <w:highlight w:val="none"/>
          <w:lang w:val="en-US" w:eastAsia="zh-CN"/>
        </w:rPr>
        <w:t>陈科长</w:t>
      </w:r>
    </w:p>
    <w:p>
      <w:pPr>
        <w:widowControl/>
        <w:shd w:val="clear" w:color="auto" w:fill="FFFFFF" w:themeFill="background1"/>
        <w:spacing w:line="360" w:lineRule="auto"/>
        <w:jc w:val="left"/>
        <w:rPr>
          <w:rFonts w:hint="eastAsia" w:ascii="Arial" w:hAnsi="Arial" w:eastAsia="宋体" w:cs="Arial"/>
          <w:b w:val="0"/>
          <w:bCs/>
          <w:color w:val="auto"/>
          <w:spacing w:val="8"/>
          <w:kern w:val="0"/>
          <w:sz w:val="24"/>
          <w:highlight w:val="none"/>
          <w:lang w:val="en-US" w:eastAsia="zh-CN"/>
        </w:rPr>
      </w:pPr>
      <w:r>
        <w:rPr>
          <w:rFonts w:ascii="Arial" w:hAnsi="Arial" w:cs="Arial"/>
          <w:b w:val="0"/>
          <w:bCs/>
          <w:color w:val="auto"/>
          <w:spacing w:val="8"/>
          <w:kern w:val="0"/>
          <w:sz w:val="24"/>
          <w:highlight w:val="none"/>
        </w:rPr>
        <w:t>联系方式：</w:t>
      </w:r>
      <w:r>
        <w:rPr>
          <w:rFonts w:hint="eastAsia" w:ascii="Arial" w:hAnsi="Arial" w:cs="Arial"/>
          <w:b w:val="0"/>
          <w:bCs/>
          <w:color w:val="auto"/>
          <w:spacing w:val="8"/>
          <w:kern w:val="0"/>
          <w:sz w:val="24"/>
          <w:highlight w:val="none"/>
        </w:rPr>
        <w:t>025-51865913</w:t>
      </w:r>
    </w:p>
    <w:p>
      <w:pPr>
        <w:widowControl/>
        <w:shd w:val="clear" w:color="auto" w:fill="FFFFFF" w:themeFill="background1"/>
        <w:spacing w:line="360" w:lineRule="auto"/>
        <w:jc w:val="left"/>
        <w:rPr>
          <w:rFonts w:ascii="Arial" w:hAnsi="Arial" w:cs="Arial"/>
          <w:b w:val="0"/>
          <w:bCs/>
          <w:color w:val="auto"/>
          <w:spacing w:val="8"/>
          <w:kern w:val="0"/>
          <w:sz w:val="24"/>
          <w:highlight w:val="none"/>
        </w:rPr>
      </w:pPr>
      <w:r>
        <w:rPr>
          <w:rFonts w:ascii="Arial" w:hAnsi="Arial" w:cs="Arial"/>
          <w:b w:val="0"/>
          <w:bCs/>
          <w:color w:val="auto"/>
          <w:spacing w:val="8"/>
          <w:kern w:val="0"/>
          <w:sz w:val="24"/>
          <w:highlight w:val="none"/>
        </w:rPr>
        <w:t>7.2采购代理机构信息</w:t>
      </w:r>
    </w:p>
    <w:p>
      <w:pPr>
        <w:widowControl/>
        <w:shd w:val="clear" w:color="auto" w:fill="FFFFFF" w:themeFill="background1"/>
        <w:spacing w:line="360" w:lineRule="auto"/>
        <w:jc w:val="left"/>
        <w:rPr>
          <w:rFonts w:ascii="Arial" w:hAnsi="Arial" w:cs="Arial"/>
          <w:b w:val="0"/>
          <w:bCs/>
          <w:color w:val="auto"/>
          <w:spacing w:val="8"/>
          <w:kern w:val="0"/>
          <w:sz w:val="24"/>
          <w:highlight w:val="none"/>
        </w:rPr>
      </w:pPr>
      <w:r>
        <w:rPr>
          <w:rFonts w:hint="eastAsia" w:ascii="Arial" w:hAnsi="Arial" w:cs="Arial"/>
          <w:b w:val="0"/>
          <w:bCs/>
          <w:color w:val="auto"/>
          <w:spacing w:val="8"/>
          <w:kern w:val="0"/>
          <w:sz w:val="24"/>
          <w:highlight w:val="none"/>
        </w:rPr>
        <w:t>名  称：</w:t>
      </w:r>
      <w:r>
        <w:rPr>
          <w:rFonts w:hint="eastAsia" w:ascii="Arial" w:hAnsi="Arial" w:cs="Arial"/>
          <w:b w:val="0"/>
          <w:bCs/>
          <w:color w:val="auto"/>
          <w:sz w:val="24"/>
          <w:highlight w:val="none"/>
          <w:lang w:val="en-US" w:eastAsia="zh-CN"/>
        </w:rPr>
        <w:t>南京堃正工程项目管理有限公司</w:t>
      </w:r>
    </w:p>
    <w:p>
      <w:pPr>
        <w:widowControl/>
        <w:shd w:val="clear" w:color="auto" w:fill="FFFFFF" w:themeFill="background1"/>
        <w:spacing w:line="360" w:lineRule="auto"/>
        <w:jc w:val="left"/>
        <w:rPr>
          <w:rFonts w:hint="eastAsia" w:ascii="Arial" w:hAnsi="Arial" w:eastAsia="宋体" w:cs="Arial"/>
          <w:b w:val="0"/>
          <w:bCs/>
          <w:color w:val="auto"/>
          <w:spacing w:val="8"/>
          <w:kern w:val="0"/>
          <w:sz w:val="24"/>
          <w:highlight w:val="none"/>
          <w:lang w:eastAsia="zh-CN"/>
        </w:rPr>
      </w:pPr>
      <w:r>
        <w:rPr>
          <w:rFonts w:hint="eastAsia" w:ascii="Arial" w:hAnsi="Arial" w:cs="Arial"/>
          <w:b w:val="0"/>
          <w:bCs/>
          <w:color w:val="auto"/>
          <w:spacing w:val="8"/>
          <w:kern w:val="0"/>
          <w:sz w:val="24"/>
          <w:highlight w:val="none"/>
        </w:rPr>
        <w:t>地　址：</w:t>
      </w:r>
      <w:r>
        <w:rPr>
          <w:rFonts w:hint="eastAsia" w:asciiTheme="minorEastAsia" w:hAnsiTheme="minorEastAsia" w:eastAsiaTheme="minorEastAsia" w:cstheme="minorEastAsia"/>
          <w:b w:val="0"/>
          <w:bCs/>
          <w:color w:val="auto"/>
          <w:spacing w:val="8"/>
          <w:kern w:val="0"/>
          <w:sz w:val="24"/>
          <w:highlight w:val="none"/>
          <w:u w:val="none"/>
          <w:lang w:eastAsia="zh-CN"/>
        </w:rPr>
        <w:t>南京市鼓楼区浦江路26号浦江大厦11楼1102室</w:t>
      </w:r>
    </w:p>
    <w:p>
      <w:pPr>
        <w:widowControl/>
        <w:shd w:val="clear" w:color="auto" w:fill="FFFFFF" w:themeFill="background1"/>
        <w:spacing w:line="360" w:lineRule="auto"/>
        <w:jc w:val="left"/>
        <w:rPr>
          <w:rFonts w:ascii="Arial" w:hAnsi="Arial" w:cs="Arial"/>
          <w:b w:val="0"/>
          <w:bCs/>
          <w:color w:val="auto"/>
          <w:spacing w:val="8"/>
          <w:kern w:val="0"/>
          <w:sz w:val="24"/>
          <w:highlight w:val="none"/>
        </w:rPr>
      </w:pPr>
      <w:r>
        <w:rPr>
          <w:rFonts w:hint="eastAsia" w:ascii="Arial" w:hAnsi="Arial" w:cs="Arial"/>
          <w:b w:val="0"/>
          <w:bCs/>
          <w:color w:val="auto"/>
          <w:spacing w:val="8"/>
          <w:kern w:val="0"/>
          <w:sz w:val="24"/>
          <w:highlight w:val="none"/>
        </w:rPr>
        <w:t>联系方式：</w:t>
      </w:r>
      <w:r>
        <w:rPr>
          <w:rFonts w:hint="eastAsia" w:ascii="Arial" w:hAnsi="Arial" w:cs="Arial"/>
          <w:b w:val="0"/>
          <w:bCs/>
          <w:color w:val="auto"/>
          <w:spacing w:val="8"/>
          <w:kern w:val="0"/>
          <w:sz w:val="24"/>
          <w:highlight w:val="none"/>
          <w:lang w:eastAsia="zh-CN"/>
        </w:rPr>
        <w:t>18361104150</w:t>
      </w:r>
      <w:r>
        <w:rPr>
          <w:rFonts w:hint="eastAsia" w:ascii="Arial" w:hAnsi="Arial" w:cs="Arial"/>
          <w:b w:val="0"/>
          <w:bCs/>
          <w:color w:val="auto"/>
          <w:spacing w:val="8"/>
          <w:kern w:val="0"/>
          <w:sz w:val="24"/>
          <w:highlight w:val="none"/>
        </w:rPr>
        <w:t xml:space="preserve"> </w:t>
      </w:r>
    </w:p>
    <w:p>
      <w:pPr>
        <w:widowControl/>
        <w:shd w:val="clear" w:color="auto" w:fill="FFFFFF" w:themeFill="background1"/>
        <w:spacing w:line="360" w:lineRule="auto"/>
        <w:jc w:val="left"/>
        <w:rPr>
          <w:rFonts w:ascii="Arial" w:hAnsi="Arial" w:cs="Arial"/>
          <w:b w:val="0"/>
          <w:bCs/>
          <w:color w:val="auto"/>
          <w:spacing w:val="8"/>
          <w:kern w:val="0"/>
          <w:sz w:val="24"/>
          <w:highlight w:val="none"/>
        </w:rPr>
      </w:pPr>
      <w:r>
        <w:rPr>
          <w:rFonts w:ascii="Arial" w:hAnsi="Arial" w:cs="Arial"/>
          <w:b w:val="0"/>
          <w:bCs/>
          <w:color w:val="auto"/>
          <w:spacing w:val="8"/>
          <w:kern w:val="0"/>
          <w:sz w:val="24"/>
          <w:highlight w:val="none"/>
        </w:rPr>
        <w:t>7.3项目联系方式</w:t>
      </w:r>
    </w:p>
    <w:p>
      <w:pPr>
        <w:widowControl/>
        <w:shd w:val="clear" w:color="auto" w:fill="FFFFFF" w:themeFill="background1"/>
        <w:spacing w:line="360" w:lineRule="auto"/>
        <w:jc w:val="left"/>
        <w:rPr>
          <w:rFonts w:hint="default" w:ascii="Arial" w:hAnsi="Arial" w:eastAsia="宋体" w:cs="Arial"/>
          <w:b w:val="0"/>
          <w:bCs/>
          <w:color w:val="auto"/>
          <w:spacing w:val="8"/>
          <w:kern w:val="0"/>
          <w:sz w:val="24"/>
          <w:highlight w:val="none"/>
          <w:lang w:val="en-US" w:eastAsia="zh-CN"/>
        </w:rPr>
      </w:pPr>
      <w:r>
        <w:rPr>
          <w:rFonts w:hint="eastAsia" w:ascii="Arial" w:hAnsi="Arial" w:cs="Arial"/>
          <w:b w:val="0"/>
          <w:bCs/>
          <w:color w:val="auto"/>
          <w:spacing w:val="8"/>
          <w:kern w:val="0"/>
          <w:sz w:val="24"/>
          <w:highlight w:val="none"/>
        </w:rPr>
        <w:t>项目联系人：</w:t>
      </w:r>
      <w:r>
        <w:rPr>
          <w:rFonts w:hint="eastAsia" w:ascii="Arial" w:hAnsi="Arial" w:cs="Arial"/>
          <w:b w:val="0"/>
          <w:bCs/>
          <w:color w:val="auto"/>
          <w:spacing w:val="8"/>
          <w:kern w:val="0"/>
          <w:sz w:val="24"/>
          <w:highlight w:val="none"/>
          <w:lang w:val="en-US" w:eastAsia="zh-CN"/>
        </w:rPr>
        <w:t>陆工</w:t>
      </w:r>
    </w:p>
    <w:p>
      <w:pPr>
        <w:widowControl/>
        <w:shd w:val="clear" w:color="auto" w:fill="FFFFFF" w:themeFill="background1"/>
        <w:spacing w:line="360" w:lineRule="auto"/>
        <w:jc w:val="left"/>
        <w:rPr>
          <w:rFonts w:hint="eastAsia" w:ascii="Arial" w:hAnsi="Arial" w:eastAsia="宋体" w:cs="Arial"/>
          <w:b w:val="0"/>
          <w:bCs/>
          <w:color w:val="auto"/>
          <w:spacing w:val="8"/>
          <w:kern w:val="0"/>
          <w:sz w:val="24"/>
          <w:highlight w:val="none"/>
          <w:lang w:eastAsia="zh-CN"/>
        </w:rPr>
      </w:pPr>
      <w:r>
        <w:rPr>
          <w:rFonts w:hint="eastAsia" w:ascii="Arial" w:hAnsi="Arial" w:cs="Arial"/>
          <w:b w:val="0"/>
          <w:bCs/>
          <w:color w:val="auto"/>
          <w:spacing w:val="8"/>
          <w:kern w:val="0"/>
          <w:sz w:val="24"/>
          <w:highlight w:val="none"/>
        </w:rPr>
        <w:t>电　 话：</w:t>
      </w:r>
      <w:r>
        <w:rPr>
          <w:rFonts w:hint="eastAsia" w:ascii="Arial" w:hAnsi="Arial" w:cs="Arial"/>
          <w:b w:val="0"/>
          <w:bCs/>
          <w:color w:val="auto"/>
          <w:spacing w:val="8"/>
          <w:kern w:val="0"/>
          <w:sz w:val="24"/>
          <w:highlight w:val="none"/>
          <w:lang w:eastAsia="zh-CN"/>
        </w:rPr>
        <w:t>18361104150</w:t>
      </w:r>
    </w:p>
    <w:p>
      <w:pPr>
        <w:widowControl/>
        <w:shd w:val="clear" w:color="auto" w:fill="FFFFFF" w:themeFill="background1"/>
        <w:spacing w:line="360" w:lineRule="auto"/>
        <w:jc w:val="left"/>
        <w:rPr>
          <w:rFonts w:hint="eastAsia" w:ascii="Arial" w:hAnsi="Arial" w:eastAsia="宋体" w:cs="Arial"/>
          <w:b w:val="0"/>
          <w:bCs/>
          <w:color w:val="auto"/>
          <w:spacing w:val="8"/>
          <w:kern w:val="0"/>
          <w:sz w:val="24"/>
          <w:highlight w:val="none"/>
          <w:lang w:eastAsia="zh-CN"/>
        </w:rPr>
      </w:pPr>
      <w:r>
        <w:rPr>
          <w:rFonts w:hint="eastAsia" w:ascii="Arial" w:hAnsi="Arial" w:cs="Arial"/>
          <w:b w:val="0"/>
          <w:bCs/>
          <w:color w:val="auto"/>
          <w:spacing w:val="8"/>
          <w:kern w:val="0"/>
          <w:sz w:val="24"/>
          <w:highlight w:val="none"/>
        </w:rPr>
        <w:t>邮   件：</w:t>
      </w:r>
      <w:r>
        <w:rPr>
          <w:rFonts w:hint="eastAsia" w:ascii="Arial" w:hAnsi="Arial" w:cs="Arial"/>
          <w:b w:val="0"/>
          <w:bCs/>
          <w:color w:val="auto"/>
          <w:spacing w:val="8"/>
          <w:kern w:val="0"/>
          <w:sz w:val="24"/>
          <w:highlight w:val="none"/>
          <w:lang w:eastAsia="zh-CN"/>
        </w:rPr>
        <w:t>1457292900@qq.com</w:t>
      </w:r>
    </w:p>
    <w:p>
      <w:pPr>
        <w:widowControl/>
        <w:shd w:val="clear" w:color="auto" w:fill="FFFFFF" w:themeFill="background1"/>
        <w:spacing w:line="360" w:lineRule="auto"/>
        <w:jc w:val="center"/>
        <w:rPr>
          <w:rFonts w:ascii="Arial" w:cs="Arial"/>
          <w:b w:val="0"/>
          <w:bCs/>
          <w:color w:val="auto"/>
          <w:sz w:val="24"/>
          <w:highlight w:val="none"/>
        </w:rPr>
      </w:pPr>
    </w:p>
    <w:p>
      <w:pPr>
        <w:rPr>
          <w:highlight w:val="none"/>
        </w:rPr>
      </w:pPr>
    </w:p>
    <w:p>
      <w:pPr>
        <w:pStyle w:val="6"/>
        <w:rPr>
          <w:highlight w:val="none"/>
        </w:rPr>
      </w:pPr>
    </w:p>
    <w:p>
      <w:pPr>
        <w:rPr>
          <w:highlight w:val="none"/>
        </w:rPr>
      </w:pPr>
    </w:p>
    <w:p>
      <w:pPr>
        <w:pStyle w:val="3"/>
        <w:numPr>
          <w:ilvl w:val="0"/>
          <w:numId w:val="0"/>
        </w:numPr>
        <w:rPr>
          <w:rFonts w:ascii="Arial" w:hAnsi="Arial" w:cs="Arial"/>
          <w:highlight w:val="none"/>
        </w:rPr>
      </w:pPr>
      <w:r>
        <w:rPr>
          <w:rFonts w:ascii="Arial" w:cs="Arial"/>
          <w:highlight w:val="none"/>
        </w:rPr>
        <w:t>第二章</w:t>
      </w:r>
      <w:bookmarkStart w:id="6" w:name="_Toc452625218"/>
      <w:r>
        <w:rPr>
          <w:rFonts w:ascii="Arial" w:hAnsi="Arial" w:cs="Arial"/>
          <w:highlight w:val="none"/>
        </w:rPr>
        <w:t xml:space="preserve"> </w:t>
      </w:r>
      <w:r>
        <w:rPr>
          <w:rFonts w:hint="eastAsia" w:ascii="Arial" w:cs="Arial"/>
          <w:highlight w:val="none"/>
          <w:lang w:eastAsia="zh-CN"/>
        </w:rPr>
        <w:t>供应商</w:t>
      </w:r>
      <w:r>
        <w:rPr>
          <w:rFonts w:ascii="Arial" w:cs="Arial"/>
          <w:highlight w:val="none"/>
        </w:rPr>
        <w:t>须知</w:t>
      </w:r>
      <w:bookmarkEnd w:id="5"/>
      <w:bookmarkEnd w:id="6"/>
    </w:p>
    <w:p>
      <w:pPr>
        <w:widowControl/>
        <w:shd w:val="clear" w:color="auto" w:fill="FFFFFF"/>
        <w:spacing w:line="360" w:lineRule="auto"/>
        <w:ind w:firstLine="424" w:firstLineChars="201"/>
        <w:rPr>
          <w:rFonts w:ascii="Arial" w:hAnsi="Arial" w:cs="Arial"/>
          <w:kern w:val="0"/>
          <w:szCs w:val="21"/>
          <w:highlight w:val="none"/>
        </w:rPr>
      </w:pPr>
      <w:r>
        <w:rPr>
          <w:rFonts w:ascii="Arial" w:hAnsi="宋体" w:cs="Arial"/>
          <w:b/>
          <w:bCs/>
          <w:kern w:val="0"/>
          <w:szCs w:val="21"/>
          <w:highlight w:val="none"/>
        </w:rPr>
        <w:t>一、总</w:t>
      </w:r>
      <w:r>
        <w:rPr>
          <w:rFonts w:ascii="Arial" w:hAnsi="Arial" w:cs="Arial"/>
          <w:b/>
          <w:bCs/>
          <w:kern w:val="0"/>
          <w:szCs w:val="21"/>
          <w:highlight w:val="none"/>
        </w:rPr>
        <w:t xml:space="preserve"> </w:t>
      </w:r>
      <w:r>
        <w:rPr>
          <w:rFonts w:ascii="Arial" w:hAnsi="宋体" w:cs="Arial"/>
          <w:b/>
          <w:bCs/>
          <w:kern w:val="0"/>
          <w:szCs w:val="21"/>
          <w:highlight w:val="none"/>
        </w:rPr>
        <w:t>则</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1</w:t>
      </w:r>
      <w:r>
        <w:rPr>
          <w:rFonts w:ascii="Arial" w:hAnsi="宋体" w:cs="Arial"/>
          <w:b/>
          <w:bCs/>
          <w:kern w:val="0"/>
          <w:szCs w:val="21"/>
          <w:highlight w:val="none"/>
        </w:rPr>
        <w:t>、适用法律</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1.1</w:t>
      </w:r>
      <w:r>
        <w:rPr>
          <w:rFonts w:ascii="Arial" w:hAnsi="宋体" w:cs="Arial"/>
          <w:kern w:val="0"/>
          <w:szCs w:val="21"/>
          <w:highlight w:val="none"/>
        </w:rPr>
        <w:t>本次招标适用《中华人民共和国政府采购法》（以下简称政府采购法）、《中华人民共和国政府采购法实施条例》（以下简称政府采购法实施条例）、《政府采购货物和服务招标投标管理办法》等法律、行政法规、部门规章和规范性文件。</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2</w:t>
      </w:r>
      <w:r>
        <w:rPr>
          <w:rFonts w:ascii="Arial" w:hAnsi="宋体" w:cs="Arial"/>
          <w:b/>
          <w:bCs/>
          <w:kern w:val="0"/>
          <w:szCs w:val="21"/>
          <w:highlight w:val="none"/>
        </w:rPr>
        <w:t>、定义</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2.1“</w:t>
      </w:r>
      <w:r>
        <w:rPr>
          <w:rFonts w:ascii="Arial" w:hAnsi="宋体" w:cs="Arial"/>
          <w:kern w:val="0"/>
          <w:szCs w:val="21"/>
          <w:highlight w:val="none"/>
        </w:rPr>
        <w:t>招标人（采购人）</w:t>
      </w:r>
      <w:r>
        <w:rPr>
          <w:rFonts w:ascii="Arial" w:hAnsi="Arial" w:cs="Arial"/>
          <w:kern w:val="0"/>
          <w:szCs w:val="21"/>
          <w:highlight w:val="none"/>
        </w:rPr>
        <w:t>”</w:t>
      </w:r>
      <w:r>
        <w:rPr>
          <w:rFonts w:ascii="Arial" w:hAnsi="宋体" w:cs="Arial"/>
          <w:kern w:val="0"/>
          <w:szCs w:val="21"/>
          <w:highlight w:val="none"/>
        </w:rPr>
        <w:t>是指依法进行政府采购的国家机关、事业单位、团体组织。</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2.2“</w:t>
      </w:r>
      <w:r>
        <w:rPr>
          <w:rFonts w:hint="eastAsia" w:ascii="Arial" w:hAnsi="宋体" w:cs="Arial"/>
          <w:kern w:val="0"/>
          <w:szCs w:val="21"/>
          <w:highlight w:val="none"/>
          <w:lang w:eastAsia="zh-CN"/>
        </w:rPr>
        <w:t>供应商</w:t>
      </w:r>
      <w:r>
        <w:rPr>
          <w:rFonts w:ascii="Arial" w:hAnsi="宋体" w:cs="Arial"/>
          <w:kern w:val="0"/>
          <w:szCs w:val="21"/>
          <w:highlight w:val="none"/>
        </w:rPr>
        <w:t>（供应商）</w:t>
      </w:r>
      <w:r>
        <w:rPr>
          <w:rFonts w:ascii="Arial" w:hAnsi="Arial" w:cs="Arial"/>
          <w:kern w:val="0"/>
          <w:szCs w:val="21"/>
          <w:highlight w:val="none"/>
        </w:rPr>
        <w:t>”</w:t>
      </w:r>
      <w:r>
        <w:rPr>
          <w:rFonts w:ascii="Arial" w:hAnsi="宋体" w:cs="Arial"/>
          <w:kern w:val="0"/>
          <w:szCs w:val="21"/>
          <w:highlight w:val="none"/>
        </w:rPr>
        <w:t>是指参加投标竞争，并符合招标文件规定资格条件的法人、其他组织或者自然人。</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2.3“</w:t>
      </w:r>
      <w:r>
        <w:rPr>
          <w:rFonts w:ascii="Arial" w:hAnsi="宋体" w:cs="Arial"/>
          <w:kern w:val="0"/>
          <w:szCs w:val="21"/>
          <w:highlight w:val="none"/>
        </w:rPr>
        <w:t>招标代理机构（采购代理机构）</w:t>
      </w:r>
      <w:r>
        <w:rPr>
          <w:rFonts w:ascii="Arial" w:hAnsi="Arial" w:cs="Arial"/>
          <w:kern w:val="0"/>
          <w:szCs w:val="21"/>
          <w:highlight w:val="none"/>
        </w:rPr>
        <w:t>”</w:t>
      </w:r>
      <w:r>
        <w:rPr>
          <w:rFonts w:ascii="Arial" w:hAnsi="宋体" w:cs="Arial"/>
          <w:kern w:val="0"/>
          <w:szCs w:val="21"/>
          <w:highlight w:val="none"/>
        </w:rPr>
        <w:t>是指集中采购机构和集中采购机构以外的采购代理机构，集中采购机构以外的招标</w:t>
      </w:r>
      <w:r>
        <w:rPr>
          <w:rFonts w:hint="eastAsia" w:ascii="Arial" w:hAnsi="宋体" w:cs="Arial"/>
          <w:kern w:val="0"/>
          <w:szCs w:val="21"/>
          <w:highlight w:val="none"/>
        </w:rPr>
        <w:t>（</w:t>
      </w:r>
      <w:r>
        <w:rPr>
          <w:rFonts w:ascii="Arial" w:hAnsi="宋体" w:cs="Arial"/>
          <w:kern w:val="0"/>
          <w:szCs w:val="21"/>
          <w:highlight w:val="none"/>
        </w:rPr>
        <w:t>采购</w:t>
      </w:r>
      <w:r>
        <w:rPr>
          <w:rFonts w:hint="eastAsia" w:ascii="Arial" w:hAnsi="宋体" w:cs="Arial"/>
          <w:kern w:val="0"/>
          <w:szCs w:val="21"/>
          <w:highlight w:val="none"/>
        </w:rPr>
        <w:t>）</w:t>
      </w:r>
      <w:r>
        <w:rPr>
          <w:rFonts w:ascii="Arial" w:hAnsi="宋体" w:cs="Arial"/>
          <w:kern w:val="0"/>
          <w:szCs w:val="21"/>
          <w:highlight w:val="none"/>
        </w:rPr>
        <w:t>代理机构，是从事招标</w:t>
      </w:r>
      <w:r>
        <w:rPr>
          <w:rFonts w:hint="eastAsia" w:ascii="Arial" w:hAnsi="宋体" w:cs="Arial"/>
          <w:kern w:val="0"/>
          <w:szCs w:val="21"/>
          <w:highlight w:val="none"/>
        </w:rPr>
        <w:t>（</w:t>
      </w:r>
      <w:r>
        <w:rPr>
          <w:rFonts w:ascii="Arial" w:hAnsi="宋体" w:cs="Arial"/>
          <w:kern w:val="0"/>
          <w:szCs w:val="21"/>
          <w:highlight w:val="none"/>
        </w:rPr>
        <w:t>采购</w:t>
      </w:r>
      <w:r>
        <w:rPr>
          <w:rFonts w:hint="eastAsia" w:ascii="Arial" w:hAnsi="宋体" w:cs="Arial"/>
          <w:kern w:val="0"/>
          <w:szCs w:val="21"/>
          <w:highlight w:val="none"/>
        </w:rPr>
        <w:t>）</w:t>
      </w:r>
      <w:r>
        <w:rPr>
          <w:rFonts w:ascii="Arial" w:hAnsi="宋体" w:cs="Arial"/>
          <w:kern w:val="0"/>
          <w:szCs w:val="21"/>
          <w:highlight w:val="none"/>
        </w:rPr>
        <w:t>代理业务的社会中介机构。</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2.4“</w:t>
      </w:r>
      <w:r>
        <w:rPr>
          <w:rFonts w:ascii="Arial" w:hAnsi="宋体" w:cs="Arial"/>
          <w:kern w:val="0"/>
          <w:szCs w:val="21"/>
          <w:highlight w:val="none"/>
        </w:rPr>
        <w:t>货物和服务</w:t>
      </w:r>
      <w:r>
        <w:rPr>
          <w:rFonts w:ascii="Arial" w:hAnsi="Arial" w:cs="Arial"/>
          <w:kern w:val="0"/>
          <w:szCs w:val="21"/>
          <w:highlight w:val="none"/>
        </w:rPr>
        <w:t>”</w:t>
      </w:r>
      <w:r>
        <w:rPr>
          <w:rFonts w:ascii="Arial" w:hAnsi="宋体" w:cs="Arial"/>
          <w:kern w:val="0"/>
          <w:szCs w:val="21"/>
          <w:highlight w:val="none"/>
        </w:rPr>
        <w:t>指本招标文件中所述</w:t>
      </w:r>
      <w:r>
        <w:rPr>
          <w:rFonts w:ascii="Arial" w:hAnsi="宋体" w:cs="Arial"/>
          <w:bCs/>
          <w:kern w:val="0"/>
          <w:szCs w:val="21"/>
          <w:highlight w:val="none"/>
        </w:rPr>
        <w:t>产品</w:t>
      </w:r>
      <w:r>
        <w:rPr>
          <w:rFonts w:ascii="Arial" w:hAnsi="宋体" w:cs="Arial"/>
          <w:kern w:val="0"/>
          <w:szCs w:val="21"/>
          <w:highlight w:val="none"/>
        </w:rPr>
        <w:t>及相关服务。</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2.5“</w:t>
      </w:r>
      <w:r>
        <w:rPr>
          <w:rFonts w:ascii="Arial" w:hAnsi="宋体" w:cs="Arial"/>
          <w:kern w:val="0"/>
          <w:szCs w:val="21"/>
          <w:highlight w:val="none"/>
        </w:rPr>
        <w:t>用户或使用单位</w:t>
      </w:r>
      <w:r>
        <w:rPr>
          <w:rFonts w:ascii="Arial" w:hAnsi="Arial" w:cs="Arial"/>
          <w:kern w:val="0"/>
          <w:szCs w:val="21"/>
          <w:highlight w:val="none"/>
        </w:rPr>
        <w:t>”</w:t>
      </w:r>
      <w:r>
        <w:rPr>
          <w:rFonts w:ascii="Arial" w:hAnsi="宋体" w:cs="Arial"/>
          <w:kern w:val="0"/>
          <w:szCs w:val="21"/>
          <w:highlight w:val="none"/>
        </w:rPr>
        <w:t>是指使用货物，接受服务的单位。</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3</w:t>
      </w:r>
      <w:r>
        <w:rPr>
          <w:rFonts w:ascii="Arial" w:hAnsi="宋体" w:cs="Arial"/>
          <w:b/>
          <w:bCs/>
          <w:kern w:val="0"/>
          <w:szCs w:val="21"/>
          <w:highlight w:val="none"/>
        </w:rPr>
        <w:t>、政策功能</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3.1</w:t>
      </w:r>
      <w:r>
        <w:rPr>
          <w:rFonts w:ascii="Arial" w:hAnsi="宋体" w:cs="Arial"/>
          <w:kern w:val="0"/>
          <w:szCs w:val="21"/>
          <w:highlight w:val="none"/>
        </w:rPr>
        <w:t>中小企业政策</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1</w:t>
      </w:r>
      <w:r>
        <w:rPr>
          <w:rFonts w:ascii="Arial" w:hAnsi="宋体" w:cs="Arial"/>
          <w:kern w:val="0"/>
          <w:szCs w:val="21"/>
          <w:highlight w:val="none"/>
        </w:rPr>
        <w:t>）中小企业应当符合《政府采购促进中小企业发展暂行办法》（财库〔</w:t>
      </w:r>
      <w:r>
        <w:rPr>
          <w:rFonts w:ascii="Arial" w:hAnsi="Arial" w:cs="Arial"/>
          <w:kern w:val="0"/>
          <w:szCs w:val="21"/>
          <w:highlight w:val="none"/>
        </w:rPr>
        <w:t>2011</w:t>
      </w:r>
      <w:r>
        <w:rPr>
          <w:rFonts w:ascii="Arial" w:hAnsi="宋体" w:cs="Arial"/>
          <w:kern w:val="0"/>
          <w:szCs w:val="21"/>
          <w:highlight w:val="none"/>
        </w:rPr>
        <w:t>〕</w:t>
      </w:r>
      <w:r>
        <w:rPr>
          <w:rFonts w:ascii="Arial" w:hAnsi="Arial" w:cs="Arial"/>
          <w:kern w:val="0"/>
          <w:szCs w:val="21"/>
          <w:highlight w:val="none"/>
        </w:rPr>
        <w:t>181</w:t>
      </w:r>
      <w:r>
        <w:rPr>
          <w:rFonts w:ascii="Arial" w:hAnsi="宋体" w:cs="Arial"/>
          <w:kern w:val="0"/>
          <w:szCs w:val="21"/>
          <w:highlight w:val="none"/>
        </w:rPr>
        <w:t>号）第二条、《关于政府采购支持监狱企业发展有关问题的通知》（财库〔</w:t>
      </w:r>
      <w:r>
        <w:rPr>
          <w:rFonts w:ascii="Arial" w:hAnsi="Arial" w:cs="Arial"/>
          <w:kern w:val="0"/>
          <w:szCs w:val="21"/>
          <w:highlight w:val="none"/>
        </w:rPr>
        <w:t>2014</w:t>
      </w:r>
      <w:r>
        <w:rPr>
          <w:rFonts w:ascii="Arial" w:hAnsi="宋体" w:cs="Arial"/>
          <w:kern w:val="0"/>
          <w:szCs w:val="21"/>
          <w:highlight w:val="none"/>
        </w:rPr>
        <w:t>〕</w:t>
      </w:r>
      <w:r>
        <w:rPr>
          <w:rFonts w:ascii="Arial" w:hAnsi="Arial" w:cs="Arial"/>
          <w:kern w:val="0"/>
          <w:szCs w:val="21"/>
          <w:highlight w:val="none"/>
        </w:rPr>
        <w:t>68</w:t>
      </w:r>
      <w:r>
        <w:rPr>
          <w:rFonts w:ascii="Arial" w:hAnsi="宋体" w:cs="Arial"/>
          <w:kern w:val="0"/>
          <w:szCs w:val="21"/>
          <w:highlight w:val="none"/>
        </w:rPr>
        <w:t>号）第一条或《关于促进残疾人就业政府采购政策的通知》（财库〔</w:t>
      </w:r>
      <w:r>
        <w:rPr>
          <w:rFonts w:ascii="Arial" w:hAnsi="Arial" w:cs="Arial"/>
          <w:kern w:val="0"/>
          <w:szCs w:val="21"/>
          <w:highlight w:val="none"/>
        </w:rPr>
        <w:t>2017</w:t>
      </w:r>
      <w:r>
        <w:rPr>
          <w:rFonts w:ascii="Arial" w:hAnsi="宋体" w:cs="Arial"/>
          <w:kern w:val="0"/>
          <w:szCs w:val="21"/>
          <w:highlight w:val="none"/>
        </w:rPr>
        <w:t>〕</w:t>
      </w:r>
      <w:r>
        <w:rPr>
          <w:rFonts w:ascii="Arial" w:hAnsi="Arial" w:cs="Arial"/>
          <w:kern w:val="0"/>
          <w:szCs w:val="21"/>
          <w:highlight w:val="none"/>
        </w:rPr>
        <w:t>141</w:t>
      </w:r>
      <w:r>
        <w:rPr>
          <w:rFonts w:ascii="Arial" w:hAnsi="宋体" w:cs="Arial"/>
          <w:kern w:val="0"/>
          <w:szCs w:val="21"/>
          <w:highlight w:val="none"/>
        </w:rPr>
        <w:t>号）第一条的规定。</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2</w:t>
      </w:r>
      <w:r>
        <w:rPr>
          <w:rFonts w:ascii="Arial" w:hAnsi="宋体" w:cs="Arial"/>
          <w:kern w:val="0"/>
          <w:szCs w:val="21"/>
          <w:highlight w:val="none"/>
        </w:rPr>
        <w:t>）对于专门面向中小企业或小型、微型企业的项目，只面向中小企业或小型、微型企业采购。对于非专门面向中小企业的项目，对小型和微型企业产品的价格给予</w:t>
      </w:r>
      <w:r>
        <w:rPr>
          <w:rFonts w:ascii="Arial" w:hAnsi="Arial" w:cs="Arial"/>
          <w:kern w:val="0"/>
          <w:szCs w:val="21"/>
          <w:highlight w:val="none"/>
        </w:rPr>
        <w:t>10%</w:t>
      </w:r>
      <w:r>
        <w:rPr>
          <w:rFonts w:ascii="Arial" w:hAnsi="宋体" w:cs="Arial"/>
          <w:kern w:val="0"/>
          <w:szCs w:val="21"/>
          <w:highlight w:val="none"/>
        </w:rPr>
        <w:t>的扣除，用扣除后的价格参与评审。</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3</w:t>
      </w:r>
      <w:r>
        <w:rPr>
          <w:rFonts w:ascii="Arial" w:hAnsi="宋体" w:cs="Arial"/>
          <w:kern w:val="0"/>
          <w:szCs w:val="21"/>
          <w:highlight w:val="none"/>
        </w:rPr>
        <w:t>）参加政府采购活动的中小企业应当提供《中小企业声明函》、由省级以上监狱管理局戒毒管理局</w:t>
      </w:r>
      <w:r>
        <w:rPr>
          <w:rFonts w:hint="eastAsia" w:ascii="Arial" w:hAnsi="Arial" w:cs="Arial"/>
          <w:kern w:val="0"/>
          <w:szCs w:val="21"/>
          <w:highlight w:val="none"/>
        </w:rPr>
        <w:t>（</w:t>
      </w:r>
      <w:r>
        <w:rPr>
          <w:rFonts w:ascii="Arial" w:hAnsi="宋体" w:cs="Arial"/>
          <w:kern w:val="0"/>
          <w:szCs w:val="21"/>
          <w:highlight w:val="none"/>
        </w:rPr>
        <w:t>含新疆生产建设兵团</w:t>
      </w:r>
      <w:r>
        <w:rPr>
          <w:rFonts w:hint="eastAsia" w:ascii="Arial" w:hAnsi="Arial" w:cs="Arial"/>
          <w:kern w:val="0"/>
          <w:szCs w:val="21"/>
          <w:highlight w:val="none"/>
        </w:rPr>
        <w:t>）</w:t>
      </w:r>
      <w:r>
        <w:rPr>
          <w:rFonts w:ascii="Arial" w:hAnsi="宋体" w:cs="Arial"/>
          <w:kern w:val="0"/>
          <w:szCs w:val="21"/>
          <w:highlight w:val="none"/>
        </w:rPr>
        <w:t>出具的属于监狱企业的证明文件或《残疾人福利性单位声明函》。</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4</w:t>
      </w:r>
      <w:r>
        <w:rPr>
          <w:rFonts w:ascii="Arial" w:hAnsi="宋体" w:cs="Arial"/>
          <w:kern w:val="0"/>
          <w:szCs w:val="21"/>
          <w:highlight w:val="none"/>
        </w:rPr>
        <w:t>）对于接受</w:t>
      </w:r>
      <w:r>
        <w:rPr>
          <w:rFonts w:hint="eastAsia" w:ascii="Arial" w:hAnsi="宋体" w:cs="Arial"/>
          <w:kern w:val="0"/>
          <w:szCs w:val="21"/>
          <w:highlight w:val="none"/>
          <w:lang w:eastAsia="zh-CN"/>
        </w:rPr>
        <w:t>供应商</w:t>
      </w:r>
      <w:r>
        <w:rPr>
          <w:rFonts w:ascii="Arial" w:hAnsi="宋体" w:cs="Arial"/>
          <w:kern w:val="0"/>
          <w:szCs w:val="21"/>
          <w:highlight w:val="none"/>
        </w:rPr>
        <w:t>以联合体形式参加采购活动的项目，小型、微型企业联合体应当符合《政府采购促进中小企业发展暂行办法》（财库〔</w:t>
      </w:r>
      <w:r>
        <w:rPr>
          <w:rFonts w:ascii="Arial" w:hAnsi="Arial" w:cs="Arial"/>
          <w:kern w:val="0"/>
          <w:szCs w:val="21"/>
          <w:highlight w:val="none"/>
        </w:rPr>
        <w:t>2011</w:t>
      </w:r>
      <w:r>
        <w:rPr>
          <w:rFonts w:ascii="Arial" w:hAnsi="宋体" w:cs="Arial"/>
          <w:kern w:val="0"/>
          <w:szCs w:val="21"/>
          <w:highlight w:val="none"/>
        </w:rPr>
        <w:t>〕</w:t>
      </w:r>
      <w:r>
        <w:rPr>
          <w:rFonts w:ascii="Arial" w:hAnsi="Arial" w:cs="Arial"/>
          <w:kern w:val="0"/>
          <w:szCs w:val="21"/>
          <w:highlight w:val="none"/>
        </w:rPr>
        <w:t>181</w:t>
      </w:r>
      <w:r>
        <w:rPr>
          <w:rFonts w:ascii="Arial" w:hAnsi="宋体" w:cs="Arial"/>
          <w:kern w:val="0"/>
          <w:szCs w:val="21"/>
          <w:highlight w:val="none"/>
        </w:rPr>
        <w:t>号）第六条的规定。联合协议中约定，小型、微型企业的协议合同金额占到联合体协议合同总金额</w:t>
      </w:r>
      <w:r>
        <w:rPr>
          <w:rFonts w:ascii="Arial" w:hAnsi="Arial" w:cs="Arial"/>
          <w:kern w:val="0"/>
          <w:szCs w:val="21"/>
          <w:highlight w:val="none"/>
        </w:rPr>
        <w:t>30%</w:t>
      </w:r>
      <w:r>
        <w:rPr>
          <w:rFonts w:ascii="Arial" w:hAnsi="宋体" w:cs="Arial"/>
          <w:kern w:val="0"/>
          <w:szCs w:val="21"/>
          <w:highlight w:val="none"/>
        </w:rPr>
        <w:t>以上的，给予联合体</w:t>
      </w:r>
      <w:r>
        <w:rPr>
          <w:rFonts w:ascii="Arial" w:hAnsi="Arial" w:cs="Arial"/>
          <w:kern w:val="0"/>
          <w:szCs w:val="21"/>
          <w:highlight w:val="none"/>
        </w:rPr>
        <w:t>2%</w:t>
      </w:r>
      <w:r>
        <w:rPr>
          <w:rFonts w:ascii="Arial" w:hAnsi="宋体" w:cs="Arial"/>
          <w:kern w:val="0"/>
          <w:szCs w:val="21"/>
          <w:highlight w:val="none"/>
        </w:rPr>
        <w:t>的价格扣除。联合体各方均为小型、微型企业的，联合体视同为小型、微型企业给予</w:t>
      </w:r>
      <w:r>
        <w:rPr>
          <w:rFonts w:ascii="Arial" w:hAnsi="Arial" w:cs="Arial"/>
          <w:kern w:val="0"/>
          <w:szCs w:val="21"/>
          <w:highlight w:val="none"/>
        </w:rPr>
        <w:t>10%</w:t>
      </w:r>
      <w:r>
        <w:rPr>
          <w:rFonts w:ascii="Arial" w:hAnsi="宋体" w:cs="Arial"/>
          <w:kern w:val="0"/>
          <w:szCs w:val="21"/>
          <w:highlight w:val="none"/>
        </w:rPr>
        <w:t>价格扣除。组成联合体的大中型企业和其他自然人、法人或者其他组织，与小型、微型企业之间不得存在投资关系。</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5</w:t>
      </w:r>
      <w:r>
        <w:rPr>
          <w:rFonts w:ascii="Arial" w:hAnsi="宋体" w:cs="Arial"/>
          <w:kern w:val="0"/>
          <w:szCs w:val="21"/>
          <w:highlight w:val="none"/>
        </w:rPr>
        <w:t>）中小企业依据《政府采购促进中小企业发展暂行办法》（财库〔</w:t>
      </w:r>
      <w:r>
        <w:rPr>
          <w:rFonts w:ascii="Arial" w:hAnsi="Arial" w:cs="Arial"/>
          <w:kern w:val="0"/>
          <w:szCs w:val="21"/>
          <w:highlight w:val="none"/>
        </w:rPr>
        <w:t>2011</w:t>
      </w:r>
      <w:r>
        <w:rPr>
          <w:rFonts w:ascii="Arial" w:hAnsi="宋体" w:cs="Arial"/>
          <w:kern w:val="0"/>
          <w:szCs w:val="21"/>
          <w:highlight w:val="none"/>
        </w:rPr>
        <w:t>〕</w:t>
      </w:r>
      <w:r>
        <w:rPr>
          <w:rFonts w:ascii="Arial" w:hAnsi="Arial" w:cs="Arial"/>
          <w:kern w:val="0"/>
          <w:szCs w:val="21"/>
          <w:highlight w:val="none"/>
        </w:rPr>
        <w:t>181</w:t>
      </w:r>
      <w:r>
        <w:rPr>
          <w:rFonts w:ascii="Arial" w:hAnsi="宋体" w:cs="Arial"/>
          <w:kern w:val="0"/>
          <w:szCs w:val="21"/>
          <w:highlight w:val="none"/>
        </w:rPr>
        <w:t>号）规定的政策获取政府采购合同后，小型、微型企业不得分包或转包给大型、中型企业，中型企业不得分包或转包给大型企业。</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3.2</w:t>
      </w:r>
      <w:r>
        <w:rPr>
          <w:rFonts w:ascii="Arial" w:hAnsi="宋体" w:cs="Arial"/>
          <w:kern w:val="0"/>
          <w:szCs w:val="21"/>
          <w:highlight w:val="none"/>
        </w:rPr>
        <w:t>节能产品、环境标志产品政策</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1</w:t>
      </w:r>
      <w:r>
        <w:rPr>
          <w:rFonts w:ascii="Arial" w:hAnsi="宋体" w:cs="Arial"/>
          <w:kern w:val="0"/>
          <w:szCs w:val="21"/>
          <w:highlight w:val="none"/>
        </w:rPr>
        <w:t>）政府采购节能产品、环境标志产品实施品目清单管理。</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2</w:t>
      </w:r>
      <w:r>
        <w:rPr>
          <w:rFonts w:ascii="Arial" w:hAnsi="宋体" w:cs="Arial"/>
          <w:kern w:val="0"/>
          <w:szCs w:val="21"/>
          <w:highlight w:val="none"/>
        </w:rPr>
        <w:t>）拟采购产品属于节能产品、环境标志产品品目清单规定必须强制采购的，实行强制采购。</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3</w:t>
      </w:r>
      <w:r>
        <w:rPr>
          <w:rFonts w:ascii="Arial" w:hAnsi="宋体" w:cs="Arial"/>
          <w:kern w:val="0"/>
          <w:szCs w:val="21"/>
          <w:highlight w:val="none"/>
        </w:rPr>
        <w:t>）拟采购产品属于节能产品、环境标志产品品目清单规定优先采购的，在性能、技术、服务等指标同等条件下，实行优先采购，优先采购的评审标准详见本招标文件第三章。</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4</w:t>
      </w:r>
      <w:r>
        <w:rPr>
          <w:rFonts w:ascii="Arial" w:hAnsi="宋体" w:cs="Arial"/>
          <w:kern w:val="0"/>
          <w:szCs w:val="21"/>
          <w:highlight w:val="none"/>
        </w:rPr>
        <w:t>）参加政府采购活动的节能产品、环境标志产品</w:t>
      </w:r>
      <w:r>
        <w:rPr>
          <w:rFonts w:hint="eastAsia" w:ascii="Arial" w:hAnsi="宋体" w:cs="Arial"/>
          <w:kern w:val="0"/>
          <w:szCs w:val="21"/>
          <w:highlight w:val="none"/>
          <w:lang w:eastAsia="zh-CN"/>
        </w:rPr>
        <w:t>供应商</w:t>
      </w:r>
      <w:r>
        <w:rPr>
          <w:rFonts w:ascii="Arial" w:hAnsi="宋体" w:cs="Arial"/>
          <w:kern w:val="0"/>
          <w:szCs w:val="21"/>
          <w:highlight w:val="none"/>
        </w:rPr>
        <w:t>应当提供国家确定的认证机构出具的、处于有效期之内的节能产品、环境标志产品认证证书。</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3.3</w:t>
      </w:r>
      <w:r>
        <w:rPr>
          <w:rFonts w:ascii="Arial" w:hAnsi="宋体" w:cs="Arial"/>
          <w:kern w:val="0"/>
          <w:szCs w:val="21"/>
          <w:highlight w:val="none"/>
        </w:rPr>
        <w:t>进口产品政策</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1</w:t>
      </w:r>
      <w:r>
        <w:rPr>
          <w:rFonts w:ascii="Arial" w:hAnsi="宋体" w:cs="Arial"/>
          <w:kern w:val="0"/>
          <w:szCs w:val="21"/>
          <w:highlight w:val="none"/>
        </w:rPr>
        <w:t>）除招标公告载明接受进口产品参加外，不允许进口产品参加。进口产品认定依照《财政部关于政府采购进口产品管理有关问题的通知》（财办库〔</w:t>
      </w:r>
      <w:r>
        <w:rPr>
          <w:rFonts w:ascii="Arial" w:hAnsi="Arial" w:cs="Arial"/>
          <w:kern w:val="0"/>
          <w:szCs w:val="21"/>
          <w:highlight w:val="none"/>
        </w:rPr>
        <w:t>2008</w:t>
      </w:r>
      <w:r>
        <w:rPr>
          <w:rFonts w:ascii="Arial" w:hAnsi="宋体" w:cs="Arial"/>
          <w:kern w:val="0"/>
          <w:szCs w:val="21"/>
          <w:highlight w:val="none"/>
        </w:rPr>
        <w:t>〕</w:t>
      </w:r>
      <w:r>
        <w:rPr>
          <w:rFonts w:ascii="Arial" w:hAnsi="Arial" w:cs="Arial"/>
          <w:kern w:val="0"/>
          <w:szCs w:val="21"/>
          <w:highlight w:val="none"/>
        </w:rPr>
        <w:t>248</w:t>
      </w:r>
      <w:r>
        <w:rPr>
          <w:rFonts w:ascii="Arial" w:hAnsi="宋体" w:cs="Arial"/>
          <w:kern w:val="0"/>
          <w:szCs w:val="21"/>
          <w:highlight w:val="none"/>
        </w:rPr>
        <w:t>号）的规定。</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2</w:t>
      </w:r>
      <w:r>
        <w:rPr>
          <w:rFonts w:ascii="Arial" w:hAnsi="宋体" w:cs="Arial"/>
          <w:kern w:val="0"/>
          <w:szCs w:val="21"/>
          <w:highlight w:val="none"/>
        </w:rPr>
        <w:t>）允许进口产品参加的，满足需求的国内产品可以参加。</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3</w:t>
      </w:r>
      <w:r>
        <w:rPr>
          <w:rFonts w:ascii="Arial" w:hAnsi="宋体" w:cs="Arial"/>
          <w:kern w:val="0"/>
          <w:szCs w:val="21"/>
          <w:highlight w:val="none"/>
        </w:rPr>
        <w:t>）允许进口产品参加的，优先采购向我国企业转让技术、与我国企业签订消化吸收再创新方案的</w:t>
      </w:r>
      <w:r>
        <w:rPr>
          <w:rFonts w:hint="eastAsia" w:ascii="Arial" w:hAnsi="宋体" w:cs="Arial"/>
          <w:kern w:val="0"/>
          <w:szCs w:val="21"/>
          <w:highlight w:val="none"/>
          <w:lang w:eastAsia="zh-CN"/>
        </w:rPr>
        <w:t>供应商</w:t>
      </w:r>
      <w:r>
        <w:rPr>
          <w:rFonts w:ascii="Arial" w:hAnsi="宋体" w:cs="Arial"/>
          <w:kern w:val="0"/>
          <w:szCs w:val="21"/>
          <w:highlight w:val="none"/>
        </w:rPr>
        <w:t>的进口产品。</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3.4</w:t>
      </w:r>
      <w:r>
        <w:rPr>
          <w:rFonts w:ascii="Arial" w:hAnsi="宋体" w:cs="Arial"/>
          <w:kern w:val="0"/>
          <w:szCs w:val="21"/>
          <w:highlight w:val="none"/>
        </w:rPr>
        <w:t>未按要求提供相关材料的，不享受相关政策。</w:t>
      </w:r>
    </w:p>
    <w:p>
      <w:pPr>
        <w:widowControl/>
        <w:shd w:val="clear" w:color="auto" w:fill="FFFFFF"/>
        <w:spacing w:line="360" w:lineRule="auto"/>
        <w:ind w:firstLine="412"/>
        <w:rPr>
          <w:rFonts w:ascii="Arial" w:hAnsi="Arial" w:cs="Arial"/>
          <w:kern w:val="0"/>
          <w:szCs w:val="21"/>
          <w:highlight w:val="none"/>
        </w:rPr>
      </w:pPr>
      <w:r>
        <w:rPr>
          <w:rFonts w:ascii="Arial" w:hAnsi="宋体" w:cs="Arial"/>
          <w:b/>
          <w:bCs/>
          <w:kern w:val="0"/>
          <w:szCs w:val="21"/>
          <w:highlight w:val="none"/>
        </w:rPr>
        <w:t>二、招标文件构成</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4</w:t>
      </w:r>
      <w:r>
        <w:rPr>
          <w:rFonts w:ascii="Arial" w:hAnsi="宋体" w:cs="Arial"/>
          <w:b/>
          <w:bCs/>
          <w:kern w:val="0"/>
          <w:szCs w:val="21"/>
          <w:highlight w:val="none"/>
        </w:rPr>
        <w:t>、招标文件组成</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4.1</w:t>
      </w:r>
      <w:r>
        <w:rPr>
          <w:rFonts w:ascii="Arial" w:hAnsi="宋体" w:cs="Arial"/>
          <w:kern w:val="0"/>
          <w:szCs w:val="21"/>
          <w:highlight w:val="none"/>
        </w:rPr>
        <w:t>招标文件包括以下主要内容：招标公告；</w:t>
      </w:r>
      <w:r>
        <w:rPr>
          <w:rFonts w:hint="eastAsia" w:ascii="Arial" w:hAnsi="宋体" w:cs="Arial"/>
          <w:kern w:val="0"/>
          <w:szCs w:val="21"/>
          <w:highlight w:val="none"/>
          <w:lang w:eastAsia="zh-CN"/>
        </w:rPr>
        <w:t>供应商</w:t>
      </w:r>
      <w:r>
        <w:rPr>
          <w:rFonts w:ascii="Arial" w:hAnsi="宋体" w:cs="Arial"/>
          <w:kern w:val="0"/>
          <w:szCs w:val="21"/>
          <w:highlight w:val="none"/>
        </w:rPr>
        <w:t>须知；</w:t>
      </w:r>
      <w:r>
        <w:rPr>
          <w:rFonts w:hint="eastAsia" w:ascii="Arial" w:hAnsi="宋体" w:cs="Arial"/>
          <w:kern w:val="0"/>
          <w:szCs w:val="21"/>
          <w:highlight w:val="none"/>
          <w:lang w:eastAsia="zh-CN"/>
        </w:rPr>
        <w:t>供应商</w:t>
      </w:r>
      <w:r>
        <w:rPr>
          <w:rFonts w:ascii="Arial" w:hAnsi="宋体" w:cs="Arial"/>
          <w:kern w:val="0"/>
          <w:szCs w:val="21"/>
          <w:highlight w:val="none"/>
        </w:rPr>
        <w:t>应当提交的资格、资信证明文件；为落实政府采购政策，采购标的需满足的要求，以及</w:t>
      </w:r>
      <w:r>
        <w:rPr>
          <w:rFonts w:hint="eastAsia" w:ascii="Arial" w:hAnsi="宋体" w:cs="Arial"/>
          <w:kern w:val="0"/>
          <w:szCs w:val="21"/>
          <w:highlight w:val="none"/>
          <w:lang w:eastAsia="zh-CN"/>
        </w:rPr>
        <w:t>供应商</w:t>
      </w:r>
      <w:r>
        <w:rPr>
          <w:rFonts w:ascii="Arial" w:hAnsi="宋体" w:cs="Arial"/>
          <w:kern w:val="0"/>
          <w:szCs w:val="21"/>
          <w:highlight w:val="none"/>
        </w:rPr>
        <w:t>须提供的证明材料；投标文件编制要求、投标报价要求和投标保证金交纳、退还方式以及不予退还投标保证金的情形；</w:t>
      </w:r>
      <w:r>
        <w:rPr>
          <w:rFonts w:hint="eastAsia" w:ascii="Arial" w:hAnsi="宋体" w:cs="Arial"/>
          <w:kern w:val="0"/>
          <w:szCs w:val="21"/>
          <w:highlight w:val="none"/>
        </w:rPr>
        <w:t>招标</w:t>
      </w:r>
      <w:r>
        <w:rPr>
          <w:rFonts w:ascii="Arial" w:hAnsi="宋体" w:cs="Arial"/>
          <w:kern w:val="0"/>
          <w:szCs w:val="21"/>
          <w:highlight w:val="none"/>
        </w:rPr>
        <w:t>项目预算金额，设定最高限价的，还应当公开最高限价；</w:t>
      </w:r>
      <w:r>
        <w:rPr>
          <w:rFonts w:hint="eastAsia" w:ascii="Arial" w:hAnsi="宋体" w:cs="Arial"/>
          <w:kern w:val="0"/>
          <w:szCs w:val="21"/>
          <w:highlight w:val="none"/>
        </w:rPr>
        <w:t>招标</w:t>
      </w:r>
      <w:r>
        <w:rPr>
          <w:rFonts w:ascii="Arial" w:hAnsi="宋体" w:cs="Arial"/>
          <w:kern w:val="0"/>
          <w:szCs w:val="21"/>
          <w:highlight w:val="none"/>
        </w:rPr>
        <w:t>项目的技术规格、数量、服务标准、验收等要求，包括附件、图纸等；拟签订的合同文本；货物、服务提供的时间、地点、方式；采购资金的支付方式、时间、条件；评标方法、评标标准和投标无效情形；投标有效期；投标截止时间、开标时间及地点；</w:t>
      </w:r>
      <w:r>
        <w:rPr>
          <w:rFonts w:hint="eastAsia" w:ascii="Arial" w:hAnsi="宋体" w:cs="Arial"/>
          <w:kern w:val="0"/>
          <w:szCs w:val="21"/>
          <w:highlight w:val="none"/>
        </w:rPr>
        <w:t>招标</w:t>
      </w:r>
      <w:r>
        <w:rPr>
          <w:rFonts w:ascii="Arial" w:hAnsi="宋体" w:cs="Arial"/>
          <w:kern w:val="0"/>
          <w:szCs w:val="21"/>
          <w:highlight w:val="none"/>
        </w:rPr>
        <w:t>代理机构代理费用的收取标准和方式；</w:t>
      </w:r>
      <w:r>
        <w:rPr>
          <w:rFonts w:hint="eastAsia" w:ascii="Arial" w:hAnsi="宋体" w:cs="Arial"/>
          <w:kern w:val="0"/>
          <w:szCs w:val="21"/>
          <w:highlight w:val="none"/>
          <w:lang w:eastAsia="zh-CN"/>
        </w:rPr>
        <w:t>供应商</w:t>
      </w:r>
      <w:r>
        <w:rPr>
          <w:rFonts w:ascii="Arial" w:hAnsi="宋体" w:cs="Arial"/>
          <w:kern w:val="0"/>
          <w:szCs w:val="21"/>
          <w:highlight w:val="none"/>
        </w:rPr>
        <w:t>信用信息查询渠道及截止时点、信用信息查询记录和证据留存的具体方式、信用信息的使用规则等；省级以上财政部门规定的其他事项。</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4.2 </w:t>
      </w:r>
      <w:r>
        <w:rPr>
          <w:rFonts w:ascii="Arial" w:hAnsi="宋体" w:cs="Arial"/>
          <w:kern w:val="0"/>
          <w:szCs w:val="21"/>
          <w:highlight w:val="none"/>
        </w:rPr>
        <w:t>招标的最小单位是包。招标货物数量及技术要求中未分包的，</w:t>
      </w:r>
      <w:r>
        <w:rPr>
          <w:rFonts w:hint="eastAsia" w:ascii="Arial" w:hAnsi="宋体" w:cs="Arial"/>
          <w:kern w:val="0"/>
          <w:szCs w:val="21"/>
          <w:highlight w:val="none"/>
          <w:lang w:eastAsia="zh-CN"/>
        </w:rPr>
        <w:t>供应商</w:t>
      </w:r>
      <w:r>
        <w:rPr>
          <w:rFonts w:ascii="Arial" w:hAnsi="宋体" w:cs="Arial"/>
          <w:kern w:val="0"/>
          <w:szCs w:val="21"/>
          <w:highlight w:val="none"/>
        </w:rPr>
        <w:t>对要求提供的货物和服务不得部分投标；招标货物数量及技术要求中已经分包的，可以以包为单位投标。</w:t>
      </w:r>
    </w:p>
    <w:p>
      <w:pPr>
        <w:widowControl/>
        <w:shd w:val="clear" w:color="auto" w:fill="FFFFFF"/>
        <w:spacing w:line="360" w:lineRule="auto"/>
        <w:ind w:firstLine="420"/>
        <w:rPr>
          <w:rFonts w:ascii="Arial" w:hAnsi="宋体" w:cs="Arial"/>
          <w:kern w:val="0"/>
          <w:szCs w:val="21"/>
          <w:highlight w:val="none"/>
        </w:rPr>
      </w:pPr>
      <w:r>
        <w:rPr>
          <w:rFonts w:ascii="Arial" w:hAnsi="Arial" w:cs="Arial"/>
          <w:kern w:val="0"/>
          <w:szCs w:val="21"/>
          <w:highlight w:val="none"/>
        </w:rPr>
        <w:t xml:space="preserve">4.3 </w:t>
      </w:r>
      <w:r>
        <w:rPr>
          <w:rFonts w:ascii="Arial" w:hAnsi="宋体" w:cs="Arial"/>
          <w:kern w:val="0"/>
          <w:szCs w:val="21"/>
          <w:highlight w:val="none"/>
        </w:rPr>
        <w:t>招标代理机构如果要求</w:t>
      </w:r>
      <w:r>
        <w:rPr>
          <w:rFonts w:hint="eastAsia" w:ascii="Arial" w:hAnsi="宋体" w:cs="Arial"/>
          <w:kern w:val="0"/>
          <w:szCs w:val="21"/>
          <w:highlight w:val="none"/>
          <w:lang w:eastAsia="zh-CN"/>
        </w:rPr>
        <w:t>供应商</w:t>
      </w:r>
      <w:r>
        <w:rPr>
          <w:rFonts w:ascii="Arial" w:hAnsi="宋体" w:cs="Arial"/>
          <w:kern w:val="0"/>
          <w:szCs w:val="21"/>
          <w:highlight w:val="none"/>
        </w:rPr>
        <w:t>按照招标文件规定提交备选投标方案的，</w:t>
      </w:r>
      <w:r>
        <w:rPr>
          <w:rFonts w:hint="eastAsia" w:ascii="Arial" w:hAnsi="宋体" w:cs="Arial"/>
          <w:kern w:val="0"/>
          <w:szCs w:val="21"/>
          <w:highlight w:val="none"/>
          <w:lang w:eastAsia="zh-CN"/>
        </w:rPr>
        <w:t>供应商</w:t>
      </w:r>
      <w:r>
        <w:rPr>
          <w:rFonts w:ascii="Arial" w:hAnsi="宋体" w:cs="Arial"/>
          <w:kern w:val="0"/>
          <w:szCs w:val="21"/>
          <w:highlight w:val="none"/>
        </w:rPr>
        <w:t>可以提交备选方案；否则，备选方案将被拒绝。</w:t>
      </w:r>
    </w:p>
    <w:p>
      <w:pPr>
        <w:widowControl/>
        <w:shd w:val="clear" w:color="auto" w:fill="FFFFFF"/>
        <w:spacing w:line="360" w:lineRule="auto"/>
        <w:ind w:firstLine="420"/>
        <w:rPr>
          <w:rFonts w:ascii="Arial" w:hAnsi="Arial" w:cs="Arial"/>
          <w:kern w:val="0"/>
          <w:szCs w:val="21"/>
          <w:highlight w:val="none"/>
        </w:rPr>
      </w:pPr>
      <w:r>
        <w:rPr>
          <w:rFonts w:hint="eastAsia" w:ascii="Arial" w:hAnsi="Arial" w:cs="Arial"/>
          <w:kern w:val="0"/>
          <w:szCs w:val="21"/>
          <w:highlight w:val="none"/>
        </w:rPr>
        <w:t>4</w:t>
      </w:r>
      <w:r>
        <w:rPr>
          <w:rFonts w:ascii="Arial" w:hAnsi="Arial" w:cs="Arial"/>
          <w:kern w:val="0"/>
          <w:szCs w:val="21"/>
          <w:highlight w:val="none"/>
        </w:rPr>
        <w:t>.</w:t>
      </w:r>
      <w:r>
        <w:rPr>
          <w:rFonts w:hint="eastAsia" w:ascii="Arial" w:hAnsi="Arial" w:cs="Arial"/>
          <w:kern w:val="0"/>
          <w:szCs w:val="21"/>
          <w:highlight w:val="none"/>
        </w:rPr>
        <w:t>4</w:t>
      </w:r>
      <w:r>
        <w:rPr>
          <w:rFonts w:ascii="Arial" w:hAnsi="宋体" w:cs="Arial"/>
          <w:kern w:val="0"/>
          <w:szCs w:val="21"/>
          <w:highlight w:val="none"/>
        </w:rPr>
        <w:t>招标文件中要求的产品品牌或型号，是招标人根据项目所要实现的功能推荐的品牌或型号，仅供</w:t>
      </w:r>
      <w:r>
        <w:rPr>
          <w:rFonts w:hint="eastAsia" w:ascii="Arial" w:hAnsi="宋体" w:cs="Arial"/>
          <w:kern w:val="0"/>
          <w:szCs w:val="21"/>
          <w:highlight w:val="none"/>
          <w:lang w:eastAsia="zh-CN"/>
        </w:rPr>
        <w:t>供应商</w:t>
      </w:r>
      <w:r>
        <w:rPr>
          <w:rFonts w:ascii="Arial" w:hAnsi="宋体" w:cs="Arial"/>
          <w:kern w:val="0"/>
          <w:szCs w:val="21"/>
          <w:highlight w:val="none"/>
        </w:rPr>
        <w:t>参考，并不是限制条件。</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5</w:t>
      </w:r>
      <w:r>
        <w:rPr>
          <w:rFonts w:ascii="Arial" w:hAnsi="宋体" w:cs="Arial"/>
          <w:b/>
          <w:bCs/>
          <w:kern w:val="0"/>
          <w:szCs w:val="21"/>
          <w:highlight w:val="none"/>
        </w:rPr>
        <w:t>、招标文件的澄清或者修改</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5.1</w:t>
      </w:r>
      <w:r>
        <w:rPr>
          <w:rFonts w:hint="eastAsia" w:ascii="Arial" w:hAnsi="宋体" w:cs="Arial"/>
          <w:kern w:val="0"/>
          <w:szCs w:val="21"/>
          <w:highlight w:val="none"/>
        </w:rPr>
        <w:t>招</w:t>
      </w:r>
      <w:r>
        <w:rPr>
          <w:rFonts w:ascii="Arial" w:hAnsi="宋体" w:cs="Arial"/>
          <w:kern w:val="0"/>
          <w:szCs w:val="21"/>
          <w:highlight w:val="none"/>
        </w:rPr>
        <w:t>标人或者招标代理机构可以对已发出的招标文件进行必要的澄清或者修改，但不得改变采购标的和资格条件。澄清或者修改应当在原公告发布媒体上发布澄清公告</w:t>
      </w:r>
      <w:r>
        <w:rPr>
          <w:rFonts w:hint="eastAsia" w:ascii="Arial" w:hAnsi="宋体" w:cs="Arial"/>
          <w:kern w:val="0"/>
          <w:szCs w:val="21"/>
          <w:highlight w:val="none"/>
        </w:rPr>
        <w:t>。</w:t>
      </w:r>
      <w:r>
        <w:rPr>
          <w:rFonts w:ascii="Arial" w:hAnsi="宋体" w:cs="Arial"/>
          <w:kern w:val="0"/>
          <w:szCs w:val="21"/>
          <w:highlight w:val="none"/>
        </w:rPr>
        <w:t>澄清或者修改的内容为招标文件的组成部分。</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澄清或者修改的内容可能影响投标文件编制的，</w:t>
      </w:r>
      <w:r>
        <w:rPr>
          <w:rFonts w:hint="eastAsia" w:ascii="Arial" w:hAnsi="宋体" w:cs="Arial"/>
          <w:kern w:val="0"/>
          <w:szCs w:val="21"/>
          <w:highlight w:val="none"/>
        </w:rPr>
        <w:t>招</w:t>
      </w:r>
      <w:r>
        <w:rPr>
          <w:rFonts w:ascii="Arial" w:hAnsi="宋体" w:cs="Arial"/>
          <w:kern w:val="0"/>
          <w:szCs w:val="21"/>
          <w:highlight w:val="none"/>
        </w:rPr>
        <w:t>标人或者招标代理机构应当在投标截止时间至少</w:t>
      </w:r>
      <w:r>
        <w:rPr>
          <w:rFonts w:ascii="Arial" w:hAnsi="Arial" w:cs="Arial"/>
          <w:kern w:val="0"/>
          <w:szCs w:val="21"/>
          <w:highlight w:val="none"/>
        </w:rPr>
        <w:t>15</w:t>
      </w:r>
      <w:r>
        <w:rPr>
          <w:rFonts w:ascii="Arial" w:hAnsi="宋体" w:cs="Arial"/>
          <w:kern w:val="0"/>
          <w:szCs w:val="21"/>
          <w:highlight w:val="none"/>
        </w:rPr>
        <w:t>日前，以书面形式通知所有获取招标文件的潜在</w:t>
      </w:r>
      <w:r>
        <w:rPr>
          <w:rFonts w:hint="eastAsia" w:ascii="Arial" w:hAnsi="宋体" w:cs="Arial"/>
          <w:kern w:val="0"/>
          <w:szCs w:val="21"/>
          <w:highlight w:val="none"/>
          <w:lang w:eastAsia="zh-CN"/>
        </w:rPr>
        <w:t>供应商</w:t>
      </w:r>
      <w:r>
        <w:rPr>
          <w:rFonts w:ascii="Arial" w:hAnsi="宋体" w:cs="Arial"/>
          <w:kern w:val="0"/>
          <w:szCs w:val="21"/>
          <w:highlight w:val="none"/>
        </w:rPr>
        <w:t>；不足</w:t>
      </w:r>
      <w:r>
        <w:rPr>
          <w:rFonts w:ascii="Arial" w:hAnsi="Arial" w:cs="Arial"/>
          <w:kern w:val="0"/>
          <w:szCs w:val="21"/>
          <w:highlight w:val="none"/>
        </w:rPr>
        <w:t>15</w:t>
      </w:r>
      <w:r>
        <w:rPr>
          <w:rFonts w:ascii="Arial" w:hAnsi="宋体" w:cs="Arial"/>
          <w:kern w:val="0"/>
          <w:szCs w:val="21"/>
          <w:highlight w:val="none"/>
        </w:rPr>
        <w:t>日的，</w:t>
      </w:r>
      <w:r>
        <w:rPr>
          <w:rFonts w:hint="eastAsia" w:ascii="Arial" w:hAnsi="宋体" w:cs="Arial"/>
          <w:kern w:val="0"/>
          <w:szCs w:val="21"/>
          <w:highlight w:val="none"/>
        </w:rPr>
        <w:t>招</w:t>
      </w:r>
      <w:r>
        <w:rPr>
          <w:rFonts w:ascii="Arial" w:hAnsi="宋体" w:cs="Arial"/>
          <w:kern w:val="0"/>
          <w:szCs w:val="21"/>
          <w:highlight w:val="none"/>
        </w:rPr>
        <w:t>标人或者招标代理机构应当顺延提交投标文件的截止时间。</w:t>
      </w:r>
    </w:p>
    <w:p>
      <w:pPr>
        <w:widowControl/>
        <w:shd w:val="clear" w:color="auto" w:fill="FFFFFF"/>
        <w:spacing w:line="360" w:lineRule="auto"/>
        <w:ind w:firstLine="420"/>
        <w:rPr>
          <w:rFonts w:ascii="Arial" w:hAnsi="Arial" w:cs="Arial"/>
          <w:kern w:val="0"/>
          <w:szCs w:val="21"/>
          <w:highlight w:val="none"/>
        </w:rPr>
      </w:pPr>
      <w:r>
        <w:rPr>
          <w:rFonts w:ascii="Arial" w:hAnsi="宋体" w:cs="Arial"/>
          <w:b/>
          <w:bCs/>
          <w:kern w:val="0"/>
          <w:szCs w:val="21"/>
          <w:highlight w:val="none"/>
        </w:rPr>
        <w:t>三、投标文件的编制</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6</w:t>
      </w:r>
      <w:r>
        <w:rPr>
          <w:rFonts w:ascii="Arial" w:hAnsi="宋体" w:cs="Arial"/>
          <w:b/>
          <w:bCs/>
          <w:kern w:val="0"/>
          <w:szCs w:val="21"/>
          <w:highlight w:val="none"/>
        </w:rPr>
        <w:t>、投标文件的语言、计量单位、货币和编制</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6.1</w:t>
      </w:r>
      <w:r>
        <w:rPr>
          <w:rFonts w:hint="eastAsia" w:ascii="Arial" w:hAnsi="宋体" w:cs="Arial"/>
          <w:kern w:val="0"/>
          <w:szCs w:val="21"/>
          <w:highlight w:val="none"/>
          <w:lang w:eastAsia="zh-CN"/>
        </w:rPr>
        <w:t>供应商</w:t>
      </w:r>
      <w:r>
        <w:rPr>
          <w:rFonts w:ascii="Arial" w:hAnsi="宋体" w:cs="Arial"/>
          <w:kern w:val="0"/>
          <w:szCs w:val="21"/>
          <w:highlight w:val="none"/>
        </w:rPr>
        <w:t>提交的投标文件、技术文件和资料，包括图纸中的说明，以及</w:t>
      </w:r>
      <w:r>
        <w:rPr>
          <w:rFonts w:hint="eastAsia" w:ascii="Arial" w:hAnsi="宋体" w:cs="Arial"/>
          <w:kern w:val="0"/>
          <w:szCs w:val="21"/>
          <w:highlight w:val="none"/>
          <w:lang w:eastAsia="zh-CN"/>
        </w:rPr>
        <w:t>供应商</w:t>
      </w:r>
      <w:r>
        <w:rPr>
          <w:rFonts w:ascii="Arial" w:hAnsi="宋体" w:cs="Arial"/>
          <w:kern w:val="0"/>
          <w:szCs w:val="21"/>
          <w:highlight w:val="none"/>
        </w:rPr>
        <w:t>与招标代理机构就有关投标的所有来往函电均应使用中文。投标文件中若有英文或其他语言文字的资料，应提供相应的中文翻译资料。对不同文本投标文件的解释发生异议的，以中文文本为准。</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6.2</w:t>
      </w:r>
      <w:r>
        <w:rPr>
          <w:rFonts w:hint="eastAsia" w:ascii="Arial" w:hAnsi="宋体" w:cs="Arial"/>
          <w:kern w:val="0"/>
          <w:szCs w:val="21"/>
          <w:highlight w:val="none"/>
          <w:lang w:eastAsia="zh-CN"/>
        </w:rPr>
        <w:t>供应商</w:t>
      </w:r>
      <w:r>
        <w:rPr>
          <w:rFonts w:ascii="Arial" w:hAnsi="宋体" w:cs="Arial"/>
          <w:kern w:val="0"/>
          <w:szCs w:val="21"/>
          <w:highlight w:val="none"/>
        </w:rPr>
        <w:t>所使用的计量单位应为国家法定计量单位。</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6.3</w:t>
      </w:r>
      <w:r>
        <w:rPr>
          <w:rFonts w:hint="eastAsia" w:ascii="Arial" w:hAnsi="宋体" w:cs="Arial"/>
          <w:kern w:val="0"/>
          <w:szCs w:val="21"/>
          <w:highlight w:val="none"/>
          <w:lang w:eastAsia="zh-CN"/>
        </w:rPr>
        <w:t>供应商</w:t>
      </w:r>
      <w:r>
        <w:rPr>
          <w:rFonts w:ascii="Arial" w:hAnsi="宋体" w:cs="Arial"/>
          <w:kern w:val="0"/>
          <w:szCs w:val="21"/>
          <w:highlight w:val="none"/>
        </w:rPr>
        <w:t>应用人民币报价。投标产品如果是进口产品的，应提供人民币与</w:t>
      </w:r>
      <w:r>
        <w:rPr>
          <w:rFonts w:ascii="Arial" w:hAnsi="宋体" w:cs="Arial"/>
          <w:b/>
          <w:bCs/>
          <w:kern w:val="0"/>
          <w:szCs w:val="21"/>
          <w:highlight w:val="none"/>
        </w:rPr>
        <w:t>外币之间的汇率；报价单位为</w:t>
      </w:r>
      <w:r>
        <w:rPr>
          <w:rFonts w:ascii="Arial" w:hAnsi="Arial" w:cs="Arial"/>
          <w:b/>
          <w:bCs/>
          <w:kern w:val="0"/>
          <w:szCs w:val="21"/>
          <w:highlight w:val="none"/>
        </w:rPr>
        <w:t>“</w:t>
      </w:r>
      <w:r>
        <w:rPr>
          <w:rFonts w:ascii="Arial" w:hAnsi="宋体" w:cs="Arial"/>
          <w:b/>
          <w:bCs/>
          <w:kern w:val="0"/>
          <w:szCs w:val="21"/>
          <w:highlight w:val="none"/>
        </w:rPr>
        <w:t>元</w:t>
      </w:r>
      <w:r>
        <w:rPr>
          <w:rFonts w:ascii="Arial" w:hAnsi="Arial" w:cs="Arial"/>
          <w:b/>
          <w:bCs/>
          <w:kern w:val="0"/>
          <w:szCs w:val="21"/>
          <w:highlight w:val="none"/>
        </w:rPr>
        <w:t>”</w:t>
      </w:r>
      <w:r>
        <w:rPr>
          <w:rFonts w:ascii="Arial" w:hAnsi="宋体" w:cs="Arial"/>
          <w:b/>
          <w:bCs/>
          <w:kern w:val="0"/>
          <w:szCs w:val="21"/>
          <w:highlight w:val="none"/>
        </w:rPr>
        <w:t>。</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6.</w:t>
      </w:r>
      <w:r>
        <w:rPr>
          <w:rFonts w:hint="eastAsia" w:ascii="Arial" w:hAnsi="Arial" w:cs="Arial"/>
          <w:kern w:val="0"/>
          <w:szCs w:val="21"/>
          <w:highlight w:val="none"/>
        </w:rPr>
        <w:t>4</w:t>
      </w:r>
      <w:r>
        <w:rPr>
          <w:rFonts w:ascii="Arial" w:hAnsi="宋体" w:cs="Arial"/>
          <w:kern w:val="0"/>
          <w:szCs w:val="21"/>
          <w:highlight w:val="none"/>
        </w:rPr>
        <w:t>投标文件应按照招标文件规定的顺序，统一用</w:t>
      </w:r>
      <w:r>
        <w:rPr>
          <w:rFonts w:ascii="Arial" w:hAnsi="Arial" w:cs="Arial"/>
          <w:kern w:val="0"/>
          <w:szCs w:val="21"/>
          <w:highlight w:val="none"/>
        </w:rPr>
        <w:t>A4</w:t>
      </w:r>
      <w:r>
        <w:rPr>
          <w:rFonts w:ascii="Arial" w:hAnsi="宋体" w:cs="Arial"/>
          <w:kern w:val="0"/>
          <w:szCs w:val="21"/>
          <w:highlight w:val="none"/>
        </w:rPr>
        <w:t>规格幅面打印、装订成册并编制目录，由于编排混乱导致投标文件被误读或查找不到，责任由</w:t>
      </w:r>
      <w:r>
        <w:rPr>
          <w:rFonts w:hint="eastAsia" w:ascii="Arial" w:hAnsi="宋体" w:cs="Arial"/>
          <w:kern w:val="0"/>
          <w:szCs w:val="21"/>
          <w:highlight w:val="none"/>
          <w:lang w:eastAsia="zh-CN"/>
        </w:rPr>
        <w:t>供应商</w:t>
      </w:r>
      <w:r>
        <w:rPr>
          <w:rFonts w:ascii="Arial" w:hAnsi="宋体" w:cs="Arial"/>
          <w:kern w:val="0"/>
          <w:szCs w:val="21"/>
          <w:highlight w:val="none"/>
        </w:rPr>
        <w:t>承担。</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6.</w:t>
      </w:r>
      <w:r>
        <w:rPr>
          <w:rFonts w:hint="eastAsia" w:ascii="Arial" w:hAnsi="Arial" w:cs="Arial"/>
          <w:kern w:val="0"/>
          <w:szCs w:val="21"/>
          <w:highlight w:val="none"/>
        </w:rPr>
        <w:t>5</w:t>
      </w:r>
      <w:r>
        <w:rPr>
          <w:rFonts w:hint="eastAsia" w:ascii="Arial" w:hAnsi="宋体" w:cs="Arial"/>
          <w:kern w:val="0"/>
          <w:szCs w:val="21"/>
          <w:highlight w:val="none"/>
          <w:lang w:eastAsia="zh-CN"/>
        </w:rPr>
        <w:t>供应商</w:t>
      </w:r>
      <w:r>
        <w:rPr>
          <w:rFonts w:ascii="Arial" w:hAnsi="宋体" w:cs="Arial"/>
          <w:kern w:val="0"/>
          <w:szCs w:val="21"/>
          <w:highlight w:val="none"/>
        </w:rPr>
        <w:t>应在投标文件中写清相应的项目编号、项目名称、</w:t>
      </w:r>
      <w:r>
        <w:rPr>
          <w:rFonts w:hint="eastAsia" w:ascii="Arial" w:hAnsi="宋体" w:cs="Arial"/>
          <w:kern w:val="0"/>
          <w:szCs w:val="21"/>
          <w:highlight w:val="none"/>
          <w:lang w:eastAsia="zh-CN"/>
        </w:rPr>
        <w:t>供应商</w:t>
      </w:r>
      <w:r>
        <w:rPr>
          <w:rFonts w:ascii="Arial" w:hAnsi="宋体" w:cs="Arial"/>
          <w:kern w:val="0"/>
          <w:szCs w:val="21"/>
          <w:highlight w:val="none"/>
        </w:rPr>
        <w:t>全称、地址、电话、传真等。</w:t>
      </w:r>
    </w:p>
    <w:p>
      <w:pPr>
        <w:widowControl/>
        <w:shd w:val="clear" w:color="auto" w:fill="FFFFFF"/>
        <w:spacing w:line="360" w:lineRule="auto"/>
        <w:ind w:firstLine="412"/>
        <w:rPr>
          <w:rFonts w:ascii="Arial" w:hAnsi="Arial" w:cs="Arial"/>
          <w:kern w:val="0"/>
          <w:szCs w:val="21"/>
          <w:highlight w:val="none"/>
        </w:rPr>
      </w:pPr>
      <w:r>
        <w:rPr>
          <w:rFonts w:ascii="Arial" w:hAnsi="Arial" w:cs="Arial"/>
          <w:bCs/>
          <w:kern w:val="0"/>
          <w:szCs w:val="21"/>
          <w:highlight w:val="none"/>
        </w:rPr>
        <w:t>6.</w:t>
      </w:r>
      <w:r>
        <w:rPr>
          <w:rFonts w:hint="eastAsia" w:ascii="Arial" w:hAnsi="Arial" w:cs="Arial"/>
          <w:bCs/>
          <w:kern w:val="0"/>
          <w:szCs w:val="21"/>
          <w:highlight w:val="none"/>
        </w:rPr>
        <w:t>6</w:t>
      </w:r>
      <w:r>
        <w:rPr>
          <w:rFonts w:hint="eastAsia" w:ascii="Arial" w:hAnsi="宋体" w:cs="Arial"/>
          <w:kern w:val="0"/>
          <w:szCs w:val="21"/>
          <w:highlight w:val="none"/>
          <w:lang w:eastAsia="zh-CN"/>
        </w:rPr>
        <w:t>供应商</w:t>
      </w:r>
      <w:r>
        <w:rPr>
          <w:rFonts w:ascii="Arial" w:hAnsi="宋体" w:cs="Arial"/>
          <w:kern w:val="0"/>
          <w:szCs w:val="21"/>
          <w:highlight w:val="none"/>
        </w:rPr>
        <w:t>根据招标文件载明的标的采购项目实际情况，拟在中标后将中标项目的非主体、非关键性工作交由他人完成的，应当在投标文件中载明。</w:t>
      </w:r>
    </w:p>
    <w:p>
      <w:pPr>
        <w:widowControl/>
        <w:shd w:val="clear" w:color="auto" w:fill="FFFFFF"/>
        <w:spacing w:line="360" w:lineRule="auto"/>
        <w:ind w:firstLine="420"/>
        <w:rPr>
          <w:rFonts w:ascii="Arial" w:hAnsi="Arial" w:cs="Arial"/>
          <w:b/>
          <w:bCs/>
          <w:kern w:val="0"/>
          <w:szCs w:val="21"/>
          <w:highlight w:val="none"/>
        </w:rPr>
      </w:pPr>
      <w:r>
        <w:rPr>
          <w:rFonts w:ascii="Arial" w:hAnsi="Arial" w:cs="Arial"/>
          <w:b/>
          <w:bCs/>
          <w:kern w:val="0"/>
          <w:szCs w:val="21"/>
          <w:highlight w:val="none"/>
        </w:rPr>
        <w:t>7、联合体投标</w:t>
      </w:r>
      <w:r>
        <w:rPr>
          <w:rFonts w:hint="eastAsia" w:ascii="Arial" w:hAnsi="Arial" w:cs="Arial"/>
          <w:b/>
          <w:bCs/>
          <w:kern w:val="0"/>
          <w:szCs w:val="21"/>
          <w:highlight w:val="none"/>
        </w:rPr>
        <w:t>（本项目不适用）</w:t>
      </w:r>
    </w:p>
    <w:p>
      <w:pPr>
        <w:widowControl/>
        <w:shd w:val="clear" w:color="auto" w:fill="FFFFFF"/>
        <w:spacing w:line="360" w:lineRule="auto"/>
        <w:ind w:firstLine="420"/>
        <w:rPr>
          <w:rFonts w:ascii="Arial" w:hAnsi="Arial" w:cs="Arial"/>
          <w:bCs/>
          <w:kern w:val="0"/>
          <w:szCs w:val="21"/>
          <w:highlight w:val="none"/>
        </w:rPr>
      </w:pPr>
      <w:r>
        <w:rPr>
          <w:rFonts w:ascii="Arial" w:hAnsi="Arial" w:cs="Arial"/>
          <w:bCs/>
          <w:kern w:val="0"/>
          <w:szCs w:val="21"/>
          <w:highlight w:val="none"/>
        </w:rPr>
        <w:t>7.1 两个以上的自然人、法人或者其他组织可以组成一个联合体，以一个</w:t>
      </w:r>
      <w:r>
        <w:rPr>
          <w:rFonts w:hint="eastAsia" w:ascii="Arial" w:hAnsi="Arial" w:cs="Arial"/>
          <w:bCs/>
          <w:kern w:val="0"/>
          <w:szCs w:val="21"/>
          <w:highlight w:val="none"/>
          <w:lang w:eastAsia="zh-CN"/>
        </w:rPr>
        <w:t>供应商</w:t>
      </w:r>
      <w:r>
        <w:rPr>
          <w:rFonts w:ascii="Arial" w:hAnsi="Arial" w:cs="Arial"/>
          <w:bCs/>
          <w:kern w:val="0"/>
          <w:szCs w:val="21"/>
          <w:highlight w:val="none"/>
        </w:rPr>
        <w:t>的身份共同参加政府采购。</w:t>
      </w:r>
    </w:p>
    <w:p>
      <w:pPr>
        <w:widowControl/>
        <w:shd w:val="clear" w:color="auto" w:fill="FFFFFF"/>
        <w:spacing w:line="360" w:lineRule="auto"/>
        <w:ind w:firstLine="420"/>
        <w:rPr>
          <w:rFonts w:ascii="Arial" w:hAnsi="Arial" w:cs="Arial"/>
          <w:bCs/>
          <w:kern w:val="0"/>
          <w:szCs w:val="21"/>
          <w:highlight w:val="none"/>
        </w:rPr>
      </w:pPr>
      <w:r>
        <w:rPr>
          <w:rFonts w:ascii="Arial" w:hAnsi="Arial" w:cs="Arial"/>
          <w:bCs/>
          <w:kern w:val="0"/>
          <w:szCs w:val="21"/>
          <w:highlight w:val="none"/>
        </w:rPr>
        <w:t>7.2 联合体中有同类资质的</w:t>
      </w:r>
      <w:r>
        <w:rPr>
          <w:rFonts w:hint="eastAsia" w:ascii="Arial" w:hAnsi="Arial" w:cs="Arial"/>
          <w:bCs/>
          <w:kern w:val="0"/>
          <w:szCs w:val="21"/>
          <w:highlight w:val="none"/>
          <w:lang w:eastAsia="zh-CN"/>
        </w:rPr>
        <w:t>供应商</w:t>
      </w:r>
      <w:r>
        <w:rPr>
          <w:rFonts w:ascii="Arial" w:hAnsi="Arial" w:cs="Arial"/>
          <w:bCs/>
          <w:kern w:val="0"/>
          <w:szCs w:val="21"/>
          <w:highlight w:val="none"/>
        </w:rPr>
        <w:t>按照联合体分工承担相同工作的，按照资质等级较低的</w:t>
      </w:r>
      <w:r>
        <w:rPr>
          <w:rFonts w:hint="eastAsia" w:ascii="Arial" w:hAnsi="Arial" w:cs="Arial"/>
          <w:bCs/>
          <w:kern w:val="0"/>
          <w:szCs w:val="21"/>
          <w:highlight w:val="none"/>
          <w:lang w:eastAsia="zh-CN"/>
        </w:rPr>
        <w:t>供应商</w:t>
      </w:r>
      <w:r>
        <w:rPr>
          <w:rFonts w:ascii="Arial" w:hAnsi="Arial" w:cs="Arial"/>
          <w:bCs/>
          <w:kern w:val="0"/>
          <w:szCs w:val="21"/>
          <w:highlight w:val="none"/>
        </w:rPr>
        <w:t>确定资质等级。</w:t>
      </w:r>
    </w:p>
    <w:p>
      <w:pPr>
        <w:widowControl/>
        <w:shd w:val="clear" w:color="auto" w:fill="FFFFFF"/>
        <w:spacing w:line="360" w:lineRule="auto"/>
        <w:ind w:firstLine="420"/>
        <w:rPr>
          <w:rFonts w:ascii="Arial" w:hAnsi="Arial" w:cs="Arial"/>
          <w:bCs/>
          <w:kern w:val="0"/>
          <w:szCs w:val="21"/>
          <w:highlight w:val="none"/>
        </w:rPr>
      </w:pPr>
      <w:r>
        <w:rPr>
          <w:rFonts w:ascii="Arial" w:hAnsi="Arial" w:cs="Arial"/>
          <w:bCs/>
          <w:kern w:val="0"/>
          <w:szCs w:val="21"/>
          <w:highlight w:val="none"/>
        </w:rPr>
        <w:t>7.3 联合体各方之间应当签订联合体协议，明确约定联合体各方承担的工作和相应的责任，并将联合体协议连同投标文件一同提交。</w:t>
      </w:r>
    </w:p>
    <w:p>
      <w:pPr>
        <w:widowControl/>
        <w:shd w:val="clear" w:color="auto" w:fill="FFFFFF"/>
        <w:spacing w:line="360" w:lineRule="auto"/>
        <w:ind w:firstLine="412"/>
        <w:rPr>
          <w:rFonts w:ascii="Arial" w:hAnsi="Arial" w:cs="Arial"/>
          <w:kern w:val="0"/>
          <w:szCs w:val="21"/>
          <w:highlight w:val="none"/>
        </w:rPr>
      </w:pPr>
      <w:r>
        <w:rPr>
          <w:rFonts w:ascii="Arial" w:hAnsi="Arial" w:cs="Arial"/>
          <w:bCs/>
          <w:kern w:val="0"/>
          <w:szCs w:val="21"/>
          <w:highlight w:val="none"/>
        </w:rPr>
        <w:t>7.4 以联合体形式参加政府采购活动的，联合体各方不得再单独参加或者与其他</w:t>
      </w:r>
      <w:r>
        <w:rPr>
          <w:rFonts w:hint="eastAsia" w:ascii="Arial" w:hAnsi="Arial" w:cs="Arial"/>
          <w:bCs/>
          <w:kern w:val="0"/>
          <w:szCs w:val="21"/>
          <w:highlight w:val="none"/>
          <w:lang w:eastAsia="zh-CN"/>
        </w:rPr>
        <w:t>供应商</w:t>
      </w:r>
      <w:r>
        <w:rPr>
          <w:rFonts w:ascii="Arial" w:hAnsi="Arial" w:cs="Arial"/>
          <w:bCs/>
          <w:kern w:val="0"/>
          <w:szCs w:val="21"/>
          <w:highlight w:val="none"/>
        </w:rPr>
        <w:t>另外组成联合体参加同一合同项下的政府采购活动。</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8</w:t>
      </w:r>
      <w:r>
        <w:rPr>
          <w:rFonts w:ascii="Arial" w:hAnsi="宋体" w:cs="Arial"/>
          <w:b/>
          <w:bCs/>
          <w:kern w:val="0"/>
          <w:szCs w:val="21"/>
          <w:highlight w:val="none"/>
        </w:rPr>
        <w:t>、投标文件的组成</w:t>
      </w:r>
    </w:p>
    <w:p>
      <w:pPr>
        <w:widowControl/>
        <w:shd w:val="clear" w:color="auto" w:fill="FFFFFF"/>
        <w:spacing w:line="360" w:lineRule="auto"/>
        <w:ind w:firstLine="420"/>
        <w:jc w:val="left"/>
        <w:rPr>
          <w:rFonts w:ascii="Arial" w:hAnsi="Arial" w:cs="Arial"/>
          <w:b/>
          <w:kern w:val="0"/>
          <w:szCs w:val="21"/>
          <w:highlight w:val="none"/>
        </w:rPr>
      </w:pPr>
      <w:r>
        <w:rPr>
          <w:rFonts w:ascii="Arial" w:hAnsi="Arial" w:cs="Arial"/>
          <w:kern w:val="0"/>
          <w:szCs w:val="21"/>
          <w:highlight w:val="none"/>
        </w:rPr>
        <w:t>8.1</w:t>
      </w:r>
      <w:r>
        <w:rPr>
          <w:rFonts w:hint="eastAsia" w:ascii="Arial" w:hAnsi="宋体" w:cs="Arial"/>
          <w:kern w:val="0"/>
          <w:szCs w:val="21"/>
          <w:highlight w:val="none"/>
          <w:lang w:eastAsia="zh-CN"/>
        </w:rPr>
        <w:t>供应商</w:t>
      </w:r>
      <w:r>
        <w:rPr>
          <w:rFonts w:ascii="Arial" w:hAnsi="宋体" w:cs="Arial"/>
          <w:kern w:val="0"/>
          <w:szCs w:val="21"/>
          <w:highlight w:val="none"/>
        </w:rPr>
        <w:t>应当根据招标文件要求编制投标文件，投标文件应对招标文件提出的要求和条件作出实质性响应，并在《商务条款偏离表》和《技术规格偏离表》等处逐条标明满足与否。</w:t>
      </w:r>
      <w:r>
        <w:rPr>
          <w:rFonts w:ascii="Arial" w:hAnsi="Arial" w:cs="Arial"/>
          <w:b/>
          <w:kern w:val="0"/>
          <w:szCs w:val="21"/>
          <w:highlight w:val="none"/>
        </w:rPr>
        <w:t>对带</w:t>
      </w:r>
      <w:r>
        <w:rPr>
          <w:rFonts w:ascii="Arial" w:hAnsi="Arial" w:cs="Arial"/>
          <w:b/>
          <w:bCs/>
          <w:kern w:val="0"/>
          <w:szCs w:val="21"/>
          <w:highlight w:val="none"/>
        </w:rPr>
        <w:t>星号（</w:t>
      </w:r>
      <w:r>
        <w:rPr>
          <w:rFonts w:hint="eastAsia" w:ascii="Arial" w:hAnsi="Arial" w:cs="Arial"/>
          <w:b/>
          <w:bCs/>
          <w:kern w:val="0"/>
          <w:szCs w:val="21"/>
          <w:highlight w:val="none"/>
          <w:lang w:eastAsia="zh-CN"/>
        </w:rPr>
        <w:t>“★”</w:t>
      </w:r>
      <w:r>
        <w:rPr>
          <w:rFonts w:ascii="Arial" w:hAnsi="Arial" w:cs="Arial"/>
          <w:b/>
          <w:bCs/>
          <w:kern w:val="0"/>
          <w:szCs w:val="21"/>
          <w:highlight w:val="none"/>
        </w:rPr>
        <w:t>）的技术条款必须在投标文件中提供技术支持资料（如白皮书</w:t>
      </w:r>
      <w:r>
        <w:rPr>
          <w:rFonts w:hint="eastAsia" w:ascii="Arial" w:hAnsi="Arial" w:cs="Arial"/>
          <w:b/>
          <w:bCs/>
          <w:kern w:val="0"/>
          <w:szCs w:val="21"/>
          <w:highlight w:val="none"/>
        </w:rPr>
        <w:t>、</w:t>
      </w:r>
      <w:r>
        <w:rPr>
          <w:rFonts w:ascii="Arial" w:hAnsi="Arial" w:cs="Arial"/>
          <w:b/>
          <w:bCs/>
          <w:kern w:val="0"/>
          <w:szCs w:val="21"/>
          <w:highlight w:val="none"/>
        </w:rPr>
        <w:t>彩页、手册、检测报告等），</w:t>
      </w:r>
      <w:r>
        <w:rPr>
          <w:rFonts w:hint="eastAsia" w:ascii="Arial" w:hAnsi="Arial" w:cs="Arial"/>
          <w:b/>
          <w:bCs/>
          <w:kern w:val="0"/>
          <w:szCs w:val="21"/>
          <w:highlight w:val="none"/>
          <w:lang w:val="en-US" w:eastAsia="zh-CN"/>
        </w:rPr>
        <w:t>不允许出现负偏离，</w:t>
      </w:r>
      <w:r>
        <w:rPr>
          <w:rFonts w:ascii="Arial" w:hAnsi="Arial" w:cs="Arial"/>
          <w:b/>
          <w:bCs/>
          <w:kern w:val="0"/>
          <w:szCs w:val="21"/>
          <w:highlight w:val="none"/>
        </w:rPr>
        <w:t>未提供技术支持资料</w:t>
      </w:r>
      <w:r>
        <w:rPr>
          <w:rFonts w:hint="eastAsia" w:ascii="Arial" w:hAnsi="Arial" w:cs="Arial"/>
          <w:b/>
          <w:bCs/>
          <w:kern w:val="0"/>
          <w:szCs w:val="21"/>
          <w:highlight w:val="none"/>
          <w:lang w:val="en-US" w:eastAsia="zh-CN"/>
        </w:rPr>
        <w:t>或出现负偏离</w:t>
      </w:r>
      <w:r>
        <w:rPr>
          <w:rFonts w:ascii="Arial" w:hAnsi="Arial" w:cs="Arial"/>
          <w:b/>
          <w:bCs/>
          <w:kern w:val="0"/>
          <w:szCs w:val="21"/>
          <w:highlight w:val="none"/>
        </w:rPr>
        <w:t>的，视为未对招标文件实质性要求作出响应</w:t>
      </w:r>
      <w:r>
        <w:rPr>
          <w:rFonts w:hint="eastAsia" w:ascii="Arial" w:hAnsi="Arial" w:cs="Arial"/>
          <w:b/>
          <w:bCs/>
          <w:kern w:val="0"/>
          <w:szCs w:val="21"/>
          <w:highlight w:val="none"/>
        </w:rPr>
        <w:t>，</w:t>
      </w:r>
      <w:r>
        <w:rPr>
          <w:rFonts w:ascii="Arial" w:hAnsi="Arial" w:cs="Arial"/>
          <w:b/>
          <w:bCs/>
          <w:kern w:val="0"/>
          <w:szCs w:val="21"/>
          <w:highlight w:val="none"/>
        </w:rPr>
        <w:t>评审时不予认可。</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8.2 </w:t>
      </w:r>
      <w:r>
        <w:rPr>
          <w:rFonts w:ascii="Arial" w:hAnsi="宋体" w:cs="Arial"/>
          <w:kern w:val="0"/>
          <w:szCs w:val="21"/>
          <w:highlight w:val="none"/>
        </w:rPr>
        <w:t>投标文件由商务部分、技术部分、价格部分以及其他部分组成。</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9</w:t>
      </w:r>
      <w:r>
        <w:rPr>
          <w:rFonts w:ascii="Arial" w:hAnsi="宋体" w:cs="Arial"/>
          <w:b/>
          <w:bCs/>
          <w:kern w:val="0"/>
          <w:szCs w:val="21"/>
          <w:highlight w:val="none"/>
        </w:rPr>
        <w:t>、投标文件的商务部分</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9.1</w:t>
      </w:r>
      <w:r>
        <w:rPr>
          <w:rFonts w:ascii="Arial" w:hAnsi="宋体" w:cs="Arial"/>
          <w:kern w:val="0"/>
          <w:szCs w:val="21"/>
          <w:highlight w:val="none"/>
        </w:rPr>
        <w:t>商务部分是证明</w:t>
      </w:r>
      <w:r>
        <w:rPr>
          <w:rFonts w:hint="eastAsia" w:ascii="Arial" w:hAnsi="宋体" w:cs="Arial"/>
          <w:kern w:val="0"/>
          <w:szCs w:val="21"/>
          <w:highlight w:val="none"/>
          <w:lang w:eastAsia="zh-CN"/>
        </w:rPr>
        <w:t>供应商</w:t>
      </w:r>
      <w:r>
        <w:rPr>
          <w:rFonts w:ascii="Arial" w:hAnsi="宋体" w:cs="Arial"/>
          <w:kern w:val="0"/>
          <w:szCs w:val="21"/>
          <w:highlight w:val="none"/>
        </w:rPr>
        <w:t>有资格参加投标和中标后有能力履行合同的文件，这些文件应能满足招标的要求，包括但不限于下列文件（</w:t>
      </w:r>
      <w:r>
        <w:rPr>
          <w:rFonts w:ascii="Arial" w:hAnsi="宋体" w:cs="Arial"/>
          <w:b/>
          <w:kern w:val="0"/>
          <w:szCs w:val="21"/>
          <w:highlight w:val="none"/>
        </w:rPr>
        <w:t>（</w:t>
      </w:r>
      <w:r>
        <w:rPr>
          <w:rFonts w:ascii="Arial" w:hAnsi="Arial" w:cs="Arial"/>
          <w:b/>
          <w:kern w:val="0"/>
          <w:szCs w:val="21"/>
          <w:highlight w:val="none"/>
        </w:rPr>
        <w:t>1</w:t>
      </w:r>
      <w:r>
        <w:rPr>
          <w:rFonts w:ascii="Arial" w:hAnsi="宋体" w:cs="Arial"/>
          <w:b/>
          <w:kern w:val="0"/>
          <w:szCs w:val="21"/>
          <w:highlight w:val="none"/>
        </w:rPr>
        <w:t>）</w:t>
      </w:r>
      <w:r>
        <w:rPr>
          <w:rFonts w:ascii="Arial" w:hAnsi="Arial" w:cs="Arial"/>
          <w:b/>
          <w:kern w:val="0"/>
          <w:szCs w:val="21"/>
          <w:highlight w:val="none"/>
        </w:rPr>
        <w:t>-</w:t>
      </w:r>
      <w:r>
        <w:rPr>
          <w:rFonts w:ascii="Arial" w:hAnsi="宋体" w:cs="Arial"/>
          <w:b/>
          <w:kern w:val="0"/>
          <w:szCs w:val="21"/>
          <w:highlight w:val="none"/>
        </w:rPr>
        <w:t>（</w:t>
      </w:r>
      <w:r>
        <w:rPr>
          <w:rFonts w:hint="eastAsia" w:ascii="Arial" w:hAnsi="Arial" w:cs="Arial"/>
          <w:b/>
          <w:kern w:val="0"/>
          <w:szCs w:val="21"/>
          <w:highlight w:val="none"/>
        </w:rPr>
        <w:t>6</w:t>
      </w:r>
      <w:r>
        <w:rPr>
          <w:rFonts w:ascii="Arial" w:hAnsi="宋体" w:cs="Arial"/>
          <w:b/>
          <w:kern w:val="0"/>
          <w:szCs w:val="21"/>
          <w:highlight w:val="none"/>
        </w:rPr>
        <w:t>）所述材料</w:t>
      </w:r>
      <w:r>
        <w:rPr>
          <w:rFonts w:hint="eastAsia" w:ascii="Arial" w:hAnsi="宋体" w:cs="Arial"/>
          <w:b/>
          <w:kern w:val="0"/>
          <w:szCs w:val="21"/>
          <w:highlight w:val="none"/>
        </w:rPr>
        <w:t>不得</w:t>
      </w:r>
      <w:r>
        <w:rPr>
          <w:rFonts w:ascii="Arial" w:hAnsi="宋体" w:cs="Arial"/>
          <w:b/>
          <w:kern w:val="0"/>
          <w:szCs w:val="21"/>
          <w:highlight w:val="none"/>
        </w:rPr>
        <w:t>有缺失或提供不全或不满足招标文件的实质性要求</w:t>
      </w:r>
      <w:r>
        <w:rPr>
          <w:rFonts w:ascii="Arial" w:hAnsi="宋体" w:cs="Arial"/>
          <w:kern w:val="0"/>
          <w:szCs w:val="21"/>
          <w:highlight w:val="none"/>
        </w:rPr>
        <w:t>）：</w:t>
      </w:r>
    </w:p>
    <w:p>
      <w:pPr>
        <w:widowControl/>
        <w:shd w:val="clear" w:color="auto" w:fill="FFFFFF"/>
        <w:spacing w:line="360" w:lineRule="auto"/>
        <w:ind w:firstLine="420"/>
        <w:jc w:val="left"/>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1</w:t>
      </w:r>
      <w:r>
        <w:rPr>
          <w:rFonts w:ascii="Arial" w:hAnsi="宋体" w:cs="Arial"/>
          <w:kern w:val="0"/>
          <w:szCs w:val="21"/>
          <w:highlight w:val="none"/>
        </w:rPr>
        <w:t>）投标函（投标申请及声明）</w:t>
      </w:r>
      <w:r>
        <w:rPr>
          <w:rFonts w:ascii="Arial" w:hAnsi="宋体" w:cs="Arial"/>
          <w:bCs/>
          <w:szCs w:val="21"/>
          <w:highlight w:val="none"/>
        </w:rPr>
        <w:t>（</w:t>
      </w:r>
      <w:r>
        <w:rPr>
          <w:rFonts w:ascii="Arial" w:hAnsi="宋体" w:cs="Arial"/>
          <w:b/>
          <w:bCs/>
          <w:szCs w:val="21"/>
          <w:highlight w:val="none"/>
        </w:rPr>
        <w:t>格式见附件</w:t>
      </w:r>
      <w:r>
        <w:rPr>
          <w:rFonts w:ascii="Arial" w:hAnsi="宋体" w:cs="Arial"/>
          <w:bCs/>
          <w:szCs w:val="21"/>
          <w:highlight w:val="none"/>
        </w:rPr>
        <w:t>）</w:t>
      </w:r>
      <w:r>
        <w:rPr>
          <w:rFonts w:ascii="Arial" w:hAnsi="宋体" w:cs="Arial"/>
          <w:kern w:val="0"/>
          <w:szCs w:val="21"/>
          <w:highlight w:val="none"/>
        </w:rPr>
        <w:t>；</w:t>
      </w:r>
    </w:p>
    <w:p>
      <w:pPr>
        <w:widowControl/>
        <w:shd w:val="clear" w:color="auto" w:fill="FFFFFF"/>
        <w:spacing w:line="360" w:lineRule="auto"/>
        <w:ind w:firstLine="420" w:firstLineChars="200"/>
        <w:jc w:val="left"/>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2</w:t>
      </w:r>
      <w:r>
        <w:rPr>
          <w:rFonts w:ascii="Arial" w:hAnsi="宋体" w:cs="Arial"/>
          <w:kern w:val="0"/>
          <w:szCs w:val="21"/>
          <w:highlight w:val="none"/>
        </w:rPr>
        <w:t>）法定代表人授权委托书及委托代理人的身份证明文件的复印件</w:t>
      </w:r>
      <w:r>
        <w:rPr>
          <w:rFonts w:ascii="Arial" w:hAnsi="宋体" w:cs="Arial"/>
          <w:bCs/>
          <w:szCs w:val="21"/>
          <w:highlight w:val="none"/>
        </w:rPr>
        <w:t>（</w:t>
      </w:r>
      <w:r>
        <w:rPr>
          <w:rFonts w:ascii="Arial" w:hAnsi="宋体" w:cs="Arial"/>
          <w:b/>
          <w:bCs/>
          <w:szCs w:val="21"/>
          <w:highlight w:val="none"/>
        </w:rPr>
        <w:t>格式见附件</w:t>
      </w:r>
      <w:r>
        <w:rPr>
          <w:rFonts w:ascii="Arial" w:hAnsi="宋体" w:cs="Arial"/>
          <w:bCs/>
          <w:szCs w:val="21"/>
          <w:highlight w:val="none"/>
        </w:rPr>
        <w:t>）</w:t>
      </w:r>
      <w:r>
        <w:rPr>
          <w:rFonts w:ascii="Arial" w:hAnsi="宋体" w:cs="Arial"/>
          <w:kern w:val="0"/>
          <w:szCs w:val="21"/>
          <w:highlight w:val="none"/>
        </w:rPr>
        <w:t>；</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3</w:t>
      </w:r>
      <w:r>
        <w:rPr>
          <w:rFonts w:ascii="Arial" w:hAnsi="宋体" w:cs="Arial"/>
          <w:kern w:val="0"/>
          <w:szCs w:val="21"/>
          <w:highlight w:val="none"/>
        </w:rPr>
        <w:t>）</w:t>
      </w:r>
      <w:r>
        <w:rPr>
          <w:rFonts w:hint="eastAsia" w:ascii="Arial" w:hAnsi="宋体" w:cs="Arial"/>
          <w:kern w:val="0"/>
          <w:szCs w:val="21"/>
          <w:highlight w:val="none"/>
          <w:lang w:eastAsia="zh-CN"/>
        </w:rPr>
        <w:t>供应商</w:t>
      </w:r>
      <w:r>
        <w:rPr>
          <w:rFonts w:ascii="Arial" w:hAnsi="宋体" w:cs="Arial"/>
          <w:kern w:val="0"/>
          <w:szCs w:val="21"/>
          <w:highlight w:val="none"/>
        </w:rPr>
        <w:t>资格资信证明文件：</w:t>
      </w:r>
    </w:p>
    <w:p>
      <w:pPr>
        <w:pStyle w:val="137"/>
        <w:numPr>
          <w:ilvl w:val="1"/>
          <w:numId w:val="3"/>
        </w:numPr>
        <w:tabs>
          <w:tab w:val="left" w:pos="840"/>
          <w:tab w:val="clear" w:pos="990"/>
        </w:tabs>
        <w:spacing w:line="360" w:lineRule="auto"/>
        <w:ind w:left="0" w:firstLine="367" w:firstLineChars="175"/>
        <w:rPr>
          <w:rFonts w:ascii="Arial" w:hAnsi="Arial" w:cs="Arial"/>
          <w:bCs/>
          <w:szCs w:val="21"/>
          <w:highlight w:val="none"/>
        </w:rPr>
      </w:pPr>
      <w:r>
        <w:rPr>
          <w:rFonts w:ascii="Arial" w:hAnsi="宋体" w:cs="Arial"/>
          <w:bCs/>
          <w:szCs w:val="21"/>
          <w:highlight w:val="none"/>
        </w:rPr>
        <w:t>第一章</w:t>
      </w:r>
      <w:r>
        <w:rPr>
          <w:rFonts w:hint="eastAsia" w:ascii="Arial" w:hAnsi="宋体" w:cs="Arial"/>
          <w:bCs/>
          <w:szCs w:val="21"/>
          <w:highlight w:val="none"/>
        </w:rPr>
        <w:t>招标</w:t>
      </w:r>
      <w:r>
        <w:rPr>
          <w:rFonts w:ascii="Arial" w:hAnsi="宋体" w:cs="Arial"/>
          <w:bCs/>
          <w:szCs w:val="21"/>
          <w:highlight w:val="none"/>
        </w:rPr>
        <w:t>公告中</w:t>
      </w:r>
      <w:r>
        <w:rPr>
          <w:rFonts w:ascii="Arial" w:hAnsi="Arial" w:cs="Arial"/>
          <w:bCs/>
          <w:szCs w:val="21"/>
          <w:highlight w:val="none"/>
        </w:rPr>
        <w:t xml:space="preserve"> </w:t>
      </w:r>
      <w:r>
        <w:rPr>
          <w:rFonts w:hint="eastAsia" w:ascii="Arial" w:hAnsi="Arial" w:cs="Arial"/>
          <w:bCs/>
          <w:szCs w:val="21"/>
          <w:highlight w:val="none"/>
        </w:rPr>
        <w:t>2</w:t>
      </w:r>
      <w:r>
        <w:rPr>
          <w:rFonts w:ascii="Arial" w:hAnsi="Arial" w:cs="Arial"/>
          <w:bCs/>
          <w:szCs w:val="21"/>
          <w:highlight w:val="none"/>
        </w:rPr>
        <w:t>.1</w:t>
      </w:r>
      <w:r>
        <w:rPr>
          <w:rFonts w:ascii="Arial" w:hAnsi="宋体" w:cs="Arial"/>
          <w:bCs/>
          <w:szCs w:val="21"/>
          <w:highlight w:val="none"/>
        </w:rPr>
        <w:t>《中华人民共和国政府采购法》规定的资格条件证明文件；</w:t>
      </w:r>
    </w:p>
    <w:p>
      <w:pPr>
        <w:pStyle w:val="137"/>
        <w:numPr>
          <w:ilvl w:val="1"/>
          <w:numId w:val="3"/>
        </w:numPr>
        <w:tabs>
          <w:tab w:val="left" w:pos="840"/>
          <w:tab w:val="clear" w:pos="990"/>
        </w:tabs>
        <w:spacing w:line="360" w:lineRule="auto"/>
        <w:ind w:left="0" w:firstLine="367" w:firstLineChars="175"/>
        <w:rPr>
          <w:rFonts w:ascii="Arial" w:hAnsi="Arial" w:cs="Arial"/>
          <w:bCs/>
          <w:szCs w:val="21"/>
          <w:highlight w:val="none"/>
        </w:rPr>
      </w:pPr>
      <w:r>
        <w:rPr>
          <w:rFonts w:ascii="Arial" w:hAnsi="宋体" w:cs="Arial"/>
          <w:bCs/>
          <w:szCs w:val="21"/>
          <w:highlight w:val="none"/>
        </w:rPr>
        <w:t>第一章</w:t>
      </w:r>
      <w:r>
        <w:rPr>
          <w:rFonts w:hint="eastAsia" w:ascii="Arial" w:hAnsi="宋体" w:cs="Arial"/>
          <w:bCs/>
          <w:szCs w:val="21"/>
          <w:highlight w:val="none"/>
        </w:rPr>
        <w:t>招标</w:t>
      </w:r>
      <w:r>
        <w:rPr>
          <w:rFonts w:ascii="Arial" w:hAnsi="宋体" w:cs="Arial"/>
          <w:bCs/>
          <w:szCs w:val="21"/>
          <w:highlight w:val="none"/>
        </w:rPr>
        <w:t>公告中</w:t>
      </w:r>
      <w:r>
        <w:rPr>
          <w:rFonts w:ascii="Arial" w:hAnsi="Arial" w:cs="Arial"/>
          <w:bCs/>
          <w:szCs w:val="21"/>
          <w:highlight w:val="none"/>
        </w:rPr>
        <w:t xml:space="preserve"> </w:t>
      </w:r>
      <w:r>
        <w:rPr>
          <w:rFonts w:hint="eastAsia" w:ascii="Arial" w:hAnsi="Arial" w:cs="Arial"/>
          <w:bCs/>
          <w:szCs w:val="21"/>
          <w:highlight w:val="none"/>
        </w:rPr>
        <w:t>2</w:t>
      </w:r>
      <w:r>
        <w:rPr>
          <w:rFonts w:ascii="Arial" w:hAnsi="Arial" w:cs="Arial"/>
          <w:bCs/>
          <w:szCs w:val="21"/>
          <w:highlight w:val="none"/>
        </w:rPr>
        <w:t>.</w:t>
      </w:r>
      <w:r>
        <w:rPr>
          <w:rFonts w:hint="eastAsia" w:ascii="Arial" w:hAnsi="Arial" w:cs="Arial"/>
          <w:bCs/>
          <w:szCs w:val="21"/>
          <w:highlight w:val="none"/>
        </w:rPr>
        <w:t>2</w:t>
      </w:r>
      <w:r>
        <w:rPr>
          <w:rFonts w:ascii="Arial" w:hAnsi="Arial" w:cs="Arial"/>
          <w:spacing w:val="8"/>
          <w:kern w:val="0"/>
          <w:szCs w:val="21"/>
          <w:highlight w:val="none"/>
        </w:rPr>
        <w:t>落实政府采购政策需满足的资格要求</w:t>
      </w:r>
      <w:r>
        <w:rPr>
          <w:rFonts w:hint="eastAsia" w:ascii="Arial" w:hAnsi="Arial" w:cs="Arial"/>
          <w:spacing w:val="8"/>
          <w:kern w:val="0"/>
          <w:szCs w:val="21"/>
          <w:highlight w:val="none"/>
        </w:rPr>
        <w:t>；</w:t>
      </w:r>
    </w:p>
    <w:p>
      <w:pPr>
        <w:pStyle w:val="137"/>
        <w:numPr>
          <w:ilvl w:val="1"/>
          <w:numId w:val="3"/>
        </w:numPr>
        <w:tabs>
          <w:tab w:val="left" w:pos="840"/>
          <w:tab w:val="clear" w:pos="990"/>
        </w:tabs>
        <w:spacing w:line="360" w:lineRule="auto"/>
        <w:ind w:left="0" w:firstLine="367" w:firstLineChars="175"/>
        <w:rPr>
          <w:rFonts w:ascii="Arial" w:hAnsi="Arial" w:cs="Arial"/>
          <w:bCs/>
          <w:szCs w:val="21"/>
          <w:highlight w:val="none"/>
        </w:rPr>
      </w:pPr>
      <w:r>
        <w:rPr>
          <w:rFonts w:ascii="Arial" w:hAnsi="宋体" w:cs="Arial"/>
          <w:bCs/>
          <w:szCs w:val="21"/>
          <w:highlight w:val="none"/>
        </w:rPr>
        <w:t>第一章</w:t>
      </w:r>
      <w:r>
        <w:rPr>
          <w:rFonts w:hint="eastAsia" w:ascii="Arial" w:hAnsi="宋体" w:cs="Arial"/>
          <w:bCs/>
          <w:szCs w:val="21"/>
          <w:highlight w:val="none"/>
        </w:rPr>
        <w:t>招标</w:t>
      </w:r>
      <w:r>
        <w:rPr>
          <w:rFonts w:ascii="Arial" w:hAnsi="宋体" w:cs="Arial"/>
          <w:bCs/>
          <w:szCs w:val="21"/>
          <w:highlight w:val="none"/>
        </w:rPr>
        <w:t>公告中</w:t>
      </w:r>
      <w:r>
        <w:rPr>
          <w:rFonts w:ascii="Arial" w:hAnsi="Arial" w:cs="Arial"/>
          <w:bCs/>
          <w:szCs w:val="21"/>
          <w:highlight w:val="none"/>
        </w:rPr>
        <w:t xml:space="preserve"> </w:t>
      </w:r>
      <w:r>
        <w:rPr>
          <w:rFonts w:hint="eastAsia" w:ascii="Arial" w:hAnsi="Arial" w:cs="Arial"/>
          <w:bCs/>
          <w:szCs w:val="21"/>
          <w:highlight w:val="none"/>
        </w:rPr>
        <w:t>2</w:t>
      </w:r>
      <w:r>
        <w:rPr>
          <w:rFonts w:ascii="Arial" w:hAnsi="Arial" w:cs="Arial"/>
          <w:bCs/>
          <w:szCs w:val="21"/>
          <w:highlight w:val="none"/>
        </w:rPr>
        <w:t>.</w:t>
      </w:r>
      <w:r>
        <w:rPr>
          <w:rFonts w:hint="eastAsia" w:ascii="Arial" w:hAnsi="Arial" w:cs="Arial"/>
          <w:bCs/>
          <w:szCs w:val="21"/>
          <w:highlight w:val="none"/>
        </w:rPr>
        <w:t>3</w:t>
      </w:r>
      <w:r>
        <w:rPr>
          <w:rFonts w:ascii="Arial" w:hAnsi="Arial" w:cs="Arial"/>
          <w:bCs/>
          <w:szCs w:val="21"/>
          <w:highlight w:val="none"/>
        </w:rPr>
        <w:t xml:space="preserve"> </w:t>
      </w:r>
      <w:r>
        <w:rPr>
          <w:rFonts w:ascii="Arial" w:hAnsi="宋体" w:cs="Arial"/>
          <w:bCs/>
          <w:szCs w:val="21"/>
          <w:highlight w:val="none"/>
        </w:rPr>
        <w:t>采购人根据采购项目的特殊要求规定的特定条件证明文件</w:t>
      </w:r>
      <w:r>
        <w:rPr>
          <w:rFonts w:hint="eastAsia" w:ascii="Arial" w:hAnsi="宋体" w:cs="Arial"/>
          <w:bCs/>
          <w:szCs w:val="21"/>
          <w:highlight w:val="none"/>
        </w:rPr>
        <w:t>。</w:t>
      </w:r>
    </w:p>
    <w:p>
      <w:pPr>
        <w:widowControl/>
        <w:shd w:val="clear" w:color="auto" w:fill="FFFFFF"/>
        <w:spacing w:line="360" w:lineRule="auto"/>
        <w:ind w:firstLine="420" w:firstLineChars="200"/>
        <w:jc w:val="left"/>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4</w:t>
      </w:r>
      <w:r>
        <w:rPr>
          <w:rFonts w:ascii="Arial" w:hAnsi="宋体" w:cs="Arial"/>
          <w:kern w:val="0"/>
          <w:szCs w:val="21"/>
          <w:highlight w:val="none"/>
        </w:rPr>
        <w:t>）开标一览表</w:t>
      </w:r>
      <w:r>
        <w:rPr>
          <w:rFonts w:ascii="Arial" w:hAnsi="宋体" w:cs="Arial"/>
          <w:bCs/>
          <w:szCs w:val="21"/>
          <w:highlight w:val="none"/>
        </w:rPr>
        <w:t>（</w:t>
      </w:r>
      <w:r>
        <w:rPr>
          <w:rFonts w:ascii="Arial" w:hAnsi="宋体" w:cs="Arial"/>
          <w:b/>
          <w:bCs/>
          <w:szCs w:val="21"/>
          <w:highlight w:val="none"/>
        </w:rPr>
        <w:t>格式见附件</w:t>
      </w:r>
      <w:r>
        <w:rPr>
          <w:rFonts w:ascii="Arial" w:hAnsi="宋体" w:cs="Arial"/>
          <w:bCs/>
          <w:szCs w:val="21"/>
          <w:highlight w:val="none"/>
        </w:rPr>
        <w:t>）；</w:t>
      </w:r>
    </w:p>
    <w:p>
      <w:pPr>
        <w:widowControl/>
        <w:shd w:val="clear" w:color="auto" w:fill="FFFFFF"/>
        <w:spacing w:line="360" w:lineRule="auto"/>
        <w:ind w:firstLine="420"/>
        <w:jc w:val="left"/>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5</w:t>
      </w:r>
      <w:r>
        <w:rPr>
          <w:rFonts w:ascii="Arial" w:hAnsi="宋体" w:cs="Arial"/>
          <w:kern w:val="0"/>
          <w:szCs w:val="21"/>
          <w:highlight w:val="none"/>
        </w:rPr>
        <w:t>）</w:t>
      </w:r>
      <w:r>
        <w:rPr>
          <w:rFonts w:hint="eastAsia" w:ascii="Arial" w:hAnsi="宋体" w:cs="Arial"/>
          <w:kern w:val="0"/>
          <w:szCs w:val="21"/>
          <w:highlight w:val="none"/>
          <w:lang w:eastAsia="zh-CN"/>
        </w:rPr>
        <w:t>供应商</w:t>
      </w:r>
      <w:r>
        <w:rPr>
          <w:rFonts w:ascii="Arial" w:hAnsi="宋体" w:cs="Arial"/>
          <w:kern w:val="0"/>
          <w:szCs w:val="21"/>
          <w:highlight w:val="none"/>
        </w:rPr>
        <w:t>缴纳投标保证金凭证（如需要）；</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（6）《南京市政府采购供应商信用记录表》</w:t>
      </w:r>
      <w:r>
        <w:rPr>
          <w:rFonts w:ascii="Arial" w:hAnsi="Arial" w:cs="Arial"/>
          <w:b/>
          <w:szCs w:val="21"/>
          <w:highlight w:val="none"/>
          <w:lang w:val="zh-CN"/>
        </w:rPr>
        <w:t>（</w:t>
      </w:r>
      <w:r>
        <w:rPr>
          <w:rFonts w:hint="eastAsia" w:ascii="Arial" w:hAnsi="Arial" w:cs="Arial"/>
          <w:b/>
          <w:szCs w:val="21"/>
          <w:highlight w:val="none"/>
          <w:lang w:val="zh-CN"/>
        </w:rPr>
        <w:t>如招标公告中要求提供</w:t>
      </w:r>
      <w:r>
        <w:rPr>
          <w:rFonts w:ascii="Arial" w:hAnsi="Arial" w:cs="Arial"/>
          <w:b/>
          <w:szCs w:val="21"/>
          <w:highlight w:val="none"/>
          <w:lang w:val="zh-CN"/>
        </w:rPr>
        <w:t>）</w:t>
      </w:r>
      <w:r>
        <w:rPr>
          <w:rFonts w:hint="eastAsia" w:ascii="Arial" w:hAnsi="Arial" w:cs="Arial"/>
          <w:b/>
          <w:szCs w:val="21"/>
          <w:highlight w:val="none"/>
          <w:lang w:val="zh-CN"/>
        </w:rPr>
        <w:t>；</w:t>
      </w:r>
    </w:p>
    <w:p>
      <w:pPr>
        <w:widowControl/>
        <w:shd w:val="clear" w:color="auto" w:fill="FFFFFF"/>
        <w:spacing w:line="360" w:lineRule="auto"/>
        <w:ind w:firstLine="420"/>
        <w:jc w:val="left"/>
        <w:rPr>
          <w:rFonts w:ascii="Arial" w:hAnsi="Arial" w:cs="Arial"/>
          <w:kern w:val="0"/>
          <w:szCs w:val="21"/>
          <w:highlight w:val="none"/>
        </w:rPr>
      </w:pPr>
      <w:r>
        <w:rPr>
          <w:rFonts w:hint="eastAsia" w:ascii="Arial" w:hAnsi="Arial" w:cs="Arial"/>
          <w:b/>
          <w:bCs/>
          <w:kern w:val="0"/>
          <w:szCs w:val="21"/>
          <w:highlight w:val="none"/>
          <w:lang w:eastAsia="zh-CN"/>
        </w:rPr>
        <w:t>★</w:t>
      </w:r>
      <w:r>
        <w:rPr>
          <w:rFonts w:ascii="Arial" w:hAnsi="宋体" w:cs="Arial"/>
          <w:kern w:val="0"/>
          <w:szCs w:val="21"/>
          <w:highlight w:val="none"/>
        </w:rPr>
        <w:t>（</w:t>
      </w:r>
      <w:r>
        <w:rPr>
          <w:rFonts w:ascii="Arial" w:hAnsi="Arial" w:cs="Arial"/>
          <w:kern w:val="0"/>
          <w:szCs w:val="21"/>
          <w:highlight w:val="none"/>
        </w:rPr>
        <w:t>7</w:t>
      </w:r>
      <w:r>
        <w:rPr>
          <w:rFonts w:ascii="Arial" w:hAnsi="宋体" w:cs="Arial"/>
          <w:kern w:val="0"/>
          <w:szCs w:val="21"/>
          <w:highlight w:val="none"/>
        </w:rPr>
        <w:t>）《商务条款偏离表》；</w:t>
      </w:r>
    </w:p>
    <w:p>
      <w:pPr>
        <w:widowControl/>
        <w:shd w:val="clear" w:color="auto" w:fill="FFFFFF"/>
        <w:spacing w:line="360" w:lineRule="auto"/>
        <w:ind w:firstLine="420"/>
        <w:jc w:val="left"/>
        <w:rPr>
          <w:rFonts w:ascii="Arial" w:hAnsi="Arial" w:cs="Arial"/>
          <w:kern w:val="0"/>
          <w:szCs w:val="21"/>
          <w:highlight w:val="none"/>
        </w:rPr>
      </w:pPr>
      <w:r>
        <w:rPr>
          <w:rFonts w:hint="eastAsia" w:ascii="Arial" w:hAnsi="Arial" w:cs="Arial"/>
          <w:b/>
          <w:bCs/>
          <w:kern w:val="0"/>
          <w:szCs w:val="21"/>
          <w:highlight w:val="none"/>
          <w:lang w:eastAsia="zh-CN"/>
        </w:rPr>
        <w:t>★</w:t>
      </w:r>
      <w:r>
        <w:rPr>
          <w:rFonts w:ascii="Arial" w:hAnsi="宋体" w:cs="Arial"/>
          <w:kern w:val="0"/>
          <w:szCs w:val="21"/>
          <w:highlight w:val="none"/>
        </w:rPr>
        <w:t>（</w:t>
      </w:r>
      <w:r>
        <w:rPr>
          <w:rFonts w:ascii="Arial" w:hAnsi="Arial" w:cs="Arial"/>
          <w:kern w:val="0"/>
          <w:szCs w:val="21"/>
          <w:highlight w:val="none"/>
        </w:rPr>
        <w:t>8</w:t>
      </w:r>
      <w:r>
        <w:rPr>
          <w:rFonts w:ascii="Arial" w:hAnsi="宋体" w:cs="Arial"/>
          <w:kern w:val="0"/>
          <w:szCs w:val="21"/>
          <w:highlight w:val="none"/>
        </w:rPr>
        <w:t>）分项报价表</w:t>
      </w:r>
      <w:r>
        <w:rPr>
          <w:rFonts w:ascii="Arial" w:hAnsi="宋体" w:cs="Arial"/>
          <w:bCs/>
          <w:szCs w:val="21"/>
          <w:highlight w:val="none"/>
        </w:rPr>
        <w:t>（</w:t>
      </w:r>
      <w:r>
        <w:rPr>
          <w:rFonts w:ascii="Arial" w:hAnsi="宋体" w:cs="Arial"/>
          <w:b/>
          <w:bCs/>
          <w:szCs w:val="21"/>
          <w:highlight w:val="none"/>
        </w:rPr>
        <w:t>格式见附件</w:t>
      </w:r>
      <w:r>
        <w:rPr>
          <w:rFonts w:ascii="Arial" w:hAnsi="宋体" w:cs="Arial"/>
          <w:bCs/>
          <w:szCs w:val="21"/>
          <w:highlight w:val="none"/>
        </w:rPr>
        <w:t>）</w:t>
      </w:r>
      <w:r>
        <w:rPr>
          <w:rFonts w:ascii="Arial" w:hAnsi="宋体" w:cs="Arial"/>
          <w:kern w:val="0"/>
          <w:szCs w:val="21"/>
          <w:highlight w:val="none"/>
        </w:rPr>
        <w:t>；</w:t>
      </w:r>
    </w:p>
    <w:p>
      <w:pPr>
        <w:widowControl/>
        <w:shd w:val="clear" w:color="auto" w:fill="FFFFFF"/>
        <w:spacing w:line="360" w:lineRule="auto"/>
        <w:ind w:firstLine="420"/>
        <w:jc w:val="left"/>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9</w:t>
      </w:r>
      <w:r>
        <w:rPr>
          <w:rFonts w:ascii="Arial" w:hAnsi="宋体" w:cs="Arial"/>
          <w:kern w:val="0"/>
          <w:szCs w:val="21"/>
          <w:highlight w:val="none"/>
        </w:rPr>
        <w:t>）第三章评标标准中对应的其它所需证明材料（如有自行添加）；</w:t>
      </w:r>
    </w:p>
    <w:p>
      <w:pPr>
        <w:widowControl/>
        <w:shd w:val="clear" w:color="auto" w:fill="FFFFFF"/>
        <w:spacing w:line="360" w:lineRule="auto"/>
        <w:ind w:firstLine="420"/>
        <w:jc w:val="left"/>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10</w:t>
      </w:r>
      <w:r>
        <w:rPr>
          <w:rFonts w:ascii="Arial" w:hAnsi="宋体" w:cs="Arial"/>
          <w:kern w:val="0"/>
          <w:szCs w:val="21"/>
          <w:highlight w:val="none"/>
        </w:rPr>
        <w:t>）要求采购人提供的配合（如有自拟并自行添加）；</w:t>
      </w:r>
    </w:p>
    <w:p>
      <w:pPr>
        <w:widowControl/>
        <w:shd w:val="clear" w:color="auto" w:fill="FFFFFF"/>
        <w:spacing w:line="360" w:lineRule="auto"/>
        <w:ind w:firstLine="420"/>
        <w:jc w:val="left"/>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11</w:t>
      </w:r>
      <w:r>
        <w:rPr>
          <w:rFonts w:ascii="Arial" w:hAnsi="宋体" w:cs="Arial"/>
          <w:kern w:val="0"/>
          <w:szCs w:val="21"/>
          <w:highlight w:val="none"/>
        </w:rPr>
        <w:t>）其它（</w:t>
      </w:r>
      <w:r>
        <w:rPr>
          <w:rFonts w:hint="eastAsia" w:ascii="Arial" w:hAnsi="宋体" w:cs="Arial"/>
          <w:kern w:val="0"/>
          <w:szCs w:val="21"/>
          <w:highlight w:val="none"/>
          <w:lang w:eastAsia="zh-CN"/>
        </w:rPr>
        <w:t>供应商</w:t>
      </w:r>
      <w:r>
        <w:rPr>
          <w:rFonts w:ascii="Arial" w:hAnsi="宋体" w:cs="Arial"/>
          <w:kern w:val="0"/>
          <w:szCs w:val="21"/>
          <w:highlight w:val="none"/>
        </w:rPr>
        <w:t>认为有必要提供的声明和文件，如有，自行拟定并添加）。</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b/>
          <w:bCs/>
          <w:kern w:val="0"/>
          <w:szCs w:val="21"/>
          <w:highlight w:val="none"/>
        </w:rPr>
        <w:t>10</w:t>
      </w:r>
      <w:r>
        <w:rPr>
          <w:rFonts w:ascii="Arial" w:hAnsi="宋体" w:cs="Arial"/>
          <w:b/>
          <w:bCs/>
          <w:kern w:val="0"/>
          <w:szCs w:val="21"/>
          <w:highlight w:val="none"/>
        </w:rPr>
        <w:t>、投标文件的技术部分</w:t>
      </w:r>
    </w:p>
    <w:p>
      <w:pPr>
        <w:widowControl/>
        <w:adjustRightInd w:val="0"/>
        <w:spacing w:line="360" w:lineRule="auto"/>
        <w:ind w:firstLine="420"/>
        <w:jc w:val="left"/>
        <w:rPr>
          <w:rFonts w:ascii="Arial" w:hAnsi="Arial" w:cs="Arial"/>
          <w:szCs w:val="21"/>
          <w:highlight w:val="none"/>
          <w:lang w:val="zh-CN"/>
        </w:rPr>
      </w:pPr>
      <w:r>
        <w:rPr>
          <w:rFonts w:ascii="Arial" w:hAnsi="宋体" w:cs="Arial"/>
          <w:szCs w:val="21"/>
          <w:highlight w:val="none"/>
          <w:lang w:val="zh-CN"/>
        </w:rPr>
        <w:t>技术部分是证明</w:t>
      </w:r>
      <w:r>
        <w:rPr>
          <w:rFonts w:hint="eastAsia" w:ascii="Arial" w:hAnsi="宋体" w:cs="Arial"/>
          <w:szCs w:val="21"/>
          <w:highlight w:val="none"/>
          <w:lang w:eastAsia="zh-CN"/>
        </w:rPr>
        <w:t>供应商</w:t>
      </w:r>
      <w:r>
        <w:rPr>
          <w:rFonts w:ascii="Arial" w:hAnsi="宋体" w:cs="Arial"/>
          <w:szCs w:val="21"/>
          <w:highlight w:val="none"/>
        </w:rPr>
        <w:t>提供的货物和服务是合格的、并符合招标文件要求的证明文件，以及</w:t>
      </w:r>
      <w:r>
        <w:rPr>
          <w:rFonts w:ascii="Arial" w:hAnsi="宋体" w:cs="Arial"/>
          <w:szCs w:val="21"/>
          <w:highlight w:val="none"/>
          <w:lang w:val="zh-CN"/>
        </w:rPr>
        <w:t>对货物和服务的详细说明，这些文件可以是文字资料、图纸和数据等。提供的货物和服务如与招标文件要求有不符之处，应说明其差别之所在。包括但不限于下</w:t>
      </w:r>
      <w:r>
        <w:rPr>
          <w:rFonts w:ascii="Arial" w:hAnsi="Arial" w:cs="Arial"/>
          <w:szCs w:val="21"/>
          <w:highlight w:val="none"/>
          <w:lang w:val="zh-CN"/>
        </w:rPr>
        <w:t>列文件：</w:t>
      </w:r>
    </w:p>
    <w:p>
      <w:pPr>
        <w:widowControl/>
        <w:adjustRightInd w:val="0"/>
        <w:spacing w:line="360" w:lineRule="auto"/>
        <w:ind w:firstLine="420"/>
        <w:jc w:val="left"/>
        <w:rPr>
          <w:rFonts w:ascii="Arial" w:hAnsi="Arial" w:cs="Arial"/>
          <w:kern w:val="0"/>
          <w:szCs w:val="21"/>
          <w:highlight w:val="none"/>
          <w:lang w:val="zh-CN"/>
        </w:rPr>
      </w:pPr>
      <w:r>
        <w:rPr>
          <w:rFonts w:hint="eastAsia" w:ascii="Arial" w:hAnsi="Arial" w:cs="Arial"/>
          <w:b/>
          <w:bCs/>
          <w:kern w:val="0"/>
          <w:szCs w:val="21"/>
          <w:highlight w:val="none"/>
          <w:lang w:eastAsia="zh-CN"/>
        </w:rPr>
        <w:t>★</w:t>
      </w:r>
      <w:r>
        <w:rPr>
          <w:rFonts w:ascii="Arial" w:hAnsi="宋体" w:cs="Arial"/>
          <w:kern w:val="0"/>
          <w:szCs w:val="21"/>
          <w:highlight w:val="none"/>
          <w:lang w:val="zh-CN"/>
        </w:rPr>
        <w:t>（</w:t>
      </w:r>
      <w:r>
        <w:rPr>
          <w:rFonts w:ascii="Arial" w:hAnsi="Arial" w:cs="Arial"/>
          <w:kern w:val="0"/>
          <w:szCs w:val="21"/>
          <w:highlight w:val="none"/>
          <w:lang w:val="zh-CN"/>
        </w:rPr>
        <w:t>1</w:t>
      </w:r>
      <w:r>
        <w:rPr>
          <w:rFonts w:ascii="Arial" w:hAnsi="宋体" w:cs="Arial"/>
          <w:kern w:val="0"/>
          <w:szCs w:val="21"/>
          <w:highlight w:val="none"/>
          <w:lang w:val="zh-CN"/>
        </w:rPr>
        <w:t>）技术说明或服务方案；</w:t>
      </w:r>
    </w:p>
    <w:p>
      <w:pPr>
        <w:widowControl/>
        <w:adjustRightInd w:val="0"/>
        <w:spacing w:line="360" w:lineRule="auto"/>
        <w:ind w:firstLine="420"/>
        <w:jc w:val="left"/>
        <w:rPr>
          <w:rFonts w:ascii="Arial" w:hAnsi="Arial" w:cs="Arial"/>
          <w:kern w:val="0"/>
          <w:szCs w:val="21"/>
          <w:highlight w:val="none"/>
          <w:lang w:val="zh-CN"/>
        </w:rPr>
      </w:pPr>
      <w:r>
        <w:rPr>
          <w:rFonts w:hint="eastAsia" w:ascii="Arial" w:hAnsi="Arial" w:cs="Arial"/>
          <w:b/>
          <w:bCs/>
          <w:kern w:val="0"/>
          <w:szCs w:val="21"/>
          <w:highlight w:val="none"/>
          <w:lang w:eastAsia="zh-CN"/>
        </w:rPr>
        <w:t>★</w:t>
      </w:r>
      <w:r>
        <w:rPr>
          <w:rFonts w:ascii="Arial" w:hAnsi="宋体" w:cs="Arial"/>
          <w:kern w:val="0"/>
          <w:szCs w:val="21"/>
          <w:highlight w:val="none"/>
          <w:lang w:val="zh-CN"/>
        </w:rPr>
        <w:t>（</w:t>
      </w:r>
      <w:r>
        <w:rPr>
          <w:rFonts w:ascii="Arial" w:hAnsi="Arial" w:cs="Arial"/>
          <w:kern w:val="0"/>
          <w:szCs w:val="21"/>
          <w:highlight w:val="none"/>
          <w:lang w:val="zh-CN"/>
        </w:rPr>
        <w:t>2</w:t>
      </w:r>
      <w:r>
        <w:rPr>
          <w:rFonts w:ascii="Arial" w:hAnsi="宋体" w:cs="Arial"/>
          <w:kern w:val="0"/>
          <w:szCs w:val="21"/>
          <w:highlight w:val="none"/>
          <w:lang w:val="zh-CN"/>
        </w:rPr>
        <w:t>）《技术条款偏离表》；</w:t>
      </w:r>
    </w:p>
    <w:p>
      <w:pPr>
        <w:widowControl/>
        <w:adjustRightInd w:val="0"/>
        <w:spacing w:line="360" w:lineRule="auto"/>
        <w:ind w:firstLine="420"/>
        <w:jc w:val="left"/>
        <w:rPr>
          <w:rFonts w:ascii="Arial" w:hAnsi="Arial" w:cs="Arial"/>
          <w:kern w:val="0"/>
          <w:szCs w:val="21"/>
          <w:highlight w:val="none"/>
          <w:lang w:val="zh-CN"/>
        </w:rPr>
      </w:pPr>
      <w:r>
        <w:rPr>
          <w:rFonts w:hint="eastAsia" w:ascii="Arial" w:hAnsi="Arial" w:cs="Arial"/>
          <w:b/>
          <w:bCs/>
          <w:kern w:val="0"/>
          <w:szCs w:val="21"/>
          <w:highlight w:val="none"/>
          <w:lang w:eastAsia="zh-CN"/>
        </w:rPr>
        <w:t>★</w:t>
      </w:r>
      <w:r>
        <w:rPr>
          <w:rFonts w:ascii="Arial" w:hAnsi="宋体" w:cs="Arial"/>
          <w:kern w:val="0"/>
          <w:szCs w:val="21"/>
          <w:highlight w:val="none"/>
          <w:lang w:val="zh-CN"/>
        </w:rPr>
        <w:t>（</w:t>
      </w:r>
      <w:r>
        <w:rPr>
          <w:rFonts w:ascii="Arial" w:hAnsi="Arial" w:cs="Arial"/>
          <w:kern w:val="0"/>
          <w:szCs w:val="21"/>
          <w:highlight w:val="none"/>
          <w:lang w:val="zh-CN"/>
        </w:rPr>
        <w:t>3</w:t>
      </w:r>
      <w:r>
        <w:rPr>
          <w:rFonts w:ascii="Arial" w:hAnsi="宋体" w:cs="Arial"/>
          <w:kern w:val="0"/>
          <w:szCs w:val="21"/>
          <w:highlight w:val="none"/>
          <w:lang w:val="zh-CN"/>
        </w:rPr>
        <w:t>）服务承诺；</w:t>
      </w:r>
    </w:p>
    <w:p>
      <w:pPr>
        <w:widowControl/>
        <w:adjustRightInd w:val="0"/>
        <w:spacing w:line="360" w:lineRule="auto"/>
        <w:ind w:firstLine="420"/>
        <w:jc w:val="left"/>
        <w:rPr>
          <w:rFonts w:ascii="Arial" w:hAnsi="Arial" w:cs="Arial"/>
          <w:kern w:val="0"/>
          <w:szCs w:val="21"/>
          <w:highlight w:val="none"/>
          <w:lang w:val="zh-CN"/>
        </w:rPr>
      </w:pPr>
      <w:r>
        <w:rPr>
          <w:rFonts w:ascii="Arial" w:hAnsi="宋体" w:cs="Arial"/>
          <w:kern w:val="0"/>
          <w:szCs w:val="21"/>
          <w:highlight w:val="none"/>
          <w:lang w:val="zh-CN"/>
        </w:rPr>
        <w:t>（</w:t>
      </w:r>
      <w:r>
        <w:rPr>
          <w:rFonts w:ascii="Arial" w:hAnsi="Arial" w:cs="Arial"/>
          <w:kern w:val="0"/>
          <w:szCs w:val="21"/>
          <w:highlight w:val="none"/>
          <w:lang w:val="zh-CN"/>
        </w:rPr>
        <w:t>4</w:t>
      </w:r>
      <w:r>
        <w:rPr>
          <w:rFonts w:ascii="Arial" w:hAnsi="宋体" w:cs="Arial"/>
          <w:kern w:val="0"/>
          <w:szCs w:val="21"/>
          <w:highlight w:val="none"/>
          <w:lang w:val="zh-CN"/>
        </w:rPr>
        <w:t>）</w:t>
      </w:r>
      <w:r>
        <w:rPr>
          <w:rFonts w:hint="eastAsia" w:ascii="Arial" w:hAnsi="宋体" w:cs="Arial"/>
          <w:kern w:val="0"/>
          <w:szCs w:val="21"/>
          <w:highlight w:val="none"/>
          <w:lang w:val="zh-CN"/>
        </w:rPr>
        <w:t>供应商</w:t>
      </w:r>
      <w:r>
        <w:rPr>
          <w:rFonts w:ascii="Arial" w:hAnsi="宋体" w:cs="Arial"/>
          <w:kern w:val="0"/>
          <w:szCs w:val="21"/>
          <w:highlight w:val="none"/>
          <w:lang w:val="zh-CN"/>
        </w:rPr>
        <w:t>拟投入本项目的设备、人员情况一览表；</w:t>
      </w:r>
    </w:p>
    <w:p>
      <w:pPr>
        <w:widowControl/>
        <w:adjustRightInd w:val="0"/>
        <w:spacing w:line="360" w:lineRule="auto"/>
        <w:ind w:firstLine="420"/>
        <w:jc w:val="left"/>
        <w:rPr>
          <w:rFonts w:ascii="Arial" w:hAnsi="Arial" w:cs="Arial"/>
          <w:kern w:val="0"/>
          <w:szCs w:val="21"/>
          <w:highlight w:val="none"/>
          <w:lang w:val="zh-CN"/>
        </w:rPr>
      </w:pPr>
      <w:r>
        <w:rPr>
          <w:rFonts w:ascii="Arial" w:hAnsi="宋体" w:cs="Arial"/>
          <w:kern w:val="0"/>
          <w:szCs w:val="21"/>
          <w:highlight w:val="none"/>
          <w:lang w:val="zh-CN"/>
        </w:rPr>
        <w:t>（</w:t>
      </w:r>
      <w:r>
        <w:rPr>
          <w:rFonts w:ascii="Arial" w:hAnsi="Arial" w:cs="Arial"/>
          <w:kern w:val="0"/>
          <w:szCs w:val="21"/>
          <w:highlight w:val="none"/>
          <w:lang w:val="zh-CN"/>
        </w:rPr>
        <w:t>5</w:t>
      </w:r>
      <w:r>
        <w:rPr>
          <w:rFonts w:ascii="Arial" w:hAnsi="宋体" w:cs="Arial"/>
          <w:kern w:val="0"/>
          <w:szCs w:val="21"/>
          <w:highlight w:val="none"/>
          <w:lang w:val="zh-CN"/>
        </w:rPr>
        <w:t>）</w:t>
      </w:r>
      <w:r>
        <w:rPr>
          <w:rFonts w:hint="eastAsia" w:ascii="Arial" w:hAnsi="宋体" w:cs="Arial"/>
          <w:kern w:val="0"/>
          <w:szCs w:val="21"/>
          <w:highlight w:val="none"/>
          <w:lang w:val="zh-CN"/>
        </w:rPr>
        <w:t>供应商</w:t>
      </w:r>
      <w:r>
        <w:rPr>
          <w:rFonts w:ascii="Arial" w:hAnsi="宋体" w:cs="Arial"/>
          <w:kern w:val="0"/>
          <w:szCs w:val="21"/>
          <w:highlight w:val="none"/>
          <w:lang w:val="zh-CN"/>
        </w:rPr>
        <w:t>认为需要提供的其他技术资料。</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11</w:t>
      </w:r>
      <w:r>
        <w:rPr>
          <w:rFonts w:ascii="Arial" w:hAnsi="宋体" w:cs="Arial"/>
          <w:b/>
          <w:bCs/>
          <w:kern w:val="0"/>
          <w:szCs w:val="21"/>
          <w:highlight w:val="none"/>
        </w:rPr>
        <w:t>、投标文件的价格部分</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11.1</w:t>
      </w:r>
      <w:r>
        <w:rPr>
          <w:rFonts w:ascii="Arial" w:hAnsi="宋体" w:cs="Arial"/>
          <w:kern w:val="0"/>
          <w:szCs w:val="21"/>
          <w:highlight w:val="none"/>
        </w:rPr>
        <w:t>价格部分是对采购标的价格构成的说明，招标文件如无特别说明，每一项货物及服务仅接受一个价格。</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11.2</w:t>
      </w:r>
      <w:r>
        <w:rPr>
          <w:rFonts w:ascii="Arial" w:hAnsi="宋体" w:cs="Arial"/>
          <w:kern w:val="0"/>
          <w:szCs w:val="21"/>
          <w:highlight w:val="none"/>
        </w:rPr>
        <w:t>报价应包含本次招标标的有关的所有费用</w:t>
      </w:r>
      <w:r>
        <w:rPr>
          <w:rFonts w:ascii="Arial" w:hAnsi="宋体" w:cs="Arial"/>
          <w:kern w:val="0"/>
          <w:szCs w:val="21"/>
          <w:highlight w:val="none"/>
          <w:lang w:val="zh-CN"/>
        </w:rPr>
        <w:t>，以及技术资料、支付给员工的工资和国家强制缴纳的各种社会保障资金</w:t>
      </w:r>
      <w:r>
        <w:rPr>
          <w:rFonts w:ascii="Arial" w:hAnsi="宋体" w:cs="Arial"/>
          <w:bCs/>
          <w:szCs w:val="21"/>
          <w:highlight w:val="none"/>
        </w:rPr>
        <w:t>，以</w:t>
      </w:r>
      <w:r>
        <w:rPr>
          <w:rFonts w:ascii="Arial" w:hAnsi="宋体" w:cs="Arial"/>
          <w:szCs w:val="21"/>
          <w:highlight w:val="none"/>
        </w:rPr>
        <w:t>及</w:t>
      </w:r>
      <w:r>
        <w:rPr>
          <w:rFonts w:hint="eastAsia" w:ascii="Arial" w:hAnsi="宋体" w:cs="Arial"/>
          <w:szCs w:val="21"/>
          <w:highlight w:val="none"/>
          <w:lang w:eastAsia="zh-CN"/>
        </w:rPr>
        <w:t>供应商</w:t>
      </w:r>
      <w:r>
        <w:rPr>
          <w:rFonts w:ascii="Arial" w:hAnsi="宋体" w:cs="Arial"/>
          <w:szCs w:val="21"/>
          <w:highlight w:val="none"/>
        </w:rPr>
        <w:t>认为需要的其他费用等</w:t>
      </w:r>
      <w:r>
        <w:rPr>
          <w:rFonts w:ascii="Arial" w:hAnsi="宋体" w:cs="Arial"/>
          <w:b/>
          <w:szCs w:val="21"/>
          <w:highlight w:val="none"/>
        </w:rPr>
        <w:t>。</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11.3</w:t>
      </w:r>
      <w:r>
        <w:rPr>
          <w:rFonts w:hint="eastAsia" w:ascii="Arial" w:hAnsi="宋体" w:cs="Arial"/>
          <w:kern w:val="0"/>
          <w:szCs w:val="21"/>
          <w:highlight w:val="none"/>
          <w:lang w:eastAsia="zh-CN"/>
        </w:rPr>
        <w:t>供应商</w:t>
      </w:r>
      <w:r>
        <w:rPr>
          <w:rFonts w:ascii="Arial" w:hAnsi="宋体" w:cs="Arial"/>
          <w:kern w:val="0"/>
          <w:szCs w:val="21"/>
          <w:highlight w:val="none"/>
        </w:rPr>
        <w:t>的任何错漏、优惠、竞争性报价不得作为减轻责任、减少服务、增加收费、降低质量的理由。</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11.4</w:t>
      </w:r>
      <w:r>
        <w:rPr>
          <w:rFonts w:ascii="Arial" w:hAnsi="宋体" w:cs="Arial"/>
          <w:kern w:val="0"/>
          <w:szCs w:val="21"/>
          <w:highlight w:val="none"/>
        </w:rPr>
        <w:t>评标委员会认为</w:t>
      </w:r>
      <w:r>
        <w:rPr>
          <w:rFonts w:hint="eastAsia" w:ascii="Arial" w:hAnsi="宋体" w:cs="Arial"/>
          <w:kern w:val="0"/>
          <w:szCs w:val="21"/>
          <w:highlight w:val="none"/>
          <w:lang w:eastAsia="zh-CN"/>
        </w:rPr>
        <w:t>供应商</w:t>
      </w:r>
      <w:r>
        <w:rPr>
          <w:rFonts w:ascii="Arial" w:hAnsi="宋体" w:cs="Arial"/>
          <w:kern w:val="0"/>
          <w:szCs w:val="21"/>
          <w:highlight w:val="none"/>
        </w:rPr>
        <w:t>的报价明显低于其他通过符合性审查的</w:t>
      </w:r>
      <w:r>
        <w:rPr>
          <w:rFonts w:hint="eastAsia" w:ascii="Arial" w:hAnsi="宋体" w:cs="Arial"/>
          <w:kern w:val="0"/>
          <w:szCs w:val="21"/>
          <w:highlight w:val="none"/>
          <w:lang w:eastAsia="zh-CN"/>
        </w:rPr>
        <w:t>供应商</w:t>
      </w:r>
      <w:r>
        <w:rPr>
          <w:rFonts w:ascii="Arial" w:hAnsi="宋体" w:cs="Arial"/>
          <w:kern w:val="0"/>
          <w:szCs w:val="21"/>
          <w:highlight w:val="none"/>
        </w:rPr>
        <w:t>的报价，有可能影响产品质量或者不能诚信履约的，应当要求其在评标现场合理的时间内提供书面说明，必要时提交相关证明材料；</w:t>
      </w:r>
      <w:r>
        <w:rPr>
          <w:rFonts w:hint="eastAsia" w:ascii="Arial" w:hAnsi="宋体" w:cs="Arial"/>
          <w:kern w:val="0"/>
          <w:szCs w:val="21"/>
          <w:highlight w:val="none"/>
          <w:lang w:eastAsia="zh-CN"/>
        </w:rPr>
        <w:t>供应商</w:t>
      </w:r>
      <w:r>
        <w:rPr>
          <w:rFonts w:ascii="Arial" w:hAnsi="宋体" w:cs="Arial"/>
          <w:kern w:val="0"/>
          <w:szCs w:val="21"/>
          <w:highlight w:val="none"/>
        </w:rPr>
        <w:t>不能证明其报价合理性的，评标委员会应当将其作为</w:t>
      </w:r>
      <w:r>
        <w:rPr>
          <w:rFonts w:ascii="Arial" w:hAnsi="宋体" w:cs="Arial"/>
          <w:b/>
          <w:bCs/>
          <w:kern w:val="0"/>
          <w:szCs w:val="21"/>
          <w:highlight w:val="none"/>
        </w:rPr>
        <w:t>无效投标处理</w:t>
      </w:r>
      <w:r>
        <w:rPr>
          <w:rFonts w:ascii="Arial" w:hAnsi="宋体" w:cs="Arial"/>
          <w:kern w:val="0"/>
          <w:szCs w:val="21"/>
          <w:highlight w:val="none"/>
        </w:rPr>
        <w:t>。</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11.5 </w:t>
      </w:r>
      <w:r>
        <w:rPr>
          <w:rFonts w:hint="eastAsia" w:ascii="Arial" w:hAnsi="宋体" w:cs="Arial"/>
          <w:kern w:val="0"/>
          <w:szCs w:val="21"/>
          <w:highlight w:val="none"/>
          <w:lang w:eastAsia="zh-CN"/>
        </w:rPr>
        <w:t>供应商</w:t>
      </w:r>
      <w:r>
        <w:rPr>
          <w:rFonts w:ascii="Arial" w:hAnsi="宋体" w:cs="Arial"/>
          <w:kern w:val="0"/>
          <w:szCs w:val="21"/>
          <w:highlight w:val="none"/>
        </w:rPr>
        <w:t>应在《开标一览表》、《分项报价》等标明投标货物和服务的单价、总价以及分项报价。</w:t>
      </w:r>
      <w:r>
        <w:rPr>
          <w:rFonts w:hint="eastAsia" w:ascii="Arial" w:hAnsi="宋体" w:cs="Arial"/>
          <w:b/>
          <w:kern w:val="0"/>
          <w:szCs w:val="21"/>
          <w:highlight w:val="none"/>
          <w:lang w:eastAsia="zh-CN"/>
        </w:rPr>
        <w:t>供应商</w:t>
      </w:r>
      <w:r>
        <w:rPr>
          <w:rFonts w:ascii="Arial" w:hAnsi="宋体" w:cs="Arial"/>
          <w:b/>
          <w:kern w:val="0"/>
          <w:szCs w:val="21"/>
          <w:highlight w:val="none"/>
        </w:rPr>
        <w:t>系</w:t>
      </w:r>
      <w:r>
        <w:rPr>
          <w:rFonts w:ascii="Arial" w:hAnsi="宋体" w:cs="Arial"/>
          <w:b/>
          <w:bCs/>
          <w:kern w:val="0"/>
          <w:szCs w:val="21"/>
          <w:highlight w:val="none"/>
        </w:rPr>
        <w:t>小型、微型企业，并提供本企业制造的货物、承担的工程或者服务，</w:t>
      </w:r>
      <w:r>
        <w:rPr>
          <w:rFonts w:ascii="Arial" w:hAnsi="宋体" w:cs="Arial"/>
          <w:b/>
          <w:kern w:val="0"/>
          <w:szCs w:val="21"/>
          <w:highlight w:val="none"/>
        </w:rPr>
        <w:t>或者提供其他小型、微型企业制造的货物，须在《开标一览表》、《分项报价》中注明。</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11.6 </w:t>
      </w:r>
      <w:r>
        <w:rPr>
          <w:rFonts w:ascii="Arial" w:hAnsi="宋体" w:cs="Arial"/>
          <w:kern w:val="0"/>
          <w:szCs w:val="21"/>
          <w:highlight w:val="none"/>
        </w:rPr>
        <w:t>《开标一览表》一式两份，一份装订在投标文件中，一份单独封装，并标明</w:t>
      </w:r>
      <w:r>
        <w:rPr>
          <w:rFonts w:ascii="Arial" w:hAnsi="Arial" w:cs="Arial"/>
          <w:kern w:val="0"/>
          <w:szCs w:val="21"/>
          <w:highlight w:val="none"/>
        </w:rPr>
        <w:t>“</w:t>
      </w:r>
      <w:r>
        <w:rPr>
          <w:rFonts w:ascii="Arial" w:hAnsi="宋体" w:cs="Arial"/>
          <w:kern w:val="0"/>
          <w:szCs w:val="21"/>
          <w:highlight w:val="none"/>
        </w:rPr>
        <w:t>开标一览表</w:t>
      </w:r>
      <w:r>
        <w:rPr>
          <w:rFonts w:ascii="Arial" w:hAnsi="Arial" w:cs="Arial"/>
          <w:kern w:val="0"/>
          <w:szCs w:val="21"/>
          <w:highlight w:val="none"/>
        </w:rPr>
        <w:t>”</w:t>
      </w:r>
      <w:r>
        <w:rPr>
          <w:rFonts w:ascii="Arial" w:hAnsi="宋体" w:cs="Arial"/>
          <w:kern w:val="0"/>
          <w:szCs w:val="21"/>
          <w:highlight w:val="none"/>
        </w:rPr>
        <w:t>字样，随投标文件一并递交，以便唱标时使用。</w:t>
      </w:r>
    </w:p>
    <w:p>
      <w:pPr>
        <w:widowControl/>
        <w:spacing w:line="360" w:lineRule="auto"/>
        <w:ind w:firstLine="420"/>
        <w:rPr>
          <w:rFonts w:ascii="Arial" w:hAnsi="宋体" w:cs="Arial"/>
          <w:bCs/>
          <w:kern w:val="0"/>
          <w:szCs w:val="21"/>
          <w:highlight w:val="none"/>
        </w:rPr>
      </w:pPr>
      <w:r>
        <w:rPr>
          <w:rFonts w:ascii="Arial" w:hAnsi="Arial" w:cs="Arial"/>
          <w:b/>
          <w:bCs/>
          <w:kern w:val="0"/>
          <w:szCs w:val="21"/>
          <w:highlight w:val="none"/>
        </w:rPr>
        <w:t>11.7</w:t>
      </w:r>
      <w:r>
        <w:rPr>
          <w:rFonts w:ascii="Arial" w:hAnsi="宋体" w:cs="Arial"/>
          <w:b/>
          <w:bCs/>
          <w:kern w:val="0"/>
          <w:szCs w:val="21"/>
          <w:highlight w:val="none"/>
        </w:rPr>
        <w:t>本项目预算为：详见第一章</w:t>
      </w:r>
      <w:r>
        <w:rPr>
          <w:rFonts w:ascii="Arial" w:hAnsi="宋体" w:cs="Arial"/>
          <w:bCs/>
          <w:kern w:val="0"/>
          <w:szCs w:val="21"/>
          <w:highlight w:val="none"/>
        </w:rPr>
        <w:t>。</w:t>
      </w:r>
    </w:p>
    <w:p>
      <w:pPr>
        <w:pStyle w:val="6"/>
        <w:rPr>
          <w:rFonts w:ascii="Arial" w:hAnsi="宋体" w:eastAsia="宋体" w:cs="Arial"/>
          <w:b w:val="0"/>
          <w:bCs w:val="0"/>
          <w:kern w:val="0"/>
          <w:sz w:val="21"/>
          <w:szCs w:val="21"/>
          <w:highlight w:val="none"/>
          <w:lang w:val="en-US" w:eastAsia="zh-CN" w:bidi="ar-SA"/>
        </w:rPr>
      </w:pPr>
      <w:r>
        <w:rPr>
          <w:rFonts w:hint="eastAsia" w:ascii="Arial" w:hAnsi="宋体" w:cs="Arial"/>
          <w:b w:val="0"/>
          <w:bCs w:val="0"/>
          <w:kern w:val="0"/>
          <w:sz w:val="21"/>
          <w:szCs w:val="21"/>
          <w:highlight w:val="none"/>
          <w:lang w:val="en-US" w:eastAsia="zh-CN" w:bidi="ar-SA"/>
        </w:rPr>
        <w:t xml:space="preserve">    </w:t>
      </w:r>
      <w:r>
        <w:rPr>
          <w:rFonts w:hint="eastAsia" w:ascii="Arial" w:hAnsi="宋体" w:eastAsia="宋体" w:cs="Arial"/>
          <w:b w:val="0"/>
          <w:bCs w:val="0"/>
          <w:kern w:val="0"/>
          <w:sz w:val="21"/>
          <w:szCs w:val="21"/>
          <w:highlight w:val="none"/>
          <w:lang w:val="en-US" w:eastAsia="zh-CN" w:bidi="ar-SA"/>
        </w:rPr>
        <w:t>11.8供应商</w:t>
      </w:r>
      <w:r>
        <w:rPr>
          <w:rFonts w:hint="eastAsia" w:ascii="Arial" w:hAnsi="宋体" w:eastAsia="宋体" w:cs="Arial"/>
          <w:b w:val="0"/>
          <w:bCs w:val="0"/>
          <w:kern w:val="0"/>
          <w:sz w:val="21"/>
          <w:szCs w:val="21"/>
          <w:highlight w:val="none"/>
          <w:lang w:val="zh-CN" w:eastAsia="zh-CN" w:bidi="ar-SA"/>
        </w:rPr>
        <w:t>须根据项目内容，报出各类内容的单价，</w:t>
      </w:r>
      <w:r>
        <w:rPr>
          <w:rFonts w:hint="eastAsia" w:ascii="Arial" w:hAnsi="宋体" w:eastAsia="宋体" w:cs="Arial"/>
          <w:b w:val="0"/>
          <w:bCs w:val="0"/>
          <w:kern w:val="0"/>
          <w:sz w:val="21"/>
          <w:szCs w:val="21"/>
          <w:highlight w:val="none"/>
          <w:lang w:val="en-US" w:eastAsia="zh-CN" w:bidi="ar-SA"/>
        </w:rPr>
        <w:t>格式根据清单自拟，采购人根据实际发生量，按实结算</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12</w:t>
      </w:r>
      <w:r>
        <w:rPr>
          <w:rFonts w:ascii="Arial" w:hAnsi="宋体" w:cs="Arial"/>
          <w:b/>
          <w:bCs/>
          <w:kern w:val="0"/>
          <w:szCs w:val="21"/>
          <w:highlight w:val="none"/>
        </w:rPr>
        <w:t>、投标文件的其他部分</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12.1 </w:t>
      </w:r>
      <w:r>
        <w:rPr>
          <w:rFonts w:ascii="Arial" w:hAnsi="宋体" w:cs="Arial"/>
          <w:kern w:val="0"/>
          <w:szCs w:val="21"/>
          <w:highlight w:val="none"/>
        </w:rPr>
        <w:t>其他部分由</w:t>
      </w:r>
      <w:r>
        <w:rPr>
          <w:rFonts w:hint="eastAsia" w:ascii="Arial" w:hAnsi="宋体" w:cs="Arial"/>
          <w:kern w:val="0"/>
          <w:szCs w:val="21"/>
          <w:highlight w:val="none"/>
          <w:lang w:eastAsia="zh-CN"/>
        </w:rPr>
        <w:t>供应商</w:t>
      </w:r>
      <w:r>
        <w:rPr>
          <w:rFonts w:ascii="Arial" w:hAnsi="宋体" w:cs="Arial"/>
          <w:kern w:val="0"/>
          <w:szCs w:val="21"/>
          <w:highlight w:val="none"/>
        </w:rPr>
        <w:t>根据编制投标文件需要提供的其他相关文件组成。</w:t>
      </w:r>
    </w:p>
    <w:p>
      <w:pPr>
        <w:widowControl/>
        <w:shd w:val="clear" w:color="auto" w:fill="FFFFFF"/>
        <w:spacing w:line="360" w:lineRule="auto"/>
        <w:ind w:firstLine="420"/>
        <w:rPr>
          <w:rFonts w:ascii="Arial" w:hAnsi="Arial" w:cs="Arial"/>
          <w:b/>
          <w:bCs/>
          <w:kern w:val="0"/>
          <w:szCs w:val="21"/>
          <w:highlight w:val="none"/>
        </w:rPr>
      </w:pPr>
      <w:r>
        <w:rPr>
          <w:rFonts w:ascii="Arial" w:hAnsi="Arial" w:cs="Arial"/>
          <w:b/>
          <w:bCs/>
          <w:kern w:val="0"/>
          <w:szCs w:val="21"/>
          <w:highlight w:val="none"/>
        </w:rPr>
        <w:t>13</w:t>
      </w:r>
      <w:r>
        <w:rPr>
          <w:rFonts w:ascii="Arial" w:hAnsi="宋体" w:cs="Arial"/>
          <w:b/>
          <w:bCs/>
          <w:kern w:val="0"/>
          <w:szCs w:val="21"/>
          <w:highlight w:val="none"/>
        </w:rPr>
        <w:t>、投标保证金</w:t>
      </w:r>
    </w:p>
    <w:p>
      <w:pPr>
        <w:widowControl/>
        <w:shd w:val="clear" w:color="auto" w:fill="FFFFFF"/>
        <w:spacing w:line="360" w:lineRule="auto"/>
        <w:ind w:firstLine="420"/>
        <w:rPr>
          <w:rFonts w:ascii="Arial" w:hAnsi="Arial" w:cs="Arial"/>
          <w:b/>
          <w:bCs/>
          <w:kern w:val="0"/>
          <w:szCs w:val="21"/>
          <w:highlight w:val="none"/>
        </w:rPr>
      </w:pPr>
      <w:r>
        <w:rPr>
          <w:rFonts w:hint="eastAsia" w:ascii="Arial" w:hAnsi="Arial" w:cs="Arial"/>
          <w:b/>
          <w:bCs/>
          <w:kern w:val="0"/>
          <w:szCs w:val="21"/>
          <w:highlight w:val="none"/>
        </w:rPr>
        <w:t>无需缴纳。</w:t>
      </w:r>
    </w:p>
    <w:p>
      <w:pPr>
        <w:widowControl/>
        <w:shd w:val="clear" w:color="auto" w:fill="FFFFFF"/>
        <w:spacing w:line="360" w:lineRule="auto"/>
        <w:ind w:firstLine="420"/>
        <w:rPr>
          <w:rFonts w:ascii="Arial" w:hAnsi="Arial" w:cs="Arial"/>
          <w:b/>
          <w:bCs/>
          <w:kern w:val="0"/>
          <w:szCs w:val="21"/>
          <w:highlight w:val="none"/>
        </w:rPr>
      </w:pPr>
      <w:r>
        <w:rPr>
          <w:rFonts w:ascii="Arial" w:hAnsi="Arial" w:cs="Arial"/>
          <w:b/>
          <w:bCs/>
          <w:kern w:val="0"/>
          <w:szCs w:val="21"/>
          <w:highlight w:val="none"/>
        </w:rPr>
        <w:t>14</w:t>
      </w:r>
      <w:r>
        <w:rPr>
          <w:rFonts w:ascii="Arial" w:hAnsi="宋体" w:cs="Arial"/>
          <w:b/>
          <w:bCs/>
          <w:kern w:val="0"/>
          <w:szCs w:val="21"/>
          <w:highlight w:val="none"/>
        </w:rPr>
        <w:t>、投标有效期</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14.1 </w:t>
      </w:r>
      <w:r>
        <w:rPr>
          <w:rFonts w:ascii="Arial" w:hAnsi="宋体" w:cs="Arial"/>
          <w:kern w:val="0"/>
          <w:szCs w:val="21"/>
          <w:highlight w:val="none"/>
        </w:rPr>
        <w:t>自开标之日起</w:t>
      </w:r>
      <w:r>
        <w:rPr>
          <w:rFonts w:ascii="Arial" w:hAnsi="Arial" w:cs="Arial"/>
          <w:b/>
          <w:kern w:val="0"/>
          <w:szCs w:val="21"/>
          <w:highlight w:val="none"/>
        </w:rPr>
        <w:t>90</w:t>
      </w:r>
      <w:r>
        <w:rPr>
          <w:rFonts w:ascii="Arial" w:hAnsi="宋体" w:cs="Arial"/>
          <w:kern w:val="0"/>
          <w:szCs w:val="21"/>
          <w:highlight w:val="none"/>
        </w:rPr>
        <w:t>天内投标有效</w:t>
      </w:r>
      <w:r>
        <w:rPr>
          <w:rFonts w:ascii="Arial" w:hAnsi="宋体" w:cs="Arial"/>
          <w:b/>
          <w:highlight w:val="none"/>
        </w:rPr>
        <w:t>，投标有效期从提交投标文件的截止之日起算。投标文件中承诺的投标有效期应当不少于招标文件中载明的投标有效期。</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14.2 </w:t>
      </w:r>
      <w:r>
        <w:rPr>
          <w:rFonts w:ascii="Arial" w:hAnsi="宋体" w:cs="Arial"/>
          <w:kern w:val="0"/>
          <w:szCs w:val="21"/>
          <w:highlight w:val="none"/>
        </w:rPr>
        <w:t>特殊情况下，在原投标有效期截止之前，</w:t>
      </w:r>
      <w:r>
        <w:rPr>
          <w:rFonts w:hint="eastAsia" w:ascii="Arial" w:hAnsi="宋体" w:cs="Arial"/>
          <w:kern w:val="0"/>
          <w:szCs w:val="21"/>
          <w:highlight w:val="none"/>
        </w:rPr>
        <w:t>招标</w:t>
      </w:r>
      <w:r>
        <w:rPr>
          <w:rFonts w:ascii="Arial" w:hAnsi="宋体" w:cs="Arial"/>
          <w:kern w:val="0"/>
          <w:szCs w:val="21"/>
          <w:highlight w:val="none"/>
        </w:rPr>
        <w:t>代理机构可要求</w:t>
      </w:r>
      <w:r>
        <w:rPr>
          <w:rFonts w:hint="eastAsia" w:ascii="Arial" w:hAnsi="宋体" w:cs="Arial"/>
          <w:kern w:val="0"/>
          <w:szCs w:val="21"/>
          <w:highlight w:val="none"/>
          <w:lang w:eastAsia="zh-CN"/>
        </w:rPr>
        <w:t>供应商</w:t>
      </w:r>
      <w:r>
        <w:rPr>
          <w:rFonts w:ascii="Arial" w:hAnsi="宋体" w:cs="Arial"/>
          <w:kern w:val="0"/>
          <w:szCs w:val="21"/>
          <w:highlight w:val="none"/>
        </w:rPr>
        <w:t>同意延长投标有效期，这种要求与答复均应以书面形式提交。</w:t>
      </w:r>
      <w:r>
        <w:rPr>
          <w:rFonts w:hint="eastAsia" w:ascii="Arial" w:hAnsi="宋体" w:cs="Arial"/>
          <w:kern w:val="0"/>
          <w:szCs w:val="21"/>
          <w:highlight w:val="none"/>
          <w:lang w:eastAsia="zh-CN"/>
        </w:rPr>
        <w:t>供应商</w:t>
      </w:r>
      <w:r>
        <w:rPr>
          <w:rFonts w:ascii="Arial" w:hAnsi="宋体" w:cs="Arial"/>
          <w:kern w:val="0"/>
          <w:szCs w:val="21"/>
          <w:highlight w:val="none"/>
        </w:rPr>
        <w:t>可拒绝这种要求，并且不影响投标保证金的退还。接受延长投标有效期的</w:t>
      </w:r>
      <w:r>
        <w:rPr>
          <w:rFonts w:hint="eastAsia" w:ascii="Arial" w:hAnsi="宋体" w:cs="Arial"/>
          <w:kern w:val="0"/>
          <w:szCs w:val="21"/>
          <w:highlight w:val="none"/>
          <w:lang w:eastAsia="zh-CN"/>
        </w:rPr>
        <w:t>供应商</w:t>
      </w:r>
      <w:r>
        <w:rPr>
          <w:rFonts w:ascii="Arial" w:hAnsi="宋体" w:cs="Arial"/>
          <w:kern w:val="0"/>
          <w:szCs w:val="21"/>
          <w:highlight w:val="none"/>
        </w:rPr>
        <w:t>将不会要求和允许修正其投标，而只会被要求相应地延长其投标保证金的有效期。在这种情况下，有关投标保证金的退还规定在延长了的有效期内继续有效。</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15</w:t>
      </w:r>
      <w:r>
        <w:rPr>
          <w:rFonts w:ascii="Arial" w:hAnsi="宋体" w:cs="Arial"/>
          <w:b/>
          <w:bCs/>
          <w:kern w:val="0"/>
          <w:szCs w:val="21"/>
          <w:highlight w:val="none"/>
        </w:rPr>
        <w:t>、投标文件签署</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15.1 </w:t>
      </w:r>
      <w:r>
        <w:rPr>
          <w:rFonts w:ascii="Arial" w:hAnsi="宋体" w:cs="Arial"/>
          <w:kern w:val="0"/>
          <w:szCs w:val="21"/>
          <w:highlight w:val="none"/>
        </w:rPr>
        <w:t>投标文件的正本和副本均应由</w:t>
      </w:r>
      <w:r>
        <w:rPr>
          <w:rFonts w:hint="eastAsia" w:ascii="Arial" w:hAnsi="宋体" w:cs="Arial"/>
          <w:kern w:val="0"/>
          <w:szCs w:val="21"/>
          <w:highlight w:val="none"/>
          <w:lang w:eastAsia="zh-CN"/>
        </w:rPr>
        <w:t>供应商</w:t>
      </w:r>
      <w:r>
        <w:rPr>
          <w:rFonts w:hint="eastAsia" w:ascii="Arial" w:hAnsi="宋体" w:cs="Arial"/>
          <w:kern w:val="0"/>
          <w:szCs w:val="21"/>
          <w:highlight w:val="none"/>
        </w:rPr>
        <w:t>法定</w:t>
      </w:r>
      <w:r>
        <w:rPr>
          <w:rFonts w:ascii="Arial" w:hAnsi="宋体" w:cs="Arial"/>
          <w:kern w:val="0"/>
          <w:szCs w:val="21"/>
          <w:highlight w:val="none"/>
        </w:rPr>
        <w:t>代表人或经正式授权并对</w:t>
      </w:r>
      <w:r>
        <w:rPr>
          <w:rFonts w:hint="eastAsia" w:ascii="Arial" w:hAnsi="宋体" w:cs="Arial"/>
          <w:kern w:val="0"/>
          <w:szCs w:val="21"/>
          <w:highlight w:val="none"/>
          <w:lang w:eastAsia="zh-CN"/>
        </w:rPr>
        <w:t>供应商</w:t>
      </w:r>
      <w:r>
        <w:rPr>
          <w:rFonts w:ascii="Arial" w:hAnsi="宋体" w:cs="Arial"/>
          <w:kern w:val="0"/>
          <w:szCs w:val="21"/>
          <w:highlight w:val="none"/>
        </w:rPr>
        <w:t>有约束力的委托代理人签字，如果它们之间内容有差异，则以正本为准。</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16</w:t>
      </w:r>
      <w:r>
        <w:rPr>
          <w:rFonts w:ascii="Arial" w:hAnsi="宋体" w:cs="Arial"/>
          <w:b/>
          <w:bCs/>
          <w:kern w:val="0"/>
          <w:szCs w:val="21"/>
          <w:highlight w:val="none"/>
        </w:rPr>
        <w:t>、投标费用</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16.1 </w:t>
      </w:r>
      <w:r>
        <w:rPr>
          <w:rFonts w:hint="eastAsia" w:ascii="Arial" w:hAnsi="宋体" w:cs="Arial"/>
          <w:kern w:val="0"/>
          <w:szCs w:val="21"/>
          <w:highlight w:val="none"/>
          <w:lang w:eastAsia="zh-CN"/>
        </w:rPr>
        <w:t>供应商</w:t>
      </w:r>
      <w:r>
        <w:rPr>
          <w:rFonts w:ascii="Arial" w:hAnsi="宋体" w:cs="Arial"/>
          <w:kern w:val="0"/>
          <w:szCs w:val="21"/>
          <w:highlight w:val="none"/>
        </w:rPr>
        <w:t>应承担所有与准备和参加投标有关的费用，无论</w:t>
      </w:r>
      <w:r>
        <w:rPr>
          <w:rFonts w:hint="eastAsia" w:ascii="Arial" w:hAnsi="宋体" w:cs="Arial"/>
          <w:kern w:val="0"/>
          <w:szCs w:val="21"/>
          <w:highlight w:val="none"/>
        </w:rPr>
        <w:t>招标</w:t>
      </w:r>
      <w:r>
        <w:rPr>
          <w:rFonts w:ascii="Arial" w:hAnsi="宋体" w:cs="Arial"/>
          <w:kern w:val="0"/>
          <w:szCs w:val="21"/>
          <w:highlight w:val="none"/>
        </w:rPr>
        <w:t>结果如何，</w:t>
      </w:r>
      <w:r>
        <w:rPr>
          <w:rFonts w:hint="eastAsia" w:ascii="Arial" w:hAnsi="宋体" w:cs="Arial"/>
          <w:kern w:val="0"/>
          <w:szCs w:val="21"/>
          <w:highlight w:val="none"/>
        </w:rPr>
        <w:t>招标</w:t>
      </w:r>
      <w:r>
        <w:rPr>
          <w:rFonts w:ascii="Arial" w:hAnsi="宋体" w:cs="Arial"/>
          <w:kern w:val="0"/>
          <w:szCs w:val="21"/>
          <w:highlight w:val="none"/>
        </w:rPr>
        <w:t>代理机构和</w:t>
      </w:r>
      <w:r>
        <w:rPr>
          <w:rFonts w:hint="eastAsia" w:ascii="Arial" w:hAnsi="宋体" w:cs="Arial"/>
          <w:kern w:val="0"/>
          <w:szCs w:val="21"/>
          <w:highlight w:val="none"/>
        </w:rPr>
        <w:t>招标</w:t>
      </w:r>
      <w:r>
        <w:rPr>
          <w:rFonts w:ascii="Arial" w:hAnsi="宋体" w:cs="Arial"/>
          <w:kern w:val="0"/>
          <w:szCs w:val="21"/>
          <w:highlight w:val="none"/>
        </w:rPr>
        <w:t>人在任何情况下均无义务和责任承担这些费用。</w:t>
      </w:r>
    </w:p>
    <w:p>
      <w:pPr>
        <w:widowControl/>
        <w:shd w:val="clear" w:color="auto" w:fill="FFFFFF"/>
        <w:spacing w:line="360" w:lineRule="auto"/>
        <w:ind w:firstLine="420"/>
        <w:rPr>
          <w:rFonts w:hint="default" w:ascii="Arial" w:hAnsi="Arial" w:eastAsia="宋体" w:cs="Arial"/>
          <w:b/>
          <w:bCs w:val="0"/>
          <w:kern w:val="0"/>
          <w:szCs w:val="21"/>
          <w:highlight w:val="none"/>
          <w:lang w:val="en-US" w:eastAsia="zh-CN"/>
        </w:rPr>
      </w:pPr>
      <w:r>
        <w:rPr>
          <w:rFonts w:ascii="Arial" w:hAnsi="Arial" w:cs="Arial"/>
          <w:bCs/>
          <w:kern w:val="0"/>
          <w:szCs w:val="21"/>
          <w:highlight w:val="none"/>
        </w:rPr>
        <w:t xml:space="preserve">16.2 </w:t>
      </w:r>
      <w:r>
        <w:rPr>
          <w:rFonts w:hint="eastAsia" w:ascii="Arial" w:hAnsi="宋体" w:cs="Arial"/>
          <w:b/>
          <w:bCs w:val="0"/>
          <w:kern w:val="0"/>
          <w:szCs w:val="21"/>
          <w:highlight w:val="none"/>
        </w:rPr>
        <w:t>招标代理服务费：本次招标</w:t>
      </w:r>
      <w:r>
        <w:rPr>
          <w:rFonts w:hint="eastAsia" w:ascii="Arial" w:hAnsi="宋体" w:cs="Arial"/>
          <w:b/>
          <w:bCs w:val="0"/>
          <w:kern w:val="0"/>
          <w:szCs w:val="21"/>
          <w:highlight w:val="none"/>
          <w:lang w:val="en-US" w:eastAsia="zh-CN"/>
        </w:rPr>
        <w:t>服务费两标段合计为49800元，由两标段中标人平均支付。</w:t>
      </w:r>
    </w:p>
    <w:p>
      <w:pPr>
        <w:widowControl/>
        <w:shd w:val="clear" w:color="auto" w:fill="FFFFFF"/>
        <w:spacing w:line="360" w:lineRule="auto"/>
        <w:ind w:firstLine="420"/>
        <w:rPr>
          <w:rFonts w:ascii="Arial" w:hAnsi="Arial" w:cs="Arial"/>
          <w:kern w:val="0"/>
          <w:szCs w:val="21"/>
          <w:highlight w:val="none"/>
        </w:rPr>
      </w:pPr>
      <w:r>
        <w:rPr>
          <w:rFonts w:hint="eastAsia" w:ascii="Arial" w:hAnsi="Arial" w:cs="Arial"/>
          <w:b/>
          <w:bCs w:val="0"/>
          <w:kern w:val="0"/>
          <w:szCs w:val="21"/>
          <w:highlight w:val="none"/>
        </w:rPr>
        <w:t>评标评审费用由中标人支付</w:t>
      </w:r>
      <w:r>
        <w:rPr>
          <w:rFonts w:hint="eastAsia" w:ascii="Arial" w:hAnsi="Arial" w:cs="Arial"/>
          <w:b/>
          <w:bCs w:val="0"/>
          <w:kern w:val="0"/>
          <w:szCs w:val="21"/>
          <w:highlight w:val="none"/>
          <w:lang w:eastAsia="zh-CN"/>
        </w:rPr>
        <w:t>，</w:t>
      </w:r>
      <w:r>
        <w:rPr>
          <w:rFonts w:hint="eastAsia" w:ascii="Arial" w:hAnsi="Arial" w:cs="Arial"/>
          <w:b/>
          <w:bCs w:val="0"/>
          <w:kern w:val="0"/>
          <w:szCs w:val="21"/>
          <w:highlight w:val="none"/>
          <w:lang w:val="en-US" w:eastAsia="zh-CN"/>
        </w:rPr>
        <w:t>按实计取</w:t>
      </w:r>
      <w:r>
        <w:rPr>
          <w:rFonts w:hint="eastAsia" w:ascii="Arial" w:hAnsi="Arial" w:cs="Arial"/>
          <w:kern w:val="0"/>
          <w:szCs w:val="21"/>
          <w:highlight w:val="none"/>
        </w:rPr>
        <w:t>。</w:t>
      </w:r>
    </w:p>
    <w:p>
      <w:pPr>
        <w:widowControl/>
        <w:shd w:val="clear" w:color="auto" w:fill="FFFFFF"/>
        <w:spacing w:line="360" w:lineRule="auto"/>
        <w:ind w:firstLine="420"/>
        <w:rPr>
          <w:rFonts w:ascii="Arial" w:hAnsi="Arial" w:cs="Arial"/>
          <w:kern w:val="0"/>
          <w:szCs w:val="21"/>
          <w:highlight w:val="none"/>
        </w:rPr>
      </w:pPr>
      <w:r>
        <w:rPr>
          <w:rFonts w:ascii="Arial" w:hAnsi="宋体" w:cs="Arial"/>
          <w:b/>
          <w:bCs/>
          <w:kern w:val="0"/>
          <w:szCs w:val="21"/>
          <w:highlight w:val="none"/>
        </w:rPr>
        <w:t>四、投标文件的递交</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17</w:t>
      </w:r>
      <w:r>
        <w:rPr>
          <w:rFonts w:ascii="Arial" w:hAnsi="宋体" w:cs="Arial"/>
          <w:b/>
          <w:bCs/>
          <w:kern w:val="0"/>
          <w:szCs w:val="21"/>
          <w:highlight w:val="none"/>
        </w:rPr>
        <w:t>、投标文件的密封和递交</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17.1</w:t>
      </w:r>
      <w:r>
        <w:rPr>
          <w:rFonts w:hint="eastAsia" w:ascii="Arial" w:hAnsi="宋体" w:cs="Arial"/>
          <w:b/>
          <w:bCs/>
          <w:kern w:val="0"/>
          <w:szCs w:val="21"/>
          <w:highlight w:val="none"/>
          <w:lang w:eastAsia="zh-CN"/>
        </w:rPr>
        <w:t>供应商</w:t>
      </w:r>
      <w:r>
        <w:rPr>
          <w:rFonts w:ascii="Arial" w:hAnsi="宋体" w:cs="Arial"/>
          <w:b/>
          <w:bCs/>
          <w:kern w:val="0"/>
          <w:szCs w:val="21"/>
          <w:highlight w:val="none"/>
        </w:rPr>
        <w:t>的投标文件</w:t>
      </w:r>
      <w:r>
        <w:rPr>
          <w:rFonts w:ascii="Arial" w:hAnsi="宋体" w:cs="Arial"/>
          <w:b/>
          <w:highlight w:val="none"/>
        </w:rPr>
        <w:t>一式伍份（</w:t>
      </w:r>
      <w:r>
        <w:rPr>
          <w:rFonts w:ascii="Arial" w:hAnsi="宋体" w:cs="Arial"/>
          <w:b/>
          <w:bCs/>
          <w:kern w:val="0"/>
          <w:szCs w:val="21"/>
          <w:highlight w:val="none"/>
        </w:rPr>
        <w:t>正本一份、副本肆份</w:t>
      </w:r>
      <w:r>
        <w:rPr>
          <w:rFonts w:ascii="Arial" w:hAnsi="宋体" w:cs="Arial"/>
          <w:b/>
          <w:highlight w:val="none"/>
        </w:rPr>
        <w:t>），所有投标文件均应密封后递交，同时应提供电子版投标文件</w:t>
      </w:r>
      <w:r>
        <w:rPr>
          <w:rFonts w:ascii="Arial" w:hAnsi="宋体" w:cs="Arial"/>
          <w:b/>
          <w:szCs w:val="21"/>
          <w:highlight w:val="none"/>
        </w:rPr>
        <w:t>壹份（一般应为</w:t>
      </w:r>
      <w:r>
        <w:rPr>
          <w:rFonts w:ascii="Arial" w:hAnsi="Arial" w:cs="Arial"/>
          <w:b/>
          <w:szCs w:val="21"/>
          <w:highlight w:val="none"/>
        </w:rPr>
        <w:t>PDF</w:t>
      </w:r>
      <w:r>
        <w:rPr>
          <w:rFonts w:ascii="Arial" w:hAnsi="宋体" w:cs="Arial"/>
          <w:b/>
          <w:szCs w:val="21"/>
          <w:highlight w:val="none"/>
        </w:rPr>
        <w:t>格式、</w:t>
      </w:r>
      <w:r>
        <w:rPr>
          <w:rFonts w:ascii="Arial" w:hAnsi="Arial" w:cs="Arial"/>
          <w:b/>
          <w:szCs w:val="21"/>
          <w:highlight w:val="none"/>
        </w:rPr>
        <w:t>U</w:t>
      </w:r>
      <w:r>
        <w:rPr>
          <w:rFonts w:ascii="Arial" w:hAnsi="宋体" w:cs="Arial"/>
          <w:b/>
          <w:szCs w:val="21"/>
          <w:highlight w:val="none"/>
        </w:rPr>
        <w:t>盘形式（单独封装）、随纸质正本文件一并提交）</w:t>
      </w:r>
      <w:r>
        <w:rPr>
          <w:rFonts w:ascii="Arial" w:hAnsi="宋体" w:cs="Arial"/>
          <w:b/>
          <w:highlight w:val="none"/>
        </w:rPr>
        <w:t>。</w:t>
      </w:r>
      <w:r>
        <w:rPr>
          <w:rFonts w:ascii="Arial" w:hAnsi="宋体" w:cs="Arial"/>
          <w:highlight w:val="none"/>
        </w:rPr>
        <w:t>当电子版文件和纸质正本文件不一致时，以纸质正本文件为准。</w:t>
      </w:r>
      <w:r>
        <w:rPr>
          <w:rFonts w:ascii="Arial" w:hAnsi="宋体" w:cs="Arial"/>
          <w:kern w:val="0"/>
          <w:szCs w:val="21"/>
          <w:highlight w:val="none"/>
        </w:rPr>
        <w:t>每套投标文件须清楚标明</w:t>
      </w:r>
      <w:r>
        <w:rPr>
          <w:rFonts w:ascii="Arial" w:hAnsi="Arial" w:cs="Arial"/>
          <w:kern w:val="0"/>
          <w:szCs w:val="21"/>
          <w:highlight w:val="none"/>
        </w:rPr>
        <w:t>“</w:t>
      </w:r>
      <w:r>
        <w:rPr>
          <w:rFonts w:ascii="Arial" w:hAnsi="宋体" w:cs="Arial"/>
          <w:kern w:val="0"/>
          <w:szCs w:val="21"/>
          <w:highlight w:val="none"/>
        </w:rPr>
        <w:t>正本</w:t>
      </w:r>
      <w:r>
        <w:rPr>
          <w:rFonts w:ascii="Arial" w:hAnsi="Arial" w:cs="Arial"/>
          <w:kern w:val="0"/>
          <w:szCs w:val="21"/>
          <w:highlight w:val="none"/>
        </w:rPr>
        <w:t>”</w:t>
      </w:r>
      <w:r>
        <w:rPr>
          <w:rFonts w:ascii="Arial" w:hAnsi="宋体" w:cs="Arial"/>
          <w:kern w:val="0"/>
          <w:szCs w:val="21"/>
          <w:highlight w:val="none"/>
        </w:rPr>
        <w:t>、</w:t>
      </w:r>
      <w:r>
        <w:rPr>
          <w:rFonts w:ascii="Arial" w:hAnsi="Arial" w:cs="Arial"/>
          <w:kern w:val="0"/>
          <w:szCs w:val="21"/>
          <w:highlight w:val="none"/>
        </w:rPr>
        <w:t>“</w:t>
      </w:r>
      <w:r>
        <w:rPr>
          <w:rFonts w:ascii="Arial" w:hAnsi="宋体" w:cs="Arial"/>
          <w:kern w:val="0"/>
          <w:szCs w:val="21"/>
          <w:highlight w:val="none"/>
        </w:rPr>
        <w:t>副本</w:t>
      </w:r>
      <w:r>
        <w:rPr>
          <w:rFonts w:ascii="Arial" w:hAnsi="Arial" w:cs="Arial"/>
          <w:kern w:val="0"/>
          <w:szCs w:val="21"/>
          <w:highlight w:val="none"/>
        </w:rPr>
        <w:t>”</w:t>
      </w:r>
      <w:r>
        <w:rPr>
          <w:rFonts w:ascii="Arial" w:hAnsi="宋体" w:cs="Arial"/>
          <w:kern w:val="0"/>
          <w:szCs w:val="21"/>
          <w:highlight w:val="none"/>
        </w:rPr>
        <w:t>。</w:t>
      </w:r>
      <w:r>
        <w:rPr>
          <w:rFonts w:ascii="Arial" w:hAnsi="宋体" w:cs="Arial"/>
          <w:highlight w:val="none"/>
        </w:rPr>
        <w:t>如果它们之间内容有差异，以正本为准。</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17.2 </w:t>
      </w:r>
      <w:r>
        <w:rPr>
          <w:rFonts w:ascii="Arial" w:hAnsi="宋体" w:cs="Arial"/>
          <w:b/>
          <w:highlight w:val="none"/>
        </w:rPr>
        <w:t>投标文件正本和所有副本均需打印或用不褪色墨水书写，并由</w:t>
      </w:r>
      <w:r>
        <w:rPr>
          <w:rFonts w:hint="eastAsia" w:ascii="Arial" w:hAnsi="宋体" w:cs="Arial"/>
          <w:b/>
          <w:highlight w:val="none"/>
          <w:lang w:eastAsia="zh-CN"/>
        </w:rPr>
        <w:t>供应商</w:t>
      </w:r>
      <w:r>
        <w:rPr>
          <w:rFonts w:ascii="Arial" w:hAnsi="宋体" w:cs="Arial"/>
          <w:b/>
          <w:highlight w:val="none"/>
        </w:rPr>
        <w:t>的法定代表人或授权代表签字并在招标文件中注明须加盖公章的地方加盖公章，如为授权代表签字的应附</w:t>
      </w:r>
      <w:r>
        <w:rPr>
          <w:rFonts w:ascii="Arial" w:hAnsi="Arial" w:cs="Arial"/>
          <w:b/>
          <w:highlight w:val="none"/>
        </w:rPr>
        <w:t>“</w:t>
      </w:r>
      <w:r>
        <w:rPr>
          <w:rFonts w:ascii="Arial" w:hAnsi="宋体" w:cs="Arial"/>
          <w:b/>
          <w:highlight w:val="none"/>
        </w:rPr>
        <w:t>法定代表人授权委托书</w:t>
      </w:r>
      <w:r>
        <w:rPr>
          <w:rFonts w:ascii="Arial" w:hAnsi="Arial" w:cs="Arial"/>
          <w:b/>
          <w:highlight w:val="none"/>
        </w:rPr>
        <w:t>”</w:t>
      </w:r>
      <w:r>
        <w:rPr>
          <w:rFonts w:ascii="Arial" w:hAnsi="宋体" w:cs="Arial"/>
          <w:b/>
          <w:highlight w:val="none"/>
        </w:rPr>
        <w:t>，正本必须为原件，但</w:t>
      </w:r>
      <w:r>
        <w:rPr>
          <w:rFonts w:hint="eastAsia" w:ascii="Arial" w:hAnsi="宋体" w:cs="Arial"/>
          <w:b/>
          <w:highlight w:val="none"/>
          <w:lang w:eastAsia="zh-CN"/>
        </w:rPr>
        <w:t>供应商</w:t>
      </w:r>
      <w:r>
        <w:rPr>
          <w:rFonts w:ascii="Arial" w:hAnsi="宋体" w:cs="Arial"/>
          <w:b/>
          <w:highlight w:val="none"/>
        </w:rPr>
        <w:t>的相关证明文件可采用复印件，采用复印件的，评标委员会认为需要时，</w:t>
      </w:r>
      <w:r>
        <w:rPr>
          <w:rFonts w:hint="eastAsia" w:ascii="Arial" w:hAnsi="宋体" w:cs="Arial"/>
          <w:b/>
          <w:highlight w:val="none"/>
          <w:lang w:eastAsia="zh-CN"/>
        </w:rPr>
        <w:t>供应商</w:t>
      </w:r>
      <w:r>
        <w:rPr>
          <w:rFonts w:ascii="Arial" w:hAnsi="宋体" w:cs="Arial"/>
          <w:b/>
          <w:highlight w:val="none"/>
        </w:rPr>
        <w:t>应提供原件供核对。</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17.3 </w:t>
      </w:r>
      <w:r>
        <w:rPr>
          <w:rFonts w:ascii="Arial" w:hAnsi="宋体" w:cs="Arial"/>
          <w:kern w:val="0"/>
          <w:szCs w:val="21"/>
          <w:highlight w:val="none"/>
        </w:rPr>
        <w:t>投标文件不应有涂改、增删之处，如必须修改时，修改处必须有</w:t>
      </w:r>
      <w:r>
        <w:rPr>
          <w:rFonts w:hint="eastAsia" w:ascii="Arial" w:hAnsi="宋体" w:cs="Arial"/>
          <w:kern w:val="0"/>
          <w:szCs w:val="21"/>
          <w:highlight w:val="none"/>
          <w:lang w:eastAsia="zh-CN"/>
        </w:rPr>
        <w:t>供应商</w:t>
      </w:r>
      <w:r>
        <w:rPr>
          <w:rFonts w:ascii="Arial" w:hAnsi="宋体" w:cs="Arial"/>
          <w:kern w:val="0"/>
          <w:szCs w:val="21"/>
          <w:highlight w:val="none"/>
        </w:rPr>
        <w:t>法定代表人或授权代表签字</w:t>
      </w:r>
      <w:r>
        <w:rPr>
          <w:rFonts w:hint="eastAsia" w:ascii="Arial" w:hAnsi="宋体" w:cs="Arial"/>
          <w:kern w:val="0"/>
          <w:szCs w:val="21"/>
          <w:highlight w:val="none"/>
        </w:rPr>
        <w:t>，</w:t>
      </w:r>
      <w:r>
        <w:rPr>
          <w:rFonts w:ascii="Arial" w:hAnsi="宋体" w:cs="Arial"/>
          <w:kern w:val="0"/>
          <w:szCs w:val="21"/>
          <w:highlight w:val="none"/>
        </w:rPr>
        <w:t>同时加盖</w:t>
      </w:r>
      <w:r>
        <w:rPr>
          <w:rFonts w:hint="eastAsia" w:ascii="Arial" w:hAnsi="宋体" w:cs="Arial"/>
          <w:kern w:val="0"/>
          <w:szCs w:val="21"/>
          <w:highlight w:val="none"/>
          <w:lang w:eastAsia="zh-CN"/>
        </w:rPr>
        <w:t>供应商</w:t>
      </w:r>
      <w:r>
        <w:rPr>
          <w:rFonts w:ascii="Arial" w:hAnsi="宋体" w:cs="Arial"/>
          <w:kern w:val="0"/>
          <w:szCs w:val="21"/>
          <w:highlight w:val="none"/>
        </w:rPr>
        <w:t>公章。</w:t>
      </w:r>
    </w:p>
    <w:p>
      <w:pPr>
        <w:widowControl/>
        <w:shd w:val="clear" w:color="auto" w:fill="FFFFFF"/>
        <w:spacing w:line="360" w:lineRule="auto"/>
        <w:ind w:firstLine="420"/>
        <w:rPr>
          <w:rFonts w:ascii="Arial" w:hAnsi="Arial" w:cs="Arial"/>
          <w:kern w:val="0"/>
          <w:szCs w:val="21"/>
          <w:highlight w:val="none"/>
        </w:rPr>
      </w:pPr>
      <w:r>
        <w:rPr>
          <w:rFonts w:ascii="Arial" w:hAnsi="Arial" w:cs="Arial"/>
          <w:highlight w:val="none"/>
        </w:rPr>
        <w:t>17.4</w:t>
      </w:r>
      <w:r>
        <w:rPr>
          <w:rFonts w:ascii="Arial" w:hAnsi="宋体" w:cs="Arial"/>
          <w:highlight w:val="none"/>
        </w:rPr>
        <w:t>投标文件提倡按照</w:t>
      </w:r>
      <w:r>
        <w:rPr>
          <w:rFonts w:ascii="Arial" w:hAnsi="Arial" w:cs="Arial"/>
          <w:highlight w:val="none"/>
        </w:rPr>
        <w:t>A4</w:t>
      </w:r>
      <w:r>
        <w:rPr>
          <w:rFonts w:ascii="Arial" w:hAnsi="宋体" w:cs="Arial"/>
          <w:highlight w:val="none"/>
        </w:rPr>
        <w:t>幅面打印或复印并进行装订，如有资料超过</w:t>
      </w:r>
      <w:r>
        <w:rPr>
          <w:rFonts w:ascii="Arial" w:hAnsi="Arial" w:cs="Arial"/>
          <w:highlight w:val="none"/>
        </w:rPr>
        <w:t>A4</w:t>
      </w:r>
      <w:r>
        <w:rPr>
          <w:rFonts w:ascii="Arial" w:hAnsi="宋体" w:cs="Arial"/>
          <w:highlight w:val="none"/>
        </w:rPr>
        <w:t>幅面折叠成</w:t>
      </w:r>
      <w:r>
        <w:rPr>
          <w:rFonts w:ascii="Arial" w:hAnsi="Arial" w:cs="Arial"/>
          <w:highlight w:val="none"/>
        </w:rPr>
        <w:t>A4</w:t>
      </w:r>
      <w:r>
        <w:rPr>
          <w:rFonts w:ascii="Arial" w:hAnsi="宋体" w:cs="Arial"/>
          <w:highlight w:val="none"/>
        </w:rPr>
        <w:t>幅面；投标文件装订提倡采用胶装的形式。</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17.5 </w:t>
      </w:r>
      <w:r>
        <w:rPr>
          <w:rFonts w:hint="eastAsia" w:ascii="Arial" w:hAnsi="宋体" w:cs="Arial"/>
          <w:kern w:val="0"/>
          <w:szCs w:val="21"/>
          <w:highlight w:val="none"/>
          <w:lang w:eastAsia="zh-CN"/>
        </w:rPr>
        <w:t>供应商</w:t>
      </w:r>
      <w:r>
        <w:rPr>
          <w:rFonts w:ascii="Arial" w:hAnsi="宋体" w:cs="Arial"/>
          <w:kern w:val="0"/>
          <w:szCs w:val="21"/>
          <w:highlight w:val="none"/>
        </w:rPr>
        <w:t>应当在招标文件要求提交投标文件的截止时间前，将投标文件密封送达投标地点。任何单位和个人不得在开标前开启投标文件。</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18</w:t>
      </w:r>
      <w:r>
        <w:rPr>
          <w:rFonts w:ascii="Arial" w:hAnsi="宋体" w:cs="Arial"/>
          <w:b/>
          <w:bCs/>
          <w:kern w:val="0"/>
          <w:szCs w:val="21"/>
          <w:highlight w:val="none"/>
        </w:rPr>
        <w:t>、有下列情形的投标文件将被拒收：</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18.1</w:t>
      </w:r>
      <w:r>
        <w:rPr>
          <w:rFonts w:ascii="Arial" w:hAnsi="宋体" w:cs="Arial"/>
          <w:kern w:val="0"/>
          <w:szCs w:val="21"/>
          <w:highlight w:val="none"/>
        </w:rPr>
        <w:t>逾期送达的；</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18.2</w:t>
      </w:r>
      <w:r>
        <w:rPr>
          <w:rFonts w:ascii="Arial" w:hAnsi="宋体" w:cs="Arial"/>
          <w:kern w:val="0"/>
          <w:szCs w:val="21"/>
          <w:highlight w:val="none"/>
        </w:rPr>
        <w:t>未按照招标文件要求密封的。</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19</w:t>
      </w:r>
      <w:r>
        <w:rPr>
          <w:rFonts w:ascii="Arial" w:hAnsi="宋体" w:cs="Arial"/>
          <w:b/>
          <w:bCs/>
          <w:kern w:val="0"/>
          <w:szCs w:val="21"/>
          <w:highlight w:val="none"/>
        </w:rPr>
        <w:t>、投标文件的修改和撤回</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19.1</w:t>
      </w:r>
      <w:r>
        <w:rPr>
          <w:rFonts w:hint="eastAsia" w:ascii="Arial" w:hAnsi="宋体" w:cs="Arial"/>
          <w:kern w:val="0"/>
          <w:szCs w:val="21"/>
          <w:highlight w:val="none"/>
          <w:lang w:eastAsia="zh-CN"/>
        </w:rPr>
        <w:t>供应商</w:t>
      </w:r>
      <w:r>
        <w:rPr>
          <w:rFonts w:ascii="Arial" w:hAnsi="宋体" w:cs="Arial"/>
          <w:kern w:val="0"/>
          <w:szCs w:val="21"/>
          <w:highlight w:val="none"/>
        </w:rPr>
        <w:t>在投标截止时间前，可以对所递交的投标文件进行补充、修改或者撤回，并书面通知</w:t>
      </w:r>
      <w:r>
        <w:rPr>
          <w:rFonts w:hint="eastAsia" w:ascii="Arial" w:hAnsi="宋体" w:cs="Arial"/>
          <w:kern w:val="0"/>
          <w:szCs w:val="21"/>
          <w:highlight w:val="none"/>
        </w:rPr>
        <w:t>招标</w:t>
      </w:r>
      <w:r>
        <w:rPr>
          <w:rFonts w:ascii="Arial" w:hAnsi="宋体" w:cs="Arial"/>
          <w:kern w:val="0"/>
          <w:szCs w:val="21"/>
          <w:highlight w:val="none"/>
        </w:rPr>
        <w:t>人或者</w:t>
      </w:r>
      <w:r>
        <w:rPr>
          <w:rFonts w:hint="eastAsia" w:ascii="Arial" w:hAnsi="宋体" w:cs="Arial"/>
          <w:kern w:val="0"/>
          <w:szCs w:val="21"/>
          <w:highlight w:val="none"/>
        </w:rPr>
        <w:t>招标</w:t>
      </w:r>
      <w:r>
        <w:rPr>
          <w:rFonts w:ascii="Arial" w:hAnsi="宋体" w:cs="Arial"/>
          <w:kern w:val="0"/>
          <w:szCs w:val="21"/>
          <w:highlight w:val="none"/>
        </w:rPr>
        <w:t>代理机构。补充、修改的内容应当按照招标文件要求签署、盖章、密封后，作为投标文件的组成部分。</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19.2 </w:t>
      </w:r>
      <w:r>
        <w:rPr>
          <w:rFonts w:ascii="Arial" w:hAnsi="宋体" w:cs="Arial"/>
          <w:kern w:val="0"/>
          <w:szCs w:val="21"/>
          <w:highlight w:val="none"/>
        </w:rPr>
        <w:t>投标截止时间之后，投标文件不得撤回；如撤回，投标保证金不予退还。</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20</w:t>
      </w:r>
      <w:r>
        <w:rPr>
          <w:rFonts w:ascii="Arial" w:hAnsi="宋体" w:cs="Arial"/>
          <w:b/>
          <w:bCs/>
          <w:kern w:val="0"/>
          <w:szCs w:val="21"/>
          <w:highlight w:val="none"/>
        </w:rPr>
        <w:t>、诚实信用</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20.1</w:t>
      </w:r>
      <w:r>
        <w:rPr>
          <w:rFonts w:hint="eastAsia" w:ascii="Arial" w:hAnsi="宋体" w:cs="Arial"/>
          <w:kern w:val="0"/>
          <w:szCs w:val="21"/>
          <w:highlight w:val="none"/>
          <w:lang w:eastAsia="zh-CN"/>
        </w:rPr>
        <w:t>供应商</w:t>
      </w:r>
      <w:r>
        <w:rPr>
          <w:rFonts w:ascii="Arial" w:hAnsi="宋体" w:cs="Arial"/>
          <w:kern w:val="0"/>
          <w:szCs w:val="21"/>
          <w:highlight w:val="none"/>
        </w:rPr>
        <w:t>应当遵循公平竞争的原则，不得恶意串通，不得妨碍其他</w:t>
      </w:r>
      <w:r>
        <w:rPr>
          <w:rFonts w:hint="eastAsia" w:ascii="Arial" w:hAnsi="宋体" w:cs="Arial"/>
          <w:kern w:val="0"/>
          <w:szCs w:val="21"/>
          <w:highlight w:val="none"/>
          <w:lang w:eastAsia="zh-CN"/>
        </w:rPr>
        <w:t>供应商</w:t>
      </w:r>
      <w:r>
        <w:rPr>
          <w:rFonts w:ascii="Arial" w:hAnsi="宋体" w:cs="Arial"/>
          <w:kern w:val="0"/>
          <w:szCs w:val="21"/>
          <w:highlight w:val="none"/>
        </w:rPr>
        <w:t>的竞争行为，不得损害</w:t>
      </w:r>
      <w:r>
        <w:rPr>
          <w:rFonts w:hint="eastAsia" w:ascii="Arial" w:hAnsi="宋体" w:cs="Arial"/>
          <w:kern w:val="0"/>
          <w:szCs w:val="21"/>
          <w:highlight w:val="none"/>
        </w:rPr>
        <w:t>招标</w:t>
      </w:r>
      <w:r>
        <w:rPr>
          <w:rFonts w:ascii="Arial" w:hAnsi="宋体" w:cs="Arial"/>
          <w:kern w:val="0"/>
          <w:szCs w:val="21"/>
          <w:highlight w:val="none"/>
        </w:rPr>
        <w:t>人或者其他</w:t>
      </w:r>
      <w:r>
        <w:rPr>
          <w:rFonts w:hint="eastAsia" w:ascii="Arial" w:hAnsi="宋体" w:cs="Arial"/>
          <w:kern w:val="0"/>
          <w:szCs w:val="21"/>
          <w:highlight w:val="none"/>
          <w:lang w:eastAsia="zh-CN"/>
        </w:rPr>
        <w:t>供应商</w:t>
      </w:r>
      <w:r>
        <w:rPr>
          <w:rFonts w:ascii="Arial" w:hAnsi="宋体" w:cs="Arial"/>
          <w:kern w:val="0"/>
          <w:szCs w:val="21"/>
          <w:highlight w:val="none"/>
        </w:rPr>
        <w:t>的合法权益。</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20.2</w:t>
      </w:r>
      <w:r>
        <w:rPr>
          <w:rFonts w:ascii="Arial" w:hAnsi="宋体" w:cs="Arial"/>
          <w:kern w:val="0"/>
          <w:szCs w:val="21"/>
          <w:highlight w:val="none"/>
        </w:rPr>
        <w:t>在评标过程中发现</w:t>
      </w:r>
      <w:r>
        <w:rPr>
          <w:rFonts w:hint="eastAsia" w:ascii="Arial" w:hAnsi="宋体" w:cs="Arial"/>
          <w:kern w:val="0"/>
          <w:szCs w:val="21"/>
          <w:highlight w:val="none"/>
          <w:lang w:eastAsia="zh-CN"/>
        </w:rPr>
        <w:t>供应商</w:t>
      </w:r>
      <w:r>
        <w:rPr>
          <w:rFonts w:ascii="Arial" w:hAnsi="宋体" w:cs="Arial"/>
          <w:kern w:val="0"/>
          <w:szCs w:val="21"/>
          <w:highlight w:val="none"/>
        </w:rPr>
        <w:t>有上述情形的，评标委员会应当认定其投标无效，并书面报告本级财政部门。</w:t>
      </w:r>
    </w:p>
    <w:p>
      <w:pPr>
        <w:widowControl/>
        <w:shd w:val="clear" w:color="auto" w:fill="FFFFFF"/>
        <w:spacing w:line="360" w:lineRule="auto"/>
        <w:ind w:firstLine="420"/>
        <w:rPr>
          <w:rFonts w:ascii="Arial" w:hAnsi="Arial" w:cs="Arial"/>
          <w:kern w:val="0"/>
          <w:szCs w:val="21"/>
          <w:highlight w:val="none"/>
        </w:rPr>
      </w:pPr>
      <w:r>
        <w:rPr>
          <w:rFonts w:ascii="Arial" w:hAnsi="宋体" w:cs="Arial"/>
          <w:b/>
          <w:bCs/>
          <w:kern w:val="0"/>
          <w:szCs w:val="21"/>
          <w:highlight w:val="none"/>
        </w:rPr>
        <w:t>五、开标、评标与定标</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21</w:t>
      </w:r>
      <w:r>
        <w:rPr>
          <w:rFonts w:ascii="Arial" w:hAnsi="宋体" w:cs="Arial"/>
          <w:b/>
          <w:bCs/>
          <w:kern w:val="0"/>
          <w:szCs w:val="21"/>
          <w:highlight w:val="none"/>
        </w:rPr>
        <w:t>、开标</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21.1 </w:t>
      </w:r>
      <w:r>
        <w:rPr>
          <w:rFonts w:hint="eastAsia" w:ascii="Arial" w:hAnsi="宋体" w:cs="Arial"/>
          <w:kern w:val="0"/>
          <w:szCs w:val="21"/>
          <w:highlight w:val="none"/>
        </w:rPr>
        <w:t>招标</w:t>
      </w:r>
      <w:r>
        <w:rPr>
          <w:rFonts w:ascii="Arial" w:hAnsi="宋体" w:cs="Arial"/>
          <w:kern w:val="0"/>
          <w:szCs w:val="21"/>
          <w:highlight w:val="none"/>
        </w:rPr>
        <w:t>代理机构将在招标文件确定的时间和地点进行公开开标。</w:t>
      </w:r>
      <w:r>
        <w:rPr>
          <w:rFonts w:hint="eastAsia" w:ascii="Arial" w:hAnsi="宋体" w:cs="Arial"/>
          <w:kern w:val="0"/>
          <w:szCs w:val="21"/>
          <w:highlight w:val="none"/>
          <w:lang w:eastAsia="zh-CN"/>
        </w:rPr>
        <w:t>供应商</w:t>
      </w:r>
      <w:r>
        <w:rPr>
          <w:rFonts w:ascii="Arial" w:hAnsi="宋体" w:cs="Arial"/>
          <w:kern w:val="0"/>
          <w:szCs w:val="21"/>
          <w:highlight w:val="none"/>
        </w:rPr>
        <w:t>应委派代表准时参加，参加开标的代表须签名报到以证明其出席。</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21.2</w:t>
      </w:r>
      <w:r>
        <w:rPr>
          <w:rFonts w:ascii="Arial" w:hAnsi="宋体" w:cs="Arial"/>
          <w:kern w:val="0"/>
          <w:szCs w:val="21"/>
          <w:highlight w:val="none"/>
        </w:rPr>
        <w:t>开标时，应当由</w:t>
      </w:r>
      <w:r>
        <w:rPr>
          <w:rFonts w:hint="eastAsia" w:ascii="Arial" w:hAnsi="宋体" w:cs="Arial"/>
          <w:kern w:val="0"/>
          <w:szCs w:val="21"/>
          <w:highlight w:val="none"/>
          <w:lang w:eastAsia="zh-CN"/>
        </w:rPr>
        <w:t>供应商</w:t>
      </w:r>
      <w:r>
        <w:rPr>
          <w:rFonts w:ascii="Arial" w:hAnsi="宋体" w:cs="Arial"/>
          <w:kern w:val="0"/>
          <w:szCs w:val="21"/>
          <w:highlight w:val="none"/>
        </w:rPr>
        <w:t>或者其推选的代表检查投标文件的密封情况；经确认无误后，由</w:t>
      </w:r>
      <w:r>
        <w:rPr>
          <w:rFonts w:hint="eastAsia" w:ascii="Arial" w:hAnsi="宋体" w:cs="Arial"/>
          <w:kern w:val="0"/>
          <w:szCs w:val="21"/>
          <w:highlight w:val="none"/>
        </w:rPr>
        <w:t>招标</w:t>
      </w:r>
      <w:r>
        <w:rPr>
          <w:rFonts w:ascii="Arial" w:hAnsi="宋体" w:cs="Arial"/>
          <w:kern w:val="0"/>
          <w:szCs w:val="21"/>
          <w:highlight w:val="none"/>
        </w:rPr>
        <w:t>人或者</w:t>
      </w:r>
      <w:r>
        <w:rPr>
          <w:rFonts w:hint="eastAsia" w:ascii="Arial" w:hAnsi="宋体" w:cs="Arial"/>
          <w:kern w:val="0"/>
          <w:szCs w:val="21"/>
          <w:highlight w:val="none"/>
        </w:rPr>
        <w:t>招标</w:t>
      </w:r>
      <w:r>
        <w:rPr>
          <w:rFonts w:ascii="Arial" w:hAnsi="宋体" w:cs="Arial"/>
          <w:kern w:val="0"/>
          <w:szCs w:val="21"/>
          <w:highlight w:val="none"/>
        </w:rPr>
        <w:t>代理机构工作人员当众拆封，宣布</w:t>
      </w:r>
      <w:r>
        <w:rPr>
          <w:rFonts w:hint="eastAsia" w:ascii="Arial" w:hAnsi="宋体" w:cs="Arial"/>
          <w:kern w:val="0"/>
          <w:szCs w:val="21"/>
          <w:highlight w:val="none"/>
          <w:lang w:eastAsia="zh-CN"/>
        </w:rPr>
        <w:t>供应商</w:t>
      </w:r>
      <w:r>
        <w:rPr>
          <w:rFonts w:ascii="Arial" w:hAnsi="宋体" w:cs="Arial"/>
          <w:kern w:val="0"/>
          <w:szCs w:val="21"/>
          <w:highlight w:val="none"/>
        </w:rPr>
        <w:t>名称、投标价格和招标文件规定的需要宣布的其他内容。</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21.3</w:t>
      </w:r>
      <w:r>
        <w:rPr>
          <w:rFonts w:hint="eastAsia" w:ascii="Arial" w:hAnsi="宋体" w:cs="Arial"/>
          <w:kern w:val="0"/>
          <w:szCs w:val="21"/>
          <w:highlight w:val="none"/>
          <w:lang w:eastAsia="zh-CN"/>
        </w:rPr>
        <w:t>供应商</w:t>
      </w:r>
      <w:r>
        <w:rPr>
          <w:rFonts w:ascii="Arial" w:hAnsi="宋体" w:cs="Arial"/>
          <w:kern w:val="0"/>
          <w:szCs w:val="21"/>
          <w:highlight w:val="none"/>
        </w:rPr>
        <w:t>不足</w:t>
      </w:r>
      <w:r>
        <w:rPr>
          <w:rFonts w:ascii="Arial" w:hAnsi="Arial" w:cs="Arial"/>
          <w:kern w:val="0"/>
          <w:szCs w:val="21"/>
          <w:highlight w:val="none"/>
        </w:rPr>
        <w:t>3</w:t>
      </w:r>
      <w:r>
        <w:rPr>
          <w:rFonts w:ascii="Arial" w:hAnsi="宋体" w:cs="Arial"/>
          <w:kern w:val="0"/>
          <w:szCs w:val="21"/>
          <w:highlight w:val="none"/>
        </w:rPr>
        <w:t>家的，不得开标。</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21.4</w:t>
      </w:r>
      <w:r>
        <w:rPr>
          <w:rFonts w:ascii="Arial" w:hAnsi="宋体" w:cs="Arial"/>
          <w:kern w:val="0"/>
          <w:szCs w:val="21"/>
          <w:highlight w:val="none"/>
        </w:rPr>
        <w:t>开标过程由</w:t>
      </w:r>
      <w:r>
        <w:rPr>
          <w:rFonts w:hint="eastAsia" w:ascii="Arial" w:hAnsi="宋体" w:cs="Arial"/>
          <w:kern w:val="0"/>
          <w:szCs w:val="21"/>
          <w:highlight w:val="none"/>
        </w:rPr>
        <w:t>招标</w:t>
      </w:r>
      <w:r>
        <w:rPr>
          <w:rFonts w:ascii="Arial" w:hAnsi="宋体" w:cs="Arial"/>
          <w:kern w:val="0"/>
          <w:szCs w:val="21"/>
          <w:highlight w:val="none"/>
        </w:rPr>
        <w:t>代理机构负责记录，由参加开标的各</w:t>
      </w:r>
      <w:r>
        <w:rPr>
          <w:rFonts w:hint="eastAsia" w:ascii="Arial" w:hAnsi="宋体" w:cs="Arial"/>
          <w:kern w:val="0"/>
          <w:szCs w:val="21"/>
          <w:highlight w:val="none"/>
          <w:lang w:eastAsia="zh-CN"/>
        </w:rPr>
        <w:t>供应商</w:t>
      </w:r>
      <w:r>
        <w:rPr>
          <w:rFonts w:ascii="Arial" w:hAnsi="宋体" w:cs="Arial"/>
          <w:kern w:val="0"/>
          <w:szCs w:val="21"/>
          <w:highlight w:val="none"/>
        </w:rPr>
        <w:t>代表和相关工作人员签字确认后随</w:t>
      </w:r>
      <w:r>
        <w:rPr>
          <w:rFonts w:hint="eastAsia" w:ascii="Arial" w:hAnsi="宋体" w:cs="Arial"/>
          <w:kern w:val="0"/>
          <w:szCs w:val="21"/>
          <w:highlight w:val="none"/>
        </w:rPr>
        <w:t>招标</w:t>
      </w:r>
      <w:r>
        <w:rPr>
          <w:rFonts w:ascii="Arial" w:hAnsi="宋体" w:cs="Arial"/>
          <w:kern w:val="0"/>
          <w:szCs w:val="21"/>
          <w:highlight w:val="none"/>
        </w:rPr>
        <w:t>文件一并存档。</w:t>
      </w:r>
    </w:p>
    <w:p>
      <w:pPr>
        <w:spacing w:line="360" w:lineRule="auto"/>
        <w:ind w:firstLine="420" w:firstLineChars="200"/>
        <w:rPr>
          <w:rFonts w:ascii="Arial" w:hAnsi="Arial" w:cs="Arial"/>
          <w:highlight w:val="none"/>
        </w:rPr>
      </w:pPr>
      <w:r>
        <w:rPr>
          <w:rFonts w:hint="eastAsia" w:ascii="Arial" w:hAnsi="宋体" w:cs="Arial"/>
          <w:highlight w:val="none"/>
          <w:lang w:eastAsia="zh-CN"/>
        </w:rPr>
        <w:t>供应商</w:t>
      </w:r>
      <w:r>
        <w:rPr>
          <w:rFonts w:ascii="Arial" w:hAnsi="宋体" w:cs="Arial"/>
          <w:highlight w:val="none"/>
        </w:rPr>
        <w:t>代表对开标过程和开标记录有疑义，以及认为</w:t>
      </w:r>
      <w:r>
        <w:rPr>
          <w:rFonts w:hint="eastAsia" w:ascii="Arial" w:hAnsi="宋体" w:cs="Arial"/>
          <w:highlight w:val="none"/>
        </w:rPr>
        <w:t>招标</w:t>
      </w:r>
      <w:r>
        <w:rPr>
          <w:rFonts w:ascii="Arial" w:hAnsi="宋体" w:cs="Arial"/>
          <w:highlight w:val="none"/>
        </w:rPr>
        <w:t>人、</w:t>
      </w:r>
      <w:r>
        <w:rPr>
          <w:rFonts w:hint="eastAsia" w:ascii="Arial" w:hAnsi="宋体" w:cs="Arial"/>
          <w:highlight w:val="none"/>
        </w:rPr>
        <w:t>招标</w:t>
      </w:r>
      <w:r>
        <w:rPr>
          <w:rFonts w:ascii="Arial" w:hAnsi="宋体" w:cs="Arial"/>
          <w:highlight w:val="none"/>
        </w:rPr>
        <w:t>代理机构相关工作人员有需要回避的情形的，应当场提出询问或者回避申请。</w:t>
      </w:r>
      <w:r>
        <w:rPr>
          <w:rFonts w:hint="eastAsia" w:ascii="Arial" w:hAnsi="宋体" w:cs="Arial"/>
          <w:highlight w:val="none"/>
        </w:rPr>
        <w:t>招标</w:t>
      </w:r>
      <w:r>
        <w:rPr>
          <w:rFonts w:ascii="Arial" w:hAnsi="宋体" w:cs="Arial"/>
          <w:highlight w:val="none"/>
        </w:rPr>
        <w:t>人、</w:t>
      </w:r>
      <w:r>
        <w:rPr>
          <w:rFonts w:hint="eastAsia" w:ascii="Arial" w:hAnsi="宋体" w:cs="Arial"/>
          <w:highlight w:val="none"/>
        </w:rPr>
        <w:t>招标</w:t>
      </w:r>
      <w:r>
        <w:rPr>
          <w:rFonts w:ascii="Arial" w:hAnsi="宋体" w:cs="Arial"/>
          <w:highlight w:val="none"/>
        </w:rPr>
        <w:t>代理机构对</w:t>
      </w:r>
      <w:r>
        <w:rPr>
          <w:rFonts w:hint="eastAsia" w:ascii="Arial" w:hAnsi="宋体" w:cs="Arial"/>
          <w:highlight w:val="none"/>
          <w:lang w:eastAsia="zh-CN"/>
        </w:rPr>
        <w:t>供应商</w:t>
      </w:r>
      <w:r>
        <w:rPr>
          <w:rFonts w:ascii="Arial" w:hAnsi="宋体" w:cs="Arial"/>
          <w:highlight w:val="none"/>
        </w:rPr>
        <w:t>代表提出的询问或者回避申请及时处理。</w:t>
      </w:r>
    </w:p>
    <w:p>
      <w:pPr>
        <w:spacing w:line="360" w:lineRule="auto"/>
        <w:ind w:firstLine="420" w:firstLineChars="200"/>
        <w:rPr>
          <w:rFonts w:ascii="Arial" w:hAnsi="Arial" w:cs="Arial"/>
          <w:highlight w:val="none"/>
        </w:rPr>
      </w:pPr>
      <w:r>
        <w:rPr>
          <w:rFonts w:ascii="Arial" w:hAnsi="Arial" w:cs="Arial"/>
          <w:highlight w:val="none"/>
        </w:rPr>
        <w:t>21.5</w:t>
      </w:r>
      <w:r>
        <w:rPr>
          <w:rFonts w:hint="eastAsia" w:ascii="Arial" w:hAnsi="宋体" w:cs="Arial"/>
          <w:highlight w:val="none"/>
          <w:lang w:eastAsia="zh-CN"/>
        </w:rPr>
        <w:t>供应商</w:t>
      </w:r>
      <w:r>
        <w:rPr>
          <w:rFonts w:ascii="Arial" w:hAnsi="宋体" w:cs="Arial"/>
          <w:highlight w:val="none"/>
        </w:rPr>
        <w:t>未参加开标的，视同认可开标结果。</w:t>
      </w:r>
    </w:p>
    <w:p>
      <w:pPr>
        <w:spacing w:line="360" w:lineRule="auto"/>
        <w:ind w:firstLine="420" w:firstLineChars="200"/>
        <w:rPr>
          <w:rFonts w:ascii="Arial" w:hAnsi="Arial" w:cs="Arial"/>
          <w:highlight w:val="none"/>
        </w:rPr>
      </w:pPr>
      <w:r>
        <w:rPr>
          <w:rFonts w:ascii="Arial" w:hAnsi="Arial" w:cs="Arial"/>
          <w:highlight w:val="none"/>
        </w:rPr>
        <w:t>21.6</w:t>
      </w:r>
      <w:r>
        <w:rPr>
          <w:rFonts w:ascii="Arial" w:hAnsi="宋体" w:cs="Arial"/>
          <w:highlight w:val="none"/>
        </w:rPr>
        <w:t>公开招标数额标准以上的采购项目，投标截止后</w:t>
      </w:r>
      <w:r>
        <w:rPr>
          <w:rFonts w:hint="eastAsia" w:ascii="Arial" w:hAnsi="宋体" w:cs="Arial"/>
          <w:highlight w:val="none"/>
          <w:lang w:eastAsia="zh-CN"/>
        </w:rPr>
        <w:t>供应商</w:t>
      </w:r>
      <w:r>
        <w:rPr>
          <w:rFonts w:ascii="Arial" w:hAnsi="宋体" w:cs="Arial"/>
          <w:highlight w:val="none"/>
        </w:rPr>
        <w:t>不足</w:t>
      </w:r>
      <w:r>
        <w:rPr>
          <w:rFonts w:ascii="Arial" w:hAnsi="Arial" w:cs="Arial"/>
          <w:highlight w:val="none"/>
        </w:rPr>
        <w:t>3</w:t>
      </w:r>
      <w:r>
        <w:rPr>
          <w:rFonts w:ascii="Arial" w:hAnsi="宋体" w:cs="Arial"/>
          <w:highlight w:val="none"/>
        </w:rPr>
        <w:t>家或者通过资格审查或符合性审查的</w:t>
      </w:r>
      <w:r>
        <w:rPr>
          <w:rFonts w:hint="eastAsia" w:ascii="Arial" w:hAnsi="宋体" w:cs="Arial"/>
          <w:highlight w:val="none"/>
          <w:lang w:eastAsia="zh-CN"/>
        </w:rPr>
        <w:t>供应商</w:t>
      </w:r>
      <w:r>
        <w:rPr>
          <w:rFonts w:ascii="Arial" w:hAnsi="宋体" w:cs="Arial"/>
          <w:highlight w:val="none"/>
        </w:rPr>
        <w:t>不足</w:t>
      </w:r>
      <w:r>
        <w:rPr>
          <w:rFonts w:ascii="Arial" w:hAnsi="Arial" w:cs="Arial"/>
          <w:highlight w:val="none"/>
        </w:rPr>
        <w:t>3</w:t>
      </w:r>
      <w:r>
        <w:rPr>
          <w:rFonts w:ascii="Arial" w:hAnsi="宋体" w:cs="Arial"/>
          <w:highlight w:val="none"/>
        </w:rPr>
        <w:t>家的，除采购任务取消情形外，按照以下方式处理：</w:t>
      </w:r>
    </w:p>
    <w:p>
      <w:pPr>
        <w:spacing w:line="360" w:lineRule="auto"/>
        <w:ind w:firstLine="420" w:firstLineChars="200"/>
        <w:rPr>
          <w:rFonts w:ascii="Arial" w:hAnsi="Arial" w:cs="Arial"/>
          <w:highlight w:val="none"/>
        </w:rPr>
      </w:pPr>
      <w:r>
        <w:rPr>
          <w:rFonts w:ascii="Arial" w:hAnsi="宋体" w:cs="Arial"/>
          <w:highlight w:val="none"/>
        </w:rPr>
        <w:t>（</w:t>
      </w:r>
      <w:r>
        <w:rPr>
          <w:rFonts w:ascii="Arial" w:hAnsi="Arial" w:cs="Arial"/>
          <w:highlight w:val="none"/>
        </w:rPr>
        <w:t>1</w:t>
      </w:r>
      <w:r>
        <w:rPr>
          <w:rFonts w:ascii="Arial" w:hAnsi="宋体" w:cs="Arial"/>
          <w:highlight w:val="none"/>
        </w:rPr>
        <w:t>）招标文件存在不合理条款或者招标程序不符合规定的，</w:t>
      </w:r>
      <w:r>
        <w:rPr>
          <w:rFonts w:hint="eastAsia" w:ascii="Arial" w:hAnsi="宋体" w:cs="Arial"/>
          <w:highlight w:val="none"/>
        </w:rPr>
        <w:t>招标</w:t>
      </w:r>
      <w:r>
        <w:rPr>
          <w:rFonts w:ascii="Arial" w:hAnsi="宋体" w:cs="Arial"/>
          <w:highlight w:val="none"/>
        </w:rPr>
        <w:t>人、</w:t>
      </w:r>
      <w:r>
        <w:rPr>
          <w:rFonts w:hint="eastAsia" w:ascii="Arial" w:hAnsi="宋体" w:cs="Arial"/>
          <w:highlight w:val="none"/>
        </w:rPr>
        <w:t>招标</w:t>
      </w:r>
      <w:r>
        <w:rPr>
          <w:rFonts w:ascii="Arial" w:hAnsi="宋体" w:cs="Arial"/>
          <w:highlight w:val="none"/>
        </w:rPr>
        <w:t>代理机构改正后依法重新招标；</w:t>
      </w:r>
    </w:p>
    <w:p>
      <w:pPr>
        <w:widowControl/>
        <w:shd w:val="clear" w:color="auto" w:fill="FFFFFF"/>
        <w:spacing w:line="360" w:lineRule="auto"/>
        <w:ind w:firstLine="420"/>
        <w:rPr>
          <w:rFonts w:ascii="Arial" w:hAnsi="Arial" w:cs="Arial"/>
          <w:kern w:val="0"/>
          <w:szCs w:val="21"/>
          <w:highlight w:val="none"/>
        </w:rPr>
      </w:pPr>
      <w:r>
        <w:rPr>
          <w:rFonts w:ascii="Arial" w:hAnsi="宋体" w:cs="Arial"/>
          <w:highlight w:val="none"/>
        </w:rPr>
        <w:t>（</w:t>
      </w:r>
      <w:r>
        <w:rPr>
          <w:rFonts w:ascii="Arial" w:hAnsi="Arial" w:cs="Arial"/>
          <w:highlight w:val="none"/>
        </w:rPr>
        <w:t>2</w:t>
      </w:r>
      <w:r>
        <w:rPr>
          <w:rFonts w:ascii="Arial" w:hAnsi="宋体" w:cs="Arial"/>
          <w:highlight w:val="none"/>
        </w:rPr>
        <w:t>）招标文件没有不合理条款、招标程序符合规定，需要采用其他采购方式采购的，</w:t>
      </w:r>
      <w:r>
        <w:rPr>
          <w:rFonts w:hint="eastAsia" w:ascii="Arial" w:hAnsi="宋体" w:cs="Arial"/>
          <w:highlight w:val="none"/>
        </w:rPr>
        <w:t>招标</w:t>
      </w:r>
      <w:r>
        <w:rPr>
          <w:rFonts w:ascii="Arial" w:hAnsi="宋体" w:cs="Arial"/>
          <w:highlight w:val="none"/>
        </w:rPr>
        <w:t>人依法报财政部门批准，</w:t>
      </w:r>
      <w:r>
        <w:rPr>
          <w:rFonts w:ascii="Arial" w:hAnsi="宋体" w:cs="Arial"/>
          <w:kern w:val="0"/>
          <w:szCs w:val="21"/>
          <w:highlight w:val="none"/>
        </w:rPr>
        <w:t>经批准后，可变更为其他采购方式采购。本次招标文件中对</w:t>
      </w:r>
      <w:r>
        <w:rPr>
          <w:rFonts w:hint="eastAsia" w:ascii="Arial" w:hAnsi="宋体" w:cs="Arial"/>
          <w:kern w:val="0"/>
          <w:szCs w:val="21"/>
          <w:highlight w:val="none"/>
          <w:lang w:eastAsia="zh-CN"/>
        </w:rPr>
        <w:t>供应商</w:t>
      </w:r>
      <w:r>
        <w:rPr>
          <w:rFonts w:ascii="Arial" w:hAnsi="宋体" w:cs="Arial"/>
          <w:kern w:val="0"/>
          <w:szCs w:val="21"/>
          <w:highlight w:val="none"/>
        </w:rPr>
        <w:t>资格条件要求、技术要求和商务等要求，将作为其他采购方式采购的基本要求和谈判依据。</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22</w:t>
      </w:r>
      <w:r>
        <w:rPr>
          <w:rFonts w:ascii="Arial" w:hAnsi="宋体" w:cs="Arial"/>
          <w:b/>
          <w:bCs/>
          <w:kern w:val="0"/>
          <w:szCs w:val="21"/>
          <w:highlight w:val="none"/>
        </w:rPr>
        <w:t>、评标</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 xml:space="preserve">22.1 </w:t>
      </w:r>
      <w:r>
        <w:rPr>
          <w:rFonts w:ascii="Arial" w:hAnsi="宋体" w:cs="Arial"/>
          <w:b/>
          <w:bCs/>
          <w:kern w:val="0"/>
          <w:szCs w:val="21"/>
          <w:highlight w:val="none"/>
        </w:rPr>
        <w:t>评标委员会</w:t>
      </w:r>
    </w:p>
    <w:p>
      <w:pPr>
        <w:widowControl/>
        <w:shd w:val="clear" w:color="auto" w:fill="FFFFFF"/>
        <w:spacing w:line="360" w:lineRule="auto"/>
        <w:ind w:firstLine="420"/>
        <w:rPr>
          <w:rFonts w:ascii="Arial" w:hAnsi="Arial" w:cs="Arial"/>
          <w:bCs/>
          <w:kern w:val="0"/>
          <w:szCs w:val="21"/>
          <w:highlight w:val="none"/>
        </w:rPr>
      </w:pPr>
      <w:r>
        <w:rPr>
          <w:rFonts w:ascii="Arial" w:hAnsi="Arial" w:cs="Arial"/>
          <w:b/>
          <w:bCs/>
          <w:kern w:val="0"/>
          <w:szCs w:val="21"/>
          <w:highlight w:val="none"/>
        </w:rPr>
        <w:t>22.1.1</w:t>
      </w:r>
      <w:r>
        <w:rPr>
          <w:rFonts w:ascii="Arial" w:hAnsi="宋体" w:cs="Arial"/>
          <w:bCs/>
          <w:kern w:val="0"/>
          <w:szCs w:val="21"/>
          <w:highlight w:val="none"/>
        </w:rPr>
        <w:t>评标委员会负责具体评标事务，并独立履行下列职责：</w:t>
      </w:r>
    </w:p>
    <w:p>
      <w:pPr>
        <w:widowControl/>
        <w:shd w:val="clear" w:color="auto" w:fill="FFFFFF"/>
        <w:spacing w:line="360" w:lineRule="auto"/>
        <w:ind w:firstLine="420"/>
        <w:rPr>
          <w:rFonts w:ascii="Arial" w:hAnsi="Arial" w:cs="Arial"/>
          <w:bCs/>
          <w:kern w:val="0"/>
          <w:szCs w:val="21"/>
          <w:highlight w:val="none"/>
        </w:rPr>
      </w:pPr>
      <w:r>
        <w:rPr>
          <w:rFonts w:ascii="Arial" w:hAnsi="宋体" w:cs="Arial"/>
          <w:bCs/>
          <w:kern w:val="0"/>
          <w:szCs w:val="21"/>
          <w:highlight w:val="none"/>
        </w:rPr>
        <w:t>（一）审查、评价投标文件是否符合招标文件的商务、技术等实质性要求；</w:t>
      </w:r>
    </w:p>
    <w:p>
      <w:pPr>
        <w:widowControl/>
        <w:shd w:val="clear" w:color="auto" w:fill="FFFFFF"/>
        <w:spacing w:line="360" w:lineRule="auto"/>
        <w:ind w:firstLine="420"/>
        <w:rPr>
          <w:rFonts w:ascii="Arial" w:hAnsi="Arial" w:cs="Arial"/>
          <w:bCs/>
          <w:kern w:val="0"/>
          <w:szCs w:val="21"/>
          <w:highlight w:val="none"/>
        </w:rPr>
      </w:pPr>
      <w:r>
        <w:rPr>
          <w:rFonts w:ascii="Arial" w:hAnsi="宋体" w:cs="Arial"/>
          <w:bCs/>
          <w:kern w:val="0"/>
          <w:szCs w:val="21"/>
          <w:highlight w:val="none"/>
        </w:rPr>
        <w:t>（二）要求</w:t>
      </w:r>
      <w:r>
        <w:rPr>
          <w:rFonts w:hint="eastAsia" w:ascii="Arial" w:hAnsi="宋体" w:cs="Arial"/>
          <w:bCs/>
          <w:kern w:val="0"/>
          <w:szCs w:val="21"/>
          <w:highlight w:val="none"/>
          <w:lang w:eastAsia="zh-CN"/>
        </w:rPr>
        <w:t>供应商</w:t>
      </w:r>
      <w:r>
        <w:rPr>
          <w:rFonts w:ascii="Arial" w:hAnsi="宋体" w:cs="Arial"/>
          <w:bCs/>
          <w:kern w:val="0"/>
          <w:szCs w:val="21"/>
          <w:highlight w:val="none"/>
        </w:rPr>
        <w:t>对投标文件有关事项作出澄清或者说明；</w:t>
      </w:r>
    </w:p>
    <w:p>
      <w:pPr>
        <w:widowControl/>
        <w:shd w:val="clear" w:color="auto" w:fill="FFFFFF"/>
        <w:spacing w:line="360" w:lineRule="auto"/>
        <w:ind w:firstLine="420"/>
        <w:rPr>
          <w:rFonts w:ascii="Arial" w:hAnsi="Arial" w:cs="Arial"/>
          <w:bCs/>
          <w:kern w:val="0"/>
          <w:szCs w:val="21"/>
          <w:highlight w:val="none"/>
        </w:rPr>
      </w:pPr>
      <w:r>
        <w:rPr>
          <w:rFonts w:ascii="Arial" w:hAnsi="宋体" w:cs="Arial"/>
          <w:bCs/>
          <w:kern w:val="0"/>
          <w:szCs w:val="21"/>
          <w:highlight w:val="none"/>
        </w:rPr>
        <w:t>（三）对投标文件进行比较和评价；</w:t>
      </w:r>
    </w:p>
    <w:p>
      <w:pPr>
        <w:widowControl/>
        <w:shd w:val="clear" w:color="auto" w:fill="FFFFFF"/>
        <w:spacing w:line="360" w:lineRule="auto"/>
        <w:ind w:firstLine="420"/>
        <w:rPr>
          <w:rFonts w:ascii="Arial" w:hAnsi="Arial" w:cs="Arial"/>
          <w:bCs/>
          <w:kern w:val="0"/>
          <w:szCs w:val="21"/>
          <w:highlight w:val="none"/>
        </w:rPr>
      </w:pPr>
      <w:r>
        <w:rPr>
          <w:rFonts w:ascii="Arial" w:hAnsi="宋体" w:cs="Arial"/>
          <w:bCs/>
          <w:kern w:val="0"/>
          <w:szCs w:val="21"/>
          <w:highlight w:val="none"/>
        </w:rPr>
        <w:t>（四）确定中标候选人名单，以及根据采购人委托直接确定中标人；</w:t>
      </w:r>
    </w:p>
    <w:p>
      <w:pPr>
        <w:widowControl/>
        <w:shd w:val="clear" w:color="auto" w:fill="FFFFFF"/>
        <w:spacing w:line="360" w:lineRule="auto"/>
        <w:ind w:firstLine="420"/>
        <w:rPr>
          <w:rFonts w:ascii="Arial" w:hAnsi="Arial" w:cs="Arial"/>
          <w:kern w:val="0"/>
          <w:szCs w:val="21"/>
          <w:highlight w:val="none"/>
        </w:rPr>
      </w:pPr>
      <w:r>
        <w:rPr>
          <w:rFonts w:ascii="Arial" w:hAnsi="宋体" w:cs="Arial"/>
          <w:bCs/>
          <w:kern w:val="0"/>
          <w:szCs w:val="21"/>
          <w:highlight w:val="none"/>
        </w:rPr>
        <w:t>（五）向</w:t>
      </w:r>
      <w:r>
        <w:rPr>
          <w:rFonts w:hint="eastAsia" w:ascii="Arial" w:hAnsi="宋体" w:cs="Arial"/>
          <w:bCs/>
          <w:kern w:val="0"/>
          <w:szCs w:val="21"/>
          <w:highlight w:val="none"/>
        </w:rPr>
        <w:t>招标</w:t>
      </w:r>
      <w:r>
        <w:rPr>
          <w:rFonts w:ascii="Arial" w:hAnsi="宋体" w:cs="Arial"/>
          <w:bCs/>
          <w:kern w:val="0"/>
          <w:szCs w:val="21"/>
          <w:highlight w:val="none"/>
        </w:rPr>
        <w:t>人、</w:t>
      </w:r>
      <w:r>
        <w:rPr>
          <w:rFonts w:hint="eastAsia" w:ascii="Arial" w:hAnsi="宋体" w:cs="Arial"/>
          <w:bCs/>
          <w:kern w:val="0"/>
          <w:szCs w:val="21"/>
          <w:highlight w:val="none"/>
        </w:rPr>
        <w:t>招标</w:t>
      </w:r>
      <w:r>
        <w:rPr>
          <w:rFonts w:ascii="Arial" w:hAnsi="宋体" w:cs="Arial"/>
          <w:bCs/>
          <w:kern w:val="0"/>
          <w:szCs w:val="21"/>
          <w:highlight w:val="none"/>
        </w:rPr>
        <w:t>代理机构或者有关部门报告评标中发现的违法行为。</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 xml:space="preserve">22.1.2 </w:t>
      </w:r>
      <w:r>
        <w:rPr>
          <w:rFonts w:ascii="Arial" w:hAnsi="宋体" w:cs="Arial"/>
          <w:kern w:val="0"/>
          <w:szCs w:val="21"/>
          <w:highlight w:val="none"/>
        </w:rPr>
        <w:t>评标委员会由</w:t>
      </w:r>
      <w:r>
        <w:rPr>
          <w:rFonts w:hint="eastAsia" w:ascii="Arial" w:hAnsi="宋体" w:cs="Arial"/>
          <w:bCs/>
          <w:kern w:val="0"/>
          <w:szCs w:val="21"/>
          <w:highlight w:val="none"/>
        </w:rPr>
        <w:t>招标</w:t>
      </w:r>
      <w:r>
        <w:rPr>
          <w:rFonts w:ascii="Arial" w:hAnsi="宋体" w:cs="Arial"/>
          <w:kern w:val="0"/>
          <w:szCs w:val="21"/>
          <w:highlight w:val="none"/>
        </w:rPr>
        <w:t>人代表和有关技术、经济等方面的专家组成，独立开展评审工作。</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b/>
          <w:bCs/>
          <w:kern w:val="0"/>
          <w:szCs w:val="21"/>
          <w:highlight w:val="none"/>
        </w:rPr>
        <w:t xml:space="preserve">22.2  </w:t>
      </w:r>
      <w:r>
        <w:rPr>
          <w:rFonts w:ascii="Arial" w:hAnsi="宋体" w:cs="Arial"/>
          <w:b/>
          <w:bCs/>
          <w:kern w:val="0"/>
          <w:szCs w:val="21"/>
          <w:highlight w:val="none"/>
        </w:rPr>
        <w:t>评标程序</w:t>
      </w:r>
    </w:p>
    <w:p>
      <w:pPr>
        <w:widowControl/>
        <w:shd w:val="clear" w:color="auto" w:fill="FFFFFF"/>
        <w:spacing w:line="360" w:lineRule="auto"/>
        <w:ind w:firstLine="420"/>
        <w:jc w:val="left"/>
        <w:rPr>
          <w:rFonts w:ascii="Arial" w:hAnsi="Arial" w:cs="Arial"/>
          <w:b/>
          <w:kern w:val="0"/>
          <w:szCs w:val="21"/>
          <w:highlight w:val="none"/>
        </w:rPr>
      </w:pPr>
      <w:r>
        <w:rPr>
          <w:rFonts w:ascii="Arial" w:hAnsi="Arial" w:cs="Arial"/>
          <w:b/>
          <w:kern w:val="0"/>
          <w:szCs w:val="21"/>
          <w:highlight w:val="none"/>
        </w:rPr>
        <w:t xml:space="preserve">22.2.1 </w:t>
      </w:r>
      <w:r>
        <w:rPr>
          <w:rFonts w:ascii="Arial" w:hAnsi="宋体" w:cs="Arial"/>
          <w:b/>
          <w:bCs/>
          <w:kern w:val="0"/>
          <w:szCs w:val="21"/>
          <w:highlight w:val="none"/>
        </w:rPr>
        <w:t>投标文件的资格性检查。</w:t>
      </w:r>
      <w:r>
        <w:rPr>
          <w:rFonts w:ascii="Arial" w:hAnsi="宋体" w:cs="Arial"/>
          <w:kern w:val="0"/>
          <w:szCs w:val="21"/>
          <w:highlight w:val="none"/>
        </w:rPr>
        <w:t>公开招标采购项目开标结束后，</w:t>
      </w:r>
      <w:r>
        <w:rPr>
          <w:rFonts w:hint="eastAsia" w:ascii="Arial" w:hAnsi="宋体" w:cs="Arial"/>
          <w:highlight w:val="none"/>
        </w:rPr>
        <w:t>招标</w:t>
      </w:r>
      <w:r>
        <w:rPr>
          <w:rFonts w:ascii="Arial" w:hAnsi="宋体" w:cs="Arial"/>
          <w:kern w:val="0"/>
          <w:szCs w:val="21"/>
          <w:highlight w:val="none"/>
        </w:rPr>
        <w:t>人或者</w:t>
      </w:r>
      <w:r>
        <w:rPr>
          <w:rFonts w:hint="eastAsia" w:ascii="Arial" w:hAnsi="宋体" w:cs="Arial"/>
          <w:highlight w:val="none"/>
        </w:rPr>
        <w:t>招标</w:t>
      </w:r>
      <w:r>
        <w:rPr>
          <w:rFonts w:ascii="Arial" w:hAnsi="宋体" w:cs="Arial"/>
          <w:kern w:val="0"/>
          <w:szCs w:val="21"/>
          <w:highlight w:val="none"/>
        </w:rPr>
        <w:t>代理机构应当依法对</w:t>
      </w:r>
      <w:r>
        <w:rPr>
          <w:rFonts w:hint="eastAsia" w:ascii="Arial" w:hAnsi="宋体" w:cs="Arial"/>
          <w:kern w:val="0"/>
          <w:szCs w:val="21"/>
          <w:highlight w:val="none"/>
          <w:lang w:eastAsia="zh-CN"/>
        </w:rPr>
        <w:t>供应商</w:t>
      </w:r>
      <w:r>
        <w:rPr>
          <w:rFonts w:ascii="Arial" w:hAnsi="宋体" w:cs="Arial"/>
          <w:kern w:val="0"/>
          <w:szCs w:val="21"/>
          <w:highlight w:val="none"/>
        </w:rPr>
        <w:t>的资格进行审查。合格</w:t>
      </w:r>
      <w:r>
        <w:rPr>
          <w:rFonts w:hint="eastAsia" w:ascii="Arial" w:hAnsi="宋体" w:cs="Arial"/>
          <w:kern w:val="0"/>
          <w:szCs w:val="21"/>
          <w:highlight w:val="none"/>
          <w:lang w:eastAsia="zh-CN"/>
        </w:rPr>
        <w:t>供应商</w:t>
      </w:r>
      <w:r>
        <w:rPr>
          <w:rFonts w:ascii="Arial" w:hAnsi="宋体" w:cs="Arial"/>
          <w:kern w:val="0"/>
          <w:szCs w:val="21"/>
          <w:highlight w:val="none"/>
        </w:rPr>
        <w:t>不足</w:t>
      </w:r>
      <w:r>
        <w:rPr>
          <w:rFonts w:ascii="Arial" w:hAnsi="Arial" w:cs="Arial"/>
          <w:kern w:val="0"/>
          <w:szCs w:val="21"/>
          <w:highlight w:val="none"/>
        </w:rPr>
        <w:t>3</w:t>
      </w:r>
      <w:r>
        <w:rPr>
          <w:rFonts w:ascii="Arial" w:hAnsi="宋体" w:cs="Arial"/>
          <w:kern w:val="0"/>
          <w:szCs w:val="21"/>
          <w:highlight w:val="none"/>
        </w:rPr>
        <w:t>家的，不得评标。</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b/>
          <w:bCs/>
          <w:kern w:val="0"/>
          <w:szCs w:val="21"/>
          <w:highlight w:val="none"/>
        </w:rPr>
        <w:t>22.2.2</w:t>
      </w:r>
      <w:r>
        <w:rPr>
          <w:rFonts w:ascii="Arial" w:hAnsi="宋体" w:cs="Arial"/>
          <w:b/>
          <w:bCs/>
          <w:kern w:val="0"/>
          <w:szCs w:val="21"/>
          <w:highlight w:val="none"/>
        </w:rPr>
        <w:t>投标文件的符合性审查</w:t>
      </w:r>
      <w:r>
        <w:rPr>
          <w:rFonts w:ascii="Arial" w:hAnsi="宋体" w:cs="Arial"/>
          <w:kern w:val="0"/>
          <w:szCs w:val="21"/>
          <w:highlight w:val="none"/>
        </w:rPr>
        <w:t>。评标委员会对通过资格性检查的</w:t>
      </w:r>
      <w:r>
        <w:rPr>
          <w:rFonts w:hint="eastAsia" w:ascii="Arial" w:hAnsi="宋体" w:cs="Arial"/>
          <w:kern w:val="0"/>
          <w:szCs w:val="21"/>
          <w:highlight w:val="none"/>
          <w:lang w:eastAsia="zh-CN"/>
        </w:rPr>
        <w:t>供应商</w:t>
      </w:r>
      <w:r>
        <w:rPr>
          <w:rFonts w:ascii="Arial" w:hAnsi="宋体" w:cs="Arial"/>
          <w:kern w:val="0"/>
          <w:szCs w:val="21"/>
          <w:highlight w:val="none"/>
        </w:rPr>
        <w:t>的投标文件进行符合性审查，以确定其是否满足招标文件的实质性要求。投标文件有下列情况之一的，在符合性检查时按照无效投标处理：</w:t>
      </w:r>
    </w:p>
    <w:p>
      <w:pPr>
        <w:widowControl/>
        <w:shd w:val="clear" w:color="auto" w:fill="FFFFFF"/>
        <w:spacing w:line="360" w:lineRule="auto"/>
        <w:ind w:firstLine="420"/>
        <w:jc w:val="left"/>
        <w:rPr>
          <w:rFonts w:ascii="Arial" w:hAnsi="Arial" w:cs="Arial"/>
          <w:b/>
          <w:kern w:val="0"/>
          <w:szCs w:val="21"/>
          <w:highlight w:val="none"/>
        </w:rPr>
      </w:pPr>
      <w:r>
        <w:rPr>
          <w:rFonts w:ascii="Arial" w:hAnsi="宋体" w:cs="Arial"/>
          <w:b/>
          <w:kern w:val="0"/>
          <w:szCs w:val="21"/>
          <w:highlight w:val="none"/>
        </w:rPr>
        <w:t>（</w:t>
      </w:r>
      <w:r>
        <w:rPr>
          <w:rFonts w:ascii="Arial" w:hAnsi="Arial" w:cs="Arial"/>
          <w:b/>
          <w:kern w:val="0"/>
          <w:szCs w:val="21"/>
          <w:highlight w:val="none"/>
        </w:rPr>
        <w:t>1</w:t>
      </w:r>
      <w:r>
        <w:rPr>
          <w:rFonts w:ascii="Arial" w:hAnsi="宋体" w:cs="Arial"/>
          <w:b/>
          <w:kern w:val="0"/>
          <w:szCs w:val="21"/>
          <w:highlight w:val="none"/>
        </w:rPr>
        <w:t>）未按投标邀请规定的数额和办法交纳投标保证金的；</w:t>
      </w:r>
    </w:p>
    <w:p>
      <w:pPr>
        <w:widowControl/>
        <w:shd w:val="clear" w:color="auto" w:fill="FFFFFF"/>
        <w:spacing w:line="360" w:lineRule="auto"/>
        <w:ind w:firstLine="420"/>
        <w:jc w:val="left"/>
        <w:rPr>
          <w:rFonts w:ascii="Arial" w:hAnsi="Arial" w:cs="Arial"/>
          <w:b/>
          <w:kern w:val="0"/>
          <w:szCs w:val="21"/>
          <w:highlight w:val="none"/>
        </w:rPr>
      </w:pPr>
      <w:r>
        <w:rPr>
          <w:rFonts w:ascii="Arial" w:hAnsi="宋体" w:cs="Arial"/>
          <w:b/>
          <w:kern w:val="0"/>
          <w:szCs w:val="21"/>
          <w:highlight w:val="none"/>
        </w:rPr>
        <w:t>（</w:t>
      </w:r>
      <w:r>
        <w:rPr>
          <w:rFonts w:ascii="Arial" w:hAnsi="Arial" w:cs="Arial"/>
          <w:b/>
          <w:kern w:val="0"/>
          <w:szCs w:val="21"/>
          <w:highlight w:val="none"/>
        </w:rPr>
        <w:t>2</w:t>
      </w:r>
      <w:r>
        <w:rPr>
          <w:rFonts w:ascii="Arial" w:hAnsi="宋体" w:cs="Arial"/>
          <w:b/>
          <w:kern w:val="0"/>
          <w:szCs w:val="21"/>
          <w:highlight w:val="none"/>
        </w:rPr>
        <w:t>）未按照招标文件规定要求密封、签署、盖章的</w:t>
      </w:r>
      <w:r>
        <w:rPr>
          <w:rFonts w:ascii="Arial" w:hAnsi="宋体" w:cs="Arial"/>
          <w:b/>
          <w:bCs/>
          <w:kern w:val="0"/>
          <w:szCs w:val="21"/>
          <w:highlight w:val="none"/>
        </w:rPr>
        <w:t>；</w:t>
      </w:r>
    </w:p>
    <w:p>
      <w:pPr>
        <w:widowControl/>
        <w:shd w:val="clear" w:color="auto" w:fill="FFFFFF"/>
        <w:spacing w:line="360" w:lineRule="auto"/>
        <w:ind w:firstLine="420"/>
        <w:jc w:val="left"/>
        <w:rPr>
          <w:rFonts w:ascii="Arial" w:hAnsi="Arial" w:cs="Arial"/>
          <w:b/>
          <w:kern w:val="0"/>
          <w:szCs w:val="21"/>
          <w:highlight w:val="none"/>
        </w:rPr>
      </w:pPr>
      <w:r>
        <w:rPr>
          <w:rFonts w:ascii="Arial" w:hAnsi="宋体" w:cs="Arial"/>
          <w:b/>
          <w:kern w:val="0"/>
          <w:szCs w:val="21"/>
          <w:highlight w:val="none"/>
        </w:rPr>
        <w:t>（</w:t>
      </w:r>
      <w:r>
        <w:rPr>
          <w:rFonts w:ascii="Arial" w:hAnsi="Arial" w:cs="Arial"/>
          <w:b/>
          <w:kern w:val="0"/>
          <w:szCs w:val="21"/>
          <w:highlight w:val="none"/>
        </w:rPr>
        <w:t>3</w:t>
      </w:r>
      <w:r>
        <w:rPr>
          <w:rFonts w:ascii="Arial" w:hAnsi="宋体" w:cs="Arial"/>
          <w:b/>
          <w:kern w:val="0"/>
          <w:szCs w:val="21"/>
          <w:highlight w:val="none"/>
        </w:rPr>
        <w:t>）不具备招标文件中规定资格要求的；</w:t>
      </w:r>
    </w:p>
    <w:p>
      <w:pPr>
        <w:widowControl/>
        <w:shd w:val="clear" w:color="auto" w:fill="FFFFFF"/>
        <w:spacing w:line="360" w:lineRule="auto"/>
        <w:ind w:firstLine="420"/>
        <w:jc w:val="left"/>
        <w:rPr>
          <w:rFonts w:ascii="Arial" w:hAnsi="Arial" w:cs="Arial"/>
          <w:b/>
          <w:kern w:val="0"/>
          <w:szCs w:val="21"/>
          <w:highlight w:val="none"/>
        </w:rPr>
      </w:pPr>
      <w:r>
        <w:rPr>
          <w:rFonts w:ascii="Arial" w:hAnsi="宋体" w:cs="Arial"/>
          <w:b/>
          <w:kern w:val="0"/>
          <w:szCs w:val="21"/>
          <w:highlight w:val="none"/>
        </w:rPr>
        <w:t>（</w:t>
      </w:r>
      <w:r>
        <w:rPr>
          <w:rFonts w:ascii="Arial" w:hAnsi="Arial" w:cs="Arial"/>
          <w:b/>
          <w:kern w:val="0"/>
          <w:szCs w:val="21"/>
          <w:highlight w:val="none"/>
        </w:rPr>
        <w:t>4</w:t>
      </w:r>
      <w:r>
        <w:rPr>
          <w:rFonts w:ascii="Arial" w:hAnsi="宋体" w:cs="Arial"/>
          <w:b/>
          <w:kern w:val="0"/>
          <w:szCs w:val="21"/>
          <w:highlight w:val="none"/>
        </w:rPr>
        <w:t>）报价超过招标文件中规定的预算金额或者最高限价的；</w:t>
      </w:r>
    </w:p>
    <w:p>
      <w:pPr>
        <w:widowControl/>
        <w:shd w:val="clear" w:color="auto" w:fill="FFFFFF"/>
        <w:spacing w:line="360" w:lineRule="auto"/>
        <w:ind w:firstLine="420"/>
        <w:jc w:val="left"/>
        <w:rPr>
          <w:rFonts w:ascii="Arial" w:hAnsi="Arial" w:cs="Arial"/>
          <w:b/>
          <w:kern w:val="0"/>
          <w:szCs w:val="21"/>
          <w:highlight w:val="none"/>
        </w:rPr>
      </w:pPr>
      <w:r>
        <w:rPr>
          <w:rFonts w:ascii="Arial" w:hAnsi="宋体" w:cs="Arial"/>
          <w:b/>
          <w:kern w:val="0"/>
          <w:szCs w:val="21"/>
          <w:highlight w:val="none"/>
        </w:rPr>
        <w:t>（</w:t>
      </w:r>
      <w:r>
        <w:rPr>
          <w:rFonts w:ascii="Arial" w:hAnsi="Arial" w:cs="Arial"/>
          <w:b/>
          <w:kern w:val="0"/>
          <w:szCs w:val="21"/>
          <w:highlight w:val="none"/>
        </w:rPr>
        <w:t>5</w:t>
      </w:r>
      <w:r>
        <w:rPr>
          <w:rFonts w:ascii="Arial" w:hAnsi="宋体" w:cs="Arial"/>
          <w:b/>
          <w:kern w:val="0"/>
          <w:szCs w:val="21"/>
          <w:highlight w:val="none"/>
        </w:rPr>
        <w:t>）投标文件含有采购人不能接受的附加条件的；</w:t>
      </w:r>
    </w:p>
    <w:p>
      <w:pPr>
        <w:widowControl/>
        <w:shd w:val="clear" w:color="auto" w:fill="FFFFFF"/>
        <w:spacing w:line="360" w:lineRule="auto"/>
        <w:ind w:firstLine="420"/>
        <w:jc w:val="left"/>
        <w:rPr>
          <w:rFonts w:ascii="Arial" w:hAnsi="宋体" w:cs="Arial"/>
          <w:b/>
          <w:kern w:val="0"/>
          <w:szCs w:val="21"/>
          <w:highlight w:val="none"/>
        </w:rPr>
      </w:pPr>
      <w:r>
        <w:rPr>
          <w:rFonts w:ascii="Arial" w:hAnsi="宋体" w:cs="Arial"/>
          <w:b/>
          <w:kern w:val="0"/>
          <w:szCs w:val="21"/>
          <w:highlight w:val="none"/>
        </w:rPr>
        <w:t>（</w:t>
      </w:r>
      <w:r>
        <w:rPr>
          <w:rFonts w:hint="eastAsia" w:ascii="Arial" w:hAnsi="Arial" w:cs="Arial"/>
          <w:b/>
          <w:kern w:val="0"/>
          <w:szCs w:val="21"/>
          <w:highlight w:val="none"/>
        </w:rPr>
        <w:t>6</w:t>
      </w:r>
      <w:r>
        <w:rPr>
          <w:rFonts w:ascii="Arial" w:hAnsi="宋体" w:cs="Arial"/>
          <w:b/>
          <w:kern w:val="0"/>
          <w:szCs w:val="21"/>
          <w:highlight w:val="none"/>
        </w:rPr>
        <w:t>）投标文件内容不全或不符合招标文件中规定的其它实质性要求的</w:t>
      </w:r>
      <w:r>
        <w:rPr>
          <w:rFonts w:hint="eastAsia" w:ascii="Arial" w:hAnsi="宋体" w:cs="Arial"/>
          <w:b/>
          <w:kern w:val="0"/>
          <w:szCs w:val="21"/>
          <w:highlight w:val="none"/>
        </w:rPr>
        <w:t>；</w:t>
      </w:r>
    </w:p>
    <w:p>
      <w:pPr>
        <w:widowControl/>
        <w:shd w:val="clear" w:color="auto" w:fill="FFFFFF"/>
        <w:spacing w:line="360" w:lineRule="auto"/>
        <w:ind w:firstLine="420"/>
        <w:rPr>
          <w:rFonts w:ascii="Arial" w:hAnsi="宋体" w:cs="Arial"/>
          <w:b/>
          <w:kern w:val="0"/>
          <w:szCs w:val="21"/>
          <w:highlight w:val="none"/>
        </w:rPr>
      </w:pPr>
      <w:r>
        <w:rPr>
          <w:rFonts w:ascii="Arial" w:hAnsi="宋体" w:cs="Arial"/>
          <w:b/>
          <w:kern w:val="0"/>
          <w:szCs w:val="21"/>
          <w:highlight w:val="none"/>
        </w:rPr>
        <w:t>（</w:t>
      </w:r>
      <w:r>
        <w:rPr>
          <w:rFonts w:hint="eastAsia" w:ascii="Arial" w:hAnsi="Arial" w:cs="Arial"/>
          <w:b/>
          <w:kern w:val="0"/>
          <w:szCs w:val="21"/>
          <w:highlight w:val="none"/>
        </w:rPr>
        <w:t>7</w:t>
      </w:r>
      <w:r>
        <w:rPr>
          <w:rFonts w:ascii="Arial" w:hAnsi="宋体" w:cs="Arial"/>
          <w:b/>
          <w:kern w:val="0"/>
          <w:szCs w:val="21"/>
          <w:highlight w:val="none"/>
        </w:rPr>
        <w:t>）现行法律、法规</w:t>
      </w:r>
      <w:r>
        <w:rPr>
          <w:rFonts w:hint="eastAsia" w:ascii="Arial" w:hAnsi="宋体" w:cs="Arial"/>
          <w:b/>
          <w:kern w:val="0"/>
          <w:szCs w:val="21"/>
          <w:highlight w:val="none"/>
        </w:rPr>
        <w:t>、</w:t>
      </w:r>
      <w:r>
        <w:rPr>
          <w:rFonts w:ascii="Arial" w:hAnsi="宋体" w:cs="Arial"/>
          <w:b/>
          <w:kern w:val="0"/>
          <w:szCs w:val="21"/>
          <w:highlight w:val="none"/>
        </w:rPr>
        <w:t>规章和招标文件规定的其他无效情形。</w:t>
      </w:r>
    </w:p>
    <w:p>
      <w:pPr>
        <w:widowControl/>
        <w:shd w:val="clear" w:color="auto" w:fill="FFFFFF"/>
        <w:spacing w:line="360" w:lineRule="auto"/>
        <w:ind w:firstLine="420"/>
        <w:rPr>
          <w:rFonts w:ascii="Arial" w:hAnsi="Arial" w:cs="Arial"/>
          <w:b/>
          <w:bCs/>
          <w:kern w:val="0"/>
          <w:szCs w:val="21"/>
          <w:highlight w:val="none"/>
        </w:rPr>
      </w:pPr>
      <w:r>
        <w:rPr>
          <w:rFonts w:ascii="Arial" w:hAnsi="Arial" w:cs="Arial"/>
          <w:b/>
          <w:bCs/>
          <w:kern w:val="0"/>
          <w:szCs w:val="21"/>
          <w:highlight w:val="none"/>
        </w:rPr>
        <w:t xml:space="preserve">22.2.2.1 </w:t>
      </w:r>
      <w:r>
        <w:rPr>
          <w:rFonts w:ascii="Arial" w:hAnsi="宋体" w:cs="Arial"/>
          <w:b/>
          <w:bCs/>
          <w:kern w:val="0"/>
          <w:szCs w:val="21"/>
          <w:highlight w:val="none"/>
        </w:rPr>
        <w:t>实质性要求是指本招标文件中用带星号（</w:t>
      </w:r>
      <w:r>
        <w:rPr>
          <w:rFonts w:ascii="Arial" w:hAnsi="Arial" w:cs="Arial"/>
          <w:b/>
          <w:bCs/>
          <w:kern w:val="0"/>
          <w:szCs w:val="21"/>
          <w:highlight w:val="none"/>
        </w:rPr>
        <w:t>“</w:t>
      </w:r>
      <w:r>
        <w:rPr>
          <w:rFonts w:hint="eastAsia" w:ascii="Arial" w:hAnsi="Arial" w:cs="Arial"/>
          <w:b/>
          <w:bCs/>
          <w:kern w:val="0"/>
          <w:szCs w:val="21"/>
          <w:highlight w:val="none"/>
        </w:rPr>
        <w:t>★</w:t>
      </w:r>
      <w:r>
        <w:rPr>
          <w:rFonts w:ascii="Arial" w:hAnsi="Arial" w:cs="Arial"/>
          <w:b/>
          <w:bCs/>
          <w:kern w:val="0"/>
          <w:szCs w:val="21"/>
          <w:highlight w:val="none"/>
        </w:rPr>
        <w:t>”</w:t>
      </w:r>
      <w:r>
        <w:rPr>
          <w:rFonts w:ascii="Arial" w:hAnsi="宋体" w:cs="Arial"/>
          <w:b/>
          <w:bCs/>
          <w:kern w:val="0"/>
          <w:szCs w:val="21"/>
          <w:highlight w:val="none"/>
        </w:rPr>
        <w:t>）、</w:t>
      </w:r>
      <w:r>
        <w:rPr>
          <w:rFonts w:ascii="Arial" w:hAnsi="Arial" w:cs="Arial"/>
          <w:b/>
          <w:bCs/>
          <w:kern w:val="0"/>
          <w:szCs w:val="21"/>
          <w:highlight w:val="none"/>
        </w:rPr>
        <w:t>“</w:t>
      </w:r>
      <w:r>
        <w:rPr>
          <w:rFonts w:ascii="Arial" w:hAnsi="宋体" w:cs="Arial"/>
          <w:b/>
          <w:bCs/>
          <w:kern w:val="0"/>
          <w:szCs w:val="21"/>
          <w:highlight w:val="none"/>
        </w:rPr>
        <w:t>必须</w:t>
      </w:r>
      <w:r>
        <w:rPr>
          <w:rFonts w:ascii="Arial" w:hAnsi="Arial" w:cs="Arial"/>
          <w:b/>
          <w:bCs/>
          <w:kern w:val="0"/>
          <w:szCs w:val="21"/>
          <w:highlight w:val="none"/>
        </w:rPr>
        <w:t>”</w:t>
      </w:r>
      <w:r>
        <w:rPr>
          <w:rFonts w:ascii="Arial" w:hAnsi="宋体" w:cs="Arial"/>
          <w:b/>
          <w:bCs/>
          <w:kern w:val="0"/>
          <w:szCs w:val="21"/>
          <w:highlight w:val="none"/>
        </w:rPr>
        <w:t>或</w:t>
      </w:r>
      <w:r>
        <w:rPr>
          <w:rFonts w:ascii="Arial" w:hAnsi="Arial" w:cs="Arial"/>
          <w:b/>
          <w:bCs/>
          <w:kern w:val="0"/>
          <w:szCs w:val="21"/>
          <w:highlight w:val="none"/>
        </w:rPr>
        <w:t>“</w:t>
      </w:r>
      <w:r>
        <w:rPr>
          <w:rFonts w:ascii="Arial" w:hAnsi="宋体" w:cs="Arial"/>
          <w:b/>
          <w:bCs/>
          <w:kern w:val="0"/>
          <w:szCs w:val="21"/>
          <w:highlight w:val="none"/>
        </w:rPr>
        <w:t>应（应当）</w:t>
      </w:r>
      <w:r>
        <w:rPr>
          <w:rFonts w:ascii="Arial" w:hAnsi="Arial" w:cs="Arial"/>
          <w:b/>
          <w:bCs/>
          <w:kern w:val="0"/>
          <w:szCs w:val="21"/>
          <w:highlight w:val="none"/>
        </w:rPr>
        <w:t>”</w:t>
      </w:r>
      <w:r>
        <w:rPr>
          <w:rFonts w:ascii="Arial" w:hAnsi="宋体" w:cs="Arial"/>
          <w:b/>
          <w:bCs/>
          <w:kern w:val="0"/>
          <w:szCs w:val="21"/>
          <w:highlight w:val="none"/>
        </w:rPr>
        <w:t>等其他文字说明的商务和技术要求。</w:t>
      </w:r>
    </w:p>
    <w:p>
      <w:pPr>
        <w:widowControl/>
        <w:shd w:val="clear" w:color="auto" w:fill="FFFFFF"/>
        <w:spacing w:line="360" w:lineRule="auto"/>
        <w:ind w:firstLine="420"/>
        <w:jc w:val="left"/>
        <w:rPr>
          <w:rFonts w:ascii="Arial" w:hAnsi="Arial" w:cs="Arial"/>
          <w:b/>
          <w:kern w:val="0"/>
          <w:szCs w:val="21"/>
          <w:highlight w:val="none"/>
        </w:rPr>
      </w:pPr>
      <w:r>
        <w:rPr>
          <w:rFonts w:ascii="Arial" w:hAnsi="Arial" w:cs="Arial"/>
          <w:b/>
          <w:kern w:val="0"/>
          <w:szCs w:val="21"/>
          <w:highlight w:val="none"/>
        </w:rPr>
        <w:t>22.2.2.2</w:t>
      </w:r>
      <w:r>
        <w:rPr>
          <w:rFonts w:ascii="Arial" w:hAnsi="宋体" w:cs="Arial"/>
          <w:kern w:val="0"/>
          <w:szCs w:val="21"/>
          <w:highlight w:val="none"/>
        </w:rPr>
        <w:t>有下列情形之一的予以废标：</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1</w:t>
      </w:r>
      <w:r>
        <w:rPr>
          <w:rFonts w:ascii="Arial" w:hAnsi="宋体" w:cs="Arial"/>
          <w:kern w:val="0"/>
          <w:szCs w:val="21"/>
          <w:highlight w:val="none"/>
        </w:rPr>
        <w:t>）符合专业条件的</w:t>
      </w:r>
      <w:r>
        <w:rPr>
          <w:rFonts w:hint="eastAsia" w:ascii="Arial" w:hAnsi="宋体" w:cs="Arial"/>
          <w:kern w:val="0"/>
          <w:szCs w:val="21"/>
          <w:highlight w:val="none"/>
          <w:lang w:eastAsia="zh-CN"/>
        </w:rPr>
        <w:t>供应商</w:t>
      </w:r>
      <w:r>
        <w:rPr>
          <w:rFonts w:ascii="Arial" w:hAnsi="宋体" w:cs="Arial"/>
          <w:kern w:val="0"/>
          <w:szCs w:val="21"/>
          <w:highlight w:val="none"/>
        </w:rPr>
        <w:t>或者对招标文件作实质性响应的</w:t>
      </w:r>
      <w:r>
        <w:rPr>
          <w:rFonts w:hint="eastAsia" w:ascii="Arial" w:hAnsi="宋体" w:cs="Arial"/>
          <w:kern w:val="0"/>
          <w:szCs w:val="21"/>
          <w:highlight w:val="none"/>
          <w:lang w:eastAsia="zh-CN"/>
        </w:rPr>
        <w:t>供应商</w:t>
      </w:r>
      <w:r>
        <w:rPr>
          <w:rFonts w:ascii="Arial" w:hAnsi="宋体" w:cs="Arial"/>
          <w:kern w:val="0"/>
          <w:szCs w:val="21"/>
          <w:highlight w:val="none"/>
        </w:rPr>
        <w:t>不足三家的；</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2</w:t>
      </w:r>
      <w:r>
        <w:rPr>
          <w:rFonts w:ascii="Arial" w:hAnsi="宋体" w:cs="Arial"/>
          <w:kern w:val="0"/>
          <w:szCs w:val="21"/>
          <w:highlight w:val="none"/>
        </w:rPr>
        <w:t>）出现影响采购公正的违法、违规行为的；</w:t>
      </w:r>
    </w:p>
    <w:p>
      <w:pPr>
        <w:widowControl/>
        <w:shd w:val="clear" w:color="auto" w:fill="FFFFFF"/>
        <w:spacing w:line="360" w:lineRule="auto"/>
        <w:ind w:firstLine="420"/>
        <w:rPr>
          <w:rFonts w:ascii="Arial" w:hAnsi="Arial" w:cs="Arial"/>
          <w:kern w:val="0"/>
          <w:szCs w:val="21"/>
          <w:highlight w:val="none"/>
        </w:rPr>
      </w:pPr>
      <w:r>
        <w:rPr>
          <w:rFonts w:ascii="Arial" w:hAnsi="宋体" w:cs="Arial"/>
          <w:kern w:val="0"/>
          <w:szCs w:val="21"/>
          <w:highlight w:val="none"/>
        </w:rPr>
        <w:t>（</w:t>
      </w:r>
      <w:r>
        <w:rPr>
          <w:rFonts w:ascii="Arial" w:hAnsi="Arial" w:cs="Arial"/>
          <w:kern w:val="0"/>
          <w:szCs w:val="21"/>
          <w:highlight w:val="none"/>
        </w:rPr>
        <w:t>3</w:t>
      </w:r>
      <w:r>
        <w:rPr>
          <w:rFonts w:ascii="Arial" w:hAnsi="宋体" w:cs="Arial"/>
          <w:kern w:val="0"/>
          <w:szCs w:val="21"/>
          <w:highlight w:val="none"/>
        </w:rPr>
        <w:t>）</w:t>
      </w:r>
      <w:r>
        <w:rPr>
          <w:rFonts w:hint="eastAsia" w:ascii="Arial" w:hAnsi="宋体" w:cs="Arial"/>
          <w:kern w:val="0"/>
          <w:szCs w:val="21"/>
          <w:highlight w:val="none"/>
          <w:lang w:eastAsia="zh-CN"/>
        </w:rPr>
        <w:t>供应商</w:t>
      </w:r>
      <w:r>
        <w:rPr>
          <w:rFonts w:ascii="Arial" w:hAnsi="宋体" w:cs="Arial"/>
          <w:kern w:val="0"/>
          <w:szCs w:val="21"/>
          <w:highlight w:val="none"/>
        </w:rPr>
        <w:t>的报价均超过了采购预算，采购人不能支付的；</w:t>
      </w:r>
    </w:p>
    <w:p>
      <w:pPr>
        <w:widowControl/>
        <w:shd w:val="clear" w:color="auto" w:fill="FFFFFF"/>
        <w:spacing w:line="360" w:lineRule="auto"/>
        <w:ind w:firstLine="420"/>
        <w:jc w:val="left"/>
        <w:rPr>
          <w:rFonts w:hint="eastAsia" w:ascii="Arial" w:hAnsi="宋体" w:eastAsia="宋体" w:cs="Arial"/>
          <w:kern w:val="0"/>
          <w:szCs w:val="21"/>
          <w:highlight w:val="none"/>
          <w:lang w:eastAsia="zh-CN"/>
        </w:rPr>
      </w:pPr>
      <w:r>
        <w:rPr>
          <w:rFonts w:ascii="Arial" w:hAnsi="宋体" w:cs="Arial"/>
          <w:kern w:val="0"/>
          <w:szCs w:val="21"/>
          <w:highlight w:val="none"/>
        </w:rPr>
        <w:t>（</w:t>
      </w:r>
      <w:r>
        <w:rPr>
          <w:rFonts w:ascii="Arial" w:hAnsi="Arial" w:cs="Arial"/>
          <w:kern w:val="0"/>
          <w:szCs w:val="21"/>
          <w:highlight w:val="none"/>
        </w:rPr>
        <w:t>4</w:t>
      </w:r>
      <w:r>
        <w:rPr>
          <w:rFonts w:ascii="Arial" w:hAnsi="宋体" w:cs="Arial"/>
          <w:kern w:val="0"/>
          <w:szCs w:val="21"/>
          <w:highlight w:val="none"/>
        </w:rPr>
        <w:t>）因重大变故，采购任务取消的</w:t>
      </w:r>
      <w:r>
        <w:rPr>
          <w:rFonts w:hint="eastAsia" w:ascii="Arial" w:hAnsi="宋体" w:cs="Arial"/>
          <w:kern w:val="0"/>
          <w:szCs w:val="21"/>
          <w:highlight w:val="none"/>
          <w:lang w:eastAsia="zh-CN"/>
        </w:rPr>
        <w:t>；</w:t>
      </w:r>
    </w:p>
    <w:p>
      <w:pPr>
        <w:pStyle w:val="2"/>
        <w:rPr>
          <w:rFonts w:hint="default" w:ascii="Arial" w:hAnsi="Arial" w:eastAsia="宋体" w:cs="Arial"/>
          <w:kern w:val="0"/>
          <w:sz w:val="21"/>
          <w:szCs w:val="21"/>
          <w:highlight w:val="none"/>
          <w:lang w:val="en-US" w:eastAsia="zh-CN" w:bidi="ar-SA"/>
        </w:rPr>
      </w:pPr>
      <w:r>
        <w:rPr>
          <w:rFonts w:hint="eastAsia" w:ascii="Arial" w:hAnsi="Arial" w:cs="Arial"/>
          <w:kern w:val="0"/>
          <w:sz w:val="21"/>
          <w:szCs w:val="21"/>
          <w:highlight w:val="none"/>
          <w:lang w:val="en-US" w:eastAsia="zh-CN" w:bidi="ar-SA"/>
        </w:rPr>
        <w:t>（5）对招标文件中实质性要求未作出响应或出现负偏离的。</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22.2.3</w:t>
      </w:r>
      <w:r>
        <w:rPr>
          <w:rFonts w:ascii="Arial" w:hAnsi="宋体" w:cs="Arial"/>
          <w:b/>
          <w:bCs/>
          <w:kern w:val="0"/>
          <w:szCs w:val="21"/>
          <w:highlight w:val="none"/>
        </w:rPr>
        <w:t>澄清有关问题</w:t>
      </w:r>
      <w:r>
        <w:rPr>
          <w:rFonts w:ascii="Arial" w:hAnsi="宋体" w:cs="Arial"/>
          <w:kern w:val="0"/>
          <w:szCs w:val="21"/>
          <w:highlight w:val="none"/>
        </w:rPr>
        <w:t>。</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22.2.3.1</w:t>
      </w:r>
      <w:r>
        <w:rPr>
          <w:rFonts w:ascii="Arial" w:hAnsi="宋体" w:cs="Arial"/>
          <w:kern w:val="0"/>
          <w:szCs w:val="21"/>
          <w:highlight w:val="none"/>
        </w:rPr>
        <w:t>对于投标文件中含义不明确、同类问题表述不一致或者有明显文字和计算错误的内容，评标委员会应当以书面形式要求</w:t>
      </w:r>
      <w:r>
        <w:rPr>
          <w:rFonts w:hint="eastAsia" w:ascii="Arial" w:hAnsi="宋体" w:cs="Arial"/>
          <w:kern w:val="0"/>
          <w:szCs w:val="21"/>
          <w:highlight w:val="none"/>
          <w:lang w:eastAsia="zh-CN"/>
        </w:rPr>
        <w:t>供应商</w:t>
      </w:r>
      <w:r>
        <w:rPr>
          <w:rFonts w:ascii="Arial" w:hAnsi="宋体" w:cs="Arial"/>
          <w:kern w:val="0"/>
          <w:szCs w:val="21"/>
          <w:highlight w:val="none"/>
        </w:rPr>
        <w:t>作出必要的澄清、说明或者补正。</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22.2.3.2</w:t>
      </w:r>
      <w:r>
        <w:rPr>
          <w:rFonts w:hint="eastAsia" w:ascii="Arial" w:hAnsi="宋体" w:cs="Arial"/>
          <w:kern w:val="0"/>
          <w:szCs w:val="21"/>
          <w:highlight w:val="none"/>
          <w:lang w:eastAsia="zh-CN"/>
        </w:rPr>
        <w:t>供应商</w:t>
      </w:r>
      <w:r>
        <w:rPr>
          <w:rFonts w:ascii="Arial" w:hAnsi="宋体" w:cs="Arial"/>
          <w:kern w:val="0"/>
          <w:szCs w:val="21"/>
          <w:highlight w:val="none"/>
        </w:rPr>
        <w:t>的澄清、说明或者补正应当采用书面形式，并加盖公章，或者由法定代表人或其授权代表签字。</w:t>
      </w:r>
      <w:r>
        <w:rPr>
          <w:rFonts w:hint="eastAsia" w:ascii="Arial" w:hAnsi="宋体" w:cs="Arial"/>
          <w:kern w:val="0"/>
          <w:szCs w:val="21"/>
          <w:highlight w:val="none"/>
          <w:lang w:eastAsia="zh-CN"/>
        </w:rPr>
        <w:t>供应商</w:t>
      </w:r>
      <w:r>
        <w:rPr>
          <w:rFonts w:ascii="Arial" w:hAnsi="宋体" w:cs="Arial"/>
          <w:kern w:val="0"/>
          <w:szCs w:val="21"/>
          <w:highlight w:val="none"/>
        </w:rPr>
        <w:t>的澄清、说明或者补正不得超出投标文件的范围或者改变投标文件的实质性内容。</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22.2.3.3</w:t>
      </w:r>
      <w:r>
        <w:rPr>
          <w:rFonts w:ascii="Arial" w:hAnsi="宋体" w:cs="Arial"/>
          <w:kern w:val="0"/>
          <w:szCs w:val="21"/>
          <w:highlight w:val="none"/>
        </w:rPr>
        <w:t>投标文件报价出现前后不一致的，除招标文件另有规定外，按照下列规定修正：</w:t>
      </w:r>
    </w:p>
    <w:p>
      <w:pPr>
        <w:widowControl/>
        <w:shd w:val="clear" w:color="auto" w:fill="FFFFFF"/>
        <w:spacing w:line="360" w:lineRule="auto"/>
        <w:ind w:firstLine="420"/>
        <w:rPr>
          <w:rFonts w:ascii="Arial" w:hAnsi="Arial" w:cs="Arial"/>
          <w:kern w:val="0"/>
          <w:szCs w:val="21"/>
          <w:highlight w:val="none"/>
        </w:rPr>
      </w:pPr>
      <w:r>
        <w:rPr>
          <w:rFonts w:hint="eastAsia" w:ascii="Arial" w:hAnsi="Arial" w:cs="Arial"/>
          <w:kern w:val="0"/>
          <w:szCs w:val="21"/>
          <w:highlight w:val="none"/>
        </w:rPr>
        <w:t>（</w:t>
      </w:r>
      <w:r>
        <w:rPr>
          <w:rFonts w:ascii="Arial" w:hAnsi="Arial" w:cs="Arial"/>
          <w:kern w:val="0"/>
          <w:szCs w:val="21"/>
          <w:highlight w:val="none"/>
        </w:rPr>
        <w:t>1</w:t>
      </w:r>
      <w:r>
        <w:rPr>
          <w:rFonts w:hint="eastAsia" w:ascii="Arial" w:hAnsi="Arial" w:cs="Arial"/>
          <w:kern w:val="0"/>
          <w:szCs w:val="21"/>
          <w:highlight w:val="none"/>
        </w:rPr>
        <w:t>）</w:t>
      </w:r>
      <w:r>
        <w:rPr>
          <w:rFonts w:ascii="Arial" w:hAnsi="宋体" w:cs="Arial"/>
          <w:kern w:val="0"/>
          <w:szCs w:val="21"/>
          <w:highlight w:val="none"/>
        </w:rPr>
        <w:t>投标文件中开标一览表（报价表）内容与投标文件中相应内容不一致的，以开标一览表（报价表）为准；</w:t>
      </w:r>
    </w:p>
    <w:p>
      <w:pPr>
        <w:widowControl/>
        <w:shd w:val="clear" w:color="auto" w:fill="FFFFFF"/>
        <w:spacing w:line="360" w:lineRule="auto"/>
        <w:ind w:firstLine="420"/>
        <w:rPr>
          <w:rFonts w:ascii="Arial" w:hAnsi="Arial" w:cs="Arial"/>
          <w:kern w:val="0"/>
          <w:szCs w:val="21"/>
          <w:highlight w:val="none"/>
        </w:rPr>
      </w:pPr>
      <w:r>
        <w:rPr>
          <w:rFonts w:hint="eastAsia" w:ascii="Arial" w:hAnsi="Arial" w:cs="Arial"/>
          <w:kern w:val="0"/>
          <w:szCs w:val="21"/>
          <w:highlight w:val="none"/>
        </w:rPr>
        <w:t>（2）</w:t>
      </w:r>
      <w:r>
        <w:rPr>
          <w:rFonts w:ascii="Arial" w:hAnsi="宋体" w:cs="Arial"/>
          <w:kern w:val="0"/>
          <w:szCs w:val="21"/>
          <w:highlight w:val="none"/>
        </w:rPr>
        <w:t>大写金额和小写金额不一致的，以大写金额为准；</w:t>
      </w:r>
    </w:p>
    <w:p>
      <w:pPr>
        <w:widowControl/>
        <w:shd w:val="clear" w:color="auto" w:fill="FFFFFF"/>
        <w:spacing w:line="360" w:lineRule="auto"/>
        <w:ind w:firstLine="420"/>
        <w:rPr>
          <w:rFonts w:ascii="Arial" w:hAnsi="Arial" w:cs="Arial"/>
          <w:kern w:val="0"/>
          <w:szCs w:val="21"/>
          <w:highlight w:val="none"/>
        </w:rPr>
      </w:pPr>
      <w:r>
        <w:rPr>
          <w:rFonts w:hint="eastAsia" w:ascii="Arial" w:hAnsi="Arial" w:cs="Arial"/>
          <w:kern w:val="0"/>
          <w:szCs w:val="21"/>
          <w:highlight w:val="none"/>
        </w:rPr>
        <w:t>（3）</w:t>
      </w:r>
      <w:r>
        <w:rPr>
          <w:rFonts w:ascii="Arial" w:hAnsi="宋体" w:cs="Arial"/>
          <w:kern w:val="0"/>
          <w:szCs w:val="21"/>
          <w:highlight w:val="none"/>
        </w:rPr>
        <w:t>单价金额小数点或者百分比有明显错位的，以开标一览表的总价为准，并修改单价；</w:t>
      </w:r>
    </w:p>
    <w:p>
      <w:pPr>
        <w:widowControl/>
        <w:shd w:val="clear" w:color="auto" w:fill="FFFFFF"/>
        <w:spacing w:line="360" w:lineRule="auto"/>
        <w:ind w:firstLine="420"/>
        <w:rPr>
          <w:rFonts w:ascii="Arial" w:hAnsi="Arial" w:cs="Arial"/>
          <w:kern w:val="0"/>
          <w:szCs w:val="21"/>
          <w:highlight w:val="none"/>
        </w:rPr>
      </w:pPr>
      <w:r>
        <w:rPr>
          <w:rFonts w:hint="eastAsia" w:ascii="Arial" w:hAnsi="Arial" w:cs="Arial"/>
          <w:kern w:val="0"/>
          <w:szCs w:val="21"/>
          <w:highlight w:val="none"/>
        </w:rPr>
        <w:t>（4）</w:t>
      </w:r>
      <w:r>
        <w:rPr>
          <w:rFonts w:ascii="Arial" w:hAnsi="宋体" w:cs="Arial"/>
          <w:kern w:val="0"/>
          <w:szCs w:val="21"/>
          <w:highlight w:val="none"/>
        </w:rPr>
        <w:t>总价金额与按单价汇总金额不一致的，以单价金额计算结果为准。</w:t>
      </w:r>
    </w:p>
    <w:p>
      <w:pPr>
        <w:widowControl/>
        <w:shd w:val="clear" w:color="auto" w:fill="FFFFFF"/>
        <w:spacing w:line="360" w:lineRule="auto"/>
        <w:ind w:firstLine="420"/>
        <w:rPr>
          <w:rFonts w:ascii="Arial" w:hAnsi="Arial" w:cs="Arial"/>
          <w:b/>
          <w:kern w:val="0"/>
          <w:szCs w:val="21"/>
          <w:highlight w:val="none"/>
        </w:rPr>
      </w:pPr>
      <w:r>
        <w:rPr>
          <w:rFonts w:ascii="Arial" w:hAnsi="宋体" w:cs="Arial"/>
          <w:kern w:val="0"/>
          <w:szCs w:val="21"/>
          <w:highlight w:val="none"/>
        </w:rPr>
        <w:t>同时出现两种以上不一致的，按照前款规定的顺序修正。</w:t>
      </w:r>
      <w:r>
        <w:rPr>
          <w:rFonts w:ascii="Arial" w:hAnsi="宋体" w:cs="Arial"/>
          <w:b/>
          <w:kern w:val="0"/>
          <w:szCs w:val="21"/>
          <w:highlight w:val="none"/>
        </w:rPr>
        <w:t>修正后的报价按照前款规定经</w:t>
      </w:r>
      <w:r>
        <w:rPr>
          <w:rFonts w:hint="eastAsia" w:ascii="Arial" w:hAnsi="宋体" w:cs="Arial"/>
          <w:b/>
          <w:kern w:val="0"/>
          <w:szCs w:val="21"/>
          <w:highlight w:val="none"/>
          <w:lang w:eastAsia="zh-CN"/>
        </w:rPr>
        <w:t>供应商</w:t>
      </w:r>
      <w:r>
        <w:rPr>
          <w:rFonts w:ascii="Arial" w:hAnsi="宋体" w:cs="Arial"/>
          <w:b/>
          <w:kern w:val="0"/>
          <w:szCs w:val="21"/>
          <w:highlight w:val="none"/>
        </w:rPr>
        <w:t>确认后产生约束力，</w:t>
      </w:r>
      <w:r>
        <w:rPr>
          <w:rFonts w:hint="eastAsia" w:ascii="Arial" w:hAnsi="宋体" w:cs="Arial"/>
          <w:b/>
          <w:kern w:val="0"/>
          <w:szCs w:val="21"/>
          <w:highlight w:val="none"/>
          <w:lang w:eastAsia="zh-CN"/>
        </w:rPr>
        <w:t>供应商</w:t>
      </w:r>
      <w:r>
        <w:rPr>
          <w:rFonts w:ascii="Arial" w:hAnsi="宋体" w:cs="Arial"/>
          <w:b/>
          <w:kern w:val="0"/>
          <w:szCs w:val="21"/>
          <w:highlight w:val="none"/>
        </w:rPr>
        <w:t>不确认的，其投标无效。</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22.2.3.4</w:t>
      </w:r>
      <w:r>
        <w:rPr>
          <w:rFonts w:ascii="Arial" w:hAnsi="宋体" w:cs="Arial"/>
          <w:highlight w:val="none"/>
        </w:rPr>
        <w:t>评标委员会认为</w:t>
      </w:r>
      <w:r>
        <w:rPr>
          <w:rFonts w:hint="eastAsia" w:ascii="Arial" w:hAnsi="宋体" w:cs="Arial"/>
          <w:highlight w:val="none"/>
          <w:lang w:eastAsia="zh-CN"/>
        </w:rPr>
        <w:t>供应商</w:t>
      </w:r>
      <w:r>
        <w:rPr>
          <w:rFonts w:ascii="Arial" w:hAnsi="宋体" w:cs="Arial"/>
          <w:highlight w:val="none"/>
        </w:rPr>
        <w:t>的报价明显低于其他通过符合性审查</w:t>
      </w:r>
      <w:r>
        <w:rPr>
          <w:rFonts w:hint="eastAsia" w:ascii="Arial" w:hAnsi="宋体" w:cs="Arial"/>
          <w:highlight w:val="none"/>
          <w:lang w:eastAsia="zh-CN"/>
        </w:rPr>
        <w:t>供应商</w:t>
      </w:r>
      <w:r>
        <w:rPr>
          <w:rFonts w:ascii="Arial" w:hAnsi="宋体" w:cs="Arial"/>
          <w:highlight w:val="none"/>
        </w:rPr>
        <w:t>的报价，有可能影响产品质量或者不能诚信履约的，将要求其在评标现场合理的时间内提供书面说明，必要时提交相关证明材料；</w:t>
      </w:r>
      <w:r>
        <w:rPr>
          <w:rFonts w:hint="eastAsia" w:ascii="Arial" w:hAnsi="宋体" w:cs="Arial"/>
          <w:b/>
          <w:highlight w:val="none"/>
          <w:lang w:eastAsia="zh-CN"/>
        </w:rPr>
        <w:t>供应商</w:t>
      </w:r>
      <w:r>
        <w:rPr>
          <w:rFonts w:ascii="Arial" w:hAnsi="宋体" w:cs="Arial"/>
          <w:b/>
          <w:highlight w:val="none"/>
        </w:rPr>
        <w:t>不能证明其报价合理性的，评标委员会将其作为无效投标处理。</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22.2.4</w:t>
      </w:r>
      <w:r>
        <w:rPr>
          <w:rFonts w:ascii="Arial" w:hAnsi="宋体" w:cs="Arial"/>
          <w:bCs/>
          <w:kern w:val="0"/>
          <w:szCs w:val="21"/>
          <w:highlight w:val="none"/>
        </w:rPr>
        <w:t>比较与评价。</w:t>
      </w:r>
      <w:r>
        <w:rPr>
          <w:rFonts w:ascii="Arial" w:hAnsi="宋体" w:cs="Arial"/>
          <w:kern w:val="0"/>
          <w:szCs w:val="21"/>
          <w:highlight w:val="none"/>
        </w:rPr>
        <w:t>评标委员会应当按照招标文件中规定的评标方法和标准，对符合性审查合格的投标文件进行商务和技术评估，综合比较与评价。</w:t>
      </w:r>
    </w:p>
    <w:p>
      <w:pPr>
        <w:widowControl/>
        <w:shd w:val="clear" w:color="auto" w:fill="FFFFFF"/>
        <w:spacing w:line="360" w:lineRule="auto"/>
        <w:ind w:firstLine="420"/>
        <w:jc w:val="left"/>
        <w:rPr>
          <w:rFonts w:ascii="Arial" w:hAnsi="Arial" w:cs="Arial"/>
          <w:highlight w:val="none"/>
        </w:rPr>
      </w:pPr>
      <w:r>
        <w:rPr>
          <w:rFonts w:ascii="Arial" w:hAnsi="Arial" w:cs="Arial"/>
          <w:kern w:val="0"/>
          <w:szCs w:val="21"/>
          <w:highlight w:val="none"/>
        </w:rPr>
        <w:t>22.2.5</w:t>
      </w:r>
      <w:r>
        <w:rPr>
          <w:rFonts w:ascii="Arial" w:hAnsi="宋体" w:cs="Arial"/>
          <w:highlight w:val="none"/>
        </w:rPr>
        <w:t>相同品牌产品的投标</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采用最低评标价法的采购项目，提供相同品牌产品的不同</w:t>
      </w:r>
      <w:r>
        <w:rPr>
          <w:rFonts w:hint="eastAsia" w:ascii="Arial" w:hAnsi="Arial" w:cs="Arial"/>
          <w:kern w:val="0"/>
          <w:szCs w:val="21"/>
          <w:highlight w:val="none"/>
          <w:lang w:eastAsia="zh-CN"/>
        </w:rPr>
        <w:t>供应商</w:t>
      </w:r>
      <w:r>
        <w:rPr>
          <w:rFonts w:ascii="Arial" w:hAnsi="Arial" w:cs="Arial"/>
          <w:kern w:val="0"/>
          <w:szCs w:val="21"/>
          <w:highlight w:val="none"/>
        </w:rPr>
        <w:t>参加同一合同项下投标的，以其中通过资格审查、符合性审查且报价最低的参加评标；报价相同的，由采购人委托评标委员会按照招标文件规定的方式确定一个参加评标的</w:t>
      </w:r>
      <w:r>
        <w:rPr>
          <w:rFonts w:hint="eastAsia" w:ascii="Arial" w:hAnsi="Arial" w:cs="Arial"/>
          <w:kern w:val="0"/>
          <w:szCs w:val="21"/>
          <w:highlight w:val="none"/>
          <w:lang w:eastAsia="zh-CN"/>
        </w:rPr>
        <w:t>供应商</w:t>
      </w:r>
      <w:r>
        <w:rPr>
          <w:rFonts w:ascii="Arial" w:hAnsi="Arial" w:cs="Arial"/>
          <w:kern w:val="0"/>
          <w:szCs w:val="21"/>
          <w:highlight w:val="none"/>
        </w:rPr>
        <w:t>，招标文件未规定的采取随机抽取方式确定，其他投标无效。</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使用综合评分法的采购项目，提供相同品牌产品且通过资格审查、符合性审查的不同</w:t>
      </w:r>
      <w:r>
        <w:rPr>
          <w:rFonts w:hint="eastAsia" w:ascii="Arial" w:hAnsi="Arial" w:cs="Arial"/>
          <w:kern w:val="0"/>
          <w:szCs w:val="21"/>
          <w:highlight w:val="none"/>
          <w:lang w:eastAsia="zh-CN"/>
        </w:rPr>
        <w:t>供应商</w:t>
      </w:r>
      <w:r>
        <w:rPr>
          <w:rFonts w:ascii="Arial" w:hAnsi="Arial" w:cs="Arial"/>
          <w:kern w:val="0"/>
          <w:szCs w:val="21"/>
          <w:highlight w:val="none"/>
        </w:rPr>
        <w:t>参加同一合同项下投标的，按一家</w:t>
      </w:r>
      <w:r>
        <w:rPr>
          <w:rFonts w:hint="eastAsia" w:ascii="Arial" w:hAnsi="Arial" w:cs="Arial"/>
          <w:kern w:val="0"/>
          <w:szCs w:val="21"/>
          <w:highlight w:val="none"/>
          <w:lang w:eastAsia="zh-CN"/>
        </w:rPr>
        <w:t>供应商</w:t>
      </w:r>
      <w:r>
        <w:rPr>
          <w:rFonts w:ascii="Arial" w:hAnsi="Arial" w:cs="Arial"/>
          <w:kern w:val="0"/>
          <w:szCs w:val="21"/>
          <w:highlight w:val="none"/>
        </w:rPr>
        <w:t>计算，评审后得分最高的同品牌</w:t>
      </w:r>
      <w:r>
        <w:rPr>
          <w:rFonts w:hint="eastAsia" w:ascii="Arial" w:hAnsi="Arial" w:cs="Arial"/>
          <w:kern w:val="0"/>
          <w:szCs w:val="21"/>
          <w:highlight w:val="none"/>
          <w:lang w:eastAsia="zh-CN"/>
        </w:rPr>
        <w:t>供应商</w:t>
      </w:r>
      <w:r>
        <w:rPr>
          <w:rFonts w:ascii="Arial" w:hAnsi="Arial" w:cs="Arial"/>
          <w:kern w:val="0"/>
          <w:szCs w:val="21"/>
          <w:highlight w:val="none"/>
        </w:rPr>
        <w:t>获得中标人推荐资格；评审得分相同的，由采购人委托评标委员会按照招标文件规定的方式确定一个</w:t>
      </w:r>
      <w:r>
        <w:rPr>
          <w:rFonts w:hint="eastAsia" w:ascii="Arial" w:hAnsi="Arial" w:cs="Arial"/>
          <w:kern w:val="0"/>
          <w:szCs w:val="21"/>
          <w:highlight w:val="none"/>
          <w:lang w:eastAsia="zh-CN"/>
        </w:rPr>
        <w:t>供应商</w:t>
      </w:r>
      <w:r>
        <w:rPr>
          <w:rFonts w:ascii="Arial" w:hAnsi="Arial" w:cs="Arial"/>
          <w:kern w:val="0"/>
          <w:szCs w:val="21"/>
          <w:highlight w:val="none"/>
        </w:rPr>
        <w:t>获得中标人推荐资格，招标文件未规定的采取随机抽取方式确定，其他同品牌</w:t>
      </w:r>
      <w:r>
        <w:rPr>
          <w:rFonts w:hint="eastAsia" w:ascii="Arial" w:hAnsi="Arial" w:cs="Arial"/>
          <w:kern w:val="0"/>
          <w:szCs w:val="21"/>
          <w:highlight w:val="none"/>
          <w:lang w:eastAsia="zh-CN"/>
        </w:rPr>
        <w:t>供应商</w:t>
      </w:r>
      <w:r>
        <w:rPr>
          <w:rFonts w:ascii="Arial" w:hAnsi="Arial" w:cs="Arial"/>
          <w:kern w:val="0"/>
          <w:szCs w:val="21"/>
          <w:highlight w:val="none"/>
        </w:rPr>
        <w:t>不作为中标候选人。</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非单一产品采购项目，确定核心产品的方法在招标文件技术需求中载明。多家</w:t>
      </w:r>
      <w:r>
        <w:rPr>
          <w:rFonts w:hint="eastAsia" w:ascii="Arial" w:hAnsi="Arial" w:cs="Arial"/>
          <w:kern w:val="0"/>
          <w:szCs w:val="21"/>
          <w:highlight w:val="none"/>
          <w:lang w:eastAsia="zh-CN"/>
        </w:rPr>
        <w:t>供应商</w:t>
      </w:r>
      <w:r>
        <w:rPr>
          <w:rFonts w:ascii="Arial" w:hAnsi="Arial" w:cs="Arial"/>
          <w:kern w:val="0"/>
          <w:szCs w:val="21"/>
          <w:highlight w:val="none"/>
        </w:rPr>
        <w:t>提供的核心产品品牌相同的，按前两款规定处理。</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b/>
          <w:bCs/>
          <w:kern w:val="0"/>
          <w:szCs w:val="21"/>
          <w:highlight w:val="none"/>
        </w:rPr>
        <w:t xml:space="preserve">22.3 </w:t>
      </w:r>
      <w:r>
        <w:rPr>
          <w:rFonts w:ascii="Arial" w:hAnsi="宋体" w:cs="Arial"/>
          <w:b/>
          <w:bCs/>
          <w:kern w:val="0"/>
          <w:szCs w:val="21"/>
          <w:highlight w:val="none"/>
        </w:rPr>
        <w:t>评标方法和标准</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22.3.1评标方法分为最低评标价法和综合评分法。本次招标的评标方法和标准，详见本招标文件第三章。</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22.3.2最低评标价法，是指投标文件满足招标文件全部实质性要求，且投标报价最低的</w:t>
      </w:r>
      <w:r>
        <w:rPr>
          <w:rFonts w:hint="eastAsia" w:ascii="Arial" w:hAnsi="Arial" w:cs="Arial"/>
          <w:kern w:val="0"/>
          <w:szCs w:val="21"/>
          <w:highlight w:val="none"/>
          <w:lang w:eastAsia="zh-CN"/>
        </w:rPr>
        <w:t>供应商</w:t>
      </w:r>
      <w:r>
        <w:rPr>
          <w:rFonts w:ascii="Arial" w:hAnsi="Arial" w:cs="Arial"/>
          <w:kern w:val="0"/>
          <w:szCs w:val="21"/>
          <w:highlight w:val="none"/>
        </w:rPr>
        <w:t>为中标候选人的评标方法。</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采用最低评标价法评标时，除了算术修正和落实政府采购政策需进行的价格扣除外，不对</w:t>
      </w:r>
      <w:r>
        <w:rPr>
          <w:rFonts w:hint="eastAsia" w:ascii="Arial" w:hAnsi="Arial" w:cs="Arial"/>
          <w:kern w:val="0"/>
          <w:szCs w:val="21"/>
          <w:highlight w:val="none"/>
          <w:lang w:eastAsia="zh-CN"/>
        </w:rPr>
        <w:t>供应商</w:t>
      </w:r>
      <w:r>
        <w:rPr>
          <w:rFonts w:ascii="Arial" w:hAnsi="Arial" w:cs="Arial"/>
          <w:kern w:val="0"/>
          <w:szCs w:val="21"/>
          <w:highlight w:val="none"/>
        </w:rPr>
        <w:t>的投标价格进行任何调整。</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22.3.3综合评分法，是指投标文件满足招标文件全部实质性要求，且按照评审因素的量化指标评审得分最高的</w:t>
      </w:r>
      <w:r>
        <w:rPr>
          <w:rFonts w:hint="eastAsia" w:ascii="Arial" w:hAnsi="Arial" w:cs="Arial"/>
          <w:kern w:val="0"/>
          <w:szCs w:val="21"/>
          <w:highlight w:val="none"/>
          <w:lang w:eastAsia="zh-CN"/>
        </w:rPr>
        <w:t>供应商</w:t>
      </w:r>
      <w:r>
        <w:rPr>
          <w:rFonts w:ascii="Arial" w:hAnsi="Arial" w:cs="Arial"/>
          <w:kern w:val="0"/>
          <w:szCs w:val="21"/>
          <w:highlight w:val="none"/>
        </w:rPr>
        <w:t>为中标候选人的评标方法。</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评审因素，包括价格、技术、商务等。</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评标时，评标委员会各成员应当独立对每个</w:t>
      </w:r>
      <w:r>
        <w:rPr>
          <w:rFonts w:hint="eastAsia" w:ascii="Arial" w:hAnsi="Arial" w:cs="Arial"/>
          <w:kern w:val="0"/>
          <w:szCs w:val="21"/>
          <w:highlight w:val="none"/>
          <w:lang w:eastAsia="zh-CN"/>
        </w:rPr>
        <w:t>供应商</w:t>
      </w:r>
      <w:r>
        <w:rPr>
          <w:rFonts w:ascii="Arial" w:hAnsi="Arial" w:cs="Arial"/>
          <w:kern w:val="0"/>
          <w:szCs w:val="21"/>
          <w:highlight w:val="none"/>
        </w:rPr>
        <w:t>的投标文件进行评价，并汇总每个</w:t>
      </w:r>
      <w:r>
        <w:rPr>
          <w:rFonts w:hint="eastAsia" w:ascii="Arial" w:hAnsi="Arial" w:cs="Arial"/>
          <w:kern w:val="0"/>
          <w:szCs w:val="21"/>
          <w:highlight w:val="none"/>
          <w:lang w:eastAsia="zh-CN"/>
        </w:rPr>
        <w:t>供应商</w:t>
      </w:r>
      <w:r>
        <w:rPr>
          <w:rFonts w:ascii="Arial" w:hAnsi="Arial" w:cs="Arial"/>
          <w:kern w:val="0"/>
          <w:szCs w:val="21"/>
          <w:highlight w:val="none"/>
        </w:rPr>
        <w:t>的得分。</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价格分采用低价优先法计算，即满足招标文件要求且投标价格最低的投标报价为评标基准价，其价格分为满分。</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评标总得分＝F1×A1＋F2×A2＋……＋Fn×An</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F1、F2……Fn分别为各项评审因素的得分；</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A1、A2、……An 分别为各项评审因素所占的权重(A1＋A2＋……＋An＝1)。</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因落实政府采购政策进行价格调整的，以调整后的价格计算评标基准价和投标报价。</w:t>
      </w:r>
    </w:p>
    <w:p>
      <w:pPr>
        <w:widowControl/>
        <w:shd w:val="clear" w:color="auto" w:fill="FFFFFF"/>
        <w:spacing w:line="360" w:lineRule="auto"/>
        <w:ind w:firstLine="420"/>
        <w:rPr>
          <w:rFonts w:ascii="Arial" w:hAnsi="Arial" w:cs="Arial"/>
          <w:b/>
          <w:kern w:val="0"/>
          <w:szCs w:val="21"/>
          <w:highlight w:val="none"/>
        </w:rPr>
      </w:pPr>
      <w:r>
        <w:rPr>
          <w:rFonts w:ascii="Arial" w:hAnsi="Arial" w:cs="Arial"/>
          <w:b/>
          <w:bCs/>
          <w:kern w:val="0"/>
          <w:szCs w:val="21"/>
          <w:highlight w:val="none"/>
        </w:rPr>
        <w:t>23、</w:t>
      </w:r>
      <w:r>
        <w:rPr>
          <w:rFonts w:ascii="Arial" w:hAnsi="Arial" w:cs="Arial"/>
          <w:b/>
          <w:kern w:val="0"/>
          <w:szCs w:val="21"/>
          <w:highlight w:val="none"/>
        </w:rPr>
        <w:t>确定中标人</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23.1 采用最低评标价法的，评标结果按投标报价由低到高顺序排列。投标报价相同的并列。投标文件满足招标文件全部实质性要求且投标报价最低的</w:t>
      </w:r>
      <w:r>
        <w:rPr>
          <w:rFonts w:hint="eastAsia" w:ascii="Arial" w:hAnsi="Arial" w:cs="Arial"/>
          <w:kern w:val="0"/>
          <w:szCs w:val="21"/>
          <w:highlight w:val="none"/>
          <w:lang w:eastAsia="zh-CN"/>
        </w:rPr>
        <w:t>供应商</w:t>
      </w:r>
      <w:r>
        <w:rPr>
          <w:rFonts w:ascii="Arial" w:hAnsi="Arial" w:cs="Arial"/>
          <w:kern w:val="0"/>
          <w:szCs w:val="21"/>
          <w:highlight w:val="none"/>
        </w:rPr>
        <w:t>为排名第一的中标候选人。</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23.2采用综合评分法的，评标结果按评审后得分由高到低顺序排列。得分相同的，按投标报价由低到高顺序排列。得分且投标报价相同的并列。投标文件满足招标文件全部实质性要求，且按照评审因素的量化指标评审得分最高的</w:t>
      </w:r>
      <w:r>
        <w:rPr>
          <w:rFonts w:hint="eastAsia" w:ascii="Arial" w:hAnsi="Arial" w:cs="Arial"/>
          <w:kern w:val="0"/>
          <w:szCs w:val="21"/>
          <w:highlight w:val="none"/>
          <w:lang w:eastAsia="zh-CN"/>
        </w:rPr>
        <w:t>供应商</w:t>
      </w:r>
      <w:r>
        <w:rPr>
          <w:rFonts w:ascii="Arial" w:hAnsi="Arial" w:cs="Arial"/>
          <w:kern w:val="0"/>
          <w:szCs w:val="21"/>
          <w:highlight w:val="none"/>
        </w:rPr>
        <w:t>为排名第一的中标候选人。</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23.3 中标人确定后，在省级以上财政部门指定的媒体上公告中标结果，中标公告期为1个工作日，公告的同时向中标人发出中标通知书。</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23.4 中标通知书对</w:t>
      </w:r>
      <w:r>
        <w:rPr>
          <w:rFonts w:hint="eastAsia" w:ascii="Arial" w:hAnsi="Arial" w:cs="Arial"/>
          <w:kern w:val="0"/>
          <w:szCs w:val="21"/>
          <w:highlight w:val="none"/>
        </w:rPr>
        <w:t>招标</w:t>
      </w:r>
      <w:r>
        <w:rPr>
          <w:rFonts w:ascii="Arial" w:hAnsi="Arial" w:cs="Arial"/>
          <w:kern w:val="0"/>
          <w:szCs w:val="21"/>
          <w:highlight w:val="none"/>
        </w:rPr>
        <w:t>人和中标人具有同等法律效力。</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23.5 中标通知书发出后，</w:t>
      </w:r>
      <w:r>
        <w:rPr>
          <w:rFonts w:hint="eastAsia" w:ascii="Arial" w:hAnsi="Arial" w:cs="Arial"/>
          <w:kern w:val="0"/>
          <w:szCs w:val="21"/>
          <w:highlight w:val="none"/>
        </w:rPr>
        <w:t>招标</w:t>
      </w:r>
      <w:r>
        <w:rPr>
          <w:rFonts w:ascii="Arial" w:hAnsi="Arial" w:cs="Arial"/>
          <w:kern w:val="0"/>
          <w:szCs w:val="21"/>
          <w:highlight w:val="none"/>
        </w:rPr>
        <w:t>人或中标人拒绝签订合同的，拒绝签订合同的一方应至少向另一方支付与投标保证金相等的补偿金，以及为招标、投标所发生的有关费用和双方商定的其他补偿。</w:t>
      </w:r>
    </w:p>
    <w:p>
      <w:pPr>
        <w:widowControl/>
        <w:shd w:val="clear" w:color="auto" w:fill="FFFFFF"/>
        <w:spacing w:line="360" w:lineRule="auto"/>
        <w:ind w:firstLine="420"/>
        <w:rPr>
          <w:rFonts w:ascii="Arial" w:hAnsi="Arial" w:cs="Arial"/>
          <w:b/>
          <w:kern w:val="0"/>
          <w:szCs w:val="21"/>
          <w:highlight w:val="none"/>
        </w:rPr>
      </w:pPr>
      <w:r>
        <w:rPr>
          <w:rFonts w:ascii="Arial" w:hAnsi="Arial" w:cs="Arial"/>
          <w:b/>
          <w:kern w:val="0"/>
          <w:szCs w:val="21"/>
          <w:highlight w:val="none"/>
        </w:rPr>
        <w:t>23.6 中标通知书发出后，中标人无正当理由不与</w:t>
      </w:r>
      <w:r>
        <w:rPr>
          <w:rFonts w:hint="eastAsia" w:ascii="Arial" w:hAnsi="Arial" w:cs="Arial"/>
          <w:b/>
          <w:kern w:val="0"/>
          <w:szCs w:val="21"/>
          <w:highlight w:val="none"/>
        </w:rPr>
        <w:t>招标</w:t>
      </w:r>
      <w:r>
        <w:rPr>
          <w:rFonts w:ascii="Arial" w:hAnsi="Arial" w:cs="Arial"/>
          <w:b/>
          <w:kern w:val="0"/>
          <w:szCs w:val="21"/>
          <w:highlight w:val="none"/>
        </w:rPr>
        <w:t>人签订合同的，投标保证金不予退还；情节严重的，由财政部门将其列入不良行为记录名单，在一至三年内禁止参加政府采购活动，并予以通报。</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23.7 所有投标文件不论中标与否，均不退回。</w:t>
      </w:r>
    </w:p>
    <w:p>
      <w:pPr>
        <w:widowControl/>
        <w:shd w:val="clear" w:color="auto" w:fill="FFFFFF"/>
        <w:spacing w:line="360" w:lineRule="auto"/>
        <w:ind w:firstLine="412"/>
        <w:rPr>
          <w:rFonts w:ascii="Arial" w:hAnsi="Arial" w:cs="Arial"/>
          <w:kern w:val="0"/>
          <w:szCs w:val="21"/>
          <w:highlight w:val="none"/>
        </w:rPr>
      </w:pPr>
      <w:r>
        <w:rPr>
          <w:rFonts w:ascii="Arial" w:hAnsi="Arial" w:cs="Arial"/>
          <w:b/>
          <w:bCs/>
          <w:kern w:val="0"/>
          <w:szCs w:val="21"/>
          <w:highlight w:val="none"/>
        </w:rPr>
        <w:t>24、编写评标报告</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24.1评标委员会根据全体评标成员签字的原始评标记录和评标结果编写评标报告。</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25、评标过程的保密性</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25.1 </w:t>
      </w:r>
      <w:r>
        <w:rPr>
          <w:rFonts w:hint="eastAsia" w:ascii="Arial" w:hAnsi="Arial" w:cs="Arial"/>
          <w:kern w:val="0"/>
          <w:szCs w:val="21"/>
          <w:highlight w:val="none"/>
        </w:rPr>
        <w:t>招标</w:t>
      </w:r>
      <w:r>
        <w:rPr>
          <w:rFonts w:ascii="Arial" w:hAnsi="Arial" w:cs="Arial"/>
          <w:kern w:val="0"/>
          <w:szCs w:val="21"/>
          <w:highlight w:val="none"/>
        </w:rPr>
        <w:t>人和</w:t>
      </w:r>
      <w:r>
        <w:rPr>
          <w:rFonts w:hint="eastAsia" w:ascii="Arial" w:hAnsi="Arial" w:cs="Arial"/>
          <w:kern w:val="0"/>
          <w:szCs w:val="21"/>
          <w:highlight w:val="none"/>
        </w:rPr>
        <w:t>招标</w:t>
      </w:r>
      <w:r>
        <w:rPr>
          <w:rFonts w:ascii="Arial" w:hAnsi="Arial" w:cs="Arial"/>
          <w:kern w:val="0"/>
          <w:szCs w:val="21"/>
          <w:highlight w:val="none"/>
        </w:rPr>
        <w:t>代理机构将采取必要措施，保证评标在严格保密的情况下进行。</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25.2 任何单位和个人不得非法干预、影响评标办法的确定，以及评标过程和结果。</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25.3 凡是与审查、澄清、评价和比较投标的有关资料等，均不向</w:t>
      </w:r>
      <w:r>
        <w:rPr>
          <w:rFonts w:hint="eastAsia" w:ascii="Arial" w:hAnsi="Arial" w:cs="Arial"/>
          <w:kern w:val="0"/>
          <w:szCs w:val="21"/>
          <w:highlight w:val="none"/>
          <w:lang w:eastAsia="zh-CN"/>
        </w:rPr>
        <w:t>供应商</w:t>
      </w:r>
      <w:r>
        <w:rPr>
          <w:rFonts w:ascii="Arial" w:hAnsi="Arial" w:cs="Arial"/>
          <w:kern w:val="0"/>
          <w:szCs w:val="21"/>
          <w:highlight w:val="none"/>
        </w:rPr>
        <w:t>及与评标无关的其他人员透露。</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六、签订合同</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26、签订合同</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26.1</w:t>
      </w:r>
      <w:r>
        <w:rPr>
          <w:rFonts w:hint="eastAsia" w:ascii="Arial" w:hAnsi="Arial" w:cs="Arial"/>
          <w:kern w:val="0"/>
          <w:szCs w:val="21"/>
          <w:highlight w:val="none"/>
        </w:rPr>
        <w:t>招标</w:t>
      </w:r>
      <w:r>
        <w:rPr>
          <w:rFonts w:ascii="Arial" w:hAnsi="Arial" w:cs="Arial"/>
          <w:kern w:val="0"/>
          <w:szCs w:val="21"/>
          <w:highlight w:val="none"/>
        </w:rPr>
        <w:t>人与中标人应当自中标通知书发出之日起30日内，按照招标文件和中标人投标文件的规定，签订书面合同。所签订的合同不得对招标文件确定的事项和中标人投标文件作实质性修改。</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26.2</w:t>
      </w:r>
      <w:r>
        <w:rPr>
          <w:rFonts w:hint="eastAsia" w:ascii="Arial" w:hAnsi="Arial" w:cs="Arial"/>
          <w:kern w:val="0"/>
          <w:szCs w:val="21"/>
          <w:highlight w:val="none"/>
        </w:rPr>
        <w:t>招标</w:t>
      </w:r>
      <w:r>
        <w:rPr>
          <w:rFonts w:ascii="Arial" w:hAnsi="Arial" w:cs="Arial"/>
          <w:kern w:val="0"/>
          <w:szCs w:val="21"/>
          <w:highlight w:val="none"/>
        </w:rPr>
        <w:t>人不得向中标人提出任何不合理的要求作为签订合同的条件。</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26.3中标人拒绝与采购人签订合同的，</w:t>
      </w:r>
      <w:r>
        <w:rPr>
          <w:rFonts w:hint="eastAsia" w:ascii="Arial" w:hAnsi="Arial" w:cs="Arial"/>
          <w:kern w:val="0"/>
          <w:szCs w:val="21"/>
          <w:highlight w:val="none"/>
        </w:rPr>
        <w:t>招标</w:t>
      </w:r>
      <w:r>
        <w:rPr>
          <w:rFonts w:ascii="Arial" w:hAnsi="Arial" w:cs="Arial"/>
          <w:kern w:val="0"/>
          <w:szCs w:val="21"/>
          <w:highlight w:val="none"/>
        </w:rPr>
        <w:t>人可以按照评审报告推荐的中标或者成交候选人名单排序，确定下一候选人为中标或者成交供应商，也可以重新开展政府采购活动。</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26.4 政府采购合同履行中，</w:t>
      </w:r>
      <w:r>
        <w:rPr>
          <w:rFonts w:hint="eastAsia" w:ascii="Arial" w:hAnsi="Arial" w:cs="Arial"/>
          <w:kern w:val="0"/>
          <w:szCs w:val="21"/>
          <w:highlight w:val="none"/>
        </w:rPr>
        <w:t>招标</w:t>
      </w:r>
      <w:r>
        <w:rPr>
          <w:rFonts w:ascii="Arial" w:hAnsi="Arial" w:cs="Arial"/>
          <w:kern w:val="0"/>
          <w:szCs w:val="21"/>
          <w:highlight w:val="none"/>
        </w:rPr>
        <w:t>人需追加与合同标的相同的货物或者服务的，在不改变合同其他条款的前提下，可以与供应商协商签订补充合同，但所有补充合同的采购金额不得超过原合同采购金额的百分之十。</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26.5 </w:t>
      </w:r>
      <w:r>
        <w:rPr>
          <w:rFonts w:hint="eastAsia" w:ascii="Arial" w:hAnsi="Arial" w:cs="Arial"/>
          <w:kern w:val="0"/>
          <w:szCs w:val="21"/>
          <w:highlight w:val="none"/>
        </w:rPr>
        <w:t>招标</w:t>
      </w:r>
      <w:r>
        <w:rPr>
          <w:rFonts w:ascii="Arial" w:hAnsi="Arial" w:cs="Arial"/>
          <w:kern w:val="0"/>
          <w:szCs w:val="21"/>
          <w:highlight w:val="none"/>
        </w:rPr>
        <w:t>人与中标人应当根据合同的约定依法履行合同义务。</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七、质疑和投诉</w:t>
      </w:r>
    </w:p>
    <w:p>
      <w:pPr>
        <w:widowControl/>
        <w:shd w:val="clear" w:color="auto" w:fill="FFFFFF"/>
        <w:spacing w:line="360" w:lineRule="auto"/>
        <w:ind w:firstLine="420"/>
        <w:rPr>
          <w:rFonts w:ascii="Arial" w:hAnsi="Arial" w:cs="Arial"/>
          <w:kern w:val="0"/>
          <w:szCs w:val="21"/>
          <w:highlight w:val="none"/>
        </w:rPr>
      </w:pPr>
      <w:r>
        <w:rPr>
          <w:rFonts w:ascii="Arial" w:hAnsi="Arial" w:cs="Arial"/>
          <w:b/>
          <w:bCs/>
          <w:kern w:val="0"/>
          <w:szCs w:val="21"/>
          <w:highlight w:val="none"/>
        </w:rPr>
        <w:t>27、质疑</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27.1供应商对招标活动事项有疑问的，可以向</w:t>
      </w:r>
      <w:r>
        <w:rPr>
          <w:rFonts w:hint="eastAsia" w:ascii="Arial" w:hAnsi="Arial" w:cs="Arial"/>
          <w:kern w:val="0"/>
          <w:szCs w:val="21"/>
          <w:highlight w:val="none"/>
        </w:rPr>
        <w:t>招标</w:t>
      </w:r>
      <w:r>
        <w:rPr>
          <w:rFonts w:ascii="Arial" w:hAnsi="Arial" w:cs="Arial"/>
          <w:kern w:val="0"/>
          <w:szCs w:val="21"/>
          <w:highlight w:val="none"/>
        </w:rPr>
        <w:t>代理机构提出询问，</w:t>
      </w:r>
      <w:r>
        <w:rPr>
          <w:rFonts w:hint="eastAsia" w:ascii="Arial" w:hAnsi="Arial" w:cs="Arial"/>
          <w:kern w:val="0"/>
          <w:szCs w:val="21"/>
          <w:highlight w:val="none"/>
        </w:rPr>
        <w:t>招标</w:t>
      </w:r>
      <w:r>
        <w:rPr>
          <w:rFonts w:ascii="Arial" w:hAnsi="Arial" w:cs="Arial"/>
          <w:kern w:val="0"/>
          <w:szCs w:val="21"/>
          <w:highlight w:val="none"/>
        </w:rPr>
        <w:t>代理机构将依法作出答复，但答复的内容不涉及商业秘密</w:t>
      </w:r>
      <w:r>
        <w:rPr>
          <w:rFonts w:ascii="Arial" w:hAnsi="Arial" w:cs="Arial"/>
          <w:b/>
          <w:bCs/>
          <w:kern w:val="0"/>
          <w:szCs w:val="21"/>
          <w:highlight w:val="none"/>
        </w:rPr>
        <w:t>。</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27.2提出质疑的供应商应当是参与所质疑项目采购活动的供应商。潜在供应商已依法获取其可质疑的采购文件的，可以对该文件提出质疑。</w:t>
      </w:r>
    </w:p>
    <w:p>
      <w:pPr>
        <w:widowControl/>
        <w:shd w:val="clear" w:color="auto" w:fill="FFFFFF"/>
        <w:spacing w:line="360" w:lineRule="auto"/>
        <w:ind w:firstLine="420"/>
        <w:rPr>
          <w:rFonts w:ascii="Arial" w:hAnsi="Arial" w:cs="Arial"/>
          <w:kern w:val="0"/>
          <w:szCs w:val="21"/>
          <w:highlight w:val="none"/>
        </w:rPr>
      </w:pPr>
      <w:r>
        <w:rPr>
          <w:rFonts w:ascii="Arial" w:hAnsi="Arial" w:cs="Arial"/>
          <w:szCs w:val="21"/>
          <w:highlight w:val="none"/>
        </w:rPr>
        <w:t>以联合体形式参加政府采购活动的，其质疑应当由组成联合体的所有供应商共同提出。</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27.3供应商认为采购文件、采购过程和中标结果使自己的合法权益受到损害的，可以在知道或者应知其权益受到损害之日起七个工作日内，将质疑文件原件送达采购人或采购代理机构。</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供应商应知其权益受到损害之日，是指：对采购文件提出质疑的，应当在获取采购文件或者采购文件公告期限届满之日起7个工作日内提出；对采购过程提出质疑的，为各采购程序环节结束之日；对中标或者成交结果提出质疑的，为中标或者成交结果公告期限届满之日。</w:t>
      </w:r>
    </w:p>
    <w:p>
      <w:pPr>
        <w:widowControl/>
        <w:shd w:val="clear" w:color="auto" w:fill="FFFFFF"/>
        <w:spacing w:line="360" w:lineRule="auto"/>
        <w:ind w:firstLine="420"/>
        <w:rPr>
          <w:rFonts w:ascii="Arial" w:hAnsi="Arial" w:cs="Arial"/>
          <w:kern w:val="0"/>
          <w:szCs w:val="21"/>
          <w:highlight w:val="none"/>
        </w:rPr>
      </w:pPr>
      <w:r>
        <w:rPr>
          <w:rFonts w:ascii="Arial" w:hAnsi="Arial" w:cs="Arial"/>
          <w:highlight w:val="none"/>
        </w:rPr>
        <w:t>供应商必须在法定质疑期内一次性提出针对同一采购程序环节的质疑。</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27.4 供应商提出质疑应当提交质疑函和必要的证明材料。质疑函应当包括下列内容：</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（一）供应商的姓名或者名称、地址、邮编、联系人及联系电话；</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（二）质疑项目的名称、编号；</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（三）具体、明确的质疑事项和与质疑事项相关的请求（具体条款）；</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（四）事实依据（具体条款）；</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（五）必要的法律依据（具体条款）；</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（六）提出质疑的日期。</w:t>
      </w:r>
    </w:p>
    <w:p>
      <w:pPr>
        <w:widowControl/>
        <w:shd w:val="clear" w:color="auto" w:fill="FFFFFF"/>
        <w:spacing w:line="360" w:lineRule="auto"/>
        <w:ind w:firstLine="420"/>
        <w:rPr>
          <w:rFonts w:ascii="Arial" w:hAnsi="Arial" w:cs="Arial"/>
          <w:szCs w:val="21"/>
          <w:highlight w:val="none"/>
        </w:rPr>
      </w:pPr>
      <w:r>
        <w:rPr>
          <w:rFonts w:ascii="Arial" w:hAnsi="Arial" w:cs="Arial"/>
          <w:szCs w:val="21"/>
          <w:highlight w:val="none"/>
        </w:rPr>
        <w:t>供应商为自然人的，应当由本人签字；供应商为法人或者其他组织的，应当由法定代表人、主要负责人，或者其授权代表签字或者盖章，并加盖公章。代理人提出质疑和投诉，应当提交供应商签署的授权委托书。其授权委托书应当载明代理人的姓名或者名称、代理事项、具体权限、期限和相关事项。</w:t>
      </w:r>
    </w:p>
    <w:p>
      <w:pPr>
        <w:widowControl/>
        <w:shd w:val="clear" w:color="auto" w:fill="FFFFFF"/>
        <w:spacing w:line="360" w:lineRule="auto"/>
        <w:ind w:firstLine="420"/>
        <w:rPr>
          <w:rFonts w:ascii="Arial" w:hAnsi="Arial" w:cs="Arial"/>
          <w:szCs w:val="21"/>
          <w:highlight w:val="none"/>
        </w:rPr>
      </w:pPr>
      <w:r>
        <w:rPr>
          <w:rFonts w:ascii="Arial" w:hAnsi="Arial" w:cs="Arial"/>
          <w:szCs w:val="21"/>
          <w:highlight w:val="none"/>
        </w:rPr>
        <w:t>质疑函应当使用中文。相关当事人提供外文书证或者外国语视听资料的，应当附有中文译本，由翻译机构盖章或者翻译人员签名。</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27.5质疑函应当现场提交至采购代理机构联系人处，提交时应出示有效身份证明。未按上述要求提交质疑函的，质疑不予受理。</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 xml:space="preserve">27.6 </w:t>
      </w:r>
      <w:r>
        <w:rPr>
          <w:rFonts w:hint="eastAsia" w:ascii="Arial" w:hAnsi="Arial" w:cs="Arial"/>
          <w:kern w:val="0"/>
          <w:szCs w:val="21"/>
          <w:highlight w:val="none"/>
          <w:lang w:eastAsia="zh-CN"/>
        </w:rPr>
        <w:t>供应商</w:t>
      </w:r>
      <w:r>
        <w:rPr>
          <w:rFonts w:ascii="Arial" w:hAnsi="Arial" w:cs="Arial"/>
          <w:kern w:val="0"/>
          <w:szCs w:val="21"/>
          <w:highlight w:val="none"/>
        </w:rPr>
        <w:t>不得虚假质疑和恶意质疑，并对质疑内容的真实性承担责任。</w:t>
      </w:r>
      <w:r>
        <w:rPr>
          <w:rFonts w:hint="eastAsia" w:ascii="Arial" w:hAnsi="Arial" w:cs="Arial"/>
          <w:kern w:val="0"/>
          <w:szCs w:val="21"/>
          <w:highlight w:val="none"/>
          <w:lang w:eastAsia="zh-CN"/>
        </w:rPr>
        <w:t>供应商</w:t>
      </w:r>
      <w:r>
        <w:rPr>
          <w:rFonts w:ascii="Arial" w:hAnsi="Arial" w:cs="Arial"/>
          <w:kern w:val="0"/>
          <w:szCs w:val="21"/>
          <w:highlight w:val="none"/>
        </w:rPr>
        <w:t>或者其他利害关系人通过捏造事实、伪造证明材料等方式提出异议或投诉，阻碍招投标活动正常进行的，属于严重不良行为，代理机构将提请财政部门将其列入不良行为记录名单，并依法予以处罚。</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27.7采购代理机构在收到</w:t>
      </w:r>
      <w:r>
        <w:rPr>
          <w:rFonts w:hint="eastAsia" w:ascii="Arial" w:hAnsi="Arial" w:cs="Arial"/>
          <w:kern w:val="0"/>
          <w:szCs w:val="21"/>
          <w:highlight w:val="none"/>
          <w:lang w:eastAsia="zh-CN"/>
        </w:rPr>
        <w:t>供应商</w:t>
      </w:r>
      <w:r>
        <w:rPr>
          <w:rFonts w:ascii="Arial" w:hAnsi="Arial" w:cs="Arial"/>
          <w:kern w:val="0"/>
          <w:szCs w:val="21"/>
          <w:highlight w:val="none"/>
        </w:rPr>
        <w:t>的书面质疑后将及时组织调查核实，在</w:t>
      </w:r>
      <w:r>
        <w:rPr>
          <w:rFonts w:ascii="Arial" w:hAnsi="Arial" w:cs="Arial"/>
          <w:b/>
          <w:bCs/>
          <w:kern w:val="0"/>
          <w:szCs w:val="21"/>
          <w:highlight w:val="none"/>
        </w:rPr>
        <w:t>七个工作日内</w:t>
      </w:r>
      <w:r>
        <w:rPr>
          <w:rFonts w:ascii="Arial" w:hAnsi="Arial" w:cs="Arial"/>
          <w:kern w:val="0"/>
          <w:szCs w:val="21"/>
          <w:highlight w:val="none"/>
        </w:rPr>
        <w:t>作出答复，并以书面或在网站公告形式通知质疑</w:t>
      </w:r>
      <w:r>
        <w:rPr>
          <w:rFonts w:hint="eastAsia" w:ascii="Arial" w:hAnsi="Arial" w:cs="Arial"/>
          <w:kern w:val="0"/>
          <w:szCs w:val="21"/>
          <w:highlight w:val="none"/>
          <w:lang w:eastAsia="zh-CN"/>
        </w:rPr>
        <w:t>供应商</w:t>
      </w:r>
      <w:r>
        <w:rPr>
          <w:rFonts w:ascii="Arial" w:hAnsi="Arial" w:cs="Arial"/>
          <w:kern w:val="0"/>
          <w:szCs w:val="21"/>
          <w:highlight w:val="none"/>
        </w:rPr>
        <w:t>和其他有关</w:t>
      </w:r>
      <w:r>
        <w:rPr>
          <w:rFonts w:hint="eastAsia" w:ascii="Arial" w:hAnsi="Arial" w:cs="Arial"/>
          <w:kern w:val="0"/>
          <w:szCs w:val="21"/>
          <w:highlight w:val="none"/>
          <w:lang w:eastAsia="zh-CN"/>
        </w:rPr>
        <w:t>供应商</w:t>
      </w:r>
      <w:r>
        <w:rPr>
          <w:rFonts w:ascii="Arial" w:hAnsi="Arial" w:cs="Arial"/>
          <w:kern w:val="0"/>
          <w:szCs w:val="21"/>
          <w:highlight w:val="none"/>
        </w:rPr>
        <w:t>，答复的内容不涉及商业秘密。</w:t>
      </w:r>
    </w:p>
    <w:p>
      <w:pPr>
        <w:widowControl/>
        <w:shd w:val="clear" w:color="auto" w:fill="FFFFFF"/>
        <w:spacing w:line="360" w:lineRule="auto"/>
        <w:ind w:firstLine="420"/>
        <w:rPr>
          <w:rFonts w:ascii="Arial" w:hAnsi="Arial" w:cs="Arial"/>
          <w:kern w:val="0"/>
          <w:szCs w:val="21"/>
          <w:highlight w:val="none"/>
        </w:rPr>
      </w:pPr>
      <w:r>
        <w:rPr>
          <w:rFonts w:ascii="Arial" w:hAnsi="Arial" w:cs="Arial"/>
          <w:kern w:val="0"/>
          <w:szCs w:val="21"/>
          <w:highlight w:val="none"/>
        </w:rPr>
        <w:t>任何单位和个人对代理机构在招标采购活动中的违法行为，有权控告和检举，联系电话：025-86636139（招标代理机构质量管理部门，联系人：陈葵花）、025-86636853（招标代理机构纪检监察部门，联系人：汪朝阳）。</w:t>
      </w:r>
    </w:p>
    <w:p>
      <w:pPr>
        <w:widowControl/>
        <w:shd w:val="clear" w:color="auto" w:fill="FFFFFF"/>
        <w:spacing w:line="420" w:lineRule="exact"/>
        <w:ind w:firstLine="420"/>
        <w:rPr>
          <w:rFonts w:ascii="Arial" w:hAnsi="Arial" w:cs="Arial"/>
          <w:kern w:val="0"/>
          <w:szCs w:val="21"/>
          <w:highlight w:val="none"/>
        </w:rPr>
      </w:pPr>
      <w:r>
        <w:rPr>
          <w:rFonts w:ascii="Arial" w:hAnsi="Arial" w:cs="Arial"/>
          <w:b/>
          <w:bCs/>
          <w:kern w:val="0"/>
          <w:szCs w:val="21"/>
          <w:highlight w:val="none"/>
        </w:rPr>
        <w:t>28、投诉</w:t>
      </w:r>
    </w:p>
    <w:p>
      <w:pPr>
        <w:spacing w:line="420" w:lineRule="exact"/>
        <w:ind w:firstLine="420" w:firstLineChars="200"/>
        <w:rPr>
          <w:rFonts w:ascii="Arial" w:hAnsi="Arial" w:cs="Arial"/>
          <w:highlight w:val="none"/>
        </w:rPr>
      </w:pPr>
      <w:r>
        <w:rPr>
          <w:rFonts w:ascii="Arial" w:hAnsi="Arial" w:cs="Arial"/>
          <w:highlight w:val="none"/>
        </w:rPr>
        <w:t>28.1质疑供应商对采购代理机构的答复不满意或者采购代理机构未在规定的时间内作出答复的，可以在答复期满后十五个工作日内向同级政府采购监督管理部门投诉。</w:t>
      </w:r>
    </w:p>
    <w:p>
      <w:pPr>
        <w:spacing w:line="420" w:lineRule="exact"/>
        <w:ind w:firstLine="420" w:firstLineChars="200"/>
        <w:rPr>
          <w:rFonts w:ascii="Arial" w:hAnsi="Arial" w:cs="Arial"/>
          <w:highlight w:val="none"/>
        </w:rPr>
      </w:pPr>
      <w:r>
        <w:rPr>
          <w:rFonts w:ascii="Arial" w:hAnsi="Arial" w:cs="Arial"/>
          <w:szCs w:val="21"/>
          <w:highlight w:val="none"/>
        </w:rPr>
        <w:t>28.2供应商投诉应当有明确的请求和必要的证明材料。供应商投诉的事项不得超出已质疑事项的范围。</w:t>
      </w:r>
    </w:p>
    <w:p>
      <w:pPr>
        <w:spacing w:line="420" w:lineRule="exact"/>
        <w:ind w:firstLine="420" w:firstLineChars="200"/>
        <w:rPr>
          <w:rFonts w:ascii="Arial" w:hAnsi="Arial" w:cs="Arial"/>
          <w:highlight w:val="none"/>
        </w:rPr>
      </w:pPr>
      <w:r>
        <w:rPr>
          <w:rFonts w:ascii="Arial" w:hAnsi="Arial" w:cs="Arial"/>
          <w:szCs w:val="21"/>
          <w:highlight w:val="none"/>
        </w:rPr>
        <w:t>28.3投诉人对政府采购监督管理部门的投诉处理决定不服或者政府采购监督管理部门逾期未作处理的，可以依法申请行政复议或者向人民法院提起行政诉讼。</w:t>
      </w:r>
    </w:p>
    <w:p>
      <w:pPr>
        <w:spacing w:line="420" w:lineRule="exact"/>
        <w:ind w:firstLine="420" w:firstLineChars="200"/>
        <w:rPr>
          <w:rFonts w:ascii="Arial" w:hAnsi="Arial" w:cs="Arial"/>
          <w:szCs w:val="21"/>
          <w:highlight w:val="none"/>
        </w:rPr>
      </w:pPr>
      <w:r>
        <w:rPr>
          <w:rFonts w:ascii="Arial" w:hAnsi="Arial" w:cs="Arial"/>
          <w:highlight w:val="none"/>
        </w:rPr>
        <w:t>28.4 投诉人有下列行为之一的，属于严重失信行为，</w:t>
      </w:r>
      <w:r>
        <w:rPr>
          <w:rFonts w:ascii="Arial" w:hAnsi="Arial" w:cs="Arial"/>
          <w:szCs w:val="21"/>
          <w:highlight w:val="none"/>
        </w:rPr>
        <w:t>由财政部门列入不良行为记录名单，禁止其一至三年内参加政府采购活动。</w:t>
      </w:r>
    </w:p>
    <w:p>
      <w:pPr>
        <w:spacing w:line="420" w:lineRule="exact"/>
        <w:ind w:firstLine="420" w:firstLineChars="200"/>
        <w:rPr>
          <w:rFonts w:ascii="Arial" w:hAnsi="Arial" w:cs="Arial"/>
          <w:highlight w:val="none"/>
        </w:rPr>
      </w:pPr>
      <w:r>
        <w:rPr>
          <w:rFonts w:ascii="Arial" w:hAnsi="Arial" w:cs="Arial"/>
          <w:highlight w:val="none"/>
        </w:rPr>
        <w:t>（1）投诉人在全国范围12个月内三次以上投诉查无实据的；</w:t>
      </w:r>
    </w:p>
    <w:p>
      <w:pPr>
        <w:spacing w:line="420" w:lineRule="exact"/>
        <w:ind w:firstLine="420" w:firstLineChars="200"/>
        <w:rPr>
          <w:rFonts w:ascii="Arial" w:hAnsi="Arial" w:cs="Arial"/>
          <w:highlight w:val="none"/>
        </w:rPr>
      </w:pPr>
      <w:r>
        <w:rPr>
          <w:rFonts w:ascii="Arial" w:hAnsi="Arial" w:cs="Arial"/>
          <w:highlight w:val="none"/>
        </w:rPr>
        <w:t>（2）采用捏造事实、提供虚假材料或者以非法手段取得证明材料等方式进行虚假、恶意投诉。</w:t>
      </w:r>
    </w:p>
    <w:p>
      <w:pPr>
        <w:spacing w:line="420" w:lineRule="exact"/>
        <w:ind w:firstLine="420" w:firstLineChars="200"/>
        <w:rPr>
          <w:rFonts w:ascii="Arial" w:hAnsi="Arial" w:cs="Arial"/>
          <w:highlight w:val="none"/>
        </w:rPr>
      </w:pPr>
      <w:r>
        <w:rPr>
          <w:rFonts w:ascii="Arial" w:hAnsi="Arial" w:cs="Arial"/>
          <w:highlight w:val="none"/>
        </w:rPr>
        <w:t>证据来源的合法性存在明显疑问，投诉人无法证明其取得方式合法的，视为以非法手段取得证明材料。</w:t>
      </w:r>
    </w:p>
    <w:p>
      <w:pPr>
        <w:widowControl/>
        <w:jc w:val="left"/>
        <w:rPr>
          <w:rFonts w:ascii="Arial" w:hAnsi="Arial" w:cs="Arial"/>
          <w:highlight w:val="none"/>
        </w:rPr>
      </w:pPr>
      <w:r>
        <w:rPr>
          <w:rFonts w:ascii="Arial" w:hAnsi="Arial" w:cs="Arial"/>
          <w:highlight w:val="none"/>
        </w:rPr>
        <w:br w:type="page"/>
      </w:r>
    </w:p>
    <w:p>
      <w:pPr>
        <w:pStyle w:val="3"/>
        <w:numPr>
          <w:ilvl w:val="0"/>
          <w:numId w:val="0"/>
        </w:numPr>
        <w:rPr>
          <w:rFonts w:ascii="Arial" w:hAnsi="Arial" w:cs="Arial"/>
          <w:kern w:val="0"/>
          <w:highlight w:val="none"/>
        </w:rPr>
      </w:pPr>
      <w:bookmarkStart w:id="7" w:name="_Toc15117"/>
      <w:r>
        <w:rPr>
          <w:rFonts w:ascii="Arial" w:hAnsi="Arial" w:cs="Arial"/>
          <w:kern w:val="0"/>
          <w:highlight w:val="none"/>
        </w:rPr>
        <w:t> </w:t>
      </w:r>
      <w:bookmarkEnd w:id="7"/>
      <w:r>
        <w:rPr>
          <w:rFonts w:ascii="Arial" w:hAnsi="Arial" w:cs="Arial"/>
          <w:kern w:val="0"/>
          <w:highlight w:val="none"/>
        </w:rPr>
        <w:t> </w:t>
      </w:r>
      <w:bookmarkStart w:id="8" w:name="_Toc481057145"/>
      <w:r>
        <w:rPr>
          <w:rFonts w:ascii="Arial" w:hAnsi="Arial" w:cs="Arial"/>
          <w:kern w:val="0"/>
          <w:highlight w:val="none"/>
        </w:rPr>
        <w:t xml:space="preserve">第三章  </w:t>
      </w:r>
      <w:r>
        <w:rPr>
          <w:rFonts w:ascii="Arial" w:hAnsi="Arial" w:cs="Arial"/>
          <w:kern w:val="0"/>
          <w:highlight w:val="none"/>
        </w:rPr>
        <w:t>评标标准</w:t>
      </w:r>
    </w:p>
    <w:bookmarkEnd w:id="8"/>
    <w:p>
      <w:pPr>
        <w:spacing w:line="360" w:lineRule="auto"/>
        <w:ind w:firstLine="420" w:firstLineChars="200"/>
        <w:rPr>
          <w:rFonts w:ascii="Arial" w:hAnsi="Arial" w:cs="Arial"/>
          <w:highlight w:val="none"/>
        </w:rPr>
      </w:pPr>
      <w:r>
        <w:rPr>
          <w:rFonts w:ascii="Arial" w:hAnsi="Arial" w:cs="Arial"/>
          <w:highlight w:val="none"/>
        </w:rPr>
        <w:t>本项目采用综合评分法，评分统计方法采用百分制（满分100分），将全部评委评分直接进行算术平均，小数点后保留2位。按评审后得分由高到低顺序排列，得分相同的，按投标报价由低到高顺序排列，得分且投标报价相同的，按技术指标优劣顺序排列，由评标委员会确定中标人。</w:t>
      </w:r>
    </w:p>
    <w:tbl>
      <w:tblPr>
        <w:tblStyle w:val="43"/>
        <w:tblW w:w="94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2"/>
        <w:gridCol w:w="1103"/>
        <w:gridCol w:w="6886"/>
        <w:gridCol w:w="7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tblHeader/>
          <w:jc w:val="center"/>
        </w:trPr>
        <w:tc>
          <w:tcPr>
            <w:tcW w:w="662"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rPr>
              <w:t>序号</w:t>
            </w:r>
          </w:p>
        </w:tc>
        <w:tc>
          <w:tcPr>
            <w:tcW w:w="1103"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rPr>
              <w:t>评分因素</w:t>
            </w:r>
          </w:p>
        </w:tc>
        <w:tc>
          <w:tcPr>
            <w:tcW w:w="6886"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rPr>
              <w:t>评审标准</w:t>
            </w:r>
          </w:p>
        </w:tc>
        <w:tc>
          <w:tcPr>
            <w:tcW w:w="761"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0" w:hRule="atLeast"/>
          <w:tblHeader/>
          <w:jc w:val="center"/>
        </w:trPr>
        <w:tc>
          <w:tcPr>
            <w:tcW w:w="662" w:type="dxa"/>
            <w:tcBorders>
              <w:top w:val="single" w:color="auto" w:sz="4" w:space="0"/>
              <w:left w:val="single" w:color="auto" w:sz="4" w:space="0"/>
              <w:bottom w:val="single" w:color="auto" w:sz="4" w:space="0"/>
              <w:right w:val="single" w:color="auto" w:sz="4" w:space="0"/>
            </w:tcBorders>
            <w:noWrap w:val="0"/>
            <w:vAlign w:val="center"/>
          </w:tcPr>
          <w:p>
            <w:pPr>
              <w:rPr>
                <w:rFonts w:hint="eastAsia" w:asciiTheme="minorEastAsia" w:hAnsiTheme="minorEastAsia" w:eastAsiaTheme="minorEastAsia" w:cstheme="minorEastAsia"/>
                <w:b w:val="0"/>
                <w:bCs/>
                <w:color w:val="auto"/>
                <w:sz w:val="24"/>
                <w:szCs w:val="24"/>
                <w:highlight w:val="none"/>
              </w:rPr>
            </w:pPr>
            <w:bookmarkStart w:id="9" w:name="_Hlk401005359"/>
            <w:bookmarkStart w:id="10" w:name="OLE_LINK4" w:colFirst="3" w:colLast="3"/>
            <w:bookmarkStart w:id="11" w:name="OLE_LINK3" w:colFirst="3" w:colLast="3"/>
            <w:r>
              <w:rPr>
                <w:rFonts w:hint="eastAsia" w:asciiTheme="minorEastAsia" w:hAnsiTheme="minorEastAsia" w:eastAsiaTheme="minorEastAsia" w:cstheme="minorEastAsia"/>
                <w:b w:val="0"/>
                <w:bCs/>
                <w:color w:val="auto"/>
                <w:sz w:val="24"/>
                <w:szCs w:val="24"/>
                <w:highlight w:val="none"/>
              </w:rPr>
              <w:t>1</w:t>
            </w:r>
          </w:p>
        </w:tc>
        <w:tc>
          <w:tcPr>
            <w:tcW w:w="1103" w:type="dxa"/>
            <w:tcBorders>
              <w:top w:val="single" w:color="auto" w:sz="4" w:space="0"/>
              <w:left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rPr>
              <w:t>价格</w:t>
            </w:r>
          </w:p>
        </w:tc>
        <w:tc>
          <w:tcPr>
            <w:tcW w:w="6886" w:type="dxa"/>
            <w:tcBorders>
              <w:top w:val="single" w:color="auto" w:sz="4" w:space="0"/>
              <w:left w:val="single" w:color="auto" w:sz="4" w:space="0"/>
              <w:bottom w:val="single" w:color="auto" w:sz="4" w:space="0"/>
              <w:right w:val="single" w:color="auto" w:sz="4" w:space="0"/>
            </w:tcBorders>
            <w:noWrap w:val="0"/>
            <w:vAlign w:val="center"/>
          </w:tcPr>
          <w:p>
            <w:pPr>
              <w:rPr>
                <w:rFonts w:hint="eastAsia" w:asciiTheme="minorEastAsia" w:hAnsiTheme="minorEastAsia" w:eastAsiaTheme="minorEastAsia" w:cstheme="minorEastAsia"/>
                <w:b w:val="0"/>
                <w:bCs/>
                <w:color w:val="auto"/>
                <w:sz w:val="24"/>
                <w:szCs w:val="24"/>
                <w:highlight w:val="none"/>
                <w:lang w:val="en-US"/>
              </w:rPr>
            </w:pPr>
            <w:r>
              <w:rPr>
                <w:rFonts w:hint="eastAsia" w:asciiTheme="minorEastAsia" w:hAnsiTheme="minorEastAsia" w:eastAsiaTheme="minorEastAsia" w:cstheme="minorEastAsia"/>
                <w:b w:val="0"/>
                <w:bCs/>
                <w:color w:val="auto"/>
                <w:sz w:val="24"/>
                <w:szCs w:val="24"/>
                <w:highlight w:val="none"/>
                <w:lang w:val="en-US" w:eastAsia="zh-CN"/>
              </w:rPr>
              <w:t>采用低价优先法计算，即满足招标文件要求且最后评审报价最低的供应商价格为基准价，其价格分为满分。其他供应商的价格分统一按照下列公式计算（小数点后保留两位）：报价得分=（基准价/投标报价）×30</w:t>
            </w:r>
          </w:p>
        </w:tc>
        <w:tc>
          <w:tcPr>
            <w:tcW w:w="761"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blHeader/>
          <w:jc w:val="center"/>
        </w:trPr>
        <w:tc>
          <w:tcPr>
            <w:tcW w:w="9412"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技术部分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0" w:hRule="atLeast"/>
          <w:tblHeader/>
          <w:jc w:val="center"/>
        </w:trPr>
        <w:tc>
          <w:tcPr>
            <w:tcW w:w="662" w:type="dxa"/>
            <w:tcBorders>
              <w:top w:val="single" w:color="auto" w:sz="4" w:space="0"/>
              <w:left w:val="single" w:color="auto" w:sz="4" w:space="0"/>
              <w:bottom w:val="single" w:color="auto" w:sz="4" w:space="0"/>
              <w:right w:val="single" w:color="auto" w:sz="4" w:space="0"/>
            </w:tcBorders>
            <w:noWrap w:val="0"/>
            <w:vAlign w:val="center"/>
          </w:tcPr>
          <w:p>
            <w:pP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2.1</w:t>
            </w:r>
          </w:p>
        </w:tc>
        <w:tc>
          <w:tcPr>
            <w:tcW w:w="1103" w:type="dxa"/>
            <w:vMerge w:val="restart"/>
            <w:tcBorders>
              <w:left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服务方案</w:t>
            </w:r>
          </w:p>
        </w:tc>
        <w:tc>
          <w:tcPr>
            <w:tcW w:w="6886" w:type="dxa"/>
            <w:tcBorders>
              <w:top w:val="single" w:color="auto" w:sz="4" w:space="0"/>
              <w:left w:val="single" w:color="auto" w:sz="4" w:space="0"/>
              <w:bottom w:val="single" w:color="auto" w:sz="4" w:space="0"/>
              <w:right w:val="single" w:color="auto" w:sz="4" w:space="0"/>
            </w:tcBorders>
            <w:noWrap w:val="0"/>
            <w:vAlign w:val="top"/>
          </w:tcPr>
          <w:p>
            <w:pPr>
              <w:bidi w:val="0"/>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各小区垃圾分类亭房供货方案：</w:t>
            </w:r>
          </w:p>
          <w:p>
            <w:pPr>
              <w:bidi w:val="0"/>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供应商依据本次采购涉及各小区的实际情况，提供垃圾分类亭房的等相关货物的供货方案。方案完整，可行性较强的得7分，方案完整，可行性较一般的得4分，方案不完整，可行性较差的得1分。</w:t>
            </w:r>
          </w:p>
        </w:tc>
        <w:tc>
          <w:tcPr>
            <w:tcW w:w="761"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4" w:hRule="atLeast"/>
          <w:tblHeader/>
          <w:jc w:val="center"/>
        </w:trPr>
        <w:tc>
          <w:tcPr>
            <w:tcW w:w="662" w:type="dxa"/>
            <w:tcBorders>
              <w:top w:val="single" w:color="auto" w:sz="4" w:space="0"/>
              <w:left w:val="single" w:color="auto" w:sz="4" w:space="0"/>
              <w:bottom w:val="single" w:color="auto" w:sz="4" w:space="0"/>
              <w:right w:val="single" w:color="auto" w:sz="4" w:space="0"/>
            </w:tcBorders>
            <w:noWrap w:val="0"/>
            <w:vAlign w:val="center"/>
          </w:tcPr>
          <w:p>
            <w:pPr>
              <w:rPr>
                <w:rFonts w:hint="default"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2.2</w:t>
            </w:r>
          </w:p>
        </w:tc>
        <w:tc>
          <w:tcPr>
            <w:tcW w:w="1103" w:type="dxa"/>
            <w:vMerge w:val="continue"/>
            <w:tcBorders>
              <w:left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p>
        </w:tc>
        <w:tc>
          <w:tcPr>
            <w:tcW w:w="6886" w:type="dxa"/>
            <w:tcBorders>
              <w:top w:val="single" w:color="auto" w:sz="4" w:space="0"/>
              <w:left w:val="single" w:color="auto" w:sz="4" w:space="0"/>
              <w:bottom w:val="single" w:color="auto" w:sz="4" w:space="0"/>
              <w:right w:val="single" w:color="auto" w:sz="4" w:space="0"/>
            </w:tcBorders>
            <w:noWrap w:val="0"/>
            <w:vAlign w:val="top"/>
          </w:tcPr>
          <w:p>
            <w:pPr>
              <w:bidi w:val="0"/>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各小区垃圾分类亭房点位规划及建设方案：</w:t>
            </w:r>
          </w:p>
          <w:p>
            <w:pPr>
              <w:bidi w:val="0"/>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供应商依据本次采购涉及各小区的实际情况，提供垃圾分类亭房的具体点位选址及建设规划方案。方案完全符合各小区实际，科学可行的得7分；方案相对符合小区实际，较为可行的得4分；方案可行性较低的得1分；不提供不得分。</w:t>
            </w:r>
          </w:p>
        </w:tc>
        <w:tc>
          <w:tcPr>
            <w:tcW w:w="761"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0" w:hRule="atLeast"/>
          <w:tblHeader/>
          <w:jc w:val="center"/>
        </w:trPr>
        <w:tc>
          <w:tcPr>
            <w:tcW w:w="662" w:type="dxa"/>
            <w:tcBorders>
              <w:top w:val="single" w:color="auto" w:sz="4" w:space="0"/>
              <w:left w:val="single" w:color="auto" w:sz="4" w:space="0"/>
              <w:bottom w:val="single" w:color="auto" w:sz="4" w:space="0"/>
              <w:right w:val="single" w:color="auto" w:sz="4" w:space="0"/>
            </w:tcBorders>
            <w:noWrap w:val="0"/>
            <w:vAlign w:val="center"/>
          </w:tcPr>
          <w:p>
            <w:pP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2.3</w:t>
            </w:r>
          </w:p>
        </w:tc>
        <w:tc>
          <w:tcPr>
            <w:tcW w:w="1103" w:type="dxa"/>
            <w:vMerge w:val="continue"/>
            <w:tcBorders>
              <w:left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p>
        </w:tc>
        <w:tc>
          <w:tcPr>
            <w:tcW w:w="6886" w:type="dxa"/>
            <w:tcBorders>
              <w:top w:val="single" w:color="auto" w:sz="4" w:space="0"/>
              <w:left w:val="single" w:color="auto" w:sz="4" w:space="0"/>
              <w:bottom w:val="single" w:color="auto" w:sz="4" w:space="0"/>
              <w:right w:val="single" w:color="auto" w:sz="4" w:space="0"/>
            </w:tcBorders>
            <w:noWrap w:val="0"/>
            <w:vAlign w:val="top"/>
          </w:tcPr>
          <w:p>
            <w:pPr>
              <w:bidi w:val="0"/>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各小区垃圾分类亭房设计方案：</w:t>
            </w:r>
          </w:p>
          <w:p>
            <w:pPr>
              <w:bidi w:val="0"/>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供应商提供垃圾亭、房样式结合各小区周边建筑风格，及各小区点位实际情况设计相关亭房样式，图纸样式美观、各小区布局完善合理、标识清晰，符合小区实际的得10分；图纸样式美观度一般、各小区布局不完善、标识较清晰得7分；图纸样式美观度较差、各小区布局不合理、标识清晰度一般得4分；图纸样式较简略、各小区布局不合理、无标识得1分；不提供不得分</w:t>
            </w:r>
          </w:p>
        </w:tc>
        <w:tc>
          <w:tcPr>
            <w:tcW w:w="761" w:type="dxa"/>
            <w:tcBorders>
              <w:top w:val="single" w:color="auto" w:sz="4" w:space="0"/>
              <w:left w:val="single" w:color="auto" w:sz="4" w:space="0"/>
              <w:bottom w:val="single" w:color="auto" w:sz="4" w:space="0"/>
              <w:right w:val="single" w:color="auto" w:sz="4" w:space="0"/>
            </w:tcBorders>
            <w:noWrap w:val="0"/>
            <w:vAlign w:val="center"/>
          </w:tcPr>
          <w:p>
            <w:pPr>
              <w:bidi w:val="0"/>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4" w:hRule="atLeast"/>
          <w:tblHeader/>
          <w:jc w:val="center"/>
        </w:trPr>
        <w:tc>
          <w:tcPr>
            <w:tcW w:w="662" w:type="dxa"/>
            <w:tcBorders>
              <w:top w:val="single" w:color="auto" w:sz="4" w:space="0"/>
              <w:left w:val="single" w:color="auto" w:sz="4" w:space="0"/>
              <w:bottom w:val="single" w:color="auto" w:sz="4" w:space="0"/>
              <w:right w:val="single" w:color="auto" w:sz="4" w:space="0"/>
            </w:tcBorders>
            <w:noWrap w:val="0"/>
            <w:vAlign w:val="center"/>
          </w:tcPr>
          <w:p>
            <w:pP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2.4</w:t>
            </w:r>
          </w:p>
        </w:tc>
        <w:tc>
          <w:tcPr>
            <w:tcW w:w="1103" w:type="dxa"/>
            <w:vMerge w:val="continue"/>
            <w:tcBorders>
              <w:left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rPr>
            </w:pPr>
          </w:p>
        </w:tc>
        <w:tc>
          <w:tcPr>
            <w:tcW w:w="6886" w:type="dxa"/>
            <w:tcBorders>
              <w:top w:val="single" w:color="auto" w:sz="4" w:space="0"/>
              <w:left w:val="single" w:color="auto" w:sz="4" w:space="0"/>
              <w:bottom w:val="single" w:color="auto" w:sz="4" w:space="0"/>
              <w:right w:val="single" w:color="auto" w:sz="4" w:space="0"/>
            </w:tcBorders>
            <w:noWrap w:val="0"/>
            <w:vAlign w:val="top"/>
          </w:tcPr>
          <w:p>
            <w:pPr>
              <w:bidi w:val="0"/>
              <w:rPr>
                <w:rFonts w:hint="eastAsia" w:asciiTheme="minorEastAsia" w:hAnsiTheme="minorEastAsia" w:eastAsiaTheme="minorEastAsia" w:cstheme="minorEastAsia"/>
                <w:b w:val="0"/>
                <w:bCs/>
                <w:color w:val="auto"/>
                <w:sz w:val="24"/>
                <w:szCs w:val="24"/>
                <w:highlight w:val="none"/>
                <w:lang w:eastAsia="zh-CN"/>
              </w:rPr>
            </w:pPr>
            <w:r>
              <w:rPr>
                <w:rFonts w:hint="eastAsia" w:asciiTheme="minorEastAsia" w:hAnsiTheme="minorEastAsia" w:eastAsiaTheme="minorEastAsia" w:cstheme="minorEastAsia"/>
                <w:b w:val="0"/>
                <w:bCs/>
                <w:color w:val="auto"/>
                <w:sz w:val="24"/>
                <w:szCs w:val="24"/>
                <w:highlight w:val="none"/>
              </w:rPr>
              <w:t>进度计划和各阶段进度的保证措施方案</w:t>
            </w:r>
            <w:r>
              <w:rPr>
                <w:rFonts w:hint="eastAsia" w:asciiTheme="minorEastAsia" w:hAnsiTheme="minorEastAsia" w:eastAsiaTheme="minorEastAsia" w:cstheme="minorEastAsia"/>
                <w:b w:val="0"/>
                <w:bCs/>
                <w:color w:val="auto"/>
                <w:sz w:val="24"/>
                <w:szCs w:val="24"/>
                <w:highlight w:val="none"/>
                <w:lang w:eastAsia="zh-CN"/>
              </w:rPr>
              <w:t>：</w:t>
            </w:r>
          </w:p>
          <w:p>
            <w:pPr>
              <w:bidi w:val="0"/>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rPr>
              <w:t>科学、完善、可行，进度保证措施得力</w:t>
            </w:r>
            <w:r>
              <w:rPr>
                <w:rFonts w:hint="eastAsia" w:asciiTheme="minorEastAsia" w:hAnsiTheme="minorEastAsia" w:eastAsiaTheme="minorEastAsia" w:cstheme="minorEastAsia"/>
                <w:b w:val="0"/>
                <w:bCs/>
                <w:color w:val="auto"/>
                <w:sz w:val="24"/>
                <w:szCs w:val="24"/>
                <w:highlight w:val="none"/>
                <w:lang w:val="en-US" w:eastAsia="zh-CN"/>
              </w:rPr>
              <w:t>得10分，方案良好、合理可行但针对性较强的得7分，方案表述一般、基本合理可行的的得4分，不提供不得分。</w:t>
            </w:r>
          </w:p>
        </w:tc>
        <w:tc>
          <w:tcPr>
            <w:tcW w:w="761"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tblHeader/>
          <w:jc w:val="center"/>
        </w:trPr>
        <w:tc>
          <w:tcPr>
            <w:tcW w:w="662" w:type="dxa"/>
            <w:tcBorders>
              <w:top w:val="single" w:color="auto" w:sz="4" w:space="0"/>
              <w:left w:val="single" w:color="auto" w:sz="4" w:space="0"/>
              <w:bottom w:val="single" w:color="auto" w:sz="4" w:space="0"/>
              <w:right w:val="single" w:color="auto" w:sz="4" w:space="0"/>
            </w:tcBorders>
            <w:noWrap w:val="0"/>
            <w:vAlign w:val="center"/>
          </w:tcPr>
          <w:p>
            <w:pP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2.5</w:t>
            </w:r>
          </w:p>
        </w:tc>
        <w:tc>
          <w:tcPr>
            <w:tcW w:w="1103" w:type="dxa"/>
            <w:vMerge w:val="continue"/>
            <w:tcBorders>
              <w:left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rPr>
            </w:pPr>
          </w:p>
        </w:tc>
        <w:tc>
          <w:tcPr>
            <w:tcW w:w="6886" w:type="dxa"/>
            <w:tcBorders>
              <w:top w:val="single" w:color="auto" w:sz="4" w:space="0"/>
              <w:left w:val="single" w:color="auto" w:sz="4" w:space="0"/>
              <w:bottom w:val="single" w:color="auto" w:sz="4" w:space="0"/>
              <w:right w:val="single" w:color="auto" w:sz="4" w:space="0"/>
            </w:tcBorders>
            <w:noWrap w:val="0"/>
            <w:vAlign w:val="top"/>
          </w:tcPr>
          <w:p>
            <w:pPr>
              <w:bidi w:val="0"/>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rPr>
              <w:t>交货期及质保期维修响应、售后服务方案</w:t>
            </w:r>
            <w:r>
              <w:rPr>
                <w:rFonts w:hint="eastAsia" w:asciiTheme="minorEastAsia" w:hAnsiTheme="minorEastAsia" w:eastAsiaTheme="minorEastAsia" w:cstheme="minorEastAsia"/>
                <w:b w:val="0"/>
                <w:bCs/>
                <w:color w:val="auto"/>
                <w:sz w:val="24"/>
                <w:szCs w:val="24"/>
                <w:highlight w:val="none"/>
                <w:lang w:eastAsia="zh-CN"/>
              </w:rPr>
              <w:t>：</w:t>
            </w:r>
            <w:r>
              <w:rPr>
                <w:rFonts w:hint="eastAsia" w:asciiTheme="minorEastAsia" w:hAnsiTheme="minorEastAsia" w:eastAsiaTheme="minorEastAsia" w:cstheme="minorEastAsia"/>
                <w:b w:val="0"/>
                <w:bCs/>
                <w:color w:val="auto"/>
                <w:sz w:val="24"/>
                <w:szCs w:val="24"/>
                <w:highlight w:val="none"/>
              </w:rPr>
              <w:t>针对性强、要点明确、措施得当得</w:t>
            </w:r>
            <w:r>
              <w:rPr>
                <w:rFonts w:hint="eastAsia" w:asciiTheme="minorEastAsia" w:hAnsiTheme="minorEastAsia" w:eastAsiaTheme="minorEastAsia" w:cstheme="minorEastAsia"/>
                <w:b w:val="0"/>
                <w:bCs/>
                <w:color w:val="auto"/>
                <w:sz w:val="24"/>
                <w:szCs w:val="24"/>
                <w:highlight w:val="none"/>
                <w:lang w:val="en-US" w:eastAsia="zh-CN"/>
              </w:rPr>
              <w:t>10</w:t>
            </w:r>
            <w:r>
              <w:rPr>
                <w:rFonts w:hint="eastAsia" w:asciiTheme="minorEastAsia" w:hAnsiTheme="minorEastAsia" w:eastAsiaTheme="minorEastAsia" w:cstheme="minorEastAsia"/>
                <w:b w:val="0"/>
                <w:bCs/>
                <w:color w:val="auto"/>
                <w:sz w:val="24"/>
                <w:szCs w:val="24"/>
                <w:highlight w:val="none"/>
              </w:rPr>
              <w:t>分，合理较完善得</w:t>
            </w:r>
            <w:r>
              <w:rPr>
                <w:rFonts w:hint="eastAsia" w:asciiTheme="minorEastAsia" w:hAnsiTheme="minorEastAsia" w:eastAsiaTheme="minorEastAsia" w:cstheme="minorEastAsia"/>
                <w:b w:val="0"/>
                <w:bCs/>
                <w:color w:val="auto"/>
                <w:sz w:val="24"/>
                <w:szCs w:val="24"/>
                <w:highlight w:val="none"/>
                <w:lang w:val="en-US" w:eastAsia="zh-CN"/>
              </w:rPr>
              <w:t>7</w:t>
            </w:r>
            <w:r>
              <w:rPr>
                <w:rFonts w:hint="eastAsia" w:asciiTheme="minorEastAsia" w:hAnsiTheme="minorEastAsia" w:eastAsiaTheme="minorEastAsia" w:cstheme="minorEastAsia"/>
                <w:b w:val="0"/>
                <w:bCs/>
                <w:color w:val="auto"/>
                <w:sz w:val="24"/>
                <w:szCs w:val="24"/>
                <w:highlight w:val="none"/>
              </w:rPr>
              <w:t>分，简单概况无详细说明得</w:t>
            </w:r>
            <w:r>
              <w:rPr>
                <w:rFonts w:hint="eastAsia" w:asciiTheme="minorEastAsia" w:hAnsiTheme="minorEastAsia" w:eastAsiaTheme="minorEastAsia" w:cstheme="minorEastAsia"/>
                <w:b w:val="0"/>
                <w:bCs/>
                <w:color w:val="auto"/>
                <w:sz w:val="24"/>
                <w:szCs w:val="24"/>
                <w:highlight w:val="none"/>
                <w:lang w:val="en-US" w:eastAsia="zh-CN"/>
              </w:rPr>
              <w:t>4</w:t>
            </w:r>
            <w:r>
              <w:rPr>
                <w:rFonts w:hint="eastAsia" w:asciiTheme="minorEastAsia" w:hAnsiTheme="minorEastAsia" w:eastAsiaTheme="minorEastAsia" w:cstheme="minorEastAsia"/>
                <w:b w:val="0"/>
                <w:bCs/>
                <w:color w:val="auto"/>
                <w:sz w:val="24"/>
                <w:szCs w:val="24"/>
                <w:highlight w:val="none"/>
              </w:rPr>
              <w:t>分，不提供不得分。</w:t>
            </w:r>
          </w:p>
        </w:tc>
        <w:tc>
          <w:tcPr>
            <w:tcW w:w="761" w:type="dxa"/>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tblHeader/>
          <w:jc w:val="center"/>
        </w:trPr>
        <w:tc>
          <w:tcPr>
            <w:tcW w:w="9412" w:type="dxa"/>
            <w:gridSpan w:val="4"/>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商务部分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2" w:hRule="atLeast"/>
          <w:tblHeader/>
          <w:jc w:val="center"/>
        </w:trPr>
        <w:tc>
          <w:tcPr>
            <w:tcW w:w="662" w:type="dxa"/>
            <w:tcBorders>
              <w:top w:val="single" w:color="auto" w:sz="4" w:space="0"/>
              <w:left w:val="single" w:color="auto" w:sz="4" w:space="0"/>
              <w:bottom w:val="single" w:color="auto" w:sz="4" w:space="0"/>
              <w:right w:val="single" w:color="auto" w:sz="4" w:space="0"/>
            </w:tcBorders>
            <w:noWrap w:val="0"/>
            <w:vAlign w:val="center"/>
          </w:tcPr>
          <w:p>
            <w:pP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3.1</w:t>
            </w:r>
          </w:p>
        </w:tc>
        <w:tc>
          <w:tcPr>
            <w:tcW w:w="1103" w:type="dxa"/>
            <w:tcBorders>
              <w:top w:val="single" w:color="auto" w:sz="4" w:space="0"/>
              <w:left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设备</w:t>
            </w:r>
          </w:p>
        </w:tc>
        <w:tc>
          <w:tcPr>
            <w:tcW w:w="6886" w:type="dxa"/>
            <w:tcBorders>
              <w:top w:val="single" w:color="auto" w:sz="4" w:space="0"/>
              <w:left w:val="single" w:color="auto" w:sz="4" w:space="0"/>
              <w:bottom w:val="single" w:color="auto" w:sz="4" w:space="0"/>
              <w:right w:val="single" w:color="auto" w:sz="4" w:space="0"/>
            </w:tcBorders>
            <w:noWrap w:val="0"/>
            <w:vAlign w:val="center"/>
          </w:tcPr>
          <w:p>
            <w:pPr>
              <w:bidi w:val="0"/>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rPr>
              <w:t>产品功能、性能、配置要求：</w:t>
            </w:r>
          </w:p>
          <w:p>
            <w:pPr>
              <w:bidi w:val="0"/>
              <w:rPr>
                <w:rFonts w:hint="eastAsia" w:asciiTheme="minorEastAsia" w:hAnsiTheme="minorEastAsia" w:eastAsiaTheme="minorEastAsia" w:cstheme="minorEastAsia"/>
                <w:b w:val="0"/>
                <w:bCs/>
                <w:color w:val="auto"/>
                <w:kern w:val="0"/>
                <w:sz w:val="24"/>
                <w:szCs w:val="24"/>
                <w:highlight w:val="none"/>
                <w:lang w:val="en-US" w:eastAsia="zh-CN" w:bidi="ar"/>
              </w:rPr>
            </w:pPr>
            <w:r>
              <w:rPr>
                <w:rFonts w:hint="eastAsia" w:asciiTheme="minorEastAsia" w:hAnsiTheme="minorEastAsia" w:eastAsiaTheme="minorEastAsia" w:cstheme="minorEastAsia"/>
                <w:b w:val="0"/>
                <w:bCs/>
                <w:color w:val="auto"/>
                <w:sz w:val="24"/>
                <w:szCs w:val="24"/>
                <w:highlight w:val="none"/>
              </w:rPr>
              <w:t>设备技术参数全部满足招标要求的得</w:t>
            </w:r>
            <w:r>
              <w:rPr>
                <w:rFonts w:hint="eastAsia" w:asciiTheme="minorEastAsia" w:hAnsiTheme="minorEastAsia" w:eastAsiaTheme="minorEastAsia" w:cstheme="minorEastAsia"/>
                <w:b w:val="0"/>
                <w:bCs/>
                <w:color w:val="auto"/>
                <w:sz w:val="24"/>
                <w:szCs w:val="24"/>
                <w:highlight w:val="none"/>
                <w:lang w:val="en-US" w:eastAsia="zh-CN"/>
              </w:rPr>
              <w:t>10</w:t>
            </w:r>
            <w:r>
              <w:rPr>
                <w:rFonts w:hint="eastAsia" w:asciiTheme="minorEastAsia" w:hAnsiTheme="minorEastAsia" w:eastAsiaTheme="minorEastAsia" w:cstheme="minorEastAsia"/>
                <w:b w:val="0"/>
                <w:bCs/>
                <w:color w:val="auto"/>
                <w:sz w:val="24"/>
                <w:szCs w:val="24"/>
                <w:highlight w:val="none"/>
              </w:rPr>
              <w:t>分</w:t>
            </w:r>
            <w:r>
              <w:rPr>
                <w:rFonts w:hint="eastAsia" w:asciiTheme="minorEastAsia" w:hAnsiTheme="minorEastAsia" w:eastAsiaTheme="minorEastAsia" w:cstheme="minorEastAsia"/>
                <w:b w:val="0"/>
                <w:bCs/>
                <w:color w:val="auto"/>
                <w:sz w:val="24"/>
                <w:szCs w:val="24"/>
                <w:highlight w:val="none"/>
                <w:lang w:eastAsia="zh-CN"/>
              </w:rPr>
              <w:t>，</w:t>
            </w:r>
            <w:r>
              <w:rPr>
                <w:rFonts w:hint="eastAsia" w:asciiTheme="minorEastAsia" w:hAnsiTheme="minorEastAsia" w:eastAsiaTheme="minorEastAsia" w:cstheme="minorEastAsia"/>
                <w:b w:val="0"/>
                <w:bCs/>
                <w:color w:val="auto"/>
                <w:sz w:val="24"/>
                <w:szCs w:val="24"/>
                <w:highlight w:val="none"/>
              </w:rPr>
              <w:t>有一项负偏离扣1分，扣完为止</w:t>
            </w:r>
            <w:r>
              <w:rPr>
                <w:rFonts w:hint="eastAsia" w:asciiTheme="minorEastAsia" w:hAnsiTheme="minorEastAsia" w:eastAsiaTheme="minorEastAsia" w:cstheme="minorEastAsia"/>
                <w:b w:val="0"/>
                <w:bCs/>
                <w:color w:val="auto"/>
                <w:sz w:val="24"/>
                <w:szCs w:val="24"/>
                <w:highlight w:val="none"/>
                <w:lang w:eastAsia="zh-CN"/>
              </w:rPr>
              <w:t>。</w:t>
            </w:r>
            <w:r>
              <w:rPr>
                <w:rFonts w:hint="eastAsia" w:asciiTheme="minorEastAsia" w:hAnsiTheme="minorEastAsia" w:eastAsiaTheme="minorEastAsia" w:cstheme="minorEastAsia"/>
                <w:b w:val="0"/>
                <w:bCs/>
                <w:color w:val="auto"/>
                <w:sz w:val="24"/>
                <w:szCs w:val="24"/>
                <w:highlight w:val="none"/>
                <w:lang w:val="en-US" w:eastAsia="zh-CN"/>
              </w:rPr>
              <w:t>供应商能够提供生活垃圾回收处理装置专利证书的得2分，能够提供自动分类回收垃圾箱专利证书的得3分。</w:t>
            </w:r>
          </w:p>
        </w:tc>
        <w:tc>
          <w:tcPr>
            <w:tcW w:w="761"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4" w:hRule="atLeast"/>
          <w:tblHeader/>
          <w:jc w:val="center"/>
        </w:trPr>
        <w:tc>
          <w:tcPr>
            <w:tcW w:w="662" w:type="dxa"/>
            <w:tcBorders>
              <w:top w:val="single" w:color="auto" w:sz="4" w:space="0"/>
              <w:left w:val="single" w:color="auto" w:sz="4" w:space="0"/>
              <w:bottom w:val="single" w:color="auto" w:sz="4" w:space="0"/>
              <w:right w:val="single" w:color="auto" w:sz="4" w:space="0"/>
            </w:tcBorders>
            <w:noWrap w:val="0"/>
            <w:vAlign w:val="center"/>
          </w:tcPr>
          <w:p>
            <w:pP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3.2</w:t>
            </w:r>
          </w:p>
        </w:tc>
        <w:tc>
          <w:tcPr>
            <w:tcW w:w="1103" w:type="dxa"/>
            <w:tcBorders>
              <w:top w:val="single" w:color="auto" w:sz="4" w:space="0"/>
              <w:left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人员</w:t>
            </w:r>
          </w:p>
        </w:tc>
        <w:tc>
          <w:tcPr>
            <w:tcW w:w="6886" w:type="dxa"/>
            <w:tcBorders>
              <w:top w:val="single" w:color="auto" w:sz="4" w:space="0"/>
              <w:left w:val="single" w:color="auto" w:sz="4" w:space="0"/>
              <w:bottom w:val="single" w:color="auto" w:sz="4" w:space="0"/>
              <w:right w:val="single" w:color="auto" w:sz="4" w:space="0"/>
            </w:tcBorders>
            <w:noWrap w:val="0"/>
            <w:vAlign w:val="center"/>
          </w:tcPr>
          <w:p>
            <w:pPr>
              <w:pStyle w:val="146"/>
              <w:ind w:left="0" w:leftChars="0" w:firstLine="0" w:firstLineChars="0"/>
              <w:jc w:val="both"/>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具有</w:t>
            </w:r>
            <w:r>
              <w:rPr>
                <w:rFonts w:hint="eastAsia" w:asciiTheme="minorEastAsia" w:hAnsiTheme="minorEastAsia" w:eastAsiaTheme="minorEastAsia" w:cstheme="minorEastAsia"/>
                <w:b w:val="0"/>
                <w:bCs/>
                <w:color w:val="auto"/>
                <w:sz w:val="24"/>
                <w:szCs w:val="24"/>
                <w:highlight w:val="none"/>
              </w:rPr>
              <w:t>垃圾分类或环卫</w:t>
            </w:r>
            <w:r>
              <w:rPr>
                <w:rFonts w:hint="eastAsia" w:asciiTheme="minorEastAsia" w:hAnsiTheme="minorEastAsia" w:eastAsiaTheme="minorEastAsia" w:cstheme="minorEastAsia"/>
                <w:b w:val="0"/>
                <w:bCs/>
                <w:color w:val="auto"/>
                <w:sz w:val="24"/>
                <w:szCs w:val="24"/>
                <w:highlight w:val="none"/>
                <w:lang w:val="en-US" w:eastAsia="zh-CN"/>
              </w:rPr>
              <w:t>类</w:t>
            </w:r>
            <w:r>
              <w:rPr>
                <w:rFonts w:hint="eastAsia" w:asciiTheme="minorEastAsia" w:hAnsiTheme="minorEastAsia" w:eastAsiaTheme="minorEastAsia" w:cstheme="minorEastAsia"/>
                <w:b w:val="0"/>
                <w:bCs/>
                <w:color w:val="auto"/>
                <w:sz w:val="24"/>
                <w:szCs w:val="24"/>
                <w:highlight w:val="none"/>
              </w:rPr>
              <w:t>的专业证书（</w:t>
            </w:r>
            <w:r>
              <w:rPr>
                <w:rFonts w:hint="eastAsia" w:asciiTheme="minorEastAsia" w:hAnsiTheme="minorEastAsia" w:eastAsiaTheme="minorEastAsia" w:cstheme="minorEastAsia"/>
                <w:b w:val="0"/>
                <w:bCs/>
                <w:i w:val="0"/>
                <w:color w:val="auto"/>
                <w:kern w:val="0"/>
                <w:sz w:val="24"/>
                <w:szCs w:val="24"/>
                <w:highlight w:val="none"/>
                <w:u w:val="none"/>
                <w:lang w:val="en-US" w:eastAsia="zh-CN" w:bidi="ar"/>
              </w:rPr>
              <w:t>“</w:t>
            </w:r>
            <w:r>
              <w:rPr>
                <w:rFonts w:hint="eastAsia" w:asciiTheme="minorEastAsia" w:hAnsiTheme="minorEastAsia" w:eastAsiaTheme="minorEastAsia" w:cstheme="minorEastAsia"/>
                <w:b w:val="0"/>
                <w:bCs/>
                <w:color w:val="auto"/>
                <w:sz w:val="24"/>
                <w:szCs w:val="24"/>
                <w:highlight w:val="none"/>
                <w:lang w:val="en-US" w:eastAsia="zh-CN"/>
              </w:rPr>
              <w:t>高级环卫PPP项目经理”“</w:t>
            </w:r>
            <w:r>
              <w:rPr>
                <w:rFonts w:hint="eastAsia" w:asciiTheme="minorEastAsia" w:hAnsiTheme="minorEastAsia" w:eastAsiaTheme="minorEastAsia" w:cstheme="minorEastAsia"/>
                <w:b w:val="0"/>
                <w:bCs/>
                <w:color w:val="auto"/>
                <w:sz w:val="24"/>
                <w:szCs w:val="24"/>
                <w:highlight w:val="none"/>
                <w:lang w:val="zh-CN" w:eastAsia="zh-CN"/>
              </w:rPr>
              <w:t>高级垃圾分类项目经理</w:t>
            </w:r>
            <w:r>
              <w:rPr>
                <w:rFonts w:hint="eastAsia" w:asciiTheme="minorEastAsia" w:hAnsiTheme="minorEastAsia" w:eastAsiaTheme="minorEastAsia" w:cstheme="minorEastAsia"/>
                <w:b w:val="0"/>
                <w:bCs/>
                <w:color w:val="auto"/>
                <w:sz w:val="24"/>
                <w:szCs w:val="24"/>
                <w:highlight w:val="none"/>
                <w:lang w:val="en-US" w:eastAsia="zh-CN"/>
              </w:rPr>
              <w:t>”“</w:t>
            </w:r>
            <w:r>
              <w:rPr>
                <w:rFonts w:hint="eastAsia" w:asciiTheme="minorEastAsia" w:hAnsiTheme="minorEastAsia" w:eastAsiaTheme="minorEastAsia" w:cstheme="minorEastAsia"/>
                <w:b w:val="0"/>
                <w:bCs/>
                <w:color w:val="auto"/>
                <w:sz w:val="24"/>
                <w:szCs w:val="24"/>
                <w:highlight w:val="none"/>
                <w:lang w:val="zh-CN" w:eastAsia="zh-CN"/>
              </w:rPr>
              <w:t>高级</w:t>
            </w:r>
            <w:r>
              <w:rPr>
                <w:rFonts w:hint="eastAsia" w:asciiTheme="minorEastAsia" w:hAnsiTheme="minorEastAsia" w:eastAsiaTheme="minorEastAsia" w:cstheme="minorEastAsia"/>
                <w:b w:val="0"/>
                <w:bCs/>
                <w:color w:val="auto"/>
                <w:sz w:val="24"/>
                <w:szCs w:val="24"/>
                <w:highlight w:val="none"/>
                <w:lang w:val="en-US" w:eastAsia="zh-CN"/>
              </w:rPr>
              <w:t>安全管理员”“高级售后服务管理师”资格证书</w:t>
            </w:r>
            <w:r>
              <w:rPr>
                <w:rFonts w:hint="eastAsia" w:asciiTheme="minorEastAsia" w:hAnsiTheme="minorEastAsia" w:eastAsiaTheme="minorEastAsia" w:cstheme="minorEastAsia"/>
                <w:b w:val="0"/>
                <w:bCs/>
                <w:color w:val="auto"/>
                <w:sz w:val="24"/>
                <w:szCs w:val="24"/>
                <w:highlight w:val="none"/>
              </w:rPr>
              <w:t>），</w:t>
            </w:r>
            <w:r>
              <w:rPr>
                <w:rFonts w:hint="eastAsia" w:asciiTheme="minorEastAsia" w:hAnsiTheme="minorEastAsia" w:eastAsiaTheme="minorEastAsia" w:cstheme="minorEastAsia"/>
                <w:b w:val="0"/>
                <w:bCs/>
                <w:color w:val="auto"/>
                <w:sz w:val="24"/>
                <w:szCs w:val="24"/>
                <w:highlight w:val="none"/>
                <w:lang w:val="en-US" w:eastAsia="zh-CN"/>
              </w:rPr>
              <w:t>1</w:t>
            </w:r>
            <w:r>
              <w:rPr>
                <w:rFonts w:hint="eastAsia" w:asciiTheme="minorEastAsia" w:hAnsiTheme="minorEastAsia" w:eastAsiaTheme="minorEastAsia" w:cstheme="minorEastAsia"/>
                <w:b w:val="0"/>
                <w:bCs/>
                <w:color w:val="auto"/>
                <w:sz w:val="24"/>
                <w:szCs w:val="24"/>
                <w:highlight w:val="none"/>
              </w:rPr>
              <w:t>分</w:t>
            </w:r>
            <w:r>
              <w:rPr>
                <w:rFonts w:hint="eastAsia" w:asciiTheme="minorEastAsia" w:hAnsiTheme="minorEastAsia" w:eastAsiaTheme="minorEastAsia" w:cstheme="minorEastAsia"/>
                <w:b w:val="0"/>
                <w:bCs/>
                <w:color w:val="auto"/>
                <w:sz w:val="24"/>
                <w:szCs w:val="24"/>
                <w:highlight w:val="none"/>
                <w:lang w:val="en-US" w:eastAsia="zh-CN"/>
              </w:rPr>
              <w:t>/人</w:t>
            </w:r>
            <w:r>
              <w:rPr>
                <w:rFonts w:hint="eastAsia" w:asciiTheme="minorEastAsia" w:hAnsiTheme="minorEastAsia" w:eastAsiaTheme="minorEastAsia" w:cstheme="minorEastAsia"/>
                <w:b w:val="0"/>
                <w:bCs/>
                <w:color w:val="auto"/>
                <w:sz w:val="24"/>
                <w:szCs w:val="24"/>
                <w:highlight w:val="none"/>
                <w:lang w:eastAsia="zh-CN"/>
              </w:rPr>
              <w:t>，</w:t>
            </w:r>
            <w:r>
              <w:rPr>
                <w:rFonts w:hint="eastAsia" w:asciiTheme="minorEastAsia" w:hAnsiTheme="minorEastAsia" w:eastAsiaTheme="minorEastAsia" w:cstheme="minorEastAsia"/>
                <w:b w:val="0"/>
                <w:bCs/>
                <w:color w:val="auto"/>
                <w:sz w:val="24"/>
                <w:szCs w:val="24"/>
                <w:highlight w:val="none"/>
              </w:rPr>
              <w:t>本项最多得</w:t>
            </w:r>
            <w:r>
              <w:rPr>
                <w:rFonts w:hint="eastAsia" w:asciiTheme="minorEastAsia" w:hAnsiTheme="minorEastAsia" w:eastAsiaTheme="minorEastAsia" w:cstheme="minorEastAsia"/>
                <w:b w:val="0"/>
                <w:bCs/>
                <w:color w:val="auto"/>
                <w:sz w:val="24"/>
                <w:szCs w:val="24"/>
                <w:highlight w:val="none"/>
                <w:lang w:val="en-US" w:eastAsia="zh-CN"/>
              </w:rPr>
              <w:t>4</w:t>
            </w:r>
            <w:r>
              <w:rPr>
                <w:rFonts w:hint="eastAsia" w:asciiTheme="minorEastAsia" w:hAnsiTheme="minorEastAsia" w:eastAsiaTheme="minorEastAsia" w:cstheme="minorEastAsia"/>
                <w:b w:val="0"/>
                <w:bCs/>
                <w:color w:val="auto"/>
                <w:sz w:val="24"/>
                <w:szCs w:val="24"/>
                <w:highlight w:val="none"/>
              </w:rPr>
              <w:t>分。（说明：人员</w:t>
            </w:r>
            <w:r>
              <w:rPr>
                <w:rFonts w:hint="eastAsia" w:asciiTheme="minorEastAsia" w:hAnsiTheme="minorEastAsia" w:eastAsiaTheme="minorEastAsia" w:cstheme="minorEastAsia"/>
                <w:b w:val="0"/>
                <w:bCs/>
                <w:color w:val="auto"/>
                <w:sz w:val="24"/>
                <w:szCs w:val="24"/>
                <w:highlight w:val="none"/>
                <w:lang w:val="en-US" w:eastAsia="zh-CN"/>
              </w:rPr>
              <w:t>须为拟投入人员名单内，须提供有效证书复印件加盖供应商公章装订在投标文件中，原件备查。未提供的，不得分</w:t>
            </w:r>
            <w:r>
              <w:rPr>
                <w:rFonts w:hint="eastAsia" w:asciiTheme="minorEastAsia" w:hAnsiTheme="minorEastAsia" w:eastAsiaTheme="minorEastAsia" w:cstheme="minorEastAsia"/>
                <w:b w:val="0"/>
                <w:bCs/>
                <w:color w:val="auto"/>
                <w:sz w:val="24"/>
                <w:szCs w:val="24"/>
                <w:highlight w:val="none"/>
              </w:rPr>
              <w:t>）</w:t>
            </w:r>
          </w:p>
        </w:tc>
        <w:tc>
          <w:tcPr>
            <w:tcW w:w="761"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0" w:hRule="atLeast"/>
          <w:tblHeader/>
          <w:jc w:val="center"/>
        </w:trPr>
        <w:tc>
          <w:tcPr>
            <w:tcW w:w="662" w:type="dxa"/>
            <w:tcBorders>
              <w:top w:val="single" w:color="auto" w:sz="4" w:space="0"/>
              <w:left w:val="single" w:color="auto" w:sz="4" w:space="0"/>
              <w:bottom w:val="single" w:color="auto" w:sz="4" w:space="0"/>
              <w:right w:val="single" w:color="auto" w:sz="4" w:space="0"/>
            </w:tcBorders>
            <w:noWrap w:val="0"/>
            <w:vAlign w:val="center"/>
          </w:tcPr>
          <w:p>
            <w:pP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3.3</w:t>
            </w:r>
          </w:p>
        </w:tc>
        <w:tc>
          <w:tcPr>
            <w:tcW w:w="1103" w:type="dxa"/>
            <w:tcBorders>
              <w:top w:val="single" w:color="auto" w:sz="4" w:space="0"/>
              <w:left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业绩</w:t>
            </w:r>
          </w:p>
        </w:tc>
        <w:tc>
          <w:tcPr>
            <w:tcW w:w="6886" w:type="dxa"/>
            <w:tcBorders>
              <w:top w:val="single" w:color="auto" w:sz="4" w:space="0"/>
              <w:left w:val="single" w:color="auto" w:sz="4" w:space="0"/>
              <w:bottom w:val="single" w:color="auto" w:sz="4" w:space="0"/>
              <w:right w:val="single" w:color="auto" w:sz="4" w:space="0"/>
            </w:tcBorders>
            <w:noWrap w:val="0"/>
            <w:vAlign w:val="center"/>
          </w:tcPr>
          <w:p>
            <w:pPr>
              <w:pStyle w:val="6"/>
              <w:numPr>
                <w:ilvl w:val="3"/>
                <w:numId w:val="0"/>
              </w:numPr>
              <w:ind w:leftChars="0"/>
              <w:rPr>
                <w:rFonts w:hint="eastAsia" w:asciiTheme="minorEastAsia" w:hAnsiTheme="minorEastAsia" w:eastAsiaTheme="minorEastAsia" w:cstheme="minorEastAsia"/>
                <w:b w:val="0"/>
                <w:bCs/>
                <w:sz w:val="24"/>
                <w:szCs w:val="24"/>
                <w:highlight w:val="none"/>
                <w:lang w:val="en-US" w:eastAsia="zh-CN"/>
              </w:rPr>
            </w:pPr>
            <w:r>
              <w:rPr>
                <w:rFonts w:hint="eastAsia" w:asciiTheme="minorEastAsia" w:hAnsiTheme="minorEastAsia" w:eastAsiaTheme="minorEastAsia" w:cstheme="minorEastAsia"/>
                <w:b w:val="0"/>
                <w:bCs/>
                <w:sz w:val="24"/>
                <w:szCs w:val="24"/>
                <w:highlight w:val="none"/>
                <w:lang w:val="en-US" w:eastAsia="zh-CN"/>
              </w:rPr>
              <w:t>供应商自 2017年1月 1 日以来承接过类似垃圾分类智能房（亭）供货业绩，提供一个得2分，本项最高得4分。（提供合同复印件加盖公章，时间以合同为准，提供的相关证明材料必须能反映出相关数据和内容，否则视为未提供）。</w:t>
            </w:r>
          </w:p>
        </w:tc>
        <w:tc>
          <w:tcPr>
            <w:tcW w:w="761"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5" w:hRule="atLeast"/>
          <w:tblHeader/>
          <w:jc w:val="center"/>
        </w:trPr>
        <w:tc>
          <w:tcPr>
            <w:tcW w:w="662" w:type="dxa"/>
            <w:tcBorders>
              <w:top w:val="single" w:color="auto" w:sz="4" w:space="0"/>
              <w:left w:val="single" w:color="auto" w:sz="4" w:space="0"/>
              <w:bottom w:val="single" w:color="auto" w:sz="4" w:space="0"/>
              <w:right w:val="single" w:color="auto" w:sz="4" w:space="0"/>
            </w:tcBorders>
            <w:noWrap w:val="0"/>
            <w:vAlign w:val="center"/>
          </w:tcPr>
          <w:p>
            <w:pP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3.4</w:t>
            </w:r>
          </w:p>
        </w:tc>
        <w:tc>
          <w:tcPr>
            <w:tcW w:w="1103" w:type="dxa"/>
            <w:tcBorders>
              <w:top w:val="single" w:color="auto" w:sz="4" w:space="0"/>
              <w:left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企业履约能力</w:t>
            </w:r>
          </w:p>
        </w:tc>
        <w:tc>
          <w:tcPr>
            <w:tcW w:w="6886" w:type="dxa"/>
            <w:tcBorders>
              <w:top w:val="single" w:color="auto" w:sz="4" w:space="0"/>
              <w:left w:val="single" w:color="auto" w:sz="4" w:space="0"/>
              <w:bottom w:val="single" w:color="auto" w:sz="4" w:space="0"/>
              <w:right w:val="single" w:color="auto" w:sz="4" w:space="0"/>
            </w:tcBorders>
            <w:noWrap w:val="0"/>
            <w:vAlign w:val="center"/>
          </w:tcPr>
          <w:p>
            <w:pPr>
              <w:pStyle w:val="6"/>
              <w:numPr>
                <w:ilvl w:val="0"/>
                <w:numId w:val="0"/>
              </w:numPr>
              <w:ind w:leftChars="0"/>
              <w:rPr>
                <w:rFonts w:hint="eastAsia" w:asciiTheme="minorEastAsia" w:hAnsiTheme="minorEastAsia" w:eastAsiaTheme="minorEastAsia" w:cstheme="minorEastAsia"/>
                <w:b w:val="0"/>
                <w:bCs/>
                <w:sz w:val="24"/>
                <w:szCs w:val="24"/>
                <w:highlight w:val="none"/>
                <w:lang w:val="en-US" w:eastAsia="zh-CN"/>
              </w:rPr>
            </w:pPr>
            <w:r>
              <w:rPr>
                <w:rFonts w:hint="eastAsia" w:asciiTheme="minorEastAsia" w:hAnsiTheme="minorEastAsia" w:eastAsiaTheme="minorEastAsia" w:cstheme="minorEastAsia"/>
                <w:b w:val="0"/>
                <w:bCs/>
                <w:sz w:val="24"/>
                <w:szCs w:val="24"/>
                <w:highlight w:val="none"/>
              </w:rPr>
              <w:t>20</w:t>
            </w:r>
            <w:r>
              <w:rPr>
                <w:rFonts w:hint="eastAsia" w:asciiTheme="minorEastAsia" w:hAnsiTheme="minorEastAsia" w:eastAsiaTheme="minorEastAsia" w:cstheme="minorEastAsia"/>
                <w:b w:val="0"/>
                <w:bCs/>
                <w:sz w:val="24"/>
                <w:szCs w:val="24"/>
                <w:highlight w:val="none"/>
                <w:lang w:val="en-US" w:eastAsia="zh-CN"/>
              </w:rPr>
              <w:t>19</w:t>
            </w:r>
            <w:r>
              <w:rPr>
                <w:rFonts w:hint="eastAsia" w:asciiTheme="minorEastAsia" w:hAnsiTheme="minorEastAsia" w:eastAsiaTheme="minorEastAsia" w:cstheme="minorEastAsia"/>
                <w:b w:val="0"/>
                <w:bCs/>
                <w:sz w:val="24"/>
                <w:szCs w:val="24"/>
                <w:highlight w:val="none"/>
              </w:rPr>
              <w:t>年1月以来</w:t>
            </w:r>
            <w:r>
              <w:rPr>
                <w:rFonts w:hint="eastAsia" w:asciiTheme="minorEastAsia" w:hAnsiTheme="minorEastAsia" w:eastAsiaTheme="minorEastAsia" w:cstheme="minorEastAsia"/>
                <w:b w:val="0"/>
                <w:bCs/>
                <w:sz w:val="24"/>
                <w:szCs w:val="24"/>
                <w:highlight w:val="none"/>
                <w:lang w:eastAsia="zh-CN"/>
              </w:rPr>
              <w:t>供应商</w:t>
            </w:r>
            <w:r>
              <w:rPr>
                <w:rFonts w:hint="eastAsia" w:asciiTheme="minorEastAsia" w:hAnsiTheme="minorEastAsia" w:eastAsiaTheme="minorEastAsia" w:cstheme="minorEastAsia"/>
                <w:b w:val="0"/>
                <w:bCs/>
                <w:sz w:val="24"/>
                <w:szCs w:val="24"/>
                <w:highlight w:val="none"/>
                <w:lang w:val="en-US" w:eastAsia="zh-CN"/>
              </w:rPr>
              <w:t>相关垃圾分类智能收集设施</w:t>
            </w:r>
            <w:r>
              <w:rPr>
                <w:rFonts w:hint="eastAsia" w:asciiTheme="minorEastAsia" w:hAnsiTheme="minorEastAsia" w:eastAsiaTheme="minorEastAsia" w:cstheme="minorEastAsia"/>
                <w:b w:val="0"/>
                <w:bCs/>
                <w:sz w:val="24"/>
                <w:szCs w:val="24"/>
                <w:highlight w:val="none"/>
              </w:rPr>
              <w:t>获得</w:t>
            </w:r>
            <w:r>
              <w:rPr>
                <w:rFonts w:hint="eastAsia" w:asciiTheme="minorEastAsia" w:hAnsiTheme="minorEastAsia" w:eastAsiaTheme="minorEastAsia" w:cstheme="minorEastAsia"/>
                <w:b w:val="0"/>
                <w:bCs/>
                <w:sz w:val="24"/>
                <w:szCs w:val="24"/>
                <w:highlight w:val="none"/>
                <w:lang w:val="en-US" w:eastAsia="zh-CN"/>
              </w:rPr>
              <w:t>年度创新项目</w:t>
            </w:r>
            <w:r>
              <w:rPr>
                <w:rFonts w:hint="eastAsia" w:asciiTheme="minorEastAsia" w:hAnsiTheme="minorEastAsia" w:eastAsiaTheme="minorEastAsia" w:cstheme="minorEastAsia"/>
                <w:b w:val="0"/>
                <w:bCs/>
                <w:sz w:val="24"/>
                <w:szCs w:val="24"/>
                <w:highlight w:val="none"/>
              </w:rPr>
              <w:t xml:space="preserve">的得 </w:t>
            </w:r>
            <w:r>
              <w:rPr>
                <w:rFonts w:hint="eastAsia" w:asciiTheme="minorEastAsia" w:hAnsiTheme="minorEastAsia" w:eastAsiaTheme="minorEastAsia" w:cstheme="minorEastAsia"/>
                <w:b w:val="0"/>
                <w:bCs/>
                <w:sz w:val="24"/>
                <w:szCs w:val="24"/>
                <w:highlight w:val="none"/>
                <w:lang w:val="en-US" w:eastAsia="zh-CN"/>
              </w:rPr>
              <w:t>3</w:t>
            </w:r>
            <w:r>
              <w:rPr>
                <w:rFonts w:hint="eastAsia" w:asciiTheme="minorEastAsia" w:hAnsiTheme="minorEastAsia" w:eastAsiaTheme="minorEastAsia" w:cstheme="minorEastAsia"/>
                <w:b w:val="0"/>
                <w:bCs/>
                <w:sz w:val="24"/>
                <w:szCs w:val="24"/>
                <w:highlight w:val="none"/>
              </w:rPr>
              <w:t>分。（投标文件中需提供相关证明文件的复印件）</w:t>
            </w:r>
          </w:p>
        </w:tc>
        <w:tc>
          <w:tcPr>
            <w:tcW w:w="761"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tblHeader/>
          <w:jc w:val="center"/>
        </w:trPr>
        <w:tc>
          <w:tcPr>
            <w:tcW w:w="8651"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rPr>
              <w:t>合计</w:t>
            </w:r>
          </w:p>
        </w:tc>
        <w:tc>
          <w:tcPr>
            <w:tcW w:w="761"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tblHeader/>
          <w:jc w:val="center"/>
        </w:trPr>
        <w:tc>
          <w:tcPr>
            <w:tcW w:w="662" w:type="dxa"/>
            <w:tcBorders>
              <w:top w:val="single" w:color="auto" w:sz="4" w:space="0"/>
              <w:left w:val="single" w:color="auto" w:sz="4" w:space="0"/>
              <w:bottom w:val="single" w:color="auto" w:sz="4" w:space="0"/>
              <w:right w:val="single" w:color="auto" w:sz="4" w:space="0"/>
            </w:tcBorders>
            <w:noWrap w:val="0"/>
            <w:vAlign w:val="center"/>
          </w:tcPr>
          <w:p>
            <w:pPr>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rPr>
              <w:t>4.1</w:t>
            </w:r>
          </w:p>
        </w:tc>
        <w:tc>
          <w:tcPr>
            <w:tcW w:w="1103" w:type="dxa"/>
            <w:tcBorders>
              <w:left w:val="single" w:color="auto" w:sz="4" w:space="0"/>
              <w:right w:val="single" w:color="auto" w:sz="4" w:space="0"/>
            </w:tcBorders>
            <w:noWrap w:val="0"/>
            <w:vAlign w:val="center"/>
          </w:tcPr>
          <w:p>
            <w:pPr>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rPr>
              <w:t>信用指数</w:t>
            </w:r>
          </w:p>
        </w:tc>
        <w:tc>
          <w:tcPr>
            <w:tcW w:w="6886" w:type="dxa"/>
            <w:tcBorders>
              <w:top w:val="single" w:color="auto" w:sz="4" w:space="0"/>
              <w:left w:val="single" w:color="auto" w:sz="4" w:space="0"/>
              <w:bottom w:val="single" w:color="auto" w:sz="4" w:space="0"/>
              <w:right w:val="single" w:color="auto" w:sz="4" w:space="0"/>
            </w:tcBorders>
            <w:noWrap w:val="0"/>
            <w:vAlign w:val="center"/>
          </w:tcPr>
          <w:p>
            <w:pPr>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rPr>
              <w:t xml:space="preserve">三星级的加1分，四星级的加2分，五星级的加3分；被评为 </w:t>
            </w:r>
          </w:p>
          <w:p>
            <w:pPr>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rPr>
              <w:t xml:space="preserve">南京市政府采购“重诚信政府采购供应商”的加5分 </w:t>
            </w:r>
          </w:p>
        </w:tc>
        <w:tc>
          <w:tcPr>
            <w:tcW w:w="761"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2" w:hRule="atLeast"/>
          <w:tblHeader/>
          <w:jc w:val="center"/>
        </w:trPr>
        <w:tc>
          <w:tcPr>
            <w:tcW w:w="662" w:type="dxa"/>
            <w:tcBorders>
              <w:top w:val="single" w:color="auto" w:sz="4" w:space="0"/>
              <w:left w:val="single" w:color="auto" w:sz="4" w:space="0"/>
              <w:bottom w:val="single" w:color="auto" w:sz="4" w:space="0"/>
              <w:right w:val="single" w:color="auto" w:sz="4" w:space="0"/>
            </w:tcBorders>
            <w:noWrap w:val="0"/>
            <w:vAlign w:val="center"/>
          </w:tcPr>
          <w:p>
            <w:pPr>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rPr>
              <w:t>4.2</w:t>
            </w:r>
          </w:p>
        </w:tc>
        <w:tc>
          <w:tcPr>
            <w:tcW w:w="1103" w:type="dxa"/>
            <w:tcBorders>
              <w:left w:val="single" w:color="auto" w:sz="4" w:space="0"/>
              <w:right w:val="single" w:color="auto" w:sz="4" w:space="0"/>
            </w:tcBorders>
            <w:noWrap w:val="0"/>
            <w:vAlign w:val="center"/>
          </w:tcPr>
          <w:p>
            <w:pPr>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rPr>
              <w:t>诚信指数</w:t>
            </w:r>
          </w:p>
        </w:tc>
        <w:tc>
          <w:tcPr>
            <w:tcW w:w="6886" w:type="dxa"/>
            <w:tcBorders>
              <w:top w:val="single" w:color="auto" w:sz="4" w:space="0"/>
              <w:left w:val="single" w:color="auto" w:sz="4" w:space="0"/>
              <w:bottom w:val="single" w:color="auto" w:sz="4" w:space="0"/>
              <w:right w:val="single" w:color="auto" w:sz="4" w:space="0"/>
            </w:tcBorders>
            <w:noWrap w:val="0"/>
            <w:vAlign w:val="center"/>
          </w:tcPr>
          <w:p>
            <w:pPr>
              <w:rPr>
                <w:rFonts w:hint="eastAsia" w:asciiTheme="minorEastAsia" w:hAnsiTheme="minorEastAsia" w:eastAsiaTheme="minorEastAsia" w:cstheme="minorEastAsia"/>
                <w:b w:val="0"/>
                <w:bCs/>
                <w:color w:val="auto"/>
                <w:sz w:val="24"/>
                <w:szCs w:val="24"/>
                <w:highlight w:val="none"/>
              </w:rPr>
            </w:pPr>
            <w:r>
              <w:rPr>
                <w:rFonts w:hint="eastAsia" w:asciiTheme="minorEastAsia" w:hAnsiTheme="minorEastAsia" w:eastAsiaTheme="minorEastAsia" w:cstheme="minorEastAsia"/>
                <w:b w:val="0"/>
                <w:bCs/>
                <w:color w:val="auto"/>
                <w:sz w:val="24"/>
                <w:szCs w:val="24"/>
                <w:highlight w:val="none"/>
              </w:rPr>
              <w:t>诚信指数在40-30分的扣2分；诚信指数在29-20分的扣3分；诚信指数在19-10分的扣4分；诚信指数在9分以下的扣10 分。</w:t>
            </w:r>
          </w:p>
        </w:tc>
        <w:tc>
          <w:tcPr>
            <w:tcW w:w="761" w:type="dxa"/>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Theme="minorEastAsia" w:hAnsiTheme="minorEastAsia" w:eastAsiaTheme="minorEastAsia" w:cstheme="minorEastAsia"/>
                <w:b w:val="0"/>
                <w:bCs/>
                <w:color w:val="auto"/>
                <w:sz w:val="24"/>
                <w:szCs w:val="24"/>
                <w:highlight w:val="none"/>
                <w:lang w:val="en-US" w:eastAsia="zh-CN"/>
              </w:rPr>
            </w:pPr>
            <w:r>
              <w:rPr>
                <w:rFonts w:hint="eastAsia" w:asciiTheme="minorEastAsia" w:hAnsiTheme="minorEastAsia" w:eastAsiaTheme="minorEastAsia" w:cstheme="minorEastAsia"/>
                <w:b w:val="0"/>
                <w:bCs/>
                <w:color w:val="auto"/>
                <w:sz w:val="24"/>
                <w:szCs w:val="24"/>
                <w:highlight w:val="none"/>
                <w:lang w:val="en-US" w:eastAsia="zh-CN"/>
              </w:rPr>
              <w:t>-10</w:t>
            </w:r>
          </w:p>
        </w:tc>
      </w:tr>
      <w:bookmarkEnd w:id="9"/>
      <w:bookmarkEnd w:id="10"/>
      <w:bookmarkEnd w:id="11"/>
    </w:tbl>
    <w:p>
      <w:pPr>
        <w:spacing w:line="360" w:lineRule="auto"/>
        <w:ind w:firstLine="442" w:firstLineChars="200"/>
        <w:rPr>
          <w:rFonts w:ascii="Arial" w:hAnsi="Arial" w:cs="Arial"/>
          <w:b/>
          <w:sz w:val="22"/>
          <w:szCs w:val="28"/>
          <w:highlight w:val="none"/>
        </w:rPr>
      </w:pPr>
    </w:p>
    <w:p>
      <w:pPr>
        <w:widowControl/>
        <w:spacing w:line="360" w:lineRule="auto"/>
        <w:jc w:val="left"/>
        <w:rPr>
          <w:rFonts w:ascii="Arial" w:hAnsi="Arial" w:cs="Arial"/>
          <w:b/>
          <w:bCs/>
          <w:kern w:val="0"/>
          <w:sz w:val="32"/>
          <w:szCs w:val="44"/>
          <w:highlight w:val="none"/>
        </w:rPr>
      </w:pPr>
      <w:r>
        <w:rPr>
          <w:rFonts w:ascii="Arial" w:hAnsi="Arial" w:cs="Arial"/>
          <w:kern w:val="0"/>
          <w:highlight w:val="none"/>
        </w:rPr>
        <w:br w:type="page"/>
      </w:r>
    </w:p>
    <w:p>
      <w:pPr>
        <w:pStyle w:val="3"/>
        <w:numPr>
          <w:ilvl w:val="0"/>
          <w:numId w:val="4"/>
        </w:numPr>
        <w:rPr>
          <w:rFonts w:hint="default" w:eastAsia="宋体"/>
          <w:highlight w:val="none"/>
          <w:lang w:val="en-US" w:eastAsia="zh-CN"/>
        </w:rPr>
      </w:pPr>
      <w:bookmarkStart w:id="12" w:name="_Toc26083"/>
      <w:r>
        <w:rPr>
          <w:rFonts w:ascii="Arial" w:hAnsi="Arial" w:cs="Arial"/>
          <w:kern w:val="0"/>
          <w:highlight w:val="none"/>
        </w:rPr>
        <w:t>采购需求</w:t>
      </w:r>
      <w:bookmarkEnd w:id="12"/>
      <w:bookmarkStart w:id="13" w:name="_Toc481057147"/>
    </w:p>
    <w:p>
      <w:pPr>
        <w:rPr>
          <w:rFonts w:hint="default" w:eastAsia="宋体"/>
          <w:highlight w:val="none"/>
          <w:lang w:val="en-US" w:eastAsia="zh-CN"/>
        </w:rPr>
      </w:pPr>
      <w:r>
        <w:rPr>
          <w:rFonts w:hint="eastAsia"/>
          <w:b/>
          <w:bCs/>
          <w:sz w:val="24"/>
          <w:szCs w:val="24"/>
          <w:highlight w:val="none"/>
          <w:lang w:val="en-US" w:eastAsia="zh-CN"/>
        </w:rPr>
        <w:t>一、采购需求表</w:t>
      </w:r>
    </w:p>
    <w:tbl>
      <w:tblPr>
        <w:tblStyle w:val="43"/>
        <w:tblW w:w="5000" w:type="pct"/>
        <w:tblInd w:w="0" w:type="dxa"/>
        <w:shd w:val="clear" w:color="auto" w:fill="auto"/>
        <w:tblLayout w:type="autofit"/>
        <w:tblCellMar>
          <w:top w:w="0" w:type="dxa"/>
          <w:left w:w="0" w:type="dxa"/>
          <w:bottom w:w="0" w:type="dxa"/>
          <w:right w:w="0" w:type="dxa"/>
        </w:tblCellMar>
      </w:tblPr>
      <w:tblGrid>
        <w:gridCol w:w="468"/>
        <w:gridCol w:w="1351"/>
        <w:gridCol w:w="468"/>
        <w:gridCol w:w="912"/>
        <w:gridCol w:w="912"/>
        <w:gridCol w:w="750"/>
        <w:gridCol w:w="468"/>
        <w:gridCol w:w="912"/>
        <w:gridCol w:w="913"/>
        <w:gridCol w:w="763"/>
        <w:gridCol w:w="613"/>
      </w:tblGrid>
      <w:tr>
        <w:tblPrEx>
          <w:tblCellMar>
            <w:top w:w="0" w:type="dxa"/>
            <w:left w:w="0" w:type="dxa"/>
            <w:bottom w:w="0" w:type="dxa"/>
            <w:right w:w="0" w:type="dxa"/>
          </w:tblCellMar>
        </w:tblPrEx>
        <w:trPr>
          <w:trHeight w:val="348" w:hRule="atLeast"/>
        </w:trPr>
        <w:tc>
          <w:tcPr>
            <w:tcW w:w="5000" w:type="pct"/>
            <w:gridSpan w:val="11"/>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highlight w:val="none"/>
                <w:u w:val="none"/>
              </w:rPr>
            </w:pPr>
            <w:r>
              <w:rPr>
                <w:rFonts w:hint="eastAsia" w:ascii="宋体" w:hAnsi="宋体" w:eastAsia="宋体" w:cs="宋体"/>
                <w:b/>
                <w:i w:val="0"/>
                <w:color w:val="000000"/>
                <w:kern w:val="0"/>
                <w:sz w:val="28"/>
                <w:szCs w:val="28"/>
                <w:highlight w:val="none"/>
                <w:u w:val="none"/>
                <w:lang w:val="en-US" w:eastAsia="zh-CN" w:bidi="ar"/>
              </w:rPr>
              <w:t>南京市建邺区兴隆街道居民小区垃圾分类集中投放点建设项目标段一</w:t>
            </w:r>
          </w:p>
        </w:tc>
      </w:tr>
      <w:tr>
        <w:tblPrEx>
          <w:shd w:val="clear" w:color="auto" w:fill="auto"/>
          <w:tblCellMar>
            <w:top w:w="0" w:type="dxa"/>
            <w:left w:w="0" w:type="dxa"/>
            <w:bottom w:w="0" w:type="dxa"/>
            <w:right w:w="0" w:type="dxa"/>
          </w:tblCellMar>
        </w:tblPrEx>
        <w:trPr>
          <w:trHeight w:val="312" w:hRule="atLeast"/>
        </w:trPr>
        <w:tc>
          <w:tcPr>
            <w:tcW w:w="265" w:type="pct"/>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序号</w:t>
            </w:r>
          </w:p>
        </w:tc>
        <w:tc>
          <w:tcPr>
            <w:tcW w:w="769" w:type="pct"/>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小区</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一类（房）</w:t>
            </w:r>
          </w:p>
        </w:tc>
        <w:tc>
          <w:tcPr>
            <w:tcW w:w="519" w:type="pct"/>
            <w:vMerge w:val="restart"/>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房的面积</w:t>
            </w:r>
          </w:p>
        </w:tc>
        <w:tc>
          <w:tcPr>
            <w:tcW w:w="480" w:type="pct"/>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单价元/平方</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二类（亭）</w:t>
            </w:r>
          </w:p>
        </w:tc>
        <w:tc>
          <w:tcPr>
            <w:tcW w:w="519" w:type="pct"/>
            <w:vMerge w:val="restart"/>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亭的面积</w:t>
            </w:r>
          </w:p>
        </w:tc>
        <w:tc>
          <w:tcPr>
            <w:tcW w:w="488" w:type="pct"/>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单价元/平方</w:t>
            </w:r>
          </w:p>
        </w:tc>
        <w:tc>
          <w:tcPr>
            <w:tcW w:w="388" w:type="pct"/>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亭房合计</w:t>
            </w:r>
          </w:p>
        </w:tc>
      </w:tr>
      <w:tr>
        <w:tblPrEx>
          <w:tblCellMar>
            <w:top w:w="0" w:type="dxa"/>
            <w:left w:w="0" w:type="dxa"/>
            <w:bottom w:w="0" w:type="dxa"/>
            <w:right w:w="0" w:type="dxa"/>
          </w:tblCellMar>
        </w:tblPrEx>
        <w:trPr>
          <w:trHeight w:val="375" w:hRule="atLeast"/>
        </w:trPr>
        <w:tc>
          <w:tcPr>
            <w:tcW w:w="265" w:type="pct"/>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769" w:type="pct"/>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数量</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单个面积</w:t>
            </w:r>
          </w:p>
        </w:tc>
        <w:tc>
          <w:tcPr>
            <w:tcW w:w="519" w:type="pct"/>
            <w:vMerge w:val="continue"/>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480" w:type="pct"/>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数量</w:t>
            </w:r>
          </w:p>
        </w:tc>
        <w:tc>
          <w:tcPr>
            <w:tcW w:w="519" w:type="pct"/>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单个面积</w:t>
            </w:r>
          </w:p>
        </w:tc>
        <w:tc>
          <w:tcPr>
            <w:tcW w:w="519" w:type="pct"/>
            <w:vMerge w:val="continue"/>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488" w:type="pct"/>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r>
      <w:tr>
        <w:tblPrEx>
          <w:shd w:val="clear" w:color="auto" w:fill="auto"/>
          <w:tblCellMar>
            <w:top w:w="0" w:type="dxa"/>
            <w:left w:w="0" w:type="dxa"/>
            <w:bottom w:w="0" w:type="dxa"/>
            <w:right w:w="0" w:type="dxa"/>
          </w:tblCellMar>
        </w:tblPrEx>
        <w:trPr>
          <w:trHeight w:val="375" w:hRule="atLeast"/>
        </w:trPr>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76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万达西地</w:t>
            </w: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4</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80</w:t>
            </w:r>
          </w:p>
        </w:tc>
        <w:tc>
          <w:tcPr>
            <w:tcW w:w="480"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5</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75</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r>
      <w:tr>
        <w:tblPrEx>
          <w:tblCellMar>
            <w:top w:w="0" w:type="dxa"/>
            <w:left w:w="0" w:type="dxa"/>
            <w:bottom w:w="0" w:type="dxa"/>
            <w:right w:w="0" w:type="dxa"/>
          </w:tblCellMar>
        </w:tblPrEx>
        <w:trPr>
          <w:trHeight w:val="375" w:hRule="atLeast"/>
        </w:trPr>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w:t>
            </w:r>
          </w:p>
        </w:tc>
        <w:tc>
          <w:tcPr>
            <w:tcW w:w="76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精金花园</w:t>
            </w: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40</w:t>
            </w:r>
          </w:p>
        </w:tc>
        <w:tc>
          <w:tcPr>
            <w:tcW w:w="480"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12</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180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r>
      <w:tr>
        <w:tblPrEx>
          <w:tblCellMar>
            <w:top w:w="0" w:type="dxa"/>
            <w:left w:w="0" w:type="dxa"/>
            <w:bottom w:w="0" w:type="dxa"/>
            <w:right w:w="0" w:type="dxa"/>
          </w:tblCellMar>
        </w:tblPrEx>
        <w:trPr>
          <w:trHeight w:val="375" w:hRule="atLeast"/>
        </w:trPr>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3</w:t>
            </w:r>
          </w:p>
        </w:tc>
        <w:tc>
          <w:tcPr>
            <w:tcW w:w="76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涵碧楼</w:t>
            </w: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480"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r>
      <w:tr>
        <w:tblPrEx>
          <w:shd w:val="clear" w:color="auto" w:fill="auto"/>
          <w:tblCellMar>
            <w:top w:w="0" w:type="dxa"/>
            <w:left w:w="0" w:type="dxa"/>
            <w:bottom w:w="0" w:type="dxa"/>
            <w:right w:w="0" w:type="dxa"/>
          </w:tblCellMar>
        </w:tblPrEx>
        <w:trPr>
          <w:trHeight w:val="375" w:hRule="atLeast"/>
        </w:trPr>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4</w:t>
            </w:r>
          </w:p>
        </w:tc>
        <w:tc>
          <w:tcPr>
            <w:tcW w:w="76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cs="宋体"/>
                <w:i w:val="0"/>
                <w:color w:val="000000"/>
                <w:kern w:val="0"/>
                <w:sz w:val="24"/>
                <w:szCs w:val="24"/>
                <w:highlight w:val="none"/>
                <w:u w:val="none"/>
                <w:lang w:val="en-US" w:eastAsia="zh-CN" w:bidi="ar"/>
              </w:rPr>
              <w:t>紫鑫</w:t>
            </w:r>
            <w:r>
              <w:rPr>
                <w:rFonts w:hint="eastAsia" w:ascii="宋体" w:hAnsi="宋体" w:eastAsia="宋体" w:cs="宋体"/>
                <w:i w:val="0"/>
                <w:color w:val="000000"/>
                <w:kern w:val="0"/>
                <w:sz w:val="24"/>
                <w:szCs w:val="24"/>
                <w:highlight w:val="none"/>
                <w:u w:val="none"/>
                <w:lang w:val="en-US" w:eastAsia="zh-CN" w:bidi="ar"/>
              </w:rPr>
              <w:t>中华广场</w:t>
            </w: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480"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4</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60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r>
      <w:tr>
        <w:tblPrEx>
          <w:tblCellMar>
            <w:top w:w="0" w:type="dxa"/>
            <w:left w:w="0" w:type="dxa"/>
            <w:bottom w:w="0" w:type="dxa"/>
            <w:right w:w="0" w:type="dxa"/>
          </w:tblCellMar>
        </w:tblPrEx>
        <w:trPr>
          <w:trHeight w:val="375" w:hRule="atLeast"/>
        </w:trPr>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5</w:t>
            </w:r>
          </w:p>
        </w:tc>
        <w:tc>
          <w:tcPr>
            <w:tcW w:w="76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丹桂园</w:t>
            </w: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480"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30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r>
      <w:tr>
        <w:tblPrEx>
          <w:tblCellMar>
            <w:top w:w="0" w:type="dxa"/>
            <w:left w:w="0" w:type="dxa"/>
            <w:bottom w:w="0" w:type="dxa"/>
            <w:right w:w="0" w:type="dxa"/>
          </w:tblCellMar>
        </w:tblPrEx>
        <w:trPr>
          <w:trHeight w:val="375" w:hRule="atLeast"/>
        </w:trPr>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6</w:t>
            </w:r>
          </w:p>
        </w:tc>
        <w:tc>
          <w:tcPr>
            <w:tcW w:w="76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印长江</w:t>
            </w: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480"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r>
      <w:tr>
        <w:tblPrEx>
          <w:shd w:val="clear" w:color="auto" w:fill="auto"/>
          <w:tblCellMar>
            <w:top w:w="0" w:type="dxa"/>
            <w:left w:w="0" w:type="dxa"/>
            <w:bottom w:w="0" w:type="dxa"/>
            <w:right w:w="0" w:type="dxa"/>
          </w:tblCellMar>
        </w:tblPrEx>
        <w:trPr>
          <w:trHeight w:val="375" w:hRule="atLeast"/>
        </w:trPr>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7</w:t>
            </w:r>
          </w:p>
        </w:tc>
        <w:tc>
          <w:tcPr>
            <w:tcW w:w="76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碧瑶花园三期</w:t>
            </w: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480"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30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r>
      <w:tr>
        <w:tblPrEx>
          <w:shd w:val="clear" w:color="auto" w:fill="auto"/>
          <w:tblCellMar>
            <w:top w:w="0" w:type="dxa"/>
            <w:left w:w="0" w:type="dxa"/>
            <w:bottom w:w="0" w:type="dxa"/>
            <w:right w:w="0" w:type="dxa"/>
          </w:tblCellMar>
        </w:tblPrEx>
        <w:trPr>
          <w:trHeight w:val="375" w:hRule="atLeast"/>
        </w:trPr>
        <w:tc>
          <w:tcPr>
            <w:tcW w:w="1035" w:type="pct"/>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一标段合计</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9（房）</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180</w:t>
            </w:r>
          </w:p>
        </w:tc>
        <w:tc>
          <w:tcPr>
            <w:tcW w:w="480"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27（亭）</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405</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r>
    </w:tbl>
    <w:p>
      <w:pPr>
        <w:rPr>
          <w:rFonts w:hint="default"/>
          <w:highlight w:val="none"/>
          <w:lang w:val="en-US" w:eastAsia="zh-CN"/>
        </w:rPr>
      </w:pPr>
    </w:p>
    <w:tbl>
      <w:tblPr>
        <w:tblStyle w:val="43"/>
        <w:tblW w:w="5000" w:type="pct"/>
        <w:tblInd w:w="0" w:type="dxa"/>
        <w:shd w:val="clear" w:color="auto" w:fill="auto"/>
        <w:tblLayout w:type="autofit"/>
        <w:tblCellMar>
          <w:top w:w="0" w:type="dxa"/>
          <w:left w:w="0" w:type="dxa"/>
          <w:bottom w:w="0" w:type="dxa"/>
          <w:right w:w="0" w:type="dxa"/>
        </w:tblCellMar>
      </w:tblPr>
      <w:tblGrid>
        <w:gridCol w:w="468"/>
        <w:gridCol w:w="1351"/>
        <w:gridCol w:w="468"/>
        <w:gridCol w:w="912"/>
        <w:gridCol w:w="912"/>
        <w:gridCol w:w="750"/>
        <w:gridCol w:w="468"/>
        <w:gridCol w:w="912"/>
        <w:gridCol w:w="913"/>
        <w:gridCol w:w="763"/>
        <w:gridCol w:w="613"/>
      </w:tblGrid>
      <w:tr>
        <w:tblPrEx>
          <w:tblCellMar>
            <w:top w:w="0" w:type="dxa"/>
            <w:left w:w="0" w:type="dxa"/>
            <w:bottom w:w="0" w:type="dxa"/>
            <w:right w:w="0" w:type="dxa"/>
          </w:tblCellMar>
        </w:tblPrEx>
        <w:trPr>
          <w:trHeight w:val="540" w:hRule="atLeast"/>
        </w:trPr>
        <w:tc>
          <w:tcPr>
            <w:tcW w:w="5000" w:type="pct"/>
            <w:gridSpan w:val="11"/>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highlight w:val="none"/>
                <w:u w:val="none"/>
              </w:rPr>
            </w:pPr>
            <w:r>
              <w:rPr>
                <w:rFonts w:hint="eastAsia" w:ascii="宋体" w:hAnsi="宋体" w:eastAsia="宋体" w:cs="宋体"/>
                <w:b/>
                <w:i w:val="0"/>
                <w:color w:val="000000"/>
                <w:kern w:val="0"/>
                <w:sz w:val="28"/>
                <w:szCs w:val="28"/>
                <w:highlight w:val="none"/>
                <w:u w:val="none"/>
                <w:lang w:val="en-US" w:eastAsia="zh-CN" w:bidi="ar"/>
              </w:rPr>
              <w:t>南京市建邺区兴隆街道居民小区垃圾分类集中投放点建设项目标段二</w:t>
            </w:r>
          </w:p>
        </w:tc>
      </w:tr>
      <w:tr>
        <w:tblPrEx>
          <w:shd w:val="clear" w:color="auto" w:fill="auto"/>
          <w:tblCellMar>
            <w:top w:w="0" w:type="dxa"/>
            <w:left w:w="0" w:type="dxa"/>
            <w:bottom w:w="0" w:type="dxa"/>
            <w:right w:w="0" w:type="dxa"/>
          </w:tblCellMar>
        </w:tblPrEx>
        <w:trPr>
          <w:trHeight w:val="312" w:hRule="atLeast"/>
        </w:trPr>
        <w:tc>
          <w:tcPr>
            <w:tcW w:w="265" w:type="pct"/>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序号</w:t>
            </w:r>
          </w:p>
        </w:tc>
        <w:tc>
          <w:tcPr>
            <w:tcW w:w="769" w:type="pct"/>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小区</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一类（房）</w:t>
            </w:r>
          </w:p>
        </w:tc>
        <w:tc>
          <w:tcPr>
            <w:tcW w:w="519" w:type="pct"/>
            <w:vMerge w:val="restart"/>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房的面积</w:t>
            </w:r>
          </w:p>
        </w:tc>
        <w:tc>
          <w:tcPr>
            <w:tcW w:w="480" w:type="pct"/>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单价元/平方</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二类（亭）</w:t>
            </w:r>
          </w:p>
        </w:tc>
        <w:tc>
          <w:tcPr>
            <w:tcW w:w="519" w:type="pct"/>
            <w:vMerge w:val="restart"/>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亭的面积</w:t>
            </w:r>
          </w:p>
        </w:tc>
        <w:tc>
          <w:tcPr>
            <w:tcW w:w="488" w:type="pct"/>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单价元/平方</w:t>
            </w:r>
          </w:p>
        </w:tc>
        <w:tc>
          <w:tcPr>
            <w:tcW w:w="388" w:type="pct"/>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亭房合计</w:t>
            </w:r>
          </w:p>
        </w:tc>
      </w:tr>
      <w:tr>
        <w:tblPrEx>
          <w:shd w:val="clear" w:color="auto" w:fill="auto"/>
          <w:tblCellMar>
            <w:top w:w="0" w:type="dxa"/>
            <w:left w:w="0" w:type="dxa"/>
            <w:bottom w:w="0" w:type="dxa"/>
            <w:right w:w="0" w:type="dxa"/>
          </w:tblCellMar>
        </w:tblPrEx>
        <w:trPr>
          <w:trHeight w:val="405" w:hRule="atLeast"/>
        </w:trPr>
        <w:tc>
          <w:tcPr>
            <w:tcW w:w="265" w:type="pct"/>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769" w:type="pct"/>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数量</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单个面积</w:t>
            </w:r>
          </w:p>
        </w:tc>
        <w:tc>
          <w:tcPr>
            <w:tcW w:w="519" w:type="pct"/>
            <w:vMerge w:val="continue"/>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480" w:type="pct"/>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数量</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单个面积</w:t>
            </w:r>
          </w:p>
        </w:tc>
        <w:tc>
          <w:tcPr>
            <w:tcW w:w="519" w:type="pct"/>
            <w:vMerge w:val="continue"/>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488" w:type="pct"/>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388" w:type="pct"/>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r>
      <w:tr>
        <w:tblPrEx>
          <w:shd w:val="clear" w:color="auto" w:fill="auto"/>
          <w:tblCellMar>
            <w:top w:w="0" w:type="dxa"/>
            <w:left w:w="0" w:type="dxa"/>
            <w:bottom w:w="0" w:type="dxa"/>
            <w:right w:w="0" w:type="dxa"/>
          </w:tblCellMar>
        </w:tblPrEx>
        <w:trPr>
          <w:trHeight w:val="375" w:hRule="atLeast"/>
        </w:trPr>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76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莱蒙水榭春天</w:t>
            </w: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480"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5</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75</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p>
        </w:tc>
      </w:tr>
      <w:tr>
        <w:tblPrEx>
          <w:shd w:val="clear" w:color="auto" w:fill="auto"/>
          <w:tblCellMar>
            <w:top w:w="0" w:type="dxa"/>
            <w:left w:w="0" w:type="dxa"/>
            <w:bottom w:w="0" w:type="dxa"/>
            <w:right w:w="0" w:type="dxa"/>
          </w:tblCellMar>
        </w:tblPrEx>
        <w:trPr>
          <w:trHeight w:val="375" w:hRule="atLeast"/>
        </w:trPr>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w:t>
            </w:r>
          </w:p>
        </w:tc>
        <w:tc>
          <w:tcPr>
            <w:tcW w:w="76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星雨华府</w:t>
            </w: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3</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60</w:t>
            </w:r>
          </w:p>
        </w:tc>
        <w:tc>
          <w:tcPr>
            <w:tcW w:w="480"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8</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120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p>
        </w:tc>
      </w:tr>
      <w:tr>
        <w:tblPrEx>
          <w:shd w:val="clear" w:color="auto" w:fill="auto"/>
          <w:tblCellMar>
            <w:top w:w="0" w:type="dxa"/>
            <w:left w:w="0" w:type="dxa"/>
            <w:bottom w:w="0" w:type="dxa"/>
            <w:right w:w="0" w:type="dxa"/>
          </w:tblCellMar>
        </w:tblPrEx>
        <w:trPr>
          <w:trHeight w:val="375" w:hRule="atLeast"/>
        </w:trPr>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3</w:t>
            </w:r>
          </w:p>
        </w:tc>
        <w:tc>
          <w:tcPr>
            <w:tcW w:w="76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紫薇园</w:t>
            </w: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480"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30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p>
        </w:tc>
      </w:tr>
      <w:tr>
        <w:tblPrEx>
          <w:shd w:val="clear" w:color="auto" w:fill="auto"/>
          <w:tblCellMar>
            <w:top w:w="0" w:type="dxa"/>
            <w:left w:w="0" w:type="dxa"/>
            <w:bottom w:w="0" w:type="dxa"/>
            <w:right w:w="0" w:type="dxa"/>
          </w:tblCellMar>
        </w:tblPrEx>
        <w:trPr>
          <w:trHeight w:val="375" w:hRule="atLeast"/>
        </w:trPr>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4</w:t>
            </w:r>
          </w:p>
        </w:tc>
        <w:tc>
          <w:tcPr>
            <w:tcW w:w="76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御江金城</w:t>
            </w: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480"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6</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90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p>
        </w:tc>
      </w:tr>
      <w:tr>
        <w:tblPrEx>
          <w:shd w:val="clear" w:color="auto" w:fill="auto"/>
          <w:tblCellMar>
            <w:top w:w="0" w:type="dxa"/>
            <w:left w:w="0" w:type="dxa"/>
            <w:bottom w:w="0" w:type="dxa"/>
            <w:right w:w="0" w:type="dxa"/>
          </w:tblCellMar>
        </w:tblPrEx>
        <w:trPr>
          <w:trHeight w:val="375" w:hRule="atLeast"/>
        </w:trPr>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5</w:t>
            </w:r>
          </w:p>
        </w:tc>
        <w:tc>
          <w:tcPr>
            <w:tcW w:w="76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积善新寓</w:t>
            </w: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480"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6</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90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p>
        </w:tc>
      </w:tr>
      <w:tr>
        <w:tblPrEx>
          <w:shd w:val="clear" w:color="auto" w:fill="auto"/>
          <w:tblCellMar>
            <w:top w:w="0" w:type="dxa"/>
            <w:left w:w="0" w:type="dxa"/>
            <w:bottom w:w="0" w:type="dxa"/>
            <w:right w:w="0" w:type="dxa"/>
          </w:tblCellMar>
        </w:tblPrEx>
        <w:trPr>
          <w:trHeight w:val="375" w:hRule="atLeast"/>
        </w:trPr>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6</w:t>
            </w:r>
          </w:p>
        </w:tc>
        <w:tc>
          <w:tcPr>
            <w:tcW w:w="76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清竹园</w:t>
            </w: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480"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265"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4</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60</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p>
        </w:tc>
      </w:tr>
      <w:tr>
        <w:tblPrEx>
          <w:shd w:val="clear" w:color="auto" w:fill="auto"/>
          <w:tblCellMar>
            <w:top w:w="0" w:type="dxa"/>
            <w:left w:w="0" w:type="dxa"/>
            <w:bottom w:w="0" w:type="dxa"/>
            <w:right w:w="0" w:type="dxa"/>
          </w:tblCellMar>
        </w:tblPrEx>
        <w:trPr>
          <w:trHeight w:val="375" w:hRule="atLeast"/>
        </w:trPr>
        <w:tc>
          <w:tcPr>
            <w:tcW w:w="1035" w:type="pct"/>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二标段合计</w:t>
            </w: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7（房）</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140</w:t>
            </w:r>
          </w:p>
        </w:tc>
        <w:tc>
          <w:tcPr>
            <w:tcW w:w="480"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784" w:type="pct"/>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31（亭）</w:t>
            </w:r>
          </w:p>
        </w:tc>
        <w:tc>
          <w:tcPr>
            <w:tcW w:w="519"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465</w:t>
            </w:r>
          </w:p>
        </w:tc>
        <w:tc>
          <w:tcPr>
            <w:tcW w:w="4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388" w:type="pc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p>
        </w:tc>
      </w:tr>
    </w:tbl>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hint="default" w:asciiTheme="minorEastAsia" w:hAnsiTheme="minorEastAsia" w:eastAsiaTheme="minorEastAsia" w:cstheme="minorEastAsia"/>
          <w:snapToGrid w:val="0"/>
          <w:color w:val="auto"/>
          <w:sz w:val="21"/>
          <w:szCs w:val="21"/>
          <w:highlight w:val="none"/>
          <w:lang w:val="en-US" w:eastAsia="zh-CN"/>
        </w:rPr>
      </w:pPr>
      <w:r>
        <w:rPr>
          <w:rFonts w:hint="eastAsia" w:asciiTheme="minorEastAsia" w:hAnsiTheme="minorEastAsia" w:eastAsiaTheme="minorEastAsia" w:cstheme="minorEastAsia"/>
          <w:b/>
          <w:bCs/>
          <w:snapToGrid w:val="0"/>
          <w:color w:val="auto"/>
          <w:sz w:val="24"/>
          <w:szCs w:val="24"/>
          <w:highlight w:val="none"/>
          <w:lang w:val="en-US" w:eastAsia="zh-CN"/>
        </w:rPr>
        <w:t>二、技术部分要求</w:t>
      </w:r>
    </w:p>
    <w:p>
      <w:pPr>
        <w:pStyle w:val="146"/>
        <w:ind w:left="0"/>
        <w:rPr>
          <w:rFonts w:hint="default" w:asciiTheme="minorEastAsia" w:hAnsiTheme="minorEastAsia" w:eastAsiaTheme="minorEastAsia" w:cstheme="minorEastAsia"/>
          <w:snapToGrid w:val="0"/>
          <w:color w:val="auto"/>
          <w:sz w:val="21"/>
          <w:szCs w:val="21"/>
          <w:highlight w:val="none"/>
          <w:lang w:val="en-US" w:eastAsia="zh-CN"/>
        </w:rPr>
      </w:pPr>
      <w:r>
        <w:rPr>
          <w:rFonts w:hint="eastAsia" w:asciiTheme="minorEastAsia" w:hAnsiTheme="minorEastAsia" w:eastAsiaTheme="minorEastAsia" w:cstheme="minorEastAsia"/>
          <w:snapToGrid w:val="0"/>
          <w:color w:val="auto"/>
          <w:sz w:val="21"/>
          <w:szCs w:val="21"/>
          <w:highlight w:val="none"/>
          <w:lang w:val="en-US" w:eastAsia="zh-CN"/>
        </w:rPr>
        <w:t>1、本项目为供应商建设交钥匙项目，报价应包含设备、仓储、运输装卸、安装调试直至正常使用、措施费、培训费、质保期内维保等费用，以及完成本项目发生的所有含税费用以及供应商认为需要的其他费用等。</w:t>
      </w:r>
    </w:p>
    <w:p>
      <w:pPr>
        <w:pStyle w:val="146"/>
        <w:ind w:left="0"/>
        <w:rPr>
          <w:rFonts w:hint="default" w:asciiTheme="minorEastAsia" w:hAnsiTheme="minorEastAsia" w:eastAsiaTheme="minorEastAsia" w:cstheme="minorEastAsia"/>
          <w:snapToGrid w:val="0"/>
          <w:color w:val="auto"/>
          <w:sz w:val="21"/>
          <w:szCs w:val="21"/>
          <w:highlight w:val="none"/>
          <w:lang w:val="en-US" w:eastAsia="zh-CN"/>
        </w:rPr>
      </w:pPr>
      <w:r>
        <w:rPr>
          <w:rFonts w:hint="eastAsia" w:ascii="Arial" w:hAnsi="Arial" w:cs="Arial"/>
          <w:b/>
          <w:bCs/>
          <w:kern w:val="0"/>
          <w:szCs w:val="21"/>
          <w:highlight w:val="none"/>
          <w:lang w:eastAsia="zh-CN"/>
        </w:rPr>
        <w:t>★</w:t>
      </w:r>
      <w:r>
        <w:rPr>
          <w:rFonts w:hint="eastAsia" w:asciiTheme="minorEastAsia" w:hAnsiTheme="minorEastAsia" w:eastAsiaTheme="minorEastAsia" w:cstheme="minorEastAsia"/>
          <w:snapToGrid w:val="0"/>
          <w:color w:val="auto"/>
          <w:sz w:val="21"/>
          <w:szCs w:val="21"/>
          <w:highlight w:val="none"/>
          <w:lang w:val="en-US" w:eastAsia="zh-CN"/>
        </w:rPr>
        <w:t>2、垃圾分类亭、房的建设须严格按照《南京市城市居住小区生活垃圾分类收集设施设置导则》所要求的参数进行。其中雨棚向外延伸不得低于40cm，并预留专属的公告或公告栏等。</w:t>
      </w:r>
    </w:p>
    <w:p>
      <w:pPr>
        <w:pStyle w:val="146"/>
        <w:ind w:left="0"/>
        <w:rPr>
          <w:rFonts w:hint="default" w:asciiTheme="minorEastAsia" w:hAnsiTheme="minorEastAsia" w:eastAsiaTheme="minorEastAsia" w:cstheme="minorEastAsia"/>
          <w:snapToGrid w:val="0"/>
          <w:color w:val="auto"/>
          <w:sz w:val="21"/>
          <w:szCs w:val="21"/>
          <w:highlight w:val="none"/>
          <w:lang w:val="en-US" w:eastAsia="zh-CN"/>
        </w:rPr>
        <w:sectPr>
          <w:footerReference r:id="rId3" w:type="default"/>
          <w:pgSz w:w="11906" w:h="16838"/>
          <w:pgMar w:top="1440" w:right="1800" w:bottom="1440" w:left="1600" w:header="851" w:footer="992" w:gutter="0"/>
          <w:pgBorders>
            <w:top w:val="none" w:sz="0" w:space="0"/>
            <w:left w:val="none" w:sz="0" w:space="0"/>
            <w:bottom w:val="none" w:sz="0" w:space="0"/>
            <w:right w:val="none" w:sz="0" w:space="0"/>
          </w:pgBorders>
          <w:cols w:space="720" w:num="1"/>
          <w:titlePg/>
          <w:docGrid w:type="lines" w:linePitch="312" w:charSpace="0"/>
        </w:sectPr>
      </w:pPr>
    </w:p>
    <w:p>
      <w:pPr>
        <w:pStyle w:val="146"/>
        <w:numPr>
          <w:ilvl w:val="0"/>
          <w:numId w:val="5"/>
        </w:numPr>
        <w:ind w:left="0"/>
        <w:rPr>
          <w:rFonts w:hint="eastAsia" w:asciiTheme="minorEastAsia" w:hAnsiTheme="minorEastAsia" w:eastAsiaTheme="minorEastAsia" w:cstheme="minorEastAsia"/>
          <w:snapToGrid w:val="0"/>
          <w:color w:val="auto"/>
          <w:sz w:val="21"/>
          <w:szCs w:val="21"/>
          <w:highlight w:val="none"/>
          <w:lang w:val="en-US" w:eastAsia="zh-CN"/>
        </w:rPr>
      </w:pPr>
      <w:r>
        <w:rPr>
          <w:rFonts w:hint="eastAsia" w:asciiTheme="minorEastAsia" w:hAnsiTheme="minorEastAsia" w:eastAsiaTheme="minorEastAsia" w:cstheme="minorEastAsia"/>
          <w:snapToGrid w:val="0"/>
          <w:color w:val="auto"/>
          <w:sz w:val="21"/>
          <w:szCs w:val="21"/>
          <w:highlight w:val="none"/>
          <w:lang w:val="en-US" w:eastAsia="zh-CN"/>
        </w:rPr>
        <w:t>技术规格、参数（本项目涉及品牌均为推荐品牌，如投其它品牌，货物性能不能低于推荐品牌，可使用优于招标要求的参数，投标人的投标总价，须包含所投标段清单表格中各小区一类及二类亭房标注面积的总价。）</w:t>
      </w:r>
    </w:p>
    <w:p>
      <w:pPr>
        <w:pStyle w:val="146"/>
        <w:widowControl/>
        <w:numPr>
          <w:ilvl w:val="0"/>
          <w:numId w:val="0"/>
        </w:numPr>
        <w:contextualSpacing/>
        <w:jc w:val="left"/>
        <w:rPr>
          <w:rFonts w:hint="default" w:asciiTheme="minorEastAsia" w:hAnsiTheme="minorEastAsia" w:eastAsiaTheme="minorEastAsia" w:cstheme="minorEastAsia"/>
          <w:snapToGrid w:val="0"/>
          <w:color w:val="auto"/>
          <w:sz w:val="21"/>
          <w:szCs w:val="21"/>
          <w:highlight w:val="none"/>
          <w:lang w:val="en-US" w:eastAsia="zh-CN"/>
        </w:rPr>
      </w:pPr>
    </w:p>
    <w:p>
      <w:pPr>
        <w:spacing w:line="360" w:lineRule="auto"/>
        <w:rPr>
          <w:rFonts w:ascii="宋体" w:hAnsi="宋体" w:cs="宋体"/>
          <w:b/>
          <w:szCs w:val="21"/>
          <w:highlight w:val="none"/>
        </w:rPr>
      </w:pPr>
      <w:r>
        <w:rPr>
          <w:rFonts w:hint="eastAsia" w:ascii="宋体" w:hAnsi="宋体" w:cs="宋体"/>
          <w:b/>
          <w:szCs w:val="21"/>
          <w:highlight w:val="none"/>
        </w:rPr>
        <w:t>（一）垃圾房技术要求</w:t>
      </w:r>
    </w:p>
    <w:p>
      <w:pPr>
        <w:pStyle w:val="14"/>
        <w:ind w:firstLine="0"/>
        <w:rPr>
          <w:rFonts w:ascii="宋体" w:hAnsi="宋体" w:cs="宋体"/>
          <w:sz w:val="21"/>
          <w:szCs w:val="21"/>
          <w:highlight w:val="none"/>
        </w:rPr>
      </w:pPr>
      <w:r>
        <w:rPr>
          <w:rFonts w:hint="eastAsia" w:ascii="宋体" w:hAnsi="宋体" w:cs="宋体"/>
          <w:sz w:val="21"/>
          <w:szCs w:val="21"/>
          <w:highlight w:val="none"/>
        </w:rPr>
        <w:t>1、垃圾房主体部分</w:t>
      </w:r>
    </w:p>
    <w:tbl>
      <w:tblPr>
        <w:tblStyle w:val="43"/>
        <w:tblW w:w="9895" w:type="dxa"/>
        <w:tblInd w:w="-1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108" w:type="dxa"/>
          <w:bottom w:w="0" w:type="dxa"/>
          <w:right w:w="108" w:type="dxa"/>
        </w:tblCellMar>
      </w:tblPr>
      <w:tblGrid>
        <w:gridCol w:w="896"/>
        <w:gridCol w:w="1384"/>
        <w:gridCol w:w="1681"/>
        <w:gridCol w:w="4548"/>
        <w:gridCol w:w="13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c>
          <w:tcPr>
            <w:tcW w:w="896" w:type="dxa"/>
            <w:shd w:val="clear" w:color="auto" w:fill="FFFFFF"/>
            <w:vAlign w:val="center"/>
          </w:tcPr>
          <w:p>
            <w:pPr>
              <w:jc w:val="center"/>
              <w:rPr>
                <w:rFonts w:ascii="宋体" w:hAnsi="宋体" w:cs="宋体"/>
                <w:b/>
                <w:bCs/>
                <w:szCs w:val="21"/>
                <w:highlight w:val="none"/>
              </w:rPr>
            </w:pPr>
            <w:r>
              <w:rPr>
                <w:rFonts w:hint="eastAsia" w:ascii="宋体" w:hAnsi="宋体" w:cs="宋体"/>
                <w:b/>
                <w:bCs/>
                <w:szCs w:val="21"/>
                <w:highlight w:val="none"/>
              </w:rPr>
              <w:t>序号</w:t>
            </w:r>
          </w:p>
        </w:tc>
        <w:tc>
          <w:tcPr>
            <w:tcW w:w="1384" w:type="dxa"/>
            <w:shd w:val="clear" w:color="auto" w:fill="FFFFFF"/>
            <w:vAlign w:val="center"/>
          </w:tcPr>
          <w:p>
            <w:pPr>
              <w:jc w:val="center"/>
              <w:rPr>
                <w:rFonts w:ascii="宋体" w:hAnsi="宋体" w:cs="宋体"/>
                <w:b/>
                <w:bCs/>
                <w:szCs w:val="21"/>
                <w:highlight w:val="none"/>
              </w:rPr>
            </w:pPr>
            <w:r>
              <w:rPr>
                <w:rFonts w:hint="eastAsia" w:ascii="宋体" w:hAnsi="宋体" w:cs="宋体"/>
                <w:b/>
                <w:bCs/>
                <w:szCs w:val="21"/>
                <w:highlight w:val="none"/>
              </w:rPr>
              <w:t>名称</w:t>
            </w:r>
          </w:p>
        </w:tc>
        <w:tc>
          <w:tcPr>
            <w:tcW w:w="1681" w:type="dxa"/>
            <w:shd w:val="clear" w:color="auto" w:fill="FFFFFF"/>
            <w:vAlign w:val="center"/>
          </w:tcPr>
          <w:p>
            <w:pPr>
              <w:jc w:val="center"/>
              <w:rPr>
                <w:rFonts w:ascii="宋体" w:hAnsi="宋体" w:cs="宋体"/>
                <w:b/>
                <w:bCs/>
                <w:szCs w:val="21"/>
                <w:highlight w:val="none"/>
              </w:rPr>
            </w:pPr>
            <w:r>
              <w:rPr>
                <w:rFonts w:hint="eastAsia" w:ascii="宋体" w:hAnsi="宋体" w:cs="宋体"/>
                <w:b/>
                <w:bCs/>
                <w:szCs w:val="21"/>
                <w:highlight w:val="none"/>
              </w:rPr>
              <w:t>功能概述</w:t>
            </w:r>
          </w:p>
        </w:tc>
        <w:tc>
          <w:tcPr>
            <w:tcW w:w="4548" w:type="dxa"/>
            <w:shd w:val="clear" w:color="auto" w:fill="FFFFFF"/>
            <w:vAlign w:val="center"/>
          </w:tcPr>
          <w:p>
            <w:pPr>
              <w:jc w:val="center"/>
              <w:rPr>
                <w:rFonts w:ascii="宋体" w:hAnsi="宋体" w:cs="宋体"/>
                <w:b/>
                <w:bCs/>
                <w:szCs w:val="21"/>
                <w:highlight w:val="none"/>
              </w:rPr>
            </w:pPr>
            <w:r>
              <w:rPr>
                <w:rFonts w:hint="eastAsia" w:ascii="宋体" w:hAnsi="宋体" w:cs="宋体"/>
                <w:b/>
                <w:bCs/>
                <w:szCs w:val="21"/>
                <w:highlight w:val="none"/>
              </w:rPr>
              <w:t>参数要求</w:t>
            </w:r>
          </w:p>
        </w:tc>
        <w:tc>
          <w:tcPr>
            <w:tcW w:w="1386" w:type="dxa"/>
            <w:shd w:val="clear" w:color="auto" w:fill="FFFFFF"/>
            <w:vAlign w:val="center"/>
          </w:tcPr>
          <w:p>
            <w:pPr>
              <w:jc w:val="center"/>
              <w:rPr>
                <w:rFonts w:ascii="宋体" w:hAnsi="宋体" w:cs="宋体"/>
                <w:b/>
                <w:bCs/>
                <w:szCs w:val="21"/>
                <w:highlight w:val="none"/>
              </w:rPr>
            </w:pPr>
            <w:r>
              <w:rPr>
                <w:rFonts w:hint="eastAsia" w:ascii="宋体" w:hAnsi="宋体" w:cs="宋体"/>
                <w:b/>
                <w:bCs/>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3" w:hRule="atLeast"/>
        </w:trPr>
        <w:tc>
          <w:tcPr>
            <w:tcW w:w="896" w:type="dxa"/>
            <w:shd w:val="clear" w:color="auto" w:fill="FFFFFF"/>
            <w:vAlign w:val="center"/>
          </w:tcPr>
          <w:p>
            <w:pPr>
              <w:jc w:val="center"/>
              <w:rPr>
                <w:rFonts w:ascii="宋体" w:hAnsi="宋体" w:cs="宋体"/>
                <w:szCs w:val="21"/>
                <w:highlight w:val="none"/>
              </w:rPr>
            </w:pPr>
            <w:r>
              <w:rPr>
                <w:rFonts w:hint="eastAsia" w:ascii="宋体" w:hAnsi="宋体" w:cs="宋体"/>
                <w:szCs w:val="21"/>
                <w:highlight w:val="none"/>
              </w:rPr>
              <w:t>1</w:t>
            </w:r>
          </w:p>
        </w:tc>
        <w:tc>
          <w:tcPr>
            <w:tcW w:w="1384" w:type="dxa"/>
            <w:shd w:val="clear" w:color="auto" w:fill="FFFFFF"/>
            <w:vAlign w:val="center"/>
          </w:tcPr>
          <w:p>
            <w:pPr>
              <w:jc w:val="center"/>
              <w:rPr>
                <w:rFonts w:ascii="宋体" w:hAnsi="宋体" w:cs="宋体"/>
                <w:szCs w:val="21"/>
                <w:highlight w:val="none"/>
              </w:rPr>
            </w:pPr>
            <w:r>
              <w:rPr>
                <w:rFonts w:hint="eastAsia" w:ascii="宋体" w:hAnsi="宋体" w:cs="宋体"/>
                <w:szCs w:val="21"/>
                <w:highlight w:val="none"/>
              </w:rPr>
              <w:t>垃圾房主体</w:t>
            </w:r>
          </w:p>
        </w:tc>
        <w:tc>
          <w:tcPr>
            <w:tcW w:w="1681" w:type="dxa"/>
            <w:shd w:val="clear" w:color="auto" w:fill="FFFFFF"/>
            <w:vAlign w:val="center"/>
          </w:tcPr>
          <w:p>
            <w:pPr>
              <w:jc w:val="center"/>
              <w:rPr>
                <w:rFonts w:ascii="宋体" w:hAnsi="宋体" w:cs="宋体"/>
                <w:szCs w:val="21"/>
                <w:highlight w:val="none"/>
              </w:rPr>
            </w:pPr>
            <w:r>
              <w:rPr>
                <w:rFonts w:hint="eastAsia" w:ascii="宋体" w:hAnsi="宋体" w:cs="宋体"/>
                <w:szCs w:val="21"/>
                <w:highlight w:val="none"/>
              </w:rPr>
              <w:t>生活垃圾集中投放点</w:t>
            </w:r>
          </w:p>
        </w:tc>
        <w:tc>
          <w:tcPr>
            <w:tcW w:w="4548" w:type="dxa"/>
            <w:shd w:val="clear" w:color="auto" w:fill="FFFFFF"/>
            <w:vAlign w:val="center"/>
          </w:tcPr>
          <w:p>
            <w:pPr>
              <w:widowControl/>
              <w:spacing w:line="276" w:lineRule="auto"/>
              <w:textAlignment w:val="center"/>
              <w:rPr>
                <w:rFonts w:ascii="宋体" w:hAnsi="宋体" w:cs="宋体"/>
                <w:szCs w:val="21"/>
                <w:highlight w:val="none"/>
              </w:rPr>
            </w:pPr>
            <w:r>
              <w:rPr>
                <w:rFonts w:hint="eastAsia" w:ascii="宋体" w:hAnsi="宋体" w:cs="宋体"/>
                <w:szCs w:val="21"/>
                <w:highlight w:val="none"/>
              </w:rPr>
              <w:t>收</w:t>
            </w:r>
            <w:r>
              <w:rPr>
                <w:rFonts w:hint="eastAsia" w:ascii="宋体" w:hAnsi="宋体" w:cs="宋体"/>
                <w:szCs w:val="21"/>
                <w:highlight w:val="none"/>
                <w:shd w:val="clear" w:color="auto" w:fill="FFFFFF"/>
              </w:rPr>
              <w:t>集点具体尺寸可由采购人根据实际需求进行调整，设计使用年限≥15年。垃圾房采用装配式钢结构，可进行整体吊装，所有部件尽量在场外完成加工制作，现场安装、焊接。垃圾屋框架采用100*100*3.0mm镀锌冷轧型钢焊接，材质Q235A，横梁80*80*3.0mm镀锌冷轧型钢支撑，材质Q235A，加强管20*40*2.5mm镀锌方管，外墙面采用20mm金属雕花板，墙体中间铺设</w:t>
            </w:r>
            <w:r>
              <w:rPr>
                <w:rFonts w:hint="eastAsia" w:ascii="宋体" w:hAnsi="宋体" w:cs="宋体"/>
                <w:b/>
                <w:szCs w:val="21"/>
                <w:highlight w:val="none"/>
                <w:shd w:val="clear" w:color="auto" w:fill="FFFFFF"/>
              </w:rPr>
              <w:t>≥</w:t>
            </w:r>
            <w:r>
              <w:rPr>
                <w:rFonts w:hint="eastAsia" w:ascii="宋体" w:hAnsi="宋体" w:cs="宋体"/>
                <w:szCs w:val="21"/>
                <w:highlight w:val="none"/>
                <w:shd w:val="clear" w:color="auto" w:fill="FFFFFF"/>
              </w:rPr>
              <w:t>55mm保温岩棉，屋内墙面10mm竹纤维板；洗桶区铺设304不锈钢板排水沟；防水屋顶，铝合金窗户（具体尺寸根据现场实际需求定制），垃圾房基础硬化（含预埋件）由采购人负责实施，包含地面硬化、铺砖、预埋、雨污水管网铺设、电路铺设、接水接电等。</w:t>
            </w:r>
            <w:r>
              <w:rPr>
                <w:rFonts w:hint="eastAsia" w:ascii="宋体" w:hAnsi="宋体" w:cs="宋体"/>
                <w:szCs w:val="21"/>
                <w:highlight w:val="none"/>
              </w:rPr>
              <w:tab/>
            </w:r>
          </w:p>
        </w:tc>
        <w:tc>
          <w:tcPr>
            <w:tcW w:w="1386" w:type="dxa"/>
            <w:shd w:val="clear" w:color="auto" w:fill="FFFFFF"/>
            <w:vAlign w:val="center"/>
          </w:tcPr>
          <w:p>
            <w:pPr>
              <w:widowControl/>
              <w:jc w:val="left"/>
              <w:rPr>
                <w:rFonts w:ascii="宋体" w:hAnsi="宋体" w:cs="宋体"/>
                <w:szCs w:val="21"/>
                <w:highlight w:val="none"/>
              </w:rPr>
            </w:pPr>
          </w:p>
          <w:p>
            <w:pPr>
              <w:widowControl/>
              <w:jc w:val="left"/>
              <w:rPr>
                <w:rFonts w:ascii="宋体" w:hAnsi="宋体" w:cs="宋体"/>
                <w:szCs w:val="21"/>
                <w:highlight w:val="none"/>
              </w:rPr>
            </w:pPr>
            <w:r>
              <w:rPr>
                <w:rFonts w:hint="eastAsia" w:ascii="宋体" w:hAnsi="宋体" w:cs="宋体"/>
                <w:szCs w:val="21"/>
                <w:highlight w:val="none"/>
              </w:rPr>
              <w:t>暂按清单内面积（详见</w:t>
            </w:r>
            <w:r>
              <w:rPr>
                <w:rFonts w:hint="eastAsia" w:ascii="宋体" w:hAnsi="宋体" w:cs="宋体"/>
                <w:szCs w:val="21"/>
                <w:highlight w:val="none"/>
                <w:lang w:eastAsia="zh-CN"/>
              </w:rPr>
              <w:t>采购需求表</w:t>
            </w:r>
            <w:r>
              <w:rPr>
                <w:rFonts w:hint="eastAsia" w:ascii="宋体" w:hAnsi="宋体" w:cs="宋体"/>
                <w:szCs w:val="21"/>
                <w:highlight w:val="none"/>
              </w:rPr>
              <w:t>）报价，现场每个标段所有垃圾收集点面积改动范围10%（含）以内核减不核增，超出10%的以上部分按实结算</w:t>
            </w:r>
          </w:p>
        </w:tc>
      </w:tr>
    </w:tbl>
    <w:p>
      <w:pPr>
        <w:numPr>
          <w:ilvl w:val="0"/>
          <w:numId w:val="6"/>
        </w:numPr>
        <w:spacing w:line="360" w:lineRule="auto"/>
        <w:rPr>
          <w:rFonts w:ascii="宋体" w:hAnsi="宋体" w:cs="宋体"/>
          <w:b/>
          <w:szCs w:val="21"/>
          <w:highlight w:val="none"/>
        </w:rPr>
      </w:pPr>
      <w:r>
        <w:rPr>
          <w:rFonts w:hint="eastAsia" w:ascii="宋体" w:hAnsi="宋体" w:cs="宋体"/>
          <w:b/>
          <w:szCs w:val="21"/>
          <w:highlight w:val="none"/>
        </w:rPr>
        <w:t>垃圾房设备配置部分：</w:t>
      </w:r>
    </w:p>
    <w:tbl>
      <w:tblPr>
        <w:tblStyle w:val="43"/>
        <w:tblW w:w="9974" w:type="dxa"/>
        <w:tblInd w:w="-2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2"/>
        <w:gridCol w:w="1255"/>
        <w:gridCol w:w="772"/>
        <w:gridCol w:w="1307"/>
        <w:gridCol w:w="4621"/>
        <w:gridCol w:w="13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692" w:type="dxa"/>
            <w:shd w:val="clear" w:color="auto" w:fill="FFFFFF" w:themeFill="background1"/>
            <w:vAlign w:val="center"/>
          </w:tcPr>
          <w:p>
            <w:pPr>
              <w:jc w:val="center"/>
              <w:rPr>
                <w:rFonts w:hint="eastAsia" w:ascii="宋体" w:hAnsi="宋体" w:cs="宋体"/>
                <w:b/>
                <w:bCs/>
                <w:szCs w:val="21"/>
                <w:highlight w:val="none"/>
              </w:rPr>
            </w:pPr>
            <w:r>
              <w:rPr>
                <w:rFonts w:hint="eastAsia" w:ascii="宋体" w:hAnsi="宋体" w:cs="宋体"/>
                <w:b/>
                <w:bCs/>
                <w:szCs w:val="21"/>
                <w:highlight w:val="none"/>
              </w:rPr>
              <w:t>序号</w:t>
            </w:r>
          </w:p>
        </w:tc>
        <w:tc>
          <w:tcPr>
            <w:tcW w:w="1255" w:type="dxa"/>
            <w:shd w:val="clear" w:color="auto" w:fill="FFFFFF" w:themeFill="background1"/>
            <w:vAlign w:val="center"/>
          </w:tcPr>
          <w:p>
            <w:pPr>
              <w:jc w:val="center"/>
              <w:rPr>
                <w:rFonts w:hint="eastAsia" w:ascii="宋体" w:hAnsi="宋体" w:cs="宋体"/>
                <w:b/>
                <w:bCs/>
                <w:szCs w:val="21"/>
                <w:highlight w:val="none"/>
              </w:rPr>
            </w:pPr>
            <w:r>
              <w:rPr>
                <w:rFonts w:hint="eastAsia" w:ascii="Arial" w:hAnsi="Arial" w:cs="Arial"/>
                <w:b/>
                <w:bCs/>
                <w:kern w:val="0"/>
                <w:szCs w:val="21"/>
                <w:highlight w:val="none"/>
                <w:lang w:eastAsia="zh-CN"/>
              </w:rPr>
              <w:t>★</w:t>
            </w:r>
            <w:r>
              <w:rPr>
                <w:rFonts w:hint="eastAsia" w:ascii="宋体" w:hAnsi="宋体" w:cs="宋体"/>
                <w:b/>
                <w:bCs/>
                <w:szCs w:val="21"/>
                <w:highlight w:val="none"/>
              </w:rPr>
              <w:t>名称</w:t>
            </w:r>
          </w:p>
        </w:tc>
        <w:tc>
          <w:tcPr>
            <w:tcW w:w="772" w:type="dxa"/>
            <w:shd w:val="clear" w:color="auto" w:fill="FFFFFF" w:themeFill="background1"/>
            <w:vAlign w:val="center"/>
          </w:tcPr>
          <w:p>
            <w:pPr>
              <w:jc w:val="center"/>
              <w:rPr>
                <w:rFonts w:hint="eastAsia" w:ascii="宋体" w:hAnsi="宋体" w:cs="宋体"/>
                <w:b/>
                <w:bCs/>
                <w:szCs w:val="21"/>
                <w:highlight w:val="none"/>
              </w:rPr>
            </w:pPr>
            <w:r>
              <w:rPr>
                <w:rFonts w:hint="eastAsia" w:ascii="Arial" w:hAnsi="Arial" w:cs="Arial"/>
                <w:b/>
                <w:bCs/>
                <w:kern w:val="0"/>
                <w:szCs w:val="21"/>
                <w:highlight w:val="none"/>
                <w:lang w:eastAsia="zh-CN"/>
              </w:rPr>
              <w:t>★</w:t>
            </w:r>
            <w:r>
              <w:rPr>
                <w:rFonts w:hint="eastAsia" w:ascii="宋体" w:hAnsi="宋体" w:cs="宋体"/>
                <w:b/>
                <w:bCs/>
                <w:szCs w:val="21"/>
                <w:highlight w:val="none"/>
              </w:rPr>
              <w:t>数量</w:t>
            </w:r>
          </w:p>
        </w:tc>
        <w:tc>
          <w:tcPr>
            <w:tcW w:w="1307" w:type="dxa"/>
            <w:shd w:val="clear" w:color="auto" w:fill="FFFFFF" w:themeFill="background1"/>
            <w:vAlign w:val="center"/>
          </w:tcPr>
          <w:p>
            <w:pPr>
              <w:jc w:val="center"/>
              <w:rPr>
                <w:rFonts w:hint="eastAsia" w:ascii="宋体" w:hAnsi="宋体" w:cs="宋体"/>
                <w:b/>
                <w:bCs/>
                <w:szCs w:val="21"/>
                <w:highlight w:val="none"/>
              </w:rPr>
            </w:pPr>
            <w:r>
              <w:rPr>
                <w:rFonts w:hint="eastAsia" w:ascii="宋体" w:hAnsi="宋体" w:cs="宋体"/>
                <w:b/>
                <w:bCs/>
                <w:szCs w:val="21"/>
                <w:highlight w:val="none"/>
              </w:rPr>
              <w:t>功能概述</w:t>
            </w:r>
          </w:p>
        </w:tc>
        <w:tc>
          <w:tcPr>
            <w:tcW w:w="4621" w:type="dxa"/>
            <w:shd w:val="clear" w:color="auto" w:fill="FFFFFF" w:themeFill="background1"/>
            <w:vAlign w:val="center"/>
          </w:tcPr>
          <w:p>
            <w:pPr>
              <w:jc w:val="center"/>
              <w:rPr>
                <w:rFonts w:hint="eastAsia" w:ascii="宋体" w:hAnsi="宋体" w:cs="宋体"/>
                <w:b/>
                <w:bCs/>
                <w:szCs w:val="21"/>
                <w:highlight w:val="none"/>
              </w:rPr>
            </w:pPr>
            <w:r>
              <w:rPr>
                <w:rFonts w:hint="eastAsia" w:ascii="Arial" w:hAnsi="Arial" w:cs="Arial"/>
                <w:b/>
                <w:bCs/>
                <w:kern w:val="0"/>
                <w:szCs w:val="21"/>
                <w:highlight w:val="none"/>
                <w:lang w:eastAsia="zh-CN"/>
              </w:rPr>
              <w:t>★</w:t>
            </w:r>
            <w:r>
              <w:rPr>
                <w:rFonts w:hint="eastAsia" w:ascii="宋体" w:hAnsi="宋体" w:cs="宋体"/>
                <w:b/>
                <w:bCs/>
                <w:szCs w:val="21"/>
                <w:highlight w:val="none"/>
              </w:rPr>
              <w:t>参数要求</w:t>
            </w:r>
          </w:p>
        </w:tc>
        <w:tc>
          <w:tcPr>
            <w:tcW w:w="1327" w:type="dxa"/>
            <w:shd w:val="clear" w:color="auto" w:fill="FFFFFF" w:themeFill="background1"/>
            <w:vAlign w:val="center"/>
          </w:tcPr>
          <w:p>
            <w:pPr>
              <w:jc w:val="center"/>
              <w:rPr>
                <w:rFonts w:hint="eastAsia" w:ascii="宋体" w:hAnsi="宋体" w:cs="宋体"/>
                <w:b/>
                <w:bCs/>
                <w:szCs w:val="21"/>
                <w:highlight w:val="none"/>
              </w:rPr>
            </w:pPr>
            <w:r>
              <w:rPr>
                <w:rFonts w:hint="eastAsia" w:ascii="宋体" w:hAnsi="宋体" w:cs="宋体"/>
                <w:b/>
                <w:bCs/>
                <w:szCs w:val="21"/>
                <w:highlight w:val="none"/>
              </w:rPr>
              <w:t>参考品牌（3个）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692" w:type="dxa"/>
            <w:vAlign w:val="center"/>
          </w:tcPr>
          <w:p>
            <w:pPr>
              <w:jc w:val="center"/>
              <w:rPr>
                <w:rFonts w:ascii="宋体" w:hAnsi="宋体" w:cs="宋体"/>
                <w:szCs w:val="21"/>
                <w:highlight w:val="none"/>
              </w:rPr>
            </w:pPr>
            <w:r>
              <w:rPr>
                <w:rFonts w:hint="eastAsia" w:ascii="宋体" w:hAnsi="宋体" w:cs="宋体"/>
                <w:szCs w:val="21"/>
                <w:highlight w:val="none"/>
              </w:rPr>
              <w:t>1</w:t>
            </w:r>
          </w:p>
        </w:tc>
        <w:tc>
          <w:tcPr>
            <w:tcW w:w="1255" w:type="dxa"/>
            <w:vAlign w:val="center"/>
          </w:tcPr>
          <w:p>
            <w:pPr>
              <w:jc w:val="center"/>
              <w:rPr>
                <w:rFonts w:ascii="宋体" w:hAnsi="宋体" w:cs="宋体"/>
                <w:szCs w:val="21"/>
                <w:highlight w:val="none"/>
              </w:rPr>
            </w:pPr>
            <w:r>
              <w:rPr>
                <w:rFonts w:hint="eastAsia" w:ascii="宋体" w:hAnsi="宋体" w:cs="宋体"/>
                <w:szCs w:val="21"/>
                <w:highlight w:val="none"/>
              </w:rPr>
              <w:t>高压冲洗设备</w:t>
            </w:r>
          </w:p>
        </w:tc>
        <w:tc>
          <w:tcPr>
            <w:tcW w:w="772" w:type="dxa"/>
            <w:vAlign w:val="center"/>
          </w:tcPr>
          <w:p>
            <w:pPr>
              <w:jc w:val="center"/>
              <w:textAlignment w:val="center"/>
              <w:rPr>
                <w:rFonts w:ascii="宋体" w:hAnsi="宋体" w:cs="宋体"/>
                <w:szCs w:val="21"/>
                <w:highlight w:val="none"/>
              </w:rPr>
            </w:pPr>
            <w:r>
              <w:rPr>
                <w:rFonts w:hint="eastAsia" w:ascii="宋体" w:hAnsi="宋体" w:cs="宋体"/>
                <w:szCs w:val="21"/>
                <w:highlight w:val="none"/>
              </w:rPr>
              <w:t>1台</w:t>
            </w:r>
          </w:p>
        </w:tc>
        <w:tc>
          <w:tcPr>
            <w:tcW w:w="1307" w:type="dxa"/>
            <w:vAlign w:val="center"/>
          </w:tcPr>
          <w:p>
            <w:pPr>
              <w:jc w:val="center"/>
              <w:textAlignment w:val="center"/>
              <w:rPr>
                <w:rFonts w:ascii="宋体" w:hAnsi="宋体" w:cs="宋体"/>
                <w:szCs w:val="21"/>
                <w:highlight w:val="none"/>
              </w:rPr>
            </w:pPr>
            <w:r>
              <w:rPr>
                <w:rFonts w:hint="eastAsia" w:ascii="宋体" w:hAnsi="宋体" w:cs="宋体"/>
                <w:szCs w:val="21"/>
                <w:highlight w:val="none"/>
              </w:rPr>
              <w:t>用于清洗垃圾桶</w:t>
            </w:r>
          </w:p>
        </w:tc>
        <w:tc>
          <w:tcPr>
            <w:tcW w:w="4621" w:type="dxa"/>
            <w:vAlign w:val="center"/>
          </w:tcPr>
          <w:p>
            <w:pPr>
              <w:jc w:val="left"/>
              <w:textAlignment w:val="center"/>
              <w:rPr>
                <w:rFonts w:ascii="宋体" w:hAnsi="宋体" w:cs="宋体"/>
                <w:szCs w:val="21"/>
                <w:highlight w:val="none"/>
              </w:rPr>
            </w:pPr>
            <w:r>
              <w:rPr>
                <w:rFonts w:hint="eastAsia" w:ascii="宋体" w:hAnsi="宋体" w:cs="宋体"/>
                <w:szCs w:val="21"/>
                <w:highlight w:val="none"/>
              </w:rPr>
              <w:t>电压：220V</w:t>
            </w:r>
          </w:p>
          <w:p>
            <w:pPr>
              <w:jc w:val="left"/>
              <w:textAlignment w:val="center"/>
              <w:rPr>
                <w:rFonts w:ascii="宋体" w:hAnsi="宋体" w:cs="宋体"/>
                <w:szCs w:val="21"/>
                <w:highlight w:val="none"/>
              </w:rPr>
            </w:pPr>
            <w:r>
              <w:rPr>
                <w:rFonts w:hint="eastAsia" w:ascii="宋体" w:hAnsi="宋体" w:cs="宋体"/>
                <w:szCs w:val="21"/>
                <w:highlight w:val="none"/>
              </w:rPr>
              <w:t>功率：1.4 KW</w:t>
            </w:r>
          </w:p>
          <w:p>
            <w:pPr>
              <w:jc w:val="left"/>
              <w:textAlignment w:val="center"/>
              <w:rPr>
                <w:rFonts w:ascii="宋体" w:hAnsi="宋体" w:cs="宋体"/>
                <w:szCs w:val="21"/>
                <w:highlight w:val="none"/>
              </w:rPr>
            </w:pPr>
            <w:r>
              <w:rPr>
                <w:rFonts w:hint="eastAsia" w:ascii="宋体" w:hAnsi="宋体" w:cs="宋体"/>
                <w:szCs w:val="21"/>
                <w:highlight w:val="none"/>
              </w:rPr>
              <w:t>出水压力：≥100 Bar</w:t>
            </w:r>
          </w:p>
        </w:tc>
        <w:tc>
          <w:tcPr>
            <w:tcW w:w="1327"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格兰富</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南方特泵</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凯泉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692" w:type="dxa"/>
            <w:vAlign w:val="center"/>
          </w:tcPr>
          <w:p>
            <w:pPr>
              <w:jc w:val="center"/>
              <w:rPr>
                <w:rFonts w:ascii="宋体" w:hAnsi="宋体" w:cs="宋体"/>
                <w:szCs w:val="21"/>
                <w:highlight w:val="none"/>
              </w:rPr>
            </w:pPr>
            <w:r>
              <w:rPr>
                <w:rFonts w:hint="eastAsia" w:ascii="宋体" w:hAnsi="宋体" w:cs="宋体"/>
                <w:szCs w:val="21"/>
                <w:highlight w:val="none"/>
              </w:rPr>
              <w:t>2</w:t>
            </w:r>
          </w:p>
        </w:tc>
        <w:tc>
          <w:tcPr>
            <w:tcW w:w="1255" w:type="dxa"/>
            <w:vAlign w:val="center"/>
          </w:tcPr>
          <w:p>
            <w:pPr>
              <w:jc w:val="center"/>
              <w:rPr>
                <w:rFonts w:ascii="宋体" w:hAnsi="宋体" w:cs="宋体"/>
                <w:szCs w:val="21"/>
                <w:highlight w:val="none"/>
              </w:rPr>
            </w:pPr>
            <w:r>
              <w:rPr>
                <w:rFonts w:hint="eastAsia" w:ascii="宋体" w:hAnsi="宋体" w:cs="宋体"/>
                <w:szCs w:val="21"/>
                <w:highlight w:val="none"/>
              </w:rPr>
              <w:t>拖把池</w:t>
            </w:r>
          </w:p>
        </w:tc>
        <w:tc>
          <w:tcPr>
            <w:tcW w:w="772" w:type="dxa"/>
            <w:vAlign w:val="center"/>
          </w:tcPr>
          <w:p>
            <w:pPr>
              <w:jc w:val="center"/>
              <w:rPr>
                <w:rFonts w:ascii="宋体" w:hAnsi="宋体" w:cs="宋体"/>
                <w:szCs w:val="21"/>
                <w:highlight w:val="none"/>
              </w:rPr>
            </w:pPr>
            <w:r>
              <w:rPr>
                <w:rFonts w:hint="eastAsia" w:ascii="宋体" w:hAnsi="宋体" w:cs="宋体"/>
                <w:szCs w:val="21"/>
                <w:highlight w:val="none"/>
              </w:rPr>
              <w:t>1个</w:t>
            </w:r>
          </w:p>
        </w:tc>
        <w:tc>
          <w:tcPr>
            <w:tcW w:w="1307" w:type="dxa"/>
            <w:vAlign w:val="center"/>
          </w:tcPr>
          <w:p>
            <w:pPr>
              <w:jc w:val="center"/>
              <w:rPr>
                <w:rFonts w:ascii="宋体" w:hAnsi="宋体" w:cs="宋体"/>
                <w:szCs w:val="21"/>
                <w:highlight w:val="none"/>
              </w:rPr>
            </w:pPr>
            <w:r>
              <w:rPr>
                <w:rFonts w:hint="eastAsia" w:ascii="宋体" w:hAnsi="宋体" w:cs="宋体"/>
                <w:szCs w:val="21"/>
                <w:highlight w:val="none"/>
              </w:rPr>
              <w:t>用于清洁内部</w:t>
            </w:r>
          </w:p>
        </w:tc>
        <w:tc>
          <w:tcPr>
            <w:tcW w:w="4621" w:type="dxa"/>
            <w:vAlign w:val="center"/>
          </w:tcPr>
          <w:p>
            <w:pPr>
              <w:jc w:val="left"/>
              <w:rPr>
                <w:rFonts w:ascii="宋体" w:hAnsi="宋体" w:cs="宋体"/>
                <w:szCs w:val="21"/>
                <w:highlight w:val="none"/>
              </w:rPr>
            </w:pPr>
            <w:r>
              <w:rPr>
                <w:rFonts w:hint="eastAsia" w:ascii="宋体" w:hAnsi="宋体" w:cs="宋体"/>
                <w:szCs w:val="21"/>
                <w:highlight w:val="none"/>
              </w:rPr>
              <w:t>不锈钢或陶瓷材质</w:t>
            </w:r>
          </w:p>
        </w:tc>
        <w:tc>
          <w:tcPr>
            <w:tcW w:w="1327"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九牧</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箭牌</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美标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692" w:type="dxa"/>
            <w:vAlign w:val="center"/>
          </w:tcPr>
          <w:p>
            <w:pPr>
              <w:jc w:val="center"/>
              <w:rPr>
                <w:rFonts w:ascii="宋体" w:hAnsi="宋体" w:cs="宋体"/>
                <w:szCs w:val="21"/>
                <w:highlight w:val="none"/>
              </w:rPr>
            </w:pPr>
            <w:r>
              <w:rPr>
                <w:rFonts w:hint="eastAsia" w:ascii="宋体" w:hAnsi="宋体" w:cs="宋体"/>
                <w:szCs w:val="21"/>
                <w:highlight w:val="none"/>
              </w:rPr>
              <w:t>3</w:t>
            </w:r>
          </w:p>
        </w:tc>
        <w:tc>
          <w:tcPr>
            <w:tcW w:w="1255" w:type="dxa"/>
            <w:vAlign w:val="center"/>
          </w:tcPr>
          <w:p>
            <w:pPr>
              <w:jc w:val="center"/>
              <w:rPr>
                <w:rFonts w:ascii="宋体" w:hAnsi="宋体" w:cs="宋体"/>
                <w:szCs w:val="21"/>
                <w:highlight w:val="none"/>
              </w:rPr>
            </w:pPr>
            <w:r>
              <w:rPr>
                <w:rFonts w:hint="eastAsia" w:ascii="宋体" w:hAnsi="宋体" w:cs="宋体"/>
                <w:szCs w:val="21"/>
                <w:highlight w:val="none"/>
              </w:rPr>
              <w:t>洗手池</w:t>
            </w:r>
          </w:p>
        </w:tc>
        <w:tc>
          <w:tcPr>
            <w:tcW w:w="772" w:type="dxa"/>
            <w:vAlign w:val="center"/>
          </w:tcPr>
          <w:p>
            <w:pPr>
              <w:jc w:val="center"/>
              <w:rPr>
                <w:rFonts w:ascii="宋体" w:hAnsi="宋体" w:cs="宋体"/>
                <w:szCs w:val="21"/>
                <w:highlight w:val="none"/>
              </w:rPr>
            </w:pPr>
            <w:r>
              <w:rPr>
                <w:rFonts w:hint="eastAsia" w:ascii="宋体" w:hAnsi="宋体" w:cs="宋体"/>
                <w:szCs w:val="21"/>
                <w:highlight w:val="none"/>
              </w:rPr>
              <w:t>1个</w:t>
            </w:r>
          </w:p>
        </w:tc>
        <w:tc>
          <w:tcPr>
            <w:tcW w:w="1307" w:type="dxa"/>
            <w:vAlign w:val="center"/>
          </w:tcPr>
          <w:p>
            <w:pPr>
              <w:jc w:val="center"/>
              <w:rPr>
                <w:rFonts w:ascii="宋体" w:hAnsi="宋体" w:cs="宋体"/>
                <w:szCs w:val="21"/>
                <w:highlight w:val="none"/>
              </w:rPr>
            </w:pPr>
            <w:r>
              <w:rPr>
                <w:rFonts w:hint="eastAsia" w:ascii="宋体" w:hAnsi="宋体" w:cs="宋体"/>
                <w:szCs w:val="21"/>
                <w:highlight w:val="none"/>
              </w:rPr>
              <w:t>方便投放垃圾后清洁</w:t>
            </w:r>
          </w:p>
        </w:tc>
        <w:tc>
          <w:tcPr>
            <w:tcW w:w="4621" w:type="dxa"/>
            <w:vAlign w:val="center"/>
          </w:tcPr>
          <w:p>
            <w:pPr>
              <w:jc w:val="left"/>
              <w:rPr>
                <w:rFonts w:ascii="宋体" w:hAnsi="宋体" w:cs="宋体"/>
                <w:szCs w:val="21"/>
                <w:highlight w:val="none"/>
              </w:rPr>
            </w:pPr>
            <w:r>
              <w:rPr>
                <w:rFonts w:hint="eastAsia" w:ascii="宋体" w:hAnsi="宋体" w:cs="宋体"/>
                <w:szCs w:val="21"/>
                <w:highlight w:val="none"/>
              </w:rPr>
              <w:t>不锈钢或陶瓷材质</w:t>
            </w:r>
          </w:p>
        </w:tc>
        <w:tc>
          <w:tcPr>
            <w:tcW w:w="1327"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九牧</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箭牌</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美标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692" w:type="dxa"/>
            <w:vAlign w:val="center"/>
          </w:tcPr>
          <w:p>
            <w:pPr>
              <w:jc w:val="center"/>
              <w:rPr>
                <w:rFonts w:ascii="宋体" w:hAnsi="宋体" w:cs="宋体"/>
                <w:szCs w:val="21"/>
                <w:highlight w:val="none"/>
              </w:rPr>
            </w:pPr>
            <w:r>
              <w:rPr>
                <w:rFonts w:hint="eastAsia" w:ascii="宋体" w:hAnsi="宋体" w:cs="宋体"/>
                <w:szCs w:val="21"/>
                <w:highlight w:val="none"/>
              </w:rPr>
              <w:t>4</w:t>
            </w:r>
          </w:p>
        </w:tc>
        <w:tc>
          <w:tcPr>
            <w:tcW w:w="1255" w:type="dxa"/>
            <w:vAlign w:val="center"/>
          </w:tcPr>
          <w:p>
            <w:pPr>
              <w:jc w:val="center"/>
              <w:rPr>
                <w:rFonts w:ascii="宋体" w:hAnsi="宋体" w:cs="宋体"/>
                <w:szCs w:val="21"/>
                <w:highlight w:val="none"/>
              </w:rPr>
            </w:pPr>
            <w:r>
              <w:rPr>
                <w:rFonts w:hint="eastAsia" w:ascii="宋体" w:hAnsi="宋体" w:cs="宋体"/>
                <w:szCs w:val="21"/>
                <w:highlight w:val="none"/>
              </w:rPr>
              <w:t>灭火器</w:t>
            </w:r>
          </w:p>
        </w:tc>
        <w:tc>
          <w:tcPr>
            <w:tcW w:w="772" w:type="dxa"/>
            <w:vAlign w:val="center"/>
          </w:tcPr>
          <w:p>
            <w:pPr>
              <w:jc w:val="center"/>
              <w:rPr>
                <w:rFonts w:ascii="宋体" w:hAnsi="宋体" w:cs="宋体"/>
                <w:szCs w:val="21"/>
                <w:highlight w:val="none"/>
              </w:rPr>
            </w:pPr>
            <w:r>
              <w:rPr>
                <w:rFonts w:hint="eastAsia" w:ascii="宋体" w:hAnsi="宋体" w:cs="宋体"/>
                <w:szCs w:val="21"/>
                <w:highlight w:val="none"/>
              </w:rPr>
              <w:t>1个</w:t>
            </w:r>
          </w:p>
        </w:tc>
        <w:tc>
          <w:tcPr>
            <w:tcW w:w="1307" w:type="dxa"/>
            <w:vAlign w:val="center"/>
          </w:tcPr>
          <w:p>
            <w:pPr>
              <w:jc w:val="center"/>
              <w:rPr>
                <w:rFonts w:ascii="宋体" w:hAnsi="宋体" w:cs="宋体"/>
                <w:szCs w:val="21"/>
                <w:highlight w:val="none"/>
              </w:rPr>
            </w:pPr>
            <w:r>
              <w:rPr>
                <w:rFonts w:hint="eastAsia" w:ascii="宋体" w:hAnsi="宋体" w:cs="宋体"/>
                <w:szCs w:val="21"/>
                <w:highlight w:val="none"/>
              </w:rPr>
              <w:t>应对火情</w:t>
            </w:r>
          </w:p>
        </w:tc>
        <w:tc>
          <w:tcPr>
            <w:tcW w:w="4621" w:type="dxa"/>
            <w:vAlign w:val="center"/>
          </w:tcPr>
          <w:p>
            <w:pPr>
              <w:jc w:val="left"/>
              <w:textAlignment w:val="center"/>
              <w:rPr>
                <w:rFonts w:ascii="宋体" w:hAnsi="宋体" w:cs="宋体"/>
                <w:szCs w:val="21"/>
                <w:highlight w:val="none"/>
              </w:rPr>
            </w:pPr>
            <w:r>
              <w:rPr>
                <w:rFonts w:hint="eastAsia" w:ascii="宋体" w:hAnsi="宋体" w:cs="宋体"/>
                <w:szCs w:val="21"/>
                <w:highlight w:val="none"/>
              </w:rPr>
              <w:t>干粉灭火器</w:t>
            </w:r>
          </w:p>
          <w:p>
            <w:pPr>
              <w:jc w:val="left"/>
              <w:textAlignment w:val="center"/>
              <w:rPr>
                <w:rFonts w:ascii="宋体" w:hAnsi="宋体" w:cs="宋体"/>
                <w:szCs w:val="21"/>
                <w:highlight w:val="none"/>
              </w:rPr>
            </w:pPr>
            <w:r>
              <w:rPr>
                <w:rFonts w:hint="eastAsia" w:ascii="宋体" w:hAnsi="宋体" w:cs="宋体"/>
                <w:szCs w:val="21"/>
                <w:highlight w:val="none"/>
              </w:rPr>
              <w:t>容量：</w:t>
            </w:r>
            <w:r>
              <w:rPr>
                <w:rFonts w:hint="eastAsia" w:ascii="宋体" w:hAnsi="宋体" w:cs="宋体"/>
                <w:kern w:val="0"/>
                <w:szCs w:val="21"/>
                <w:highlight w:val="none"/>
              </w:rPr>
              <w:t>4kg</w:t>
            </w:r>
          </w:p>
          <w:p>
            <w:pPr>
              <w:jc w:val="left"/>
              <w:textAlignment w:val="center"/>
              <w:rPr>
                <w:rFonts w:ascii="宋体" w:hAnsi="宋体" w:cs="宋体"/>
                <w:szCs w:val="21"/>
                <w:highlight w:val="none"/>
              </w:rPr>
            </w:pPr>
            <w:r>
              <w:rPr>
                <w:rFonts w:hint="eastAsia" w:ascii="宋体" w:hAnsi="宋体" w:cs="宋体"/>
                <w:szCs w:val="21"/>
                <w:highlight w:val="none"/>
              </w:rPr>
              <w:t>产品质量须符合国家标准</w:t>
            </w:r>
          </w:p>
        </w:tc>
        <w:tc>
          <w:tcPr>
            <w:tcW w:w="1327"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海湾</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国泰消防</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北大青鸟消防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 w:hRule="atLeast"/>
        </w:trPr>
        <w:tc>
          <w:tcPr>
            <w:tcW w:w="692" w:type="dxa"/>
            <w:vAlign w:val="center"/>
          </w:tcPr>
          <w:p>
            <w:pPr>
              <w:jc w:val="center"/>
              <w:rPr>
                <w:rFonts w:ascii="宋体" w:hAnsi="宋体" w:cs="宋体"/>
                <w:szCs w:val="21"/>
                <w:highlight w:val="none"/>
              </w:rPr>
            </w:pPr>
            <w:r>
              <w:rPr>
                <w:rFonts w:hint="eastAsia" w:ascii="宋体" w:hAnsi="宋体" w:cs="宋体"/>
                <w:szCs w:val="21"/>
                <w:highlight w:val="none"/>
              </w:rPr>
              <w:t>5</w:t>
            </w:r>
          </w:p>
        </w:tc>
        <w:tc>
          <w:tcPr>
            <w:tcW w:w="1255" w:type="dxa"/>
            <w:vAlign w:val="center"/>
          </w:tcPr>
          <w:p>
            <w:pPr>
              <w:jc w:val="center"/>
              <w:rPr>
                <w:rFonts w:ascii="宋体" w:hAnsi="宋体" w:cs="宋体"/>
                <w:szCs w:val="21"/>
                <w:highlight w:val="none"/>
              </w:rPr>
            </w:pPr>
            <w:r>
              <w:rPr>
                <w:rFonts w:hint="eastAsia" w:ascii="宋体" w:hAnsi="宋体" w:cs="宋体"/>
                <w:szCs w:val="21"/>
                <w:highlight w:val="none"/>
              </w:rPr>
              <w:t>开关及插座面板</w:t>
            </w:r>
          </w:p>
        </w:tc>
        <w:tc>
          <w:tcPr>
            <w:tcW w:w="772" w:type="dxa"/>
            <w:vAlign w:val="center"/>
          </w:tcPr>
          <w:p>
            <w:pPr>
              <w:jc w:val="center"/>
              <w:rPr>
                <w:rFonts w:ascii="宋体" w:hAnsi="宋体" w:cs="宋体"/>
                <w:szCs w:val="21"/>
                <w:highlight w:val="none"/>
              </w:rPr>
            </w:pPr>
            <w:r>
              <w:rPr>
                <w:rFonts w:hint="eastAsia" w:ascii="宋体" w:hAnsi="宋体" w:cs="宋体"/>
                <w:szCs w:val="21"/>
                <w:highlight w:val="none"/>
              </w:rPr>
              <w:t>1组</w:t>
            </w:r>
          </w:p>
        </w:tc>
        <w:tc>
          <w:tcPr>
            <w:tcW w:w="1307" w:type="dxa"/>
            <w:vAlign w:val="center"/>
          </w:tcPr>
          <w:p>
            <w:pPr>
              <w:jc w:val="center"/>
              <w:rPr>
                <w:rFonts w:ascii="宋体" w:hAnsi="宋体" w:cs="宋体"/>
                <w:szCs w:val="21"/>
                <w:highlight w:val="none"/>
              </w:rPr>
            </w:pPr>
            <w:r>
              <w:rPr>
                <w:rFonts w:hint="eastAsia" w:ascii="宋体" w:hAnsi="宋体" w:cs="宋体"/>
                <w:szCs w:val="21"/>
                <w:highlight w:val="none"/>
              </w:rPr>
              <w:t>对内需提供电源</w:t>
            </w:r>
          </w:p>
        </w:tc>
        <w:tc>
          <w:tcPr>
            <w:tcW w:w="4621" w:type="dxa"/>
            <w:vAlign w:val="center"/>
          </w:tcPr>
          <w:p>
            <w:pPr>
              <w:jc w:val="left"/>
              <w:textAlignment w:val="center"/>
              <w:rPr>
                <w:rFonts w:ascii="宋体" w:hAnsi="宋体" w:cs="宋体"/>
                <w:szCs w:val="21"/>
                <w:highlight w:val="none"/>
              </w:rPr>
            </w:pPr>
            <w:r>
              <w:rPr>
                <w:rFonts w:hint="eastAsia" w:ascii="宋体" w:hAnsi="宋体" w:cs="宋体"/>
                <w:szCs w:val="21"/>
                <w:highlight w:val="none"/>
              </w:rPr>
              <w:t>10A五孔，根据现场安装需求配备</w:t>
            </w:r>
          </w:p>
        </w:tc>
        <w:tc>
          <w:tcPr>
            <w:tcW w:w="1327"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ABB</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西门子</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施耐德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4" w:hRule="atLeast"/>
        </w:trPr>
        <w:tc>
          <w:tcPr>
            <w:tcW w:w="692" w:type="dxa"/>
            <w:vAlign w:val="center"/>
          </w:tcPr>
          <w:p>
            <w:pPr>
              <w:jc w:val="center"/>
              <w:rPr>
                <w:rFonts w:ascii="宋体" w:hAnsi="宋体" w:cs="宋体"/>
                <w:szCs w:val="21"/>
                <w:highlight w:val="none"/>
              </w:rPr>
            </w:pPr>
            <w:r>
              <w:rPr>
                <w:rFonts w:hint="eastAsia" w:ascii="宋体" w:hAnsi="宋体" w:cs="宋体"/>
                <w:szCs w:val="21"/>
                <w:highlight w:val="none"/>
              </w:rPr>
              <w:t>6</w:t>
            </w:r>
          </w:p>
        </w:tc>
        <w:tc>
          <w:tcPr>
            <w:tcW w:w="1255" w:type="dxa"/>
            <w:vAlign w:val="center"/>
          </w:tcPr>
          <w:p>
            <w:pPr>
              <w:jc w:val="center"/>
              <w:rPr>
                <w:rFonts w:ascii="宋体" w:hAnsi="宋体" w:cs="宋体"/>
                <w:szCs w:val="21"/>
                <w:highlight w:val="none"/>
              </w:rPr>
            </w:pPr>
            <w:r>
              <w:rPr>
                <w:rFonts w:hint="eastAsia" w:ascii="宋体" w:hAnsi="宋体" w:cs="宋体"/>
                <w:szCs w:val="21"/>
                <w:highlight w:val="none"/>
              </w:rPr>
              <w:t>除臭设备</w:t>
            </w:r>
          </w:p>
        </w:tc>
        <w:tc>
          <w:tcPr>
            <w:tcW w:w="772" w:type="dxa"/>
            <w:vAlign w:val="center"/>
          </w:tcPr>
          <w:p>
            <w:pPr>
              <w:jc w:val="center"/>
              <w:rPr>
                <w:rFonts w:ascii="宋体" w:hAnsi="宋体" w:cs="宋体"/>
                <w:szCs w:val="21"/>
                <w:highlight w:val="none"/>
              </w:rPr>
            </w:pPr>
            <w:r>
              <w:rPr>
                <w:rFonts w:hint="eastAsia" w:ascii="宋体" w:hAnsi="宋体" w:cs="宋体"/>
                <w:szCs w:val="21"/>
                <w:highlight w:val="none"/>
              </w:rPr>
              <w:t>1个</w:t>
            </w:r>
          </w:p>
        </w:tc>
        <w:tc>
          <w:tcPr>
            <w:tcW w:w="1307" w:type="dxa"/>
            <w:vAlign w:val="center"/>
          </w:tcPr>
          <w:p>
            <w:pPr>
              <w:jc w:val="center"/>
              <w:rPr>
                <w:rFonts w:ascii="宋体" w:hAnsi="宋体" w:cs="宋体"/>
                <w:szCs w:val="21"/>
                <w:highlight w:val="none"/>
              </w:rPr>
            </w:pPr>
            <w:r>
              <w:rPr>
                <w:rFonts w:hint="eastAsia" w:ascii="宋体" w:hAnsi="宋体" w:cs="宋体"/>
                <w:szCs w:val="21"/>
                <w:highlight w:val="none"/>
              </w:rPr>
              <w:t>清除投放点异味</w:t>
            </w:r>
          </w:p>
        </w:tc>
        <w:tc>
          <w:tcPr>
            <w:tcW w:w="4621" w:type="dxa"/>
            <w:vAlign w:val="center"/>
          </w:tcPr>
          <w:p>
            <w:pPr>
              <w:jc w:val="left"/>
              <w:textAlignment w:val="center"/>
              <w:rPr>
                <w:rFonts w:ascii="宋体" w:hAnsi="宋体" w:cs="宋体"/>
                <w:szCs w:val="21"/>
                <w:highlight w:val="none"/>
              </w:rPr>
            </w:pPr>
            <w:r>
              <w:rPr>
                <w:rFonts w:hint="eastAsia" w:ascii="宋体" w:hAnsi="宋体" w:cs="宋体"/>
                <w:szCs w:val="21"/>
                <w:highlight w:val="none"/>
              </w:rPr>
              <w:t>采用光触媒或异味控制杀菌机(处理风量980m3/h)</w:t>
            </w:r>
          </w:p>
          <w:p>
            <w:pPr>
              <w:jc w:val="left"/>
              <w:textAlignment w:val="center"/>
              <w:rPr>
                <w:rFonts w:ascii="宋体" w:hAnsi="宋体" w:cs="宋体"/>
                <w:szCs w:val="21"/>
                <w:highlight w:val="none"/>
              </w:rPr>
            </w:pPr>
            <w:r>
              <w:rPr>
                <w:rFonts w:hint="eastAsia" w:ascii="宋体" w:hAnsi="宋体" w:cs="宋体"/>
                <w:szCs w:val="21"/>
                <w:highlight w:val="none"/>
              </w:rPr>
              <w:t>处理主要污染气体：H2S、NH3、甲硫醇、甲硫醚</w:t>
            </w:r>
          </w:p>
        </w:tc>
        <w:tc>
          <w:tcPr>
            <w:tcW w:w="1327"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连成</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一环</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西神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9" w:hRule="atLeast"/>
        </w:trPr>
        <w:tc>
          <w:tcPr>
            <w:tcW w:w="692" w:type="dxa"/>
            <w:vAlign w:val="center"/>
          </w:tcPr>
          <w:p>
            <w:pPr>
              <w:jc w:val="center"/>
              <w:rPr>
                <w:rFonts w:ascii="宋体" w:hAnsi="宋体" w:cs="宋体"/>
                <w:szCs w:val="21"/>
                <w:highlight w:val="none"/>
              </w:rPr>
            </w:pPr>
            <w:r>
              <w:rPr>
                <w:rFonts w:hint="eastAsia" w:ascii="宋体" w:hAnsi="宋体" w:cs="宋体"/>
                <w:szCs w:val="21"/>
                <w:highlight w:val="none"/>
              </w:rPr>
              <w:t>7</w:t>
            </w:r>
          </w:p>
        </w:tc>
        <w:tc>
          <w:tcPr>
            <w:tcW w:w="1255" w:type="dxa"/>
            <w:vAlign w:val="center"/>
          </w:tcPr>
          <w:p>
            <w:pPr>
              <w:jc w:val="center"/>
              <w:rPr>
                <w:rFonts w:ascii="宋体" w:hAnsi="宋体" w:cs="宋体"/>
                <w:szCs w:val="21"/>
                <w:highlight w:val="none"/>
              </w:rPr>
            </w:pPr>
            <w:r>
              <w:rPr>
                <w:rFonts w:hint="eastAsia" w:ascii="宋体" w:hAnsi="宋体" w:cs="宋体"/>
                <w:szCs w:val="21"/>
                <w:highlight w:val="none"/>
              </w:rPr>
              <w:t>监控系统</w:t>
            </w:r>
          </w:p>
        </w:tc>
        <w:tc>
          <w:tcPr>
            <w:tcW w:w="772" w:type="dxa"/>
            <w:vAlign w:val="center"/>
          </w:tcPr>
          <w:p>
            <w:pPr>
              <w:jc w:val="center"/>
              <w:rPr>
                <w:rFonts w:ascii="宋体" w:hAnsi="宋体" w:cs="宋体"/>
                <w:szCs w:val="21"/>
                <w:highlight w:val="none"/>
              </w:rPr>
            </w:pPr>
            <w:r>
              <w:rPr>
                <w:rFonts w:hint="eastAsia" w:ascii="宋体" w:hAnsi="宋体" w:cs="宋体"/>
                <w:szCs w:val="21"/>
                <w:highlight w:val="none"/>
              </w:rPr>
              <w:t>1套</w:t>
            </w:r>
          </w:p>
        </w:tc>
        <w:tc>
          <w:tcPr>
            <w:tcW w:w="1307" w:type="dxa"/>
            <w:vAlign w:val="center"/>
          </w:tcPr>
          <w:p>
            <w:pPr>
              <w:jc w:val="center"/>
              <w:rPr>
                <w:rFonts w:ascii="宋体" w:hAnsi="宋体" w:cs="宋体"/>
                <w:szCs w:val="21"/>
                <w:highlight w:val="none"/>
              </w:rPr>
            </w:pPr>
            <w:r>
              <w:rPr>
                <w:rFonts w:hint="eastAsia" w:ascii="宋体" w:hAnsi="宋体" w:cs="宋体"/>
                <w:szCs w:val="21"/>
                <w:highlight w:val="none"/>
              </w:rPr>
              <w:t>（1）外部监控可以实时监控回收站周边的情况，用来分析环境信息，监控居民投递情况。</w:t>
            </w:r>
          </w:p>
          <w:p>
            <w:pPr>
              <w:jc w:val="center"/>
              <w:rPr>
                <w:rFonts w:ascii="宋体" w:hAnsi="宋体" w:cs="宋体"/>
                <w:szCs w:val="21"/>
                <w:highlight w:val="none"/>
              </w:rPr>
            </w:pPr>
            <w:r>
              <w:rPr>
                <w:rFonts w:hint="eastAsia" w:ascii="宋体" w:hAnsi="宋体" w:cs="宋体"/>
                <w:szCs w:val="21"/>
                <w:highlight w:val="none"/>
              </w:rPr>
              <w:t>（2）内部监控，监控记录清运操作；环境状况</w:t>
            </w:r>
          </w:p>
        </w:tc>
        <w:tc>
          <w:tcPr>
            <w:tcW w:w="4621" w:type="dxa"/>
            <w:vAlign w:val="center"/>
          </w:tcPr>
          <w:p>
            <w:pPr>
              <w:jc w:val="left"/>
              <w:rPr>
                <w:rFonts w:ascii="宋体" w:hAnsi="宋体" w:cs="宋体"/>
                <w:szCs w:val="21"/>
                <w:highlight w:val="none"/>
              </w:rPr>
            </w:pPr>
          </w:p>
          <w:p>
            <w:pPr>
              <w:jc w:val="left"/>
              <w:rPr>
                <w:rFonts w:ascii="宋体" w:hAnsi="宋体" w:cs="宋体"/>
                <w:szCs w:val="21"/>
                <w:highlight w:val="none"/>
              </w:rPr>
            </w:pPr>
          </w:p>
          <w:p>
            <w:pPr>
              <w:jc w:val="left"/>
              <w:textAlignment w:val="center"/>
              <w:rPr>
                <w:rFonts w:ascii="宋体" w:hAnsi="宋体" w:cs="宋体"/>
                <w:szCs w:val="21"/>
                <w:highlight w:val="none"/>
              </w:rPr>
            </w:pPr>
            <w:r>
              <w:rPr>
                <w:rFonts w:hint="eastAsia" w:ascii="宋体" w:hAnsi="宋体" w:cs="宋体"/>
                <w:szCs w:val="21"/>
                <w:highlight w:val="none"/>
              </w:rPr>
              <w:t>像素：≥200万</w:t>
            </w:r>
          </w:p>
          <w:p>
            <w:pPr>
              <w:pStyle w:val="17"/>
              <w:rPr>
                <w:rFonts w:ascii="宋体" w:hAnsi="宋体" w:cs="宋体"/>
                <w:szCs w:val="21"/>
                <w:highlight w:val="none"/>
              </w:rPr>
            </w:pPr>
            <w:r>
              <w:rPr>
                <w:rFonts w:hint="eastAsia" w:ascii="宋体" w:hAnsi="宋体" w:cs="宋体"/>
                <w:szCs w:val="21"/>
                <w:highlight w:val="none"/>
              </w:rPr>
              <w:t>图像设置 :旋转模式，存储卡：1张存储形式：插卡形式，要求：存贮量符合常规存贮≥3天，自动续存；系统兼容免费开放。</w:t>
            </w:r>
          </w:p>
          <w:p>
            <w:pPr>
              <w:jc w:val="left"/>
              <w:textAlignment w:val="center"/>
              <w:rPr>
                <w:rFonts w:ascii="宋体" w:hAnsi="宋体" w:cs="宋体"/>
                <w:szCs w:val="21"/>
                <w:highlight w:val="none"/>
              </w:rPr>
            </w:pPr>
          </w:p>
        </w:tc>
        <w:tc>
          <w:tcPr>
            <w:tcW w:w="1327" w:type="dxa"/>
            <w:vAlign w:val="center"/>
          </w:tcPr>
          <w:p>
            <w:pPr>
              <w:pStyle w:val="14"/>
              <w:ind w:firstLine="0"/>
              <w:jc w:val="center"/>
              <w:rPr>
                <w:rFonts w:ascii="宋体" w:hAnsi="宋体" w:cs="宋体"/>
                <w:b w:val="0"/>
                <w:bCs/>
                <w:sz w:val="21"/>
                <w:szCs w:val="21"/>
                <w:highlight w:val="none"/>
              </w:rPr>
            </w:pPr>
            <w:r>
              <w:rPr>
                <w:rFonts w:hint="eastAsia" w:ascii="宋体" w:hAnsi="宋体" w:cs="宋体"/>
                <w:b w:val="0"/>
                <w:bCs/>
                <w:sz w:val="21"/>
                <w:szCs w:val="21"/>
                <w:highlight w:val="none"/>
              </w:rPr>
              <w:t>海康威视</w:t>
            </w:r>
          </w:p>
          <w:p>
            <w:pPr>
              <w:pStyle w:val="14"/>
              <w:ind w:firstLine="0"/>
              <w:jc w:val="center"/>
              <w:rPr>
                <w:rFonts w:ascii="宋体" w:hAnsi="宋体" w:cs="宋体"/>
                <w:b w:val="0"/>
                <w:bCs/>
                <w:sz w:val="21"/>
                <w:szCs w:val="21"/>
                <w:highlight w:val="none"/>
              </w:rPr>
            </w:pPr>
            <w:r>
              <w:rPr>
                <w:rFonts w:hint="eastAsia" w:ascii="宋体" w:hAnsi="宋体" w:cs="宋体"/>
                <w:b w:val="0"/>
                <w:bCs/>
                <w:sz w:val="21"/>
                <w:szCs w:val="21"/>
                <w:highlight w:val="none"/>
              </w:rPr>
              <w:t>大华</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霍尼韦尔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4" w:hRule="atLeast"/>
        </w:trPr>
        <w:tc>
          <w:tcPr>
            <w:tcW w:w="692" w:type="dxa"/>
            <w:vAlign w:val="center"/>
          </w:tcPr>
          <w:p>
            <w:pPr>
              <w:jc w:val="center"/>
              <w:rPr>
                <w:rFonts w:ascii="宋体" w:hAnsi="宋体" w:cs="宋体"/>
                <w:szCs w:val="21"/>
                <w:highlight w:val="none"/>
              </w:rPr>
            </w:pPr>
            <w:r>
              <w:rPr>
                <w:rFonts w:hint="eastAsia" w:ascii="宋体" w:hAnsi="宋体" w:cs="宋体"/>
                <w:szCs w:val="21"/>
                <w:highlight w:val="none"/>
              </w:rPr>
              <w:t>8</w:t>
            </w:r>
          </w:p>
        </w:tc>
        <w:tc>
          <w:tcPr>
            <w:tcW w:w="1255" w:type="dxa"/>
            <w:vAlign w:val="center"/>
          </w:tcPr>
          <w:p>
            <w:pPr>
              <w:jc w:val="center"/>
              <w:rPr>
                <w:rFonts w:ascii="宋体" w:hAnsi="宋体" w:cs="宋体"/>
                <w:szCs w:val="21"/>
                <w:highlight w:val="none"/>
              </w:rPr>
            </w:pPr>
            <w:r>
              <w:rPr>
                <w:rFonts w:hint="eastAsia" w:ascii="宋体" w:hAnsi="宋体" w:cs="宋体"/>
                <w:szCs w:val="21"/>
                <w:highlight w:val="none"/>
              </w:rPr>
              <w:t>指示照明灯</w:t>
            </w:r>
          </w:p>
        </w:tc>
        <w:tc>
          <w:tcPr>
            <w:tcW w:w="772" w:type="dxa"/>
            <w:vAlign w:val="center"/>
          </w:tcPr>
          <w:p>
            <w:pPr>
              <w:jc w:val="center"/>
              <w:rPr>
                <w:rFonts w:ascii="宋体" w:hAnsi="宋体" w:cs="宋体"/>
                <w:szCs w:val="21"/>
                <w:highlight w:val="none"/>
              </w:rPr>
            </w:pPr>
            <w:r>
              <w:rPr>
                <w:rFonts w:hint="eastAsia" w:ascii="宋体" w:hAnsi="宋体" w:cs="宋体"/>
                <w:szCs w:val="21"/>
                <w:highlight w:val="none"/>
              </w:rPr>
              <w:t>1组</w:t>
            </w:r>
          </w:p>
        </w:tc>
        <w:tc>
          <w:tcPr>
            <w:tcW w:w="1307" w:type="dxa"/>
            <w:vAlign w:val="center"/>
          </w:tcPr>
          <w:p>
            <w:pPr>
              <w:jc w:val="center"/>
              <w:rPr>
                <w:rFonts w:ascii="宋体" w:hAnsi="宋体" w:cs="宋体"/>
                <w:szCs w:val="21"/>
                <w:highlight w:val="none"/>
              </w:rPr>
            </w:pPr>
            <w:r>
              <w:rPr>
                <w:rFonts w:hint="eastAsia" w:ascii="宋体" w:hAnsi="宋体" w:cs="宋体"/>
                <w:szCs w:val="21"/>
                <w:highlight w:val="none"/>
              </w:rPr>
              <w:t>夜间指示照明灯，根据时间段设置显示</w:t>
            </w:r>
          </w:p>
        </w:tc>
        <w:tc>
          <w:tcPr>
            <w:tcW w:w="4621" w:type="dxa"/>
            <w:vAlign w:val="center"/>
          </w:tcPr>
          <w:p>
            <w:pPr>
              <w:jc w:val="left"/>
              <w:rPr>
                <w:rFonts w:ascii="宋体" w:hAnsi="宋体" w:cs="宋体"/>
                <w:szCs w:val="21"/>
                <w:highlight w:val="none"/>
              </w:rPr>
            </w:pPr>
            <w:r>
              <w:rPr>
                <w:rFonts w:hint="eastAsia" w:ascii="宋体" w:hAnsi="宋体" w:cs="宋体"/>
                <w:szCs w:val="21"/>
                <w:highlight w:val="none"/>
              </w:rPr>
              <w:t>LED节能灯具 5W，根据现场安装需求配备，满足垃圾房正常运行的需要</w:t>
            </w:r>
          </w:p>
        </w:tc>
        <w:tc>
          <w:tcPr>
            <w:tcW w:w="1327"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飞利浦</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雷士</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三雄极光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9" w:hRule="atLeast"/>
        </w:trPr>
        <w:tc>
          <w:tcPr>
            <w:tcW w:w="692" w:type="dxa"/>
            <w:vAlign w:val="center"/>
          </w:tcPr>
          <w:p>
            <w:pPr>
              <w:jc w:val="center"/>
              <w:rPr>
                <w:rFonts w:ascii="宋体" w:hAnsi="宋体" w:cs="宋体"/>
                <w:szCs w:val="21"/>
                <w:highlight w:val="none"/>
              </w:rPr>
            </w:pPr>
            <w:r>
              <w:rPr>
                <w:rFonts w:hint="eastAsia" w:ascii="宋体" w:hAnsi="宋体" w:cs="宋体"/>
                <w:szCs w:val="21"/>
                <w:highlight w:val="none"/>
              </w:rPr>
              <w:t>9</w:t>
            </w:r>
          </w:p>
        </w:tc>
        <w:tc>
          <w:tcPr>
            <w:tcW w:w="1255" w:type="dxa"/>
            <w:vAlign w:val="center"/>
          </w:tcPr>
          <w:p>
            <w:pPr>
              <w:jc w:val="center"/>
              <w:rPr>
                <w:rFonts w:ascii="宋体" w:hAnsi="宋体" w:cs="宋体"/>
                <w:szCs w:val="21"/>
                <w:highlight w:val="none"/>
              </w:rPr>
            </w:pPr>
            <w:r>
              <w:rPr>
                <w:rFonts w:hint="eastAsia" w:ascii="宋体" w:hAnsi="宋体" w:cs="宋体"/>
                <w:szCs w:val="21"/>
                <w:highlight w:val="none"/>
              </w:rPr>
              <w:t>空调</w:t>
            </w:r>
          </w:p>
        </w:tc>
        <w:tc>
          <w:tcPr>
            <w:tcW w:w="772" w:type="dxa"/>
            <w:vAlign w:val="center"/>
          </w:tcPr>
          <w:p>
            <w:pPr>
              <w:jc w:val="center"/>
              <w:rPr>
                <w:rFonts w:ascii="宋体" w:hAnsi="宋体" w:cs="宋体"/>
                <w:szCs w:val="21"/>
                <w:highlight w:val="none"/>
              </w:rPr>
            </w:pPr>
            <w:r>
              <w:rPr>
                <w:rFonts w:hint="eastAsia" w:ascii="宋体" w:hAnsi="宋体" w:cs="宋体"/>
                <w:szCs w:val="21"/>
                <w:highlight w:val="none"/>
              </w:rPr>
              <w:t>1台</w:t>
            </w:r>
          </w:p>
        </w:tc>
        <w:tc>
          <w:tcPr>
            <w:tcW w:w="1307" w:type="dxa"/>
            <w:vAlign w:val="center"/>
          </w:tcPr>
          <w:p>
            <w:pPr>
              <w:jc w:val="center"/>
              <w:rPr>
                <w:rFonts w:ascii="宋体" w:hAnsi="宋体" w:cs="宋体"/>
                <w:szCs w:val="21"/>
                <w:highlight w:val="none"/>
              </w:rPr>
            </w:pPr>
            <w:r>
              <w:rPr>
                <w:rFonts w:hint="eastAsia" w:ascii="宋体" w:hAnsi="宋体" w:cs="宋体"/>
                <w:szCs w:val="21"/>
                <w:highlight w:val="none"/>
              </w:rPr>
              <w:t>室内配置</w:t>
            </w:r>
          </w:p>
        </w:tc>
        <w:tc>
          <w:tcPr>
            <w:tcW w:w="4621" w:type="dxa"/>
            <w:vAlign w:val="center"/>
          </w:tcPr>
          <w:p>
            <w:pPr>
              <w:jc w:val="left"/>
              <w:rPr>
                <w:rFonts w:ascii="宋体" w:hAnsi="宋体" w:cs="宋体"/>
                <w:szCs w:val="21"/>
                <w:highlight w:val="none"/>
              </w:rPr>
            </w:pPr>
            <w:r>
              <w:rPr>
                <w:rFonts w:hint="eastAsia" w:ascii="宋体" w:hAnsi="宋体" w:cs="宋体"/>
                <w:kern w:val="0"/>
                <w:szCs w:val="21"/>
                <w:highlight w:val="none"/>
              </w:rPr>
              <w:t>1.5P，220V壁挂式、静音空调、冷暖类型</w:t>
            </w:r>
          </w:p>
        </w:tc>
        <w:tc>
          <w:tcPr>
            <w:tcW w:w="1327"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海尔</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格力</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美的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4" w:hRule="atLeast"/>
        </w:trPr>
        <w:tc>
          <w:tcPr>
            <w:tcW w:w="692" w:type="dxa"/>
            <w:vAlign w:val="center"/>
          </w:tcPr>
          <w:p>
            <w:pPr>
              <w:jc w:val="center"/>
              <w:rPr>
                <w:rFonts w:ascii="宋体" w:hAnsi="宋体" w:cs="宋体"/>
                <w:szCs w:val="21"/>
                <w:highlight w:val="none"/>
              </w:rPr>
            </w:pPr>
            <w:r>
              <w:rPr>
                <w:rFonts w:hint="eastAsia" w:ascii="宋体" w:hAnsi="宋体" w:cs="宋体"/>
                <w:szCs w:val="21"/>
                <w:highlight w:val="none"/>
              </w:rPr>
              <w:t>10</w:t>
            </w:r>
          </w:p>
        </w:tc>
        <w:tc>
          <w:tcPr>
            <w:tcW w:w="1255" w:type="dxa"/>
            <w:vAlign w:val="center"/>
          </w:tcPr>
          <w:p>
            <w:pPr>
              <w:jc w:val="center"/>
              <w:rPr>
                <w:rFonts w:ascii="宋体" w:hAnsi="宋体" w:cs="宋体"/>
                <w:szCs w:val="21"/>
                <w:highlight w:val="none"/>
              </w:rPr>
            </w:pPr>
            <w:r>
              <w:rPr>
                <w:rFonts w:hint="eastAsia" w:ascii="宋体" w:hAnsi="宋体" w:cs="宋体"/>
                <w:kern w:val="0"/>
                <w:szCs w:val="21"/>
                <w:highlight w:val="none"/>
              </w:rPr>
              <w:t>应急照明灯</w:t>
            </w:r>
          </w:p>
        </w:tc>
        <w:tc>
          <w:tcPr>
            <w:tcW w:w="772" w:type="dxa"/>
            <w:vAlign w:val="center"/>
          </w:tcPr>
          <w:p>
            <w:pPr>
              <w:jc w:val="center"/>
              <w:rPr>
                <w:rFonts w:ascii="宋体" w:hAnsi="宋体" w:cs="宋体"/>
                <w:szCs w:val="21"/>
                <w:highlight w:val="none"/>
              </w:rPr>
            </w:pPr>
            <w:r>
              <w:rPr>
                <w:rFonts w:hint="eastAsia" w:ascii="宋体" w:hAnsi="宋体" w:cs="宋体"/>
                <w:szCs w:val="21"/>
                <w:highlight w:val="none"/>
              </w:rPr>
              <w:t>1个</w:t>
            </w:r>
          </w:p>
        </w:tc>
        <w:tc>
          <w:tcPr>
            <w:tcW w:w="1307" w:type="dxa"/>
            <w:vAlign w:val="center"/>
          </w:tcPr>
          <w:p>
            <w:pPr>
              <w:jc w:val="center"/>
              <w:rPr>
                <w:rFonts w:ascii="宋体" w:hAnsi="宋体" w:cs="宋体"/>
                <w:szCs w:val="21"/>
                <w:highlight w:val="none"/>
              </w:rPr>
            </w:pPr>
            <w:r>
              <w:rPr>
                <w:rFonts w:hint="eastAsia" w:ascii="宋体" w:hAnsi="宋体" w:cs="宋体"/>
                <w:szCs w:val="21"/>
                <w:highlight w:val="none"/>
              </w:rPr>
              <w:t>应急照明</w:t>
            </w:r>
          </w:p>
        </w:tc>
        <w:tc>
          <w:tcPr>
            <w:tcW w:w="4621" w:type="dxa"/>
            <w:vAlign w:val="center"/>
          </w:tcPr>
          <w:p>
            <w:pPr>
              <w:jc w:val="left"/>
              <w:rPr>
                <w:rFonts w:ascii="宋体" w:hAnsi="宋体" w:cs="宋体"/>
                <w:kern w:val="0"/>
                <w:szCs w:val="21"/>
                <w:highlight w:val="none"/>
              </w:rPr>
            </w:pPr>
            <w:r>
              <w:rPr>
                <w:rFonts w:hint="eastAsia" w:ascii="宋体" w:hAnsi="宋体" w:cs="宋体"/>
                <w:kern w:val="0"/>
                <w:szCs w:val="21"/>
                <w:highlight w:val="none"/>
              </w:rPr>
              <w:t>应急时间120分钟</w:t>
            </w:r>
            <w:r>
              <w:rPr>
                <w:rFonts w:hint="eastAsia" w:ascii="宋体" w:hAnsi="宋体" w:cs="宋体"/>
                <w:kern w:val="0"/>
                <w:szCs w:val="21"/>
                <w:highlight w:val="none"/>
              </w:rPr>
              <w:br w:type="textWrapping"/>
            </w:r>
            <w:r>
              <w:rPr>
                <w:rFonts w:hint="eastAsia" w:ascii="宋体" w:hAnsi="宋体" w:cs="宋体"/>
                <w:kern w:val="0"/>
                <w:szCs w:val="21"/>
                <w:highlight w:val="none"/>
              </w:rPr>
              <w:t>额定功率：AC220V50H</w:t>
            </w:r>
            <w:r>
              <w:rPr>
                <w:rFonts w:hint="eastAsia" w:ascii="宋体" w:hAnsi="宋体" w:cs="宋体"/>
                <w:kern w:val="0"/>
                <w:szCs w:val="21"/>
                <w:highlight w:val="none"/>
              </w:rPr>
              <w:br w:type="textWrapping"/>
            </w:r>
            <w:r>
              <w:rPr>
                <w:rFonts w:hint="eastAsia" w:ascii="宋体" w:hAnsi="宋体" w:cs="宋体"/>
                <w:kern w:val="0"/>
                <w:szCs w:val="21"/>
                <w:highlight w:val="none"/>
              </w:rPr>
              <w:t>应急光效&gt;50LM</w:t>
            </w:r>
            <w:r>
              <w:rPr>
                <w:rFonts w:hint="eastAsia" w:ascii="宋体" w:hAnsi="宋体" w:cs="宋体"/>
                <w:kern w:val="0"/>
                <w:szCs w:val="21"/>
                <w:highlight w:val="none"/>
              </w:rPr>
              <w:br w:type="textWrapping"/>
            </w:r>
            <w:r>
              <w:rPr>
                <w:rFonts w:hint="eastAsia" w:ascii="宋体" w:hAnsi="宋体" w:cs="宋体"/>
                <w:kern w:val="0"/>
                <w:szCs w:val="21"/>
                <w:highlight w:val="none"/>
              </w:rPr>
              <w:t>防护等级：IP30</w:t>
            </w:r>
          </w:p>
        </w:tc>
        <w:tc>
          <w:tcPr>
            <w:tcW w:w="1327"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飞利浦</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雷士</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三雄极光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4" w:hRule="atLeast"/>
        </w:trPr>
        <w:tc>
          <w:tcPr>
            <w:tcW w:w="692" w:type="dxa"/>
            <w:vAlign w:val="center"/>
          </w:tcPr>
          <w:p>
            <w:pPr>
              <w:jc w:val="center"/>
              <w:rPr>
                <w:rFonts w:ascii="宋体" w:hAnsi="宋体" w:cs="宋体"/>
                <w:szCs w:val="21"/>
                <w:highlight w:val="none"/>
              </w:rPr>
            </w:pPr>
            <w:r>
              <w:rPr>
                <w:rFonts w:hint="eastAsia" w:ascii="宋体" w:hAnsi="宋体" w:cs="宋体"/>
                <w:szCs w:val="21"/>
                <w:highlight w:val="none"/>
              </w:rPr>
              <w:t>11</w:t>
            </w:r>
          </w:p>
        </w:tc>
        <w:tc>
          <w:tcPr>
            <w:tcW w:w="1255" w:type="dxa"/>
            <w:vAlign w:val="center"/>
          </w:tcPr>
          <w:p>
            <w:pPr>
              <w:jc w:val="center"/>
              <w:rPr>
                <w:rFonts w:ascii="宋体" w:hAnsi="宋体" w:cs="宋体"/>
                <w:kern w:val="0"/>
                <w:szCs w:val="21"/>
                <w:highlight w:val="none"/>
              </w:rPr>
            </w:pPr>
            <w:r>
              <w:rPr>
                <w:rFonts w:hint="eastAsia" w:ascii="宋体" w:hAnsi="宋体" w:cs="宋体"/>
                <w:kern w:val="0"/>
                <w:szCs w:val="21"/>
                <w:highlight w:val="none"/>
              </w:rPr>
              <w:t>紫外线杀菌灯（灭蝇灭蚊）</w:t>
            </w:r>
          </w:p>
        </w:tc>
        <w:tc>
          <w:tcPr>
            <w:tcW w:w="772" w:type="dxa"/>
            <w:vAlign w:val="center"/>
          </w:tcPr>
          <w:p>
            <w:pPr>
              <w:jc w:val="center"/>
              <w:rPr>
                <w:rFonts w:ascii="宋体" w:hAnsi="宋体" w:cs="宋体"/>
                <w:szCs w:val="21"/>
                <w:highlight w:val="none"/>
              </w:rPr>
            </w:pPr>
            <w:r>
              <w:rPr>
                <w:rFonts w:hint="eastAsia" w:ascii="宋体" w:hAnsi="宋体" w:cs="宋体"/>
                <w:szCs w:val="21"/>
                <w:highlight w:val="none"/>
              </w:rPr>
              <w:t>1个</w:t>
            </w:r>
          </w:p>
        </w:tc>
        <w:tc>
          <w:tcPr>
            <w:tcW w:w="1307" w:type="dxa"/>
            <w:vAlign w:val="center"/>
          </w:tcPr>
          <w:p>
            <w:pPr>
              <w:jc w:val="center"/>
              <w:rPr>
                <w:rFonts w:ascii="宋体" w:hAnsi="宋体" w:cs="宋体"/>
                <w:szCs w:val="21"/>
                <w:highlight w:val="none"/>
              </w:rPr>
            </w:pPr>
            <w:r>
              <w:rPr>
                <w:rFonts w:hint="eastAsia" w:ascii="宋体" w:hAnsi="宋体" w:cs="宋体"/>
                <w:kern w:val="0"/>
                <w:szCs w:val="21"/>
                <w:highlight w:val="none"/>
              </w:rPr>
              <w:t>灭蝇灭蚊</w:t>
            </w:r>
          </w:p>
        </w:tc>
        <w:tc>
          <w:tcPr>
            <w:tcW w:w="4621" w:type="dxa"/>
            <w:vAlign w:val="center"/>
          </w:tcPr>
          <w:p>
            <w:pPr>
              <w:jc w:val="left"/>
              <w:rPr>
                <w:rFonts w:ascii="宋体" w:hAnsi="宋体" w:cs="宋体"/>
                <w:kern w:val="0"/>
                <w:szCs w:val="21"/>
                <w:highlight w:val="none"/>
              </w:rPr>
            </w:pPr>
            <w:r>
              <w:rPr>
                <w:rFonts w:hint="eastAsia" w:ascii="宋体" w:hAnsi="宋体" w:cs="宋体"/>
                <w:kern w:val="0"/>
                <w:szCs w:val="21"/>
                <w:highlight w:val="none"/>
              </w:rPr>
              <w:t>输入电压：220V- 50Hz</w:t>
            </w:r>
            <w:r>
              <w:rPr>
                <w:rFonts w:hint="eastAsia" w:ascii="宋体" w:hAnsi="宋体" w:cs="宋体"/>
                <w:kern w:val="0"/>
                <w:szCs w:val="21"/>
                <w:highlight w:val="none"/>
              </w:rPr>
              <w:br w:type="textWrapping"/>
            </w:r>
            <w:r>
              <w:rPr>
                <w:rFonts w:hint="eastAsia" w:ascii="宋体" w:hAnsi="宋体" w:cs="宋体"/>
                <w:kern w:val="0"/>
                <w:szCs w:val="21"/>
                <w:highlight w:val="none"/>
              </w:rPr>
              <w:t>输出电压：1500- 1800V</w:t>
            </w:r>
            <w:r>
              <w:rPr>
                <w:rFonts w:hint="eastAsia" w:ascii="宋体" w:hAnsi="宋体" w:cs="宋体"/>
                <w:kern w:val="0"/>
                <w:szCs w:val="21"/>
                <w:highlight w:val="none"/>
              </w:rPr>
              <w:br w:type="textWrapping"/>
            </w:r>
            <w:r>
              <w:rPr>
                <w:rFonts w:hint="eastAsia" w:ascii="宋体" w:hAnsi="宋体" w:cs="宋体"/>
                <w:kern w:val="0"/>
                <w:szCs w:val="21"/>
                <w:highlight w:val="none"/>
              </w:rPr>
              <w:t>额定功率：35w</w:t>
            </w:r>
            <w:r>
              <w:rPr>
                <w:rFonts w:hint="eastAsia" w:ascii="宋体" w:hAnsi="宋体" w:cs="宋体"/>
                <w:kern w:val="0"/>
                <w:szCs w:val="21"/>
                <w:highlight w:val="none"/>
              </w:rPr>
              <w:br w:type="textWrapping"/>
            </w:r>
            <w:r>
              <w:rPr>
                <w:rFonts w:hint="eastAsia" w:ascii="宋体" w:hAnsi="宋体" w:cs="宋体"/>
                <w:kern w:val="0"/>
                <w:szCs w:val="21"/>
                <w:highlight w:val="none"/>
              </w:rPr>
              <w:t>材质：全铝合金框</w:t>
            </w:r>
          </w:p>
        </w:tc>
        <w:tc>
          <w:tcPr>
            <w:tcW w:w="1327"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飞利浦</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雷士</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三雄极光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8" w:hRule="atLeast"/>
        </w:trPr>
        <w:tc>
          <w:tcPr>
            <w:tcW w:w="692" w:type="dxa"/>
            <w:vAlign w:val="center"/>
          </w:tcPr>
          <w:p>
            <w:pPr>
              <w:jc w:val="center"/>
              <w:rPr>
                <w:rFonts w:ascii="宋体" w:hAnsi="宋体" w:cs="宋体"/>
                <w:szCs w:val="21"/>
                <w:highlight w:val="none"/>
              </w:rPr>
            </w:pPr>
            <w:r>
              <w:rPr>
                <w:rFonts w:hint="eastAsia" w:ascii="宋体" w:hAnsi="宋体" w:cs="宋体"/>
                <w:szCs w:val="21"/>
                <w:highlight w:val="none"/>
              </w:rPr>
              <w:t>12</w:t>
            </w:r>
          </w:p>
        </w:tc>
        <w:tc>
          <w:tcPr>
            <w:tcW w:w="1255" w:type="dxa"/>
            <w:vAlign w:val="center"/>
          </w:tcPr>
          <w:p>
            <w:pPr>
              <w:jc w:val="center"/>
              <w:rPr>
                <w:rFonts w:ascii="宋体" w:hAnsi="宋体" w:cs="宋体"/>
                <w:kern w:val="0"/>
                <w:szCs w:val="21"/>
                <w:highlight w:val="none"/>
              </w:rPr>
            </w:pPr>
            <w:r>
              <w:rPr>
                <w:rFonts w:hint="eastAsia" w:ascii="宋体" w:hAnsi="宋体" w:cs="宋体"/>
                <w:kern w:val="0"/>
                <w:szCs w:val="21"/>
                <w:highlight w:val="none"/>
              </w:rPr>
              <w:t>LED显示屏</w:t>
            </w:r>
          </w:p>
        </w:tc>
        <w:tc>
          <w:tcPr>
            <w:tcW w:w="772" w:type="dxa"/>
            <w:vAlign w:val="center"/>
          </w:tcPr>
          <w:p>
            <w:pPr>
              <w:jc w:val="center"/>
              <w:rPr>
                <w:rFonts w:ascii="宋体" w:hAnsi="宋体" w:cs="宋体"/>
                <w:szCs w:val="21"/>
                <w:highlight w:val="none"/>
              </w:rPr>
            </w:pPr>
            <w:r>
              <w:rPr>
                <w:rFonts w:hint="eastAsia" w:ascii="宋体" w:hAnsi="宋体" w:cs="宋体"/>
                <w:szCs w:val="21"/>
                <w:highlight w:val="none"/>
              </w:rPr>
              <w:t>1个</w:t>
            </w:r>
          </w:p>
        </w:tc>
        <w:tc>
          <w:tcPr>
            <w:tcW w:w="1307" w:type="dxa"/>
            <w:vAlign w:val="center"/>
          </w:tcPr>
          <w:p>
            <w:pPr>
              <w:jc w:val="center"/>
              <w:rPr>
                <w:rFonts w:ascii="宋体" w:hAnsi="宋体" w:cs="宋体"/>
                <w:kern w:val="0"/>
                <w:szCs w:val="21"/>
                <w:highlight w:val="none"/>
              </w:rPr>
            </w:pPr>
            <w:r>
              <w:rPr>
                <w:rFonts w:hint="eastAsia" w:ascii="宋体" w:hAnsi="宋体" w:cs="宋体"/>
                <w:kern w:val="0"/>
                <w:szCs w:val="21"/>
                <w:highlight w:val="none"/>
              </w:rPr>
              <w:t>垃圾分类标语显示</w:t>
            </w:r>
          </w:p>
        </w:tc>
        <w:tc>
          <w:tcPr>
            <w:tcW w:w="4621" w:type="dxa"/>
            <w:vAlign w:val="center"/>
          </w:tcPr>
          <w:p>
            <w:pPr>
              <w:jc w:val="left"/>
              <w:rPr>
                <w:rFonts w:ascii="宋体" w:hAnsi="宋体" w:cs="宋体"/>
                <w:kern w:val="0"/>
                <w:szCs w:val="21"/>
                <w:highlight w:val="none"/>
              </w:rPr>
            </w:pPr>
            <w:r>
              <w:rPr>
                <w:rFonts w:hint="eastAsia" w:ascii="宋体" w:hAnsi="宋体" w:cs="宋体"/>
                <w:kern w:val="0"/>
                <w:szCs w:val="21"/>
                <w:highlight w:val="none"/>
              </w:rPr>
              <w:t>尺寸：</w:t>
            </w:r>
            <w:r>
              <w:rPr>
                <w:rFonts w:hint="eastAsia" w:ascii="宋体" w:hAnsi="宋体" w:cs="宋体"/>
                <w:szCs w:val="21"/>
                <w:highlight w:val="none"/>
              </w:rPr>
              <w:t>（具体尺寸根据现场实际需求定制）</w:t>
            </w:r>
            <w:r>
              <w:rPr>
                <w:rFonts w:hint="eastAsia" w:ascii="宋体" w:hAnsi="宋体" w:cs="宋体"/>
                <w:kern w:val="0"/>
                <w:szCs w:val="21"/>
                <w:highlight w:val="none"/>
              </w:rPr>
              <w:br w:type="textWrapping"/>
            </w:r>
            <w:r>
              <w:rPr>
                <w:rFonts w:hint="eastAsia" w:ascii="宋体" w:hAnsi="宋体" w:cs="宋体"/>
                <w:kern w:val="0"/>
                <w:szCs w:val="21"/>
                <w:highlight w:val="none"/>
              </w:rPr>
              <w:t>单基色，P10；</w:t>
            </w:r>
            <w:r>
              <w:rPr>
                <w:rFonts w:hint="eastAsia" w:ascii="宋体" w:hAnsi="宋体" w:cs="宋体"/>
                <w:kern w:val="0"/>
                <w:szCs w:val="21"/>
                <w:highlight w:val="none"/>
              </w:rPr>
              <w:br w:type="textWrapping"/>
            </w:r>
            <w:r>
              <w:rPr>
                <w:rFonts w:hint="eastAsia" w:ascii="宋体" w:hAnsi="宋体" w:cs="宋体"/>
                <w:kern w:val="0"/>
                <w:szCs w:val="21"/>
                <w:highlight w:val="none"/>
              </w:rPr>
              <w:t>物理密度:点/m²10000</w:t>
            </w:r>
            <w:r>
              <w:rPr>
                <w:rFonts w:hint="eastAsia" w:ascii="宋体" w:hAnsi="宋体" w:cs="宋体"/>
                <w:kern w:val="0"/>
                <w:szCs w:val="21"/>
                <w:highlight w:val="none"/>
              </w:rPr>
              <w:br w:type="textWrapping"/>
            </w:r>
            <w:r>
              <w:rPr>
                <w:rFonts w:hint="eastAsia" w:ascii="宋体" w:hAnsi="宋体" w:cs="宋体"/>
                <w:kern w:val="0"/>
                <w:szCs w:val="21"/>
                <w:highlight w:val="none"/>
              </w:rPr>
              <w:t>发光亮度: cd/m²：5600</w:t>
            </w:r>
            <w:r>
              <w:rPr>
                <w:rFonts w:hint="eastAsia" w:ascii="宋体" w:hAnsi="宋体" w:cs="宋体"/>
                <w:kern w:val="0"/>
                <w:szCs w:val="21"/>
                <w:highlight w:val="none"/>
              </w:rPr>
              <w:br w:type="textWrapping"/>
            </w:r>
            <w:r>
              <w:rPr>
                <w:rFonts w:hint="eastAsia" w:ascii="宋体" w:hAnsi="宋体" w:cs="宋体"/>
                <w:kern w:val="0"/>
                <w:szCs w:val="21"/>
                <w:highlight w:val="none"/>
              </w:rPr>
              <w:t>单元板尺寸mm：320x160</w:t>
            </w:r>
            <w:r>
              <w:rPr>
                <w:rFonts w:hint="eastAsia" w:ascii="宋体" w:hAnsi="宋体" w:cs="宋体"/>
                <w:kern w:val="0"/>
                <w:szCs w:val="21"/>
                <w:highlight w:val="none"/>
              </w:rPr>
              <w:br w:type="textWrapping"/>
            </w:r>
            <w:r>
              <w:rPr>
                <w:rFonts w:hint="eastAsia" w:ascii="宋体" w:hAnsi="宋体" w:cs="宋体"/>
                <w:kern w:val="0"/>
                <w:szCs w:val="21"/>
                <w:highlight w:val="none"/>
              </w:rPr>
              <w:t>单元板像素dot：512</w:t>
            </w:r>
            <w:r>
              <w:rPr>
                <w:rFonts w:hint="eastAsia" w:ascii="宋体" w:hAnsi="宋体" w:cs="宋体"/>
                <w:kern w:val="0"/>
                <w:szCs w:val="21"/>
                <w:highlight w:val="none"/>
              </w:rPr>
              <w:br w:type="textWrapping"/>
            </w:r>
            <w:r>
              <w:rPr>
                <w:rFonts w:hint="eastAsia" w:ascii="宋体" w:hAnsi="宋体" w:cs="宋体"/>
                <w:kern w:val="0"/>
                <w:szCs w:val="21"/>
                <w:highlight w:val="none"/>
              </w:rPr>
              <w:t>工作电压：220V</w:t>
            </w:r>
            <w:r>
              <w:rPr>
                <w:rFonts w:hint="eastAsia" w:ascii="宋体" w:hAnsi="宋体" w:cs="宋体"/>
                <w:kern w:val="0"/>
                <w:szCs w:val="21"/>
                <w:highlight w:val="none"/>
              </w:rPr>
              <w:br w:type="textWrapping"/>
            </w:r>
            <w:r>
              <w:rPr>
                <w:rFonts w:hint="eastAsia" w:ascii="宋体" w:hAnsi="宋体" w:cs="宋体"/>
                <w:kern w:val="0"/>
                <w:szCs w:val="21"/>
                <w:highlight w:val="none"/>
              </w:rPr>
              <w:t>平均功耗：40W/m²</w:t>
            </w:r>
          </w:p>
        </w:tc>
        <w:tc>
          <w:tcPr>
            <w:tcW w:w="1327"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熊猫</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LG</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三星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9" w:hRule="atLeast"/>
        </w:trPr>
        <w:tc>
          <w:tcPr>
            <w:tcW w:w="692" w:type="dxa"/>
            <w:vAlign w:val="center"/>
          </w:tcPr>
          <w:p>
            <w:pPr>
              <w:jc w:val="center"/>
              <w:rPr>
                <w:rFonts w:ascii="宋体" w:hAnsi="宋体" w:cs="宋体"/>
                <w:szCs w:val="21"/>
                <w:highlight w:val="none"/>
              </w:rPr>
            </w:pPr>
            <w:r>
              <w:rPr>
                <w:rFonts w:hint="eastAsia" w:ascii="宋体" w:hAnsi="宋体" w:cs="宋体"/>
                <w:szCs w:val="21"/>
                <w:highlight w:val="none"/>
              </w:rPr>
              <w:t>13</w:t>
            </w:r>
          </w:p>
        </w:tc>
        <w:tc>
          <w:tcPr>
            <w:tcW w:w="1255" w:type="dxa"/>
            <w:vAlign w:val="center"/>
          </w:tcPr>
          <w:p>
            <w:pPr>
              <w:jc w:val="center"/>
              <w:rPr>
                <w:rFonts w:ascii="宋体" w:hAnsi="宋体" w:cs="宋体"/>
                <w:kern w:val="0"/>
                <w:szCs w:val="21"/>
                <w:highlight w:val="none"/>
              </w:rPr>
            </w:pPr>
            <w:r>
              <w:rPr>
                <w:rFonts w:hint="eastAsia" w:ascii="宋体" w:hAnsi="宋体" w:cs="宋体"/>
                <w:kern w:val="0"/>
                <w:szCs w:val="21"/>
                <w:highlight w:val="none"/>
              </w:rPr>
              <w:t>垃圾桶</w:t>
            </w:r>
          </w:p>
        </w:tc>
        <w:tc>
          <w:tcPr>
            <w:tcW w:w="772" w:type="dxa"/>
            <w:vAlign w:val="center"/>
          </w:tcPr>
          <w:p>
            <w:pPr>
              <w:jc w:val="center"/>
              <w:rPr>
                <w:rFonts w:ascii="宋体" w:hAnsi="宋体" w:cs="宋体"/>
                <w:szCs w:val="21"/>
                <w:highlight w:val="none"/>
              </w:rPr>
            </w:pPr>
            <w:r>
              <w:rPr>
                <w:rFonts w:hint="eastAsia" w:ascii="宋体" w:hAnsi="宋体" w:cs="宋体"/>
                <w:szCs w:val="21"/>
                <w:highlight w:val="none"/>
              </w:rPr>
              <w:t>16个</w:t>
            </w:r>
          </w:p>
          <w:p>
            <w:pPr>
              <w:jc w:val="center"/>
              <w:rPr>
                <w:rFonts w:ascii="宋体" w:hAnsi="宋体" w:cs="宋体"/>
                <w:szCs w:val="21"/>
                <w:highlight w:val="none"/>
              </w:rPr>
            </w:pPr>
            <w:r>
              <w:rPr>
                <w:rFonts w:hint="eastAsia" w:ascii="宋体" w:hAnsi="宋体" w:cs="宋体"/>
                <w:szCs w:val="21"/>
                <w:highlight w:val="none"/>
              </w:rPr>
              <w:t>（10个备用）</w:t>
            </w:r>
          </w:p>
        </w:tc>
        <w:tc>
          <w:tcPr>
            <w:tcW w:w="1307" w:type="dxa"/>
            <w:vAlign w:val="center"/>
          </w:tcPr>
          <w:p>
            <w:pPr>
              <w:jc w:val="center"/>
              <w:rPr>
                <w:rFonts w:ascii="宋体" w:hAnsi="宋体" w:cs="宋体"/>
                <w:kern w:val="0"/>
                <w:szCs w:val="21"/>
                <w:highlight w:val="none"/>
              </w:rPr>
            </w:pPr>
          </w:p>
        </w:tc>
        <w:tc>
          <w:tcPr>
            <w:tcW w:w="4621" w:type="dxa"/>
            <w:vAlign w:val="center"/>
          </w:tcPr>
          <w:p>
            <w:pPr>
              <w:jc w:val="left"/>
              <w:rPr>
                <w:rFonts w:ascii="宋体" w:hAnsi="宋体" w:cs="宋体"/>
                <w:szCs w:val="21"/>
                <w:highlight w:val="none"/>
              </w:rPr>
            </w:pPr>
            <w:r>
              <w:rPr>
                <w:rFonts w:hint="eastAsia" w:ascii="宋体" w:hAnsi="宋体" w:cs="宋体"/>
                <w:kern w:val="0"/>
                <w:szCs w:val="21"/>
                <w:highlight w:val="none"/>
              </w:rPr>
              <w:t>1、智能厨余桶*2个，防渗漏、无异味、美观大方，（垃圾投递到箱体内实时换算成积分，</w:t>
            </w:r>
            <w:r>
              <w:rPr>
                <w:rFonts w:hint="eastAsia" w:ascii="宋体" w:hAnsi="宋体" w:cs="宋体"/>
                <w:szCs w:val="21"/>
                <w:highlight w:val="none"/>
              </w:rPr>
              <w:t>厨余垃圾积分与南京市垃圾分类数据系统无缝对接并且系统兼容免费开放）。</w:t>
            </w:r>
          </w:p>
          <w:p>
            <w:pPr>
              <w:jc w:val="left"/>
              <w:rPr>
                <w:rFonts w:ascii="宋体" w:hAnsi="宋体" w:cs="宋体"/>
                <w:szCs w:val="21"/>
                <w:highlight w:val="none"/>
              </w:rPr>
            </w:pPr>
            <w:r>
              <w:rPr>
                <w:rFonts w:hint="eastAsia" w:ascii="宋体" w:hAnsi="宋体" w:cs="宋体"/>
                <w:szCs w:val="21"/>
                <w:highlight w:val="none"/>
              </w:rPr>
              <w:t>2、可回收</w:t>
            </w:r>
            <w:r>
              <w:rPr>
                <w:rFonts w:hint="eastAsia" w:ascii="宋体" w:hAnsi="宋体" w:cs="宋体"/>
                <w:kern w:val="0"/>
                <w:szCs w:val="21"/>
                <w:highlight w:val="none"/>
              </w:rPr>
              <w:t>智能</w:t>
            </w:r>
            <w:r>
              <w:rPr>
                <w:rFonts w:hint="eastAsia" w:ascii="宋体" w:hAnsi="宋体" w:cs="宋体"/>
                <w:szCs w:val="21"/>
                <w:highlight w:val="none"/>
              </w:rPr>
              <w:t>垃圾桶*1个，统一回收，</w:t>
            </w:r>
            <w:r>
              <w:rPr>
                <w:rFonts w:hint="eastAsia" w:ascii="宋体" w:hAnsi="宋体" w:cs="宋体"/>
                <w:kern w:val="0"/>
                <w:szCs w:val="21"/>
                <w:highlight w:val="none"/>
              </w:rPr>
              <w:t>防渗漏、无异味、美观大方</w:t>
            </w:r>
          </w:p>
          <w:p>
            <w:pPr>
              <w:jc w:val="left"/>
              <w:rPr>
                <w:rFonts w:ascii="宋体" w:hAnsi="宋体" w:cs="宋体"/>
                <w:kern w:val="0"/>
                <w:szCs w:val="21"/>
                <w:highlight w:val="none"/>
              </w:rPr>
            </w:pPr>
            <w:r>
              <w:rPr>
                <w:rFonts w:hint="eastAsia" w:ascii="宋体" w:hAnsi="宋体" w:cs="宋体"/>
                <w:szCs w:val="21"/>
                <w:highlight w:val="none"/>
              </w:rPr>
              <w:t>3、</w:t>
            </w:r>
            <w:r>
              <w:rPr>
                <w:rFonts w:hint="eastAsia" w:ascii="宋体" w:hAnsi="宋体" w:cs="宋体"/>
                <w:kern w:val="0"/>
                <w:szCs w:val="21"/>
                <w:highlight w:val="none"/>
              </w:rPr>
              <w:t>其他智能垃圾桶*2个，防渗漏、无异味、美观大方；</w:t>
            </w:r>
          </w:p>
          <w:p>
            <w:pPr>
              <w:jc w:val="left"/>
              <w:rPr>
                <w:rFonts w:ascii="宋体" w:hAnsi="宋体" w:cs="宋体"/>
                <w:kern w:val="0"/>
                <w:szCs w:val="21"/>
                <w:highlight w:val="none"/>
              </w:rPr>
            </w:pPr>
            <w:r>
              <w:rPr>
                <w:rFonts w:hint="eastAsia" w:ascii="宋体" w:hAnsi="宋体" w:cs="宋体"/>
                <w:kern w:val="0"/>
                <w:szCs w:val="21"/>
                <w:highlight w:val="none"/>
              </w:rPr>
              <w:t>4、有害智能垃圾桶*1个，防渗漏、无异味、美观大方。</w:t>
            </w:r>
          </w:p>
          <w:p>
            <w:pPr>
              <w:rPr>
                <w:rFonts w:ascii="宋体" w:hAnsi="宋体" w:cs="宋体"/>
                <w:kern w:val="0"/>
                <w:szCs w:val="21"/>
                <w:highlight w:val="none"/>
              </w:rPr>
            </w:pPr>
            <w:r>
              <w:rPr>
                <w:rFonts w:hint="eastAsia" w:ascii="宋体" w:hAnsi="宋体" w:cs="宋体"/>
                <w:kern w:val="0"/>
                <w:szCs w:val="21"/>
                <w:highlight w:val="none"/>
              </w:rPr>
              <w:t>所有垃圾内桶240L（带翻盖），垃圾桶均用新材料不用回收材料，厚度不低于6mm。</w:t>
            </w:r>
          </w:p>
        </w:tc>
        <w:tc>
          <w:tcPr>
            <w:tcW w:w="1327"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法恩莎</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雅洁</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皇冠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5" w:hRule="atLeast"/>
        </w:trPr>
        <w:tc>
          <w:tcPr>
            <w:tcW w:w="692" w:type="dxa"/>
            <w:vAlign w:val="center"/>
          </w:tcPr>
          <w:p>
            <w:pPr>
              <w:jc w:val="center"/>
              <w:rPr>
                <w:rFonts w:ascii="宋体" w:hAnsi="宋体" w:cs="宋体"/>
                <w:szCs w:val="21"/>
                <w:highlight w:val="none"/>
              </w:rPr>
            </w:pPr>
            <w:r>
              <w:rPr>
                <w:rFonts w:hint="eastAsia" w:ascii="宋体" w:hAnsi="宋体" w:cs="宋体"/>
                <w:szCs w:val="21"/>
                <w:highlight w:val="none"/>
              </w:rPr>
              <w:t>14</w:t>
            </w:r>
          </w:p>
        </w:tc>
        <w:tc>
          <w:tcPr>
            <w:tcW w:w="1255" w:type="dxa"/>
            <w:vAlign w:val="center"/>
          </w:tcPr>
          <w:p>
            <w:pPr>
              <w:jc w:val="center"/>
              <w:rPr>
                <w:rFonts w:ascii="宋体" w:hAnsi="宋体" w:cs="宋体"/>
                <w:kern w:val="0"/>
                <w:szCs w:val="21"/>
                <w:highlight w:val="none"/>
              </w:rPr>
            </w:pPr>
            <w:r>
              <w:rPr>
                <w:rFonts w:hint="eastAsia" w:ascii="宋体" w:hAnsi="宋体" w:cs="宋体"/>
                <w:kern w:val="0"/>
                <w:szCs w:val="21"/>
                <w:highlight w:val="none"/>
              </w:rPr>
              <w:t>宣传屏</w:t>
            </w:r>
          </w:p>
        </w:tc>
        <w:tc>
          <w:tcPr>
            <w:tcW w:w="772" w:type="dxa"/>
            <w:vAlign w:val="center"/>
          </w:tcPr>
          <w:p>
            <w:pPr>
              <w:jc w:val="center"/>
              <w:rPr>
                <w:rFonts w:ascii="宋体" w:hAnsi="宋体" w:cs="宋体"/>
                <w:szCs w:val="21"/>
                <w:highlight w:val="none"/>
              </w:rPr>
            </w:pPr>
            <w:r>
              <w:rPr>
                <w:rFonts w:hint="eastAsia" w:ascii="宋体" w:hAnsi="宋体" w:cs="宋体"/>
                <w:szCs w:val="21"/>
                <w:highlight w:val="none"/>
              </w:rPr>
              <w:t>1个</w:t>
            </w:r>
          </w:p>
        </w:tc>
        <w:tc>
          <w:tcPr>
            <w:tcW w:w="1307" w:type="dxa"/>
            <w:vAlign w:val="center"/>
          </w:tcPr>
          <w:p>
            <w:pPr>
              <w:jc w:val="center"/>
              <w:rPr>
                <w:rFonts w:ascii="宋体" w:hAnsi="宋体" w:cs="宋体"/>
                <w:kern w:val="0"/>
                <w:szCs w:val="21"/>
                <w:highlight w:val="none"/>
              </w:rPr>
            </w:pPr>
          </w:p>
        </w:tc>
        <w:tc>
          <w:tcPr>
            <w:tcW w:w="4621" w:type="dxa"/>
            <w:vAlign w:val="center"/>
          </w:tcPr>
          <w:p>
            <w:pPr>
              <w:pStyle w:val="187"/>
              <w:ind w:firstLine="0" w:firstLineChars="0"/>
              <w:rPr>
                <w:rFonts w:ascii="宋体" w:hAnsi="宋体" w:eastAsia="宋体"/>
                <w:sz w:val="21"/>
                <w:szCs w:val="21"/>
                <w:highlight w:val="none"/>
                <w:lang w:val="en-US"/>
              </w:rPr>
            </w:pPr>
            <w:r>
              <w:rPr>
                <w:rFonts w:hint="eastAsia" w:ascii="宋体" w:hAnsi="宋体" w:eastAsia="宋体"/>
                <w:sz w:val="21"/>
                <w:szCs w:val="21"/>
                <w:highlight w:val="none"/>
              </w:rPr>
              <w:t xml:space="preserve">（具体尺寸根据现场实际需求定制） </w:t>
            </w:r>
            <w:r>
              <w:rPr>
                <w:rFonts w:hint="eastAsia" w:ascii="宋体" w:hAnsi="宋体" w:eastAsia="宋体"/>
                <w:sz w:val="21"/>
                <w:szCs w:val="21"/>
                <w:highlight w:val="none"/>
                <w:lang w:val="en-US"/>
              </w:rPr>
              <w:t>LCD宣传屏：支持远程发布图片和视频</w:t>
            </w:r>
          </w:p>
          <w:p>
            <w:pPr>
              <w:pStyle w:val="187"/>
              <w:ind w:firstLine="0" w:firstLineChars="0"/>
              <w:rPr>
                <w:rFonts w:ascii="宋体" w:hAnsi="宋体" w:eastAsia="宋体"/>
                <w:sz w:val="21"/>
                <w:szCs w:val="21"/>
                <w:highlight w:val="none"/>
                <w:lang w:val="en-US"/>
              </w:rPr>
            </w:pPr>
            <w:r>
              <w:rPr>
                <w:rFonts w:hint="eastAsia" w:ascii="宋体" w:hAnsi="宋体" w:eastAsia="宋体"/>
                <w:sz w:val="21"/>
                <w:szCs w:val="21"/>
                <w:highlight w:val="none"/>
                <w:lang w:val="en-US"/>
              </w:rPr>
              <w:t>1920*1080高清</w:t>
            </w:r>
          </w:p>
          <w:p>
            <w:pPr>
              <w:pStyle w:val="187"/>
              <w:ind w:firstLine="0" w:firstLineChars="0"/>
              <w:rPr>
                <w:rFonts w:ascii="宋体" w:hAnsi="宋体" w:eastAsia="宋体"/>
                <w:sz w:val="21"/>
                <w:szCs w:val="21"/>
                <w:highlight w:val="none"/>
                <w:lang w:val="en-US"/>
              </w:rPr>
            </w:pPr>
            <w:r>
              <w:rPr>
                <w:rFonts w:hint="eastAsia" w:ascii="宋体" w:hAnsi="宋体" w:eastAsia="宋体"/>
                <w:sz w:val="21"/>
                <w:szCs w:val="21"/>
                <w:highlight w:val="none"/>
                <w:lang w:val="en-US"/>
              </w:rPr>
              <w:t>耐温范围：室外耐-20-110度高温</w:t>
            </w:r>
          </w:p>
        </w:tc>
        <w:tc>
          <w:tcPr>
            <w:tcW w:w="1327"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海康威视</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大华</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三星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1" w:hRule="atLeast"/>
        </w:trPr>
        <w:tc>
          <w:tcPr>
            <w:tcW w:w="692" w:type="dxa"/>
            <w:vAlign w:val="center"/>
          </w:tcPr>
          <w:p>
            <w:pPr>
              <w:jc w:val="center"/>
              <w:rPr>
                <w:rFonts w:ascii="宋体" w:hAnsi="宋体" w:cs="宋体"/>
                <w:szCs w:val="21"/>
                <w:highlight w:val="none"/>
              </w:rPr>
            </w:pPr>
            <w:r>
              <w:rPr>
                <w:rFonts w:hint="eastAsia" w:ascii="宋体" w:hAnsi="宋体" w:cs="宋体"/>
                <w:szCs w:val="21"/>
                <w:highlight w:val="none"/>
              </w:rPr>
              <w:t>15</w:t>
            </w:r>
          </w:p>
        </w:tc>
        <w:tc>
          <w:tcPr>
            <w:tcW w:w="1255" w:type="dxa"/>
            <w:vAlign w:val="center"/>
          </w:tcPr>
          <w:p>
            <w:pPr>
              <w:jc w:val="center"/>
              <w:rPr>
                <w:rFonts w:ascii="宋体" w:hAnsi="宋体" w:cs="宋体"/>
                <w:kern w:val="0"/>
                <w:szCs w:val="21"/>
                <w:highlight w:val="none"/>
              </w:rPr>
            </w:pPr>
            <w:r>
              <w:rPr>
                <w:rFonts w:hint="eastAsia" w:ascii="宋体" w:hAnsi="宋体" w:cs="宋体"/>
                <w:szCs w:val="21"/>
                <w:highlight w:val="none"/>
              </w:rPr>
              <w:t>玻璃钢化门</w:t>
            </w:r>
          </w:p>
        </w:tc>
        <w:tc>
          <w:tcPr>
            <w:tcW w:w="772" w:type="dxa"/>
            <w:vAlign w:val="center"/>
          </w:tcPr>
          <w:p>
            <w:pPr>
              <w:jc w:val="center"/>
              <w:rPr>
                <w:rFonts w:ascii="宋体" w:hAnsi="宋体" w:cs="宋体"/>
                <w:szCs w:val="21"/>
                <w:highlight w:val="none"/>
              </w:rPr>
            </w:pPr>
            <w:r>
              <w:rPr>
                <w:rFonts w:hint="eastAsia" w:ascii="宋体" w:hAnsi="宋体" w:cs="宋体"/>
                <w:szCs w:val="21"/>
                <w:highlight w:val="none"/>
              </w:rPr>
              <w:t>1项</w:t>
            </w:r>
          </w:p>
        </w:tc>
        <w:tc>
          <w:tcPr>
            <w:tcW w:w="1307" w:type="dxa"/>
            <w:vAlign w:val="center"/>
          </w:tcPr>
          <w:p>
            <w:pPr>
              <w:jc w:val="center"/>
              <w:rPr>
                <w:rFonts w:ascii="宋体" w:hAnsi="宋体" w:cs="宋体"/>
                <w:kern w:val="0"/>
                <w:szCs w:val="21"/>
                <w:highlight w:val="none"/>
              </w:rPr>
            </w:pPr>
          </w:p>
        </w:tc>
        <w:tc>
          <w:tcPr>
            <w:tcW w:w="4621" w:type="dxa"/>
            <w:vAlign w:val="center"/>
          </w:tcPr>
          <w:p>
            <w:pPr>
              <w:pStyle w:val="187"/>
              <w:ind w:firstLine="0" w:firstLineChars="0"/>
              <w:rPr>
                <w:rFonts w:ascii="宋体" w:hAnsi="宋体" w:eastAsia="宋体"/>
                <w:sz w:val="21"/>
                <w:szCs w:val="21"/>
                <w:highlight w:val="none"/>
                <w:lang w:val="en-US"/>
              </w:rPr>
            </w:pPr>
            <w:r>
              <w:rPr>
                <w:rFonts w:hint="eastAsia" w:ascii="宋体" w:hAnsi="宋体" w:eastAsia="宋体"/>
                <w:sz w:val="21"/>
                <w:szCs w:val="21"/>
                <w:highlight w:val="none"/>
              </w:rPr>
              <w:t>玻璃钢化门（仅步入式垃圾房含有）（具体尺寸根据现场实际需求定制），厚度不低于1.5cm，含门头、门禁、防闯条（实际情况根据二次深化设计确定）</w:t>
            </w:r>
          </w:p>
        </w:tc>
        <w:tc>
          <w:tcPr>
            <w:tcW w:w="1327" w:type="dxa"/>
            <w:vAlign w:val="center"/>
          </w:tcPr>
          <w:p>
            <w:pPr>
              <w:pStyle w:val="14"/>
              <w:jc w:val="center"/>
              <w:rPr>
                <w:rFonts w:ascii="宋体" w:hAnsi="宋体" w:cs="宋体"/>
                <w:b w:val="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 w:hRule="atLeast"/>
        </w:trPr>
        <w:tc>
          <w:tcPr>
            <w:tcW w:w="692" w:type="dxa"/>
            <w:vAlign w:val="center"/>
          </w:tcPr>
          <w:p>
            <w:pPr>
              <w:jc w:val="center"/>
              <w:rPr>
                <w:rFonts w:ascii="宋体" w:hAnsi="宋体" w:cs="宋体"/>
                <w:szCs w:val="21"/>
                <w:highlight w:val="none"/>
              </w:rPr>
            </w:pPr>
            <w:r>
              <w:rPr>
                <w:rFonts w:hint="eastAsia" w:ascii="宋体" w:hAnsi="宋体" w:cs="宋体"/>
                <w:szCs w:val="21"/>
                <w:highlight w:val="none"/>
              </w:rPr>
              <w:t>16</w:t>
            </w:r>
          </w:p>
        </w:tc>
        <w:tc>
          <w:tcPr>
            <w:tcW w:w="1255" w:type="dxa"/>
            <w:vAlign w:val="center"/>
          </w:tcPr>
          <w:p>
            <w:pPr>
              <w:jc w:val="center"/>
              <w:rPr>
                <w:rFonts w:ascii="宋体" w:hAnsi="宋体" w:cs="宋体"/>
                <w:szCs w:val="21"/>
                <w:highlight w:val="none"/>
              </w:rPr>
            </w:pPr>
            <w:r>
              <w:rPr>
                <w:rFonts w:hint="eastAsia" w:ascii="宋体" w:hAnsi="宋体" w:cs="宋体"/>
                <w:szCs w:val="21"/>
                <w:highlight w:val="none"/>
              </w:rPr>
              <w:t>垃圾箱外桶</w:t>
            </w:r>
          </w:p>
        </w:tc>
        <w:tc>
          <w:tcPr>
            <w:tcW w:w="772" w:type="dxa"/>
            <w:vAlign w:val="center"/>
          </w:tcPr>
          <w:p>
            <w:pPr>
              <w:jc w:val="center"/>
              <w:rPr>
                <w:rFonts w:ascii="宋体" w:hAnsi="宋体" w:cs="宋体"/>
                <w:szCs w:val="21"/>
                <w:highlight w:val="none"/>
              </w:rPr>
            </w:pPr>
            <w:r>
              <w:rPr>
                <w:rFonts w:hint="eastAsia" w:ascii="宋体" w:hAnsi="宋体" w:cs="宋体"/>
                <w:szCs w:val="21"/>
                <w:highlight w:val="none"/>
              </w:rPr>
              <w:t>1套</w:t>
            </w:r>
          </w:p>
        </w:tc>
        <w:tc>
          <w:tcPr>
            <w:tcW w:w="1307" w:type="dxa"/>
            <w:vAlign w:val="center"/>
          </w:tcPr>
          <w:p>
            <w:pPr>
              <w:jc w:val="center"/>
              <w:rPr>
                <w:rFonts w:ascii="宋体" w:hAnsi="宋体" w:cs="宋体"/>
                <w:kern w:val="0"/>
                <w:szCs w:val="21"/>
                <w:highlight w:val="none"/>
              </w:rPr>
            </w:pPr>
          </w:p>
        </w:tc>
        <w:tc>
          <w:tcPr>
            <w:tcW w:w="4621" w:type="dxa"/>
            <w:vAlign w:val="center"/>
          </w:tcPr>
          <w:p>
            <w:pPr>
              <w:widowControl/>
              <w:spacing w:line="276" w:lineRule="auto"/>
              <w:textAlignment w:val="center"/>
              <w:rPr>
                <w:rFonts w:ascii="宋体" w:hAnsi="宋体" w:cs="宋体"/>
                <w:kern w:val="0"/>
                <w:szCs w:val="21"/>
                <w:highlight w:val="none"/>
                <w:lang w:bidi="ar"/>
              </w:rPr>
            </w:pPr>
            <w:r>
              <w:rPr>
                <w:rFonts w:hint="eastAsia" w:ascii="宋体" w:hAnsi="宋体" w:cs="宋体"/>
                <w:szCs w:val="21"/>
                <w:highlight w:val="none"/>
              </w:rPr>
              <w:t>垃圾箱壳体加厚镀锌材质，投口数量暂不少于6个（</w:t>
            </w:r>
            <w:r>
              <w:rPr>
                <w:rFonts w:hint="eastAsia" w:ascii="宋体" w:hAnsi="宋体" w:cs="宋体"/>
                <w:kern w:val="0"/>
                <w:szCs w:val="21"/>
                <w:highlight w:val="none"/>
              </w:rPr>
              <w:t>厨余垃圾投递到箱体内实时换算成积分，</w:t>
            </w:r>
            <w:r>
              <w:rPr>
                <w:rFonts w:hint="eastAsia" w:ascii="宋体" w:hAnsi="宋体" w:cs="宋体"/>
                <w:szCs w:val="21"/>
                <w:highlight w:val="none"/>
              </w:rPr>
              <w:t>厨余垃圾积分与南京市垃圾分类数据系统无缝对接并且系统兼容免费开放）</w:t>
            </w:r>
            <w:r>
              <w:rPr>
                <w:rFonts w:hint="eastAsia" w:ascii="宋体" w:hAnsi="宋体" w:cs="宋体"/>
                <w:kern w:val="0"/>
                <w:szCs w:val="21"/>
                <w:highlight w:val="none"/>
                <w:lang w:bidi="ar"/>
              </w:rPr>
              <w:t>©</w:t>
            </w:r>
            <w:r>
              <w:rPr>
                <w:rFonts w:hint="eastAsia" w:ascii="宋体" w:hAnsi="宋体" w:cs="宋体"/>
                <w:szCs w:val="21"/>
                <w:highlight w:val="none"/>
              </w:rPr>
              <w:t>，投口尺寸：投放口高度不高于1.2m，箱体表处理外观采用220度高温静电喷塑工艺处理，确保产品无腐蚀。（实际情况根据二次深化设计确定）</w:t>
            </w:r>
          </w:p>
          <w:p>
            <w:pPr>
              <w:pStyle w:val="187"/>
              <w:ind w:firstLine="0" w:firstLineChars="0"/>
              <w:rPr>
                <w:rFonts w:ascii="宋体" w:hAnsi="宋体" w:eastAsia="宋体"/>
                <w:sz w:val="21"/>
                <w:szCs w:val="21"/>
                <w:highlight w:val="none"/>
              </w:rPr>
            </w:pPr>
            <w:r>
              <w:rPr>
                <w:rFonts w:hint="eastAsia" w:ascii="宋体" w:hAnsi="宋体" w:eastAsia="宋体"/>
                <w:sz w:val="21"/>
                <w:szCs w:val="21"/>
                <w:highlight w:val="none"/>
              </w:rPr>
              <w:t>所有垃圾外桶功能：1）单门单控、自动投口；2）支持用户刷卡、按钮投放；3)智能开关门检测，减少误判；4)防夹手设计；</w:t>
            </w:r>
          </w:p>
        </w:tc>
        <w:tc>
          <w:tcPr>
            <w:tcW w:w="1327" w:type="dxa"/>
            <w:vAlign w:val="center"/>
          </w:tcPr>
          <w:p>
            <w:pPr>
              <w:pStyle w:val="14"/>
              <w:jc w:val="center"/>
              <w:rPr>
                <w:rFonts w:ascii="宋体" w:hAnsi="宋体" w:cs="宋体"/>
                <w:b w:val="0"/>
                <w:sz w:val="21"/>
                <w:szCs w:val="21"/>
                <w:highlight w:val="none"/>
              </w:rPr>
            </w:pPr>
          </w:p>
        </w:tc>
      </w:tr>
    </w:tbl>
    <w:p>
      <w:pPr>
        <w:numPr>
          <w:ilvl w:val="0"/>
          <w:numId w:val="0"/>
        </w:numPr>
        <w:spacing w:line="360" w:lineRule="auto"/>
        <w:rPr>
          <w:rFonts w:hint="eastAsia" w:ascii="宋体" w:hAnsi="宋体" w:cs="宋体"/>
          <w:b/>
          <w:szCs w:val="21"/>
          <w:highlight w:val="none"/>
          <w:lang w:eastAsia="zh-CN"/>
        </w:rPr>
      </w:pPr>
    </w:p>
    <w:p>
      <w:pPr>
        <w:numPr>
          <w:ilvl w:val="0"/>
          <w:numId w:val="0"/>
        </w:numPr>
        <w:spacing w:line="360" w:lineRule="auto"/>
        <w:rPr>
          <w:rFonts w:hint="eastAsia" w:ascii="宋体" w:hAnsi="宋体" w:cs="宋体"/>
          <w:b/>
          <w:szCs w:val="21"/>
          <w:highlight w:val="none"/>
          <w:lang w:eastAsia="zh-CN"/>
        </w:rPr>
      </w:pPr>
    </w:p>
    <w:p>
      <w:pPr>
        <w:numPr>
          <w:ilvl w:val="0"/>
          <w:numId w:val="0"/>
        </w:numPr>
        <w:spacing w:line="360" w:lineRule="auto"/>
        <w:rPr>
          <w:rFonts w:hint="eastAsia" w:ascii="宋体" w:hAnsi="宋体" w:cs="宋体"/>
          <w:b/>
          <w:szCs w:val="21"/>
          <w:highlight w:val="none"/>
          <w:lang w:eastAsia="zh-CN"/>
        </w:rPr>
      </w:pPr>
    </w:p>
    <w:p>
      <w:pPr>
        <w:numPr>
          <w:ilvl w:val="0"/>
          <w:numId w:val="0"/>
        </w:numPr>
        <w:spacing w:line="360" w:lineRule="auto"/>
        <w:rPr>
          <w:rFonts w:hint="eastAsia" w:ascii="宋体" w:hAnsi="宋体" w:cs="宋体"/>
          <w:b/>
          <w:szCs w:val="21"/>
          <w:highlight w:val="none"/>
          <w:lang w:eastAsia="zh-CN"/>
        </w:rPr>
      </w:pPr>
    </w:p>
    <w:p>
      <w:pPr>
        <w:numPr>
          <w:ilvl w:val="0"/>
          <w:numId w:val="0"/>
        </w:numPr>
        <w:spacing w:line="360" w:lineRule="auto"/>
        <w:rPr>
          <w:rFonts w:hint="eastAsia" w:ascii="宋体" w:hAnsi="宋体" w:cs="宋体"/>
          <w:b/>
          <w:szCs w:val="21"/>
          <w:highlight w:val="none"/>
          <w:lang w:eastAsia="zh-CN"/>
        </w:rPr>
      </w:pPr>
    </w:p>
    <w:p>
      <w:pPr>
        <w:numPr>
          <w:ilvl w:val="0"/>
          <w:numId w:val="0"/>
        </w:numPr>
        <w:spacing w:line="360" w:lineRule="auto"/>
        <w:rPr>
          <w:rFonts w:hint="eastAsia" w:ascii="宋体" w:hAnsi="宋体" w:cs="宋体"/>
          <w:b/>
          <w:szCs w:val="21"/>
          <w:highlight w:val="none"/>
          <w:lang w:eastAsia="zh-CN"/>
        </w:rPr>
      </w:pPr>
    </w:p>
    <w:p>
      <w:pPr>
        <w:numPr>
          <w:ilvl w:val="0"/>
          <w:numId w:val="0"/>
        </w:numPr>
        <w:spacing w:line="360" w:lineRule="auto"/>
        <w:rPr>
          <w:rFonts w:hint="eastAsia" w:ascii="宋体" w:hAnsi="宋体" w:cs="宋体"/>
          <w:b/>
          <w:szCs w:val="21"/>
          <w:highlight w:val="none"/>
          <w:lang w:eastAsia="zh-CN"/>
        </w:rPr>
      </w:pPr>
    </w:p>
    <w:p>
      <w:pPr>
        <w:numPr>
          <w:ilvl w:val="0"/>
          <w:numId w:val="0"/>
        </w:numPr>
        <w:spacing w:line="360" w:lineRule="auto"/>
        <w:rPr>
          <w:rFonts w:hint="eastAsia" w:ascii="宋体" w:hAnsi="宋体" w:cs="宋体"/>
          <w:b/>
          <w:szCs w:val="21"/>
          <w:highlight w:val="none"/>
          <w:lang w:eastAsia="zh-CN"/>
        </w:rPr>
      </w:pPr>
    </w:p>
    <w:p>
      <w:pPr>
        <w:numPr>
          <w:ilvl w:val="0"/>
          <w:numId w:val="0"/>
        </w:numPr>
        <w:spacing w:line="360" w:lineRule="auto"/>
        <w:rPr>
          <w:rFonts w:hint="eastAsia" w:ascii="宋体" w:hAnsi="宋体" w:cs="宋体"/>
          <w:b/>
          <w:szCs w:val="21"/>
          <w:highlight w:val="none"/>
          <w:lang w:eastAsia="zh-CN"/>
        </w:rPr>
      </w:pPr>
    </w:p>
    <w:p>
      <w:pPr>
        <w:numPr>
          <w:ilvl w:val="0"/>
          <w:numId w:val="0"/>
        </w:numPr>
        <w:spacing w:line="360" w:lineRule="auto"/>
        <w:rPr>
          <w:rFonts w:ascii="宋体" w:hAnsi="宋体" w:cs="宋体"/>
          <w:b/>
          <w:szCs w:val="21"/>
          <w:highlight w:val="none"/>
        </w:rPr>
      </w:pPr>
      <w:r>
        <w:rPr>
          <w:rFonts w:hint="eastAsia" w:ascii="宋体" w:hAnsi="宋体" w:cs="宋体"/>
          <w:b/>
          <w:szCs w:val="21"/>
          <w:highlight w:val="none"/>
          <w:lang w:eastAsia="zh-CN"/>
        </w:rPr>
        <w:t>（</w:t>
      </w:r>
      <w:r>
        <w:rPr>
          <w:rFonts w:hint="eastAsia" w:ascii="宋体" w:hAnsi="宋体" w:cs="宋体"/>
          <w:b/>
          <w:szCs w:val="21"/>
          <w:highlight w:val="none"/>
          <w:lang w:val="en-US" w:eastAsia="zh-CN"/>
        </w:rPr>
        <w:t>二</w:t>
      </w:r>
      <w:r>
        <w:rPr>
          <w:rFonts w:hint="eastAsia" w:ascii="宋体" w:hAnsi="宋体" w:cs="宋体"/>
          <w:b/>
          <w:szCs w:val="21"/>
          <w:highlight w:val="none"/>
          <w:lang w:eastAsia="zh-CN"/>
        </w:rPr>
        <w:t>）</w:t>
      </w:r>
      <w:r>
        <w:rPr>
          <w:rFonts w:hint="eastAsia" w:ascii="宋体" w:hAnsi="宋体" w:cs="宋体"/>
          <w:b/>
          <w:szCs w:val="21"/>
          <w:highlight w:val="none"/>
        </w:rPr>
        <w:t>垃圾亭基本技术要求</w:t>
      </w:r>
    </w:p>
    <w:p>
      <w:pPr>
        <w:pStyle w:val="14"/>
        <w:ind w:firstLine="0"/>
        <w:rPr>
          <w:rFonts w:ascii="宋体" w:hAnsi="宋体" w:cs="宋体"/>
          <w:sz w:val="21"/>
          <w:szCs w:val="21"/>
          <w:highlight w:val="none"/>
        </w:rPr>
      </w:pPr>
      <w:r>
        <w:rPr>
          <w:rFonts w:hint="eastAsia" w:ascii="宋体" w:hAnsi="宋体" w:cs="宋体"/>
          <w:sz w:val="21"/>
          <w:szCs w:val="21"/>
          <w:highlight w:val="none"/>
        </w:rPr>
        <w:t>1、垃圾亭主体部分</w:t>
      </w:r>
    </w:p>
    <w:tbl>
      <w:tblPr>
        <w:tblStyle w:val="43"/>
        <w:tblW w:w="9911" w:type="dxa"/>
        <w:tblInd w:w="-17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9"/>
        <w:gridCol w:w="1474"/>
        <w:gridCol w:w="1795"/>
        <w:gridCol w:w="4392"/>
        <w:gridCol w:w="13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949" w:type="dxa"/>
            <w:shd w:val="clear" w:color="auto" w:fill="FFFFFF" w:themeFill="background1"/>
            <w:vAlign w:val="center"/>
          </w:tcPr>
          <w:p>
            <w:pPr>
              <w:jc w:val="center"/>
              <w:rPr>
                <w:rFonts w:ascii="宋体" w:hAnsi="宋体" w:cs="宋体"/>
                <w:b/>
                <w:bCs/>
                <w:szCs w:val="21"/>
                <w:highlight w:val="none"/>
              </w:rPr>
            </w:pPr>
            <w:r>
              <w:rPr>
                <w:rFonts w:hint="eastAsia" w:ascii="宋体" w:hAnsi="宋体" w:cs="宋体"/>
                <w:b/>
                <w:bCs/>
                <w:szCs w:val="21"/>
                <w:highlight w:val="none"/>
              </w:rPr>
              <w:t>序号</w:t>
            </w:r>
          </w:p>
        </w:tc>
        <w:tc>
          <w:tcPr>
            <w:tcW w:w="1474" w:type="dxa"/>
            <w:shd w:val="clear" w:color="auto" w:fill="FFFFFF" w:themeFill="background1"/>
            <w:vAlign w:val="center"/>
          </w:tcPr>
          <w:p>
            <w:pPr>
              <w:jc w:val="center"/>
              <w:rPr>
                <w:rFonts w:ascii="宋体" w:hAnsi="宋体" w:cs="宋体"/>
                <w:b/>
                <w:bCs/>
                <w:szCs w:val="21"/>
                <w:highlight w:val="none"/>
              </w:rPr>
            </w:pPr>
            <w:r>
              <w:rPr>
                <w:rFonts w:hint="eastAsia" w:ascii="宋体" w:hAnsi="宋体" w:cs="宋体"/>
                <w:b/>
                <w:bCs/>
                <w:szCs w:val="21"/>
                <w:highlight w:val="none"/>
              </w:rPr>
              <w:t>名称</w:t>
            </w:r>
          </w:p>
        </w:tc>
        <w:tc>
          <w:tcPr>
            <w:tcW w:w="1795" w:type="dxa"/>
            <w:shd w:val="clear" w:color="auto" w:fill="FFFFFF" w:themeFill="background1"/>
            <w:vAlign w:val="center"/>
          </w:tcPr>
          <w:p>
            <w:pPr>
              <w:jc w:val="center"/>
              <w:rPr>
                <w:rFonts w:ascii="宋体" w:hAnsi="宋体" w:cs="宋体"/>
                <w:b/>
                <w:bCs/>
                <w:szCs w:val="21"/>
                <w:highlight w:val="none"/>
              </w:rPr>
            </w:pPr>
            <w:r>
              <w:rPr>
                <w:rFonts w:hint="eastAsia" w:ascii="宋体" w:hAnsi="宋体" w:cs="宋体"/>
                <w:b/>
                <w:bCs/>
                <w:szCs w:val="21"/>
                <w:highlight w:val="none"/>
              </w:rPr>
              <w:t>功能概述</w:t>
            </w:r>
          </w:p>
        </w:tc>
        <w:tc>
          <w:tcPr>
            <w:tcW w:w="4392" w:type="dxa"/>
            <w:shd w:val="clear" w:color="auto" w:fill="FFFFFF" w:themeFill="background1"/>
            <w:vAlign w:val="center"/>
          </w:tcPr>
          <w:p>
            <w:pPr>
              <w:jc w:val="center"/>
              <w:rPr>
                <w:rFonts w:ascii="宋体" w:hAnsi="宋体" w:cs="宋体"/>
                <w:b/>
                <w:bCs/>
                <w:szCs w:val="21"/>
                <w:highlight w:val="none"/>
              </w:rPr>
            </w:pPr>
            <w:r>
              <w:rPr>
                <w:rFonts w:hint="eastAsia" w:ascii="宋体" w:hAnsi="宋体" w:cs="宋体"/>
                <w:b/>
                <w:bCs/>
                <w:szCs w:val="21"/>
                <w:highlight w:val="none"/>
              </w:rPr>
              <w:t>参数要求</w:t>
            </w:r>
          </w:p>
        </w:tc>
        <w:tc>
          <w:tcPr>
            <w:tcW w:w="1301" w:type="dxa"/>
            <w:shd w:val="clear" w:color="auto" w:fill="FFFFFF" w:themeFill="background1"/>
            <w:vAlign w:val="center"/>
          </w:tcPr>
          <w:p>
            <w:pPr>
              <w:jc w:val="center"/>
              <w:rPr>
                <w:rFonts w:ascii="宋体" w:hAnsi="宋体" w:cs="宋体"/>
                <w:b/>
                <w:bCs/>
                <w:szCs w:val="21"/>
                <w:highlight w:val="none"/>
              </w:rPr>
            </w:pPr>
            <w:r>
              <w:rPr>
                <w:rFonts w:hint="eastAsia" w:ascii="宋体" w:hAnsi="宋体" w:cs="宋体"/>
                <w:b/>
                <w:bCs/>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6" w:hRule="atLeast"/>
        </w:trPr>
        <w:tc>
          <w:tcPr>
            <w:tcW w:w="949" w:type="dxa"/>
            <w:vAlign w:val="center"/>
          </w:tcPr>
          <w:p>
            <w:pPr>
              <w:jc w:val="center"/>
              <w:rPr>
                <w:rFonts w:ascii="宋体" w:hAnsi="宋体" w:cs="宋体"/>
                <w:szCs w:val="21"/>
                <w:highlight w:val="none"/>
              </w:rPr>
            </w:pPr>
            <w:r>
              <w:rPr>
                <w:rFonts w:hint="eastAsia" w:ascii="宋体" w:hAnsi="宋体" w:cs="宋体"/>
                <w:szCs w:val="21"/>
                <w:highlight w:val="none"/>
              </w:rPr>
              <w:t>1</w:t>
            </w:r>
          </w:p>
        </w:tc>
        <w:tc>
          <w:tcPr>
            <w:tcW w:w="1474" w:type="dxa"/>
            <w:vAlign w:val="center"/>
          </w:tcPr>
          <w:p>
            <w:pPr>
              <w:jc w:val="center"/>
              <w:rPr>
                <w:rFonts w:ascii="宋体" w:hAnsi="宋体" w:cs="宋体"/>
                <w:szCs w:val="21"/>
                <w:highlight w:val="none"/>
              </w:rPr>
            </w:pPr>
            <w:r>
              <w:rPr>
                <w:rFonts w:hint="eastAsia" w:ascii="宋体" w:hAnsi="宋体" w:cs="宋体"/>
                <w:szCs w:val="21"/>
                <w:highlight w:val="none"/>
              </w:rPr>
              <w:t>钢框结构垃圾亭体</w:t>
            </w:r>
          </w:p>
        </w:tc>
        <w:tc>
          <w:tcPr>
            <w:tcW w:w="1795" w:type="dxa"/>
            <w:vAlign w:val="center"/>
          </w:tcPr>
          <w:p>
            <w:pPr>
              <w:jc w:val="center"/>
              <w:rPr>
                <w:rFonts w:ascii="宋体" w:hAnsi="宋体" w:cs="宋体"/>
                <w:szCs w:val="21"/>
                <w:highlight w:val="none"/>
              </w:rPr>
            </w:pPr>
            <w:r>
              <w:rPr>
                <w:rFonts w:hint="eastAsia" w:ascii="宋体" w:hAnsi="宋体" w:cs="宋体"/>
                <w:szCs w:val="21"/>
                <w:highlight w:val="none"/>
              </w:rPr>
              <w:t>生活垃圾集中投放点</w:t>
            </w:r>
          </w:p>
        </w:tc>
        <w:tc>
          <w:tcPr>
            <w:tcW w:w="4392" w:type="dxa"/>
            <w:vAlign w:val="center"/>
          </w:tcPr>
          <w:p>
            <w:pPr>
              <w:widowControl/>
              <w:spacing w:line="276" w:lineRule="auto"/>
              <w:textAlignment w:val="center"/>
              <w:rPr>
                <w:rFonts w:ascii="宋体" w:hAnsi="宋体" w:cs="宋体"/>
                <w:kern w:val="0"/>
                <w:szCs w:val="21"/>
                <w:highlight w:val="none"/>
                <w:lang w:bidi="ar"/>
              </w:rPr>
            </w:pPr>
            <w:r>
              <w:rPr>
                <w:rFonts w:hint="eastAsia" w:ascii="宋体" w:hAnsi="宋体" w:cs="宋体"/>
                <w:szCs w:val="21"/>
                <w:highlight w:val="none"/>
              </w:rPr>
              <w:t>收集点具体尺寸可由采购人根据实际需求进行调整，（收集点具体尺寸可由采购人根据实际需求进行调整），设计使用年限≥15年。亭体整体采用钢框架结构，现场杜绝二次焊接，材质为Q235A，t=2.0mm；骨架材质为Q235A，t=2.0mm；顶棚封板采用10mm阳光板，防水，封板采用1.2mm镀锌板机加工，表处理外观采用220度高温静电喷塑工艺处理，确保产品无腐蚀。（实际情况根据二次深化设计确定）</w:t>
            </w:r>
          </w:p>
          <w:p>
            <w:pPr>
              <w:pStyle w:val="187"/>
              <w:ind w:firstLine="0" w:firstLineChars="0"/>
              <w:rPr>
                <w:rFonts w:ascii="宋体" w:hAnsi="宋体" w:eastAsia="宋体"/>
                <w:sz w:val="21"/>
                <w:szCs w:val="21"/>
                <w:highlight w:val="none"/>
                <w:lang w:val="en-US"/>
              </w:rPr>
            </w:pPr>
          </w:p>
          <w:p>
            <w:pPr>
              <w:pStyle w:val="187"/>
              <w:ind w:firstLine="0" w:firstLineChars="0"/>
              <w:rPr>
                <w:rFonts w:ascii="宋体" w:hAnsi="宋体" w:eastAsia="宋体"/>
                <w:sz w:val="21"/>
                <w:szCs w:val="21"/>
                <w:highlight w:val="none"/>
                <w:lang w:val="en-US"/>
              </w:rPr>
            </w:pPr>
            <w:r>
              <w:rPr>
                <w:rFonts w:hint="eastAsia" w:ascii="宋体" w:hAnsi="宋体" w:eastAsia="宋体"/>
                <w:sz w:val="21"/>
                <w:szCs w:val="21"/>
                <w:highlight w:val="none"/>
              </w:rPr>
              <w:t>基础硬化（含预埋件）由采购人负责实施，包含地面硬化、铺砖、预埋、雨污水管网铺设、电路铺设、接水接电等。</w:t>
            </w:r>
          </w:p>
        </w:tc>
        <w:tc>
          <w:tcPr>
            <w:tcW w:w="1301" w:type="dxa"/>
            <w:vAlign w:val="center"/>
          </w:tcPr>
          <w:p>
            <w:pPr>
              <w:widowControl/>
              <w:jc w:val="left"/>
              <w:rPr>
                <w:rFonts w:ascii="宋体" w:hAnsi="宋体" w:cs="宋体"/>
                <w:szCs w:val="21"/>
                <w:highlight w:val="none"/>
              </w:rPr>
            </w:pPr>
          </w:p>
          <w:p>
            <w:pPr>
              <w:widowControl/>
              <w:jc w:val="left"/>
              <w:rPr>
                <w:rFonts w:ascii="宋体" w:hAnsi="宋体" w:cs="宋体"/>
                <w:szCs w:val="21"/>
                <w:highlight w:val="none"/>
              </w:rPr>
            </w:pPr>
          </w:p>
          <w:p>
            <w:pPr>
              <w:widowControl/>
              <w:jc w:val="left"/>
              <w:rPr>
                <w:rFonts w:ascii="宋体" w:hAnsi="宋体" w:cs="宋体"/>
                <w:szCs w:val="21"/>
                <w:highlight w:val="none"/>
              </w:rPr>
            </w:pPr>
            <w:r>
              <w:rPr>
                <w:rFonts w:hint="eastAsia" w:ascii="宋体" w:hAnsi="宋体" w:cs="宋体"/>
                <w:szCs w:val="21"/>
                <w:highlight w:val="none"/>
              </w:rPr>
              <w:t>暂按清单内面积（详见</w:t>
            </w:r>
            <w:r>
              <w:rPr>
                <w:rFonts w:hint="eastAsia" w:ascii="宋体" w:hAnsi="宋体" w:cs="宋体"/>
                <w:szCs w:val="21"/>
                <w:highlight w:val="none"/>
                <w:lang w:eastAsia="zh-CN"/>
              </w:rPr>
              <w:t>采购需求表</w:t>
            </w:r>
            <w:r>
              <w:rPr>
                <w:rFonts w:hint="eastAsia" w:ascii="宋体" w:hAnsi="宋体" w:cs="宋体"/>
                <w:szCs w:val="21"/>
                <w:highlight w:val="none"/>
              </w:rPr>
              <w:t>）报价，现场每个标段所有垃圾收集点面积改动范围10%（含）以内核减不核增，超出10%的以上部分按实结算</w:t>
            </w:r>
          </w:p>
          <w:p>
            <w:pPr>
              <w:widowControl/>
              <w:jc w:val="left"/>
              <w:rPr>
                <w:rFonts w:ascii="宋体" w:hAnsi="宋体" w:cs="宋体"/>
                <w:szCs w:val="21"/>
                <w:highlight w:val="none"/>
              </w:rPr>
            </w:pPr>
          </w:p>
          <w:p>
            <w:pPr>
              <w:widowControl/>
              <w:jc w:val="left"/>
              <w:rPr>
                <w:rFonts w:ascii="宋体" w:hAnsi="宋体" w:cs="宋体"/>
                <w:szCs w:val="21"/>
                <w:highlight w:val="none"/>
              </w:rPr>
            </w:pPr>
          </w:p>
          <w:p>
            <w:pPr>
              <w:widowControl/>
              <w:jc w:val="left"/>
              <w:rPr>
                <w:rFonts w:ascii="宋体" w:hAnsi="宋体" w:cs="宋体"/>
                <w:szCs w:val="21"/>
                <w:highlight w:val="none"/>
              </w:rPr>
            </w:pPr>
          </w:p>
          <w:p>
            <w:pPr>
              <w:widowControl/>
              <w:jc w:val="left"/>
              <w:rPr>
                <w:rFonts w:ascii="宋体" w:hAnsi="宋体" w:cs="宋体"/>
                <w:szCs w:val="21"/>
                <w:highlight w:val="none"/>
              </w:rPr>
            </w:pPr>
          </w:p>
          <w:p>
            <w:pPr>
              <w:widowControl/>
              <w:jc w:val="left"/>
              <w:rPr>
                <w:rFonts w:ascii="宋体" w:hAnsi="宋体" w:cs="宋体"/>
                <w:szCs w:val="21"/>
                <w:highlight w:val="none"/>
              </w:rPr>
            </w:pPr>
          </w:p>
          <w:p>
            <w:pPr>
              <w:widowControl/>
              <w:jc w:val="left"/>
              <w:rPr>
                <w:rFonts w:ascii="宋体" w:hAnsi="宋体" w:cs="宋体"/>
                <w:szCs w:val="21"/>
                <w:highlight w:val="none"/>
              </w:rPr>
            </w:pPr>
          </w:p>
          <w:p>
            <w:pPr>
              <w:widowControl/>
              <w:jc w:val="left"/>
              <w:textAlignment w:val="center"/>
              <w:rPr>
                <w:rFonts w:ascii="宋体" w:hAnsi="宋体" w:cs="宋体"/>
                <w:szCs w:val="21"/>
                <w:highlight w:val="none"/>
              </w:rPr>
            </w:pPr>
          </w:p>
        </w:tc>
      </w:tr>
    </w:tbl>
    <w:p>
      <w:pPr>
        <w:pStyle w:val="14"/>
        <w:ind w:firstLine="0"/>
        <w:rPr>
          <w:rFonts w:ascii="宋体" w:hAnsi="宋体" w:cs="宋体"/>
          <w:sz w:val="21"/>
          <w:szCs w:val="21"/>
          <w:highlight w:val="none"/>
        </w:rPr>
      </w:pPr>
      <w:r>
        <w:rPr>
          <w:rFonts w:hint="eastAsia" w:ascii="宋体" w:hAnsi="宋体" w:cs="宋体"/>
          <w:sz w:val="21"/>
          <w:szCs w:val="21"/>
          <w:highlight w:val="none"/>
        </w:rPr>
        <w:t>2、垃圾亭设备配置部分</w:t>
      </w:r>
    </w:p>
    <w:tbl>
      <w:tblPr>
        <w:tblStyle w:val="43"/>
        <w:tblW w:w="9913"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3"/>
        <w:gridCol w:w="1212"/>
        <w:gridCol w:w="1000"/>
        <w:gridCol w:w="1288"/>
        <w:gridCol w:w="4450"/>
        <w:gridCol w:w="12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3" w:type="dxa"/>
            <w:shd w:val="clear" w:color="auto" w:fill="FFFFFF" w:themeFill="background1"/>
            <w:vAlign w:val="center"/>
          </w:tcPr>
          <w:p>
            <w:pPr>
              <w:jc w:val="center"/>
              <w:rPr>
                <w:rFonts w:ascii="宋体" w:hAnsi="宋体" w:cs="宋体"/>
                <w:b/>
                <w:bCs/>
                <w:szCs w:val="21"/>
                <w:highlight w:val="none"/>
              </w:rPr>
            </w:pPr>
            <w:r>
              <w:rPr>
                <w:rFonts w:hint="eastAsia" w:ascii="宋体" w:hAnsi="宋体" w:cs="宋体"/>
                <w:b/>
                <w:bCs/>
                <w:szCs w:val="21"/>
                <w:highlight w:val="none"/>
              </w:rPr>
              <w:t>序号</w:t>
            </w:r>
          </w:p>
        </w:tc>
        <w:tc>
          <w:tcPr>
            <w:tcW w:w="1212" w:type="dxa"/>
            <w:shd w:val="clear" w:color="auto" w:fill="FFFFFF" w:themeFill="background1"/>
            <w:vAlign w:val="center"/>
          </w:tcPr>
          <w:p>
            <w:pPr>
              <w:jc w:val="center"/>
              <w:rPr>
                <w:rFonts w:ascii="宋体" w:hAnsi="宋体" w:cs="宋体"/>
                <w:b/>
                <w:bCs/>
                <w:szCs w:val="21"/>
                <w:highlight w:val="none"/>
              </w:rPr>
            </w:pPr>
            <w:r>
              <w:rPr>
                <w:rFonts w:hint="eastAsia" w:ascii="Arial" w:hAnsi="Arial" w:cs="Arial"/>
                <w:b/>
                <w:bCs/>
                <w:kern w:val="0"/>
                <w:szCs w:val="21"/>
                <w:highlight w:val="none"/>
                <w:lang w:eastAsia="zh-CN"/>
              </w:rPr>
              <w:t>★</w:t>
            </w:r>
            <w:r>
              <w:rPr>
                <w:rFonts w:hint="eastAsia" w:ascii="宋体" w:hAnsi="宋体" w:cs="宋体"/>
                <w:b/>
                <w:bCs/>
                <w:szCs w:val="21"/>
                <w:highlight w:val="none"/>
              </w:rPr>
              <w:t>名称</w:t>
            </w:r>
          </w:p>
        </w:tc>
        <w:tc>
          <w:tcPr>
            <w:tcW w:w="1000" w:type="dxa"/>
            <w:shd w:val="clear" w:color="auto" w:fill="FFFFFF" w:themeFill="background1"/>
            <w:vAlign w:val="center"/>
          </w:tcPr>
          <w:p>
            <w:pPr>
              <w:jc w:val="center"/>
              <w:rPr>
                <w:rFonts w:ascii="宋体" w:hAnsi="宋体" w:cs="宋体"/>
                <w:b/>
                <w:bCs/>
                <w:szCs w:val="21"/>
                <w:highlight w:val="none"/>
              </w:rPr>
            </w:pPr>
            <w:r>
              <w:rPr>
                <w:rFonts w:hint="eastAsia" w:ascii="Arial" w:hAnsi="Arial" w:cs="Arial"/>
                <w:b/>
                <w:bCs/>
                <w:kern w:val="0"/>
                <w:szCs w:val="21"/>
                <w:highlight w:val="none"/>
                <w:lang w:eastAsia="zh-CN"/>
              </w:rPr>
              <w:t>★</w:t>
            </w:r>
            <w:r>
              <w:rPr>
                <w:rFonts w:hint="eastAsia" w:ascii="宋体" w:hAnsi="宋体" w:cs="宋体"/>
                <w:b/>
                <w:bCs/>
                <w:szCs w:val="21"/>
                <w:highlight w:val="none"/>
              </w:rPr>
              <w:t>数量</w:t>
            </w:r>
          </w:p>
        </w:tc>
        <w:tc>
          <w:tcPr>
            <w:tcW w:w="1288" w:type="dxa"/>
            <w:shd w:val="clear" w:color="auto" w:fill="FFFFFF" w:themeFill="background1"/>
            <w:vAlign w:val="center"/>
          </w:tcPr>
          <w:p>
            <w:pPr>
              <w:jc w:val="center"/>
              <w:rPr>
                <w:rFonts w:ascii="宋体" w:hAnsi="宋体" w:cs="宋体"/>
                <w:b/>
                <w:bCs/>
                <w:szCs w:val="21"/>
                <w:highlight w:val="none"/>
              </w:rPr>
            </w:pPr>
            <w:r>
              <w:rPr>
                <w:rFonts w:hint="eastAsia" w:ascii="宋体" w:hAnsi="宋体" w:cs="宋体"/>
                <w:b/>
                <w:bCs/>
                <w:szCs w:val="21"/>
                <w:highlight w:val="none"/>
              </w:rPr>
              <w:t>功能概述</w:t>
            </w:r>
          </w:p>
        </w:tc>
        <w:tc>
          <w:tcPr>
            <w:tcW w:w="4450" w:type="dxa"/>
            <w:shd w:val="clear" w:color="auto" w:fill="FFFFFF" w:themeFill="background1"/>
            <w:vAlign w:val="center"/>
          </w:tcPr>
          <w:p>
            <w:pPr>
              <w:jc w:val="center"/>
              <w:rPr>
                <w:rFonts w:ascii="宋体" w:hAnsi="宋体" w:cs="宋体"/>
                <w:b/>
                <w:bCs/>
                <w:szCs w:val="21"/>
                <w:highlight w:val="none"/>
              </w:rPr>
            </w:pPr>
            <w:r>
              <w:rPr>
                <w:rFonts w:hint="eastAsia" w:ascii="Arial" w:hAnsi="Arial" w:cs="Arial"/>
                <w:b/>
                <w:bCs/>
                <w:kern w:val="0"/>
                <w:szCs w:val="21"/>
                <w:highlight w:val="none"/>
                <w:lang w:eastAsia="zh-CN"/>
              </w:rPr>
              <w:t>★</w:t>
            </w:r>
            <w:r>
              <w:rPr>
                <w:rFonts w:hint="eastAsia" w:ascii="宋体" w:hAnsi="宋体" w:cs="宋体"/>
                <w:b/>
                <w:bCs/>
                <w:szCs w:val="21"/>
                <w:highlight w:val="none"/>
              </w:rPr>
              <w:t>参数要求</w:t>
            </w:r>
          </w:p>
        </w:tc>
        <w:tc>
          <w:tcPr>
            <w:tcW w:w="1200" w:type="dxa"/>
            <w:shd w:val="clear" w:color="auto" w:fill="FFFFFF" w:themeFill="background1"/>
            <w:vAlign w:val="center"/>
          </w:tcPr>
          <w:p>
            <w:pPr>
              <w:jc w:val="center"/>
              <w:rPr>
                <w:rFonts w:ascii="宋体" w:hAnsi="宋体" w:cs="宋体"/>
                <w:b/>
                <w:bCs/>
                <w:szCs w:val="21"/>
                <w:highlight w:val="none"/>
              </w:rPr>
            </w:pPr>
            <w:r>
              <w:rPr>
                <w:rFonts w:hint="eastAsia" w:ascii="宋体" w:hAnsi="宋体" w:cs="宋体"/>
                <w:b/>
                <w:bCs/>
                <w:szCs w:val="21"/>
                <w:highlight w:val="none"/>
              </w:rPr>
              <w:t>参考品牌（3个）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3" w:type="dxa"/>
            <w:vAlign w:val="center"/>
          </w:tcPr>
          <w:p>
            <w:pPr>
              <w:jc w:val="center"/>
              <w:rPr>
                <w:rFonts w:ascii="宋体" w:hAnsi="宋体" w:cs="宋体"/>
                <w:szCs w:val="21"/>
                <w:highlight w:val="none"/>
              </w:rPr>
            </w:pPr>
            <w:r>
              <w:rPr>
                <w:rFonts w:hint="eastAsia" w:ascii="宋体" w:hAnsi="宋体" w:cs="宋体"/>
                <w:szCs w:val="21"/>
                <w:highlight w:val="none"/>
              </w:rPr>
              <w:t>1</w:t>
            </w:r>
          </w:p>
        </w:tc>
        <w:tc>
          <w:tcPr>
            <w:tcW w:w="1212" w:type="dxa"/>
            <w:vAlign w:val="center"/>
          </w:tcPr>
          <w:p>
            <w:pPr>
              <w:jc w:val="center"/>
              <w:rPr>
                <w:rFonts w:ascii="宋体" w:hAnsi="宋体" w:cs="宋体"/>
                <w:szCs w:val="21"/>
                <w:highlight w:val="none"/>
              </w:rPr>
            </w:pPr>
            <w:r>
              <w:rPr>
                <w:rFonts w:hint="eastAsia" w:ascii="宋体" w:hAnsi="宋体" w:cs="宋体"/>
                <w:szCs w:val="21"/>
                <w:highlight w:val="none"/>
              </w:rPr>
              <w:t>垃圾桶</w:t>
            </w:r>
          </w:p>
        </w:tc>
        <w:tc>
          <w:tcPr>
            <w:tcW w:w="1000" w:type="dxa"/>
            <w:vAlign w:val="center"/>
          </w:tcPr>
          <w:p>
            <w:pPr>
              <w:jc w:val="center"/>
              <w:rPr>
                <w:rFonts w:ascii="宋体" w:hAnsi="宋体" w:cs="宋体"/>
                <w:szCs w:val="21"/>
                <w:highlight w:val="none"/>
              </w:rPr>
            </w:pPr>
            <w:r>
              <w:rPr>
                <w:rFonts w:hint="eastAsia" w:ascii="宋体" w:hAnsi="宋体" w:cs="宋体"/>
                <w:szCs w:val="21"/>
                <w:highlight w:val="none"/>
              </w:rPr>
              <w:t>6个</w:t>
            </w:r>
          </w:p>
        </w:tc>
        <w:tc>
          <w:tcPr>
            <w:tcW w:w="1288" w:type="dxa"/>
            <w:vAlign w:val="center"/>
          </w:tcPr>
          <w:p>
            <w:pPr>
              <w:jc w:val="center"/>
              <w:rPr>
                <w:rFonts w:ascii="宋体" w:hAnsi="宋体" w:cs="宋体"/>
                <w:szCs w:val="21"/>
                <w:highlight w:val="none"/>
              </w:rPr>
            </w:pPr>
            <w:r>
              <w:rPr>
                <w:rFonts w:hint="eastAsia" w:ascii="宋体" w:hAnsi="宋体" w:cs="宋体"/>
                <w:szCs w:val="21"/>
                <w:highlight w:val="none"/>
              </w:rPr>
              <w:t>用于垃圾投放</w:t>
            </w:r>
          </w:p>
        </w:tc>
        <w:tc>
          <w:tcPr>
            <w:tcW w:w="4450" w:type="dxa"/>
          </w:tcPr>
          <w:p>
            <w:pPr>
              <w:jc w:val="left"/>
              <w:rPr>
                <w:rFonts w:ascii="宋体" w:hAnsi="宋体" w:cs="宋体"/>
                <w:szCs w:val="21"/>
                <w:highlight w:val="none"/>
              </w:rPr>
            </w:pPr>
            <w:r>
              <w:rPr>
                <w:rFonts w:hint="eastAsia" w:ascii="宋体" w:hAnsi="宋体" w:cs="宋体"/>
                <w:kern w:val="0"/>
                <w:szCs w:val="21"/>
                <w:highlight w:val="none"/>
              </w:rPr>
              <w:t>1、智能厨余桶*2个，防渗漏、无异味、美观大方（垃圾投递到箱体内实时换算成积分，</w:t>
            </w:r>
            <w:r>
              <w:rPr>
                <w:rFonts w:hint="eastAsia" w:ascii="宋体" w:hAnsi="宋体" w:cs="宋体"/>
                <w:szCs w:val="21"/>
                <w:highlight w:val="none"/>
              </w:rPr>
              <w:t>厨余垃圾积分与南京市垃圾分类数据系统无缝对接并且系统兼容免费开放）。</w:t>
            </w:r>
          </w:p>
          <w:p>
            <w:pPr>
              <w:jc w:val="left"/>
              <w:rPr>
                <w:rFonts w:ascii="宋体" w:hAnsi="宋体" w:cs="宋体"/>
                <w:szCs w:val="21"/>
                <w:highlight w:val="none"/>
              </w:rPr>
            </w:pPr>
            <w:r>
              <w:rPr>
                <w:rFonts w:hint="eastAsia" w:ascii="宋体" w:hAnsi="宋体" w:cs="宋体"/>
                <w:szCs w:val="21"/>
                <w:highlight w:val="none"/>
              </w:rPr>
              <w:t>2、可回收</w:t>
            </w:r>
            <w:r>
              <w:rPr>
                <w:rFonts w:hint="eastAsia" w:ascii="宋体" w:hAnsi="宋体" w:cs="宋体"/>
                <w:kern w:val="0"/>
                <w:szCs w:val="21"/>
                <w:highlight w:val="none"/>
              </w:rPr>
              <w:t>智能</w:t>
            </w:r>
            <w:r>
              <w:rPr>
                <w:rFonts w:hint="eastAsia" w:ascii="宋体" w:hAnsi="宋体" w:cs="宋体"/>
                <w:szCs w:val="21"/>
                <w:highlight w:val="none"/>
              </w:rPr>
              <w:t>垃圾桶*1个，细分类回收，</w:t>
            </w:r>
            <w:r>
              <w:rPr>
                <w:rFonts w:hint="eastAsia" w:ascii="宋体" w:hAnsi="宋体" w:cs="宋体"/>
                <w:kern w:val="0"/>
                <w:szCs w:val="21"/>
                <w:highlight w:val="none"/>
              </w:rPr>
              <w:t>防渗漏、无异味、美观大方</w:t>
            </w:r>
          </w:p>
          <w:p>
            <w:pPr>
              <w:jc w:val="left"/>
              <w:rPr>
                <w:rFonts w:ascii="宋体" w:hAnsi="宋体" w:cs="宋体"/>
                <w:kern w:val="0"/>
                <w:szCs w:val="21"/>
                <w:highlight w:val="none"/>
              </w:rPr>
            </w:pPr>
            <w:r>
              <w:rPr>
                <w:rFonts w:hint="eastAsia" w:ascii="宋体" w:hAnsi="宋体" w:cs="宋体"/>
                <w:szCs w:val="21"/>
                <w:highlight w:val="none"/>
              </w:rPr>
              <w:t>3、</w:t>
            </w:r>
            <w:r>
              <w:rPr>
                <w:rFonts w:hint="eastAsia" w:ascii="宋体" w:hAnsi="宋体" w:cs="宋体"/>
                <w:kern w:val="0"/>
                <w:szCs w:val="21"/>
                <w:highlight w:val="none"/>
              </w:rPr>
              <w:t>其他智能垃圾桶*2个，防渗漏、无异味、美观大方；</w:t>
            </w:r>
          </w:p>
          <w:p>
            <w:pPr>
              <w:jc w:val="left"/>
              <w:rPr>
                <w:rFonts w:ascii="宋体" w:hAnsi="宋体" w:cs="宋体"/>
                <w:kern w:val="0"/>
                <w:szCs w:val="21"/>
                <w:highlight w:val="none"/>
              </w:rPr>
            </w:pPr>
            <w:r>
              <w:rPr>
                <w:rFonts w:hint="eastAsia" w:ascii="宋体" w:hAnsi="宋体" w:cs="宋体"/>
                <w:kern w:val="0"/>
                <w:szCs w:val="21"/>
                <w:highlight w:val="none"/>
              </w:rPr>
              <w:t>4、有害智能垃圾桶*1个，防渗漏、无异味、美观大方。</w:t>
            </w:r>
          </w:p>
          <w:p>
            <w:pPr>
              <w:rPr>
                <w:rFonts w:ascii="宋体" w:hAnsi="宋体" w:cs="宋体"/>
                <w:kern w:val="0"/>
                <w:szCs w:val="21"/>
                <w:highlight w:val="none"/>
              </w:rPr>
            </w:pPr>
            <w:r>
              <w:rPr>
                <w:rFonts w:hint="eastAsia" w:ascii="宋体" w:hAnsi="宋体" w:cs="宋体"/>
                <w:kern w:val="0"/>
                <w:szCs w:val="21"/>
                <w:highlight w:val="none"/>
              </w:rPr>
              <w:t>所有垃圾内桶240L（带翻盖），厚度不低于6mm。</w:t>
            </w:r>
          </w:p>
        </w:tc>
        <w:tc>
          <w:tcPr>
            <w:tcW w:w="1200" w:type="dxa"/>
            <w:vAlign w:val="center"/>
          </w:tcPr>
          <w:p>
            <w:pPr>
              <w:jc w:val="center"/>
              <w:rPr>
                <w:rFonts w:ascii="宋体" w:hAnsi="宋体" w:cs="宋体"/>
                <w:kern w:val="0"/>
                <w:szCs w:val="21"/>
                <w:highlight w:val="none"/>
              </w:rPr>
            </w:pPr>
            <w:r>
              <w:rPr>
                <w:rFonts w:hint="eastAsia" w:ascii="宋体" w:hAnsi="宋体" w:cs="宋体"/>
                <w:kern w:val="0"/>
                <w:szCs w:val="21"/>
                <w:highlight w:val="none"/>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1" w:hRule="atLeast"/>
        </w:trPr>
        <w:tc>
          <w:tcPr>
            <w:tcW w:w="763" w:type="dxa"/>
            <w:vAlign w:val="center"/>
          </w:tcPr>
          <w:p>
            <w:pPr>
              <w:jc w:val="center"/>
              <w:rPr>
                <w:rFonts w:ascii="宋体" w:hAnsi="宋体" w:cs="宋体"/>
                <w:szCs w:val="21"/>
                <w:highlight w:val="none"/>
              </w:rPr>
            </w:pPr>
            <w:r>
              <w:rPr>
                <w:rFonts w:hint="eastAsia" w:ascii="宋体" w:hAnsi="宋体" w:cs="宋体"/>
                <w:szCs w:val="21"/>
                <w:highlight w:val="none"/>
              </w:rPr>
              <w:t>2</w:t>
            </w:r>
          </w:p>
        </w:tc>
        <w:tc>
          <w:tcPr>
            <w:tcW w:w="1212" w:type="dxa"/>
            <w:vAlign w:val="center"/>
          </w:tcPr>
          <w:p>
            <w:pPr>
              <w:jc w:val="center"/>
              <w:rPr>
                <w:rFonts w:ascii="宋体" w:hAnsi="宋体" w:cs="宋体"/>
                <w:szCs w:val="21"/>
                <w:highlight w:val="none"/>
              </w:rPr>
            </w:pPr>
            <w:r>
              <w:rPr>
                <w:rFonts w:hint="eastAsia" w:ascii="宋体" w:hAnsi="宋体" w:cs="宋体"/>
                <w:szCs w:val="21"/>
                <w:highlight w:val="none"/>
              </w:rPr>
              <w:t>灭火器</w:t>
            </w:r>
          </w:p>
        </w:tc>
        <w:tc>
          <w:tcPr>
            <w:tcW w:w="1000" w:type="dxa"/>
            <w:vAlign w:val="center"/>
          </w:tcPr>
          <w:p>
            <w:pPr>
              <w:jc w:val="center"/>
              <w:rPr>
                <w:rFonts w:ascii="宋体" w:hAnsi="宋体" w:cs="宋体"/>
                <w:szCs w:val="21"/>
                <w:highlight w:val="none"/>
              </w:rPr>
            </w:pPr>
            <w:r>
              <w:rPr>
                <w:rFonts w:hint="eastAsia" w:ascii="宋体" w:hAnsi="宋体" w:cs="宋体"/>
                <w:szCs w:val="21"/>
                <w:highlight w:val="none"/>
              </w:rPr>
              <w:t>1个</w:t>
            </w:r>
          </w:p>
        </w:tc>
        <w:tc>
          <w:tcPr>
            <w:tcW w:w="1288" w:type="dxa"/>
            <w:vAlign w:val="center"/>
          </w:tcPr>
          <w:p>
            <w:pPr>
              <w:jc w:val="center"/>
              <w:rPr>
                <w:rFonts w:ascii="宋体" w:hAnsi="宋体" w:cs="宋体"/>
                <w:szCs w:val="21"/>
                <w:highlight w:val="none"/>
              </w:rPr>
            </w:pPr>
            <w:r>
              <w:rPr>
                <w:rFonts w:hint="eastAsia" w:ascii="宋体" w:hAnsi="宋体" w:cs="宋体"/>
                <w:szCs w:val="21"/>
                <w:highlight w:val="none"/>
              </w:rPr>
              <w:t>应对火情</w:t>
            </w:r>
          </w:p>
        </w:tc>
        <w:tc>
          <w:tcPr>
            <w:tcW w:w="4450" w:type="dxa"/>
            <w:vAlign w:val="center"/>
          </w:tcPr>
          <w:p>
            <w:pPr>
              <w:jc w:val="left"/>
              <w:textAlignment w:val="center"/>
              <w:rPr>
                <w:rFonts w:ascii="宋体" w:hAnsi="宋体" w:cs="宋体"/>
                <w:szCs w:val="21"/>
                <w:highlight w:val="none"/>
              </w:rPr>
            </w:pPr>
            <w:r>
              <w:rPr>
                <w:rFonts w:hint="eastAsia" w:ascii="宋体" w:hAnsi="宋体" w:cs="宋体"/>
                <w:szCs w:val="21"/>
                <w:highlight w:val="none"/>
              </w:rPr>
              <w:t>干粉灭火器</w:t>
            </w:r>
          </w:p>
          <w:p>
            <w:pPr>
              <w:jc w:val="left"/>
              <w:textAlignment w:val="center"/>
              <w:rPr>
                <w:rFonts w:ascii="宋体" w:hAnsi="宋体" w:cs="宋体"/>
                <w:szCs w:val="21"/>
                <w:highlight w:val="none"/>
              </w:rPr>
            </w:pPr>
            <w:r>
              <w:rPr>
                <w:rFonts w:hint="eastAsia" w:ascii="宋体" w:hAnsi="宋体" w:cs="宋体"/>
                <w:szCs w:val="21"/>
                <w:highlight w:val="none"/>
              </w:rPr>
              <w:t>容量：</w:t>
            </w:r>
            <w:r>
              <w:rPr>
                <w:rFonts w:hint="eastAsia" w:ascii="宋体" w:hAnsi="宋体" w:cs="宋体"/>
                <w:kern w:val="0"/>
                <w:szCs w:val="21"/>
                <w:highlight w:val="none"/>
              </w:rPr>
              <w:t>4kg</w:t>
            </w:r>
          </w:p>
          <w:p>
            <w:pPr>
              <w:jc w:val="left"/>
              <w:textAlignment w:val="center"/>
              <w:rPr>
                <w:rFonts w:ascii="宋体" w:hAnsi="宋体" w:cs="宋体"/>
                <w:szCs w:val="21"/>
                <w:highlight w:val="none"/>
              </w:rPr>
            </w:pPr>
            <w:r>
              <w:rPr>
                <w:rFonts w:hint="eastAsia" w:ascii="宋体" w:hAnsi="宋体" w:cs="宋体"/>
                <w:szCs w:val="21"/>
                <w:highlight w:val="none"/>
              </w:rPr>
              <w:t>产品质量须符合国家标准</w:t>
            </w:r>
          </w:p>
        </w:tc>
        <w:tc>
          <w:tcPr>
            <w:tcW w:w="1200"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海湾</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国泰消防</w:t>
            </w:r>
          </w:p>
          <w:p>
            <w:pPr>
              <w:pStyle w:val="14"/>
              <w:ind w:firstLine="0"/>
              <w:jc w:val="center"/>
              <w:rPr>
                <w:rFonts w:ascii="宋体" w:hAnsi="宋体" w:cs="宋体"/>
                <w:sz w:val="21"/>
                <w:szCs w:val="21"/>
                <w:highlight w:val="none"/>
              </w:rPr>
            </w:pPr>
            <w:r>
              <w:rPr>
                <w:rFonts w:hint="eastAsia" w:ascii="宋体" w:hAnsi="宋体" w:cs="宋体"/>
                <w:b w:val="0"/>
                <w:sz w:val="21"/>
                <w:szCs w:val="21"/>
                <w:highlight w:val="none"/>
              </w:rPr>
              <w:t>北大青鸟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0" w:hRule="atLeast"/>
        </w:trPr>
        <w:tc>
          <w:tcPr>
            <w:tcW w:w="763" w:type="dxa"/>
            <w:vAlign w:val="center"/>
          </w:tcPr>
          <w:p>
            <w:pPr>
              <w:jc w:val="center"/>
              <w:rPr>
                <w:rFonts w:ascii="宋体" w:hAnsi="宋体" w:cs="宋体"/>
                <w:szCs w:val="21"/>
                <w:highlight w:val="none"/>
              </w:rPr>
            </w:pPr>
            <w:r>
              <w:rPr>
                <w:rFonts w:hint="eastAsia" w:ascii="宋体" w:hAnsi="宋体" w:cs="宋体"/>
                <w:szCs w:val="21"/>
                <w:highlight w:val="none"/>
              </w:rPr>
              <w:t>3</w:t>
            </w:r>
          </w:p>
        </w:tc>
        <w:tc>
          <w:tcPr>
            <w:tcW w:w="1212" w:type="dxa"/>
            <w:vAlign w:val="center"/>
          </w:tcPr>
          <w:p>
            <w:pPr>
              <w:jc w:val="center"/>
              <w:rPr>
                <w:rFonts w:ascii="宋体" w:hAnsi="宋体" w:cs="宋体"/>
                <w:szCs w:val="21"/>
                <w:highlight w:val="none"/>
              </w:rPr>
            </w:pPr>
            <w:r>
              <w:rPr>
                <w:rFonts w:hint="eastAsia" w:ascii="宋体" w:hAnsi="宋体" w:cs="宋体"/>
                <w:szCs w:val="21"/>
                <w:highlight w:val="none"/>
              </w:rPr>
              <w:t>监控系统</w:t>
            </w:r>
          </w:p>
        </w:tc>
        <w:tc>
          <w:tcPr>
            <w:tcW w:w="1000" w:type="dxa"/>
            <w:vAlign w:val="center"/>
          </w:tcPr>
          <w:p>
            <w:pPr>
              <w:jc w:val="center"/>
              <w:rPr>
                <w:rFonts w:ascii="宋体" w:hAnsi="宋体" w:cs="宋体"/>
                <w:szCs w:val="21"/>
                <w:highlight w:val="none"/>
              </w:rPr>
            </w:pPr>
            <w:r>
              <w:rPr>
                <w:rFonts w:hint="eastAsia" w:ascii="宋体" w:hAnsi="宋体" w:cs="宋体"/>
                <w:szCs w:val="21"/>
                <w:highlight w:val="none"/>
              </w:rPr>
              <w:t>1套</w:t>
            </w:r>
          </w:p>
        </w:tc>
        <w:tc>
          <w:tcPr>
            <w:tcW w:w="1288" w:type="dxa"/>
            <w:vAlign w:val="center"/>
          </w:tcPr>
          <w:p>
            <w:pPr>
              <w:jc w:val="center"/>
              <w:rPr>
                <w:rFonts w:ascii="宋体" w:hAnsi="宋体" w:cs="宋体"/>
                <w:szCs w:val="21"/>
                <w:highlight w:val="none"/>
              </w:rPr>
            </w:pPr>
            <w:r>
              <w:rPr>
                <w:rFonts w:hint="eastAsia" w:ascii="宋体" w:hAnsi="宋体" w:cs="宋体"/>
                <w:szCs w:val="21"/>
                <w:highlight w:val="none"/>
              </w:rPr>
              <w:t>（1）外部监控可以实时监控回收站周边的情况，用来分析环境信息，监控居民投递情况。</w:t>
            </w:r>
          </w:p>
          <w:p>
            <w:pPr>
              <w:jc w:val="center"/>
              <w:rPr>
                <w:rFonts w:ascii="宋体" w:hAnsi="宋体" w:cs="宋体"/>
                <w:szCs w:val="21"/>
                <w:highlight w:val="none"/>
              </w:rPr>
            </w:pPr>
          </w:p>
        </w:tc>
        <w:tc>
          <w:tcPr>
            <w:tcW w:w="4450" w:type="dxa"/>
            <w:vAlign w:val="center"/>
          </w:tcPr>
          <w:p>
            <w:pPr>
              <w:jc w:val="left"/>
              <w:textAlignment w:val="center"/>
              <w:rPr>
                <w:rFonts w:ascii="宋体" w:hAnsi="宋体" w:cs="宋体"/>
                <w:szCs w:val="21"/>
                <w:highlight w:val="none"/>
              </w:rPr>
            </w:pPr>
            <w:r>
              <w:rPr>
                <w:rFonts w:hint="eastAsia" w:ascii="宋体" w:hAnsi="宋体" w:cs="宋体"/>
                <w:szCs w:val="21"/>
                <w:highlight w:val="none"/>
              </w:rPr>
              <w:t>像素：≥200万</w:t>
            </w:r>
          </w:p>
          <w:p>
            <w:pPr>
              <w:jc w:val="left"/>
              <w:textAlignment w:val="center"/>
              <w:rPr>
                <w:rFonts w:ascii="宋体" w:hAnsi="宋体" w:cs="宋体"/>
                <w:szCs w:val="21"/>
                <w:highlight w:val="none"/>
              </w:rPr>
            </w:pPr>
            <w:r>
              <w:rPr>
                <w:rFonts w:hint="eastAsia" w:ascii="宋体" w:hAnsi="宋体" w:cs="宋体"/>
                <w:szCs w:val="21"/>
                <w:highlight w:val="none"/>
              </w:rPr>
              <w:t>图像设置 :旋转模式，存储卡：1张存储形式：插卡形式，要求：存贮量符合常规存贮≥3天，自动续存。</w:t>
            </w:r>
          </w:p>
        </w:tc>
        <w:tc>
          <w:tcPr>
            <w:tcW w:w="1200"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海康威视</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大华</w:t>
            </w:r>
          </w:p>
          <w:p>
            <w:pPr>
              <w:pStyle w:val="14"/>
              <w:ind w:firstLine="0"/>
              <w:jc w:val="center"/>
              <w:rPr>
                <w:rFonts w:ascii="宋体" w:hAnsi="宋体" w:cs="宋体"/>
                <w:sz w:val="21"/>
                <w:szCs w:val="21"/>
                <w:highlight w:val="none"/>
              </w:rPr>
            </w:pPr>
            <w:r>
              <w:rPr>
                <w:rFonts w:hint="eastAsia" w:ascii="宋体" w:hAnsi="宋体" w:cs="宋体"/>
                <w:b w:val="0"/>
                <w:sz w:val="21"/>
                <w:szCs w:val="21"/>
                <w:highlight w:val="none"/>
              </w:rPr>
              <w:t>霍尼韦尔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763" w:type="dxa"/>
            <w:vAlign w:val="center"/>
          </w:tcPr>
          <w:p>
            <w:pPr>
              <w:jc w:val="center"/>
              <w:rPr>
                <w:rFonts w:ascii="宋体" w:hAnsi="宋体" w:cs="宋体"/>
                <w:szCs w:val="21"/>
                <w:highlight w:val="none"/>
              </w:rPr>
            </w:pPr>
            <w:r>
              <w:rPr>
                <w:rFonts w:hint="eastAsia" w:ascii="宋体" w:hAnsi="宋体" w:cs="宋体"/>
                <w:szCs w:val="21"/>
                <w:highlight w:val="none"/>
              </w:rPr>
              <w:t>4</w:t>
            </w:r>
          </w:p>
        </w:tc>
        <w:tc>
          <w:tcPr>
            <w:tcW w:w="1212" w:type="dxa"/>
            <w:vAlign w:val="center"/>
          </w:tcPr>
          <w:p>
            <w:pPr>
              <w:jc w:val="center"/>
              <w:rPr>
                <w:rFonts w:ascii="宋体" w:hAnsi="宋体" w:cs="宋体"/>
                <w:kern w:val="0"/>
                <w:szCs w:val="21"/>
                <w:highlight w:val="none"/>
              </w:rPr>
            </w:pPr>
            <w:r>
              <w:rPr>
                <w:rFonts w:hint="eastAsia" w:ascii="宋体" w:hAnsi="宋体" w:cs="宋体"/>
                <w:kern w:val="0"/>
                <w:szCs w:val="21"/>
                <w:highlight w:val="none"/>
              </w:rPr>
              <w:t>紫外线杀菌灯（灭蝇灭蚊）</w:t>
            </w:r>
          </w:p>
        </w:tc>
        <w:tc>
          <w:tcPr>
            <w:tcW w:w="1000" w:type="dxa"/>
            <w:vAlign w:val="center"/>
          </w:tcPr>
          <w:p>
            <w:pPr>
              <w:jc w:val="center"/>
              <w:rPr>
                <w:rFonts w:ascii="宋体" w:hAnsi="宋体" w:cs="宋体"/>
                <w:szCs w:val="21"/>
                <w:highlight w:val="none"/>
              </w:rPr>
            </w:pPr>
            <w:r>
              <w:rPr>
                <w:rFonts w:hint="eastAsia" w:ascii="宋体" w:hAnsi="宋体" w:cs="宋体"/>
                <w:szCs w:val="21"/>
                <w:highlight w:val="none"/>
              </w:rPr>
              <w:t>1个</w:t>
            </w:r>
          </w:p>
        </w:tc>
        <w:tc>
          <w:tcPr>
            <w:tcW w:w="1288" w:type="dxa"/>
            <w:vAlign w:val="center"/>
          </w:tcPr>
          <w:p>
            <w:pPr>
              <w:jc w:val="center"/>
              <w:rPr>
                <w:rFonts w:ascii="宋体" w:hAnsi="宋体" w:cs="宋体"/>
                <w:szCs w:val="21"/>
                <w:highlight w:val="none"/>
              </w:rPr>
            </w:pPr>
            <w:r>
              <w:rPr>
                <w:rFonts w:hint="eastAsia" w:ascii="宋体" w:hAnsi="宋体" w:cs="宋体"/>
                <w:kern w:val="0"/>
                <w:szCs w:val="21"/>
                <w:highlight w:val="none"/>
              </w:rPr>
              <w:t>灭蝇灭蚊</w:t>
            </w:r>
          </w:p>
        </w:tc>
        <w:tc>
          <w:tcPr>
            <w:tcW w:w="4450" w:type="dxa"/>
            <w:vAlign w:val="center"/>
          </w:tcPr>
          <w:p>
            <w:pPr>
              <w:jc w:val="left"/>
              <w:rPr>
                <w:rFonts w:ascii="宋体" w:hAnsi="宋体" w:cs="宋体"/>
                <w:kern w:val="0"/>
                <w:szCs w:val="21"/>
                <w:highlight w:val="none"/>
              </w:rPr>
            </w:pPr>
            <w:r>
              <w:rPr>
                <w:rFonts w:hint="eastAsia" w:ascii="宋体" w:hAnsi="宋体" w:cs="宋体"/>
                <w:kern w:val="0"/>
                <w:szCs w:val="21"/>
                <w:highlight w:val="none"/>
              </w:rPr>
              <w:t>输入电压：220V- 50Hz</w:t>
            </w:r>
            <w:r>
              <w:rPr>
                <w:rFonts w:hint="eastAsia" w:ascii="宋体" w:hAnsi="宋体" w:cs="宋体"/>
                <w:kern w:val="0"/>
                <w:szCs w:val="21"/>
                <w:highlight w:val="none"/>
              </w:rPr>
              <w:br w:type="textWrapping"/>
            </w:r>
            <w:r>
              <w:rPr>
                <w:rFonts w:hint="eastAsia" w:ascii="宋体" w:hAnsi="宋体" w:cs="宋体"/>
                <w:kern w:val="0"/>
                <w:szCs w:val="21"/>
                <w:highlight w:val="none"/>
              </w:rPr>
              <w:t>输出电压：1500- 1800V</w:t>
            </w:r>
            <w:r>
              <w:rPr>
                <w:rFonts w:hint="eastAsia" w:ascii="宋体" w:hAnsi="宋体" w:cs="宋体"/>
                <w:kern w:val="0"/>
                <w:szCs w:val="21"/>
                <w:highlight w:val="none"/>
              </w:rPr>
              <w:br w:type="textWrapping"/>
            </w:r>
            <w:r>
              <w:rPr>
                <w:rFonts w:hint="eastAsia" w:ascii="宋体" w:hAnsi="宋体" w:cs="宋体"/>
                <w:kern w:val="0"/>
                <w:szCs w:val="21"/>
                <w:highlight w:val="none"/>
              </w:rPr>
              <w:t>额定功率：35w</w:t>
            </w:r>
            <w:r>
              <w:rPr>
                <w:rFonts w:hint="eastAsia" w:ascii="宋体" w:hAnsi="宋体" w:cs="宋体"/>
                <w:kern w:val="0"/>
                <w:szCs w:val="21"/>
                <w:highlight w:val="none"/>
              </w:rPr>
              <w:br w:type="textWrapping"/>
            </w:r>
            <w:r>
              <w:rPr>
                <w:rFonts w:hint="eastAsia" w:ascii="宋体" w:hAnsi="宋体" w:cs="宋体"/>
                <w:kern w:val="0"/>
                <w:szCs w:val="21"/>
                <w:highlight w:val="none"/>
              </w:rPr>
              <w:t>材质：全铝合金框</w:t>
            </w:r>
          </w:p>
        </w:tc>
        <w:tc>
          <w:tcPr>
            <w:tcW w:w="1200"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飞利浦</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雷士</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三雄极光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3" w:hRule="atLeast"/>
        </w:trPr>
        <w:tc>
          <w:tcPr>
            <w:tcW w:w="763" w:type="dxa"/>
            <w:vAlign w:val="center"/>
          </w:tcPr>
          <w:p>
            <w:pPr>
              <w:jc w:val="center"/>
              <w:rPr>
                <w:rFonts w:ascii="宋体" w:hAnsi="宋体" w:cs="宋体"/>
                <w:szCs w:val="21"/>
                <w:highlight w:val="none"/>
              </w:rPr>
            </w:pPr>
            <w:r>
              <w:rPr>
                <w:rFonts w:hint="eastAsia" w:ascii="宋体" w:hAnsi="宋体" w:cs="宋体"/>
                <w:szCs w:val="21"/>
                <w:highlight w:val="none"/>
              </w:rPr>
              <w:t>5</w:t>
            </w:r>
          </w:p>
        </w:tc>
        <w:tc>
          <w:tcPr>
            <w:tcW w:w="1212" w:type="dxa"/>
            <w:vAlign w:val="center"/>
          </w:tcPr>
          <w:p>
            <w:pPr>
              <w:jc w:val="center"/>
              <w:rPr>
                <w:rFonts w:ascii="宋体" w:hAnsi="宋体" w:cs="宋体"/>
                <w:kern w:val="0"/>
                <w:szCs w:val="21"/>
                <w:highlight w:val="none"/>
              </w:rPr>
            </w:pPr>
            <w:r>
              <w:rPr>
                <w:rFonts w:hint="eastAsia" w:ascii="宋体" w:hAnsi="宋体" w:cs="宋体"/>
                <w:kern w:val="0"/>
                <w:szCs w:val="21"/>
                <w:highlight w:val="none"/>
              </w:rPr>
              <w:t>宣传屏</w:t>
            </w:r>
          </w:p>
        </w:tc>
        <w:tc>
          <w:tcPr>
            <w:tcW w:w="1000" w:type="dxa"/>
            <w:vAlign w:val="center"/>
          </w:tcPr>
          <w:p>
            <w:pPr>
              <w:jc w:val="center"/>
              <w:rPr>
                <w:rFonts w:ascii="宋体" w:hAnsi="宋体" w:cs="宋体"/>
                <w:szCs w:val="21"/>
                <w:highlight w:val="none"/>
              </w:rPr>
            </w:pPr>
            <w:r>
              <w:rPr>
                <w:rFonts w:hint="eastAsia" w:ascii="宋体" w:hAnsi="宋体" w:cs="宋体"/>
                <w:szCs w:val="21"/>
                <w:highlight w:val="none"/>
              </w:rPr>
              <w:t>1个</w:t>
            </w:r>
          </w:p>
        </w:tc>
        <w:tc>
          <w:tcPr>
            <w:tcW w:w="1288" w:type="dxa"/>
            <w:vAlign w:val="center"/>
          </w:tcPr>
          <w:p>
            <w:pPr>
              <w:jc w:val="center"/>
              <w:rPr>
                <w:rFonts w:ascii="宋体" w:hAnsi="宋体" w:cs="宋体"/>
                <w:kern w:val="0"/>
                <w:szCs w:val="21"/>
                <w:highlight w:val="none"/>
              </w:rPr>
            </w:pPr>
          </w:p>
        </w:tc>
        <w:tc>
          <w:tcPr>
            <w:tcW w:w="4450" w:type="dxa"/>
            <w:vAlign w:val="center"/>
          </w:tcPr>
          <w:p>
            <w:pPr>
              <w:pStyle w:val="187"/>
              <w:ind w:firstLine="0" w:firstLineChars="0"/>
              <w:rPr>
                <w:rFonts w:ascii="宋体" w:hAnsi="宋体" w:eastAsia="宋体"/>
                <w:sz w:val="21"/>
                <w:szCs w:val="21"/>
                <w:highlight w:val="none"/>
                <w:lang w:val="en-US"/>
              </w:rPr>
            </w:pPr>
            <w:r>
              <w:rPr>
                <w:rFonts w:hint="eastAsia" w:ascii="宋体" w:hAnsi="宋体" w:eastAsia="宋体"/>
                <w:sz w:val="21"/>
                <w:szCs w:val="21"/>
                <w:highlight w:val="none"/>
              </w:rPr>
              <w:t xml:space="preserve">（具体尺寸根据现场实际需求定制） </w:t>
            </w:r>
            <w:r>
              <w:rPr>
                <w:rFonts w:hint="eastAsia" w:ascii="宋体" w:hAnsi="宋体" w:eastAsia="宋体"/>
                <w:sz w:val="21"/>
                <w:szCs w:val="21"/>
                <w:highlight w:val="none"/>
                <w:lang w:val="en-US"/>
              </w:rPr>
              <w:t>LCD宣传屏：支持远程发布图片和视频</w:t>
            </w:r>
          </w:p>
          <w:p>
            <w:pPr>
              <w:pStyle w:val="187"/>
              <w:ind w:firstLine="0" w:firstLineChars="0"/>
              <w:rPr>
                <w:rFonts w:ascii="宋体" w:hAnsi="宋体" w:eastAsia="宋体"/>
                <w:sz w:val="21"/>
                <w:szCs w:val="21"/>
                <w:highlight w:val="none"/>
                <w:lang w:val="en-US"/>
              </w:rPr>
            </w:pPr>
            <w:r>
              <w:rPr>
                <w:rFonts w:hint="eastAsia" w:ascii="宋体" w:hAnsi="宋体" w:eastAsia="宋体"/>
                <w:sz w:val="21"/>
                <w:szCs w:val="21"/>
                <w:highlight w:val="none"/>
                <w:lang w:val="en-US"/>
              </w:rPr>
              <w:t>1920*1080高清</w:t>
            </w:r>
          </w:p>
          <w:p>
            <w:pPr>
              <w:pStyle w:val="187"/>
              <w:ind w:firstLine="0" w:firstLineChars="0"/>
              <w:rPr>
                <w:rFonts w:ascii="宋体" w:hAnsi="宋体" w:eastAsia="宋体"/>
                <w:sz w:val="21"/>
                <w:szCs w:val="21"/>
                <w:highlight w:val="none"/>
                <w:lang w:val="en-US"/>
              </w:rPr>
            </w:pPr>
            <w:r>
              <w:rPr>
                <w:rFonts w:hint="eastAsia" w:ascii="宋体" w:hAnsi="宋体" w:eastAsia="宋体"/>
                <w:sz w:val="21"/>
                <w:szCs w:val="21"/>
                <w:highlight w:val="none"/>
                <w:lang w:val="en-US"/>
              </w:rPr>
              <w:t>耐温范围：室外耐-20-110度高温</w:t>
            </w:r>
          </w:p>
        </w:tc>
        <w:tc>
          <w:tcPr>
            <w:tcW w:w="1200" w:type="dxa"/>
            <w:vAlign w:val="center"/>
          </w:tcPr>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海康威视</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大华</w:t>
            </w:r>
          </w:p>
          <w:p>
            <w:pPr>
              <w:pStyle w:val="14"/>
              <w:ind w:firstLine="0"/>
              <w:jc w:val="center"/>
              <w:rPr>
                <w:rFonts w:ascii="宋体" w:hAnsi="宋体" w:cs="宋体"/>
                <w:b w:val="0"/>
                <w:sz w:val="21"/>
                <w:szCs w:val="21"/>
                <w:highlight w:val="none"/>
              </w:rPr>
            </w:pPr>
            <w:r>
              <w:rPr>
                <w:rFonts w:hint="eastAsia" w:ascii="宋体" w:hAnsi="宋体" w:cs="宋体"/>
                <w:b w:val="0"/>
                <w:sz w:val="21"/>
                <w:szCs w:val="21"/>
                <w:highlight w:val="none"/>
              </w:rPr>
              <w:t>三星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trPr>
        <w:tc>
          <w:tcPr>
            <w:tcW w:w="763" w:type="dxa"/>
            <w:vAlign w:val="center"/>
          </w:tcPr>
          <w:p>
            <w:pPr>
              <w:jc w:val="center"/>
              <w:rPr>
                <w:rFonts w:ascii="宋体" w:hAnsi="宋体" w:cs="宋体"/>
                <w:szCs w:val="21"/>
                <w:highlight w:val="none"/>
              </w:rPr>
            </w:pPr>
            <w:r>
              <w:rPr>
                <w:rFonts w:hint="eastAsia" w:ascii="宋体" w:hAnsi="宋体" w:cs="宋体"/>
                <w:szCs w:val="21"/>
                <w:highlight w:val="none"/>
              </w:rPr>
              <w:t>6</w:t>
            </w:r>
          </w:p>
        </w:tc>
        <w:tc>
          <w:tcPr>
            <w:tcW w:w="1212" w:type="dxa"/>
            <w:vAlign w:val="center"/>
          </w:tcPr>
          <w:p>
            <w:pPr>
              <w:adjustRightInd w:val="0"/>
              <w:spacing w:line="400" w:lineRule="exact"/>
              <w:jc w:val="center"/>
              <w:rPr>
                <w:rFonts w:ascii="宋体" w:hAnsi="宋体" w:cs="宋体"/>
                <w:szCs w:val="21"/>
                <w:highlight w:val="none"/>
              </w:rPr>
            </w:pPr>
            <w:r>
              <w:rPr>
                <w:rFonts w:hint="eastAsia" w:ascii="宋体" w:hAnsi="宋体" w:cs="宋体"/>
                <w:szCs w:val="21"/>
                <w:highlight w:val="none"/>
              </w:rPr>
              <w:t>照明灯</w:t>
            </w:r>
          </w:p>
          <w:p>
            <w:pPr>
              <w:jc w:val="center"/>
              <w:rPr>
                <w:rFonts w:ascii="宋体" w:hAnsi="宋体" w:cs="宋体"/>
                <w:kern w:val="0"/>
                <w:szCs w:val="21"/>
                <w:highlight w:val="none"/>
                <w:lang w:bidi="ar"/>
              </w:rPr>
            </w:pPr>
            <w:r>
              <w:rPr>
                <w:rFonts w:hint="eastAsia" w:ascii="宋体" w:hAnsi="宋体" w:cs="宋体"/>
                <w:szCs w:val="21"/>
                <w:highlight w:val="none"/>
              </w:rPr>
              <w:t>（室外）</w:t>
            </w:r>
          </w:p>
        </w:tc>
        <w:tc>
          <w:tcPr>
            <w:tcW w:w="1000" w:type="dxa"/>
            <w:vAlign w:val="center"/>
          </w:tcPr>
          <w:p>
            <w:pPr>
              <w:jc w:val="center"/>
              <w:rPr>
                <w:rFonts w:ascii="宋体" w:hAnsi="宋体" w:cs="宋体"/>
                <w:szCs w:val="21"/>
                <w:highlight w:val="none"/>
              </w:rPr>
            </w:pPr>
            <w:r>
              <w:rPr>
                <w:rFonts w:hint="eastAsia" w:ascii="宋体" w:hAnsi="宋体" w:cs="宋体"/>
                <w:szCs w:val="21"/>
                <w:highlight w:val="none"/>
              </w:rPr>
              <w:t>满足使用需求</w:t>
            </w:r>
          </w:p>
        </w:tc>
        <w:tc>
          <w:tcPr>
            <w:tcW w:w="1288" w:type="dxa"/>
            <w:vAlign w:val="center"/>
          </w:tcPr>
          <w:p>
            <w:pPr>
              <w:jc w:val="center"/>
              <w:rPr>
                <w:rFonts w:ascii="宋体" w:hAnsi="宋体" w:cs="宋体"/>
                <w:kern w:val="0"/>
                <w:szCs w:val="21"/>
                <w:highlight w:val="none"/>
                <w:lang w:bidi="ar"/>
              </w:rPr>
            </w:pPr>
            <w:r>
              <w:rPr>
                <w:rFonts w:hint="eastAsia" w:ascii="宋体" w:hAnsi="宋体" w:cs="宋体"/>
                <w:kern w:val="0"/>
                <w:szCs w:val="21"/>
                <w:highlight w:val="none"/>
                <w:lang w:bidi="ar"/>
              </w:rPr>
              <w:t>室外照明</w:t>
            </w:r>
          </w:p>
        </w:tc>
        <w:tc>
          <w:tcPr>
            <w:tcW w:w="4450" w:type="dxa"/>
            <w:vAlign w:val="center"/>
          </w:tcPr>
          <w:p>
            <w:pPr>
              <w:pStyle w:val="187"/>
              <w:ind w:firstLine="0" w:firstLineChars="0"/>
              <w:rPr>
                <w:rFonts w:ascii="宋体" w:hAnsi="宋体" w:eastAsia="宋体"/>
                <w:sz w:val="21"/>
                <w:szCs w:val="21"/>
                <w:highlight w:val="none"/>
                <w:lang w:val="en-US"/>
              </w:rPr>
            </w:pPr>
            <w:r>
              <w:rPr>
                <w:rFonts w:hint="eastAsia" w:ascii="宋体" w:hAnsi="宋体" w:eastAsia="宋体"/>
                <w:sz w:val="21"/>
                <w:szCs w:val="21"/>
                <w:highlight w:val="none"/>
                <w:lang w:val="en-US"/>
              </w:rPr>
              <w:t>LED节能灯具 16W，色温(k)：冷光（5000K以上）电压(V)：220V</w:t>
            </w:r>
          </w:p>
        </w:tc>
        <w:tc>
          <w:tcPr>
            <w:tcW w:w="1200" w:type="dxa"/>
            <w:vAlign w:val="center"/>
          </w:tcPr>
          <w:p>
            <w:pPr>
              <w:adjustRightInd w:val="0"/>
              <w:spacing w:line="400" w:lineRule="exact"/>
              <w:jc w:val="center"/>
              <w:rPr>
                <w:rFonts w:ascii="宋体" w:hAnsi="宋体" w:cs="宋体"/>
                <w:kern w:val="0"/>
                <w:szCs w:val="21"/>
                <w:highlight w:val="none"/>
              </w:rPr>
            </w:pPr>
            <w:r>
              <w:rPr>
                <w:rFonts w:hint="eastAsia" w:ascii="宋体" w:hAnsi="宋体" w:cs="宋体"/>
                <w:szCs w:val="21"/>
                <w:highlight w:val="none"/>
              </w:rPr>
              <w:t>欧普、雷士、飞利浦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trPr>
        <w:tc>
          <w:tcPr>
            <w:tcW w:w="763" w:type="dxa"/>
            <w:vAlign w:val="center"/>
          </w:tcPr>
          <w:p>
            <w:pPr>
              <w:jc w:val="center"/>
              <w:rPr>
                <w:rFonts w:ascii="宋体" w:hAnsi="宋体" w:cs="宋体"/>
                <w:szCs w:val="21"/>
                <w:highlight w:val="none"/>
              </w:rPr>
            </w:pPr>
            <w:r>
              <w:rPr>
                <w:rFonts w:hint="eastAsia" w:ascii="宋体" w:hAnsi="宋体" w:cs="宋体"/>
                <w:szCs w:val="21"/>
                <w:highlight w:val="none"/>
              </w:rPr>
              <w:t>7</w:t>
            </w:r>
          </w:p>
        </w:tc>
        <w:tc>
          <w:tcPr>
            <w:tcW w:w="1212" w:type="dxa"/>
            <w:vAlign w:val="center"/>
          </w:tcPr>
          <w:p>
            <w:pPr>
              <w:jc w:val="center"/>
              <w:rPr>
                <w:rFonts w:ascii="宋体" w:hAnsi="宋体" w:cs="宋体"/>
                <w:szCs w:val="21"/>
                <w:highlight w:val="none"/>
              </w:rPr>
            </w:pPr>
            <w:r>
              <w:rPr>
                <w:rFonts w:hint="eastAsia" w:ascii="宋体" w:hAnsi="宋体" w:cs="宋体"/>
                <w:szCs w:val="21"/>
                <w:highlight w:val="none"/>
              </w:rPr>
              <w:t>开关及插座面板</w:t>
            </w:r>
          </w:p>
        </w:tc>
        <w:tc>
          <w:tcPr>
            <w:tcW w:w="1000" w:type="dxa"/>
            <w:vAlign w:val="center"/>
          </w:tcPr>
          <w:p>
            <w:pPr>
              <w:jc w:val="center"/>
              <w:rPr>
                <w:rFonts w:ascii="宋体" w:hAnsi="宋体" w:cs="宋体"/>
                <w:szCs w:val="21"/>
                <w:highlight w:val="none"/>
              </w:rPr>
            </w:pPr>
            <w:r>
              <w:rPr>
                <w:rFonts w:hint="eastAsia" w:ascii="宋体" w:hAnsi="宋体" w:cs="宋体"/>
                <w:szCs w:val="21"/>
                <w:highlight w:val="none"/>
              </w:rPr>
              <w:t>满足使用需求</w:t>
            </w:r>
          </w:p>
        </w:tc>
        <w:tc>
          <w:tcPr>
            <w:tcW w:w="1288" w:type="dxa"/>
            <w:vAlign w:val="center"/>
          </w:tcPr>
          <w:p>
            <w:pPr>
              <w:rPr>
                <w:rFonts w:ascii="宋体" w:hAnsi="宋体" w:cs="宋体"/>
                <w:szCs w:val="21"/>
                <w:highlight w:val="none"/>
              </w:rPr>
            </w:pPr>
            <w:r>
              <w:rPr>
                <w:rFonts w:hint="eastAsia" w:ascii="宋体" w:hAnsi="宋体" w:cs="宋体"/>
                <w:szCs w:val="21"/>
                <w:highlight w:val="none"/>
              </w:rPr>
              <w:t>插座面板开关</w:t>
            </w:r>
          </w:p>
        </w:tc>
        <w:tc>
          <w:tcPr>
            <w:tcW w:w="4450" w:type="dxa"/>
            <w:vAlign w:val="center"/>
          </w:tcPr>
          <w:p>
            <w:pPr>
              <w:pStyle w:val="187"/>
              <w:ind w:firstLine="420"/>
              <w:rPr>
                <w:rFonts w:ascii="宋体" w:hAnsi="宋体" w:eastAsia="宋体"/>
                <w:sz w:val="21"/>
                <w:szCs w:val="21"/>
                <w:highlight w:val="none"/>
                <w:lang w:val="en-US"/>
              </w:rPr>
            </w:pPr>
            <w:r>
              <w:rPr>
                <w:rFonts w:hint="eastAsia" w:ascii="宋体" w:hAnsi="宋体" w:eastAsia="宋体"/>
                <w:sz w:val="21"/>
                <w:szCs w:val="21"/>
                <w:highlight w:val="none"/>
                <w:lang w:val="en-US"/>
              </w:rPr>
              <w:t>10A五孔</w:t>
            </w:r>
          </w:p>
        </w:tc>
        <w:tc>
          <w:tcPr>
            <w:tcW w:w="1200" w:type="dxa"/>
            <w:vAlign w:val="center"/>
          </w:tcPr>
          <w:p>
            <w:pPr>
              <w:jc w:val="center"/>
              <w:rPr>
                <w:rFonts w:ascii="宋体" w:hAnsi="宋体" w:cs="宋体"/>
                <w:szCs w:val="21"/>
                <w:highlight w:val="none"/>
              </w:rPr>
            </w:pPr>
            <w:r>
              <w:rPr>
                <w:rFonts w:hint="eastAsia" w:ascii="宋体" w:hAnsi="宋体" w:cs="宋体"/>
                <w:szCs w:val="21"/>
                <w:highlight w:val="none"/>
              </w:rPr>
              <w:t>公牛、德力西、正泰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0" w:hRule="atLeast"/>
        </w:trPr>
        <w:tc>
          <w:tcPr>
            <w:tcW w:w="763" w:type="dxa"/>
            <w:vAlign w:val="center"/>
          </w:tcPr>
          <w:p>
            <w:pPr>
              <w:jc w:val="center"/>
              <w:rPr>
                <w:rFonts w:ascii="宋体" w:hAnsi="宋体" w:cs="宋体"/>
                <w:szCs w:val="21"/>
                <w:highlight w:val="none"/>
              </w:rPr>
            </w:pPr>
            <w:r>
              <w:rPr>
                <w:rFonts w:hint="eastAsia" w:ascii="宋体" w:hAnsi="宋体" w:cs="宋体"/>
                <w:szCs w:val="21"/>
                <w:highlight w:val="none"/>
              </w:rPr>
              <w:t>8</w:t>
            </w:r>
          </w:p>
        </w:tc>
        <w:tc>
          <w:tcPr>
            <w:tcW w:w="1212" w:type="dxa"/>
            <w:vAlign w:val="center"/>
          </w:tcPr>
          <w:p>
            <w:pPr>
              <w:jc w:val="center"/>
              <w:rPr>
                <w:rFonts w:ascii="宋体" w:hAnsi="宋体" w:cs="宋体"/>
                <w:szCs w:val="21"/>
                <w:highlight w:val="none"/>
              </w:rPr>
            </w:pPr>
            <w:r>
              <w:rPr>
                <w:rFonts w:hint="eastAsia" w:ascii="宋体" w:hAnsi="宋体" w:cs="宋体"/>
                <w:szCs w:val="21"/>
                <w:highlight w:val="none"/>
              </w:rPr>
              <w:t>LED</w:t>
            </w:r>
          </w:p>
          <w:p>
            <w:pPr>
              <w:jc w:val="center"/>
              <w:rPr>
                <w:rFonts w:ascii="宋体" w:hAnsi="宋体" w:cs="宋体"/>
                <w:szCs w:val="21"/>
                <w:highlight w:val="none"/>
              </w:rPr>
            </w:pPr>
            <w:r>
              <w:rPr>
                <w:rFonts w:hint="eastAsia" w:ascii="宋体" w:hAnsi="宋体" w:cs="宋体"/>
                <w:szCs w:val="21"/>
                <w:highlight w:val="none"/>
              </w:rPr>
              <w:t>字幕屏</w:t>
            </w:r>
          </w:p>
        </w:tc>
        <w:tc>
          <w:tcPr>
            <w:tcW w:w="1000" w:type="dxa"/>
            <w:vAlign w:val="center"/>
          </w:tcPr>
          <w:p>
            <w:pPr>
              <w:jc w:val="center"/>
              <w:rPr>
                <w:rFonts w:ascii="宋体" w:hAnsi="宋体" w:cs="宋体"/>
                <w:szCs w:val="21"/>
                <w:highlight w:val="none"/>
              </w:rPr>
            </w:pPr>
            <w:r>
              <w:rPr>
                <w:rFonts w:hint="eastAsia" w:ascii="宋体" w:hAnsi="宋体" w:cs="宋体"/>
                <w:szCs w:val="21"/>
                <w:highlight w:val="none"/>
              </w:rPr>
              <w:t>1个</w:t>
            </w:r>
          </w:p>
        </w:tc>
        <w:tc>
          <w:tcPr>
            <w:tcW w:w="1288" w:type="dxa"/>
            <w:vAlign w:val="center"/>
          </w:tcPr>
          <w:p>
            <w:pPr>
              <w:jc w:val="center"/>
              <w:rPr>
                <w:rFonts w:ascii="宋体" w:hAnsi="宋体" w:cs="宋体"/>
                <w:szCs w:val="21"/>
                <w:highlight w:val="none"/>
              </w:rPr>
            </w:pPr>
            <w:r>
              <w:rPr>
                <w:rFonts w:hint="eastAsia" w:ascii="宋体" w:hAnsi="宋体" w:cs="宋体"/>
                <w:szCs w:val="21"/>
                <w:highlight w:val="none"/>
              </w:rPr>
              <w:t>播放垃圾分类宣传文字</w:t>
            </w:r>
          </w:p>
        </w:tc>
        <w:tc>
          <w:tcPr>
            <w:tcW w:w="4450" w:type="dxa"/>
            <w:vAlign w:val="center"/>
          </w:tcPr>
          <w:p>
            <w:pPr>
              <w:widowControl/>
              <w:spacing w:line="360" w:lineRule="auto"/>
              <w:jc w:val="left"/>
              <w:rPr>
                <w:rFonts w:ascii="宋体" w:hAnsi="宋体" w:cs="宋体"/>
                <w:szCs w:val="21"/>
                <w:highlight w:val="none"/>
              </w:rPr>
            </w:pPr>
            <w:r>
              <w:rPr>
                <w:rFonts w:hint="eastAsia" w:ascii="宋体" w:hAnsi="宋体" w:cs="宋体"/>
                <w:szCs w:val="21"/>
                <w:highlight w:val="none"/>
              </w:rPr>
              <w:t>像素管单元箱：单点尺寸：5mm </w:t>
            </w:r>
          </w:p>
          <w:p>
            <w:pPr>
              <w:widowControl/>
              <w:spacing w:line="360" w:lineRule="auto"/>
              <w:jc w:val="left"/>
              <w:rPr>
                <w:rFonts w:ascii="宋体" w:hAnsi="宋体" w:cs="宋体"/>
                <w:szCs w:val="21"/>
                <w:highlight w:val="none"/>
              </w:rPr>
            </w:pPr>
            <w:r>
              <w:rPr>
                <w:rFonts w:hint="eastAsia" w:ascii="宋体" w:hAnsi="宋体" w:cs="宋体"/>
                <w:szCs w:val="21"/>
                <w:highlight w:val="none"/>
              </w:rPr>
              <w:t>发光仰角直径：12mil</w:t>
            </w:r>
          </w:p>
          <w:p>
            <w:pPr>
              <w:widowControl/>
              <w:spacing w:line="360" w:lineRule="auto"/>
              <w:jc w:val="left"/>
              <w:rPr>
                <w:rFonts w:ascii="宋体" w:hAnsi="宋体" w:cs="宋体"/>
                <w:szCs w:val="21"/>
                <w:highlight w:val="none"/>
              </w:rPr>
            </w:pPr>
            <w:r>
              <w:rPr>
                <w:rFonts w:hint="eastAsia" w:ascii="宋体" w:hAnsi="宋体" w:cs="宋体"/>
                <w:szCs w:val="21"/>
                <w:highlight w:val="none"/>
              </w:rPr>
              <w:t>物理点间距：P10的10mm </w:t>
            </w:r>
          </w:p>
          <w:p>
            <w:pPr>
              <w:widowControl/>
              <w:spacing w:line="360" w:lineRule="auto"/>
              <w:jc w:val="left"/>
              <w:rPr>
                <w:rFonts w:ascii="宋体" w:hAnsi="宋体" w:cs="宋体"/>
                <w:szCs w:val="21"/>
                <w:highlight w:val="none"/>
              </w:rPr>
            </w:pPr>
            <w:r>
              <w:rPr>
                <w:rFonts w:hint="eastAsia" w:ascii="宋体" w:hAnsi="宋体" w:cs="宋体"/>
                <w:szCs w:val="21"/>
                <w:highlight w:val="none"/>
              </w:rPr>
              <w:t>像素管型号：发光点颜色：2R  </w:t>
            </w:r>
          </w:p>
          <w:p>
            <w:pPr>
              <w:widowControl/>
              <w:spacing w:line="360" w:lineRule="auto"/>
              <w:jc w:val="left"/>
              <w:rPr>
                <w:rFonts w:ascii="宋体" w:hAnsi="宋体" w:cs="宋体"/>
                <w:szCs w:val="21"/>
                <w:highlight w:val="none"/>
              </w:rPr>
            </w:pPr>
            <w:r>
              <w:rPr>
                <w:rFonts w:hint="eastAsia" w:ascii="宋体" w:hAnsi="宋体" w:cs="宋体"/>
                <w:szCs w:val="21"/>
                <w:highlight w:val="none"/>
              </w:rPr>
              <w:t>基色：红 </w:t>
            </w:r>
          </w:p>
          <w:p>
            <w:pPr>
              <w:widowControl/>
              <w:spacing w:line="360" w:lineRule="auto"/>
              <w:jc w:val="left"/>
              <w:rPr>
                <w:rFonts w:ascii="宋体" w:hAnsi="宋体" w:cs="宋体"/>
                <w:szCs w:val="21"/>
                <w:highlight w:val="none"/>
              </w:rPr>
            </w:pPr>
            <w:r>
              <w:rPr>
                <w:rFonts w:hint="eastAsia" w:ascii="宋体" w:hAnsi="宋体" w:cs="宋体"/>
                <w:szCs w:val="21"/>
                <w:highlight w:val="none"/>
              </w:rPr>
              <w:t>物理密度：P10的10000点/m2 </w:t>
            </w:r>
          </w:p>
          <w:p>
            <w:pPr>
              <w:pStyle w:val="187"/>
              <w:ind w:firstLine="0" w:firstLineChars="0"/>
              <w:rPr>
                <w:rFonts w:ascii="宋体" w:hAnsi="宋体" w:eastAsia="宋体"/>
                <w:sz w:val="21"/>
                <w:szCs w:val="21"/>
                <w:highlight w:val="none"/>
              </w:rPr>
            </w:pPr>
            <w:r>
              <w:rPr>
                <w:rFonts w:hint="eastAsia" w:ascii="宋体" w:hAnsi="宋体" w:eastAsia="宋体"/>
                <w:sz w:val="21"/>
                <w:szCs w:val="21"/>
                <w:highlight w:val="none"/>
              </w:rPr>
              <w:t>箱体尺寸：（具体尺寸根据现场实际需求定制）</w:t>
            </w:r>
          </w:p>
          <w:p>
            <w:pPr>
              <w:pStyle w:val="187"/>
              <w:ind w:firstLine="0" w:firstLineChars="0"/>
              <w:rPr>
                <w:rFonts w:ascii="宋体" w:hAnsi="宋体" w:eastAsia="宋体"/>
                <w:sz w:val="21"/>
                <w:szCs w:val="21"/>
                <w:highlight w:val="none"/>
              </w:rPr>
            </w:pPr>
            <w:r>
              <w:rPr>
                <w:rFonts w:hint="eastAsia" w:ascii="宋体" w:hAnsi="宋体" w:eastAsia="宋体"/>
                <w:sz w:val="21"/>
                <w:szCs w:val="21"/>
                <w:highlight w:val="none"/>
              </w:rPr>
              <w:t>模组行列数：宽32点×高16点 </w:t>
            </w:r>
          </w:p>
          <w:p>
            <w:pPr>
              <w:pStyle w:val="187"/>
              <w:ind w:firstLine="0" w:firstLineChars="0"/>
              <w:rPr>
                <w:rFonts w:ascii="宋体" w:hAnsi="宋体" w:eastAsia="宋体"/>
                <w:sz w:val="21"/>
                <w:szCs w:val="21"/>
                <w:highlight w:val="none"/>
                <w:lang w:val="en-US"/>
              </w:rPr>
            </w:pPr>
            <w:r>
              <w:rPr>
                <w:rFonts w:hint="eastAsia" w:ascii="宋体" w:hAnsi="宋体" w:eastAsia="宋体"/>
                <w:sz w:val="21"/>
                <w:szCs w:val="21"/>
                <w:highlight w:val="none"/>
              </w:rPr>
              <w:t>分辨率： 9216 点/箱  箱体重量：30kg/ 箱</w:t>
            </w:r>
          </w:p>
        </w:tc>
        <w:tc>
          <w:tcPr>
            <w:tcW w:w="1200" w:type="dxa"/>
            <w:vAlign w:val="center"/>
          </w:tcPr>
          <w:p>
            <w:pPr>
              <w:pStyle w:val="14"/>
              <w:jc w:val="center"/>
              <w:rPr>
                <w:rFonts w:ascii="宋体" w:hAnsi="宋体" w:cs="宋体"/>
                <w:sz w:val="21"/>
                <w:szCs w:val="21"/>
                <w:highlight w:val="none"/>
              </w:rPr>
            </w:pPr>
            <w:r>
              <w:rPr>
                <w:rFonts w:hint="eastAsia" w:ascii="宋体" w:hAnsi="宋体" w:cs="宋体"/>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5" w:hRule="atLeast"/>
        </w:trPr>
        <w:tc>
          <w:tcPr>
            <w:tcW w:w="763" w:type="dxa"/>
            <w:tcBorders>
              <w:bottom w:val="single" w:color="auto" w:sz="4" w:space="0"/>
            </w:tcBorders>
            <w:vAlign w:val="center"/>
          </w:tcPr>
          <w:p>
            <w:pPr>
              <w:jc w:val="center"/>
              <w:rPr>
                <w:rFonts w:ascii="宋体" w:hAnsi="宋体" w:cs="宋体"/>
                <w:szCs w:val="21"/>
                <w:highlight w:val="none"/>
              </w:rPr>
            </w:pPr>
            <w:r>
              <w:rPr>
                <w:rFonts w:hint="eastAsia" w:ascii="宋体" w:hAnsi="宋体" w:cs="宋体"/>
                <w:szCs w:val="21"/>
                <w:highlight w:val="none"/>
              </w:rPr>
              <w:t>9</w:t>
            </w:r>
          </w:p>
        </w:tc>
        <w:tc>
          <w:tcPr>
            <w:tcW w:w="1212" w:type="dxa"/>
            <w:tcBorders>
              <w:bottom w:val="single" w:color="auto" w:sz="4" w:space="0"/>
            </w:tcBorders>
            <w:vAlign w:val="center"/>
          </w:tcPr>
          <w:p>
            <w:pPr>
              <w:jc w:val="center"/>
              <w:rPr>
                <w:rFonts w:ascii="宋体" w:hAnsi="宋体" w:cs="宋体"/>
                <w:szCs w:val="21"/>
                <w:highlight w:val="none"/>
              </w:rPr>
            </w:pPr>
            <w:r>
              <w:rPr>
                <w:rFonts w:hint="eastAsia" w:ascii="宋体" w:hAnsi="宋体" w:cs="宋体"/>
                <w:szCs w:val="21"/>
                <w:highlight w:val="none"/>
              </w:rPr>
              <w:t>垃圾箱外桶</w:t>
            </w:r>
          </w:p>
        </w:tc>
        <w:tc>
          <w:tcPr>
            <w:tcW w:w="1000" w:type="dxa"/>
            <w:tcBorders>
              <w:bottom w:val="single" w:color="auto" w:sz="4" w:space="0"/>
            </w:tcBorders>
            <w:vAlign w:val="center"/>
          </w:tcPr>
          <w:p>
            <w:pPr>
              <w:jc w:val="center"/>
              <w:rPr>
                <w:rFonts w:ascii="宋体" w:hAnsi="宋体" w:cs="宋体"/>
                <w:szCs w:val="21"/>
                <w:highlight w:val="none"/>
              </w:rPr>
            </w:pPr>
            <w:r>
              <w:rPr>
                <w:rFonts w:hint="eastAsia" w:ascii="宋体" w:hAnsi="宋体" w:cs="宋体"/>
                <w:szCs w:val="21"/>
                <w:highlight w:val="none"/>
              </w:rPr>
              <w:t>1套</w:t>
            </w:r>
          </w:p>
        </w:tc>
        <w:tc>
          <w:tcPr>
            <w:tcW w:w="1288" w:type="dxa"/>
            <w:tcBorders>
              <w:bottom w:val="single" w:color="auto" w:sz="4" w:space="0"/>
            </w:tcBorders>
            <w:vAlign w:val="center"/>
          </w:tcPr>
          <w:p>
            <w:pPr>
              <w:jc w:val="center"/>
              <w:rPr>
                <w:rFonts w:ascii="宋体" w:hAnsi="宋体" w:cs="宋体"/>
                <w:szCs w:val="21"/>
                <w:highlight w:val="none"/>
              </w:rPr>
            </w:pPr>
          </w:p>
        </w:tc>
        <w:tc>
          <w:tcPr>
            <w:tcW w:w="4450" w:type="dxa"/>
            <w:tcBorders>
              <w:bottom w:val="single" w:color="auto" w:sz="4" w:space="0"/>
            </w:tcBorders>
            <w:vAlign w:val="center"/>
          </w:tcPr>
          <w:p>
            <w:pPr>
              <w:widowControl/>
              <w:spacing w:line="276" w:lineRule="auto"/>
              <w:textAlignment w:val="center"/>
              <w:rPr>
                <w:rFonts w:ascii="宋体" w:hAnsi="宋体" w:cs="宋体"/>
                <w:kern w:val="0"/>
                <w:szCs w:val="21"/>
                <w:highlight w:val="none"/>
                <w:lang w:bidi="ar"/>
              </w:rPr>
            </w:pPr>
            <w:r>
              <w:rPr>
                <w:rFonts w:hint="eastAsia" w:ascii="宋体" w:hAnsi="宋体" w:cs="宋体"/>
                <w:szCs w:val="21"/>
                <w:highlight w:val="none"/>
              </w:rPr>
              <w:t>垃圾箱壳体加厚镀锌材质，投口数量暂不少于6个（</w:t>
            </w:r>
            <w:r>
              <w:rPr>
                <w:rFonts w:hint="eastAsia" w:ascii="宋体" w:hAnsi="宋体" w:cs="宋体"/>
                <w:kern w:val="0"/>
                <w:szCs w:val="21"/>
                <w:highlight w:val="none"/>
              </w:rPr>
              <w:t>厨余垃圾投递到箱体内实时换算成积分，</w:t>
            </w:r>
            <w:r>
              <w:rPr>
                <w:rFonts w:hint="eastAsia" w:ascii="宋体" w:hAnsi="宋体" w:cs="宋体"/>
                <w:szCs w:val="21"/>
                <w:highlight w:val="none"/>
              </w:rPr>
              <w:t>厨余垃圾积分与南京市垃圾分类数据系统无缝对接并且系统兼容免费开放），投口尺寸：投放口高度不高于1.2m，箱体表处理外观采用220度高温静电喷塑工艺处理，确保产品无腐蚀。（实际情况根据二次深化设计确定）</w:t>
            </w:r>
          </w:p>
          <w:p>
            <w:pPr>
              <w:pStyle w:val="187"/>
              <w:ind w:firstLine="0" w:firstLineChars="0"/>
              <w:rPr>
                <w:rFonts w:ascii="宋体" w:hAnsi="宋体" w:eastAsia="宋体"/>
                <w:sz w:val="21"/>
                <w:szCs w:val="21"/>
                <w:highlight w:val="none"/>
              </w:rPr>
            </w:pPr>
            <w:r>
              <w:rPr>
                <w:rFonts w:hint="eastAsia" w:ascii="宋体" w:hAnsi="宋体" w:eastAsia="宋体"/>
                <w:sz w:val="21"/>
                <w:szCs w:val="21"/>
                <w:highlight w:val="none"/>
              </w:rPr>
              <w:t>所有垃圾外桶功能：1）单门单控、自动投口；2）支持用户刷卡、按钮投放；3)智能开关门检测，减少误判；4)防夹手设计；</w:t>
            </w:r>
          </w:p>
        </w:tc>
        <w:tc>
          <w:tcPr>
            <w:tcW w:w="1200" w:type="dxa"/>
            <w:tcBorders>
              <w:bottom w:val="single" w:color="auto" w:sz="4" w:space="0"/>
            </w:tcBorders>
            <w:vAlign w:val="center"/>
          </w:tcPr>
          <w:p>
            <w:pPr>
              <w:pStyle w:val="14"/>
              <w:jc w:val="center"/>
              <w:rPr>
                <w:rFonts w:ascii="宋体" w:hAnsi="宋体" w:cs="宋体"/>
                <w:sz w:val="21"/>
                <w:szCs w:val="21"/>
                <w:highlight w:val="none"/>
              </w:rPr>
            </w:pPr>
          </w:p>
        </w:tc>
      </w:tr>
    </w:tbl>
    <w:p>
      <w:pPr>
        <w:adjustRightInd w:val="0"/>
        <w:snapToGrid w:val="0"/>
        <w:spacing w:line="360" w:lineRule="auto"/>
        <w:rPr>
          <w:rFonts w:ascii="宋体" w:hAnsi="宋体" w:cs="宋体"/>
          <w:b/>
          <w:szCs w:val="21"/>
          <w:highlight w:val="none"/>
        </w:rPr>
      </w:pPr>
      <w:r>
        <w:rPr>
          <w:rFonts w:hint="eastAsia" w:ascii="宋体" w:hAnsi="宋体" w:cs="宋体"/>
          <w:b/>
          <w:szCs w:val="21"/>
          <w:highlight w:val="none"/>
        </w:rPr>
        <w:t>（三）其他要求：</w:t>
      </w:r>
    </w:p>
    <w:p>
      <w:pPr>
        <w:numPr>
          <w:ilvl w:val="0"/>
          <w:numId w:val="7"/>
        </w:numPr>
        <w:adjustRightInd w:val="0"/>
        <w:snapToGrid w:val="0"/>
        <w:spacing w:line="360" w:lineRule="auto"/>
        <w:rPr>
          <w:rFonts w:ascii="宋体" w:hAnsi="宋体" w:cs="宋体"/>
          <w:szCs w:val="21"/>
          <w:highlight w:val="none"/>
        </w:rPr>
      </w:pPr>
      <w:r>
        <w:rPr>
          <w:rFonts w:hint="eastAsia" w:ascii="宋体" w:hAnsi="宋体" w:cs="宋体"/>
          <w:bCs/>
          <w:szCs w:val="21"/>
          <w:highlight w:val="none"/>
        </w:rPr>
        <w:t>垃圾分类系统需具备下述功能：</w:t>
      </w:r>
    </w:p>
    <w:p>
      <w:pPr>
        <w:pStyle w:val="159"/>
        <w:numPr>
          <w:ilvl w:val="0"/>
          <w:numId w:val="8"/>
        </w:numPr>
        <w:spacing w:line="360" w:lineRule="auto"/>
        <w:rPr>
          <w:rFonts w:hAnsi="宋体"/>
          <w:color w:val="auto"/>
          <w:sz w:val="21"/>
          <w:szCs w:val="21"/>
          <w:highlight w:val="none"/>
        </w:rPr>
      </w:pPr>
      <w:r>
        <w:rPr>
          <w:rFonts w:hint="eastAsia" w:hAnsi="宋体"/>
          <w:color w:val="auto"/>
          <w:sz w:val="21"/>
          <w:szCs w:val="21"/>
          <w:highlight w:val="none"/>
        </w:rPr>
        <w:t>基础信息管理包含居民信息、积分卡信息管理、行政区划及小区信息管理与维护；运营工作人员信息管理，管理人员的角色与权限管理等；</w:t>
      </w:r>
    </w:p>
    <w:p>
      <w:pPr>
        <w:pStyle w:val="159"/>
        <w:numPr>
          <w:ilvl w:val="0"/>
          <w:numId w:val="8"/>
        </w:numPr>
        <w:spacing w:line="360" w:lineRule="auto"/>
        <w:rPr>
          <w:rFonts w:hAnsi="宋体"/>
          <w:color w:val="auto"/>
          <w:sz w:val="21"/>
          <w:szCs w:val="21"/>
          <w:highlight w:val="none"/>
        </w:rPr>
      </w:pPr>
      <w:r>
        <w:rPr>
          <w:rFonts w:hint="eastAsia" w:hAnsi="宋体"/>
          <w:color w:val="auto"/>
          <w:sz w:val="21"/>
          <w:szCs w:val="21"/>
          <w:highlight w:val="none"/>
        </w:rPr>
        <w:t>居民端APP</w:t>
      </w:r>
    </w:p>
    <w:p>
      <w:pPr>
        <w:spacing w:line="360" w:lineRule="auto"/>
        <w:jc w:val="left"/>
        <w:textAlignment w:val="center"/>
        <w:rPr>
          <w:rFonts w:ascii="宋体" w:hAnsi="宋体" w:cs="宋体"/>
          <w:szCs w:val="21"/>
          <w:highlight w:val="none"/>
        </w:rPr>
      </w:pPr>
      <w:r>
        <w:rPr>
          <w:rFonts w:hint="eastAsia" w:ascii="宋体" w:hAnsi="宋体" w:cs="宋体"/>
          <w:szCs w:val="21"/>
          <w:highlight w:val="none"/>
        </w:rPr>
        <w:t>必须拥有符合当下社会大众使用习惯的居民使用端（须接入区、市两级垃圾分类信息管理平台），包括不仅限于手机移动端APP、微信小程序、IC卡、线下垃圾房智能化硬件终端等，</w:t>
      </w:r>
      <w:r>
        <w:rPr>
          <w:rFonts w:hint="eastAsia" w:ascii="宋体" w:hAnsi="宋体" w:cs="宋体"/>
          <w:szCs w:val="21"/>
          <w:highlight w:val="none"/>
          <w:lang w:val="en-US" w:eastAsia="zh-CN"/>
        </w:rPr>
        <w:t>应支持并响应一张卡“宁满意”要求，且</w:t>
      </w:r>
      <w:r>
        <w:rPr>
          <w:rFonts w:hint="eastAsia" w:ascii="宋体" w:hAnsi="宋体" w:cs="宋体"/>
          <w:szCs w:val="21"/>
          <w:highlight w:val="none"/>
        </w:rPr>
        <w:t>须满足如下要求：</w:t>
      </w:r>
    </w:p>
    <w:p>
      <w:pPr>
        <w:numPr>
          <w:ilvl w:val="0"/>
          <w:numId w:val="9"/>
        </w:numPr>
        <w:spacing w:line="360" w:lineRule="auto"/>
        <w:jc w:val="left"/>
        <w:textAlignment w:val="center"/>
        <w:rPr>
          <w:rFonts w:ascii="宋体" w:hAnsi="宋体" w:cs="宋体"/>
          <w:szCs w:val="21"/>
          <w:highlight w:val="none"/>
        </w:rPr>
      </w:pPr>
      <w:r>
        <w:rPr>
          <w:rFonts w:hint="eastAsia" w:ascii="宋体" w:hAnsi="宋体" w:cs="宋体"/>
          <w:szCs w:val="21"/>
          <w:highlight w:val="none"/>
        </w:rPr>
        <w:t xml:space="preserve">满足实现居民使用终端进行设备使用接入 </w:t>
      </w:r>
    </w:p>
    <w:p>
      <w:pPr>
        <w:numPr>
          <w:ilvl w:val="0"/>
          <w:numId w:val="9"/>
        </w:numPr>
        <w:spacing w:line="360" w:lineRule="auto"/>
        <w:jc w:val="left"/>
        <w:textAlignment w:val="center"/>
        <w:rPr>
          <w:rFonts w:ascii="宋体" w:hAnsi="宋体" w:cs="宋体"/>
          <w:szCs w:val="21"/>
          <w:highlight w:val="none"/>
        </w:rPr>
      </w:pPr>
      <w:r>
        <w:rPr>
          <w:rFonts w:hint="eastAsia" w:ascii="宋体" w:hAnsi="宋体" w:cs="宋体"/>
          <w:szCs w:val="21"/>
          <w:highlight w:val="none"/>
        </w:rPr>
        <w:t xml:space="preserve">满足居民进行自身积分累计及消费明细的查询 </w:t>
      </w:r>
    </w:p>
    <w:p>
      <w:pPr>
        <w:numPr>
          <w:ilvl w:val="0"/>
          <w:numId w:val="9"/>
        </w:numPr>
        <w:spacing w:line="360" w:lineRule="auto"/>
        <w:jc w:val="left"/>
        <w:textAlignment w:val="center"/>
        <w:rPr>
          <w:rFonts w:ascii="宋体" w:hAnsi="宋体" w:cs="宋体"/>
          <w:szCs w:val="21"/>
          <w:highlight w:val="none"/>
        </w:rPr>
      </w:pPr>
      <w:r>
        <w:rPr>
          <w:rFonts w:hint="eastAsia" w:ascii="宋体" w:hAnsi="宋体" w:cs="宋体"/>
          <w:szCs w:val="21"/>
          <w:highlight w:val="none"/>
        </w:rPr>
        <w:t xml:space="preserve">满足查阅主管及运营部门发布的各项资讯内容 </w:t>
      </w:r>
    </w:p>
    <w:p>
      <w:pPr>
        <w:numPr>
          <w:ilvl w:val="0"/>
          <w:numId w:val="9"/>
        </w:numPr>
        <w:spacing w:line="360" w:lineRule="auto"/>
        <w:jc w:val="left"/>
        <w:textAlignment w:val="center"/>
        <w:rPr>
          <w:rFonts w:ascii="宋体" w:hAnsi="宋体" w:cs="宋体"/>
          <w:szCs w:val="21"/>
          <w:highlight w:val="none"/>
        </w:rPr>
      </w:pPr>
      <w:r>
        <w:rPr>
          <w:rFonts w:hint="eastAsia" w:ascii="宋体" w:hAnsi="宋体" w:cs="宋体"/>
          <w:szCs w:val="21"/>
          <w:highlight w:val="none"/>
        </w:rPr>
        <w:t xml:space="preserve">满足进行线上、线下的积分消费兑换商品功能 </w:t>
      </w:r>
    </w:p>
    <w:p>
      <w:pPr>
        <w:numPr>
          <w:ilvl w:val="0"/>
          <w:numId w:val="9"/>
        </w:numPr>
        <w:spacing w:line="360" w:lineRule="auto"/>
        <w:jc w:val="left"/>
        <w:textAlignment w:val="center"/>
        <w:rPr>
          <w:rFonts w:ascii="宋体" w:hAnsi="宋体" w:cs="宋体"/>
          <w:szCs w:val="21"/>
          <w:highlight w:val="none"/>
        </w:rPr>
      </w:pPr>
      <w:r>
        <w:rPr>
          <w:rFonts w:hint="eastAsia" w:ascii="宋体" w:hAnsi="宋体" w:cs="宋体"/>
          <w:szCs w:val="21"/>
          <w:highlight w:val="none"/>
        </w:rPr>
        <w:t xml:space="preserve">满足居民对于自身投递数据记录及家庭投递数据记录查询 </w:t>
      </w:r>
    </w:p>
    <w:p>
      <w:pPr>
        <w:numPr>
          <w:ilvl w:val="0"/>
          <w:numId w:val="9"/>
        </w:numPr>
        <w:spacing w:line="360" w:lineRule="auto"/>
        <w:jc w:val="left"/>
        <w:textAlignment w:val="center"/>
        <w:rPr>
          <w:rFonts w:ascii="宋体" w:hAnsi="宋体" w:cs="宋体"/>
          <w:szCs w:val="21"/>
          <w:highlight w:val="none"/>
        </w:rPr>
      </w:pPr>
      <w:r>
        <w:rPr>
          <w:rFonts w:hint="eastAsia" w:ascii="宋体" w:hAnsi="宋体" w:cs="宋体"/>
          <w:szCs w:val="21"/>
          <w:highlight w:val="none"/>
        </w:rPr>
        <w:t xml:space="preserve">提供完整的垃圾分类知识库信息 </w:t>
      </w:r>
    </w:p>
    <w:p>
      <w:pPr>
        <w:numPr>
          <w:ilvl w:val="0"/>
          <w:numId w:val="9"/>
        </w:numPr>
        <w:spacing w:line="360" w:lineRule="auto"/>
        <w:jc w:val="left"/>
        <w:rPr>
          <w:rFonts w:ascii="宋体" w:hAnsi="宋体" w:cs="宋体"/>
          <w:szCs w:val="21"/>
          <w:highlight w:val="none"/>
        </w:rPr>
      </w:pPr>
      <w:r>
        <w:rPr>
          <w:rFonts w:hint="eastAsia" w:ascii="宋体" w:hAnsi="宋体" w:cs="宋体"/>
          <w:szCs w:val="21"/>
          <w:highlight w:val="none"/>
        </w:rPr>
        <w:t xml:space="preserve">须满足居民在线积分消费的积分商店 </w:t>
      </w:r>
    </w:p>
    <w:p>
      <w:pPr>
        <w:pStyle w:val="159"/>
        <w:numPr>
          <w:ilvl w:val="0"/>
          <w:numId w:val="8"/>
        </w:numPr>
        <w:spacing w:line="360" w:lineRule="auto"/>
        <w:rPr>
          <w:rFonts w:hAnsi="宋体"/>
          <w:color w:val="auto"/>
          <w:sz w:val="21"/>
          <w:szCs w:val="21"/>
          <w:highlight w:val="none"/>
        </w:rPr>
      </w:pPr>
      <w:r>
        <w:rPr>
          <w:rFonts w:hint="eastAsia" w:hAnsi="宋体"/>
          <w:color w:val="auto"/>
          <w:sz w:val="21"/>
          <w:szCs w:val="21"/>
          <w:highlight w:val="none"/>
        </w:rPr>
        <w:t>监管平台：</w:t>
      </w:r>
    </w:p>
    <w:p>
      <w:pPr>
        <w:spacing w:line="360" w:lineRule="auto"/>
        <w:jc w:val="left"/>
        <w:textAlignment w:val="center"/>
        <w:rPr>
          <w:rFonts w:ascii="宋体" w:hAnsi="宋体" w:cs="宋体"/>
          <w:szCs w:val="21"/>
          <w:highlight w:val="none"/>
        </w:rPr>
      </w:pPr>
      <w:r>
        <w:rPr>
          <w:rFonts w:hint="eastAsia" w:ascii="宋体" w:hAnsi="宋体" w:cs="宋体"/>
          <w:szCs w:val="21"/>
          <w:highlight w:val="none"/>
        </w:rPr>
        <w:t>必须拥有完整的智能垃圾收集点软件运营管理后台和运营软件工具，管理后台须满足如下要求：</w:t>
      </w:r>
    </w:p>
    <w:p>
      <w:pPr>
        <w:numPr>
          <w:ilvl w:val="0"/>
          <w:numId w:val="10"/>
        </w:numPr>
        <w:spacing w:line="360" w:lineRule="auto"/>
        <w:jc w:val="left"/>
        <w:textAlignment w:val="center"/>
        <w:rPr>
          <w:rFonts w:ascii="宋体" w:hAnsi="宋体" w:cs="宋体"/>
          <w:szCs w:val="21"/>
          <w:highlight w:val="none"/>
        </w:rPr>
      </w:pPr>
      <w:r>
        <w:rPr>
          <w:rFonts w:hint="eastAsia" w:ascii="宋体" w:hAnsi="宋体" w:cs="宋体"/>
          <w:szCs w:val="21"/>
          <w:highlight w:val="none"/>
        </w:rPr>
        <w:t>拥有完整的居民信息管理服务，包括可以通过手机号、IC卡号、区域范畴等维度对居民基础信息、投递记录、每次投递图像抓拍记录、居民积分产生消耗记录、预约回收记录进行查询管理</w:t>
      </w:r>
    </w:p>
    <w:p>
      <w:pPr>
        <w:numPr>
          <w:ilvl w:val="0"/>
          <w:numId w:val="10"/>
        </w:numPr>
        <w:spacing w:line="360" w:lineRule="auto"/>
        <w:jc w:val="left"/>
        <w:textAlignment w:val="center"/>
        <w:rPr>
          <w:rFonts w:ascii="宋体" w:hAnsi="宋体" w:cs="宋体"/>
          <w:szCs w:val="21"/>
          <w:highlight w:val="none"/>
        </w:rPr>
      </w:pPr>
      <w:r>
        <w:rPr>
          <w:rFonts w:hint="eastAsia" w:ascii="宋体" w:hAnsi="宋体" w:cs="宋体"/>
          <w:szCs w:val="21"/>
          <w:highlight w:val="none"/>
        </w:rPr>
        <w:t>拥有完整的垃圾收集点设备管理服务，可以通过后台针对设备健康度、实时设备监控视频、设备投递记录、投递拍摄记录、显示屏内容播放记录等进行时间维度的监管</w:t>
      </w:r>
    </w:p>
    <w:p>
      <w:pPr>
        <w:numPr>
          <w:ilvl w:val="0"/>
          <w:numId w:val="10"/>
        </w:numPr>
        <w:spacing w:line="360" w:lineRule="auto"/>
        <w:jc w:val="left"/>
        <w:rPr>
          <w:rFonts w:ascii="宋体" w:hAnsi="宋体" w:cs="宋体"/>
          <w:szCs w:val="21"/>
          <w:highlight w:val="none"/>
        </w:rPr>
      </w:pPr>
      <w:r>
        <w:rPr>
          <w:rFonts w:hint="eastAsia" w:ascii="宋体" w:hAnsi="宋体" w:cs="宋体"/>
          <w:szCs w:val="21"/>
          <w:highlight w:val="none"/>
        </w:rPr>
        <w:t>管理端需搭建居民及智能设备产生的数据统计分析模块，通过图形化、可视化的方式，展示相关重要的数据。可统计查询居民投递、积分兑换、提现等居民与垃圾分类相关的各种行为详情数据；可统计查询设备各垃圾分类回收、清运、巡检等设备运营数据；管理端需显示可回收物投递品类单价；管理端需搭建智能设备运行监控模块，可查询获取智能设备的各种运行状态，异常告警等；可查询获取居民使用智能设备时的监控拍照信息；</w:t>
      </w:r>
    </w:p>
    <w:p>
      <w:pPr>
        <w:pStyle w:val="159"/>
        <w:numPr>
          <w:ilvl w:val="0"/>
          <w:numId w:val="8"/>
        </w:numPr>
        <w:spacing w:line="360" w:lineRule="auto"/>
        <w:rPr>
          <w:rFonts w:hAnsi="宋体"/>
          <w:color w:val="auto"/>
          <w:sz w:val="21"/>
          <w:szCs w:val="21"/>
          <w:highlight w:val="none"/>
        </w:rPr>
      </w:pPr>
      <w:r>
        <w:rPr>
          <w:rFonts w:hint="eastAsia" w:hAnsi="宋体"/>
          <w:color w:val="auto"/>
          <w:sz w:val="21"/>
          <w:szCs w:val="21"/>
          <w:highlight w:val="none"/>
        </w:rPr>
        <w:t xml:space="preserve"> 数据端（数据维护必须接入采购方处）：</w:t>
      </w:r>
    </w:p>
    <w:p>
      <w:pPr>
        <w:spacing w:line="360" w:lineRule="auto"/>
        <w:textAlignment w:val="center"/>
        <w:rPr>
          <w:rFonts w:ascii="宋体" w:hAnsi="宋体" w:cs="宋体"/>
          <w:szCs w:val="21"/>
          <w:highlight w:val="none"/>
        </w:rPr>
      </w:pPr>
      <w:r>
        <w:rPr>
          <w:rFonts w:hint="eastAsia" w:ascii="宋体" w:hAnsi="宋体" w:cs="宋体"/>
          <w:szCs w:val="21"/>
          <w:highlight w:val="none"/>
        </w:rPr>
        <w:t>须提供便于监管部门和项目运营方使用的完整数据可视化大数据展示平台，平台可以适应于电脑桌面、LED大屏、挂壁电视等诸多展示媒介方便不同场景下使用。可视化大数据展示平台数据类型须包括如下统计：</w:t>
      </w:r>
    </w:p>
    <w:p>
      <w:pPr>
        <w:numPr>
          <w:ilvl w:val="0"/>
          <w:numId w:val="11"/>
        </w:numPr>
        <w:spacing w:line="360" w:lineRule="auto"/>
        <w:textAlignment w:val="center"/>
        <w:rPr>
          <w:rFonts w:ascii="宋体" w:hAnsi="宋体" w:cs="宋体"/>
          <w:szCs w:val="21"/>
          <w:highlight w:val="none"/>
        </w:rPr>
      </w:pPr>
      <w:r>
        <w:rPr>
          <w:rFonts w:hint="eastAsia" w:ascii="宋体" w:hAnsi="宋体" w:cs="宋体"/>
          <w:szCs w:val="21"/>
          <w:highlight w:val="none"/>
        </w:rPr>
        <w:t xml:space="preserve">能够直观通过图形化数据展示设备的运行智能垃圾房的设备总台数、正常设备数、故障设备数、等设备运维监管数据 </w:t>
      </w:r>
    </w:p>
    <w:p>
      <w:pPr>
        <w:numPr>
          <w:ilvl w:val="0"/>
          <w:numId w:val="11"/>
        </w:numPr>
        <w:spacing w:line="360" w:lineRule="auto"/>
        <w:textAlignment w:val="center"/>
        <w:rPr>
          <w:rFonts w:ascii="宋体" w:hAnsi="宋体" w:cs="宋体"/>
          <w:szCs w:val="21"/>
          <w:highlight w:val="none"/>
        </w:rPr>
      </w:pPr>
      <w:r>
        <w:rPr>
          <w:rFonts w:hint="eastAsia" w:ascii="宋体" w:hAnsi="宋体" w:cs="宋体"/>
          <w:szCs w:val="21"/>
          <w:highlight w:val="none"/>
        </w:rPr>
        <w:t xml:space="preserve">通过各类图表客观展示居民数、家庭户、社区、行政区域等维度下可回收物投递量、生活垃圾投递总量的数据展示 </w:t>
      </w:r>
    </w:p>
    <w:p>
      <w:pPr>
        <w:numPr>
          <w:ilvl w:val="0"/>
          <w:numId w:val="11"/>
        </w:numPr>
        <w:spacing w:line="360" w:lineRule="auto"/>
        <w:textAlignment w:val="center"/>
        <w:rPr>
          <w:rFonts w:ascii="宋体" w:hAnsi="宋体" w:cs="宋体"/>
          <w:szCs w:val="21"/>
          <w:highlight w:val="none"/>
        </w:rPr>
      </w:pPr>
      <w:r>
        <w:rPr>
          <w:rFonts w:hint="eastAsia" w:ascii="宋体" w:hAnsi="宋体" w:cs="宋体"/>
          <w:szCs w:val="21"/>
          <w:highlight w:val="none"/>
        </w:rPr>
        <w:t>能够实时展示居民投递情况包括投递物种类、重量、时间、照片等信息</w:t>
      </w:r>
    </w:p>
    <w:p>
      <w:pPr>
        <w:spacing w:line="360" w:lineRule="auto"/>
        <w:rPr>
          <w:rFonts w:ascii="宋体" w:hAnsi="宋体" w:cs="宋体"/>
          <w:szCs w:val="21"/>
          <w:highlight w:val="none"/>
        </w:rPr>
      </w:pPr>
      <w:r>
        <w:rPr>
          <w:rFonts w:hint="eastAsia" w:ascii="宋体" w:hAnsi="宋体" w:cs="宋体"/>
          <w:szCs w:val="21"/>
          <w:highlight w:val="none"/>
        </w:rPr>
        <w:t>4、能够根据行政区域实时在地图上展示各点位垃圾房，并可以通过点击查询单个垃圾房的综合历史数据及运行状况且可以即时调取摄像头实时查看垃圾房目前实况监控视频。</w:t>
      </w:r>
    </w:p>
    <w:p>
      <w:pPr>
        <w:pStyle w:val="159"/>
        <w:spacing w:line="360" w:lineRule="auto"/>
        <w:rPr>
          <w:rFonts w:hAnsi="宋体"/>
          <w:color w:val="auto"/>
          <w:sz w:val="21"/>
          <w:szCs w:val="21"/>
          <w:highlight w:val="none"/>
        </w:rPr>
      </w:pPr>
      <w:r>
        <w:rPr>
          <w:rFonts w:hint="eastAsia" w:hAnsi="宋体"/>
          <w:color w:val="auto"/>
          <w:sz w:val="21"/>
          <w:szCs w:val="21"/>
          <w:highlight w:val="none"/>
        </w:rPr>
        <w:t>5、平台维护包含在服务期内对平台软硬件进行升级、维护、管理。</w:t>
      </w:r>
    </w:p>
    <w:p>
      <w:pPr>
        <w:spacing w:line="360" w:lineRule="auto"/>
        <w:rPr>
          <w:rFonts w:hint="eastAsia" w:ascii="宋体" w:hAnsi="宋体" w:cs="宋体"/>
          <w:bCs/>
          <w:szCs w:val="21"/>
          <w:highlight w:val="none"/>
        </w:rPr>
      </w:pPr>
      <w:r>
        <w:rPr>
          <w:rFonts w:hint="eastAsia" w:ascii="宋体" w:hAnsi="宋体" w:cs="宋体"/>
          <w:bCs/>
          <w:szCs w:val="21"/>
          <w:highlight w:val="none"/>
        </w:rPr>
        <w:t>6、本次采购所涉及的硬件设备及软件系统，要求必须具备独立运营的属性，所有设备须接入南京市建邺区智慧中心垃圾分类管理平台，项目运营所产生的数据直接存储于采购方服务器，以确保采购方在服务期满后可以自主选择运营服务商；投标人对此需明确做出应答，不提供应答材料的投标文件为无效投标文件，无效投标文件不进行评审也不得中标。</w:t>
      </w:r>
    </w:p>
    <w:p>
      <w:pPr>
        <w:pStyle w:val="2"/>
        <w:ind w:left="0" w:leftChars="0" w:firstLine="0" w:firstLineChars="0"/>
        <w:rPr>
          <w:rFonts w:hint="eastAsia" w:eastAsia="宋体"/>
          <w:highlight w:val="none"/>
          <w:lang w:val="en-US" w:eastAsia="zh-CN"/>
        </w:rPr>
      </w:pPr>
      <w:r>
        <w:rPr>
          <w:rFonts w:hint="eastAsia" w:ascii="Arial" w:hAnsi="Arial" w:cs="Arial"/>
          <w:b/>
          <w:bCs/>
          <w:kern w:val="0"/>
          <w:szCs w:val="21"/>
          <w:highlight w:val="none"/>
          <w:lang w:eastAsia="zh-CN"/>
        </w:rPr>
        <w:t>★</w:t>
      </w:r>
      <w:r>
        <w:rPr>
          <w:rFonts w:hint="eastAsia" w:ascii="宋体" w:hAnsi="宋体" w:cs="宋体"/>
          <w:bCs/>
          <w:szCs w:val="21"/>
          <w:highlight w:val="none"/>
          <w:lang w:val="en-US" w:eastAsia="zh-CN"/>
        </w:rPr>
        <w:t>7、供应商所提供的软件系统要能与市环境集团系统无缝对接。</w:t>
      </w:r>
    </w:p>
    <w:p>
      <w:pPr>
        <w:spacing w:line="360" w:lineRule="auto"/>
        <w:rPr>
          <w:rFonts w:ascii="宋体" w:hAnsi="宋体" w:cs="宋体"/>
          <w:b/>
          <w:bCs/>
          <w:szCs w:val="21"/>
          <w:highlight w:val="none"/>
        </w:rPr>
      </w:pPr>
      <w:r>
        <w:rPr>
          <w:rFonts w:hint="eastAsia" w:ascii="宋体" w:hAnsi="宋体" w:cs="宋体"/>
          <w:b/>
          <w:bCs/>
          <w:szCs w:val="21"/>
          <w:highlight w:val="none"/>
        </w:rPr>
        <w:t>（四）导则</w:t>
      </w:r>
    </w:p>
    <w:p>
      <w:pPr>
        <w:spacing w:line="360" w:lineRule="auto"/>
        <w:rPr>
          <w:rFonts w:ascii="宋体" w:hAnsi="宋体" w:cs="宋体"/>
          <w:szCs w:val="21"/>
          <w:highlight w:val="none"/>
        </w:rPr>
      </w:pPr>
      <w:r>
        <w:rPr>
          <w:rFonts w:hint="eastAsia" w:ascii="宋体" w:hAnsi="宋体" w:cs="宋体"/>
          <w:szCs w:val="21"/>
          <w:highlight w:val="none"/>
        </w:rPr>
        <w:t>下列术语和定义适用于本文件。</w:t>
      </w:r>
    </w:p>
    <w:p>
      <w:pPr>
        <w:spacing w:line="360" w:lineRule="auto"/>
        <w:rPr>
          <w:rFonts w:ascii="宋体" w:hAnsi="宋体" w:cs="宋体"/>
          <w:szCs w:val="21"/>
          <w:highlight w:val="none"/>
        </w:rPr>
      </w:pPr>
      <w:r>
        <w:rPr>
          <w:rFonts w:hint="eastAsia" w:ascii="宋体" w:hAnsi="宋体" w:cs="宋体"/>
          <w:szCs w:val="21"/>
          <w:highlight w:val="none"/>
        </w:rPr>
        <w:t>2.1生活垃圾</w:t>
      </w:r>
    </w:p>
    <w:p>
      <w:pPr>
        <w:spacing w:line="360" w:lineRule="auto"/>
        <w:rPr>
          <w:rFonts w:ascii="宋体" w:hAnsi="宋体" w:cs="宋体"/>
          <w:szCs w:val="21"/>
          <w:highlight w:val="none"/>
        </w:rPr>
      </w:pPr>
      <w:r>
        <w:rPr>
          <w:rFonts w:hint="eastAsia" w:ascii="宋体" w:hAnsi="宋体" w:cs="宋体"/>
          <w:szCs w:val="21"/>
          <w:highlight w:val="none"/>
        </w:rPr>
        <w:t>在日常生活中或者为日常生活提供服务的活动中产生的固体废弃物以及法律、行政法规规定视为生活垃圾的固体废弃物。</w:t>
      </w:r>
    </w:p>
    <w:p>
      <w:pPr>
        <w:spacing w:line="360" w:lineRule="auto"/>
        <w:rPr>
          <w:rFonts w:ascii="宋体" w:hAnsi="宋体" w:cs="宋体"/>
          <w:szCs w:val="21"/>
          <w:highlight w:val="none"/>
        </w:rPr>
      </w:pPr>
      <w:r>
        <w:rPr>
          <w:rFonts w:hint="eastAsia" w:ascii="宋体" w:hAnsi="宋体" w:cs="宋体"/>
          <w:szCs w:val="21"/>
          <w:highlight w:val="none"/>
        </w:rPr>
        <w:t>2.2可回收物</w:t>
      </w:r>
    </w:p>
    <w:p>
      <w:pPr>
        <w:spacing w:line="360" w:lineRule="auto"/>
        <w:rPr>
          <w:rFonts w:ascii="宋体" w:hAnsi="宋体" w:cs="宋体"/>
          <w:szCs w:val="21"/>
          <w:highlight w:val="none"/>
        </w:rPr>
      </w:pPr>
      <w:r>
        <w:rPr>
          <w:rFonts w:hint="eastAsia" w:ascii="宋体" w:hAnsi="宋体" w:cs="宋体"/>
          <w:szCs w:val="21"/>
          <w:highlight w:val="none"/>
        </w:rPr>
        <w:t>适宜回收和可循环再利用的物品，包括纸类、塑料、金属、玻璃、织物等。</w:t>
      </w:r>
    </w:p>
    <w:p>
      <w:pPr>
        <w:spacing w:line="360" w:lineRule="auto"/>
        <w:rPr>
          <w:rFonts w:ascii="宋体" w:hAnsi="宋体" w:cs="宋体"/>
          <w:szCs w:val="21"/>
          <w:highlight w:val="none"/>
        </w:rPr>
      </w:pPr>
      <w:r>
        <w:rPr>
          <w:rFonts w:hint="eastAsia" w:ascii="宋体" w:hAnsi="宋体" w:cs="宋体"/>
          <w:szCs w:val="21"/>
          <w:highlight w:val="none"/>
        </w:rPr>
        <w:t>2.3有害垃圾</w:t>
      </w:r>
    </w:p>
    <w:p>
      <w:pPr>
        <w:spacing w:line="360" w:lineRule="auto"/>
        <w:rPr>
          <w:rFonts w:ascii="宋体" w:hAnsi="宋体" w:cs="宋体"/>
          <w:szCs w:val="21"/>
          <w:highlight w:val="none"/>
        </w:rPr>
      </w:pPr>
      <w:r>
        <w:rPr>
          <w:rFonts w:hint="eastAsia" w:ascii="宋体" w:hAnsi="宋体" w:cs="宋体"/>
          <w:szCs w:val="21"/>
          <w:highlight w:val="none"/>
        </w:rPr>
        <w:t>城市居民生活垃圾中对人体健康、自然环境造成直接或者潜在危害的物质，如废弃的充电电池（镉镍电池、氧化汞电池、铅蓄电池等）、纽扣电池等、荧光灯管（节能灯等）、医药用品、杀虫剂及包装物、油漆及包装物、日用化学品、水银产品等。</w:t>
      </w:r>
    </w:p>
    <w:p>
      <w:pPr>
        <w:spacing w:line="360" w:lineRule="auto"/>
        <w:rPr>
          <w:rFonts w:ascii="宋体" w:hAnsi="宋体" w:cs="宋体"/>
          <w:szCs w:val="21"/>
          <w:highlight w:val="none"/>
        </w:rPr>
      </w:pPr>
      <w:r>
        <w:rPr>
          <w:rFonts w:hint="eastAsia" w:ascii="宋体" w:hAnsi="宋体" w:cs="宋体"/>
          <w:szCs w:val="21"/>
          <w:highlight w:val="none"/>
        </w:rPr>
        <w:t>2.4家庭厨余垃圾</w:t>
      </w:r>
    </w:p>
    <w:p>
      <w:pPr>
        <w:spacing w:line="360" w:lineRule="auto"/>
        <w:rPr>
          <w:rFonts w:ascii="宋体" w:hAnsi="宋体" w:cs="宋体"/>
          <w:szCs w:val="21"/>
          <w:highlight w:val="none"/>
        </w:rPr>
      </w:pPr>
      <w:r>
        <w:rPr>
          <w:rFonts w:hint="eastAsia" w:ascii="宋体" w:hAnsi="宋体" w:cs="宋体"/>
          <w:szCs w:val="21"/>
          <w:highlight w:val="none"/>
        </w:rPr>
        <w:t>城市居民生活垃圾中的果蔬及食物下脚料、剩菜剩饭、瓜果皮等易腐有机垃圾。</w:t>
      </w:r>
    </w:p>
    <w:p>
      <w:pPr>
        <w:spacing w:line="360" w:lineRule="auto"/>
        <w:rPr>
          <w:rFonts w:ascii="宋体" w:hAnsi="宋体" w:cs="宋体"/>
          <w:szCs w:val="21"/>
          <w:highlight w:val="none"/>
        </w:rPr>
      </w:pPr>
      <w:r>
        <w:rPr>
          <w:rFonts w:hint="eastAsia" w:ascii="宋体" w:hAnsi="宋体" w:cs="宋体"/>
          <w:szCs w:val="21"/>
          <w:highlight w:val="none"/>
        </w:rPr>
        <w:t xml:space="preserve">2.5其他垃圾 </w:t>
      </w:r>
    </w:p>
    <w:p>
      <w:pPr>
        <w:spacing w:line="360" w:lineRule="auto"/>
        <w:rPr>
          <w:rFonts w:ascii="宋体" w:hAnsi="宋体" w:cs="宋体"/>
          <w:szCs w:val="21"/>
          <w:highlight w:val="none"/>
        </w:rPr>
      </w:pPr>
      <w:r>
        <w:rPr>
          <w:rFonts w:hint="eastAsia" w:ascii="宋体" w:hAnsi="宋体" w:cs="宋体"/>
          <w:szCs w:val="21"/>
          <w:highlight w:val="none"/>
        </w:rPr>
        <w:t>城市居民生活垃圾中除可回收物、大件垃圾、有害垃圾和厨余垃圾以外的生活垃圾。</w:t>
      </w:r>
    </w:p>
    <w:p>
      <w:pPr>
        <w:spacing w:line="360" w:lineRule="auto"/>
        <w:rPr>
          <w:rFonts w:ascii="宋体" w:hAnsi="宋体" w:cs="宋体"/>
          <w:szCs w:val="21"/>
          <w:highlight w:val="none"/>
        </w:rPr>
      </w:pPr>
      <w:r>
        <w:rPr>
          <w:rFonts w:hint="eastAsia" w:ascii="宋体" w:hAnsi="宋体" w:cs="宋体"/>
          <w:szCs w:val="21"/>
          <w:highlight w:val="none"/>
        </w:rPr>
        <w:t xml:space="preserve">2.6大件垃圾 </w:t>
      </w:r>
    </w:p>
    <w:p>
      <w:pPr>
        <w:spacing w:line="360" w:lineRule="auto"/>
        <w:rPr>
          <w:rFonts w:ascii="宋体" w:hAnsi="宋体" w:cs="宋体"/>
          <w:szCs w:val="21"/>
          <w:highlight w:val="none"/>
        </w:rPr>
      </w:pPr>
      <w:r>
        <w:rPr>
          <w:rFonts w:hint="eastAsia" w:ascii="宋体" w:hAnsi="宋体" w:cs="宋体"/>
          <w:szCs w:val="21"/>
          <w:highlight w:val="none"/>
        </w:rPr>
        <w:t>城市居民生活垃圾中体积大、整体性强，或者需要拆分再处理的废弃物品，包括家电和家具等。</w:t>
      </w:r>
    </w:p>
    <w:p>
      <w:pPr>
        <w:spacing w:line="360" w:lineRule="auto"/>
        <w:rPr>
          <w:rFonts w:ascii="宋体" w:hAnsi="宋体" w:cs="宋体"/>
          <w:szCs w:val="21"/>
          <w:highlight w:val="none"/>
        </w:rPr>
      </w:pPr>
      <w:r>
        <w:rPr>
          <w:rFonts w:hint="eastAsia" w:ascii="宋体" w:hAnsi="宋体" w:cs="宋体"/>
          <w:szCs w:val="21"/>
          <w:highlight w:val="none"/>
        </w:rPr>
        <w:t xml:space="preserve">2.7装修垃圾 </w:t>
      </w:r>
    </w:p>
    <w:p>
      <w:pPr>
        <w:spacing w:line="360" w:lineRule="auto"/>
        <w:rPr>
          <w:rFonts w:ascii="宋体" w:hAnsi="宋体" w:cs="宋体"/>
          <w:szCs w:val="21"/>
          <w:highlight w:val="none"/>
        </w:rPr>
      </w:pPr>
      <w:r>
        <w:rPr>
          <w:rFonts w:hint="eastAsia" w:ascii="宋体" w:hAnsi="宋体" w:cs="宋体"/>
          <w:szCs w:val="21"/>
          <w:highlight w:val="none"/>
        </w:rPr>
        <w:t>装饰装修房屋过程中产生的金属、混凝土、砖瓦、陶瓷、玻璃、木材、塑料、石膏、涂料等废弃物。</w:t>
      </w:r>
    </w:p>
    <w:p>
      <w:pPr>
        <w:spacing w:line="360" w:lineRule="auto"/>
        <w:rPr>
          <w:rFonts w:ascii="宋体" w:hAnsi="宋体" w:cs="宋体"/>
          <w:szCs w:val="21"/>
          <w:highlight w:val="none"/>
        </w:rPr>
      </w:pPr>
      <w:r>
        <w:rPr>
          <w:rFonts w:hint="eastAsia" w:ascii="宋体" w:hAnsi="宋体" w:cs="宋体"/>
          <w:szCs w:val="21"/>
          <w:highlight w:val="none"/>
        </w:rPr>
        <w:t>2.8园林绿化垃圾</w:t>
      </w:r>
    </w:p>
    <w:p>
      <w:pPr>
        <w:spacing w:line="360" w:lineRule="auto"/>
        <w:rPr>
          <w:rFonts w:ascii="宋体" w:hAnsi="宋体" w:cs="宋体"/>
          <w:szCs w:val="21"/>
          <w:highlight w:val="none"/>
        </w:rPr>
      </w:pPr>
      <w:r>
        <w:rPr>
          <w:rFonts w:hint="eastAsia" w:ascii="宋体" w:hAnsi="宋体" w:cs="宋体"/>
          <w:szCs w:val="21"/>
          <w:highlight w:val="none"/>
        </w:rPr>
        <w:t>园林植物自然凋落或人工修剪所产生的枯枝、落叶、谢花、树木与灌木剪枝及其他植物残体等。</w:t>
      </w:r>
    </w:p>
    <w:p>
      <w:pPr>
        <w:spacing w:line="360" w:lineRule="auto"/>
        <w:rPr>
          <w:rFonts w:ascii="宋体" w:hAnsi="宋体" w:cs="宋体"/>
          <w:szCs w:val="21"/>
          <w:highlight w:val="none"/>
        </w:rPr>
      </w:pPr>
      <w:r>
        <w:rPr>
          <w:rFonts w:hint="eastAsia" w:ascii="宋体" w:hAnsi="宋体" w:cs="宋体"/>
          <w:szCs w:val="21"/>
          <w:highlight w:val="none"/>
        </w:rPr>
        <w:t>2.9生活垃圾分类收集点</w:t>
      </w:r>
    </w:p>
    <w:p>
      <w:pPr>
        <w:spacing w:line="360" w:lineRule="auto"/>
        <w:rPr>
          <w:rFonts w:ascii="宋体" w:hAnsi="宋体" w:cs="宋体"/>
          <w:szCs w:val="21"/>
          <w:highlight w:val="none"/>
        </w:rPr>
      </w:pPr>
      <w:r>
        <w:rPr>
          <w:rFonts w:hint="eastAsia" w:ascii="宋体" w:hAnsi="宋体" w:cs="宋体"/>
          <w:szCs w:val="21"/>
          <w:highlight w:val="none"/>
        </w:rPr>
        <w:t xml:space="preserve">放置垃圾收集容器等源头垃圾收集设施的垃圾收集容器间（房）。 </w:t>
      </w:r>
    </w:p>
    <w:p>
      <w:pPr>
        <w:spacing w:line="360" w:lineRule="auto"/>
        <w:rPr>
          <w:rFonts w:ascii="宋体" w:hAnsi="宋体" w:cs="宋体"/>
          <w:szCs w:val="21"/>
          <w:highlight w:val="none"/>
        </w:rPr>
      </w:pPr>
      <w:r>
        <w:rPr>
          <w:rFonts w:hint="eastAsia" w:ascii="宋体" w:hAnsi="宋体" w:cs="宋体"/>
          <w:szCs w:val="21"/>
          <w:highlight w:val="none"/>
        </w:rPr>
        <w:t>2.10居民小区</w:t>
      </w:r>
    </w:p>
    <w:p>
      <w:pPr>
        <w:spacing w:line="360" w:lineRule="auto"/>
        <w:rPr>
          <w:rFonts w:ascii="宋体" w:hAnsi="宋体" w:cs="宋体"/>
          <w:szCs w:val="21"/>
          <w:highlight w:val="none"/>
        </w:rPr>
      </w:pPr>
      <w:r>
        <w:rPr>
          <w:rFonts w:hint="eastAsia" w:ascii="宋体" w:hAnsi="宋体" w:cs="宋体"/>
          <w:szCs w:val="21"/>
          <w:highlight w:val="none"/>
        </w:rPr>
        <w:t>以住宅楼房为主体且具一定规模居民生活区，并不为城市交通干道所穿越的完整地段。</w:t>
      </w:r>
    </w:p>
    <w:p>
      <w:pPr>
        <w:spacing w:line="360" w:lineRule="auto"/>
        <w:rPr>
          <w:rFonts w:ascii="宋体" w:hAnsi="宋体" w:cs="宋体"/>
          <w:szCs w:val="21"/>
          <w:highlight w:val="none"/>
        </w:rPr>
      </w:pPr>
      <w:r>
        <w:rPr>
          <w:rFonts w:hint="eastAsia" w:ascii="宋体" w:hAnsi="宋体" w:cs="宋体"/>
          <w:szCs w:val="21"/>
          <w:highlight w:val="none"/>
        </w:rPr>
        <w:t>3  基本要求</w:t>
      </w:r>
    </w:p>
    <w:p>
      <w:pPr>
        <w:spacing w:line="360" w:lineRule="auto"/>
        <w:rPr>
          <w:rFonts w:ascii="宋体" w:hAnsi="宋体" w:cs="宋体"/>
          <w:szCs w:val="21"/>
          <w:highlight w:val="none"/>
        </w:rPr>
      </w:pPr>
      <w:r>
        <w:rPr>
          <w:rFonts w:hint="eastAsia" w:ascii="宋体" w:hAnsi="宋体" w:cs="宋体"/>
          <w:szCs w:val="21"/>
          <w:highlight w:val="none"/>
        </w:rPr>
        <w:t>3.1生活垃圾应按可回收物、厨余垃圾、有害垃圾、其他垃圾分类收集，并设置相应的生活垃圾分类收集点。</w:t>
      </w:r>
    </w:p>
    <w:p>
      <w:pPr>
        <w:spacing w:line="360" w:lineRule="auto"/>
        <w:rPr>
          <w:rFonts w:ascii="宋体" w:hAnsi="宋体" w:cs="宋体"/>
          <w:szCs w:val="21"/>
          <w:highlight w:val="none"/>
        </w:rPr>
      </w:pPr>
      <w:r>
        <w:rPr>
          <w:rFonts w:hint="eastAsia" w:ascii="宋体" w:hAnsi="宋体" w:cs="宋体"/>
          <w:szCs w:val="21"/>
          <w:highlight w:val="none"/>
        </w:rPr>
        <w:t>3.2新建、改扩建的居住小区应配建生活垃圾分类收集点，并做到与主体工程同时设计、同时建设、同时竣工验收、同时交付使用。</w:t>
      </w:r>
    </w:p>
    <w:p>
      <w:pPr>
        <w:spacing w:line="360" w:lineRule="auto"/>
        <w:rPr>
          <w:rFonts w:ascii="宋体" w:hAnsi="宋体" w:cs="宋体"/>
          <w:szCs w:val="21"/>
          <w:highlight w:val="none"/>
        </w:rPr>
      </w:pPr>
      <w:r>
        <w:rPr>
          <w:rFonts w:hint="eastAsia" w:ascii="宋体" w:hAnsi="宋体" w:cs="宋体"/>
          <w:szCs w:val="21"/>
          <w:highlight w:val="none"/>
        </w:rPr>
        <w:t>3.3生活垃圾分类收集点位置应固定，方便居民投放、不影响城市卫生和景观环境；宜设置在市政设施完善的地方，满足供水、供电、污水排放等要求；满足垃圾运输车通行和方便、安全作业的要求。</w:t>
      </w:r>
    </w:p>
    <w:p>
      <w:pPr>
        <w:spacing w:line="360" w:lineRule="auto"/>
        <w:rPr>
          <w:rFonts w:ascii="宋体" w:hAnsi="宋体" w:cs="宋体"/>
          <w:szCs w:val="21"/>
          <w:highlight w:val="none"/>
        </w:rPr>
      </w:pPr>
      <w:r>
        <w:rPr>
          <w:rFonts w:hint="eastAsia" w:ascii="宋体" w:hAnsi="宋体" w:cs="宋体"/>
          <w:szCs w:val="21"/>
          <w:highlight w:val="none"/>
        </w:rPr>
        <w:t>3.4独立式生活垃圾分类收集点与周边建筑应满足卫生间距、防火要求。</w:t>
      </w:r>
    </w:p>
    <w:p>
      <w:pPr>
        <w:spacing w:line="360" w:lineRule="auto"/>
        <w:rPr>
          <w:rFonts w:ascii="宋体" w:hAnsi="宋体" w:cs="宋体"/>
          <w:szCs w:val="21"/>
          <w:highlight w:val="none"/>
        </w:rPr>
      </w:pPr>
      <w:r>
        <w:rPr>
          <w:rFonts w:hint="eastAsia" w:ascii="宋体" w:hAnsi="宋体" w:cs="宋体"/>
          <w:szCs w:val="21"/>
          <w:highlight w:val="none"/>
        </w:rPr>
        <w:t>3.5新建居住小区的生活垃圾分类收集点方案，需经规划分局同意；既有居住小区增设生活垃圾分类收集点的方案，需经区城管局、规划分局、物业或社区居民委员会的同意。</w:t>
      </w:r>
    </w:p>
    <w:p>
      <w:pPr>
        <w:spacing w:line="360" w:lineRule="auto"/>
        <w:rPr>
          <w:rFonts w:ascii="宋体" w:hAnsi="宋体" w:cs="宋体"/>
          <w:szCs w:val="21"/>
          <w:highlight w:val="none"/>
        </w:rPr>
      </w:pPr>
      <w:r>
        <w:rPr>
          <w:rFonts w:hint="eastAsia" w:ascii="宋体" w:hAnsi="宋体" w:cs="宋体"/>
          <w:szCs w:val="21"/>
          <w:highlight w:val="none"/>
        </w:rPr>
        <w:t>3.6生活垃圾分类收集点的设计应符合分类、节能、环保、安全、卫生、方便的要求。</w:t>
      </w:r>
    </w:p>
    <w:p>
      <w:pPr>
        <w:spacing w:line="360" w:lineRule="auto"/>
        <w:rPr>
          <w:rFonts w:ascii="宋体" w:hAnsi="宋体" w:cs="宋体"/>
          <w:szCs w:val="21"/>
          <w:highlight w:val="none"/>
        </w:rPr>
      </w:pPr>
      <w:r>
        <w:rPr>
          <w:rFonts w:hint="eastAsia" w:ascii="宋体" w:hAnsi="宋体" w:cs="宋体"/>
          <w:szCs w:val="21"/>
          <w:highlight w:val="none"/>
        </w:rPr>
        <w:t>3.7生活垃圾分类收集点的外部装饰应与周围建筑及环境相协调；可按照小区实际建设土建设施，或购买可拆装的成品，鼓励采用可移动、结实牢固的装配式成品。</w:t>
      </w:r>
    </w:p>
    <w:p>
      <w:pPr>
        <w:spacing w:line="360" w:lineRule="auto"/>
        <w:rPr>
          <w:rFonts w:ascii="宋体" w:hAnsi="宋体" w:cs="宋体"/>
          <w:szCs w:val="21"/>
          <w:highlight w:val="none"/>
        </w:rPr>
      </w:pPr>
      <w:r>
        <w:rPr>
          <w:rFonts w:hint="eastAsia" w:ascii="宋体" w:hAnsi="宋体" w:cs="宋体"/>
          <w:szCs w:val="21"/>
          <w:highlight w:val="none"/>
        </w:rPr>
        <w:t>3.8垃圾收集容器的配置数量、规格应根据生活垃圾产生量、收运频次确定，形式应与收运车辆的装载方式相匹配。</w:t>
      </w:r>
    </w:p>
    <w:p>
      <w:pPr>
        <w:spacing w:line="360" w:lineRule="auto"/>
        <w:rPr>
          <w:rFonts w:ascii="宋体" w:hAnsi="宋体" w:cs="宋体"/>
          <w:szCs w:val="21"/>
          <w:highlight w:val="none"/>
        </w:rPr>
      </w:pPr>
      <w:r>
        <w:rPr>
          <w:rFonts w:hint="eastAsia" w:ascii="宋体" w:hAnsi="宋体" w:cs="宋体"/>
          <w:szCs w:val="21"/>
          <w:highlight w:val="none"/>
        </w:rPr>
        <w:t>3.9垃圾投放及洗手宜采取非接触式器具，可选用刷卡投放、脚踏式垃圾桶、感应式或延时洗手龙头等。</w:t>
      </w:r>
    </w:p>
    <w:p>
      <w:pPr>
        <w:spacing w:line="360" w:lineRule="auto"/>
        <w:rPr>
          <w:rFonts w:ascii="宋体" w:hAnsi="宋体" w:cs="宋体"/>
          <w:szCs w:val="21"/>
          <w:highlight w:val="none"/>
        </w:rPr>
      </w:pPr>
      <w:r>
        <w:rPr>
          <w:rFonts w:hint="eastAsia" w:ascii="宋体" w:hAnsi="宋体" w:cs="宋体"/>
          <w:szCs w:val="21"/>
          <w:highlight w:val="none"/>
        </w:rPr>
        <w:t>3.10鼓励有条件的居住小区，设置刷卡或扫码自助投放、自动称重计量、满溢报警等智能化设备，以便数据分析、溯源、积分实时换算、垃圾及时清运。</w:t>
      </w:r>
    </w:p>
    <w:p>
      <w:pPr>
        <w:spacing w:line="360" w:lineRule="auto"/>
        <w:rPr>
          <w:rFonts w:ascii="宋体" w:hAnsi="宋体" w:cs="宋体"/>
          <w:szCs w:val="21"/>
          <w:highlight w:val="none"/>
        </w:rPr>
      </w:pPr>
    </w:p>
    <w:p>
      <w:pPr>
        <w:spacing w:line="360" w:lineRule="auto"/>
        <w:rPr>
          <w:rFonts w:ascii="宋体" w:hAnsi="宋体" w:cs="宋体"/>
          <w:szCs w:val="21"/>
          <w:highlight w:val="none"/>
        </w:rPr>
      </w:pPr>
      <w:r>
        <w:rPr>
          <w:rFonts w:hint="eastAsia" w:ascii="宋体" w:hAnsi="宋体" w:cs="宋体"/>
          <w:szCs w:val="21"/>
          <w:highlight w:val="none"/>
        </w:rPr>
        <w:t>4  居住小区生活垃圾分类收集点规模和布局</w:t>
      </w:r>
    </w:p>
    <w:p>
      <w:pPr>
        <w:spacing w:line="360" w:lineRule="auto"/>
        <w:rPr>
          <w:rFonts w:ascii="宋体" w:hAnsi="宋体" w:cs="宋体"/>
          <w:szCs w:val="21"/>
          <w:highlight w:val="none"/>
        </w:rPr>
      </w:pPr>
      <w:r>
        <w:rPr>
          <w:rFonts w:hint="eastAsia" w:ascii="宋体" w:hAnsi="宋体" w:cs="宋体"/>
          <w:szCs w:val="21"/>
          <w:highlight w:val="none"/>
        </w:rPr>
        <w:t>4.1生活垃圾分类收集点分为一类、二类两种标准；按照投放方式，一类收集点分为步入式投放、窗口式投放2种。</w:t>
      </w:r>
    </w:p>
    <w:p>
      <w:pPr>
        <w:spacing w:line="360" w:lineRule="auto"/>
        <w:rPr>
          <w:rFonts w:ascii="宋体" w:hAnsi="宋体" w:cs="宋体"/>
          <w:szCs w:val="21"/>
          <w:highlight w:val="none"/>
        </w:rPr>
      </w:pPr>
      <w:r>
        <w:rPr>
          <w:rFonts w:hint="eastAsia" w:ascii="宋体" w:hAnsi="宋体" w:cs="宋体"/>
          <w:szCs w:val="21"/>
          <w:highlight w:val="none"/>
        </w:rPr>
        <w:t>4.2城市居住小区单个生活垃圾分类收集点的服务半径不宜超过120m；单个一类收集点服务范围宜为300-500户，单个二类收集点的服务范围不宜超出200户。</w:t>
      </w:r>
    </w:p>
    <w:p>
      <w:pPr>
        <w:spacing w:line="360" w:lineRule="auto"/>
        <w:rPr>
          <w:rFonts w:ascii="宋体" w:hAnsi="宋体" w:cs="宋体"/>
          <w:szCs w:val="21"/>
          <w:highlight w:val="none"/>
        </w:rPr>
      </w:pPr>
      <w:r>
        <w:rPr>
          <w:rFonts w:hint="eastAsia" w:ascii="宋体" w:hAnsi="宋体" w:cs="宋体"/>
          <w:szCs w:val="21"/>
          <w:highlight w:val="none"/>
        </w:rPr>
        <w:t>4.3一类生活垃圾分类收集点面积按照每100户不低于6㎡测算，单座一类生活垃圾分类收集点面积原则上不小于20㎡，其中垃圾桶清洗区面积宜≥2㎡、管理用房面积宜≥4㎡。</w:t>
      </w:r>
    </w:p>
    <w:p>
      <w:pPr>
        <w:spacing w:line="360" w:lineRule="auto"/>
        <w:rPr>
          <w:rFonts w:ascii="宋体" w:hAnsi="宋体" w:cs="宋体"/>
          <w:szCs w:val="21"/>
          <w:highlight w:val="none"/>
        </w:rPr>
      </w:pPr>
      <w:r>
        <w:rPr>
          <w:rFonts w:hint="eastAsia" w:ascii="宋体" w:hAnsi="宋体" w:cs="宋体"/>
          <w:szCs w:val="21"/>
          <w:highlight w:val="none"/>
        </w:rPr>
        <w:t>4.4二类生活垃圾分类收集点投放区面积按照每100户不低于4㎡测算，另设管理用房宜≥2㎡。</w:t>
      </w:r>
    </w:p>
    <w:p>
      <w:pPr>
        <w:spacing w:line="360" w:lineRule="auto"/>
        <w:rPr>
          <w:rFonts w:ascii="宋体" w:hAnsi="宋体" w:cs="宋体"/>
          <w:szCs w:val="21"/>
          <w:highlight w:val="none"/>
        </w:rPr>
      </w:pPr>
      <w:r>
        <w:rPr>
          <w:rFonts w:hint="eastAsia" w:ascii="宋体" w:hAnsi="宋体" w:cs="宋体"/>
          <w:szCs w:val="21"/>
          <w:highlight w:val="none"/>
        </w:rPr>
        <w:t>4.5有条件小区，应另设可回收物暂存区，可结合其他物业用房设置，面积不低于10㎡。</w:t>
      </w:r>
    </w:p>
    <w:p>
      <w:pPr>
        <w:spacing w:line="360" w:lineRule="auto"/>
        <w:rPr>
          <w:rFonts w:ascii="宋体" w:hAnsi="宋体" w:cs="宋体"/>
          <w:szCs w:val="21"/>
          <w:highlight w:val="none"/>
        </w:rPr>
      </w:pPr>
      <w:r>
        <w:rPr>
          <w:rFonts w:hint="eastAsia" w:ascii="宋体" w:hAnsi="宋体" w:cs="宋体"/>
          <w:szCs w:val="21"/>
          <w:highlight w:val="none"/>
        </w:rPr>
        <w:t>4.6 有条件的既有小区宜在合适区域设置装修垃圾、大件垃圾和园林绿化垃圾等收集点，占地面积不低于30㎡。</w:t>
      </w:r>
    </w:p>
    <w:p>
      <w:pPr>
        <w:spacing w:line="360" w:lineRule="auto"/>
        <w:rPr>
          <w:rFonts w:ascii="宋体" w:hAnsi="宋体" w:cs="宋体"/>
          <w:szCs w:val="21"/>
          <w:highlight w:val="none"/>
        </w:rPr>
      </w:pPr>
      <w:r>
        <w:rPr>
          <w:rFonts w:hint="eastAsia" w:ascii="宋体" w:hAnsi="宋体" w:cs="宋体"/>
          <w:szCs w:val="21"/>
          <w:highlight w:val="none"/>
        </w:rPr>
        <w:t xml:space="preserve">4.7生活垃圾分类收集点配设其他垃圾、厨余垃圾桶、可回收物、有害垃圾收集容器；每100户宜配置其他垃圾、厨余垃圾240L垃圾桶5个以上；每个小区可回收物、有害垃圾收集点不低于1处。 </w:t>
      </w:r>
    </w:p>
    <w:p>
      <w:pPr>
        <w:spacing w:line="360" w:lineRule="auto"/>
        <w:rPr>
          <w:rFonts w:ascii="宋体" w:hAnsi="宋体" w:cs="宋体"/>
          <w:szCs w:val="21"/>
          <w:highlight w:val="none"/>
        </w:rPr>
      </w:pPr>
      <w:r>
        <w:rPr>
          <w:rFonts w:hint="eastAsia" w:ascii="宋体" w:hAnsi="宋体" w:cs="宋体"/>
          <w:szCs w:val="21"/>
          <w:highlight w:val="none"/>
        </w:rPr>
        <w:t>4.8厨余垃圾、其他垃圾清运周期按每天1-2次计算；可回收物、有害垃圾清运周期按1周不低于1次。</w:t>
      </w:r>
    </w:p>
    <w:p>
      <w:pPr>
        <w:spacing w:line="360" w:lineRule="auto"/>
        <w:rPr>
          <w:rFonts w:ascii="宋体" w:hAnsi="宋体" w:cs="宋体"/>
          <w:szCs w:val="21"/>
          <w:highlight w:val="none"/>
        </w:rPr>
      </w:pPr>
      <w:r>
        <w:rPr>
          <w:rFonts w:hint="eastAsia" w:ascii="宋体" w:hAnsi="宋体" w:cs="宋体"/>
          <w:szCs w:val="21"/>
          <w:highlight w:val="none"/>
        </w:rPr>
        <w:t>4.9通往垃圾分类收集点的道路，车辆通行宽度原则上不低于2.5m，以便厨余垃圾直收直运；转弯半径、回转场地应满足车辆满载通行要求。</w:t>
      </w:r>
    </w:p>
    <w:p>
      <w:pPr>
        <w:spacing w:line="360" w:lineRule="auto"/>
        <w:rPr>
          <w:rFonts w:ascii="宋体" w:hAnsi="宋体" w:cs="宋体"/>
          <w:szCs w:val="21"/>
          <w:highlight w:val="none"/>
        </w:rPr>
      </w:pPr>
      <w:r>
        <w:rPr>
          <w:rFonts w:hint="eastAsia" w:ascii="宋体" w:hAnsi="宋体" w:cs="宋体"/>
          <w:szCs w:val="21"/>
          <w:highlight w:val="none"/>
        </w:rPr>
        <w:t>4.10垃圾分类收集点设置在B1层时，地下室出入口不应低于2.2m，作业区域不应低于3.3m。</w:t>
      </w:r>
    </w:p>
    <w:p>
      <w:pPr>
        <w:spacing w:line="360" w:lineRule="auto"/>
        <w:rPr>
          <w:rFonts w:ascii="宋体" w:hAnsi="宋体" w:cs="宋体"/>
          <w:szCs w:val="21"/>
          <w:highlight w:val="none"/>
        </w:rPr>
      </w:pPr>
      <w:r>
        <w:rPr>
          <w:rFonts w:hint="eastAsia" w:ascii="宋体" w:hAnsi="宋体" w:cs="宋体"/>
          <w:szCs w:val="21"/>
          <w:highlight w:val="none"/>
        </w:rPr>
        <w:t>5  一类生活垃圾分类收集点设施要求</w:t>
      </w:r>
    </w:p>
    <w:p>
      <w:pPr>
        <w:spacing w:line="360" w:lineRule="auto"/>
        <w:rPr>
          <w:rFonts w:ascii="宋体" w:hAnsi="宋体" w:cs="宋体"/>
          <w:szCs w:val="21"/>
          <w:highlight w:val="none"/>
        </w:rPr>
      </w:pPr>
      <w:r>
        <w:rPr>
          <w:rFonts w:hint="eastAsia" w:ascii="宋体" w:hAnsi="宋体" w:cs="宋体"/>
          <w:szCs w:val="21"/>
          <w:highlight w:val="none"/>
        </w:rPr>
        <w:t>5.1应设置分类投放区、垃圾桶暂存区、垃圾桶清洗区；清洗区应设置拖把池、高压冲洗装置、排水沟。</w:t>
      </w:r>
    </w:p>
    <w:p>
      <w:pPr>
        <w:spacing w:line="360" w:lineRule="auto"/>
        <w:rPr>
          <w:rFonts w:ascii="宋体" w:hAnsi="宋体" w:cs="宋体"/>
          <w:szCs w:val="21"/>
          <w:highlight w:val="none"/>
        </w:rPr>
      </w:pPr>
      <w:r>
        <w:rPr>
          <w:rFonts w:hint="eastAsia" w:ascii="宋体" w:hAnsi="宋体" w:cs="宋体"/>
          <w:szCs w:val="21"/>
          <w:highlight w:val="none"/>
        </w:rPr>
        <w:t xml:space="preserve">5.2定时定点定人督导或人工积分的居民小区，应设置管理间。 </w:t>
      </w:r>
    </w:p>
    <w:p>
      <w:pPr>
        <w:spacing w:line="360" w:lineRule="auto"/>
        <w:rPr>
          <w:rFonts w:ascii="宋体" w:hAnsi="宋体" w:cs="宋体"/>
          <w:szCs w:val="21"/>
          <w:highlight w:val="none"/>
        </w:rPr>
      </w:pPr>
      <w:r>
        <w:rPr>
          <w:rFonts w:hint="eastAsia" w:ascii="宋体" w:hAnsi="宋体" w:cs="宋体"/>
          <w:szCs w:val="21"/>
          <w:highlight w:val="none"/>
        </w:rPr>
        <w:t>5.3收集点净高不低于2.5m；地面坡度应为0.01-0.015，便于冲洗水排向排水沟。</w:t>
      </w:r>
    </w:p>
    <w:p>
      <w:pPr>
        <w:spacing w:line="360" w:lineRule="auto"/>
        <w:rPr>
          <w:rFonts w:ascii="宋体" w:hAnsi="宋体" w:cs="宋体"/>
          <w:szCs w:val="21"/>
          <w:highlight w:val="none"/>
        </w:rPr>
      </w:pPr>
      <w:r>
        <w:rPr>
          <w:rFonts w:hint="eastAsia" w:ascii="宋体" w:hAnsi="宋体" w:cs="宋体"/>
          <w:szCs w:val="21"/>
          <w:highlight w:val="none"/>
        </w:rPr>
        <w:t>5.4应配备上下水，排水系统应实行雨污分流，污水通过排水暗沟排往污水管道。</w:t>
      </w:r>
    </w:p>
    <w:p>
      <w:pPr>
        <w:spacing w:line="360" w:lineRule="auto"/>
        <w:rPr>
          <w:rFonts w:ascii="宋体" w:hAnsi="宋体" w:cs="宋体"/>
          <w:szCs w:val="21"/>
          <w:highlight w:val="none"/>
        </w:rPr>
      </w:pPr>
      <w:r>
        <w:rPr>
          <w:rFonts w:hint="eastAsia" w:ascii="宋体" w:hAnsi="宋体" w:cs="宋体"/>
          <w:szCs w:val="21"/>
          <w:highlight w:val="none"/>
        </w:rPr>
        <w:t>5.4应设有通风窗，宜配有除臭设备、防臭地漏；设置在B1层时，必须配置除臭设备。</w:t>
      </w:r>
    </w:p>
    <w:p>
      <w:pPr>
        <w:spacing w:line="360" w:lineRule="auto"/>
        <w:rPr>
          <w:rFonts w:ascii="宋体" w:hAnsi="宋体" w:cs="宋体"/>
          <w:szCs w:val="21"/>
          <w:highlight w:val="none"/>
        </w:rPr>
      </w:pPr>
      <w:r>
        <w:rPr>
          <w:rFonts w:hint="eastAsia" w:ascii="宋体" w:hAnsi="宋体" w:cs="宋体"/>
          <w:szCs w:val="21"/>
          <w:highlight w:val="none"/>
        </w:rPr>
        <w:t>5.5 垃圾投放区应配置照明设施、洗手池；满足防雨要求；鼓励安装摄像头，并接入网络。</w:t>
      </w:r>
    </w:p>
    <w:p>
      <w:pPr>
        <w:spacing w:line="360" w:lineRule="auto"/>
        <w:rPr>
          <w:rFonts w:ascii="宋体" w:hAnsi="宋体" w:cs="宋体"/>
          <w:szCs w:val="21"/>
          <w:highlight w:val="none"/>
        </w:rPr>
      </w:pPr>
      <w:r>
        <w:rPr>
          <w:rFonts w:hint="eastAsia" w:ascii="宋体" w:hAnsi="宋体" w:cs="宋体"/>
          <w:szCs w:val="21"/>
          <w:highlight w:val="none"/>
        </w:rPr>
        <w:t>5.6窗口式投放的垃圾分类收集点，厨余垃圾、其他垃圾、可回收物投放窗口面积宜大于0.25㎡。</w:t>
      </w:r>
    </w:p>
    <w:p>
      <w:pPr>
        <w:spacing w:line="360" w:lineRule="auto"/>
        <w:rPr>
          <w:rFonts w:ascii="宋体" w:hAnsi="宋体" w:cs="宋体"/>
          <w:szCs w:val="21"/>
          <w:highlight w:val="none"/>
        </w:rPr>
      </w:pPr>
      <w:r>
        <w:rPr>
          <w:rFonts w:hint="eastAsia" w:ascii="宋体" w:hAnsi="宋体" w:cs="宋体"/>
          <w:szCs w:val="21"/>
          <w:highlight w:val="none"/>
        </w:rPr>
        <w:t>5.7围护材料应采用光滑、平整、便于清洗、防水、防虫的材料。</w:t>
      </w:r>
    </w:p>
    <w:p>
      <w:pPr>
        <w:spacing w:line="360" w:lineRule="auto"/>
        <w:rPr>
          <w:rFonts w:ascii="宋体" w:hAnsi="宋体" w:cs="宋体"/>
          <w:szCs w:val="21"/>
          <w:highlight w:val="none"/>
        </w:rPr>
      </w:pPr>
      <w:r>
        <w:rPr>
          <w:rFonts w:hint="eastAsia" w:ascii="宋体" w:hAnsi="宋体" w:cs="宋体"/>
          <w:szCs w:val="21"/>
          <w:highlight w:val="none"/>
        </w:rPr>
        <w:t>5.8作业区域地面应做硬化处理，采用防渗、防滑、耐磨、耐腐蚀的材料。</w:t>
      </w:r>
    </w:p>
    <w:p>
      <w:pPr>
        <w:spacing w:line="360" w:lineRule="auto"/>
        <w:rPr>
          <w:rFonts w:ascii="宋体" w:hAnsi="宋体" w:cs="宋体"/>
          <w:szCs w:val="21"/>
          <w:highlight w:val="none"/>
        </w:rPr>
      </w:pPr>
      <w:r>
        <w:rPr>
          <w:rFonts w:hint="eastAsia" w:ascii="宋体" w:hAnsi="宋体" w:cs="宋体"/>
          <w:szCs w:val="21"/>
          <w:highlight w:val="none"/>
        </w:rPr>
        <w:t>5.9应设置灭火器、消毒、杀虫、灭鼠等装置；配置防水插座、开关、灯具。</w:t>
      </w:r>
    </w:p>
    <w:p>
      <w:pPr>
        <w:spacing w:line="360" w:lineRule="auto"/>
        <w:rPr>
          <w:rFonts w:ascii="宋体" w:hAnsi="宋体" w:cs="宋体"/>
          <w:szCs w:val="21"/>
          <w:highlight w:val="none"/>
        </w:rPr>
      </w:pPr>
    </w:p>
    <w:p>
      <w:pPr>
        <w:spacing w:line="360" w:lineRule="auto"/>
        <w:rPr>
          <w:rFonts w:ascii="宋体" w:hAnsi="宋体" w:cs="宋体"/>
          <w:szCs w:val="21"/>
          <w:highlight w:val="none"/>
        </w:rPr>
      </w:pPr>
      <w:r>
        <w:rPr>
          <w:rFonts w:hint="eastAsia" w:ascii="宋体" w:hAnsi="宋体" w:cs="宋体"/>
          <w:szCs w:val="21"/>
          <w:highlight w:val="none"/>
        </w:rPr>
        <w:t>6  二类生活垃圾分类收集点设施要求</w:t>
      </w:r>
    </w:p>
    <w:p>
      <w:pPr>
        <w:spacing w:line="360" w:lineRule="auto"/>
        <w:rPr>
          <w:rFonts w:ascii="宋体" w:hAnsi="宋体" w:cs="宋体"/>
          <w:szCs w:val="21"/>
          <w:highlight w:val="none"/>
        </w:rPr>
      </w:pPr>
      <w:r>
        <w:rPr>
          <w:rFonts w:hint="eastAsia" w:ascii="宋体" w:hAnsi="宋体" w:cs="宋体"/>
          <w:szCs w:val="21"/>
          <w:highlight w:val="none"/>
        </w:rPr>
        <w:t>6.1应设有顶棚，富有辨识度，满足防雨要求；收集设施满足定时投放管理要求。</w:t>
      </w:r>
    </w:p>
    <w:p>
      <w:pPr>
        <w:spacing w:line="360" w:lineRule="auto"/>
        <w:rPr>
          <w:rFonts w:ascii="宋体" w:hAnsi="宋体" w:cs="宋体"/>
          <w:szCs w:val="21"/>
          <w:highlight w:val="none"/>
        </w:rPr>
      </w:pPr>
      <w:r>
        <w:rPr>
          <w:rFonts w:hint="eastAsia" w:ascii="宋体" w:hAnsi="宋体" w:cs="宋体"/>
          <w:szCs w:val="21"/>
          <w:highlight w:val="none"/>
        </w:rPr>
        <w:t xml:space="preserve">6.2定时定点定人督导或人工积分的居民小区，应设置管理间。 </w:t>
      </w:r>
    </w:p>
    <w:p>
      <w:pPr>
        <w:spacing w:line="360" w:lineRule="auto"/>
        <w:rPr>
          <w:rFonts w:ascii="宋体" w:hAnsi="宋体" w:cs="宋体"/>
          <w:szCs w:val="21"/>
          <w:highlight w:val="none"/>
        </w:rPr>
      </w:pPr>
      <w:r>
        <w:rPr>
          <w:rFonts w:hint="eastAsia" w:ascii="宋体" w:hAnsi="宋体" w:cs="宋体"/>
          <w:szCs w:val="21"/>
          <w:highlight w:val="none"/>
        </w:rPr>
        <w:t>6.3覆盖区域地面应做硬化处理；应采用防渗、防滑材料；应耐磨、耐腐蚀。</w:t>
      </w:r>
    </w:p>
    <w:p>
      <w:pPr>
        <w:spacing w:line="360" w:lineRule="auto"/>
        <w:rPr>
          <w:rFonts w:ascii="宋体" w:hAnsi="宋体" w:cs="宋体"/>
          <w:szCs w:val="21"/>
          <w:highlight w:val="none"/>
        </w:rPr>
      </w:pPr>
      <w:r>
        <w:rPr>
          <w:rFonts w:hint="eastAsia" w:ascii="宋体" w:hAnsi="宋体" w:cs="宋体"/>
          <w:szCs w:val="21"/>
          <w:highlight w:val="none"/>
        </w:rPr>
        <w:t>6.4应配置照明设施；有条件的，宜设置洗手池，接入摄像头、网络。</w:t>
      </w:r>
    </w:p>
    <w:p>
      <w:pPr>
        <w:spacing w:line="360" w:lineRule="auto"/>
        <w:rPr>
          <w:rFonts w:ascii="宋体" w:hAnsi="宋体" w:cs="宋体"/>
          <w:szCs w:val="21"/>
          <w:highlight w:val="none"/>
        </w:rPr>
      </w:pPr>
      <w:r>
        <w:rPr>
          <w:rFonts w:hint="eastAsia" w:ascii="宋体" w:hAnsi="宋体" w:cs="宋体"/>
          <w:szCs w:val="21"/>
          <w:highlight w:val="none"/>
        </w:rPr>
        <w:t>6.5应设置垃圾分类宣传展板。</w:t>
      </w:r>
    </w:p>
    <w:p>
      <w:pPr>
        <w:spacing w:line="360" w:lineRule="auto"/>
        <w:rPr>
          <w:rFonts w:ascii="宋体" w:hAnsi="宋体" w:cs="宋体"/>
          <w:szCs w:val="21"/>
          <w:highlight w:val="none"/>
        </w:rPr>
      </w:pPr>
      <w:r>
        <w:rPr>
          <w:rFonts w:hint="eastAsia" w:ascii="宋体" w:hAnsi="宋体" w:cs="宋体"/>
          <w:szCs w:val="21"/>
          <w:highlight w:val="none"/>
        </w:rPr>
        <w:t>6.6只设二类收集点的小区应结合物业用房设置垃圾桶清洗点。</w:t>
      </w:r>
    </w:p>
    <w:p>
      <w:pPr>
        <w:spacing w:line="360" w:lineRule="auto"/>
        <w:rPr>
          <w:rFonts w:ascii="宋体" w:hAnsi="宋体" w:cs="宋体"/>
          <w:szCs w:val="21"/>
          <w:highlight w:val="none"/>
        </w:rPr>
      </w:pPr>
      <w:r>
        <w:rPr>
          <w:rFonts w:hint="eastAsia" w:ascii="宋体" w:hAnsi="宋体" w:cs="宋体"/>
          <w:szCs w:val="21"/>
          <w:highlight w:val="none"/>
        </w:rPr>
        <w:t>6.7窗口式投放的垃圾分类收集点，厨余垃圾、其他垃圾、可回收物的投放窗口面积宜为0.25-0.30㎡。</w:t>
      </w:r>
    </w:p>
    <w:p>
      <w:pPr>
        <w:spacing w:line="360" w:lineRule="auto"/>
        <w:rPr>
          <w:rFonts w:ascii="宋体" w:hAnsi="宋体" w:cs="宋体"/>
          <w:szCs w:val="21"/>
          <w:highlight w:val="none"/>
        </w:rPr>
      </w:pPr>
      <w:r>
        <w:rPr>
          <w:rFonts w:hint="eastAsia" w:ascii="宋体" w:hAnsi="宋体" w:cs="宋体"/>
          <w:szCs w:val="21"/>
          <w:highlight w:val="none"/>
        </w:rPr>
        <w:t>7 生活垃圾分类收集点标志标识及容器要求</w:t>
      </w:r>
    </w:p>
    <w:p>
      <w:pPr>
        <w:spacing w:line="360" w:lineRule="auto"/>
        <w:rPr>
          <w:rFonts w:ascii="宋体" w:hAnsi="宋体" w:cs="宋体"/>
          <w:szCs w:val="21"/>
          <w:highlight w:val="none"/>
        </w:rPr>
      </w:pPr>
      <w:r>
        <w:rPr>
          <w:rFonts w:hint="eastAsia" w:ascii="宋体" w:hAnsi="宋体" w:cs="宋体"/>
          <w:szCs w:val="21"/>
          <w:highlight w:val="none"/>
        </w:rPr>
        <w:t>7.1生活垃圾分类收集点应标识清晰。</w:t>
      </w:r>
    </w:p>
    <w:p>
      <w:pPr>
        <w:spacing w:line="360" w:lineRule="auto"/>
        <w:rPr>
          <w:rFonts w:ascii="宋体" w:hAnsi="宋体" w:cs="宋体"/>
          <w:szCs w:val="21"/>
          <w:highlight w:val="none"/>
        </w:rPr>
      </w:pPr>
      <w:r>
        <w:rPr>
          <w:rFonts w:hint="eastAsia" w:ascii="宋体" w:hAnsi="宋体" w:cs="宋体"/>
          <w:szCs w:val="21"/>
          <w:highlight w:val="none"/>
        </w:rPr>
        <w:t>7.2生活垃圾分类收集点应具备分类标志，图案和色彩应符合《江苏省城市居民生活垃圾分类投放和收运设施配置指南（试行）》（苏建城管〔2019〕397号）要求。</w:t>
      </w:r>
    </w:p>
    <w:p>
      <w:pPr>
        <w:spacing w:line="360" w:lineRule="auto"/>
        <w:rPr>
          <w:rFonts w:ascii="宋体" w:hAnsi="宋体" w:cs="宋体"/>
          <w:szCs w:val="21"/>
          <w:highlight w:val="none"/>
        </w:rPr>
      </w:pPr>
      <w:r>
        <w:rPr>
          <w:rFonts w:hint="eastAsia" w:ascii="宋体" w:hAnsi="宋体" w:cs="宋体"/>
          <w:szCs w:val="21"/>
          <w:highlight w:val="none"/>
        </w:rPr>
        <w:t>7.3生活垃圾分类收集点内厨余垃圾、其他垃圾的垃圾桶应采用标准化垃圾桶；垃圾桶规格为120L、240L、660L；垃圾桶应符合《塑料垃圾桶通用技术条件》（CJ/T280）的规定。</w:t>
      </w:r>
    </w:p>
    <w:p>
      <w:pPr>
        <w:spacing w:line="360" w:lineRule="auto"/>
        <w:rPr>
          <w:rFonts w:ascii="宋体" w:hAnsi="宋体" w:cs="宋体"/>
          <w:szCs w:val="21"/>
          <w:highlight w:val="none"/>
        </w:rPr>
      </w:pPr>
      <w:r>
        <w:rPr>
          <w:rFonts w:hint="eastAsia" w:ascii="宋体" w:hAnsi="宋体" w:cs="宋体"/>
          <w:szCs w:val="21"/>
          <w:highlight w:val="none"/>
        </w:rPr>
        <w:t>7.4收集点内配置的“其他垃圾、厨余垃圾”分类垃圾桶比例宜为2：1。</w:t>
      </w:r>
    </w:p>
    <w:p>
      <w:pPr>
        <w:spacing w:line="360" w:lineRule="auto"/>
        <w:rPr>
          <w:rFonts w:ascii="宋体" w:hAnsi="宋体" w:cs="宋体"/>
          <w:szCs w:val="21"/>
          <w:highlight w:val="none"/>
        </w:rPr>
      </w:pPr>
      <w:r>
        <w:rPr>
          <w:rFonts w:hint="eastAsia" w:ascii="宋体" w:hAnsi="宋体" w:cs="宋体"/>
          <w:szCs w:val="21"/>
          <w:highlight w:val="none"/>
        </w:rPr>
        <w:t>7.5可回收物、有害垃圾可选用专用容器。有条件的宜配置纸类、塑料、金属、玻璃、织物、电池、灯管等专用收集容器；用地紧张的小区，可收集混合可回收物，通过二维码标识包装袋方便追溯用户。</w:t>
      </w:r>
    </w:p>
    <w:p>
      <w:pPr>
        <w:spacing w:line="360" w:lineRule="auto"/>
        <w:rPr>
          <w:rFonts w:ascii="宋体" w:hAnsi="宋体" w:cs="宋体"/>
          <w:szCs w:val="21"/>
          <w:highlight w:val="none"/>
        </w:rPr>
      </w:pPr>
      <w:r>
        <w:rPr>
          <w:rFonts w:hint="eastAsia" w:ascii="宋体" w:hAnsi="宋体" w:cs="宋体"/>
          <w:szCs w:val="21"/>
          <w:highlight w:val="none"/>
        </w:rPr>
        <w:t>7.6生活垃圾分类容器整体或局部体现对应标志色，具体规定如下：可回收物：蓝色；有害垃圾：红色；家庭厨余垃圾：绿色；其它垃圾：黑色。</w:t>
      </w:r>
    </w:p>
    <w:p>
      <w:pPr>
        <w:spacing w:line="360" w:lineRule="auto"/>
        <w:rPr>
          <w:rFonts w:ascii="宋体" w:hAnsi="宋体" w:cs="宋体"/>
          <w:szCs w:val="21"/>
          <w:highlight w:val="none"/>
        </w:rPr>
      </w:pPr>
      <w:r>
        <w:rPr>
          <w:rFonts w:hint="eastAsia" w:ascii="宋体" w:hAnsi="宋体" w:cs="宋体"/>
          <w:szCs w:val="21"/>
          <w:highlight w:val="none"/>
        </w:rPr>
        <w:t>7.7垃圾分类容器应分别在正前方、盖顶和盖背面标识分类标识。</w:t>
      </w:r>
    </w:p>
    <w:p>
      <w:pPr>
        <w:spacing w:line="360" w:lineRule="auto"/>
        <w:rPr>
          <w:rFonts w:ascii="宋体" w:hAnsi="宋体" w:cs="宋体"/>
          <w:b/>
          <w:bCs/>
          <w:szCs w:val="21"/>
          <w:highlight w:val="none"/>
        </w:rPr>
      </w:pPr>
      <w:r>
        <w:rPr>
          <w:rFonts w:hint="eastAsia" w:ascii="宋体" w:hAnsi="宋体" w:cs="宋体"/>
          <w:b/>
          <w:bCs/>
          <w:szCs w:val="21"/>
          <w:highlight w:val="none"/>
        </w:rPr>
        <w:t>如有差异须遵守关于印发南京市城市居住小区生活垃圾分类收集点设置导则的通知（宁垃分办字[2020] 7号）。</w:t>
      </w:r>
    </w:p>
    <w:p>
      <w:pPr>
        <w:numPr>
          <w:ilvl w:val="0"/>
          <w:numId w:val="12"/>
        </w:numPr>
        <w:spacing w:line="360" w:lineRule="auto"/>
        <w:rPr>
          <w:rFonts w:ascii="宋体" w:hAnsi="宋体" w:cs="宋体"/>
          <w:b/>
          <w:szCs w:val="21"/>
          <w:highlight w:val="none"/>
          <w:lang w:val="zh-CN"/>
        </w:rPr>
      </w:pPr>
      <w:r>
        <w:rPr>
          <w:rFonts w:hint="eastAsia" w:ascii="宋体" w:hAnsi="宋体" w:cs="宋体"/>
          <w:b/>
          <w:szCs w:val="21"/>
          <w:highlight w:val="none"/>
          <w:lang w:val="zh-CN"/>
        </w:rPr>
        <w:t>★1、投标人在南京市有长驻服务机构，并具有较强的售后服务能力。2、具有较完整的垃圾分类管理系统，包含督导人员管理模块、积分管理及兑换模块，且具有完整的API接口，可与南京市垃圾分类管理平台</w:t>
      </w:r>
      <w:r>
        <w:rPr>
          <w:rFonts w:hint="eastAsia" w:ascii="宋体" w:hAnsi="宋体" w:cs="宋体"/>
          <w:b/>
          <w:szCs w:val="21"/>
          <w:highlight w:val="none"/>
          <w:lang w:val="en-US" w:eastAsia="zh-CN"/>
        </w:rPr>
        <w:t>及相关主管部门</w:t>
      </w:r>
      <w:r>
        <w:rPr>
          <w:rFonts w:hint="eastAsia" w:ascii="宋体" w:hAnsi="宋体" w:cs="宋体"/>
          <w:b/>
          <w:szCs w:val="21"/>
          <w:highlight w:val="none"/>
          <w:lang w:val="zh-CN"/>
        </w:rPr>
        <w:t>进行快速对接。</w:t>
      </w:r>
    </w:p>
    <w:p>
      <w:pPr>
        <w:pStyle w:val="146"/>
        <w:widowControl/>
        <w:numPr>
          <w:ilvl w:val="0"/>
          <w:numId w:val="0"/>
        </w:numPr>
        <w:contextualSpacing/>
        <w:jc w:val="left"/>
        <w:rPr>
          <w:rFonts w:hint="eastAsia" w:ascii="宋体" w:hAnsi="宋体" w:eastAsia="宋体" w:cs="宋体"/>
          <w:bCs/>
          <w:szCs w:val="21"/>
          <w:highlight w:val="none"/>
          <w:lang w:val="zh-CN"/>
        </w:rPr>
      </w:pPr>
      <w:r>
        <w:rPr>
          <w:rFonts w:hint="eastAsia" w:ascii="宋体" w:hAnsi="宋体" w:eastAsia="宋体" w:cs="宋体"/>
          <w:bCs/>
          <w:szCs w:val="21"/>
          <w:highlight w:val="none"/>
          <w:lang w:val="zh-CN"/>
        </w:rPr>
        <w:t>如遇到上级管理部门标准调整或实施过程中的调整需要，中标单位应无条件根据招标人要求，配合招标人做好方案的二次深化设计，上述费用包含在投标报价中，且不得因此而降低产品质量和服务标准。</w:t>
      </w:r>
    </w:p>
    <w:p>
      <w:pPr>
        <w:pStyle w:val="146"/>
        <w:widowControl/>
        <w:numPr>
          <w:ilvl w:val="0"/>
          <w:numId w:val="0"/>
        </w:numPr>
        <w:contextualSpacing/>
        <w:jc w:val="left"/>
        <w:rPr>
          <w:rFonts w:hint="eastAsia" w:ascii="宋体" w:hAnsi="宋体" w:cs="宋体"/>
          <w:bCs/>
          <w:szCs w:val="21"/>
          <w:highlight w:val="none"/>
          <w:lang w:val="zh-CN"/>
        </w:rPr>
      </w:pPr>
    </w:p>
    <w:p>
      <w:pPr>
        <w:pStyle w:val="146"/>
        <w:widowControl/>
        <w:numPr>
          <w:ilvl w:val="0"/>
          <w:numId w:val="0"/>
        </w:numPr>
        <w:contextualSpacing/>
        <w:jc w:val="left"/>
        <w:rPr>
          <w:rFonts w:hint="eastAsia" w:ascii="宋体" w:hAnsi="宋体" w:cs="宋体"/>
          <w:bCs/>
          <w:szCs w:val="21"/>
          <w:highlight w:val="none"/>
          <w:lang w:val="en-US" w:eastAsia="zh-CN"/>
        </w:rPr>
      </w:pPr>
      <w:r>
        <w:rPr>
          <w:rFonts w:hint="eastAsia" w:ascii="宋体" w:hAnsi="宋体" w:cs="宋体"/>
          <w:bCs/>
          <w:szCs w:val="21"/>
          <w:highlight w:val="none"/>
          <w:lang w:val="en-US" w:eastAsia="zh-CN"/>
        </w:rPr>
        <w:t>三、商务部分要求</w:t>
      </w:r>
    </w:p>
    <w:p>
      <w:pPr>
        <w:adjustRightInd w:val="0"/>
        <w:snapToGrid w:val="0"/>
        <w:spacing w:line="360" w:lineRule="auto"/>
        <w:ind w:firstLine="422" w:firstLineChars="200"/>
        <w:rPr>
          <w:rFonts w:ascii="宋体" w:hAnsi="宋体" w:cs="宋体"/>
          <w:b/>
          <w:bCs/>
          <w:szCs w:val="21"/>
          <w:highlight w:val="none"/>
          <w:lang w:val="zh-TW"/>
        </w:rPr>
      </w:pPr>
      <w:r>
        <w:rPr>
          <w:rFonts w:hint="eastAsia" w:ascii="宋体" w:hAnsi="宋体" w:cs="宋体"/>
          <w:b/>
          <w:bCs/>
          <w:szCs w:val="21"/>
          <w:highlight w:val="none"/>
          <w:lang w:val="zh-TW"/>
        </w:rPr>
        <w:t>（一）工期要求</w:t>
      </w:r>
    </w:p>
    <w:p>
      <w:pPr>
        <w:spacing w:line="400" w:lineRule="exact"/>
        <w:ind w:firstLine="420" w:firstLineChars="200"/>
        <w:rPr>
          <w:rFonts w:hint="eastAsia" w:ascii="宋体" w:hAnsi="宋体" w:cs="宋体"/>
          <w:szCs w:val="21"/>
          <w:highlight w:val="none"/>
          <w:lang w:val="zh-CN"/>
        </w:rPr>
      </w:pPr>
      <w:r>
        <w:rPr>
          <w:rFonts w:hint="eastAsia" w:ascii="宋体" w:hAnsi="宋体" w:cs="宋体"/>
          <w:szCs w:val="21"/>
          <w:highlight w:val="none"/>
          <w:lang w:val="zh-CN"/>
        </w:rPr>
        <w:t>具备进场条件或接招标人书面通知后，</w:t>
      </w:r>
      <w:r>
        <w:rPr>
          <w:rFonts w:hint="eastAsia" w:ascii="宋体" w:hAnsi="宋体" w:cs="宋体"/>
          <w:szCs w:val="21"/>
          <w:highlight w:val="none"/>
          <w:lang w:val="en-US" w:eastAsia="zh-CN"/>
        </w:rPr>
        <w:t>20</w:t>
      </w:r>
      <w:r>
        <w:rPr>
          <w:rFonts w:hint="eastAsia" w:ascii="宋体" w:hAnsi="宋体" w:cs="宋体"/>
          <w:szCs w:val="21"/>
          <w:highlight w:val="none"/>
          <w:lang w:val="zh-CN"/>
        </w:rPr>
        <w:t>日内交付使用。</w:t>
      </w:r>
    </w:p>
    <w:p>
      <w:pPr>
        <w:spacing w:line="400" w:lineRule="exact"/>
        <w:ind w:firstLine="420" w:firstLineChars="200"/>
        <w:rPr>
          <w:rFonts w:ascii="宋体" w:hAnsi="宋体" w:cs="宋体"/>
          <w:szCs w:val="21"/>
          <w:highlight w:val="none"/>
          <w:lang w:val="zh-CN"/>
        </w:rPr>
      </w:pPr>
      <w:r>
        <w:rPr>
          <w:rFonts w:hint="eastAsia" w:ascii="宋体" w:hAnsi="宋体" w:cs="宋体"/>
          <w:szCs w:val="21"/>
          <w:highlight w:val="none"/>
          <w:lang w:val="zh-CN"/>
        </w:rPr>
        <w:t>投标人须自行勘察现场，测量布点尺寸，中标后不得以不了解现场情况为由延误工期，否为招标人有权解除合同。</w:t>
      </w:r>
    </w:p>
    <w:p>
      <w:pPr>
        <w:adjustRightInd w:val="0"/>
        <w:snapToGrid w:val="0"/>
        <w:spacing w:line="360" w:lineRule="auto"/>
        <w:ind w:firstLine="422" w:firstLineChars="200"/>
        <w:rPr>
          <w:rFonts w:ascii="宋体" w:hAnsi="宋体" w:cs="宋体"/>
          <w:b/>
          <w:bCs/>
          <w:szCs w:val="21"/>
          <w:highlight w:val="none"/>
        </w:rPr>
      </w:pPr>
      <w:r>
        <w:rPr>
          <w:rFonts w:hint="eastAsia" w:ascii="宋体" w:hAnsi="宋体" w:cs="宋体"/>
          <w:b/>
          <w:bCs/>
          <w:szCs w:val="21"/>
          <w:highlight w:val="none"/>
          <w:lang w:val="zh-TW"/>
        </w:rPr>
        <w:t>（二）质保期：</w:t>
      </w:r>
      <w:r>
        <w:rPr>
          <w:rFonts w:hint="eastAsia" w:ascii="宋体" w:hAnsi="宋体" w:cs="宋体"/>
          <w:b/>
          <w:bCs/>
          <w:szCs w:val="21"/>
          <w:highlight w:val="none"/>
        </w:rPr>
        <w:t>5年。</w:t>
      </w:r>
    </w:p>
    <w:p>
      <w:pPr>
        <w:adjustRightInd w:val="0"/>
        <w:snapToGrid w:val="0"/>
        <w:spacing w:line="360" w:lineRule="auto"/>
        <w:ind w:firstLine="422" w:firstLineChars="200"/>
        <w:rPr>
          <w:rFonts w:ascii="宋体" w:hAnsi="宋体" w:cs="宋体"/>
          <w:b/>
          <w:bCs/>
          <w:szCs w:val="21"/>
          <w:highlight w:val="none"/>
          <w:lang w:val="zh-TW"/>
        </w:rPr>
      </w:pPr>
      <w:r>
        <w:rPr>
          <w:rFonts w:hint="eastAsia" w:ascii="宋体" w:hAnsi="宋体" w:cs="宋体"/>
          <w:b/>
          <w:bCs/>
          <w:szCs w:val="21"/>
          <w:highlight w:val="none"/>
          <w:lang w:val="zh-TW"/>
        </w:rPr>
        <w:t>（三）验收标准和要求</w:t>
      </w:r>
    </w:p>
    <w:p>
      <w:pPr>
        <w:adjustRightInd w:val="0"/>
        <w:snapToGrid w:val="0"/>
        <w:spacing w:line="360" w:lineRule="auto"/>
        <w:ind w:firstLine="420" w:firstLineChars="200"/>
        <w:rPr>
          <w:rFonts w:ascii="宋体" w:hAnsi="宋体" w:cs="宋体"/>
          <w:szCs w:val="21"/>
          <w:highlight w:val="none"/>
          <w:lang w:val="zh-TW"/>
        </w:rPr>
      </w:pPr>
      <w:r>
        <w:rPr>
          <w:rFonts w:hint="eastAsia" w:ascii="宋体" w:hAnsi="宋体" w:cs="宋体"/>
          <w:szCs w:val="21"/>
          <w:highlight w:val="none"/>
          <w:lang w:val="zh-TW"/>
        </w:rPr>
        <w:t>1、验收标准</w:t>
      </w:r>
    </w:p>
    <w:p>
      <w:pPr>
        <w:adjustRightInd w:val="0"/>
        <w:snapToGrid w:val="0"/>
        <w:spacing w:line="360" w:lineRule="auto"/>
        <w:ind w:firstLine="420" w:firstLineChars="200"/>
        <w:rPr>
          <w:rFonts w:ascii="宋体" w:hAnsi="宋体" w:cs="宋体"/>
          <w:szCs w:val="21"/>
          <w:highlight w:val="none"/>
          <w:lang w:val="zh-TW"/>
        </w:rPr>
      </w:pPr>
      <w:r>
        <w:rPr>
          <w:rFonts w:hint="eastAsia" w:ascii="宋体" w:hAnsi="宋体" w:cs="宋体"/>
          <w:szCs w:val="21"/>
          <w:highlight w:val="none"/>
          <w:lang w:val="zh-TW"/>
        </w:rPr>
        <w:t>供应商提供的硬件和软件必须符合我国最新颁布的与之相关的技术规范与标准，必须满足招标文件中所列规格、具体配置、技术条件及功能要求和供应商承诺的其它指标。安装作业须符合相关验收规范及采购人的要求。供应商完成所有设备安装和系统上线后，由供应商提出验收申请，由采购人组织验收并出具意见，形成《验收报告》。</w:t>
      </w:r>
    </w:p>
    <w:p>
      <w:pPr>
        <w:adjustRightInd w:val="0"/>
        <w:snapToGrid w:val="0"/>
        <w:spacing w:line="360" w:lineRule="auto"/>
        <w:ind w:firstLine="420" w:firstLineChars="200"/>
        <w:rPr>
          <w:rFonts w:ascii="宋体" w:hAnsi="宋体" w:cs="宋体"/>
          <w:szCs w:val="21"/>
          <w:highlight w:val="none"/>
          <w:lang w:val="zh-TW"/>
        </w:rPr>
      </w:pPr>
      <w:r>
        <w:rPr>
          <w:rFonts w:hint="eastAsia" w:ascii="宋体" w:hAnsi="宋体" w:cs="宋体"/>
          <w:szCs w:val="21"/>
          <w:highlight w:val="none"/>
          <w:lang w:val="zh-TW"/>
        </w:rPr>
        <w:t>2、验收要求</w:t>
      </w:r>
    </w:p>
    <w:p>
      <w:pPr>
        <w:adjustRightInd w:val="0"/>
        <w:snapToGrid w:val="0"/>
        <w:spacing w:line="360" w:lineRule="auto"/>
        <w:ind w:firstLine="420" w:firstLineChars="200"/>
        <w:rPr>
          <w:rFonts w:ascii="宋体" w:hAnsi="宋体" w:cs="宋体"/>
          <w:szCs w:val="21"/>
          <w:highlight w:val="none"/>
          <w:lang w:val="zh-TW"/>
        </w:rPr>
      </w:pPr>
      <w:r>
        <w:rPr>
          <w:rFonts w:hint="eastAsia" w:ascii="宋体" w:hAnsi="宋体" w:cs="宋体"/>
          <w:szCs w:val="21"/>
          <w:highlight w:val="none"/>
          <w:lang w:val="zh-TW"/>
        </w:rPr>
        <w:t>供应商应负责在招标方验收前将系统的全部相关的系统软硬件，以及有关使用说明书（手册）等交付招标方，由招标方组织验收。</w:t>
      </w:r>
    </w:p>
    <w:p>
      <w:pPr>
        <w:pStyle w:val="14"/>
        <w:spacing w:line="360" w:lineRule="auto"/>
        <w:ind w:firstLine="422" w:firstLineChars="200"/>
        <w:rPr>
          <w:rFonts w:ascii="宋体" w:hAnsi="宋体" w:cs="宋体"/>
          <w:b w:val="0"/>
          <w:sz w:val="21"/>
          <w:szCs w:val="21"/>
          <w:highlight w:val="none"/>
          <w:lang w:val="zh-TW"/>
        </w:rPr>
      </w:pPr>
      <w:r>
        <w:rPr>
          <w:rFonts w:hint="eastAsia" w:ascii="宋体" w:hAnsi="宋体" w:cs="宋体"/>
          <w:sz w:val="21"/>
          <w:szCs w:val="21"/>
          <w:highlight w:val="none"/>
          <w:lang w:val="zh-TW"/>
        </w:rPr>
        <w:t>（四）实施要求：</w:t>
      </w:r>
      <w:r>
        <w:rPr>
          <w:rFonts w:hint="eastAsia" w:ascii="宋体" w:hAnsi="宋体" w:cs="宋体"/>
          <w:b w:val="0"/>
          <w:sz w:val="21"/>
          <w:szCs w:val="21"/>
          <w:highlight w:val="none"/>
          <w:lang w:val="zh-TW"/>
        </w:rPr>
        <w:t>垃圾房的所需水、电、污水排放接口由采购人另行实施布点至垃圾房旁边，中标供应商负责垃</w:t>
      </w:r>
      <w:r>
        <w:rPr>
          <w:rFonts w:hint="eastAsia" w:ascii="宋体" w:hAnsi="宋体" w:cs="宋体"/>
          <w:b w:val="0"/>
          <w:bCs/>
          <w:sz w:val="21"/>
          <w:szCs w:val="21"/>
          <w:highlight w:val="none"/>
          <w:lang w:val="zh-TW"/>
        </w:rPr>
        <w:t>圾亭、房的</w:t>
      </w:r>
      <w:r>
        <w:rPr>
          <w:rFonts w:hint="eastAsia" w:ascii="宋体" w:hAnsi="宋体" w:cs="宋体"/>
          <w:b w:val="0"/>
          <w:bCs/>
          <w:sz w:val="21"/>
          <w:szCs w:val="21"/>
          <w:highlight w:val="none"/>
        </w:rPr>
        <w:t>网络接入试运</w:t>
      </w:r>
      <w:r>
        <w:rPr>
          <w:rFonts w:hint="eastAsia" w:ascii="宋体" w:hAnsi="宋体" w:cs="宋体"/>
          <w:b w:val="0"/>
          <w:sz w:val="21"/>
          <w:szCs w:val="21"/>
          <w:highlight w:val="none"/>
          <w:lang w:val="zh-TW"/>
        </w:rPr>
        <w:t>行、水、电、污水排放的连接以及施工期间产生的能耗费等相关费用，所产生的费用含在投标总价内，不另行结算：</w:t>
      </w:r>
    </w:p>
    <w:p>
      <w:pPr>
        <w:pStyle w:val="14"/>
        <w:spacing w:line="360" w:lineRule="auto"/>
        <w:ind w:firstLine="480" w:firstLineChars="200"/>
        <w:rPr>
          <w:rFonts w:hint="eastAsia" w:ascii="宋体" w:hAnsi="宋体" w:eastAsia="黑体" w:cs="宋体"/>
          <w:b w:val="0"/>
          <w:bCs/>
          <w:kern w:val="0"/>
          <w:sz w:val="24"/>
          <w:szCs w:val="21"/>
          <w:highlight w:val="none"/>
          <w:lang w:val="zh-TW" w:eastAsia="zh-CN" w:bidi="ar-SA"/>
        </w:rPr>
      </w:pPr>
      <w:r>
        <w:rPr>
          <w:rFonts w:hint="eastAsia" w:ascii="宋体" w:hAnsi="宋体" w:eastAsia="黑体" w:cs="宋体"/>
          <w:b w:val="0"/>
          <w:bCs/>
          <w:kern w:val="0"/>
          <w:sz w:val="24"/>
          <w:szCs w:val="21"/>
          <w:highlight w:val="none"/>
          <w:lang w:val="zh-TW" w:eastAsia="zh-CN" w:bidi="ar-SA"/>
        </w:rPr>
        <w:t>五、售后服务要求</w:t>
      </w:r>
    </w:p>
    <w:p>
      <w:pPr>
        <w:adjustRightInd w:val="0"/>
        <w:snapToGrid w:val="0"/>
        <w:spacing w:line="360" w:lineRule="auto"/>
        <w:ind w:firstLine="420" w:firstLineChars="200"/>
        <w:rPr>
          <w:rFonts w:ascii="宋体" w:hAnsi="宋体" w:cs="宋体"/>
          <w:szCs w:val="21"/>
          <w:highlight w:val="none"/>
          <w:lang w:val="zh-TW"/>
        </w:rPr>
      </w:pPr>
      <w:r>
        <w:rPr>
          <w:rFonts w:hint="eastAsia" w:ascii="宋体" w:hAnsi="宋体" w:cs="宋体"/>
          <w:szCs w:val="21"/>
          <w:highlight w:val="none"/>
          <w:lang w:val="zh-TW"/>
        </w:rPr>
        <w:t>5.1.售后服务</w:t>
      </w:r>
    </w:p>
    <w:p>
      <w:pPr>
        <w:adjustRightInd w:val="0"/>
        <w:snapToGrid w:val="0"/>
        <w:spacing w:line="360" w:lineRule="auto"/>
        <w:ind w:firstLine="420" w:firstLineChars="200"/>
        <w:rPr>
          <w:rFonts w:hint="default" w:ascii="宋体" w:hAnsi="宋体" w:eastAsia="宋体" w:cs="宋体"/>
          <w:szCs w:val="21"/>
          <w:highlight w:val="none"/>
          <w:lang w:val="en-US" w:eastAsia="zh-CN"/>
        </w:rPr>
      </w:pPr>
      <w:r>
        <w:rPr>
          <w:rFonts w:hint="eastAsia" w:ascii="宋体" w:hAnsi="宋体" w:cs="宋体"/>
          <w:szCs w:val="21"/>
          <w:highlight w:val="none"/>
          <w:lang w:val="zh-TW"/>
        </w:rPr>
        <w:t>供应商提供全方位的、优质的、高效的质量保证体系，以及技术支持和售后服务。供应商须提供为期</w:t>
      </w:r>
      <w:r>
        <w:rPr>
          <w:rFonts w:hint="eastAsia" w:ascii="宋体" w:hAnsi="宋体" w:cs="宋体"/>
          <w:szCs w:val="21"/>
          <w:highlight w:val="none"/>
          <w:u w:val="single"/>
        </w:rPr>
        <w:t xml:space="preserve">  5  </w:t>
      </w:r>
      <w:r>
        <w:rPr>
          <w:rFonts w:hint="eastAsia" w:ascii="宋体" w:hAnsi="宋体" w:cs="宋体"/>
          <w:szCs w:val="21"/>
          <w:highlight w:val="none"/>
          <w:lang w:val="zh-TW"/>
        </w:rPr>
        <w:t>年的免费硬件设备技术支持与售后服务，从第</w:t>
      </w:r>
      <w:r>
        <w:rPr>
          <w:rFonts w:hint="eastAsia" w:ascii="宋体" w:hAnsi="宋体" w:cs="宋体"/>
          <w:szCs w:val="21"/>
          <w:highlight w:val="none"/>
        </w:rPr>
        <w:t>六</w:t>
      </w:r>
      <w:r>
        <w:rPr>
          <w:rFonts w:hint="eastAsia" w:ascii="宋体" w:hAnsi="宋体" w:cs="宋体"/>
          <w:szCs w:val="21"/>
          <w:highlight w:val="none"/>
          <w:lang w:val="zh-TW"/>
        </w:rPr>
        <w:t>年起相关服务费用由供应商与采购方另行协商。供应商</w:t>
      </w:r>
      <w:r>
        <w:rPr>
          <w:rFonts w:hint="eastAsia" w:ascii="宋体" w:hAnsi="宋体" w:cs="宋体"/>
          <w:szCs w:val="21"/>
          <w:highlight w:val="none"/>
          <w:lang w:val="en-US" w:eastAsia="zh-CN"/>
        </w:rPr>
        <w:t>在接到采购人指令后，须在半小时内无条件响应，并在两小时内无条件落实相关问题。</w:t>
      </w:r>
    </w:p>
    <w:p>
      <w:pPr>
        <w:adjustRightInd w:val="0"/>
        <w:snapToGrid w:val="0"/>
        <w:spacing w:line="360" w:lineRule="auto"/>
        <w:ind w:firstLine="420" w:firstLineChars="200"/>
        <w:rPr>
          <w:rFonts w:ascii="宋体" w:hAnsi="宋体" w:cs="宋体"/>
          <w:szCs w:val="21"/>
          <w:highlight w:val="none"/>
          <w:lang w:val="zh-TW"/>
        </w:rPr>
      </w:pPr>
      <w:r>
        <w:rPr>
          <w:rFonts w:hint="eastAsia" w:ascii="宋体" w:hAnsi="宋体" w:cs="宋体"/>
          <w:szCs w:val="21"/>
          <w:highlight w:val="none"/>
          <w:lang w:val="zh-TW"/>
        </w:rPr>
        <w:t>5.2、培训服务</w:t>
      </w:r>
    </w:p>
    <w:p>
      <w:pPr>
        <w:adjustRightInd w:val="0"/>
        <w:snapToGrid w:val="0"/>
        <w:spacing w:line="360" w:lineRule="auto"/>
        <w:ind w:firstLine="420" w:firstLineChars="200"/>
        <w:rPr>
          <w:rFonts w:ascii="宋体" w:hAnsi="宋体" w:cs="宋体"/>
          <w:szCs w:val="21"/>
          <w:highlight w:val="none"/>
          <w:lang w:val="zh-TW"/>
        </w:rPr>
      </w:pPr>
      <w:r>
        <w:rPr>
          <w:rFonts w:hint="eastAsia" w:ascii="宋体" w:hAnsi="宋体" w:cs="宋体"/>
          <w:szCs w:val="21"/>
          <w:highlight w:val="none"/>
          <w:lang w:val="zh-TW"/>
        </w:rPr>
        <w:t>本项目提供完备的培训服务计划，提供包括：设备操作培训服务和系统维护培训服务，以及供应商认为必要的其他培训服务等。</w:t>
      </w:r>
    </w:p>
    <w:p>
      <w:pPr>
        <w:pStyle w:val="14"/>
        <w:spacing w:line="360" w:lineRule="auto"/>
        <w:ind w:firstLine="480" w:firstLineChars="200"/>
        <w:rPr>
          <w:rFonts w:ascii="宋体" w:hAnsi="宋体" w:cs="宋体"/>
          <w:sz w:val="21"/>
          <w:szCs w:val="21"/>
          <w:highlight w:val="none"/>
        </w:rPr>
      </w:pPr>
      <w:r>
        <w:rPr>
          <w:rFonts w:hint="eastAsia" w:ascii="宋体" w:hAnsi="宋体" w:eastAsia="黑体" w:cs="宋体"/>
          <w:b w:val="0"/>
          <w:bCs/>
          <w:kern w:val="0"/>
          <w:sz w:val="24"/>
          <w:szCs w:val="21"/>
          <w:highlight w:val="none"/>
          <w:lang w:val="zh-TW" w:eastAsia="zh-CN" w:bidi="ar-SA"/>
        </w:rPr>
        <w:t>六、报价要求</w:t>
      </w:r>
    </w:p>
    <w:p>
      <w:pPr>
        <w:pStyle w:val="146"/>
        <w:widowControl/>
        <w:numPr>
          <w:ilvl w:val="0"/>
          <w:numId w:val="0"/>
        </w:numPr>
        <w:ind w:firstLine="420" w:firstLineChars="200"/>
        <w:contextualSpacing/>
        <w:jc w:val="left"/>
        <w:rPr>
          <w:rFonts w:hint="default" w:ascii="宋体" w:hAnsi="宋体" w:eastAsia="宋体" w:cs="宋体"/>
          <w:kern w:val="2"/>
          <w:sz w:val="21"/>
          <w:szCs w:val="21"/>
          <w:highlight w:val="none"/>
          <w:lang w:val="en-US" w:eastAsia="zh-CN" w:bidi="ar-SA"/>
        </w:rPr>
      </w:pPr>
      <w:r>
        <w:rPr>
          <w:rFonts w:hint="eastAsia" w:ascii="宋体" w:hAnsi="宋体" w:eastAsia="宋体" w:cs="宋体"/>
          <w:kern w:val="2"/>
          <w:sz w:val="21"/>
          <w:szCs w:val="21"/>
          <w:highlight w:val="none"/>
          <w:lang w:val="zh-TW" w:eastAsia="zh-CN" w:bidi="ar-SA"/>
        </w:rPr>
        <w:t>本项目为供应商建设交钥匙项目，报价应包含设备、仓储、运输装卸、安装调试直至正常使用、措施费、培训、质保期内维保等费用，以及完成本项目发生的所有含税费用以及供应商认为需要的其他费用等。</w:t>
      </w:r>
    </w:p>
    <w:p>
      <w:pPr>
        <w:pStyle w:val="146"/>
        <w:widowControl/>
        <w:numPr>
          <w:ilvl w:val="0"/>
          <w:numId w:val="0"/>
        </w:numPr>
        <w:contextualSpacing/>
        <w:jc w:val="left"/>
        <w:rPr>
          <w:rFonts w:hint="default" w:ascii="宋体" w:hAnsi="宋体" w:cs="宋体"/>
          <w:bCs/>
          <w:szCs w:val="21"/>
          <w:highlight w:val="none"/>
          <w:lang w:val="en-US" w:eastAsia="zh-CN"/>
        </w:rPr>
      </w:pPr>
    </w:p>
    <w:p>
      <w:pPr>
        <w:pStyle w:val="146"/>
        <w:widowControl/>
        <w:numPr>
          <w:ilvl w:val="0"/>
          <w:numId w:val="0"/>
        </w:numPr>
        <w:contextualSpacing/>
        <w:jc w:val="left"/>
        <w:rPr>
          <w:rFonts w:hint="default" w:ascii="宋体" w:hAnsi="宋体" w:cs="宋体"/>
          <w:bCs/>
          <w:szCs w:val="21"/>
          <w:highlight w:val="none"/>
          <w:lang w:val="en-US" w:eastAsia="zh-CN"/>
        </w:rPr>
        <w:sectPr>
          <w:pgSz w:w="11906" w:h="16838"/>
          <w:pgMar w:top="1440" w:right="1800" w:bottom="1440" w:left="1600" w:header="851" w:footer="992" w:gutter="0"/>
          <w:pgBorders>
            <w:top w:val="none" w:sz="0" w:space="0"/>
            <w:left w:val="none" w:sz="0" w:space="0"/>
            <w:bottom w:val="none" w:sz="0" w:space="0"/>
            <w:right w:val="none" w:sz="0" w:space="0"/>
          </w:pgBorders>
          <w:cols w:space="720" w:num="1"/>
          <w:titlePg/>
          <w:docGrid w:type="lines" w:linePitch="312" w:charSpace="0"/>
        </w:sectPr>
      </w:pPr>
    </w:p>
    <w:p>
      <w:pPr>
        <w:pStyle w:val="146"/>
        <w:ind w:left="0"/>
        <w:rPr>
          <w:rFonts w:hint="default" w:asciiTheme="minorEastAsia" w:hAnsiTheme="minorEastAsia" w:eastAsiaTheme="minorEastAsia" w:cstheme="minorEastAsia"/>
          <w:snapToGrid w:val="0"/>
          <w:color w:val="auto"/>
          <w:sz w:val="21"/>
          <w:szCs w:val="21"/>
          <w:highlight w:val="none"/>
          <w:lang w:val="en-US"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pStyle w:val="146"/>
        <w:ind w:left="0"/>
        <w:rPr>
          <w:rFonts w:asciiTheme="minorEastAsia" w:hAnsiTheme="minorEastAsia" w:eastAsiaTheme="minorEastAsia" w:cstheme="minorEastAsia"/>
          <w:snapToGrid w:val="0"/>
          <w:color w:val="auto"/>
          <w:sz w:val="21"/>
          <w:szCs w:val="21"/>
          <w:highlight w:val="none"/>
          <w:lang w:eastAsia="zh-CN"/>
        </w:rPr>
      </w:pPr>
    </w:p>
    <w:p>
      <w:pPr>
        <w:widowControl/>
        <w:shd w:val="clear" w:color="auto" w:fill="FFFFFF"/>
        <w:spacing w:line="360" w:lineRule="auto"/>
        <w:jc w:val="center"/>
        <w:rPr>
          <w:rFonts w:ascii="宋体" w:hAnsi="宋体"/>
          <w:color w:val="auto"/>
          <w:kern w:val="0"/>
          <w:szCs w:val="21"/>
          <w:highlight w:val="none"/>
        </w:rPr>
      </w:pPr>
      <w:r>
        <w:rPr>
          <w:rFonts w:hint="eastAsia" w:ascii="宋体" w:hAnsi="宋体"/>
          <w:color w:val="auto"/>
          <w:kern w:val="0"/>
          <w:sz w:val="52"/>
          <w:szCs w:val="52"/>
          <w:highlight w:val="none"/>
        </w:rPr>
        <w:t>南京市政府采购合同</w:t>
      </w:r>
    </w:p>
    <w:p>
      <w:pPr>
        <w:widowControl/>
        <w:shd w:val="clear" w:color="auto" w:fill="FFFFFF"/>
        <w:spacing w:line="360" w:lineRule="auto"/>
        <w:ind w:firstLine="315"/>
        <w:rPr>
          <w:rFonts w:ascii="宋体" w:hAnsi="宋体"/>
          <w:color w:val="auto"/>
          <w:kern w:val="0"/>
          <w:szCs w:val="21"/>
          <w:highlight w:val="none"/>
        </w:rPr>
      </w:pPr>
      <w:r>
        <w:rPr>
          <w:rFonts w:hint="eastAsia" w:ascii="宋体" w:hAnsi="宋体"/>
          <w:b/>
          <w:bCs/>
          <w:color w:val="auto"/>
          <w:kern w:val="0"/>
          <w:sz w:val="32"/>
          <w:szCs w:val="32"/>
          <w:highlight w:val="none"/>
        </w:rPr>
        <w:t>           </w:t>
      </w:r>
      <w:r>
        <w:rPr>
          <w:rFonts w:hint="eastAsia" w:ascii="宋体" w:hAnsi="宋体"/>
          <w:b/>
          <w:bCs/>
          <w:color w:val="auto"/>
          <w:kern w:val="0"/>
          <w:sz w:val="32"/>
          <w:highlight w:val="none"/>
        </w:rPr>
        <w:t> </w:t>
      </w:r>
      <w:r>
        <w:rPr>
          <w:rFonts w:hint="eastAsia" w:ascii="宋体" w:hAnsi="宋体"/>
          <w:color w:val="auto"/>
          <w:kern w:val="0"/>
          <w:sz w:val="32"/>
          <w:szCs w:val="32"/>
          <w:highlight w:val="none"/>
        </w:rPr>
        <w:t> </w:t>
      </w:r>
    </w:p>
    <w:p>
      <w:pPr>
        <w:widowControl/>
        <w:shd w:val="clear" w:color="auto" w:fill="FFFFFF"/>
        <w:spacing w:line="360" w:lineRule="auto"/>
        <w:ind w:firstLine="315"/>
        <w:rPr>
          <w:rFonts w:ascii="宋体" w:hAnsi="宋体"/>
          <w:color w:val="auto"/>
          <w:kern w:val="0"/>
          <w:szCs w:val="21"/>
          <w:highlight w:val="none"/>
        </w:rPr>
      </w:pPr>
      <w:r>
        <w:rPr>
          <w:rFonts w:hint="eastAsia" w:ascii="宋体" w:hAnsi="宋体"/>
          <w:color w:val="auto"/>
          <w:kern w:val="0"/>
          <w:sz w:val="32"/>
          <w:szCs w:val="32"/>
          <w:highlight w:val="none"/>
        </w:rPr>
        <w:t> </w:t>
      </w:r>
    </w:p>
    <w:p>
      <w:pPr>
        <w:widowControl/>
        <w:shd w:val="clear" w:color="auto" w:fill="FFFFFF"/>
        <w:spacing w:line="360" w:lineRule="auto"/>
        <w:ind w:firstLine="315"/>
        <w:rPr>
          <w:rFonts w:ascii="宋体" w:hAnsi="宋体"/>
          <w:b/>
          <w:bCs/>
          <w:color w:val="auto"/>
          <w:kern w:val="0"/>
          <w:sz w:val="36"/>
          <w:szCs w:val="36"/>
          <w:highlight w:val="none"/>
        </w:rPr>
      </w:pPr>
    </w:p>
    <w:p>
      <w:pPr>
        <w:widowControl/>
        <w:shd w:val="clear" w:color="auto" w:fill="FFFFFF"/>
        <w:spacing w:line="360" w:lineRule="auto"/>
        <w:ind w:firstLine="315"/>
        <w:rPr>
          <w:rFonts w:ascii="宋体" w:hAnsi="宋体"/>
          <w:color w:val="auto"/>
          <w:kern w:val="0"/>
          <w:szCs w:val="21"/>
          <w:highlight w:val="none"/>
        </w:rPr>
      </w:pPr>
    </w:p>
    <w:p>
      <w:pPr>
        <w:widowControl/>
        <w:shd w:val="clear" w:color="auto" w:fill="FFFFFF"/>
        <w:spacing w:line="360" w:lineRule="auto"/>
        <w:ind w:firstLine="315"/>
        <w:rPr>
          <w:rFonts w:ascii="宋体" w:hAnsi="宋体"/>
          <w:color w:val="auto"/>
          <w:kern w:val="0"/>
          <w:szCs w:val="21"/>
          <w:highlight w:val="none"/>
        </w:rPr>
      </w:pPr>
      <w:r>
        <w:rPr>
          <w:rFonts w:hint="eastAsia" w:ascii="宋体" w:hAnsi="宋体"/>
          <w:b/>
          <w:bCs/>
          <w:color w:val="auto"/>
          <w:kern w:val="0"/>
          <w:sz w:val="36"/>
          <w:szCs w:val="36"/>
          <w:highlight w:val="none"/>
        </w:rPr>
        <w:t> </w:t>
      </w:r>
    </w:p>
    <w:p>
      <w:pPr>
        <w:widowControl/>
        <w:shd w:val="clear" w:color="auto" w:fill="FFFFFF"/>
        <w:spacing w:line="360" w:lineRule="auto"/>
        <w:ind w:firstLine="1918"/>
        <w:rPr>
          <w:rFonts w:ascii="宋体" w:hAnsi="宋体"/>
          <w:color w:val="auto"/>
          <w:kern w:val="0"/>
          <w:sz w:val="36"/>
          <w:szCs w:val="36"/>
          <w:highlight w:val="none"/>
        </w:rPr>
      </w:pPr>
      <w:r>
        <w:rPr>
          <w:rFonts w:hint="eastAsia" w:ascii="宋体" w:hAnsi="宋体"/>
          <w:b/>
          <w:bCs/>
          <w:color w:val="auto"/>
          <w:kern w:val="0"/>
          <w:sz w:val="36"/>
          <w:szCs w:val="36"/>
          <w:highlight w:val="none"/>
        </w:rPr>
        <w:t>合同编号 ：</w:t>
      </w:r>
      <w:r>
        <w:rPr>
          <w:rFonts w:hint="eastAsia" w:ascii="宋体" w:hAnsi="宋体"/>
          <w:b/>
          <w:bCs/>
          <w:color w:val="auto"/>
          <w:kern w:val="0"/>
          <w:sz w:val="36"/>
          <w:szCs w:val="36"/>
          <w:highlight w:val="none"/>
          <w:u w:val="single"/>
        </w:rPr>
        <w:t>          </w:t>
      </w:r>
    </w:p>
    <w:p>
      <w:pPr>
        <w:widowControl/>
        <w:shd w:val="clear" w:color="auto" w:fill="FFFFFF"/>
        <w:spacing w:line="360" w:lineRule="auto"/>
        <w:ind w:firstLine="1918"/>
        <w:rPr>
          <w:rFonts w:ascii="宋体" w:hAnsi="宋体"/>
          <w:color w:val="auto"/>
          <w:kern w:val="0"/>
          <w:sz w:val="36"/>
          <w:szCs w:val="36"/>
          <w:highlight w:val="none"/>
        </w:rPr>
      </w:pPr>
      <w:r>
        <w:rPr>
          <w:rFonts w:hint="eastAsia" w:ascii="宋体" w:hAnsi="宋体"/>
          <w:b/>
          <w:bCs/>
          <w:color w:val="auto"/>
          <w:kern w:val="0"/>
          <w:sz w:val="36"/>
          <w:szCs w:val="36"/>
          <w:highlight w:val="none"/>
        </w:rPr>
        <w:t>项目名称 ：</w:t>
      </w:r>
      <w:r>
        <w:rPr>
          <w:rFonts w:hint="eastAsia" w:ascii="宋体" w:hAnsi="宋体"/>
          <w:b/>
          <w:bCs/>
          <w:color w:val="auto"/>
          <w:kern w:val="0"/>
          <w:sz w:val="36"/>
          <w:szCs w:val="36"/>
          <w:highlight w:val="none"/>
          <w:u w:val="single"/>
        </w:rPr>
        <w:t>          </w:t>
      </w:r>
    </w:p>
    <w:p>
      <w:pPr>
        <w:widowControl/>
        <w:shd w:val="clear" w:color="auto" w:fill="FFFFFF"/>
        <w:spacing w:line="360" w:lineRule="auto"/>
        <w:ind w:firstLine="1918"/>
        <w:rPr>
          <w:rFonts w:ascii="宋体" w:hAnsi="宋体"/>
          <w:color w:val="auto"/>
          <w:kern w:val="0"/>
          <w:sz w:val="36"/>
          <w:szCs w:val="36"/>
          <w:highlight w:val="none"/>
        </w:rPr>
      </w:pPr>
      <w:r>
        <w:rPr>
          <w:rFonts w:hint="eastAsia" w:ascii="宋体" w:hAnsi="宋体"/>
          <w:b/>
          <w:bCs/>
          <w:color w:val="auto"/>
          <w:kern w:val="0"/>
          <w:sz w:val="36"/>
          <w:szCs w:val="36"/>
          <w:highlight w:val="none"/>
        </w:rPr>
        <w:t>使用单位 ：</w:t>
      </w:r>
      <w:r>
        <w:rPr>
          <w:rFonts w:hint="eastAsia" w:ascii="宋体" w:hAnsi="宋体"/>
          <w:b/>
          <w:bCs/>
          <w:color w:val="auto"/>
          <w:kern w:val="0"/>
          <w:sz w:val="36"/>
          <w:szCs w:val="36"/>
          <w:highlight w:val="none"/>
          <w:u w:val="single"/>
        </w:rPr>
        <w:t>          </w:t>
      </w:r>
    </w:p>
    <w:p>
      <w:pPr>
        <w:widowControl/>
        <w:shd w:val="clear" w:color="auto" w:fill="FFFFFF"/>
        <w:spacing w:line="360" w:lineRule="auto"/>
        <w:ind w:firstLine="1916"/>
        <w:rPr>
          <w:rFonts w:ascii="宋体" w:hAnsi="宋体"/>
          <w:color w:val="auto"/>
          <w:kern w:val="0"/>
          <w:sz w:val="36"/>
          <w:szCs w:val="36"/>
          <w:highlight w:val="none"/>
        </w:rPr>
      </w:pPr>
      <w:r>
        <w:rPr>
          <w:rFonts w:hint="eastAsia" w:ascii="宋体" w:hAnsi="宋体"/>
          <w:b/>
          <w:bCs/>
          <w:color w:val="auto"/>
          <w:kern w:val="0"/>
          <w:sz w:val="36"/>
          <w:szCs w:val="36"/>
          <w:highlight w:val="none"/>
        </w:rPr>
        <w:t>供货单位 ：</w:t>
      </w:r>
      <w:r>
        <w:rPr>
          <w:rFonts w:hint="eastAsia" w:ascii="宋体" w:hAnsi="宋体"/>
          <w:b/>
          <w:bCs/>
          <w:color w:val="auto"/>
          <w:kern w:val="0"/>
          <w:sz w:val="36"/>
          <w:szCs w:val="36"/>
          <w:highlight w:val="none"/>
          <w:u w:val="single"/>
        </w:rPr>
        <w:t>          </w:t>
      </w:r>
    </w:p>
    <w:p>
      <w:pPr>
        <w:widowControl/>
        <w:shd w:val="clear" w:color="auto" w:fill="FFFFFF"/>
        <w:spacing w:line="360" w:lineRule="auto"/>
        <w:ind w:firstLine="1916"/>
        <w:rPr>
          <w:rFonts w:ascii="宋体" w:hAnsi="宋体"/>
          <w:color w:val="auto"/>
          <w:kern w:val="0"/>
          <w:sz w:val="36"/>
          <w:szCs w:val="36"/>
          <w:highlight w:val="none"/>
        </w:rPr>
      </w:pPr>
      <w:r>
        <w:rPr>
          <w:rFonts w:hint="eastAsia" w:ascii="宋体" w:hAnsi="宋体"/>
          <w:b/>
          <w:bCs/>
          <w:color w:val="auto"/>
          <w:kern w:val="0"/>
          <w:sz w:val="36"/>
          <w:szCs w:val="36"/>
          <w:highlight w:val="none"/>
        </w:rPr>
        <w:t>签订日期 ：</w:t>
      </w:r>
      <w:r>
        <w:rPr>
          <w:rFonts w:hint="eastAsia" w:ascii="宋体" w:hAnsi="宋体"/>
          <w:b/>
          <w:bCs/>
          <w:color w:val="auto"/>
          <w:kern w:val="0"/>
          <w:sz w:val="36"/>
          <w:szCs w:val="36"/>
          <w:highlight w:val="none"/>
          <w:u w:val="single"/>
        </w:rPr>
        <w:t>          </w:t>
      </w:r>
    </w:p>
    <w:p>
      <w:pPr>
        <w:widowControl/>
        <w:shd w:val="clear" w:color="auto" w:fill="FFFFFF"/>
        <w:spacing w:line="360" w:lineRule="auto"/>
        <w:rPr>
          <w:rFonts w:ascii="宋体" w:hAnsi="宋体"/>
          <w:color w:val="auto"/>
          <w:kern w:val="0"/>
          <w:szCs w:val="21"/>
          <w:highlight w:val="none"/>
        </w:rPr>
      </w:pPr>
      <w:r>
        <w:rPr>
          <w:rFonts w:hint="eastAsia" w:ascii="宋体" w:hAnsi="宋体"/>
          <w:color w:val="auto"/>
          <w:kern w:val="0"/>
          <w:sz w:val="36"/>
          <w:szCs w:val="36"/>
          <w:highlight w:val="none"/>
        </w:rPr>
        <w:t>      </w:t>
      </w:r>
      <w:r>
        <w:rPr>
          <w:rFonts w:hint="eastAsia" w:ascii="宋体" w:hAnsi="宋体"/>
          <w:b/>
          <w:bCs/>
          <w:color w:val="auto"/>
          <w:kern w:val="0"/>
          <w:sz w:val="36"/>
          <w:szCs w:val="36"/>
          <w:highlight w:val="none"/>
        </w:rPr>
        <w:t> </w:t>
      </w:r>
    </w:p>
    <w:p>
      <w:pPr>
        <w:widowControl/>
        <w:shd w:val="clear" w:color="auto" w:fill="FFFFFF"/>
        <w:spacing w:line="360" w:lineRule="auto"/>
        <w:ind w:firstLine="2984"/>
        <w:rPr>
          <w:rFonts w:ascii="宋体" w:hAnsi="宋体"/>
          <w:color w:val="auto"/>
          <w:kern w:val="0"/>
          <w:szCs w:val="21"/>
          <w:highlight w:val="none"/>
        </w:rPr>
      </w:pPr>
      <w:r>
        <w:rPr>
          <w:rFonts w:hint="eastAsia" w:ascii="宋体" w:hAnsi="宋体"/>
          <w:b/>
          <w:bCs/>
          <w:color w:val="auto"/>
          <w:kern w:val="0"/>
          <w:sz w:val="36"/>
          <w:szCs w:val="36"/>
          <w:highlight w:val="none"/>
        </w:rPr>
        <w:t>   </w:t>
      </w:r>
    </w:p>
    <w:p>
      <w:pPr>
        <w:widowControl/>
        <w:shd w:val="clear" w:color="auto" w:fill="FFFFFF"/>
        <w:spacing w:line="360" w:lineRule="auto"/>
        <w:ind w:firstLine="2984"/>
        <w:rPr>
          <w:rFonts w:ascii="宋体" w:hAnsi="宋体"/>
          <w:color w:val="auto"/>
          <w:kern w:val="0"/>
          <w:szCs w:val="21"/>
          <w:highlight w:val="none"/>
        </w:rPr>
      </w:pPr>
      <w:r>
        <w:rPr>
          <w:rFonts w:hint="eastAsia" w:ascii="宋体" w:hAnsi="宋体"/>
          <w:b/>
          <w:bCs/>
          <w:color w:val="auto"/>
          <w:kern w:val="0"/>
          <w:sz w:val="36"/>
          <w:szCs w:val="36"/>
          <w:highlight w:val="none"/>
        </w:rPr>
        <w:t> </w:t>
      </w:r>
    </w:p>
    <w:p>
      <w:pPr>
        <w:widowControl/>
        <w:shd w:val="clear" w:color="auto" w:fill="FFFFFF"/>
        <w:spacing w:line="360" w:lineRule="auto"/>
        <w:jc w:val="center"/>
        <w:rPr>
          <w:rFonts w:ascii="宋体" w:hAnsi="宋体"/>
          <w:color w:val="auto"/>
          <w:kern w:val="0"/>
          <w:szCs w:val="21"/>
          <w:highlight w:val="none"/>
        </w:rPr>
      </w:pPr>
      <w:r>
        <w:rPr>
          <w:rFonts w:hint="eastAsia" w:ascii="宋体" w:hAnsi="宋体"/>
          <w:b/>
          <w:bCs/>
          <w:color w:val="auto"/>
          <w:kern w:val="0"/>
          <w:sz w:val="36"/>
          <w:szCs w:val="36"/>
          <w:highlight w:val="none"/>
        </w:rPr>
        <w:t>南京市工商行政管理局</w:t>
      </w:r>
    </w:p>
    <w:p>
      <w:pPr>
        <w:widowControl/>
        <w:shd w:val="clear" w:color="auto" w:fill="FFFFFF"/>
        <w:spacing w:line="360" w:lineRule="auto"/>
        <w:jc w:val="center"/>
        <w:rPr>
          <w:rFonts w:ascii="宋体" w:hAnsi="宋体"/>
          <w:b/>
          <w:bCs/>
          <w:color w:val="auto"/>
          <w:kern w:val="0"/>
          <w:sz w:val="36"/>
          <w:szCs w:val="36"/>
          <w:highlight w:val="none"/>
        </w:rPr>
      </w:pPr>
      <w:r>
        <w:rPr>
          <w:rFonts w:hint="eastAsia" w:ascii="宋体" w:hAnsi="宋体"/>
          <w:b/>
          <w:bCs/>
          <w:color w:val="auto"/>
          <w:kern w:val="0"/>
          <w:sz w:val="36"/>
          <w:szCs w:val="36"/>
          <w:highlight w:val="none"/>
        </w:rPr>
        <w:t>南 京 市 财 政 局 </w:t>
      </w:r>
      <w:r>
        <w:rPr>
          <w:rFonts w:hint="eastAsia" w:ascii="宋体" w:hAnsi="宋体"/>
          <w:b/>
          <w:bCs/>
          <w:color w:val="auto"/>
          <w:kern w:val="0"/>
          <w:sz w:val="36"/>
          <w:highlight w:val="none"/>
        </w:rPr>
        <w:t> </w:t>
      </w:r>
      <w:r>
        <w:rPr>
          <w:rFonts w:hint="eastAsia" w:ascii="宋体" w:hAnsi="宋体"/>
          <w:b/>
          <w:bCs/>
          <w:color w:val="auto"/>
          <w:kern w:val="0"/>
          <w:sz w:val="36"/>
          <w:szCs w:val="36"/>
          <w:highlight w:val="none"/>
        </w:rPr>
        <w:t>监制</w:t>
      </w:r>
    </w:p>
    <w:p>
      <w:pPr>
        <w:jc w:val="center"/>
        <w:rPr>
          <w:rFonts w:ascii="宋体" w:hAnsi="宋体"/>
          <w:b/>
          <w:bCs/>
          <w:color w:val="auto"/>
          <w:sz w:val="44"/>
          <w:szCs w:val="44"/>
          <w:highlight w:val="none"/>
        </w:rPr>
      </w:pPr>
      <w:r>
        <w:rPr>
          <w:rFonts w:hint="eastAsia" w:ascii="宋体" w:hAnsi="宋体"/>
          <w:b/>
          <w:bCs/>
          <w:color w:val="auto"/>
          <w:kern w:val="0"/>
          <w:sz w:val="36"/>
          <w:szCs w:val="36"/>
          <w:highlight w:val="none"/>
        </w:rPr>
        <w:br w:type="page"/>
      </w:r>
    </w:p>
    <w:p>
      <w:pPr>
        <w:spacing w:line="480" w:lineRule="exact"/>
        <w:jc w:val="center"/>
        <w:rPr>
          <w:rFonts w:asciiTheme="minorEastAsia" w:hAnsiTheme="minorEastAsia" w:eastAsiaTheme="minorEastAsia" w:cstheme="minorEastAsia"/>
          <w:b/>
          <w:bCs/>
          <w:sz w:val="24"/>
          <w:szCs w:val="21"/>
          <w:highlight w:val="none"/>
        </w:rPr>
      </w:pPr>
      <w:r>
        <w:rPr>
          <w:rFonts w:hint="eastAsia" w:asciiTheme="minorEastAsia" w:hAnsiTheme="minorEastAsia" w:eastAsiaTheme="minorEastAsia" w:cstheme="minorEastAsia"/>
          <w:b/>
          <w:bCs/>
          <w:sz w:val="24"/>
          <w:szCs w:val="21"/>
          <w:highlight w:val="none"/>
        </w:rPr>
        <w:t>垃圾分类硬件采购合作协议</w:t>
      </w:r>
    </w:p>
    <w:p>
      <w:pPr>
        <w:spacing w:line="480" w:lineRule="exact"/>
        <w:jc w:val="left"/>
        <w:rPr>
          <w:rFonts w:asciiTheme="minorEastAsia" w:hAnsiTheme="minorEastAsia" w:eastAsiaTheme="minorEastAsia" w:cstheme="minorEastAsia"/>
          <w:szCs w:val="21"/>
          <w:highlight w:val="none"/>
        </w:rPr>
      </w:pPr>
    </w:p>
    <w:p>
      <w:pPr>
        <w:adjustRightInd w:val="0"/>
        <w:snapToGrid w:val="0"/>
        <w:spacing w:line="480" w:lineRule="exact"/>
        <w:jc w:val="left"/>
        <w:rPr>
          <w:rFonts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甲方：（购买方）</w:t>
      </w:r>
    </w:p>
    <w:p>
      <w:pPr>
        <w:adjustRightInd w:val="0"/>
        <w:snapToGrid w:val="0"/>
        <w:spacing w:line="480" w:lineRule="exact"/>
        <w:jc w:val="left"/>
        <w:rPr>
          <w:rFonts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乙方：（服务方）</w:t>
      </w:r>
    </w:p>
    <w:p>
      <w:pPr>
        <w:adjustRightInd w:val="0"/>
        <w:snapToGrid w:val="0"/>
        <w:spacing w:line="480" w:lineRule="exact"/>
        <w:ind w:firstLine="540"/>
        <w:jc w:val="left"/>
        <w:rPr>
          <w:rFonts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为保证政府垃圾分类工作的顺利推进和服务质量，明确双方的权利义务，甲乙双方在平等、自愿的基础上，就甲方委托乙方</w:t>
      </w:r>
      <w:r>
        <w:rPr>
          <w:rFonts w:hint="eastAsia" w:asciiTheme="minorEastAsia" w:hAnsiTheme="minorEastAsia" w:eastAsiaTheme="minorEastAsia" w:cstheme="minorEastAsia"/>
          <w:szCs w:val="21"/>
          <w:highlight w:val="none"/>
          <w:u w:val="single"/>
          <w:lang w:eastAsia="zh-CN"/>
        </w:rPr>
        <w:t>南京市建邺区兴隆街道居民小区垃圾分类集中投放点建设项目</w:t>
      </w:r>
      <w:r>
        <w:rPr>
          <w:rFonts w:hint="eastAsia" w:asciiTheme="minorEastAsia" w:hAnsiTheme="minorEastAsia" w:eastAsiaTheme="minorEastAsia" w:cstheme="minorEastAsia"/>
          <w:szCs w:val="21"/>
          <w:highlight w:val="none"/>
          <w:u w:val="single"/>
          <w:lang w:val="en-US" w:eastAsia="zh-CN"/>
        </w:rPr>
        <w:t>标段（ ）</w:t>
      </w:r>
      <w:r>
        <w:rPr>
          <w:rFonts w:hint="eastAsia" w:asciiTheme="minorEastAsia" w:hAnsiTheme="minorEastAsia" w:eastAsiaTheme="minorEastAsia" w:cstheme="minorEastAsia"/>
          <w:szCs w:val="21"/>
          <w:highlight w:val="none"/>
        </w:rPr>
        <w:t>达成如下协议：</w:t>
      </w:r>
    </w:p>
    <w:p>
      <w:pPr>
        <w:adjustRightInd w:val="0"/>
        <w:snapToGrid w:val="0"/>
        <w:spacing w:line="480" w:lineRule="exact"/>
        <w:ind w:firstLine="422" w:firstLineChars="200"/>
        <w:jc w:val="left"/>
        <w:rPr>
          <w:rFonts w:asciiTheme="minorEastAsia" w:hAnsiTheme="minorEastAsia" w:eastAsiaTheme="minorEastAsia" w:cstheme="minorEastAsia"/>
          <w:b/>
          <w:bCs/>
          <w:szCs w:val="21"/>
          <w:highlight w:val="none"/>
        </w:rPr>
      </w:pPr>
      <w:r>
        <w:rPr>
          <w:rFonts w:hint="eastAsia" w:asciiTheme="minorEastAsia" w:hAnsiTheme="minorEastAsia" w:eastAsiaTheme="minorEastAsia" w:cstheme="minorEastAsia"/>
          <w:b/>
          <w:bCs/>
          <w:szCs w:val="21"/>
          <w:highlight w:val="none"/>
        </w:rPr>
        <w:t xml:space="preserve">第一条：乙方服务项目范围及任务目标  </w:t>
      </w:r>
    </w:p>
    <w:p>
      <w:pPr>
        <w:adjustRightInd w:val="0"/>
        <w:snapToGrid w:val="0"/>
        <w:spacing w:line="480" w:lineRule="exact"/>
        <w:ind w:firstLine="422" w:firstLineChars="200"/>
        <w:jc w:val="left"/>
        <w:rPr>
          <w:rFonts w:asciiTheme="minorEastAsia" w:hAnsiTheme="minorEastAsia" w:eastAsiaTheme="minorEastAsia" w:cstheme="minorEastAsia"/>
          <w:b/>
          <w:bCs/>
          <w:szCs w:val="21"/>
          <w:highlight w:val="none"/>
        </w:rPr>
      </w:pPr>
      <w:r>
        <w:rPr>
          <w:rFonts w:asciiTheme="minorEastAsia" w:hAnsiTheme="minorEastAsia" w:eastAsiaTheme="minorEastAsia" w:cstheme="minorEastAsia"/>
          <w:b/>
          <w:bCs/>
          <w:szCs w:val="21"/>
          <w:highlight w:val="none"/>
        </w:rPr>
        <w:t>见附件</w:t>
      </w:r>
    </w:p>
    <w:p>
      <w:pPr>
        <w:adjustRightInd w:val="0"/>
        <w:snapToGrid w:val="0"/>
        <w:spacing w:line="480" w:lineRule="exact"/>
        <w:ind w:firstLine="422" w:firstLineChars="200"/>
        <w:jc w:val="left"/>
        <w:rPr>
          <w:rFonts w:asciiTheme="minorEastAsia" w:hAnsiTheme="minorEastAsia" w:eastAsiaTheme="minorEastAsia" w:cstheme="minorEastAsia"/>
          <w:b/>
          <w:bCs/>
          <w:szCs w:val="21"/>
          <w:highlight w:val="none"/>
        </w:rPr>
      </w:pPr>
      <w:r>
        <w:rPr>
          <w:rFonts w:hint="eastAsia" w:asciiTheme="minorEastAsia" w:hAnsiTheme="minorEastAsia" w:eastAsiaTheme="minorEastAsia" w:cstheme="minorEastAsia"/>
          <w:b/>
          <w:bCs/>
          <w:szCs w:val="21"/>
          <w:highlight w:val="none"/>
        </w:rPr>
        <w:t>第二条：项目要求</w:t>
      </w:r>
    </w:p>
    <w:p>
      <w:pPr>
        <w:pStyle w:val="146"/>
        <w:adjustRightInd w:val="0"/>
        <w:snapToGrid w:val="0"/>
        <w:spacing w:line="480" w:lineRule="exact"/>
        <w:ind w:left="560"/>
        <w:rPr>
          <w:rFonts w:asciiTheme="minorEastAsia" w:hAnsiTheme="minorEastAsia" w:eastAsiaTheme="minorEastAsia" w:cstheme="minorEastAsia"/>
          <w:sz w:val="22"/>
          <w:szCs w:val="21"/>
          <w:highlight w:val="none"/>
          <w:lang w:eastAsia="zh-CN"/>
        </w:rPr>
      </w:pPr>
      <w:r>
        <w:rPr>
          <w:rFonts w:hint="eastAsia" w:asciiTheme="minorEastAsia" w:hAnsiTheme="minorEastAsia" w:eastAsiaTheme="minorEastAsia" w:cstheme="minorEastAsia"/>
          <w:sz w:val="22"/>
          <w:szCs w:val="21"/>
          <w:highlight w:val="none"/>
          <w:lang w:eastAsia="zh-CN"/>
        </w:rPr>
        <w:t>1、工作成效指标：</w:t>
      </w:r>
    </w:p>
    <w:p>
      <w:pPr>
        <w:adjustRightInd w:val="0"/>
        <w:snapToGrid w:val="0"/>
        <w:spacing w:line="480" w:lineRule="exact"/>
        <w:ind w:firstLine="540"/>
        <w:jc w:val="left"/>
        <w:rPr>
          <w:rFonts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按照南京市垃圾分类开展小区垃圾分类的相关要求，规范设置分类投放点和建设垃圾分类房/亭等，具体内容见招标文件。</w:t>
      </w:r>
    </w:p>
    <w:p>
      <w:pPr>
        <w:pStyle w:val="146"/>
        <w:adjustRightInd w:val="0"/>
        <w:snapToGrid w:val="0"/>
        <w:spacing w:line="480" w:lineRule="exact"/>
        <w:rPr>
          <w:rFonts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2、考核标准及办法：</w:t>
      </w:r>
    </w:p>
    <w:p>
      <w:pPr>
        <w:pStyle w:val="146"/>
        <w:adjustRightInd w:val="0"/>
        <w:snapToGrid w:val="0"/>
        <w:spacing w:line="480" w:lineRule="exact"/>
        <w:rPr>
          <w:rFonts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参照《南京市城市居住小区生活垃圾分类收集点设置导则》及《2020年垃圾分类工作管理考核办法》的要求执行。</w:t>
      </w:r>
    </w:p>
    <w:p>
      <w:pPr>
        <w:adjustRightInd w:val="0"/>
        <w:snapToGrid w:val="0"/>
        <w:spacing w:line="480" w:lineRule="exact"/>
        <w:ind w:firstLine="316" w:firstLineChars="150"/>
        <w:jc w:val="left"/>
        <w:rPr>
          <w:rFonts w:asciiTheme="minorEastAsia" w:hAnsiTheme="minorEastAsia" w:eastAsiaTheme="minorEastAsia" w:cstheme="minorEastAsia"/>
          <w:b/>
          <w:bCs/>
          <w:szCs w:val="21"/>
          <w:highlight w:val="none"/>
        </w:rPr>
      </w:pPr>
      <w:r>
        <w:rPr>
          <w:rFonts w:hint="eastAsia" w:asciiTheme="minorEastAsia" w:hAnsiTheme="minorEastAsia" w:eastAsiaTheme="minorEastAsia" w:cstheme="minorEastAsia"/>
          <w:b/>
          <w:bCs/>
          <w:szCs w:val="21"/>
          <w:highlight w:val="none"/>
        </w:rPr>
        <w:t>第三条：项目经费使用原则及支付方式</w:t>
      </w:r>
    </w:p>
    <w:p>
      <w:pPr>
        <w:numPr>
          <w:ilvl w:val="0"/>
          <w:numId w:val="13"/>
        </w:numPr>
        <w:autoSpaceDE w:val="0"/>
        <w:autoSpaceDN w:val="0"/>
        <w:adjustRightInd w:val="0"/>
        <w:spacing w:line="480" w:lineRule="exact"/>
        <w:ind w:left="105" w:leftChars="50" w:firstLine="312" w:firstLineChars="149"/>
        <w:jc w:val="left"/>
        <w:rPr>
          <w:rFonts w:hAnsi="宋体"/>
          <w:szCs w:val="21"/>
          <w:highlight w:val="none"/>
          <w:lang w:val="zh-CN"/>
        </w:rPr>
      </w:pPr>
      <w:r>
        <w:rPr>
          <w:rFonts w:hAnsi="宋体"/>
          <w:szCs w:val="21"/>
          <w:highlight w:val="none"/>
          <w:lang w:val="zh-CN"/>
        </w:rPr>
        <w:t>本合同项下货物总价款为</w:t>
      </w:r>
      <w:r>
        <w:rPr>
          <w:rFonts w:hint="eastAsia" w:hAnsi="宋体"/>
          <w:szCs w:val="21"/>
          <w:highlight w:val="none"/>
          <w:u w:val="single"/>
        </w:rPr>
        <w:t xml:space="preserve">            </w:t>
      </w:r>
      <w:r>
        <w:rPr>
          <w:rFonts w:hAnsi="宋体"/>
          <w:szCs w:val="21"/>
          <w:highlight w:val="none"/>
          <w:lang w:val="zh-CN"/>
        </w:rPr>
        <w:t>（大写）人民币</w:t>
      </w:r>
      <w:r>
        <w:rPr>
          <w:rFonts w:hint="eastAsia" w:hAnsi="宋体"/>
          <w:szCs w:val="21"/>
          <w:highlight w:val="none"/>
          <w:lang w:val="zh-CN"/>
        </w:rPr>
        <w:t>，</w:t>
      </w:r>
      <w:r>
        <w:rPr>
          <w:rFonts w:hAnsi="宋体"/>
          <w:szCs w:val="21"/>
          <w:highlight w:val="none"/>
          <w:lang w:val="zh-CN"/>
        </w:rPr>
        <w:t>分项价款在</w:t>
      </w:r>
      <w:r>
        <w:rPr>
          <w:szCs w:val="21"/>
          <w:highlight w:val="none"/>
          <w:lang w:val="zh-CN"/>
        </w:rPr>
        <w:t>“</w:t>
      </w:r>
      <w:r>
        <w:rPr>
          <w:rFonts w:hAnsi="宋体"/>
          <w:szCs w:val="21"/>
          <w:highlight w:val="none"/>
          <w:lang w:val="zh-CN"/>
        </w:rPr>
        <w:t>投标报价表</w:t>
      </w:r>
      <w:r>
        <w:rPr>
          <w:szCs w:val="21"/>
          <w:highlight w:val="none"/>
          <w:lang w:val="zh-CN"/>
        </w:rPr>
        <w:t>”</w:t>
      </w:r>
      <w:r>
        <w:rPr>
          <w:rFonts w:hAnsi="宋体"/>
          <w:szCs w:val="21"/>
          <w:highlight w:val="none"/>
          <w:lang w:val="zh-CN"/>
        </w:rPr>
        <w:t>中有明确规定</w:t>
      </w:r>
      <w:r>
        <w:rPr>
          <w:rFonts w:hint="eastAsia" w:hAnsi="宋体"/>
          <w:szCs w:val="21"/>
          <w:highlight w:val="none"/>
          <w:lang w:val="zh-CN"/>
        </w:rPr>
        <w:t>，</w:t>
      </w:r>
      <w:r>
        <w:rPr>
          <w:rFonts w:hint="eastAsia" w:hAnsi="宋体"/>
          <w:szCs w:val="21"/>
          <w:highlight w:val="none"/>
        </w:rPr>
        <w:t>届时甲方根据实际发生量，按</w:t>
      </w:r>
      <w:r>
        <w:rPr>
          <w:rFonts w:hint="eastAsia" w:hAnsi="宋体"/>
          <w:szCs w:val="21"/>
          <w:highlight w:val="none"/>
          <w:lang w:val="en-US" w:eastAsia="zh-CN"/>
        </w:rPr>
        <w:t>实</w:t>
      </w:r>
      <w:r>
        <w:rPr>
          <w:rFonts w:hint="eastAsia" w:hAnsi="宋体"/>
          <w:szCs w:val="21"/>
          <w:highlight w:val="none"/>
        </w:rPr>
        <w:t>结算</w:t>
      </w:r>
      <w:r>
        <w:rPr>
          <w:rFonts w:hAnsi="宋体"/>
          <w:szCs w:val="21"/>
          <w:highlight w:val="none"/>
          <w:lang w:val="zh-CN"/>
        </w:rPr>
        <w:t>，</w:t>
      </w:r>
    </w:p>
    <w:p>
      <w:pPr>
        <w:numPr>
          <w:ilvl w:val="0"/>
          <w:numId w:val="13"/>
        </w:numPr>
        <w:autoSpaceDE w:val="0"/>
        <w:autoSpaceDN w:val="0"/>
        <w:adjustRightInd w:val="0"/>
        <w:spacing w:line="480" w:lineRule="exact"/>
        <w:ind w:left="105" w:leftChars="50" w:firstLine="312" w:firstLineChars="149"/>
        <w:jc w:val="left"/>
        <w:rPr>
          <w:szCs w:val="21"/>
          <w:highlight w:val="none"/>
          <w:lang w:val="zh-CN"/>
        </w:rPr>
      </w:pPr>
      <w:r>
        <w:rPr>
          <w:rFonts w:hint="eastAsia" w:asciiTheme="majorEastAsia" w:hAnsiTheme="majorEastAsia" w:eastAsiaTheme="majorEastAsia"/>
          <w:bCs/>
          <w:szCs w:val="21"/>
          <w:highlight w:val="none"/>
        </w:rPr>
        <w:t>付款</w:t>
      </w:r>
      <w:r>
        <w:rPr>
          <w:rFonts w:hint="eastAsia" w:asciiTheme="majorEastAsia" w:hAnsiTheme="majorEastAsia" w:eastAsiaTheme="majorEastAsia"/>
          <w:bCs/>
          <w:szCs w:val="21"/>
          <w:highlight w:val="none"/>
          <w:lang w:val="en-US" w:eastAsia="zh-CN"/>
        </w:rPr>
        <w:t>条件</w:t>
      </w:r>
    </w:p>
    <w:p>
      <w:pPr>
        <w:numPr>
          <w:ilvl w:val="0"/>
          <w:numId w:val="0"/>
        </w:numPr>
        <w:autoSpaceDE w:val="0"/>
        <w:autoSpaceDN w:val="0"/>
        <w:adjustRightInd w:val="0"/>
        <w:spacing w:line="480" w:lineRule="exact"/>
        <w:ind w:leftChars="199"/>
        <w:jc w:val="left"/>
        <w:rPr>
          <w:rFonts w:hint="eastAsia" w:asciiTheme="majorEastAsia" w:hAnsiTheme="majorEastAsia" w:eastAsiaTheme="majorEastAsia"/>
          <w:bCs/>
          <w:szCs w:val="21"/>
          <w:highlight w:val="none"/>
          <w:lang w:val="en-US" w:eastAsia="zh-CN"/>
        </w:rPr>
      </w:pPr>
      <w:r>
        <w:rPr>
          <w:rFonts w:hint="eastAsia" w:asciiTheme="majorEastAsia" w:hAnsiTheme="majorEastAsia" w:eastAsiaTheme="majorEastAsia"/>
          <w:bCs/>
          <w:szCs w:val="21"/>
          <w:highlight w:val="none"/>
          <w:lang w:val="en-US" w:eastAsia="zh-CN"/>
        </w:rPr>
        <w:t>2.1</w:t>
      </w:r>
      <w:r>
        <w:rPr>
          <w:rFonts w:hint="eastAsia" w:asciiTheme="majorEastAsia" w:hAnsiTheme="majorEastAsia" w:eastAsiaTheme="majorEastAsia"/>
          <w:bCs/>
          <w:szCs w:val="21"/>
          <w:highlight w:val="none"/>
        </w:rPr>
        <w:t>合同签订之日7天内</w:t>
      </w:r>
      <w:r>
        <w:rPr>
          <w:rFonts w:hint="eastAsia" w:asciiTheme="majorEastAsia" w:hAnsiTheme="majorEastAsia" w:eastAsiaTheme="majorEastAsia"/>
          <w:bCs/>
          <w:szCs w:val="21"/>
          <w:highlight w:val="none"/>
          <w:lang w:eastAsia="zh-CN"/>
        </w:rPr>
        <w:t>，</w:t>
      </w:r>
      <w:r>
        <w:rPr>
          <w:rFonts w:hint="eastAsia" w:asciiTheme="majorEastAsia" w:hAnsiTheme="majorEastAsia" w:eastAsiaTheme="majorEastAsia"/>
          <w:bCs/>
          <w:szCs w:val="21"/>
          <w:highlight w:val="none"/>
          <w:lang w:val="en-US" w:eastAsia="zh-CN"/>
        </w:rPr>
        <w:t>甲方向乙方支付合同价总额的30%预付款，</w:t>
      </w:r>
    </w:p>
    <w:p>
      <w:pPr>
        <w:numPr>
          <w:ilvl w:val="0"/>
          <w:numId w:val="0"/>
        </w:numPr>
        <w:autoSpaceDE w:val="0"/>
        <w:autoSpaceDN w:val="0"/>
        <w:adjustRightInd w:val="0"/>
        <w:spacing w:line="480" w:lineRule="exact"/>
        <w:ind w:leftChars="199"/>
        <w:jc w:val="left"/>
        <w:rPr>
          <w:rFonts w:hint="eastAsia" w:asciiTheme="majorEastAsia" w:hAnsiTheme="majorEastAsia" w:eastAsiaTheme="majorEastAsia"/>
          <w:bCs/>
          <w:szCs w:val="21"/>
          <w:highlight w:val="none"/>
          <w:lang w:val="en-US" w:eastAsia="zh-CN"/>
        </w:rPr>
      </w:pPr>
      <w:r>
        <w:rPr>
          <w:rFonts w:hint="eastAsia" w:asciiTheme="majorEastAsia" w:hAnsiTheme="majorEastAsia" w:eastAsiaTheme="majorEastAsia"/>
          <w:bCs/>
          <w:szCs w:val="21"/>
          <w:highlight w:val="none"/>
          <w:lang w:val="en-US" w:eastAsia="zh-CN"/>
        </w:rPr>
        <w:t>2.2货到现场经安装调试、竣工并投入使用30个工作日后，甲方组织验收（具体验收时间以甲方安排为准），验收合格一个月内，甲方向乙方支付至已验收货物金额的70%货款，</w:t>
      </w:r>
    </w:p>
    <w:p>
      <w:pPr>
        <w:numPr>
          <w:ilvl w:val="0"/>
          <w:numId w:val="0"/>
        </w:numPr>
        <w:autoSpaceDE w:val="0"/>
        <w:autoSpaceDN w:val="0"/>
        <w:adjustRightInd w:val="0"/>
        <w:spacing w:line="480" w:lineRule="exact"/>
        <w:ind w:leftChars="199"/>
        <w:jc w:val="left"/>
        <w:rPr>
          <w:szCs w:val="21"/>
          <w:highlight w:val="none"/>
          <w:lang w:val="zh-CN"/>
        </w:rPr>
      </w:pPr>
      <w:r>
        <w:rPr>
          <w:rFonts w:hint="eastAsia" w:asciiTheme="majorEastAsia" w:hAnsiTheme="majorEastAsia" w:eastAsiaTheme="majorEastAsia"/>
          <w:bCs/>
          <w:szCs w:val="21"/>
          <w:highlight w:val="none"/>
          <w:lang w:val="en-US" w:eastAsia="zh-CN"/>
        </w:rPr>
        <w:t>竣工验收合格后三个月内，支付至已验收货物金额的95%货款，余款5%转为质量保证金，待质保期满后无质量、服务问题</w:t>
      </w:r>
      <w:r>
        <w:rPr>
          <w:rFonts w:hint="eastAsia" w:ascii="宋体" w:hAnsi="宋体"/>
          <w:szCs w:val="21"/>
          <w:highlight w:val="none"/>
          <w:lang w:val="en-US" w:eastAsia="zh-CN"/>
        </w:rPr>
        <w:t>扣除相应罚款后</w:t>
      </w:r>
      <w:r>
        <w:rPr>
          <w:rFonts w:hint="eastAsia" w:asciiTheme="majorEastAsia" w:hAnsiTheme="majorEastAsia" w:eastAsiaTheme="majorEastAsia"/>
          <w:bCs/>
          <w:szCs w:val="21"/>
          <w:highlight w:val="none"/>
          <w:lang w:val="en-US" w:eastAsia="zh-CN"/>
        </w:rPr>
        <w:t>15个工作日内一次性付清</w:t>
      </w:r>
      <w:r>
        <w:rPr>
          <w:rFonts w:hint="eastAsia" w:asciiTheme="majorEastAsia" w:hAnsiTheme="majorEastAsia" w:eastAsiaTheme="majorEastAsia"/>
          <w:bCs/>
          <w:szCs w:val="21"/>
          <w:highlight w:val="none"/>
        </w:rPr>
        <w:t>。</w:t>
      </w:r>
    </w:p>
    <w:p>
      <w:pPr>
        <w:spacing w:line="480" w:lineRule="exact"/>
        <w:ind w:firstLine="420" w:firstLineChars="200"/>
        <w:rPr>
          <w:b/>
          <w:szCs w:val="21"/>
          <w:highlight w:val="none"/>
        </w:rPr>
      </w:pPr>
      <w:r>
        <w:rPr>
          <w:rFonts w:hAnsi="宋体"/>
          <w:szCs w:val="21"/>
          <w:highlight w:val="none"/>
          <w:lang w:val="zh-CN"/>
        </w:rPr>
        <w:t>本合同总价款是</w:t>
      </w:r>
      <w:r>
        <w:rPr>
          <w:rFonts w:hAnsi="宋体"/>
          <w:kern w:val="0"/>
          <w:szCs w:val="21"/>
          <w:highlight w:val="none"/>
          <w:lang w:val="zh-CN"/>
        </w:rPr>
        <w:t>货物设计、制造、包装、仓储、运输</w:t>
      </w:r>
      <w:r>
        <w:rPr>
          <w:rFonts w:hint="eastAsia" w:hAnsi="宋体"/>
          <w:kern w:val="0"/>
          <w:szCs w:val="21"/>
          <w:highlight w:val="none"/>
          <w:lang w:val="zh-CN"/>
        </w:rPr>
        <w:t>装卸</w:t>
      </w:r>
      <w:r>
        <w:rPr>
          <w:rFonts w:hAnsi="宋体"/>
          <w:kern w:val="0"/>
          <w:szCs w:val="21"/>
          <w:highlight w:val="none"/>
          <w:lang w:val="zh-CN"/>
        </w:rPr>
        <w:t>、保险、安装、调试及其材料</w:t>
      </w:r>
      <w:r>
        <w:rPr>
          <w:rFonts w:hint="eastAsia" w:hAnsi="宋体"/>
          <w:kern w:val="0"/>
          <w:szCs w:val="21"/>
          <w:highlight w:val="none"/>
          <w:lang w:val="zh-CN"/>
        </w:rPr>
        <w:t>、首次计量检定费用</w:t>
      </w:r>
      <w:r>
        <w:rPr>
          <w:rFonts w:hAnsi="宋体"/>
          <w:kern w:val="0"/>
          <w:szCs w:val="21"/>
          <w:highlight w:val="none"/>
          <w:lang w:val="zh-CN"/>
        </w:rPr>
        <w:t>及验收合格之前保管及保修期内备品备件、专用工具、伴随服务、技术图纸资料、人员培训发生的所有含税费用、支付给员工的工资和国家强制缴纳的各种社会保障资金</w:t>
      </w:r>
      <w:r>
        <w:rPr>
          <w:rFonts w:hAnsi="宋体"/>
          <w:bCs/>
          <w:szCs w:val="21"/>
          <w:highlight w:val="none"/>
        </w:rPr>
        <w:t>，以</w:t>
      </w:r>
      <w:r>
        <w:rPr>
          <w:rFonts w:hAnsi="宋体"/>
          <w:szCs w:val="21"/>
          <w:highlight w:val="none"/>
        </w:rPr>
        <w:t>及</w:t>
      </w:r>
      <w:r>
        <w:rPr>
          <w:rFonts w:hint="eastAsia" w:hAnsi="宋体"/>
          <w:szCs w:val="21"/>
          <w:highlight w:val="none"/>
          <w:lang w:eastAsia="zh-CN"/>
        </w:rPr>
        <w:t>供应商</w:t>
      </w:r>
      <w:r>
        <w:rPr>
          <w:rFonts w:hAnsi="宋体"/>
          <w:szCs w:val="21"/>
          <w:highlight w:val="none"/>
        </w:rPr>
        <w:t>认为需要的其他费用等</w:t>
      </w:r>
      <w:r>
        <w:rPr>
          <w:rFonts w:hAnsi="宋体"/>
          <w:szCs w:val="21"/>
          <w:highlight w:val="none"/>
          <w:lang w:val="zh-CN"/>
        </w:rPr>
        <w:t>。</w:t>
      </w:r>
    </w:p>
    <w:p>
      <w:pPr>
        <w:widowControl/>
        <w:adjustRightInd w:val="0"/>
        <w:spacing w:line="480" w:lineRule="exact"/>
        <w:ind w:firstLine="420"/>
        <w:jc w:val="left"/>
        <w:rPr>
          <w:kern w:val="0"/>
          <w:szCs w:val="21"/>
          <w:highlight w:val="none"/>
          <w:lang w:val="zh-CN"/>
        </w:rPr>
      </w:pPr>
      <w:r>
        <w:rPr>
          <w:rFonts w:hAnsi="宋体"/>
          <w:kern w:val="0"/>
          <w:szCs w:val="21"/>
          <w:highlight w:val="none"/>
          <w:lang w:val="zh-CN"/>
        </w:rPr>
        <w:t>本合同总价款还包含乙方应当提供的伴随服务</w:t>
      </w:r>
      <w:r>
        <w:rPr>
          <w:kern w:val="0"/>
          <w:szCs w:val="21"/>
          <w:highlight w:val="none"/>
          <w:lang w:val="zh-CN"/>
        </w:rPr>
        <w:t>/</w:t>
      </w:r>
      <w:r>
        <w:rPr>
          <w:rFonts w:hAnsi="宋体"/>
          <w:kern w:val="0"/>
          <w:szCs w:val="21"/>
          <w:highlight w:val="none"/>
          <w:lang w:val="zh-CN"/>
        </w:rPr>
        <w:t>售后服务费用。</w:t>
      </w:r>
    </w:p>
    <w:p>
      <w:pPr>
        <w:adjustRightInd w:val="0"/>
        <w:snapToGrid w:val="0"/>
        <w:spacing w:line="480" w:lineRule="exact"/>
        <w:ind w:firstLine="422" w:firstLineChars="200"/>
        <w:jc w:val="left"/>
        <w:rPr>
          <w:rFonts w:asciiTheme="minorEastAsia" w:hAnsiTheme="minorEastAsia" w:eastAsiaTheme="minorEastAsia" w:cstheme="minorEastAsia"/>
          <w:b/>
          <w:bCs/>
          <w:szCs w:val="21"/>
          <w:highlight w:val="none"/>
        </w:rPr>
      </w:pPr>
      <w:r>
        <w:rPr>
          <w:rFonts w:hint="eastAsia" w:asciiTheme="minorEastAsia" w:hAnsiTheme="minorEastAsia" w:eastAsiaTheme="minorEastAsia" w:cstheme="minorEastAsia"/>
          <w:b/>
          <w:bCs/>
          <w:szCs w:val="21"/>
          <w:highlight w:val="none"/>
        </w:rPr>
        <w:t>第四条：项目质保</w:t>
      </w:r>
    </w:p>
    <w:p>
      <w:pPr>
        <w:tabs>
          <w:tab w:val="left" w:pos="1620"/>
        </w:tabs>
        <w:autoSpaceDE w:val="0"/>
        <w:autoSpaceDN w:val="0"/>
        <w:adjustRightInd w:val="0"/>
        <w:spacing w:line="480" w:lineRule="exact"/>
        <w:ind w:firstLine="420"/>
        <w:jc w:val="left"/>
        <w:rPr>
          <w:szCs w:val="21"/>
          <w:highlight w:val="none"/>
          <w:lang w:val="zh-CN"/>
        </w:rPr>
      </w:pPr>
      <w:r>
        <w:rPr>
          <w:szCs w:val="21"/>
          <w:highlight w:val="none"/>
          <w:lang w:val="zh-CN"/>
        </w:rPr>
        <w:t>1</w:t>
      </w:r>
      <w:r>
        <w:rPr>
          <w:rFonts w:hAnsi="宋体"/>
          <w:szCs w:val="21"/>
          <w:highlight w:val="none"/>
          <w:lang w:val="zh-CN"/>
        </w:rPr>
        <w:t>、乙方应按照国家有关法律法规规章和</w:t>
      </w:r>
      <w:r>
        <w:rPr>
          <w:szCs w:val="21"/>
          <w:highlight w:val="none"/>
          <w:lang w:val="zh-CN"/>
        </w:rPr>
        <w:t>“</w:t>
      </w:r>
      <w:r>
        <w:rPr>
          <w:rFonts w:hAnsi="宋体"/>
          <w:szCs w:val="21"/>
          <w:highlight w:val="none"/>
          <w:lang w:val="zh-CN"/>
        </w:rPr>
        <w:t>三包</w:t>
      </w:r>
      <w:r>
        <w:rPr>
          <w:szCs w:val="21"/>
          <w:highlight w:val="none"/>
          <w:lang w:val="zh-CN"/>
        </w:rPr>
        <w:t>”</w:t>
      </w:r>
      <w:r>
        <w:rPr>
          <w:rFonts w:hAnsi="宋体"/>
          <w:szCs w:val="21"/>
          <w:highlight w:val="none"/>
          <w:lang w:val="zh-CN"/>
        </w:rPr>
        <w:t>规定以及合同所附的</w:t>
      </w:r>
      <w:r>
        <w:rPr>
          <w:szCs w:val="21"/>
          <w:highlight w:val="none"/>
          <w:lang w:val="zh-CN"/>
        </w:rPr>
        <w:t>“</w:t>
      </w:r>
      <w:r>
        <w:rPr>
          <w:rFonts w:hAnsi="宋体"/>
          <w:szCs w:val="21"/>
          <w:highlight w:val="none"/>
          <w:lang w:val="zh-CN"/>
        </w:rPr>
        <w:t>服务承诺</w:t>
      </w:r>
      <w:r>
        <w:rPr>
          <w:szCs w:val="21"/>
          <w:highlight w:val="none"/>
          <w:lang w:val="zh-CN"/>
        </w:rPr>
        <w:t>”</w:t>
      </w:r>
      <w:r>
        <w:rPr>
          <w:rFonts w:hAnsi="宋体"/>
          <w:szCs w:val="21"/>
          <w:highlight w:val="none"/>
          <w:lang w:val="zh-CN"/>
        </w:rPr>
        <w:t>提供服务。</w:t>
      </w:r>
    </w:p>
    <w:p>
      <w:pPr>
        <w:autoSpaceDE w:val="0"/>
        <w:autoSpaceDN w:val="0"/>
        <w:adjustRightInd w:val="0"/>
        <w:spacing w:line="480" w:lineRule="exact"/>
        <w:ind w:firstLine="420"/>
        <w:jc w:val="left"/>
        <w:rPr>
          <w:szCs w:val="21"/>
          <w:highlight w:val="none"/>
          <w:lang w:val="zh-CN"/>
        </w:rPr>
      </w:pPr>
      <w:r>
        <w:rPr>
          <w:szCs w:val="21"/>
          <w:highlight w:val="none"/>
          <w:lang w:val="zh-CN"/>
        </w:rPr>
        <w:t>2</w:t>
      </w:r>
      <w:r>
        <w:rPr>
          <w:rFonts w:hAnsi="宋体"/>
          <w:szCs w:val="21"/>
          <w:highlight w:val="none"/>
          <w:lang w:val="zh-CN"/>
        </w:rPr>
        <w:t>、除前款规定外，乙方还应提供下列服务：</w:t>
      </w:r>
    </w:p>
    <w:p>
      <w:pPr>
        <w:autoSpaceDE w:val="0"/>
        <w:autoSpaceDN w:val="0"/>
        <w:adjustRightInd w:val="0"/>
        <w:spacing w:line="480" w:lineRule="exact"/>
        <w:ind w:firstLine="420"/>
        <w:jc w:val="left"/>
        <w:rPr>
          <w:szCs w:val="21"/>
          <w:highlight w:val="none"/>
          <w:lang w:val="zh-CN"/>
        </w:rPr>
      </w:pPr>
      <w:r>
        <w:rPr>
          <w:rFonts w:hAnsi="宋体"/>
          <w:szCs w:val="21"/>
          <w:highlight w:val="none"/>
          <w:lang w:val="zh-CN"/>
        </w:rPr>
        <w:t>（</w:t>
      </w:r>
      <w:r>
        <w:rPr>
          <w:szCs w:val="21"/>
          <w:highlight w:val="none"/>
          <w:lang w:val="zh-CN"/>
        </w:rPr>
        <w:t>1</w:t>
      </w:r>
      <w:r>
        <w:rPr>
          <w:rFonts w:hAnsi="宋体"/>
          <w:szCs w:val="21"/>
          <w:highlight w:val="none"/>
          <w:lang w:val="zh-CN"/>
        </w:rPr>
        <w:t>）货物的现场安装、调试和</w:t>
      </w:r>
      <w:r>
        <w:rPr>
          <w:szCs w:val="21"/>
          <w:highlight w:val="none"/>
          <w:lang w:val="zh-CN"/>
        </w:rPr>
        <w:t>/</w:t>
      </w:r>
      <w:r>
        <w:rPr>
          <w:rFonts w:hAnsi="宋体"/>
          <w:szCs w:val="21"/>
          <w:highlight w:val="none"/>
          <w:lang w:val="zh-CN"/>
        </w:rPr>
        <w:t>或启动监督；</w:t>
      </w:r>
    </w:p>
    <w:p>
      <w:pPr>
        <w:autoSpaceDE w:val="0"/>
        <w:autoSpaceDN w:val="0"/>
        <w:adjustRightInd w:val="0"/>
        <w:spacing w:line="480" w:lineRule="exact"/>
        <w:ind w:firstLine="420"/>
        <w:jc w:val="left"/>
        <w:rPr>
          <w:szCs w:val="21"/>
          <w:highlight w:val="none"/>
          <w:lang w:val="zh-CN"/>
        </w:rPr>
      </w:pPr>
      <w:r>
        <w:rPr>
          <w:rFonts w:hAnsi="宋体"/>
          <w:szCs w:val="21"/>
          <w:highlight w:val="none"/>
          <w:lang w:val="zh-CN"/>
        </w:rPr>
        <w:t>（</w:t>
      </w:r>
      <w:r>
        <w:rPr>
          <w:szCs w:val="21"/>
          <w:highlight w:val="none"/>
          <w:lang w:val="zh-CN"/>
        </w:rPr>
        <w:t>2</w:t>
      </w:r>
      <w:r>
        <w:rPr>
          <w:rFonts w:hAnsi="宋体"/>
          <w:szCs w:val="21"/>
          <w:highlight w:val="none"/>
          <w:lang w:val="zh-CN"/>
        </w:rPr>
        <w:t>）就货物的安装、启动、运行及维护等对甲方人员进行免费培训。</w:t>
      </w:r>
    </w:p>
    <w:p>
      <w:pPr>
        <w:autoSpaceDE w:val="0"/>
        <w:autoSpaceDN w:val="0"/>
        <w:adjustRightInd w:val="0"/>
        <w:spacing w:line="480" w:lineRule="exact"/>
        <w:ind w:firstLine="420"/>
        <w:jc w:val="left"/>
        <w:rPr>
          <w:szCs w:val="21"/>
          <w:highlight w:val="none"/>
          <w:lang w:val="zh-CN"/>
        </w:rPr>
      </w:pPr>
      <w:r>
        <w:rPr>
          <w:szCs w:val="21"/>
          <w:highlight w:val="none"/>
          <w:lang w:val="zh-CN"/>
        </w:rPr>
        <w:t>3</w:t>
      </w:r>
      <w:r>
        <w:rPr>
          <w:rFonts w:hAnsi="宋体"/>
          <w:szCs w:val="21"/>
          <w:highlight w:val="none"/>
          <w:lang w:val="zh-CN"/>
        </w:rPr>
        <w:t>、若招标文件中不包含有关伴随服务或售后服务的承诺，双方作如下约定：</w:t>
      </w:r>
    </w:p>
    <w:p>
      <w:pPr>
        <w:autoSpaceDE w:val="0"/>
        <w:autoSpaceDN w:val="0"/>
        <w:adjustRightInd w:val="0"/>
        <w:spacing w:line="480" w:lineRule="exact"/>
        <w:ind w:firstLine="420"/>
        <w:jc w:val="left"/>
        <w:rPr>
          <w:szCs w:val="21"/>
          <w:highlight w:val="none"/>
          <w:lang w:val="zh-CN"/>
        </w:rPr>
      </w:pPr>
      <w:r>
        <w:rPr>
          <w:szCs w:val="21"/>
          <w:highlight w:val="none"/>
          <w:lang w:val="zh-CN"/>
        </w:rPr>
        <w:t xml:space="preserve">3.1 </w:t>
      </w:r>
      <w:r>
        <w:rPr>
          <w:rFonts w:hint="eastAsia"/>
          <w:highlight w:val="none"/>
        </w:rPr>
        <w:t>乙方应为甲方提供免费培训服务，</w:t>
      </w:r>
      <w:r>
        <w:rPr>
          <w:rFonts w:hint="eastAsia"/>
          <w:highlight w:val="none"/>
        </w:rPr>
        <w:t>并指派专人</w:t>
      </w:r>
      <w:r>
        <w:rPr>
          <w:rFonts w:hint="eastAsia"/>
          <w:highlight w:val="none"/>
          <w:lang w:val="en-US" w:eastAsia="zh-CN"/>
        </w:rPr>
        <w:t>在验收合格后的一个月内每日至甲方所在地驻场</w:t>
      </w:r>
      <w:r>
        <w:rPr>
          <w:rFonts w:hint="eastAsia"/>
          <w:highlight w:val="none"/>
        </w:rPr>
        <w:t>负责与甲方联系售后服务</w:t>
      </w:r>
      <w:r>
        <w:rPr>
          <w:rFonts w:hint="eastAsia"/>
          <w:highlight w:val="none"/>
          <w:lang w:val="en-US" w:eastAsia="zh-CN"/>
        </w:rPr>
        <w:t>事宜</w:t>
      </w:r>
      <w:r>
        <w:rPr>
          <w:rFonts w:hint="eastAsia"/>
          <w:highlight w:val="none"/>
          <w:lang w:val="en-US" w:eastAsia="zh-CN"/>
        </w:rPr>
        <w:t>，</w:t>
      </w:r>
      <w:r>
        <w:rPr>
          <w:rFonts w:hint="eastAsia"/>
          <w:highlight w:val="none"/>
        </w:rPr>
        <w:t>培训内容为货物的基本结构、性能、主要部件的构造及处理，日常使用操作、</w:t>
      </w:r>
      <w:r>
        <w:rPr>
          <w:rFonts w:hint="eastAsia"/>
          <w:highlight w:val="none"/>
          <w:lang w:val="en-US" w:eastAsia="zh-CN"/>
        </w:rPr>
        <w:t>保养、</w:t>
      </w:r>
      <w:r>
        <w:rPr>
          <w:rFonts w:hint="eastAsia"/>
          <w:highlight w:val="none"/>
        </w:rPr>
        <w:t>常见故障的排除、紧急情况的处理等</w:t>
      </w:r>
      <w:r>
        <w:rPr>
          <w:rFonts w:hint="eastAsia"/>
          <w:highlight w:val="none"/>
          <w:lang w:eastAsia="zh-CN"/>
        </w:rPr>
        <w:t>，</w:t>
      </w:r>
      <w:r>
        <w:rPr>
          <w:rFonts w:hint="eastAsia"/>
          <w:highlight w:val="none"/>
        </w:rPr>
        <w:t>如甲方未使用过同类型货物</w:t>
      </w:r>
      <w:r>
        <w:rPr>
          <w:rFonts w:hint="eastAsia"/>
          <w:highlight w:val="none"/>
          <w:lang w:eastAsia="zh-CN"/>
        </w:rPr>
        <w:t>，</w:t>
      </w:r>
      <w:r>
        <w:rPr>
          <w:rFonts w:hint="eastAsia"/>
          <w:highlight w:val="none"/>
        </w:rPr>
        <w:t>乙方还需就货</w:t>
      </w:r>
      <w:r>
        <w:rPr>
          <w:rFonts w:hint="eastAsia"/>
          <w:highlight w:val="none"/>
          <w:lang w:val="en-US" w:eastAsia="zh-CN"/>
        </w:rPr>
        <w:t>物</w:t>
      </w:r>
      <w:r>
        <w:rPr>
          <w:rFonts w:hint="eastAsia"/>
          <w:highlight w:val="none"/>
        </w:rPr>
        <w:t>对甲方人员进行相应的技术培训</w:t>
      </w:r>
      <w:r>
        <w:rPr>
          <w:rFonts w:hint="eastAsia"/>
          <w:highlight w:val="none"/>
          <w:lang w:eastAsia="zh-CN"/>
        </w:rPr>
        <w:t>，</w:t>
      </w:r>
      <w:r>
        <w:rPr>
          <w:rFonts w:hint="eastAsia"/>
          <w:highlight w:val="none"/>
        </w:rPr>
        <w:t>培训地点主要在货物安装现场或由甲方安排</w:t>
      </w:r>
      <w:r>
        <w:rPr>
          <w:rFonts w:hAnsi="宋体"/>
          <w:szCs w:val="21"/>
          <w:highlight w:val="none"/>
          <w:lang w:val="zh-CN"/>
        </w:rPr>
        <w:t>。</w:t>
      </w:r>
    </w:p>
    <w:p>
      <w:pPr>
        <w:autoSpaceDE w:val="0"/>
        <w:autoSpaceDN w:val="0"/>
        <w:adjustRightInd w:val="0"/>
        <w:spacing w:line="480" w:lineRule="exact"/>
        <w:ind w:firstLine="420"/>
        <w:jc w:val="left"/>
        <w:rPr>
          <w:szCs w:val="21"/>
          <w:highlight w:val="none"/>
          <w:lang w:val="zh-CN"/>
        </w:rPr>
      </w:pPr>
      <w:r>
        <w:rPr>
          <w:szCs w:val="21"/>
          <w:highlight w:val="none"/>
          <w:lang w:val="zh-CN"/>
        </w:rPr>
        <w:t xml:space="preserve">3.2 </w:t>
      </w:r>
      <w:r>
        <w:rPr>
          <w:rFonts w:hint="eastAsia"/>
          <w:highlight w:val="none"/>
        </w:rPr>
        <w:t>所购货物按乙方投标承诺提供免费维护和质量保证，保修费用计入总价</w:t>
      </w:r>
      <w:r>
        <w:rPr>
          <w:rFonts w:hAnsi="宋体"/>
          <w:szCs w:val="21"/>
          <w:highlight w:val="none"/>
          <w:lang w:val="zh-CN"/>
        </w:rPr>
        <w:t>。</w:t>
      </w:r>
    </w:p>
    <w:p>
      <w:pPr>
        <w:autoSpaceDE w:val="0"/>
        <w:autoSpaceDN w:val="0"/>
        <w:adjustRightInd w:val="0"/>
        <w:spacing w:line="480" w:lineRule="exact"/>
        <w:ind w:firstLine="420"/>
        <w:jc w:val="left"/>
        <w:rPr>
          <w:szCs w:val="21"/>
          <w:highlight w:val="none"/>
          <w:lang w:val="zh-CN"/>
        </w:rPr>
      </w:pPr>
      <w:r>
        <w:rPr>
          <w:szCs w:val="21"/>
          <w:highlight w:val="none"/>
          <w:lang w:val="zh-CN"/>
        </w:rPr>
        <w:t>3.</w:t>
      </w:r>
      <w:r>
        <w:rPr>
          <w:rFonts w:hint="eastAsia"/>
          <w:szCs w:val="21"/>
          <w:highlight w:val="none"/>
          <w:lang w:val="zh-CN"/>
        </w:rPr>
        <w:t>3</w:t>
      </w:r>
      <w:r>
        <w:rPr>
          <w:szCs w:val="21"/>
          <w:highlight w:val="none"/>
          <w:lang w:val="zh-CN"/>
        </w:rPr>
        <w:t xml:space="preserve"> </w:t>
      </w:r>
      <w:r>
        <w:rPr>
          <w:rFonts w:hint="eastAsia"/>
          <w:highlight w:val="none"/>
        </w:rPr>
        <w:t>保修5年，保修期内乙方负责对其提供的货物整机进行维修和系统维护</w:t>
      </w:r>
      <w:r>
        <w:rPr>
          <w:rFonts w:hint="eastAsia"/>
          <w:highlight w:val="none"/>
          <w:lang w:val="en-US" w:eastAsia="zh-CN"/>
        </w:rPr>
        <w:t>不再收取另外</w:t>
      </w:r>
      <w:r>
        <w:rPr>
          <w:rFonts w:hint="eastAsia"/>
          <w:highlight w:val="none"/>
        </w:rPr>
        <w:t>任何费用，但不可抗力（如火灾、雷击等）或人为损坏造成的故障除外</w:t>
      </w:r>
      <w:r>
        <w:rPr>
          <w:rFonts w:hAnsi="宋体"/>
          <w:szCs w:val="21"/>
          <w:highlight w:val="none"/>
          <w:lang w:val="zh-CN"/>
        </w:rPr>
        <w:t>。</w:t>
      </w:r>
    </w:p>
    <w:p>
      <w:pPr>
        <w:autoSpaceDE w:val="0"/>
        <w:autoSpaceDN w:val="0"/>
        <w:adjustRightInd w:val="0"/>
        <w:spacing w:line="480" w:lineRule="exact"/>
        <w:ind w:firstLine="420"/>
        <w:jc w:val="left"/>
        <w:rPr>
          <w:rFonts w:hAnsi="宋体"/>
          <w:szCs w:val="21"/>
          <w:highlight w:val="none"/>
          <w:lang w:val="zh-CN"/>
        </w:rPr>
      </w:pPr>
      <w:r>
        <w:rPr>
          <w:szCs w:val="21"/>
          <w:highlight w:val="none"/>
          <w:lang w:val="zh-CN"/>
        </w:rPr>
        <w:t>3.</w:t>
      </w:r>
      <w:r>
        <w:rPr>
          <w:rFonts w:hint="eastAsia"/>
          <w:szCs w:val="21"/>
          <w:highlight w:val="none"/>
          <w:lang w:val="zh-CN"/>
        </w:rPr>
        <w:t>4</w:t>
      </w:r>
      <w:r>
        <w:rPr>
          <w:rFonts w:hint="eastAsia"/>
          <w:szCs w:val="21"/>
          <w:highlight w:val="none"/>
          <w:lang w:val="en-US" w:eastAsia="zh-CN"/>
        </w:rPr>
        <w:t xml:space="preserve"> </w:t>
      </w:r>
      <w:r>
        <w:rPr>
          <w:rFonts w:hint="eastAsia"/>
          <w:highlight w:val="none"/>
        </w:rPr>
        <w:t>保修期内，货物故障报修乙方在30分钟内无条件响应，并在两小时</w:t>
      </w:r>
      <w:r>
        <w:rPr>
          <w:rFonts w:hint="eastAsia"/>
          <w:highlight w:val="none"/>
          <w:lang w:val="en-US" w:eastAsia="zh-CN"/>
        </w:rPr>
        <w:t>派遣维修人员至现场解决相关问题</w:t>
      </w:r>
      <w:r>
        <w:rPr>
          <w:rFonts w:hint="eastAsia"/>
          <w:highlight w:val="none"/>
        </w:rPr>
        <w:t>，故障暂无法解决的须配合甲方做好应急处理，确保居民垃圾投递</w:t>
      </w:r>
      <w:r>
        <w:rPr>
          <w:rFonts w:hAnsi="宋体"/>
          <w:szCs w:val="21"/>
          <w:highlight w:val="none"/>
          <w:lang w:val="zh-CN"/>
        </w:rPr>
        <w:t>。</w:t>
      </w:r>
    </w:p>
    <w:p>
      <w:pPr>
        <w:autoSpaceDE w:val="0"/>
        <w:autoSpaceDN w:val="0"/>
        <w:adjustRightInd w:val="0"/>
        <w:spacing w:line="480" w:lineRule="exact"/>
        <w:ind w:firstLine="420"/>
        <w:jc w:val="left"/>
        <w:rPr>
          <w:rFonts w:hint="eastAsia"/>
          <w:highlight w:val="none"/>
          <w:lang w:val="zh-CN" w:eastAsia="zh-CN"/>
        </w:rPr>
      </w:pPr>
      <w:r>
        <w:rPr>
          <w:rFonts w:hint="eastAsia"/>
          <w:highlight w:val="none"/>
          <w:lang w:val="en-US" w:eastAsia="zh-CN"/>
        </w:rPr>
        <w:t>3.5若货物故障在检修工作24小时后仍无法排除，乙方应在72小时内免费提供同等货物规格型号档次的备用货物供甲方使用，直至故障货物修复。</w:t>
      </w:r>
    </w:p>
    <w:p>
      <w:pPr>
        <w:autoSpaceDE w:val="0"/>
        <w:autoSpaceDN w:val="0"/>
        <w:adjustRightInd w:val="0"/>
        <w:spacing w:line="480" w:lineRule="exact"/>
        <w:ind w:firstLine="420"/>
        <w:jc w:val="left"/>
        <w:rPr>
          <w:rFonts w:hint="eastAsia"/>
          <w:highlight w:val="none"/>
          <w:lang w:val="en-US" w:eastAsia="zh-CN"/>
        </w:rPr>
      </w:pPr>
      <w:r>
        <w:rPr>
          <w:rFonts w:hint="eastAsia"/>
          <w:highlight w:val="none"/>
          <w:lang w:val="en-US" w:eastAsia="zh-CN"/>
        </w:rPr>
        <w:t>3.6所有货物保修服务方式均为乙方上门保修,即由乙方派员到货物使用现场维修由此产生的一切费用均由乙方承担。</w:t>
      </w:r>
    </w:p>
    <w:p>
      <w:pPr>
        <w:autoSpaceDE w:val="0"/>
        <w:autoSpaceDN w:val="0"/>
        <w:adjustRightInd w:val="0"/>
        <w:spacing w:line="480" w:lineRule="exact"/>
        <w:ind w:firstLine="420"/>
        <w:jc w:val="left"/>
        <w:rPr>
          <w:rFonts w:hint="eastAsia"/>
          <w:highlight w:val="none"/>
          <w:lang w:val="en-US" w:eastAsia="zh-CN"/>
        </w:rPr>
      </w:pPr>
      <w:r>
        <w:rPr>
          <w:rFonts w:hint="eastAsia"/>
          <w:highlight w:val="none"/>
          <w:lang w:val="en-US" w:eastAsia="zh-CN"/>
        </w:rPr>
        <w:t>3.7保修期后的货物维护由双方协商再定。</w:t>
      </w:r>
    </w:p>
    <w:p>
      <w:pPr>
        <w:pStyle w:val="2"/>
        <w:rPr>
          <w:rFonts w:hint="default"/>
          <w:highlight w:val="none"/>
          <w:lang w:val="en-US" w:eastAsia="zh-CN"/>
        </w:rPr>
      </w:pPr>
      <w:r>
        <w:rPr>
          <w:rFonts w:hint="eastAsia"/>
          <w:highlight w:val="none"/>
          <w:lang w:val="en-US" w:eastAsia="zh-CN"/>
        </w:rPr>
        <w:t>3.8</w:t>
      </w:r>
      <w:r>
        <w:rPr>
          <w:rFonts w:hint="eastAsia"/>
          <w:highlight w:val="none"/>
          <w:lang w:val="en-US" w:eastAsia="zh-CN"/>
        </w:rPr>
        <w:t>保修期内，货物在1年内同一亭，房的同一部件出现同一故障达到3次时甲方有权要求乙方无条件更换同等货物规格型号档次的整体亭，房且不额外收取费用，1年内同一亭，房的所有部件出现故障达到5次以上甲方有权要求乙方无条件更换同等货物规格型号档次的整体亭，房且乙方不额外收取费用</w:t>
      </w:r>
      <w:r>
        <w:rPr>
          <w:rFonts w:hint="eastAsia"/>
          <w:highlight w:val="none"/>
          <w:lang w:val="en-US" w:eastAsia="zh-CN"/>
        </w:rPr>
        <w:t>。</w:t>
      </w:r>
    </w:p>
    <w:p>
      <w:pPr>
        <w:adjustRightInd w:val="0"/>
        <w:snapToGrid w:val="0"/>
        <w:spacing w:line="480" w:lineRule="exact"/>
        <w:ind w:firstLine="422" w:firstLineChars="200"/>
        <w:jc w:val="left"/>
        <w:rPr>
          <w:rFonts w:asciiTheme="minorEastAsia" w:hAnsiTheme="minorEastAsia" w:eastAsiaTheme="minorEastAsia" w:cstheme="minorEastAsia"/>
          <w:b/>
          <w:bCs/>
          <w:szCs w:val="21"/>
          <w:highlight w:val="none"/>
        </w:rPr>
      </w:pPr>
      <w:r>
        <w:rPr>
          <w:rFonts w:hint="eastAsia" w:asciiTheme="minorEastAsia" w:hAnsiTheme="minorEastAsia" w:eastAsiaTheme="minorEastAsia" w:cstheme="minorEastAsia"/>
          <w:b/>
          <w:bCs/>
          <w:szCs w:val="21"/>
          <w:highlight w:val="none"/>
        </w:rPr>
        <w:t>第五条：项目绩效评估</w:t>
      </w:r>
    </w:p>
    <w:p>
      <w:pPr>
        <w:adjustRightInd w:val="0"/>
        <w:snapToGrid w:val="0"/>
        <w:spacing w:line="480" w:lineRule="exact"/>
        <w:ind w:firstLine="540"/>
        <w:jc w:val="left"/>
        <w:rPr>
          <w:rFonts w:hint="default" w:asciiTheme="minorEastAsia" w:hAnsiTheme="minorEastAsia" w:eastAsiaTheme="minorEastAsia" w:cstheme="minorEastAsia"/>
          <w:kern w:val="0"/>
          <w:szCs w:val="21"/>
          <w:highlight w:val="none"/>
          <w:lang w:val="en-US" w:eastAsia="zh-CN"/>
        </w:rPr>
      </w:pPr>
      <w:r>
        <w:rPr>
          <w:rFonts w:hint="eastAsia" w:asciiTheme="minorEastAsia" w:hAnsiTheme="minorEastAsia" w:eastAsiaTheme="minorEastAsia" w:cstheme="minorEastAsia"/>
          <w:szCs w:val="21"/>
          <w:highlight w:val="none"/>
        </w:rPr>
        <w:t>乙方承接服务项目后，甲方对项目实施情况进行全程跟踪和监督。甲方随时对乙方的工作绩效、服务对象受益情况、</w:t>
      </w:r>
      <w:r>
        <w:rPr>
          <w:rFonts w:hint="eastAsia" w:asciiTheme="minorEastAsia" w:hAnsiTheme="minorEastAsia" w:eastAsiaTheme="minorEastAsia" w:cstheme="minorEastAsia"/>
          <w:kern w:val="0"/>
          <w:szCs w:val="21"/>
          <w:highlight w:val="none"/>
        </w:rPr>
        <w:t>公众满意度等进行评估。</w:t>
      </w:r>
    </w:p>
    <w:p>
      <w:pPr>
        <w:adjustRightInd w:val="0"/>
        <w:snapToGrid w:val="0"/>
        <w:spacing w:line="480" w:lineRule="exact"/>
        <w:ind w:firstLine="540"/>
        <w:jc w:val="left"/>
        <w:rPr>
          <w:rFonts w:asciiTheme="minorEastAsia" w:hAnsiTheme="minorEastAsia" w:eastAsiaTheme="minorEastAsia" w:cstheme="minorEastAsia"/>
          <w:b/>
          <w:bCs/>
          <w:szCs w:val="21"/>
          <w:highlight w:val="none"/>
        </w:rPr>
      </w:pPr>
      <w:r>
        <w:rPr>
          <w:rFonts w:hint="eastAsia" w:asciiTheme="minorEastAsia" w:hAnsiTheme="minorEastAsia" w:eastAsiaTheme="minorEastAsia" w:cstheme="minorEastAsia"/>
          <w:b/>
          <w:bCs/>
          <w:szCs w:val="21"/>
          <w:highlight w:val="none"/>
        </w:rPr>
        <w:t>第六条：双方权利和义务</w:t>
      </w:r>
    </w:p>
    <w:p>
      <w:pPr>
        <w:pStyle w:val="146"/>
        <w:adjustRightInd w:val="0"/>
        <w:snapToGrid w:val="0"/>
        <w:spacing w:line="480" w:lineRule="exact"/>
        <w:ind w:left="0"/>
        <w:rPr>
          <w:rFonts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1、甲方权利、义务</w:t>
      </w:r>
    </w:p>
    <w:p>
      <w:pPr>
        <w:adjustRightInd w:val="0"/>
        <w:snapToGrid w:val="0"/>
        <w:spacing w:line="480" w:lineRule="exact"/>
        <w:jc w:val="left"/>
        <w:rPr>
          <w:rFonts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1.1甲方对乙方拟定的各项服务管理流程及制度进行审核并督促落实。</w:t>
      </w:r>
    </w:p>
    <w:p>
      <w:pPr>
        <w:adjustRightInd w:val="0"/>
        <w:snapToGrid w:val="0"/>
        <w:spacing w:line="480" w:lineRule="exact"/>
        <w:jc w:val="left"/>
        <w:rPr>
          <w:rFonts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1.2甲方负责货品检查验收</w:t>
      </w:r>
    </w:p>
    <w:p>
      <w:pPr>
        <w:spacing w:line="480" w:lineRule="exact"/>
        <w:rPr>
          <w:rFonts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1.3</w:t>
      </w:r>
      <w:r>
        <w:rPr>
          <w:rFonts w:asciiTheme="minorEastAsia" w:hAnsiTheme="minorEastAsia" w:eastAsiaTheme="minorEastAsia" w:cstheme="minorEastAsia"/>
          <w:szCs w:val="21"/>
          <w:highlight w:val="none"/>
        </w:rPr>
        <w:t xml:space="preserve"> </w:t>
      </w:r>
      <w:r>
        <w:rPr>
          <w:rFonts w:hint="eastAsia" w:asciiTheme="minorEastAsia" w:hAnsiTheme="minorEastAsia" w:eastAsiaTheme="minorEastAsia" w:cstheme="minorEastAsia"/>
          <w:szCs w:val="21"/>
          <w:highlight w:val="none"/>
        </w:rPr>
        <w:t>甲方负责向乙方提供必要的现场设施投放场地，包括宣传栏</w:t>
      </w:r>
      <w:r>
        <w:rPr>
          <w:rFonts w:hint="eastAsia" w:asciiTheme="minorEastAsia" w:hAnsiTheme="minorEastAsia" w:eastAsiaTheme="minorEastAsia" w:cstheme="minorEastAsia"/>
          <w:szCs w:val="21"/>
          <w:highlight w:val="none"/>
          <w:lang w:eastAsia="zh-CN"/>
        </w:rPr>
        <w:t>，</w:t>
      </w:r>
      <w:r>
        <w:rPr>
          <w:rFonts w:hint="eastAsia" w:asciiTheme="minorEastAsia" w:hAnsiTheme="minorEastAsia" w:eastAsiaTheme="minorEastAsia" w:cstheme="minorEastAsia"/>
          <w:szCs w:val="21"/>
          <w:highlight w:val="none"/>
        </w:rPr>
        <w:t>集中投放点位等，具体设施视工作环境及实际情况而定。</w:t>
      </w:r>
    </w:p>
    <w:p>
      <w:pPr>
        <w:pStyle w:val="146"/>
        <w:adjustRightInd w:val="0"/>
        <w:snapToGrid w:val="0"/>
        <w:spacing w:line="480" w:lineRule="exact"/>
        <w:ind w:left="0"/>
        <w:rPr>
          <w:rFonts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2、乙方权利、义务</w:t>
      </w:r>
    </w:p>
    <w:p>
      <w:pPr>
        <w:pStyle w:val="146"/>
        <w:widowControl w:val="0"/>
        <w:adjustRightInd w:val="0"/>
        <w:snapToGrid w:val="0"/>
        <w:spacing w:line="480" w:lineRule="exact"/>
        <w:ind w:left="0"/>
        <w:contextualSpacing w:val="0"/>
        <w:rPr>
          <w:rFonts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2.1</w:t>
      </w:r>
      <w:r>
        <w:rPr>
          <w:rFonts w:asciiTheme="minorEastAsia" w:hAnsiTheme="minorEastAsia" w:eastAsiaTheme="minorEastAsia" w:cstheme="minorEastAsia"/>
          <w:sz w:val="21"/>
          <w:szCs w:val="21"/>
          <w:highlight w:val="none"/>
          <w:lang w:eastAsia="zh-CN"/>
        </w:rPr>
        <w:t>乙方应保证货物是全新、未使用过的原装合格正品，并完全符合合同规定的质量、规格和性能的要求。乙方应保证其提供的货物在正确安装、正常使用和保养条件下，在其使用寿命内具有良好的性能。货物验收后，在质量保证期内，乙方应对由于设计、工艺或材料的缺陷所发生的任何不足或故障负责，所需费用由乙方承担</w:t>
      </w:r>
    </w:p>
    <w:p>
      <w:pPr>
        <w:autoSpaceDE w:val="0"/>
        <w:autoSpaceDN w:val="0"/>
        <w:adjustRightInd w:val="0"/>
        <w:spacing w:line="480" w:lineRule="exact"/>
        <w:jc w:val="left"/>
        <w:rPr>
          <w:rFonts w:hAnsi="宋体"/>
          <w:szCs w:val="21"/>
          <w:highlight w:val="none"/>
          <w:lang w:val="zh-CN"/>
        </w:rPr>
      </w:pPr>
      <w:r>
        <w:rPr>
          <w:rFonts w:hint="eastAsia" w:asciiTheme="minorEastAsia" w:hAnsiTheme="minorEastAsia" w:eastAsiaTheme="minorEastAsia" w:cstheme="minorEastAsia"/>
          <w:szCs w:val="21"/>
          <w:highlight w:val="none"/>
        </w:rPr>
        <w:t>2.2</w:t>
      </w:r>
      <w:r>
        <w:rPr>
          <w:rFonts w:hAnsi="宋体"/>
          <w:szCs w:val="21"/>
          <w:highlight w:val="none"/>
          <w:lang w:val="zh-CN"/>
        </w:rPr>
        <w:t>乙方应保证甲方在使用该货物或其任何一部分时不受第三方提出侵犯其专利权、版权、商标权或其他权利的起诉。一旦出现侵权，乙方应承担全部责任。</w:t>
      </w:r>
    </w:p>
    <w:p>
      <w:pPr>
        <w:pStyle w:val="146"/>
        <w:widowControl w:val="0"/>
        <w:adjustRightInd w:val="0"/>
        <w:snapToGrid w:val="0"/>
        <w:spacing w:line="480" w:lineRule="exact"/>
        <w:ind w:left="0"/>
        <w:contextualSpacing w:val="0"/>
        <w:rPr>
          <w:rFonts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2.3乙方在履行协议过程中，不得将服务项目委托给第三人，应按本协议如实报告项目进展情况，按时、按标准完成项目任务。乙方履行本协议期间应配备符合本协议要求的人员、设施，并承担费用。乙方自行负责服务过程中的人员、设施的安全。</w:t>
      </w:r>
    </w:p>
    <w:p>
      <w:pPr>
        <w:pStyle w:val="146"/>
        <w:widowControl w:val="0"/>
        <w:adjustRightInd w:val="0"/>
        <w:snapToGrid w:val="0"/>
        <w:spacing w:line="480" w:lineRule="exact"/>
        <w:ind w:left="0"/>
        <w:contextualSpacing w:val="0"/>
        <w:rPr>
          <w:rFonts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2.4乙方需按标准将垃圾房/亭安装结束，并保证运营，如出现运转问题需在24小时内解决恢复运转。</w:t>
      </w:r>
      <w:r>
        <w:rPr>
          <w:rFonts w:asciiTheme="minorEastAsia" w:hAnsiTheme="minorEastAsia" w:eastAsiaTheme="minorEastAsia" w:cstheme="minorEastAsia"/>
          <w:sz w:val="21"/>
          <w:szCs w:val="21"/>
          <w:highlight w:val="none"/>
          <w:lang w:eastAsia="zh-CN"/>
        </w:rPr>
        <w:t xml:space="preserve"> </w:t>
      </w:r>
    </w:p>
    <w:p>
      <w:pPr>
        <w:adjustRightInd w:val="0"/>
        <w:snapToGrid w:val="0"/>
        <w:spacing w:line="480" w:lineRule="exact"/>
        <w:ind w:firstLine="422" w:firstLineChars="200"/>
        <w:jc w:val="left"/>
        <w:rPr>
          <w:rFonts w:asciiTheme="minorEastAsia" w:hAnsiTheme="minorEastAsia" w:eastAsiaTheme="minorEastAsia" w:cstheme="minorEastAsia"/>
          <w:b/>
          <w:bCs/>
          <w:szCs w:val="21"/>
          <w:highlight w:val="none"/>
        </w:rPr>
      </w:pPr>
      <w:r>
        <w:rPr>
          <w:rFonts w:hint="eastAsia" w:asciiTheme="minorEastAsia" w:hAnsiTheme="minorEastAsia" w:eastAsiaTheme="minorEastAsia" w:cstheme="minorEastAsia"/>
          <w:b/>
          <w:bCs/>
          <w:szCs w:val="21"/>
          <w:highlight w:val="none"/>
        </w:rPr>
        <w:t>第七条：违约处理</w:t>
      </w:r>
    </w:p>
    <w:p>
      <w:pPr>
        <w:adjustRightInd w:val="0"/>
        <w:snapToGrid w:val="0"/>
        <w:spacing w:line="480" w:lineRule="exact"/>
        <w:ind w:firstLine="420" w:firstLineChars="200"/>
        <w:jc w:val="left"/>
        <w:rPr>
          <w:rFonts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1、在协议履行过程中，因违约或重大过失所造成对方经济损失的违约方应当赔偿。</w:t>
      </w:r>
    </w:p>
    <w:p>
      <w:pPr>
        <w:widowControl/>
        <w:adjustRightInd w:val="0"/>
        <w:spacing w:line="480" w:lineRule="exact"/>
        <w:ind w:firstLine="420"/>
        <w:jc w:val="left"/>
        <w:rPr>
          <w:kern w:val="0"/>
          <w:szCs w:val="21"/>
          <w:highlight w:val="none"/>
          <w:lang w:val="zh-CN"/>
        </w:rPr>
      </w:pPr>
      <w:r>
        <w:rPr>
          <w:rFonts w:hint="eastAsia" w:asciiTheme="minorEastAsia" w:hAnsiTheme="minorEastAsia" w:eastAsiaTheme="minorEastAsia" w:cstheme="minorEastAsia"/>
          <w:szCs w:val="21"/>
          <w:highlight w:val="none"/>
        </w:rPr>
        <w:t>2、本协议履行期间，如发生争议、双方协商解决，协商不成，向甲方所在地法院起诉。</w:t>
      </w:r>
      <w:r>
        <w:rPr>
          <w:rFonts w:hint="eastAsia" w:hAnsi="宋体"/>
          <w:kern w:val="0"/>
          <w:szCs w:val="21"/>
          <w:highlight w:val="none"/>
          <w:lang w:val="zh-CN"/>
        </w:rPr>
        <w:t>甲方无正当理由拒收货物、拒付货物款的，由甲方向乙方偿付合同总价的</w:t>
      </w:r>
      <w:r>
        <w:rPr>
          <w:kern w:val="0"/>
          <w:szCs w:val="21"/>
          <w:highlight w:val="none"/>
          <w:lang w:val="zh-CN"/>
        </w:rPr>
        <w:t>5%</w:t>
      </w:r>
      <w:r>
        <w:rPr>
          <w:rFonts w:hint="eastAsia" w:hAnsi="宋体"/>
          <w:kern w:val="0"/>
          <w:szCs w:val="21"/>
          <w:highlight w:val="none"/>
          <w:lang w:val="zh-CN"/>
        </w:rPr>
        <w:t>违约金。</w:t>
      </w:r>
    </w:p>
    <w:p>
      <w:pPr>
        <w:widowControl/>
        <w:adjustRightInd w:val="0"/>
        <w:spacing w:line="480" w:lineRule="exact"/>
        <w:ind w:firstLine="420"/>
        <w:jc w:val="left"/>
        <w:rPr>
          <w:kern w:val="0"/>
          <w:szCs w:val="21"/>
          <w:highlight w:val="none"/>
          <w:lang w:val="zh-CN"/>
        </w:rPr>
      </w:pPr>
      <w:r>
        <w:rPr>
          <w:rFonts w:hint="eastAsia" w:hAnsi="宋体"/>
          <w:kern w:val="0"/>
          <w:szCs w:val="21"/>
          <w:highlight w:val="none"/>
          <w:lang w:val="zh-CN"/>
        </w:rPr>
        <w:t>3、甲方未按合同规定的期限向乙方支付货款的，每逾期</w:t>
      </w:r>
      <w:r>
        <w:rPr>
          <w:kern w:val="0"/>
          <w:szCs w:val="21"/>
          <w:highlight w:val="none"/>
          <w:lang w:val="zh-CN"/>
        </w:rPr>
        <w:t>1</w:t>
      </w:r>
      <w:r>
        <w:rPr>
          <w:rFonts w:hint="eastAsia" w:hAnsi="宋体"/>
          <w:kern w:val="0"/>
          <w:szCs w:val="21"/>
          <w:highlight w:val="none"/>
          <w:lang w:val="zh-CN"/>
        </w:rPr>
        <w:t>天甲方向乙方偿付欠款总额的</w:t>
      </w:r>
      <w:r>
        <w:rPr>
          <w:kern w:val="0"/>
          <w:szCs w:val="21"/>
          <w:highlight w:val="none"/>
          <w:lang w:val="zh-CN"/>
        </w:rPr>
        <w:t>5‰</w:t>
      </w:r>
      <w:r>
        <w:rPr>
          <w:rFonts w:hint="eastAsia" w:hAnsi="宋体"/>
          <w:kern w:val="0"/>
          <w:szCs w:val="21"/>
          <w:highlight w:val="none"/>
          <w:lang w:val="zh-CN"/>
        </w:rPr>
        <w:t>滞纳金，但累计滞纳金总额不超过欠款总额的</w:t>
      </w:r>
      <w:r>
        <w:rPr>
          <w:kern w:val="0"/>
          <w:szCs w:val="21"/>
          <w:highlight w:val="none"/>
          <w:lang w:val="zh-CN"/>
        </w:rPr>
        <w:t xml:space="preserve">5% </w:t>
      </w:r>
      <w:r>
        <w:rPr>
          <w:rFonts w:hint="eastAsia" w:hAnsi="宋体"/>
          <w:kern w:val="0"/>
          <w:szCs w:val="21"/>
          <w:highlight w:val="none"/>
          <w:lang w:val="zh-CN"/>
        </w:rPr>
        <w:t>。</w:t>
      </w:r>
    </w:p>
    <w:p>
      <w:pPr>
        <w:widowControl/>
        <w:adjustRightInd w:val="0"/>
        <w:spacing w:line="480" w:lineRule="exact"/>
        <w:ind w:firstLine="420"/>
        <w:jc w:val="left"/>
        <w:rPr>
          <w:rFonts w:hint="eastAsia" w:hAnsi="宋体"/>
          <w:kern w:val="0"/>
          <w:szCs w:val="21"/>
          <w:highlight w:val="none"/>
          <w:lang w:val="zh-CN"/>
        </w:rPr>
      </w:pPr>
      <w:r>
        <w:rPr>
          <w:rFonts w:hint="eastAsia" w:hAnsi="宋体"/>
          <w:kern w:val="0"/>
          <w:szCs w:val="21"/>
          <w:highlight w:val="none"/>
          <w:lang w:val="zh-CN"/>
        </w:rPr>
        <w:t>4、如乙方不能</w:t>
      </w:r>
      <w:r>
        <w:rPr>
          <w:rFonts w:hint="eastAsia" w:hAnsi="宋体"/>
          <w:kern w:val="0"/>
          <w:szCs w:val="21"/>
          <w:highlight w:val="none"/>
          <w:lang w:val="en-US" w:eastAsia="zh-CN"/>
        </w:rPr>
        <w:t>按时</w:t>
      </w:r>
      <w:r>
        <w:rPr>
          <w:rFonts w:hint="eastAsia" w:hAnsi="宋体"/>
          <w:kern w:val="0"/>
          <w:szCs w:val="21"/>
          <w:highlight w:val="none"/>
          <w:lang w:val="zh-CN"/>
        </w:rPr>
        <w:t>交付货物、完成安装调试</w:t>
      </w:r>
      <w:r>
        <w:rPr>
          <w:rFonts w:hint="eastAsia" w:hAnsi="宋体"/>
          <w:kern w:val="0"/>
          <w:szCs w:val="21"/>
          <w:highlight w:val="none"/>
          <w:lang w:val="en-US" w:eastAsia="zh-CN"/>
        </w:rPr>
        <w:t>并投入使用</w:t>
      </w:r>
      <w:r>
        <w:rPr>
          <w:rFonts w:hint="eastAsia" w:hAnsi="宋体"/>
          <w:kern w:val="0"/>
          <w:szCs w:val="21"/>
          <w:highlight w:val="none"/>
          <w:lang w:val="zh-CN"/>
        </w:rPr>
        <w:t>的，乙方应向甲方支付合同总价5%的违约金。</w:t>
      </w:r>
    </w:p>
    <w:p>
      <w:pPr>
        <w:widowControl/>
        <w:adjustRightInd w:val="0"/>
        <w:spacing w:line="480" w:lineRule="exact"/>
        <w:ind w:firstLine="420"/>
        <w:jc w:val="left"/>
        <w:rPr>
          <w:rFonts w:hint="eastAsia" w:hAnsi="宋体"/>
          <w:kern w:val="0"/>
          <w:szCs w:val="21"/>
          <w:highlight w:val="none"/>
          <w:lang w:val="zh-CN"/>
        </w:rPr>
      </w:pPr>
      <w:r>
        <w:rPr>
          <w:rFonts w:hint="eastAsia" w:hAnsi="宋体"/>
          <w:kern w:val="0"/>
          <w:szCs w:val="21"/>
          <w:highlight w:val="none"/>
          <w:lang w:val="zh-CN"/>
        </w:rPr>
        <w:t>５、乙方所交付的货物品种、型号、规格不符合合同规定的，甲方有权拒收。甲方拒收的，乙方应向甲方支付货款总额5%的违约金。</w:t>
      </w:r>
    </w:p>
    <w:p>
      <w:pPr>
        <w:widowControl/>
        <w:adjustRightInd w:val="0"/>
        <w:spacing w:line="480" w:lineRule="exact"/>
        <w:ind w:firstLine="420"/>
        <w:jc w:val="left"/>
        <w:rPr>
          <w:rFonts w:hint="default" w:ascii="Times New Roman" w:hAnsi="宋体" w:cs="Times New Roman"/>
          <w:kern w:val="0"/>
          <w:szCs w:val="21"/>
          <w:highlight w:val="none"/>
          <w:lang w:val="en-US" w:eastAsia="zh-CN"/>
        </w:rPr>
      </w:pPr>
      <w:r>
        <w:rPr>
          <w:rFonts w:hint="eastAsia" w:hAnsi="宋体"/>
          <w:kern w:val="0"/>
          <w:szCs w:val="21"/>
          <w:highlight w:val="none"/>
          <w:lang w:val="en-US" w:eastAsia="zh-CN"/>
        </w:rPr>
        <w:t>6、</w:t>
      </w:r>
      <w:r>
        <w:rPr>
          <w:rFonts w:hint="eastAsia" w:hAnsi="宋体"/>
          <w:kern w:val="0"/>
          <w:szCs w:val="21"/>
          <w:highlight w:val="none"/>
          <w:lang w:val="en-US" w:eastAsia="zh-CN"/>
        </w:rPr>
        <w:t>乙方未在合同</w:t>
      </w:r>
      <w:r>
        <w:rPr>
          <w:rFonts w:hint="eastAsia" w:ascii="Times New Roman" w:hAnsi="宋体" w:eastAsia="宋体" w:cs="Times New Roman"/>
          <w:kern w:val="0"/>
          <w:sz w:val="21"/>
          <w:szCs w:val="21"/>
          <w:highlight w:val="none"/>
          <w:lang w:val="en-US" w:eastAsia="zh-CN" w:bidi="ar-SA"/>
        </w:rPr>
        <w:t>规</w:t>
      </w:r>
      <w:r>
        <w:rPr>
          <w:rFonts w:hint="eastAsia" w:ascii="Times New Roman" w:hAnsi="宋体" w:cs="Times New Roman"/>
          <w:kern w:val="0"/>
          <w:szCs w:val="21"/>
          <w:highlight w:val="none"/>
          <w:lang w:val="en-US" w:eastAsia="zh-CN"/>
        </w:rPr>
        <w:t>定的保修响应时间内响应甲方报修的按500元/点位/次进行罚款，每累计10次额外罚款10000元。</w:t>
      </w:r>
      <w:r>
        <w:rPr>
          <w:rFonts w:hint="eastAsia" w:hAnsi="宋体" w:cs="Times New Roman"/>
          <w:kern w:val="0"/>
          <w:szCs w:val="21"/>
          <w:highlight w:val="none"/>
          <w:lang w:val="en-US" w:eastAsia="zh-CN"/>
        </w:rPr>
        <w:t>甲方按保修条款要求乙方更换亭或房乙方拒不更换的甲方将对乙方处以所要求点位的单个或多个亭或房的投标价相等的罚款，</w:t>
      </w:r>
      <w:r>
        <w:rPr>
          <w:rFonts w:hint="eastAsia" w:ascii="Times New Roman" w:hAnsi="宋体" w:cs="Times New Roman"/>
          <w:kern w:val="0"/>
          <w:szCs w:val="21"/>
          <w:highlight w:val="none"/>
          <w:lang w:val="en-US" w:eastAsia="zh-CN"/>
        </w:rPr>
        <w:t>此罚款结算时在质量保证金中扣除</w:t>
      </w:r>
      <w:r>
        <w:rPr>
          <w:rFonts w:hint="eastAsia" w:ascii="Times New Roman" w:hAnsi="宋体" w:cs="Times New Roman"/>
          <w:kern w:val="0"/>
          <w:szCs w:val="21"/>
          <w:highlight w:val="none"/>
          <w:lang w:val="en-US" w:eastAsia="zh-CN"/>
        </w:rPr>
        <w:t>。</w:t>
      </w:r>
    </w:p>
    <w:p>
      <w:pPr>
        <w:widowControl/>
        <w:adjustRightInd w:val="0"/>
        <w:spacing w:line="480" w:lineRule="exact"/>
        <w:ind w:firstLine="420"/>
        <w:jc w:val="left"/>
        <w:rPr>
          <w:rFonts w:hint="eastAsia" w:ascii="Times New Roman" w:hAnsi="宋体" w:cs="Times New Roman"/>
          <w:kern w:val="0"/>
          <w:szCs w:val="21"/>
          <w:highlight w:val="none"/>
          <w:lang w:val="zh-CN"/>
        </w:rPr>
      </w:pPr>
      <w:r>
        <w:rPr>
          <w:rFonts w:hint="eastAsia" w:ascii="Times New Roman" w:hAnsi="宋体" w:cs="Times New Roman"/>
          <w:b/>
          <w:bCs/>
          <w:kern w:val="0"/>
          <w:szCs w:val="21"/>
          <w:highlight w:val="none"/>
          <w:lang w:val="zh-CN"/>
        </w:rPr>
        <w:t>第八条：其他约定</w:t>
      </w:r>
    </w:p>
    <w:p>
      <w:pPr>
        <w:adjustRightInd w:val="0"/>
        <w:snapToGrid w:val="0"/>
        <w:spacing w:line="480" w:lineRule="exact"/>
        <w:ind w:firstLine="420" w:firstLineChars="200"/>
        <w:jc w:val="left"/>
        <w:rPr>
          <w:rFonts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本协议壹式肆份，甲、乙双方各执贰份，经甲、乙双方代表签字盖章之日起生效。</w:t>
      </w:r>
    </w:p>
    <w:tbl>
      <w:tblPr>
        <w:tblStyle w:val="44"/>
        <w:tblW w:w="852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261"/>
        <w:gridCol w:w="42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261" w:type="dxa"/>
          </w:tcPr>
          <w:p>
            <w:pPr>
              <w:spacing w:line="480" w:lineRule="exact"/>
              <w:rPr>
                <w:rFonts w:asciiTheme="minorEastAsia" w:hAnsiTheme="minorEastAsia" w:eastAsiaTheme="minorEastAsia" w:cstheme="minorEastAsia"/>
                <w:kern w:val="0"/>
                <w:sz w:val="20"/>
                <w:szCs w:val="21"/>
                <w:highlight w:val="none"/>
              </w:rPr>
            </w:pPr>
          </w:p>
          <w:p>
            <w:pPr>
              <w:spacing w:line="480" w:lineRule="exact"/>
              <w:rPr>
                <w:rFonts w:asciiTheme="minorEastAsia" w:hAnsiTheme="minorEastAsia" w:eastAsiaTheme="minorEastAsia" w:cstheme="minorEastAsia"/>
                <w:kern w:val="0"/>
                <w:sz w:val="20"/>
                <w:szCs w:val="21"/>
                <w:highlight w:val="none"/>
              </w:rPr>
            </w:pPr>
            <w:r>
              <w:rPr>
                <w:rFonts w:hint="eastAsia" w:asciiTheme="minorEastAsia" w:hAnsiTheme="minorEastAsia" w:eastAsiaTheme="minorEastAsia" w:cstheme="minorEastAsia"/>
                <w:kern w:val="0"/>
                <w:sz w:val="20"/>
                <w:szCs w:val="21"/>
                <w:highlight w:val="none"/>
              </w:rPr>
              <w:t>甲方（采购人）：（盖章）</w:t>
            </w:r>
          </w:p>
        </w:tc>
        <w:tc>
          <w:tcPr>
            <w:tcW w:w="4261" w:type="dxa"/>
          </w:tcPr>
          <w:p>
            <w:pPr>
              <w:spacing w:line="480" w:lineRule="exact"/>
              <w:rPr>
                <w:rFonts w:asciiTheme="minorEastAsia" w:hAnsiTheme="minorEastAsia" w:eastAsiaTheme="minorEastAsia" w:cstheme="minorEastAsia"/>
                <w:kern w:val="0"/>
                <w:sz w:val="20"/>
                <w:szCs w:val="21"/>
                <w:highlight w:val="none"/>
              </w:rPr>
            </w:pPr>
          </w:p>
          <w:p>
            <w:pPr>
              <w:spacing w:line="480" w:lineRule="exact"/>
              <w:rPr>
                <w:rFonts w:asciiTheme="minorEastAsia" w:hAnsiTheme="minorEastAsia" w:eastAsiaTheme="minorEastAsia" w:cstheme="minorEastAsia"/>
                <w:kern w:val="0"/>
                <w:sz w:val="20"/>
                <w:szCs w:val="21"/>
                <w:highlight w:val="none"/>
              </w:rPr>
            </w:pPr>
            <w:r>
              <w:rPr>
                <w:rFonts w:hint="eastAsia" w:asciiTheme="minorEastAsia" w:hAnsiTheme="minorEastAsia" w:eastAsiaTheme="minorEastAsia" w:cstheme="minorEastAsia"/>
                <w:kern w:val="0"/>
                <w:sz w:val="20"/>
                <w:szCs w:val="21"/>
                <w:highlight w:val="none"/>
              </w:rPr>
              <w:t>乙方 （服务商）：（盖章）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261" w:type="dxa"/>
          </w:tcPr>
          <w:p>
            <w:pPr>
              <w:spacing w:line="480" w:lineRule="exact"/>
              <w:rPr>
                <w:rFonts w:asciiTheme="minorEastAsia" w:hAnsiTheme="minorEastAsia" w:eastAsiaTheme="minorEastAsia" w:cstheme="minorEastAsia"/>
                <w:kern w:val="0"/>
                <w:sz w:val="20"/>
                <w:szCs w:val="21"/>
                <w:highlight w:val="none"/>
              </w:rPr>
            </w:pPr>
            <w:r>
              <w:rPr>
                <w:rFonts w:hint="eastAsia" w:asciiTheme="minorEastAsia" w:hAnsiTheme="minorEastAsia" w:eastAsiaTheme="minorEastAsia" w:cstheme="minorEastAsia"/>
                <w:kern w:val="0"/>
                <w:sz w:val="20"/>
                <w:szCs w:val="21"/>
                <w:highlight w:val="none"/>
              </w:rPr>
              <w:t>法定代表人:</w:t>
            </w:r>
          </w:p>
        </w:tc>
        <w:tc>
          <w:tcPr>
            <w:tcW w:w="4261" w:type="dxa"/>
          </w:tcPr>
          <w:p>
            <w:pPr>
              <w:spacing w:line="480" w:lineRule="exact"/>
              <w:rPr>
                <w:rFonts w:asciiTheme="minorEastAsia" w:hAnsiTheme="minorEastAsia" w:eastAsiaTheme="minorEastAsia" w:cstheme="minorEastAsia"/>
                <w:kern w:val="0"/>
                <w:sz w:val="20"/>
                <w:szCs w:val="21"/>
                <w:highlight w:val="none"/>
              </w:rPr>
            </w:pPr>
            <w:r>
              <w:rPr>
                <w:rFonts w:hint="eastAsia" w:asciiTheme="minorEastAsia" w:hAnsiTheme="minorEastAsia" w:eastAsiaTheme="minorEastAsia" w:cstheme="minorEastAsia"/>
                <w:kern w:val="0"/>
                <w:sz w:val="20"/>
                <w:szCs w:val="21"/>
                <w:highlight w:val="none"/>
              </w:rPr>
              <w:t>法定代表人: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261" w:type="dxa"/>
          </w:tcPr>
          <w:p>
            <w:pPr>
              <w:spacing w:line="480" w:lineRule="exact"/>
              <w:rPr>
                <w:rFonts w:asciiTheme="minorEastAsia" w:hAnsiTheme="minorEastAsia" w:eastAsiaTheme="minorEastAsia" w:cstheme="minorEastAsia"/>
                <w:kern w:val="0"/>
                <w:sz w:val="20"/>
                <w:szCs w:val="21"/>
                <w:highlight w:val="none"/>
              </w:rPr>
            </w:pPr>
            <w:r>
              <w:rPr>
                <w:rFonts w:hint="eastAsia" w:asciiTheme="minorEastAsia" w:hAnsiTheme="minorEastAsia" w:eastAsiaTheme="minorEastAsia" w:cstheme="minorEastAsia"/>
                <w:kern w:val="0"/>
                <w:sz w:val="20"/>
                <w:szCs w:val="21"/>
                <w:highlight w:val="none"/>
              </w:rPr>
              <w:t xml:space="preserve">委托代表人: </w:t>
            </w:r>
          </w:p>
        </w:tc>
        <w:tc>
          <w:tcPr>
            <w:tcW w:w="4261" w:type="dxa"/>
          </w:tcPr>
          <w:p>
            <w:pPr>
              <w:spacing w:line="480" w:lineRule="exact"/>
              <w:rPr>
                <w:rFonts w:asciiTheme="minorEastAsia" w:hAnsiTheme="minorEastAsia" w:eastAsiaTheme="minorEastAsia" w:cstheme="minorEastAsia"/>
                <w:kern w:val="0"/>
                <w:sz w:val="20"/>
                <w:szCs w:val="21"/>
                <w:highlight w:val="none"/>
              </w:rPr>
            </w:pPr>
            <w:r>
              <w:rPr>
                <w:rFonts w:hint="eastAsia" w:asciiTheme="minorEastAsia" w:hAnsiTheme="minorEastAsia" w:eastAsiaTheme="minorEastAsia" w:cstheme="minorEastAsia"/>
                <w:kern w:val="0"/>
                <w:sz w:val="20"/>
                <w:szCs w:val="21"/>
                <w:highlight w:val="none"/>
              </w:rPr>
              <w:t xml:space="preserve">委托代表人: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261" w:type="dxa"/>
          </w:tcPr>
          <w:p>
            <w:pPr>
              <w:tabs>
                <w:tab w:val="left" w:pos="529"/>
              </w:tabs>
              <w:spacing w:line="480" w:lineRule="exact"/>
              <w:rPr>
                <w:rFonts w:asciiTheme="minorEastAsia" w:hAnsiTheme="minorEastAsia" w:eastAsiaTheme="minorEastAsia" w:cstheme="minorEastAsia"/>
                <w:kern w:val="0"/>
                <w:sz w:val="20"/>
                <w:szCs w:val="21"/>
                <w:highlight w:val="none"/>
              </w:rPr>
            </w:pPr>
            <w:r>
              <w:rPr>
                <w:rFonts w:hint="eastAsia" w:asciiTheme="minorEastAsia" w:hAnsiTheme="minorEastAsia" w:eastAsiaTheme="minorEastAsia" w:cstheme="minorEastAsia"/>
                <w:kern w:val="0"/>
                <w:sz w:val="20"/>
                <w:szCs w:val="21"/>
                <w:highlight w:val="none"/>
              </w:rPr>
              <w:t>电话:</w:t>
            </w:r>
          </w:p>
        </w:tc>
        <w:tc>
          <w:tcPr>
            <w:tcW w:w="4261" w:type="dxa"/>
          </w:tcPr>
          <w:p>
            <w:pPr>
              <w:spacing w:line="480" w:lineRule="exact"/>
              <w:rPr>
                <w:rFonts w:asciiTheme="minorEastAsia" w:hAnsiTheme="minorEastAsia" w:eastAsiaTheme="minorEastAsia" w:cstheme="minorEastAsia"/>
                <w:kern w:val="0"/>
                <w:sz w:val="20"/>
                <w:szCs w:val="21"/>
                <w:highlight w:val="none"/>
              </w:rPr>
            </w:pPr>
            <w:r>
              <w:rPr>
                <w:rFonts w:hint="eastAsia" w:asciiTheme="minorEastAsia" w:hAnsiTheme="minorEastAsia" w:eastAsiaTheme="minorEastAsia" w:cstheme="minorEastAsia"/>
                <w:kern w:val="0"/>
                <w:sz w:val="20"/>
                <w:szCs w:val="21"/>
                <w:highlight w:val="none"/>
              </w:rPr>
              <w:t>电话: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261" w:type="dxa"/>
          </w:tcPr>
          <w:p>
            <w:pPr>
              <w:spacing w:line="480" w:lineRule="exact"/>
              <w:rPr>
                <w:rFonts w:asciiTheme="minorEastAsia" w:hAnsiTheme="minorEastAsia" w:eastAsiaTheme="minorEastAsia" w:cstheme="minorEastAsia"/>
                <w:kern w:val="0"/>
                <w:sz w:val="20"/>
                <w:szCs w:val="21"/>
                <w:highlight w:val="none"/>
              </w:rPr>
            </w:pPr>
            <w:r>
              <w:rPr>
                <w:rFonts w:hint="eastAsia" w:asciiTheme="minorEastAsia" w:hAnsiTheme="minorEastAsia" w:eastAsiaTheme="minorEastAsia" w:cstheme="minorEastAsia"/>
                <w:kern w:val="0"/>
                <w:sz w:val="20"/>
                <w:szCs w:val="21"/>
                <w:highlight w:val="none"/>
              </w:rPr>
              <w:t xml:space="preserve">开户银行: </w:t>
            </w:r>
          </w:p>
        </w:tc>
        <w:tc>
          <w:tcPr>
            <w:tcW w:w="4261" w:type="dxa"/>
          </w:tcPr>
          <w:p>
            <w:pPr>
              <w:spacing w:line="480" w:lineRule="exact"/>
              <w:rPr>
                <w:rFonts w:asciiTheme="minorEastAsia" w:hAnsiTheme="minorEastAsia" w:eastAsiaTheme="minorEastAsia" w:cstheme="minorEastAsia"/>
                <w:kern w:val="0"/>
                <w:sz w:val="20"/>
                <w:szCs w:val="21"/>
                <w:highlight w:val="none"/>
              </w:rPr>
            </w:pPr>
            <w:r>
              <w:rPr>
                <w:rFonts w:hint="eastAsia" w:asciiTheme="minorEastAsia" w:hAnsiTheme="minorEastAsia" w:eastAsiaTheme="minorEastAsia" w:cstheme="minorEastAsia"/>
                <w:kern w:val="0"/>
                <w:sz w:val="20"/>
                <w:szCs w:val="21"/>
                <w:highlight w:val="none"/>
              </w:rPr>
              <w:t>开户银行: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261" w:type="dxa"/>
          </w:tcPr>
          <w:p>
            <w:pPr>
              <w:spacing w:line="480" w:lineRule="exact"/>
              <w:rPr>
                <w:rFonts w:asciiTheme="minorEastAsia" w:hAnsiTheme="minorEastAsia" w:eastAsiaTheme="minorEastAsia" w:cstheme="minorEastAsia"/>
                <w:kern w:val="0"/>
                <w:sz w:val="20"/>
                <w:szCs w:val="21"/>
                <w:highlight w:val="none"/>
              </w:rPr>
            </w:pPr>
            <w:r>
              <w:rPr>
                <w:rFonts w:hint="eastAsia" w:asciiTheme="minorEastAsia" w:hAnsiTheme="minorEastAsia" w:eastAsiaTheme="minorEastAsia" w:cstheme="minorEastAsia"/>
                <w:kern w:val="0"/>
                <w:sz w:val="20"/>
                <w:szCs w:val="21"/>
                <w:highlight w:val="none"/>
              </w:rPr>
              <w:t xml:space="preserve">帐号： </w:t>
            </w:r>
          </w:p>
        </w:tc>
        <w:tc>
          <w:tcPr>
            <w:tcW w:w="4261" w:type="dxa"/>
          </w:tcPr>
          <w:p>
            <w:pPr>
              <w:spacing w:line="480" w:lineRule="exact"/>
              <w:rPr>
                <w:rFonts w:asciiTheme="minorEastAsia" w:hAnsiTheme="minorEastAsia" w:eastAsiaTheme="minorEastAsia" w:cstheme="minorEastAsia"/>
                <w:kern w:val="0"/>
                <w:sz w:val="20"/>
                <w:szCs w:val="21"/>
                <w:highlight w:val="none"/>
              </w:rPr>
            </w:pPr>
            <w:r>
              <w:rPr>
                <w:rFonts w:hint="eastAsia" w:asciiTheme="minorEastAsia" w:hAnsiTheme="minorEastAsia" w:eastAsiaTheme="minorEastAsia" w:cstheme="minorEastAsia"/>
                <w:kern w:val="0"/>
                <w:sz w:val="20"/>
                <w:szCs w:val="21"/>
                <w:highlight w:val="none"/>
              </w:rPr>
              <w:t xml:space="preserve"> 帐号: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261" w:type="dxa"/>
          </w:tcPr>
          <w:p>
            <w:pPr>
              <w:spacing w:line="480" w:lineRule="exact"/>
              <w:rPr>
                <w:rFonts w:asciiTheme="minorEastAsia" w:hAnsiTheme="minorEastAsia" w:eastAsiaTheme="minorEastAsia" w:cstheme="minorEastAsia"/>
                <w:kern w:val="0"/>
                <w:sz w:val="20"/>
                <w:szCs w:val="21"/>
                <w:highlight w:val="none"/>
              </w:rPr>
            </w:pPr>
            <w:r>
              <w:rPr>
                <w:rFonts w:hint="eastAsia" w:asciiTheme="minorEastAsia" w:hAnsiTheme="minorEastAsia" w:eastAsiaTheme="minorEastAsia" w:cstheme="minorEastAsia"/>
                <w:kern w:val="0"/>
                <w:sz w:val="20"/>
                <w:szCs w:val="21"/>
                <w:highlight w:val="none"/>
              </w:rPr>
              <w:t xml:space="preserve">日期:年月日  </w:t>
            </w:r>
          </w:p>
          <w:p>
            <w:pPr>
              <w:rPr>
                <w:kern w:val="0"/>
                <w:sz w:val="20"/>
                <w:highlight w:val="none"/>
              </w:rPr>
            </w:pPr>
          </w:p>
        </w:tc>
        <w:tc>
          <w:tcPr>
            <w:tcW w:w="4261" w:type="dxa"/>
          </w:tcPr>
          <w:p>
            <w:pPr>
              <w:spacing w:line="480" w:lineRule="exact"/>
              <w:rPr>
                <w:rFonts w:asciiTheme="minorEastAsia" w:hAnsiTheme="minorEastAsia" w:eastAsiaTheme="minorEastAsia" w:cstheme="minorEastAsia"/>
                <w:b/>
                <w:bCs/>
                <w:kern w:val="0"/>
                <w:sz w:val="20"/>
                <w:szCs w:val="21"/>
                <w:highlight w:val="none"/>
              </w:rPr>
            </w:pPr>
            <w:r>
              <w:rPr>
                <w:rFonts w:hint="eastAsia" w:asciiTheme="minorEastAsia" w:hAnsiTheme="minorEastAsia" w:eastAsiaTheme="minorEastAsia" w:cstheme="minorEastAsia"/>
                <w:kern w:val="0"/>
                <w:sz w:val="20"/>
                <w:szCs w:val="21"/>
                <w:highlight w:val="none"/>
              </w:rPr>
              <w:t xml:space="preserve">日期:年月日  </w:t>
            </w:r>
          </w:p>
        </w:tc>
      </w:tr>
    </w:tbl>
    <w:p>
      <w:pPr>
        <w:spacing w:line="480" w:lineRule="exact"/>
        <w:ind w:right="-378" w:rightChars="-180"/>
        <w:rPr>
          <w:rFonts w:ascii="宋体" w:hAnsi="宋体"/>
          <w:b/>
          <w:bCs/>
          <w:szCs w:val="21"/>
          <w:highlight w:val="none"/>
        </w:rPr>
      </w:pPr>
      <w:r>
        <w:rPr>
          <w:rFonts w:hint="eastAsia" w:ascii="宋体" w:hAnsi="宋体"/>
          <w:b/>
          <w:bCs/>
          <w:szCs w:val="21"/>
          <w:highlight w:val="none"/>
          <w:lang w:eastAsia="zh-CN"/>
        </w:rPr>
        <w:t>采购需求表</w:t>
      </w:r>
      <w:r>
        <w:rPr>
          <w:rFonts w:hint="eastAsia" w:ascii="宋体" w:hAnsi="宋体"/>
          <w:b/>
          <w:bCs/>
          <w:szCs w:val="21"/>
          <w:highlight w:val="none"/>
        </w:rPr>
        <w:t xml:space="preserve"> ：项目质量保修书</w:t>
      </w:r>
    </w:p>
    <w:p>
      <w:pPr>
        <w:spacing w:line="480" w:lineRule="exact"/>
        <w:ind w:right="-378" w:rightChars="-180"/>
        <w:rPr>
          <w:rFonts w:ascii="宋体" w:hAnsi="宋体"/>
          <w:b/>
          <w:bCs/>
          <w:szCs w:val="21"/>
          <w:highlight w:val="none"/>
        </w:rPr>
      </w:pPr>
      <w:r>
        <w:rPr>
          <w:rFonts w:hint="eastAsia" w:ascii="宋体" w:hAnsi="宋体"/>
          <w:b/>
          <w:bCs/>
          <w:szCs w:val="21"/>
          <w:highlight w:val="none"/>
        </w:rPr>
        <w:t>附件2 ：安全文明生产责任书</w:t>
      </w:r>
    </w:p>
    <w:p>
      <w:pPr>
        <w:spacing w:line="480" w:lineRule="exact"/>
        <w:rPr>
          <w:rFonts w:ascii="Arial" w:hAnsi="Arial" w:cs="Arial"/>
          <w:highlight w:val="none"/>
        </w:rPr>
      </w:pPr>
      <w:r>
        <w:rPr>
          <w:rFonts w:ascii="宋体" w:hAnsi="宋体"/>
          <w:b/>
          <w:bCs/>
          <w:szCs w:val="21"/>
          <w:highlight w:val="none"/>
        </w:rPr>
        <w:t>附件</w:t>
      </w:r>
      <w:r>
        <w:rPr>
          <w:rFonts w:hint="eastAsia" w:ascii="宋体" w:hAnsi="宋体"/>
          <w:b/>
          <w:bCs/>
          <w:szCs w:val="21"/>
          <w:highlight w:val="none"/>
        </w:rPr>
        <w:t>3：项目采购清单</w:t>
      </w:r>
      <w:r>
        <w:rPr>
          <w:rFonts w:ascii="Arial" w:hAnsi="Arial" w:cs="Arial"/>
          <w:highlight w:val="none"/>
        </w:rPr>
        <w:br w:type="page"/>
      </w:r>
    </w:p>
    <w:p>
      <w:pPr>
        <w:spacing w:line="480" w:lineRule="exact"/>
        <w:ind w:right="-378" w:rightChars="-180"/>
        <w:jc w:val="left"/>
        <w:rPr>
          <w:rFonts w:ascii="宋体" w:hAnsi="宋体"/>
          <w:szCs w:val="21"/>
          <w:highlight w:val="none"/>
        </w:rPr>
      </w:pPr>
      <w:r>
        <w:rPr>
          <w:rFonts w:hint="eastAsia" w:ascii="宋体" w:hAnsi="宋体"/>
          <w:szCs w:val="21"/>
          <w:highlight w:val="none"/>
          <w:lang w:eastAsia="zh-CN"/>
        </w:rPr>
        <w:t>采购需求表</w:t>
      </w:r>
      <w:r>
        <w:rPr>
          <w:rFonts w:hint="eastAsia" w:ascii="宋体" w:hAnsi="宋体"/>
          <w:szCs w:val="21"/>
          <w:highlight w:val="none"/>
        </w:rPr>
        <w:t xml:space="preserve"> </w:t>
      </w:r>
    </w:p>
    <w:p>
      <w:pPr>
        <w:spacing w:line="480" w:lineRule="exact"/>
        <w:ind w:right="-378" w:rightChars="-180"/>
        <w:jc w:val="center"/>
        <w:rPr>
          <w:rFonts w:ascii="宋体" w:hAnsi="宋体"/>
          <w:b/>
          <w:sz w:val="32"/>
          <w:szCs w:val="32"/>
          <w:highlight w:val="none"/>
        </w:rPr>
      </w:pPr>
      <w:r>
        <w:rPr>
          <w:rFonts w:hint="eastAsia" w:ascii="宋体" w:hAnsi="宋体"/>
          <w:b/>
          <w:sz w:val="32"/>
          <w:szCs w:val="32"/>
          <w:highlight w:val="none"/>
        </w:rPr>
        <w:t>项目质量保修书</w:t>
      </w:r>
    </w:p>
    <w:p>
      <w:pPr>
        <w:spacing w:line="480" w:lineRule="exact"/>
        <w:ind w:right="-378" w:rightChars="-180"/>
        <w:rPr>
          <w:rFonts w:ascii="宋体" w:hAnsi="宋体"/>
          <w:szCs w:val="21"/>
          <w:highlight w:val="none"/>
          <w:u w:val="single" w:color="000000"/>
        </w:rPr>
      </w:pPr>
    </w:p>
    <w:p>
      <w:pPr>
        <w:spacing w:line="480" w:lineRule="exact"/>
        <w:ind w:right="-378" w:rightChars="-180"/>
        <w:rPr>
          <w:rFonts w:ascii="宋体" w:hAnsi="宋体"/>
          <w:szCs w:val="21"/>
          <w:highlight w:val="none"/>
          <w:u w:val="single" w:color="000000"/>
        </w:rPr>
      </w:pPr>
      <w:r>
        <w:rPr>
          <w:rFonts w:hint="eastAsia" w:ascii="宋体" w:hAnsi="宋体"/>
          <w:szCs w:val="21"/>
          <w:highlight w:val="none"/>
        </w:rPr>
        <w:t>招标人：</w:t>
      </w:r>
      <w:r>
        <w:rPr>
          <w:rFonts w:hint="eastAsia" w:ascii="宋体" w:hAnsi="宋体"/>
          <w:szCs w:val="21"/>
          <w:highlight w:val="none"/>
          <w:u w:val="single" w:color="000000"/>
        </w:rPr>
        <w:t xml:space="preserve">                            （全称）</w:t>
      </w:r>
    </w:p>
    <w:p>
      <w:pPr>
        <w:spacing w:line="480" w:lineRule="exact"/>
        <w:ind w:right="-378" w:rightChars="-180"/>
        <w:rPr>
          <w:rFonts w:ascii="宋体" w:hAnsi="宋体"/>
          <w:szCs w:val="21"/>
          <w:highlight w:val="none"/>
          <w:u w:val="single" w:color="000000"/>
        </w:rPr>
      </w:pPr>
      <w:r>
        <w:rPr>
          <w:rFonts w:hint="eastAsia" w:ascii="宋体" w:hAnsi="宋体"/>
          <w:szCs w:val="21"/>
          <w:highlight w:val="none"/>
        </w:rPr>
        <w:t>承包人：</w:t>
      </w:r>
      <w:r>
        <w:rPr>
          <w:rFonts w:hint="eastAsia" w:ascii="宋体" w:hAnsi="宋体"/>
          <w:szCs w:val="21"/>
          <w:highlight w:val="none"/>
          <w:u w:val="single" w:color="000000"/>
        </w:rPr>
        <w:t xml:space="preserve">                            （全称）</w:t>
      </w:r>
    </w:p>
    <w:p>
      <w:pPr>
        <w:spacing w:line="480" w:lineRule="exact"/>
        <w:ind w:right="-378" w:rightChars="-180"/>
        <w:rPr>
          <w:rFonts w:ascii="宋体" w:hAnsi="宋体"/>
          <w:szCs w:val="21"/>
          <w:highlight w:val="none"/>
        </w:rPr>
      </w:pPr>
      <w:r>
        <w:rPr>
          <w:rFonts w:hint="eastAsia" w:ascii="宋体" w:hAnsi="宋体"/>
          <w:szCs w:val="21"/>
          <w:highlight w:val="none"/>
        </w:rPr>
        <w:t>为保证</w:t>
      </w:r>
      <w:r>
        <w:rPr>
          <w:rFonts w:hint="eastAsia" w:ascii="宋体" w:hAnsi="宋体"/>
          <w:szCs w:val="21"/>
          <w:highlight w:val="none"/>
          <w:u w:val="single"/>
        </w:rPr>
        <w:t xml:space="preserve">                        </w:t>
      </w:r>
      <w:r>
        <w:rPr>
          <w:rFonts w:hint="eastAsia" w:ascii="宋体" w:hAnsi="宋体"/>
          <w:szCs w:val="21"/>
          <w:highlight w:val="none"/>
        </w:rPr>
        <w:t>在合理使用期限内正常使用，合同双方当事人经协商一致，订立本质量保修书。</w:t>
      </w:r>
    </w:p>
    <w:p>
      <w:pPr>
        <w:spacing w:line="480" w:lineRule="exact"/>
        <w:ind w:right="-378" w:rightChars="-180"/>
        <w:rPr>
          <w:rFonts w:ascii="宋体" w:hAnsi="宋体"/>
          <w:szCs w:val="21"/>
          <w:highlight w:val="none"/>
        </w:rPr>
      </w:pPr>
      <w:r>
        <w:rPr>
          <w:rFonts w:hint="eastAsia" w:ascii="宋体" w:hAnsi="宋体"/>
          <w:szCs w:val="21"/>
          <w:highlight w:val="none"/>
        </w:rPr>
        <w:t>1．质量保修范围：</w:t>
      </w:r>
      <w:r>
        <w:rPr>
          <w:rFonts w:hint="eastAsia" w:ascii="宋体" w:hAnsi="宋体"/>
          <w:szCs w:val="21"/>
          <w:highlight w:val="none"/>
          <w:u w:val="single"/>
        </w:rPr>
        <w:t xml:space="preserve">            </w:t>
      </w:r>
      <w:r>
        <w:rPr>
          <w:rFonts w:hint="eastAsia" w:ascii="宋体" w:hAnsi="宋体"/>
          <w:szCs w:val="21"/>
          <w:highlight w:val="none"/>
        </w:rPr>
        <w:t>。</w:t>
      </w:r>
    </w:p>
    <w:p>
      <w:pPr>
        <w:spacing w:line="480" w:lineRule="exact"/>
        <w:ind w:right="-378" w:rightChars="-180"/>
        <w:rPr>
          <w:rFonts w:ascii="宋体" w:hAnsi="宋体"/>
          <w:szCs w:val="21"/>
          <w:highlight w:val="none"/>
        </w:rPr>
      </w:pPr>
      <w:r>
        <w:rPr>
          <w:rFonts w:hint="eastAsia" w:ascii="宋体" w:hAnsi="宋体"/>
          <w:szCs w:val="21"/>
          <w:highlight w:val="none"/>
        </w:rPr>
        <w:t>2．质量保修期</w:t>
      </w:r>
    </w:p>
    <w:p>
      <w:pPr>
        <w:spacing w:line="480" w:lineRule="exact"/>
        <w:ind w:right="-378" w:rightChars="-180"/>
        <w:rPr>
          <w:rFonts w:ascii="宋体" w:hAnsi="宋体"/>
          <w:szCs w:val="21"/>
          <w:highlight w:val="none"/>
        </w:rPr>
      </w:pPr>
      <w:r>
        <w:rPr>
          <w:rFonts w:hint="eastAsia" w:ascii="宋体" w:hAnsi="宋体"/>
          <w:szCs w:val="21"/>
          <w:highlight w:val="none"/>
        </w:rPr>
        <w:t>保修期自实际竣工（完工）日期起计算   年。</w:t>
      </w:r>
    </w:p>
    <w:p>
      <w:pPr>
        <w:spacing w:line="480" w:lineRule="exact"/>
        <w:ind w:right="-378" w:rightChars="-180"/>
        <w:rPr>
          <w:rFonts w:ascii="宋体" w:hAnsi="宋体"/>
          <w:szCs w:val="21"/>
          <w:highlight w:val="none"/>
        </w:rPr>
      </w:pPr>
      <w:r>
        <w:rPr>
          <w:rFonts w:hint="eastAsia" w:ascii="宋体" w:hAnsi="宋体"/>
          <w:szCs w:val="21"/>
          <w:highlight w:val="none"/>
        </w:rPr>
        <w:t>3．质量保修责任</w:t>
      </w:r>
    </w:p>
    <w:p>
      <w:pPr>
        <w:spacing w:line="480" w:lineRule="exact"/>
        <w:ind w:right="-378" w:rightChars="-180"/>
        <w:rPr>
          <w:rFonts w:ascii="宋体" w:hAnsi="宋体"/>
          <w:szCs w:val="21"/>
          <w:highlight w:val="none"/>
        </w:rPr>
      </w:pPr>
      <w:r>
        <w:rPr>
          <w:rFonts w:hint="eastAsia" w:ascii="宋体" w:hAnsi="宋体"/>
          <w:szCs w:val="21"/>
          <w:highlight w:val="none"/>
        </w:rPr>
        <w:t>3.1 属于保修范围的项目，承包人应在接到通知后的</w:t>
      </w:r>
      <w:r>
        <w:rPr>
          <w:rFonts w:hint="eastAsia" w:ascii="宋体" w:hAnsi="宋体"/>
          <w:szCs w:val="21"/>
          <w:highlight w:val="none"/>
          <w:u w:val="single"/>
        </w:rPr>
        <w:t xml:space="preserve"> </w:t>
      </w:r>
      <w:r>
        <w:rPr>
          <w:rFonts w:hint="eastAsia" w:ascii="宋体" w:hAnsi="宋体"/>
          <w:szCs w:val="21"/>
          <w:highlight w:val="none"/>
          <w:u w:val="single"/>
          <w:lang w:val="en-US" w:eastAsia="zh-CN"/>
        </w:rPr>
        <w:t>两个小时</w:t>
      </w:r>
      <w:r>
        <w:rPr>
          <w:rFonts w:hint="eastAsia" w:ascii="宋体" w:hAnsi="宋体"/>
          <w:szCs w:val="21"/>
          <w:highlight w:val="none"/>
          <w:u w:val="single"/>
        </w:rPr>
        <w:t xml:space="preserve">   </w:t>
      </w:r>
      <w:r>
        <w:rPr>
          <w:rFonts w:hint="eastAsia" w:ascii="宋体" w:hAnsi="宋体"/>
          <w:szCs w:val="21"/>
          <w:highlight w:val="none"/>
        </w:rPr>
        <w:t>内派人保修。承包人不在约定期限内派人保修，招标人可自行或指派第三方保修，所需费用由承包人负责。</w:t>
      </w:r>
    </w:p>
    <w:p>
      <w:pPr>
        <w:spacing w:line="480" w:lineRule="exact"/>
        <w:ind w:right="-378" w:rightChars="-180"/>
        <w:rPr>
          <w:rFonts w:ascii="宋体" w:hAnsi="宋体"/>
          <w:szCs w:val="21"/>
          <w:highlight w:val="none"/>
        </w:rPr>
      </w:pPr>
      <w:r>
        <w:rPr>
          <w:rFonts w:hint="eastAsia" w:ascii="宋体" w:hAnsi="宋体"/>
          <w:szCs w:val="21"/>
          <w:highlight w:val="none"/>
        </w:rPr>
        <w:t>3.2 发生紧急抢修事故的，承包人在接到通知后，应立即到达事故现场抢修。</w:t>
      </w:r>
    </w:p>
    <w:p>
      <w:pPr>
        <w:spacing w:line="480" w:lineRule="exact"/>
        <w:ind w:right="-378" w:rightChars="-180"/>
        <w:rPr>
          <w:rFonts w:ascii="宋体" w:hAnsi="宋体"/>
          <w:szCs w:val="21"/>
          <w:highlight w:val="none"/>
        </w:rPr>
      </w:pPr>
      <w:r>
        <w:rPr>
          <w:rFonts w:hint="eastAsia" w:ascii="宋体" w:hAnsi="宋体"/>
          <w:szCs w:val="21"/>
          <w:highlight w:val="none"/>
        </w:rPr>
        <w:t>3.3 在国家规定的工程合理使用期限内，承包人应确保地基基础工程和主体结构的安全和质量。凡出现其质量问题，应立即报告当地建设行政主管部门，由设计单位提出保修方案，承包人应立即实施保修。</w:t>
      </w:r>
    </w:p>
    <w:p>
      <w:pPr>
        <w:spacing w:line="480" w:lineRule="exact"/>
        <w:ind w:right="-378" w:rightChars="-180"/>
        <w:rPr>
          <w:rFonts w:ascii="宋体" w:hAnsi="宋体"/>
          <w:szCs w:val="21"/>
          <w:highlight w:val="none"/>
        </w:rPr>
      </w:pPr>
      <w:r>
        <w:rPr>
          <w:rFonts w:hint="eastAsia" w:ascii="宋体" w:hAnsi="宋体"/>
          <w:szCs w:val="21"/>
          <w:highlight w:val="none"/>
        </w:rPr>
        <w:t>3.4 质量保修完成后，由招标人组织验收。</w:t>
      </w:r>
    </w:p>
    <w:p>
      <w:pPr>
        <w:spacing w:line="480" w:lineRule="exact"/>
        <w:ind w:right="-378" w:rightChars="-180"/>
        <w:rPr>
          <w:rFonts w:ascii="宋体" w:hAnsi="宋体"/>
          <w:szCs w:val="21"/>
          <w:highlight w:val="none"/>
        </w:rPr>
      </w:pPr>
      <w:r>
        <w:rPr>
          <w:rFonts w:hint="eastAsia" w:ascii="宋体" w:hAnsi="宋体"/>
          <w:szCs w:val="21"/>
          <w:highlight w:val="none"/>
        </w:rPr>
        <w:t>4．质量保修费用</w:t>
      </w:r>
    </w:p>
    <w:p>
      <w:pPr>
        <w:spacing w:line="480" w:lineRule="exact"/>
        <w:ind w:right="-378" w:rightChars="-180"/>
        <w:rPr>
          <w:rFonts w:ascii="宋体" w:hAnsi="宋体"/>
          <w:szCs w:val="21"/>
          <w:highlight w:val="none"/>
        </w:rPr>
      </w:pPr>
      <w:r>
        <w:rPr>
          <w:rFonts w:hint="eastAsia" w:ascii="宋体" w:hAnsi="宋体"/>
          <w:szCs w:val="21"/>
          <w:highlight w:val="none"/>
        </w:rPr>
        <w:t>质量保修费用及相关的损害赔偿费，由造成质量缺陷的责任方承担。</w:t>
      </w:r>
    </w:p>
    <w:p>
      <w:pPr>
        <w:spacing w:line="480" w:lineRule="exact"/>
        <w:ind w:right="-378" w:rightChars="-180"/>
        <w:rPr>
          <w:rFonts w:ascii="宋体" w:hAnsi="宋体"/>
          <w:szCs w:val="21"/>
          <w:highlight w:val="none"/>
        </w:rPr>
      </w:pPr>
      <w:r>
        <w:rPr>
          <w:rFonts w:hint="eastAsia" w:ascii="宋体" w:hAnsi="宋体"/>
          <w:szCs w:val="21"/>
          <w:highlight w:val="none"/>
        </w:rPr>
        <w:t>5．质量保证金</w:t>
      </w:r>
    </w:p>
    <w:p>
      <w:pPr>
        <w:spacing w:line="480" w:lineRule="exact"/>
        <w:ind w:right="-378" w:rightChars="-180"/>
        <w:rPr>
          <w:rFonts w:ascii="宋体" w:hAnsi="宋体"/>
          <w:szCs w:val="21"/>
          <w:highlight w:val="none"/>
        </w:rPr>
      </w:pPr>
      <w:r>
        <w:rPr>
          <w:rFonts w:hint="eastAsia" w:ascii="宋体" w:hAnsi="宋体"/>
          <w:szCs w:val="21"/>
          <w:highlight w:val="none"/>
        </w:rPr>
        <w:t>本工程保留完工结算价的</w:t>
      </w:r>
      <w:r>
        <w:rPr>
          <w:rFonts w:hint="eastAsia" w:ascii="宋体" w:hAnsi="宋体"/>
          <w:szCs w:val="21"/>
          <w:highlight w:val="none"/>
          <w:u w:val="single"/>
        </w:rPr>
        <w:t xml:space="preserve"> </w:t>
      </w:r>
      <w:r>
        <w:rPr>
          <w:rFonts w:hint="eastAsia" w:ascii="宋体" w:hAnsi="宋体"/>
          <w:szCs w:val="21"/>
          <w:highlight w:val="none"/>
          <w:u w:val="single"/>
          <w:lang w:val="en-US" w:eastAsia="zh-CN"/>
        </w:rPr>
        <w:t>5</w:t>
      </w:r>
      <w:r>
        <w:rPr>
          <w:rFonts w:hint="eastAsia" w:ascii="宋体" w:hAnsi="宋体"/>
          <w:szCs w:val="21"/>
          <w:highlight w:val="none"/>
          <w:u w:val="single"/>
        </w:rPr>
        <w:t xml:space="preserve"> </w:t>
      </w:r>
      <w:r>
        <w:rPr>
          <w:rFonts w:hint="eastAsia" w:ascii="宋体" w:hAnsi="宋体"/>
          <w:szCs w:val="21"/>
          <w:highlight w:val="none"/>
        </w:rPr>
        <w:t xml:space="preserve"> %工程尾款作为质量保证金，保</w:t>
      </w:r>
      <w:r>
        <w:rPr>
          <w:rFonts w:hint="eastAsia" w:ascii="宋体" w:hAnsi="宋体"/>
          <w:szCs w:val="21"/>
          <w:highlight w:val="none"/>
          <w:lang w:val="en-US" w:eastAsia="zh-CN"/>
        </w:rPr>
        <w:t>证</w:t>
      </w:r>
      <w:r>
        <w:rPr>
          <w:rFonts w:hint="eastAsia" w:ascii="宋体" w:hAnsi="宋体"/>
          <w:szCs w:val="21"/>
          <w:highlight w:val="none"/>
        </w:rPr>
        <w:t>金在保修期满后招标人将质量保证金</w:t>
      </w:r>
      <w:r>
        <w:rPr>
          <w:rFonts w:hint="eastAsia" w:ascii="宋体" w:hAnsi="宋体"/>
          <w:szCs w:val="21"/>
          <w:highlight w:val="none"/>
          <w:lang w:val="en-US" w:eastAsia="zh-CN"/>
        </w:rPr>
        <w:t>扣除相应罚款后</w:t>
      </w:r>
      <w:r>
        <w:rPr>
          <w:rFonts w:hint="eastAsia" w:ascii="宋体" w:hAnsi="宋体"/>
          <w:szCs w:val="21"/>
          <w:highlight w:val="none"/>
        </w:rPr>
        <w:t>一次性付还给承包人（不计利息）；但承包人必须按本保修书履行保修期未完的责任，否则，招标人将以法律方式对承包人提出赔偿</w:t>
      </w:r>
      <w:r>
        <w:rPr>
          <w:rFonts w:hint="eastAsia" w:ascii="宋体" w:hAnsi="宋体"/>
          <w:szCs w:val="21"/>
          <w:highlight w:val="none"/>
        </w:rPr>
        <w:t>。</w:t>
      </w:r>
    </w:p>
    <w:p>
      <w:pPr>
        <w:spacing w:line="480" w:lineRule="exact"/>
        <w:ind w:right="-378" w:rightChars="-180"/>
        <w:rPr>
          <w:rFonts w:ascii="宋体" w:hAnsi="宋体"/>
          <w:szCs w:val="21"/>
          <w:highlight w:val="none"/>
        </w:rPr>
      </w:pPr>
      <w:r>
        <w:rPr>
          <w:rFonts w:hint="eastAsia" w:ascii="宋体" w:hAnsi="宋体"/>
          <w:szCs w:val="21"/>
          <w:highlight w:val="none"/>
        </w:rPr>
        <w:t>6．其他</w:t>
      </w:r>
    </w:p>
    <w:p>
      <w:pPr>
        <w:spacing w:line="480" w:lineRule="exact"/>
        <w:ind w:right="-378" w:rightChars="-180"/>
        <w:rPr>
          <w:rFonts w:ascii="宋体" w:hAnsi="宋体"/>
          <w:szCs w:val="21"/>
          <w:highlight w:val="none"/>
        </w:rPr>
      </w:pPr>
      <w:r>
        <w:rPr>
          <w:rFonts w:hint="eastAsia" w:ascii="宋体" w:hAnsi="宋体"/>
          <w:szCs w:val="21"/>
          <w:highlight w:val="none"/>
        </w:rPr>
        <w:t>6.1 合同双方当事人约定的其他质量保修事项：</w:t>
      </w:r>
    </w:p>
    <w:p>
      <w:pPr>
        <w:spacing w:line="480" w:lineRule="exact"/>
        <w:ind w:right="-378" w:rightChars="-180"/>
        <w:rPr>
          <w:rFonts w:ascii="宋体" w:hAnsi="宋体"/>
          <w:szCs w:val="21"/>
          <w:highlight w:val="none"/>
        </w:rPr>
      </w:pPr>
      <w:r>
        <w:rPr>
          <w:rFonts w:hint="eastAsia" w:ascii="宋体" w:hAnsi="宋体"/>
          <w:szCs w:val="21"/>
          <w:highlight w:val="none"/>
        </w:rPr>
        <w:t>6.2 本质量保修书，由合同双方当事人在承包人向招标人提交竣工验收申请报告时签署作为本合同的附件。</w:t>
      </w:r>
    </w:p>
    <w:p>
      <w:pPr>
        <w:spacing w:line="480" w:lineRule="exact"/>
        <w:ind w:right="-378" w:rightChars="-180"/>
        <w:rPr>
          <w:rFonts w:ascii="宋体" w:hAnsi="宋体"/>
          <w:szCs w:val="21"/>
          <w:highlight w:val="none"/>
        </w:rPr>
      </w:pPr>
      <w:r>
        <w:rPr>
          <w:rFonts w:hint="eastAsia" w:ascii="宋体" w:hAnsi="宋体"/>
          <w:szCs w:val="21"/>
          <w:highlight w:val="none"/>
        </w:rPr>
        <w:t>6.3 本质量保修书，自双方当事人签署之日起生效，至质量保修期满后失效。</w:t>
      </w:r>
    </w:p>
    <w:p>
      <w:pPr>
        <w:spacing w:line="480" w:lineRule="exact"/>
        <w:ind w:right="-378" w:rightChars="-180"/>
        <w:rPr>
          <w:rFonts w:ascii="宋体" w:hAnsi="宋体"/>
          <w:szCs w:val="21"/>
          <w:highlight w:val="none"/>
          <w:u w:val="single" w:color="000000"/>
        </w:rPr>
      </w:pPr>
    </w:p>
    <w:p>
      <w:pPr>
        <w:spacing w:line="480" w:lineRule="exact"/>
        <w:ind w:right="-378" w:rightChars="-180"/>
        <w:rPr>
          <w:rFonts w:ascii="宋体" w:hAnsi="宋体"/>
          <w:szCs w:val="21"/>
          <w:highlight w:val="none"/>
          <w:u w:val="single" w:color="000000"/>
        </w:rPr>
      </w:pPr>
      <w:r>
        <w:rPr>
          <w:rFonts w:hint="eastAsia" w:ascii="宋体" w:hAnsi="宋体"/>
          <w:szCs w:val="21"/>
          <w:highlight w:val="none"/>
          <w:u w:val="single" w:color="000000"/>
        </w:rPr>
        <w:t>以下无正文</w:t>
      </w:r>
    </w:p>
    <w:p>
      <w:pPr>
        <w:spacing w:line="480" w:lineRule="exact"/>
        <w:ind w:right="-378" w:rightChars="-180"/>
        <w:rPr>
          <w:rFonts w:ascii="宋体" w:hAnsi="宋体"/>
          <w:szCs w:val="21"/>
          <w:highlight w:val="none"/>
        </w:rPr>
      </w:pPr>
    </w:p>
    <w:p>
      <w:pPr>
        <w:spacing w:line="480" w:lineRule="exact"/>
        <w:ind w:right="-378" w:rightChars="-180"/>
        <w:rPr>
          <w:rFonts w:ascii="宋体" w:hAnsi="宋体"/>
          <w:szCs w:val="21"/>
          <w:highlight w:val="none"/>
        </w:rPr>
      </w:pPr>
      <w:r>
        <w:rPr>
          <w:rFonts w:hint="eastAsia" w:ascii="宋体" w:hAnsi="宋体"/>
          <w:szCs w:val="21"/>
          <w:highlight w:val="none"/>
        </w:rPr>
        <w:t>发 包 人：（公章）                            承 包 人 ：（公章）</w:t>
      </w:r>
    </w:p>
    <w:p>
      <w:pPr>
        <w:spacing w:line="480" w:lineRule="exact"/>
        <w:ind w:right="-378" w:rightChars="-180"/>
        <w:rPr>
          <w:rFonts w:ascii="宋体" w:hAnsi="宋体"/>
          <w:szCs w:val="21"/>
          <w:highlight w:val="none"/>
        </w:rPr>
      </w:pPr>
    </w:p>
    <w:p>
      <w:pPr>
        <w:spacing w:line="480" w:lineRule="exact"/>
        <w:ind w:right="-378" w:rightChars="-180"/>
        <w:rPr>
          <w:rFonts w:ascii="宋体" w:hAnsi="宋体"/>
          <w:szCs w:val="21"/>
          <w:highlight w:val="none"/>
        </w:rPr>
      </w:pPr>
      <w:r>
        <w:rPr>
          <w:rFonts w:hint="eastAsia" w:ascii="宋体" w:hAnsi="宋体"/>
          <w:szCs w:val="21"/>
          <w:highlight w:val="none"/>
        </w:rPr>
        <w:t>法定代表人：（签字）                          法定代表人：（签字）</w:t>
      </w:r>
    </w:p>
    <w:p>
      <w:pPr>
        <w:spacing w:line="480" w:lineRule="exact"/>
        <w:ind w:right="-378" w:rightChars="-180"/>
        <w:rPr>
          <w:rFonts w:ascii="宋体" w:hAnsi="宋体"/>
          <w:szCs w:val="21"/>
          <w:highlight w:val="none"/>
        </w:rPr>
      </w:pPr>
    </w:p>
    <w:p>
      <w:pPr>
        <w:spacing w:line="480" w:lineRule="exact"/>
        <w:ind w:right="-378" w:rightChars="-180"/>
        <w:rPr>
          <w:rFonts w:ascii="宋体" w:hAnsi="宋体"/>
          <w:szCs w:val="21"/>
          <w:highlight w:val="none"/>
        </w:rPr>
      </w:pPr>
      <w:r>
        <w:rPr>
          <w:rFonts w:hint="eastAsia" w:ascii="宋体" w:hAnsi="宋体"/>
          <w:szCs w:val="21"/>
          <w:highlight w:val="none"/>
        </w:rPr>
        <w:t>年  月  日                                   年  月  日</w:t>
      </w:r>
    </w:p>
    <w:p>
      <w:pPr>
        <w:spacing w:line="480" w:lineRule="exact"/>
        <w:ind w:right="-378" w:rightChars="-180"/>
        <w:rPr>
          <w:rFonts w:ascii="宋体" w:hAnsi="宋体"/>
          <w:szCs w:val="21"/>
          <w:highlight w:val="none"/>
        </w:rPr>
      </w:pPr>
      <w:r>
        <w:rPr>
          <w:rFonts w:hint="eastAsia" w:ascii="宋体" w:hAnsi="宋体"/>
          <w:szCs w:val="21"/>
          <w:highlight w:val="none"/>
          <w:u w:val="single" w:color="000000"/>
        </w:rPr>
        <w:t xml:space="preserve">附件2 </w:t>
      </w:r>
    </w:p>
    <w:p>
      <w:pPr>
        <w:spacing w:line="480" w:lineRule="exact"/>
        <w:ind w:right="-378" w:rightChars="-180"/>
        <w:jc w:val="center"/>
        <w:rPr>
          <w:rFonts w:ascii="宋体" w:hAnsi="宋体"/>
          <w:b/>
          <w:sz w:val="32"/>
          <w:szCs w:val="32"/>
          <w:highlight w:val="none"/>
        </w:rPr>
      </w:pPr>
      <w:r>
        <w:rPr>
          <w:rFonts w:hint="eastAsia" w:ascii="宋体" w:hAnsi="宋体"/>
          <w:b/>
          <w:sz w:val="32"/>
          <w:szCs w:val="32"/>
          <w:highlight w:val="none"/>
        </w:rPr>
        <w:t>安全文明生产责任书</w:t>
      </w:r>
    </w:p>
    <w:p>
      <w:pPr>
        <w:spacing w:line="480" w:lineRule="exact"/>
        <w:ind w:right="-378" w:rightChars="-180"/>
        <w:rPr>
          <w:rFonts w:ascii="宋体" w:hAnsi="宋体"/>
          <w:b/>
          <w:sz w:val="32"/>
          <w:szCs w:val="32"/>
          <w:highlight w:val="none"/>
        </w:rPr>
      </w:pPr>
    </w:p>
    <w:p>
      <w:pPr>
        <w:spacing w:line="480" w:lineRule="exact"/>
        <w:ind w:right="-378" w:rightChars="-180"/>
        <w:rPr>
          <w:rFonts w:ascii="宋体" w:hAnsi="宋体"/>
          <w:szCs w:val="21"/>
          <w:highlight w:val="none"/>
          <w:u w:val="single" w:color="000000"/>
        </w:rPr>
      </w:pPr>
      <w:r>
        <w:rPr>
          <w:rFonts w:hint="eastAsia" w:ascii="宋体" w:hAnsi="宋体"/>
          <w:szCs w:val="21"/>
          <w:highlight w:val="none"/>
          <w:u w:val="single" w:color="000000"/>
        </w:rPr>
        <w:t>为加强在建工程建设项目安全生产监督管理，贯彻“安全第一、预防为主”的方针，到安全施工管理工作的标准化与规范化，并进一步明确有关方的安全职责，防止和减少安全生产事故，保障人民群众生命和财产安全。根据先关法律、法规，结合南京市安全生产管理有关要求，现确定由建设单位和、承包单位签订本《安全文明生产责任书》，明确各方职责，并作为安全管理的指导与检查执行依据</w:t>
      </w:r>
    </w:p>
    <w:p>
      <w:pPr>
        <w:spacing w:line="480" w:lineRule="exact"/>
        <w:ind w:right="-378" w:rightChars="-180"/>
        <w:rPr>
          <w:rFonts w:ascii="宋体" w:hAnsi="宋体"/>
          <w:szCs w:val="21"/>
          <w:highlight w:val="none"/>
          <w:u w:val="single" w:color="000000"/>
        </w:rPr>
      </w:pPr>
      <w:r>
        <w:rPr>
          <w:rFonts w:hint="eastAsia" w:ascii="宋体" w:hAnsi="宋体"/>
          <w:szCs w:val="21"/>
          <w:highlight w:val="none"/>
          <w:u w:val="single" w:color="000000"/>
        </w:rPr>
        <w:t>一、建设单位安全责任</w:t>
      </w:r>
    </w:p>
    <w:p>
      <w:pPr>
        <w:spacing w:line="480" w:lineRule="exact"/>
        <w:ind w:right="-378" w:rightChars="-180"/>
        <w:rPr>
          <w:rFonts w:ascii="宋体" w:hAnsi="宋体"/>
          <w:szCs w:val="21"/>
          <w:highlight w:val="none"/>
          <w:u w:val="single" w:color="000000"/>
        </w:rPr>
      </w:pPr>
      <w:r>
        <w:rPr>
          <w:rFonts w:hint="eastAsia" w:ascii="宋体" w:hAnsi="宋体"/>
          <w:szCs w:val="21"/>
          <w:highlight w:val="none"/>
          <w:u w:val="single" w:color="000000"/>
        </w:rPr>
        <w:t>工程开工前，按合同要求配合承包单位做好安全准备工作；监督承包单位加强安全管理和按合同规定，要求施工企业加大安全投入；要求承包单位自觉执行国家及行业安全管理技术标准。</w:t>
      </w:r>
    </w:p>
    <w:p>
      <w:pPr>
        <w:spacing w:line="480" w:lineRule="exact"/>
        <w:ind w:right="-378" w:rightChars="-180"/>
        <w:rPr>
          <w:rFonts w:ascii="宋体" w:hAnsi="宋体"/>
          <w:szCs w:val="21"/>
          <w:highlight w:val="none"/>
          <w:u w:val="single" w:color="000000"/>
        </w:rPr>
      </w:pPr>
      <w:r>
        <w:rPr>
          <w:rFonts w:hint="eastAsia" w:ascii="宋体" w:hAnsi="宋体"/>
          <w:szCs w:val="21"/>
          <w:highlight w:val="none"/>
          <w:u w:val="single" w:color="000000"/>
        </w:rPr>
        <w:t>二、承包单位安全责任</w:t>
      </w:r>
    </w:p>
    <w:p>
      <w:pPr>
        <w:spacing w:line="480" w:lineRule="exact"/>
        <w:ind w:right="-378" w:rightChars="-180"/>
        <w:rPr>
          <w:rFonts w:ascii="宋体" w:hAnsi="宋体"/>
          <w:szCs w:val="21"/>
          <w:highlight w:val="none"/>
          <w:u w:val="single" w:color="000000"/>
        </w:rPr>
      </w:pPr>
      <w:r>
        <w:rPr>
          <w:rFonts w:hint="eastAsia" w:ascii="宋体" w:hAnsi="宋体"/>
          <w:szCs w:val="21"/>
          <w:highlight w:val="none"/>
          <w:u w:val="single" w:color="000000"/>
        </w:rPr>
        <w:t>1、承包单位对施工现场的安全生产负主要责任。承包单位须建立健全安全生产责任制度和安全生产教育培训制度，制定安全生产规章制度和操作规范，对所承建的工程项目进行定期和专项安全检查，并做好安全检查记录。</w:t>
      </w:r>
    </w:p>
    <w:p>
      <w:pPr>
        <w:spacing w:line="480" w:lineRule="exact"/>
        <w:ind w:right="-378" w:rightChars="-180"/>
        <w:rPr>
          <w:rFonts w:ascii="宋体" w:hAnsi="宋体"/>
          <w:szCs w:val="21"/>
          <w:highlight w:val="none"/>
          <w:u w:val="single" w:color="000000"/>
        </w:rPr>
      </w:pPr>
      <w:r>
        <w:rPr>
          <w:rFonts w:hint="eastAsia" w:ascii="宋体" w:hAnsi="宋体"/>
          <w:szCs w:val="21"/>
          <w:highlight w:val="none"/>
          <w:u w:val="single" w:color="000000"/>
        </w:rPr>
        <w:t>2、承包单位法人代表依法对本单位承建的工程项目安全生产工作全面负责。项目负责人（项目经理）须由取得相应执业资格的人员担任，对工程项目的现场安全施工负第一责任，落实安全生产第一责任、安全生产规章制度和操作规程，并根据工程的特点组织制定安全施工措施，消除安全事故隐患，及时、如实报告生产安全事故。</w:t>
      </w:r>
    </w:p>
    <w:p>
      <w:pPr>
        <w:spacing w:line="480" w:lineRule="exact"/>
        <w:ind w:right="-378" w:rightChars="-180"/>
        <w:rPr>
          <w:rFonts w:ascii="宋体" w:hAnsi="宋体"/>
          <w:szCs w:val="21"/>
          <w:highlight w:val="none"/>
          <w:u w:val="single" w:color="000000"/>
        </w:rPr>
      </w:pPr>
      <w:r>
        <w:rPr>
          <w:rFonts w:hint="eastAsia" w:ascii="宋体" w:hAnsi="宋体"/>
          <w:szCs w:val="21"/>
          <w:highlight w:val="none"/>
          <w:u w:val="single" w:color="000000"/>
        </w:rPr>
        <w:t>3、承包单位须设立安全生产管理机构，按照国家有关规定配备专职安全生产管理人员。施工现场必须有专职安全生产管理人员，负责对安全生产进行现场监督检查。发现生产中存在安全事故隐患，须及时向项目负责人和安全生产管理机构报告；对违章指挥、违章操作的，须立即制止。</w:t>
      </w:r>
    </w:p>
    <w:p>
      <w:pPr>
        <w:spacing w:line="480" w:lineRule="exact"/>
        <w:ind w:right="-378" w:rightChars="-180"/>
        <w:rPr>
          <w:rFonts w:ascii="宋体" w:hAnsi="宋体"/>
          <w:szCs w:val="21"/>
          <w:highlight w:val="none"/>
          <w:u w:val="single" w:color="000000"/>
        </w:rPr>
      </w:pPr>
      <w:r>
        <w:rPr>
          <w:rFonts w:hint="eastAsia" w:ascii="宋体" w:hAnsi="宋体"/>
          <w:szCs w:val="21"/>
          <w:highlight w:val="none"/>
          <w:u w:val="single" w:color="000000"/>
        </w:rPr>
        <w:t>4、承包单位在编制施工组织设计时，须根据特点制定相应的安全技术措施；对专业性较强的分部分项工程，应编制专项安全施工组织设计，并采取措施严格执行。</w:t>
      </w:r>
    </w:p>
    <w:p>
      <w:pPr>
        <w:spacing w:line="480" w:lineRule="exact"/>
        <w:ind w:right="-378" w:rightChars="-180"/>
        <w:rPr>
          <w:rFonts w:ascii="宋体" w:hAnsi="宋体"/>
          <w:szCs w:val="21"/>
          <w:highlight w:val="none"/>
          <w:u w:val="single" w:color="000000"/>
        </w:rPr>
      </w:pPr>
      <w:r>
        <w:rPr>
          <w:rFonts w:hint="eastAsia" w:ascii="宋体" w:hAnsi="宋体"/>
          <w:szCs w:val="21"/>
          <w:highlight w:val="none"/>
          <w:u w:val="single" w:color="000000"/>
        </w:rPr>
        <w:t>5、施工现场应建立健全各类现场安全管理制度，如施工现场定期安全检查与会议制度、各类设备、设施的安全验收制度、安全技术交底制度、安全生产奖罚制度、安全内业资料管理制度及各种技术操作规程及职责等。施工现场必须严格执行施工临时用电、脚手架及高处作业防护、施工机械的安全检查、验收制度，对无验收手续或验收不合格的坚决不予适用。</w:t>
      </w:r>
    </w:p>
    <w:p>
      <w:pPr>
        <w:spacing w:line="480" w:lineRule="exact"/>
        <w:ind w:right="-378" w:rightChars="-180"/>
        <w:rPr>
          <w:rFonts w:ascii="宋体" w:hAnsi="宋体"/>
          <w:szCs w:val="21"/>
          <w:highlight w:val="none"/>
          <w:u w:val="single" w:color="000000"/>
        </w:rPr>
      </w:pPr>
      <w:r>
        <w:rPr>
          <w:rFonts w:hint="eastAsia" w:ascii="宋体" w:hAnsi="宋体"/>
          <w:szCs w:val="21"/>
          <w:highlight w:val="none"/>
          <w:u w:val="single" w:color="000000"/>
        </w:rPr>
        <w:t>6、承包单位须严格执行国家及行政主管部门有关工程建设安全的各项法律、法令、法规及行业规章、规程等管理规定，严禁各类违章指挥与违章作业，同时加强安全日常检查，对存在的问题及时整改，并做好记录。</w:t>
      </w:r>
    </w:p>
    <w:p>
      <w:pPr>
        <w:spacing w:line="480" w:lineRule="exact"/>
        <w:ind w:right="-378" w:rightChars="-180"/>
        <w:rPr>
          <w:rFonts w:ascii="宋体" w:hAnsi="宋体"/>
          <w:szCs w:val="21"/>
          <w:highlight w:val="none"/>
          <w:u w:val="single" w:color="000000"/>
        </w:rPr>
      </w:pPr>
      <w:r>
        <w:rPr>
          <w:rFonts w:hint="eastAsia" w:ascii="宋体" w:hAnsi="宋体"/>
          <w:szCs w:val="21"/>
          <w:highlight w:val="none"/>
          <w:u w:val="single" w:color="000000"/>
        </w:rPr>
        <w:t>7、承包单位应当建立健全劳动安全生产教育培训制度，加强对职工岗位教育培训，提高工人安全防范意识，特种工人必须持证上岗。</w:t>
      </w:r>
    </w:p>
    <w:p>
      <w:pPr>
        <w:spacing w:line="480" w:lineRule="exact"/>
        <w:ind w:right="-378" w:rightChars="-180"/>
        <w:rPr>
          <w:rFonts w:hint="default" w:ascii="宋体" w:hAnsi="宋体" w:eastAsia="宋体"/>
          <w:szCs w:val="21"/>
          <w:highlight w:val="none"/>
          <w:u w:val="single" w:color="000000"/>
          <w:lang w:val="en-US" w:eastAsia="zh-CN"/>
        </w:rPr>
      </w:pPr>
      <w:r>
        <w:rPr>
          <w:rFonts w:hint="eastAsia" w:ascii="宋体" w:hAnsi="宋体"/>
          <w:szCs w:val="21"/>
          <w:highlight w:val="none"/>
          <w:u w:val="single" w:color="000000"/>
        </w:rPr>
        <w:t>8、施工中发生事故时，承包单位应当采取紧急措施，减少人员伤亡和事故损失，并按照国家有关规定及时向有关部门报告</w:t>
      </w:r>
      <w:r>
        <w:rPr>
          <w:rFonts w:hint="eastAsia" w:ascii="宋体" w:hAnsi="宋体"/>
          <w:szCs w:val="21"/>
          <w:highlight w:val="none"/>
          <w:u w:val="single" w:color="000000"/>
          <w:lang w:val="en-US" w:eastAsia="zh-CN"/>
        </w:rPr>
        <w:t>并承担一切相应责任与损失，甲方在责令承包单位按时整改同时对乙方处以10000元的罚款。</w:t>
      </w:r>
    </w:p>
    <w:p>
      <w:pPr>
        <w:spacing w:line="480" w:lineRule="exact"/>
        <w:ind w:right="-378" w:rightChars="-180"/>
        <w:rPr>
          <w:rFonts w:ascii="宋体" w:hAnsi="宋体"/>
          <w:szCs w:val="21"/>
          <w:highlight w:val="none"/>
          <w:u w:val="single" w:color="000000"/>
        </w:rPr>
      </w:pPr>
      <w:r>
        <w:rPr>
          <w:rFonts w:hint="eastAsia" w:ascii="宋体" w:hAnsi="宋体"/>
          <w:szCs w:val="21"/>
          <w:highlight w:val="none"/>
          <w:u w:val="single" w:color="000000"/>
        </w:rPr>
        <w:t>本责任书一式陆份，建设单位叁份，承包单位叁份，自签订之日起生效。</w:t>
      </w:r>
    </w:p>
    <w:p>
      <w:pPr>
        <w:spacing w:line="480" w:lineRule="exact"/>
        <w:ind w:right="-378" w:rightChars="-180"/>
        <w:rPr>
          <w:rFonts w:ascii="宋体" w:hAnsi="宋体"/>
          <w:szCs w:val="21"/>
          <w:highlight w:val="none"/>
          <w:u w:val="single" w:color="000000"/>
        </w:rPr>
      </w:pPr>
    </w:p>
    <w:p>
      <w:pPr>
        <w:spacing w:line="480" w:lineRule="exact"/>
        <w:ind w:right="-378" w:rightChars="-180"/>
        <w:rPr>
          <w:rFonts w:ascii="宋体" w:hAnsi="宋体"/>
          <w:szCs w:val="21"/>
          <w:highlight w:val="none"/>
        </w:rPr>
      </w:pPr>
    </w:p>
    <w:p>
      <w:pPr>
        <w:spacing w:line="480" w:lineRule="exact"/>
        <w:ind w:right="-378" w:rightChars="-180"/>
        <w:rPr>
          <w:rFonts w:ascii="宋体" w:hAnsi="宋体"/>
          <w:szCs w:val="21"/>
          <w:highlight w:val="none"/>
        </w:rPr>
      </w:pPr>
      <w:r>
        <w:rPr>
          <w:rFonts w:hint="eastAsia" w:ascii="宋体" w:hAnsi="宋体"/>
          <w:szCs w:val="21"/>
          <w:highlight w:val="none"/>
        </w:rPr>
        <w:t>发 包 人：（公章）                            承 包 人 ：（公章）</w:t>
      </w:r>
    </w:p>
    <w:p>
      <w:pPr>
        <w:spacing w:line="480" w:lineRule="exact"/>
        <w:ind w:right="-378" w:rightChars="-180"/>
        <w:rPr>
          <w:rFonts w:ascii="宋体" w:hAnsi="宋体"/>
          <w:szCs w:val="21"/>
          <w:highlight w:val="none"/>
        </w:rPr>
      </w:pPr>
    </w:p>
    <w:p>
      <w:pPr>
        <w:spacing w:line="480" w:lineRule="exact"/>
        <w:ind w:right="-378" w:rightChars="-180"/>
        <w:rPr>
          <w:rFonts w:ascii="宋体" w:hAnsi="宋体"/>
          <w:szCs w:val="21"/>
          <w:highlight w:val="none"/>
        </w:rPr>
      </w:pPr>
      <w:r>
        <w:rPr>
          <w:rFonts w:hint="eastAsia" w:ascii="宋体" w:hAnsi="宋体"/>
          <w:szCs w:val="21"/>
          <w:highlight w:val="none"/>
        </w:rPr>
        <w:t>法定代表人：（签字）                          法定代表人：（签字）</w:t>
      </w:r>
    </w:p>
    <w:p>
      <w:pPr>
        <w:spacing w:line="480" w:lineRule="exact"/>
        <w:ind w:right="-378" w:rightChars="-180"/>
        <w:rPr>
          <w:rFonts w:ascii="宋体" w:hAnsi="宋体"/>
          <w:szCs w:val="21"/>
          <w:highlight w:val="none"/>
        </w:rPr>
      </w:pPr>
    </w:p>
    <w:p>
      <w:pPr>
        <w:spacing w:line="480" w:lineRule="exact"/>
        <w:ind w:right="-378" w:rightChars="-180" w:firstLine="840" w:firstLineChars="400"/>
        <w:rPr>
          <w:rFonts w:ascii="宋体" w:hAnsi="宋体"/>
          <w:szCs w:val="21"/>
          <w:highlight w:val="none"/>
        </w:rPr>
      </w:pPr>
      <w:r>
        <w:rPr>
          <w:rFonts w:hint="eastAsia" w:ascii="宋体" w:hAnsi="宋体"/>
          <w:szCs w:val="21"/>
          <w:highlight w:val="none"/>
        </w:rPr>
        <w:t>年  月  日                                   年  月  日</w:t>
      </w:r>
    </w:p>
    <w:p>
      <w:pPr>
        <w:rPr>
          <w:b/>
          <w:highlight w:val="none"/>
        </w:rPr>
      </w:pPr>
    </w:p>
    <w:p>
      <w:pPr>
        <w:jc w:val="left"/>
        <w:rPr>
          <w:rFonts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ab/>
      </w:r>
    </w:p>
    <w:p>
      <w:pPr>
        <w:spacing w:line="400" w:lineRule="exact"/>
        <w:ind w:right="-378" w:rightChars="-180"/>
        <w:rPr>
          <w:rFonts w:ascii="宋体" w:hAnsi="宋体"/>
          <w:b/>
          <w:bCs/>
          <w:color w:val="auto"/>
          <w:szCs w:val="21"/>
          <w:highlight w:val="none"/>
        </w:rPr>
      </w:pPr>
      <w:r>
        <w:rPr>
          <w:rFonts w:hint="eastAsia" w:ascii="宋体" w:hAnsi="宋体"/>
          <w:b/>
          <w:bCs/>
          <w:color w:val="auto"/>
          <w:szCs w:val="21"/>
          <w:highlight w:val="none"/>
        </w:rPr>
        <w:t>附件3：</w:t>
      </w:r>
      <w:r>
        <w:rPr>
          <w:rFonts w:hint="eastAsia" w:ascii="宋体" w:hAnsi="宋体"/>
          <w:b/>
          <w:color w:val="auto"/>
          <w:szCs w:val="21"/>
          <w:highlight w:val="none"/>
        </w:rPr>
        <w:t>采购清单及技术要求</w:t>
      </w:r>
    </w:p>
    <w:p>
      <w:pPr>
        <w:rPr>
          <w:color w:val="auto"/>
          <w:highlight w:val="none"/>
        </w:rPr>
      </w:pPr>
    </w:p>
    <w:bookmarkEnd w:id="13"/>
    <w:p>
      <w:pPr>
        <w:pStyle w:val="3"/>
        <w:numPr>
          <w:ilvl w:val="0"/>
          <w:numId w:val="0"/>
        </w:numPr>
        <w:rPr>
          <w:rFonts w:ascii="Arial" w:hAnsi="Arial" w:cs="Arial"/>
          <w:color w:val="auto"/>
          <w:highlight w:val="none"/>
        </w:rPr>
      </w:pPr>
      <w:bookmarkStart w:id="14" w:name="_Toc24445"/>
    </w:p>
    <w:p>
      <w:pPr>
        <w:pStyle w:val="3"/>
        <w:numPr>
          <w:ilvl w:val="0"/>
          <w:numId w:val="0"/>
        </w:numPr>
        <w:rPr>
          <w:rFonts w:ascii="Arial" w:hAnsi="Arial" w:cs="Arial"/>
          <w:color w:val="auto"/>
          <w:highlight w:val="none"/>
        </w:rPr>
      </w:pPr>
      <w:r>
        <w:rPr>
          <w:rFonts w:ascii="Arial" w:hAnsi="Arial" w:cs="Arial"/>
          <w:color w:val="auto"/>
          <w:highlight w:val="none"/>
        </w:rPr>
        <w:t>第六章 附件</w:t>
      </w:r>
      <w:bookmarkEnd w:id="14"/>
    </w:p>
    <w:p>
      <w:pPr>
        <w:widowControl/>
        <w:adjustRightInd w:val="0"/>
        <w:spacing w:line="240" w:lineRule="atLeast"/>
        <w:jc w:val="left"/>
        <w:rPr>
          <w:rFonts w:ascii="Arial" w:hAnsi="Arial" w:cs="Arial"/>
          <w:b/>
          <w:bCs/>
          <w:color w:val="auto"/>
          <w:szCs w:val="21"/>
          <w:highlight w:val="none"/>
        </w:rPr>
      </w:pPr>
    </w:p>
    <w:p>
      <w:pPr>
        <w:spacing w:line="440" w:lineRule="exact"/>
        <w:rPr>
          <w:rFonts w:ascii="Arial" w:hAnsi="Arial" w:eastAsia="黑体" w:cs="Arial"/>
          <w:color w:val="auto"/>
          <w:sz w:val="20"/>
          <w:szCs w:val="20"/>
          <w:highlight w:val="none"/>
        </w:rPr>
      </w:pPr>
    </w:p>
    <w:p>
      <w:pPr>
        <w:spacing w:line="440" w:lineRule="exact"/>
        <w:rPr>
          <w:rFonts w:ascii="Arial" w:hAnsi="Arial" w:eastAsia="黑体" w:cs="Arial"/>
          <w:color w:val="auto"/>
          <w:sz w:val="20"/>
          <w:szCs w:val="20"/>
          <w:highlight w:val="none"/>
        </w:rPr>
      </w:pPr>
    </w:p>
    <w:p>
      <w:pPr>
        <w:spacing w:line="440" w:lineRule="exact"/>
        <w:rPr>
          <w:rFonts w:ascii="Arial" w:hAnsi="Arial" w:eastAsia="黑体" w:cs="Arial"/>
          <w:color w:val="auto"/>
          <w:sz w:val="20"/>
          <w:szCs w:val="20"/>
          <w:highlight w:val="none"/>
        </w:rPr>
      </w:pPr>
    </w:p>
    <w:p>
      <w:pPr>
        <w:jc w:val="center"/>
        <w:rPr>
          <w:rFonts w:hint="eastAsia" w:ascii="Arial" w:hAnsi="Arial" w:eastAsia="黑体" w:cs="Arial"/>
          <w:color w:val="auto"/>
          <w:sz w:val="40"/>
          <w:szCs w:val="40"/>
          <w:highlight w:val="none"/>
          <w:lang w:eastAsia="zh-CN"/>
        </w:rPr>
      </w:pPr>
      <w:r>
        <w:rPr>
          <w:rFonts w:hint="eastAsia" w:ascii="Arial" w:hAnsi="Arial" w:eastAsia="黑体" w:cs="Arial"/>
          <w:color w:val="auto"/>
          <w:sz w:val="40"/>
          <w:szCs w:val="40"/>
          <w:highlight w:val="none"/>
          <w:lang w:eastAsia="zh-CN"/>
        </w:rPr>
        <w:t>南京市建邺区兴隆街道居民小区垃圾分类</w:t>
      </w:r>
    </w:p>
    <w:p>
      <w:pPr>
        <w:jc w:val="center"/>
        <w:rPr>
          <w:rFonts w:hint="default" w:ascii="Arial" w:hAnsi="Arial" w:eastAsia="黑体" w:cs="Arial"/>
          <w:color w:val="auto"/>
          <w:sz w:val="20"/>
          <w:szCs w:val="20"/>
          <w:highlight w:val="none"/>
          <w:lang w:val="en-US"/>
        </w:rPr>
      </w:pPr>
      <w:r>
        <w:rPr>
          <w:rFonts w:hint="eastAsia" w:ascii="Arial" w:hAnsi="Arial" w:eastAsia="黑体" w:cs="Arial"/>
          <w:color w:val="auto"/>
          <w:sz w:val="40"/>
          <w:szCs w:val="40"/>
          <w:highlight w:val="none"/>
          <w:lang w:eastAsia="zh-CN"/>
        </w:rPr>
        <w:t>集中投放点建设项目</w:t>
      </w:r>
      <w:r>
        <w:rPr>
          <w:rFonts w:hint="eastAsia" w:ascii="Arial" w:hAnsi="Arial" w:eastAsia="黑体" w:cs="Arial"/>
          <w:color w:val="auto"/>
          <w:sz w:val="40"/>
          <w:szCs w:val="40"/>
          <w:highlight w:val="none"/>
          <w:lang w:val="en-US" w:eastAsia="zh-CN"/>
        </w:rPr>
        <w:t>标段（  ）</w:t>
      </w:r>
    </w:p>
    <w:p>
      <w:pPr>
        <w:jc w:val="center"/>
        <w:rPr>
          <w:rFonts w:ascii="Arial" w:hAnsi="Arial" w:eastAsia="黑体" w:cs="Arial"/>
          <w:color w:val="auto"/>
          <w:sz w:val="20"/>
          <w:szCs w:val="20"/>
          <w:highlight w:val="none"/>
        </w:rPr>
      </w:pPr>
    </w:p>
    <w:p>
      <w:pPr>
        <w:rPr>
          <w:rFonts w:ascii="Arial" w:hAnsi="Arial" w:eastAsia="黑体" w:cs="Arial"/>
          <w:color w:val="auto"/>
          <w:sz w:val="20"/>
          <w:szCs w:val="20"/>
          <w:highlight w:val="none"/>
        </w:rPr>
      </w:pPr>
    </w:p>
    <w:p>
      <w:pPr>
        <w:jc w:val="center"/>
        <w:rPr>
          <w:rFonts w:ascii="Arial" w:hAnsi="Arial" w:eastAsia="黑体" w:cs="Arial"/>
          <w:color w:val="auto"/>
          <w:sz w:val="44"/>
          <w:szCs w:val="44"/>
          <w:highlight w:val="none"/>
        </w:rPr>
      </w:pPr>
      <w:r>
        <w:rPr>
          <w:rFonts w:ascii="Arial" w:hAnsi="Arial" w:eastAsia="黑体" w:cs="Arial"/>
          <w:color w:val="auto"/>
          <w:sz w:val="44"/>
          <w:szCs w:val="44"/>
          <w:highlight w:val="none"/>
        </w:rPr>
        <w:t>投标文件</w:t>
      </w:r>
    </w:p>
    <w:p>
      <w:pPr>
        <w:rPr>
          <w:rFonts w:ascii="Arial" w:hAnsi="Arial" w:eastAsia="黑体" w:cs="Arial"/>
          <w:color w:val="auto"/>
          <w:sz w:val="28"/>
          <w:szCs w:val="28"/>
          <w:highlight w:val="none"/>
        </w:rPr>
      </w:pPr>
    </w:p>
    <w:p>
      <w:pPr>
        <w:rPr>
          <w:rFonts w:ascii="Arial" w:hAnsi="Arial" w:eastAsia="黑体" w:cs="Arial"/>
          <w:color w:val="auto"/>
          <w:sz w:val="28"/>
          <w:szCs w:val="28"/>
          <w:highlight w:val="none"/>
        </w:rPr>
      </w:pPr>
    </w:p>
    <w:p>
      <w:pPr>
        <w:rPr>
          <w:rFonts w:ascii="Arial" w:hAnsi="Arial" w:eastAsia="黑体" w:cs="Arial"/>
          <w:color w:val="auto"/>
          <w:sz w:val="28"/>
          <w:szCs w:val="28"/>
          <w:highlight w:val="none"/>
        </w:rPr>
      </w:pPr>
    </w:p>
    <w:p>
      <w:pPr>
        <w:rPr>
          <w:rFonts w:ascii="Arial" w:hAnsi="Arial" w:eastAsia="黑体" w:cs="Arial"/>
          <w:color w:val="auto"/>
          <w:sz w:val="28"/>
          <w:szCs w:val="28"/>
          <w:highlight w:val="none"/>
        </w:rPr>
      </w:pPr>
    </w:p>
    <w:p>
      <w:pPr>
        <w:rPr>
          <w:rFonts w:ascii="Arial" w:hAnsi="Arial" w:eastAsia="黑体" w:cs="Arial"/>
          <w:color w:val="auto"/>
          <w:sz w:val="28"/>
          <w:szCs w:val="28"/>
          <w:highlight w:val="none"/>
        </w:rPr>
      </w:pPr>
    </w:p>
    <w:p>
      <w:pPr>
        <w:rPr>
          <w:rFonts w:ascii="Arial" w:hAnsi="Arial" w:eastAsia="黑体" w:cs="Arial"/>
          <w:color w:val="auto"/>
          <w:sz w:val="28"/>
          <w:szCs w:val="28"/>
          <w:highlight w:val="none"/>
        </w:rPr>
      </w:pPr>
    </w:p>
    <w:p>
      <w:pPr>
        <w:rPr>
          <w:rFonts w:ascii="Arial" w:hAnsi="Arial" w:eastAsia="黑体" w:cs="Arial"/>
          <w:color w:val="auto"/>
          <w:sz w:val="28"/>
          <w:szCs w:val="28"/>
          <w:highlight w:val="none"/>
        </w:rPr>
      </w:pPr>
    </w:p>
    <w:p>
      <w:pPr>
        <w:rPr>
          <w:rFonts w:ascii="Arial" w:hAnsi="Arial" w:eastAsia="黑体" w:cs="Arial"/>
          <w:color w:val="auto"/>
          <w:sz w:val="28"/>
          <w:szCs w:val="28"/>
          <w:highlight w:val="none"/>
        </w:rPr>
      </w:pPr>
    </w:p>
    <w:p>
      <w:pPr>
        <w:jc w:val="center"/>
        <w:rPr>
          <w:rFonts w:ascii="Arial" w:hAnsi="Arial" w:eastAsia="黑体" w:cs="Arial"/>
          <w:color w:val="auto"/>
          <w:sz w:val="28"/>
          <w:szCs w:val="28"/>
          <w:highlight w:val="none"/>
          <w:u w:val="single"/>
        </w:rPr>
      </w:pPr>
      <w:r>
        <w:rPr>
          <w:rFonts w:hint="eastAsia" w:ascii="Arial" w:hAnsi="Arial" w:eastAsia="黑体" w:cs="Arial"/>
          <w:color w:val="auto"/>
          <w:sz w:val="28"/>
          <w:szCs w:val="28"/>
          <w:highlight w:val="none"/>
          <w:lang w:eastAsia="zh-CN"/>
        </w:rPr>
        <w:t>供应商</w:t>
      </w:r>
      <w:r>
        <w:rPr>
          <w:rFonts w:ascii="Arial" w:hAnsi="Arial" w:eastAsia="黑体" w:cs="Arial"/>
          <w:color w:val="auto"/>
          <w:sz w:val="28"/>
          <w:szCs w:val="28"/>
          <w:highlight w:val="none"/>
        </w:rPr>
        <w:t>：（盖单位章）</w:t>
      </w:r>
    </w:p>
    <w:p>
      <w:pPr>
        <w:jc w:val="center"/>
        <w:rPr>
          <w:rFonts w:ascii="Arial" w:hAnsi="Arial" w:eastAsia="黑体" w:cs="Arial"/>
          <w:color w:val="auto"/>
          <w:sz w:val="28"/>
          <w:szCs w:val="28"/>
          <w:highlight w:val="none"/>
        </w:rPr>
      </w:pPr>
      <w:r>
        <w:rPr>
          <w:rFonts w:ascii="Arial" w:hAnsi="Arial" w:eastAsia="黑体" w:cs="Arial"/>
          <w:color w:val="auto"/>
          <w:sz w:val="28"/>
          <w:szCs w:val="28"/>
          <w:highlight w:val="none"/>
        </w:rPr>
        <w:t>法定代表人或其委托代理人：（签字）</w:t>
      </w:r>
    </w:p>
    <w:p>
      <w:pPr>
        <w:jc w:val="center"/>
        <w:rPr>
          <w:rFonts w:ascii="Arial" w:hAnsi="Arial" w:eastAsia="黑体" w:cs="Arial"/>
          <w:color w:val="auto"/>
          <w:sz w:val="28"/>
          <w:szCs w:val="28"/>
          <w:highlight w:val="none"/>
        </w:rPr>
      </w:pPr>
      <w:r>
        <w:rPr>
          <w:rFonts w:ascii="Arial" w:hAnsi="Arial" w:eastAsia="黑体" w:cs="Arial"/>
          <w:color w:val="auto"/>
          <w:sz w:val="28"/>
          <w:szCs w:val="28"/>
          <w:highlight w:val="none"/>
        </w:rPr>
        <w:t>年 月  日</w:t>
      </w:r>
    </w:p>
    <w:p>
      <w:pPr>
        <w:widowControl/>
        <w:jc w:val="left"/>
        <w:rPr>
          <w:rFonts w:ascii="Arial" w:hAnsi="Arial" w:eastAsia="黑体" w:cs="Arial"/>
          <w:color w:val="auto"/>
          <w:sz w:val="28"/>
          <w:szCs w:val="28"/>
          <w:highlight w:val="none"/>
        </w:rPr>
      </w:pPr>
      <w:r>
        <w:rPr>
          <w:rFonts w:ascii="Arial" w:hAnsi="Arial" w:eastAsia="黑体" w:cs="Arial"/>
          <w:color w:val="auto"/>
          <w:sz w:val="28"/>
          <w:szCs w:val="28"/>
          <w:highlight w:val="none"/>
        </w:rPr>
        <w:br w:type="page"/>
      </w:r>
    </w:p>
    <w:p>
      <w:pPr>
        <w:spacing w:before="312" w:beforeLines="100" w:after="312" w:afterLines="100"/>
        <w:jc w:val="center"/>
        <w:rPr>
          <w:rFonts w:ascii="Arial" w:hAnsi="Arial" w:eastAsia="黑体" w:cs="Arial"/>
          <w:color w:val="auto"/>
          <w:sz w:val="32"/>
          <w:szCs w:val="32"/>
          <w:highlight w:val="none"/>
        </w:rPr>
      </w:pPr>
      <w:r>
        <w:rPr>
          <w:rFonts w:ascii="Arial" w:hAnsi="Arial" w:eastAsia="黑体" w:cs="Arial"/>
          <w:color w:val="auto"/>
          <w:sz w:val="32"/>
          <w:szCs w:val="32"/>
          <w:highlight w:val="none"/>
        </w:rPr>
        <w:t>目录</w:t>
      </w:r>
    </w:p>
    <w:p>
      <w:pPr>
        <w:jc w:val="center"/>
        <w:rPr>
          <w:rFonts w:ascii="Arial" w:hAnsi="Arial" w:eastAsia="黑体" w:cs="Arial"/>
          <w:color w:val="auto"/>
          <w:szCs w:val="21"/>
          <w:highlight w:val="none"/>
        </w:rPr>
      </w:pPr>
      <w:r>
        <w:rPr>
          <w:rFonts w:ascii="Arial" w:hAnsi="Arial" w:eastAsia="黑体" w:cs="Arial"/>
          <w:color w:val="auto"/>
          <w:szCs w:val="21"/>
          <w:highlight w:val="none"/>
        </w:rPr>
        <w:t>（注：供应商根据附件顺序编制投标文件并制作目录（须生成页码））</w:t>
      </w:r>
    </w:p>
    <w:p>
      <w:pPr>
        <w:snapToGrid w:val="0"/>
        <w:jc w:val="center"/>
        <w:rPr>
          <w:rFonts w:ascii="宋体" w:hAnsi="宋体"/>
          <w:b/>
          <w:color w:val="auto"/>
          <w:sz w:val="30"/>
          <w:highlight w:val="none"/>
        </w:rPr>
      </w:pPr>
      <w:r>
        <w:rPr>
          <w:rFonts w:ascii="Arial" w:hAnsi="Arial" w:cs="Arial"/>
          <w:color w:val="auto"/>
          <w:highlight w:val="none"/>
        </w:rPr>
        <w:br w:type="page"/>
      </w:r>
      <w:r>
        <w:rPr>
          <w:rFonts w:hint="eastAsia" w:ascii="宋体" w:hAnsi="宋体"/>
          <w:b/>
          <w:color w:val="auto"/>
          <w:sz w:val="30"/>
          <w:highlight w:val="none"/>
        </w:rPr>
        <w:t>评分索引表</w:t>
      </w:r>
    </w:p>
    <w:tbl>
      <w:tblPr>
        <w:tblStyle w:val="43"/>
        <w:tblW w:w="8537" w:type="dxa"/>
        <w:tblInd w:w="108" w:type="dxa"/>
        <w:tblLayout w:type="fixed"/>
        <w:tblCellMar>
          <w:top w:w="0" w:type="dxa"/>
          <w:left w:w="0" w:type="dxa"/>
          <w:bottom w:w="0" w:type="dxa"/>
          <w:right w:w="0" w:type="dxa"/>
        </w:tblCellMar>
      </w:tblPr>
      <w:tblGrid>
        <w:gridCol w:w="5272"/>
        <w:gridCol w:w="3265"/>
      </w:tblGrid>
      <w:tr>
        <w:tblPrEx>
          <w:tblCellMar>
            <w:top w:w="0" w:type="dxa"/>
            <w:left w:w="0" w:type="dxa"/>
            <w:bottom w:w="0" w:type="dxa"/>
            <w:right w:w="0" w:type="dxa"/>
          </w:tblCellMar>
        </w:tblPrEx>
        <w:trPr>
          <w:trHeight w:val="46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jc w:val="center"/>
              <w:rPr>
                <w:rFonts w:ascii="宋体" w:hAnsi="宋体" w:eastAsia="Times New Roman"/>
                <w:b/>
                <w:color w:val="auto"/>
                <w:highlight w:val="none"/>
              </w:rPr>
            </w:pPr>
            <w:r>
              <w:rPr>
                <w:rFonts w:hint="eastAsia" w:ascii="宋体" w:hAnsi="宋体" w:eastAsia="Times New Roman"/>
                <w:b/>
                <w:color w:val="auto"/>
                <w:highlight w:val="none"/>
              </w:rPr>
              <w:t>评分项目</w:t>
            </w: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vAlign w:val="center"/>
          </w:tcPr>
          <w:p>
            <w:pPr>
              <w:snapToGrid w:val="0"/>
              <w:jc w:val="center"/>
              <w:rPr>
                <w:rFonts w:ascii="宋体" w:hAnsi="宋体"/>
                <w:b/>
                <w:color w:val="auto"/>
                <w:highlight w:val="none"/>
              </w:rPr>
            </w:pPr>
            <w:r>
              <w:rPr>
                <w:rFonts w:hint="eastAsia" w:ascii="宋体" w:hAnsi="宋体"/>
                <w:b/>
                <w:color w:val="auto"/>
                <w:highlight w:val="none"/>
              </w:rPr>
              <w:t>在投标文件中的页码位置</w:t>
            </w:r>
          </w:p>
        </w:tc>
      </w:tr>
      <w:tr>
        <w:tblPrEx>
          <w:tblCellMar>
            <w:top w:w="0" w:type="dxa"/>
            <w:left w:w="0" w:type="dxa"/>
            <w:bottom w:w="0" w:type="dxa"/>
            <w:right w:w="0" w:type="dxa"/>
          </w:tblCellMar>
        </w:tblPrEx>
        <w:trPr>
          <w:trHeight w:val="446"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2" w:firstLine="422"/>
              <w:rPr>
                <w:rFonts w:ascii="宋体" w:hAnsi="宋体" w:eastAsia="Times New Roman"/>
                <w:b/>
                <w:color w:val="auto"/>
                <w:highlight w:val="none"/>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b/>
                <w:color w:val="auto"/>
                <w:highlight w:val="none"/>
              </w:rPr>
            </w:pPr>
          </w:p>
        </w:tc>
      </w:tr>
      <w:tr>
        <w:tblPrEx>
          <w:tblCellMar>
            <w:top w:w="0" w:type="dxa"/>
            <w:left w:w="0" w:type="dxa"/>
            <w:bottom w:w="0" w:type="dxa"/>
            <w:right w:w="0" w:type="dxa"/>
          </w:tblCellMar>
        </w:tblPrEx>
        <w:trPr>
          <w:trHeight w:val="300" w:hRule="atLeast"/>
        </w:trPr>
        <w:tc>
          <w:tcPr>
            <w:tcW w:w="8537"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highlight w:val="none"/>
              </w:rPr>
            </w:pPr>
          </w:p>
        </w:tc>
      </w:tr>
      <w:tr>
        <w:tblPrEx>
          <w:tblCellMar>
            <w:top w:w="0" w:type="dxa"/>
            <w:left w:w="0" w:type="dxa"/>
            <w:bottom w:w="0" w:type="dxa"/>
            <w:right w:w="0" w:type="dxa"/>
          </w:tblCellMar>
        </w:tblPrEx>
        <w:trPr>
          <w:trHeight w:val="32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highlight w:val="none"/>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highlight w:val="none"/>
              </w:rPr>
            </w:pPr>
          </w:p>
        </w:tc>
      </w:tr>
      <w:tr>
        <w:tblPrEx>
          <w:tblCellMar>
            <w:top w:w="0" w:type="dxa"/>
            <w:left w:w="0" w:type="dxa"/>
            <w:bottom w:w="0" w:type="dxa"/>
            <w:right w:w="0" w:type="dxa"/>
          </w:tblCellMar>
        </w:tblPrEx>
        <w:trPr>
          <w:trHeight w:val="28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highlight w:val="none"/>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highlight w:val="none"/>
              </w:rPr>
            </w:pPr>
          </w:p>
        </w:tc>
      </w:tr>
      <w:tr>
        <w:tblPrEx>
          <w:tblCellMar>
            <w:top w:w="0" w:type="dxa"/>
            <w:left w:w="0" w:type="dxa"/>
            <w:bottom w:w="0" w:type="dxa"/>
            <w:right w:w="0" w:type="dxa"/>
          </w:tblCellMar>
        </w:tblPrEx>
        <w:trPr>
          <w:trHeight w:val="46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highlight w:val="none"/>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highlight w:val="none"/>
              </w:rPr>
            </w:pPr>
          </w:p>
        </w:tc>
      </w:tr>
      <w:tr>
        <w:tblPrEx>
          <w:tblCellMar>
            <w:top w:w="0" w:type="dxa"/>
            <w:left w:w="0" w:type="dxa"/>
            <w:bottom w:w="0" w:type="dxa"/>
            <w:right w:w="0" w:type="dxa"/>
          </w:tblCellMar>
        </w:tblPrEx>
        <w:trPr>
          <w:trHeight w:val="46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highlight w:val="none"/>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highlight w:val="none"/>
              </w:rPr>
            </w:pPr>
          </w:p>
        </w:tc>
      </w:tr>
      <w:tr>
        <w:tblPrEx>
          <w:tblCellMar>
            <w:top w:w="0" w:type="dxa"/>
            <w:left w:w="0" w:type="dxa"/>
            <w:bottom w:w="0" w:type="dxa"/>
            <w:right w:w="0" w:type="dxa"/>
          </w:tblCellMar>
        </w:tblPrEx>
        <w:trPr>
          <w:trHeight w:val="28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highlight w:val="none"/>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highlight w:val="none"/>
              </w:rPr>
            </w:pPr>
          </w:p>
        </w:tc>
      </w:tr>
      <w:tr>
        <w:tblPrEx>
          <w:tblCellMar>
            <w:top w:w="0" w:type="dxa"/>
            <w:left w:w="0" w:type="dxa"/>
            <w:bottom w:w="0" w:type="dxa"/>
            <w:right w:w="0" w:type="dxa"/>
          </w:tblCellMar>
        </w:tblPrEx>
        <w:trPr>
          <w:trHeight w:val="389" w:hRule="atLeast"/>
        </w:trPr>
        <w:tc>
          <w:tcPr>
            <w:tcW w:w="8537"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highlight w:val="none"/>
              </w:rPr>
            </w:pPr>
          </w:p>
        </w:tc>
      </w:tr>
      <w:tr>
        <w:tblPrEx>
          <w:tblCellMar>
            <w:top w:w="0" w:type="dxa"/>
            <w:left w:w="0" w:type="dxa"/>
            <w:bottom w:w="0" w:type="dxa"/>
            <w:right w:w="0" w:type="dxa"/>
          </w:tblCellMar>
        </w:tblPrEx>
        <w:trPr>
          <w:trHeight w:val="60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highlight w:val="none"/>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highlight w:val="none"/>
              </w:rPr>
            </w:pPr>
          </w:p>
        </w:tc>
      </w:tr>
      <w:tr>
        <w:tblPrEx>
          <w:tblCellMar>
            <w:top w:w="0" w:type="dxa"/>
            <w:left w:w="0" w:type="dxa"/>
            <w:bottom w:w="0" w:type="dxa"/>
            <w:right w:w="0" w:type="dxa"/>
          </w:tblCellMar>
        </w:tblPrEx>
        <w:trPr>
          <w:trHeight w:val="16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highlight w:val="none"/>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highlight w:val="none"/>
              </w:rPr>
            </w:pPr>
          </w:p>
        </w:tc>
      </w:tr>
      <w:tr>
        <w:tblPrEx>
          <w:tblCellMar>
            <w:top w:w="0" w:type="dxa"/>
            <w:left w:w="0" w:type="dxa"/>
            <w:bottom w:w="0" w:type="dxa"/>
            <w:right w:w="0" w:type="dxa"/>
          </w:tblCellMar>
        </w:tblPrEx>
        <w:trPr>
          <w:trHeight w:val="289"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highlight w:val="none"/>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highlight w:val="none"/>
              </w:rPr>
            </w:pPr>
          </w:p>
        </w:tc>
      </w:tr>
      <w:tr>
        <w:trPr>
          <w:trHeight w:val="278"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highlight w:val="none"/>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highlight w:val="none"/>
              </w:rPr>
            </w:pPr>
          </w:p>
        </w:tc>
      </w:tr>
      <w:tr>
        <w:tblPrEx>
          <w:tblCellMar>
            <w:top w:w="0" w:type="dxa"/>
            <w:left w:w="0" w:type="dxa"/>
            <w:bottom w:w="0" w:type="dxa"/>
            <w:right w:w="0" w:type="dxa"/>
          </w:tblCellMar>
        </w:tblPrEx>
        <w:trPr>
          <w:trHeight w:val="269"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highlight w:val="none"/>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highlight w:val="none"/>
              </w:rPr>
            </w:pPr>
          </w:p>
        </w:tc>
      </w:tr>
      <w:tr>
        <w:tblPrEx>
          <w:tblCellMar>
            <w:top w:w="0" w:type="dxa"/>
            <w:left w:w="0" w:type="dxa"/>
            <w:bottom w:w="0" w:type="dxa"/>
            <w:right w:w="0" w:type="dxa"/>
          </w:tblCellMar>
        </w:tblPrEx>
        <w:trPr>
          <w:trHeight w:val="460" w:hRule="atLeast"/>
        </w:trPr>
        <w:tc>
          <w:tcPr>
            <w:tcW w:w="8537"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2" w:firstLine="422"/>
              <w:rPr>
                <w:rFonts w:ascii="宋体" w:hAnsi="宋体" w:eastAsia="Times New Roman"/>
                <w:b/>
                <w:color w:val="auto"/>
                <w:highlight w:val="none"/>
              </w:rPr>
            </w:pPr>
          </w:p>
        </w:tc>
      </w:tr>
      <w:tr>
        <w:tblPrEx>
          <w:tblCellMar>
            <w:top w:w="0" w:type="dxa"/>
            <w:left w:w="0" w:type="dxa"/>
            <w:bottom w:w="0" w:type="dxa"/>
            <w:right w:w="0" w:type="dxa"/>
          </w:tblCellMar>
        </w:tblPrEx>
        <w:trPr>
          <w:trHeight w:val="32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2" w:firstLine="422"/>
              <w:rPr>
                <w:rFonts w:ascii="宋体" w:hAnsi="宋体" w:eastAsia="Times New Roman"/>
                <w:b/>
                <w:color w:val="auto"/>
                <w:highlight w:val="none"/>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highlight w:val="none"/>
              </w:rPr>
            </w:pPr>
          </w:p>
        </w:tc>
      </w:tr>
      <w:tr>
        <w:tblPrEx>
          <w:tblCellMar>
            <w:top w:w="0" w:type="dxa"/>
            <w:left w:w="0" w:type="dxa"/>
            <w:bottom w:w="0" w:type="dxa"/>
            <w:right w:w="0" w:type="dxa"/>
          </w:tblCellMar>
        </w:tblPrEx>
        <w:trPr>
          <w:trHeight w:val="28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highlight w:val="none"/>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highlight w:val="none"/>
              </w:rPr>
            </w:pPr>
          </w:p>
        </w:tc>
      </w:tr>
      <w:tr>
        <w:tblPrEx>
          <w:tblCellMar>
            <w:top w:w="0" w:type="dxa"/>
            <w:left w:w="0" w:type="dxa"/>
            <w:bottom w:w="0" w:type="dxa"/>
            <w:right w:w="0" w:type="dxa"/>
          </w:tblCellMar>
        </w:tblPrEx>
        <w:trPr>
          <w:trHeight w:val="32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2" w:firstLine="422"/>
              <w:rPr>
                <w:rFonts w:ascii="宋体" w:hAnsi="宋体" w:eastAsia="Times New Roman"/>
                <w:b/>
                <w:color w:val="auto"/>
                <w:highlight w:val="none"/>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highlight w:val="none"/>
              </w:rPr>
            </w:pPr>
          </w:p>
        </w:tc>
      </w:tr>
      <w:tr>
        <w:trPr>
          <w:trHeight w:val="260" w:hRule="atLeast"/>
        </w:trPr>
        <w:tc>
          <w:tcPr>
            <w:tcW w:w="8537" w:type="dxa"/>
            <w:gridSpan w:val="2"/>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2" w:firstLine="422"/>
              <w:rPr>
                <w:rFonts w:ascii="宋体" w:hAnsi="宋体" w:eastAsia="Times New Roman"/>
                <w:b/>
                <w:color w:val="auto"/>
                <w:highlight w:val="none"/>
              </w:rPr>
            </w:pPr>
          </w:p>
        </w:tc>
      </w:tr>
      <w:tr>
        <w:tblPrEx>
          <w:tblCellMar>
            <w:top w:w="0" w:type="dxa"/>
            <w:left w:w="0" w:type="dxa"/>
            <w:bottom w:w="0" w:type="dxa"/>
            <w:right w:w="0" w:type="dxa"/>
          </w:tblCellMar>
        </w:tblPrEx>
        <w:trPr>
          <w:trHeight w:val="50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highlight w:val="none"/>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highlight w:val="none"/>
              </w:rPr>
            </w:pPr>
          </w:p>
        </w:tc>
      </w:tr>
      <w:tr>
        <w:tblPrEx>
          <w:tblCellMar>
            <w:top w:w="0" w:type="dxa"/>
            <w:left w:w="0" w:type="dxa"/>
            <w:bottom w:w="0" w:type="dxa"/>
            <w:right w:w="0" w:type="dxa"/>
          </w:tblCellMar>
        </w:tblPrEx>
        <w:trPr>
          <w:trHeight w:val="440" w:hRule="atLeast"/>
        </w:trPr>
        <w:tc>
          <w:tcPr>
            <w:tcW w:w="527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hd w:val="clear" w:color="000000" w:fill="FFFFFF"/>
              <w:snapToGrid w:val="0"/>
              <w:spacing w:before="120" w:after="120" w:line="265" w:lineRule="atLeast"/>
              <w:ind w:left="1440" w:firstLine="420"/>
              <w:rPr>
                <w:rFonts w:ascii="宋体" w:hAnsi="宋体" w:eastAsia="Times New Roman"/>
                <w:color w:val="auto"/>
                <w:highlight w:val="none"/>
              </w:rPr>
            </w:pPr>
          </w:p>
        </w:tc>
        <w:tc>
          <w:tcPr>
            <w:tcW w:w="3265"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napToGrid w:val="0"/>
              <w:rPr>
                <w:rFonts w:ascii="宋体" w:hAnsi="宋体"/>
                <w:color w:val="auto"/>
                <w:highlight w:val="none"/>
              </w:rPr>
            </w:pPr>
          </w:p>
        </w:tc>
      </w:tr>
    </w:tbl>
    <w:p>
      <w:pPr>
        <w:rPr>
          <w:rFonts w:ascii="Arial" w:hAnsi="Arial" w:cs="Arial"/>
          <w:b/>
          <w:bCs/>
          <w:color w:val="auto"/>
          <w:kern w:val="0"/>
          <w:szCs w:val="21"/>
          <w:highlight w:val="none"/>
        </w:rPr>
      </w:pPr>
      <w:r>
        <w:rPr>
          <w:rFonts w:ascii="Arial" w:hAnsi="Arial" w:cs="Arial"/>
          <w:b/>
          <w:bCs/>
          <w:color w:val="auto"/>
          <w:kern w:val="0"/>
          <w:szCs w:val="21"/>
          <w:highlight w:val="none"/>
        </w:rPr>
        <w:br w:type="page"/>
      </w:r>
    </w:p>
    <w:p>
      <w:pPr>
        <w:spacing w:line="440" w:lineRule="exact"/>
        <w:rPr>
          <w:rFonts w:ascii="Arial" w:hAnsi="Arial" w:cs="Arial"/>
          <w:color w:val="auto"/>
          <w:kern w:val="0"/>
          <w:szCs w:val="21"/>
          <w:highlight w:val="none"/>
        </w:rPr>
      </w:pPr>
      <w:r>
        <w:rPr>
          <w:rFonts w:ascii="Arial" w:hAnsi="Arial" w:cs="Arial"/>
          <w:b/>
          <w:bCs/>
          <w:color w:val="auto"/>
          <w:kern w:val="0"/>
          <w:szCs w:val="21"/>
          <w:highlight w:val="none"/>
        </w:rPr>
        <w:t>附件一、投标申请及声明格式</w:t>
      </w:r>
    </w:p>
    <w:p>
      <w:pPr>
        <w:widowControl/>
        <w:shd w:val="clear" w:color="auto" w:fill="FFFFFF"/>
        <w:spacing w:line="360" w:lineRule="auto"/>
        <w:jc w:val="center"/>
        <w:rPr>
          <w:rFonts w:ascii="Arial" w:hAnsi="Arial" w:cs="Arial"/>
          <w:b/>
          <w:color w:val="auto"/>
          <w:kern w:val="0"/>
          <w:szCs w:val="21"/>
          <w:highlight w:val="none"/>
        </w:rPr>
      </w:pPr>
      <w:r>
        <w:rPr>
          <w:rFonts w:ascii="Arial" w:hAnsi="Arial" w:cs="Arial"/>
          <w:b/>
          <w:color w:val="auto"/>
          <w:kern w:val="0"/>
          <w:sz w:val="36"/>
          <w:szCs w:val="36"/>
          <w:highlight w:val="none"/>
        </w:rPr>
        <w:t>投标申请及声明</w:t>
      </w:r>
    </w:p>
    <w:p>
      <w:pPr>
        <w:widowControl/>
        <w:shd w:val="clear" w:color="auto" w:fill="FFFFFF"/>
        <w:spacing w:line="400" w:lineRule="exact"/>
        <w:rPr>
          <w:rFonts w:ascii="Arial" w:hAnsi="Arial" w:cs="Arial"/>
          <w:color w:val="auto"/>
          <w:kern w:val="0"/>
          <w:szCs w:val="21"/>
          <w:highlight w:val="none"/>
        </w:rPr>
      </w:pPr>
      <w:r>
        <w:rPr>
          <w:rFonts w:ascii="Arial" w:hAnsi="Arial" w:cs="Arial"/>
          <w:color w:val="auto"/>
          <w:kern w:val="0"/>
          <w:szCs w:val="21"/>
          <w:highlight w:val="none"/>
        </w:rPr>
        <w:t> 致：</w:t>
      </w:r>
    </w:p>
    <w:p>
      <w:pPr>
        <w:widowControl/>
        <w:shd w:val="clear" w:color="auto" w:fill="FFFFFF"/>
        <w:spacing w:line="400" w:lineRule="exact"/>
        <w:ind w:firstLine="420"/>
        <w:rPr>
          <w:rFonts w:ascii="Arial" w:hAnsi="Arial" w:cs="Arial"/>
          <w:color w:val="auto"/>
          <w:kern w:val="0"/>
          <w:szCs w:val="21"/>
          <w:highlight w:val="none"/>
        </w:rPr>
      </w:pPr>
      <w:r>
        <w:rPr>
          <w:rFonts w:ascii="Arial" w:hAnsi="Arial" w:cs="Arial"/>
          <w:color w:val="auto"/>
          <w:kern w:val="0"/>
          <w:szCs w:val="21"/>
          <w:highlight w:val="none"/>
        </w:rPr>
        <w:t>根据贵方</w:t>
      </w:r>
      <w:r>
        <w:rPr>
          <w:rFonts w:ascii="Arial" w:hAnsi="Arial" w:cs="Arial"/>
          <w:color w:val="auto"/>
          <w:kern w:val="0"/>
          <w:szCs w:val="21"/>
          <w:highlight w:val="none"/>
          <w:u w:val="single"/>
        </w:rPr>
        <w:t>           </w:t>
      </w:r>
      <w:r>
        <w:rPr>
          <w:rFonts w:ascii="Arial" w:hAnsi="Arial" w:cs="Arial"/>
          <w:color w:val="auto"/>
          <w:kern w:val="0"/>
          <w:szCs w:val="21"/>
          <w:highlight w:val="none"/>
        </w:rPr>
        <w:t>（项目名称） </w:t>
      </w:r>
      <w:r>
        <w:rPr>
          <w:rFonts w:ascii="Arial" w:hAnsi="Arial" w:cs="Arial"/>
          <w:color w:val="auto"/>
          <w:kern w:val="0"/>
          <w:szCs w:val="21"/>
          <w:highlight w:val="none"/>
          <w:u w:val="single"/>
        </w:rPr>
        <w:t>       </w:t>
      </w:r>
      <w:r>
        <w:rPr>
          <w:rFonts w:ascii="Arial" w:hAnsi="Arial" w:cs="Arial"/>
          <w:color w:val="auto"/>
          <w:kern w:val="0"/>
          <w:szCs w:val="21"/>
          <w:highlight w:val="none"/>
        </w:rPr>
        <w:t>（项目编号）投标邀请，正式授权下述签字人</w:t>
      </w:r>
      <w:r>
        <w:rPr>
          <w:rFonts w:ascii="Arial" w:hAnsi="Arial" w:cs="Arial"/>
          <w:color w:val="auto"/>
          <w:kern w:val="0"/>
          <w:szCs w:val="21"/>
          <w:highlight w:val="none"/>
          <w:u w:val="single"/>
        </w:rPr>
        <w:t>           </w:t>
      </w:r>
      <w:r>
        <w:rPr>
          <w:rFonts w:ascii="Arial" w:hAnsi="Arial" w:cs="Arial"/>
          <w:color w:val="auto"/>
          <w:kern w:val="0"/>
          <w:szCs w:val="21"/>
          <w:highlight w:val="none"/>
        </w:rPr>
        <w:t>(姓名和职务)代表</w:t>
      </w:r>
      <w:r>
        <w:rPr>
          <w:rFonts w:hint="eastAsia" w:ascii="Arial" w:hAnsi="Arial" w:cs="Arial"/>
          <w:color w:val="auto"/>
          <w:kern w:val="0"/>
          <w:szCs w:val="21"/>
          <w:highlight w:val="none"/>
          <w:lang w:eastAsia="zh-CN"/>
        </w:rPr>
        <w:t>供应商</w:t>
      </w:r>
      <w:r>
        <w:rPr>
          <w:rFonts w:ascii="Arial" w:hAnsi="Arial" w:cs="Arial"/>
          <w:color w:val="auto"/>
          <w:kern w:val="0"/>
          <w:szCs w:val="21"/>
          <w:highlight w:val="none"/>
          <w:u w:val="single"/>
        </w:rPr>
        <w:t>     </w:t>
      </w:r>
      <w:r>
        <w:rPr>
          <w:rFonts w:ascii="Arial" w:hAnsi="Arial" w:cs="Arial"/>
          <w:color w:val="auto"/>
          <w:kern w:val="0"/>
          <w:szCs w:val="21"/>
          <w:highlight w:val="none"/>
        </w:rPr>
        <w:t>（</w:t>
      </w:r>
      <w:r>
        <w:rPr>
          <w:rFonts w:hint="eastAsia" w:ascii="Arial" w:hAnsi="Arial" w:cs="Arial"/>
          <w:color w:val="auto"/>
          <w:kern w:val="0"/>
          <w:szCs w:val="21"/>
          <w:highlight w:val="none"/>
          <w:lang w:eastAsia="zh-CN"/>
        </w:rPr>
        <w:t>供应商</w:t>
      </w:r>
      <w:r>
        <w:rPr>
          <w:rFonts w:ascii="Arial" w:hAnsi="Arial" w:cs="Arial"/>
          <w:color w:val="auto"/>
          <w:kern w:val="0"/>
          <w:szCs w:val="21"/>
          <w:highlight w:val="none"/>
        </w:rPr>
        <w:t>名称），提交投标文件。</w:t>
      </w:r>
    </w:p>
    <w:p>
      <w:pPr>
        <w:widowControl/>
        <w:shd w:val="clear" w:color="auto" w:fill="FFFFFF"/>
        <w:spacing w:line="400" w:lineRule="exact"/>
        <w:ind w:firstLine="420"/>
        <w:rPr>
          <w:rFonts w:ascii="Arial" w:hAnsi="Arial" w:cs="Arial"/>
          <w:color w:val="auto"/>
          <w:kern w:val="0"/>
          <w:szCs w:val="21"/>
          <w:highlight w:val="none"/>
        </w:rPr>
      </w:pPr>
      <w:r>
        <w:rPr>
          <w:rFonts w:ascii="Arial" w:hAnsi="Arial" w:cs="Arial"/>
          <w:color w:val="auto"/>
          <w:kern w:val="0"/>
          <w:szCs w:val="21"/>
          <w:highlight w:val="none"/>
        </w:rPr>
        <w:t>据此函，签字人兹宣布声明和承诺如下：</w:t>
      </w:r>
    </w:p>
    <w:p>
      <w:pPr>
        <w:widowControl/>
        <w:shd w:val="clear" w:color="auto" w:fill="FFFFFF"/>
        <w:spacing w:line="400" w:lineRule="exact"/>
        <w:ind w:firstLine="420"/>
        <w:rPr>
          <w:rFonts w:ascii="Arial" w:hAnsi="Arial" w:cs="Arial"/>
          <w:color w:val="auto"/>
          <w:kern w:val="0"/>
          <w:szCs w:val="21"/>
          <w:highlight w:val="none"/>
        </w:rPr>
      </w:pPr>
      <w:r>
        <w:rPr>
          <w:rFonts w:ascii="Arial" w:hAnsi="Arial" w:cs="Arial"/>
          <w:color w:val="auto"/>
          <w:kern w:val="0"/>
          <w:szCs w:val="21"/>
          <w:highlight w:val="none"/>
        </w:rPr>
        <w:t>1、</w:t>
      </w:r>
      <w:r>
        <w:rPr>
          <w:rFonts w:ascii="Arial" w:hAnsi="Arial" w:cs="Arial"/>
          <w:b/>
          <w:bCs/>
          <w:color w:val="auto"/>
          <w:kern w:val="0"/>
          <w:szCs w:val="21"/>
          <w:highlight w:val="none"/>
        </w:rPr>
        <w:t>我们的资格条件完全符合政府采购法和本次招标要求</w:t>
      </w:r>
      <w:r>
        <w:rPr>
          <w:rFonts w:ascii="Arial" w:hAnsi="Arial" w:cs="Arial"/>
          <w:color w:val="auto"/>
          <w:kern w:val="0"/>
          <w:szCs w:val="21"/>
          <w:highlight w:val="none"/>
        </w:rPr>
        <w:t>，我们同意并向贵方提供了与投标有关的所有证据和资料。</w:t>
      </w:r>
    </w:p>
    <w:p>
      <w:pPr>
        <w:widowControl/>
        <w:shd w:val="clear" w:color="auto" w:fill="FFFFFF"/>
        <w:spacing w:line="400" w:lineRule="exact"/>
        <w:ind w:left="1470" w:hanging="1050"/>
        <w:rPr>
          <w:rFonts w:ascii="Arial" w:hAnsi="Arial" w:cs="Arial"/>
          <w:color w:val="auto"/>
          <w:kern w:val="0"/>
          <w:szCs w:val="21"/>
          <w:highlight w:val="none"/>
        </w:rPr>
      </w:pPr>
      <w:r>
        <w:rPr>
          <w:rFonts w:ascii="Arial" w:hAnsi="Arial" w:cs="Arial"/>
          <w:color w:val="auto"/>
          <w:kern w:val="0"/>
          <w:szCs w:val="21"/>
          <w:highlight w:val="none"/>
        </w:rPr>
        <w:t>2、按招标要求，我们的投标总报价为</w:t>
      </w:r>
      <w:r>
        <w:rPr>
          <w:rFonts w:hint="eastAsia" w:ascii="Arial" w:hAnsi="Arial" w:cs="Arial"/>
          <w:color w:val="auto"/>
          <w:kern w:val="0"/>
          <w:szCs w:val="21"/>
          <w:highlight w:val="none"/>
        </w:rPr>
        <w:t>：</w:t>
      </w:r>
      <w:r>
        <w:rPr>
          <w:rFonts w:ascii="Arial" w:hAnsi="Arial" w:cs="Arial"/>
          <w:color w:val="auto"/>
          <w:kern w:val="0"/>
          <w:szCs w:val="21"/>
          <w:highlight w:val="none"/>
        </w:rPr>
        <w:t>人民币</w:t>
      </w:r>
      <w:r>
        <w:rPr>
          <w:rFonts w:hint="eastAsia" w:ascii="Arial" w:hAnsi="Arial" w:cs="Arial"/>
          <w:color w:val="auto"/>
          <w:kern w:val="0"/>
          <w:szCs w:val="21"/>
          <w:highlight w:val="none"/>
        </w:rPr>
        <w:t xml:space="preserve">大写：       ；小写：          </w:t>
      </w:r>
      <w:r>
        <w:rPr>
          <w:rFonts w:ascii="Arial" w:hAnsi="Arial" w:cs="Arial"/>
          <w:color w:val="auto"/>
          <w:kern w:val="0"/>
          <w:szCs w:val="21"/>
          <w:highlight w:val="none"/>
        </w:rPr>
        <w:t>。</w:t>
      </w:r>
    </w:p>
    <w:p>
      <w:pPr>
        <w:widowControl/>
        <w:shd w:val="clear" w:color="auto" w:fill="FFFFFF"/>
        <w:spacing w:line="400" w:lineRule="exact"/>
        <w:ind w:firstLine="420"/>
        <w:rPr>
          <w:rFonts w:ascii="Arial" w:hAnsi="Arial" w:cs="Arial"/>
          <w:color w:val="auto"/>
          <w:kern w:val="0"/>
          <w:szCs w:val="21"/>
          <w:highlight w:val="none"/>
        </w:rPr>
      </w:pPr>
      <w:r>
        <w:rPr>
          <w:rFonts w:ascii="Arial" w:hAnsi="Arial" w:cs="Arial"/>
          <w:color w:val="auto"/>
          <w:kern w:val="0"/>
          <w:szCs w:val="21"/>
          <w:highlight w:val="none"/>
        </w:rPr>
        <w:t>3、本项目交付时间为：</w:t>
      </w:r>
      <w:r>
        <w:rPr>
          <w:rFonts w:ascii="Arial" w:hAnsi="Arial" w:cs="Arial"/>
          <w:color w:val="auto"/>
          <w:kern w:val="0"/>
          <w:szCs w:val="21"/>
          <w:highlight w:val="none"/>
          <w:u w:val="single"/>
        </w:rPr>
        <w:t xml:space="preserve">  满足招标文件要求  </w:t>
      </w:r>
      <w:r>
        <w:rPr>
          <w:rFonts w:ascii="Arial" w:hAnsi="Arial" w:cs="Arial"/>
          <w:color w:val="auto"/>
          <w:kern w:val="0"/>
          <w:szCs w:val="21"/>
          <w:highlight w:val="none"/>
        </w:rPr>
        <w:t>。</w:t>
      </w:r>
    </w:p>
    <w:p>
      <w:pPr>
        <w:widowControl/>
        <w:shd w:val="clear" w:color="auto" w:fill="FFFFFF"/>
        <w:spacing w:line="400" w:lineRule="exact"/>
        <w:ind w:firstLine="420"/>
        <w:rPr>
          <w:rFonts w:ascii="Arial" w:hAnsi="Arial" w:cs="Arial"/>
          <w:color w:val="auto"/>
          <w:kern w:val="0"/>
          <w:szCs w:val="21"/>
          <w:highlight w:val="none"/>
        </w:rPr>
      </w:pPr>
      <w:r>
        <w:rPr>
          <w:rFonts w:ascii="Arial" w:hAnsi="Arial" w:cs="Arial"/>
          <w:color w:val="auto"/>
          <w:kern w:val="0"/>
          <w:szCs w:val="21"/>
          <w:highlight w:val="none"/>
        </w:rPr>
        <w:t>4、我们已详细阅读全部招标文件及其有效补充文件，我们放弃对招标文件任何误解的权利，提交投标文件后，</w:t>
      </w:r>
      <w:r>
        <w:rPr>
          <w:rFonts w:ascii="Arial" w:hAnsi="Arial" w:cs="Arial"/>
          <w:b/>
          <w:bCs/>
          <w:color w:val="auto"/>
          <w:kern w:val="0"/>
          <w:szCs w:val="21"/>
          <w:highlight w:val="none"/>
        </w:rPr>
        <w:t>不对招标文件本身提出质疑</w:t>
      </w:r>
      <w:r>
        <w:rPr>
          <w:rFonts w:ascii="Arial" w:hAnsi="Arial" w:cs="Arial"/>
          <w:color w:val="auto"/>
          <w:kern w:val="0"/>
          <w:szCs w:val="21"/>
          <w:highlight w:val="none"/>
        </w:rPr>
        <w:t>。</w:t>
      </w:r>
    </w:p>
    <w:p>
      <w:pPr>
        <w:widowControl/>
        <w:shd w:val="clear" w:color="auto" w:fill="FFFFFF"/>
        <w:spacing w:line="400" w:lineRule="exact"/>
        <w:ind w:firstLine="420"/>
        <w:rPr>
          <w:rFonts w:ascii="Arial" w:hAnsi="Arial" w:cs="Arial"/>
          <w:color w:val="auto"/>
          <w:kern w:val="0"/>
          <w:szCs w:val="21"/>
          <w:highlight w:val="none"/>
        </w:rPr>
      </w:pPr>
      <w:r>
        <w:rPr>
          <w:rFonts w:ascii="Arial" w:hAnsi="Arial" w:cs="Arial"/>
          <w:color w:val="auto"/>
          <w:kern w:val="0"/>
          <w:szCs w:val="21"/>
          <w:highlight w:val="none"/>
        </w:rPr>
        <w:t>5、我们同意从规定的开标日期起遵循本投标文件，并在规定的投标有效期期满之前均具有约束力。</w:t>
      </w:r>
    </w:p>
    <w:p>
      <w:pPr>
        <w:widowControl/>
        <w:shd w:val="clear" w:color="auto" w:fill="FFFFFF"/>
        <w:spacing w:line="400" w:lineRule="exact"/>
        <w:ind w:firstLine="420"/>
        <w:rPr>
          <w:rFonts w:ascii="Arial" w:hAnsi="Arial" w:cs="Arial"/>
          <w:color w:val="auto"/>
          <w:kern w:val="0"/>
          <w:szCs w:val="21"/>
          <w:highlight w:val="none"/>
        </w:rPr>
      </w:pPr>
      <w:r>
        <w:rPr>
          <w:rFonts w:ascii="Arial" w:hAnsi="Arial" w:cs="Arial"/>
          <w:color w:val="auto"/>
          <w:kern w:val="0"/>
          <w:szCs w:val="21"/>
          <w:highlight w:val="none"/>
        </w:rPr>
        <w:t>6、投标截止时间结束后参加投标的</w:t>
      </w:r>
      <w:r>
        <w:rPr>
          <w:rFonts w:hint="eastAsia" w:ascii="Arial" w:hAnsi="Arial" w:cs="Arial"/>
          <w:color w:val="auto"/>
          <w:kern w:val="0"/>
          <w:szCs w:val="21"/>
          <w:highlight w:val="none"/>
          <w:lang w:eastAsia="zh-CN"/>
        </w:rPr>
        <w:t>供应商</w:t>
      </w:r>
      <w:r>
        <w:rPr>
          <w:rFonts w:ascii="Arial" w:hAnsi="Arial" w:cs="Arial"/>
          <w:color w:val="auto"/>
          <w:kern w:val="0"/>
          <w:szCs w:val="21"/>
          <w:highlight w:val="none"/>
        </w:rPr>
        <w:t>不足三家的，或在评标期间出现符合专业条件的供应商或者对招标文件作出实质响应的</w:t>
      </w:r>
      <w:r>
        <w:rPr>
          <w:rFonts w:hint="eastAsia" w:ascii="Arial" w:hAnsi="Arial" w:cs="Arial"/>
          <w:color w:val="auto"/>
          <w:kern w:val="0"/>
          <w:szCs w:val="21"/>
          <w:highlight w:val="none"/>
          <w:lang w:eastAsia="zh-CN"/>
        </w:rPr>
        <w:t>供应商</w:t>
      </w:r>
      <w:r>
        <w:rPr>
          <w:rFonts w:ascii="Arial" w:hAnsi="Arial" w:cs="Arial"/>
          <w:color w:val="auto"/>
          <w:kern w:val="0"/>
          <w:szCs w:val="21"/>
          <w:highlight w:val="none"/>
        </w:rPr>
        <w:t>不足三家情形的，我们酌情决定是否参加</w:t>
      </w:r>
      <w:r>
        <w:rPr>
          <w:rFonts w:ascii="Arial" w:hAnsi="Arial" w:cs="Arial"/>
          <w:color w:val="auto"/>
          <w:highlight w:val="none"/>
        </w:rPr>
        <w:t>贵方组织的其他采购方式采购</w:t>
      </w:r>
      <w:r>
        <w:rPr>
          <w:rFonts w:ascii="Arial" w:hAnsi="Arial" w:cs="Arial"/>
          <w:color w:val="auto"/>
          <w:kern w:val="0"/>
          <w:szCs w:val="21"/>
          <w:highlight w:val="none"/>
        </w:rPr>
        <w:t>。</w:t>
      </w:r>
    </w:p>
    <w:p>
      <w:pPr>
        <w:widowControl/>
        <w:shd w:val="clear" w:color="auto" w:fill="FFFFFF"/>
        <w:spacing w:line="400" w:lineRule="exact"/>
        <w:ind w:firstLine="420"/>
        <w:rPr>
          <w:rFonts w:ascii="Arial" w:hAnsi="Arial" w:cs="Arial"/>
          <w:kern w:val="0"/>
          <w:szCs w:val="21"/>
          <w:highlight w:val="none"/>
        </w:rPr>
      </w:pPr>
      <w:r>
        <w:rPr>
          <w:rFonts w:ascii="Arial" w:hAnsi="Arial" w:cs="Arial"/>
          <w:kern w:val="0"/>
          <w:szCs w:val="21"/>
          <w:highlight w:val="none"/>
        </w:rPr>
        <w:t>7、一旦我方中标，我方将根据招标文件的规定严格履行合同，并保证于承诺的时间完成货物的启动/集成、调试等服务，交付采购人验收、使用。</w:t>
      </w:r>
    </w:p>
    <w:p>
      <w:pPr>
        <w:widowControl/>
        <w:shd w:val="clear" w:color="auto" w:fill="FFFFFF"/>
        <w:spacing w:line="400" w:lineRule="exact"/>
        <w:ind w:firstLine="420"/>
        <w:rPr>
          <w:rFonts w:ascii="Arial" w:hAnsi="Arial" w:cs="Arial"/>
          <w:kern w:val="0"/>
          <w:szCs w:val="21"/>
          <w:highlight w:val="none"/>
        </w:rPr>
      </w:pPr>
      <w:r>
        <w:rPr>
          <w:rFonts w:ascii="Arial" w:hAnsi="Arial" w:cs="Arial"/>
          <w:kern w:val="0"/>
          <w:szCs w:val="21"/>
          <w:highlight w:val="none"/>
        </w:rPr>
        <w:t>8、我方决不提供虚假材料谋取中标、决不采取不正当手段诋毁、排挤其他</w:t>
      </w:r>
      <w:r>
        <w:rPr>
          <w:rFonts w:hint="eastAsia" w:ascii="Arial" w:hAnsi="Arial" w:cs="Arial"/>
          <w:kern w:val="0"/>
          <w:szCs w:val="21"/>
          <w:highlight w:val="none"/>
          <w:lang w:eastAsia="zh-CN"/>
        </w:rPr>
        <w:t>供应商</w:t>
      </w:r>
      <w:r>
        <w:rPr>
          <w:rFonts w:ascii="Arial" w:hAnsi="Arial" w:cs="Arial"/>
          <w:kern w:val="0"/>
          <w:szCs w:val="21"/>
          <w:highlight w:val="none"/>
        </w:rPr>
        <w:t>、决不与采购人、其它</w:t>
      </w:r>
      <w:r>
        <w:rPr>
          <w:rFonts w:hint="eastAsia" w:ascii="Arial" w:hAnsi="Arial" w:cs="Arial"/>
          <w:kern w:val="0"/>
          <w:szCs w:val="21"/>
          <w:highlight w:val="none"/>
          <w:lang w:eastAsia="zh-CN"/>
        </w:rPr>
        <w:t>供应商</w:t>
      </w:r>
      <w:r>
        <w:rPr>
          <w:rFonts w:ascii="Arial" w:hAnsi="Arial" w:cs="Arial"/>
          <w:kern w:val="0"/>
          <w:szCs w:val="21"/>
          <w:highlight w:val="none"/>
        </w:rPr>
        <w:t>或者代理机构恶意串通、决不向采购人、代理机构工作人员和评委进行商业贿赂、决不在采购过程中与采购人进行协商谈判、决不拒绝有关部门监督检查或提供虚假情况，如有违反，无条件接受贵方及相关管理部门的处罚。</w:t>
      </w:r>
    </w:p>
    <w:p>
      <w:pPr>
        <w:widowControl/>
        <w:shd w:val="clear" w:color="auto" w:fill="FFFFFF"/>
        <w:spacing w:line="400" w:lineRule="exact"/>
        <w:ind w:firstLine="420"/>
        <w:rPr>
          <w:rFonts w:ascii="Arial" w:hAnsi="Arial" w:cs="Arial"/>
          <w:kern w:val="0"/>
          <w:szCs w:val="21"/>
          <w:highlight w:val="none"/>
        </w:rPr>
      </w:pPr>
      <w:r>
        <w:rPr>
          <w:rFonts w:ascii="Arial" w:hAnsi="Arial" w:cs="Arial"/>
          <w:kern w:val="0"/>
          <w:szCs w:val="21"/>
          <w:highlight w:val="none"/>
        </w:rPr>
        <w:t>9、与本投标有关的正式联系方式为：</w:t>
      </w:r>
    </w:p>
    <w:p>
      <w:pPr>
        <w:widowControl/>
        <w:shd w:val="clear" w:color="auto" w:fill="FFFFFF"/>
        <w:spacing w:line="400" w:lineRule="exact"/>
        <w:ind w:firstLine="420"/>
        <w:rPr>
          <w:rFonts w:ascii="Arial" w:hAnsi="Arial" w:cs="Arial"/>
          <w:kern w:val="0"/>
          <w:szCs w:val="21"/>
          <w:highlight w:val="none"/>
        </w:rPr>
      </w:pPr>
      <w:r>
        <w:rPr>
          <w:rFonts w:ascii="Arial" w:hAnsi="Arial" w:cs="Arial"/>
          <w:kern w:val="0"/>
          <w:szCs w:val="21"/>
          <w:highlight w:val="none"/>
        </w:rPr>
        <w:t>地   址：</w:t>
      </w:r>
      <w:r>
        <w:rPr>
          <w:rFonts w:ascii="Arial" w:hAnsi="Arial" w:cs="Arial"/>
          <w:kern w:val="0"/>
          <w:szCs w:val="21"/>
          <w:highlight w:val="none"/>
          <w:u w:val="single"/>
        </w:rPr>
        <w:t>                      </w:t>
      </w:r>
    </w:p>
    <w:p>
      <w:pPr>
        <w:widowControl/>
        <w:shd w:val="clear" w:color="auto" w:fill="FFFFFF"/>
        <w:spacing w:line="400" w:lineRule="exact"/>
        <w:ind w:firstLine="420"/>
        <w:rPr>
          <w:rFonts w:ascii="Arial" w:hAnsi="Arial" w:cs="Arial"/>
          <w:kern w:val="0"/>
          <w:szCs w:val="21"/>
          <w:highlight w:val="none"/>
        </w:rPr>
      </w:pPr>
      <w:r>
        <w:rPr>
          <w:rFonts w:ascii="Arial" w:hAnsi="Arial" w:cs="Arial"/>
          <w:kern w:val="0"/>
          <w:szCs w:val="21"/>
          <w:highlight w:val="none"/>
        </w:rPr>
        <w:t>电   话：</w:t>
      </w:r>
      <w:r>
        <w:rPr>
          <w:rFonts w:ascii="Arial" w:hAnsi="Arial" w:cs="Arial"/>
          <w:kern w:val="0"/>
          <w:szCs w:val="21"/>
          <w:highlight w:val="none"/>
          <w:u w:val="single"/>
        </w:rPr>
        <w:t>                      </w:t>
      </w:r>
    </w:p>
    <w:p>
      <w:pPr>
        <w:widowControl/>
        <w:shd w:val="clear" w:color="auto" w:fill="FFFFFF"/>
        <w:spacing w:line="400" w:lineRule="exact"/>
        <w:ind w:firstLine="420"/>
        <w:rPr>
          <w:rFonts w:ascii="Arial" w:hAnsi="Arial" w:cs="Arial"/>
          <w:kern w:val="0"/>
          <w:szCs w:val="21"/>
          <w:highlight w:val="none"/>
        </w:rPr>
      </w:pPr>
      <w:r>
        <w:rPr>
          <w:rFonts w:ascii="Arial" w:hAnsi="Arial" w:cs="Arial"/>
          <w:kern w:val="0"/>
          <w:szCs w:val="21"/>
          <w:highlight w:val="none"/>
        </w:rPr>
        <w:t>传   真：</w:t>
      </w:r>
      <w:r>
        <w:rPr>
          <w:rFonts w:ascii="Arial" w:hAnsi="Arial" w:cs="Arial"/>
          <w:kern w:val="0"/>
          <w:szCs w:val="21"/>
          <w:highlight w:val="none"/>
          <w:u w:val="single"/>
        </w:rPr>
        <w:t>                      </w:t>
      </w:r>
    </w:p>
    <w:p>
      <w:pPr>
        <w:widowControl/>
        <w:shd w:val="clear" w:color="auto" w:fill="FFFFFF"/>
        <w:spacing w:line="400" w:lineRule="exact"/>
        <w:ind w:firstLine="420"/>
        <w:rPr>
          <w:rFonts w:ascii="Arial" w:hAnsi="Arial" w:cs="Arial"/>
          <w:kern w:val="0"/>
          <w:szCs w:val="21"/>
          <w:highlight w:val="none"/>
        </w:rPr>
      </w:pPr>
      <w:r>
        <w:rPr>
          <w:rFonts w:ascii="Arial" w:hAnsi="Arial" w:cs="Arial"/>
          <w:kern w:val="0"/>
          <w:szCs w:val="21"/>
          <w:highlight w:val="none"/>
        </w:rPr>
        <w:t>开户银行：</w:t>
      </w:r>
    </w:p>
    <w:p>
      <w:pPr>
        <w:widowControl/>
        <w:shd w:val="clear" w:color="auto" w:fill="FFFFFF"/>
        <w:spacing w:line="400" w:lineRule="exact"/>
        <w:ind w:firstLine="420"/>
        <w:rPr>
          <w:rFonts w:ascii="Arial" w:hAnsi="Arial" w:cs="Arial"/>
          <w:kern w:val="0"/>
          <w:szCs w:val="21"/>
          <w:highlight w:val="none"/>
        </w:rPr>
      </w:pPr>
      <w:r>
        <w:rPr>
          <w:rFonts w:ascii="Arial" w:hAnsi="Arial" w:cs="Arial"/>
          <w:kern w:val="0"/>
          <w:szCs w:val="21"/>
          <w:highlight w:val="none"/>
        </w:rPr>
        <w:t>银行账号：</w:t>
      </w:r>
    </w:p>
    <w:p>
      <w:pPr>
        <w:widowControl/>
        <w:shd w:val="clear" w:color="auto" w:fill="FFFFFF"/>
        <w:spacing w:line="400" w:lineRule="exact"/>
        <w:ind w:firstLine="420"/>
        <w:rPr>
          <w:rFonts w:ascii="Arial" w:hAnsi="Arial" w:cs="Arial"/>
          <w:kern w:val="0"/>
          <w:szCs w:val="21"/>
          <w:highlight w:val="none"/>
        </w:rPr>
      </w:pPr>
      <w:r>
        <w:rPr>
          <w:rFonts w:hint="eastAsia" w:ascii="Arial" w:hAnsi="Arial" w:cs="Arial"/>
          <w:kern w:val="0"/>
          <w:szCs w:val="21"/>
          <w:highlight w:val="none"/>
          <w:lang w:eastAsia="zh-CN"/>
        </w:rPr>
        <w:t>供应商</w:t>
      </w:r>
      <w:r>
        <w:rPr>
          <w:rFonts w:ascii="Arial" w:hAnsi="Arial" w:cs="Arial"/>
          <w:kern w:val="0"/>
          <w:szCs w:val="21"/>
          <w:highlight w:val="none"/>
        </w:rPr>
        <w:t>授权代表姓名（签字）：</w:t>
      </w:r>
      <w:r>
        <w:rPr>
          <w:rFonts w:ascii="Arial" w:hAnsi="Arial" w:cs="Arial"/>
          <w:kern w:val="0"/>
          <w:szCs w:val="21"/>
          <w:highlight w:val="none"/>
          <w:u w:val="single"/>
        </w:rPr>
        <w:t>        </w:t>
      </w:r>
    </w:p>
    <w:p>
      <w:pPr>
        <w:widowControl/>
        <w:shd w:val="clear" w:color="auto" w:fill="FFFFFF"/>
        <w:spacing w:line="400" w:lineRule="exact"/>
        <w:ind w:firstLine="420"/>
        <w:rPr>
          <w:rFonts w:ascii="Arial" w:hAnsi="Arial" w:cs="Arial"/>
          <w:kern w:val="0"/>
          <w:szCs w:val="21"/>
          <w:highlight w:val="none"/>
        </w:rPr>
      </w:pPr>
      <w:r>
        <w:rPr>
          <w:rFonts w:hint="eastAsia" w:ascii="Arial" w:hAnsi="Arial" w:cs="Arial"/>
          <w:kern w:val="0"/>
          <w:szCs w:val="21"/>
          <w:highlight w:val="none"/>
          <w:lang w:eastAsia="zh-CN"/>
        </w:rPr>
        <w:t>供应商</w:t>
      </w:r>
      <w:r>
        <w:rPr>
          <w:rFonts w:ascii="Arial" w:hAnsi="Arial" w:cs="Arial"/>
          <w:kern w:val="0"/>
          <w:szCs w:val="21"/>
          <w:highlight w:val="none"/>
        </w:rPr>
        <w:t>名称：</w:t>
      </w:r>
      <w:r>
        <w:rPr>
          <w:rFonts w:ascii="Arial" w:hAnsi="Arial" w:cs="Arial"/>
          <w:kern w:val="0"/>
          <w:szCs w:val="21"/>
          <w:highlight w:val="none"/>
          <w:u w:val="single"/>
        </w:rPr>
        <w:t>                 </w:t>
      </w:r>
      <w:r>
        <w:rPr>
          <w:rFonts w:ascii="Arial" w:hAnsi="Arial" w:cs="Arial"/>
          <w:kern w:val="0"/>
          <w:szCs w:val="21"/>
          <w:highlight w:val="none"/>
        </w:rPr>
        <w:t>（盖章）</w:t>
      </w:r>
    </w:p>
    <w:p>
      <w:pPr>
        <w:widowControl/>
        <w:shd w:val="clear" w:color="auto" w:fill="FFFFFF"/>
        <w:spacing w:line="400" w:lineRule="exact"/>
        <w:ind w:firstLine="420"/>
        <w:rPr>
          <w:rFonts w:ascii="Arial" w:hAnsi="Arial" w:cs="Arial"/>
          <w:kern w:val="0"/>
          <w:szCs w:val="21"/>
          <w:highlight w:val="none"/>
        </w:rPr>
      </w:pPr>
      <w:r>
        <w:rPr>
          <w:rFonts w:ascii="Arial" w:hAnsi="Arial" w:cs="Arial"/>
          <w:kern w:val="0"/>
          <w:szCs w:val="21"/>
          <w:highlight w:val="none"/>
        </w:rPr>
        <w:t>日    期：</w:t>
      </w:r>
      <w:r>
        <w:rPr>
          <w:rFonts w:ascii="Arial" w:hAnsi="Arial" w:cs="Arial"/>
          <w:kern w:val="0"/>
          <w:szCs w:val="21"/>
          <w:highlight w:val="none"/>
          <w:u w:val="single"/>
        </w:rPr>
        <w:t>     </w:t>
      </w:r>
      <w:r>
        <w:rPr>
          <w:rFonts w:ascii="Arial" w:hAnsi="Arial" w:cs="Arial"/>
          <w:kern w:val="0"/>
          <w:szCs w:val="21"/>
          <w:highlight w:val="none"/>
        </w:rPr>
        <w:t>年</w:t>
      </w:r>
      <w:r>
        <w:rPr>
          <w:rFonts w:ascii="Arial" w:hAnsi="Arial" w:cs="Arial"/>
          <w:kern w:val="0"/>
          <w:szCs w:val="21"/>
          <w:highlight w:val="none"/>
          <w:u w:val="single"/>
        </w:rPr>
        <w:t>    </w:t>
      </w:r>
      <w:r>
        <w:rPr>
          <w:rFonts w:ascii="Arial" w:hAnsi="Arial" w:cs="Arial"/>
          <w:kern w:val="0"/>
          <w:szCs w:val="21"/>
          <w:highlight w:val="none"/>
        </w:rPr>
        <w:t>月</w:t>
      </w:r>
      <w:r>
        <w:rPr>
          <w:rFonts w:ascii="Arial" w:hAnsi="Arial" w:cs="Arial"/>
          <w:kern w:val="0"/>
          <w:szCs w:val="21"/>
          <w:highlight w:val="none"/>
          <w:u w:val="single"/>
        </w:rPr>
        <w:t>    </w:t>
      </w:r>
      <w:r>
        <w:rPr>
          <w:rFonts w:ascii="Arial" w:hAnsi="Arial" w:cs="Arial"/>
          <w:kern w:val="0"/>
          <w:szCs w:val="21"/>
          <w:highlight w:val="none"/>
        </w:rPr>
        <w:t>日</w:t>
      </w:r>
    </w:p>
    <w:p>
      <w:pPr>
        <w:widowControl/>
        <w:shd w:val="clear" w:color="auto" w:fill="FFFFFF"/>
        <w:spacing w:line="360" w:lineRule="auto"/>
        <w:rPr>
          <w:rFonts w:ascii="Arial" w:hAnsi="Arial" w:cs="Arial"/>
          <w:kern w:val="0"/>
          <w:szCs w:val="21"/>
          <w:highlight w:val="none"/>
        </w:rPr>
      </w:pPr>
      <w:r>
        <w:rPr>
          <w:rFonts w:ascii="Arial" w:hAnsi="Arial" w:cs="Arial"/>
          <w:b/>
          <w:bCs/>
          <w:kern w:val="0"/>
          <w:szCs w:val="21"/>
          <w:highlight w:val="none"/>
        </w:rPr>
        <w:br w:type="page"/>
      </w:r>
      <w:r>
        <w:rPr>
          <w:rFonts w:ascii="Arial" w:hAnsi="Arial" w:cs="Arial"/>
          <w:b/>
          <w:bCs/>
          <w:kern w:val="0"/>
          <w:szCs w:val="21"/>
          <w:highlight w:val="none"/>
        </w:rPr>
        <w:t>附件二、法定代表人授权委托书格式</w:t>
      </w:r>
    </w:p>
    <w:p>
      <w:pPr>
        <w:widowControl/>
        <w:shd w:val="clear" w:color="auto" w:fill="FFFFFF"/>
        <w:spacing w:line="360" w:lineRule="auto"/>
        <w:ind w:firstLine="720"/>
        <w:jc w:val="center"/>
        <w:rPr>
          <w:rFonts w:ascii="Arial" w:hAnsi="Arial" w:cs="Arial"/>
          <w:kern w:val="0"/>
          <w:sz w:val="36"/>
          <w:szCs w:val="36"/>
          <w:highlight w:val="none"/>
        </w:rPr>
      </w:pPr>
    </w:p>
    <w:p>
      <w:pPr>
        <w:widowControl/>
        <w:shd w:val="clear" w:color="auto" w:fill="FFFFFF"/>
        <w:spacing w:line="360" w:lineRule="auto"/>
        <w:ind w:firstLine="720"/>
        <w:jc w:val="center"/>
        <w:rPr>
          <w:rFonts w:ascii="Arial" w:hAnsi="Arial" w:cs="Arial"/>
          <w:b/>
          <w:kern w:val="0"/>
          <w:szCs w:val="21"/>
          <w:highlight w:val="none"/>
        </w:rPr>
      </w:pPr>
      <w:r>
        <w:rPr>
          <w:rFonts w:ascii="Arial" w:hAnsi="Arial" w:cs="Arial"/>
          <w:b/>
          <w:kern w:val="0"/>
          <w:sz w:val="36"/>
          <w:szCs w:val="36"/>
          <w:highlight w:val="none"/>
        </w:rPr>
        <w:t>法定代表人授权委托书</w:t>
      </w:r>
    </w:p>
    <w:p>
      <w:pPr>
        <w:widowControl/>
        <w:shd w:val="clear" w:color="auto" w:fill="FFFFFF"/>
        <w:spacing w:line="360" w:lineRule="auto"/>
        <w:jc w:val="left"/>
        <w:rPr>
          <w:rFonts w:ascii="Arial" w:hAnsi="Arial" w:cs="Arial"/>
          <w:kern w:val="0"/>
          <w:szCs w:val="21"/>
          <w:highlight w:val="none"/>
        </w:rPr>
      </w:pP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致：</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本授权书声明：注册于</w:t>
      </w:r>
      <w:r>
        <w:rPr>
          <w:rFonts w:ascii="Arial" w:hAnsi="Arial" w:cs="Arial"/>
          <w:kern w:val="0"/>
          <w:szCs w:val="21"/>
          <w:highlight w:val="none"/>
          <w:u w:val="single"/>
        </w:rPr>
        <w:t>              </w:t>
      </w:r>
      <w:r>
        <w:rPr>
          <w:rFonts w:ascii="Arial" w:hAnsi="Arial" w:cs="Arial"/>
          <w:kern w:val="0"/>
          <w:szCs w:val="21"/>
          <w:highlight w:val="none"/>
        </w:rPr>
        <w:t>（</w:t>
      </w:r>
      <w:r>
        <w:rPr>
          <w:rFonts w:hint="eastAsia" w:ascii="Arial" w:hAnsi="Arial" w:cs="Arial"/>
          <w:kern w:val="0"/>
          <w:szCs w:val="21"/>
          <w:highlight w:val="none"/>
          <w:lang w:eastAsia="zh-CN"/>
        </w:rPr>
        <w:t>供应商</w:t>
      </w:r>
      <w:r>
        <w:rPr>
          <w:rFonts w:ascii="Arial" w:hAnsi="Arial" w:cs="Arial"/>
          <w:kern w:val="0"/>
          <w:szCs w:val="21"/>
          <w:highlight w:val="none"/>
        </w:rPr>
        <w:t>住址）的</w:t>
      </w:r>
      <w:r>
        <w:rPr>
          <w:rFonts w:ascii="Arial" w:hAnsi="Arial" w:cs="Arial"/>
          <w:kern w:val="0"/>
          <w:szCs w:val="21"/>
          <w:highlight w:val="none"/>
          <w:u w:val="single"/>
        </w:rPr>
        <w:t>           </w:t>
      </w:r>
      <w:r>
        <w:rPr>
          <w:rFonts w:ascii="Arial" w:hAnsi="Arial" w:cs="Arial"/>
          <w:kern w:val="0"/>
          <w:szCs w:val="21"/>
          <w:highlight w:val="none"/>
        </w:rPr>
        <w:t>（</w:t>
      </w:r>
      <w:r>
        <w:rPr>
          <w:rFonts w:hint="eastAsia" w:ascii="Arial" w:hAnsi="Arial" w:cs="Arial"/>
          <w:kern w:val="0"/>
          <w:szCs w:val="21"/>
          <w:highlight w:val="none"/>
          <w:lang w:eastAsia="zh-CN"/>
        </w:rPr>
        <w:t>供应商</w:t>
      </w:r>
      <w:r>
        <w:rPr>
          <w:rFonts w:ascii="Arial" w:hAnsi="Arial" w:cs="Arial"/>
          <w:kern w:val="0"/>
          <w:szCs w:val="21"/>
          <w:highlight w:val="none"/>
        </w:rPr>
        <w:t>名称）法定代表人</w:t>
      </w:r>
      <w:r>
        <w:rPr>
          <w:rFonts w:ascii="Arial" w:hAnsi="Arial" w:cs="Arial"/>
          <w:kern w:val="0"/>
          <w:szCs w:val="21"/>
          <w:highlight w:val="none"/>
          <w:u w:val="single"/>
        </w:rPr>
        <w:t>        </w:t>
      </w:r>
      <w:r>
        <w:rPr>
          <w:rFonts w:ascii="Arial" w:hAnsi="Arial" w:cs="Arial"/>
          <w:kern w:val="0"/>
          <w:szCs w:val="21"/>
          <w:highlight w:val="none"/>
        </w:rPr>
        <w:t>（法定代表人姓名、职务）代表本公司授权在下面签字的</w:t>
      </w:r>
      <w:r>
        <w:rPr>
          <w:rFonts w:ascii="Arial" w:hAnsi="Arial" w:cs="Arial"/>
          <w:kern w:val="0"/>
          <w:szCs w:val="21"/>
          <w:highlight w:val="none"/>
          <w:u w:val="single"/>
        </w:rPr>
        <w:t>        </w:t>
      </w:r>
      <w:r>
        <w:rPr>
          <w:rFonts w:ascii="Arial" w:hAnsi="Arial" w:cs="Arial"/>
          <w:kern w:val="0"/>
          <w:szCs w:val="21"/>
          <w:highlight w:val="none"/>
        </w:rPr>
        <w:t>（</w:t>
      </w:r>
      <w:r>
        <w:rPr>
          <w:rFonts w:hint="eastAsia" w:ascii="Arial" w:hAnsi="Arial" w:cs="Arial"/>
          <w:kern w:val="0"/>
          <w:szCs w:val="21"/>
          <w:highlight w:val="none"/>
          <w:lang w:eastAsia="zh-CN"/>
        </w:rPr>
        <w:t>供应商</w:t>
      </w:r>
      <w:r>
        <w:rPr>
          <w:rFonts w:ascii="Arial" w:hAnsi="Arial" w:cs="Arial"/>
          <w:kern w:val="0"/>
          <w:szCs w:val="21"/>
          <w:highlight w:val="none"/>
        </w:rPr>
        <w:t>代表姓名、职务）为本公司的合法代理人，就贵方组织的</w:t>
      </w:r>
      <w:r>
        <w:rPr>
          <w:rFonts w:ascii="Arial" w:hAnsi="Arial" w:cs="Arial"/>
          <w:b/>
          <w:bCs/>
          <w:kern w:val="0"/>
          <w:szCs w:val="21"/>
          <w:highlight w:val="none"/>
          <w:u w:val="single"/>
        </w:rPr>
        <w:t>                   </w:t>
      </w:r>
      <w:r>
        <w:rPr>
          <w:rFonts w:ascii="Arial" w:hAnsi="Arial" w:cs="Arial"/>
          <w:kern w:val="0"/>
          <w:szCs w:val="21"/>
          <w:highlight w:val="none"/>
        </w:rPr>
        <w:t>（项目名称），</w:t>
      </w:r>
      <w:r>
        <w:rPr>
          <w:rFonts w:ascii="Arial" w:hAnsi="Arial" w:cs="Arial"/>
          <w:kern w:val="0"/>
          <w:szCs w:val="21"/>
          <w:highlight w:val="none"/>
          <w:u w:val="single"/>
        </w:rPr>
        <w:t>        </w:t>
      </w:r>
      <w:r>
        <w:rPr>
          <w:rFonts w:ascii="Arial" w:hAnsi="Arial" w:cs="Arial"/>
          <w:kern w:val="0"/>
          <w:szCs w:val="21"/>
          <w:highlight w:val="none"/>
        </w:rPr>
        <w:t>（项目编号）投标，以本公司名义处理一切与之有关的事务。</w:t>
      </w: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    本授权书于    年  月  日签字生效，特此声明。</w:t>
      </w: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    法定代表人签字：</w:t>
      </w:r>
    </w:p>
    <w:p>
      <w:pPr>
        <w:widowControl/>
        <w:shd w:val="clear" w:color="auto" w:fill="FFFFFF"/>
        <w:spacing w:line="360" w:lineRule="auto"/>
        <w:ind w:firstLine="825"/>
        <w:jc w:val="left"/>
        <w:rPr>
          <w:rFonts w:ascii="Arial" w:hAnsi="Arial" w:cs="Arial"/>
          <w:kern w:val="0"/>
          <w:szCs w:val="21"/>
          <w:highlight w:val="none"/>
        </w:rPr>
      </w:pPr>
      <w:r>
        <w:rPr>
          <w:rFonts w:ascii="Arial" w:hAnsi="Arial" w:cs="Arial"/>
          <w:kern w:val="0"/>
          <w:szCs w:val="21"/>
          <w:highlight w:val="none"/>
        </w:rPr>
        <w:t>授权委托人签字：                   </w:t>
      </w:r>
    </w:p>
    <w:p>
      <w:pPr>
        <w:widowControl/>
        <w:shd w:val="clear" w:color="auto" w:fill="FFFFFF"/>
        <w:spacing w:line="360" w:lineRule="auto"/>
        <w:ind w:firstLine="840" w:firstLineChars="400"/>
        <w:jc w:val="left"/>
        <w:rPr>
          <w:rFonts w:ascii="Arial" w:hAnsi="Arial" w:cs="Arial"/>
          <w:kern w:val="0"/>
          <w:szCs w:val="21"/>
          <w:highlight w:val="none"/>
        </w:rPr>
      </w:pPr>
      <w:r>
        <w:rPr>
          <w:rFonts w:ascii="Arial" w:hAnsi="Arial" w:cs="Arial"/>
          <w:kern w:val="0"/>
          <w:szCs w:val="21"/>
          <w:highlight w:val="none"/>
        </w:rPr>
        <w:t>日     期：        年    月    日</w:t>
      </w:r>
    </w:p>
    <w:p>
      <w:pPr>
        <w:widowControl/>
        <w:shd w:val="clear" w:color="auto" w:fill="FFFFFF"/>
        <w:spacing w:line="360" w:lineRule="auto"/>
        <w:ind w:firstLine="840" w:firstLineChars="400"/>
        <w:jc w:val="left"/>
        <w:rPr>
          <w:rFonts w:ascii="Arial" w:hAnsi="Arial" w:cs="Arial"/>
          <w:kern w:val="0"/>
          <w:szCs w:val="21"/>
          <w:highlight w:val="none"/>
        </w:rPr>
      </w:pP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委托代理人的身份证的复印件:</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 </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 </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 </w:t>
      </w:r>
    </w:p>
    <w:p>
      <w:pPr>
        <w:autoSpaceDE w:val="0"/>
        <w:autoSpaceDN w:val="0"/>
        <w:adjustRightInd w:val="0"/>
        <w:spacing w:line="360" w:lineRule="auto"/>
        <w:rPr>
          <w:rFonts w:ascii="Arial" w:hAnsi="Arial" w:cs="Arial"/>
          <w:highlight w:val="none"/>
          <w:lang w:val="zh-CN"/>
        </w:rPr>
      </w:pPr>
      <w:r>
        <w:rPr>
          <w:rFonts w:ascii="Arial" w:hAnsi="Arial" w:cs="Arial"/>
          <w:b/>
          <w:bCs/>
          <w:kern w:val="0"/>
          <w:szCs w:val="21"/>
          <w:highlight w:val="none"/>
        </w:rPr>
        <w:br w:type="page"/>
      </w:r>
      <w:bookmarkStart w:id="15" w:name="_Toc26810"/>
      <w:r>
        <w:rPr>
          <w:rFonts w:ascii="Arial" w:hAnsi="Arial" w:cs="Arial"/>
          <w:b/>
          <w:bCs/>
          <w:kern w:val="0"/>
          <w:szCs w:val="21"/>
          <w:highlight w:val="none"/>
          <w:lang w:val="zh-CN"/>
        </w:rPr>
        <w:t>附件三、报价表</w:t>
      </w:r>
      <w:bookmarkEnd w:id="15"/>
    </w:p>
    <w:p>
      <w:pPr>
        <w:autoSpaceDE w:val="0"/>
        <w:autoSpaceDN w:val="0"/>
        <w:adjustRightInd w:val="0"/>
        <w:rPr>
          <w:rFonts w:ascii="Arial" w:hAnsi="Arial" w:cs="Arial"/>
          <w:b/>
          <w:bCs/>
          <w:highlight w:val="none"/>
          <w:lang w:val="zh-CN"/>
        </w:rPr>
      </w:pPr>
    </w:p>
    <w:p>
      <w:pPr>
        <w:jc w:val="center"/>
        <w:rPr>
          <w:rFonts w:ascii="Arial" w:hAnsi="Arial" w:cs="Arial"/>
          <w:b/>
          <w:sz w:val="36"/>
          <w:szCs w:val="36"/>
          <w:highlight w:val="none"/>
        </w:rPr>
      </w:pPr>
      <w:r>
        <w:rPr>
          <w:rFonts w:ascii="Arial" w:hAnsi="Arial" w:cs="Arial"/>
          <w:b/>
          <w:sz w:val="36"/>
          <w:szCs w:val="36"/>
          <w:highlight w:val="none"/>
        </w:rPr>
        <w:t>开标一览表</w:t>
      </w:r>
    </w:p>
    <w:p>
      <w:pPr>
        <w:widowControl/>
        <w:shd w:val="clear" w:color="auto" w:fill="FFFFFF"/>
        <w:spacing w:line="360" w:lineRule="auto"/>
        <w:jc w:val="center"/>
        <w:rPr>
          <w:rFonts w:ascii="Arial" w:hAnsi="Arial" w:cs="Arial"/>
          <w:kern w:val="0"/>
          <w:sz w:val="24"/>
          <w:highlight w:val="none"/>
        </w:rPr>
      </w:pPr>
      <w:r>
        <w:rPr>
          <w:rFonts w:ascii="Arial" w:hAnsi="Arial" w:cs="Arial"/>
          <w:highlight w:val="none"/>
          <w:lang w:val="zh-CN"/>
        </w:rPr>
        <w:t xml:space="preserve">               </w:t>
      </w:r>
    </w:p>
    <w:p>
      <w:pPr>
        <w:pStyle w:val="14"/>
        <w:spacing w:line="440" w:lineRule="exact"/>
        <w:ind w:firstLine="474" w:firstLineChars="225"/>
        <w:rPr>
          <w:rFonts w:ascii="Arial" w:hAnsi="Arial" w:cs="Arial"/>
          <w:sz w:val="21"/>
          <w:szCs w:val="21"/>
          <w:highlight w:val="none"/>
        </w:rPr>
      </w:pPr>
      <w:r>
        <w:rPr>
          <w:rFonts w:ascii="Arial" w:hAnsi="Arial" w:cs="Arial"/>
          <w:sz w:val="21"/>
          <w:szCs w:val="21"/>
          <w:highlight w:val="none"/>
        </w:rPr>
        <w:t>项目名称：                                         项目编号：</w:t>
      </w:r>
    </w:p>
    <w:tbl>
      <w:tblPr>
        <w:tblStyle w:val="43"/>
        <w:tblW w:w="8640"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17"/>
        <w:gridCol w:w="721"/>
        <w:gridCol w:w="4163"/>
        <w:gridCol w:w="1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8" w:hRule="atLeast"/>
        </w:trPr>
        <w:tc>
          <w:tcPr>
            <w:tcW w:w="2117" w:type="dxa"/>
            <w:vAlign w:val="center"/>
          </w:tcPr>
          <w:p>
            <w:pPr>
              <w:pStyle w:val="14"/>
              <w:spacing w:line="440" w:lineRule="exact"/>
              <w:ind w:firstLine="0"/>
              <w:jc w:val="center"/>
              <w:rPr>
                <w:rFonts w:ascii="Arial" w:hAnsi="Arial" w:cs="Arial"/>
                <w:sz w:val="21"/>
                <w:szCs w:val="21"/>
                <w:highlight w:val="none"/>
              </w:rPr>
            </w:pPr>
            <w:r>
              <w:rPr>
                <w:rFonts w:ascii="Arial" w:hAnsi="Arial" w:cs="Arial"/>
                <w:sz w:val="21"/>
                <w:szCs w:val="21"/>
                <w:highlight w:val="none"/>
              </w:rPr>
              <w:t>投标总价</w:t>
            </w:r>
          </w:p>
        </w:tc>
        <w:tc>
          <w:tcPr>
            <w:tcW w:w="721" w:type="dxa"/>
            <w:vAlign w:val="center"/>
          </w:tcPr>
          <w:p>
            <w:pPr>
              <w:pStyle w:val="14"/>
              <w:spacing w:line="440" w:lineRule="exact"/>
              <w:ind w:firstLine="0"/>
              <w:rPr>
                <w:rFonts w:ascii="Arial" w:hAnsi="Arial" w:cs="Arial"/>
                <w:sz w:val="21"/>
                <w:szCs w:val="21"/>
                <w:highlight w:val="none"/>
              </w:rPr>
            </w:pPr>
            <w:r>
              <w:rPr>
                <w:rFonts w:ascii="Arial" w:hAnsi="Arial" w:cs="Arial"/>
                <w:sz w:val="21"/>
                <w:szCs w:val="21"/>
                <w:highlight w:val="none"/>
              </w:rPr>
              <w:t>合计</w:t>
            </w:r>
          </w:p>
        </w:tc>
        <w:tc>
          <w:tcPr>
            <w:tcW w:w="4163" w:type="dxa"/>
            <w:vAlign w:val="center"/>
          </w:tcPr>
          <w:p>
            <w:pPr>
              <w:pStyle w:val="14"/>
              <w:spacing w:line="440" w:lineRule="exact"/>
              <w:ind w:firstLine="0"/>
              <w:rPr>
                <w:rFonts w:ascii="Arial" w:hAnsi="Arial" w:cs="Arial"/>
                <w:bCs/>
                <w:sz w:val="21"/>
                <w:szCs w:val="21"/>
                <w:highlight w:val="none"/>
              </w:rPr>
            </w:pPr>
            <w:r>
              <w:rPr>
                <w:rFonts w:ascii="Arial" w:hAnsi="Arial" w:cs="Arial"/>
                <w:sz w:val="21"/>
                <w:szCs w:val="21"/>
                <w:highlight w:val="none"/>
              </w:rPr>
              <w:t xml:space="preserve">小写：人民币              </w:t>
            </w:r>
            <w:r>
              <w:rPr>
                <w:rFonts w:ascii="Arial" w:hAnsi="Arial" w:cs="Arial"/>
                <w:bCs/>
                <w:sz w:val="21"/>
                <w:szCs w:val="21"/>
                <w:highlight w:val="none"/>
              </w:rPr>
              <w:t xml:space="preserve">    </w:t>
            </w:r>
          </w:p>
          <w:p>
            <w:pPr>
              <w:pStyle w:val="14"/>
              <w:spacing w:line="440" w:lineRule="exact"/>
              <w:ind w:firstLine="474" w:firstLineChars="225"/>
              <w:rPr>
                <w:rFonts w:ascii="Arial" w:hAnsi="Arial" w:cs="Arial"/>
                <w:sz w:val="21"/>
                <w:szCs w:val="21"/>
                <w:highlight w:val="none"/>
              </w:rPr>
            </w:pPr>
          </w:p>
          <w:p>
            <w:pPr>
              <w:pStyle w:val="14"/>
              <w:spacing w:line="440" w:lineRule="exact"/>
              <w:ind w:firstLine="0"/>
              <w:rPr>
                <w:rFonts w:ascii="Arial" w:hAnsi="Arial" w:cs="Arial"/>
                <w:sz w:val="21"/>
                <w:szCs w:val="21"/>
                <w:highlight w:val="none"/>
              </w:rPr>
            </w:pPr>
            <w:r>
              <w:rPr>
                <w:rFonts w:ascii="Arial" w:hAnsi="Arial" w:cs="Arial"/>
                <w:sz w:val="21"/>
                <w:szCs w:val="21"/>
                <w:highlight w:val="none"/>
              </w:rPr>
              <w:t xml:space="preserve">大写：人民币                     </w:t>
            </w:r>
          </w:p>
        </w:tc>
        <w:tc>
          <w:tcPr>
            <w:tcW w:w="1639" w:type="dxa"/>
            <w:vAlign w:val="center"/>
          </w:tcPr>
          <w:p>
            <w:pPr>
              <w:pStyle w:val="14"/>
              <w:spacing w:line="440" w:lineRule="exact"/>
              <w:ind w:firstLine="0"/>
              <w:rPr>
                <w:rFonts w:ascii="Arial" w:hAnsi="Arial" w:cs="Arial"/>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trPr>
        <w:tc>
          <w:tcPr>
            <w:tcW w:w="2117" w:type="dxa"/>
            <w:vAlign w:val="center"/>
          </w:tcPr>
          <w:p>
            <w:pPr>
              <w:pStyle w:val="14"/>
              <w:spacing w:line="440" w:lineRule="exact"/>
              <w:ind w:firstLine="0"/>
              <w:rPr>
                <w:rFonts w:ascii="Arial" w:hAnsi="Arial" w:cs="Arial"/>
                <w:sz w:val="21"/>
                <w:szCs w:val="21"/>
                <w:highlight w:val="none"/>
              </w:rPr>
            </w:pPr>
            <w:r>
              <w:rPr>
                <w:rFonts w:ascii="Arial" w:hAnsi="Arial" w:cs="Arial"/>
                <w:sz w:val="21"/>
                <w:szCs w:val="21"/>
                <w:highlight w:val="none"/>
              </w:rPr>
              <w:t>服务时间/交付使用时间</w:t>
            </w:r>
          </w:p>
        </w:tc>
        <w:tc>
          <w:tcPr>
            <w:tcW w:w="4884" w:type="dxa"/>
            <w:gridSpan w:val="2"/>
            <w:vAlign w:val="center"/>
          </w:tcPr>
          <w:p>
            <w:pPr>
              <w:pStyle w:val="14"/>
              <w:tabs>
                <w:tab w:val="left" w:pos="3624"/>
              </w:tabs>
              <w:spacing w:line="440" w:lineRule="exact"/>
              <w:ind w:firstLine="474" w:firstLineChars="225"/>
              <w:rPr>
                <w:rFonts w:ascii="Arial" w:hAnsi="Arial" w:cs="Arial"/>
                <w:sz w:val="21"/>
                <w:szCs w:val="21"/>
                <w:highlight w:val="none"/>
                <w:u w:val="single"/>
              </w:rPr>
            </w:pPr>
            <w:r>
              <w:rPr>
                <w:rFonts w:ascii="Arial" w:hAnsi="Arial" w:cs="Arial"/>
                <w:sz w:val="21"/>
                <w:szCs w:val="21"/>
                <w:highlight w:val="none"/>
                <w:u w:val="single"/>
              </w:rPr>
              <w:t>满足招标文件要求。</w:t>
            </w:r>
          </w:p>
        </w:tc>
        <w:tc>
          <w:tcPr>
            <w:tcW w:w="1639" w:type="dxa"/>
            <w:vAlign w:val="center"/>
          </w:tcPr>
          <w:p>
            <w:pPr>
              <w:pStyle w:val="14"/>
              <w:spacing w:line="440" w:lineRule="exact"/>
              <w:ind w:firstLine="474" w:firstLineChars="225"/>
              <w:rPr>
                <w:rFonts w:ascii="Arial" w:hAnsi="Arial" w:cs="Arial"/>
                <w:sz w:val="21"/>
                <w:szCs w:val="21"/>
                <w:highlight w:val="none"/>
              </w:rPr>
            </w:pPr>
          </w:p>
          <w:p>
            <w:pPr>
              <w:pStyle w:val="14"/>
              <w:spacing w:line="440" w:lineRule="exact"/>
              <w:ind w:firstLine="474" w:firstLineChars="225"/>
              <w:rPr>
                <w:rFonts w:ascii="Arial" w:hAnsi="Arial" w:cs="Arial"/>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6" w:hRule="atLeast"/>
        </w:trPr>
        <w:tc>
          <w:tcPr>
            <w:tcW w:w="2117" w:type="dxa"/>
            <w:vAlign w:val="center"/>
          </w:tcPr>
          <w:p>
            <w:pPr>
              <w:pStyle w:val="14"/>
              <w:spacing w:line="440" w:lineRule="exact"/>
              <w:ind w:firstLine="0"/>
              <w:rPr>
                <w:rFonts w:ascii="Arial" w:hAnsi="Arial" w:cs="Arial"/>
                <w:sz w:val="21"/>
                <w:szCs w:val="21"/>
                <w:highlight w:val="none"/>
              </w:rPr>
            </w:pPr>
            <w:r>
              <w:rPr>
                <w:rFonts w:hint="eastAsia" w:ascii="Arial" w:hAnsi="Arial" w:cs="Arial"/>
                <w:sz w:val="21"/>
                <w:szCs w:val="21"/>
                <w:highlight w:val="none"/>
                <w:lang w:eastAsia="zh-CN"/>
              </w:rPr>
              <w:t>供应商</w:t>
            </w:r>
            <w:r>
              <w:rPr>
                <w:rFonts w:ascii="Arial" w:hAnsi="Arial" w:cs="Arial"/>
                <w:sz w:val="21"/>
                <w:szCs w:val="21"/>
                <w:highlight w:val="none"/>
              </w:rPr>
              <w:t>是否属于小微型企业</w:t>
            </w:r>
          </w:p>
        </w:tc>
        <w:tc>
          <w:tcPr>
            <w:tcW w:w="4884" w:type="dxa"/>
            <w:gridSpan w:val="2"/>
            <w:vAlign w:val="center"/>
          </w:tcPr>
          <w:p>
            <w:pPr>
              <w:pStyle w:val="14"/>
              <w:spacing w:line="440" w:lineRule="exact"/>
              <w:ind w:firstLine="474" w:firstLineChars="225"/>
              <w:rPr>
                <w:rFonts w:ascii="Arial" w:hAnsi="Arial" w:cs="Arial"/>
                <w:sz w:val="21"/>
                <w:szCs w:val="21"/>
                <w:highlight w:val="none"/>
              </w:rPr>
            </w:pPr>
            <w:r>
              <w:rPr>
                <w:rFonts w:ascii="Arial" w:hAnsi="Arial" w:cs="Arial"/>
                <w:sz w:val="21"/>
                <w:szCs w:val="21"/>
                <w:highlight w:val="none"/>
                <w:u w:val="single"/>
              </w:rPr>
              <w:t xml:space="preserve">                    </w:t>
            </w:r>
            <w:r>
              <w:rPr>
                <w:rFonts w:ascii="Arial" w:hAnsi="Arial" w:cs="Arial"/>
                <w:sz w:val="21"/>
                <w:szCs w:val="21"/>
                <w:highlight w:val="none"/>
              </w:rPr>
              <w:t>（</w:t>
            </w:r>
            <w:r>
              <w:rPr>
                <w:rFonts w:ascii="Arial" w:hAnsi="Arial" w:cs="Arial"/>
                <w:sz w:val="21"/>
                <w:szCs w:val="21"/>
                <w:highlight w:val="none"/>
                <w:lang w:val="zh-CN"/>
              </w:rPr>
              <w:t>填写“是”或“否</w:t>
            </w:r>
            <w:r>
              <w:rPr>
                <w:rFonts w:ascii="Arial" w:hAnsi="Arial" w:cs="Arial"/>
                <w:sz w:val="21"/>
                <w:szCs w:val="21"/>
                <w:highlight w:val="none"/>
              </w:rPr>
              <w:t>）</w:t>
            </w:r>
          </w:p>
        </w:tc>
        <w:tc>
          <w:tcPr>
            <w:tcW w:w="1639" w:type="dxa"/>
            <w:vAlign w:val="center"/>
          </w:tcPr>
          <w:p>
            <w:pPr>
              <w:pStyle w:val="14"/>
              <w:spacing w:line="440" w:lineRule="exact"/>
              <w:ind w:firstLine="474" w:firstLineChars="225"/>
              <w:rPr>
                <w:rFonts w:ascii="Arial" w:hAnsi="Arial" w:cs="Arial"/>
                <w:sz w:val="21"/>
                <w:szCs w:val="21"/>
                <w:highlight w:val="none"/>
              </w:rPr>
            </w:pPr>
          </w:p>
        </w:tc>
      </w:tr>
    </w:tbl>
    <w:p>
      <w:pPr>
        <w:widowControl/>
        <w:shd w:val="clear" w:color="auto" w:fill="FFFFFF"/>
        <w:spacing w:line="360" w:lineRule="auto"/>
        <w:jc w:val="left"/>
        <w:rPr>
          <w:rFonts w:ascii="Arial" w:hAnsi="Arial" w:cs="Arial"/>
          <w:kern w:val="0"/>
          <w:szCs w:val="21"/>
          <w:highlight w:val="none"/>
        </w:rPr>
      </w:pPr>
    </w:p>
    <w:p>
      <w:pPr>
        <w:widowControl/>
        <w:shd w:val="clear" w:color="auto" w:fill="FFFFFF"/>
        <w:spacing w:line="360" w:lineRule="auto"/>
        <w:jc w:val="left"/>
        <w:rPr>
          <w:rFonts w:ascii="Arial" w:hAnsi="Arial" w:cs="Arial"/>
          <w:kern w:val="0"/>
          <w:szCs w:val="21"/>
          <w:highlight w:val="none"/>
        </w:rPr>
      </w:pPr>
      <w:r>
        <w:rPr>
          <w:rFonts w:hint="eastAsia" w:ascii="Arial" w:hAnsi="Arial" w:cs="Arial"/>
          <w:kern w:val="0"/>
          <w:szCs w:val="21"/>
          <w:highlight w:val="none"/>
        </w:rPr>
        <w:t>供应商</w:t>
      </w:r>
      <w:r>
        <w:rPr>
          <w:rFonts w:ascii="Arial" w:hAnsi="Arial" w:cs="Arial"/>
          <w:kern w:val="0"/>
          <w:szCs w:val="21"/>
          <w:highlight w:val="none"/>
        </w:rPr>
        <w:t>（盖章）：</w:t>
      </w:r>
      <w:r>
        <w:rPr>
          <w:rFonts w:ascii="Arial" w:hAnsi="Arial" w:cs="Arial"/>
          <w:kern w:val="0"/>
          <w:szCs w:val="21"/>
          <w:highlight w:val="none"/>
          <w:u w:val="single"/>
        </w:rPr>
        <w:t>                             </w:t>
      </w:r>
      <w:r>
        <w:rPr>
          <w:rFonts w:ascii="Arial" w:hAnsi="Arial" w:cs="Arial"/>
          <w:kern w:val="0"/>
          <w:szCs w:val="21"/>
          <w:highlight w:val="none"/>
        </w:rPr>
        <w:t xml:space="preserve"> </w:t>
      </w:r>
    </w:p>
    <w:p>
      <w:pPr>
        <w:widowControl/>
        <w:shd w:val="clear" w:color="auto" w:fill="FFFFFF"/>
        <w:spacing w:line="360" w:lineRule="auto"/>
        <w:jc w:val="left"/>
        <w:rPr>
          <w:rFonts w:ascii="Arial" w:hAnsi="Arial" w:cs="Arial"/>
          <w:kern w:val="0"/>
          <w:szCs w:val="21"/>
          <w:highlight w:val="none"/>
          <w:u w:val="single"/>
        </w:rPr>
      </w:pPr>
      <w:r>
        <w:rPr>
          <w:rFonts w:ascii="Arial" w:hAnsi="Arial" w:cs="Arial"/>
          <w:kern w:val="0"/>
          <w:szCs w:val="21"/>
          <w:highlight w:val="none"/>
        </w:rPr>
        <w:t>法定代表人或授权代表（签字）：</w:t>
      </w:r>
      <w:r>
        <w:rPr>
          <w:rFonts w:ascii="Arial" w:hAnsi="Arial" w:cs="Arial"/>
          <w:kern w:val="0"/>
          <w:szCs w:val="21"/>
          <w:highlight w:val="none"/>
          <w:u w:val="single"/>
        </w:rPr>
        <w:t>                              </w:t>
      </w: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说明：</w:t>
      </w:r>
    </w:p>
    <w:p>
      <w:pPr>
        <w:widowControl/>
        <w:numPr>
          <w:ilvl w:val="0"/>
          <w:numId w:val="14"/>
        </w:numPr>
        <w:shd w:val="clear" w:color="auto" w:fill="FFFFFF"/>
        <w:spacing w:line="360" w:lineRule="auto"/>
        <w:ind w:firstLine="422" w:firstLineChars="200"/>
        <w:jc w:val="left"/>
        <w:rPr>
          <w:rFonts w:ascii="Arial" w:hAnsi="Arial" w:cs="Arial"/>
          <w:b/>
          <w:bCs/>
          <w:kern w:val="0"/>
          <w:szCs w:val="21"/>
          <w:highlight w:val="none"/>
        </w:rPr>
      </w:pPr>
      <w:r>
        <w:rPr>
          <w:rFonts w:ascii="Arial" w:hAnsi="Arial" w:cs="Arial"/>
          <w:b/>
          <w:bCs/>
          <w:kern w:val="0"/>
          <w:szCs w:val="21"/>
          <w:highlight w:val="none"/>
        </w:rPr>
        <w:t>本项目仅接受一个价格，不得填报有选择性报价方案。若有优惠条款须注明，但不得影响报价，影响产品整体功能。</w:t>
      </w:r>
    </w:p>
    <w:p>
      <w:pPr>
        <w:widowControl/>
        <w:shd w:val="clear" w:color="auto" w:fill="FFFFFF"/>
        <w:spacing w:line="360" w:lineRule="auto"/>
        <w:ind w:firstLine="420"/>
        <w:jc w:val="left"/>
        <w:rPr>
          <w:rFonts w:ascii="Arial" w:hAnsi="Arial" w:cs="Arial"/>
          <w:b/>
          <w:bCs/>
          <w:szCs w:val="21"/>
          <w:highlight w:val="none"/>
        </w:rPr>
      </w:pPr>
      <w:r>
        <w:rPr>
          <w:rFonts w:ascii="Arial" w:hAnsi="Arial" w:cs="Arial"/>
          <w:b/>
          <w:bCs/>
          <w:kern w:val="0"/>
          <w:szCs w:val="21"/>
          <w:highlight w:val="none"/>
        </w:rPr>
        <w:t>2、“</w:t>
      </w:r>
      <w:r>
        <w:rPr>
          <w:rFonts w:hint="eastAsia" w:ascii="Arial" w:hAnsi="Arial" w:cs="Arial"/>
          <w:b/>
          <w:bCs/>
          <w:kern w:val="0"/>
          <w:szCs w:val="21"/>
          <w:highlight w:val="none"/>
          <w:lang w:eastAsia="zh-CN"/>
        </w:rPr>
        <w:t>供应商</w:t>
      </w:r>
      <w:r>
        <w:rPr>
          <w:rFonts w:ascii="Arial" w:hAnsi="Arial" w:cs="Arial"/>
          <w:b/>
          <w:bCs/>
          <w:kern w:val="0"/>
          <w:szCs w:val="21"/>
          <w:highlight w:val="none"/>
        </w:rPr>
        <w:t>是否属于小微型企业</w:t>
      </w:r>
      <w:r>
        <w:rPr>
          <w:rFonts w:ascii="Arial" w:hAnsi="Arial" w:cs="Arial"/>
          <w:b/>
          <w:bCs/>
          <w:kern w:val="0"/>
          <w:szCs w:val="21"/>
          <w:highlight w:val="none"/>
          <w:lang w:val="zh-CN"/>
        </w:rPr>
        <w:t>”栏内填写“是”或“否”。如填写“是”，</w:t>
      </w:r>
      <w:r>
        <w:rPr>
          <w:rFonts w:hint="eastAsia" w:ascii="Arial" w:hAnsi="Arial" w:cs="Arial"/>
          <w:b/>
          <w:bCs/>
          <w:szCs w:val="21"/>
          <w:highlight w:val="none"/>
          <w:lang w:eastAsia="zh-CN"/>
        </w:rPr>
        <w:t>供应商</w:t>
      </w:r>
      <w:r>
        <w:rPr>
          <w:rFonts w:ascii="Arial" w:hAnsi="Arial" w:cs="Arial"/>
          <w:b/>
          <w:bCs/>
          <w:szCs w:val="21"/>
          <w:highlight w:val="none"/>
        </w:rPr>
        <w:t>需提供《中小企业声明函》、《残疾人福利性单位声明函》、《属于监狱企业的证明文件》；如为代理商投标，还需提供投标产品制造商出具的上述文件。</w:t>
      </w:r>
      <w:r>
        <w:rPr>
          <w:rFonts w:ascii="Arial" w:hAnsi="Arial" w:cs="Arial"/>
          <w:b/>
          <w:szCs w:val="21"/>
          <w:highlight w:val="none"/>
        </w:rPr>
        <w:t>非小微企业产品不享受价格扣除。</w:t>
      </w:r>
    </w:p>
    <w:p>
      <w:pPr>
        <w:widowControl/>
        <w:shd w:val="clear" w:color="auto" w:fill="FFFFFF"/>
        <w:spacing w:line="360" w:lineRule="auto"/>
        <w:ind w:firstLine="420"/>
        <w:jc w:val="left"/>
        <w:rPr>
          <w:rFonts w:ascii="Arial" w:hAnsi="Arial" w:cs="Arial"/>
          <w:b/>
          <w:bCs/>
          <w:kern w:val="0"/>
          <w:szCs w:val="21"/>
          <w:highlight w:val="none"/>
        </w:rPr>
      </w:pPr>
      <w:r>
        <w:rPr>
          <w:rFonts w:ascii="Arial" w:hAnsi="Arial" w:cs="Arial"/>
          <w:b/>
          <w:bCs/>
          <w:szCs w:val="21"/>
          <w:highlight w:val="none"/>
        </w:rPr>
        <w:t>如未按要求提供、填写，或相关内容表述不清前后矛盾的，不享受价格扣除</w:t>
      </w:r>
      <w:r>
        <w:rPr>
          <w:rFonts w:ascii="Arial" w:hAnsi="Arial" w:cs="Arial"/>
          <w:b/>
          <w:bCs/>
          <w:kern w:val="0"/>
          <w:szCs w:val="21"/>
          <w:highlight w:val="none"/>
        </w:rPr>
        <w:t>。</w:t>
      </w:r>
    </w:p>
    <w:p>
      <w:pPr>
        <w:widowControl/>
        <w:shd w:val="clear" w:color="auto" w:fill="FFFFFF"/>
        <w:spacing w:line="360" w:lineRule="auto"/>
        <w:jc w:val="left"/>
        <w:rPr>
          <w:rFonts w:ascii="Arial" w:hAnsi="Arial" w:cs="Arial"/>
          <w:b/>
          <w:bCs/>
          <w:kern w:val="0"/>
          <w:szCs w:val="21"/>
          <w:highlight w:val="none"/>
          <w:lang w:val="zh-CN"/>
        </w:rPr>
        <w:sectPr>
          <w:pgSz w:w="11906" w:h="16838"/>
          <w:pgMar w:top="1440" w:right="1800" w:bottom="1440" w:left="1600" w:header="851" w:footer="992" w:gutter="0"/>
          <w:pgBorders>
            <w:top w:val="none" w:sz="0" w:space="0"/>
            <w:left w:val="none" w:sz="0" w:space="0"/>
            <w:bottom w:val="none" w:sz="0" w:space="0"/>
            <w:right w:val="none" w:sz="0" w:space="0"/>
          </w:pgBorders>
          <w:cols w:space="720" w:num="1"/>
          <w:titlePg/>
          <w:docGrid w:type="lines" w:linePitch="312" w:charSpace="0"/>
        </w:sectPr>
      </w:pPr>
      <w:bookmarkStart w:id="16" w:name="_Toc12264"/>
      <w:r>
        <w:rPr>
          <w:rFonts w:ascii="Arial" w:hAnsi="Arial" w:cs="Arial"/>
          <w:b/>
          <w:bCs/>
          <w:kern w:val="0"/>
          <w:szCs w:val="21"/>
          <w:highlight w:val="none"/>
          <w:lang w:val="zh-CN"/>
        </w:rPr>
        <w:br w:type="page"/>
      </w:r>
    </w:p>
    <w:p>
      <w:pPr>
        <w:widowControl/>
        <w:shd w:val="clear" w:color="auto" w:fill="FFFFFF"/>
        <w:spacing w:line="360" w:lineRule="auto"/>
        <w:jc w:val="left"/>
        <w:rPr>
          <w:rFonts w:ascii="Arial" w:hAnsi="Arial" w:cs="Arial"/>
          <w:b/>
          <w:bCs/>
          <w:kern w:val="0"/>
          <w:szCs w:val="21"/>
          <w:highlight w:val="none"/>
          <w:lang w:val="zh-CN"/>
        </w:rPr>
      </w:pPr>
      <w:r>
        <w:rPr>
          <w:rFonts w:ascii="Arial" w:hAnsi="Arial" w:cs="Arial"/>
          <w:b/>
          <w:bCs/>
          <w:kern w:val="0"/>
          <w:szCs w:val="21"/>
          <w:highlight w:val="none"/>
          <w:lang w:val="zh-CN"/>
        </w:rPr>
        <w:t>附件四、分项报价表格式</w:t>
      </w:r>
      <w:bookmarkEnd w:id="16"/>
      <w:r>
        <w:rPr>
          <w:rFonts w:hint="eastAsia" w:ascii="Arial" w:hAnsi="Arial" w:cs="Arial"/>
          <w:b/>
          <w:bCs/>
          <w:kern w:val="0"/>
          <w:szCs w:val="21"/>
          <w:highlight w:val="none"/>
          <w:lang w:val="zh-CN"/>
        </w:rPr>
        <w:t>（</w:t>
      </w:r>
      <w:r>
        <w:rPr>
          <w:rFonts w:hint="eastAsia" w:ascii="Arial" w:hAnsi="Arial" w:cs="Arial"/>
          <w:b/>
          <w:bCs/>
          <w:kern w:val="0"/>
          <w:szCs w:val="21"/>
          <w:highlight w:val="none"/>
        </w:rPr>
        <w:t>供应商</w:t>
      </w:r>
      <w:r>
        <w:rPr>
          <w:rFonts w:hint="eastAsia" w:ascii="Arial" w:hAnsi="Arial" w:cs="Arial"/>
          <w:b/>
          <w:bCs/>
          <w:kern w:val="0"/>
          <w:szCs w:val="21"/>
          <w:highlight w:val="none"/>
          <w:lang w:val="zh-CN"/>
        </w:rPr>
        <w:t>须根据项目</w:t>
      </w:r>
      <w:r>
        <w:rPr>
          <w:rFonts w:hint="eastAsia" w:ascii="Arial" w:hAnsi="Arial" w:cs="Arial"/>
          <w:b/>
          <w:bCs/>
          <w:kern w:val="0"/>
          <w:szCs w:val="21"/>
          <w:highlight w:val="none"/>
          <w:lang w:val="en-US" w:eastAsia="zh-CN"/>
        </w:rPr>
        <w:t>标段</w:t>
      </w:r>
      <w:r>
        <w:rPr>
          <w:rFonts w:hint="eastAsia" w:ascii="Arial" w:hAnsi="Arial" w:cs="Arial"/>
          <w:b/>
          <w:bCs/>
          <w:kern w:val="0"/>
          <w:szCs w:val="21"/>
          <w:highlight w:val="none"/>
          <w:lang w:val="zh-CN"/>
        </w:rPr>
        <w:t>内容，报出各类内容的单价，</w:t>
      </w:r>
      <w:r>
        <w:rPr>
          <w:rFonts w:hint="eastAsia" w:ascii="Arial" w:hAnsi="Arial" w:cs="Arial"/>
          <w:b/>
          <w:bCs/>
          <w:kern w:val="0"/>
          <w:szCs w:val="21"/>
          <w:highlight w:val="none"/>
        </w:rPr>
        <w:t>格式根据清单，采购人根据实际发生量，按实结算</w:t>
      </w:r>
      <w:r>
        <w:rPr>
          <w:rFonts w:hint="eastAsia" w:ascii="Arial" w:hAnsi="Arial" w:cs="Arial"/>
          <w:b/>
          <w:bCs/>
          <w:kern w:val="0"/>
          <w:szCs w:val="21"/>
          <w:highlight w:val="none"/>
          <w:lang w:val="zh-CN"/>
        </w:rPr>
        <w:t>）</w:t>
      </w:r>
    </w:p>
    <w:p>
      <w:pPr>
        <w:widowControl/>
        <w:adjustRightInd w:val="0"/>
        <w:spacing w:line="240" w:lineRule="atLeast"/>
        <w:jc w:val="left"/>
        <w:rPr>
          <w:rFonts w:ascii="Arial" w:hAnsi="Arial" w:cs="Arial"/>
          <w:b/>
          <w:bCs/>
          <w:kern w:val="0"/>
          <w:highlight w:val="none"/>
          <w:lang w:val="zh-CN"/>
        </w:rPr>
      </w:pPr>
    </w:p>
    <w:p>
      <w:pPr>
        <w:widowControl/>
        <w:shd w:val="clear" w:color="auto" w:fill="FFFFFF"/>
        <w:spacing w:line="360" w:lineRule="auto"/>
        <w:jc w:val="center"/>
        <w:rPr>
          <w:rFonts w:ascii="Arial" w:hAnsi="Arial" w:cs="Arial"/>
          <w:b/>
          <w:kern w:val="0"/>
          <w:sz w:val="36"/>
          <w:szCs w:val="36"/>
          <w:highlight w:val="none"/>
        </w:rPr>
      </w:pPr>
      <w:r>
        <w:rPr>
          <w:rFonts w:ascii="Arial" w:hAnsi="Arial" w:cs="Arial"/>
          <w:b/>
          <w:kern w:val="0"/>
          <w:sz w:val="36"/>
          <w:szCs w:val="36"/>
          <w:highlight w:val="none"/>
        </w:rPr>
        <w:t>分项报价表</w:t>
      </w:r>
    </w:p>
    <w:tbl>
      <w:tblPr>
        <w:tblStyle w:val="43"/>
        <w:tblW w:w="13273" w:type="dxa"/>
        <w:tblInd w:w="0" w:type="dxa"/>
        <w:shd w:val="clear" w:color="auto" w:fill="auto"/>
        <w:tblLayout w:type="autofit"/>
        <w:tblCellMar>
          <w:top w:w="0" w:type="dxa"/>
          <w:left w:w="0" w:type="dxa"/>
          <w:bottom w:w="0" w:type="dxa"/>
          <w:right w:w="0" w:type="dxa"/>
        </w:tblCellMar>
      </w:tblPr>
      <w:tblGrid>
        <w:gridCol w:w="706"/>
        <w:gridCol w:w="2044"/>
        <w:gridCol w:w="706"/>
        <w:gridCol w:w="1379"/>
        <w:gridCol w:w="1379"/>
        <w:gridCol w:w="1276"/>
        <w:gridCol w:w="706"/>
        <w:gridCol w:w="1379"/>
        <w:gridCol w:w="1379"/>
        <w:gridCol w:w="1297"/>
        <w:gridCol w:w="1024"/>
      </w:tblGrid>
      <w:tr>
        <w:tblPrEx>
          <w:shd w:val="clear" w:color="auto" w:fill="auto"/>
          <w:tblCellMar>
            <w:top w:w="0" w:type="dxa"/>
            <w:left w:w="0" w:type="dxa"/>
            <w:bottom w:w="0" w:type="dxa"/>
            <w:right w:w="0" w:type="dxa"/>
          </w:tblCellMar>
        </w:tblPrEx>
        <w:trPr>
          <w:trHeight w:val="348" w:hRule="atLeast"/>
        </w:trPr>
        <w:tc>
          <w:tcPr>
            <w:tcW w:w="13275" w:type="dxa"/>
            <w:gridSpan w:val="11"/>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highlight w:val="none"/>
                <w:u w:val="none"/>
              </w:rPr>
            </w:pPr>
            <w:r>
              <w:rPr>
                <w:rFonts w:hint="eastAsia" w:ascii="宋体" w:hAnsi="宋体" w:eastAsia="宋体" w:cs="宋体"/>
                <w:b/>
                <w:i w:val="0"/>
                <w:color w:val="000000"/>
                <w:kern w:val="0"/>
                <w:sz w:val="28"/>
                <w:szCs w:val="28"/>
                <w:highlight w:val="none"/>
                <w:u w:val="none"/>
                <w:lang w:val="en-US" w:eastAsia="zh-CN" w:bidi="ar"/>
              </w:rPr>
              <w:t>南京市建邺区兴隆街道居民小区垃圾分类集中投放点建设项目标段一</w:t>
            </w:r>
          </w:p>
        </w:tc>
      </w:tr>
      <w:tr>
        <w:tblPrEx>
          <w:tblCellMar>
            <w:top w:w="0" w:type="dxa"/>
            <w:left w:w="0" w:type="dxa"/>
            <w:bottom w:w="0" w:type="dxa"/>
            <w:right w:w="0" w:type="dxa"/>
          </w:tblCellMar>
        </w:tblPrEx>
        <w:trPr>
          <w:trHeight w:val="312"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序号</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小区</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一类（房）</w:t>
            </w:r>
          </w:p>
        </w:tc>
        <w:tc>
          <w:tcPr>
            <w:tcW w:w="0" w:type="auto"/>
            <w:vMerge w:val="restart"/>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房的面积</w:t>
            </w: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单价7200元/平方</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二类（亭）</w:t>
            </w:r>
          </w:p>
        </w:tc>
        <w:tc>
          <w:tcPr>
            <w:tcW w:w="0" w:type="auto"/>
            <w:vMerge w:val="restart"/>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亭的面积</w:t>
            </w: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单价5200元/平方</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亭房合计</w:t>
            </w:r>
          </w:p>
        </w:tc>
      </w:tr>
      <w:tr>
        <w:tblPrEx>
          <w:shd w:val="clear" w:color="auto" w:fill="auto"/>
          <w:tblCellMar>
            <w:top w:w="0" w:type="dxa"/>
            <w:left w:w="0" w:type="dxa"/>
            <w:bottom w:w="0" w:type="dxa"/>
            <w:right w:w="0" w:type="dxa"/>
          </w:tblCellMar>
        </w:tblPrEx>
        <w:trPr>
          <w:trHeight w:val="37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单个面积</w:t>
            </w:r>
          </w:p>
        </w:tc>
        <w:tc>
          <w:tcPr>
            <w:tcW w:w="0" w:type="auto"/>
            <w:vMerge w:val="continue"/>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数量</w:t>
            </w:r>
          </w:p>
        </w:tc>
        <w:tc>
          <w:tcPr>
            <w:tcW w:w="0" w:type="auto"/>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单个面积</w:t>
            </w:r>
          </w:p>
        </w:tc>
        <w:tc>
          <w:tcPr>
            <w:tcW w:w="0" w:type="auto"/>
            <w:vMerge w:val="continue"/>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r>
      <w:tr>
        <w:tblPrEx>
          <w:tblCellMar>
            <w:top w:w="0" w:type="dxa"/>
            <w:left w:w="0" w:type="dxa"/>
            <w:bottom w:w="0" w:type="dxa"/>
            <w:right w:w="0"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万达西地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r>
      <w:tr>
        <w:tblPrEx>
          <w:tblCellMar>
            <w:top w:w="0" w:type="dxa"/>
            <w:left w:w="0" w:type="dxa"/>
            <w:bottom w:w="0" w:type="dxa"/>
            <w:right w:w="0"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精金花园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r>
      <w:tr>
        <w:tblPrEx>
          <w:tblCellMar>
            <w:top w:w="0" w:type="dxa"/>
            <w:left w:w="0" w:type="dxa"/>
            <w:bottom w:w="0" w:type="dxa"/>
            <w:right w:w="0"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涵碧楼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r>
      <w:tr>
        <w:tblPrEx>
          <w:tblCellMar>
            <w:top w:w="0" w:type="dxa"/>
            <w:left w:w="0" w:type="dxa"/>
            <w:bottom w:w="0" w:type="dxa"/>
            <w:right w:w="0"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cs="宋体"/>
                <w:i w:val="0"/>
                <w:color w:val="000000"/>
                <w:kern w:val="0"/>
                <w:sz w:val="24"/>
                <w:szCs w:val="24"/>
                <w:highlight w:val="none"/>
                <w:u w:val="none"/>
                <w:lang w:val="en-US" w:eastAsia="zh-CN" w:bidi="ar"/>
              </w:rPr>
              <w:t>紫鑫</w:t>
            </w:r>
            <w:r>
              <w:rPr>
                <w:rFonts w:hint="eastAsia" w:ascii="宋体" w:hAnsi="宋体" w:eastAsia="宋体" w:cs="宋体"/>
                <w:i w:val="0"/>
                <w:color w:val="000000"/>
                <w:kern w:val="0"/>
                <w:sz w:val="24"/>
                <w:szCs w:val="24"/>
                <w:highlight w:val="none"/>
                <w:u w:val="none"/>
                <w:lang w:val="en-US" w:eastAsia="zh-CN" w:bidi="ar"/>
              </w:rPr>
              <w:t>中华广场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r>
      <w:tr>
        <w:tblPrEx>
          <w:tblCellMar>
            <w:top w:w="0" w:type="dxa"/>
            <w:left w:w="0" w:type="dxa"/>
            <w:bottom w:w="0" w:type="dxa"/>
            <w:right w:w="0"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丹桂园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r>
      <w:tr>
        <w:tblPrEx>
          <w:tblCellMar>
            <w:top w:w="0" w:type="dxa"/>
            <w:left w:w="0" w:type="dxa"/>
            <w:bottom w:w="0" w:type="dxa"/>
            <w:right w:w="0"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印长江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r>
      <w:tr>
        <w:tblPrEx>
          <w:shd w:val="clear" w:color="auto" w:fill="auto"/>
          <w:tblCellMar>
            <w:top w:w="0" w:type="dxa"/>
            <w:left w:w="0" w:type="dxa"/>
            <w:bottom w:w="0" w:type="dxa"/>
            <w:right w:w="0"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碧瑶花园三期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r>
      <w:tr>
        <w:tblPrEx>
          <w:tblCellMar>
            <w:top w:w="0" w:type="dxa"/>
            <w:left w:w="0" w:type="dxa"/>
            <w:bottom w:w="0" w:type="dxa"/>
            <w:right w:w="0" w:type="dxa"/>
          </w:tblCellMar>
        </w:tblPrEx>
        <w:trPr>
          <w:trHeight w:val="375" w:hRule="atLeast"/>
        </w:trPr>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一标段合计</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9（房）</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180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27（亭）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405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r>
    </w:tbl>
    <w:p>
      <w:pPr>
        <w:widowControl/>
        <w:shd w:val="clear" w:color="auto" w:fill="FFFFFF"/>
        <w:spacing w:line="360" w:lineRule="auto"/>
        <w:jc w:val="left"/>
        <w:rPr>
          <w:rFonts w:ascii="Arial" w:hAnsi="Arial" w:cs="Arial"/>
          <w:kern w:val="0"/>
          <w:szCs w:val="21"/>
          <w:highlight w:val="none"/>
        </w:rPr>
      </w:pP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说明：</w:t>
      </w: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1、如果行数不够，请自行增加。</w:t>
      </w: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2、未注明小微企业的，不享受价格扣除。</w:t>
      </w:r>
    </w:p>
    <w:p>
      <w:pPr>
        <w:widowControl/>
        <w:shd w:val="clear" w:color="auto" w:fill="FFFFFF"/>
        <w:spacing w:line="360" w:lineRule="auto"/>
        <w:jc w:val="left"/>
        <w:rPr>
          <w:rFonts w:ascii="Arial" w:hAnsi="Arial" w:cs="Arial"/>
          <w:kern w:val="0"/>
          <w:szCs w:val="21"/>
          <w:highlight w:val="none"/>
        </w:rPr>
      </w:pPr>
    </w:p>
    <w:p>
      <w:pPr>
        <w:widowControl/>
        <w:shd w:val="clear" w:color="auto" w:fill="FFFFFF"/>
        <w:spacing w:line="360" w:lineRule="auto"/>
        <w:jc w:val="left"/>
        <w:rPr>
          <w:rFonts w:ascii="Arial" w:hAnsi="Arial" w:cs="Arial"/>
          <w:kern w:val="0"/>
          <w:szCs w:val="21"/>
          <w:highlight w:val="none"/>
        </w:rPr>
      </w:pPr>
    </w:p>
    <w:p>
      <w:pPr>
        <w:widowControl/>
        <w:shd w:val="clear" w:color="auto" w:fill="FFFFFF"/>
        <w:spacing w:line="360" w:lineRule="auto"/>
        <w:jc w:val="left"/>
        <w:rPr>
          <w:rFonts w:ascii="Arial" w:hAnsi="Arial" w:cs="Arial"/>
          <w:kern w:val="0"/>
          <w:szCs w:val="21"/>
          <w:highlight w:val="none"/>
        </w:rPr>
      </w:pPr>
      <w:r>
        <w:rPr>
          <w:rFonts w:hint="eastAsia" w:ascii="Arial" w:hAnsi="Arial" w:cs="Arial"/>
          <w:kern w:val="0"/>
          <w:szCs w:val="21"/>
          <w:highlight w:val="none"/>
        </w:rPr>
        <w:t>供应商</w:t>
      </w:r>
      <w:r>
        <w:rPr>
          <w:rFonts w:ascii="Arial" w:hAnsi="Arial" w:cs="Arial"/>
          <w:kern w:val="0"/>
          <w:szCs w:val="21"/>
          <w:highlight w:val="none"/>
        </w:rPr>
        <w:t>（盖章）：</w:t>
      </w:r>
      <w:r>
        <w:rPr>
          <w:rFonts w:ascii="Arial" w:hAnsi="Arial" w:cs="Arial"/>
          <w:kern w:val="0"/>
          <w:szCs w:val="21"/>
          <w:highlight w:val="none"/>
          <w:u w:val="single"/>
        </w:rPr>
        <w:t>                             </w:t>
      </w:r>
      <w:r>
        <w:rPr>
          <w:rFonts w:ascii="Arial" w:hAnsi="Arial" w:cs="Arial"/>
          <w:kern w:val="0"/>
          <w:szCs w:val="21"/>
          <w:highlight w:val="none"/>
        </w:rPr>
        <w:t xml:space="preserve"> </w:t>
      </w: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法定代表人或授权代表（签字）：</w:t>
      </w:r>
      <w:r>
        <w:rPr>
          <w:rFonts w:ascii="Arial" w:hAnsi="Arial" w:cs="Arial"/>
          <w:kern w:val="0"/>
          <w:szCs w:val="21"/>
          <w:highlight w:val="none"/>
          <w:u w:val="single"/>
        </w:rPr>
        <w:t>                              </w:t>
      </w:r>
    </w:p>
    <w:tbl>
      <w:tblPr>
        <w:tblStyle w:val="43"/>
        <w:tblW w:w="13273" w:type="dxa"/>
        <w:tblInd w:w="0" w:type="dxa"/>
        <w:shd w:val="clear" w:color="auto" w:fill="auto"/>
        <w:tblLayout w:type="autofit"/>
        <w:tblCellMar>
          <w:top w:w="0" w:type="dxa"/>
          <w:left w:w="0" w:type="dxa"/>
          <w:bottom w:w="0" w:type="dxa"/>
          <w:right w:w="0" w:type="dxa"/>
        </w:tblCellMar>
      </w:tblPr>
      <w:tblGrid>
        <w:gridCol w:w="706"/>
        <w:gridCol w:w="2044"/>
        <w:gridCol w:w="706"/>
        <w:gridCol w:w="1379"/>
        <w:gridCol w:w="1379"/>
        <w:gridCol w:w="1276"/>
        <w:gridCol w:w="706"/>
        <w:gridCol w:w="1379"/>
        <w:gridCol w:w="1379"/>
        <w:gridCol w:w="1297"/>
        <w:gridCol w:w="1024"/>
      </w:tblGrid>
      <w:tr>
        <w:trPr>
          <w:trHeight w:val="540" w:hRule="atLeast"/>
        </w:trPr>
        <w:tc>
          <w:tcPr>
            <w:tcW w:w="13275" w:type="dxa"/>
            <w:gridSpan w:val="11"/>
            <w:tcBorders>
              <w:top w:val="nil"/>
              <w:left w:val="nil"/>
              <w:bottom w:val="nil"/>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8"/>
                <w:szCs w:val="28"/>
                <w:highlight w:val="none"/>
                <w:u w:val="none"/>
              </w:rPr>
            </w:pPr>
            <w:r>
              <w:rPr>
                <w:rFonts w:hint="eastAsia" w:ascii="宋体" w:hAnsi="宋体" w:eastAsia="宋体" w:cs="宋体"/>
                <w:b/>
                <w:i w:val="0"/>
                <w:color w:val="000000"/>
                <w:kern w:val="0"/>
                <w:sz w:val="28"/>
                <w:szCs w:val="28"/>
                <w:highlight w:val="none"/>
                <w:u w:val="none"/>
                <w:lang w:val="en-US" w:eastAsia="zh-CN" w:bidi="ar"/>
              </w:rPr>
              <w:t>南京市建邺区兴隆街道居民小区垃圾分类集中投放点建设项目标段二</w:t>
            </w:r>
          </w:p>
        </w:tc>
      </w:tr>
      <w:tr>
        <w:tblPrEx>
          <w:tblCellMar>
            <w:top w:w="0" w:type="dxa"/>
            <w:left w:w="0" w:type="dxa"/>
            <w:bottom w:w="0" w:type="dxa"/>
            <w:right w:w="0" w:type="dxa"/>
          </w:tblCellMar>
        </w:tblPrEx>
        <w:trPr>
          <w:trHeight w:val="312"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序号</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小区</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一类（房）</w:t>
            </w:r>
          </w:p>
        </w:tc>
        <w:tc>
          <w:tcPr>
            <w:tcW w:w="0" w:type="auto"/>
            <w:vMerge w:val="restart"/>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房的面积</w:t>
            </w: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单价7200元/平方</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二类（亭）</w:t>
            </w:r>
          </w:p>
        </w:tc>
        <w:tc>
          <w:tcPr>
            <w:tcW w:w="0" w:type="auto"/>
            <w:vMerge w:val="restart"/>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亭的面积</w:t>
            </w: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单价5200元/平方</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亭房合计</w:t>
            </w:r>
          </w:p>
        </w:tc>
      </w:tr>
      <w:tr>
        <w:tblPrEx>
          <w:tblCellMar>
            <w:top w:w="0" w:type="dxa"/>
            <w:left w:w="0" w:type="dxa"/>
            <w:bottom w:w="0" w:type="dxa"/>
            <w:right w:w="0" w:type="dxa"/>
          </w:tblCellMar>
        </w:tblPrEx>
        <w:trPr>
          <w:trHeight w:val="405"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单个面积</w:t>
            </w:r>
          </w:p>
        </w:tc>
        <w:tc>
          <w:tcPr>
            <w:tcW w:w="0" w:type="auto"/>
            <w:vMerge w:val="continue"/>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单个面积</w:t>
            </w:r>
          </w:p>
        </w:tc>
        <w:tc>
          <w:tcPr>
            <w:tcW w:w="0" w:type="auto"/>
            <w:vMerge w:val="continue"/>
            <w:tcBorders>
              <w:top w:val="single" w:color="000000" w:sz="4" w:space="0"/>
              <w:left w:val="single" w:color="000000" w:sz="4" w:space="0"/>
              <w:bottom w:val="single" w:color="000000" w:sz="4" w:space="0"/>
              <w:right w:val="nil"/>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r>
      <w:tr>
        <w:tblPrEx>
          <w:tblCellMar>
            <w:top w:w="0" w:type="dxa"/>
            <w:left w:w="0" w:type="dxa"/>
            <w:bottom w:w="0" w:type="dxa"/>
            <w:right w:w="0"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莱蒙水榭春天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r>
      <w:tr>
        <w:tblPrEx>
          <w:tblCellMar>
            <w:top w:w="0" w:type="dxa"/>
            <w:left w:w="0" w:type="dxa"/>
            <w:bottom w:w="0" w:type="dxa"/>
            <w:right w:w="0"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星雨华府</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r>
      <w:tr>
        <w:tblPrEx>
          <w:tblCellMar>
            <w:top w:w="0" w:type="dxa"/>
            <w:left w:w="0" w:type="dxa"/>
            <w:bottom w:w="0" w:type="dxa"/>
            <w:right w:w="0"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紫薇园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r>
      <w:tr>
        <w:tblPrEx>
          <w:tblCellMar>
            <w:top w:w="0" w:type="dxa"/>
            <w:left w:w="0" w:type="dxa"/>
            <w:bottom w:w="0" w:type="dxa"/>
            <w:right w:w="0"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御江金城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r>
      <w:tr>
        <w:tblPrEx>
          <w:tblCellMar>
            <w:top w:w="0" w:type="dxa"/>
            <w:left w:w="0" w:type="dxa"/>
            <w:bottom w:w="0" w:type="dxa"/>
            <w:right w:w="0"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积善新寓</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r>
      <w:tr>
        <w:tblPrEx>
          <w:tblCellMar>
            <w:top w:w="0" w:type="dxa"/>
            <w:left w:w="0" w:type="dxa"/>
            <w:bottom w:w="0" w:type="dxa"/>
            <w:right w:w="0" w:type="dxa"/>
          </w:tblCellMar>
        </w:tblPrEx>
        <w:trPr>
          <w:trHeight w:val="37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清竹园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highlight w:val="none"/>
                <w:u w:val="none"/>
              </w:rPr>
            </w:pPr>
            <w:r>
              <w:rPr>
                <w:rFonts w:hint="eastAsia" w:ascii="宋体" w:hAnsi="宋体" w:eastAsia="宋体" w:cs="宋体"/>
                <w:i w:val="0"/>
                <w:color w:val="000000"/>
                <w:kern w:val="0"/>
                <w:sz w:val="24"/>
                <w:szCs w:val="24"/>
                <w:highlight w:val="none"/>
                <w:u w:val="none"/>
                <w:lang w:val="en-US" w:eastAsia="zh-CN" w:bidi="ar"/>
              </w:rPr>
              <w:t>0</w:t>
            </w:r>
          </w:p>
        </w:tc>
      </w:tr>
      <w:tr>
        <w:tblPrEx>
          <w:tblCellMar>
            <w:top w:w="0" w:type="dxa"/>
            <w:left w:w="0" w:type="dxa"/>
            <w:bottom w:w="0" w:type="dxa"/>
            <w:right w:w="0" w:type="dxa"/>
          </w:tblCellMar>
        </w:tblPrEx>
        <w:trPr>
          <w:trHeight w:val="375" w:hRule="atLeast"/>
        </w:trPr>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二标段合计</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7（房）</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140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31（亭）</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465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hint="eastAsia" w:ascii="宋体" w:hAnsi="宋体" w:eastAsia="宋体" w:cs="宋体"/>
                <w:b/>
                <w:i w:val="0"/>
                <w:color w:val="000000"/>
                <w:sz w:val="24"/>
                <w:szCs w:val="24"/>
                <w:highlight w:val="none"/>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4"/>
                <w:szCs w:val="24"/>
                <w:highlight w:val="none"/>
                <w:u w:val="none"/>
              </w:rPr>
            </w:pPr>
            <w:r>
              <w:rPr>
                <w:rFonts w:hint="eastAsia" w:ascii="宋体" w:hAnsi="宋体" w:eastAsia="宋体" w:cs="宋体"/>
                <w:b/>
                <w:i w:val="0"/>
                <w:color w:val="000000"/>
                <w:kern w:val="0"/>
                <w:sz w:val="24"/>
                <w:szCs w:val="24"/>
                <w:highlight w:val="none"/>
                <w:u w:val="none"/>
                <w:lang w:val="en-US" w:eastAsia="zh-CN" w:bidi="ar"/>
              </w:rPr>
              <w:t>0</w:t>
            </w:r>
          </w:p>
        </w:tc>
      </w:tr>
    </w:tbl>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说明：</w:t>
      </w: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1、如果行数不够，请自行增加。</w:t>
      </w: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2、未注明小微企业的，不享受价格扣除。</w:t>
      </w:r>
    </w:p>
    <w:p>
      <w:pPr>
        <w:widowControl/>
        <w:shd w:val="clear" w:color="auto" w:fill="FFFFFF"/>
        <w:spacing w:line="360" w:lineRule="auto"/>
        <w:jc w:val="left"/>
        <w:rPr>
          <w:rFonts w:ascii="Arial" w:hAnsi="Arial" w:cs="Arial"/>
          <w:kern w:val="0"/>
          <w:szCs w:val="21"/>
          <w:highlight w:val="none"/>
        </w:rPr>
      </w:pPr>
      <w:r>
        <w:rPr>
          <w:rFonts w:hint="eastAsia" w:ascii="Arial" w:hAnsi="Arial" w:cs="Arial"/>
          <w:kern w:val="0"/>
          <w:szCs w:val="21"/>
          <w:highlight w:val="none"/>
        </w:rPr>
        <w:t>供应商</w:t>
      </w:r>
      <w:r>
        <w:rPr>
          <w:rFonts w:ascii="Arial" w:hAnsi="Arial" w:cs="Arial"/>
          <w:kern w:val="0"/>
          <w:szCs w:val="21"/>
          <w:highlight w:val="none"/>
        </w:rPr>
        <w:t>（盖章）：</w:t>
      </w:r>
      <w:r>
        <w:rPr>
          <w:rFonts w:ascii="Arial" w:hAnsi="Arial" w:cs="Arial"/>
          <w:kern w:val="0"/>
          <w:szCs w:val="21"/>
          <w:highlight w:val="none"/>
          <w:u w:val="single"/>
        </w:rPr>
        <w:t>                             </w:t>
      </w:r>
      <w:r>
        <w:rPr>
          <w:rFonts w:ascii="Arial" w:hAnsi="Arial" w:cs="Arial"/>
          <w:kern w:val="0"/>
          <w:szCs w:val="21"/>
          <w:highlight w:val="none"/>
        </w:rPr>
        <w:t xml:space="preserve"> </w:t>
      </w:r>
    </w:p>
    <w:p>
      <w:pPr>
        <w:rPr>
          <w:rFonts w:ascii="Arial" w:hAnsi="Arial" w:cs="Arial"/>
          <w:kern w:val="0"/>
          <w:szCs w:val="21"/>
          <w:highlight w:val="none"/>
          <w:u w:val="single"/>
        </w:rPr>
      </w:pPr>
      <w:r>
        <w:rPr>
          <w:rFonts w:ascii="Arial" w:hAnsi="Arial" w:cs="Arial"/>
          <w:kern w:val="0"/>
          <w:szCs w:val="21"/>
          <w:highlight w:val="none"/>
        </w:rPr>
        <w:t>法定代表人或授权代表（签字）：</w:t>
      </w:r>
      <w:r>
        <w:rPr>
          <w:rFonts w:ascii="Arial" w:hAnsi="Arial" w:cs="Arial"/>
          <w:kern w:val="0"/>
          <w:szCs w:val="21"/>
          <w:highlight w:val="none"/>
          <w:u w:val="single"/>
        </w:rPr>
        <w:t>                              </w:t>
      </w:r>
    </w:p>
    <w:p>
      <w:pPr>
        <w:pStyle w:val="2"/>
        <w:rPr>
          <w:rFonts w:ascii="Arial" w:hAnsi="Arial" w:cs="Arial"/>
          <w:kern w:val="0"/>
          <w:szCs w:val="21"/>
          <w:highlight w:val="none"/>
          <w:u w:val="single"/>
        </w:rPr>
      </w:pPr>
    </w:p>
    <w:p>
      <w:pPr>
        <w:pStyle w:val="2"/>
        <w:rPr>
          <w:rFonts w:hint="default" w:ascii="Arial" w:hAnsi="Arial" w:eastAsia="宋体" w:cs="Arial"/>
          <w:kern w:val="0"/>
          <w:szCs w:val="21"/>
          <w:highlight w:val="none"/>
          <w:u w:val="single"/>
          <w:lang w:val="en-US" w:eastAsia="zh-CN"/>
        </w:rPr>
        <w:sectPr>
          <w:pgSz w:w="16838" w:h="11906" w:orient="landscape"/>
          <w:pgMar w:top="1600" w:right="1440" w:bottom="1800" w:left="1440" w:header="851" w:footer="992" w:gutter="0"/>
          <w:pgBorders>
            <w:top w:val="none" w:sz="0" w:space="0"/>
            <w:left w:val="none" w:sz="0" w:space="0"/>
            <w:bottom w:val="none" w:sz="0" w:space="0"/>
            <w:right w:val="none" w:sz="0" w:space="0"/>
          </w:pgBorders>
          <w:cols w:space="720" w:num="1"/>
          <w:titlePg/>
          <w:docGrid w:type="lines" w:linePitch="312" w:charSpace="0"/>
        </w:sectPr>
      </w:pPr>
      <w:r>
        <w:rPr>
          <w:rFonts w:hint="eastAsia" w:ascii="Arial" w:hAnsi="Arial" w:cs="Arial"/>
          <w:kern w:val="0"/>
          <w:szCs w:val="21"/>
          <w:highlight w:val="none"/>
          <w:u w:val="single"/>
          <w:lang w:val="en-US" w:eastAsia="zh-CN"/>
        </w:rPr>
        <w:t>后附供应商规格参数表，格式参照第四章采购要求中垃圾亭，房技术参数表由供应商自行编制。</w:t>
      </w:r>
    </w:p>
    <w:p>
      <w:pPr>
        <w:widowControl/>
        <w:jc w:val="left"/>
        <w:rPr>
          <w:rFonts w:ascii="Arial" w:hAnsi="Arial" w:cs="Arial"/>
          <w:kern w:val="0"/>
          <w:szCs w:val="21"/>
          <w:highlight w:val="none"/>
        </w:rPr>
      </w:pPr>
      <w:r>
        <w:rPr>
          <w:rFonts w:ascii="Arial" w:hAnsi="Arial" w:cs="Arial"/>
          <w:b/>
          <w:bCs/>
          <w:kern w:val="0"/>
          <w:szCs w:val="21"/>
          <w:highlight w:val="none"/>
        </w:rPr>
        <w:t>附件五、技术规格偏离表格式</w:t>
      </w:r>
    </w:p>
    <w:p>
      <w:pPr>
        <w:widowControl/>
        <w:shd w:val="clear" w:color="auto" w:fill="FFFFFF"/>
        <w:spacing w:line="360" w:lineRule="auto"/>
        <w:ind w:left="435"/>
        <w:jc w:val="left"/>
        <w:rPr>
          <w:rFonts w:ascii="Arial" w:hAnsi="Arial" w:cs="Arial"/>
          <w:kern w:val="0"/>
          <w:szCs w:val="21"/>
          <w:highlight w:val="none"/>
        </w:rPr>
      </w:pPr>
      <w:r>
        <w:rPr>
          <w:rFonts w:ascii="Arial" w:hAnsi="Arial" w:cs="Arial"/>
          <w:kern w:val="0"/>
          <w:sz w:val="24"/>
          <w:highlight w:val="none"/>
        </w:rPr>
        <w:t> </w:t>
      </w:r>
    </w:p>
    <w:p>
      <w:pPr>
        <w:widowControl/>
        <w:shd w:val="clear" w:color="auto" w:fill="FFFFFF"/>
        <w:spacing w:line="360" w:lineRule="auto"/>
        <w:ind w:left="420"/>
        <w:jc w:val="center"/>
        <w:rPr>
          <w:rFonts w:ascii="Arial" w:hAnsi="Arial" w:cs="Arial"/>
          <w:b/>
          <w:kern w:val="0"/>
          <w:szCs w:val="21"/>
          <w:highlight w:val="none"/>
        </w:rPr>
      </w:pPr>
      <w:r>
        <w:rPr>
          <w:rFonts w:ascii="Arial" w:hAnsi="Arial" w:cs="Arial"/>
          <w:b/>
          <w:kern w:val="0"/>
          <w:sz w:val="36"/>
          <w:szCs w:val="36"/>
          <w:highlight w:val="none"/>
        </w:rPr>
        <w:t>技术条款偏离表</w:t>
      </w: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                       </w:t>
      </w:r>
    </w:p>
    <w:p>
      <w:pPr>
        <w:widowControl/>
        <w:tabs>
          <w:tab w:val="left" w:pos="5397"/>
        </w:tabs>
        <w:spacing w:line="360" w:lineRule="auto"/>
        <w:ind w:firstLine="84" w:firstLineChars="40"/>
        <w:jc w:val="left"/>
        <w:rPr>
          <w:rFonts w:ascii="Arial" w:hAnsi="Arial" w:cs="Arial"/>
          <w:kern w:val="0"/>
          <w:szCs w:val="21"/>
          <w:highlight w:val="none"/>
        </w:rPr>
      </w:pPr>
      <w:r>
        <w:rPr>
          <w:rFonts w:ascii="Arial" w:hAnsi="Arial" w:cs="Arial"/>
          <w:kern w:val="0"/>
          <w:szCs w:val="21"/>
          <w:highlight w:val="none"/>
        </w:rPr>
        <w:t>项目名称：</w:t>
      </w:r>
      <w:r>
        <w:rPr>
          <w:rFonts w:ascii="Arial" w:hAnsi="Arial" w:cs="Arial"/>
          <w:kern w:val="0"/>
          <w:szCs w:val="21"/>
          <w:highlight w:val="none"/>
        </w:rPr>
        <w:tab/>
      </w:r>
      <w:r>
        <w:rPr>
          <w:rFonts w:ascii="Arial" w:hAnsi="Arial" w:cs="Arial"/>
          <w:kern w:val="0"/>
          <w:szCs w:val="21"/>
          <w:highlight w:val="none"/>
        </w:rPr>
        <w:t>项目编号：  </w:t>
      </w:r>
    </w:p>
    <w:tbl>
      <w:tblPr>
        <w:tblStyle w:val="43"/>
        <w:tblW w:w="85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2"/>
        <w:gridCol w:w="1678"/>
        <w:gridCol w:w="1931"/>
        <w:gridCol w:w="3012"/>
        <w:gridCol w:w="12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Arial" w:hAnsi="Arial" w:cs="Arial"/>
                <w:b/>
                <w:kern w:val="0"/>
                <w:szCs w:val="21"/>
                <w:highlight w:val="none"/>
              </w:rPr>
            </w:pPr>
            <w:r>
              <w:rPr>
                <w:rFonts w:ascii="Arial" w:hAnsi="Arial" w:cs="Arial"/>
                <w:b/>
                <w:kern w:val="0"/>
                <w:szCs w:val="21"/>
                <w:highlight w:val="none"/>
              </w:rPr>
              <w:t>序号</w:t>
            </w:r>
          </w:p>
        </w:tc>
        <w:tc>
          <w:tcPr>
            <w:tcW w:w="1678" w:type="dxa"/>
            <w:tcMar>
              <w:top w:w="0" w:type="dxa"/>
              <w:left w:w="10" w:type="dxa"/>
              <w:bottom w:w="0" w:type="dxa"/>
              <w:right w:w="10" w:type="dxa"/>
            </w:tcMar>
            <w:vAlign w:val="center"/>
          </w:tcPr>
          <w:p>
            <w:pPr>
              <w:widowControl/>
              <w:spacing w:line="360" w:lineRule="auto"/>
              <w:jc w:val="center"/>
              <w:rPr>
                <w:rFonts w:ascii="Arial" w:hAnsi="Arial" w:cs="Arial"/>
                <w:b/>
                <w:kern w:val="0"/>
                <w:szCs w:val="21"/>
                <w:highlight w:val="none"/>
              </w:rPr>
            </w:pPr>
            <w:r>
              <w:rPr>
                <w:rFonts w:ascii="Arial" w:hAnsi="Arial" w:cs="Arial"/>
                <w:b/>
                <w:kern w:val="0"/>
                <w:szCs w:val="21"/>
                <w:highlight w:val="none"/>
              </w:rPr>
              <w:t>招标文件条目号</w:t>
            </w:r>
          </w:p>
        </w:tc>
        <w:tc>
          <w:tcPr>
            <w:tcW w:w="1931" w:type="dxa"/>
            <w:tcMar>
              <w:top w:w="0" w:type="dxa"/>
              <w:left w:w="10" w:type="dxa"/>
              <w:bottom w:w="0" w:type="dxa"/>
              <w:right w:w="10" w:type="dxa"/>
            </w:tcMar>
            <w:vAlign w:val="center"/>
          </w:tcPr>
          <w:p>
            <w:pPr>
              <w:widowControl/>
              <w:spacing w:line="360" w:lineRule="auto"/>
              <w:jc w:val="center"/>
              <w:rPr>
                <w:rFonts w:ascii="Arial" w:hAnsi="Arial" w:cs="Arial"/>
                <w:b/>
                <w:kern w:val="0"/>
                <w:szCs w:val="21"/>
                <w:highlight w:val="none"/>
              </w:rPr>
            </w:pPr>
            <w:r>
              <w:rPr>
                <w:rFonts w:ascii="Arial" w:hAnsi="Arial" w:cs="Arial"/>
                <w:b/>
                <w:kern w:val="0"/>
                <w:szCs w:val="21"/>
                <w:highlight w:val="none"/>
              </w:rPr>
              <w:t>招标要求规格</w:t>
            </w:r>
          </w:p>
        </w:tc>
        <w:tc>
          <w:tcPr>
            <w:tcW w:w="3012" w:type="dxa"/>
            <w:tcMar>
              <w:top w:w="0" w:type="dxa"/>
              <w:left w:w="10" w:type="dxa"/>
              <w:bottom w:w="0" w:type="dxa"/>
              <w:right w:w="10" w:type="dxa"/>
            </w:tcMar>
            <w:vAlign w:val="center"/>
          </w:tcPr>
          <w:p>
            <w:pPr>
              <w:widowControl/>
              <w:spacing w:line="360" w:lineRule="auto"/>
              <w:jc w:val="center"/>
              <w:rPr>
                <w:rFonts w:ascii="Arial" w:hAnsi="Arial" w:cs="Arial"/>
                <w:b/>
                <w:kern w:val="0"/>
                <w:szCs w:val="21"/>
                <w:highlight w:val="none"/>
              </w:rPr>
            </w:pPr>
            <w:r>
              <w:rPr>
                <w:rFonts w:ascii="Arial" w:hAnsi="Arial" w:cs="Arial"/>
                <w:b/>
                <w:kern w:val="0"/>
                <w:szCs w:val="21"/>
                <w:highlight w:val="none"/>
              </w:rPr>
              <w:t>投标响应</w:t>
            </w:r>
          </w:p>
        </w:tc>
        <w:tc>
          <w:tcPr>
            <w:tcW w:w="1246" w:type="dxa"/>
            <w:tcMar>
              <w:top w:w="0" w:type="dxa"/>
              <w:left w:w="10" w:type="dxa"/>
              <w:bottom w:w="0" w:type="dxa"/>
              <w:right w:w="10" w:type="dxa"/>
            </w:tcMar>
            <w:vAlign w:val="center"/>
          </w:tcPr>
          <w:p>
            <w:pPr>
              <w:widowControl/>
              <w:spacing w:line="360" w:lineRule="auto"/>
              <w:jc w:val="center"/>
              <w:rPr>
                <w:rFonts w:ascii="Arial" w:hAnsi="Arial" w:cs="Arial"/>
                <w:b/>
                <w:kern w:val="0"/>
                <w:szCs w:val="21"/>
                <w:highlight w:val="none"/>
              </w:rPr>
            </w:pPr>
            <w:r>
              <w:rPr>
                <w:rFonts w:ascii="Arial" w:hAnsi="Arial" w:cs="Arial"/>
                <w:b/>
                <w:kern w:val="0"/>
                <w:szCs w:val="21"/>
                <w:highlight w:val="none"/>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678"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931"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3012"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246"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678"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931"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3012"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246"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678"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931"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3012"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246"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1678"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1931"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3012"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1246"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1678"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1931"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3012"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1246"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642"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1678"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1931"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3012"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1246"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r>
    </w:tbl>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说明：如果行数不够，请自行增加。</w:t>
      </w:r>
    </w:p>
    <w:p>
      <w:pPr>
        <w:widowControl/>
        <w:shd w:val="clear" w:color="auto" w:fill="FFFFFF"/>
        <w:spacing w:line="360" w:lineRule="auto"/>
        <w:jc w:val="left"/>
        <w:rPr>
          <w:rFonts w:ascii="Arial" w:hAnsi="Arial" w:cs="Arial"/>
          <w:kern w:val="0"/>
          <w:szCs w:val="21"/>
          <w:highlight w:val="none"/>
        </w:rPr>
      </w:pPr>
    </w:p>
    <w:p>
      <w:pPr>
        <w:widowControl/>
        <w:shd w:val="clear" w:color="auto" w:fill="FFFFFF"/>
        <w:spacing w:line="360" w:lineRule="auto"/>
        <w:jc w:val="left"/>
        <w:rPr>
          <w:rFonts w:ascii="Arial" w:hAnsi="Arial" w:cs="Arial"/>
          <w:kern w:val="0"/>
          <w:szCs w:val="21"/>
          <w:highlight w:val="none"/>
        </w:rPr>
      </w:pPr>
    </w:p>
    <w:p>
      <w:pPr>
        <w:widowControl/>
        <w:shd w:val="clear" w:color="auto" w:fill="FFFFFF"/>
        <w:spacing w:line="360" w:lineRule="auto"/>
        <w:jc w:val="left"/>
        <w:rPr>
          <w:rFonts w:ascii="Arial" w:hAnsi="Arial" w:cs="Arial"/>
          <w:kern w:val="0"/>
          <w:szCs w:val="21"/>
          <w:highlight w:val="none"/>
        </w:rPr>
      </w:pPr>
    </w:p>
    <w:p>
      <w:pPr>
        <w:widowControl/>
        <w:shd w:val="clear" w:color="auto" w:fill="FFFFFF"/>
        <w:spacing w:line="360" w:lineRule="auto"/>
        <w:jc w:val="left"/>
        <w:rPr>
          <w:rFonts w:ascii="Arial" w:hAnsi="Arial" w:cs="Arial"/>
          <w:kern w:val="0"/>
          <w:szCs w:val="21"/>
          <w:highlight w:val="none"/>
        </w:rPr>
      </w:pPr>
      <w:r>
        <w:rPr>
          <w:rFonts w:hint="eastAsia" w:ascii="Arial" w:hAnsi="Arial" w:cs="Arial"/>
          <w:kern w:val="0"/>
          <w:szCs w:val="21"/>
          <w:highlight w:val="none"/>
        </w:rPr>
        <w:t>供应商</w:t>
      </w:r>
      <w:r>
        <w:rPr>
          <w:rFonts w:ascii="Arial" w:hAnsi="Arial" w:cs="Arial"/>
          <w:kern w:val="0"/>
          <w:szCs w:val="21"/>
          <w:highlight w:val="none"/>
        </w:rPr>
        <w:t>（盖章）：</w:t>
      </w:r>
      <w:r>
        <w:rPr>
          <w:rFonts w:ascii="Arial" w:hAnsi="Arial" w:cs="Arial"/>
          <w:kern w:val="0"/>
          <w:szCs w:val="21"/>
          <w:highlight w:val="none"/>
          <w:u w:val="single"/>
        </w:rPr>
        <w:t>                             </w:t>
      </w:r>
      <w:r>
        <w:rPr>
          <w:rFonts w:ascii="Arial" w:hAnsi="Arial" w:cs="Arial"/>
          <w:kern w:val="0"/>
          <w:szCs w:val="21"/>
          <w:highlight w:val="none"/>
        </w:rPr>
        <w:t xml:space="preserve"> </w:t>
      </w: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法定代表人或授权代表（签字）：</w:t>
      </w:r>
      <w:r>
        <w:rPr>
          <w:rFonts w:ascii="Arial" w:hAnsi="Arial" w:cs="Arial"/>
          <w:kern w:val="0"/>
          <w:szCs w:val="21"/>
          <w:highlight w:val="none"/>
          <w:u w:val="single"/>
        </w:rPr>
        <w:t>                              </w:t>
      </w:r>
    </w:p>
    <w:p>
      <w:pPr>
        <w:widowControl/>
        <w:shd w:val="clear" w:color="auto" w:fill="FFFFFF"/>
        <w:spacing w:line="360" w:lineRule="auto"/>
        <w:jc w:val="left"/>
        <w:rPr>
          <w:rFonts w:ascii="Arial" w:hAnsi="Arial" w:cs="Arial"/>
          <w:kern w:val="0"/>
          <w:szCs w:val="21"/>
          <w:highlight w:val="none"/>
        </w:rPr>
      </w:pP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 </w:t>
      </w: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 </w:t>
      </w: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 </w:t>
      </w: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 </w:t>
      </w: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 </w:t>
      </w: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 </w:t>
      </w:r>
    </w:p>
    <w:p>
      <w:pPr>
        <w:widowControl/>
        <w:shd w:val="clear" w:color="auto" w:fill="FFFFFF"/>
        <w:spacing w:line="360" w:lineRule="auto"/>
        <w:jc w:val="left"/>
        <w:rPr>
          <w:rFonts w:ascii="Arial" w:hAnsi="Arial" w:cs="Arial"/>
          <w:kern w:val="0"/>
          <w:szCs w:val="21"/>
          <w:highlight w:val="none"/>
        </w:rPr>
      </w:pPr>
      <w:r>
        <w:rPr>
          <w:rFonts w:ascii="Arial" w:hAnsi="Arial" w:cs="Arial"/>
          <w:b/>
          <w:bCs/>
          <w:kern w:val="0"/>
          <w:szCs w:val="21"/>
          <w:highlight w:val="none"/>
        </w:rPr>
        <w:br w:type="page"/>
      </w:r>
      <w:r>
        <w:rPr>
          <w:rFonts w:ascii="Arial" w:hAnsi="Arial" w:cs="Arial"/>
          <w:b/>
          <w:bCs/>
          <w:kern w:val="0"/>
          <w:szCs w:val="21"/>
          <w:highlight w:val="none"/>
        </w:rPr>
        <w:t>附件六、商务条款偏离表格式</w:t>
      </w:r>
    </w:p>
    <w:p>
      <w:pPr>
        <w:widowControl/>
        <w:shd w:val="clear" w:color="auto" w:fill="FFFFFF"/>
        <w:spacing w:line="360" w:lineRule="auto"/>
        <w:ind w:firstLine="420"/>
        <w:jc w:val="left"/>
        <w:rPr>
          <w:rFonts w:ascii="Arial" w:hAnsi="Arial" w:cs="Arial"/>
          <w:kern w:val="0"/>
          <w:szCs w:val="21"/>
          <w:highlight w:val="none"/>
        </w:rPr>
      </w:pPr>
      <w:r>
        <w:rPr>
          <w:rFonts w:ascii="Arial" w:hAnsi="Arial" w:cs="Arial"/>
          <w:kern w:val="0"/>
          <w:szCs w:val="21"/>
          <w:highlight w:val="none"/>
        </w:rPr>
        <w:t> </w:t>
      </w:r>
    </w:p>
    <w:p>
      <w:pPr>
        <w:widowControl/>
        <w:shd w:val="clear" w:color="auto" w:fill="FFFFFF"/>
        <w:spacing w:line="360" w:lineRule="auto"/>
        <w:ind w:left="420"/>
        <w:jc w:val="center"/>
        <w:rPr>
          <w:rFonts w:ascii="Arial" w:hAnsi="Arial" w:cs="Arial"/>
          <w:b/>
          <w:kern w:val="0"/>
          <w:szCs w:val="21"/>
          <w:highlight w:val="none"/>
        </w:rPr>
      </w:pPr>
      <w:r>
        <w:rPr>
          <w:rFonts w:ascii="Arial" w:hAnsi="Arial" w:cs="Arial"/>
          <w:b/>
          <w:kern w:val="0"/>
          <w:sz w:val="36"/>
          <w:szCs w:val="36"/>
          <w:highlight w:val="none"/>
        </w:rPr>
        <w:t>商务条款偏离表</w:t>
      </w:r>
    </w:p>
    <w:p>
      <w:pPr>
        <w:widowControl/>
        <w:shd w:val="clear" w:color="auto" w:fill="FFFFFF"/>
        <w:spacing w:line="360" w:lineRule="auto"/>
        <w:jc w:val="left"/>
        <w:rPr>
          <w:rFonts w:ascii="Arial" w:hAnsi="Arial" w:cs="Arial"/>
          <w:kern w:val="0"/>
          <w:szCs w:val="21"/>
          <w:highlight w:val="none"/>
        </w:rPr>
      </w:pPr>
      <w:r>
        <w:rPr>
          <w:rFonts w:ascii="Arial" w:hAnsi="Arial" w:cs="Arial"/>
          <w:kern w:val="0"/>
          <w:sz w:val="24"/>
          <w:highlight w:val="none"/>
        </w:rPr>
        <w:t> </w:t>
      </w:r>
    </w:p>
    <w:p>
      <w:pPr>
        <w:widowControl/>
        <w:tabs>
          <w:tab w:val="left" w:pos="5366"/>
        </w:tabs>
        <w:spacing w:line="360" w:lineRule="auto"/>
        <w:ind w:firstLine="96" w:firstLineChars="46"/>
        <w:jc w:val="left"/>
        <w:rPr>
          <w:rFonts w:ascii="Arial" w:hAnsi="Arial" w:cs="Arial"/>
          <w:kern w:val="0"/>
          <w:szCs w:val="21"/>
          <w:highlight w:val="none"/>
        </w:rPr>
      </w:pPr>
      <w:r>
        <w:rPr>
          <w:rFonts w:ascii="Arial" w:hAnsi="Arial" w:cs="Arial"/>
          <w:kern w:val="0"/>
          <w:szCs w:val="21"/>
          <w:highlight w:val="none"/>
        </w:rPr>
        <w:t>项目名称：</w:t>
      </w:r>
      <w:r>
        <w:rPr>
          <w:rFonts w:ascii="Arial" w:hAnsi="Arial" w:cs="Arial"/>
          <w:kern w:val="0"/>
          <w:szCs w:val="21"/>
          <w:highlight w:val="none"/>
        </w:rPr>
        <w:tab/>
      </w:r>
      <w:r>
        <w:rPr>
          <w:rFonts w:ascii="Arial" w:hAnsi="Arial" w:cs="Arial"/>
          <w:kern w:val="0"/>
          <w:szCs w:val="21"/>
          <w:highlight w:val="none"/>
        </w:rPr>
        <w:t>项目编号：         </w:t>
      </w:r>
    </w:p>
    <w:tbl>
      <w:tblPr>
        <w:tblStyle w:val="43"/>
        <w:tblW w:w="89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0"/>
        <w:gridCol w:w="1679"/>
        <w:gridCol w:w="2488"/>
        <w:gridCol w:w="3004"/>
        <w:gridCol w:w="12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Arial" w:hAnsi="Arial" w:cs="Arial"/>
                <w:b/>
                <w:kern w:val="0"/>
                <w:szCs w:val="21"/>
                <w:highlight w:val="none"/>
              </w:rPr>
            </w:pPr>
            <w:r>
              <w:rPr>
                <w:rFonts w:ascii="Arial" w:hAnsi="Arial" w:cs="Arial"/>
                <w:b/>
                <w:kern w:val="0"/>
                <w:szCs w:val="21"/>
                <w:highlight w:val="none"/>
              </w:rPr>
              <w:t>序号</w:t>
            </w:r>
          </w:p>
        </w:tc>
        <w:tc>
          <w:tcPr>
            <w:tcW w:w="1679" w:type="dxa"/>
            <w:tcMar>
              <w:top w:w="0" w:type="dxa"/>
              <w:left w:w="10" w:type="dxa"/>
              <w:bottom w:w="0" w:type="dxa"/>
              <w:right w:w="10" w:type="dxa"/>
            </w:tcMar>
            <w:vAlign w:val="center"/>
          </w:tcPr>
          <w:p>
            <w:pPr>
              <w:widowControl/>
              <w:spacing w:line="360" w:lineRule="auto"/>
              <w:jc w:val="center"/>
              <w:rPr>
                <w:rFonts w:ascii="Arial" w:hAnsi="Arial" w:cs="Arial"/>
                <w:b/>
                <w:kern w:val="0"/>
                <w:szCs w:val="21"/>
                <w:highlight w:val="none"/>
              </w:rPr>
            </w:pPr>
            <w:r>
              <w:rPr>
                <w:rFonts w:ascii="Arial" w:hAnsi="Arial" w:cs="Arial"/>
                <w:b/>
                <w:kern w:val="0"/>
                <w:szCs w:val="21"/>
                <w:highlight w:val="none"/>
              </w:rPr>
              <w:t>招标文件条目号</w:t>
            </w:r>
          </w:p>
        </w:tc>
        <w:tc>
          <w:tcPr>
            <w:tcW w:w="2488" w:type="dxa"/>
            <w:tcMar>
              <w:top w:w="0" w:type="dxa"/>
              <w:left w:w="10" w:type="dxa"/>
              <w:bottom w:w="0" w:type="dxa"/>
              <w:right w:w="10" w:type="dxa"/>
            </w:tcMar>
            <w:vAlign w:val="center"/>
          </w:tcPr>
          <w:p>
            <w:pPr>
              <w:widowControl/>
              <w:spacing w:line="360" w:lineRule="auto"/>
              <w:jc w:val="center"/>
              <w:rPr>
                <w:rFonts w:ascii="Arial" w:hAnsi="Arial" w:cs="Arial"/>
                <w:b/>
                <w:kern w:val="0"/>
                <w:szCs w:val="21"/>
                <w:highlight w:val="none"/>
              </w:rPr>
            </w:pPr>
            <w:r>
              <w:rPr>
                <w:rFonts w:ascii="Arial" w:hAnsi="Arial" w:cs="Arial"/>
                <w:b/>
                <w:kern w:val="0"/>
                <w:szCs w:val="21"/>
                <w:highlight w:val="none"/>
              </w:rPr>
              <w:t>招标文件要求的商务条款</w:t>
            </w:r>
          </w:p>
        </w:tc>
        <w:tc>
          <w:tcPr>
            <w:tcW w:w="3004" w:type="dxa"/>
            <w:tcMar>
              <w:top w:w="0" w:type="dxa"/>
              <w:left w:w="10" w:type="dxa"/>
              <w:bottom w:w="0" w:type="dxa"/>
              <w:right w:w="10" w:type="dxa"/>
            </w:tcMar>
            <w:vAlign w:val="center"/>
          </w:tcPr>
          <w:p>
            <w:pPr>
              <w:widowControl/>
              <w:spacing w:line="360" w:lineRule="auto"/>
              <w:jc w:val="center"/>
              <w:rPr>
                <w:rFonts w:ascii="Arial" w:hAnsi="Arial" w:cs="Arial"/>
                <w:b/>
                <w:kern w:val="0"/>
                <w:szCs w:val="21"/>
                <w:highlight w:val="none"/>
              </w:rPr>
            </w:pPr>
            <w:r>
              <w:rPr>
                <w:rFonts w:ascii="Arial" w:hAnsi="Arial" w:cs="Arial"/>
                <w:b/>
                <w:kern w:val="0"/>
                <w:szCs w:val="21"/>
                <w:highlight w:val="none"/>
              </w:rPr>
              <w:t>投标响应</w:t>
            </w:r>
          </w:p>
        </w:tc>
        <w:tc>
          <w:tcPr>
            <w:tcW w:w="1201" w:type="dxa"/>
            <w:tcMar>
              <w:top w:w="0" w:type="dxa"/>
              <w:left w:w="10" w:type="dxa"/>
              <w:bottom w:w="0" w:type="dxa"/>
              <w:right w:w="10" w:type="dxa"/>
            </w:tcMar>
            <w:vAlign w:val="center"/>
          </w:tcPr>
          <w:p>
            <w:pPr>
              <w:widowControl/>
              <w:spacing w:line="360" w:lineRule="auto"/>
              <w:jc w:val="center"/>
              <w:rPr>
                <w:rFonts w:ascii="Arial" w:hAnsi="Arial" w:cs="Arial"/>
                <w:b/>
                <w:kern w:val="0"/>
                <w:szCs w:val="21"/>
                <w:highlight w:val="none"/>
              </w:rPr>
            </w:pPr>
            <w:r>
              <w:rPr>
                <w:rFonts w:ascii="Arial" w:hAnsi="Arial" w:cs="Arial"/>
                <w:b/>
                <w:kern w:val="0"/>
                <w:szCs w:val="21"/>
                <w:highlight w:val="none"/>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679"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2488"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3004"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201"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679"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2488"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3004"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201"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679"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2488"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3004"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201"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679"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2488"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3004"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201"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679"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2488"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3004"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c>
          <w:tcPr>
            <w:tcW w:w="1201"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r>
              <w:rPr>
                <w:rFonts w:ascii="Arial" w:hAnsi="Arial" w:cs="Arial"/>
                <w:kern w:val="0"/>
                <w:szCs w:val="21"/>
                <w:highlight w:val="none"/>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1679"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2488"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3004"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1201"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4" w:hRule="atLeast"/>
          <w:jc w:val="center"/>
        </w:trPr>
        <w:tc>
          <w:tcPr>
            <w:tcW w:w="560"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1679"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2488"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3004"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c>
          <w:tcPr>
            <w:tcW w:w="1201" w:type="dxa"/>
            <w:tcMar>
              <w:top w:w="0" w:type="dxa"/>
              <w:left w:w="10" w:type="dxa"/>
              <w:bottom w:w="0" w:type="dxa"/>
              <w:right w:w="10" w:type="dxa"/>
            </w:tcMar>
            <w:vAlign w:val="center"/>
          </w:tcPr>
          <w:p>
            <w:pPr>
              <w:widowControl/>
              <w:spacing w:line="360" w:lineRule="auto"/>
              <w:jc w:val="center"/>
              <w:rPr>
                <w:rFonts w:ascii="Arial" w:hAnsi="Arial" w:cs="Arial"/>
                <w:kern w:val="0"/>
                <w:szCs w:val="21"/>
                <w:highlight w:val="none"/>
              </w:rPr>
            </w:pPr>
          </w:p>
        </w:tc>
      </w:tr>
    </w:tbl>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说明：如果行数不够，请自行增加。</w:t>
      </w:r>
    </w:p>
    <w:p>
      <w:pPr>
        <w:widowControl/>
        <w:shd w:val="clear" w:color="auto" w:fill="FFFFFF"/>
        <w:spacing w:line="360" w:lineRule="auto"/>
        <w:jc w:val="left"/>
        <w:rPr>
          <w:rFonts w:ascii="Arial" w:hAnsi="Arial" w:cs="Arial"/>
          <w:kern w:val="0"/>
          <w:szCs w:val="21"/>
          <w:highlight w:val="none"/>
        </w:rPr>
      </w:pPr>
    </w:p>
    <w:p>
      <w:pPr>
        <w:widowControl/>
        <w:shd w:val="clear" w:color="auto" w:fill="FFFFFF"/>
        <w:spacing w:line="360" w:lineRule="auto"/>
        <w:jc w:val="left"/>
        <w:rPr>
          <w:rFonts w:ascii="Arial" w:hAnsi="Arial" w:cs="Arial"/>
          <w:kern w:val="0"/>
          <w:szCs w:val="21"/>
          <w:highlight w:val="none"/>
        </w:rPr>
      </w:pPr>
    </w:p>
    <w:p>
      <w:pPr>
        <w:widowControl/>
        <w:shd w:val="clear" w:color="auto" w:fill="FFFFFF"/>
        <w:spacing w:line="360" w:lineRule="auto"/>
        <w:jc w:val="left"/>
        <w:rPr>
          <w:rFonts w:ascii="Arial" w:hAnsi="Arial" w:cs="Arial"/>
          <w:kern w:val="0"/>
          <w:szCs w:val="21"/>
          <w:highlight w:val="none"/>
        </w:rPr>
      </w:pPr>
    </w:p>
    <w:p>
      <w:pPr>
        <w:widowControl/>
        <w:shd w:val="clear" w:color="auto" w:fill="FFFFFF"/>
        <w:spacing w:line="360" w:lineRule="auto"/>
        <w:jc w:val="left"/>
        <w:rPr>
          <w:rFonts w:ascii="Arial" w:hAnsi="Arial" w:cs="Arial"/>
          <w:kern w:val="0"/>
          <w:szCs w:val="21"/>
          <w:highlight w:val="none"/>
        </w:rPr>
      </w:pPr>
      <w:r>
        <w:rPr>
          <w:rFonts w:hint="eastAsia" w:ascii="Arial" w:hAnsi="Arial" w:cs="Arial"/>
          <w:kern w:val="0"/>
          <w:szCs w:val="21"/>
          <w:highlight w:val="none"/>
        </w:rPr>
        <w:t>供应商</w:t>
      </w:r>
      <w:r>
        <w:rPr>
          <w:rFonts w:ascii="Arial" w:hAnsi="Arial" w:cs="Arial"/>
          <w:kern w:val="0"/>
          <w:szCs w:val="21"/>
          <w:highlight w:val="none"/>
        </w:rPr>
        <w:t>（盖章）：</w:t>
      </w:r>
      <w:r>
        <w:rPr>
          <w:rFonts w:ascii="Arial" w:hAnsi="Arial" w:cs="Arial"/>
          <w:kern w:val="0"/>
          <w:szCs w:val="21"/>
          <w:highlight w:val="none"/>
          <w:u w:val="single"/>
        </w:rPr>
        <w:t>                             </w:t>
      </w:r>
      <w:r>
        <w:rPr>
          <w:rFonts w:ascii="Arial" w:hAnsi="Arial" w:cs="Arial"/>
          <w:kern w:val="0"/>
          <w:szCs w:val="21"/>
          <w:highlight w:val="none"/>
        </w:rPr>
        <w:t xml:space="preserve"> </w:t>
      </w:r>
    </w:p>
    <w:p>
      <w:pPr>
        <w:widowControl/>
        <w:shd w:val="clear" w:color="auto" w:fill="FFFFFF"/>
        <w:spacing w:line="360" w:lineRule="auto"/>
        <w:jc w:val="left"/>
        <w:rPr>
          <w:rFonts w:ascii="Arial" w:hAnsi="Arial" w:cs="Arial"/>
          <w:kern w:val="0"/>
          <w:szCs w:val="21"/>
          <w:highlight w:val="none"/>
          <w:u w:val="single"/>
        </w:rPr>
      </w:pPr>
      <w:r>
        <w:rPr>
          <w:rFonts w:ascii="Arial" w:hAnsi="Arial" w:cs="Arial"/>
          <w:kern w:val="0"/>
          <w:szCs w:val="21"/>
          <w:highlight w:val="none"/>
        </w:rPr>
        <w:t>法定代表人或授权代表（签字）：</w:t>
      </w:r>
      <w:r>
        <w:rPr>
          <w:rFonts w:ascii="Arial" w:hAnsi="Arial" w:cs="Arial"/>
          <w:kern w:val="0"/>
          <w:szCs w:val="21"/>
          <w:highlight w:val="none"/>
          <w:u w:val="single"/>
        </w:rPr>
        <w:t>                              </w:t>
      </w:r>
    </w:p>
    <w:p>
      <w:pPr>
        <w:widowControl/>
        <w:shd w:val="clear" w:color="auto" w:fill="FFFFFF"/>
        <w:spacing w:line="360" w:lineRule="auto"/>
        <w:jc w:val="left"/>
        <w:rPr>
          <w:rFonts w:ascii="Arial" w:hAnsi="Arial" w:cs="Arial"/>
          <w:kern w:val="0"/>
          <w:szCs w:val="21"/>
          <w:highlight w:val="none"/>
        </w:rPr>
      </w:pP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 </w:t>
      </w:r>
    </w:p>
    <w:p>
      <w:pPr>
        <w:widowControl/>
        <w:shd w:val="clear" w:color="auto" w:fill="FFFFFF"/>
        <w:spacing w:line="360" w:lineRule="auto"/>
        <w:jc w:val="left"/>
        <w:rPr>
          <w:rFonts w:ascii="Arial" w:hAnsi="Arial" w:cs="Arial"/>
          <w:kern w:val="0"/>
          <w:szCs w:val="21"/>
          <w:highlight w:val="none"/>
        </w:rPr>
      </w:pPr>
      <w:r>
        <w:rPr>
          <w:rFonts w:ascii="Arial" w:hAnsi="Arial" w:cs="Arial"/>
          <w:kern w:val="0"/>
          <w:szCs w:val="21"/>
          <w:highlight w:val="none"/>
        </w:rPr>
        <w:t> </w:t>
      </w:r>
    </w:p>
    <w:p>
      <w:pPr>
        <w:widowControl/>
        <w:shd w:val="clear" w:color="auto" w:fill="FFFFFF"/>
        <w:spacing w:line="360" w:lineRule="auto"/>
        <w:jc w:val="left"/>
        <w:rPr>
          <w:rFonts w:ascii="Arial" w:hAnsi="Arial" w:cs="Arial"/>
          <w:kern w:val="0"/>
          <w:szCs w:val="21"/>
          <w:highlight w:val="none"/>
        </w:rPr>
      </w:pPr>
    </w:p>
    <w:p>
      <w:pPr>
        <w:widowControl/>
        <w:shd w:val="clear" w:color="auto" w:fill="FFFFFF"/>
        <w:spacing w:line="360" w:lineRule="auto"/>
        <w:jc w:val="left"/>
        <w:rPr>
          <w:rFonts w:ascii="Arial" w:hAnsi="Arial" w:cs="Arial"/>
          <w:b/>
          <w:szCs w:val="21"/>
          <w:highlight w:val="none"/>
          <w:lang w:val="zh-CN"/>
        </w:rPr>
      </w:pPr>
      <w:r>
        <w:rPr>
          <w:rFonts w:ascii="Arial" w:hAnsi="Arial" w:cs="Arial"/>
          <w:b/>
          <w:bCs/>
          <w:kern w:val="0"/>
          <w:szCs w:val="21"/>
          <w:highlight w:val="none"/>
        </w:rPr>
        <w:br w:type="page"/>
      </w:r>
      <w:r>
        <w:rPr>
          <w:rFonts w:ascii="Arial" w:hAnsi="Arial" w:cs="Arial"/>
          <w:b/>
          <w:bCs/>
          <w:kern w:val="0"/>
          <w:szCs w:val="21"/>
          <w:highlight w:val="none"/>
        </w:rPr>
        <w:t>附件七、</w:t>
      </w:r>
      <w:r>
        <w:rPr>
          <w:rFonts w:ascii="Arial" w:hAnsi="Arial" w:cs="Arial"/>
          <w:b/>
          <w:szCs w:val="21"/>
          <w:highlight w:val="none"/>
          <w:lang w:val="zh-CN"/>
        </w:rPr>
        <w:t>技术说明与服务方案</w:t>
      </w:r>
    </w:p>
    <w:p>
      <w:pPr>
        <w:widowControl/>
        <w:shd w:val="clear" w:color="auto" w:fill="FFFFFF"/>
        <w:spacing w:line="360" w:lineRule="auto"/>
        <w:jc w:val="left"/>
        <w:rPr>
          <w:rFonts w:ascii="Arial" w:hAnsi="Arial" w:cs="Arial"/>
          <w:b/>
          <w:szCs w:val="21"/>
          <w:highlight w:val="none"/>
          <w:lang w:val="zh-CN"/>
        </w:rPr>
      </w:pPr>
    </w:p>
    <w:p>
      <w:pPr>
        <w:pStyle w:val="180"/>
        <w:snapToGrid w:val="0"/>
        <w:spacing w:before="0" w:after="0"/>
        <w:ind w:firstLine="420" w:firstLineChars="200"/>
        <w:rPr>
          <w:rFonts w:cs="Arial"/>
          <w:kern w:val="2"/>
          <w:sz w:val="21"/>
          <w:szCs w:val="21"/>
          <w:highlight w:val="none"/>
        </w:rPr>
      </w:pPr>
      <w:r>
        <w:rPr>
          <w:rFonts w:cs="Arial"/>
          <w:kern w:val="2"/>
          <w:sz w:val="21"/>
          <w:szCs w:val="21"/>
          <w:highlight w:val="none"/>
        </w:rPr>
        <w:t>技术方案及服务承诺应根据招标人对项目的要求、评标标准的要求及项目本身的特点编写，内容应包括但不限于以下内容：</w:t>
      </w:r>
    </w:p>
    <w:p>
      <w:pPr>
        <w:pStyle w:val="180"/>
        <w:snapToGrid w:val="0"/>
        <w:spacing w:before="0" w:after="0"/>
        <w:ind w:firstLine="420" w:firstLineChars="200"/>
        <w:rPr>
          <w:rFonts w:cs="Arial"/>
          <w:kern w:val="2"/>
          <w:sz w:val="21"/>
          <w:szCs w:val="21"/>
          <w:highlight w:val="none"/>
        </w:rPr>
      </w:pPr>
    </w:p>
    <w:p>
      <w:pPr>
        <w:widowControl/>
        <w:shd w:val="clear" w:color="auto" w:fill="FFFFFF"/>
        <w:spacing w:line="360" w:lineRule="auto"/>
        <w:jc w:val="left"/>
        <w:rPr>
          <w:rFonts w:ascii="Arial" w:hAnsi="Arial" w:cs="Arial"/>
          <w:kern w:val="0"/>
          <w:szCs w:val="21"/>
          <w:highlight w:val="none"/>
        </w:rPr>
      </w:pPr>
    </w:p>
    <w:p>
      <w:pPr>
        <w:widowControl/>
        <w:shd w:val="clear" w:color="auto" w:fill="FFFFFF"/>
        <w:spacing w:line="360" w:lineRule="auto"/>
        <w:jc w:val="left"/>
        <w:rPr>
          <w:rFonts w:ascii="Arial" w:hAnsi="Arial" w:cs="Arial"/>
          <w:kern w:val="0"/>
          <w:szCs w:val="21"/>
          <w:highlight w:val="none"/>
        </w:rPr>
      </w:pPr>
    </w:p>
    <w:p>
      <w:pPr>
        <w:widowControl/>
        <w:shd w:val="clear" w:color="auto" w:fill="FFFFFF"/>
        <w:spacing w:line="360" w:lineRule="auto"/>
        <w:jc w:val="left"/>
        <w:rPr>
          <w:rFonts w:ascii="Arial" w:hAnsi="Arial" w:cs="Arial"/>
          <w:b/>
          <w:bCs/>
          <w:kern w:val="0"/>
          <w:szCs w:val="21"/>
          <w:highlight w:val="none"/>
        </w:rPr>
      </w:pPr>
      <w:r>
        <w:rPr>
          <w:rFonts w:ascii="Arial" w:hAnsi="Arial" w:cs="Arial"/>
          <w:b/>
          <w:bCs/>
          <w:kern w:val="0"/>
          <w:szCs w:val="21"/>
          <w:highlight w:val="none"/>
        </w:rPr>
        <w:t> </w:t>
      </w:r>
    </w:p>
    <w:p>
      <w:pPr>
        <w:widowControl/>
        <w:adjustRightInd w:val="0"/>
        <w:spacing w:line="460" w:lineRule="atLeast"/>
        <w:rPr>
          <w:rFonts w:ascii="Arial" w:hAnsi="Arial" w:cs="Arial"/>
          <w:b/>
          <w:bCs/>
          <w:kern w:val="0"/>
          <w:sz w:val="24"/>
          <w:highlight w:val="none"/>
        </w:rPr>
      </w:pPr>
      <w:r>
        <w:rPr>
          <w:rFonts w:ascii="Arial" w:hAnsi="Arial" w:cs="Arial"/>
          <w:highlight w:val="none"/>
        </w:rPr>
        <w:br w:type="page"/>
      </w:r>
      <w:r>
        <w:rPr>
          <w:rFonts w:ascii="Arial" w:hAnsi="Arial" w:cs="Arial"/>
          <w:b/>
          <w:bCs/>
          <w:kern w:val="0"/>
          <w:sz w:val="24"/>
          <w:highlight w:val="none"/>
        </w:rPr>
        <w:t>附件八、拟参与本项目服务人员一览表</w:t>
      </w:r>
    </w:p>
    <w:p>
      <w:pPr>
        <w:widowControl/>
        <w:adjustRightInd w:val="0"/>
        <w:spacing w:line="460" w:lineRule="atLeast"/>
        <w:rPr>
          <w:rFonts w:ascii="Arial" w:hAnsi="Arial" w:cs="Arial"/>
          <w:b/>
          <w:bCs/>
          <w:kern w:val="0"/>
          <w:sz w:val="24"/>
          <w:highlight w:val="none"/>
        </w:rPr>
      </w:pPr>
    </w:p>
    <w:p>
      <w:pPr>
        <w:widowControl/>
        <w:adjustRightInd w:val="0"/>
        <w:jc w:val="center"/>
        <w:rPr>
          <w:rFonts w:ascii="Arial" w:hAnsi="Arial" w:cs="Arial"/>
          <w:b/>
          <w:bCs/>
          <w:kern w:val="0"/>
          <w:sz w:val="24"/>
          <w:highlight w:val="none"/>
        </w:rPr>
      </w:pPr>
      <w:r>
        <w:rPr>
          <w:rFonts w:ascii="Arial" w:hAnsi="Arial" w:cs="Arial"/>
          <w:b/>
          <w:bCs/>
          <w:kern w:val="0"/>
          <w:sz w:val="24"/>
          <w:highlight w:val="none"/>
        </w:rPr>
        <w:t>拟参与本项目服务人员一览表</w:t>
      </w:r>
    </w:p>
    <w:p>
      <w:pPr>
        <w:widowControl/>
        <w:adjustRightInd w:val="0"/>
        <w:jc w:val="center"/>
        <w:rPr>
          <w:rFonts w:ascii="Arial" w:hAnsi="Arial" w:cs="Arial"/>
          <w:b/>
          <w:bCs/>
          <w:kern w:val="0"/>
          <w:sz w:val="24"/>
          <w:highlight w:val="none"/>
        </w:rPr>
      </w:pPr>
    </w:p>
    <w:p>
      <w:pPr>
        <w:widowControl/>
        <w:adjustRightInd w:val="0"/>
        <w:rPr>
          <w:rFonts w:ascii="Arial" w:hAnsi="Arial" w:cs="Arial"/>
          <w:kern w:val="0"/>
          <w:szCs w:val="21"/>
          <w:highlight w:val="none"/>
        </w:rPr>
      </w:pPr>
      <w:r>
        <w:rPr>
          <w:rFonts w:ascii="Arial" w:hAnsi="Arial" w:cs="Arial"/>
          <w:kern w:val="0"/>
          <w:szCs w:val="21"/>
          <w:highlight w:val="none"/>
        </w:rPr>
        <w:t>项目名称：                                 项目编号：</w:t>
      </w:r>
    </w:p>
    <w:tbl>
      <w:tblPr>
        <w:tblStyle w:val="43"/>
        <w:tblW w:w="9464" w:type="dxa"/>
        <w:jc w:val="center"/>
        <w:tblLayout w:type="fixed"/>
        <w:tblCellMar>
          <w:top w:w="0" w:type="dxa"/>
          <w:left w:w="108" w:type="dxa"/>
          <w:bottom w:w="0" w:type="dxa"/>
          <w:right w:w="108" w:type="dxa"/>
        </w:tblCellMar>
      </w:tblPr>
      <w:tblGrid>
        <w:gridCol w:w="534"/>
        <w:gridCol w:w="896"/>
        <w:gridCol w:w="663"/>
        <w:gridCol w:w="709"/>
        <w:gridCol w:w="1134"/>
        <w:gridCol w:w="931"/>
        <w:gridCol w:w="1020"/>
        <w:gridCol w:w="994"/>
        <w:gridCol w:w="882"/>
        <w:gridCol w:w="850"/>
        <w:gridCol w:w="851"/>
      </w:tblGrid>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vAlign w:val="center"/>
          </w:tcPr>
          <w:p>
            <w:pPr>
              <w:widowControl/>
              <w:adjustRightInd w:val="0"/>
              <w:jc w:val="center"/>
              <w:rPr>
                <w:rFonts w:ascii="Arial" w:hAnsi="Arial" w:cs="Arial"/>
                <w:b/>
                <w:bCs/>
                <w:kern w:val="0"/>
                <w:szCs w:val="21"/>
                <w:highlight w:val="none"/>
              </w:rPr>
            </w:pPr>
            <w:r>
              <w:rPr>
                <w:rFonts w:ascii="Arial" w:hAnsi="Arial" w:cs="Arial"/>
                <w:b/>
                <w:bCs/>
                <w:kern w:val="0"/>
                <w:szCs w:val="21"/>
                <w:highlight w:val="none"/>
              </w:rPr>
              <w:t>序号</w:t>
            </w:r>
          </w:p>
        </w:tc>
        <w:tc>
          <w:tcPr>
            <w:tcW w:w="896"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highlight w:val="none"/>
              </w:rPr>
            </w:pPr>
            <w:r>
              <w:rPr>
                <w:rFonts w:ascii="Arial" w:hAnsi="Arial" w:cs="Arial"/>
                <w:b/>
                <w:bCs/>
                <w:kern w:val="0"/>
                <w:szCs w:val="21"/>
                <w:highlight w:val="none"/>
              </w:rPr>
              <w:t>姓名</w:t>
            </w:r>
          </w:p>
        </w:tc>
        <w:tc>
          <w:tcPr>
            <w:tcW w:w="663"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highlight w:val="none"/>
              </w:rPr>
            </w:pPr>
            <w:r>
              <w:rPr>
                <w:rFonts w:ascii="Arial" w:hAnsi="Arial" w:cs="Arial"/>
                <w:b/>
                <w:bCs/>
                <w:kern w:val="0"/>
                <w:szCs w:val="21"/>
                <w:highlight w:val="none"/>
              </w:rPr>
              <w:t>性别</w:t>
            </w:r>
          </w:p>
        </w:tc>
        <w:tc>
          <w:tcPr>
            <w:tcW w:w="709"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highlight w:val="none"/>
              </w:rPr>
            </w:pPr>
            <w:r>
              <w:rPr>
                <w:rFonts w:ascii="Arial" w:hAnsi="Arial" w:cs="Arial"/>
                <w:b/>
                <w:bCs/>
                <w:kern w:val="0"/>
                <w:szCs w:val="21"/>
                <w:highlight w:val="none"/>
              </w:rPr>
              <w:t>年龄</w:t>
            </w:r>
          </w:p>
        </w:tc>
        <w:tc>
          <w:tcPr>
            <w:tcW w:w="1134"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highlight w:val="none"/>
              </w:rPr>
            </w:pPr>
            <w:r>
              <w:rPr>
                <w:rFonts w:ascii="Arial" w:hAnsi="Arial" w:cs="Arial"/>
                <w:b/>
                <w:bCs/>
                <w:kern w:val="0"/>
                <w:szCs w:val="21"/>
                <w:highlight w:val="none"/>
              </w:rPr>
              <w:t>专业</w:t>
            </w:r>
          </w:p>
        </w:tc>
        <w:tc>
          <w:tcPr>
            <w:tcW w:w="931"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highlight w:val="none"/>
              </w:rPr>
            </w:pPr>
            <w:r>
              <w:rPr>
                <w:rFonts w:ascii="Arial" w:hAnsi="Arial" w:cs="Arial"/>
                <w:b/>
                <w:bCs/>
                <w:kern w:val="0"/>
                <w:szCs w:val="21"/>
                <w:highlight w:val="none"/>
              </w:rPr>
              <w:t>学历</w:t>
            </w:r>
          </w:p>
        </w:tc>
        <w:tc>
          <w:tcPr>
            <w:tcW w:w="1020"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highlight w:val="none"/>
              </w:rPr>
            </w:pPr>
            <w:r>
              <w:rPr>
                <w:rFonts w:ascii="Arial" w:hAnsi="Arial" w:cs="Arial"/>
                <w:b/>
                <w:bCs/>
                <w:kern w:val="0"/>
                <w:szCs w:val="21"/>
                <w:highlight w:val="none"/>
              </w:rPr>
              <w:t>执业</w:t>
            </w:r>
          </w:p>
          <w:p>
            <w:pPr>
              <w:widowControl/>
              <w:adjustRightInd w:val="0"/>
              <w:jc w:val="center"/>
              <w:rPr>
                <w:rFonts w:ascii="Arial" w:hAnsi="Arial" w:cs="Arial"/>
                <w:b/>
                <w:bCs/>
                <w:kern w:val="0"/>
                <w:szCs w:val="21"/>
                <w:highlight w:val="none"/>
              </w:rPr>
            </w:pPr>
            <w:r>
              <w:rPr>
                <w:rFonts w:ascii="Arial" w:hAnsi="Arial" w:cs="Arial"/>
                <w:b/>
                <w:bCs/>
                <w:kern w:val="0"/>
                <w:szCs w:val="21"/>
                <w:highlight w:val="none"/>
              </w:rPr>
              <w:t>资格</w:t>
            </w:r>
          </w:p>
        </w:tc>
        <w:tc>
          <w:tcPr>
            <w:tcW w:w="994"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highlight w:val="none"/>
              </w:rPr>
            </w:pPr>
            <w:r>
              <w:rPr>
                <w:rFonts w:ascii="Arial" w:hAnsi="Arial" w:cs="Arial"/>
                <w:b/>
                <w:bCs/>
                <w:kern w:val="0"/>
                <w:szCs w:val="21"/>
                <w:highlight w:val="none"/>
              </w:rPr>
              <w:t>证书号</w:t>
            </w:r>
          </w:p>
        </w:tc>
        <w:tc>
          <w:tcPr>
            <w:tcW w:w="882"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highlight w:val="none"/>
              </w:rPr>
            </w:pPr>
            <w:r>
              <w:rPr>
                <w:rFonts w:ascii="Arial" w:hAnsi="Arial" w:cs="Arial"/>
                <w:b/>
                <w:bCs/>
                <w:kern w:val="0"/>
                <w:szCs w:val="21"/>
                <w:highlight w:val="none"/>
              </w:rPr>
              <w:t>技术职称</w:t>
            </w:r>
          </w:p>
        </w:tc>
        <w:tc>
          <w:tcPr>
            <w:tcW w:w="850"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highlight w:val="none"/>
              </w:rPr>
            </w:pPr>
            <w:r>
              <w:rPr>
                <w:rFonts w:ascii="Arial" w:hAnsi="Arial" w:cs="Arial"/>
                <w:b/>
                <w:bCs/>
                <w:kern w:val="0"/>
                <w:szCs w:val="21"/>
                <w:highlight w:val="none"/>
              </w:rPr>
              <w:t>相关工作年限</w:t>
            </w:r>
          </w:p>
        </w:tc>
        <w:tc>
          <w:tcPr>
            <w:tcW w:w="851" w:type="dxa"/>
            <w:tcBorders>
              <w:top w:val="single" w:color="000000" w:sz="4" w:space="0"/>
              <w:left w:val="nil"/>
              <w:bottom w:val="single" w:color="000000" w:sz="4" w:space="0"/>
              <w:right w:val="single" w:color="000000" w:sz="4" w:space="0"/>
            </w:tcBorders>
            <w:vAlign w:val="center"/>
          </w:tcPr>
          <w:p>
            <w:pPr>
              <w:widowControl/>
              <w:adjustRightInd w:val="0"/>
              <w:jc w:val="center"/>
              <w:rPr>
                <w:rFonts w:ascii="Arial" w:hAnsi="Arial" w:cs="Arial"/>
                <w:b/>
                <w:bCs/>
                <w:kern w:val="0"/>
                <w:szCs w:val="21"/>
                <w:highlight w:val="none"/>
              </w:rPr>
            </w:pPr>
            <w:r>
              <w:rPr>
                <w:rFonts w:ascii="Arial" w:hAnsi="Arial" w:cs="Arial"/>
                <w:b/>
                <w:bCs/>
                <w:kern w:val="0"/>
                <w:szCs w:val="21"/>
                <w:highlight w:val="none"/>
              </w:rPr>
              <w:t>备注</w:t>
            </w: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Arial" w:hAnsi="Arial" w:cs="Arial"/>
                <w:kern w:val="0"/>
                <w:szCs w:val="21"/>
                <w:highlight w:val="none"/>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Arial" w:hAnsi="Arial" w:cs="Arial"/>
                <w:kern w:val="0"/>
                <w:szCs w:val="21"/>
                <w:highlight w:val="none"/>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Arial" w:hAnsi="Arial" w:cs="Arial"/>
                <w:kern w:val="0"/>
                <w:szCs w:val="21"/>
                <w:highlight w:val="none"/>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Arial" w:hAnsi="Arial" w:cs="Arial"/>
                <w:kern w:val="0"/>
                <w:szCs w:val="21"/>
                <w:highlight w:val="none"/>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Arial" w:hAnsi="Arial" w:cs="Arial"/>
                <w:kern w:val="0"/>
                <w:szCs w:val="21"/>
                <w:highlight w:val="none"/>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Arial" w:hAnsi="Arial" w:cs="Arial"/>
                <w:kern w:val="0"/>
                <w:szCs w:val="21"/>
                <w:highlight w:val="none"/>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Arial" w:hAnsi="Arial" w:cs="Arial"/>
                <w:kern w:val="0"/>
                <w:szCs w:val="21"/>
                <w:highlight w:val="none"/>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r>
      <w:tr>
        <w:tblPrEx>
          <w:tblCellMar>
            <w:top w:w="0" w:type="dxa"/>
            <w:left w:w="108" w:type="dxa"/>
            <w:bottom w:w="0" w:type="dxa"/>
            <w:right w:w="108" w:type="dxa"/>
          </w:tblCellMar>
        </w:tblPrEx>
        <w:trPr>
          <w:jc w:val="center"/>
        </w:trPr>
        <w:tc>
          <w:tcPr>
            <w:tcW w:w="534" w:type="dxa"/>
            <w:tcBorders>
              <w:top w:val="single" w:color="000000" w:sz="4" w:space="0"/>
              <w:left w:val="single" w:color="000000" w:sz="4" w:space="0"/>
              <w:bottom w:val="single" w:color="000000" w:sz="4" w:space="0"/>
              <w:right w:val="single" w:color="000000" w:sz="4" w:space="0"/>
            </w:tcBorders>
          </w:tcPr>
          <w:p>
            <w:pPr>
              <w:widowControl/>
              <w:adjustRightInd w:val="0"/>
              <w:rPr>
                <w:rFonts w:ascii="Arial" w:hAnsi="Arial" w:cs="Arial"/>
                <w:kern w:val="0"/>
                <w:szCs w:val="21"/>
                <w:highlight w:val="none"/>
              </w:rPr>
            </w:pPr>
          </w:p>
        </w:tc>
        <w:tc>
          <w:tcPr>
            <w:tcW w:w="896"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663"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709"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93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102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994"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82"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50"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c>
          <w:tcPr>
            <w:tcW w:w="851" w:type="dxa"/>
            <w:tcBorders>
              <w:top w:val="single" w:color="000000" w:sz="4" w:space="0"/>
              <w:left w:val="nil"/>
              <w:bottom w:val="single" w:color="000000" w:sz="4" w:space="0"/>
              <w:right w:val="single" w:color="000000" w:sz="4" w:space="0"/>
            </w:tcBorders>
          </w:tcPr>
          <w:p>
            <w:pPr>
              <w:widowControl/>
              <w:adjustRightInd w:val="0"/>
              <w:rPr>
                <w:rFonts w:ascii="Arial" w:hAnsi="Arial" w:cs="Arial"/>
                <w:kern w:val="0"/>
                <w:szCs w:val="21"/>
                <w:highlight w:val="none"/>
              </w:rPr>
            </w:pPr>
          </w:p>
        </w:tc>
      </w:tr>
    </w:tbl>
    <w:p>
      <w:pPr>
        <w:widowControl/>
        <w:shd w:val="clear" w:color="auto" w:fill="FFFFFF"/>
        <w:spacing w:line="360" w:lineRule="auto"/>
        <w:jc w:val="left"/>
        <w:rPr>
          <w:rFonts w:ascii="Arial" w:hAnsi="Arial" w:cs="Arial"/>
          <w:kern w:val="0"/>
          <w:szCs w:val="21"/>
          <w:highlight w:val="none"/>
        </w:rPr>
      </w:pPr>
      <w:r>
        <w:rPr>
          <w:rFonts w:hint="eastAsia" w:ascii="Arial" w:hAnsi="Arial" w:cs="Arial"/>
          <w:kern w:val="0"/>
          <w:szCs w:val="21"/>
          <w:highlight w:val="none"/>
        </w:rPr>
        <w:t>供应商</w:t>
      </w:r>
      <w:r>
        <w:rPr>
          <w:rFonts w:ascii="Arial" w:hAnsi="Arial" w:cs="Arial"/>
          <w:kern w:val="0"/>
          <w:szCs w:val="21"/>
          <w:highlight w:val="none"/>
        </w:rPr>
        <w:t>（盖章）：</w:t>
      </w:r>
      <w:r>
        <w:rPr>
          <w:rFonts w:ascii="Arial" w:hAnsi="Arial" w:cs="Arial"/>
          <w:kern w:val="0"/>
          <w:szCs w:val="21"/>
          <w:highlight w:val="none"/>
          <w:u w:val="single"/>
        </w:rPr>
        <w:t>                             </w:t>
      </w:r>
      <w:r>
        <w:rPr>
          <w:rFonts w:ascii="Arial" w:hAnsi="Arial" w:cs="Arial"/>
          <w:kern w:val="0"/>
          <w:szCs w:val="21"/>
          <w:highlight w:val="none"/>
        </w:rPr>
        <w:t xml:space="preserve"> </w:t>
      </w:r>
    </w:p>
    <w:p>
      <w:pPr>
        <w:widowControl/>
        <w:shd w:val="clear" w:color="auto" w:fill="FFFFFF"/>
        <w:spacing w:line="360" w:lineRule="auto"/>
        <w:jc w:val="left"/>
        <w:rPr>
          <w:rFonts w:ascii="Arial" w:hAnsi="Arial" w:cs="Arial"/>
          <w:kern w:val="0"/>
          <w:szCs w:val="21"/>
          <w:highlight w:val="none"/>
          <w:u w:val="single"/>
        </w:rPr>
      </w:pPr>
      <w:r>
        <w:rPr>
          <w:rFonts w:ascii="Arial" w:hAnsi="Arial" w:cs="Arial"/>
          <w:kern w:val="0"/>
          <w:szCs w:val="21"/>
          <w:highlight w:val="none"/>
        </w:rPr>
        <w:t>法定代表人或授权代表（签字）：</w:t>
      </w:r>
      <w:r>
        <w:rPr>
          <w:rFonts w:ascii="Arial" w:hAnsi="Arial" w:cs="Arial"/>
          <w:kern w:val="0"/>
          <w:szCs w:val="21"/>
          <w:highlight w:val="none"/>
          <w:u w:val="single"/>
        </w:rPr>
        <w:t>                              </w:t>
      </w:r>
    </w:p>
    <w:p>
      <w:pPr>
        <w:widowControl/>
        <w:adjustRightInd w:val="0"/>
        <w:rPr>
          <w:rFonts w:ascii="Arial" w:hAnsi="Arial" w:cs="Arial"/>
          <w:kern w:val="0"/>
          <w:szCs w:val="21"/>
          <w:highlight w:val="none"/>
        </w:rPr>
      </w:pPr>
    </w:p>
    <w:p>
      <w:pPr>
        <w:widowControl/>
        <w:adjustRightInd w:val="0"/>
        <w:rPr>
          <w:rFonts w:ascii="Arial" w:hAnsi="Arial" w:cs="Arial"/>
          <w:b/>
          <w:bCs/>
          <w:kern w:val="0"/>
          <w:szCs w:val="21"/>
          <w:highlight w:val="none"/>
        </w:rPr>
      </w:pPr>
    </w:p>
    <w:p>
      <w:pPr>
        <w:widowControl/>
        <w:adjustRightInd w:val="0"/>
        <w:spacing w:line="360" w:lineRule="auto"/>
        <w:rPr>
          <w:rFonts w:ascii="Arial" w:hAnsi="Arial" w:cs="Arial"/>
          <w:b/>
          <w:bCs/>
          <w:kern w:val="0"/>
          <w:sz w:val="24"/>
          <w:highlight w:val="none"/>
        </w:rPr>
      </w:pPr>
      <w:r>
        <w:rPr>
          <w:rFonts w:ascii="Arial" w:hAnsi="Arial" w:cs="Arial"/>
          <w:b/>
          <w:bCs/>
          <w:kern w:val="0"/>
          <w:sz w:val="24"/>
          <w:highlight w:val="none"/>
        </w:rPr>
        <w:br w:type="page"/>
      </w:r>
      <w:r>
        <w:rPr>
          <w:rFonts w:ascii="Arial" w:hAnsi="Arial" w:cs="Arial"/>
          <w:b/>
          <w:bCs/>
          <w:kern w:val="0"/>
          <w:sz w:val="24"/>
          <w:highlight w:val="none"/>
        </w:rPr>
        <w:t xml:space="preserve">附件九、 </w:t>
      </w:r>
      <w:r>
        <w:rPr>
          <w:rFonts w:hint="eastAsia" w:ascii="Arial" w:hAnsi="Arial" w:cs="Arial"/>
          <w:b/>
          <w:bCs/>
          <w:kern w:val="0"/>
          <w:sz w:val="24"/>
          <w:highlight w:val="none"/>
          <w:lang w:eastAsia="zh-CN"/>
        </w:rPr>
        <w:t>供应商</w:t>
      </w:r>
      <w:r>
        <w:rPr>
          <w:rFonts w:ascii="Arial" w:hAnsi="Arial" w:cs="Arial"/>
          <w:b/>
          <w:bCs/>
          <w:kern w:val="0"/>
          <w:sz w:val="24"/>
          <w:highlight w:val="none"/>
        </w:rPr>
        <w:t>类似业绩情况表</w:t>
      </w:r>
    </w:p>
    <w:p>
      <w:pPr>
        <w:widowControl/>
        <w:adjustRightInd w:val="0"/>
        <w:spacing w:line="360" w:lineRule="auto"/>
        <w:jc w:val="center"/>
        <w:rPr>
          <w:rFonts w:ascii="Arial" w:hAnsi="Arial" w:cs="Arial"/>
          <w:b/>
          <w:bCs/>
          <w:kern w:val="0"/>
          <w:sz w:val="24"/>
          <w:highlight w:val="none"/>
        </w:rPr>
      </w:pPr>
    </w:p>
    <w:p>
      <w:pPr>
        <w:widowControl/>
        <w:adjustRightInd w:val="0"/>
        <w:spacing w:line="360" w:lineRule="auto"/>
        <w:jc w:val="center"/>
        <w:rPr>
          <w:rFonts w:ascii="Arial" w:hAnsi="Arial" w:cs="Arial"/>
          <w:b/>
          <w:bCs/>
          <w:kern w:val="0"/>
          <w:sz w:val="24"/>
          <w:highlight w:val="none"/>
        </w:rPr>
      </w:pPr>
      <w:r>
        <w:rPr>
          <w:rFonts w:hint="eastAsia" w:ascii="Arial" w:hAnsi="Arial" w:cs="Arial"/>
          <w:b/>
          <w:bCs/>
          <w:kern w:val="0"/>
          <w:sz w:val="24"/>
          <w:highlight w:val="none"/>
          <w:lang w:eastAsia="zh-CN"/>
        </w:rPr>
        <w:t>供应商</w:t>
      </w:r>
      <w:r>
        <w:rPr>
          <w:rFonts w:ascii="Arial" w:hAnsi="Arial" w:cs="Arial"/>
          <w:b/>
          <w:bCs/>
          <w:kern w:val="0"/>
          <w:sz w:val="24"/>
          <w:highlight w:val="none"/>
        </w:rPr>
        <w:t>类似业绩情况表</w:t>
      </w:r>
    </w:p>
    <w:tbl>
      <w:tblPr>
        <w:tblStyle w:val="43"/>
        <w:tblW w:w="9470" w:type="dxa"/>
        <w:jc w:val="center"/>
        <w:tblLayout w:type="fixed"/>
        <w:tblCellMar>
          <w:top w:w="0" w:type="dxa"/>
          <w:left w:w="108" w:type="dxa"/>
          <w:bottom w:w="0" w:type="dxa"/>
          <w:right w:w="108" w:type="dxa"/>
        </w:tblCellMar>
      </w:tblPr>
      <w:tblGrid>
        <w:gridCol w:w="682"/>
        <w:gridCol w:w="1559"/>
        <w:gridCol w:w="1418"/>
        <w:gridCol w:w="992"/>
        <w:gridCol w:w="1034"/>
        <w:gridCol w:w="1517"/>
        <w:gridCol w:w="1134"/>
        <w:gridCol w:w="1134"/>
      </w:tblGrid>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r>
              <w:rPr>
                <w:rFonts w:ascii="Arial" w:hAnsi="Arial" w:cs="Arial"/>
                <w:kern w:val="0"/>
                <w:szCs w:val="21"/>
                <w:highlight w:val="none"/>
              </w:rPr>
              <w:t>序号</w:t>
            </w:r>
          </w:p>
        </w:tc>
        <w:tc>
          <w:tcPr>
            <w:tcW w:w="1559"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Arial" w:hAnsi="Arial" w:cs="Arial"/>
                <w:kern w:val="0"/>
                <w:szCs w:val="21"/>
                <w:highlight w:val="none"/>
              </w:rPr>
            </w:pPr>
            <w:r>
              <w:rPr>
                <w:rFonts w:ascii="Arial" w:hAnsi="Arial" w:cs="Arial"/>
                <w:kern w:val="0"/>
                <w:szCs w:val="21"/>
                <w:highlight w:val="none"/>
              </w:rPr>
              <w:t>项目名称</w:t>
            </w:r>
          </w:p>
        </w:tc>
        <w:tc>
          <w:tcPr>
            <w:tcW w:w="1418"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Arial" w:hAnsi="Arial" w:cs="Arial"/>
                <w:kern w:val="0"/>
                <w:szCs w:val="21"/>
                <w:highlight w:val="none"/>
              </w:rPr>
            </w:pPr>
            <w:r>
              <w:rPr>
                <w:rFonts w:ascii="Arial" w:hAnsi="Arial" w:cs="Arial"/>
                <w:kern w:val="0"/>
                <w:szCs w:val="21"/>
                <w:highlight w:val="none"/>
              </w:rPr>
              <w:t>业主单位</w:t>
            </w:r>
          </w:p>
        </w:tc>
        <w:tc>
          <w:tcPr>
            <w:tcW w:w="992"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Arial" w:hAnsi="Arial" w:cs="Arial"/>
                <w:kern w:val="0"/>
                <w:szCs w:val="21"/>
                <w:highlight w:val="none"/>
              </w:rPr>
            </w:pPr>
            <w:r>
              <w:rPr>
                <w:rFonts w:ascii="Arial" w:hAnsi="Arial" w:cs="Arial"/>
                <w:kern w:val="0"/>
                <w:szCs w:val="21"/>
                <w:highlight w:val="none"/>
              </w:rPr>
              <w:t>项目</w:t>
            </w:r>
          </w:p>
          <w:p>
            <w:pPr>
              <w:widowControl/>
              <w:spacing w:line="400" w:lineRule="atLeast"/>
              <w:jc w:val="center"/>
              <w:rPr>
                <w:rFonts w:ascii="Arial" w:hAnsi="Arial" w:cs="Arial"/>
                <w:kern w:val="0"/>
                <w:szCs w:val="21"/>
                <w:highlight w:val="none"/>
              </w:rPr>
            </w:pPr>
            <w:r>
              <w:rPr>
                <w:rFonts w:ascii="Arial" w:hAnsi="Arial" w:cs="Arial"/>
                <w:kern w:val="0"/>
                <w:szCs w:val="21"/>
                <w:highlight w:val="none"/>
              </w:rPr>
              <w:t>规模</w:t>
            </w:r>
          </w:p>
        </w:tc>
        <w:tc>
          <w:tcPr>
            <w:tcW w:w="1034" w:type="dxa"/>
            <w:tcBorders>
              <w:top w:val="single" w:color="000000" w:sz="4" w:space="0"/>
              <w:left w:val="nil"/>
              <w:bottom w:val="single" w:color="000000" w:sz="4" w:space="0"/>
              <w:right w:val="single" w:color="000000" w:sz="4" w:space="0"/>
            </w:tcBorders>
            <w:vAlign w:val="center"/>
          </w:tcPr>
          <w:p>
            <w:pPr>
              <w:widowControl/>
              <w:spacing w:line="400" w:lineRule="atLeast"/>
              <w:jc w:val="center"/>
              <w:rPr>
                <w:rFonts w:ascii="Arial" w:hAnsi="Arial" w:cs="Arial"/>
                <w:kern w:val="0"/>
                <w:szCs w:val="21"/>
                <w:highlight w:val="none"/>
              </w:rPr>
            </w:pPr>
            <w:r>
              <w:rPr>
                <w:rFonts w:ascii="Arial" w:hAnsi="Arial" w:cs="Arial"/>
                <w:kern w:val="0"/>
                <w:szCs w:val="21"/>
                <w:highlight w:val="none"/>
              </w:rPr>
              <w:t>获奖</w:t>
            </w:r>
          </w:p>
          <w:p>
            <w:pPr>
              <w:widowControl/>
              <w:spacing w:line="400" w:lineRule="atLeast"/>
              <w:jc w:val="center"/>
              <w:rPr>
                <w:rFonts w:ascii="Arial" w:hAnsi="Arial" w:cs="Arial"/>
                <w:kern w:val="0"/>
                <w:szCs w:val="21"/>
                <w:highlight w:val="none"/>
              </w:rPr>
            </w:pPr>
            <w:r>
              <w:rPr>
                <w:rFonts w:ascii="Arial" w:hAnsi="Arial" w:cs="Arial"/>
                <w:kern w:val="0"/>
                <w:szCs w:val="21"/>
                <w:highlight w:val="none"/>
              </w:rPr>
              <w:t>情况</w:t>
            </w: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r>
              <w:rPr>
                <w:rFonts w:ascii="Arial" w:hAnsi="Arial" w:cs="Arial"/>
                <w:kern w:val="0"/>
                <w:szCs w:val="21"/>
                <w:highlight w:val="none"/>
              </w:rPr>
              <w:t>签约及服务</w:t>
            </w:r>
          </w:p>
          <w:p>
            <w:pPr>
              <w:widowControl/>
              <w:spacing w:line="400" w:lineRule="atLeast"/>
              <w:jc w:val="center"/>
              <w:rPr>
                <w:rFonts w:ascii="Arial" w:hAnsi="Arial" w:cs="Arial"/>
                <w:kern w:val="0"/>
                <w:szCs w:val="21"/>
                <w:highlight w:val="none"/>
              </w:rPr>
            </w:pPr>
            <w:r>
              <w:rPr>
                <w:rFonts w:ascii="Arial" w:hAnsi="Arial" w:cs="Arial"/>
                <w:kern w:val="0"/>
                <w:szCs w:val="21"/>
                <w:highlight w:val="none"/>
              </w:rPr>
              <w:t>时间</w:t>
            </w: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r>
              <w:rPr>
                <w:rFonts w:ascii="Arial" w:hAnsi="Arial" w:cs="Arial"/>
                <w:kern w:val="0"/>
                <w:szCs w:val="21"/>
                <w:highlight w:val="none"/>
              </w:rPr>
              <w:t>联系人及电话</w:t>
            </w: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r>
              <w:rPr>
                <w:rFonts w:ascii="Arial" w:hAnsi="Arial" w:cs="Arial"/>
                <w:kern w:val="0"/>
                <w:szCs w:val="21"/>
                <w:highlight w:val="none"/>
              </w:rPr>
              <w:t>备注</w:t>
            </w: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ind w:firstLine="120"/>
              <w:rPr>
                <w:rFonts w:ascii="Arial" w:hAnsi="Arial" w:cs="Arial"/>
                <w:kern w:val="0"/>
                <w:szCs w:val="21"/>
                <w:highlight w:val="none"/>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r>
      <w:tr>
        <w:tblPrEx>
          <w:tblCellMar>
            <w:top w:w="0" w:type="dxa"/>
            <w:left w:w="108" w:type="dxa"/>
            <w:bottom w:w="0" w:type="dxa"/>
            <w:right w:w="108" w:type="dxa"/>
          </w:tblCellMar>
        </w:tblPrEx>
        <w:trPr>
          <w:jc w:val="center"/>
        </w:trPr>
        <w:tc>
          <w:tcPr>
            <w:tcW w:w="682" w:type="dxa"/>
            <w:tcBorders>
              <w:top w:val="single" w:color="000000" w:sz="4" w:space="0"/>
              <w:left w:val="single" w:color="000000" w:sz="4" w:space="0"/>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559"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418"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992"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0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517"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c>
          <w:tcPr>
            <w:tcW w:w="1134" w:type="dxa"/>
            <w:tcBorders>
              <w:top w:val="single" w:color="000000" w:sz="4" w:space="0"/>
              <w:left w:val="nil"/>
              <w:bottom w:val="single" w:color="000000" w:sz="4" w:space="0"/>
              <w:right w:val="single" w:color="000000" w:sz="4" w:space="0"/>
            </w:tcBorders>
          </w:tcPr>
          <w:p>
            <w:pPr>
              <w:widowControl/>
              <w:spacing w:line="400" w:lineRule="atLeast"/>
              <w:jc w:val="center"/>
              <w:rPr>
                <w:rFonts w:ascii="Arial" w:hAnsi="Arial" w:cs="Arial"/>
                <w:kern w:val="0"/>
                <w:szCs w:val="21"/>
                <w:highlight w:val="none"/>
              </w:rPr>
            </w:pPr>
          </w:p>
        </w:tc>
      </w:tr>
    </w:tbl>
    <w:p>
      <w:pPr>
        <w:widowControl/>
        <w:shd w:val="clear" w:color="auto" w:fill="FFFFFF"/>
        <w:spacing w:line="360" w:lineRule="auto"/>
        <w:jc w:val="left"/>
        <w:rPr>
          <w:rFonts w:ascii="Arial" w:hAnsi="Arial" w:cs="Arial"/>
          <w:kern w:val="0"/>
          <w:szCs w:val="21"/>
          <w:highlight w:val="none"/>
        </w:rPr>
      </w:pPr>
      <w:r>
        <w:rPr>
          <w:rFonts w:hint="eastAsia" w:ascii="Arial" w:hAnsi="Arial" w:cs="Arial"/>
          <w:kern w:val="0"/>
          <w:szCs w:val="21"/>
          <w:highlight w:val="none"/>
        </w:rPr>
        <w:t>供应商</w:t>
      </w:r>
      <w:r>
        <w:rPr>
          <w:rFonts w:ascii="Arial" w:hAnsi="Arial" w:cs="Arial"/>
          <w:kern w:val="0"/>
          <w:szCs w:val="21"/>
          <w:highlight w:val="none"/>
        </w:rPr>
        <w:t>（盖章）：</w:t>
      </w:r>
      <w:r>
        <w:rPr>
          <w:rFonts w:ascii="Arial" w:hAnsi="Arial" w:cs="Arial"/>
          <w:kern w:val="0"/>
          <w:szCs w:val="21"/>
          <w:highlight w:val="none"/>
          <w:u w:val="single"/>
        </w:rPr>
        <w:t>                             </w:t>
      </w:r>
      <w:r>
        <w:rPr>
          <w:rFonts w:ascii="Arial" w:hAnsi="Arial" w:cs="Arial"/>
          <w:kern w:val="0"/>
          <w:szCs w:val="21"/>
          <w:highlight w:val="none"/>
        </w:rPr>
        <w:t xml:space="preserve"> </w:t>
      </w:r>
    </w:p>
    <w:p>
      <w:pPr>
        <w:widowControl/>
        <w:shd w:val="clear" w:color="auto" w:fill="FFFFFF"/>
        <w:spacing w:line="360" w:lineRule="auto"/>
        <w:jc w:val="left"/>
        <w:rPr>
          <w:rFonts w:ascii="Arial" w:hAnsi="Arial" w:cs="Arial"/>
          <w:kern w:val="0"/>
          <w:szCs w:val="21"/>
          <w:highlight w:val="none"/>
          <w:u w:val="single"/>
        </w:rPr>
      </w:pPr>
      <w:r>
        <w:rPr>
          <w:rFonts w:ascii="Arial" w:hAnsi="Arial" w:cs="Arial"/>
          <w:kern w:val="0"/>
          <w:szCs w:val="21"/>
          <w:highlight w:val="none"/>
        </w:rPr>
        <w:t>法定代表人或授权代表（签字）：</w:t>
      </w:r>
      <w:r>
        <w:rPr>
          <w:rFonts w:ascii="Arial" w:hAnsi="Arial" w:cs="Arial"/>
          <w:kern w:val="0"/>
          <w:szCs w:val="21"/>
          <w:highlight w:val="none"/>
          <w:u w:val="single"/>
        </w:rPr>
        <w:t>                              </w:t>
      </w:r>
    </w:p>
    <w:p>
      <w:pPr>
        <w:widowControl/>
        <w:adjustRightInd w:val="0"/>
        <w:spacing w:line="360" w:lineRule="auto"/>
        <w:rPr>
          <w:rFonts w:ascii="Arial" w:hAnsi="Arial" w:cs="Arial"/>
          <w:b/>
          <w:bCs/>
          <w:kern w:val="0"/>
          <w:szCs w:val="21"/>
          <w:highlight w:val="none"/>
        </w:rPr>
      </w:pPr>
    </w:p>
    <w:p>
      <w:pPr>
        <w:widowControl/>
        <w:adjustRightInd w:val="0"/>
        <w:spacing w:line="360" w:lineRule="auto"/>
        <w:rPr>
          <w:rFonts w:ascii="Arial" w:hAnsi="Arial" w:cs="Arial"/>
          <w:b/>
          <w:bCs/>
          <w:kern w:val="0"/>
          <w:szCs w:val="21"/>
          <w:highlight w:val="none"/>
        </w:rPr>
      </w:pPr>
    </w:p>
    <w:p>
      <w:pPr>
        <w:spacing w:line="360" w:lineRule="auto"/>
        <w:rPr>
          <w:rFonts w:ascii="Arial" w:hAnsi="Arial" w:cs="Arial"/>
          <w:highlight w:val="none"/>
        </w:rPr>
      </w:pPr>
    </w:p>
    <w:p>
      <w:pPr>
        <w:spacing w:line="360" w:lineRule="auto"/>
        <w:rPr>
          <w:rFonts w:ascii="Arial" w:hAnsi="Arial" w:cs="Arial"/>
          <w:b/>
          <w:bCs/>
          <w:highlight w:val="none"/>
        </w:rPr>
      </w:pPr>
      <w:r>
        <w:rPr>
          <w:rFonts w:ascii="Arial" w:hAnsi="Arial" w:cs="Arial"/>
          <w:b/>
          <w:highlight w:val="none"/>
        </w:rPr>
        <w:br w:type="page"/>
      </w:r>
      <w:r>
        <w:rPr>
          <w:rFonts w:ascii="Arial" w:hAnsi="Arial" w:cs="Arial"/>
          <w:b/>
          <w:highlight w:val="none"/>
        </w:rPr>
        <w:t>附件十</w:t>
      </w:r>
      <w:r>
        <w:rPr>
          <w:rFonts w:ascii="Arial" w:hAnsi="Arial" w:cs="Arial"/>
          <w:b/>
          <w:bCs/>
          <w:highlight w:val="none"/>
        </w:rPr>
        <w:t>：企业声明函格式</w:t>
      </w:r>
    </w:p>
    <w:p>
      <w:pPr>
        <w:spacing w:line="360" w:lineRule="auto"/>
        <w:jc w:val="center"/>
        <w:rPr>
          <w:rFonts w:ascii="Arial" w:hAnsi="Arial" w:cs="Arial"/>
          <w:b/>
          <w:bCs/>
          <w:sz w:val="28"/>
          <w:highlight w:val="none"/>
        </w:rPr>
      </w:pPr>
      <w:r>
        <w:rPr>
          <w:rFonts w:ascii="Arial" w:hAnsi="Arial" w:cs="Arial"/>
          <w:b/>
          <w:bCs/>
          <w:sz w:val="28"/>
          <w:highlight w:val="none"/>
        </w:rPr>
        <w:t>中小企业声明函</w:t>
      </w:r>
    </w:p>
    <w:p>
      <w:pPr>
        <w:widowControl/>
        <w:spacing w:line="440" w:lineRule="exact"/>
        <w:ind w:firstLine="420" w:firstLineChars="200"/>
        <w:jc w:val="left"/>
        <w:rPr>
          <w:rFonts w:ascii="Arial" w:hAnsi="Arial" w:cs="Arial"/>
          <w:snapToGrid w:val="0"/>
          <w:kern w:val="0"/>
          <w:szCs w:val="21"/>
          <w:highlight w:val="none"/>
        </w:rPr>
      </w:pPr>
      <w:r>
        <w:rPr>
          <w:rFonts w:ascii="Arial" w:hAnsi="Arial" w:cs="Arial"/>
          <w:snapToGrid w:val="0"/>
          <w:kern w:val="0"/>
          <w:szCs w:val="21"/>
          <w:highlight w:val="none"/>
        </w:rPr>
        <w:t>本公司郑重声明，根据《政府采购促进中小企业发展暂行办法》（财库〔2011〕181号）的规定，本公司为______（请填写：中型、小型、微型）企业。即，本公司同时满足以下条件：</w:t>
      </w:r>
    </w:p>
    <w:p>
      <w:pPr>
        <w:widowControl/>
        <w:spacing w:line="440" w:lineRule="exact"/>
        <w:ind w:firstLine="420" w:firstLineChars="200"/>
        <w:jc w:val="left"/>
        <w:rPr>
          <w:rFonts w:ascii="Arial" w:hAnsi="Arial" w:cs="Arial"/>
          <w:snapToGrid w:val="0"/>
          <w:kern w:val="0"/>
          <w:szCs w:val="21"/>
          <w:highlight w:val="none"/>
        </w:rPr>
      </w:pPr>
      <w:r>
        <w:rPr>
          <w:rFonts w:ascii="Arial" w:hAnsi="Arial" w:cs="Arial"/>
          <w:snapToGrid w:val="0"/>
          <w:kern w:val="0"/>
          <w:szCs w:val="21"/>
          <w:highlight w:val="none"/>
        </w:rPr>
        <w:t>1.根据《工业和信息化部、国家统计局、国家发展和改革委员会、财政部关于印发中小企业划型标准规定的通知》（工信部联企业〔2011〕300号）规定的划分标准，本公司为______（请填写：中型、小型、微型）企业。</w:t>
      </w:r>
    </w:p>
    <w:p>
      <w:pPr>
        <w:widowControl/>
        <w:spacing w:line="440" w:lineRule="exact"/>
        <w:ind w:firstLine="420" w:firstLineChars="200"/>
        <w:jc w:val="left"/>
        <w:rPr>
          <w:rFonts w:ascii="Arial" w:hAnsi="Arial" w:cs="Arial"/>
          <w:snapToGrid w:val="0"/>
          <w:kern w:val="0"/>
          <w:szCs w:val="21"/>
          <w:highlight w:val="none"/>
        </w:rPr>
      </w:pPr>
      <w:r>
        <w:rPr>
          <w:rFonts w:ascii="Arial" w:hAnsi="Arial" w:cs="Arial"/>
          <w:snapToGrid w:val="0"/>
          <w:kern w:val="0"/>
          <w:szCs w:val="21"/>
          <w:highlight w:val="none"/>
        </w:rPr>
        <w:t>2.本公司参加______单位的______项目采购活动提供本企业制造的货物，由本企业承担工程、提供服务，或者提供其他______（请填写：中型、小型、微型）企业制造的货物。本条所称货物不包括使用大型企业注册商标的货物。</w:t>
      </w:r>
    </w:p>
    <w:p>
      <w:pPr>
        <w:widowControl/>
        <w:spacing w:line="440" w:lineRule="exact"/>
        <w:ind w:firstLine="420" w:firstLineChars="200"/>
        <w:jc w:val="left"/>
        <w:rPr>
          <w:rFonts w:ascii="Arial" w:hAnsi="Arial" w:cs="Arial"/>
          <w:snapToGrid w:val="0"/>
          <w:kern w:val="0"/>
          <w:szCs w:val="21"/>
          <w:highlight w:val="none"/>
        </w:rPr>
      </w:pPr>
      <w:r>
        <w:rPr>
          <w:rFonts w:ascii="Arial" w:hAnsi="Arial" w:cs="Arial"/>
          <w:snapToGrid w:val="0"/>
          <w:kern w:val="0"/>
          <w:szCs w:val="21"/>
          <w:highlight w:val="none"/>
        </w:rPr>
        <w:t>本公司对上述声明的真实性负责。如有虚假，将依法承担相应责任。</w:t>
      </w:r>
    </w:p>
    <w:p>
      <w:pPr>
        <w:widowControl/>
        <w:spacing w:line="440" w:lineRule="exact"/>
        <w:ind w:firstLine="5040" w:firstLineChars="2400"/>
        <w:jc w:val="left"/>
        <w:rPr>
          <w:rFonts w:ascii="Arial" w:hAnsi="Arial" w:cs="Arial"/>
          <w:snapToGrid w:val="0"/>
          <w:kern w:val="0"/>
          <w:szCs w:val="21"/>
          <w:highlight w:val="none"/>
        </w:rPr>
      </w:pPr>
      <w:r>
        <w:rPr>
          <w:rFonts w:ascii="Arial" w:hAnsi="Arial" w:cs="Arial"/>
          <w:snapToGrid w:val="0"/>
          <w:kern w:val="0"/>
          <w:szCs w:val="21"/>
          <w:highlight w:val="none"/>
        </w:rPr>
        <w:t xml:space="preserve">单位名称（盖章）： </w:t>
      </w:r>
    </w:p>
    <w:p>
      <w:pPr>
        <w:widowControl/>
        <w:spacing w:line="440" w:lineRule="exact"/>
        <w:ind w:firstLine="5040" w:firstLineChars="2400"/>
        <w:jc w:val="left"/>
        <w:rPr>
          <w:rFonts w:ascii="Arial" w:hAnsi="Arial" w:eastAsia="黑体" w:cs="Arial"/>
          <w:bCs/>
          <w:snapToGrid w:val="0"/>
          <w:kern w:val="0"/>
          <w:sz w:val="24"/>
          <w:highlight w:val="none"/>
        </w:rPr>
      </w:pPr>
      <w:r>
        <w:rPr>
          <w:rFonts w:ascii="Arial" w:hAnsi="Arial" w:cs="Arial"/>
          <w:snapToGrid w:val="0"/>
          <w:kern w:val="0"/>
          <w:szCs w:val="21"/>
          <w:highlight w:val="none"/>
        </w:rPr>
        <w:t>日 期：</w:t>
      </w:r>
    </w:p>
    <w:p>
      <w:pPr>
        <w:spacing w:line="360" w:lineRule="auto"/>
        <w:jc w:val="center"/>
        <w:rPr>
          <w:rFonts w:ascii="Arial" w:hAnsi="Arial" w:cs="Arial"/>
          <w:b/>
          <w:bCs/>
          <w:sz w:val="28"/>
          <w:highlight w:val="none"/>
        </w:rPr>
      </w:pPr>
      <w:bookmarkStart w:id="17" w:name="OLE_LINK13"/>
      <w:bookmarkStart w:id="18" w:name="OLE_LINK14"/>
    </w:p>
    <w:p>
      <w:pPr>
        <w:spacing w:line="360" w:lineRule="auto"/>
        <w:jc w:val="center"/>
        <w:rPr>
          <w:rFonts w:ascii="Arial" w:hAnsi="Arial" w:cs="Arial"/>
          <w:b/>
          <w:bCs/>
          <w:sz w:val="28"/>
          <w:highlight w:val="none"/>
        </w:rPr>
      </w:pPr>
    </w:p>
    <w:p>
      <w:pPr>
        <w:spacing w:line="360" w:lineRule="auto"/>
        <w:jc w:val="center"/>
        <w:rPr>
          <w:rFonts w:ascii="Arial" w:hAnsi="Arial" w:cs="Arial"/>
          <w:b/>
          <w:bCs/>
          <w:sz w:val="28"/>
          <w:highlight w:val="none"/>
        </w:rPr>
      </w:pPr>
    </w:p>
    <w:p>
      <w:pPr>
        <w:spacing w:line="360" w:lineRule="auto"/>
        <w:jc w:val="center"/>
        <w:rPr>
          <w:rFonts w:ascii="Arial" w:hAnsi="Arial" w:cs="Arial"/>
          <w:b/>
          <w:bCs/>
          <w:sz w:val="28"/>
          <w:highlight w:val="none"/>
        </w:rPr>
      </w:pPr>
    </w:p>
    <w:p>
      <w:pPr>
        <w:spacing w:line="360" w:lineRule="auto"/>
        <w:jc w:val="center"/>
        <w:rPr>
          <w:rFonts w:ascii="Arial" w:hAnsi="Arial" w:cs="Arial"/>
          <w:b/>
          <w:bCs/>
          <w:sz w:val="28"/>
          <w:highlight w:val="none"/>
        </w:rPr>
      </w:pPr>
      <w:r>
        <w:rPr>
          <w:rFonts w:ascii="Arial" w:hAnsi="Arial" w:cs="Arial"/>
          <w:b/>
          <w:bCs/>
          <w:sz w:val="28"/>
          <w:highlight w:val="none"/>
        </w:rPr>
        <w:t>残疾人福利性单位声明函</w:t>
      </w:r>
    </w:p>
    <w:bookmarkEnd w:id="17"/>
    <w:bookmarkEnd w:id="18"/>
    <w:p>
      <w:pPr>
        <w:widowControl/>
        <w:spacing w:line="440" w:lineRule="exact"/>
        <w:ind w:firstLine="420" w:firstLineChars="200"/>
        <w:jc w:val="left"/>
        <w:rPr>
          <w:rFonts w:ascii="Arial" w:hAnsi="Arial" w:cs="Arial"/>
          <w:snapToGrid w:val="0"/>
          <w:kern w:val="0"/>
          <w:szCs w:val="21"/>
          <w:highlight w:val="none"/>
        </w:rPr>
      </w:pPr>
      <w:r>
        <w:rPr>
          <w:rFonts w:ascii="Arial" w:hAnsi="Arial" w:cs="Arial"/>
          <w:snapToGrid w:val="0"/>
          <w:kern w:val="0"/>
          <w:szCs w:val="21"/>
          <w:highlight w:val="none"/>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widowControl/>
        <w:spacing w:line="440" w:lineRule="exact"/>
        <w:ind w:firstLine="420" w:firstLineChars="200"/>
        <w:jc w:val="left"/>
        <w:rPr>
          <w:rFonts w:ascii="Arial" w:hAnsi="Arial" w:cs="Arial"/>
          <w:snapToGrid w:val="0"/>
          <w:kern w:val="0"/>
          <w:szCs w:val="21"/>
          <w:highlight w:val="none"/>
        </w:rPr>
      </w:pPr>
      <w:r>
        <w:rPr>
          <w:rFonts w:ascii="Arial" w:hAnsi="Arial" w:cs="Arial"/>
          <w:snapToGrid w:val="0"/>
          <w:kern w:val="0"/>
          <w:szCs w:val="21"/>
          <w:highlight w:val="none"/>
        </w:rPr>
        <w:t>本单位对上述声明的真实性负责。如有虚假，将依法承担相应责任。</w:t>
      </w:r>
    </w:p>
    <w:p>
      <w:pPr>
        <w:widowControl/>
        <w:spacing w:line="440" w:lineRule="exact"/>
        <w:ind w:firstLine="5040" w:firstLineChars="2400"/>
        <w:jc w:val="left"/>
        <w:rPr>
          <w:rFonts w:ascii="Arial" w:hAnsi="Arial" w:cs="Arial"/>
          <w:snapToGrid w:val="0"/>
          <w:kern w:val="0"/>
          <w:szCs w:val="21"/>
          <w:highlight w:val="none"/>
        </w:rPr>
      </w:pPr>
      <w:r>
        <w:rPr>
          <w:rFonts w:ascii="Arial" w:hAnsi="Arial" w:cs="Arial"/>
          <w:snapToGrid w:val="0"/>
          <w:kern w:val="0"/>
          <w:szCs w:val="21"/>
          <w:highlight w:val="none"/>
        </w:rPr>
        <w:t>单位名称（盖章）：</w:t>
      </w:r>
    </w:p>
    <w:p>
      <w:pPr>
        <w:widowControl/>
        <w:spacing w:line="440" w:lineRule="exact"/>
        <w:ind w:firstLine="5040" w:firstLineChars="2400"/>
        <w:jc w:val="left"/>
        <w:rPr>
          <w:rFonts w:ascii="Arial" w:hAnsi="Arial" w:cs="Arial"/>
          <w:snapToGrid w:val="0"/>
          <w:kern w:val="0"/>
          <w:szCs w:val="21"/>
          <w:highlight w:val="none"/>
        </w:rPr>
      </w:pPr>
      <w:r>
        <w:rPr>
          <w:rFonts w:ascii="Arial" w:hAnsi="Arial" w:cs="Arial"/>
          <w:snapToGrid w:val="0"/>
          <w:kern w:val="0"/>
          <w:szCs w:val="21"/>
          <w:highlight w:val="none"/>
        </w:rPr>
        <w:t>日  期：</w:t>
      </w:r>
    </w:p>
    <w:p>
      <w:pPr>
        <w:spacing w:line="360" w:lineRule="auto"/>
        <w:rPr>
          <w:rFonts w:ascii="Arial" w:hAnsi="Arial" w:cs="Arial"/>
          <w:b/>
          <w:bCs/>
          <w:highlight w:val="none"/>
        </w:rPr>
      </w:pPr>
    </w:p>
    <w:p>
      <w:pPr>
        <w:spacing w:line="360" w:lineRule="auto"/>
        <w:rPr>
          <w:rFonts w:ascii="Arial" w:hAnsi="Arial" w:cs="Arial"/>
          <w:b/>
          <w:bCs/>
          <w:highlight w:val="none"/>
        </w:rPr>
      </w:pPr>
    </w:p>
    <w:p>
      <w:pPr>
        <w:spacing w:line="360" w:lineRule="auto"/>
        <w:rPr>
          <w:rFonts w:ascii="Arial" w:hAnsi="Arial" w:cs="Arial"/>
          <w:b/>
          <w:bCs/>
          <w:highlight w:val="none"/>
        </w:rPr>
      </w:pPr>
    </w:p>
    <w:p>
      <w:pPr>
        <w:spacing w:line="360" w:lineRule="auto"/>
        <w:jc w:val="center"/>
        <w:rPr>
          <w:rFonts w:ascii="Arial" w:hAnsi="Arial" w:cs="Arial"/>
          <w:b/>
          <w:bCs/>
          <w:sz w:val="28"/>
          <w:highlight w:val="none"/>
        </w:rPr>
      </w:pPr>
      <w:r>
        <w:rPr>
          <w:rFonts w:ascii="Arial" w:hAnsi="Arial" w:cs="Arial"/>
          <w:b/>
          <w:bCs/>
          <w:sz w:val="28"/>
          <w:highlight w:val="none"/>
        </w:rPr>
        <w:t>属于监狱企业的证明文件</w:t>
      </w:r>
    </w:p>
    <w:p>
      <w:pPr>
        <w:spacing w:line="360" w:lineRule="auto"/>
        <w:rPr>
          <w:rFonts w:ascii="Arial" w:hAnsi="Arial" w:cs="Arial"/>
          <w:highlight w:val="none"/>
        </w:rPr>
      </w:pPr>
      <w:r>
        <w:rPr>
          <w:rFonts w:ascii="Arial" w:hAnsi="Arial" w:cs="Arial"/>
          <w:highlight w:val="none"/>
        </w:rPr>
        <w:t>（提供由省级以上监狱管理局、戒毒管理局(含新疆生产建设兵团)出具的属于监狱企业的证明文件）</w:t>
      </w:r>
    </w:p>
    <w:p>
      <w:pPr>
        <w:spacing w:line="360" w:lineRule="auto"/>
        <w:rPr>
          <w:rFonts w:ascii="Arial" w:hAnsi="Arial" w:cs="Arial"/>
          <w:b/>
          <w:bCs/>
          <w:highlight w:val="none"/>
        </w:rPr>
      </w:pPr>
    </w:p>
    <w:p>
      <w:pPr>
        <w:spacing w:line="360" w:lineRule="auto"/>
        <w:rPr>
          <w:rFonts w:ascii="Arial" w:hAnsi="Arial" w:cs="Arial"/>
          <w:b/>
          <w:bCs/>
          <w:highlight w:val="none"/>
        </w:rPr>
      </w:pPr>
    </w:p>
    <w:p>
      <w:pPr>
        <w:spacing w:line="360" w:lineRule="auto"/>
        <w:rPr>
          <w:rFonts w:ascii="Arial" w:hAnsi="Arial" w:cs="Arial"/>
          <w:b/>
          <w:bCs/>
          <w:highlight w:val="none"/>
        </w:rPr>
      </w:pPr>
    </w:p>
    <w:p>
      <w:pPr>
        <w:spacing w:line="360" w:lineRule="auto"/>
        <w:rPr>
          <w:rFonts w:ascii="Arial" w:hAnsi="Arial" w:cs="Arial"/>
          <w:b/>
          <w:bCs/>
          <w:highlight w:val="none"/>
        </w:rPr>
      </w:pPr>
    </w:p>
    <w:p>
      <w:pPr>
        <w:spacing w:line="360" w:lineRule="auto"/>
        <w:rPr>
          <w:rFonts w:ascii="Arial" w:hAnsi="Arial" w:cs="Arial"/>
          <w:b/>
          <w:bCs/>
          <w:highlight w:val="none"/>
        </w:rPr>
      </w:pPr>
    </w:p>
    <w:p>
      <w:pPr>
        <w:spacing w:line="360" w:lineRule="auto"/>
        <w:jc w:val="center"/>
        <w:rPr>
          <w:rFonts w:ascii="Arial" w:hAnsi="Arial" w:cs="Arial"/>
          <w:b/>
          <w:bCs/>
          <w:highlight w:val="none"/>
        </w:rPr>
      </w:pPr>
      <w:r>
        <w:rPr>
          <w:rFonts w:ascii="Arial" w:hAnsi="Arial" w:cs="Arial"/>
          <w:b/>
          <w:bCs/>
          <w:sz w:val="28"/>
          <w:highlight w:val="none"/>
        </w:rPr>
        <w:t>节能产品认证证书</w:t>
      </w:r>
    </w:p>
    <w:p>
      <w:pPr>
        <w:spacing w:line="360" w:lineRule="auto"/>
        <w:rPr>
          <w:rFonts w:ascii="Arial" w:hAnsi="Arial" w:cs="Arial"/>
          <w:bCs/>
          <w:highlight w:val="none"/>
        </w:rPr>
      </w:pPr>
      <w:r>
        <w:rPr>
          <w:rFonts w:ascii="Arial" w:hAnsi="Arial" w:cs="Arial"/>
          <w:bCs/>
          <w:highlight w:val="none"/>
        </w:rPr>
        <w:t>（提供国家确定的认证机构出具的、处于有效期之内的产品认证证书）</w:t>
      </w:r>
    </w:p>
    <w:p>
      <w:pPr>
        <w:spacing w:line="360" w:lineRule="auto"/>
        <w:rPr>
          <w:rFonts w:ascii="Arial" w:hAnsi="Arial" w:cs="Arial"/>
          <w:b/>
          <w:bCs/>
          <w:highlight w:val="none"/>
        </w:rPr>
      </w:pPr>
    </w:p>
    <w:p>
      <w:pPr>
        <w:spacing w:line="360" w:lineRule="auto"/>
        <w:rPr>
          <w:rFonts w:ascii="Arial" w:hAnsi="Arial" w:cs="Arial"/>
          <w:b/>
          <w:bCs/>
          <w:highlight w:val="none"/>
        </w:rPr>
      </w:pPr>
    </w:p>
    <w:p>
      <w:pPr>
        <w:spacing w:line="360" w:lineRule="auto"/>
        <w:rPr>
          <w:rFonts w:ascii="Arial" w:hAnsi="Arial" w:cs="Arial"/>
          <w:b/>
          <w:bCs/>
          <w:highlight w:val="none"/>
        </w:rPr>
      </w:pPr>
    </w:p>
    <w:p>
      <w:pPr>
        <w:spacing w:line="360" w:lineRule="auto"/>
        <w:rPr>
          <w:rFonts w:ascii="Arial" w:hAnsi="Arial" w:cs="Arial"/>
          <w:b/>
          <w:bCs/>
          <w:highlight w:val="none"/>
        </w:rPr>
      </w:pPr>
    </w:p>
    <w:p>
      <w:pPr>
        <w:spacing w:line="360" w:lineRule="auto"/>
        <w:rPr>
          <w:rFonts w:ascii="Arial" w:hAnsi="Arial" w:cs="Arial"/>
          <w:b/>
          <w:bCs/>
          <w:highlight w:val="none"/>
        </w:rPr>
      </w:pPr>
    </w:p>
    <w:p>
      <w:pPr>
        <w:spacing w:line="360" w:lineRule="auto"/>
        <w:jc w:val="center"/>
        <w:rPr>
          <w:rFonts w:ascii="Arial" w:hAnsi="Arial" w:cs="Arial"/>
          <w:b/>
          <w:bCs/>
          <w:highlight w:val="none"/>
        </w:rPr>
      </w:pPr>
      <w:r>
        <w:rPr>
          <w:rFonts w:ascii="Arial" w:hAnsi="Arial" w:cs="Arial"/>
          <w:b/>
          <w:bCs/>
          <w:sz w:val="28"/>
          <w:highlight w:val="none"/>
        </w:rPr>
        <w:t>环境标志产品认证证书</w:t>
      </w:r>
    </w:p>
    <w:p>
      <w:pPr>
        <w:spacing w:line="360" w:lineRule="auto"/>
        <w:rPr>
          <w:rFonts w:ascii="Arial" w:hAnsi="Arial" w:cs="Arial"/>
          <w:highlight w:val="none"/>
        </w:rPr>
      </w:pPr>
      <w:r>
        <w:rPr>
          <w:rFonts w:ascii="Arial" w:hAnsi="Arial" w:cs="Arial"/>
          <w:bCs/>
          <w:highlight w:val="none"/>
        </w:rPr>
        <w:t>（提供国家确定的认证机构出具的、处于有效期之内的产品认证证书）</w:t>
      </w:r>
    </w:p>
    <w:p>
      <w:pPr>
        <w:spacing w:line="360" w:lineRule="auto"/>
        <w:rPr>
          <w:rFonts w:ascii="Arial" w:hAnsi="Arial" w:cs="Arial"/>
          <w:b/>
          <w:bCs/>
          <w:highlight w:val="none"/>
        </w:rPr>
      </w:pPr>
    </w:p>
    <w:p>
      <w:pPr>
        <w:spacing w:line="360" w:lineRule="auto"/>
        <w:rPr>
          <w:rFonts w:ascii="Arial" w:hAnsi="Arial" w:cs="Arial"/>
          <w:b/>
          <w:bCs/>
          <w:highlight w:val="none"/>
        </w:rPr>
      </w:pPr>
    </w:p>
    <w:p>
      <w:pPr>
        <w:spacing w:line="360" w:lineRule="auto"/>
        <w:rPr>
          <w:rFonts w:ascii="Arial" w:hAnsi="Arial" w:cs="Arial"/>
          <w:b/>
          <w:bCs/>
          <w:highlight w:val="none"/>
        </w:rPr>
      </w:pPr>
    </w:p>
    <w:p>
      <w:pPr>
        <w:spacing w:line="360" w:lineRule="auto"/>
        <w:rPr>
          <w:rFonts w:ascii="Arial" w:hAnsi="Arial" w:cs="Arial"/>
          <w:b/>
          <w:bCs/>
          <w:highlight w:val="none"/>
        </w:rPr>
      </w:pPr>
    </w:p>
    <w:p>
      <w:pPr>
        <w:spacing w:line="360" w:lineRule="auto"/>
        <w:rPr>
          <w:rFonts w:ascii="Arial" w:hAnsi="Arial" w:cs="Arial"/>
          <w:b/>
          <w:bCs/>
          <w:highlight w:val="none"/>
        </w:rPr>
      </w:pPr>
    </w:p>
    <w:p>
      <w:pPr>
        <w:spacing w:line="360" w:lineRule="auto"/>
        <w:jc w:val="center"/>
        <w:rPr>
          <w:rFonts w:ascii="Arial" w:hAnsi="Arial" w:cs="Arial"/>
          <w:b/>
          <w:bCs/>
          <w:sz w:val="28"/>
          <w:highlight w:val="none"/>
        </w:rPr>
      </w:pPr>
      <w:r>
        <w:rPr>
          <w:rFonts w:ascii="Arial" w:hAnsi="Arial" w:cs="Arial"/>
          <w:b/>
          <w:bCs/>
          <w:sz w:val="28"/>
          <w:highlight w:val="none"/>
        </w:rPr>
        <w:t>进口产品转让技术、消化吸收再创新方案</w:t>
      </w:r>
    </w:p>
    <w:p>
      <w:pPr>
        <w:spacing w:line="360" w:lineRule="auto"/>
        <w:rPr>
          <w:rFonts w:ascii="Arial" w:hAnsi="Arial" w:cs="Arial"/>
          <w:bCs/>
          <w:highlight w:val="none"/>
        </w:rPr>
      </w:pPr>
      <w:r>
        <w:rPr>
          <w:rFonts w:ascii="Arial" w:hAnsi="Arial" w:cs="Arial"/>
          <w:bCs/>
          <w:highlight w:val="none"/>
        </w:rPr>
        <w:t>（对于允许进口产品参加的项目）</w:t>
      </w:r>
    </w:p>
    <w:p>
      <w:pPr>
        <w:spacing w:line="360" w:lineRule="auto"/>
        <w:rPr>
          <w:rFonts w:ascii="Arial" w:hAnsi="Arial" w:cs="Arial"/>
          <w:b/>
          <w:bCs/>
          <w:highlight w:val="none"/>
        </w:rPr>
      </w:pPr>
    </w:p>
    <w:p>
      <w:pPr>
        <w:autoSpaceDE w:val="0"/>
        <w:autoSpaceDN w:val="0"/>
        <w:adjustRightInd w:val="0"/>
        <w:spacing w:line="360" w:lineRule="auto"/>
        <w:rPr>
          <w:rFonts w:ascii="Arial" w:hAnsi="Arial" w:cs="Arial"/>
          <w:b/>
          <w:highlight w:val="none"/>
        </w:rPr>
      </w:pPr>
      <w:r>
        <w:rPr>
          <w:rFonts w:ascii="Arial" w:hAnsi="Arial" w:cs="Arial"/>
          <w:b/>
          <w:szCs w:val="21"/>
          <w:highlight w:val="none"/>
          <w:lang w:val="zh-CN"/>
        </w:rPr>
        <w:br w:type="page"/>
      </w:r>
      <w:r>
        <w:rPr>
          <w:rFonts w:ascii="Arial" w:hAnsi="Arial" w:cs="Arial"/>
          <w:b/>
          <w:highlight w:val="none"/>
        </w:rPr>
        <w:t>附件十一、无重大违法记录声明格式</w:t>
      </w:r>
    </w:p>
    <w:p>
      <w:pPr>
        <w:spacing w:line="240" w:lineRule="atLeast"/>
        <w:jc w:val="center"/>
        <w:rPr>
          <w:rFonts w:ascii="Arial" w:hAnsi="Arial" w:eastAsia="黑体" w:cs="Arial"/>
          <w:sz w:val="28"/>
          <w:szCs w:val="36"/>
          <w:highlight w:val="none"/>
        </w:rPr>
      </w:pPr>
    </w:p>
    <w:p>
      <w:pPr>
        <w:spacing w:line="240" w:lineRule="atLeast"/>
        <w:jc w:val="center"/>
        <w:rPr>
          <w:rFonts w:ascii="Arial" w:hAnsi="Arial" w:eastAsia="黑体" w:cs="Arial"/>
          <w:sz w:val="28"/>
          <w:szCs w:val="36"/>
          <w:highlight w:val="none"/>
        </w:rPr>
      </w:pPr>
      <w:r>
        <w:rPr>
          <w:rFonts w:ascii="Arial" w:hAnsi="Arial" w:eastAsia="黑体" w:cs="Arial"/>
          <w:sz w:val="28"/>
          <w:szCs w:val="36"/>
          <w:highlight w:val="none"/>
        </w:rPr>
        <w:t>无重大违法记录声明</w:t>
      </w:r>
    </w:p>
    <w:p>
      <w:pPr>
        <w:spacing w:line="360" w:lineRule="auto"/>
        <w:rPr>
          <w:rFonts w:ascii="Arial" w:hAnsi="Arial" w:eastAsia="黑体" w:cs="Arial"/>
          <w:szCs w:val="21"/>
          <w:highlight w:val="none"/>
        </w:rPr>
      </w:pPr>
    </w:p>
    <w:p>
      <w:pPr>
        <w:spacing w:line="360" w:lineRule="auto"/>
        <w:rPr>
          <w:rFonts w:ascii="Arial" w:hAnsi="Arial" w:cs="Arial"/>
          <w:szCs w:val="21"/>
          <w:highlight w:val="none"/>
        </w:rPr>
      </w:pPr>
      <w:r>
        <w:rPr>
          <w:rFonts w:ascii="Arial" w:hAnsi="Arial" w:cs="Arial"/>
          <w:szCs w:val="21"/>
          <w:highlight w:val="none"/>
        </w:rPr>
        <w:t>：</w:t>
      </w:r>
    </w:p>
    <w:p>
      <w:pPr>
        <w:spacing w:line="360" w:lineRule="auto"/>
        <w:rPr>
          <w:rFonts w:ascii="Arial" w:hAnsi="Arial" w:cs="Arial"/>
          <w:highlight w:val="none"/>
        </w:rPr>
      </w:pPr>
    </w:p>
    <w:p>
      <w:pPr>
        <w:spacing w:line="360" w:lineRule="auto"/>
        <w:ind w:firstLine="336" w:firstLineChars="160"/>
        <w:rPr>
          <w:rFonts w:ascii="Arial" w:hAnsi="Arial" w:cs="Arial"/>
          <w:highlight w:val="none"/>
        </w:rPr>
      </w:pPr>
      <w:r>
        <w:rPr>
          <w:rFonts w:ascii="Arial" w:hAnsi="Arial" w:cs="Arial"/>
          <w:highlight w:val="none"/>
        </w:rPr>
        <w:t>我单位（供应商名称）郑重声明：</w:t>
      </w:r>
    </w:p>
    <w:p>
      <w:pPr>
        <w:widowControl/>
        <w:shd w:val="clear" w:color="auto" w:fill="FFFFFF"/>
        <w:spacing w:line="360" w:lineRule="auto"/>
        <w:ind w:firstLine="308" w:firstLineChars="147"/>
        <w:rPr>
          <w:rFonts w:ascii="Arial" w:hAnsi="Arial" w:cs="Arial"/>
          <w:b/>
          <w:kern w:val="0"/>
          <w:szCs w:val="21"/>
          <w:highlight w:val="none"/>
        </w:rPr>
      </w:pPr>
      <w:r>
        <w:rPr>
          <w:rFonts w:ascii="Arial" w:hAnsi="Arial" w:cs="Arial"/>
          <w:kern w:val="0"/>
          <w:szCs w:val="21"/>
          <w:highlight w:val="none"/>
        </w:rPr>
        <w:t>我单位</w:t>
      </w:r>
      <w:r>
        <w:rPr>
          <w:rFonts w:ascii="Arial" w:hAnsi="Arial" w:cs="Arial"/>
          <w:highlight w:val="none"/>
        </w:rPr>
        <w:t>参加政府采购活动前3年内在经营活动中（</w:t>
      </w:r>
      <w:r>
        <w:rPr>
          <w:rFonts w:ascii="Arial" w:hAnsi="Arial" w:cs="Arial"/>
          <w:b/>
          <w:i/>
          <w:highlight w:val="none"/>
          <w:u w:val="single"/>
        </w:rPr>
        <w:t>在下划线上如实填写：有或没有</w:t>
      </w:r>
      <w:r>
        <w:rPr>
          <w:rFonts w:ascii="Arial" w:hAnsi="Arial" w:cs="Arial"/>
          <w:highlight w:val="none"/>
        </w:rPr>
        <w:t>）</w:t>
      </w:r>
      <w:r>
        <w:rPr>
          <w:rFonts w:ascii="Arial" w:hAnsi="Arial" w:cs="Arial"/>
          <w:b/>
          <w:highlight w:val="none"/>
        </w:rPr>
        <w:t>重大违法记录</w:t>
      </w:r>
      <w:r>
        <w:rPr>
          <w:rFonts w:ascii="Arial" w:hAnsi="Arial" w:cs="Arial"/>
          <w:b/>
          <w:kern w:val="0"/>
          <w:szCs w:val="21"/>
          <w:highlight w:val="none"/>
        </w:rPr>
        <w:t>，且不是失信被执行人、重大税收违法案件当事人名单、政府采购严重违法失信行为记录名单的供应商。</w:t>
      </w:r>
    </w:p>
    <w:p>
      <w:pPr>
        <w:spacing w:line="360" w:lineRule="auto"/>
        <w:ind w:firstLine="420" w:firstLineChars="200"/>
        <w:rPr>
          <w:rFonts w:ascii="Arial" w:hAnsi="Arial" w:cs="Arial"/>
          <w:highlight w:val="none"/>
        </w:rPr>
      </w:pPr>
    </w:p>
    <w:p>
      <w:pPr>
        <w:spacing w:line="360" w:lineRule="auto"/>
        <w:ind w:firstLine="315" w:firstLineChars="150"/>
        <w:rPr>
          <w:rFonts w:ascii="Arial" w:hAnsi="Arial" w:cs="Arial"/>
          <w:highlight w:val="none"/>
        </w:rPr>
      </w:pPr>
      <w:r>
        <w:rPr>
          <w:rFonts w:ascii="Arial" w:hAnsi="Arial" w:cs="Arial"/>
          <w:highlight w:val="none"/>
        </w:rPr>
        <w:t>（说明：政府采购法第二十二条第一款第五项所称重大违法记录，是指供应商因违法经营受到刑事处罚或者责令停产停业、吊销许可证或者执照、较大数额罚款等行政处罚。）</w:t>
      </w:r>
    </w:p>
    <w:p>
      <w:pPr>
        <w:spacing w:line="360" w:lineRule="auto"/>
        <w:rPr>
          <w:rFonts w:ascii="Arial" w:hAnsi="Arial" w:cs="Arial"/>
          <w:highlight w:val="none"/>
        </w:rPr>
      </w:pPr>
    </w:p>
    <w:p>
      <w:pPr>
        <w:spacing w:line="360" w:lineRule="auto"/>
        <w:rPr>
          <w:rFonts w:ascii="Arial" w:hAnsi="Arial" w:cs="Arial"/>
          <w:highlight w:val="none"/>
        </w:rPr>
      </w:pPr>
    </w:p>
    <w:p>
      <w:pPr>
        <w:spacing w:line="360" w:lineRule="auto"/>
        <w:ind w:firstLine="5103" w:firstLineChars="2430"/>
        <w:rPr>
          <w:rFonts w:ascii="Arial" w:hAnsi="Arial" w:cs="Arial"/>
          <w:highlight w:val="none"/>
        </w:rPr>
      </w:pPr>
      <w:r>
        <w:rPr>
          <w:rFonts w:ascii="Arial" w:hAnsi="Arial" w:cs="Arial"/>
          <w:highlight w:val="none"/>
        </w:rPr>
        <w:t>声明人：（公章）</w:t>
      </w:r>
    </w:p>
    <w:p>
      <w:pPr>
        <w:autoSpaceDE w:val="0"/>
        <w:autoSpaceDN w:val="0"/>
        <w:adjustRightInd w:val="0"/>
        <w:spacing w:line="360" w:lineRule="auto"/>
        <w:ind w:firstLine="5040" w:firstLineChars="2400"/>
        <w:rPr>
          <w:rFonts w:hint="eastAsia" w:ascii="Arial" w:hAnsi="Arial" w:eastAsia="宋体" w:cs="Arial"/>
          <w:b/>
          <w:highlight w:val="none"/>
          <w:lang w:eastAsia="zh-CN"/>
        </w:rPr>
      </w:pPr>
      <w:r>
        <w:rPr>
          <w:rFonts w:ascii="Arial" w:hAnsi="Arial" w:cs="Arial"/>
          <w:szCs w:val="21"/>
          <w:highlight w:val="none"/>
          <w:lang w:val="zh-CN"/>
        </w:rPr>
        <w:t>日期：</w:t>
      </w:r>
      <w:r>
        <w:rPr>
          <w:rFonts w:ascii="Arial" w:hAnsi="Arial" w:cs="Arial"/>
          <w:szCs w:val="21"/>
          <w:highlight w:val="none"/>
        </w:rPr>
        <w:t xml:space="preserve">    </w:t>
      </w:r>
      <w:r>
        <w:rPr>
          <w:rFonts w:ascii="Arial" w:hAnsi="Arial" w:cs="Arial"/>
          <w:szCs w:val="21"/>
          <w:highlight w:val="none"/>
          <w:lang w:val="zh-CN"/>
        </w:rPr>
        <w:t>年</w:t>
      </w:r>
      <w:r>
        <w:rPr>
          <w:rFonts w:ascii="Arial" w:hAnsi="Arial" w:cs="Arial"/>
          <w:szCs w:val="21"/>
          <w:highlight w:val="none"/>
        </w:rPr>
        <w:t xml:space="preserve">   </w:t>
      </w:r>
      <w:r>
        <w:rPr>
          <w:rFonts w:ascii="Arial" w:hAnsi="Arial" w:cs="Arial"/>
          <w:szCs w:val="21"/>
          <w:highlight w:val="none"/>
          <w:lang w:val="zh-CN"/>
        </w:rPr>
        <w:t>月</w:t>
      </w:r>
      <w:r>
        <w:rPr>
          <w:rFonts w:ascii="Arial" w:hAnsi="Arial" w:cs="Arial"/>
          <w:b/>
          <w:szCs w:val="21"/>
          <w:highlight w:val="none"/>
          <w:lang w:val="zh-CN"/>
        </w:rPr>
        <w:br w:type="page"/>
      </w:r>
      <w:r>
        <w:rPr>
          <w:rFonts w:ascii="Arial" w:hAnsi="Arial" w:cs="Arial"/>
          <w:b/>
          <w:highlight w:val="none"/>
        </w:rPr>
        <w:t>附件十二、投标保证金缴纳凭证</w:t>
      </w:r>
      <w:r>
        <w:rPr>
          <w:rFonts w:hint="eastAsia" w:ascii="Arial" w:hAnsi="Arial" w:cs="Arial"/>
          <w:b/>
          <w:highlight w:val="none"/>
          <w:lang w:eastAsia="zh-CN"/>
        </w:rPr>
        <w:t>（</w:t>
      </w:r>
      <w:r>
        <w:rPr>
          <w:rFonts w:hint="eastAsia" w:ascii="Arial" w:hAnsi="Arial" w:cs="Arial"/>
          <w:b/>
          <w:highlight w:val="none"/>
          <w:lang w:val="en-US" w:eastAsia="zh-CN"/>
        </w:rPr>
        <w:t>如有</w:t>
      </w:r>
      <w:r>
        <w:rPr>
          <w:rFonts w:hint="eastAsia" w:ascii="Arial" w:hAnsi="Arial" w:cs="Arial"/>
          <w:b/>
          <w:highlight w:val="none"/>
          <w:lang w:eastAsia="zh-CN"/>
        </w:rPr>
        <w:t>）</w:t>
      </w:r>
    </w:p>
    <w:p>
      <w:pPr>
        <w:autoSpaceDE w:val="0"/>
        <w:autoSpaceDN w:val="0"/>
        <w:adjustRightInd w:val="0"/>
        <w:spacing w:line="360" w:lineRule="auto"/>
        <w:ind w:firstLine="5060" w:firstLineChars="2400"/>
        <w:rPr>
          <w:rFonts w:ascii="Arial" w:hAnsi="Arial" w:cs="Arial"/>
          <w:b/>
          <w:highlight w:val="none"/>
        </w:rPr>
      </w:pPr>
    </w:p>
    <w:p>
      <w:pPr>
        <w:autoSpaceDE w:val="0"/>
        <w:autoSpaceDN w:val="0"/>
        <w:adjustRightInd w:val="0"/>
        <w:spacing w:line="360" w:lineRule="auto"/>
        <w:ind w:firstLine="5060" w:firstLineChars="2400"/>
        <w:rPr>
          <w:rFonts w:ascii="Arial" w:hAnsi="Arial" w:cs="Arial"/>
          <w:b/>
          <w:highlight w:val="none"/>
        </w:rPr>
      </w:pPr>
    </w:p>
    <w:p>
      <w:pPr>
        <w:autoSpaceDE w:val="0"/>
        <w:autoSpaceDN w:val="0"/>
        <w:adjustRightInd w:val="0"/>
        <w:spacing w:line="360" w:lineRule="auto"/>
        <w:ind w:firstLine="5060" w:firstLineChars="2400"/>
        <w:rPr>
          <w:rFonts w:ascii="Arial" w:hAnsi="Arial" w:cs="Arial"/>
          <w:b/>
          <w:highlight w:val="none"/>
        </w:rPr>
      </w:pPr>
    </w:p>
    <w:p>
      <w:pPr>
        <w:autoSpaceDE w:val="0"/>
        <w:autoSpaceDN w:val="0"/>
        <w:adjustRightInd w:val="0"/>
        <w:spacing w:line="360" w:lineRule="auto"/>
        <w:rPr>
          <w:rFonts w:ascii="Arial" w:hAnsi="Arial" w:cs="Arial"/>
          <w:b/>
          <w:highlight w:val="none"/>
        </w:rPr>
      </w:pPr>
    </w:p>
    <w:p>
      <w:pPr>
        <w:autoSpaceDE w:val="0"/>
        <w:autoSpaceDN w:val="0"/>
        <w:adjustRightInd w:val="0"/>
        <w:spacing w:line="360" w:lineRule="auto"/>
        <w:rPr>
          <w:rFonts w:ascii="Arial" w:hAnsi="Arial" w:cs="Arial"/>
          <w:b/>
          <w:highlight w:val="none"/>
        </w:rPr>
      </w:pPr>
    </w:p>
    <w:p>
      <w:pPr>
        <w:autoSpaceDE w:val="0"/>
        <w:autoSpaceDN w:val="0"/>
        <w:adjustRightInd w:val="0"/>
        <w:spacing w:line="360" w:lineRule="auto"/>
        <w:rPr>
          <w:rFonts w:ascii="Arial" w:hAnsi="Arial" w:cs="Arial"/>
          <w:b/>
          <w:highlight w:val="none"/>
        </w:rPr>
      </w:pPr>
      <w:r>
        <w:rPr>
          <w:rFonts w:ascii="Arial" w:hAnsi="Arial" w:cs="Arial"/>
          <w:b/>
          <w:highlight w:val="none"/>
        </w:rPr>
        <w:t>附件十三、 资格资信证明文件</w:t>
      </w:r>
    </w:p>
    <w:p>
      <w:pPr>
        <w:autoSpaceDE w:val="0"/>
        <w:autoSpaceDN w:val="0"/>
        <w:adjustRightInd w:val="0"/>
        <w:spacing w:line="360" w:lineRule="auto"/>
        <w:rPr>
          <w:rFonts w:ascii="Arial" w:hAnsi="Arial" w:cs="Arial"/>
          <w:b/>
          <w:highlight w:val="none"/>
        </w:rPr>
      </w:pPr>
    </w:p>
    <w:p>
      <w:pPr>
        <w:autoSpaceDE w:val="0"/>
        <w:autoSpaceDN w:val="0"/>
        <w:adjustRightInd w:val="0"/>
        <w:spacing w:line="360" w:lineRule="auto"/>
        <w:rPr>
          <w:rFonts w:ascii="Arial" w:hAnsi="Arial" w:cs="Arial"/>
          <w:b/>
          <w:highlight w:val="none"/>
        </w:rPr>
      </w:pPr>
    </w:p>
    <w:p>
      <w:pPr>
        <w:autoSpaceDE w:val="0"/>
        <w:autoSpaceDN w:val="0"/>
        <w:adjustRightInd w:val="0"/>
        <w:spacing w:line="360" w:lineRule="auto"/>
        <w:rPr>
          <w:rFonts w:ascii="Arial" w:hAnsi="Arial" w:cs="Arial"/>
          <w:b/>
          <w:highlight w:val="none"/>
        </w:rPr>
      </w:pPr>
    </w:p>
    <w:p>
      <w:pPr>
        <w:autoSpaceDE w:val="0"/>
        <w:autoSpaceDN w:val="0"/>
        <w:adjustRightInd w:val="0"/>
        <w:spacing w:line="360" w:lineRule="auto"/>
        <w:rPr>
          <w:rFonts w:ascii="Arial" w:hAnsi="Arial" w:cs="Arial"/>
          <w:b/>
          <w:highlight w:val="none"/>
        </w:rPr>
      </w:pPr>
    </w:p>
    <w:p>
      <w:pPr>
        <w:autoSpaceDE w:val="0"/>
        <w:autoSpaceDN w:val="0"/>
        <w:adjustRightInd w:val="0"/>
        <w:spacing w:line="360" w:lineRule="auto"/>
        <w:rPr>
          <w:rFonts w:ascii="Arial" w:hAnsi="Arial" w:cs="Arial"/>
          <w:b/>
          <w:highlight w:val="none"/>
        </w:rPr>
      </w:pPr>
    </w:p>
    <w:p>
      <w:pPr>
        <w:autoSpaceDE w:val="0"/>
        <w:autoSpaceDN w:val="0"/>
        <w:adjustRightInd w:val="0"/>
        <w:spacing w:line="360" w:lineRule="auto"/>
        <w:rPr>
          <w:rFonts w:ascii="Arial" w:hAnsi="Arial" w:cs="Arial"/>
          <w:b/>
          <w:highlight w:val="none"/>
        </w:rPr>
      </w:pPr>
      <w:r>
        <w:rPr>
          <w:rFonts w:ascii="Arial" w:hAnsi="Arial" w:cs="Arial"/>
          <w:b/>
          <w:highlight w:val="none"/>
        </w:rPr>
        <w:t>附件十四、 联合体协议及联合体授权委托书（如允许联合体）</w:t>
      </w:r>
    </w:p>
    <w:p>
      <w:pPr>
        <w:autoSpaceDE w:val="0"/>
        <w:autoSpaceDN w:val="0"/>
        <w:adjustRightInd w:val="0"/>
        <w:spacing w:line="360" w:lineRule="auto"/>
        <w:rPr>
          <w:rFonts w:ascii="Arial" w:hAnsi="Arial" w:cs="Arial"/>
          <w:b/>
          <w:highlight w:val="none"/>
        </w:rPr>
      </w:pPr>
    </w:p>
    <w:p>
      <w:pPr>
        <w:autoSpaceDE w:val="0"/>
        <w:autoSpaceDN w:val="0"/>
        <w:adjustRightInd w:val="0"/>
        <w:spacing w:line="360" w:lineRule="auto"/>
        <w:rPr>
          <w:rFonts w:ascii="Arial" w:hAnsi="Arial" w:cs="Arial"/>
          <w:b/>
          <w:highlight w:val="none"/>
        </w:rPr>
      </w:pPr>
    </w:p>
    <w:p>
      <w:pPr>
        <w:autoSpaceDE w:val="0"/>
        <w:autoSpaceDN w:val="0"/>
        <w:adjustRightInd w:val="0"/>
        <w:spacing w:line="360" w:lineRule="auto"/>
        <w:rPr>
          <w:rFonts w:ascii="Arial" w:hAnsi="Arial" w:cs="Arial"/>
          <w:b/>
          <w:highlight w:val="none"/>
        </w:rPr>
      </w:pPr>
    </w:p>
    <w:p>
      <w:pPr>
        <w:autoSpaceDE w:val="0"/>
        <w:autoSpaceDN w:val="0"/>
        <w:adjustRightInd w:val="0"/>
        <w:spacing w:line="360" w:lineRule="auto"/>
        <w:rPr>
          <w:rFonts w:ascii="Arial" w:hAnsi="Arial" w:cs="Arial"/>
          <w:b/>
          <w:highlight w:val="none"/>
        </w:rPr>
      </w:pPr>
    </w:p>
    <w:p>
      <w:pPr>
        <w:autoSpaceDE w:val="0"/>
        <w:autoSpaceDN w:val="0"/>
        <w:adjustRightInd w:val="0"/>
        <w:spacing w:line="360" w:lineRule="auto"/>
        <w:rPr>
          <w:rFonts w:ascii="Arial" w:hAnsi="Arial" w:cs="Arial"/>
          <w:b/>
          <w:highlight w:val="none"/>
        </w:rPr>
      </w:pPr>
      <w:r>
        <w:rPr>
          <w:rFonts w:ascii="Arial" w:hAnsi="Arial" w:cs="Arial"/>
          <w:b/>
          <w:highlight w:val="none"/>
        </w:rPr>
        <w:t xml:space="preserve">附件十五、《南京市政府采购供应商信用记录表》 </w:t>
      </w:r>
    </w:p>
    <w:p>
      <w:pPr>
        <w:autoSpaceDE w:val="0"/>
        <w:autoSpaceDN w:val="0"/>
        <w:adjustRightInd w:val="0"/>
        <w:spacing w:line="360" w:lineRule="auto"/>
        <w:rPr>
          <w:rFonts w:ascii="Arial" w:hAnsi="Arial" w:cs="Arial"/>
          <w:b/>
          <w:highlight w:val="none"/>
        </w:rPr>
      </w:pPr>
    </w:p>
    <w:p>
      <w:pPr>
        <w:autoSpaceDE w:val="0"/>
        <w:autoSpaceDN w:val="0"/>
        <w:adjustRightInd w:val="0"/>
        <w:spacing w:line="360" w:lineRule="auto"/>
        <w:rPr>
          <w:rFonts w:ascii="Arial" w:hAnsi="Arial" w:cs="Arial"/>
          <w:b/>
          <w:highlight w:val="none"/>
        </w:rPr>
      </w:pPr>
    </w:p>
    <w:p>
      <w:pPr>
        <w:autoSpaceDE w:val="0"/>
        <w:autoSpaceDN w:val="0"/>
        <w:adjustRightInd w:val="0"/>
        <w:spacing w:line="360" w:lineRule="auto"/>
        <w:rPr>
          <w:rFonts w:ascii="Arial" w:hAnsi="Arial" w:cs="Arial"/>
          <w:b/>
          <w:highlight w:val="none"/>
        </w:rPr>
      </w:pPr>
    </w:p>
    <w:p>
      <w:pPr>
        <w:autoSpaceDE w:val="0"/>
        <w:autoSpaceDN w:val="0"/>
        <w:adjustRightInd w:val="0"/>
        <w:spacing w:line="360" w:lineRule="auto"/>
        <w:rPr>
          <w:rFonts w:ascii="Arial" w:hAnsi="Arial" w:cs="Arial"/>
          <w:b/>
          <w:highlight w:val="none"/>
        </w:rPr>
      </w:pPr>
    </w:p>
    <w:p>
      <w:pPr>
        <w:autoSpaceDE w:val="0"/>
        <w:autoSpaceDN w:val="0"/>
        <w:adjustRightInd w:val="0"/>
        <w:spacing w:line="360" w:lineRule="auto"/>
        <w:rPr>
          <w:rFonts w:ascii="Arial" w:hAnsi="Arial" w:cs="Arial"/>
          <w:b/>
          <w:highlight w:val="none"/>
        </w:rPr>
      </w:pPr>
    </w:p>
    <w:p>
      <w:pPr>
        <w:autoSpaceDE w:val="0"/>
        <w:autoSpaceDN w:val="0"/>
        <w:adjustRightInd w:val="0"/>
        <w:spacing w:line="360" w:lineRule="auto"/>
        <w:rPr>
          <w:rFonts w:ascii="Arial" w:hAnsi="Arial" w:cs="Arial"/>
          <w:b/>
          <w:highlight w:val="none"/>
        </w:rPr>
      </w:pPr>
      <w:r>
        <w:rPr>
          <w:rFonts w:ascii="Arial" w:hAnsi="Arial" w:cs="Arial"/>
          <w:b/>
          <w:highlight w:val="none"/>
        </w:rPr>
        <w:t>附件十六、其他</w:t>
      </w:r>
    </w:p>
    <w:p>
      <w:pPr>
        <w:autoSpaceDE w:val="0"/>
        <w:autoSpaceDN w:val="0"/>
        <w:adjustRightInd w:val="0"/>
        <w:spacing w:line="360" w:lineRule="auto"/>
        <w:rPr>
          <w:rFonts w:ascii="Arial" w:hAnsi="Arial" w:cs="Arial"/>
          <w:b/>
          <w:highlight w:val="none"/>
        </w:rPr>
      </w:pPr>
    </w:p>
    <w:sectPr>
      <w:pgSz w:w="11906" w:h="16838"/>
      <w:pgMar w:top="1440" w:right="1800" w:bottom="1440" w:left="1600" w:header="851" w:footer="992" w:gutter="0"/>
      <w:pgBorders>
        <w:top w:val="none" w:sz="0" w:space="0"/>
        <w:left w:val="none" w:sz="0" w:space="0"/>
        <w:bottom w:val="none" w:sz="0" w:space="0"/>
        <w:right w:val="none" w:sz="0" w:space="0"/>
      </w:pgBorders>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幼圆">
    <w:panose1 w:val="02010509060101010101"/>
    <w:charset w:val="86"/>
    <w:family w:val="modern"/>
    <w:pitch w:val="default"/>
    <w:sig w:usb0="00000001" w:usb1="080E0000" w:usb2="00000000" w:usb3="00000000" w:csb0="00040000" w:csb1="00000000"/>
  </w:font>
  <w:font w:name="Ari">
    <w:altName w:val="Arial"/>
    <w:panose1 w:val="00000000000000000000"/>
    <w:charset w:val="00"/>
    <w:family w:val="swiss"/>
    <w:pitch w:val="default"/>
    <w:sig w:usb0="00000000" w:usb1="00000000" w:usb2="00000000" w:usb3="00000000" w:csb0="00000001" w:csb1="00000000"/>
  </w:font>
  <w:font w:name="仿宋_GB2312">
    <w:altName w:val="仿宋"/>
    <w:panose1 w:val="00000000000000000000"/>
    <w:charset w:val="86"/>
    <w:family w:val="modern"/>
    <w:pitch w:val="default"/>
    <w:sig w:usb0="00000000" w:usb1="00000000" w:usb2="00000000" w:usb3="00000000" w:csb0="00040000" w:csb1="00000000"/>
  </w:font>
  <w:font w:name="KNLe">
    <w:altName w:val="Times New Roman"/>
    <w:panose1 w:val="00000000000000000000"/>
    <w:charset w:val="00"/>
    <w:family w:val="roman"/>
    <w:pitch w:val="default"/>
    <w:sig w:usb0="00000000" w:usb1="00000000" w:usb2="00000000" w:usb3="00000000" w:csb0="00040001" w:csb1="00000000"/>
  </w:font>
  <w:font w:name="Arial Unicode MS">
    <w:panose1 w:val="020B0604020202020204"/>
    <w:charset w:val="86"/>
    <w:family w:val="swiss"/>
    <w:pitch w:val="default"/>
    <w:sig w:usb0="FFFFFFFF" w:usb1="E9FFFFFF" w:usb2="0000003F" w:usb3="00000000" w:csb0="603F01FF" w:csb1="FFFF0000"/>
  </w:font>
  <w:font w:name="微软雅黑">
    <w:panose1 w:val="020B0503020204020204"/>
    <w:charset w:val="86"/>
    <w:family w:val="swiss"/>
    <w:pitch w:val="default"/>
    <w:sig w:usb0="80000287" w:usb1="2ACF3C50" w:usb2="00000016" w:usb3="00000000" w:csb0="0004001F" w:csb1="00000000"/>
  </w:font>
  <w:font w:name="华文细黑">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9"/>
      <w:jc w:val="center"/>
    </w:pPr>
    <w:r>
      <w:rPr>
        <w:rFonts w:hint="eastAsia"/>
      </w:rPr>
      <w:t>第</w:t>
    </w:r>
    <w:r>
      <w:fldChar w:fldCharType="begin"/>
    </w:r>
    <w:r>
      <w:instrText xml:space="preserve"> PAGE  \* MERGEFORMAT </w:instrText>
    </w:r>
    <w:r>
      <w:fldChar w:fldCharType="separate"/>
    </w:r>
    <w:r>
      <w:t>22</w:t>
    </w:r>
    <w:r>
      <w:fldChar w:fldCharType="end"/>
    </w:r>
    <w:r>
      <w:rPr>
        <w:rFonts w:hint="eastAsia"/>
      </w:rPr>
      <w:t>页共</w:t>
    </w:r>
    <w:r>
      <w:fldChar w:fldCharType="begin"/>
    </w:r>
    <w:r>
      <w:instrText xml:space="preserve"> NUMPAGES  \* MERGEFORMAT </w:instrText>
    </w:r>
    <w:r>
      <w:fldChar w:fldCharType="separate"/>
    </w:r>
    <w:r>
      <w:t>63</w:t>
    </w:r>
    <w:r>
      <w:fldChar w:fldCharType="end"/>
    </w:r>
    <w:r>
      <w:rPr>
        <w:rFonts w:hint="eastAsia"/>
      </w:rPr>
      <w:t>页</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14BD16C"/>
    <w:multiLevelType w:val="singleLevel"/>
    <w:tmpl w:val="814BD16C"/>
    <w:lvl w:ilvl="0" w:tentative="0">
      <w:start w:val="2"/>
      <w:numFmt w:val="decimal"/>
      <w:suff w:val="nothing"/>
      <w:lvlText w:val="%1、"/>
      <w:lvlJc w:val="left"/>
    </w:lvl>
  </w:abstractNum>
  <w:abstractNum w:abstractNumId="1">
    <w:nsid w:val="A9901A1D"/>
    <w:multiLevelType w:val="singleLevel"/>
    <w:tmpl w:val="A9901A1D"/>
    <w:lvl w:ilvl="0" w:tentative="0">
      <w:start w:val="1"/>
      <w:numFmt w:val="decimal"/>
      <w:lvlText w:val="%1."/>
      <w:lvlJc w:val="left"/>
      <w:pPr>
        <w:ind w:left="425" w:hanging="425"/>
      </w:pPr>
      <w:rPr>
        <w:rFonts w:hint="default"/>
      </w:rPr>
    </w:lvl>
  </w:abstractNum>
  <w:abstractNum w:abstractNumId="2">
    <w:nsid w:val="BF17D740"/>
    <w:multiLevelType w:val="singleLevel"/>
    <w:tmpl w:val="BF17D740"/>
    <w:lvl w:ilvl="0" w:tentative="0">
      <w:start w:val="1"/>
      <w:numFmt w:val="bullet"/>
      <w:lvlText w:val=""/>
      <w:lvlJc w:val="left"/>
      <w:pPr>
        <w:ind w:left="420" w:hanging="420"/>
      </w:pPr>
      <w:rPr>
        <w:rFonts w:hint="default" w:ascii="Wingdings" w:hAnsi="Wingdings"/>
      </w:rPr>
    </w:lvl>
  </w:abstractNum>
  <w:abstractNum w:abstractNumId="3">
    <w:nsid w:val="EC3C5B2D"/>
    <w:multiLevelType w:val="singleLevel"/>
    <w:tmpl w:val="EC3C5B2D"/>
    <w:lvl w:ilvl="0" w:tentative="0">
      <w:start w:val="1"/>
      <w:numFmt w:val="bullet"/>
      <w:lvlText w:val=""/>
      <w:lvlJc w:val="left"/>
      <w:pPr>
        <w:ind w:left="420" w:hanging="420"/>
      </w:pPr>
      <w:rPr>
        <w:rFonts w:hint="default" w:ascii="Wingdings" w:hAnsi="Wingdings"/>
      </w:rPr>
    </w:lvl>
  </w:abstractNum>
  <w:abstractNum w:abstractNumId="4">
    <w:nsid w:val="ECF82515"/>
    <w:multiLevelType w:val="singleLevel"/>
    <w:tmpl w:val="ECF82515"/>
    <w:lvl w:ilvl="0" w:tentative="0">
      <w:start w:val="1"/>
      <w:numFmt w:val="decimal"/>
      <w:suff w:val="nothing"/>
      <w:lvlText w:val="%1、"/>
      <w:lvlJc w:val="left"/>
    </w:lvl>
  </w:abstractNum>
  <w:abstractNum w:abstractNumId="5">
    <w:nsid w:val="F9AE4E38"/>
    <w:multiLevelType w:val="singleLevel"/>
    <w:tmpl w:val="F9AE4E38"/>
    <w:lvl w:ilvl="0" w:tentative="0">
      <w:start w:val="3"/>
      <w:numFmt w:val="decimal"/>
      <w:suff w:val="nothing"/>
      <w:lvlText w:val="%1、"/>
      <w:lvlJc w:val="left"/>
    </w:lvl>
  </w:abstractNum>
  <w:abstractNum w:abstractNumId="6">
    <w:nsid w:val="00000006"/>
    <w:multiLevelType w:val="multilevel"/>
    <w:tmpl w:val="00000006"/>
    <w:lvl w:ilvl="0" w:tentative="0">
      <w:start w:val="1"/>
      <w:numFmt w:val="chineseCountingThousand"/>
      <w:pStyle w:val="3"/>
      <w:suff w:val="nothing"/>
      <w:lvlText w:val="第%1章"/>
      <w:lvlJc w:val="left"/>
      <w:pPr>
        <w:ind w:left="0" w:firstLine="0"/>
      </w:pPr>
    </w:lvl>
    <w:lvl w:ilvl="1" w:tentative="0">
      <w:start w:val="1"/>
      <w:numFmt w:val="none"/>
      <w:pStyle w:val="4"/>
      <w:suff w:val="nothing"/>
      <w:lvlText w:val=""/>
      <w:lvlJc w:val="left"/>
      <w:pPr>
        <w:ind w:left="0" w:firstLine="0"/>
      </w:pPr>
    </w:lvl>
    <w:lvl w:ilvl="2" w:tentative="0">
      <w:start w:val="1"/>
      <w:numFmt w:val="none"/>
      <w:pStyle w:val="5"/>
      <w:suff w:val="nothing"/>
      <w:lvlText w:val=""/>
      <w:lvlJc w:val="left"/>
      <w:pPr>
        <w:ind w:left="0" w:firstLine="0"/>
      </w:pPr>
    </w:lvl>
    <w:lvl w:ilvl="3" w:tentative="0">
      <w:start w:val="1"/>
      <w:numFmt w:val="none"/>
      <w:pStyle w:val="6"/>
      <w:suff w:val="nothing"/>
      <w:lvlText w:val=""/>
      <w:lvlJc w:val="left"/>
      <w:pPr>
        <w:ind w:left="0" w:firstLine="0"/>
      </w:pPr>
    </w:lvl>
    <w:lvl w:ilvl="4" w:tentative="0">
      <w:start w:val="1"/>
      <w:numFmt w:val="none"/>
      <w:pStyle w:val="7"/>
      <w:suff w:val="nothing"/>
      <w:lvlText w:val=""/>
      <w:lvlJc w:val="left"/>
      <w:pPr>
        <w:ind w:left="0" w:firstLine="0"/>
      </w:pPr>
    </w:lvl>
    <w:lvl w:ilvl="5" w:tentative="0">
      <w:start w:val="1"/>
      <w:numFmt w:val="none"/>
      <w:pStyle w:val="8"/>
      <w:suff w:val="nothing"/>
      <w:lvlText w:val=""/>
      <w:lvlJc w:val="left"/>
      <w:pPr>
        <w:ind w:left="0" w:firstLine="0"/>
      </w:pPr>
    </w:lvl>
    <w:lvl w:ilvl="6" w:tentative="0">
      <w:start w:val="1"/>
      <w:numFmt w:val="none"/>
      <w:pStyle w:val="9"/>
      <w:suff w:val="nothing"/>
      <w:lvlText w:val=""/>
      <w:lvlJc w:val="left"/>
      <w:pPr>
        <w:ind w:left="0" w:firstLine="0"/>
      </w:pPr>
    </w:lvl>
    <w:lvl w:ilvl="7" w:tentative="0">
      <w:start w:val="1"/>
      <w:numFmt w:val="none"/>
      <w:pStyle w:val="10"/>
      <w:suff w:val="nothing"/>
      <w:lvlText w:val=""/>
      <w:lvlJc w:val="left"/>
      <w:pPr>
        <w:ind w:left="0" w:firstLine="0"/>
      </w:pPr>
    </w:lvl>
    <w:lvl w:ilvl="8" w:tentative="0">
      <w:start w:val="1"/>
      <w:numFmt w:val="none"/>
      <w:pStyle w:val="11"/>
      <w:suff w:val="nothing"/>
      <w:lvlText w:val=""/>
      <w:lvlJc w:val="left"/>
      <w:pPr>
        <w:ind w:left="0" w:firstLine="0"/>
      </w:pPr>
    </w:lvl>
  </w:abstractNum>
  <w:abstractNum w:abstractNumId="7">
    <w:nsid w:val="085007CF"/>
    <w:multiLevelType w:val="multilevel"/>
    <w:tmpl w:val="085007CF"/>
    <w:lvl w:ilvl="0" w:tentative="0">
      <w:start w:val="1"/>
      <w:numFmt w:val="decimal"/>
      <w:lvlText w:val="%1."/>
      <w:lvlJc w:val="left"/>
      <w:pPr>
        <w:tabs>
          <w:tab w:val="left" w:pos="630"/>
        </w:tabs>
        <w:ind w:left="630" w:hanging="420"/>
      </w:pPr>
      <w:rPr>
        <w:rFonts w:cs="Times New Roman"/>
      </w:rPr>
    </w:lvl>
    <w:lvl w:ilvl="1" w:tentative="0">
      <w:start w:val="1"/>
      <w:numFmt w:val="decimal"/>
      <w:lvlText w:val="%2)"/>
      <w:lvlJc w:val="left"/>
      <w:pPr>
        <w:tabs>
          <w:tab w:val="left" w:pos="990"/>
        </w:tabs>
        <w:ind w:left="990" w:hanging="360"/>
      </w:pPr>
      <w:rPr>
        <w:color w:val="auto"/>
      </w:rPr>
    </w:lvl>
    <w:lvl w:ilvl="2" w:tentative="0">
      <w:start w:val="1"/>
      <w:numFmt w:val="lowerRoman"/>
      <w:lvlText w:val="%3."/>
      <w:lvlJc w:val="right"/>
      <w:pPr>
        <w:tabs>
          <w:tab w:val="left" w:pos="1470"/>
        </w:tabs>
        <w:ind w:left="1470" w:hanging="420"/>
      </w:pPr>
      <w:rPr>
        <w:rFonts w:cs="Times New Roman"/>
      </w:rPr>
    </w:lvl>
    <w:lvl w:ilvl="3" w:tentative="0">
      <w:start w:val="1"/>
      <w:numFmt w:val="decimal"/>
      <w:lvlText w:val="%4."/>
      <w:lvlJc w:val="left"/>
      <w:pPr>
        <w:tabs>
          <w:tab w:val="left" w:pos="1890"/>
        </w:tabs>
        <w:ind w:left="1890" w:hanging="420"/>
      </w:pPr>
      <w:rPr>
        <w:rFonts w:cs="Times New Roman"/>
      </w:rPr>
    </w:lvl>
    <w:lvl w:ilvl="4" w:tentative="0">
      <w:start w:val="1"/>
      <w:numFmt w:val="lowerLetter"/>
      <w:lvlText w:val="%5)"/>
      <w:lvlJc w:val="left"/>
      <w:pPr>
        <w:tabs>
          <w:tab w:val="left" w:pos="2310"/>
        </w:tabs>
        <w:ind w:left="2310" w:hanging="420"/>
      </w:pPr>
      <w:rPr>
        <w:rFonts w:cs="Times New Roman"/>
      </w:rPr>
    </w:lvl>
    <w:lvl w:ilvl="5" w:tentative="0">
      <w:start w:val="1"/>
      <w:numFmt w:val="lowerRoman"/>
      <w:lvlText w:val="%6."/>
      <w:lvlJc w:val="right"/>
      <w:pPr>
        <w:tabs>
          <w:tab w:val="left" w:pos="2730"/>
        </w:tabs>
        <w:ind w:left="2730" w:hanging="420"/>
      </w:pPr>
      <w:rPr>
        <w:rFonts w:cs="Times New Roman"/>
      </w:rPr>
    </w:lvl>
    <w:lvl w:ilvl="6" w:tentative="0">
      <w:start w:val="1"/>
      <w:numFmt w:val="decimal"/>
      <w:lvlText w:val="%7."/>
      <w:lvlJc w:val="left"/>
      <w:pPr>
        <w:tabs>
          <w:tab w:val="left" w:pos="3150"/>
        </w:tabs>
        <w:ind w:left="3150" w:hanging="420"/>
      </w:pPr>
      <w:rPr>
        <w:rFonts w:cs="Times New Roman"/>
      </w:rPr>
    </w:lvl>
    <w:lvl w:ilvl="7" w:tentative="0">
      <w:start w:val="1"/>
      <w:numFmt w:val="lowerLetter"/>
      <w:lvlText w:val="%8)"/>
      <w:lvlJc w:val="left"/>
      <w:pPr>
        <w:tabs>
          <w:tab w:val="left" w:pos="3570"/>
        </w:tabs>
        <w:ind w:left="3570" w:hanging="420"/>
      </w:pPr>
      <w:rPr>
        <w:rFonts w:cs="Times New Roman"/>
      </w:rPr>
    </w:lvl>
    <w:lvl w:ilvl="8" w:tentative="0">
      <w:start w:val="1"/>
      <w:numFmt w:val="lowerRoman"/>
      <w:lvlText w:val="%9."/>
      <w:lvlJc w:val="right"/>
      <w:pPr>
        <w:tabs>
          <w:tab w:val="left" w:pos="3990"/>
        </w:tabs>
        <w:ind w:left="3990" w:hanging="420"/>
      </w:pPr>
      <w:rPr>
        <w:rFonts w:cs="Times New Roman"/>
      </w:rPr>
    </w:lvl>
  </w:abstractNum>
  <w:abstractNum w:abstractNumId="8">
    <w:nsid w:val="130A2188"/>
    <w:multiLevelType w:val="multilevel"/>
    <w:tmpl w:val="130A2188"/>
    <w:lvl w:ilvl="0" w:tentative="0">
      <w:start w:val="1"/>
      <w:numFmt w:val="chineseCountingThousand"/>
      <w:pStyle w:val="143"/>
      <w:lvlText w:val="%1"/>
      <w:lvlJc w:val="left"/>
      <w:pPr>
        <w:ind w:left="425" w:hanging="425"/>
      </w:pPr>
      <w:rPr>
        <w:rFonts w:hint="eastAsia" w:ascii="Arial Unicode MS" w:hAnsi="Arial Unicode MS" w:eastAsia="微软雅黑"/>
        <w:b/>
        <w:i w:val="0"/>
        <w:lang w:val="en-US"/>
      </w:rPr>
    </w:lvl>
    <w:lvl w:ilvl="1" w:tentative="0">
      <w:start w:val="1"/>
      <w:numFmt w:val="decimal"/>
      <w:pStyle w:val="163"/>
      <w:isLgl/>
      <w:lvlText w:val="%1.%2"/>
      <w:lvlJc w:val="left"/>
      <w:pPr>
        <w:ind w:left="425" w:hanging="425"/>
      </w:pPr>
      <w:rPr>
        <w:rFonts w:hint="eastAsia" w:ascii="Arial Unicode MS" w:hAnsi="Arial Unicode MS" w:eastAsia="微软雅黑"/>
        <w:b/>
        <w:i w:val="0"/>
      </w:rPr>
    </w:lvl>
    <w:lvl w:ilvl="2" w:tentative="0">
      <w:start w:val="1"/>
      <w:numFmt w:val="decimal"/>
      <w:pStyle w:val="177"/>
      <w:isLgl/>
      <w:lvlText w:val="%1.%2.%3"/>
      <w:lvlJc w:val="left"/>
      <w:pPr>
        <w:ind w:left="425" w:hanging="425"/>
      </w:pPr>
      <w:rPr>
        <w:rFonts w:hint="eastAsia" w:ascii="Arial Unicode MS" w:hAnsi="Arial Unicode MS" w:eastAsia="微软雅黑"/>
        <w:b/>
        <w:i w:val="0"/>
      </w:rPr>
    </w:lvl>
    <w:lvl w:ilvl="3" w:tentative="0">
      <w:start w:val="1"/>
      <w:numFmt w:val="decimal"/>
      <w:isLgl/>
      <w:lvlText w:val="%1.%2.%3.%4"/>
      <w:lvlJc w:val="left"/>
      <w:pPr>
        <w:ind w:left="425" w:hanging="425"/>
      </w:pPr>
      <w:rPr>
        <w:rFonts w:hint="eastAsia" w:ascii="Arial Unicode MS" w:hAnsi="Arial Unicode MS" w:eastAsia="微软雅黑"/>
        <w:b/>
        <w:i w:val="0"/>
      </w:rPr>
    </w:lvl>
    <w:lvl w:ilvl="4" w:tentative="0">
      <w:start w:val="1"/>
      <w:numFmt w:val="decimal"/>
      <w:isLgl/>
      <w:lvlText w:val="%1.%2.%3.%4.%5"/>
      <w:lvlJc w:val="left"/>
      <w:pPr>
        <w:ind w:left="425" w:hanging="425"/>
      </w:pPr>
      <w:rPr>
        <w:rFonts w:hint="eastAsia" w:ascii="Arial Unicode MS" w:hAnsi="Arial Unicode MS" w:eastAsia="微软雅黑"/>
        <w:b/>
        <w:i w:val="0"/>
      </w:rPr>
    </w:lvl>
    <w:lvl w:ilvl="5" w:tentative="0">
      <w:start w:val="1"/>
      <w:numFmt w:val="none"/>
      <w:lvlText w:val="%1.%2.%3.%4.%5.%6"/>
      <w:lvlJc w:val="left"/>
      <w:pPr>
        <w:ind w:left="425" w:hanging="425"/>
      </w:pPr>
      <w:rPr>
        <w:rFonts w:hint="eastAsia"/>
      </w:rPr>
    </w:lvl>
    <w:lvl w:ilvl="6" w:tentative="0">
      <w:start w:val="1"/>
      <w:numFmt w:val="decimal"/>
      <w:lvlText w:val="%1.%2.%3.%4.%5.%6.%7"/>
      <w:lvlJc w:val="left"/>
      <w:pPr>
        <w:ind w:left="425" w:hanging="425"/>
      </w:pPr>
      <w:rPr>
        <w:rFonts w:hint="eastAsia"/>
      </w:rPr>
    </w:lvl>
    <w:lvl w:ilvl="7" w:tentative="0">
      <w:start w:val="1"/>
      <w:numFmt w:val="decimal"/>
      <w:lvlText w:val="%1.%2.%3.%4.%5.%6.%7.%8"/>
      <w:lvlJc w:val="left"/>
      <w:pPr>
        <w:ind w:left="425" w:hanging="425"/>
      </w:pPr>
      <w:rPr>
        <w:rFonts w:hint="eastAsia"/>
      </w:rPr>
    </w:lvl>
    <w:lvl w:ilvl="8" w:tentative="0">
      <w:start w:val="1"/>
      <w:numFmt w:val="decimal"/>
      <w:lvlText w:val="%1.%2.%3.%4.%5.%6.%7.%8.%9"/>
      <w:lvlJc w:val="left"/>
      <w:pPr>
        <w:ind w:left="425" w:hanging="425"/>
      </w:pPr>
      <w:rPr>
        <w:rFonts w:hint="eastAsia"/>
      </w:rPr>
    </w:lvl>
  </w:abstractNum>
  <w:abstractNum w:abstractNumId="9">
    <w:nsid w:val="1796CBF0"/>
    <w:multiLevelType w:val="singleLevel"/>
    <w:tmpl w:val="1796CBF0"/>
    <w:lvl w:ilvl="0" w:tentative="0">
      <w:start w:val="5"/>
      <w:numFmt w:val="chineseCounting"/>
      <w:suff w:val="nothing"/>
      <w:lvlText w:val="（%1）"/>
      <w:lvlJc w:val="left"/>
      <w:rPr>
        <w:rFonts w:hint="eastAsia"/>
      </w:rPr>
    </w:lvl>
  </w:abstractNum>
  <w:abstractNum w:abstractNumId="10">
    <w:nsid w:val="4F3C8797"/>
    <w:multiLevelType w:val="singleLevel"/>
    <w:tmpl w:val="4F3C8797"/>
    <w:lvl w:ilvl="0" w:tentative="0">
      <w:start w:val="4"/>
      <w:numFmt w:val="chineseCounting"/>
      <w:suff w:val="space"/>
      <w:lvlText w:val="第%1章"/>
      <w:lvlJc w:val="left"/>
      <w:rPr>
        <w:rFonts w:hint="eastAsia"/>
      </w:rPr>
    </w:lvl>
  </w:abstractNum>
  <w:abstractNum w:abstractNumId="11">
    <w:nsid w:val="5915610C"/>
    <w:multiLevelType w:val="singleLevel"/>
    <w:tmpl w:val="5915610C"/>
    <w:lvl w:ilvl="0" w:tentative="0">
      <w:start w:val="1"/>
      <w:numFmt w:val="decimal"/>
      <w:suff w:val="nothing"/>
      <w:lvlText w:val="%1、"/>
      <w:lvlJc w:val="left"/>
    </w:lvl>
  </w:abstractNum>
  <w:abstractNum w:abstractNumId="12">
    <w:nsid w:val="653511E4"/>
    <w:multiLevelType w:val="singleLevel"/>
    <w:tmpl w:val="653511E4"/>
    <w:lvl w:ilvl="0" w:tentative="0">
      <w:start w:val="1"/>
      <w:numFmt w:val="decimal"/>
      <w:suff w:val="nothing"/>
      <w:lvlText w:val="%1、"/>
      <w:lvlJc w:val="left"/>
    </w:lvl>
  </w:abstractNum>
  <w:abstractNum w:abstractNumId="13">
    <w:nsid w:val="790D8034"/>
    <w:multiLevelType w:val="singleLevel"/>
    <w:tmpl w:val="790D8034"/>
    <w:lvl w:ilvl="0" w:tentative="0">
      <w:start w:val="1"/>
      <w:numFmt w:val="decimal"/>
      <w:lvlText w:val="(%1)"/>
      <w:lvlJc w:val="left"/>
      <w:pPr>
        <w:ind w:left="425" w:hanging="425"/>
      </w:pPr>
      <w:rPr>
        <w:rFonts w:hint="default"/>
      </w:rPr>
    </w:lvl>
  </w:abstractNum>
  <w:num w:numId="1">
    <w:abstractNumId w:val="6"/>
  </w:num>
  <w:num w:numId="2">
    <w:abstractNumId w:val="8"/>
  </w:num>
  <w:num w:numId="3">
    <w:abstractNumId w:val="7"/>
  </w:num>
  <w:num w:numId="4">
    <w:abstractNumId w:val="10"/>
  </w:num>
  <w:num w:numId="5">
    <w:abstractNumId w:val="5"/>
  </w:num>
  <w:num w:numId="6">
    <w:abstractNumId w:val="0"/>
  </w:num>
  <w:num w:numId="7">
    <w:abstractNumId w:val="1"/>
  </w:num>
  <w:num w:numId="8">
    <w:abstractNumId w:val="13"/>
  </w:num>
  <w:num w:numId="9">
    <w:abstractNumId w:val="2"/>
  </w:num>
  <w:num w:numId="10">
    <w:abstractNumId w:val="3"/>
  </w:num>
  <w:num w:numId="11">
    <w:abstractNumId w:val="4"/>
  </w:num>
  <w:num w:numId="12">
    <w:abstractNumId w:val="9"/>
  </w:num>
  <w:num w:numId="13">
    <w:abstractNumId w:val="12"/>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33BC"/>
    <w:rsid w:val="000037BA"/>
    <w:rsid w:val="00003E09"/>
    <w:rsid w:val="00004ADD"/>
    <w:rsid w:val="00013EE1"/>
    <w:rsid w:val="00016168"/>
    <w:rsid w:val="000207B3"/>
    <w:rsid w:val="00020AA1"/>
    <w:rsid w:val="00020F19"/>
    <w:rsid w:val="000240F2"/>
    <w:rsid w:val="00024385"/>
    <w:rsid w:val="0002464E"/>
    <w:rsid w:val="00026D12"/>
    <w:rsid w:val="00031EC9"/>
    <w:rsid w:val="00032B4A"/>
    <w:rsid w:val="00032EB2"/>
    <w:rsid w:val="00033F13"/>
    <w:rsid w:val="00035A5A"/>
    <w:rsid w:val="00037558"/>
    <w:rsid w:val="0004062C"/>
    <w:rsid w:val="00042286"/>
    <w:rsid w:val="000427E1"/>
    <w:rsid w:val="00042948"/>
    <w:rsid w:val="00043A61"/>
    <w:rsid w:val="00044757"/>
    <w:rsid w:val="00044FB9"/>
    <w:rsid w:val="000458DD"/>
    <w:rsid w:val="000473B7"/>
    <w:rsid w:val="00047F5E"/>
    <w:rsid w:val="00051706"/>
    <w:rsid w:val="00051ABD"/>
    <w:rsid w:val="00051BCC"/>
    <w:rsid w:val="00051EB2"/>
    <w:rsid w:val="000527C8"/>
    <w:rsid w:val="00054F7D"/>
    <w:rsid w:val="00056E6B"/>
    <w:rsid w:val="0006006F"/>
    <w:rsid w:val="00060B89"/>
    <w:rsid w:val="00062472"/>
    <w:rsid w:val="000640E2"/>
    <w:rsid w:val="0006476D"/>
    <w:rsid w:val="00064BCC"/>
    <w:rsid w:val="00067D84"/>
    <w:rsid w:val="00072185"/>
    <w:rsid w:val="00081250"/>
    <w:rsid w:val="000851FF"/>
    <w:rsid w:val="0008631F"/>
    <w:rsid w:val="000963C4"/>
    <w:rsid w:val="00096BB7"/>
    <w:rsid w:val="00097207"/>
    <w:rsid w:val="00097293"/>
    <w:rsid w:val="00097411"/>
    <w:rsid w:val="000978F6"/>
    <w:rsid w:val="00097C5F"/>
    <w:rsid w:val="000A45A0"/>
    <w:rsid w:val="000A573E"/>
    <w:rsid w:val="000A7DA8"/>
    <w:rsid w:val="000B086C"/>
    <w:rsid w:val="000B21A6"/>
    <w:rsid w:val="000B4AC4"/>
    <w:rsid w:val="000B6FEE"/>
    <w:rsid w:val="000C3C47"/>
    <w:rsid w:val="000D18A2"/>
    <w:rsid w:val="000D4CDD"/>
    <w:rsid w:val="000E0528"/>
    <w:rsid w:val="000E513A"/>
    <w:rsid w:val="000E5792"/>
    <w:rsid w:val="000E595A"/>
    <w:rsid w:val="000E6BE6"/>
    <w:rsid w:val="000E70D0"/>
    <w:rsid w:val="000E7AEC"/>
    <w:rsid w:val="000F353A"/>
    <w:rsid w:val="000F3911"/>
    <w:rsid w:val="000F64B8"/>
    <w:rsid w:val="00100C2D"/>
    <w:rsid w:val="00102973"/>
    <w:rsid w:val="00106DF5"/>
    <w:rsid w:val="00107AD2"/>
    <w:rsid w:val="001152DD"/>
    <w:rsid w:val="00115C20"/>
    <w:rsid w:val="0011699D"/>
    <w:rsid w:val="00116AB7"/>
    <w:rsid w:val="00121249"/>
    <w:rsid w:val="00123A13"/>
    <w:rsid w:val="00124DDA"/>
    <w:rsid w:val="00125FE2"/>
    <w:rsid w:val="0013061E"/>
    <w:rsid w:val="00130C01"/>
    <w:rsid w:val="001315EC"/>
    <w:rsid w:val="00132750"/>
    <w:rsid w:val="00132D0F"/>
    <w:rsid w:val="00133C84"/>
    <w:rsid w:val="0013431C"/>
    <w:rsid w:val="0014045A"/>
    <w:rsid w:val="0014108C"/>
    <w:rsid w:val="00142258"/>
    <w:rsid w:val="00145CD4"/>
    <w:rsid w:val="00153691"/>
    <w:rsid w:val="00156B27"/>
    <w:rsid w:val="00156C22"/>
    <w:rsid w:val="001620DA"/>
    <w:rsid w:val="00163D70"/>
    <w:rsid w:val="00165899"/>
    <w:rsid w:val="001709AF"/>
    <w:rsid w:val="00172A27"/>
    <w:rsid w:val="00172BB0"/>
    <w:rsid w:val="00173F2B"/>
    <w:rsid w:val="00176ACB"/>
    <w:rsid w:val="00180512"/>
    <w:rsid w:val="00184409"/>
    <w:rsid w:val="00190367"/>
    <w:rsid w:val="00190B4C"/>
    <w:rsid w:val="0019168F"/>
    <w:rsid w:val="00193455"/>
    <w:rsid w:val="00197E0F"/>
    <w:rsid w:val="001A38B9"/>
    <w:rsid w:val="001A7DAF"/>
    <w:rsid w:val="001B0329"/>
    <w:rsid w:val="001B4A81"/>
    <w:rsid w:val="001B77CB"/>
    <w:rsid w:val="001C158D"/>
    <w:rsid w:val="001C226C"/>
    <w:rsid w:val="001C29EE"/>
    <w:rsid w:val="001C34CC"/>
    <w:rsid w:val="001C6D1C"/>
    <w:rsid w:val="001D3678"/>
    <w:rsid w:val="001D4C43"/>
    <w:rsid w:val="001D56B2"/>
    <w:rsid w:val="001E4541"/>
    <w:rsid w:val="001E566C"/>
    <w:rsid w:val="001E6506"/>
    <w:rsid w:val="001F2EB7"/>
    <w:rsid w:val="001F3EF6"/>
    <w:rsid w:val="00201CD1"/>
    <w:rsid w:val="00201D97"/>
    <w:rsid w:val="00202386"/>
    <w:rsid w:val="002035A8"/>
    <w:rsid w:val="00206E55"/>
    <w:rsid w:val="00207739"/>
    <w:rsid w:val="002079EB"/>
    <w:rsid w:val="00207BEE"/>
    <w:rsid w:val="00210C2B"/>
    <w:rsid w:val="00213F8B"/>
    <w:rsid w:val="002140A9"/>
    <w:rsid w:val="00215B16"/>
    <w:rsid w:val="0021753F"/>
    <w:rsid w:val="002179DE"/>
    <w:rsid w:val="002215ED"/>
    <w:rsid w:val="00226A2F"/>
    <w:rsid w:val="00227213"/>
    <w:rsid w:val="00235A36"/>
    <w:rsid w:val="002368B0"/>
    <w:rsid w:val="0023761F"/>
    <w:rsid w:val="00237BA0"/>
    <w:rsid w:val="00241C7D"/>
    <w:rsid w:val="0024462B"/>
    <w:rsid w:val="0025013B"/>
    <w:rsid w:val="00250EDD"/>
    <w:rsid w:val="00253197"/>
    <w:rsid w:val="002570EE"/>
    <w:rsid w:val="002604F0"/>
    <w:rsid w:val="00263349"/>
    <w:rsid w:val="00266C67"/>
    <w:rsid w:val="002708AF"/>
    <w:rsid w:val="002740C3"/>
    <w:rsid w:val="0027735C"/>
    <w:rsid w:val="0027753E"/>
    <w:rsid w:val="002810AC"/>
    <w:rsid w:val="002812CC"/>
    <w:rsid w:val="002867C5"/>
    <w:rsid w:val="00293EC3"/>
    <w:rsid w:val="00295A7F"/>
    <w:rsid w:val="002A3AF4"/>
    <w:rsid w:val="002A74F1"/>
    <w:rsid w:val="002A7B32"/>
    <w:rsid w:val="002B7B7D"/>
    <w:rsid w:val="002C084A"/>
    <w:rsid w:val="002C24AF"/>
    <w:rsid w:val="002C4A64"/>
    <w:rsid w:val="002C6711"/>
    <w:rsid w:val="002D2894"/>
    <w:rsid w:val="002D696C"/>
    <w:rsid w:val="002D7BA2"/>
    <w:rsid w:val="002E0562"/>
    <w:rsid w:val="002E0FD5"/>
    <w:rsid w:val="002E35B5"/>
    <w:rsid w:val="002E3BC8"/>
    <w:rsid w:val="002E585D"/>
    <w:rsid w:val="002E5CD7"/>
    <w:rsid w:val="002E67FB"/>
    <w:rsid w:val="002E6D7C"/>
    <w:rsid w:val="002F0C61"/>
    <w:rsid w:val="002F4462"/>
    <w:rsid w:val="002F5066"/>
    <w:rsid w:val="002F5D82"/>
    <w:rsid w:val="002F6084"/>
    <w:rsid w:val="0030167A"/>
    <w:rsid w:val="00304E56"/>
    <w:rsid w:val="003120B1"/>
    <w:rsid w:val="003129FD"/>
    <w:rsid w:val="00312B26"/>
    <w:rsid w:val="00313484"/>
    <w:rsid w:val="00313AEF"/>
    <w:rsid w:val="00313BF3"/>
    <w:rsid w:val="003141CA"/>
    <w:rsid w:val="003154A3"/>
    <w:rsid w:val="003203E5"/>
    <w:rsid w:val="003246D4"/>
    <w:rsid w:val="00326C8C"/>
    <w:rsid w:val="00327533"/>
    <w:rsid w:val="003309C5"/>
    <w:rsid w:val="003335D3"/>
    <w:rsid w:val="00334124"/>
    <w:rsid w:val="00340850"/>
    <w:rsid w:val="00343EE4"/>
    <w:rsid w:val="0034418A"/>
    <w:rsid w:val="00345DB5"/>
    <w:rsid w:val="00346E30"/>
    <w:rsid w:val="0034735E"/>
    <w:rsid w:val="00351AFA"/>
    <w:rsid w:val="003527FB"/>
    <w:rsid w:val="00352E13"/>
    <w:rsid w:val="00357CF7"/>
    <w:rsid w:val="003600F4"/>
    <w:rsid w:val="003651BD"/>
    <w:rsid w:val="00367044"/>
    <w:rsid w:val="00367B81"/>
    <w:rsid w:val="0037007A"/>
    <w:rsid w:val="00372366"/>
    <w:rsid w:val="00372537"/>
    <w:rsid w:val="00374628"/>
    <w:rsid w:val="003762DA"/>
    <w:rsid w:val="003767C0"/>
    <w:rsid w:val="00381242"/>
    <w:rsid w:val="0038766E"/>
    <w:rsid w:val="00393EC0"/>
    <w:rsid w:val="003969C7"/>
    <w:rsid w:val="003A12C6"/>
    <w:rsid w:val="003A1936"/>
    <w:rsid w:val="003A2501"/>
    <w:rsid w:val="003A2F14"/>
    <w:rsid w:val="003A3E1F"/>
    <w:rsid w:val="003A477C"/>
    <w:rsid w:val="003A565F"/>
    <w:rsid w:val="003B1470"/>
    <w:rsid w:val="003B57AF"/>
    <w:rsid w:val="003B5E57"/>
    <w:rsid w:val="003B6BFB"/>
    <w:rsid w:val="003B6DB0"/>
    <w:rsid w:val="003C4858"/>
    <w:rsid w:val="003C5B1B"/>
    <w:rsid w:val="003D11A8"/>
    <w:rsid w:val="003E1379"/>
    <w:rsid w:val="003E582E"/>
    <w:rsid w:val="003F22CE"/>
    <w:rsid w:val="003F2F8E"/>
    <w:rsid w:val="003F2FB9"/>
    <w:rsid w:val="003F374E"/>
    <w:rsid w:val="003F49F0"/>
    <w:rsid w:val="003F604B"/>
    <w:rsid w:val="00400EF4"/>
    <w:rsid w:val="00401780"/>
    <w:rsid w:val="00403E2E"/>
    <w:rsid w:val="0040420E"/>
    <w:rsid w:val="00407F04"/>
    <w:rsid w:val="004112F7"/>
    <w:rsid w:val="004119C7"/>
    <w:rsid w:val="00413B7E"/>
    <w:rsid w:val="00413DA2"/>
    <w:rsid w:val="004157AF"/>
    <w:rsid w:val="00420A4C"/>
    <w:rsid w:val="00434F67"/>
    <w:rsid w:val="00435AEC"/>
    <w:rsid w:val="004361EB"/>
    <w:rsid w:val="0043707B"/>
    <w:rsid w:val="00440485"/>
    <w:rsid w:val="00440CD0"/>
    <w:rsid w:val="0044226E"/>
    <w:rsid w:val="00443704"/>
    <w:rsid w:val="00447E6A"/>
    <w:rsid w:val="004506CC"/>
    <w:rsid w:val="0045464A"/>
    <w:rsid w:val="0045557D"/>
    <w:rsid w:val="00455F44"/>
    <w:rsid w:val="0046330A"/>
    <w:rsid w:val="00463ACA"/>
    <w:rsid w:val="00463CB4"/>
    <w:rsid w:val="004642FE"/>
    <w:rsid w:val="00470C69"/>
    <w:rsid w:val="004726C8"/>
    <w:rsid w:val="00476ECA"/>
    <w:rsid w:val="00477B1A"/>
    <w:rsid w:val="00483480"/>
    <w:rsid w:val="00484798"/>
    <w:rsid w:val="004860C3"/>
    <w:rsid w:val="00492FA1"/>
    <w:rsid w:val="00497549"/>
    <w:rsid w:val="004A24F0"/>
    <w:rsid w:val="004A5E41"/>
    <w:rsid w:val="004B402A"/>
    <w:rsid w:val="004B60FC"/>
    <w:rsid w:val="004C1F95"/>
    <w:rsid w:val="004C4DBA"/>
    <w:rsid w:val="004C5EAB"/>
    <w:rsid w:val="004C6150"/>
    <w:rsid w:val="004C6A6C"/>
    <w:rsid w:val="004C6F0B"/>
    <w:rsid w:val="004C6F22"/>
    <w:rsid w:val="004C7623"/>
    <w:rsid w:val="004D07DF"/>
    <w:rsid w:val="004D611F"/>
    <w:rsid w:val="004D7D51"/>
    <w:rsid w:val="004E3F50"/>
    <w:rsid w:val="004E58AB"/>
    <w:rsid w:val="004E6188"/>
    <w:rsid w:val="004F0BBC"/>
    <w:rsid w:val="00501DC6"/>
    <w:rsid w:val="00502239"/>
    <w:rsid w:val="00502CFD"/>
    <w:rsid w:val="00502FF2"/>
    <w:rsid w:val="00507FE8"/>
    <w:rsid w:val="00512D9D"/>
    <w:rsid w:val="00517586"/>
    <w:rsid w:val="00520554"/>
    <w:rsid w:val="0052251E"/>
    <w:rsid w:val="005278AA"/>
    <w:rsid w:val="005334EE"/>
    <w:rsid w:val="0053471D"/>
    <w:rsid w:val="005358FA"/>
    <w:rsid w:val="00535C12"/>
    <w:rsid w:val="00542510"/>
    <w:rsid w:val="005430D6"/>
    <w:rsid w:val="0054652E"/>
    <w:rsid w:val="0054703C"/>
    <w:rsid w:val="00550D42"/>
    <w:rsid w:val="00550DC4"/>
    <w:rsid w:val="005514AF"/>
    <w:rsid w:val="00551B4A"/>
    <w:rsid w:val="00552394"/>
    <w:rsid w:val="005525C3"/>
    <w:rsid w:val="00552860"/>
    <w:rsid w:val="00554AFE"/>
    <w:rsid w:val="00557436"/>
    <w:rsid w:val="005627DD"/>
    <w:rsid w:val="0056374A"/>
    <w:rsid w:val="00566375"/>
    <w:rsid w:val="00567F95"/>
    <w:rsid w:val="00572476"/>
    <w:rsid w:val="00573C88"/>
    <w:rsid w:val="005759AF"/>
    <w:rsid w:val="005770BB"/>
    <w:rsid w:val="00580AB2"/>
    <w:rsid w:val="00582092"/>
    <w:rsid w:val="005852C9"/>
    <w:rsid w:val="00585A68"/>
    <w:rsid w:val="005868C9"/>
    <w:rsid w:val="00586A03"/>
    <w:rsid w:val="00586B6F"/>
    <w:rsid w:val="00586E84"/>
    <w:rsid w:val="005877F6"/>
    <w:rsid w:val="00590996"/>
    <w:rsid w:val="00592F71"/>
    <w:rsid w:val="00592FF1"/>
    <w:rsid w:val="005A495B"/>
    <w:rsid w:val="005A56EA"/>
    <w:rsid w:val="005A61D7"/>
    <w:rsid w:val="005B7896"/>
    <w:rsid w:val="005C0FD4"/>
    <w:rsid w:val="005C31E6"/>
    <w:rsid w:val="005C3479"/>
    <w:rsid w:val="005C4816"/>
    <w:rsid w:val="005C5E8D"/>
    <w:rsid w:val="005D00AF"/>
    <w:rsid w:val="005D3E66"/>
    <w:rsid w:val="005D5118"/>
    <w:rsid w:val="005E04C9"/>
    <w:rsid w:val="005E0A69"/>
    <w:rsid w:val="005E5029"/>
    <w:rsid w:val="005E58CC"/>
    <w:rsid w:val="005E6299"/>
    <w:rsid w:val="005F35E4"/>
    <w:rsid w:val="005F46BB"/>
    <w:rsid w:val="005F5E49"/>
    <w:rsid w:val="00600CEF"/>
    <w:rsid w:val="00601094"/>
    <w:rsid w:val="00601B4B"/>
    <w:rsid w:val="006034A3"/>
    <w:rsid w:val="00603813"/>
    <w:rsid w:val="00606EDF"/>
    <w:rsid w:val="006128AC"/>
    <w:rsid w:val="0061542D"/>
    <w:rsid w:val="00620715"/>
    <w:rsid w:val="00624187"/>
    <w:rsid w:val="006252AF"/>
    <w:rsid w:val="006304CC"/>
    <w:rsid w:val="00631DEC"/>
    <w:rsid w:val="0063400A"/>
    <w:rsid w:val="00634CC2"/>
    <w:rsid w:val="00635435"/>
    <w:rsid w:val="00636109"/>
    <w:rsid w:val="00637F2B"/>
    <w:rsid w:val="00646FBB"/>
    <w:rsid w:val="006476CE"/>
    <w:rsid w:val="006503D3"/>
    <w:rsid w:val="00654CF6"/>
    <w:rsid w:val="00655583"/>
    <w:rsid w:val="00656945"/>
    <w:rsid w:val="00661BA3"/>
    <w:rsid w:val="0066223F"/>
    <w:rsid w:val="00663C55"/>
    <w:rsid w:val="0067483E"/>
    <w:rsid w:val="0067674F"/>
    <w:rsid w:val="00676AA0"/>
    <w:rsid w:val="00676B2B"/>
    <w:rsid w:val="00681700"/>
    <w:rsid w:val="006935CB"/>
    <w:rsid w:val="0069514B"/>
    <w:rsid w:val="00697D38"/>
    <w:rsid w:val="006A0450"/>
    <w:rsid w:val="006A2FA2"/>
    <w:rsid w:val="006A6A77"/>
    <w:rsid w:val="006A76FC"/>
    <w:rsid w:val="006B10BA"/>
    <w:rsid w:val="006B21F9"/>
    <w:rsid w:val="006B4C50"/>
    <w:rsid w:val="006B690E"/>
    <w:rsid w:val="006B70FF"/>
    <w:rsid w:val="006B7FF7"/>
    <w:rsid w:val="006C01BE"/>
    <w:rsid w:val="006C1BE8"/>
    <w:rsid w:val="006C4E57"/>
    <w:rsid w:val="006D0719"/>
    <w:rsid w:val="006D09F2"/>
    <w:rsid w:val="006D1409"/>
    <w:rsid w:val="006D3D8B"/>
    <w:rsid w:val="006E1B8C"/>
    <w:rsid w:val="006E7D40"/>
    <w:rsid w:val="006F0FCE"/>
    <w:rsid w:val="006F31BB"/>
    <w:rsid w:val="006F36D3"/>
    <w:rsid w:val="006F6030"/>
    <w:rsid w:val="006F62A0"/>
    <w:rsid w:val="006F75D1"/>
    <w:rsid w:val="006F7B4F"/>
    <w:rsid w:val="00703446"/>
    <w:rsid w:val="007045EC"/>
    <w:rsid w:val="007118A7"/>
    <w:rsid w:val="00711B4E"/>
    <w:rsid w:val="0071236C"/>
    <w:rsid w:val="007139E4"/>
    <w:rsid w:val="007177BB"/>
    <w:rsid w:val="00720E8A"/>
    <w:rsid w:val="007213DC"/>
    <w:rsid w:val="0072184F"/>
    <w:rsid w:val="007221B0"/>
    <w:rsid w:val="00727891"/>
    <w:rsid w:val="007305AB"/>
    <w:rsid w:val="0073090C"/>
    <w:rsid w:val="00731C48"/>
    <w:rsid w:val="0073200D"/>
    <w:rsid w:val="00732750"/>
    <w:rsid w:val="007341A1"/>
    <w:rsid w:val="00735E4B"/>
    <w:rsid w:val="007364B5"/>
    <w:rsid w:val="007422E5"/>
    <w:rsid w:val="00742ACC"/>
    <w:rsid w:val="007458B4"/>
    <w:rsid w:val="00746717"/>
    <w:rsid w:val="007467DE"/>
    <w:rsid w:val="007467F7"/>
    <w:rsid w:val="007503CF"/>
    <w:rsid w:val="00753361"/>
    <w:rsid w:val="007571EB"/>
    <w:rsid w:val="007639EB"/>
    <w:rsid w:val="00764437"/>
    <w:rsid w:val="00764D39"/>
    <w:rsid w:val="00767F86"/>
    <w:rsid w:val="00771C13"/>
    <w:rsid w:val="00772B9E"/>
    <w:rsid w:val="00773D1C"/>
    <w:rsid w:val="00774A96"/>
    <w:rsid w:val="007752BE"/>
    <w:rsid w:val="00775C02"/>
    <w:rsid w:val="007763D4"/>
    <w:rsid w:val="00777BF5"/>
    <w:rsid w:val="00781498"/>
    <w:rsid w:val="00784A5B"/>
    <w:rsid w:val="0079007B"/>
    <w:rsid w:val="007903B1"/>
    <w:rsid w:val="00793211"/>
    <w:rsid w:val="0079589E"/>
    <w:rsid w:val="00795DE4"/>
    <w:rsid w:val="007A5697"/>
    <w:rsid w:val="007A6D30"/>
    <w:rsid w:val="007A7822"/>
    <w:rsid w:val="007B00C4"/>
    <w:rsid w:val="007B0587"/>
    <w:rsid w:val="007B0F30"/>
    <w:rsid w:val="007B2825"/>
    <w:rsid w:val="007B2C55"/>
    <w:rsid w:val="007B4D43"/>
    <w:rsid w:val="007B4D6A"/>
    <w:rsid w:val="007B640B"/>
    <w:rsid w:val="007B6685"/>
    <w:rsid w:val="007C0C37"/>
    <w:rsid w:val="007C1804"/>
    <w:rsid w:val="007C3478"/>
    <w:rsid w:val="007C701D"/>
    <w:rsid w:val="007D23BF"/>
    <w:rsid w:val="007D60DB"/>
    <w:rsid w:val="007D615F"/>
    <w:rsid w:val="007E05FE"/>
    <w:rsid w:val="007E0C57"/>
    <w:rsid w:val="007E5512"/>
    <w:rsid w:val="007F403B"/>
    <w:rsid w:val="00800176"/>
    <w:rsid w:val="0080174B"/>
    <w:rsid w:val="00801882"/>
    <w:rsid w:val="00802408"/>
    <w:rsid w:val="008100C8"/>
    <w:rsid w:val="00813ACF"/>
    <w:rsid w:val="00825B11"/>
    <w:rsid w:val="0082761A"/>
    <w:rsid w:val="00830124"/>
    <w:rsid w:val="00831A1E"/>
    <w:rsid w:val="00832600"/>
    <w:rsid w:val="0083386A"/>
    <w:rsid w:val="00833C7A"/>
    <w:rsid w:val="00835672"/>
    <w:rsid w:val="00836244"/>
    <w:rsid w:val="0084216B"/>
    <w:rsid w:val="0084342C"/>
    <w:rsid w:val="00845109"/>
    <w:rsid w:val="00846FB4"/>
    <w:rsid w:val="0086016F"/>
    <w:rsid w:val="00861FDD"/>
    <w:rsid w:val="0086227A"/>
    <w:rsid w:val="0086783C"/>
    <w:rsid w:val="00870D02"/>
    <w:rsid w:val="00870D28"/>
    <w:rsid w:val="00871414"/>
    <w:rsid w:val="00872865"/>
    <w:rsid w:val="00872E0F"/>
    <w:rsid w:val="008763EA"/>
    <w:rsid w:val="00880F39"/>
    <w:rsid w:val="00881BD6"/>
    <w:rsid w:val="00882AB7"/>
    <w:rsid w:val="0088575E"/>
    <w:rsid w:val="00885CAF"/>
    <w:rsid w:val="00892ACF"/>
    <w:rsid w:val="0089353F"/>
    <w:rsid w:val="00896EAB"/>
    <w:rsid w:val="008A3C15"/>
    <w:rsid w:val="008A53D0"/>
    <w:rsid w:val="008B0795"/>
    <w:rsid w:val="008B0C0F"/>
    <w:rsid w:val="008B30E9"/>
    <w:rsid w:val="008B558C"/>
    <w:rsid w:val="008B6C7E"/>
    <w:rsid w:val="008B7A42"/>
    <w:rsid w:val="008C113C"/>
    <w:rsid w:val="008C1984"/>
    <w:rsid w:val="008C30C4"/>
    <w:rsid w:val="008C3BF5"/>
    <w:rsid w:val="008C502A"/>
    <w:rsid w:val="008D0BF3"/>
    <w:rsid w:val="008D2503"/>
    <w:rsid w:val="008D556A"/>
    <w:rsid w:val="008E411E"/>
    <w:rsid w:val="008E4653"/>
    <w:rsid w:val="008E6170"/>
    <w:rsid w:val="008E7A24"/>
    <w:rsid w:val="008F1C48"/>
    <w:rsid w:val="008F5667"/>
    <w:rsid w:val="008F57E9"/>
    <w:rsid w:val="008F67CB"/>
    <w:rsid w:val="009003BF"/>
    <w:rsid w:val="009108B8"/>
    <w:rsid w:val="00910F76"/>
    <w:rsid w:val="00915A2F"/>
    <w:rsid w:val="00917E2A"/>
    <w:rsid w:val="00923223"/>
    <w:rsid w:val="009238FC"/>
    <w:rsid w:val="00927BA0"/>
    <w:rsid w:val="00927E3C"/>
    <w:rsid w:val="009300DD"/>
    <w:rsid w:val="00930CF2"/>
    <w:rsid w:val="00930FF5"/>
    <w:rsid w:val="00931DEC"/>
    <w:rsid w:val="00935858"/>
    <w:rsid w:val="00935B11"/>
    <w:rsid w:val="009361D3"/>
    <w:rsid w:val="00936F46"/>
    <w:rsid w:val="0094375E"/>
    <w:rsid w:val="00953CE9"/>
    <w:rsid w:val="00954C60"/>
    <w:rsid w:val="00955A1E"/>
    <w:rsid w:val="00960ACF"/>
    <w:rsid w:val="00961017"/>
    <w:rsid w:val="00961335"/>
    <w:rsid w:val="009627DA"/>
    <w:rsid w:val="00964046"/>
    <w:rsid w:val="00964EE9"/>
    <w:rsid w:val="00965C05"/>
    <w:rsid w:val="009723B1"/>
    <w:rsid w:val="00976721"/>
    <w:rsid w:val="00981166"/>
    <w:rsid w:val="00985AC0"/>
    <w:rsid w:val="009867A9"/>
    <w:rsid w:val="00986DD8"/>
    <w:rsid w:val="00987D75"/>
    <w:rsid w:val="009914FD"/>
    <w:rsid w:val="00991DED"/>
    <w:rsid w:val="00992892"/>
    <w:rsid w:val="00995208"/>
    <w:rsid w:val="009B4BC4"/>
    <w:rsid w:val="009B6F6E"/>
    <w:rsid w:val="009C052A"/>
    <w:rsid w:val="009C273F"/>
    <w:rsid w:val="009C2E52"/>
    <w:rsid w:val="009C5742"/>
    <w:rsid w:val="009C634D"/>
    <w:rsid w:val="009D09B2"/>
    <w:rsid w:val="009D1894"/>
    <w:rsid w:val="009D7A62"/>
    <w:rsid w:val="009D7E3A"/>
    <w:rsid w:val="009E5EE5"/>
    <w:rsid w:val="009E737D"/>
    <w:rsid w:val="009E793F"/>
    <w:rsid w:val="009F005A"/>
    <w:rsid w:val="009F060E"/>
    <w:rsid w:val="009F4A60"/>
    <w:rsid w:val="009F62C3"/>
    <w:rsid w:val="00A009E1"/>
    <w:rsid w:val="00A04CAD"/>
    <w:rsid w:val="00A05EBA"/>
    <w:rsid w:val="00A06538"/>
    <w:rsid w:val="00A15221"/>
    <w:rsid w:val="00A174BA"/>
    <w:rsid w:val="00A17910"/>
    <w:rsid w:val="00A17E00"/>
    <w:rsid w:val="00A21FEB"/>
    <w:rsid w:val="00A23187"/>
    <w:rsid w:val="00A23AA3"/>
    <w:rsid w:val="00A23B5F"/>
    <w:rsid w:val="00A31791"/>
    <w:rsid w:val="00A33A06"/>
    <w:rsid w:val="00A3443B"/>
    <w:rsid w:val="00A358EB"/>
    <w:rsid w:val="00A37343"/>
    <w:rsid w:val="00A4388C"/>
    <w:rsid w:val="00A448BE"/>
    <w:rsid w:val="00A451A3"/>
    <w:rsid w:val="00A4567F"/>
    <w:rsid w:val="00A45F50"/>
    <w:rsid w:val="00A46714"/>
    <w:rsid w:val="00A54843"/>
    <w:rsid w:val="00A5593E"/>
    <w:rsid w:val="00A64CCC"/>
    <w:rsid w:val="00A64FA1"/>
    <w:rsid w:val="00A70562"/>
    <w:rsid w:val="00A70DAE"/>
    <w:rsid w:val="00A722F2"/>
    <w:rsid w:val="00A76434"/>
    <w:rsid w:val="00A87993"/>
    <w:rsid w:val="00A9111A"/>
    <w:rsid w:val="00A939FC"/>
    <w:rsid w:val="00A96D7B"/>
    <w:rsid w:val="00AA0DFF"/>
    <w:rsid w:val="00AA48DB"/>
    <w:rsid w:val="00AA6D6C"/>
    <w:rsid w:val="00AA7036"/>
    <w:rsid w:val="00AA76E0"/>
    <w:rsid w:val="00AB4B93"/>
    <w:rsid w:val="00AB7BC7"/>
    <w:rsid w:val="00AC0555"/>
    <w:rsid w:val="00AC3CE1"/>
    <w:rsid w:val="00AD2779"/>
    <w:rsid w:val="00AD5827"/>
    <w:rsid w:val="00AD5D52"/>
    <w:rsid w:val="00AD6419"/>
    <w:rsid w:val="00AD664C"/>
    <w:rsid w:val="00AE1C40"/>
    <w:rsid w:val="00AE1CDC"/>
    <w:rsid w:val="00AF4078"/>
    <w:rsid w:val="00AF4596"/>
    <w:rsid w:val="00AF62B4"/>
    <w:rsid w:val="00B04924"/>
    <w:rsid w:val="00B0516F"/>
    <w:rsid w:val="00B0648B"/>
    <w:rsid w:val="00B0788D"/>
    <w:rsid w:val="00B128F3"/>
    <w:rsid w:val="00B12E42"/>
    <w:rsid w:val="00B14156"/>
    <w:rsid w:val="00B147A7"/>
    <w:rsid w:val="00B174A4"/>
    <w:rsid w:val="00B208FC"/>
    <w:rsid w:val="00B21CD1"/>
    <w:rsid w:val="00B26A86"/>
    <w:rsid w:val="00B3135E"/>
    <w:rsid w:val="00B35BA3"/>
    <w:rsid w:val="00B40276"/>
    <w:rsid w:val="00B4075C"/>
    <w:rsid w:val="00B40CB7"/>
    <w:rsid w:val="00B41B5C"/>
    <w:rsid w:val="00B41E08"/>
    <w:rsid w:val="00B4362D"/>
    <w:rsid w:val="00B43F73"/>
    <w:rsid w:val="00B45341"/>
    <w:rsid w:val="00B45AEE"/>
    <w:rsid w:val="00B47732"/>
    <w:rsid w:val="00B52ABC"/>
    <w:rsid w:val="00B52BCB"/>
    <w:rsid w:val="00B53034"/>
    <w:rsid w:val="00B60C6E"/>
    <w:rsid w:val="00B62C19"/>
    <w:rsid w:val="00B6458E"/>
    <w:rsid w:val="00B646E8"/>
    <w:rsid w:val="00B70D16"/>
    <w:rsid w:val="00B73B6F"/>
    <w:rsid w:val="00B74BB5"/>
    <w:rsid w:val="00B83525"/>
    <w:rsid w:val="00B847F1"/>
    <w:rsid w:val="00B852CF"/>
    <w:rsid w:val="00B86BF1"/>
    <w:rsid w:val="00B871C6"/>
    <w:rsid w:val="00B908D5"/>
    <w:rsid w:val="00B93DA7"/>
    <w:rsid w:val="00B96B13"/>
    <w:rsid w:val="00BA5931"/>
    <w:rsid w:val="00BA643D"/>
    <w:rsid w:val="00BA77B1"/>
    <w:rsid w:val="00BB5965"/>
    <w:rsid w:val="00BB6E73"/>
    <w:rsid w:val="00BC1FEC"/>
    <w:rsid w:val="00BC4002"/>
    <w:rsid w:val="00BC4039"/>
    <w:rsid w:val="00BC4788"/>
    <w:rsid w:val="00BD1BFA"/>
    <w:rsid w:val="00BD239B"/>
    <w:rsid w:val="00BD2CBA"/>
    <w:rsid w:val="00BD424B"/>
    <w:rsid w:val="00BD75C8"/>
    <w:rsid w:val="00BD7A67"/>
    <w:rsid w:val="00BE14FC"/>
    <w:rsid w:val="00BE18B2"/>
    <w:rsid w:val="00BE3415"/>
    <w:rsid w:val="00BE47A9"/>
    <w:rsid w:val="00BE73AA"/>
    <w:rsid w:val="00BF2DEB"/>
    <w:rsid w:val="00BF3BDE"/>
    <w:rsid w:val="00BF3FD1"/>
    <w:rsid w:val="00BF53AE"/>
    <w:rsid w:val="00BF58A6"/>
    <w:rsid w:val="00C0020E"/>
    <w:rsid w:val="00C00D89"/>
    <w:rsid w:val="00C063BE"/>
    <w:rsid w:val="00C07CE5"/>
    <w:rsid w:val="00C17EE9"/>
    <w:rsid w:val="00C20199"/>
    <w:rsid w:val="00C34E2D"/>
    <w:rsid w:val="00C368A2"/>
    <w:rsid w:val="00C37AF1"/>
    <w:rsid w:val="00C42190"/>
    <w:rsid w:val="00C44F54"/>
    <w:rsid w:val="00C45F02"/>
    <w:rsid w:val="00C5138C"/>
    <w:rsid w:val="00C51FE2"/>
    <w:rsid w:val="00C52F0D"/>
    <w:rsid w:val="00C536D8"/>
    <w:rsid w:val="00C55E63"/>
    <w:rsid w:val="00C55F5D"/>
    <w:rsid w:val="00C60C03"/>
    <w:rsid w:val="00C61906"/>
    <w:rsid w:val="00C65A0F"/>
    <w:rsid w:val="00C66416"/>
    <w:rsid w:val="00C6720B"/>
    <w:rsid w:val="00C72249"/>
    <w:rsid w:val="00C74F5D"/>
    <w:rsid w:val="00C777EC"/>
    <w:rsid w:val="00C7784E"/>
    <w:rsid w:val="00C80836"/>
    <w:rsid w:val="00C85FB7"/>
    <w:rsid w:val="00C86EF1"/>
    <w:rsid w:val="00C87051"/>
    <w:rsid w:val="00CA0C53"/>
    <w:rsid w:val="00CA138A"/>
    <w:rsid w:val="00CA17E5"/>
    <w:rsid w:val="00CA2B62"/>
    <w:rsid w:val="00CA3030"/>
    <w:rsid w:val="00CA3CD3"/>
    <w:rsid w:val="00CA5876"/>
    <w:rsid w:val="00CB0495"/>
    <w:rsid w:val="00CB0CCF"/>
    <w:rsid w:val="00CB3E3D"/>
    <w:rsid w:val="00CC3FAB"/>
    <w:rsid w:val="00CC4D44"/>
    <w:rsid w:val="00CD15B3"/>
    <w:rsid w:val="00CD345C"/>
    <w:rsid w:val="00CD76FF"/>
    <w:rsid w:val="00CE03A7"/>
    <w:rsid w:val="00CE64EF"/>
    <w:rsid w:val="00CF07A6"/>
    <w:rsid w:val="00CF0FFE"/>
    <w:rsid w:val="00CF52B0"/>
    <w:rsid w:val="00CF586B"/>
    <w:rsid w:val="00CF7CF7"/>
    <w:rsid w:val="00D03886"/>
    <w:rsid w:val="00D04600"/>
    <w:rsid w:val="00D1163E"/>
    <w:rsid w:val="00D13DFA"/>
    <w:rsid w:val="00D15918"/>
    <w:rsid w:val="00D1596B"/>
    <w:rsid w:val="00D23B2E"/>
    <w:rsid w:val="00D27127"/>
    <w:rsid w:val="00D32E79"/>
    <w:rsid w:val="00D34579"/>
    <w:rsid w:val="00D351D3"/>
    <w:rsid w:val="00D36535"/>
    <w:rsid w:val="00D4423F"/>
    <w:rsid w:val="00D4737E"/>
    <w:rsid w:val="00D473B7"/>
    <w:rsid w:val="00D47A8B"/>
    <w:rsid w:val="00D5050A"/>
    <w:rsid w:val="00D52F4C"/>
    <w:rsid w:val="00D53374"/>
    <w:rsid w:val="00D613DA"/>
    <w:rsid w:val="00D65CE2"/>
    <w:rsid w:val="00D674CF"/>
    <w:rsid w:val="00D67AB8"/>
    <w:rsid w:val="00D72480"/>
    <w:rsid w:val="00D7295D"/>
    <w:rsid w:val="00D76010"/>
    <w:rsid w:val="00D80DD9"/>
    <w:rsid w:val="00D90426"/>
    <w:rsid w:val="00D922E2"/>
    <w:rsid w:val="00D95BAC"/>
    <w:rsid w:val="00D97D9D"/>
    <w:rsid w:val="00DA79FF"/>
    <w:rsid w:val="00DB02DB"/>
    <w:rsid w:val="00DB1E2B"/>
    <w:rsid w:val="00DB2E4F"/>
    <w:rsid w:val="00DC360B"/>
    <w:rsid w:val="00DC426A"/>
    <w:rsid w:val="00DD3430"/>
    <w:rsid w:val="00DD4DEB"/>
    <w:rsid w:val="00DD5BAF"/>
    <w:rsid w:val="00DD5D0F"/>
    <w:rsid w:val="00DD7056"/>
    <w:rsid w:val="00DD763F"/>
    <w:rsid w:val="00DD7900"/>
    <w:rsid w:val="00DE1CA0"/>
    <w:rsid w:val="00DE6D46"/>
    <w:rsid w:val="00DE7E64"/>
    <w:rsid w:val="00DF05DB"/>
    <w:rsid w:val="00DF2C32"/>
    <w:rsid w:val="00E00F42"/>
    <w:rsid w:val="00E014A6"/>
    <w:rsid w:val="00E02CEA"/>
    <w:rsid w:val="00E0387F"/>
    <w:rsid w:val="00E04D4B"/>
    <w:rsid w:val="00E070B5"/>
    <w:rsid w:val="00E12A33"/>
    <w:rsid w:val="00E13411"/>
    <w:rsid w:val="00E1366E"/>
    <w:rsid w:val="00E13CF7"/>
    <w:rsid w:val="00E17DAE"/>
    <w:rsid w:val="00E26533"/>
    <w:rsid w:val="00E303F7"/>
    <w:rsid w:val="00E30714"/>
    <w:rsid w:val="00E32B6F"/>
    <w:rsid w:val="00E334F0"/>
    <w:rsid w:val="00E369B3"/>
    <w:rsid w:val="00E374F0"/>
    <w:rsid w:val="00E41763"/>
    <w:rsid w:val="00E503A3"/>
    <w:rsid w:val="00E53B1C"/>
    <w:rsid w:val="00E56503"/>
    <w:rsid w:val="00E607AB"/>
    <w:rsid w:val="00E607E2"/>
    <w:rsid w:val="00E61798"/>
    <w:rsid w:val="00E63D31"/>
    <w:rsid w:val="00E658BE"/>
    <w:rsid w:val="00E7091A"/>
    <w:rsid w:val="00E7122E"/>
    <w:rsid w:val="00E71259"/>
    <w:rsid w:val="00E82156"/>
    <w:rsid w:val="00E85579"/>
    <w:rsid w:val="00E871F1"/>
    <w:rsid w:val="00E876F5"/>
    <w:rsid w:val="00E909B3"/>
    <w:rsid w:val="00E93FB2"/>
    <w:rsid w:val="00E968CF"/>
    <w:rsid w:val="00EA152B"/>
    <w:rsid w:val="00EA3DFF"/>
    <w:rsid w:val="00EB226C"/>
    <w:rsid w:val="00EB4048"/>
    <w:rsid w:val="00EB5814"/>
    <w:rsid w:val="00EB6B3F"/>
    <w:rsid w:val="00EB77BA"/>
    <w:rsid w:val="00EB7F9C"/>
    <w:rsid w:val="00EC0994"/>
    <w:rsid w:val="00EC6044"/>
    <w:rsid w:val="00EC68FF"/>
    <w:rsid w:val="00EC6982"/>
    <w:rsid w:val="00ED016E"/>
    <w:rsid w:val="00ED113C"/>
    <w:rsid w:val="00ED2A85"/>
    <w:rsid w:val="00EE59C9"/>
    <w:rsid w:val="00EE78B2"/>
    <w:rsid w:val="00EF4558"/>
    <w:rsid w:val="00EF52AB"/>
    <w:rsid w:val="00F00286"/>
    <w:rsid w:val="00F03651"/>
    <w:rsid w:val="00F060AA"/>
    <w:rsid w:val="00F06B84"/>
    <w:rsid w:val="00F10C97"/>
    <w:rsid w:val="00F12552"/>
    <w:rsid w:val="00F135DB"/>
    <w:rsid w:val="00F137C2"/>
    <w:rsid w:val="00F144BB"/>
    <w:rsid w:val="00F15B03"/>
    <w:rsid w:val="00F163AE"/>
    <w:rsid w:val="00F20F9C"/>
    <w:rsid w:val="00F23C2B"/>
    <w:rsid w:val="00F300F7"/>
    <w:rsid w:val="00F305F9"/>
    <w:rsid w:val="00F3169A"/>
    <w:rsid w:val="00F31E88"/>
    <w:rsid w:val="00F40680"/>
    <w:rsid w:val="00F4340B"/>
    <w:rsid w:val="00F44E1D"/>
    <w:rsid w:val="00F45A1A"/>
    <w:rsid w:val="00F50BA2"/>
    <w:rsid w:val="00F52175"/>
    <w:rsid w:val="00F52A69"/>
    <w:rsid w:val="00F56683"/>
    <w:rsid w:val="00F602A9"/>
    <w:rsid w:val="00F60E76"/>
    <w:rsid w:val="00F72186"/>
    <w:rsid w:val="00F73A04"/>
    <w:rsid w:val="00F757A6"/>
    <w:rsid w:val="00F84879"/>
    <w:rsid w:val="00F8613C"/>
    <w:rsid w:val="00F90B71"/>
    <w:rsid w:val="00F925CB"/>
    <w:rsid w:val="00F92FA8"/>
    <w:rsid w:val="00F93B98"/>
    <w:rsid w:val="00F94557"/>
    <w:rsid w:val="00FA088D"/>
    <w:rsid w:val="00FA138F"/>
    <w:rsid w:val="00FA13CB"/>
    <w:rsid w:val="00FA180A"/>
    <w:rsid w:val="00FA6257"/>
    <w:rsid w:val="00FA62AE"/>
    <w:rsid w:val="00FA63F1"/>
    <w:rsid w:val="00FA65FB"/>
    <w:rsid w:val="00FB1C45"/>
    <w:rsid w:val="00FB1D95"/>
    <w:rsid w:val="00FB2707"/>
    <w:rsid w:val="00FB2C77"/>
    <w:rsid w:val="00FB433B"/>
    <w:rsid w:val="00FC0121"/>
    <w:rsid w:val="00FC1F29"/>
    <w:rsid w:val="00FC36B9"/>
    <w:rsid w:val="00FC4D67"/>
    <w:rsid w:val="00FC4F35"/>
    <w:rsid w:val="00FD6875"/>
    <w:rsid w:val="00FD7580"/>
    <w:rsid w:val="00FE0272"/>
    <w:rsid w:val="00FE04CE"/>
    <w:rsid w:val="00FE152C"/>
    <w:rsid w:val="00FE2D29"/>
    <w:rsid w:val="00FE3CC9"/>
    <w:rsid w:val="00FE4057"/>
    <w:rsid w:val="00FE42F7"/>
    <w:rsid w:val="00FE675C"/>
    <w:rsid w:val="00FF04AB"/>
    <w:rsid w:val="00FF0DB2"/>
    <w:rsid w:val="00FF2F69"/>
    <w:rsid w:val="00FF617C"/>
    <w:rsid w:val="01214A1E"/>
    <w:rsid w:val="014F1B49"/>
    <w:rsid w:val="0156447D"/>
    <w:rsid w:val="0161201C"/>
    <w:rsid w:val="01674AD8"/>
    <w:rsid w:val="017B15F7"/>
    <w:rsid w:val="019B2A51"/>
    <w:rsid w:val="01B167F2"/>
    <w:rsid w:val="01BB069A"/>
    <w:rsid w:val="01EE6DBE"/>
    <w:rsid w:val="01F52D44"/>
    <w:rsid w:val="020E7F3F"/>
    <w:rsid w:val="021A6004"/>
    <w:rsid w:val="022E08B9"/>
    <w:rsid w:val="023A07E4"/>
    <w:rsid w:val="02415797"/>
    <w:rsid w:val="025D291A"/>
    <w:rsid w:val="027202B1"/>
    <w:rsid w:val="02721F48"/>
    <w:rsid w:val="0272243B"/>
    <w:rsid w:val="02805163"/>
    <w:rsid w:val="02815E8D"/>
    <w:rsid w:val="02E41BF4"/>
    <w:rsid w:val="02F07CB0"/>
    <w:rsid w:val="0301770E"/>
    <w:rsid w:val="030D75EF"/>
    <w:rsid w:val="031168BC"/>
    <w:rsid w:val="03167E1A"/>
    <w:rsid w:val="03426C59"/>
    <w:rsid w:val="03433AF1"/>
    <w:rsid w:val="03501AE4"/>
    <w:rsid w:val="03716722"/>
    <w:rsid w:val="039B623A"/>
    <w:rsid w:val="039D5407"/>
    <w:rsid w:val="03A70EA4"/>
    <w:rsid w:val="03B44AA5"/>
    <w:rsid w:val="03CC75F0"/>
    <w:rsid w:val="03CD2732"/>
    <w:rsid w:val="03E11CB6"/>
    <w:rsid w:val="03E559D3"/>
    <w:rsid w:val="040020A7"/>
    <w:rsid w:val="040744E5"/>
    <w:rsid w:val="04473247"/>
    <w:rsid w:val="044B7406"/>
    <w:rsid w:val="044D2B93"/>
    <w:rsid w:val="04833676"/>
    <w:rsid w:val="04930DBB"/>
    <w:rsid w:val="04A104FE"/>
    <w:rsid w:val="04A2371F"/>
    <w:rsid w:val="04A53BA4"/>
    <w:rsid w:val="04AA1834"/>
    <w:rsid w:val="04D17C83"/>
    <w:rsid w:val="04E374DE"/>
    <w:rsid w:val="04FF00EB"/>
    <w:rsid w:val="0501459E"/>
    <w:rsid w:val="050F6632"/>
    <w:rsid w:val="05175FCF"/>
    <w:rsid w:val="052263A0"/>
    <w:rsid w:val="054E23E8"/>
    <w:rsid w:val="05586075"/>
    <w:rsid w:val="058E5789"/>
    <w:rsid w:val="059C5E7A"/>
    <w:rsid w:val="059F3F35"/>
    <w:rsid w:val="05AB2DB2"/>
    <w:rsid w:val="05BE2569"/>
    <w:rsid w:val="05C127AF"/>
    <w:rsid w:val="05C342DE"/>
    <w:rsid w:val="05D56659"/>
    <w:rsid w:val="05EB76F4"/>
    <w:rsid w:val="05EC4B85"/>
    <w:rsid w:val="05F56B6A"/>
    <w:rsid w:val="05F7106C"/>
    <w:rsid w:val="06027766"/>
    <w:rsid w:val="06052202"/>
    <w:rsid w:val="062B4C9D"/>
    <w:rsid w:val="06305727"/>
    <w:rsid w:val="06322461"/>
    <w:rsid w:val="064E66E2"/>
    <w:rsid w:val="06647C6C"/>
    <w:rsid w:val="06665E33"/>
    <w:rsid w:val="06936D88"/>
    <w:rsid w:val="06A31CA0"/>
    <w:rsid w:val="06D31947"/>
    <w:rsid w:val="06D92562"/>
    <w:rsid w:val="06E23E85"/>
    <w:rsid w:val="06E760D7"/>
    <w:rsid w:val="06EA54F3"/>
    <w:rsid w:val="06F650AE"/>
    <w:rsid w:val="07075B45"/>
    <w:rsid w:val="070A76BD"/>
    <w:rsid w:val="072E5643"/>
    <w:rsid w:val="073D7196"/>
    <w:rsid w:val="07504429"/>
    <w:rsid w:val="07612720"/>
    <w:rsid w:val="07792B42"/>
    <w:rsid w:val="077E3D0B"/>
    <w:rsid w:val="078C511B"/>
    <w:rsid w:val="078D2D8A"/>
    <w:rsid w:val="07AE2DC1"/>
    <w:rsid w:val="07BE2A34"/>
    <w:rsid w:val="07D43E3E"/>
    <w:rsid w:val="07DF1893"/>
    <w:rsid w:val="07E53F70"/>
    <w:rsid w:val="07EA715C"/>
    <w:rsid w:val="07EB57B6"/>
    <w:rsid w:val="07F03CBF"/>
    <w:rsid w:val="07F32C3D"/>
    <w:rsid w:val="07F42B67"/>
    <w:rsid w:val="080D0CE3"/>
    <w:rsid w:val="08112904"/>
    <w:rsid w:val="08494748"/>
    <w:rsid w:val="086626CB"/>
    <w:rsid w:val="08790814"/>
    <w:rsid w:val="087E780F"/>
    <w:rsid w:val="08817F9A"/>
    <w:rsid w:val="08933F38"/>
    <w:rsid w:val="089E56D2"/>
    <w:rsid w:val="08B472FE"/>
    <w:rsid w:val="08B614BD"/>
    <w:rsid w:val="08B937A7"/>
    <w:rsid w:val="08CD671D"/>
    <w:rsid w:val="08D83875"/>
    <w:rsid w:val="08DC5EE7"/>
    <w:rsid w:val="08F56067"/>
    <w:rsid w:val="08F56798"/>
    <w:rsid w:val="09072AF5"/>
    <w:rsid w:val="090D78C9"/>
    <w:rsid w:val="09101FB3"/>
    <w:rsid w:val="091C78D0"/>
    <w:rsid w:val="09296C06"/>
    <w:rsid w:val="096209C7"/>
    <w:rsid w:val="09DD50DE"/>
    <w:rsid w:val="09E647E9"/>
    <w:rsid w:val="09F8752F"/>
    <w:rsid w:val="0A0D439F"/>
    <w:rsid w:val="0A0F0D09"/>
    <w:rsid w:val="0A1D4600"/>
    <w:rsid w:val="0A1F68B2"/>
    <w:rsid w:val="0A210F95"/>
    <w:rsid w:val="0A2836E0"/>
    <w:rsid w:val="0A29194C"/>
    <w:rsid w:val="0A593073"/>
    <w:rsid w:val="0A6F7DBC"/>
    <w:rsid w:val="0A8060BC"/>
    <w:rsid w:val="0A8E5529"/>
    <w:rsid w:val="0AB44EF5"/>
    <w:rsid w:val="0AC159A6"/>
    <w:rsid w:val="0AC50E20"/>
    <w:rsid w:val="0AE34BB1"/>
    <w:rsid w:val="0AED0B6E"/>
    <w:rsid w:val="0AF3467D"/>
    <w:rsid w:val="0B3807D5"/>
    <w:rsid w:val="0B4B7099"/>
    <w:rsid w:val="0B5B09C7"/>
    <w:rsid w:val="0B6B253C"/>
    <w:rsid w:val="0B747542"/>
    <w:rsid w:val="0B9E1A60"/>
    <w:rsid w:val="0BAD70EA"/>
    <w:rsid w:val="0BAE1846"/>
    <w:rsid w:val="0BE25B5E"/>
    <w:rsid w:val="0BE60C5C"/>
    <w:rsid w:val="0BF33BB4"/>
    <w:rsid w:val="0C296CAE"/>
    <w:rsid w:val="0C365370"/>
    <w:rsid w:val="0C442C80"/>
    <w:rsid w:val="0C4B30F1"/>
    <w:rsid w:val="0C5C039E"/>
    <w:rsid w:val="0C7376A8"/>
    <w:rsid w:val="0C801F53"/>
    <w:rsid w:val="0C8076E1"/>
    <w:rsid w:val="0CA97841"/>
    <w:rsid w:val="0CC91E49"/>
    <w:rsid w:val="0CD74479"/>
    <w:rsid w:val="0CDA5792"/>
    <w:rsid w:val="0CEC538C"/>
    <w:rsid w:val="0CF22F65"/>
    <w:rsid w:val="0CFD3771"/>
    <w:rsid w:val="0D001BEA"/>
    <w:rsid w:val="0D0A7F77"/>
    <w:rsid w:val="0D4D0748"/>
    <w:rsid w:val="0D5F5515"/>
    <w:rsid w:val="0D732D41"/>
    <w:rsid w:val="0D7F675D"/>
    <w:rsid w:val="0D8943DC"/>
    <w:rsid w:val="0D8A04E4"/>
    <w:rsid w:val="0D932BB8"/>
    <w:rsid w:val="0D98461B"/>
    <w:rsid w:val="0DA82EB9"/>
    <w:rsid w:val="0DB05834"/>
    <w:rsid w:val="0DB904D9"/>
    <w:rsid w:val="0DBB0918"/>
    <w:rsid w:val="0DD763F8"/>
    <w:rsid w:val="0DE25782"/>
    <w:rsid w:val="0DEE271A"/>
    <w:rsid w:val="0DF148E8"/>
    <w:rsid w:val="0E210D90"/>
    <w:rsid w:val="0E280BF1"/>
    <w:rsid w:val="0E2A2732"/>
    <w:rsid w:val="0E2F7B01"/>
    <w:rsid w:val="0E4B5699"/>
    <w:rsid w:val="0E512E80"/>
    <w:rsid w:val="0E6A780F"/>
    <w:rsid w:val="0E6E1A32"/>
    <w:rsid w:val="0E7B5018"/>
    <w:rsid w:val="0E915BD0"/>
    <w:rsid w:val="0EA0297F"/>
    <w:rsid w:val="0ECC6808"/>
    <w:rsid w:val="0ECD4128"/>
    <w:rsid w:val="0EEB17F5"/>
    <w:rsid w:val="0EF05635"/>
    <w:rsid w:val="0F0913A4"/>
    <w:rsid w:val="0F2C61D7"/>
    <w:rsid w:val="0F2E17C2"/>
    <w:rsid w:val="0F360DD3"/>
    <w:rsid w:val="0F3732BC"/>
    <w:rsid w:val="0F3778B0"/>
    <w:rsid w:val="0F6B1793"/>
    <w:rsid w:val="0F7B5DFB"/>
    <w:rsid w:val="0F7E052B"/>
    <w:rsid w:val="0FE577D3"/>
    <w:rsid w:val="0FF37EF3"/>
    <w:rsid w:val="0FF8532C"/>
    <w:rsid w:val="0FFE4C46"/>
    <w:rsid w:val="10064480"/>
    <w:rsid w:val="100930B7"/>
    <w:rsid w:val="10156FD1"/>
    <w:rsid w:val="101E1944"/>
    <w:rsid w:val="101F2AE5"/>
    <w:rsid w:val="10371F2F"/>
    <w:rsid w:val="104D6166"/>
    <w:rsid w:val="104F7DA1"/>
    <w:rsid w:val="10530BDA"/>
    <w:rsid w:val="105A6D80"/>
    <w:rsid w:val="107B23CF"/>
    <w:rsid w:val="107E1871"/>
    <w:rsid w:val="10824E25"/>
    <w:rsid w:val="109D5307"/>
    <w:rsid w:val="10BD0186"/>
    <w:rsid w:val="10BD5626"/>
    <w:rsid w:val="10C85301"/>
    <w:rsid w:val="10C91E64"/>
    <w:rsid w:val="10EA00FD"/>
    <w:rsid w:val="10F5099F"/>
    <w:rsid w:val="10FC717A"/>
    <w:rsid w:val="11046680"/>
    <w:rsid w:val="11362D37"/>
    <w:rsid w:val="11423CF0"/>
    <w:rsid w:val="1159255C"/>
    <w:rsid w:val="115D038D"/>
    <w:rsid w:val="116533DF"/>
    <w:rsid w:val="116741A8"/>
    <w:rsid w:val="11887A9E"/>
    <w:rsid w:val="119E030F"/>
    <w:rsid w:val="11A56D47"/>
    <w:rsid w:val="11AC3296"/>
    <w:rsid w:val="11BF3764"/>
    <w:rsid w:val="11BF5D6D"/>
    <w:rsid w:val="11CB1769"/>
    <w:rsid w:val="11D779E5"/>
    <w:rsid w:val="11EF6486"/>
    <w:rsid w:val="11F75962"/>
    <w:rsid w:val="11FB3135"/>
    <w:rsid w:val="11FC0451"/>
    <w:rsid w:val="120C4EB8"/>
    <w:rsid w:val="122D760A"/>
    <w:rsid w:val="12311F5A"/>
    <w:rsid w:val="12401274"/>
    <w:rsid w:val="12427601"/>
    <w:rsid w:val="12443BB5"/>
    <w:rsid w:val="12543C29"/>
    <w:rsid w:val="125944FB"/>
    <w:rsid w:val="125E7954"/>
    <w:rsid w:val="12624EB7"/>
    <w:rsid w:val="127E2A3C"/>
    <w:rsid w:val="12817B86"/>
    <w:rsid w:val="1282388F"/>
    <w:rsid w:val="128572E6"/>
    <w:rsid w:val="128A0F8B"/>
    <w:rsid w:val="129139EE"/>
    <w:rsid w:val="12B26461"/>
    <w:rsid w:val="12D228CA"/>
    <w:rsid w:val="12E5226C"/>
    <w:rsid w:val="12F36759"/>
    <w:rsid w:val="1300045E"/>
    <w:rsid w:val="130A6921"/>
    <w:rsid w:val="131D05FC"/>
    <w:rsid w:val="133D024F"/>
    <w:rsid w:val="133D6D87"/>
    <w:rsid w:val="13716BB4"/>
    <w:rsid w:val="13821EE1"/>
    <w:rsid w:val="13890B9C"/>
    <w:rsid w:val="13986F90"/>
    <w:rsid w:val="13CB4137"/>
    <w:rsid w:val="13D11AEC"/>
    <w:rsid w:val="13EE3920"/>
    <w:rsid w:val="13F27FD8"/>
    <w:rsid w:val="13FA3C10"/>
    <w:rsid w:val="14197590"/>
    <w:rsid w:val="141C7AF8"/>
    <w:rsid w:val="142D5867"/>
    <w:rsid w:val="14311C3C"/>
    <w:rsid w:val="14A05CEA"/>
    <w:rsid w:val="14BA7BD0"/>
    <w:rsid w:val="14BE0DA8"/>
    <w:rsid w:val="14DD3B3D"/>
    <w:rsid w:val="14DF2DE8"/>
    <w:rsid w:val="14E20E88"/>
    <w:rsid w:val="14E71B9C"/>
    <w:rsid w:val="14ED24C4"/>
    <w:rsid w:val="14FE6E45"/>
    <w:rsid w:val="15030DD2"/>
    <w:rsid w:val="15036B89"/>
    <w:rsid w:val="151246C1"/>
    <w:rsid w:val="15300534"/>
    <w:rsid w:val="15430081"/>
    <w:rsid w:val="1549179A"/>
    <w:rsid w:val="155855A0"/>
    <w:rsid w:val="15760A82"/>
    <w:rsid w:val="15885993"/>
    <w:rsid w:val="15943580"/>
    <w:rsid w:val="159F71E4"/>
    <w:rsid w:val="15D10E95"/>
    <w:rsid w:val="15DA54BE"/>
    <w:rsid w:val="15DE1A29"/>
    <w:rsid w:val="16883ABF"/>
    <w:rsid w:val="169E0857"/>
    <w:rsid w:val="16AA3EEF"/>
    <w:rsid w:val="16BB65F1"/>
    <w:rsid w:val="16C30E50"/>
    <w:rsid w:val="16DF70C3"/>
    <w:rsid w:val="16E36A8E"/>
    <w:rsid w:val="17174321"/>
    <w:rsid w:val="17382C6C"/>
    <w:rsid w:val="174B46C6"/>
    <w:rsid w:val="17720EFB"/>
    <w:rsid w:val="17861BAD"/>
    <w:rsid w:val="17B2733D"/>
    <w:rsid w:val="17BD1C82"/>
    <w:rsid w:val="17D32110"/>
    <w:rsid w:val="17EF333D"/>
    <w:rsid w:val="17F736BA"/>
    <w:rsid w:val="180B1C8C"/>
    <w:rsid w:val="1856228A"/>
    <w:rsid w:val="18655549"/>
    <w:rsid w:val="188577AF"/>
    <w:rsid w:val="189D5730"/>
    <w:rsid w:val="18AE6BDF"/>
    <w:rsid w:val="18BC41FE"/>
    <w:rsid w:val="18D255E8"/>
    <w:rsid w:val="18E73115"/>
    <w:rsid w:val="18EC2C6A"/>
    <w:rsid w:val="190A6030"/>
    <w:rsid w:val="191206D3"/>
    <w:rsid w:val="192E2BD3"/>
    <w:rsid w:val="19362545"/>
    <w:rsid w:val="196E264B"/>
    <w:rsid w:val="197B5636"/>
    <w:rsid w:val="19895EC6"/>
    <w:rsid w:val="198D30EC"/>
    <w:rsid w:val="19953906"/>
    <w:rsid w:val="1A200C49"/>
    <w:rsid w:val="1A2C7C12"/>
    <w:rsid w:val="1A382E26"/>
    <w:rsid w:val="1A5C16D9"/>
    <w:rsid w:val="1A5C6D63"/>
    <w:rsid w:val="1A6636EF"/>
    <w:rsid w:val="1A7636B6"/>
    <w:rsid w:val="1A7B17BE"/>
    <w:rsid w:val="1AE133EF"/>
    <w:rsid w:val="1AEF4DAE"/>
    <w:rsid w:val="1AF77FAB"/>
    <w:rsid w:val="1AFB020E"/>
    <w:rsid w:val="1B1E3102"/>
    <w:rsid w:val="1B492FF3"/>
    <w:rsid w:val="1B4950A4"/>
    <w:rsid w:val="1B556620"/>
    <w:rsid w:val="1BA324C2"/>
    <w:rsid w:val="1BA61267"/>
    <w:rsid w:val="1BAC23D1"/>
    <w:rsid w:val="1BAF2B44"/>
    <w:rsid w:val="1BF3384F"/>
    <w:rsid w:val="1C217BE5"/>
    <w:rsid w:val="1C2663BF"/>
    <w:rsid w:val="1C36433C"/>
    <w:rsid w:val="1C376E21"/>
    <w:rsid w:val="1C607E4F"/>
    <w:rsid w:val="1C721035"/>
    <w:rsid w:val="1C887DF5"/>
    <w:rsid w:val="1C89288A"/>
    <w:rsid w:val="1CA47846"/>
    <w:rsid w:val="1CC858B2"/>
    <w:rsid w:val="1CD565D5"/>
    <w:rsid w:val="1CDF63BF"/>
    <w:rsid w:val="1CDF6675"/>
    <w:rsid w:val="1CEE3DB8"/>
    <w:rsid w:val="1CEE63EC"/>
    <w:rsid w:val="1CEF14EF"/>
    <w:rsid w:val="1CF43006"/>
    <w:rsid w:val="1CF830A8"/>
    <w:rsid w:val="1D077570"/>
    <w:rsid w:val="1D31095C"/>
    <w:rsid w:val="1D325942"/>
    <w:rsid w:val="1D362527"/>
    <w:rsid w:val="1D544784"/>
    <w:rsid w:val="1D672B1F"/>
    <w:rsid w:val="1D686564"/>
    <w:rsid w:val="1D8B3670"/>
    <w:rsid w:val="1DA73124"/>
    <w:rsid w:val="1DAE0556"/>
    <w:rsid w:val="1DB1270C"/>
    <w:rsid w:val="1DB63A0F"/>
    <w:rsid w:val="1DB67C12"/>
    <w:rsid w:val="1DD50B1E"/>
    <w:rsid w:val="1E060554"/>
    <w:rsid w:val="1E0F6E32"/>
    <w:rsid w:val="1E153157"/>
    <w:rsid w:val="1E415560"/>
    <w:rsid w:val="1E5D18EA"/>
    <w:rsid w:val="1E604A81"/>
    <w:rsid w:val="1E706AC5"/>
    <w:rsid w:val="1E706D9C"/>
    <w:rsid w:val="1E841A5F"/>
    <w:rsid w:val="1EA33881"/>
    <w:rsid w:val="1EA40105"/>
    <w:rsid w:val="1EA972F9"/>
    <w:rsid w:val="1EBC7CC4"/>
    <w:rsid w:val="1EC665E8"/>
    <w:rsid w:val="1ED575C7"/>
    <w:rsid w:val="1ED6554F"/>
    <w:rsid w:val="1EDC6093"/>
    <w:rsid w:val="1EE547FD"/>
    <w:rsid w:val="1F2C543C"/>
    <w:rsid w:val="1F2D4BA7"/>
    <w:rsid w:val="1F3900B9"/>
    <w:rsid w:val="1F524DE1"/>
    <w:rsid w:val="1F69585D"/>
    <w:rsid w:val="1F6B38B0"/>
    <w:rsid w:val="1FCE2385"/>
    <w:rsid w:val="1FD0749B"/>
    <w:rsid w:val="1FE35ADC"/>
    <w:rsid w:val="1FEF4B39"/>
    <w:rsid w:val="1FF30D7D"/>
    <w:rsid w:val="1FF445F0"/>
    <w:rsid w:val="20002B4D"/>
    <w:rsid w:val="20277BF8"/>
    <w:rsid w:val="203A5CDB"/>
    <w:rsid w:val="203E3F3D"/>
    <w:rsid w:val="204F04D1"/>
    <w:rsid w:val="20507243"/>
    <w:rsid w:val="206823A1"/>
    <w:rsid w:val="20771030"/>
    <w:rsid w:val="207A43DF"/>
    <w:rsid w:val="207F6629"/>
    <w:rsid w:val="208F54C7"/>
    <w:rsid w:val="20966D6A"/>
    <w:rsid w:val="20B24112"/>
    <w:rsid w:val="20CB4F5C"/>
    <w:rsid w:val="20D91DD8"/>
    <w:rsid w:val="20DD5762"/>
    <w:rsid w:val="20E57C35"/>
    <w:rsid w:val="20EE43F2"/>
    <w:rsid w:val="20F301B2"/>
    <w:rsid w:val="20F716A2"/>
    <w:rsid w:val="20F903BB"/>
    <w:rsid w:val="21011A51"/>
    <w:rsid w:val="21096B24"/>
    <w:rsid w:val="210B25F8"/>
    <w:rsid w:val="21101702"/>
    <w:rsid w:val="211E2099"/>
    <w:rsid w:val="2123675E"/>
    <w:rsid w:val="21585B1E"/>
    <w:rsid w:val="21637A27"/>
    <w:rsid w:val="216C08BA"/>
    <w:rsid w:val="21803A73"/>
    <w:rsid w:val="2180706A"/>
    <w:rsid w:val="21A665AD"/>
    <w:rsid w:val="21B33C19"/>
    <w:rsid w:val="21BB34D8"/>
    <w:rsid w:val="21D722C1"/>
    <w:rsid w:val="21DF24FF"/>
    <w:rsid w:val="21E434E3"/>
    <w:rsid w:val="21ED5329"/>
    <w:rsid w:val="21FA3097"/>
    <w:rsid w:val="22130535"/>
    <w:rsid w:val="22136A87"/>
    <w:rsid w:val="222B18DD"/>
    <w:rsid w:val="222C0C93"/>
    <w:rsid w:val="223875B0"/>
    <w:rsid w:val="224B3D5F"/>
    <w:rsid w:val="2258252F"/>
    <w:rsid w:val="225E4F1E"/>
    <w:rsid w:val="22687BBB"/>
    <w:rsid w:val="22727ED5"/>
    <w:rsid w:val="22815E0A"/>
    <w:rsid w:val="228F63A9"/>
    <w:rsid w:val="22A177E6"/>
    <w:rsid w:val="22B34155"/>
    <w:rsid w:val="22E6677E"/>
    <w:rsid w:val="230B479D"/>
    <w:rsid w:val="231D3794"/>
    <w:rsid w:val="233236E3"/>
    <w:rsid w:val="233B768D"/>
    <w:rsid w:val="23404506"/>
    <w:rsid w:val="2346752C"/>
    <w:rsid w:val="23585DD8"/>
    <w:rsid w:val="235B4AD3"/>
    <w:rsid w:val="237D05D8"/>
    <w:rsid w:val="239B1C02"/>
    <w:rsid w:val="23AB3963"/>
    <w:rsid w:val="23BA793E"/>
    <w:rsid w:val="23C178EF"/>
    <w:rsid w:val="23D17044"/>
    <w:rsid w:val="23D172B3"/>
    <w:rsid w:val="23E40684"/>
    <w:rsid w:val="23F23381"/>
    <w:rsid w:val="2411563C"/>
    <w:rsid w:val="242447AF"/>
    <w:rsid w:val="24334C53"/>
    <w:rsid w:val="24771FAD"/>
    <w:rsid w:val="24806B88"/>
    <w:rsid w:val="24A85DAC"/>
    <w:rsid w:val="24D75451"/>
    <w:rsid w:val="24DC47FF"/>
    <w:rsid w:val="24FA2F5C"/>
    <w:rsid w:val="25005256"/>
    <w:rsid w:val="250439EF"/>
    <w:rsid w:val="25125DA7"/>
    <w:rsid w:val="25155392"/>
    <w:rsid w:val="25230651"/>
    <w:rsid w:val="2557729C"/>
    <w:rsid w:val="255A6A4F"/>
    <w:rsid w:val="256E6CC0"/>
    <w:rsid w:val="257239B5"/>
    <w:rsid w:val="257A3E03"/>
    <w:rsid w:val="258C3DF5"/>
    <w:rsid w:val="25BE37B2"/>
    <w:rsid w:val="25E1786F"/>
    <w:rsid w:val="25EB11E1"/>
    <w:rsid w:val="25F252DE"/>
    <w:rsid w:val="25F453F1"/>
    <w:rsid w:val="25F574EA"/>
    <w:rsid w:val="25FE2FCB"/>
    <w:rsid w:val="260B280F"/>
    <w:rsid w:val="263F3EBB"/>
    <w:rsid w:val="266E1364"/>
    <w:rsid w:val="26762AA6"/>
    <w:rsid w:val="2676577D"/>
    <w:rsid w:val="268E2249"/>
    <w:rsid w:val="26947E8D"/>
    <w:rsid w:val="26A67D94"/>
    <w:rsid w:val="26C52C94"/>
    <w:rsid w:val="26D25322"/>
    <w:rsid w:val="26E51871"/>
    <w:rsid w:val="26EC52C4"/>
    <w:rsid w:val="26FD1062"/>
    <w:rsid w:val="27224B0F"/>
    <w:rsid w:val="272F1E9F"/>
    <w:rsid w:val="274E1A68"/>
    <w:rsid w:val="2764417B"/>
    <w:rsid w:val="27795A37"/>
    <w:rsid w:val="278476CC"/>
    <w:rsid w:val="27B534EB"/>
    <w:rsid w:val="27D20FB9"/>
    <w:rsid w:val="27F710A0"/>
    <w:rsid w:val="27FC6414"/>
    <w:rsid w:val="28230182"/>
    <w:rsid w:val="282500A3"/>
    <w:rsid w:val="282E0D0A"/>
    <w:rsid w:val="283659E1"/>
    <w:rsid w:val="283C7597"/>
    <w:rsid w:val="284F7247"/>
    <w:rsid w:val="2854115A"/>
    <w:rsid w:val="285C0EE0"/>
    <w:rsid w:val="286744CD"/>
    <w:rsid w:val="287B2854"/>
    <w:rsid w:val="2887096F"/>
    <w:rsid w:val="28891A68"/>
    <w:rsid w:val="28902395"/>
    <w:rsid w:val="28AF5DA3"/>
    <w:rsid w:val="28B0142C"/>
    <w:rsid w:val="28B031C4"/>
    <w:rsid w:val="28B813D8"/>
    <w:rsid w:val="28C05393"/>
    <w:rsid w:val="28C15F16"/>
    <w:rsid w:val="28C8217E"/>
    <w:rsid w:val="28D13A25"/>
    <w:rsid w:val="28DD5E7B"/>
    <w:rsid w:val="28E23AA6"/>
    <w:rsid w:val="291433AE"/>
    <w:rsid w:val="292274D8"/>
    <w:rsid w:val="29432A42"/>
    <w:rsid w:val="294F62D4"/>
    <w:rsid w:val="2976043F"/>
    <w:rsid w:val="297F0A8C"/>
    <w:rsid w:val="29834CA6"/>
    <w:rsid w:val="298429E5"/>
    <w:rsid w:val="29974DB5"/>
    <w:rsid w:val="29AA7F26"/>
    <w:rsid w:val="29BF7836"/>
    <w:rsid w:val="29D250A3"/>
    <w:rsid w:val="29D97152"/>
    <w:rsid w:val="29EA6773"/>
    <w:rsid w:val="29EF5A2F"/>
    <w:rsid w:val="2A2622F9"/>
    <w:rsid w:val="2A2E7A7E"/>
    <w:rsid w:val="2A4735A8"/>
    <w:rsid w:val="2A5F40B6"/>
    <w:rsid w:val="2A8F4C99"/>
    <w:rsid w:val="2AC26ACA"/>
    <w:rsid w:val="2AEF1DCA"/>
    <w:rsid w:val="2AF222F4"/>
    <w:rsid w:val="2B1A174A"/>
    <w:rsid w:val="2B332625"/>
    <w:rsid w:val="2B4F7D3F"/>
    <w:rsid w:val="2B565E56"/>
    <w:rsid w:val="2B722544"/>
    <w:rsid w:val="2B7865F9"/>
    <w:rsid w:val="2B8C374E"/>
    <w:rsid w:val="2B8E32D2"/>
    <w:rsid w:val="2B8F46B6"/>
    <w:rsid w:val="2B991DFF"/>
    <w:rsid w:val="2B9B6EC7"/>
    <w:rsid w:val="2BF24C23"/>
    <w:rsid w:val="2BFC6B25"/>
    <w:rsid w:val="2C4037D6"/>
    <w:rsid w:val="2C421FD2"/>
    <w:rsid w:val="2C6B4093"/>
    <w:rsid w:val="2C997AF3"/>
    <w:rsid w:val="2C997CDE"/>
    <w:rsid w:val="2C9E14E5"/>
    <w:rsid w:val="2CD17A2B"/>
    <w:rsid w:val="2CD25FF8"/>
    <w:rsid w:val="2CEB3F16"/>
    <w:rsid w:val="2CF3392B"/>
    <w:rsid w:val="2D377655"/>
    <w:rsid w:val="2D403484"/>
    <w:rsid w:val="2D5752B1"/>
    <w:rsid w:val="2D651E34"/>
    <w:rsid w:val="2D8867B9"/>
    <w:rsid w:val="2DAB5DC1"/>
    <w:rsid w:val="2DB923D8"/>
    <w:rsid w:val="2DC636D0"/>
    <w:rsid w:val="2DE11ED3"/>
    <w:rsid w:val="2DF14475"/>
    <w:rsid w:val="2DF16791"/>
    <w:rsid w:val="2DF83CAE"/>
    <w:rsid w:val="2DFE6D33"/>
    <w:rsid w:val="2E1036F7"/>
    <w:rsid w:val="2E1B769A"/>
    <w:rsid w:val="2E1E4BC1"/>
    <w:rsid w:val="2E2F76FC"/>
    <w:rsid w:val="2E3B3187"/>
    <w:rsid w:val="2E422DCC"/>
    <w:rsid w:val="2E480BC9"/>
    <w:rsid w:val="2E754540"/>
    <w:rsid w:val="2E905186"/>
    <w:rsid w:val="2ED2330B"/>
    <w:rsid w:val="2EDC447A"/>
    <w:rsid w:val="2EE5733A"/>
    <w:rsid w:val="2EE63007"/>
    <w:rsid w:val="2EEC21F9"/>
    <w:rsid w:val="2EEC72C6"/>
    <w:rsid w:val="2EEE11AC"/>
    <w:rsid w:val="2EF85C1C"/>
    <w:rsid w:val="2EFE35E8"/>
    <w:rsid w:val="2F197272"/>
    <w:rsid w:val="2F25618F"/>
    <w:rsid w:val="2F315682"/>
    <w:rsid w:val="2F4E6128"/>
    <w:rsid w:val="2F593497"/>
    <w:rsid w:val="2F80221D"/>
    <w:rsid w:val="2FA6202F"/>
    <w:rsid w:val="2FAB4F67"/>
    <w:rsid w:val="2FD17E98"/>
    <w:rsid w:val="2FDB47FA"/>
    <w:rsid w:val="2FED2DCB"/>
    <w:rsid w:val="30190FC5"/>
    <w:rsid w:val="301A7CAA"/>
    <w:rsid w:val="303F08C7"/>
    <w:rsid w:val="30412492"/>
    <w:rsid w:val="304704C5"/>
    <w:rsid w:val="30615FED"/>
    <w:rsid w:val="309713C6"/>
    <w:rsid w:val="30A232E4"/>
    <w:rsid w:val="30C50C66"/>
    <w:rsid w:val="30ED1711"/>
    <w:rsid w:val="31167200"/>
    <w:rsid w:val="31286AFF"/>
    <w:rsid w:val="312C69BA"/>
    <w:rsid w:val="31393DCB"/>
    <w:rsid w:val="31636DC3"/>
    <w:rsid w:val="316A224B"/>
    <w:rsid w:val="316D2854"/>
    <w:rsid w:val="31712EBC"/>
    <w:rsid w:val="317D5FB6"/>
    <w:rsid w:val="318C7F04"/>
    <w:rsid w:val="319C5AA7"/>
    <w:rsid w:val="319F465C"/>
    <w:rsid w:val="31AF0B74"/>
    <w:rsid w:val="31B15DC9"/>
    <w:rsid w:val="31BB4B98"/>
    <w:rsid w:val="31C32FA3"/>
    <w:rsid w:val="31CD468B"/>
    <w:rsid w:val="31D91BE1"/>
    <w:rsid w:val="31E60856"/>
    <w:rsid w:val="31EA35E8"/>
    <w:rsid w:val="322C0610"/>
    <w:rsid w:val="322E1BFD"/>
    <w:rsid w:val="32374B29"/>
    <w:rsid w:val="323A3E96"/>
    <w:rsid w:val="323E22F7"/>
    <w:rsid w:val="32684D0A"/>
    <w:rsid w:val="32A5173A"/>
    <w:rsid w:val="32BB148C"/>
    <w:rsid w:val="32BB6217"/>
    <w:rsid w:val="32E72985"/>
    <w:rsid w:val="33141BE1"/>
    <w:rsid w:val="33291ACF"/>
    <w:rsid w:val="332E0382"/>
    <w:rsid w:val="333247F9"/>
    <w:rsid w:val="333D7CDA"/>
    <w:rsid w:val="3360151A"/>
    <w:rsid w:val="33607738"/>
    <w:rsid w:val="336C20F6"/>
    <w:rsid w:val="337D6DD6"/>
    <w:rsid w:val="338B6AB9"/>
    <w:rsid w:val="339561DB"/>
    <w:rsid w:val="339670C9"/>
    <w:rsid w:val="339B1966"/>
    <w:rsid w:val="33A23507"/>
    <w:rsid w:val="33AE0F5F"/>
    <w:rsid w:val="33B533B8"/>
    <w:rsid w:val="33C1178D"/>
    <w:rsid w:val="33CD5CBF"/>
    <w:rsid w:val="33CF6A93"/>
    <w:rsid w:val="33D52CF0"/>
    <w:rsid w:val="33E3198C"/>
    <w:rsid w:val="33F352AE"/>
    <w:rsid w:val="341663D8"/>
    <w:rsid w:val="34491953"/>
    <w:rsid w:val="344F1FA8"/>
    <w:rsid w:val="345721E6"/>
    <w:rsid w:val="34652A76"/>
    <w:rsid w:val="34751483"/>
    <w:rsid w:val="34B44B7E"/>
    <w:rsid w:val="34B47044"/>
    <w:rsid w:val="34C27D82"/>
    <w:rsid w:val="34F3055A"/>
    <w:rsid w:val="35050DCE"/>
    <w:rsid w:val="35056F41"/>
    <w:rsid w:val="350A4AD0"/>
    <w:rsid w:val="350F0702"/>
    <w:rsid w:val="35537C83"/>
    <w:rsid w:val="35624D7D"/>
    <w:rsid w:val="356D2883"/>
    <w:rsid w:val="3575311A"/>
    <w:rsid w:val="35A873D1"/>
    <w:rsid w:val="35A938A1"/>
    <w:rsid w:val="35C76FEA"/>
    <w:rsid w:val="360216D9"/>
    <w:rsid w:val="36312097"/>
    <w:rsid w:val="36370F8A"/>
    <w:rsid w:val="36460B81"/>
    <w:rsid w:val="36495886"/>
    <w:rsid w:val="36594664"/>
    <w:rsid w:val="36637A63"/>
    <w:rsid w:val="367F4F73"/>
    <w:rsid w:val="36B62D2D"/>
    <w:rsid w:val="36BD7ABD"/>
    <w:rsid w:val="36DA285C"/>
    <w:rsid w:val="36DF1B09"/>
    <w:rsid w:val="36F5558D"/>
    <w:rsid w:val="36FA75CB"/>
    <w:rsid w:val="36FE69CC"/>
    <w:rsid w:val="37077031"/>
    <w:rsid w:val="370A446C"/>
    <w:rsid w:val="3715334A"/>
    <w:rsid w:val="37186290"/>
    <w:rsid w:val="371F5514"/>
    <w:rsid w:val="37236D14"/>
    <w:rsid w:val="372A393D"/>
    <w:rsid w:val="374A1271"/>
    <w:rsid w:val="37570C92"/>
    <w:rsid w:val="376806DB"/>
    <w:rsid w:val="377B1B2F"/>
    <w:rsid w:val="37846EE5"/>
    <w:rsid w:val="379461DF"/>
    <w:rsid w:val="379C5527"/>
    <w:rsid w:val="379F25AA"/>
    <w:rsid w:val="37B7331B"/>
    <w:rsid w:val="37BE432D"/>
    <w:rsid w:val="37C002CF"/>
    <w:rsid w:val="37C0269B"/>
    <w:rsid w:val="37C20289"/>
    <w:rsid w:val="37C3512D"/>
    <w:rsid w:val="37C911B3"/>
    <w:rsid w:val="37CC113C"/>
    <w:rsid w:val="37DD3769"/>
    <w:rsid w:val="37FE4685"/>
    <w:rsid w:val="38316343"/>
    <w:rsid w:val="384F1D65"/>
    <w:rsid w:val="38540962"/>
    <w:rsid w:val="38727B02"/>
    <w:rsid w:val="38812AD7"/>
    <w:rsid w:val="389F5CD8"/>
    <w:rsid w:val="38AA6BDA"/>
    <w:rsid w:val="38B279EB"/>
    <w:rsid w:val="38B82AF5"/>
    <w:rsid w:val="38C7204D"/>
    <w:rsid w:val="38EA6C83"/>
    <w:rsid w:val="392B1828"/>
    <w:rsid w:val="393254E2"/>
    <w:rsid w:val="394D58E5"/>
    <w:rsid w:val="395774C5"/>
    <w:rsid w:val="397C3ACB"/>
    <w:rsid w:val="39933B19"/>
    <w:rsid w:val="39A33CED"/>
    <w:rsid w:val="39B63F14"/>
    <w:rsid w:val="39BB11C0"/>
    <w:rsid w:val="39C06E36"/>
    <w:rsid w:val="39D0458A"/>
    <w:rsid w:val="39DA6E53"/>
    <w:rsid w:val="39E76AA0"/>
    <w:rsid w:val="39ED5AEC"/>
    <w:rsid w:val="39F25C1A"/>
    <w:rsid w:val="39F27B99"/>
    <w:rsid w:val="3A2B463D"/>
    <w:rsid w:val="3A2E7F50"/>
    <w:rsid w:val="3A31147B"/>
    <w:rsid w:val="3A386A14"/>
    <w:rsid w:val="3A3C0A2C"/>
    <w:rsid w:val="3A453174"/>
    <w:rsid w:val="3A5133D0"/>
    <w:rsid w:val="3A52381C"/>
    <w:rsid w:val="3A553E5B"/>
    <w:rsid w:val="3A58654F"/>
    <w:rsid w:val="3A687E26"/>
    <w:rsid w:val="3A8322BE"/>
    <w:rsid w:val="3A8872F8"/>
    <w:rsid w:val="3AC7728A"/>
    <w:rsid w:val="3ACB380C"/>
    <w:rsid w:val="3AE043B0"/>
    <w:rsid w:val="3AED7894"/>
    <w:rsid w:val="3AF468A3"/>
    <w:rsid w:val="3AF6205F"/>
    <w:rsid w:val="3B050D2B"/>
    <w:rsid w:val="3B1D2FE9"/>
    <w:rsid w:val="3B1F566C"/>
    <w:rsid w:val="3B265D2B"/>
    <w:rsid w:val="3B497D60"/>
    <w:rsid w:val="3B4D0406"/>
    <w:rsid w:val="3B4F3729"/>
    <w:rsid w:val="3B500F7F"/>
    <w:rsid w:val="3B5C1C29"/>
    <w:rsid w:val="3B716F78"/>
    <w:rsid w:val="3B7246CE"/>
    <w:rsid w:val="3B8725C8"/>
    <w:rsid w:val="3BA15996"/>
    <w:rsid w:val="3BB22E4D"/>
    <w:rsid w:val="3BB46BAC"/>
    <w:rsid w:val="3BB54638"/>
    <w:rsid w:val="3BD62991"/>
    <w:rsid w:val="3BD95935"/>
    <w:rsid w:val="3BF34A5A"/>
    <w:rsid w:val="3C263FE4"/>
    <w:rsid w:val="3C2A50F0"/>
    <w:rsid w:val="3C2B11E4"/>
    <w:rsid w:val="3C391AE8"/>
    <w:rsid w:val="3C40286C"/>
    <w:rsid w:val="3C4373C4"/>
    <w:rsid w:val="3C4822F8"/>
    <w:rsid w:val="3C654A8B"/>
    <w:rsid w:val="3C735311"/>
    <w:rsid w:val="3C83198E"/>
    <w:rsid w:val="3C904666"/>
    <w:rsid w:val="3C9508B9"/>
    <w:rsid w:val="3CBE1861"/>
    <w:rsid w:val="3CCB3382"/>
    <w:rsid w:val="3CD06F1D"/>
    <w:rsid w:val="3CD64FB8"/>
    <w:rsid w:val="3CD9405C"/>
    <w:rsid w:val="3CDB019A"/>
    <w:rsid w:val="3CE83CA8"/>
    <w:rsid w:val="3CEB48A4"/>
    <w:rsid w:val="3CF672F5"/>
    <w:rsid w:val="3D11065F"/>
    <w:rsid w:val="3D32517E"/>
    <w:rsid w:val="3D3A6765"/>
    <w:rsid w:val="3D5B4B1B"/>
    <w:rsid w:val="3D6E409E"/>
    <w:rsid w:val="3D7778E1"/>
    <w:rsid w:val="3DD64A42"/>
    <w:rsid w:val="3DFF7691"/>
    <w:rsid w:val="3E21293C"/>
    <w:rsid w:val="3E651F74"/>
    <w:rsid w:val="3E6A644A"/>
    <w:rsid w:val="3E711D4C"/>
    <w:rsid w:val="3E861F2A"/>
    <w:rsid w:val="3E865C72"/>
    <w:rsid w:val="3E920965"/>
    <w:rsid w:val="3E92378D"/>
    <w:rsid w:val="3EC57D85"/>
    <w:rsid w:val="3ED81093"/>
    <w:rsid w:val="3EF76DEB"/>
    <w:rsid w:val="3F147322"/>
    <w:rsid w:val="3F1B7BDA"/>
    <w:rsid w:val="3F4F53D8"/>
    <w:rsid w:val="3F7561FB"/>
    <w:rsid w:val="3F8175A9"/>
    <w:rsid w:val="3F9110FB"/>
    <w:rsid w:val="3F970AC9"/>
    <w:rsid w:val="3F983970"/>
    <w:rsid w:val="3FA04C1F"/>
    <w:rsid w:val="3FAB3EF2"/>
    <w:rsid w:val="3FB74B79"/>
    <w:rsid w:val="3FB97FE1"/>
    <w:rsid w:val="3FC62C11"/>
    <w:rsid w:val="3FE10133"/>
    <w:rsid w:val="3FF03FC2"/>
    <w:rsid w:val="400F586A"/>
    <w:rsid w:val="40225FCC"/>
    <w:rsid w:val="402C43AB"/>
    <w:rsid w:val="402D0F85"/>
    <w:rsid w:val="4031573F"/>
    <w:rsid w:val="403645F3"/>
    <w:rsid w:val="40490A9F"/>
    <w:rsid w:val="40491F46"/>
    <w:rsid w:val="40552CA2"/>
    <w:rsid w:val="40557CD3"/>
    <w:rsid w:val="40870038"/>
    <w:rsid w:val="40A86353"/>
    <w:rsid w:val="40CC47B9"/>
    <w:rsid w:val="40E41DEF"/>
    <w:rsid w:val="40F17FA1"/>
    <w:rsid w:val="40F2485A"/>
    <w:rsid w:val="40FC47E1"/>
    <w:rsid w:val="41304D25"/>
    <w:rsid w:val="41345493"/>
    <w:rsid w:val="4138297C"/>
    <w:rsid w:val="41487E60"/>
    <w:rsid w:val="416142A9"/>
    <w:rsid w:val="4188317F"/>
    <w:rsid w:val="41924FB9"/>
    <w:rsid w:val="41A47A58"/>
    <w:rsid w:val="41B34DF1"/>
    <w:rsid w:val="41BB0480"/>
    <w:rsid w:val="41BF708C"/>
    <w:rsid w:val="41D35C97"/>
    <w:rsid w:val="42041BE8"/>
    <w:rsid w:val="42085DE6"/>
    <w:rsid w:val="42097713"/>
    <w:rsid w:val="420B0B63"/>
    <w:rsid w:val="420D42E6"/>
    <w:rsid w:val="42186FAF"/>
    <w:rsid w:val="424065A5"/>
    <w:rsid w:val="42436B6D"/>
    <w:rsid w:val="426251C2"/>
    <w:rsid w:val="42635B8E"/>
    <w:rsid w:val="42664C1C"/>
    <w:rsid w:val="428C31DF"/>
    <w:rsid w:val="42A971E1"/>
    <w:rsid w:val="42BB2A5D"/>
    <w:rsid w:val="42C14FFB"/>
    <w:rsid w:val="42CB6444"/>
    <w:rsid w:val="42EA6D21"/>
    <w:rsid w:val="42F27836"/>
    <w:rsid w:val="430A6E5A"/>
    <w:rsid w:val="4330416F"/>
    <w:rsid w:val="433E2AAC"/>
    <w:rsid w:val="434F7A62"/>
    <w:rsid w:val="43543849"/>
    <w:rsid w:val="436752A6"/>
    <w:rsid w:val="437106B3"/>
    <w:rsid w:val="43804E58"/>
    <w:rsid w:val="43843FDD"/>
    <w:rsid w:val="43960A52"/>
    <w:rsid w:val="439F0E69"/>
    <w:rsid w:val="43A06761"/>
    <w:rsid w:val="43D7406A"/>
    <w:rsid w:val="43DC5799"/>
    <w:rsid w:val="43E0766C"/>
    <w:rsid w:val="43F42B17"/>
    <w:rsid w:val="44004259"/>
    <w:rsid w:val="441A3D23"/>
    <w:rsid w:val="441E1F6C"/>
    <w:rsid w:val="44284DFE"/>
    <w:rsid w:val="443B29FC"/>
    <w:rsid w:val="443B4DCB"/>
    <w:rsid w:val="443D5D23"/>
    <w:rsid w:val="44441B6F"/>
    <w:rsid w:val="44507B2F"/>
    <w:rsid w:val="44582009"/>
    <w:rsid w:val="445A7A65"/>
    <w:rsid w:val="4464327A"/>
    <w:rsid w:val="446A3FBF"/>
    <w:rsid w:val="44D8473A"/>
    <w:rsid w:val="44E2459A"/>
    <w:rsid w:val="44E37827"/>
    <w:rsid w:val="44E701A5"/>
    <w:rsid w:val="45080D22"/>
    <w:rsid w:val="450E74EC"/>
    <w:rsid w:val="45265484"/>
    <w:rsid w:val="452D74E0"/>
    <w:rsid w:val="45396AC7"/>
    <w:rsid w:val="45707641"/>
    <w:rsid w:val="457C4123"/>
    <w:rsid w:val="45855844"/>
    <w:rsid w:val="458B69F6"/>
    <w:rsid w:val="459A3F67"/>
    <w:rsid w:val="45A647C9"/>
    <w:rsid w:val="45C943D0"/>
    <w:rsid w:val="45DA6D30"/>
    <w:rsid w:val="45DE14B8"/>
    <w:rsid w:val="45E4725E"/>
    <w:rsid w:val="45E74374"/>
    <w:rsid w:val="463842DE"/>
    <w:rsid w:val="46386E53"/>
    <w:rsid w:val="4639036D"/>
    <w:rsid w:val="463A05A5"/>
    <w:rsid w:val="463A5557"/>
    <w:rsid w:val="46460291"/>
    <w:rsid w:val="464A0A81"/>
    <w:rsid w:val="46625A9D"/>
    <w:rsid w:val="4666004F"/>
    <w:rsid w:val="468027D9"/>
    <w:rsid w:val="469506DA"/>
    <w:rsid w:val="469B1818"/>
    <w:rsid w:val="46A9385A"/>
    <w:rsid w:val="46AB79C6"/>
    <w:rsid w:val="46CA4E0D"/>
    <w:rsid w:val="46D91070"/>
    <w:rsid w:val="470A724F"/>
    <w:rsid w:val="470B23CA"/>
    <w:rsid w:val="472762D3"/>
    <w:rsid w:val="4743732B"/>
    <w:rsid w:val="47454177"/>
    <w:rsid w:val="474F15D8"/>
    <w:rsid w:val="4754049B"/>
    <w:rsid w:val="475E7C0D"/>
    <w:rsid w:val="476262E1"/>
    <w:rsid w:val="476415D8"/>
    <w:rsid w:val="47701558"/>
    <w:rsid w:val="477426A5"/>
    <w:rsid w:val="47832B24"/>
    <w:rsid w:val="47873BD6"/>
    <w:rsid w:val="47892535"/>
    <w:rsid w:val="479B0248"/>
    <w:rsid w:val="47A73421"/>
    <w:rsid w:val="47B012A7"/>
    <w:rsid w:val="47B2336A"/>
    <w:rsid w:val="47BA4F6E"/>
    <w:rsid w:val="47D7366E"/>
    <w:rsid w:val="47E12DA0"/>
    <w:rsid w:val="47FC5917"/>
    <w:rsid w:val="48032EDF"/>
    <w:rsid w:val="481957A8"/>
    <w:rsid w:val="484967EA"/>
    <w:rsid w:val="486C3D94"/>
    <w:rsid w:val="48736D24"/>
    <w:rsid w:val="48A226AD"/>
    <w:rsid w:val="48A81375"/>
    <w:rsid w:val="48B2699F"/>
    <w:rsid w:val="48B5629F"/>
    <w:rsid w:val="48B67D8D"/>
    <w:rsid w:val="48C260C0"/>
    <w:rsid w:val="4902628A"/>
    <w:rsid w:val="49092F61"/>
    <w:rsid w:val="490B2882"/>
    <w:rsid w:val="492412C0"/>
    <w:rsid w:val="494E7D53"/>
    <w:rsid w:val="4988006D"/>
    <w:rsid w:val="499646A6"/>
    <w:rsid w:val="499F4D25"/>
    <w:rsid w:val="49B26E0D"/>
    <w:rsid w:val="49BB06FB"/>
    <w:rsid w:val="49BC2A68"/>
    <w:rsid w:val="49C86457"/>
    <w:rsid w:val="49F04BCB"/>
    <w:rsid w:val="49FD451C"/>
    <w:rsid w:val="4A152F65"/>
    <w:rsid w:val="4A2A0D83"/>
    <w:rsid w:val="4A3E0914"/>
    <w:rsid w:val="4A3F1207"/>
    <w:rsid w:val="4A57472F"/>
    <w:rsid w:val="4A715E3D"/>
    <w:rsid w:val="4AB72982"/>
    <w:rsid w:val="4AD767DE"/>
    <w:rsid w:val="4AE6461D"/>
    <w:rsid w:val="4B0F1195"/>
    <w:rsid w:val="4B1B2082"/>
    <w:rsid w:val="4B635F8B"/>
    <w:rsid w:val="4B6362F2"/>
    <w:rsid w:val="4B65032C"/>
    <w:rsid w:val="4B712A43"/>
    <w:rsid w:val="4B7D7D37"/>
    <w:rsid w:val="4B82202B"/>
    <w:rsid w:val="4BA505D7"/>
    <w:rsid w:val="4BBE1692"/>
    <w:rsid w:val="4BCA0C2B"/>
    <w:rsid w:val="4BD65A7B"/>
    <w:rsid w:val="4BF12C90"/>
    <w:rsid w:val="4C092977"/>
    <w:rsid w:val="4C0B49E3"/>
    <w:rsid w:val="4C180EC0"/>
    <w:rsid w:val="4C4B40C7"/>
    <w:rsid w:val="4C696745"/>
    <w:rsid w:val="4C737423"/>
    <w:rsid w:val="4C987A51"/>
    <w:rsid w:val="4C993ABE"/>
    <w:rsid w:val="4CAA2DCE"/>
    <w:rsid w:val="4CB96EE9"/>
    <w:rsid w:val="4CD66C96"/>
    <w:rsid w:val="4CDC5A3B"/>
    <w:rsid w:val="4CDF0E5D"/>
    <w:rsid w:val="4CE376D5"/>
    <w:rsid w:val="4D064E2F"/>
    <w:rsid w:val="4D0D3FCB"/>
    <w:rsid w:val="4D357E45"/>
    <w:rsid w:val="4D5137F9"/>
    <w:rsid w:val="4D547564"/>
    <w:rsid w:val="4D6C65CD"/>
    <w:rsid w:val="4D7F25C2"/>
    <w:rsid w:val="4D8217BA"/>
    <w:rsid w:val="4D8F6FDC"/>
    <w:rsid w:val="4D9C1BB4"/>
    <w:rsid w:val="4DC65A69"/>
    <w:rsid w:val="4DF4626D"/>
    <w:rsid w:val="4DFC20A2"/>
    <w:rsid w:val="4DFF1B97"/>
    <w:rsid w:val="4E020B1B"/>
    <w:rsid w:val="4E043535"/>
    <w:rsid w:val="4E070A58"/>
    <w:rsid w:val="4E1362FB"/>
    <w:rsid w:val="4E25360E"/>
    <w:rsid w:val="4E2719FC"/>
    <w:rsid w:val="4E5E12F1"/>
    <w:rsid w:val="4E62045F"/>
    <w:rsid w:val="4E72261E"/>
    <w:rsid w:val="4E783F31"/>
    <w:rsid w:val="4EAC689C"/>
    <w:rsid w:val="4EB25AA5"/>
    <w:rsid w:val="4EC76765"/>
    <w:rsid w:val="4ED726FE"/>
    <w:rsid w:val="4EDD2691"/>
    <w:rsid w:val="4EF911E3"/>
    <w:rsid w:val="4EF94046"/>
    <w:rsid w:val="4EFB5C3E"/>
    <w:rsid w:val="4F0048E8"/>
    <w:rsid w:val="4F0C760F"/>
    <w:rsid w:val="4F15188C"/>
    <w:rsid w:val="4F255836"/>
    <w:rsid w:val="4F29165C"/>
    <w:rsid w:val="4F3259A9"/>
    <w:rsid w:val="4F3F24FD"/>
    <w:rsid w:val="4F4F67C3"/>
    <w:rsid w:val="4F517372"/>
    <w:rsid w:val="4F580453"/>
    <w:rsid w:val="4F647CAE"/>
    <w:rsid w:val="4F7F4759"/>
    <w:rsid w:val="4F8A3560"/>
    <w:rsid w:val="4F8A6E9D"/>
    <w:rsid w:val="4F986558"/>
    <w:rsid w:val="4FA00EA1"/>
    <w:rsid w:val="4FA7410F"/>
    <w:rsid w:val="4FB10DBD"/>
    <w:rsid w:val="4FB87715"/>
    <w:rsid w:val="4FD02150"/>
    <w:rsid w:val="4FD30431"/>
    <w:rsid w:val="4FD47514"/>
    <w:rsid w:val="4FDC31A9"/>
    <w:rsid w:val="4FE15CB0"/>
    <w:rsid w:val="4FF525AA"/>
    <w:rsid w:val="4FF63DCE"/>
    <w:rsid w:val="500A5543"/>
    <w:rsid w:val="501D01A2"/>
    <w:rsid w:val="501D19C7"/>
    <w:rsid w:val="501E0770"/>
    <w:rsid w:val="501F3CB3"/>
    <w:rsid w:val="50372FFC"/>
    <w:rsid w:val="50381A05"/>
    <w:rsid w:val="504305E6"/>
    <w:rsid w:val="504B1126"/>
    <w:rsid w:val="504C6018"/>
    <w:rsid w:val="50500C93"/>
    <w:rsid w:val="506E1264"/>
    <w:rsid w:val="50725670"/>
    <w:rsid w:val="508B7406"/>
    <w:rsid w:val="509F73B0"/>
    <w:rsid w:val="50B26A6B"/>
    <w:rsid w:val="50C20F4E"/>
    <w:rsid w:val="50D40C4B"/>
    <w:rsid w:val="50E11C1B"/>
    <w:rsid w:val="50E46F54"/>
    <w:rsid w:val="51013691"/>
    <w:rsid w:val="5144267E"/>
    <w:rsid w:val="514D07CA"/>
    <w:rsid w:val="51586336"/>
    <w:rsid w:val="51604849"/>
    <w:rsid w:val="51747844"/>
    <w:rsid w:val="51777F08"/>
    <w:rsid w:val="51790F95"/>
    <w:rsid w:val="51912DDA"/>
    <w:rsid w:val="51AB47E1"/>
    <w:rsid w:val="51AE6A28"/>
    <w:rsid w:val="51B047FE"/>
    <w:rsid w:val="51B204B9"/>
    <w:rsid w:val="51B56296"/>
    <w:rsid w:val="51B57EB1"/>
    <w:rsid w:val="51C72834"/>
    <w:rsid w:val="51E74EF3"/>
    <w:rsid w:val="520C2961"/>
    <w:rsid w:val="52195440"/>
    <w:rsid w:val="52236147"/>
    <w:rsid w:val="522F500B"/>
    <w:rsid w:val="523852D6"/>
    <w:rsid w:val="523E768F"/>
    <w:rsid w:val="5242577E"/>
    <w:rsid w:val="527076ED"/>
    <w:rsid w:val="52783884"/>
    <w:rsid w:val="52965768"/>
    <w:rsid w:val="52AC28BC"/>
    <w:rsid w:val="52B05067"/>
    <w:rsid w:val="52CC23E6"/>
    <w:rsid w:val="52D7787C"/>
    <w:rsid w:val="52E07238"/>
    <w:rsid w:val="52EA11D5"/>
    <w:rsid w:val="5329120F"/>
    <w:rsid w:val="533B4980"/>
    <w:rsid w:val="53483BC0"/>
    <w:rsid w:val="53672E68"/>
    <w:rsid w:val="536F68C7"/>
    <w:rsid w:val="5382736B"/>
    <w:rsid w:val="539E491F"/>
    <w:rsid w:val="53B24EEA"/>
    <w:rsid w:val="53B97E84"/>
    <w:rsid w:val="53BF4F14"/>
    <w:rsid w:val="53C72845"/>
    <w:rsid w:val="53CA6414"/>
    <w:rsid w:val="53D00E36"/>
    <w:rsid w:val="53D31D47"/>
    <w:rsid w:val="53DD499C"/>
    <w:rsid w:val="53EF09CA"/>
    <w:rsid w:val="53F014B1"/>
    <w:rsid w:val="5408182A"/>
    <w:rsid w:val="54125F57"/>
    <w:rsid w:val="54187343"/>
    <w:rsid w:val="54197E33"/>
    <w:rsid w:val="541C31AF"/>
    <w:rsid w:val="5420466B"/>
    <w:rsid w:val="5433414C"/>
    <w:rsid w:val="54465F20"/>
    <w:rsid w:val="545D4199"/>
    <w:rsid w:val="54831B18"/>
    <w:rsid w:val="549502FD"/>
    <w:rsid w:val="54AB09A6"/>
    <w:rsid w:val="54AF20D4"/>
    <w:rsid w:val="54B72A99"/>
    <w:rsid w:val="54BC49A0"/>
    <w:rsid w:val="55022976"/>
    <w:rsid w:val="551C096F"/>
    <w:rsid w:val="551F379C"/>
    <w:rsid w:val="55240097"/>
    <w:rsid w:val="552C3D46"/>
    <w:rsid w:val="554D13EE"/>
    <w:rsid w:val="557070F4"/>
    <w:rsid w:val="559341A6"/>
    <w:rsid w:val="55AB58E9"/>
    <w:rsid w:val="55C368DE"/>
    <w:rsid w:val="55C57ADE"/>
    <w:rsid w:val="55C60FBD"/>
    <w:rsid w:val="55CE22F2"/>
    <w:rsid w:val="56160365"/>
    <w:rsid w:val="561717F3"/>
    <w:rsid w:val="566E2EB5"/>
    <w:rsid w:val="566E6821"/>
    <w:rsid w:val="569C3C9F"/>
    <w:rsid w:val="56CF40E5"/>
    <w:rsid w:val="56DD747D"/>
    <w:rsid w:val="56EE039D"/>
    <w:rsid w:val="56F96728"/>
    <w:rsid w:val="571F273F"/>
    <w:rsid w:val="572F7A73"/>
    <w:rsid w:val="575B5634"/>
    <w:rsid w:val="575D7EC0"/>
    <w:rsid w:val="576138FC"/>
    <w:rsid w:val="578736CD"/>
    <w:rsid w:val="578739BB"/>
    <w:rsid w:val="57893C0F"/>
    <w:rsid w:val="57917FA2"/>
    <w:rsid w:val="5798256F"/>
    <w:rsid w:val="579840C7"/>
    <w:rsid w:val="57C2221D"/>
    <w:rsid w:val="57CF1FDE"/>
    <w:rsid w:val="57E1536E"/>
    <w:rsid w:val="57FD673B"/>
    <w:rsid w:val="580576E7"/>
    <w:rsid w:val="583A7FA8"/>
    <w:rsid w:val="58544955"/>
    <w:rsid w:val="58566AE7"/>
    <w:rsid w:val="585962B5"/>
    <w:rsid w:val="585F5B75"/>
    <w:rsid w:val="587A4269"/>
    <w:rsid w:val="589A5A5F"/>
    <w:rsid w:val="58B94375"/>
    <w:rsid w:val="58BA4A70"/>
    <w:rsid w:val="58D1701F"/>
    <w:rsid w:val="5902444F"/>
    <w:rsid w:val="590773E5"/>
    <w:rsid w:val="590E4B4D"/>
    <w:rsid w:val="5917124B"/>
    <w:rsid w:val="591B5CBF"/>
    <w:rsid w:val="5927514C"/>
    <w:rsid w:val="594F610B"/>
    <w:rsid w:val="59510DBC"/>
    <w:rsid w:val="59600EE5"/>
    <w:rsid w:val="59634BDC"/>
    <w:rsid w:val="5973265E"/>
    <w:rsid w:val="59814868"/>
    <w:rsid w:val="59941B20"/>
    <w:rsid w:val="599A4004"/>
    <w:rsid w:val="599B086D"/>
    <w:rsid w:val="59B927ED"/>
    <w:rsid w:val="59BF5C8E"/>
    <w:rsid w:val="59C90181"/>
    <w:rsid w:val="59D97EC2"/>
    <w:rsid w:val="59E27409"/>
    <w:rsid w:val="59E52BA1"/>
    <w:rsid w:val="59ED36DC"/>
    <w:rsid w:val="59FC781F"/>
    <w:rsid w:val="5A3526A3"/>
    <w:rsid w:val="5A4E41C1"/>
    <w:rsid w:val="5A6210CC"/>
    <w:rsid w:val="5A641A54"/>
    <w:rsid w:val="5A7348C9"/>
    <w:rsid w:val="5A7521D8"/>
    <w:rsid w:val="5A7E7218"/>
    <w:rsid w:val="5A8A0BC7"/>
    <w:rsid w:val="5A8E465C"/>
    <w:rsid w:val="5A8F269D"/>
    <w:rsid w:val="5A9725BE"/>
    <w:rsid w:val="5AC76508"/>
    <w:rsid w:val="5AD45AFB"/>
    <w:rsid w:val="5AFC1624"/>
    <w:rsid w:val="5B072CD8"/>
    <w:rsid w:val="5B095493"/>
    <w:rsid w:val="5B115BA8"/>
    <w:rsid w:val="5B235AE9"/>
    <w:rsid w:val="5B246A53"/>
    <w:rsid w:val="5B416E74"/>
    <w:rsid w:val="5B437EA2"/>
    <w:rsid w:val="5B477EAE"/>
    <w:rsid w:val="5B534ED1"/>
    <w:rsid w:val="5B5C373D"/>
    <w:rsid w:val="5B8859A0"/>
    <w:rsid w:val="5B9F7743"/>
    <w:rsid w:val="5BB522B5"/>
    <w:rsid w:val="5BBA4618"/>
    <w:rsid w:val="5BBC250B"/>
    <w:rsid w:val="5BF84DDB"/>
    <w:rsid w:val="5C0B34EB"/>
    <w:rsid w:val="5C111338"/>
    <w:rsid w:val="5C691941"/>
    <w:rsid w:val="5C7919DF"/>
    <w:rsid w:val="5CB35D47"/>
    <w:rsid w:val="5CC12EAC"/>
    <w:rsid w:val="5CC85C68"/>
    <w:rsid w:val="5CEC3A93"/>
    <w:rsid w:val="5CEF405D"/>
    <w:rsid w:val="5CFE5040"/>
    <w:rsid w:val="5D1341B2"/>
    <w:rsid w:val="5D251093"/>
    <w:rsid w:val="5D287B54"/>
    <w:rsid w:val="5D3047D1"/>
    <w:rsid w:val="5D382891"/>
    <w:rsid w:val="5D494018"/>
    <w:rsid w:val="5D6B14A2"/>
    <w:rsid w:val="5D9B0E6A"/>
    <w:rsid w:val="5D9E1AED"/>
    <w:rsid w:val="5D9E4E16"/>
    <w:rsid w:val="5DA52F9C"/>
    <w:rsid w:val="5DAD333C"/>
    <w:rsid w:val="5DBA0135"/>
    <w:rsid w:val="5DCD5DE5"/>
    <w:rsid w:val="5DD437EF"/>
    <w:rsid w:val="5DF16302"/>
    <w:rsid w:val="5DFF4B46"/>
    <w:rsid w:val="5E1A246F"/>
    <w:rsid w:val="5E3B0A10"/>
    <w:rsid w:val="5E424B71"/>
    <w:rsid w:val="5E753CC1"/>
    <w:rsid w:val="5E881A80"/>
    <w:rsid w:val="5E8C252D"/>
    <w:rsid w:val="5EA25E01"/>
    <w:rsid w:val="5EA36014"/>
    <w:rsid w:val="5EB51AB3"/>
    <w:rsid w:val="5EC33621"/>
    <w:rsid w:val="5EF31C67"/>
    <w:rsid w:val="5EF4004E"/>
    <w:rsid w:val="5EFA106E"/>
    <w:rsid w:val="5EFF06CD"/>
    <w:rsid w:val="5F010576"/>
    <w:rsid w:val="5F0251FA"/>
    <w:rsid w:val="5F194CB9"/>
    <w:rsid w:val="5F4475AE"/>
    <w:rsid w:val="5F4A6799"/>
    <w:rsid w:val="5F6C2424"/>
    <w:rsid w:val="5F6C6E89"/>
    <w:rsid w:val="5F832AB6"/>
    <w:rsid w:val="5F946A7C"/>
    <w:rsid w:val="5F9D5D5C"/>
    <w:rsid w:val="5FAA65F2"/>
    <w:rsid w:val="5FB855EC"/>
    <w:rsid w:val="5FBA79B0"/>
    <w:rsid w:val="5FC61813"/>
    <w:rsid w:val="5FD57CF6"/>
    <w:rsid w:val="5FE815F7"/>
    <w:rsid w:val="5FF50EAD"/>
    <w:rsid w:val="600676E3"/>
    <w:rsid w:val="601C2C41"/>
    <w:rsid w:val="601C5687"/>
    <w:rsid w:val="602B7B91"/>
    <w:rsid w:val="60391C4C"/>
    <w:rsid w:val="603B021E"/>
    <w:rsid w:val="604954EF"/>
    <w:rsid w:val="60584683"/>
    <w:rsid w:val="606F768E"/>
    <w:rsid w:val="608D00E3"/>
    <w:rsid w:val="60992490"/>
    <w:rsid w:val="60A1419A"/>
    <w:rsid w:val="60A43A47"/>
    <w:rsid w:val="60C33C2B"/>
    <w:rsid w:val="60E97ACC"/>
    <w:rsid w:val="610239D7"/>
    <w:rsid w:val="61160E7E"/>
    <w:rsid w:val="61311E12"/>
    <w:rsid w:val="61637659"/>
    <w:rsid w:val="617C570B"/>
    <w:rsid w:val="61806A28"/>
    <w:rsid w:val="61853804"/>
    <w:rsid w:val="619B53CA"/>
    <w:rsid w:val="61A56DFA"/>
    <w:rsid w:val="61EB5F1D"/>
    <w:rsid w:val="621B5631"/>
    <w:rsid w:val="62626833"/>
    <w:rsid w:val="626D5F91"/>
    <w:rsid w:val="627E7D9D"/>
    <w:rsid w:val="628407FE"/>
    <w:rsid w:val="62880405"/>
    <w:rsid w:val="629073C4"/>
    <w:rsid w:val="62996318"/>
    <w:rsid w:val="62AA6D2C"/>
    <w:rsid w:val="62B0179B"/>
    <w:rsid w:val="62CC094F"/>
    <w:rsid w:val="62FE596A"/>
    <w:rsid w:val="630334E9"/>
    <w:rsid w:val="63242B23"/>
    <w:rsid w:val="635C73A1"/>
    <w:rsid w:val="63743838"/>
    <w:rsid w:val="637455EF"/>
    <w:rsid w:val="637509AF"/>
    <w:rsid w:val="63A23228"/>
    <w:rsid w:val="63AB5D44"/>
    <w:rsid w:val="63B04CF8"/>
    <w:rsid w:val="63BA7188"/>
    <w:rsid w:val="63C81062"/>
    <w:rsid w:val="63DF59C2"/>
    <w:rsid w:val="63E6136F"/>
    <w:rsid w:val="63EA625B"/>
    <w:rsid w:val="63EF30B6"/>
    <w:rsid w:val="63FC6F31"/>
    <w:rsid w:val="6424536E"/>
    <w:rsid w:val="642E4F72"/>
    <w:rsid w:val="646469D4"/>
    <w:rsid w:val="647A419D"/>
    <w:rsid w:val="64846083"/>
    <w:rsid w:val="64851089"/>
    <w:rsid w:val="64887087"/>
    <w:rsid w:val="64983CC9"/>
    <w:rsid w:val="649F73D4"/>
    <w:rsid w:val="64A03F6C"/>
    <w:rsid w:val="64B109D5"/>
    <w:rsid w:val="64C66288"/>
    <w:rsid w:val="64E10D4D"/>
    <w:rsid w:val="64E43E7F"/>
    <w:rsid w:val="64FE5C71"/>
    <w:rsid w:val="65107E36"/>
    <w:rsid w:val="654E476E"/>
    <w:rsid w:val="657B11CD"/>
    <w:rsid w:val="658A6BCD"/>
    <w:rsid w:val="659D0782"/>
    <w:rsid w:val="659D7C90"/>
    <w:rsid w:val="65D04EEB"/>
    <w:rsid w:val="65D424B9"/>
    <w:rsid w:val="65E05ED6"/>
    <w:rsid w:val="66001BA4"/>
    <w:rsid w:val="66025947"/>
    <w:rsid w:val="66381483"/>
    <w:rsid w:val="663C7469"/>
    <w:rsid w:val="66707C4A"/>
    <w:rsid w:val="667A0F5E"/>
    <w:rsid w:val="66B65DDF"/>
    <w:rsid w:val="66B8269C"/>
    <w:rsid w:val="66BC4AFE"/>
    <w:rsid w:val="66DA6749"/>
    <w:rsid w:val="671D46C8"/>
    <w:rsid w:val="671F0A27"/>
    <w:rsid w:val="671F22A3"/>
    <w:rsid w:val="67205B56"/>
    <w:rsid w:val="67291A35"/>
    <w:rsid w:val="673669FF"/>
    <w:rsid w:val="67381046"/>
    <w:rsid w:val="67393CB7"/>
    <w:rsid w:val="673C6439"/>
    <w:rsid w:val="676A0B2B"/>
    <w:rsid w:val="676C3006"/>
    <w:rsid w:val="67827A7F"/>
    <w:rsid w:val="67A124DD"/>
    <w:rsid w:val="67A667D3"/>
    <w:rsid w:val="67A74C82"/>
    <w:rsid w:val="67A95111"/>
    <w:rsid w:val="67B3328B"/>
    <w:rsid w:val="67C365BF"/>
    <w:rsid w:val="67D8341E"/>
    <w:rsid w:val="67E46FF5"/>
    <w:rsid w:val="67EC0264"/>
    <w:rsid w:val="67ED6C16"/>
    <w:rsid w:val="680A6C82"/>
    <w:rsid w:val="6824034C"/>
    <w:rsid w:val="683E3347"/>
    <w:rsid w:val="685E57CE"/>
    <w:rsid w:val="685F4AA0"/>
    <w:rsid w:val="68623D3F"/>
    <w:rsid w:val="686C7E0A"/>
    <w:rsid w:val="68757042"/>
    <w:rsid w:val="687D6111"/>
    <w:rsid w:val="6886166B"/>
    <w:rsid w:val="68954A3C"/>
    <w:rsid w:val="689B0DF8"/>
    <w:rsid w:val="68B5096E"/>
    <w:rsid w:val="68C72770"/>
    <w:rsid w:val="68CC10BC"/>
    <w:rsid w:val="68F44B09"/>
    <w:rsid w:val="68FA1B9A"/>
    <w:rsid w:val="694E046E"/>
    <w:rsid w:val="69652D27"/>
    <w:rsid w:val="69952A0C"/>
    <w:rsid w:val="699A1218"/>
    <w:rsid w:val="699B4BDB"/>
    <w:rsid w:val="69A51678"/>
    <w:rsid w:val="69BB329B"/>
    <w:rsid w:val="69BD4C61"/>
    <w:rsid w:val="69ED4EA2"/>
    <w:rsid w:val="69FC56C6"/>
    <w:rsid w:val="69FD3B6F"/>
    <w:rsid w:val="6A0065EF"/>
    <w:rsid w:val="6A177A06"/>
    <w:rsid w:val="6A1F1C32"/>
    <w:rsid w:val="6A616283"/>
    <w:rsid w:val="6A641407"/>
    <w:rsid w:val="6A656882"/>
    <w:rsid w:val="6A8B60FB"/>
    <w:rsid w:val="6A9674BF"/>
    <w:rsid w:val="6A9A37E0"/>
    <w:rsid w:val="6AA604CA"/>
    <w:rsid w:val="6AB67B97"/>
    <w:rsid w:val="6AC14C43"/>
    <w:rsid w:val="6ACD1C3E"/>
    <w:rsid w:val="6ADB41F3"/>
    <w:rsid w:val="6AFB4F4A"/>
    <w:rsid w:val="6B12444F"/>
    <w:rsid w:val="6B2A12A7"/>
    <w:rsid w:val="6B404E55"/>
    <w:rsid w:val="6B4533C9"/>
    <w:rsid w:val="6B5C39DF"/>
    <w:rsid w:val="6B5E11EE"/>
    <w:rsid w:val="6B611EB1"/>
    <w:rsid w:val="6B961766"/>
    <w:rsid w:val="6BA65F04"/>
    <w:rsid w:val="6BC8334A"/>
    <w:rsid w:val="6BCF2FA8"/>
    <w:rsid w:val="6BD03ABE"/>
    <w:rsid w:val="6BD61A98"/>
    <w:rsid w:val="6BF77F96"/>
    <w:rsid w:val="6BFE19E1"/>
    <w:rsid w:val="6C050A47"/>
    <w:rsid w:val="6C0B1A74"/>
    <w:rsid w:val="6C16659B"/>
    <w:rsid w:val="6C23602E"/>
    <w:rsid w:val="6C27235B"/>
    <w:rsid w:val="6C3342D8"/>
    <w:rsid w:val="6C394A8B"/>
    <w:rsid w:val="6C420156"/>
    <w:rsid w:val="6C5142B7"/>
    <w:rsid w:val="6C7457E7"/>
    <w:rsid w:val="6C7D6E82"/>
    <w:rsid w:val="6C8311C3"/>
    <w:rsid w:val="6C835ED1"/>
    <w:rsid w:val="6C9F0012"/>
    <w:rsid w:val="6CA5691E"/>
    <w:rsid w:val="6CAA602D"/>
    <w:rsid w:val="6CCD092C"/>
    <w:rsid w:val="6CFC1EEB"/>
    <w:rsid w:val="6CFD2D93"/>
    <w:rsid w:val="6D1B3C07"/>
    <w:rsid w:val="6D290842"/>
    <w:rsid w:val="6D680792"/>
    <w:rsid w:val="6D92774A"/>
    <w:rsid w:val="6DAB0FE0"/>
    <w:rsid w:val="6DAC599D"/>
    <w:rsid w:val="6DD16B26"/>
    <w:rsid w:val="6DEE7FF8"/>
    <w:rsid w:val="6DFC5BD3"/>
    <w:rsid w:val="6E0B6604"/>
    <w:rsid w:val="6E1E5CB1"/>
    <w:rsid w:val="6E32328C"/>
    <w:rsid w:val="6E4304C9"/>
    <w:rsid w:val="6E51496A"/>
    <w:rsid w:val="6E8555D0"/>
    <w:rsid w:val="6E876629"/>
    <w:rsid w:val="6E893B3A"/>
    <w:rsid w:val="6EDA4033"/>
    <w:rsid w:val="6EDA7020"/>
    <w:rsid w:val="6EDF1C43"/>
    <w:rsid w:val="6F08338C"/>
    <w:rsid w:val="6F140C91"/>
    <w:rsid w:val="6F492FDA"/>
    <w:rsid w:val="6F561A7D"/>
    <w:rsid w:val="6F6005AE"/>
    <w:rsid w:val="6FA629B9"/>
    <w:rsid w:val="6FB41CDF"/>
    <w:rsid w:val="6FD24986"/>
    <w:rsid w:val="6FD91AC8"/>
    <w:rsid w:val="6FE52B7F"/>
    <w:rsid w:val="70047746"/>
    <w:rsid w:val="70183966"/>
    <w:rsid w:val="701B22C2"/>
    <w:rsid w:val="704A18A5"/>
    <w:rsid w:val="70535193"/>
    <w:rsid w:val="705353D7"/>
    <w:rsid w:val="7056298B"/>
    <w:rsid w:val="70595CFD"/>
    <w:rsid w:val="706E07D8"/>
    <w:rsid w:val="70731CBA"/>
    <w:rsid w:val="707D502F"/>
    <w:rsid w:val="70AB2A5F"/>
    <w:rsid w:val="70C40F6B"/>
    <w:rsid w:val="70FF2B52"/>
    <w:rsid w:val="71053071"/>
    <w:rsid w:val="710C4547"/>
    <w:rsid w:val="71146B3B"/>
    <w:rsid w:val="711E1A75"/>
    <w:rsid w:val="71204C3C"/>
    <w:rsid w:val="71467517"/>
    <w:rsid w:val="715E5257"/>
    <w:rsid w:val="716A0D69"/>
    <w:rsid w:val="718176C8"/>
    <w:rsid w:val="71BB1264"/>
    <w:rsid w:val="71C14470"/>
    <w:rsid w:val="71DD01AD"/>
    <w:rsid w:val="71E01DDD"/>
    <w:rsid w:val="721023AF"/>
    <w:rsid w:val="723D68AF"/>
    <w:rsid w:val="724721AC"/>
    <w:rsid w:val="72602CC8"/>
    <w:rsid w:val="72705108"/>
    <w:rsid w:val="729452D5"/>
    <w:rsid w:val="72B349A9"/>
    <w:rsid w:val="72B83F93"/>
    <w:rsid w:val="72F64259"/>
    <w:rsid w:val="72F657B0"/>
    <w:rsid w:val="72FC409A"/>
    <w:rsid w:val="73032FC0"/>
    <w:rsid w:val="730F48D7"/>
    <w:rsid w:val="73253B84"/>
    <w:rsid w:val="733D0BED"/>
    <w:rsid w:val="738707F8"/>
    <w:rsid w:val="738754CA"/>
    <w:rsid w:val="738B6F89"/>
    <w:rsid w:val="73C056D8"/>
    <w:rsid w:val="73CB6AC4"/>
    <w:rsid w:val="73CB7139"/>
    <w:rsid w:val="73D4739B"/>
    <w:rsid w:val="73ED1A3A"/>
    <w:rsid w:val="73F05696"/>
    <w:rsid w:val="73F50B6F"/>
    <w:rsid w:val="74146799"/>
    <w:rsid w:val="741A1B16"/>
    <w:rsid w:val="741E67C6"/>
    <w:rsid w:val="742C5E27"/>
    <w:rsid w:val="74530874"/>
    <w:rsid w:val="74534854"/>
    <w:rsid w:val="74551D23"/>
    <w:rsid w:val="745D7B18"/>
    <w:rsid w:val="745F299C"/>
    <w:rsid w:val="746F1484"/>
    <w:rsid w:val="74AF775D"/>
    <w:rsid w:val="74B800CA"/>
    <w:rsid w:val="74DB7C56"/>
    <w:rsid w:val="74F55B27"/>
    <w:rsid w:val="750449EC"/>
    <w:rsid w:val="753D165B"/>
    <w:rsid w:val="75511543"/>
    <w:rsid w:val="756B2471"/>
    <w:rsid w:val="75726F76"/>
    <w:rsid w:val="75806743"/>
    <w:rsid w:val="758D6086"/>
    <w:rsid w:val="758F1A33"/>
    <w:rsid w:val="75F8009A"/>
    <w:rsid w:val="763A3819"/>
    <w:rsid w:val="76471DE8"/>
    <w:rsid w:val="764C1D57"/>
    <w:rsid w:val="76701D3D"/>
    <w:rsid w:val="76951140"/>
    <w:rsid w:val="76974BD9"/>
    <w:rsid w:val="76977026"/>
    <w:rsid w:val="76A70C95"/>
    <w:rsid w:val="76B634F0"/>
    <w:rsid w:val="76D15D09"/>
    <w:rsid w:val="76EB626F"/>
    <w:rsid w:val="76F57B1F"/>
    <w:rsid w:val="771349E5"/>
    <w:rsid w:val="7714635C"/>
    <w:rsid w:val="771C30FA"/>
    <w:rsid w:val="77206134"/>
    <w:rsid w:val="772F3A61"/>
    <w:rsid w:val="77322CAF"/>
    <w:rsid w:val="773553A7"/>
    <w:rsid w:val="77580A66"/>
    <w:rsid w:val="77641247"/>
    <w:rsid w:val="77791B39"/>
    <w:rsid w:val="77867672"/>
    <w:rsid w:val="778D01FE"/>
    <w:rsid w:val="77A3436B"/>
    <w:rsid w:val="77B138EA"/>
    <w:rsid w:val="77B86288"/>
    <w:rsid w:val="77E2402A"/>
    <w:rsid w:val="77F437B1"/>
    <w:rsid w:val="780738D1"/>
    <w:rsid w:val="782226C6"/>
    <w:rsid w:val="783D4AFF"/>
    <w:rsid w:val="784D30F3"/>
    <w:rsid w:val="784E1F42"/>
    <w:rsid w:val="78693C27"/>
    <w:rsid w:val="788A2C6A"/>
    <w:rsid w:val="788C1E0C"/>
    <w:rsid w:val="78AD0D21"/>
    <w:rsid w:val="78B73B4F"/>
    <w:rsid w:val="78B934ED"/>
    <w:rsid w:val="78C37C8A"/>
    <w:rsid w:val="78DE2D7C"/>
    <w:rsid w:val="7922596C"/>
    <w:rsid w:val="79283FDB"/>
    <w:rsid w:val="792F01A6"/>
    <w:rsid w:val="79382965"/>
    <w:rsid w:val="793E1C36"/>
    <w:rsid w:val="794C1894"/>
    <w:rsid w:val="795161CA"/>
    <w:rsid w:val="7963588E"/>
    <w:rsid w:val="79820F11"/>
    <w:rsid w:val="79A81252"/>
    <w:rsid w:val="79AC037E"/>
    <w:rsid w:val="79B4594A"/>
    <w:rsid w:val="79B978EA"/>
    <w:rsid w:val="79BC708D"/>
    <w:rsid w:val="79CB0074"/>
    <w:rsid w:val="79EB1C7D"/>
    <w:rsid w:val="79F04387"/>
    <w:rsid w:val="7A1B476E"/>
    <w:rsid w:val="7A2B44DA"/>
    <w:rsid w:val="7A50702E"/>
    <w:rsid w:val="7A883523"/>
    <w:rsid w:val="7A9722EA"/>
    <w:rsid w:val="7AA274F5"/>
    <w:rsid w:val="7AF27BF0"/>
    <w:rsid w:val="7B1A6AB5"/>
    <w:rsid w:val="7B327BB5"/>
    <w:rsid w:val="7B33563C"/>
    <w:rsid w:val="7B4C0E94"/>
    <w:rsid w:val="7B566D60"/>
    <w:rsid w:val="7B5737ED"/>
    <w:rsid w:val="7B594633"/>
    <w:rsid w:val="7B6D02E1"/>
    <w:rsid w:val="7B763FD0"/>
    <w:rsid w:val="7B8D6D12"/>
    <w:rsid w:val="7B9147B3"/>
    <w:rsid w:val="7BAC1017"/>
    <w:rsid w:val="7BC5015F"/>
    <w:rsid w:val="7BDB40C8"/>
    <w:rsid w:val="7BF039A4"/>
    <w:rsid w:val="7BFC639E"/>
    <w:rsid w:val="7C06075D"/>
    <w:rsid w:val="7C1060A4"/>
    <w:rsid w:val="7C176C3D"/>
    <w:rsid w:val="7C212B16"/>
    <w:rsid w:val="7C344D27"/>
    <w:rsid w:val="7C455D53"/>
    <w:rsid w:val="7C60112F"/>
    <w:rsid w:val="7C6034EF"/>
    <w:rsid w:val="7C7F1CF9"/>
    <w:rsid w:val="7C834C27"/>
    <w:rsid w:val="7C8B233D"/>
    <w:rsid w:val="7C8F3841"/>
    <w:rsid w:val="7C927737"/>
    <w:rsid w:val="7CC87609"/>
    <w:rsid w:val="7CE055BA"/>
    <w:rsid w:val="7CFC1051"/>
    <w:rsid w:val="7D15058B"/>
    <w:rsid w:val="7D157DA1"/>
    <w:rsid w:val="7D186865"/>
    <w:rsid w:val="7D213138"/>
    <w:rsid w:val="7D2367B0"/>
    <w:rsid w:val="7D2521B2"/>
    <w:rsid w:val="7D317598"/>
    <w:rsid w:val="7D3230DC"/>
    <w:rsid w:val="7D4D08D5"/>
    <w:rsid w:val="7D551F58"/>
    <w:rsid w:val="7D6A282B"/>
    <w:rsid w:val="7D903120"/>
    <w:rsid w:val="7DF04831"/>
    <w:rsid w:val="7DF22A1C"/>
    <w:rsid w:val="7E0D748A"/>
    <w:rsid w:val="7E0E1134"/>
    <w:rsid w:val="7E282CD5"/>
    <w:rsid w:val="7E3672A9"/>
    <w:rsid w:val="7E423AA4"/>
    <w:rsid w:val="7E4618EE"/>
    <w:rsid w:val="7E49452F"/>
    <w:rsid w:val="7E577B57"/>
    <w:rsid w:val="7E7A400D"/>
    <w:rsid w:val="7E872237"/>
    <w:rsid w:val="7E873820"/>
    <w:rsid w:val="7E8752A2"/>
    <w:rsid w:val="7E8C3F75"/>
    <w:rsid w:val="7E9832EF"/>
    <w:rsid w:val="7EA80241"/>
    <w:rsid w:val="7EAB6E1B"/>
    <w:rsid w:val="7ECF19DB"/>
    <w:rsid w:val="7ED76DD4"/>
    <w:rsid w:val="7EE354CD"/>
    <w:rsid w:val="7EE74D01"/>
    <w:rsid w:val="7F06366D"/>
    <w:rsid w:val="7F13011A"/>
    <w:rsid w:val="7F1345CD"/>
    <w:rsid w:val="7F2C78FF"/>
    <w:rsid w:val="7F306FEA"/>
    <w:rsid w:val="7F382273"/>
    <w:rsid w:val="7F5439B3"/>
    <w:rsid w:val="7F5456A0"/>
    <w:rsid w:val="7F5C0130"/>
    <w:rsid w:val="7F79289E"/>
    <w:rsid w:val="7F8F1F7C"/>
    <w:rsid w:val="7FA8445B"/>
    <w:rsid w:val="7FC12C70"/>
    <w:rsid w:val="7FCA114D"/>
    <w:rsid w:val="7FD338C7"/>
    <w:rsid w:val="7FD422E4"/>
    <w:rsid w:val="7FE70E4B"/>
    <w:rsid w:val="7FF524CA"/>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uiPriority="99" w:name="footnote text"/>
    <w:lsdException w:qFormat="1" w:unhideWhenUsed="0"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qFormat="1" w:uiPriority="99"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iPriority="0" w:semiHidden="0" w:name="Date"/>
    <w:lsdException w:uiPriority="99" w:name="Body Text First Indent"/>
    <w:lsdException w:uiPriority="99" w:name="Body Text First Indent 2"/>
    <w:lsdException w:uiPriority="99" w:name="Note Heading"/>
    <w:lsdException w:uiPriority="99" w:name="Body Text 2"/>
    <w:lsdException w:qFormat="1" w:unhideWhenUsed="0" w:uiPriority="0" w:semiHidden="0" w:name="Body Text 3"/>
    <w:lsdException w:qFormat="1" w:uiPriority="99"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qFormat="1" w:unhideWhenUsed="0" w:uiPriority="0" w:semiHidden="0"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129"/>
    <w:qFormat/>
    <w:uiPriority w:val="0"/>
    <w:pPr>
      <w:keepNext/>
      <w:keepLines/>
      <w:numPr>
        <w:ilvl w:val="0"/>
        <w:numId w:val="1"/>
      </w:numPr>
      <w:spacing w:before="340" w:after="330" w:line="578" w:lineRule="auto"/>
      <w:jc w:val="center"/>
      <w:outlineLvl w:val="0"/>
    </w:pPr>
    <w:rPr>
      <w:b/>
      <w:bCs/>
      <w:kern w:val="44"/>
      <w:sz w:val="32"/>
      <w:szCs w:val="44"/>
    </w:rPr>
  </w:style>
  <w:style w:type="paragraph" w:styleId="4">
    <w:name w:val="heading 2"/>
    <w:basedOn w:val="1"/>
    <w:next w:val="1"/>
    <w:link w:val="58"/>
    <w:qFormat/>
    <w:uiPriority w:val="0"/>
    <w:pPr>
      <w:keepNext/>
      <w:keepLines/>
      <w:numPr>
        <w:ilvl w:val="1"/>
        <w:numId w:val="1"/>
      </w:numPr>
      <w:spacing w:before="260" w:after="260" w:line="416" w:lineRule="auto"/>
      <w:outlineLvl w:val="1"/>
    </w:pPr>
    <w:rPr>
      <w:rFonts w:ascii="Cambria" w:hAnsi="Cambria"/>
      <w:b/>
      <w:bCs/>
      <w:sz w:val="32"/>
      <w:szCs w:val="32"/>
    </w:rPr>
  </w:style>
  <w:style w:type="paragraph" w:styleId="5">
    <w:name w:val="heading 3"/>
    <w:basedOn w:val="1"/>
    <w:next w:val="1"/>
    <w:link w:val="97"/>
    <w:qFormat/>
    <w:uiPriority w:val="0"/>
    <w:pPr>
      <w:keepNext/>
      <w:keepLines/>
      <w:numPr>
        <w:ilvl w:val="2"/>
        <w:numId w:val="1"/>
      </w:numPr>
      <w:spacing w:before="260" w:after="260" w:line="416" w:lineRule="auto"/>
      <w:outlineLvl w:val="2"/>
    </w:pPr>
    <w:rPr>
      <w:b/>
      <w:bCs/>
      <w:sz w:val="32"/>
      <w:szCs w:val="32"/>
    </w:rPr>
  </w:style>
  <w:style w:type="paragraph" w:styleId="6">
    <w:name w:val="heading 4"/>
    <w:basedOn w:val="1"/>
    <w:next w:val="1"/>
    <w:link w:val="135"/>
    <w:qFormat/>
    <w:uiPriority w:val="0"/>
    <w:pPr>
      <w:keepNext/>
      <w:keepLines/>
      <w:numPr>
        <w:ilvl w:val="3"/>
        <w:numId w:val="1"/>
      </w:numPr>
      <w:spacing w:before="280" w:after="290" w:line="376" w:lineRule="auto"/>
      <w:outlineLvl w:val="3"/>
    </w:pPr>
    <w:rPr>
      <w:rFonts w:ascii="Cambria" w:hAnsi="Cambria"/>
      <w:b/>
      <w:bCs/>
      <w:sz w:val="28"/>
      <w:szCs w:val="28"/>
    </w:rPr>
  </w:style>
  <w:style w:type="paragraph" w:styleId="7">
    <w:name w:val="heading 5"/>
    <w:basedOn w:val="1"/>
    <w:next w:val="1"/>
    <w:link w:val="87"/>
    <w:qFormat/>
    <w:uiPriority w:val="0"/>
    <w:pPr>
      <w:keepNext/>
      <w:keepLines/>
      <w:numPr>
        <w:ilvl w:val="4"/>
        <w:numId w:val="1"/>
      </w:numPr>
      <w:spacing w:before="280" w:after="290" w:line="376" w:lineRule="auto"/>
      <w:outlineLvl w:val="4"/>
    </w:pPr>
    <w:rPr>
      <w:b/>
      <w:bCs/>
      <w:sz w:val="28"/>
      <w:szCs w:val="28"/>
    </w:rPr>
  </w:style>
  <w:style w:type="paragraph" w:styleId="8">
    <w:name w:val="heading 6"/>
    <w:basedOn w:val="1"/>
    <w:next w:val="1"/>
    <w:link w:val="73"/>
    <w:qFormat/>
    <w:uiPriority w:val="0"/>
    <w:pPr>
      <w:keepNext/>
      <w:keepLines/>
      <w:numPr>
        <w:ilvl w:val="5"/>
        <w:numId w:val="1"/>
      </w:numPr>
      <w:spacing w:before="240" w:after="64" w:line="320" w:lineRule="auto"/>
      <w:outlineLvl w:val="5"/>
    </w:pPr>
    <w:rPr>
      <w:rFonts w:ascii="Cambria" w:hAnsi="Cambria"/>
      <w:b/>
      <w:bCs/>
      <w:sz w:val="24"/>
    </w:rPr>
  </w:style>
  <w:style w:type="paragraph" w:styleId="9">
    <w:name w:val="heading 7"/>
    <w:basedOn w:val="1"/>
    <w:next w:val="1"/>
    <w:link w:val="128"/>
    <w:qFormat/>
    <w:uiPriority w:val="0"/>
    <w:pPr>
      <w:keepNext/>
      <w:keepLines/>
      <w:numPr>
        <w:ilvl w:val="6"/>
        <w:numId w:val="1"/>
      </w:numPr>
      <w:spacing w:before="240" w:after="64" w:line="320" w:lineRule="auto"/>
      <w:outlineLvl w:val="6"/>
    </w:pPr>
    <w:rPr>
      <w:b/>
      <w:bCs/>
      <w:sz w:val="24"/>
    </w:rPr>
  </w:style>
  <w:style w:type="paragraph" w:styleId="10">
    <w:name w:val="heading 8"/>
    <w:basedOn w:val="1"/>
    <w:next w:val="1"/>
    <w:link w:val="113"/>
    <w:qFormat/>
    <w:uiPriority w:val="0"/>
    <w:pPr>
      <w:keepNext/>
      <w:keepLines/>
      <w:numPr>
        <w:ilvl w:val="7"/>
        <w:numId w:val="1"/>
      </w:numPr>
      <w:spacing w:before="240" w:after="64" w:line="320" w:lineRule="auto"/>
      <w:outlineLvl w:val="7"/>
    </w:pPr>
    <w:rPr>
      <w:rFonts w:ascii="Cambria" w:hAnsi="Cambria"/>
      <w:sz w:val="24"/>
    </w:rPr>
  </w:style>
  <w:style w:type="paragraph" w:styleId="11">
    <w:name w:val="heading 9"/>
    <w:basedOn w:val="1"/>
    <w:next w:val="1"/>
    <w:link w:val="91"/>
    <w:qFormat/>
    <w:uiPriority w:val="0"/>
    <w:pPr>
      <w:keepNext/>
      <w:keepLines/>
      <w:numPr>
        <w:ilvl w:val="8"/>
        <w:numId w:val="1"/>
      </w:numPr>
      <w:spacing w:before="240" w:after="64" w:line="320" w:lineRule="auto"/>
      <w:outlineLvl w:val="8"/>
    </w:pPr>
    <w:rPr>
      <w:rFonts w:ascii="Cambria" w:hAnsi="Cambria"/>
      <w:szCs w:val="21"/>
    </w:rPr>
  </w:style>
  <w:style w:type="character" w:default="1" w:styleId="45">
    <w:name w:val="Default Paragraph Font"/>
    <w:unhideWhenUsed/>
    <w:qFormat/>
    <w:uiPriority w:val="1"/>
  </w:style>
  <w:style w:type="table" w:default="1" w:styleId="43">
    <w:name w:val="Normal Table"/>
    <w:semiHidden/>
    <w:unhideWhenUsed/>
    <w:qFormat/>
    <w:uiPriority w:val="99"/>
    <w:tblPr>
      <w:tblCellMar>
        <w:top w:w="0" w:type="dxa"/>
        <w:left w:w="108" w:type="dxa"/>
        <w:bottom w:w="0" w:type="dxa"/>
        <w:right w:w="108" w:type="dxa"/>
      </w:tblCellMar>
    </w:tblPr>
  </w:style>
  <w:style w:type="paragraph" w:styleId="2">
    <w:name w:val="List Paragraph"/>
    <w:basedOn w:val="1"/>
    <w:qFormat/>
    <w:uiPriority w:val="99"/>
    <w:pPr>
      <w:ind w:firstLine="420" w:firstLineChars="200"/>
    </w:pPr>
  </w:style>
  <w:style w:type="paragraph" w:styleId="12">
    <w:name w:val="List 3"/>
    <w:basedOn w:val="1"/>
    <w:unhideWhenUsed/>
    <w:qFormat/>
    <w:uiPriority w:val="99"/>
    <w:pPr>
      <w:spacing w:before="100" w:beforeAutospacing="1" w:after="100" w:afterAutospacing="1"/>
      <w:ind w:left="1260" w:hanging="420"/>
    </w:pPr>
    <w:rPr>
      <w:szCs w:val="21"/>
    </w:rPr>
  </w:style>
  <w:style w:type="paragraph" w:styleId="13">
    <w:name w:val="toc 7"/>
    <w:basedOn w:val="1"/>
    <w:next w:val="1"/>
    <w:unhideWhenUsed/>
    <w:qFormat/>
    <w:uiPriority w:val="39"/>
    <w:pPr>
      <w:ind w:left="2520" w:leftChars="1200"/>
    </w:pPr>
    <w:rPr>
      <w:rFonts w:ascii="Calibri" w:hAnsi="Calibri"/>
      <w:szCs w:val="22"/>
    </w:rPr>
  </w:style>
  <w:style w:type="paragraph" w:styleId="14">
    <w:name w:val="Normal Indent"/>
    <w:basedOn w:val="1"/>
    <w:qFormat/>
    <w:uiPriority w:val="0"/>
    <w:pPr>
      <w:ind w:firstLine="420"/>
    </w:pPr>
    <w:rPr>
      <w:b/>
      <w:sz w:val="24"/>
      <w:szCs w:val="20"/>
    </w:rPr>
  </w:style>
  <w:style w:type="paragraph" w:styleId="15">
    <w:name w:val="caption"/>
    <w:basedOn w:val="1"/>
    <w:next w:val="1"/>
    <w:qFormat/>
    <w:uiPriority w:val="0"/>
    <w:rPr>
      <w:rFonts w:ascii="Cambria" w:hAnsi="Cambria" w:eastAsia="黑体"/>
      <w:sz w:val="20"/>
      <w:szCs w:val="22"/>
    </w:rPr>
  </w:style>
  <w:style w:type="paragraph" w:styleId="16">
    <w:name w:val="Document Map"/>
    <w:basedOn w:val="1"/>
    <w:link w:val="81"/>
    <w:qFormat/>
    <w:uiPriority w:val="0"/>
    <w:rPr>
      <w:rFonts w:ascii="宋体"/>
      <w:sz w:val="18"/>
      <w:szCs w:val="18"/>
    </w:rPr>
  </w:style>
  <w:style w:type="paragraph" w:styleId="17">
    <w:name w:val="annotation text"/>
    <w:basedOn w:val="1"/>
    <w:next w:val="1"/>
    <w:link w:val="105"/>
    <w:qFormat/>
    <w:uiPriority w:val="99"/>
    <w:pPr>
      <w:jc w:val="left"/>
    </w:pPr>
  </w:style>
  <w:style w:type="paragraph" w:styleId="18">
    <w:name w:val="Body Text 3"/>
    <w:basedOn w:val="1"/>
    <w:link w:val="124"/>
    <w:qFormat/>
    <w:uiPriority w:val="0"/>
    <w:rPr>
      <w:rFonts w:ascii="宋体"/>
      <w:sz w:val="24"/>
      <w:szCs w:val="20"/>
    </w:rPr>
  </w:style>
  <w:style w:type="paragraph" w:styleId="19">
    <w:name w:val="Body Text"/>
    <w:basedOn w:val="1"/>
    <w:link w:val="112"/>
    <w:qFormat/>
    <w:uiPriority w:val="0"/>
    <w:pPr>
      <w:jc w:val="center"/>
    </w:pPr>
    <w:rPr>
      <w:rFonts w:eastAsia="幼圆"/>
      <w:b/>
      <w:bCs/>
      <w:sz w:val="44"/>
    </w:rPr>
  </w:style>
  <w:style w:type="paragraph" w:styleId="20">
    <w:name w:val="Body Text Indent"/>
    <w:basedOn w:val="1"/>
    <w:link w:val="68"/>
    <w:qFormat/>
    <w:uiPriority w:val="0"/>
    <w:pPr>
      <w:spacing w:after="120"/>
      <w:ind w:left="420" w:leftChars="200"/>
    </w:pPr>
  </w:style>
  <w:style w:type="paragraph" w:styleId="21">
    <w:name w:val="index 4"/>
    <w:basedOn w:val="1"/>
    <w:next w:val="1"/>
    <w:qFormat/>
    <w:uiPriority w:val="0"/>
    <w:pPr>
      <w:ind w:left="600" w:leftChars="600"/>
    </w:pPr>
    <w:rPr>
      <w:rFonts w:ascii="Calibri" w:hAnsi="Calibri"/>
    </w:rPr>
  </w:style>
  <w:style w:type="paragraph" w:styleId="22">
    <w:name w:val="toc 5"/>
    <w:basedOn w:val="1"/>
    <w:next w:val="1"/>
    <w:unhideWhenUsed/>
    <w:qFormat/>
    <w:uiPriority w:val="39"/>
    <w:pPr>
      <w:ind w:left="1680" w:leftChars="800"/>
    </w:pPr>
    <w:rPr>
      <w:rFonts w:ascii="Calibri" w:hAnsi="Calibri"/>
      <w:szCs w:val="22"/>
    </w:rPr>
  </w:style>
  <w:style w:type="paragraph" w:styleId="23">
    <w:name w:val="toc 3"/>
    <w:basedOn w:val="1"/>
    <w:next w:val="1"/>
    <w:qFormat/>
    <w:uiPriority w:val="39"/>
    <w:pPr>
      <w:ind w:left="840" w:leftChars="400"/>
    </w:pPr>
    <w:rPr>
      <w:rFonts w:ascii="Calibri" w:hAnsi="Calibri"/>
      <w:szCs w:val="22"/>
    </w:rPr>
  </w:style>
  <w:style w:type="paragraph" w:styleId="24">
    <w:name w:val="Plain Text"/>
    <w:basedOn w:val="1"/>
    <w:link w:val="74"/>
    <w:qFormat/>
    <w:uiPriority w:val="0"/>
    <w:rPr>
      <w:rFonts w:ascii="Ari"/>
    </w:rPr>
  </w:style>
  <w:style w:type="paragraph" w:styleId="25">
    <w:name w:val="toc 8"/>
    <w:basedOn w:val="1"/>
    <w:next w:val="1"/>
    <w:unhideWhenUsed/>
    <w:qFormat/>
    <w:uiPriority w:val="39"/>
    <w:pPr>
      <w:ind w:left="2940" w:leftChars="1400"/>
    </w:pPr>
    <w:rPr>
      <w:rFonts w:ascii="Calibri" w:hAnsi="Calibri"/>
      <w:szCs w:val="22"/>
    </w:rPr>
  </w:style>
  <w:style w:type="paragraph" w:styleId="26">
    <w:name w:val="Date"/>
    <w:basedOn w:val="1"/>
    <w:next w:val="1"/>
    <w:link w:val="82"/>
    <w:unhideWhenUsed/>
    <w:qFormat/>
    <w:uiPriority w:val="0"/>
  </w:style>
  <w:style w:type="paragraph" w:styleId="27">
    <w:name w:val="Body Text Indent 2"/>
    <w:basedOn w:val="1"/>
    <w:link w:val="104"/>
    <w:unhideWhenUsed/>
    <w:qFormat/>
    <w:uiPriority w:val="99"/>
    <w:pPr>
      <w:spacing w:line="420" w:lineRule="exact"/>
      <w:ind w:firstLine="525"/>
    </w:pPr>
    <w:rPr>
      <w:rFonts w:ascii="宋体"/>
      <w:kern w:val="0"/>
      <w:sz w:val="20"/>
      <w:szCs w:val="20"/>
    </w:rPr>
  </w:style>
  <w:style w:type="paragraph" w:styleId="28">
    <w:name w:val="Balloon Text"/>
    <w:basedOn w:val="1"/>
    <w:link w:val="127"/>
    <w:qFormat/>
    <w:uiPriority w:val="0"/>
    <w:rPr>
      <w:sz w:val="18"/>
      <w:szCs w:val="18"/>
    </w:rPr>
  </w:style>
  <w:style w:type="paragraph" w:styleId="29">
    <w:name w:val="footer"/>
    <w:basedOn w:val="1"/>
    <w:link w:val="117"/>
    <w:qFormat/>
    <w:uiPriority w:val="99"/>
    <w:pPr>
      <w:tabs>
        <w:tab w:val="center" w:pos="4153"/>
        <w:tab w:val="right" w:pos="8306"/>
      </w:tabs>
      <w:snapToGrid w:val="0"/>
      <w:jc w:val="left"/>
    </w:pPr>
    <w:rPr>
      <w:sz w:val="18"/>
      <w:szCs w:val="18"/>
    </w:rPr>
  </w:style>
  <w:style w:type="paragraph" w:styleId="30">
    <w:name w:val="header"/>
    <w:basedOn w:val="1"/>
    <w:link w:val="72"/>
    <w:qFormat/>
    <w:uiPriority w:val="0"/>
    <w:pPr>
      <w:pBdr>
        <w:bottom w:val="single" w:color="auto" w:sz="6" w:space="1"/>
      </w:pBdr>
      <w:tabs>
        <w:tab w:val="center" w:pos="4153"/>
        <w:tab w:val="right" w:pos="8306"/>
      </w:tabs>
      <w:snapToGrid w:val="0"/>
      <w:jc w:val="center"/>
    </w:pPr>
    <w:rPr>
      <w:sz w:val="18"/>
      <w:szCs w:val="18"/>
    </w:rPr>
  </w:style>
  <w:style w:type="paragraph" w:styleId="31">
    <w:name w:val="toc 1"/>
    <w:basedOn w:val="1"/>
    <w:next w:val="1"/>
    <w:qFormat/>
    <w:uiPriority w:val="39"/>
  </w:style>
  <w:style w:type="paragraph" w:styleId="32">
    <w:name w:val="toc 4"/>
    <w:basedOn w:val="1"/>
    <w:next w:val="1"/>
    <w:unhideWhenUsed/>
    <w:qFormat/>
    <w:uiPriority w:val="39"/>
    <w:pPr>
      <w:ind w:left="1260" w:leftChars="600"/>
    </w:pPr>
    <w:rPr>
      <w:rFonts w:ascii="Calibri" w:hAnsi="Calibri"/>
      <w:szCs w:val="22"/>
    </w:rPr>
  </w:style>
  <w:style w:type="paragraph" w:styleId="33">
    <w:name w:val="Subtitle"/>
    <w:basedOn w:val="1"/>
    <w:next w:val="1"/>
    <w:link w:val="100"/>
    <w:qFormat/>
    <w:uiPriority w:val="0"/>
    <w:pPr>
      <w:spacing w:before="240" w:after="60" w:line="312" w:lineRule="auto"/>
      <w:jc w:val="center"/>
      <w:outlineLvl w:val="1"/>
    </w:pPr>
    <w:rPr>
      <w:rFonts w:ascii="Cambria" w:hAnsi="Cambria"/>
      <w:b/>
      <w:bCs/>
      <w:kern w:val="28"/>
      <w:sz w:val="32"/>
      <w:szCs w:val="32"/>
    </w:rPr>
  </w:style>
  <w:style w:type="paragraph" w:styleId="34">
    <w:name w:val="toc 6"/>
    <w:basedOn w:val="1"/>
    <w:next w:val="1"/>
    <w:unhideWhenUsed/>
    <w:qFormat/>
    <w:uiPriority w:val="39"/>
    <w:pPr>
      <w:ind w:left="2100" w:leftChars="1000"/>
    </w:pPr>
    <w:rPr>
      <w:rFonts w:ascii="Calibri" w:hAnsi="Calibri"/>
      <w:szCs w:val="22"/>
    </w:rPr>
  </w:style>
  <w:style w:type="paragraph" w:styleId="35">
    <w:name w:val="Body Text Indent 3"/>
    <w:basedOn w:val="1"/>
    <w:link w:val="125"/>
    <w:qFormat/>
    <w:uiPriority w:val="0"/>
    <w:pPr>
      <w:spacing w:after="120"/>
      <w:ind w:left="420" w:leftChars="200"/>
    </w:pPr>
    <w:rPr>
      <w:sz w:val="16"/>
      <w:szCs w:val="20"/>
    </w:rPr>
  </w:style>
  <w:style w:type="paragraph" w:styleId="36">
    <w:name w:val="toc 2"/>
    <w:basedOn w:val="1"/>
    <w:next w:val="1"/>
    <w:qFormat/>
    <w:uiPriority w:val="39"/>
    <w:pPr>
      <w:ind w:left="420" w:leftChars="200"/>
    </w:pPr>
    <w:rPr>
      <w:rFonts w:ascii="Calibri" w:hAnsi="Calibri"/>
      <w:szCs w:val="22"/>
    </w:rPr>
  </w:style>
  <w:style w:type="paragraph" w:styleId="37">
    <w:name w:val="toc 9"/>
    <w:basedOn w:val="1"/>
    <w:next w:val="1"/>
    <w:unhideWhenUsed/>
    <w:qFormat/>
    <w:uiPriority w:val="39"/>
    <w:pPr>
      <w:ind w:left="3360" w:leftChars="1600"/>
    </w:pPr>
    <w:rPr>
      <w:rFonts w:ascii="Calibri" w:hAnsi="Calibri"/>
      <w:szCs w:val="22"/>
    </w:rPr>
  </w:style>
  <w:style w:type="paragraph" w:styleId="38">
    <w:name w:val="HTML Preformatted"/>
    <w:basedOn w:val="1"/>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39">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40">
    <w:name w:val="index 1"/>
    <w:basedOn w:val="1"/>
    <w:next w:val="1"/>
    <w:qFormat/>
    <w:uiPriority w:val="0"/>
    <w:pPr>
      <w:spacing w:line="220" w:lineRule="exact"/>
      <w:jc w:val="center"/>
    </w:pPr>
    <w:rPr>
      <w:rFonts w:ascii="仿宋_GB2312" w:hAnsi="Calibri" w:eastAsia="仿宋_GB2312"/>
      <w:szCs w:val="22"/>
    </w:rPr>
  </w:style>
  <w:style w:type="paragraph" w:styleId="41">
    <w:name w:val="Title"/>
    <w:basedOn w:val="1"/>
    <w:link w:val="77"/>
    <w:qFormat/>
    <w:uiPriority w:val="0"/>
    <w:pPr>
      <w:adjustRightInd w:val="0"/>
      <w:spacing w:before="240" w:after="60" w:line="420" w:lineRule="atLeast"/>
      <w:jc w:val="center"/>
      <w:textAlignment w:val="baseline"/>
      <w:outlineLvl w:val="0"/>
    </w:pPr>
    <w:rPr>
      <w:rFonts w:ascii="Arial" w:hAnsi="Arial"/>
      <w:b/>
      <w:kern w:val="0"/>
      <w:sz w:val="32"/>
      <w:szCs w:val="20"/>
    </w:rPr>
  </w:style>
  <w:style w:type="paragraph" w:styleId="42">
    <w:name w:val="annotation subject"/>
    <w:basedOn w:val="17"/>
    <w:next w:val="17"/>
    <w:link w:val="115"/>
    <w:qFormat/>
    <w:uiPriority w:val="0"/>
    <w:rPr>
      <w:b/>
      <w:bCs/>
    </w:rPr>
  </w:style>
  <w:style w:type="table" w:styleId="44">
    <w:name w:val="Table Grid"/>
    <w:basedOn w:val="43"/>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46">
    <w:name w:val="Strong"/>
    <w:qFormat/>
    <w:uiPriority w:val="0"/>
    <w:rPr>
      <w:rFonts w:cs="Times New Roman"/>
      <w:b/>
    </w:rPr>
  </w:style>
  <w:style w:type="character" w:styleId="47">
    <w:name w:val="page number"/>
    <w:qFormat/>
    <w:uiPriority w:val="0"/>
    <w:rPr>
      <w:rFonts w:eastAsia="宋体"/>
      <w:b/>
      <w:spacing w:val="0"/>
      <w:kern w:val="2"/>
      <w:sz w:val="24"/>
      <w:szCs w:val="24"/>
      <w:vertAlign w:val="baseline"/>
      <w:lang w:val="en-US" w:eastAsia="zh-CN" w:bidi="ar-SA"/>
    </w:rPr>
  </w:style>
  <w:style w:type="character" w:styleId="48">
    <w:name w:val="FollowedHyperlink"/>
    <w:qFormat/>
    <w:uiPriority w:val="0"/>
    <w:rPr>
      <w:color w:val="800080"/>
      <w:u w:val="single"/>
    </w:rPr>
  </w:style>
  <w:style w:type="character" w:styleId="49">
    <w:name w:val="Emphasis"/>
    <w:qFormat/>
    <w:uiPriority w:val="0"/>
    <w:rPr>
      <w:color w:val="CC0000"/>
    </w:rPr>
  </w:style>
  <w:style w:type="character" w:styleId="50">
    <w:name w:val="Hyperlink"/>
    <w:qFormat/>
    <w:uiPriority w:val="99"/>
    <w:rPr>
      <w:color w:val="0000FF"/>
      <w:u w:val="single"/>
    </w:rPr>
  </w:style>
  <w:style w:type="character" w:styleId="51">
    <w:name w:val="annotation reference"/>
    <w:qFormat/>
    <w:uiPriority w:val="99"/>
    <w:rPr>
      <w:sz w:val="21"/>
      <w:szCs w:val="21"/>
    </w:rPr>
  </w:style>
  <w:style w:type="character" w:styleId="52">
    <w:name w:val="HTML Cite"/>
    <w:qFormat/>
    <w:uiPriority w:val="0"/>
    <w:rPr>
      <w:color w:val="008000"/>
    </w:rPr>
  </w:style>
  <w:style w:type="character" w:customStyle="1" w:styleId="53">
    <w:name w:val="明显强调1"/>
    <w:qFormat/>
    <w:uiPriority w:val="0"/>
    <w:rPr>
      <w:b/>
      <w:bCs/>
      <w:i/>
      <w:iCs/>
      <w:color w:val="4F81BD"/>
    </w:rPr>
  </w:style>
  <w:style w:type="character" w:customStyle="1" w:styleId="54">
    <w:name w:val="批注文字 Char2"/>
    <w:qFormat/>
    <w:uiPriority w:val="0"/>
    <w:rPr>
      <w:kern w:val="2"/>
      <w:sz w:val="21"/>
    </w:rPr>
  </w:style>
  <w:style w:type="character" w:customStyle="1" w:styleId="55">
    <w:name w:val="标题 3 Char_0"/>
    <w:link w:val="56"/>
    <w:qFormat/>
    <w:uiPriority w:val="0"/>
    <w:rPr>
      <w:b/>
      <w:bCs/>
      <w:sz w:val="32"/>
      <w:szCs w:val="32"/>
    </w:rPr>
  </w:style>
  <w:style w:type="paragraph" w:customStyle="1" w:styleId="56">
    <w:name w:val="标题 3_0"/>
    <w:basedOn w:val="57"/>
    <w:next w:val="57"/>
    <w:link w:val="55"/>
    <w:qFormat/>
    <w:uiPriority w:val="0"/>
    <w:pPr>
      <w:keepNext/>
      <w:keepLines/>
      <w:spacing w:before="260" w:after="260" w:line="416" w:lineRule="auto"/>
      <w:outlineLvl w:val="2"/>
    </w:pPr>
    <w:rPr>
      <w:b/>
      <w:bCs/>
      <w:kern w:val="0"/>
      <w:sz w:val="32"/>
      <w:szCs w:val="32"/>
    </w:rPr>
  </w:style>
  <w:style w:type="paragraph" w:customStyle="1" w:styleId="57">
    <w:name w:val="正文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58">
    <w:name w:val="标题 2 Char"/>
    <w:link w:val="4"/>
    <w:qFormat/>
    <w:uiPriority w:val="0"/>
    <w:rPr>
      <w:rFonts w:ascii="Cambria" w:hAnsi="Cambria"/>
      <w:b/>
      <w:bCs/>
      <w:kern w:val="2"/>
      <w:sz w:val="32"/>
      <w:szCs w:val="32"/>
    </w:rPr>
  </w:style>
  <w:style w:type="character" w:customStyle="1" w:styleId="59">
    <w:name w:val="正文文本 Char2"/>
    <w:semiHidden/>
    <w:qFormat/>
    <w:uiPriority w:val="99"/>
    <w:rPr>
      <w:rFonts w:ascii="Calibri" w:hAnsi="Calibri" w:eastAsia="宋体" w:cs="Times New Roman"/>
    </w:rPr>
  </w:style>
  <w:style w:type="character" w:customStyle="1" w:styleId="60">
    <w:name w:val="页脚 Char1"/>
    <w:semiHidden/>
    <w:qFormat/>
    <w:uiPriority w:val="99"/>
    <w:rPr>
      <w:rFonts w:ascii="Calibri" w:hAnsi="Calibri" w:eastAsia="宋体" w:cs="Times New Roman"/>
      <w:sz w:val="18"/>
      <w:szCs w:val="18"/>
    </w:rPr>
  </w:style>
  <w:style w:type="character" w:customStyle="1" w:styleId="61">
    <w:name w:val="明显引用 Char2"/>
    <w:qFormat/>
    <w:uiPriority w:val="99"/>
    <w:rPr>
      <w:b/>
      <w:bCs/>
      <w:i/>
      <w:iCs/>
      <w:color w:val="4F81BD"/>
      <w:kern w:val="2"/>
      <w:sz w:val="21"/>
      <w:szCs w:val="24"/>
    </w:rPr>
  </w:style>
  <w:style w:type="character" w:customStyle="1" w:styleId="62">
    <w:name w:val="引用 Char"/>
    <w:link w:val="63"/>
    <w:qFormat/>
    <w:uiPriority w:val="0"/>
    <w:rPr>
      <w:i/>
      <w:iCs/>
      <w:color w:val="000000"/>
    </w:rPr>
  </w:style>
  <w:style w:type="paragraph" w:customStyle="1" w:styleId="63">
    <w:name w:val="引用1"/>
    <w:basedOn w:val="1"/>
    <w:next w:val="1"/>
    <w:link w:val="62"/>
    <w:qFormat/>
    <w:uiPriority w:val="0"/>
    <w:rPr>
      <w:i/>
      <w:iCs/>
      <w:color w:val="000000"/>
      <w:kern w:val="0"/>
      <w:sz w:val="20"/>
      <w:szCs w:val="20"/>
    </w:rPr>
  </w:style>
  <w:style w:type="character" w:customStyle="1" w:styleId="64">
    <w:name w:val="标题 1 Char_0"/>
    <w:link w:val="65"/>
    <w:qFormat/>
    <w:uiPriority w:val="0"/>
    <w:rPr>
      <w:b/>
      <w:bCs/>
      <w:kern w:val="44"/>
      <w:sz w:val="44"/>
      <w:szCs w:val="44"/>
    </w:rPr>
  </w:style>
  <w:style w:type="paragraph" w:customStyle="1" w:styleId="65">
    <w:name w:val="标题 1_0"/>
    <w:basedOn w:val="57"/>
    <w:next w:val="57"/>
    <w:link w:val="64"/>
    <w:qFormat/>
    <w:uiPriority w:val="0"/>
    <w:pPr>
      <w:keepNext/>
      <w:keepLines/>
      <w:spacing w:before="340" w:after="330" w:line="578" w:lineRule="auto"/>
      <w:outlineLvl w:val="0"/>
    </w:pPr>
    <w:rPr>
      <w:b/>
      <w:bCs/>
      <w:kern w:val="44"/>
      <w:sz w:val="44"/>
      <w:szCs w:val="44"/>
    </w:rPr>
  </w:style>
  <w:style w:type="character" w:customStyle="1" w:styleId="66">
    <w:name w:val="正文文本缩进 3 Char1"/>
    <w:semiHidden/>
    <w:qFormat/>
    <w:uiPriority w:val="99"/>
    <w:rPr>
      <w:kern w:val="2"/>
      <w:sz w:val="16"/>
      <w:szCs w:val="16"/>
    </w:rPr>
  </w:style>
  <w:style w:type="character" w:customStyle="1" w:styleId="67">
    <w:name w:val="引用 Char1"/>
    <w:qFormat/>
    <w:uiPriority w:val="29"/>
    <w:rPr>
      <w:i/>
      <w:iCs/>
      <w:color w:val="000000"/>
      <w:kern w:val="2"/>
      <w:sz w:val="21"/>
    </w:rPr>
  </w:style>
  <w:style w:type="character" w:customStyle="1" w:styleId="68">
    <w:name w:val="正文文本缩进 Char"/>
    <w:link w:val="20"/>
    <w:qFormat/>
    <w:uiPriority w:val="0"/>
    <w:rPr>
      <w:kern w:val="2"/>
      <w:sz w:val="21"/>
      <w:szCs w:val="24"/>
    </w:rPr>
  </w:style>
  <w:style w:type="character" w:customStyle="1" w:styleId="69">
    <w:name w:val="font161"/>
    <w:qFormat/>
    <w:uiPriority w:val="0"/>
    <w:rPr>
      <w:b/>
      <w:sz w:val="32"/>
    </w:rPr>
  </w:style>
  <w:style w:type="character" w:customStyle="1" w:styleId="70">
    <w:name w:val="标题 4 Char_0"/>
    <w:link w:val="71"/>
    <w:qFormat/>
    <w:uiPriority w:val="0"/>
    <w:rPr>
      <w:rFonts w:ascii="Arial" w:hAnsi="Arial" w:eastAsia="黑体"/>
      <w:b/>
      <w:bCs/>
      <w:sz w:val="28"/>
      <w:szCs w:val="28"/>
    </w:rPr>
  </w:style>
  <w:style w:type="paragraph" w:customStyle="1" w:styleId="71">
    <w:name w:val="标题 4_0"/>
    <w:basedOn w:val="57"/>
    <w:next w:val="57"/>
    <w:link w:val="70"/>
    <w:qFormat/>
    <w:uiPriority w:val="0"/>
    <w:pPr>
      <w:keepNext/>
      <w:keepLines/>
      <w:spacing w:before="280" w:after="290" w:line="376" w:lineRule="auto"/>
      <w:outlineLvl w:val="3"/>
    </w:pPr>
    <w:rPr>
      <w:rFonts w:ascii="Arial" w:hAnsi="Arial" w:eastAsia="黑体"/>
      <w:b/>
      <w:bCs/>
      <w:kern w:val="0"/>
      <w:sz w:val="28"/>
      <w:szCs w:val="28"/>
    </w:rPr>
  </w:style>
  <w:style w:type="character" w:customStyle="1" w:styleId="72">
    <w:name w:val="页眉 Char"/>
    <w:link w:val="30"/>
    <w:qFormat/>
    <w:uiPriority w:val="0"/>
    <w:rPr>
      <w:kern w:val="2"/>
      <w:sz w:val="18"/>
      <w:szCs w:val="18"/>
    </w:rPr>
  </w:style>
  <w:style w:type="character" w:customStyle="1" w:styleId="73">
    <w:name w:val="标题 6 Char"/>
    <w:link w:val="8"/>
    <w:qFormat/>
    <w:uiPriority w:val="0"/>
    <w:rPr>
      <w:rFonts w:ascii="Cambria" w:hAnsi="Cambria" w:eastAsia="宋体" w:cs="Times New Roman"/>
      <w:b/>
      <w:bCs/>
      <w:kern w:val="2"/>
      <w:sz w:val="24"/>
      <w:szCs w:val="24"/>
    </w:rPr>
  </w:style>
  <w:style w:type="character" w:customStyle="1" w:styleId="74">
    <w:name w:val="纯文本 Char"/>
    <w:link w:val="24"/>
    <w:qFormat/>
    <w:uiPriority w:val="0"/>
    <w:rPr>
      <w:rFonts w:ascii="Ari"/>
      <w:lang w:val="en-US" w:eastAsia="zh-CN" w:bidi="ar-SA"/>
    </w:rPr>
  </w:style>
  <w:style w:type="character" w:customStyle="1" w:styleId="75">
    <w:name w:val="引用 Char2"/>
    <w:qFormat/>
    <w:uiPriority w:val="99"/>
    <w:rPr>
      <w:i/>
      <w:iCs/>
      <w:color w:val="000000"/>
      <w:kern w:val="2"/>
      <w:sz w:val="21"/>
      <w:szCs w:val="24"/>
    </w:rPr>
  </w:style>
  <w:style w:type="character" w:customStyle="1" w:styleId="76">
    <w:name w:val="rvts11"/>
    <w:qFormat/>
    <w:uiPriority w:val="0"/>
    <w:rPr>
      <w:rFonts w:hint="default" w:ascii="KNLe" w:hAnsi="KNLe"/>
      <w:sz w:val="24"/>
      <w:szCs w:val="24"/>
      <w:u w:val="single"/>
    </w:rPr>
  </w:style>
  <w:style w:type="character" w:customStyle="1" w:styleId="77">
    <w:name w:val="标题 Char"/>
    <w:link w:val="41"/>
    <w:qFormat/>
    <w:uiPriority w:val="0"/>
    <w:rPr>
      <w:rFonts w:ascii="Arial" w:hAnsi="Arial"/>
      <w:b/>
      <w:sz w:val="32"/>
    </w:rPr>
  </w:style>
  <w:style w:type="character" w:customStyle="1" w:styleId="78">
    <w:name w:val="标题5 Char Char"/>
    <w:link w:val="79"/>
    <w:qFormat/>
    <w:uiPriority w:val="0"/>
    <w:rPr>
      <w:rFonts w:ascii="Arial" w:hAnsi="Arial"/>
      <w:b/>
      <w:bCs/>
      <w:sz w:val="24"/>
      <w:szCs w:val="32"/>
    </w:rPr>
  </w:style>
  <w:style w:type="paragraph" w:customStyle="1" w:styleId="79">
    <w:name w:val="标题5"/>
    <w:basedOn w:val="5"/>
    <w:link w:val="78"/>
    <w:qFormat/>
    <w:uiPriority w:val="0"/>
    <w:pPr>
      <w:numPr>
        <w:ilvl w:val="0"/>
        <w:numId w:val="0"/>
      </w:numPr>
      <w:spacing w:line="413" w:lineRule="auto"/>
    </w:pPr>
    <w:rPr>
      <w:rFonts w:ascii="Arial" w:hAnsi="Arial"/>
      <w:kern w:val="0"/>
      <w:sz w:val="24"/>
    </w:rPr>
  </w:style>
  <w:style w:type="character" w:customStyle="1" w:styleId="80">
    <w:name w:val="副标题 Char2"/>
    <w:qFormat/>
    <w:uiPriority w:val="11"/>
    <w:rPr>
      <w:rFonts w:ascii="Cambria" w:hAnsi="Cambria" w:cs="Times New Roman"/>
      <w:b/>
      <w:bCs/>
      <w:kern w:val="28"/>
      <w:sz w:val="32"/>
      <w:szCs w:val="32"/>
    </w:rPr>
  </w:style>
  <w:style w:type="character" w:customStyle="1" w:styleId="81">
    <w:name w:val="文档结构图 Char"/>
    <w:link w:val="16"/>
    <w:qFormat/>
    <w:uiPriority w:val="0"/>
    <w:rPr>
      <w:rFonts w:ascii="宋体"/>
      <w:kern w:val="2"/>
      <w:sz w:val="18"/>
      <w:szCs w:val="18"/>
    </w:rPr>
  </w:style>
  <w:style w:type="character" w:customStyle="1" w:styleId="82">
    <w:name w:val="日期 Char"/>
    <w:link w:val="26"/>
    <w:qFormat/>
    <w:uiPriority w:val="0"/>
    <w:rPr>
      <w:kern w:val="2"/>
      <w:sz w:val="21"/>
      <w:szCs w:val="24"/>
    </w:rPr>
  </w:style>
  <w:style w:type="character" w:customStyle="1" w:styleId="83">
    <w:name w:val="批注主题 Char1"/>
    <w:qFormat/>
    <w:uiPriority w:val="0"/>
    <w:rPr>
      <w:b/>
      <w:bCs/>
      <w:kern w:val="2"/>
      <w:sz w:val="21"/>
      <w:szCs w:val="22"/>
    </w:rPr>
  </w:style>
  <w:style w:type="character" w:customStyle="1" w:styleId="84">
    <w:name w:val="font31"/>
    <w:qFormat/>
    <w:uiPriority w:val="0"/>
    <w:rPr>
      <w:rFonts w:hint="eastAsia" w:ascii="宋体" w:hAnsi="宋体" w:eastAsia="宋体" w:cs="宋体"/>
      <w:color w:val="000000"/>
      <w:sz w:val="20"/>
      <w:szCs w:val="20"/>
      <w:u w:val="none"/>
    </w:rPr>
  </w:style>
  <w:style w:type="character" w:customStyle="1" w:styleId="85">
    <w:name w:val="明显引用 Char"/>
    <w:link w:val="86"/>
    <w:qFormat/>
    <w:uiPriority w:val="0"/>
    <w:rPr>
      <w:b/>
      <w:bCs/>
      <w:i/>
      <w:iCs/>
      <w:color w:val="4F81BD"/>
    </w:rPr>
  </w:style>
  <w:style w:type="paragraph" w:customStyle="1" w:styleId="86">
    <w:name w:val="明显引用1"/>
    <w:basedOn w:val="1"/>
    <w:next w:val="1"/>
    <w:link w:val="85"/>
    <w:qFormat/>
    <w:uiPriority w:val="0"/>
    <w:pPr>
      <w:pBdr>
        <w:bottom w:val="single" w:color="4F81BD" w:sz="4" w:space="4"/>
      </w:pBdr>
      <w:spacing w:before="200" w:after="280"/>
      <w:ind w:left="936" w:right="936"/>
    </w:pPr>
    <w:rPr>
      <w:b/>
      <w:bCs/>
      <w:i/>
      <w:iCs/>
      <w:color w:val="4F81BD"/>
      <w:kern w:val="0"/>
      <w:sz w:val="20"/>
      <w:szCs w:val="20"/>
    </w:rPr>
  </w:style>
  <w:style w:type="character" w:customStyle="1" w:styleId="87">
    <w:name w:val="标题 5 Char"/>
    <w:link w:val="7"/>
    <w:qFormat/>
    <w:uiPriority w:val="0"/>
    <w:rPr>
      <w:b/>
      <w:bCs/>
      <w:kern w:val="2"/>
      <w:sz w:val="28"/>
      <w:szCs w:val="28"/>
    </w:rPr>
  </w:style>
  <w:style w:type="character" w:customStyle="1" w:styleId="88">
    <w:name w:val="日期 Char1"/>
    <w:qFormat/>
    <w:uiPriority w:val="0"/>
    <w:rPr>
      <w:rFonts w:ascii="Calibri" w:hAnsi="Calibri" w:eastAsia="宋体" w:cs="Times New Roman"/>
    </w:rPr>
  </w:style>
  <w:style w:type="character" w:customStyle="1" w:styleId="89">
    <w:name w:val="批注框文本 Char1"/>
    <w:qFormat/>
    <w:uiPriority w:val="0"/>
    <w:rPr>
      <w:kern w:val="2"/>
      <w:sz w:val="18"/>
      <w:szCs w:val="18"/>
    </w:rPr>
  </w:style>
  <w:style w:type="character" w:customStyle="1" w:styleId="90">
    <w:name w:val="标题 Char1"/>
    <w:qFormat/>
    <w:uiPriority w:val="10"/>
    <w:rPr>
      <w:rFonts w:ascii="Cambria" w:hAnsi="Cambria" w:eastAsia="宋体" w:cs="Times New Roman"/>
      <w:b/>
      <w:bCs/>
      <w:sz w:val="32"/>
      <w:szCs w:val="32"/>
    </w:rPr>
  </w:style>
  <w:style w:type="character" w:customStyle="1" w:styleId="91">
    <w:name w:val="标题 9 Char"/>
    <w:link w:val="11"/>
    <w:qFormat/>
    <w:uiPriority w:val="0"/>
    <w:rPr>
      <w:rFonts w:ascii="Cambria" w:hAnsi="Cambria" w:eastAsia="宋体" w:cs="Times New Roman"/>
      <w:kern w:val="2"/>
      <w:sz w:val="21"/>
      <w:szCs w:val="21"/>
    </w:rPr>
  </w:style>
  <w:style w:type="character" w:customStyle="1" w:styleId="92">
    <w:name w:val="不明显参考1"/>
    <w:qFormat/>
    <w:uiPriority w:val="0"/>
    <w:rPr>
      <w:smallCaps/>
      <w:color w:val="C0504D"/>
      <w:u w:val="single"/>
    </w:rPr>
  </w:style>
  <w:style w:type="character" w:customStyle="1" w:styleId="93">
    <w:name w:val="批注文字 Char1"/>
    <w:qFormat/>
    <w:uiPriority w:val="0"/>
    <w:rPr>
      <w:rFonts w:ascii="Calibri" w:hAnsi="Calibri" w:eastAsia="宋体" w:cs="Times New Roman"/>
    </w:rPr>
  </w:style>
  <w:style w:type="character" w:customStyle="1" w:styleId="94">
    <w:name w:val="标题 Char2"/>
    <w:qFormat/>
    <w:uiPriority w:val="10"/>
    <w:rPr>
      <w:rFonts w:ascii="Cambria" w:hAnsi="Cambria" w:cs="Times New Roman"/>
      <w:b/>
      <w:bCs/>
      <w:kern w:val="2"/>
      <w:sz w:val="32"/>
      <w:szCs w:val="32"/>
    </w:rPr>
  </w:style>
  <w:style w:type="character" w:customStyle="1" w:styleId="95">
    <w:name w:val="正文文本 3 Char1"/>
    <w:semiHidden/>
    <w:qFormat/>
    <w:uiPriority w:val="99"/>
    <w:rPr>
      <w:kern w:val="2"/>
      <w:sz w:val="16"/>
      <w:szCs w:val="16"/>
    </w:rPr>
  </w:style>
  <w:style w:type="character" w:customStyle="1" w:styleId="96">
    <w:name w:val="批注主题 Char2"/>
    <w:qFormat/>
    <w:uiPriority w:val="0"/>
    <w:rPr>
      <w:b/>
      <w:bCs/>
      <w:kern w:val="2"/>
      <w:sz w:val="21"/>
    </w:rPr>
  </w:style>
  <w:style w:type="character" w:customStyle="1" w:styleId="97">
    <w:name w:val="标题 3 Char"/>
    <w:link w:val="5"/>
    <w:qFormat/>
    <w:uiPriority w:val="0"/>
    <w:rPr>
      <w:b/>
      <w:bCs/>
      <w:kern w:val="2"/>
      <w:sz w:val="32"/>
      <w:szCs w:val="32"/>
    </w:rPr>
  </w:style>
  <w:style w:type="character" w:customStyle="1" w:styleId="98">
    <w:name w:val="正文文本 Char_0"/>
    <w:link w:val="99"/>
    <w:qFormat/>
    <w:uiPriority w:val="0"/>
    <w:rPr>
      <w:szCs w:val="24"/>
    </w:rPr>
  </w:style>
  <w:style w:type="paragraph" w:customStyle="1" w:styleId="99">
    <w:name w:val="正文文本_0"/>
    <w:basedOn w:val="57"/>
    <w:link w:val="98"/>
    <w:qFormat/>
    <w:uiPriority w:val="0"/>
    <w:pPr>
      <w:spacing w:after="120"/>
    </w:pPr>
    <w:rPr>
      <w:kern w:val="0"/>
      <w:sz w:val="20"/>
    </w:rPr>
  </w:style>
  <w:style w:type="character" w:customStyle="1" w:styleId="100">
    <w:name w:val="副标题 Char"/>
    <w:link w:val="33"/>
    <w:qFormat/>
    <w:uiPriority w:val="0"/>
    <w:rPr>
      <w:rFonts w:ascii="Cambria" w:hAnsi="Cambria"/>
      <w:b/>
      <w:bCs/>
      <w:kern w:val="28"/>
      <w:sz w:val="32"/>
      <w:szCs w:val="32"/>
    </w:rPr>
  </w:style>
  <w:style w:type="character" w:customStyle="1" w:styleId="101">
    <w:name w:val="bookmark"/>
    <w:basedOn w:val="45"/>
    <w:qFormat/>
    <w:uiPriority w:val="0"/>
  </w:style>
  <w:style w:type="character" w:customStyle="1" w:styleId="102">
    <w:name w:val="标题 5 Char_0"/>
    <w:link w:val="103"/>
    <w:qFormat/>
    <w:uiPriority w:val="0"/>
    <w:rPr>
      <w:rFonts w:ascii="Calibri" w:hAnsi="Calibri"/>
      <w:b/>
      <w:bCs/>
      <w:sz w:val="28"/>
      <w:szCs w:val="28"/>
    </w:rPr>
  </w:style>
  <w:style w:type="paragraph" w:customStyle="1" w:styleId="103">
    <w:name w:val="标题 5_0"/>
    <w:basedOn w:val="57"/>
    <w:next w:val="57"/>
    <w:link w:val="102"/>
    <w:qFormat/>
    <w:uiPriority w:val="0"/>
    <w:pPr>
      <w:keepNext/>
      <w:keepLines/>
      <w:spacing w:before="280" w:after="290" w:line="372" w:lineRule="auto"/>
      <w:outlineLvl w:val="4"/>
    </w:pPr>
    <w:rPr>
      <w:rFonts w:ascii="Calibri" w:hAnsi="Calibri"/>
      <w:b/>
      <w:bCs/>
      <w:kern w:val="0"/>
      <w:sz w:val="28"/>
      <w:szCs w:val="28"/>
    </w:rPr>
  </w:style>
  <w:style w:type="character" w:customStyle="1" w:styleId="104">
    <w:name w:val="正文文本缩进 2 Char"/>
    <w:link w:val="27"/>
    <w:qFormat/>
    <w:uiPriority w:val="99"/>
    <w:rPr>
      <w:rFonts w:ascii="宋体"/>
    </w:rPr>
  </w:style>
  <w:style w:type="character" w:customStyle="1" w:styleId="105">
    <w:name w:val="批注文字 Char"/>
    <w:link w:val="17"/>
    <w:qFormat/>
    <w:uiPriority w:val="99"/>
    <w:rPr>
      <w:kern w:val="2"/>
      <w:sz w:val="21"/>
      <w:szCs w:val="24"/>
    </w:rPr>
  </w:style>
  <w:style w:type="character" w:customStyle="1" w:styleId="106">
    <w:name w:val="font11"/>
    <w:qFormat/>
    <w:uiPriority w:val="0"/>
    <w:rPr>
      <w:rFonts w:hint="eastAsia" w:ascii="宋体" w:hAnsi="宋体" w:eastAsia="宋体" w:cs="宋体"/>
      <w:color w:val="000000"/>
      <w:sz w:val="20"/>
      <w:szCs w:val="20"/>
      <w:u w:val="none"/>
    </w:rPr>
  </w:style>
  <w:style w:type="character" w:customStyle="1" w:styleId="107">
    <w:name w:val="明显参考1"/>
    <w:qFormat/>
    <w:uiPriority w:val="0"/>
    <w:rPr>
      <w:b/>
      <w:bCs/>
      <w:smallCaps/>
      <w:color w:val="C0504D"/>
      <w:spacing w:val="5"/>
      <w:u w:val="single"/>
    </w:rPr>
  </w:style>
  <w:style w:type="character" w:customStyle="1" w:styleId="108">
    <w:name w:val="超链接_0"/>
    <w:qFormat/>
    <w:uiPriority w:val="99"/>
    <w:rPr>
      <w:rFonts w:ascii="Calibri" w:hAnsi="Calibri"/>
      <w:color w:val="0000FF"/>
      <w:u w:val="single"/>
    </w:rPr>
  </w:style>
  <w:style w:type="character" w:customStyle="1" w:styleId="109">
    <w:name w:val="文档结构图 Char2"/>
    <w:semiHidden/>
    <w:qFormat/>
    <w:uiPriority w:val="99"/>
    <w:rPr>
      <w:rFonts w:ascii="宋体" w:hAnsi="Calibri" w:eastAsia="宋体" w:cs="Times New Roman"/>
      <w:sz w:val="18"/>
      <w:szCs w:val="18"/>
    </w:rPr>
  </w:style>
  <w:style w:type="character" w:customStyle="1" w:styleId="110">
    <w:name w:val="textcontents"/>
    <w:qFormat/>
    <w:uiPriority w:val="0"/>
    <w:rPr>
      <w:rFonts w:cs="Times New Roman"/>
    </w:rPr>
  </w:style>
  <w:style w:type="character" w:customStyle="1" w:styleId="111">
    <w:name w:val="标题 1 Char"/>
    <w:qFormat/>
    <w:uiPriority w:val="0"/>
    <w:rPr>
      <w:b/>
      <w:bCs/>
      <w:kern w:val="44"/>
      <w:sz w:val="32"/>
      <w:szCs w:val="44"/>
    </w:rPr>
  </w:style>
  <w:style w:type="character" w:customStyle="1" w:styleId="112">
    <w:name w:val="正文文本 Char"/>
    <w:link w:val="19"/>
    <w:qFormat/>
    <w:uiPriority w:val="0"/>
    <w:rPr>
      <w:rFonts w:eastAsia="幼圆"/>
      <w:b/>
      <w:bCs/>
      <w:kern w:val="2"/>
      <w:sz w:val="44"/>
      <w:szCs w:val="24"/>
    </w:rPr>
  </w:style>
  <w:style w:type="character" w:customStyle="1" w:styleId="113">
    <w:name w:val="标题 8 Char"/>
    <w:link w:val="10"/>
    <w:qFormat/>
    <w:uiPriority w:val="0"/>
    <w:rPr>
      <w:rFonts w:ascii="Cambria" w:hAnsi="Cambria" w:eastAsia="宋体" w:cs="Times New Roman"/>
      <w:kern w:val="2"/>
      <w:sz w:val="24"/>
      <w:szCs w:val="24"/>
    </w:rPr>
  </w:style>
  <w:style w:type="character" w:customStyle="1" w:styleId="114">
    <w:name w:val="副标题 Char1"/>
    <w:qFormat/>
    <w:uiPriority w:val="11"/>
    <w:rPr>
      <w:rFonts w:ascii="Cambria" w:hAnsi="Cambria" w:cs="Times New Roman"/>
      <w:b/>
      <w:bCs/>
      <w:kern w:val="28"/>
      <w:sz w:val="32"/>
      <w:szCs w:val="32"/>
    </w:rPr>
  </w:style>
  <w:style w:type="character" w:customStyle="1" w:styleId="115">
    <w:name w:val="批注主题 Char"/>
    <w:link w:val="42"/>
    <w:qFormat/>
    <w:uiPriority w:val="0"/>
    <w:rPr>
      <w:b/>
      <w:bCs/>
      <w:kern w:val="2"/>
      <w:sz w:val="21"/>
      <w:szCs w:val="24"/>
    </w:rPr>
  </w:style>
  <w:style w:type="character" w:customStyle="1" w:styleId="116">
    <w:name w:val="书籍标题1"/>
    <w:qFormat/>
    <w:uiPriority w:val="0"/>
    <w:rPr>
      <w:b/>
      <w:bCs/>
      <w:smallCaps/>
      <w:spacing w:val="5"/>
    </w:rPr>
  </w:style>
  <w:style w:type="character" w:customStyle="1" w:styleId="117">
    <w:name w:val="页脚 Char"/>
    <w:link w:val="29"/>
    <w:qFormat/>
    <w:uiPriority w:val="99"/>
    <w:rPr>
      <w:kern w:val="2"/>
      <w:sz w:val="18"/>
      <w:szCs w:val="18"/>
    </w:rPr>
  </w:style>
  <w:style w:type="character" w:customStyle="1" w:styleId="118">
    <w:name w:val="标题4 Char Char"/>
    <w:link w:val="119"/>
    <w:qFormat/>
    <w:uiPriority w:val="0"/>
    <w:rPr>
      <w:rFonts w:ascii="Arial" w:hAnsi="Arial"/>
      <w:b/>
      <w:bCs/>
      <w:sz w:val="24"/>
      <w:szCs w:val="32"/>
    </w:rPr>
  </w:style>
  <w:style w:type="paragraph" w:customStyle="1" w:styleId="119">
    <w:name w:val="标题4"/>
    <w:basedOn w:val="4"/>
    <w:next w:val="21"/>
    <w:link w:val="118"/>
    <w:qFormat/>
    <w:uiPriority w:val="0"/>
    <w:pPr>
      <w:numPr>
        <w:ilvl w:val="0"/>
        <w:numId w:val="0"/>
      </w:numPr>
      <w:spacing w:line="413" w:lineRule="auto"/>
    </w:pPr>
    <w:rPr>
      <w:rFonts w:ascii="Arial" w:hAnsi="Arial"/>
      <w:kern w:val="0"/>
      <w:sz w:val="24"/>
    </w:rPr>
  </w:style>
  <w:style w:type="character" w:customStyle="1" w:styleId="120">
    <w:name w:val="正文文本 Char1"/>
    <w:qFormat/>
    <w:uiPriority w:val="0"/>
    <w:rPr>
      <w:rFonts w:ascii="Calibri" w:hAnsi="Calibri" w:eastAsia="宋体" w:cs="Times New Roman"/>
    </w:rPr>
  </w:style>
  <w:style w:type="character" w:customStyle="1" w:styleId="121">
    <w:name w:val="明显引用 Char1"/>
    <w:qFormat/>
    <w:uiPriority w:val="30"/>
    <w:rPr>
      <w:b/>
      <w:bCs/>
      <w:i/>
      <w:iCs/>
      <w:color w:val="4F81BD"/>
      <w:kern w:val="2"/>
      <w:sz w:val="21"/>
    </w:rPr>
  </w:style>
  <w:style w:type="character" w:customStyle="1" w:styleId="122">
    <w:name w:val="页眉 Char1"/>
    <w:semiHidden/>
    <w:qFormat/>
    <w:uiPriority w:val="99"/>
    <w:rPr>
      <w:rFonts w:ascii="Calibri" w:hAnsi="Calibri" w:eastAsia="宋体" w:cs="Times New Roman"/>
      <w:sz w:val="18"/>
      <w:szCs w:val="18"/>
    </w:rPr>
  </w:style>
  <w:style w:type="character" w:customStyle="1" w:styleId="123">
    <w:name w:val="不明显强调1"/>
    <w:qFormat/>
    <w:uiPriority w:val="0"/>
    <w:rPr>
      <w:i/>
      <w:iCs/>
      <w:color w:val="808080"/>
    </w:rPr>
  </w:style>
  <w:style w:type="character" w:customStyle="1" w:styleId="124">
    <w:name w:val="正文文本 3 Char"/>
    <w:link w:val="18"/>
    <w:qFormat/>
    <w:uiPriority w:val="0"/>
    <w:rPr>
      <w:rFonts w:ascii="宋体"/>
      <w:kern w:val="2"/>
      <w:sz w:val="24"/>
    </w:rPr>
  </w:style>
  <w:style w:type="character" w:customStyle="1" w:styleId="125">
    <w:name w:val="正文文本缩进 3 Char"/>
    <w:link w:val="35"/>
    <w:qFormat/>
    <w:uiPriority w:val="0"/>
    <w:rPr>
      <w:kern w:val="2"/>
      <w:sz w:val="16"/>
    </w:rPr>
  </w:style>
  <w:style w:type="character" w:customStyle="1" w:styleId="126">
    <w:name w:val="font21"/>
    <w:qFormat/>
    <w:uiPriority w:val="0"/>
    <w:rPr>
      <w:rFonts w:hint="eastAsia" w:ascii="宋体" w:hAnsi="宋体" w:eastAsia="宋体" w:cs="宋体"/>
      <w:color w:val="000000"/>
      <w:sz w:val="20"/>
      <w:szCs w:val="20"/>
      <w:u w:val="none"/>
    </w:rPr>
  </w:style>
  <w:style w:type="character" w:customStyle="1" w:styleId="127">
    <w:name w:val="批注框文本 Char"/>
    <w:link w:val="28"/>
    <w:qFormat/>
    <w:uiPriority w:val="0"/>
    <w:rPr>
      <w:kern w:val="2"/>
      <w:sz w:val="18"/>
      <w:szCs w:val="18"/>
    </w:rPr>
  </w:style>
  <w:style w:type="character" w:customStyle="1" w:styleId="128">
    <w:name w:val="标题 7 Char"/>
    <w:link w:val="9"/>
    <w:qFormat/>
    <w:uiPriority w:val="0"/>
    <w:rPr>
      <w:b/>
      <w:bCs/>
      <w:kern w:val="2"/>
      <w:sz w:val="24"/>
      <w:szCs w:val="24"/>
    </w:rPr>
  </w:style>
  <w:style w:type="character" w:customStyle="1" w:styleId="129">
    <w:name w:val="标题 1 Char1"/>
    <w:link w:val="3"/>
    <w:qFormat/>
    <w:uiPriority w:val="0"/>
    <w:rPr>
      <w:rFonts w:ascii="Times New Roman" w:hAnsi="Times New Roman" w:eastAsia="宋体" w:cs="Times New Roman"/>
      <w:b/>
      <w:bCs/>
      <w:kern w:val="44"/>
      <w:sz w:val="32"/>
      <w:szCs w:val="44"/>
    </w:rPr>
  </w:style>
  <w:style w:type="character" w:customStyle="1" w:styleId="130">
    <w:name w:val="文档结构图 Char1"/>
    <w:qFormat/>
    <w:uiPriority w:val="0"/>
    <w:rPr>
      <w:rFonts w:ascii="宋体" w:hAnsi="Calibri" w:eastAsia="宋体" w:cs="Times New Roman"/>
      <w:sz w:val="18"/>
      <w:szCs w:val="18"/>
    </w:rPr>
  </w:style>
  <w:style w:type="character" w:customStyle="1" w:styleId="131">
    <w:name w:val="标题 2 Char_0"/>
    <w:link w:val="132"/>
    <w:qFormat/>
    <w:uiPriority w:val="0"/>
    <w:rPr>
      <w:rFonts w:ascii="Cambria" w:hAnsi="Cambria"/>
      <w:b/>
      <w:bCs/>
      <w:sz w:val="32"/>
      <w:szCs w:val="32"/>
    </w:rPr>
  </w:style>
  <w:style w:type="paragraph" w:customStyle="1" w:styleId="132">
    <w:name w:val="标题 2_0"/>
    <w:basedOn w:val="57"/>
    <w:next w:val="57"/>
    <w:link w:val="131"/>
    <w:unhideWhenUsed/>
    <w:qFormat/>
    <w:uiPriority w:val="0"/>
    <w:pPr>
      <w:keepNext/>
      <w:keepLines/>
      <w:spacing w:before="260" w:after="260" w:line="416" w:lineRule="auto"/>
      <w:outlineLvl w:val="1"/>
    </w:pPr>
    <w:rPr>
      <w:rFonts w:ascii="Cambria" w:hAnsi="Cambria"/>
      <w:b/>
      <w:bCs/>
      <w:kern w:val="0"/>
      <w:sz w:val="32"/>
      <w:szCs w:val="32"/>
    </w:rPr>
  </w:style>
  <w:style w:type="character" w:customStyle="1" w:styleId="133">
    <w:name w:val="日期 Char2"/>
    <w:semiHidden/>
    <w:qFormat/>
    <w:uiPriority w:val="99"/>
    <w:rPr>
      <w:rFonts w:ascii="Calibri" w:hAnsi="Calibri" w:eastAsia="宋体" w:cs="Times New Roman"/>
    </w:rPr>
  </w:style>
  <w:style w:type="character" w:customStyle="1" w:styleId="134">
    <w:name w:val="批注框文本 Char2"/>
    <w:semiHidden/>
    <w:qFormat/>
    <w:uiPriority w:val="99"/>
    <w:rPr>
      <w:rFonts w:ascii="Calibri" w:hAnsi="Calibri" w:eastAsia="宋体" w:cs="Times New Roman"/>
      <w:sz w:val="18"/>
      <w:szCs w:val="18"/>
    </w:rPr>
  </w:style>
  <w:style w:type="character" w:customStyle="1" w:styleId="135">
    <w:name w:val="标题 4 Char"/>
    <w:link w:val="6"/>
    <w:qFormat/>
    <w:uiPriority w:val="0"/>
    <w:rPr>
      <w:rFonts w:ascii="Cambria" w:hAnsi="Cambria" w:eastAsia="宋体" w:cs="Times New Roman"/>
      <w:b/>
      <w:bCs/>
      <w:kern w:val="2"/>
      <w:sz w:val="28"/>
      <w:szCs w:val="28"/>
    </w:rPr>
  </w:style>
  <w:style w:type="character" w:customStyle="1" w:styleId="136">
    <w:name w:val="列出段落 Char"/>
    <w:link w:val="137"/>
    <w:qFormat/>
    <w:locked/>
    <w:uiPriority w:val="99"/>
    <w:rPr>
      <w:kern w:val="2"/>
      <w:sz w:val="21"/>
      <w:szCs w:val="24"/>
    </w:rPr>
  </w:style>
  <w:style w:type="paragraph" w:customStyle="1" w:styleId="137">
    <w:name w:val="List Paragraph1"/>
    <w:basedOn w:val="1"/>
    <w:link w:val="136"/>
    <w:qFormat/>
    <w:uiPriority w:val="99"/>
    <w:pPr>
      <w:ind w:firstLine="420" w:firstLineChars="200"/>
    </w:pPr>
  </w:style>
  <w:style w:type="paragraph" w:customStyle="1" w:styleId="138">
    <w:name w:val="样式 标题 3 + (中文) 黑体 小四 非加粗 段前: 7.8 磅 段后: 0 磅 行距: 固定值 20 磅"/>
    <w:basedOn w:val="5"/>
    <w:next w:val="1"/>
    <w:qFormat/>
    <w:uiPriority w:val="0"/>
    <w:pPr>
      <w:spacing w:before="0" w:after="0" w:line="400" w:lineRule="exact"/>
    </w:pPr>
    <w:rPr>
      <w:rFonts w:eastAsia="黑体" w:cs="宋体"/>
      <w:b w:val="0"/>
      <w:bCs w:val="0"/>
      <w:sz w:val="24"/>
      <w:szCs w:val="20"/>
    </w:rPr>
  </w:style>
  <w:style w:type="paragraph" w:customStyle="1" w:styleId="139">
    <w:name w:val="_Style 34"/>
    <w:next w:v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40">
    <w:name w:val="正文_3"/>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41">
    <w:name w:val="_Style 36"/>
    <w:next w:v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42">
    <w:name w:val="空半行"/>
    <w:basedOn w:val="1"/>
    <w:qFormat/>
    <w:uiPriority w:val="0"/>
    <w:pPr>
      <w:adjustRightInd w:val="0"/>
      <w:spacing w:line="120" w:lineRule="exact"/>
      <w:textAlignment w:val="baseline"/>
    </w:pPr>
    <w:rPr>
      <w:rFonts w:ascii="Calibri" w:hAnsi="Calibri" w:eastAsia="仿宋_GB2312"/>
      <w:color w:val="FFFFFF"/>
      <w:kern w:val="0"/>
      <w:sz w:val="30"/>
      <w:szCs w:val="22"/>
    </w:rPr>
  </w:style>
  <w:style w:type="paragraph" w:customStyle="1" w:styleId="143">
    <w:name w:val="1方案格式1"/>
    <w:basedOn w:val="3"/>
    <w:qFormat/>
    <w:uiPriority w:val="0"/>
    <w:pPr>
      <w:numPr>
        <w:numId w:val="2"/>
      </w:numPr>
      <w:tabs>
        <w:tab w:val="left" w:pos="360"/>
      </w:tabs>
      <w:spacing w:beforeLines="50" w:afterLines="50" w:line="360" w:lineRule="auto"/>
      <w:ind w:left="0" w:firstLine="0"/>
    </w:pPr>
    <w:rPr>
      <w:rFonts w:eastAsia="微软雅黑"/>
      <w:bCs w:val="0"/>
      <w:sz w:val="48"/>
    </w:rPr>
  </w:style>
  <w:style w:type="paragraph" w:customStyle="1" w:styleId="144">
    <w:name w:val="格式３"/>
    <w:basedOn w:val="1"/>
    <w:qFormat/>
    <w:uiPriority w:val="0"/>
    <w:pPr>
      <w:spacing w:line="420" w:lineRule="exact"/>
      <w:ind w:left="600" w:hanging="600" w:hangingChars="250"/>
    </w:pPr>
    <w:rPr>
      <w:rFonts w:ascii="宋体" w:hAnsi="宋体"/>
      <w:color w:val="000000"/>
      <w:sz w:val="24"/>
      <w:szCs w:val="20"/>
    </w:rPr>
  </w:style>
  <w:style w:type="paragraph" w:customStyle="1" w:styleId="145">
    <w:name w:val="正文1"/>
    <w:qFormat/>
    <w:uiPriority w:val="0"/>
    <w:pPr>
      <w:widowControl w:val="0"/>
      <w:jc w:val="both"/>
    </w:pPr>
    <w:rPr>
      <w:rFonts w:ascii="Calibri" w:hAnsi="Calibri" w:eastAsia="宋体" w:cs="Times New Roman"/>
      <w:lang w:val="en-US" w:eastAsia="zh-CN" w:bidi="ar-SA"/>
    </w:rPr>
  </w:style>
  <w:style w:type="paragraph" w:customStyle="1" w:styleId="146">
    <w:name w:val="列出段落1"/>
    <w:basedOn w:val="1"/>
    <w:qFormat/>
    <w:uiPriority w:val="99"/>
    <w:pPr>
      <w:widowControl/>
      <w:ind w:left="720"/>
      <w:contextualSpacing/>
      <w:jc w:val="left"/>
    </w:pPr>
    <w:rPr>
      <w:rFonts w:ascii="Arial" w:hAnsi="Arial" w:eastAsia="黑体"/>
      <w:kern w:val="0"/>
      <w:sz w:val="24"/>
      <w:lang w:eastAsia="en-US"/>
    </w:rPr>
  </w:style>
  <w:style w:type="paragraph" w:customStyle="1" w:styleId="147">
    <w:name w:val="正文空2字"/>
    <w:basedOn w:val="1"/>
    <w:qFormat/>
    <w:locked/>
    <w:uiPriority w:val="0"/>
    <w:pPr>
      <w:spacing w:beforeLines="40" w:afterLines="40" w:line="360" w:lineRule="auto"/>
      <w:ind w:firstLine="200" w:firstLineChars="200"/>
    </w:pPr>
    <w:rPr>
      <w:kern w:val="0"/>
      <w:sz w:val="24"/>
      <w:lang w:bidi="en-US"/>
    </w:rPr>
  </w:style>
  <w:style w:type="paragraph" w:customStyle="1" w:styleId="148">
    <w:name w:val="正文_0_0_0"/>
    <w:qFormat/>
    <w:uiPriority w:val="0"/>
    <w:pPr>
      <w:widowControl w:val="0"/>
      <w:jc w:val="both"/>
    </w:pPr>
    <w:rPr>
      <w:rFonts w:ascii="Times New Roman" w:hAnsi="Times New Roman" w:eastAsia="宋体" w:cs="Times New Roman"/>
      <w:lang w:val="en-US" w:eastAsia="zh-CN" w:bidi="ar-SA"/>
    </w:rPr>
  </w:style>
  <w:style w:type="paragraph" w:customStyle="1" w:styleId="149">
    <w:name w:val="目录 5_0"/>
    <w:basedOn w:val="57"/>
    <w:next w:val="57"/>
    <w:qFormat/>
    <w:uiPriority w:val="39"/>
    <w:pPr>
      <w:ind w:left="1680" w:leftChars="800"/>
    </w:pPr>
    <w:rPr>
      <w:rFonts w:ascii="Calibri" w:hAnsi="Calibri"/>
    </w:rPr>
  </w:style>
  <w:style w:type="paragraph" w:customStyle="1" w:styleId="150">
    <w:name w:val="修订1"/>
    <w:qFormat/>
    <w:uiPriority w:val="0"/>
    <w:rPr>
      <w:rFonts w:ascii="Times New Roman" w:hAnsi="Times New Roman" w:eastAsia="宋体" w:cs="Times New Roman"/>
      <w:kern w:val="2"/>
      <w:sz w:val="21"/>
      <w:szCs w:val="24"/>
      <w:lang w:val="en-US" w:eastAsia="zh-CN" w:bidi="ar-SA"/>
    </w:rPr>
  </w:style>
  <w:style w:type="paragraph" w:customStyle="1" w:styleId="151">
    <w:name w:val="标题 11"/>
    <w:basedOn w:val="145"/>
    <w:next w:val="145"/>
    <w:qFormat/>
    <w:uiPriority w:val="0"/>
    <w:pPr>
      <w:keepNext/>
      <w:keepLines/>
      <w:spacing w:before="340" w:after="330" w:line="576" w:lineRule="auto"/>
      <w:outlineLvl w:val="0"/>
    </w:pPr>
    <w:rPr>
      <w:rFonts w:ascii="Times New Roman" w:hAnsi="Times New Roman" w:eastAsia="Times New Roman"/>
      <w:b/>
      <w:kern w:val="44"/>
      <w:sz w:val="44"/>
      <w:lang w:val="zh-CN"/>
    </w:rPr>
  </w:style>
  <w:style w:type="paragraph" w:customStyle="1" w:styleId="152">
    <w:name w:val="正文 + 行距: 固定值 20 磅"/>
    <w:basedOn w:val="1"/>
    <w:qFormat/>
    <w:uiPriority w:val="0"/>
    <w:pPr>
      <w:spacing w:line="400" w:lineRule="exact"/>
      <w:ind w:firstLine="716" w:firstLineChars="341"/>
    </w:pPr>
    <w:rPr>
      <w:rFonts w:ascii="Calibri" w:hAnsi="Calibri"/>
      <w:szCs w:val="22"/>
    </w:rPr>
  </w:style>
  <w:style w:type="paragraph" w:customStyle="1" w:styleId="153">
    <w:name w:val="TOC 标题1"/>
    <w:basedOn w:val="3"/>
    <w:next w:val="1"/>
    <w:qFormat/>
    <w:uiPriority w:val="0"/>
    <w:pPr>
      <w:widowControl/>
      <w:numPr>
        <w:numId w:val="0"/>
      </w:numPr>
      <w:spacing w:before="480" w:after="0" w:line="276" w:lineRule="auto"/>
      <w:jc w:val="left"/>
      <w:outlineLvl w:val="9"/>
    </w:pPr>
    <w:rPr>
      <w:rFonts w:ascii="Cambria" w:hAnsi="Cambria"/>
      <w:color w:val="365F91"/>
      <w:kern w:val="0"/>
      <w:sz w:val="28"/>
      <w:szCs w:val="28"/>
    </w:rPr>
  </w:style>
  <w:style w:type="paragraph" w:customStyle="1" w:styleId="154">
    <w:name w:val="表格文字"/>
    <w:basedOn w:val="1"/>
    <w:link w:val="185"/>
    <w:qFormat/>
    <w:uiPriority w:val="0"/>
    <w:pPr>
      <w:adjustRightInd w:val="0"/>
      <w:spacing w:line="420" w:lineRule="atLeast"/>
      <w:jc w:val="left"/>
      <w:textAlignment w:val="baseline"/>
    </w:pPr>
    <w:rPr>
      <w:rFonts w:ascii="Calibri" w:hAnsi="Calibri"/>
      <w:kern w:val="0"/>
      <w:szCs w:val="22"/>
    </w:rPr>
  </w:style>
  <w:style w:type="paragraph" w:customStyle="1" w:styleId="155">
    <w:name w:val="flNote"/>
    <w:basedOn w:val="1"/>
    <w:qFormat/>
    <w:uiPriority w:val="0"/>
    <w:pPr>
      <w:adjustRightInd w:val="0"/>
      <w:spacing w:before="320" w:after="160" w:line="360" w:lineRule="atLeast"/>
      <w:jc w:val="center"/>
      <w:textAlignment w:val="baseline"/>
    </w:pPr>
    <w:rPr>
      <w:rFonts w:ascii="Arial" w:hAnsi="Calibri" w:eastAsia="黑体"/>
      <w:kern w:val="0"/>
      <w:sz w:val="30"/>
      <w:szCs w:val="22"/>
    </w:rPr>
  </w:style>
  <w:style w:type="paragraph" w:customStyle="1" w:styleId="156">
    <w:name w:val="文章正文"/>
    <w:basedOn w:val="1"/>
    <w:qFormat/>
    <w:uiPriority w:val="99"/>
    <w:pPr>
      <w:adjustRightInd w:val="0"/>
      <w:snapToGrid w:val="0"/>
      <w:spacing w:line="360" w:lineRule="auto"/>
      <w:ind w:firstLine="480" w:firstLineChars="200"/>
    </w:pPr>
    <w:rPr>
      <w:rFonts w:ascii="仿宋_GB2312" w:hAnsi="宋体" w:eastAsia="仿宋_GB2312"/>
      <w:color w:val="FF0000"/>
      <w:sz w:val="24"/>
    </w:rPr>
  </w:style>
  <w:style w:type="paragraph" w:customStyle="1" w:styleId="157">
    <w:name w:val="表格"/>
    <w:basedOn w:val="1"/>
    <w:qFormat/>
    <w:uiPriority w:val="0"/>
    <w:pPr>
      <w:jc w:val="center"/>
      <w:textAlignment w:val="center"/>
    </w:pPr>
    <w:rPr>
      <w:rFonts w:ascii="华文细黑" w:hAnsi="华文细黑"/>
      <w:kern w:val="0"/>
      <w:szCs w:val="22"/>
    </w:rPr>
  </w:style>
  <w:style w:type="paragraph" w:customStyle="1" w:styleId="158">
    <w:name w:val="Char"/>
    <w:basedOn w:val="1"/>
    <w:qFormat/>
    <w:uiPriority w:val="0"/>
    <w:pPr>
      <w:widowControl/>
      <w:spacing w:after="160" w:line="240" w:lineRule="exact"/>
      <w:jc w:val="left"/>
    </w:pPr>
    <w:rPr>
      <w:rFonts w:ascii="Verdana" w:hAnsi="Verdana"/>
      <w:kern w:val="0"/>
      <w:sz w:val="20"/>
      <w:szCs w:val="20"/>
      <w:lang w:eastAsia="en-US"/>
    </w:rPr>
  </w:style>
  <w:style w:type="paragraph" w:customStyle="1" w:styleId="159">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0">
    <w:name w:val="列出段落2"/>
    <w:basedOn w:val="1"/>
    <w:qFormat/>
    <w:uiPriority w:val="99"/>
    <w:pPr>
      <w:ind w:firstLine="420" w:firstLineChars="200"/>
    </w:pPr>
  </w:style>
  <w:style w:type="paragraph" w:customStyle="1" w:styleId="161">
    <w:name w:val="6'"/>
    <w:basedOn w:val="1"/>
    <w:qFormat/>
    <w:uiPriority w:val="0"/>
    <w:pPr>
      <w:autoSpaceDE w:val="0"/>
      <w:autoSpaceDN w:val="0"/>
      <w:adjustRightInd w:val="0"/>
      <w:snapToGrid w:val="0"/>
      <w:spacing w:line="320" w:lineRule="exact"/>
      <w:jc w:val="center"/>
      <w:textAlignment w:val="baseline"/>
    </w:pPr>
    <w:rPr>
      <w:rFonts w:ascii="Calibri" w:hAnsi="Calibri"/>
      <w:spacing w:val="20"/>
      <w:kern w:val="28"/>
      <w:szCs w:val="22"/>
    </w:rPr>
  </w:style>
  <w:style w:type="paragraph" w:customStyle="1" w:styleId="162">
    <w:name w:val="Char Char Char Char Char Char Char"/>
    <w:basedOn w:val="1"/>
    <w:qFormat/>
    <w:uiPriority w:val="0"/>
    <w:pPr>
      <w:adjustRightInd w:val="0"/>
      <w:spacing w:line="360" w:lineRule="auto"/>
    </w:pPr>
    <w:rPr>
      <w:kern w:val="0"/>
      <w:sz w:val="24"/>
      <w:szCs w:val="20"/>
    </w:rPr>
  </w:style>
  <w:style w:type="paragraph" w:customStyle="1" w:styleId="163">
    <w:name w:val="2方案格式2"/>
    <w:basedOn w:val="143"/>
    <w:qFormat/>
    <w:uiPriority w:val="0"/>
    <w:pPr>
      <w:numPr>
        <w:ilvl w:val="1"/>
      </w:numPr>
      <w:spacing w:before="50" w:after="50" w:line="240" w:lineRule="auto"/>
      <w:outlineLvl w:val="1"/>
    </w:pPr>
    <w:rPr>
      <w:sz w:val="44"/>
    </w:rPr>
  </w:style>
  <w:style w:type="paragraph" w:customStyle="1" w:styleId="164">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65">
    <w:name w:val="文档正文"/>
    <w:basedOn w:val="1"/>
    <w:qFormat/>
    <w:uiPriority w:val="0"/>
    <w:pPr>
      <w:adjustRightInd w:val="0"/>
      <w:spacing w:line="480" w:lineRule="atLeast"/>
      <w:ind w:firstLine="567"/>
      <w:textAlignment w:val="baseline"/>
    </w:pPr>
    <w:rPr>
      <w:rFonts w:ascii="Ari" w:eastAsia="Ari"/>
      <w:kern w:val="0"/>
      <w:sz w:val="28"/>
      <w:szCs w:val="20"/>
    </w:rPr>
  </w:style>
  <w:style w:type="paragraph" w:customStyle="1" w:styleId="166">
    <w:name w:val="txt"/>
    <w:basedOn w:val="1"/>
    <w:qFormat/>
    <w:uiPriority w:val="0"/>
    <w:pPr>
      <w:widowControl/>
      <w:spacing w:before="100" w:beforeAutospacing="1" w:after="100" w:afterAutospacing="1"/>
      <w:jc w:val="left"/>
    </w:pPr>
    <w:rPr>
      <w:rFonts w:ascii="宋体" w:hAnsi="宋体" w:cs="宋体"/>
      <w:kern w:val="0"/>
      <w:sz w:val="24"/>
    </w:rPr>
  </w:style>
  <w:style w:type="paragraph" w:customStyle="1" w:styleId="167">
    <w:name w:val="目录 4_0"/>
    <w:basedOn w:val="57"/>
    <w:next w:val="57"/>
    <w:qFormat/>
    <w:uiPriority w:val="39"/>
    <w:pPr>
      <w:ind w:left="1260" w:leftChars="600"/>
    </w:pPr>
    <w:rPr>
      <w:rFonts w:ascii="Calibri" w:hAnsi="Calibri"/>
    </w:rPr>
  </w:style>
  <w:style w:type="paragraph" w:customStyle="1" w:styleId="168">
    <w:name w:val="目录 3_0"/>
    <w:basedOn w:val="57"/>
    <w:next w:val="57"/>
    <w:qFormat/>
    <w:uiPriority w:val="39"/>
    <w:pPr>
      <w:ind w:left="840" w:leftChars="400"/>
    </w:pPr>
    <w:rPr>
      <w:rFonts w:ascii="Calibri" w:hAnsi="Calibri"/>
    </w:rPr>
  </w:style>
  <w:style w:type="paragraph" w:customStyle="1" w:styleId="169">
    <w:name w:val="样式 标题 1 + 黑体 三号 非加粗 居中 段前: 6 磅 段后: 6 磅 行距: 固定值 20 磅"/>
    <w:basedOn w:val="3"/>
    <w:qFormat/>
    <w:uiPriority w:val="0"/>
    <w:pPr>
      <w:numPr>
        <w:numId w:val="0"/>
      </w:numPr>
      <w:spacing w:before="120" w:after="120" w:line="400" w:lineRule="exact"/>
    </w:pPr>
    <w:rPr>
      <w:rFonts w:ascii="黑体" w:hAnsi="黑体" w:eastAsia="黑体"/>
      <w:b w:val="0"/>
      <w:bCs w:val="0"/>
      <w:szCs w:val="20"/>
    </w:rPr>
  </w:style>
  <w:style w:type="paragraph" w:customStyle="1" w:styleId="170">
    <w:name w:val="1"/>
    <w:basedOn w:val="1"/>
    <w:next w:val="1"/>
    <w:qFormat/>
    <w:uiPriority w:val="0"/>
    <w:rPr>
      <w:rFonts w:ascii="Calibri" w:hAnsi="Calibri"/>
      <w:szCs w:val="22"/>
    </w:rPr>
  </w:style>
  <w:style w:type="paragraph" w:customStyle="1" w:styleId="171">
    <w:name w:val="Blockquote_0"/>
    <w:basedOn w:val="57"/>
    <w:qFormat/>
    <w:uiPriority w:val="0"/>
    <w:pPr>
      <w:autoSpaceDE w:val="0"/>
      <w:autoSpaceDN w:val="0"/>
      <w:adjustRightInd w:val="0"/>
      <w:spacing w:before="100" w:after="100"/>
      <w:ind w:left="360" w:right="360"/>
      <w:jc w:val="left"/>
    </w:pPr>
    <w:rPr>
      <w:rFonts w:ascii="Calibri" w:hAnsi="Calibri" w:eastAsia="Times New Roman"/>
      <w:kern w:val="0"/>
      <w:sz w:val="24"/>
      <w:szCs w:val="20"/>
    </w:rPr>
  </w:style>
  <w:style w:type="paragraph" w:customStyle="1" w:styleId="172">
    <w:name w:val="列出段落11"/>
    <w:basedOn w:val="1"/>
    <w:qFormat/>
    <w:uiPriority w:val="0"/>
    <w:pPr>
      <w:widowControl/>
      <w:ind w:left="720"/>
      <w:contextualSpacing/>
      <w:jc w:val="left"/>
    </w:pPr>
    <w:rPr>
      <w:rFonts w:ascii="Arial" w:hAnsi="Arial" w:eastAsia="黑体"/>
      <w:kern w:val="0"/>
      <w:sz w:val="24"/>
      <w:lang w:eastAsia="en-US"/>
    </w:rPr>
  </w:style>
  <w:style w:type="paragraph" w:customStyle="1" w:styleId="173">
    <w:name w:val="样式 标题 2 + Times New Roman 四号 非加粗 段前: 5 磅 段后: 0 磅 行距: 固定值 20..._0"/>
    <w:basedOn w:val="1"/>
    <w:qFormat/>
    <w:uiPriority w:val="0"/>
    <w:pPr>
      <w:keepNext/>
      <w:keepLines/>
      <w:spacing w:before="100" w:line="360" w:lineRule="auto"/>
      <w:outlineLvl w:val="1"/>
    </w:pPr>
    <w:rPr>
      <w:rFonts w:eastAsia="Times New Roman" w:cs="宋体"/>
      <w:kern w:val="0"/>
      <w:sz w:val="28"/>
      <w:szCs w:val="20"/>
    </w:rPr>
  </w:style>
  <w:style w:type="paragraph" w:customStyle="1" w:styleId="174">
    <w:name w:val="op_mapdots_left"/>
    <w:basedOn w:val="1"/>
    <w:qFormat/>
    <w:uiPriority w:val="0"/>
    <w:pPr>
      <w:widowControl/>
      <w:spacing w:before="100" w:beforeAutospacing="1" w:after="100" w:afterAutospacing="1"/>
      <w:jc w:val="left"/>
    </w:pPr>
    <w:rPr>
      <w:rFonts w:ascii="宋体" w:hAnsi="宋体" w:cs="宋体"/>
      <w:kern w:val="0"/>
      <w:sz w:val="24"/>
    </w:rPr>
  </w:style>
  <w:style w:type="paragraph" w:customStyle="1" w:styleId="175">
    <w:name w:val="p0"/>
    <w:basedOn w:val="1"/>
    <w:qFormat/>
    <w:uiPriority w:val="0"/>
    <w:pPr>
      <w:widowControl/>
    </w:pPr>
    <w:rPr>
      <w:b/>
      <w:bCs/>
      <w:kern w:val="0"/>
      <w:sz w:val="24"/>
    </w:rPr>
  </w:style>
  <w:style w:type="paragraph" w:customStyle="1" w:styleId="176">
    <w:name w:val="Blockquote"/>
    <w:basedOn w:val="1"/>
    <w:qFormat/>
    <w:uiPriority w:val="0"/>
    <w:pPr>
      <w:autoSpaceDE w:val="0"/>
      <w:autoSpaceDN w:val="0"/>
      <w:adjustRightInd w:val="0"/>
      <w:spacing w:before="100" w:after="100"/>
      <w:ind w:left="360" w:right="360"/>
      <w:jc w:val="left"/>
    </w:pPr>
    <w:rPr>
      <w:rFonts w:ascii="Calibri" w:hAnsi="Calibri"/>
      <w:kern w:val="0"/>
      <w:sz w:val="24"/>
      <w:szCs w:val="22"/>
    </w:rPr>
  </w:style>
  <w:style w:type="paragraph" w:customStyle="1" w:styleId="177">
    <w:name w:val="3方案格式3"/>
    <w:basedOn w:val="163"/>
    <w:qFormat/>
    <w:uiPriority w:val="0"/>
    <w:pPr>
      <w:numPr>
        <w:ilvl w:val="2"/>
      </w:numPr>
      <w:outlineLvl w:val="2"/>
    </w:pPr>
    <w:rPr>
      <w:sz w:val="32"/>
    </w:rPr>
  </w:style>
  <w:style w:type="paragraph" w:customStyle="1" w:styleId="178">
    <w:name w:val="样式 标题 2 + Times New Roman 四号 非加粗 段前: 5 磅 段后: 0 磅 行距: 固定值 20..."/>
    <w:basedOn w:val="4"/>
    <w:qFormat/>
    <w:uiPriority w:val="0"/>
    <w:pPr>
      <w:numPr>
        <w:ilvl w:val="0"/>
        <w:numId w:val="0"/>
      </w:numPr>
      <w:spacing w:before="100" w:after="0" w:line="400" w:lineRule="exact"/>
    </w:pPr>
    <w:rPr>
      <w:rFonts w:ascii="Times New Roman" w:hAnsi="Times New Roman" w:eastAsia="黑体"/>
      <w:b w:val="0"/>
      <w:bCs w:val="0"/>
      <w:sz w:val="28"/>
      <w:szCs w:val="20"/>
    </w:rPr>
  </w:style>
  <w:style w:type="paragraph" w:customStyle="1" w:styleId="179">
    <w:name w:val="标题2"/>
    <w:basedOn w:val="4"/>
    <w:next w:val="19"/>
    <w:qFormat/>
    <w:uiPriority w:val="0"/>
    <w:pPr>
      <w:spacing w:before="156" w:after="156" w:line="360" w:lineRule="auto"/>
    </w:pPr>
    <w:rPr>
      <w:bCs w:val="0"/>
      <w:sz w:val="24"/>
    </w:rPr>
  </w:style>
  <w:style w:type="paragraph" w:customStyle="1" w:styleId="180">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181">
    <w:name w:val="正文11"/>
    <w:qFormat/>
    <w:uiPriority w:val="0"/>
    <w:rPr>
      <w:rFonts w:ascii="Calibri" w:hAnsi="Calibri" w:eastAsia="宋体" w:cs="Calibri"/>
      <w:sz w:val="24"/>
      <w:szCs w:val="24"/>
      <w:lang w:val="en-US" w:eastAsia="zh-CN" w:bidi="ar-SA"/>
    </w:rPr>
  </w:style>
  <w:style w:type="paragraph" w:customStyle="1" w:styleId="182">
    <w:name w:val="正文2"/>
    <w:qFormat/>
    <w:uiPriority w:val="0"/>
    <w:rPr>
      <w:rFonts w:ascii="Times New Roman" w:hAnsi="Times New Roman" w:eastAsia="微软雅黑" w:cs="Times New Roman"/>
      <w:sz w:val="24"/>
      <w:szCs w:val="24"/>
      <w:lang w:val="en-US" w:eastAsia="zh-CN" w:bidi="ar-SA"/>
    </w:rPr>
  </w:style>
  <w:style w:type="paragraph" w:customStyle="1" w:styleId="183">
    <w:name w:val="列出段落3"/>
    <w:basedOn w:val="1"/>
    <w:qFormat/>
    <w:uiPriority w:val="0"/>
    <w:pPr>
      <w:widowControl/>
      <w:adjustRightInd w:val="0"/>
      <w:snapToGrid w:val="0"/>
      <w:spacing w:after="200"/>
      <w:ind w:firstLine="420" w:firstLineChars="200"/>
      <w:jc w:val="left"/>
    </w:pPr>
    <w:rPr>
      <w:rFonts w:ascii="Tahoma" w:hAnsi="Tahoma" w:eastAsia="微软雅黑"/>
      <w:kern w:val="0"/>
      <w:sz w:val="22"/>
      <w:szCs w:val="22"/>
    </w:rPr>
  </w:style>
  <w:style w:type="paragraph" w:customStyle="1" w:styleId="184">
    <w:name w:val="纯文本2"/>
    <w:basedOn w:val="1"/>
    <w:qFormat/>
    <w:uiPriority w:val="0"/>
    <w:pPr>
      <w:jc w:val="left"/>
    </w:pPr>
    <w:rPr>
      <w:rFonts w:hint="eastAsia" w:ascii="宋体" w:hAnsi="宋体" w:cs="Courier New"/>
      <w:kern w:val="1"/>
      <w:sz w:val="24"/>
      <w:szCs w:val="20"/>
      <w:lang w:bidi="hi-IN"/>
    </w:rPr>
  </w:style>
  <w:style w:type="character" w:customStyle="1" w:styleId="185">
    <w:name w:val="表格文字 字符"/>
    <w:link w:val="154"/>
    <w:qFormat/>
    <w:uiPriority w:val="0"/>
    <w:rPr>
      <w:rFonts w:ascii="Calibri" w:hAnsi="Calibri" w:eastAsia="宋体" w:cs="Times New Roman"/>
      <w:sz w:val="21"/>
      <w:szCs w:val="22"/>
    </w:rPr>
  </w:style>
  <w:style w:type="paragraph" w:customStyle="1" w:styleId="186">
    <w:name w:val="trs_editor"/>
    <w:basedOn w:val="1"/>
    <w:qFormat/>
    <w:uiPriority w:val="0"/>
    <w:pPr>
      <w:widowControl/>
      <w:spacing w:before="100" w:beforeAutospacing="1" w:after="100" w:afterAutospacing="1"/>
      <w:jc w:val="left"/>
    </w:pPr>
    <w:rPr>
      <w:rFonts w:ascii="宋体" w:hAnsi="宋体" w:cs="宋体"/>
      <w:kern w:val="0"/>
      <w:sz w:val="24"/>
    </w:rPr>
  </w:style>
  <w:style w:type="paragraph" w:customStyle="1" w:styleId="187">
    <w:name w:val="首行缩进"/>
    <w:basedOn w:val="1"/>
    <w:qFormat/>
    <w:uiPriority w:val="0"/>
    <w:pPr>
      <w:ind w:firstLine="480" w:firstLineChars="200"/>
    </w:pPr>
    <w:rPr>
      <w:rFonts w:ascii="Calibri" w:hAnsi="Calibri" w:eastAsia="Calibri" w:cs="宋体"/>
      <w:kern w:val="0"/>
      <w:sz w:val="20"/>
      <w:szCs w:val="20"/>
      <w:lang w:val="zh-CN"/>
    </w:rPr>
  </w:style>
  <w:style w:type="paragraph" w:customStyle="1" w:styleId="188">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189">
    <w:name w:val="fontstyle01"/>
    <w:basedOn w:val="45"/>
    <w:qFormat/>
    <w:uiPriority w:val="0"/>
    <w:rPr>
      <w:rFonts w:hint="eastAsia" w:ascii="宋体" w:hAnsi="宋体" w:eastAsia="宋体"/>
      <w:color w:val="000000"/>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江苏省设备成套有限公司</Company>
  <Pages>1</Pages>
  <Words>5267</Words>
  <Characters>30023</Characters>
  <Lines>250</Lines>
  <Paragraphs>70</Paragraphs>
  <TotalTime>12</TotalTime>
  <ScaleCrop>false</ScaleCrop>
  <LinksUpToDate>false</LinksUpToDate>
  <CharactersWithSpaces>35220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2020-06-23T19:42:00Z</dcterms:created>
  <dc:creator>Lenovo User</dc:creator>
  <cp:lastModifiedBy>陆中杰</cp:lastModifiedBy>
  <cp:lastPrinted>2021-01-12T02:11:00Z</cp:lastPrinted>
  <dcterms:modified xsi:type="dcterms:W3CDTF">2021-03-01T01:32:24Z</dcterms:modified>
  <dc:title>公开招标文件</dc:title>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