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eastAsia="宋体"/>
          <w:b/>
          <w:color w:val="auto"/>
          <w:sz w:val="32"/>
          <w:szCs w:val="32"/>
          <w:highlight w:val="none"/>
          <w:lang w:val="en-US" w:eastAsia="zh-CN"/>
        </w:rPr>
      </w:pPr>
    </w:p>
    <w:p>
      <w:pPr>
        <w:jc w:val="center"/>
        <w:rPr>
          <w:rFonts w:hint="eastAsia"/>
          <w:b/>
          <w:color w:val="auto"/>
          <w:sz w:val="36"/>
          <w:szCs w:val="36"/>
          <w:highlight w:val="none"/>
        </w:rPr>
      </w:pPr>
    </w:p>
    <w:p>
      <w:pPr>
        <w:pStyle w:val="42"/>
        <w:ind w:firstLine="0"/>
        <w:jc w:val="center"/>
        <w:rPr>
          <w:rFonts w:hint="eastAsia" w:ascii="方正小标宋简体" w:eastAsia="方正小标宋简体"/>
          <w:bCs/>
          <w:color w:val="auto"/>
          <w:sz w:val="52"/>
          <w:szCs w:val="52"/>
          <w:highlight w:val="none"/>
        </w:rPr>
      </w:pPr>
      <w:r>
        <w:rPr>
          <w:rFonts w:hint="eastAsia" w:ascii="方正小标宋简体" w:eastAsia="方正小标宋简体"/>
          <w:bCs/>
          <w:color w:val="auto"/>
          <w:sz w:val="52"/>
          <w:szCs w:val="52"/>
          <w:highlight w:val="none"/>
        </w:rPr>
        <w:t>如皋市政府采购竞争性磋商文件</w:t>
      </w:r>
    </w:p>
    <w:p>
      <w:pPr>
        <w:pStyle w:val="42"/>
        <w:ind w:firstLine="0"/>
        <w:jc w:val="center"/>
        <w:rPr>
          <w:rFonts w:hint="eastAsia" w:ascii="方正小标宋简体" w:eastAsia="方正小标宋简体"/>
          <w:bCs/>
          <w:color w:val="auto"/>
          <w:sz w:val="44"/>
          <w:szCs w:val="44"/>
          <w:highlight w:val="none"/>
          <w:u w:val="single"/>
        </w:rPr>
      </w:pPr>
    </w:p>
    <w:p>
      <w:pPr>
        <w:pStyle w:val="42"/>
        <w:ind w:firstLine="0"/>
        <w:jc w:val="center"/>
        <w:rPr>
          <w:rFonts w:hint="eastAsia" w:ascii="方正小标宋简体" w:eastAsia="方正小标宋简体"/>
          <w:bCs/>
          <w:color w:val="auto"/>
          <w:sz w:val="44"/>
          <w:szCs w:val="44"/>
          <w:highlight w:val="none"/>
        </w:rPr>
      </w:pPr>
    </w:p>
    <w:p>
      <w:pPr>
        <w:pStyle w:val="42"/>
        <w:tabs>
          <w:tab w:val="left" w:pos="6110"/>
        </w:tabs>
        <w:ind w:firstLine="0"/>
        <w:rPr>
          <w:rFonts w:hint="eastAsia" w:ascii="方正小标宋简体" w:eastAsia="方正小标宋简体"/>
          <w:bCs/>
          <w:color w:val="auto"/>
          <w:sz w:val="44"/>
          <w:szCs w:val="44"/>
          <w:highlight w:val="none"/>
        </w:rPr>
      </w:pPr>
      <w:r>
        <w:rPr>
          <w:rFonts w:hint="eastAsia" w:ascii="方正小标宋简体" w:eastAsia="方正小标宋简体"/>
          <w:bCs/>
          <w:color w:val="auto"/>
          <w:sz w:val="44"/>
          <w:szCs w:val="44"/>
          <w:highlight w:val="none"/>
        </w:rPr>
        <w:tab/>
      </w:r>
    </w:p>
    <w:tbl>
      <w:tblPr>
        <w:tblStyle w:val="21"/>
        <w:tblW w:w="0" w:type="auto"/>
        <w:jc w:val="center"/>
        <w:tblLayout w:type="fixed"/>
        <w:tblCellMar>
          <w:top w:w="0" w:type="dxa"/>
          <w:left w:w="108" w:type="dxa"/>
          <w:bottom w:w="0" w:type="dxa"/>
          <w:right w:w="108" w:type="dxa"/>
        </w:tblCellMar>
      </w:tblPr>
      <w:tblGrid>
        <w:gridCol w:w="1735"/>
        <w:gridCol w:w="6439"/>
      </w:tblGrid>
      <w:tr>
        <w:tblPrEx>
          <w:tblCellMar>
            <w:top w:w="0" w:type="dxa"/>
            <w:left w:w="108" w:type="dxa"/>
            <w:bottom w:w="0" w:type="dxa"/>
            <w:right w:w="108" w:type="dxa"/>
          </w:tblCellMar>
        </w:tblPrEx>
        <w:trPr>
          <w:trHeight w:val="992" w:hRule="atLeast"/>
          <w:jc w:val="center"/>
        </w:trPr>
        <w:tc>
          <w:tcPr>
            <w:tcW w:w="1735" w:type="dxa"/>
            <w:noWrap w:val="0"/>
            <w:vAlign w:val="top"/>
          </w:tcPr>
          <w:p>
            <w:pPr>
              <w:pStyle w:val="42"/>
              <w:ind w:right="-105" w:rightChars="-50" w:firstLine="0"/>
              <w:jc w:val="right"/>
              <w:rPr>
                <w:rFonts w:hint="eastAsia"/>
                <w:b/>
                <w:bCs/>
                <w:color w:val="auto"/>
                <w:sz w:val="32"/>
                <w:highlight w:val="none"/>
              </w:rPr>
            </w:pPr>
            <w:r>
              <w:rPr>
                <w:color w:val="auto"/>
                <w:sz w:val="32"/>
                <w:highlight w:val="none"/>
              </w:rPr>
              <mc:AlternateContent>
                <mc:Choice Requires="wps">
                  <w:drawing>
                    <wp:anchor distT="0" distB="0" distL="114300" distR="114300" simplePos="0" relativeHeight="251659264" behindDoc="0" locked="0" layoutInCell="1" allowOverlap="1">
                      <wp:simplePos x="0" y="0"/>
                      <wp:positionH relativeFrom="column">
                        <wp:posOffset>1021715</wp:posOffset>
                      </wp:positionH>
                      <wp:positionV relativeFrom="paragraph">
                        <wp:posOffset>504825</wp:posOffset>
                      </wp:positionV>
                      <wp:extent cx="4118610" cy="635"/>
                      <wp:effectExtent l="0" t="0" r="0" b="0"/>
                      <wp:wrapNone/>
                      <wp:docPr id="1" name="直线 6"/>
                      <wp:cNvGraphicFramePr/>
                      <a:graphic xmlns:a="http://schemas.openxmlformats.org/drawingml/2006/main">
                        <a:graphicData uri="http://schemas.microsoft.com/office/word/2010/wordprocessingShape">
                          <wps:wsp>
                            <wps:cNvCnPr/>
                            <wps:spPr>
                              <a:xfrm>
                                <a:off x="0" y="0"/>
                                <a:ext cx="411861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6" o:spid="_x0000_s1026" o:spt="20" style="position:absolute;left:0pt;margin-left:80.45pt;margin-top:39.75pt;height:0.05pt;width:324.3pt;z-index:251659264;mso-width-relative:page;mso-height-relative:page;" filled="f" stroked="t" coordsize="21600,21600" o:gfxdata="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Du+CiNYA&#10;AAAJAQAADwAAAAAAAAABACAAAAAiAAAAZHJzL2Rvd25yZXYueG1sUEsBAhQAFAAAAAgAh07iQE2Y&#10;NHnoAQAA3QMAAA4AAAAAAAAAAQAgAAAAJQEAAGRycy9lMm9Eb2MueG1sUEsFBgAAAAAGAAYAWQEA&#10;AH8FAAAAAA==&#10;">
                      <v:fill on="f" focussize="0,0"/>
                      <v:stroke color="#000000" joinstyle="round"/>
                      <v:imagedata o:title=""/>
                      <o:lock v:ext="edit" aspectratio="f"/>
                    </v:line>
                  </w:pict>
                </mc:Fallback>
              </mc:AlternateContent>
            </w:r>
            <w:r>
              <w:rPr>
                <w:b/>
                <w:bCs/>
                <w:color w:val="auto"/>
                <w:sz w:val="32"/>
                <w:highlight w:val="none"/>
              </w:rPr>
              <w:t>项目名称：</w:t>
            </w:r>
          </w:p>
        </w:tc>
        <w:tc>
          <w:tcPr>
            <w:tcW w:w="6439" w:type="dxa"/>
            <w:noWrap w:val="0"/>
            <w:vAlign w:val="top"/>
          </w:tcPr>
          <w:p>
            <w:pPr>
              <w:pStyle w:val="42"/>
              <w:ind w:firstLine="0"/>
              <w:jc w:val="center"/>
              <w:rPr>
                <w:rFonts w:hint="eastAsia"/>
                <w:b/>
                <w:bCs/>
                <w:color w:val="auto"/>
                <w:sz w:val="32"/>
                <w:szCs w:val="32"/>
                <w:highlight w:val="none"/>
              </w:rPr>
            </w:pPr>
            <w:r>
              <w:rPr>
                <w:rFonts w:hint="eastAsia" w:eastAsia="宋体"/>
                <w:b/>
                <w:bCs/>
                <w:color w:val="auto"/>
                <w:sz w:val="32"/>
                <w:szCs w:val="32"/>
                <w:highlight w:val="none"/>
                <w:lang w:eastAsia="zh-CN"/>
              </w:rPr>
              <w:t>高新区专职消防救援器材购置</w:t>
            </w:r>
          </w:p>
        </w:tc>
      </w:tr>
      <w:tr>
        <w:tblPrEx>
          <w:tblCellMar>
            <w:top w:w="0" w:type="dxa"/>
            <w:left w:w="108" w:type="dxa"/>
            <w:bottom w:w="0" w:type="dxa"/>
            <w:right w:w="108" w:type="dxa"/>
          </w:tblCellMar>
        </w:tblPrEx>
        <w:trPr>
          <w:trHeight w:val="895" w:hRule="atLeast"/>
          <w:jc w:val="center"/>
        </w:trPr>
        <w:tc>
          <w:tcPr>
            <w:tcW w:w="1735" w:type="dxa"/>
            <w:noWrap w:val="0"/>
            <w:vAlign w:val="center"/>
          </w:tcPr>
          <w:p>
            <w:pPr>
              <w:pStyle w:val="42"/>
              <w:ind w:right="-105" w:rightChars="-50" w:firstLine="0"/>
              <w:jc w:val="center"/>
              <w:rPr>
                <w:rFonts w:hint="eastAsia"/>
                <w:b/>
                <w:bCs/>
                <w:color w:val="auto"/>
                <w:sz w:val="32"/>
                <w:highlight w:val="none"/>
              </w:rPr>
            </w:pPr>
            <w:r>
              <w:rPr>
                <w:color w:val="auto"/>
                <w:sz w:val="32"/>
                <w:highlight w:val="none"/>
              </w:rPr>
              <mc:AlternateContent>
                <mc:Choice Requires="wps">
                  <w:drawing>
                    <wp:anchor distT="0" distB="0" distL="114300" distR="114300" simplePos="0" relativeHeight="251660288" behindDoc="0" locked="0" layoutInCell="1" allowOverlap="1">
                      <wp:simplePos x="0" y="0"/>
                      <wp:positionH relativeFrom="column">
                        <wp:posOffset>1021715</wp:posOffset>
                      </wp:positionH>
                      <wp:positionV relativeFrom="paragraph">
                        <wp:posOffset>460375</wp:posOffset>
                      </wp:positionV>
                      <wp:extent cx="4118610" cy="635"/>
                      <wp:effectExtent l="0" t="0" r="0" b="0"/>
                      <wp:wrapNone/>
                      <wp:docPr id="2" name="直线 7"/>
                      <wp:cNvGraphicFramePr/>
                      <a:graphic xmlns:a="http://schemas.openxmlformats.org/drawingml/2006/main">
                        <a:graphicData uri="http://schemas.microsoft.com/office/word/2010/wordprocessingShape">
                          <wps:wsp>
                            <wps:cNvCnPr/>
                            <wps:spPr>
                              <a:xfrm>
                                <a:off x="0" y="0"/>
                                <a:ext cx="411861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7" o:spid="_x0000_s1026" o:spt="20" style="position:absolute;left:0pt;margin-left:80.45pt;margin-top:36.25pt;height:0.05pt;width:324.3pt;z-index:251660288;mso-width-relative:page;mso-height-relative:page;" filled="f" stroked="t" coordsize="21600,21600" o:gfxdata="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o5jc8&#10;1wAAAAkBAAAPAAAAAAAAAAEAIAAAACIAAABkcnMvZG93bnJldi54bWxQSwECFAAUAAAACACHTuJA&#10;UzTdsekBAADdAwAADgAAAAAAAAABACAAAAAmAQAAZHJzL2Uyb0RvYy54bWxQSwUGAAAAAAYABgBZ&#10;AQAAgQUAAAAA&#10;">
                      <v:fill on="f" focussize="0,0"/>
                      <v:stroke color="#000000" joinstyle="round"/>
                      <v:imagedata o:title=""/>
                      <o:lock v:ext="edit" aspectratio="f"/>
                    </v:line>
                  </w:pict>
                </mc:Fallback>
              </mc:AlternateContent>
            </w:r>
            <w:r>
              <w:rPr>
                <w:rFonts w:hint="eastAsia"/>
                <w:b/>
                <w:bCs/>
                <w:color w:val="auto"/>
                <w:sz w:val="32"/>
                <w:highlight w:val="none"/>
              </w:rPr>
              <w:t>计划编号：</w:t>
            </w:r>
          </w:p>
        </w:tc>
        <w:tc>
          <w:tcPr>
            <w:tcW w:w="6439" w:type="dxa"/>
            <w:noWrap w:val="0"/>
            <w:vAlign w:val="top"/>
          </w:tcPr>
          <w:p>
            <w:pPr>
              <w:pStyle w:val="42"/>
              <w:ind w:firstLine="0"/>
              <w:jc w:val="center"/>
              <w:rPr>
                <w:rFonts w:hint="eastAsia" w:eastAsia="宋体"/>
                <w:b/>
                <w:bCs/>
                <w:color w:val="auto"/>
                <w:sz w:val="32"/>
                <w:szCs w:val="32"/>
                <w:highlight w:val="none"/>
                <w:lang w:eastAsia="zh-CN"/>
              </w:rPr>
            </w:pPr>
            <w:r>
              <w:rPr>
                <w:rFonts w:hint="eastAsia" w:eastAsia="宋体"/>
                <w:b/>
                <w:bCs/>
                <w:color w:val="auto"/>
                <w:sz w:val="32"/>
                <w:szCs w:val="32"/>
                <w:highlight w:val="none"/>
                <w:lang w:eastAsia="zh-CN"/>
              </w:rPr>
              <w:t>JSZC-320682-NTJW-C2021-0134</w:t>
            </w:r>
          </w:p>
        </w:tc>
      </w:tr>
    </w:tbl>
    <w:p>
      <w:pPr>
        <w:pStyle w:val="42"/>
        <w:ind w:firstLine="0"/>
        <w:jc w:val="both"/>
        <w:rPr>
          <w:rFonts w:hint="eastAsia"/>
          <w:b/>
          <w:bCs/>
          <w:color w:val="auto"/>
          <w:sz w:val="32"/>
          <w:highlight w:val="none"/>
        </w:rPr>
      </w:pPr>
    </w:p>
    <w:p>
      <w:pPr>
        <w:pStyle w:val="42"/>
        <w:ind w:firstLine="0"/>
        <w:jc w:val="both"/>
        <w:rPr>
          <w:rFonts w:hint="eastAsia"/>
          <w:b/>
          <w:bCs/>
          <w:color w:val="auto"/>
          <w:sz w:val="32"/>
          <w:highlight w:val="none"/>
        </w:rPr>
      </w:pPr>
    </w:p>
    <w:p>
      <w:pPr>
        <w:pStyle w:val="42"/>
        <w:ind w:firstLine="0"/>
        <w:rPr>
          <w:rFonts w:hint="eastAsia"/>
          <w:b/>
          <w:bCs/>
          <w:color w:val="auto"/>
          <w:sz w:val="32"/>
          <w:highlight w:val="none"/>
        </w:rPr>
      </w:pPr>
    </w:p>
    <w:p>
      <w:pPr>
        <w:pStyle w:val="42"/>
        <w:ind w:firstLine="0"/>
        <w:jc w:val="center"/>
        <w:rPr>
          <w:rFonts w:hint="default" w:eastAsia="宋体"/>
          <w:b/>
          <w:bCs/>
          <w:color w:val="auto"/>
          <w:sz w:val="32"/>
          <w:highlight w:val="none"/>
          <w:lang w:val="en-US" w:eastAsia="zh-CN"/>
        </w:rPr>
      </w:pPr>
      <w:r>
        <w:rPr>
          <w:rFonts w:hint="eastAsia"/>
          <w:b/>
          <w:bCs/>
          <w:color w:val="auto"/>
          <w:sz w:val="32"/>
          <w:highlight w:val="none"/>
        </w:rPr>
        <w:t>采购人：</w:t>
      </w:r>
      <w:r>
        <w:rPr>
          <w:rFonts w:hint="eastAsia"/>
          <w:b/>
          <w:bCs/>
          <w:color w:val="auto"/>
          <w:sz w:val="32"/>
          <w:highlight w:val="none"/>
          <w:lang w:eastAsia="zh-CN"/>
        </w:rPr>
        <w:t>江苏省如皋高新技术产业开发区管理委员会</w:t>
      </w:r>
    </w:p>
    <w:p>
      <w:pPr>
        <w:spacing w:line="480" w:lineRule="exact"/>
        <w:rPr>
          <w:rFonts w:hint="default" w:ascii="Calibri" w:hAnsi="Calibri" w:eastAsia="宋体"/>
          <w:b/>
          <w:bCs/>
          <w:color w:val="auto"/>
          <w:sz w:val="32"/>
          <w:highlight w:val="none"/>
          <w:lang w:val="en-US" w:eastAsia="zh-CN"/>
        </w:rPr>
      </w:pPr>
      <w:r>
        <w:rPr>
          <w:rFonts w:hint="eastAsia"/>
          <w:b/>
          <w:bCs/>
          <w:color w:val="auto"/>
          <w:sz w:val="32"/>
          <w:highlight w:val="none"/>
        </w:rPr>
        <w:t>采购代理机构：</w:t>
      </w:r>
      <w:r>
        <w:rPr>
          <w:rFonts w:hint="eastAsia" w:ascii="Calibri" w:hAnsi="Calibri"/>
          <w:b/>
          <w:bCs/>
          <w:color w:val="auto"/>
          <w:sz w:val="32"/>
          <w:highlight w:val="none"/>
        </w:rPr>
        <w:t>南通泾天纬地项目管理有限公司</w:t>
      </w:r>
      <w:r>
        <w:rPr>
          <w:rFonts w:hint="eastAsia" w:ascii="Calibri" w:hAnsi="Calibri"/>
          <w:b/>
          <w:bCs/>
          <w:color w:val="auto"/>
          <w:sz w:val="32"/>
          <w:highlight w:val="none"/>
          <w:lang w:val="en-US" w:eastAsia="zh-CN"/>
        </w:rPr>
        <w:t>第一分公司</w:t>
      </w:r>
    </w:p>
    <w:p>
      <w:pPr>
        <w:pStyle w:val="42"/>
        <w:ind w:firstLine="0"/>
        <w:jc w:val="center"/>
        <w:rPr>
          <w:rFonts w:hint="eastAsia"/>
          <w:b/>
          <w:bCs/>
          <w:color w:val="auto"/>
          <w:sz w:val="32"/>
          <w:highlight w:val="none"/>
        </w:rPr>
        <w:sectPr>
          <w:headerReference r:id="rId3" w:type="default"/>
          <w:footerReference r:id="rId4" w:type="even"/>
          <w:pgSz w:w="11906" w:h="16838"/>
          <w:pgMar w:top="1984" w:right="1474" w:bottom="1984" w:left="1587" w:header="1134" w:footer="992" w:gutter="0"/>
          <w:cols w:space="720" w:num="1"/>
          <w:docGrid w:type="lines" w:linePitch="312" w:charSpace="0"/>
        </w:sectPr>
      </w:pPr>
      <w:r>
        <w:rPr>
          <w:rFonts w:hint="eastAsia"/>
          <w:b/>
          <w:bCs/>
          <w:color w:val="auto"/>
          <w:sz w:val="32"/>
          <w:highlight w:val="none"/>
        </w:rPr>
        <w:t xml:space="preserve">  2021 年</w:t>
      </w:r>
      <w:r>
        <w:rPr>
          <w:rFonts w:hint="eastAsia"/>
          <w:b/>
          <w:bCs/>
          <w:color w:val="auto"/>
          <w:sz w:val="32"/>
          <w:highlight w:val="none"/>
          <w:lang w:val="en-US" w:eastAsia="zh-CN"/>
        </w:rPr>
        <w:t>12</w:t>
      </w:r>
      <w:r>
        <w:rPr>
          <w:rFonts w:hint="eastAsia"/>
          <w:b/>
          <w:bCs/>
          <w:color w:val="auto"/>
          <w:sz w:val="32"/>
          <w:highlight w:val="none"/>
        </w:rPr>
        <w:t>月</w:t>
      </w:r>
      <w:r>
        <w:rPr>
          <w:rFonts w:hint="eastAsia"/>
          <w:b/>
          <w:bCs/>
          <w:color w:val="auto"/>
          <w:sz w:val="32"/>
          <w:highlight w:val="none"/>
          <w:lang w:val="en-US" w:eastAsia="zh-CN"/>
        </w:rPr>
        <w:t xml:space="preserve"> 31 </w:t>
      </w:r>
      <w:r>
        <w:rPr>
          <w:rFonts w:hint="eastAsia"/>
          <w:b/>
          <w:bCs/>
          <w:color w:val="auto"/>
          <w:sz w:val="32"/>
          <w:highlight w:val="none"/>
        </w:rPr>
        <w:t>日</w:t>
      </w:r>
    </w:p>
    <w:p>
      <w:pPr>
        <w:pStyle w:val="16"/>
        <w:keepNext w:val="0"/>
        <w:keepLines w:val="0"/>
        <w:pageBreakBefore w:val="0"/>
        <w:tabs>
          <w:tab w:val="right" w:leader="dot" w:pos="8306"/>
        </w:tabs>
        <w:kinsoku/>
        <w:wordWrap/>
        <w:overflowPunct/>
        <w:topLinePunct w:val="0"/>
        <w:autoSpaceDE/>
        <w:autoSpaceDN/>
        <w:bidi w:val="0"/>
        <w:snapToGrid/>
        <w:spacing w:line="360" w:lineRule="auto"/>
        <w:ind w:left="0" w:leftChars="0"/>
        <w:jc w:val="center"/>
        <w:rPr>
          <w:rFonts w:ascii="宋体" w:hAnsi="宋体"/>
          <w:b/>
          <w:bCs/>
          <w:color w:val="auto"/>
          <w:sz w:val="44"/>
          <w:szCs w:val="44"/>
          <w:highlight w:val="none"/>
        </w:rPr>
      </w:pPr>
    </w:p>
    <w:p>
      <w:pPr>
        <w:pStyle w:val="16"/>
        <w:keepNext w:val="0"/>
        <w:keepLines w:val="0"/>
        <w:pageBreakBefore w:val="0"/>
        <w:tabs>
          <w:tab w:val="right" w:leader="dot" w:pos="8306"/>
        </w:tabs>
        <w:kinsoku/>
        <w:wordWrap/>
        <w:overflowPunct/>
        <w:topLinePunct w:val="0"/>
        <w:autoSpaceDE/>
        <w:autoSpaceDN/>
        <w:bidi w:val="0"/>
        <w:snapToGrid/>
        <w:spacing w:line="360" w:lineRule="auto"/>
        <w:ind w:left="0" w:leftChars="0"/>
        <w:jc w:val="center"/>
        <w:rPr>
          <w:rFonts w:ascii="宋体" w:hAnsi="宋体"/>
          <w:b/>
          <w:bCs/>
          <w:color w:val="auto"/>
          <w:sz w:val="44"/>
          <w:szCs w:val="44"/>
          <w:highlight w:val="none"/>
        </w:rPr>
      </w:pPr>
      <w:r>
        <w:rPr>
          <w:rFonts w:ascii="宋体" w:hAnsi="宋体"/>
          <w:b/>
          <w:bCs/>
          <w:color w:val="auto"/>
          <w:sz w:val="44"/>
          <w:szCs w:val="44"/>
          <w:highlight w:val="none"/>
        </w:rPr>
        <w:t>目</w:t>
      </w:r>
      <w:r>
        <w:rPr>
          <w:rFonts w:hint="eastAsia" w:ascii="宋体" w:hAnsi="宋体"/>
          <w:b/>
          <w:bCs/>
          <w:color w:val="auto"/>
          <w:sz w:val="44"/>
          <w:szCs w:val="44"/>
          <w:highlight w:val="none"/>
        </w:rPr>
        <w:t xml:space="preserve">  </w:t>
      </w:r>
      <w:r>
        <w:rPr>
          <w:rFonts w:ascii="宋体" w:hAnsi="宋体"/>
          <w:b/>
          <w:bCs/>
          <w:color w:val="auto"/>
          <w:sz w:val="44"/>
          <w:szCs w:val="44"/>
          <w:highlight w:val="none"/>
        </w:rPr>
        <w:t>录</w:t>
      </w:r>
    </w:p>
    <w:p>
      <w:pPr>
        <w:rPr>
          <w:rFonts w:hint="eastAsia"/>
          <w:color w:val="auto"/>
          <w:highlight w:val="none"/>
        </w:rPr>
      </w:pPr>
    </w:p>
    <w:p>
      <w:pPr>
        <w:pStyle w:val="16"/>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TOC \o "1-2" \h \u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_Toc352 </w:instrText>
      </w:r>
      <w:r>
        <w:rPr>
          <w:rFonts w:hint="eastAsia" w:ascii="黑体" w:hAnsi="黑体" w:eastAsia="黑体" w:cs="黑体"/>
          <w:color w:val="auto"/>
          <w:sz w:val="24"/>
          <w:szCs w:val="24"/>
          <w:highlight w:val="none"/>
        </w:rPr>
        <w:fldChar w:fldCharType="separate"/>
      </w:r>
      <w:r>
        <w:rPr>
          <w:rFonts w:hint="eastAsia" w:ascii="黑体" w:hAnsi="黑体" w:eastAsia="黑体" w:cs="黑体"/>
          <w:bCs/>
          <w:color w:val="auto"/>
          <w:sz w:val="24"/>
          <w:szCs w:val="24"/>
          <w:highlight w:val="none"/>
        </w:rPr>
        <w:t>第一章 竞争性磋商公告</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_Toc352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4</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_Toc28800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一、项目基本情况</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_Toc28800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4</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_Toc22471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二、响应人的资格要求：</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_Toc22471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4</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_Toc19885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三、获取</w:t>
      </w:r>
      <w:r>
        <w:rPr>
          <w:rFonts w:hint="eastAsia" w:ascii="黑体" w:hAnsi="黑体" w:eastAsia="黑体" w:cs="黑体"/>
          <w:color w:val="auto"/>
          <w:sz w:val="24"/>
          <w:szCs w:val="24"/>
          <w:highlight w:val="none"/>
          <w:lang w:eastAsia="zh-CN"/>
        </w:rPr>
        <w:t>竞争性磋商</w:t>
      </w:r>
      <w:r>
        <w:rPr>
          <w:rFonts w:hint="eastAsia" w:ascii="黑体" w:hAnsi="黑体" w:eastAsia="黑体" w:cs="黑体"/>
          <w:color w:val="auto"/>
          <w:sz w:val="24"/>
          <w:szCs w:val="24"/>
          <w:highlight w:val="none"/>
        </w:rPr>
        <w:t>文件</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_Toc19885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6</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_Toc19384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四、</w:t>
      </w:r>
      <w:r>
        <w:rPr>
          <w:rFonts w:hint="eastAsia" w:ascii="黑体" w:hAnsi="黑体" w:eastAsia="黑体" w:cs="黑体"/>
          <w:color w:val="auto"/>
          <w:sz w:val="24"/>
          <w:szCs w:val="24"/>
          <w:highlight w:val="none"/>
          <w:lang w:eastAsia="zh-CN"/>
        </w:rPr>
        <w:t>竞争性磋商</w:t>
      </w:r>
      <w:r>
        <w:rPr>
          <w:rFonts w:hint="eastAsia" w:ascii="黑体" w:hAnsi="黑体" w:eastAsia="黑体" w:cs="黑体"/>
          <w:color w:val="auto"/>
          <w:sz w:val="24"/>
          <w:szCs w:val="24"/>
          <w:highlight w:val="none"/>
        </w:rPr>
        <w:t>响应文件提交</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_Toc19384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6</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_Toc18835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lang w:eastAsia="zh-CN"/>
        </w:rPr>
        <w:t>五</w:t>
      </w:r>
      <w:r>
        <w:rPr>
          <w:rFonts w:hint="eastAsia" w:ascii="黑体" w:hAnsi="黑体" w:eastAsia="黑体" w:cs="黑体"/>
          <w:color w:val="auto"/>
          <w:sz w:val="24"/>
          <w:szCs w:val="24"/>
          <w:highlight w:val="none"/>
        </w:rPr>
        <w:t>、公告期限</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_Toc18835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7</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_Toc25213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lang w:eastAsia="zh-CN"/>
        </w:rPr>
        <w:t>六</w:t>
      </w:r>
      <w:r>
        <w:rPr>
          <w:rFonts w:hint="eastAsia" w:ascii="黑体" w:hAnsi="黑体" w:eastAsia="黑体" w:cs="黑体"/>
          <w:color w:val="auto"/>
          <w:sz w:val="24"/>
          <w:szCs w:val="24"/>
          <w:highlight w:val="none"/>
        </w:rPr>
        <w:t>、其他补充事宜</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_Toc25213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7</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_Toc12540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lang w:eastAsia="zh-CN"/>
        </w:rPr>
        <w:t>七</w:t>
      </w:r>
      <w:r>
        <w:rPr>
          <w:rFonts w:hint="eastAsia" w:ascii="黑体" w:hAnsi="黑体" w:eastAsia="黑体" w:cs="黑体"/>
          <w:color w:val="auto"/>
          <w:sz w:val="24"/>
          <w:szCs w:val="24"/>
          <w:highlight w:val="none"/>
        </w:rPr>
        <w:t>、凡对本次采购提出询问，请按以下方式联系。</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lang w:val="en-US" w:eastAsia="zh-CN"/>
        </w:rPr>
        <w:t>8</w:t>
      </w:r>
      <w:r>
        <w:rPr>
          <w:rFonts w:hint="eastAsia" w:ascii="黑体" w:hAnsi="黑体" w:eastAsia="黑体" w:cs="黑体"/>
          <w:color w:val="auto"/>
          <w:sz w:val="24"/>
          <w:szCs w:val="24"/>
          <w:highlight w:val="none"/>
        </w:rPr>
        <w:fldChar w:fldCharType="end"/>
      </w:r>
    </w:p>
    <w:p>
      <w:pPr>
        <w:pStyle w:val="16"/>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_Toc18366 </w:instrText>
      </w:r>
      <w:r>
        <w:rPr>
          <w:rFonts w:hint="eastAsia" w:ascii="黑体" w:hAnsi="黑体" w:eastAsia="黑体" w:cs="黑体"/>
          <w:color w:val="auto"/>
          <w:sz w:val="24"/>
          <w:szCs w:val="24"/>
          <w:highlight w:val="none"/>
        </w:rPr>
        <w:fldChar w:fldCharType="separate"/>
      </w:r>
      <w:r>
        <w:rPr>
          <w:rFonts w:hint="eastAsia" w:ascii="黑体" w:hAnsi="黑体" w:eastAsia="黑体" w:cs="黑体"/>
          <w:bCs/>
          <w:color w:val="auto"/>
          <w:sz w:val="24"/>
          <w:szCs w:val="24"/>
          <w:highlight w:val="none"/>
        </w:rPr>
        <w:t>第二章 磋商须知</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lang w:val="en-US" w:eastAsia="zh-CN"/>
        </w:rPr>
        <w:t>8</w:t>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_Toc21223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一、参加磋商费用</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lang w:val="en-US" w:eastAsia="zh-CN"/>
        </w:rPr>
        <w:t>8</w:t>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_Toc139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二、磋商文件的约束力</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_Toc139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8</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_Toc4598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三、磋商响应文件的编制和递交</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_Toc4598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9</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_Toc14243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四、磋商与评审</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_Toc14243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10</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_Toc32255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五、成交和合同</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_Toc32255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10</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_Toc30006 </w:instrText>
      </w:r>
      <w:r>
        <w:rPr>
          <w:rFonts w:hint="eastAsia" w:ascii="黑体" w:hAnsi="黑体" w:eastAsia="黑体" w:cs="黑体"/>
          <w:color w:val="auto"/>
          <w:sz w:val="24"/>
          <w:szCs w:val="24"/>
          <w:highlight w:val="none"/>
        </w:rPr>
        <w:fldChar w:fldCharType="separate"/>
      </w:r>
      <w:r>
        <w:rPr>
          <w:rFonts w:hint="eastAsia" w:ascii="黑体" w:hAnsi="黑体" w:eastAsia="黑体" w:cs="黑体"/>
          <w:bCs/>
          <w:color w:val="auto"/>
          <w:sz w:val="24"/>
          <w:szCs w:val="24"/>
          <w:highlight w:val="none"/>
        </w:rPr>
        <w:t>六、政府采购政策功能落实</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_Toc30006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13</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_Toc8030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七、询问、质疑和投诉</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_Toc8030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20</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_Toc25969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八、采购代理服务费</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_Toc25969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22</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_Toc10695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九、其他事项</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_Toc10695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22</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6"/>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_Toc11402 </w:instrText>
      </w:r>
      <w:r>
        <w:rPr>
          <w:rFonts w:hint="eastAsia" w:ascii="黑体" w:hAnsi="黑体" w:eastAsia="黑体" w:cs="黑体"/>
          <w:color w:val="auto"/>
          <w:sz w:val="24"/>
          <w:szCs w:val="24"/>
          <w:highlight w:val="none"/>
        </w:rPr>
        <w:fldChar w:fldCharType="separate"/>
      </w:r>
      <w:r>
        <w:rPr>
          <w:rFonts w:hint="eastAsia" w:ascii="黑体" w:hAnsi="黑体" w:eastAsia="黑体" w:cs="黑体"/>
          <w:bCs/>
          <w:color w:val="auto"/>
          <w:sz w:val="24"/>
          <w:szCs w:val="24"/>
          <w:highlight w:val="none"/>
        </w:rPr>
        <w:t>第三章 项目需求</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_Toc11402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24</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_Toc15006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一、项目简介：</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_Toc15006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24</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_Toc31798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二、服务内容：</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_Toc31798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24</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_Toc10022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三、 技术要求或者服务要求</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_Toc10022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24</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_Toc32160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四、质量标准或者考核标准</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_Toc32160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56</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_Toc16641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五、交货或者服务期限和地点</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_Toc16641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56</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_Toc31844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六、履约保证金</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_Toc31844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57</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_Toc27606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七、验收或者考核方案</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_Toc27606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57</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_Toc25117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八、质量保证期限</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_Toc25117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57</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_Toc29986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九、售后服务</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_Toc29986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58</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_Toc20344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十、付款方式</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_Toc20344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58</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_Toc26484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十一、报价要求</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_Toc26484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58</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_Toc18171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十二、其他要求</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_Toc18171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58</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6"/>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_Toc7333 </w:instrText>
      </w:r>
      <w:r>
        <w:rPr>
          <w:rFonts w:hint="eastAsia" w:ascii="黑体" w:hAnsi="黑体" w:eastAsia="黑体" w:cs="黑体"/>
          <w:color w:val="auto"/>
          <w:sz w:val="24"/>
          <w:szCs w:val="24"/>
          <w:highlight w:val="none"/>
        </w:rPr>
        <w:fldChar w:fldCharType="separate"/>
      </w:r>
      <w:r>
        <w:rPr>
          <w:rFonts w:hint="eastAsia" w:ascii="黑体" w:hAnsi="黑体" w:eastAsia="黑体" w:cs="黑体"/>
          <w:bCs/>
          <w:color w:val="auto"/>
          <w:sz w:val="24"/>
          <w:szCs w:val="24"/>
          <w:highlight w:val="none"/>
        </w:rPr>
        <w:t>第四章 合同范本</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_Toc7333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60</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6"/>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_Toc16090 </w:instrText>
      </w:r>
      <w:r>
        <w:rPr>
          <w:rFonts w:hint="eastAsia" w:ascii="黑体" w:hAnsi="黑体" w:eastAsia="黑体" w:cs="黑体"/>
          <w:color w:val="auto"/>
          <w:sz w:val="24"/>
          <w:szCs w:val="24"/>
          <w:highlight w:val="none"/>
        </w:rPr>
        <w:fldChar w:fldCharType="separate"/>
      </w:r>
      <w:r>
        <w:rPr>
          <w:rFonts w:hint="eastAsia" w:ascii="黑体" w:hAnsi="黑体" w:eastAsia="黑体" w:cs="黑体"/>
          <w:bCs/>
          <w:color w:val="auto"/>
          <w:sz w:val="24"/>
          <w:szCs w:val="24"/>
          <w:highlight w:val="none"/>
        </w:rPr>
        <w:t>第五章 评审标准和方法</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_Toc16090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63</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6"/>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_Toc11987 </w:instrText>
      </w:r>
      <w:r>
        <w:rPr>
          <w:rFonts w:hint="eastAsia" w:ascii="黑体" w:hAnsi="黑体" w:eastAsia="黑体" w:cs="黑体"/>
          <w:color w:val="auto"/>
          <w:sz w:val="24"/>
          <w:szCs w:val="24"/>
          <w:highlight w:val="none"/>
        </w:rPr>
        <w:fldChar w:fldCharType="separate"/>
      </w:r>
      <w:r>
        <w:rPr>
          <w:rFonts w:hint="eastAsia" w:ascii="黑体" w:hAnsi="黑体" w:eastAsia="黑体" w:cs="黑体"/>
          <w:bCs/>
          <w:color w:val="auto"/>
          <w:sz w:val="24"/>
          <w:szCs w:val="24"/>
          <w:highlight w:val="none"/>
        </w:rPr>
        <w:t>第六章 竞争性磋商响应文件</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_Toc11987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65</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_Toc23180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一、供应商资格证明材料</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_Toc23180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66</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_Toc9764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二、竞争性磋商商务技术响应材料</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_Toc9764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72</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pStyle w:val="19"/>
        <w:tabs>
          <w:tab w:val="right" w:leader="dot" w:pos="8306"/>
        </w:tabs>
        <w:spacing w:line="360" w:lineRule="auto"/>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HYPERLINK \l _Toc20996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三、竞争性磋商响应</w:t>
      </w:r>
      <w:r>
        <w:rPr>
          <w:rFonts w:hint="eastAsia" w:ascii="黑体" w:hAnsi="黑体" w:eastAsia="黑体" w:cs="黑体"/>
          <w:bCs/>
          <w:color w:val="auto"/>
          <w:sz w:val="24"/>
          <w:szCs w:val="24"/>
          <w:highlight w:val="none"/>
        </w:rPr>
        <w:t>报价材料</w:t>
      </w:r>
      <w:r>
        <w:rPr>
          <w:rFonts w:hint="eastAsia" w:ascii="黑体" w:hAnsi="黑体" w:eastAsia="黑体" w:cs="黑体"/>
          <w:color w:val="auto"/>
          <w:sz w:val="24"/>
          <w:szCs w:val="24"/>
          <w:highlight w:val="none"/>
        </w:rPr>
        <w:tab/>
      </w:r>
      <w:r>
        <w:rPr>
          <w:rFonts w:hint="eastAsia" w:ascii="黑体" w:hAnsi="黑体" w:eastAsia="黑体" w:cs="黑体"/>
          <w:color w:val="auto"/>
          <w:sz w:val="24"/>
          <w:szCs w:val="24"/>
          <w:highlight w:val="none"/>
        </w:rPr>
        <w:fldChar w:fldCharType="begin"/>
      </w:r>
      <w:r>
        <w:rPr>
          <w:rFonts w:hint="eastAsia" w:ascii="黑体" w:hAnsi="黑体" w:eastAsia="黑体" w:cs="黑体"/>
          <w:color w:val="auto"/>
          <w:sz w:val="24"/>
          <w:szCs w:val="24"/>
          <w:highlight w:val="none"/>
        </w:rPr>
        <w:instrText xml:space="preserve"> PAGEREF _Toc20996 \h </w:instrText>
      </w:r>
      <w:r>
        <w:rPr>
          <w:rFonts w:hint="eastAsia" w:ascii="黑体" w:hAnsi="黑体" w:eastAsia="黑体" w:cs="黑体"/>
          <w:color w:val="auto"/>
          <w:sz w:val="24"/>
          <w:szCs w:val="24"/>
          <w:highlight w:val="none"/>
        </w:rPr>
        <w:fldChar w:fldCharType="separate"/>
      </w:r>
      <w:r>
        <w:rPr>
          <w:rFonts w:hint="eastAsia" w:ascii="黑体" w:hAnsi="黑体" w:eastAsia="黑体" w:cs="黑体"/>
          <w:color w:val="auto"/>
          <w:sz w:val="24"/>
          <w:szCs w:val="24"/>
          <w:highlight w:val="none"/>
        </w:rPr>
        <w:t>113</w:t>
      </w:r>
      <w:r>
        <w:rPr>
          <w:rFonts w:hint="eastAsia" w:ascii="黑体" w:hAnsi="黑体" w:eastAsia="黑体" w:cs="黑体"/>
          <w:color w:val="auto"/>
          <w:sz w:val="24"/>
          <w:szCs w:val="24"/>
          <w:highlight w:val="none"/>
        </w:rPr>
        <w:fldChar w:fldCharType="end"/>
      </w:r>
      <w:r>
        <w:rPr>
          <w:rFonts w:hint="eastAsia" w:ascii="黑体" w:hAnsi="黑体" w:eastAsia="黑体" w:cs="黑体"/>
          <w:color w:val="auto"/>
          <w:sz w:val="24"/>
          <w:szCs w:val="24"/>
          <w:highlight w:val="none"/>
        </w:rPr>
        <w:fldChar w:fldCharType="end"/>
      </w:r>
    </w:p>
    <w:p>
      <w:pPr>
        <w:keepNext w:val="0"/>
        <w:keepLines w:val="0"/>
        <w:pageBreakBefore w:val="0"/>
        <w:kinsoku/>
        <w:wordWrap/>
        <w:overflowPunct/>
        <w:topLinePunct w:val="0"/>
        <w:autoSpaceDE/>
        <w:autoSpaceDN/>
        <w:bidi w:val="0"/>
        <w:snapToGrid/>
        <w:spacing w:before="0" w:after="0" w:line="360" w:lineRule="auto"/>
        <w:ind w:left="0" w:leftChars="0"/>
        <w:rPr>
          <w:rFonts w:hint="eastAsia" w:ascii="黑体" w:hAnsi="黑体" w:eastAsia="黑体" w:cs="黑体"/>
          <w:color w:val="auto"/>
          <w:sz w:val="24"/>
          <w:szCs w:val="24"/>
          <w:highlight w:val="none"/>
        </w:rPr>
      </w:pPr>
      <w:r>
        <w:rPr>
          <w:rFonts w:hint="eastAsia" w:ascii="黑体" w:hAnsi="黑体" w:eastAsia="黑体" w:cs="黑体"/>
          <w:color w:val="auto"/>
          <w:sz w:val="24"/>
          <w:szCs w:val="24"/>
          <w:highlight w:val="none"/>
        </w:rPr>
        <w:fldChar w:fldCharType="end"/>
      </w:r>
    </w:p>
    <w:p>
      <w:pPr>
        <w:pStyle w:val="42"/>
        <w:keepNext w:val="0"/>
        <w:keepLines w:val="0"/>
        <w:pageBreakBefore w:val="0"/>
        <w:kinsoku/>
        <w:wordWrap/>
        <w:overflowPunct/>
        <w:topLinePunct w:val="0"/>
        <w:autoSpaceDE/>
        <w:autoSpaceDN/>
        <w:bidi w:val="0"/>
        <w:snapToGrid/>
        <w:spacing w:before="0" w:after="0" w:line="360" w:lineRule="auto"/>
        <w:ind w:left="0" w:leftChars="0" w:firstLine="0"/>
        <w:jc w:val="center"/>
        <w:rPr>
          <w:rFonts w:hint="eastAsia" w:ascii="方正小标宋简体" w:eastAsia="方正小标宋简体"/>
          <w:bCs/>
          <w:color w:val="auto"/>
          <w:sz w:val="32"/>
          <w:szCs w:val="32"/>
          <w:highlight w:val="none"/>
        </w:rPr>
      </w:pPr>
      <w:r>
        <w:rPr>
          <w:rFonts w:hint="eastAsia" w:ascii="黑体" w:hAnsi="黑体" w:eastAsia="黑体" w:cs="黑体"/>
          <w:bCs/>
          <w:color w:val="auto"/>
          <w:sz w:val="24"/>
          <w:szCs w:val="24"/>
          <w:highlight w:val="none"/>
        </w:rPr>
        <w:br w:type="page"/>
      </w:r>
      <w:bookmarkStart w:id="0" w:name="_Toc352"/>
      <w:r>
        <w:rPr>
          <w:rFonts w:hint="eastAsia" w:ascii="方正小标宋简体" w:eastAsia="方正小标宋简体"/>
          <w:bCs/>
          <w:color w:val="auto"/>
          <w:sz w:val="32"/>
          <w:szCs w:val="32"/>
          <w:highlight w:val="none"/>
        </w:rPr>
        <w:t>第一章 竞争性磋商公告</w:t>
      </w:r>
      <w:bookmarkEnd w:id="0"/>
    </w:p>
    <w:p>
      <w:pPr>
        <w:pStyle w:val="11"/>
        <w:spacing w:after="0" w:line="240" w:lineRule="auto"/>
        <w:ind w:firstLine="560" w:firstLineChars="200"/>
        <w:outlineLvl w:val="1"/>
        <w:rPr>
          <w:rFonts w:ascii="黑体" w:hAnsi="黑体" w:eastAsia="黑体"/>
          <w:b/>
          <w:color w:val="auto"/>
          <w:sz w:val="28"/>
          <w:szCs w:val="28"/>
          <w:highlight w:val="none"/>
        </w:rPr>
      </w:pPr>
      <w:bookmarkStart w:id="1" w:name="_Toc28359012"/>
      <w:bookmarkStart w:id="2" w:name="_Toc28359089"/>
      <w:bookmarkStart w:id="3" w:name="_Toc35393798"/>
      <w:bookmarkStart w:id="4" w:name="_Toc28800"/>
      <w:bookmarkStart w:id="5" w:name="_Toc35393629"/>
      <w:bookmarkStart w:id="6" w:name="OLE_LINK2"/>
      <w:r>
        <w:rPr>
          <w:rFonts w:hint="eastAsia" w:ascii="黑体" w:hAnsi="黑体" w:eastAsia="黑体"/>
          <w:color w:val="auto"/>
          <w:sz w:val="28"/>
          <w:szCs w:val="28"/>
          <w:highlight w:val="none"/>
        </w:rPr>
        <w:t>一、项目基本情况</w:t>
      </w:r>
      <w:bookmarkEnd w:id="1"/>
      <w:bookmarkEnd w:id="2"/>
      <w:bookmarkEnd w:id="3"/>
      <w:bookmarkEnd w:id="4"/>
      <w:bookmarkEnd w:id="5"/>
    </w:p>
    <w:p>
      <w:pPr>
        <w:snapToGrid/>
        <w:spacing w:before="0" w:beforeAutospacing="0" w:after="0" w:afterAutospacing="0" w:line="440" w:lineRule="exact"/>
        <w:ind w:firstLine="560" w:firstLineChars="200"/>
        <w:jc w:val="both"/>
        <w:textAlignment w:val="baseline"/>
        <w:rPr>
          <w:rFonts w:hint="eastAsia" w:ascii="仿宋" w:hAnsi="仿宋" w:eastAsia="仿宋"/>
          <w:b w:val="0"/>
          <w:i w:val="0"/>
          <w:caps w:val="0"/>
          <w:color w:val="auto"/>
          <w:spacing w:val="0"/>
          <w:w w:val="100"/>
          <w:sz w:val="28"/>
          <w:szCs w:val="28"/>
          <w:highlight w:val="none"/>
          <w:lang w:eastAsia="zh-CN"/>
        </w:rPr>
      </w:pPr>
      <w:bookmarkStart w:id="7" w:name="_Toc28359013"/>
      <w:bookmarkStart w:id="8" w:name="_Toc35393799"/>
      <w:bookmarkStart w:id="9" w:name="_Toc28359090"/>
      <w:bookmarkStart w:id="10" w:name="_Toc35393630"/>
      <w:bookmarkStart w:id="11" w:name="_Toc22471"/>
      <w:r>
        <w:rPr>
          <w:rFonts w:hint="eastAsia" w:ascii="仿宋" w:hAnsi="仿宋" w:eastAsia="仿宋"/>
          <w:b w:val="0"/>
          <w:i w:val="0"/>
          <w:caps w:val="0"/>
          <w:color w:val="auto"/>
          <w:spacing w:val="0"/>
          <w:w w:val="100"/>
          <w:sz w:val="28"/>
          <w:szCs w:val="28"/>
          <w:highlight w:val="none"/>
        </w:rPr>
        <w:t>（一）项目名称：</w:t>
      </w:r>
      <w:r>
        <w:rPr>
          <w:rFonts w:hint="eastAsia" w:ascii="仿宋" w:hAnsi="仿宋" w:eastAsia="仿宋"/>
          <w:b w:val="0"/>
          <w:i w:val="0"/>
          <w:caps w:val="0"/>
          <w:color w:val="auto"/>
          <w:spacing w:val="0"/>
          <w:w w:val="100"/>
          <w:sz w:val="28"/>
          <w:szCs w:val="28"/>
          <w:highlight w:val="none"/>
          <w:lang w:eastAsia="zh-CN"/>
        </w:rPr>
        <w:t>高新区专职消防救援器材购置</w:t>
      </w:r>
    </w:p>
    <w:p>
      <w:pPr>
        <w:snapToGrid/>
        <w:spacing w:before="0" w:beforeAutospacing="0" w:after="0" w:afterAutospacing="0" w:line="440" w:lineRule="exact"/>
        <w:ind w:firstLine="560" w:firstLineChars="200"/>
        <w:jc w:val="both"/>
        <w:textAlignment w:val="baseline"/>
        <w:rPr>
          <w:rFonts w:hint="default" w:ascii="仿宋" w:hAnsi="仿宋" w:eastAsia="仿宋"/>
          <w:b w:val="0"/>
          <w:i w:val="0"/>
          <w:caps w:val="0"/>
          <w:color w:val="auto"/>
          <w:spacing w:val="0"/>
          <w:w w:val="100"/>
          <w:sz w:val="28"/>
          <w:szCs w:val="28"/>
          <w:highlight w:val="none"/>
          <w:lang w:val="en-US" w:eastAsia="zh-CN"/>
        </w:rPr>
      </w:pPr>
      <w:r>
        <w:rPr>
          <w:rFonts w:hint="eastAsia" w:ascii="仿宋" w:hAnsi="仿宋" w:eastAsia="仿宋"/>
          <w:b w:val="0"/>
          <w:i w:val="0"/>
          <w:caps w:val="0"/>
          <w:color w:val="auto"/>
          <w:spacing w:val="0"/>
          <w:w w:val="100"/>
          <w:sz w:val="28"/>
          <w:szCs w:val="28"/>
          <w:highlight w:val="none"/>
        </w:rPr>
        <w:t>（二）项目地点：</w:t>
      </w:r>
      <w:r>
        <w:rPr>
          <w:rFonts w:hint="eastAsia" w:ascii="仿宋" w:hAnsi="仿宋" w:eastAsia="仿宋"/>
          <w:b w:val="0"/>
          <w:i w:val="0"/>
          <w:caps w:val="0"/>
          <w:color w:val="auto"/>
          <w:spacing w:val="0"/>
          <w:w w:val="100"/>
          <w:sz w:val="28"/>
          <w:szCs w:val="28"/>
          <w:highlight w:val="none"/>
          <w:lang w:val="en-US" w:eastAsia="zh-CN"/>
        </w:rPr>
        <w:t>如皋市</w:t>
      </w:r>
    </w:p>
    <w:p>
      <w:pPr>
        <w:snapToGrid/>
        <w:spacing w:before="0" w:beforeAutospacing="0" w:after="0" w:afterAutospacing="0" w:line="440" w:lineRule="exact"/>
        <w:ind w:firstLine="560" w:firstLineChars="200"/>
        <w:jc w:val="both"/>
        <w:textAlignment w:val="baseline"/>
        <w:rPr>
          <w:rFonts w:hint="eastAsia" w:ascii="仿宋" w:hAnsi="仿宋" w:eastAsia="仿宋"/>
          <w:b w:val="0"/>
          <w:i w:val="0"/>
          <w:caps w:val="0"/>
          <w:color w:val="auto"/>
          <w:spacing w:val="0"/>
          <w:w w:val="100"/>
          <w:sz w:val="28"/>
          <w:szCs w:val="28"/>
          <w:highlight w:val="none"/>
        </w:rPr>
      </w:pPr>
      <w:r>
        <w:rPr>
          <w:rFonts w:hint="eastAsia" w:ascii="仿宋" w:hAnsi="仿宋" w:eastAsia="仿宋"/>
          <w:b w:val="0"/>
          <w:i w:val="0"/>
          <w:caps w:val="0"/>
          <w:color w:val="auto"/>
          <w:spacing w:val="0"/>
          <w:w w:val="100"/>
          <w:sz w:val="28"/>
          <w:szCs w:val="28"/>
          <w:highlight w:val="none"/>
        </w:rPr>
        <w:t>（三）计划编号：JSZC-320682-NTJW-C2021-0134</w:t>
      </w:r>
    </w:p>
    <w:p>
      <w:pPr>
        <w:snapToGrid/>
        <w:spacing w:before="0" w:beforeAutospacing="0" w:after="0" w:afterAutospacing="0" w:line="440" w:lineRule="exact"/>
        <w:ind w:firstLine="560" w:firstLineChars="200"/>
        <w:jc w:val="both"/>
        <w:textAlignment w:val="baseline"/>
        <w:rPr>
          <w:rFonts w:hint="eastAsia" w:ascii="仿宋" w:hAnsi="仿宋" w:eastAsia="仿宋"/>
          <w:b w:val="0"/>
          <w:i w:val="0"/>
          <w:caps w:val="0"/>
          <w:color w:val="auto"/>
          <w:spacing w:val="0"/>
          <w:w w:val="100"/>
          <w:sz w:val="28"/>
          <w:szCs w:val="28"/>
          <w:highlight w:val="none"/>
          <w:lang w:val="en-US" w:eastAsia="zh-CN"/>
        </w:rPr>
      </w:pPr>
      <w:r>
        <w:rPr>
          <w:rFonts w:hint="eastAsia" w:ascii="仿宋" w:hAnsi="仿宋" w:eastAsia="仿宋"/>
          <w:b w:val="0"/>
          <w:i w:val="0"/>
          <w:caps w:val="0"/>
          <w:color w:val="auto"/>
          <w:spacing w:val="0"/>
          <w:w w:val="100"/>
          <w:sz w:val="28"/>
          <w:szCs w:val="28"/>
          <w:highlight w:val="none"/>
        </w:rPr>
        <w:t>（四）预算金额：人民币</w:t>
      </w:r>
      <w:r>
        <w:rPr>
          <w:rFonts w:hint="eastAsia" w:ascii="仿宋" w:hAnsi="仿宋" w:eastAsia="仿宋"/>
          <w:b w:val="0"/>
          <w:i w:val="0"/>
          <w:caps w:val="0"/>
          <w:color w:val="auto"/>
          <w:spacing w:val="0"/>
          <w:w w:val="100"/>
          <w:sz w:val="28"/>
          <w:szCs w:val="28"/>
          <w:highlight w:val="none"/>
          <w:lang w:val="en-US" w:eastAsia="zh-CN"/>
        </w:rPr>
        <w:t>175万元</w:t>
      </w:r>
    </w:p>
    <w:p>
      <w:pPr>
        <w:snapToGrid/>
        <w:spacing w:before="0" w:beforeAutospacing="0" w:after="0" w:afterAutospacing="0" w:line="440" w:lineRule="exact"/>
        <w:ind w:firstLine="560" w:firstLineChars="200"/>
        <w:jc w:val="both"/>
        <w:textAlignment w:val="baseline"/>
        <w:rPr>
          <w:rFonts w:hint="eastAsia" w:ascii="仿宋" w:hAnsi="仿宋" w:eastAsia="仿宋"/>
          <w:b w:val="0"/>
          <w:i w:val="0"/>
          <w:caps w:val="0"/>
          <w:color w:val="auto"/>
          <w:spacing w:val="0"/>
          <w:w w:val="100"/>
          <w:sz w:val="28"/>
          <w:szCs w:val="28"/>
          <w:highlight w:val="none"/>
        </w:rPr>
      </w:pPr>
      <w:r>
        <w:rPr>
          <w:rFonts w:hint="eastAsia" w:ascii="仿宋" w:hAnsi="仿宋" w:eastAsia="仿宋"/>
          <w:b w:val="0"/>
          <w:i w:val="0"/>
          <w:caps w:val="0"/>
          <w:color w:val="auto"/>
          <w:spacing w:val="0"/>
          <w:w w:val="100"/>
          <w:sz w:val="28"/>
          <w:szCs w:val="28"/>
          <w:highlight w:val="none"/>
        </w:rPr>
        <w:t>（五）最高限价：人民币</w:t>
      </w:r>
      <w:r>
        <w:rPr>
          <w:rFonts w:hint="eastAsia" w:ascii="仿宋" w:hAnsi="仿宋" w:eastAsia="仿宋"/>
          <w:b w:val="0"/>
          <w:i w:val="0"/>
          <w:caps w:val="0"/>
          <w:color w:val="auto"/>
          <w:spacing w:val="0"/>
          <w:w w:val="100"/>
          <w:sz w:val="28"/>
          <w:szCs w:val="28"/>
          <w:highlight w:val="none"/>
          <w:lang w:val="en-US" w:eastAsia="zh-CN"/>
        </w:rPr>
        <w:t>175</w:t>
      </w:r>
      <w:r>
        <w:rPr>
          <w:rFonts w:hint="eastAsia" w:ascii="仿宋" w:hAnsi="仿宋" w:eastAsia="仿宋"/>
          <w:b w:val="0"/>
          <w:i w:val="0"/>
          <w:caps w:val="0"/>
          <w:color w:val="auto"/>
          <w:spacing w:val="0"/>
          <w:w w:val="100"/>
          <w:sz w:val="28"/>
          <w:szCs w:val="28"/>
          <w:highlight w:val="none"/>
        </w:rPr>
        <w:t>万元</w:t>
      </w:r>
    </w:p>
    <w:p>
      <w:pPr>
        <w:snapToGrid/>
        <w:spacing w:before="0" w:beforeAutospacing="0" w:after="0" w:afterAutospacing="0" w:line="440" w:lineRule="exact"/>
        <w:ind w:firstLine="560" w:firstLineChars="200"/>
        <w:jc w:val="both"/>
        <w:textAlignment w:val="baseline"/>
        <w:rPr>
          <w:rFonts w:hint="eastAsia" w:ascii="仿宋" w:hAnsi="仿宋" w:eastAsia="仿宋"/>
          <w:b w:val="0"/>
          <w:i w:val="0"/>
          <w:caps w:val="0"/>
          <w:color w:val="auto"/>
          <w:spacing w:val="0"/>
          <w:w w:val="100"/>
          <w:sz w:val="28"/>
          <w:szCs w:val="28"/>
          <w:highlight w:val="none"/>
        </w:rPr>
      </w:pPr>
      <w:r>
        <w:rPr>
          <w:rFonts w:hint="eastAsia" w:ascii="仿宋" w:hAnsi="仿宋" w:eastAsia="仿宋"/>
          <w:b w:val="0"/>
          <w:i w:val="0"/>
          <w:caps w:val="0"/>
          <w:color w:val="auto"/>
          <w:spacing w:val="0"/>
          <w:w w:val="100"/>
          <w:sz w:val="28"/>
          <w:szCs w:val="28"/>
          <w:highlight w:val="none"/>
        </w:rPr>
        <w:t>（六）采购需求：</w:t>
      </w:r>
      <w:r>
        <w:rPr>
          <w:rFonts w:hint="eastAsia" w:ascii="仿宋" w:hAnsi="仿宋" w:eastAsia="仿宋"/>
          <w:color w:val="auto"/>
          <w:sz w:val="28"/>
          <w:szCs w:val="28"/>
          <w:highlight w:val="none"/>
        </w:rPr>
        <w:t>本项目为</w:t>
      </w:r>
      <w:r>
        <w:rPr>
          <w:rFonts w:hint="eastAsia" w:ascii="仿宋" w:hAnsi="仿宋" w:eastAsia="仿宋"/>
          <w:b w:val="0"/>
          <w:i w:val="0"/>
          <w:caps w:val="0"/>
          <w:color w:val="auto"/>
          <w:spacing w:val="0"/>
          <w:w w:val="100"/>
          <w:sz w:val="28"/>
          <w:szCs w:val="28"/>
          <w:highlight w:val="none"/>
          <w:lang w:eastAsia="zh-CN"/>
        </w:rPr>
        <w:t>高新区专职消防救援器材购置</w:t>
      </w:r>
      <w:r>
        <w:rPr>
          <w:rFonts w:hint="eastAsia" w:ascii="仿宋" w:hAnsi="仿宋" w:eastAsia="仿宋"/>
          <w:b w:val="0"/>
          <w:i w:val="0"/>
          <w:caps w:val="0"/>
          <w:color w:val="auto"/>
          <w:spacing w:val="0"/>
          <w:w w:val="100"/>
          <w:sz w:val="28"/>
          <w:szCs w:val="28"/>
          <w:highlight w:val="none"/>
          <w:lang w:val="en-US" w:eastAsia="zh-CN"/>
        </w:rPr>
        <w:t>项目</w:t>
      </w:r>
      <w:r>
        <w:rPr>
          <w:rFonts w:hint="eastAsia" w:ascii="仿宋" w:hAnsi="仿宋" w:eastAsia="仿宋"/>
          <w:color w:val="auto"/>
          <w:sz w:val="28"/>
          <w:szCs w:val="28"/>
          <w:highlight w:val="none"/>
        </w:rPr>
        <w:t>，</w:t>
      </w:r>
      <w:r>
        <w:rPr>
          <w:rFonts w:hint="eastAsia" w:ascii="仿宋" w:hAnsi="仿宋" w:eastAsia="仿宋"/>
          <w:b w:val="0"/>
          <w:i w:val="0"/>
          <w:caps w:val="0"/>
          <w:color w:val="auto"/>
          <w:spacing w:val="0"/>
          <w:w w:val="100"/>
          <w:sz w:val="28"/>
          <w:szCs w:val="28"/>
          <w:highlight w:val="none"/>
        </w:rPr>
        <w:t>具体详见竞争性磋商文件“第三章 项目需求”。</w:t>
      </w:r>
    </w:p>
    <w:p>
      <w:pPr>
        <w:spacing w:line="400" w:lineRule="exact"/>
        <w:ind w:firstLine="560" w:firstLineChars="200"/>
        <w:rPr>
          <w:rFonts w:ascii="仿宋" w:hAnsi="仿宋" w:eastAsia="仿宋"/>
          <w:b w:val="0"/>
          <w:i w:val="0"/>
          <w:caps w:val="0"/>
          <w:color w:val="auto"/>
          <w:spacing w:val="0"/>
          <w:w w:val="100"/>
          <w:sz w:val="28"/>
          <w:szCs w:val="28"/>
          <w:highlight w:val="none"/>
          <w:u w:val="single" w:color="000000"/>
        </w:rPr>
      </w:pPr>
      <w:r>
        <w:rPr>
          <w:rFonts w:hint="eastAsia" w:ascii="仿宋" w:hAnsi="仿宋" w:eastAsia="仿宋"/>
          <w:b w:val="0"/>
          <w:i w:val="0"/>
          <w:caps w:val="0"/>
          <w:color w:val="auto"/>
          <w:spacing w:val="0"/>
          <w:w w:val="100"/>
          <w:sz w:val="28"/>
          <w:szCs w:val="28"/>
          <w:highlight w:val="none"/>
        </w:rPr>
        <w:t>（七）合同履行期限：</w:t>
      </w:r>
      <w:r>
        <w:rPr>
          <w:rFonts w:hint="eastAsia" w:ascii="仿宋" w:hAnsi="仿宋" w:eastAsia="仿宋"/>
          <w:color w:val="auto"/>
          <w:sz w:val="28"/>
          <w:szCs w:val="28"/>
          <w:highlight w:val="none"/>
        </w:rPr>
        <w:t>自合同签订之日起30日历天内，具体时间以采购人通知为准。</w:t>
      </w:r>
    </w:p>
    <w:p>
      <w:pPr>
        <w:snapToGrid/>
        <w:spacing w:before="0" w:beforeAutospacing="0" w:after="0" w:afterAutospacing="0" w:line="500" w:lineRule="exact"/>
        <w:ind w:firstLine="560" w:firstLineChars="200"/>
        <w:jc w:val="both"/>
        <w:textAlignment w:val="baseline"/>
        <w:rPr>
          <w:rFonts w:hint="default" w:ascii="仿宋" w:hAnsi="仿宋" w:eastAsia="仿宋"/>
          <w:color w:val="auto"/>
          <w:sz w:val="28"/>
          <w:szCs w:val="28"/>
          <w:highlight w:val="none"/>
          <w:lang w:val="en-US" w:eastAsia="zh-CN"/>
        </w:rPr>
      </w:pPr>
      <w:r>
        <w:rPr>
          <w:rFonts w:hint="eastAsia" w:ascii="仿宋" w:hAnsi="仿宋" w:eastAsia="仿宋"/>
          <w:b w:val="0"/>
          <w:i w:val="0"/>
          <w:caps w:val="0"/>
          <w:color w:val="auto"/>
          <w:spacing w:val="0"/>
          <w:w w:val="100"/>
          <w:sz w:val="28"/>
          <w:szCs w:val="28"/>
          <w:highlight w:val="none"/>
        </w:rPr>
        <w:t>（八）本项目不接受联合体。</w:t>
      </w:r>
    </w:p>
    <w:p>
      <w:pPr>
        <w:spacing w:line="500" w:lineRule="exact"/>
        <w:ind w:firstLine="562" w:firstLineChars="200"/>
        <w:rPr>
          <w:rFonts w:hint="eastAsia" w:ascii="仿宋" w:hAnsi="仿宋" w:eastAsia="仿宋"/>
          <w:b/>
          <w:bCs/>
          <w:color w:val="auto"/>
          <w:sz w:val="28"/>
          <w:szCs w:val="28"/>
          <w:highlight w:val="none"/>
        </w:rPr>
      </w:pPr>
      <w:r>
        <w:rPr>
          <w:rFonts w:hint="eastAsia" w:ascii="仿宋" w:hAnsi="仿宋" w:eastAsia="仿宋"/>
          <w:b/>
          <w:bCs/>
          <w:color w:val="auto"/>
          <w:sz w:val="28"/>
          <w:szCs w:val="28"/>
          <w:highlight w:val="none"/>
        </w:rPr>
        <w:t>（九）本项目是否为专门面向中小企业采购项目：</w:t>
      </w:r>
      <w:r>
        <w:rPr>
          <w:rFonts w:hint="eastAsia" w:ascii="仿宋" w:hAnsi="仿宋" w:eastAsia="仿宋"/>
          <w:b/>
          <w:bCs/>
          <w:color w:val="auto"/>
          <w:sz w:val="28"/>
          <w:szCs w:val="28"/>
          <w:highlight w:val="none"/>
          <w:lang w:val="en-US" w:eastAsia="zh-CN"/>
        </w:rPr>
        <w:t>否</w:t>
      </w:r>
      <w:r>
        <w:rPr>
          <w:rFonts w:hint="eastAsia" w:ascii="仿宋" w:hAnsi="仿宋" w:eastAsia="仿宋"/>
          <w:b/>
          <w:bCs/>
          <w:color w:val="auto"/>
          <w:sz w:val="28"/>
          <w:szCs w:val="28"/>
          <w:highlight w:val="none"/>
        </w:rPr>
        <w:t>。</w:t>
      </w:r>
    </w:p>
    <w:p>
      <w:pPr>
        <w:pStyle w:val="11"/>
        <w:spacing w:after="0" w:line="240" w:lineRule="auto"/>
        <w:ind w:firstLine="560" w:firstLineChars="200"/>
        <w:outlineLvl w:val="1"/>
        <w:rPr>
          <w:rFonts w:ascii="黑体" w:hAnsi="黑体" w:eastAsia="黑体"/>
          <w:color w:val="auto"/>
          <w:sz w:val="28"/>
          <w:szCs w:val="28"/>
          <w:highlight w:val="none"/>
        </w:rPr>
      </w:pPr>
      <w:r>
        <w:rPr>
          <w:rFonts w:hint="eastAsia" w:ascii="黑体" w:hAnsi="黑体" w:eastAsia="黑体"/>
          <w:color w:val="auto"/>
          <w:sz w:val="28"/>
          <w:szCs w:val="28"/>
          <w:highlight w:val="none"/>
        </w:rPr>
        <w:t>二、响应人的资格要求：</w:t>
      </w:r>
      <w:bookmarkEnd w:id="7"/>
      <w:bookmarkEnd w:id="8"/>
      <w:bookmarkEnd w:id="9"/>
      <w:bookmarkEnd w:id="10"/>
      <w:bookmarkEnd w:id="11"/>
    </w:p>
    <w:p>
      <w:pPr>
        <w:spacing w:line="540" w:lineRule="exact"/>
        <w:ind w:firstLine="560" w:firstLineChars="200"/>
        <w:rPr>
          <w:rFonts w:hint="eastAsia" w:ascii="仿宋" w:hAnsi="仿宋" w:eastAsia="仿宋"/>
          <w:color w:val="auto"/>
          <w:sz w:val="28"/>
          <w:szCs w:val="28"/>
          <w:highlight w:val="none"/>
        </w:rPr>
      </w:pPr>
      <w:bookmarkStart w:id="12" w:name="_Toc28359014"/>
      <w:bookmarkStart w:id="13" w:name="_Toc28359091"/>
      <w:r>
        <w:rPr>
          <w:rFonts w:hint="eastAsia" w:ascii="仿宋" w:hAnsi="仿宋" w:eastAsia="仿宋"/>
          <w:color w:val="auto"/>
          <w:sz w:val="28"/>
          <w:szCs w:val="28"/>
          <w:highlight w:val="none"/>
        </w:rPr>
        <w:t>（一）《中华人民共和国政府采购法》第二十二条规定的条件：</w:t>
      </w:r>
    </w:p>
    <w:p>
      <w:pPr>
        <w:pStyle w:val="20"/>
        <w:numPr>
          <w:ilvl w:val="0"/>
          <w:numId w:val="0"/>
        </w:numPr>
        <w:shd w:val="clear" w:color="auto"/>
        <w:tabs>
          <w:tab w:val="left" w:pos="1060"/>
        </w:tabs>
        <w:spacing w:before="0" w:beforeAutospacing="0" w:after="0" w:afterAutospacing="0" w:line="540" w:lineRule="exact"/>
        <w:ind w:left="640" w:leftChars="0"/>
        <w:rPr>
          <w:rFonts w:ascii="仿宋" w:hAnsi="仿宋" w:eastAsia="仿宋" w:cs="Times New Roman"/>
          <w:color w:val="auto"/>
          <w:kern w:val="2"/>
          <w:sz w:val="28"/>
          <w:szCs w:val="28"/>
          <w:highlight w:val="none"/>
        </w:rPr>
      </w:pPr>
      <w:r>
        <w:rPr>
          <w:rFonts w:hint="eastAsia" w:ascii="仿宋" w:hAnsi="仿宋" w:eastAsia="仿宋" w:cs="Times New Roman"/>
          <w:color w:val="auto"/>
          <w:kern w:val="2"/>
          <w:sz w:val="28"/>
          <w:szCs w:val="28"/>
          <w:highlight w:val="none"/>
          <w:lang w:val="en-US" w:eastAsia="zh-CN"/>
        </w:rPr>
        <w:t>1.</w:t>
      </w:r>
      <w:r>
        <w:rPr>
          <w:rFonts w:hint="eastAsia" w:ascii="仿宋" w:hAnsi="仿宋" w:eastAsia="仿宋" w:cs="Times New Roman"/>
          <w:color w:val="auto"/>
          <w:kern w:val="2"/>
          <w:sz w:val="28"/>
          <w:szCs w:val="28"/>
          <w:highlight w:val="none"/>
        </w:rPr>
        <w:t>具有独立承担民事责任的能力;</w:t>
      </w:r>
    </w:p>
    <w:p>
      <w:pPr>
        <w:pStyle w:val="20"/>
        <w:numPr>
          <w:ilvl w:val="0"/>
          <w:numId w:val="0"/>
        </w:numPr>
        <w:shd w:val="clear" w:color="auto"/>
        <w:tabs>
          <w:tab w:val="left" w:pos="1060"/>
        </w:tabs>
        <w:spacing w:before="0" w:beforeAutospacing="0" w:after="0" w:afterAutospacing="0" w:line="540" w:lineRule="exact"/>
        <w:ind w:left="0" w:leftChars="0" w:firstLine="638" w:firstLineChars="228"/>
        <w:rPr>
          <w:rFonts w:hint="eastAsia" w:ascii="仿宋" w:hAnsi="仿宋" w:eastAsia="仿宋" w:cs="Times New Roman"/>
          <w:color w:val="auto"/>
          <w:kern w:val="2"/>
          <w:sz w:val="28"/>
          <w:szCs w:val="28"/>
          <w:highlight w:val="none"/>
        </w:rPr>
      </w:pPr>
      <w:r>
        <w:rPr>
          <w:rFonts w:hint="eastAsia" w:ascii="仿宋" w:hAnsi="仿宋" w:eastAsia="仿宋" w:cs="Times New Roman"/>
          <w:color w:val="auto"/>
          <w:kern w:val="2"/>
          <w:sz w:val="28"/>
          <w:szCs w:val="28"/>
          <w:highlight w:val="none"/>
          <w:lang w:val="en-US" w:eastAsia="zh-CN"/>
        </w:rPr>
        <w:t>2.</w:t>
      </w:r>
      <w:r>
        <w:rPr>
          <w:rFonts w:hint="eastAsia" w:ascii="仿宋" w:hAnsi="仿宋" w:eastAsia="仿宋" w:cs="Times New Roman"/>
          <w:color w:val="auto"/>
          <w:kern w:val="2"/>
          <w:sz w:val="28"/>
          <w:szCs w:val="28"/>
          <w:highlight w:val="none"/>
        </w:rPr>
        <w:t>具有良好的商业信誉和健全的财务会计制度; 提供上一年度的财务状况报告（成立不满一年不需提供）</w:t>
      </w:r>
    </w:p>
    <w:p>
      <w:pPr>
        <w:pStyle w:val="20"/>
        <w:numPr>
          <w:ilvl w:val="0"/>
          <w:numId w:val="0"/>
        </w:numPr>
        <w:shd w:val="clear" w:color="auto"/>
        <w:tabs>
          <w:tab w:val="left" w:pos="1060"/>
        </w:tabs>
        <w:spacing w:before="0" w:beforeAutospacing="0" w:after="0" w:afterAutospacing="0" w:line="540" w:lineRule="exact"/>
        <w:ind w:left="640" w:leftChars="0"/>
        <w:rPr>
          <w:rFonts w:hint="eastAsia" w:ascii="仿宋" w:hAnsi="仿宋" w:eastAsia="仿宋" w:cs="Times New Roman"/>
          <w:color w:val="auto"/>
          <w:kern w:val="2"/>
          <w:sz w:val="28"/>
          <w:szCs w:val="28"/>
          <w:highlight w:val="none"/>
        </w:rPr>
      </w:pPr>
      <w:r>
        <w:rPr>
          <w:rFonts w:hint="eastAsia" w:ascii="仿宋" w:hAnsi="仿宋" w:eastAsia="仿宋" w:cs="Times New Roman"/>
          <w:color w:val="auto"/>
          <w:kern w:val="2"/>
          <w:sz w:val="28"/>
          <w:szCs w:val="28"/>
          <w:highlight w:val="none"/>
          <w:lang w:val="en-US" w:eastAsia="zh-CN"/>
        </w:rPr>
        <w:t>3.</w:t>
      </w:r>
      <w:r>
        <w:rPr>
          <w:rFonts w:hint="eastAsia" w:ascii="仿宋" w:hAnsi="仿宋" w:eastAsia="仿宋" w:cs="Times New Roman"/>
          <w:color w:val="auto"/>
          <w:kern w:val="2"/>
          <w:sz w:val="28"/>
          <w:szCs w:val="28"/>
          <w:highlight w:val="none"/>
        </w:rPr>
        <w:t>具有履行合同所必需的设备和专业技术能力;</w:t>
      </w:r>
    </w:p>
    <w:p>
      <w:pPr>
        <w:pStyle w:val="20"/>
        <w:numPr>
          <w:ilvl w:val="0"/>
          <w:numId w:val="0"/>
        </w:numPr>
        <w:shd w:val="clear" w:color="auto"/>
        <w:tabs>
          <w:tab w:val="left" w:pos="1060"/>
        </w:tabs>
        <w:spacing w:before="0" w:beforeAutospacing="0" w:after="0" w:afterAutospacing="0" w:line="540" w:lineRule="exact"/>
        <w:ind w:left="640" w:leftChars="0"/>
        <w:rPr>
          <w:rFonts w:hint="eastAsia" w:ascii="仿宋" w:hAnsi="仿宋" w:eastAsia="仿宋" w:cs="Times New Roman"/>
          <w:color w:val="auto"/>
          <w:kern w:val="2"/>
          <w:sz w:val="28"/>
          <w:szCs w:val="28"/>
          <w:highlight w:val="none"/>
        </w:rPr>
      </w:pPr>
      <w:r>
        <w:rPr>
          <w:rFonts w:hint="eastAsia" w:ascii="仿宋" w:hAnsi="仿宋" w:eastAsia="仿宋" w:cs="Times New Roman"/>
          <w:color w:val="auto"/>
          <w:kern w:val="2"/>
          <w:sz w:val="28"/>
          <w:szCs w:val="28"/>
          <w:highlight w:val="none"/>
          <w:lang w:val="en-US" w:eastAsia="zh-CN"/>
        </w:rPr>
        <w:t>4.</w:t>
      </w:r>
      <w:r>
        <w:rPr>
          <w:rFonts w:hint="eastAsia" w:ascii="仿宋" w:hAnsi="仿宋" w:eastAsia="仿宋" w:cs="Times New Roman"/>
          <w:color w:val="auto"/>
          <w:kern w:val="2"/>
          <w:sz w:val="28"/>
          <w:szCs w:val="28"/>
          <w:highlight w:val="none"/>
        </w:rPr>
        <w:t>有依法缴纳税收和社会保障资金的良好记录;</w:t>
      </w:r>
    </w:p>
    <w:p>
      <w:pPr>
        <w:pStyle w:val="20"/>
        <w:numPr>
          <w:ilvl w:val="0"/>
          <w:numId w:val="0"/>
        </w:numPr>
        <w:shd w:val="clear" w:color="auto"/>
        <w:tabs>
          <w:tab w:val="left" w:pos="1060"/>
        </w:tabs>
        <w:spacing w:before="0" w:beforeAutospacing="0" w:after="0" w:afterAutospacing="0" w:line="540" w:lineRule="exact"/>
        <w:ind w:left="640" w:leftChars="0"/>
        <w:rPr>
          <w:rFonts w:hint="eastAsia" w:ascii="仿宋" w:hAnsi="仿宋" w:eastAsia="仿宋" w:cs="Times New Roman"/>
          <w:color w:val="auto"/>
          <w:kern w:val="2"/>
          <w:sz w:val="28"/>
          <w:szCs w:val="28"/>
          <w:highlight w:val="none"/>
        </w:rPr>
      </w:pPr>
      <w:r>
        <w:rPr>
          <w:rFonts w:hint="eastAsia" w:ascii="仿宋" w:hAnsi="仿宋" w:eastAsia="仿宋" w:cs="Times New Roman"/>
          <w:color w:val="auto"/>
          <w:kern w:val="2"/>
          <w:sz w:val="28"/>
          <w:szCs w:val="28"/>
          <w:highlight w:val="none"/>
          <w:lang w:val="en-US" w:eastAsia="zh-CN"/>
        </w:rPr>
        <w:t>5.</w:t>
      </w:r>
      <w:r>
        <w:rPr>
          <w:rFonts w:hint="eastAsia" w:ascii="仿宋" w:hAnsi="仿宋" w:eastAsia="仿宋" w:cs="Times New Roman"/>
          <w:color w:val="auto"/>
          <w:kern w:val="2"/>
          <w:sz w:val="28"/>
          <w:szCs w:val="28"/>
          <w:highlight w:val="none"/>
        </w:rPr>
        <w:t>参加政府采购活动前三年内，在经营活动中没有重大违法记录;</w:t>
      </w:r>
    </w:p>
    <w:p>
      <w:pPr>
        <w:pStyle w:val="20"/>
        <w:numPr>
          <w:ilvl w:val="0"/>
          <w:numId w:val="0"/>
        </w:numPr>
        <w:shd w:val="clear" w:color="auto"/>
        <w:tabs>
          <w:tab w:val="left" w:pos="1060"/>
        </w:tabs>
        <w:spacing w:before="0" w:beforeAutospacing="0" w:after="0" w:afterAutospacing="0" w:line="540" w:lineRule="exact"/>
        <w:ind w:left="640" w:leftChars="0"/>
        <w:rPr>
          <w:rFonts w:hint="eastAsia" w:ascii="仿宋" w:hAnsi="仿宋" w:eastAsia="仿宋" w:cs="Times New Roman"/>
          <w:color w:val="auto"/>
          <w:kern w:val="2"/>
          <w:sz w:val="28"/>
          <w:szCs w:val="28"/>
          <w:highlight w:val="none"/>
        </w:rPr>
      </w:pPr>
      <w:r>
        <w:rPr>
          <w:rFonts w:hint="eastAsia" w:ascii="仿宋" w:hAnsi="仿宋" w:eastAsia="仿宋" w:cs="Times New Roman"/>
          <w:color w:val="auto"/>
          <w:kern w:val="2"/>
          <w:sz w:val="28"/>
          <w:szCs w:val="28"/>
          <w:highlight w:val="none"/>
          <w:lang w:val="en-US" w:eastAsia="zh-CN"/>
        </w:rPr>
        <w:t>6.</w:t>
      </w:r>
      <w:r>
        <w:rPr>
          <w:rFonts w:hint="eastAsia" w:ascii="仿宋" w:hAnsi="仿宋" w:eastAsia="仿宋" w:cs="Times New Roman"/>
          <w:color w:val="auto"/>
          <w:kern w:val="2"/>
          <w:sz w:val="28"/>
          <w:szCs w:val="28"/>
          <w:highlight w:val="none"/>
        </w:rPr>
        <w:t>法律、行政法规规定的其他条件。</w:t>
      </w:r>
    </w:p>
    <w:p>
      <w:pPr>
        <w:numPr>
          <w:ilvl w:val="0"/>
          <w:numId w:val="1"/>
        </w:numPr>
        <w:shd w:val="clear"/>
        <w:spacing w:line="540" w:lineRule="exact"/>
        <w:rPr>
          <w:rFonts w:hint="eastAsia" w:ascii="仿宋" w:hAnsi="仿宋" w:eastAsia="仿宋"/>
          <w:color w:val="auto"/>
          <w:sz w:val="28"/>
          <w:szCs w:val="28"/>
          <w:highlight w:val="none"/>
          <w:u w:val="single"/>
        </w:rPr>
      </w:pPr>
      <w:r>
        <w:rPr>
          <w:rFonts w:hint="eastAsia" w:ascii="仿宋" w:hAnsi="仿宋" w:eastAsia="仿宋"/>
          <w:color w:val="auto"/>
          <w:sz w:val="28"/>
          <w:szCs w:val="28"/>
          <w:highlight w:val="none"/>
        </w:rPr>
        <w:t>落实政府采购政策需满足的资格要求：</w:t>
      </w:r>
    </w:p>
    <w:p>
      <w:pPr>
        <w:pStyle w:val="20"/>
        <w:numPr>
          <w:ilvl w:val="0"/>
          <w:numId w:val="0"/>
        </w:numPr>
        <w:shd w:val="clear" w:color="auto"/>
        <w:spacing w:before="0" w:beforeAutospacing="0" w:after="0" w:afterAutospacing="0" w:line="500" w:lineRule="exact"/>
        <w:ind w:firstLine="560" w:firstLineChars="200"/>
        <w:rPr>
          <w:rFonts w:hint="eastAsia" w:ascii="仿宋" w:hAnsi="仿宋" w:eastAsia="仿宋"/>
          <w:color w:val="auto"/>
          <w:sz w:val="28"/>
          <w:szCs w:val="28"/>
          <w:highlight w:val="none"/>
        </w:rPr>
      </w:pPr>
      <w:r>
        <w:rPr>
          <w:rFonts w:hint="eastAsia" w:ascii="仿宋" w:hAnsi="仿宋" w:eastAsia="仿宋" w:cs="Times New Roman"/>
          <w:color w:val="auto"/>
          <w:sz w:val="28"/>
          <w:szCs w:val="28"/>
          <w:highlight w:val="none"/>
          <w:lang w:val="en-US" w:eastAsia="zh-CN"/>
        </w:rPr>
        <w:t>1.</w:t>
      </w:r>
      <w:r>
        <w:rPr>
          <w:rFonts w:hint="eastAsia" w:ascii="仿宋" w:hAnsi="仿宋" w:eastAsia="仿宋" w:cs="Times New Roman"/>
          <w:color w:val="auto"/>
          <w:sz w:val="28"/>
          <w:szCs w:val="28"/>
          <w:highlight w:val="none"/>
        </w:rPr>
        <w:t>根据江苏省财政厅、工信厅《转发财政部工业和信息化部关于印发&lt;政府采购促进中小企业发展管理办法&gt;的通知》（苏财购〔2021〕34号）文件要求，对于经主管预算单位统筹后未预留份额专门面向中小企业采购的采购项目，以及预留份额项目中的非预留部分采</w:t>
      </w:r>
      <w:r>
        <w:rPr>
          <w:rFonts w:hint="eastAsia" w:ascii="仿宋" w:hAnsi="仿宋" w:eastAsia="仿宋"/>
          <w:color w:val="auto"/>
          <w:sz w:val="28"/>
          <w:szCs w:val="28"/>
          <w:highlight w:val="none"/>
        </w:rPr>
        <w:t>购包，在</w:t>
      </w:r>
      <w:r>
        <w:rPr>
          <w:rFonts w:hint="eastAsia" w:ascii="仿宋" w:hAnsi="仿宋" w:eastAsia="仿宋" w:cs="Times New Roman"/>
          <w:color w:val="auto"/>
          <w:sz w:val="28"/>
          <w:szCs w:val="28"/>
          <w:highlight w:val="none"/>
        </w:rPr>
        <w:t>新冠疫情应急响应解除之前，</w:t>
      </w:r>
      <w:r>
        <w:rPr>
          <w:rFonts w:hint="eastAsia" w:ascii="仿宋" w:hAnsi="仿宋" w:eastAsia="仿宋"/>
          <w:color w:val="auto"/>
          <w:sz w:val="28"/>
          <w:szCs w:val="28"/>
          <w:highlight w:val="none"/>
        </w:rPr>
        <w:t>对符合本办法规定的小微企业报价给予10%的价格扣除，用扣除后的价格参加评审。（如本项目为</w:t>
      </w:r>
      <w:r>
        <w:rPr>
          <w:rFonts w:hint="eastAsia" w:ascii="仿宋" w:hAnsi="仿宋" w:eastAsia="仿宋" w:cs="Times New Roman"/>
          <w:color w:val="auto"/>
          <w:sz w:val="28"/>
          <w:szCs w:val="28"/>
          <w:highlight w:val="none"/>
        </w:rPr>
        <w:t>专门面向中小企业采购的项目，此条款不适用</w:t>
      </w:r>
      <w:r>
        <w:rPr>
          <w:rFonts w:hint="eastAsia" w:ascii="仿宋" w:hAnsi="仿宋" w:eastAsia="仿宋"/>
          <w:color w:val="auto"/>
          <w:sz w:val="28"/>
          <w:szCs w:val="28"/>
          <w:highlight w:val="none"/>
        </w:rPr>
        <w:t>）</w:t>
      </w:r>
    </w:p>
    <w:p>
      <w:pPr>
        <w:pStyle w:val="20"/>
        <w:numPr>
          <w:ilvl w:val="0"/>
          <w:numId w:val="0"/>
        </w:numPr>
        <w:shd w:val="clear" w:color="auto"/>
        <w:spacing w:before="0" w:beforeAutospacing="0" w:after="0" w:afterAutospacing="0" w:line="500" w:lineRule="exact"/>
        <w:ind w:firstLine="560" w:firstLineChars="200"/>
        <w:rPr>
          <w:rFonts w:hint="eastAsia" w:ascii="仿宋" w:hAnsi="仿宋" w:eastAsia="仿宋" w:cs="Times New Roman"/>
          <w:color w:val="auto"/>
          <w:kern w:val="2"/>
          <w:sz w:val="28"/>
          <w:szCs w:val="28"/>
          <w:highlight w:val="none"/>
        </w:rPr>
      </w:pPr>
      <w:r>
        <w:rPr>
          <w:rFonts w:hint="eastAsia" w:ascii="仿宋" w:hAnsi="仿宋" w:eastAsia="仿宋" w:cs="Times New Roman"/>
          <w:color w:val="auto"/>
          <w:kern w:val="2"/>
          <w:sz w:val="28"/>
          <w:szCs w:val="28"/>
          <w:highlight w:val="none"/>
          <w:lang w:val="en-US" w:eastAsia="zh-CN"/>
        </w:rPr>
        <w:t>2.</w:t>
      </w:r>
      <w:r>
        <w:rPr>
          <w:rFonts w:hint="eastAsia" w:ascii="仿宋" w:hAnsi="仿宋" w:eastAsia="仿宋" w:cs="Times New Roman"/>
          <w:color w:val="auto"/>
          <w:kern w:val="2"/>
          <w:sz w:val="28"/>
          <w:szCs w:val="28"/>
          <w:highlight w:val="none"/>
        </w:rPr>
        <w:t>根据财政部发布的《关于政府采购支持监狱企业发展有关问题的通知》规定，本项目对监狱企业产品的价格给予6%的扣除，用扣除后的价格参加评审。</w:t>
      </w:r>
    </w:p>
    <w:p>
      <w:pPr>
        <w:pStyle w:val="20"/>
        <w:shd w:val="clear" w:color="auto"/>
        <w:spacing w:before="0" w:beforeAutospacing="0" w:after="0" w:afterAutospacing="0" w:line="500" w:lineRule="exact"/>
        <w:ind w:firstLine="560" w:firstLineChars="200"/>
        <w:rPr>
          <w:rFonts w:hint="eastAsia" w:ascii="仿宋" w:hAnsi="仿宋" w:eastAsia="仿宋" w:cs="Times New Roman"/>
          <w:color w:val="auto"/>
          <w:kern w:val="2"/>
          <w:sz w:val="28"/>
          <w:szCs w:val="28"/>
          <w:highlight w:val="none"/>
        </w:rPr>
      </w:pPr>
      <w:r>
        <w:rPr>
          <w:rFonts w:hint="eastAsia" w:ascii="仿宋" w:hAnsi="仿宋" w:eastAsia="仿宋" w:cs="Times New Roman"/>
          <w:color w:val="auto"/>
          <w:kern w:val="2"/>
          <w:sz w:val="28"/>
          <w:szCs w:val="28"/>
          <w:highlight w:val="none"/>
          <w:lang w:val="en-US" w:eastAsia="zh-CN"/>
        </w:rPr>
        <w:t>3.</w:t>
      </w:r>
      <w:r>
        <w:rPr>
          <w:rFonts w:hint="eastAsia" w:ascii="仿宋" w:hAnsi="仿宋" w:eastAsia="仿宋" w:cs="Times New Roman"/>
          <w:color w:val="auto"/>
          <w:kern w:val="2"/>
          <w:sz w:val="28"/>
          <w:szCs w:val="28"/>
          <w:highlight w:val="none"/>
        </w:rPr>
        <w:t>根据财政部发布的《关于促进残疾人就业政府采购政策的通知》规定，本项目对残疾人福利性单位产品的价格给予6%的扣除，用扣除后的价格参加评审。</w:t>
      </w:r>
    </w:p>
    <w:p>
      <w:pPr>
        <w:pStyle w:val="20"/>
        <w:shd w:val="clear" w:color="auto"/>
        <w:spacing w:before="0" w:beforeAutospacing="0" w:after="0" w:afterAutospacing="0" w:line="500" w:lineRule="exact"/>
        <w:ind w:firstLine="560" w:firstLineChars="200"/>
        <w:rPr>
          <w:rFonts w:hint="eastAsia" w:ascii="仿宋" w:hAnsi="仿宋" w:eastAsia="仿宋" w:cs="Times New Roman"/>
          <w:color w:val="auto"/>
          <w:kern w:val="2"/>
          <w:sz w:val="28"/>
          <w:szCs w:val="28"/>
          <w:highlight w:val="none"/>
        </w:rPr>
      </w:pPr>
      <w:r>
        <w:rPr>
          <w:rFonts w:hint="eastAsia" w:ascii="仿宋" w:hAnsi="仿宋" w:eastAsia="仿宋" w:cs="Times New Roman"/>
          <w:color w:val="auto"/>
          <w:kern w:val="2"/>
          <w:sz w:val="28"/>
          <w:szCs w:val="28"/>
          <w:highlight w:val="none"/>
        </w:rPr>
        <w:t>注：小微企业以供应商填写的《中小企业声明函》为判定标准，残疾人福利性单位以供应商填写的《残疾人福利性单位声明函》为判定标准，监狱企业须供应商提供由省级以上监狱管理局、戒毒管理局（含新疆生产建设兵团）出具的属于监狱企业的证明文件，否则不予认定。</w:t>
      </w:r>
    </w:p>
    <w:p>
      <w:pPr>
        <w:pStyle w:val="20"/>
        <w:shd w:val="clear" w:color="auto"/>
        <w:spacing w:before="0" w:beforeAutospacing="0" w:after="0" w:afterAutospacing="0"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三）单位负责人为同一人或者存在直接控股、管理关系的不同供应商，不得参加同一合同项下的政府采购活动。为本采购项目提供整体设计、规范编制或者项目管理、监理、检测等服务的供应商，不得再参加本采购项目的采购活动。</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lang w:eastAsia="zh-CN"/>
        </w:rPr>
        <w:t>（</w:t>
      </w:r>
      <w:r>
        <w:rPr>
          <w:rFonts w:hint="eastAsia" w:ascii="仿宋" w:hAnsi="仿宋" w:eastAsia="仿宋"/>
          <w:color w:val="auto"/>
          <w:sz w:val="28"/>
          <w:szCs w:val="28"/>
          <w:highlight w:val="none"/>
          <w:lang w:val="en-US" w:eastAsia="zh-CN"/>
        </w:rPr>
        <w:t>四）</w:t>
      </w:r>
      <w:r>
        <w:rPr>
          <w:rFonts w:hint="eastAsia" w:ascii="仿宋" w:hAnsi="仿宋" w:eastAsia="仿宋"/>
          <w:color w:val="auto"/>
          <w:sz w:val="28"/>
          <w:szCs w:val="28"/>
          <w:highlight w:val="none"/>
        </w:rPr>
        <w:t>本项目的特定资格要求：</w:t>
      </w:r>
    </w:p>
    <w:p>
      <w:pPr>
        <w:spacing w:line="500" w:lineRule="exact"/>
        <w:ind w:firstLine="560" w:firstLineChars="200"/>
        <w:rPr>
          <w:rFonts w:hint="eastAsia" w:ascii="仿宋" w:hAnsi="仿宋" w:eastAsia="仿宋"/>
          <w:color w:val="auto"/>
          <w:sz w:val="28"/>
          <w:szCs w:val="28"/>
          <w:highlight w:val="none"/>
          <w:lang w:eastAsia="zh-CN"/>
        </w:rPr>
      </w:pPr>
      <w:r>
        <w:rPr>
          <w:rFonts w:hint="eastAsia" w:ascii="仿宋" w:hAnsi="仿宋" w:eastAsia="仿宋"/>
          <w:color w:val="auto"/>
          <w:sz w:val="28"/>
          <w:szCs w:val="28"/>
          <w:highlight w:val="none"/>
          <w:lang w:val="en-US" w:eastAsia="zh-CN"/>
        </w:rPr>
        <w:t>响应</w:t>
      </w:r>
      <w:r>
        <w:rPr>
          <w:rFonts w:hint="eastAsia" w:ascii="仿宋" w:hAnsi="仿宋" w:eastAsia="仿宋"/>
          <w:color w:val="auto"/>
          <w:sz w:val="28"/>
          <w:szCs w:val="28"/>
          <w:highlight w:val="none"/>
        </w:rPr>
        <w:t>供应商必须是中国境内注册的独立法人资格的生产制造商或经销商，具有独立承担民事等法律责任的能力</w:t>
      </w:r>
      <w:r>
        <w:rPr>
          <w:rFonts w:hint="eastAsia" w:ascii="仿宋" w:hAnsi="仿宋" w:eastAsia="仿宋"/>
          <w:color w:val="auto"/>
          <w:sz w:val="28"/>
          <w:szCs w:val="28"/>
          <w:highlight w:val="none"/>
          <w:lang w:eastAsia="zh-CN"/>
        </w:rPr>
        <w:t>。</w:t>
      </w:r>
    </w:p>
    <w:p>
      <w:pPr>
        <w:ind w:firstLine="560" w:firstLineChars="200"/>
        <w:rPr>
          <w:rFonts w:ascii="仿宋" w:hAnsi="仿宋" w:eastAsia="仿宋"/>
          <w:i/>
          <w:iCs/>
          <w:color w:val="auto"/>
          <w:sz w:val="28"/>
          <w:szCs w:val="28"/>
          <w:highlight w:val="none"/>
          <w:u w:val="single"/>
        </w:rPr>
      </w:pPr>
      <w:r>
        <w:rPr>
          <w:rFonts w:hint="eastAsia" w:ascii="仿宋" w:hAnsi="仿宋" w:eastAsia="仿宋"/>
          <w:color w:val="auto"/>
          <w:sz w:val="28"/>
          <w:szCs w:val="28"/>
          <w:highlight w:val="none"/>
          <w:lang w:val="en-US" w:eastAsia="zh-CN"/>
        </w:rPr>
        <w:t>（五）</w:t>
      </w:r>
      <w:r>
        <w:rPr>
          <w:rFonts w:hint="eastAsia" w:ascii="仿宋" w:hAnsi="仿宋" w:eastAsia="仿宋"/>
          <w:color w:val="auto"/>
          <w:sz w:val="28"/>
          <w:szCs w:val="28"/>
          <w:highlight w:val="none"/>
        </w:rPr>
        <w:t>未被“信用中国（www.creditchina.gov.cn）”、“中国政府采购网（http://www.ccgp.gov.cn/）”、“信用江苏（http://www.jscredit.cn）”网站列入失信被执行人或重大税收违法案件当事人名单或政府采购严重失信行为记录名单，查询结果以评审过程中现场网络截图为准。</w:t>
      </w:r>
    </w:p>
    <w:bookmarkEnd w:id="12"/>
    <w:bookmarkEnd w:id="13"/>
    <w:p>
      <w:pPr>
        <w:pStyle w:val="11"/>
        <w:spacing w:after="0" w:line="500" w:lineRule="exact"/>
        <w:ind w:firstLine="560" w:firstLineChars="200"/>
        <w:outlineLvl w:val="1"/>
        <w:rPr>
          <w:rFonts w:ascii="黑体" w:hAnsi="黑体" w:eastAsia="黑体"/>
          <w:sz w:val="28"/>
          <w:szCs w:val="28"/>
          <w:highlight w:val="none"/>
        </w:rPr>
      </w:pPr>
      <w:bookmarkStart w:id="14" w:name="_Toc4348"/>
      <w:bookmarkStart w:id="15" w:name="_Toc7922"/>
      <w:bookmarkStart w:id="16" w:name="_Toc35393631"/>
      <w:bookmarkStart w:id="17" w:name="_Toc13452"/>
      <w:bookmarkStart w:id="18" w:name="_Toc22309"/>
      <w:bookmarkStart w:id="19" w:name="_Toc35393800"/>
      <w:bookmarkStart w:id="20" w:name="_Toc35393804"/>
      <w:bookmarkStart w:id="21" w:name="_Toc25213"/>
      <w:bookmarkStart w:id="22" w:name="_Toc35393635"/>
      <w:r>
        <w:rPr>
          <w:rFonts w:hint="eastAsia" w:ascii="黑体" w:hAnsi="黑体" w:eastAsia="黑体"/>
          <w:sz w:val="28"/>
          <w:szCs w:val="28"/>
          <w:highlight w:val="none"/>
        </w:rPr>
        <w:t>三、获取</w:t>
      </w:r>
      <w:r>
        <w:rPr>
          <w:rFonts w:hint="eastAsia" w:ascii="黑体" w:hAnsi="黑体" w:eastAsia="黑体"/>
          <w:sz w:val="28"/>
          <w:szCs w:val="28"/>
          <w:highlight w:val="none"/>
          <w:lang w:val="en-US" w:eastAsia="zh-CN"/>
        </w:rPr>
        <w:t>采购</w:t>
      </w:r>
      <w:r>
        <w:rPr>
          <w:rFonts w:hint="eastAsia" w:ascii="黑体" w:hAnsi="黑体" w:eastAsia="黑体"/>
          <w:sz w:val="28"/>
          <w:szCs w:val="28"/>
          <w:highlight w:val="none"/>
        </w:rPr>
        <w:t>文件</w:t>
      </w:r>
      <w:bookmarkEnd w:id="14"/>
      <w:bookmarkEnd w:id="15"/>
      <w:bookmarkEnd w:id="16"/>
      <w:bookmarkEnd w:id="17"/>
      <w:bookmarkEnd w:id="18"/>
      <w:bookmarkEnd w:id="19"/>
    </w:p>
    <w:p>
      <w:pPr>
        <w:pStyle w:val="11"/>
        <w:spacing w:after="0" w:line="500" w:lineRule="exact"/>
        <w:ind w:firstLine="560" w:firstLineChars="200"/>
        <w:outlineLvl w:val="9"/>
        <w:rPr>
          <w:rFonts w:hint="eastAsia" w:ascii="仿宋" w:hAnsi="仿宋" w:eastAsia="仿宋" w:cs="宋体"/>
          <w:color w:val="auto"/>
          <w:sz w:val="28"/>
          <w:szCs w:val="28"/>
          <w:lang w:eastAsia="zh-CN"/>
        </w:rPr>
      </w:pPr>
      <w:bookmarkStart w:id="23" w:name="_Toc30436"/>
      <w:bookmarkStart w:id="24" w:name="_Toc10121"/>
      <w:r>
        <w:rPr>
          <w:rFonts w:hint="eastAsia" w:ascii="仿宋" w:hAnsi="仿宋" w:eastAsia="仿宋" w:cs="宋体"/>
          <w:color w:val="auto"/>
          <w:sz w:val="28"/>
          <w:szCs w:val="28"/>
          <w:highlight w:val="none"/>
          <w:lang w:bidi="ar"/>
        </w:rPr>
        <w:t>（一）</w:t>
      </w:r>
      <w:r>
        <w:rPr>
          <w:rFonts w:hint="eastAsia" w:ascii="仿宋" w:hAnsi="仿宋" w:eastAsia="仿宋" w:cs="宋体"/>
          <w:color w:val="auto"/>
          <w:sz w:val="28"/>
          <w:szCs w:val="28"/>
          <w:highlight w:val="none"/>
          <w:lang w:val="en-US" w:eastAsia="zh-CN" w:bidi="ar"/>
        </w:rPr>
        <w:t>时间：</w:t>
      </w:r>
      <w:r>
        <w:rPr>
          <w:rFonts w:hint="eastAsia" w:ascii="仿宋" w:hAnsi="仿宋" w:eastAsia="仿宋" w:cs="宋体"/>
          <w:color w:val="auto"/>
          <w:sz w:val="28"/>
          <w:szCs w:val="28"/>
          <w:lang w:val="en-US" w:eastAsia="zh-CN"/>
        </w:rPr>
        <w:t>自本公告发出之日起</w:t>
      </w:r>
      <w:r>
        <w:rPr>
          <w:rFonts w:hint="eastAsia" w:ascii="仿宋" w:hAnsi="仿宋" w:eastAsia="仿宋" w:cs="宋体"/>
          <w:color w:val="auto"/>
          <w:sz w:val="28"/>
          <w:szCs w:val="28"/>
        </w:rPr>
        <w:t>至</w:t>
      </w:r>
      <w:r>
        <w:rPr>
          <w:rFonts w:hint="eastAsia" w:ascii="仿宋" w:hAnsi="仿宋" w:eastAsia="仿宋" w:cs="宋体"/>
          <w:color w:val="auto"/>
          <w:sz w:val="28"/>
          <w:szCs w:val="28"/>
          <w:lang w:val="en-US" w:eastAsia="zh-CN"/>
        </w:rPr>
        <w:t>2022</w:t>
      </w:r>
      <w:r>
        <w:rPr>
          <w:rFonts w:hint="eastAsia" w:ascii="仿宋" w:hAnsi="仿宋" w:eastAsia="仿宋" w:cs="宋体"/>
          <w:color w:val="auto"/>
          <w:sz w:val="28"/>
          <w:szCs w:val="28"/>
        </w:rPr>
        <w:t>年</w:t>
      </w:r>
      <w:r>
        <w:rPr>
          <w:rFonts w:hint="eastAsia" w:ascii="仿宋" w:hAnsi="仿宋" w:eastAsia="仿宋" w:cs="宋体"/>
          <w:color w:val="auto"/>
          <w:sz w:val="28"/>
          <w:szCs w:val="28"/>
          <w:lang w:val="en-US" w:eastAsia="zh-CN"/>
        </w:rPr>
        <w:t xml:space="preserve"> 1</w:t>
      </w:r>
      <w:r>
        <w:rPr>
          <w:rFonts w:hint="eastAsia" w:ascii="仿宋" w:hAnsi="仿宋" w:eastAsia="仿宋" w:cs="宋体"/>
          <w:color w:val="auto"/>
          <w:sz w:val="28"/>
          <w:szCs w:val="28"/>
        </w:rPr>
        <w:t>月</w:t>
      </w:r>
      <w:r>
        <w:rPr>
          <w:rFonts w:hint="eastAsia" w:ascii="仿宋" w:hAnsi="仿宋" w:eastAsia="仿宋" w:cs="宋体"/>
          <w:color w:val="auto"/>
          <w:sz w:val="28"/>
          <w:szCs w:val="28"/>
          <w:lang w:val="en-US" w:eastAsia="zh-CN"/>
        </w:rPr>
        <w:t xml:space="preserve"> 10 </w:t>
      </w:r>
      <w:r>
        <w:rPr>
          <w:rFonts w:hint="eastAsia" w:ascii="仿宋" w:hAnsi="仿宋" w:eastAsia="仿宋" w:cs="宋体"/>
          <w:color w:val="auto"/>
          <w:sz w:val="28"/>
          <w:szCs w:val="28"/>
        </w:rPr>
        <w:t>日</w:t>
      </w:r>
      <w:r>
        <w:rPr>
          <w:rFonts w:hint="eastAsia" w:ascii="仿宋" w:hAnsi="仿宋" w:eastAsia="仿宋" w:cs="宋体"/>
          <w:color w:val="auto"/>
          <w:sz w:val="28"/>
          <w:szCs w:val="28"/>
          <w:lang w:eastAsia="zh-CN"/>
        </w:rPr>
        <w:t>，</w:t>
      </w:r>
      <w:r>
        <w:rPr>
          <w:rFonts w:hint="eastAsia" w:ascii="仿宋" w:hAnsi="仿宋" w:eastAsia="仿宋" w:cs="宋体"/>
          <w:color w:val="auto"/>
          <w:sz w:val="28"/>
          <w:szCs w:val="28"/>
        </w:rPr>
        <w:t>每天上午</w:t>
      </w:r>
      <w:r>
        <w:rPr>
          <w:rFonts w:hint="eastAsia" w:ascii="仿宋" w:hAnsi="仿宋" w:eastAsia="仿宋" w:cs="宋体"/>
          <w:color w:val="auto"/>
          <w:sz w:val="28"/>
          <w:szCs w:val="28"/>
          <w:lang w:val="en-US" w:eastAsia="zh-CN"/>
        </w:rPr>
        <w:t>8:00</w:t>
      </w:r>
      <w:r>
        <w:rPr>
          <w:rFonts w:hint="eastAsia" w:ascii="仿宋" w:hAnsi="仿宋" w:eastAsia="仿宋" w:cs="宋体"/>
          <w:color w:val="auto"/>
          <w:sz w:val="28"/>
          <w:szCs w:val="28"/>
        </w:rPr>
        <w:t>至</w:t>
      </w:r>
      <w:r>
        <w:rPr>
          <w:rFonts w:hint="eastAsia" w:ascii="仿宋" w:hAnsi="仿宋" w:eastAsia="仿宋" w:cs="宋体"/>
          <w:color w:val="auto"/>
          <w:sz w:val="28"/>
          <w:szCs w:val="28"/>
          <w:lang w:val="en-US" w:eastAsia="zh-CN"/>
        </w:rPr>
        <w:t>12:00</w:t>
      </w:r>
      <w:r>
        <w:rPr>
          <w:rFonts w:hint="eastAsia" w:ascii="仿宋" w:hAnsi="仿宋" w:eastAsia="仿宋" w:cs="宋体"/>
          <w:color w:val="auto"/>
          <w:sz w:val="28"/>
          <w:szCs w:val="28"/>
        </w:rPr>
        <w:t>，下午</w:t>
      </w:r>
      <w:r>
        <w:rPr>
          <w:rFonts w:hint="eastAsia" w:ascii="仿宋" w:hAnsi="仿宋" w:eastAsia="仿宋" w:cs="宋体"/>
          <w:color w:val="auto"/>
          <w:sz w:val="28"/>
          <w:szCs w:val="28"/>
          <w:lang w:val="en-US" w:eastAsia="zh-CN"/>
        </w:rPr>
        <w:t>13:00</w:t>
      </w:r>
      <w:r>
        <w:rPr>
          <w:rFonts w:hint="eastAsia" w:ascii="仿宋" w:hAnsi="仿宋" w:eastAsia="仿宋" w:cs="宋体"/>
          <w:color w:val="auto"/>
          <w:sz w:val="28"/>
          <w:szCs w:val="28"/>
        </w:rPr>
        <w:t>至</w:t>
      </w:r>
      <w:r>
        <w:rPr>
          <w:rFonts w:hint="eastAsia" w:ascii="仿宋" w:hAnsi="仿宋" w:eastAsia="仿宋" w:cs="宋体"/>
          <w:color w:val="auto"/>
          <w:sz w:val="28"/>
          <w:szCs w:val="28"/>
          <w:lang w:val="en-US" w:eastAsia="zh-CN"/>
        </w:rPr>
        <w:t>17:00</w:t>
      </w:r>
      <w:r>
        <w:rPr>
          <w:rFonts w:hint="eastAsia" w:ascii="仿宋" w:hAnsi="仿宋" w:eastAsia="仿宋" w:cs="宋体"/>
          <w:color w:val="auto"/>
          <w:sz w:val="28"/>
          <w:szCs w:val="28"/>
        </w:rPr>
        <w:t>（北京时间，法定节假日除外 ）</w:t>
      </w:r>
      <w:r>
        <w:rPr>
          <w:rFonts w:hint="eastAsia" w:ascii="仿宋" w:hAnsi="仿宋" w:eastAsia="仿宋" w:cs="宋体"/>
          <w:color w:val="auto"/>
          <w:sz w:val="28"/>
          <w:szCs w:val="28"/>
          <w:lang w:eastAsia="zh-CN"/>
        </w:rPr>
        <w:t>；</w:t>
      </w:r>
    </w:p>
    <w:p>
      <w:pPr>
        <w:pStyle w:val="11"/>
        <w:spacing w:after="0" w:line="500" w:lineRule="exact"/>
        <w:ind w:firstLine="560" w:firstLineChars="200"/>
        <w:outlineLvl w:val="9"/>
        <w:rPr>
          <w:rFonts w:hint="eastAsia" w:ascii="仿宋" w:hAnsi="仿宋" w:eastAsia="仿宋"/>
          <w:sz w:val="28"/>
          <w:szCs w:val="28"/>
          <w:highlight w:val="none"/>
        </w:rPr>
      </w:pPr>
      <w:r>
        <w:rPr>
          <w:rFonts w:hint="eastAsia" w:ascii="仿宋" w:hAnsi="仿宋" w:eastAsia="仿宋" w:cs="宋体"/>
          <w:color w:val="auto"/>
          <w:sz w:val="28"/>
          <w:szCs w:val="28"/>
          <w:lang w:eastAsia="zh-CN"/>
        </w:rPr>
        <w:t>（</w:t>
      </w:r>
      <w:r>
        <w:rPr>
          <w:rFonts w:hint="eastAsia" w:ascii="仿宋" w:hAnsi="仿宋" w:eastAsia="仿宋" w:cs="宋体"/>
          <w:color w:val="auto"/>
          <w:sz w:val="28"/>
          <w:szCs w:val="28"/>
          <w:lang w:val="en-US" w:eastAsia="zh-CN"/>
        </w:rPr>
        <w:t>二</w:t>
      </w:r>
      <w:r>
        <w:rPr>
          <w:rFonts w:hint="eastAsia" w:ascii="仿宋" w:hAnsi="仿宋" w:eastAsia="仿宋" w:cs="宋体"/>
          <w:color w:val="auto"/>
          <w:sz w:val="28"/>
          <w:szCs w:val="28"/>
          <w:lang w:eastAsia="zh-CN"/>
        </w:rPr>
        <w:t>）</w:t>
      </w:r>
      <w:r>
        <w:rPr>
          <w:rFonts w:hint="eastAsia" w:ascii="仿宋" w:hAnsi="仿宋" w:eastAsia="仿宋" w:cs="宋体"/>
          <w:color w:val="auto"/>
          <w:sz w:val="28"/>
          <w:szCs w:val="28"/>
          <w:lang w:val="en-US" w:eastAsia="zh-CN"/>
        </w:rPr>
        <w:t>地点、方式、售价：</w:t>
      </w:r>
      <w:r>
        <w:rPr>
          <w:rFonts w:hint="eastAsia" w:ascii="仿宋" w:hAnsi="仿宋" w:eastAsia="仿宋" w:cs="宋体"/>
          <w:color w:val="auto"/>
          <w:sz w:val="28"/>
          <w:szCs w:val="28"/>
        </w:rPr>
        <w:t>潜在</w:t>
      </w:r>
      <w:r>
        <w:rPr>
          <w:rFonts w:hint="eastAsia" w:ascii="仿宋" w:hAnsi="仿宋" w:eastAsia="仿宋" w:cs="宋体"/>
          <w:color w:val="auto"/>
          <w:sz w:val="28"/>
          <w:szCs w:val="28"/>
          <w:lang w:val="en-US" w:eastAsia="zh-CN"/>
        </w:rPr>
        <w:t>响应</w:t>
      </w:r>
      <w:r>
        <w:rPr>
          <w:rFonts w:hint="eastAsia" w:ascii="仿宋" w:hAnsi="仿宋" w:eastAsia="仿宋" w:cs="宋体"/>
          <w:color w:val="auto"/>
          <w:sz w:val="28"/>
          <w:szCs w:val="28"/>
          <w:highlight w:val="none"/>
          <w:lang w:val="en-US" w:eastAsia="zh-CN" w:bidi="ar"/>
        </w:rPr>
        <w:t>供应商</w:t>
      </w:r>
      <w:r>
        <w:rPr>
          <w:rFonts w:hint="eastAsia" w:ascii="仿宋" w:hAnsi="仿宋" w:eastAsia="仿宋" w:cs="宋体"/>
          <w:color w:val="auto"/>
          <w:sz w:val="28"/>
          <w:szCs w:val="28"/>
          <w:highlight w:val="none"/>
          <w:lang w:bidi="ar"/>
        </w:rPr>
        <w:t>自行</w:t>
      </w:r>
      <w:r>
        <w:rPr>
          <w:rFonts w:hint="eastAsia" w:ascii="仿宋" w:hAnsi="仿宋" w:eastAsia="仿宋"/>
          <w:color w:val="auto"/>
          <w:sz w:val="28"/>
          <w:szCs w:val="28"/>
          <w:highlight w:val="none"/>
        </w:rPr>
        <w:t>在</w:t>
      </w:r>
      <w:r>
        <w:rPr>
          <w:rFonts w:hint="eastAsia" w:ascii="仿宋" w:hAnsi="仿宋" w:eastAsia="仿宋"/>
          <w:sz w:val="28"/>
          <w:szCs w:val="28"/>
          <w:highlight w:val="none"/>
        </w:rPr>
        <w:t>江苏</w:t>
      </w:r>
      <w:r>
        <w:rPr>
          <w:rFonts w:hint="eastAsia" w:ascii="仿宋" w:hAnsi="仿宋" w:eastAsia="仿宋"/>
          <w:sz w:val="28"/>
          <w:szCs w:val="28"/>
          <w:highlight w:val="none"/>
          <w:lang w:val="en-US" w:eastAsia="zh-CN"/>
        </w:rPr>
        <w:t>省</w:t>
      </w:r>
      <w:r>
        <w:rPr>
          <w:rFonts w:hint="eastAsia" w:ascii="仿宋" w:hAnsi="仿宋" w:eastAsia="仿宋"/>
          <w:sz w:val="28"/>
          <w:szCs w:val="28"/>
          <w:highlight w:val="none"/>
        </w:rPr>
        <w:t>政府采购网竞争性</w:t>
      </w:r>
      <w:r>
        <w:rPr>
          <w:rFonts w:hint="eastAsia" w:ascii="仿宋" w:hAnsi="仿宋" w:eastAsia="仿宋"/>
          <w:sz w:val="28"/>
          <w:szCs w:val="28"/>
          <w:highlight w:val="none"/>
          <w:lang w:val="en-US" w:eastAsia="zh-CN"/>
        </w:rPr>
        <w:t>磋商</w:t>
      </w:r>
      <w:r>
        <w:rPr>
          <w:rFonts w:hint="eastAsia" w:ascii="仿宋" w:hAnsi="仿宋" w:eastAsia="仿宋"/>
          <w:sz w:val="28"/>
          <w:szCs w:val="28"/>
          <w:highlight w:val="none"/>
        </w:rPr>
        <w:t>公告附件中</w:t>
      </w:r>
      <w:r>
        <w:rPr>
          <w:rFonts w:hint="eastAsia" w:ascii="仿宋" w:hAnsi="仿宋" w:eastAsia="仿宋"/>
          <w:sz w:val="28"/>
          <w:szCs w:val="28"/>
          <w:highlight w:val="none"/>
          <w:lang w:val="en-US" w:eastAsia="zh-CN"/>
        </w:rPr>
        <w:t>免费</w:t>
      </w:r>
      <w:r>
        <w:rPr>
          <w:rFonts w:hint="eastAsia" w:ascii="仿宋" w:hAnsi="仿宋" w:eastAsia="仿宋"/>
          <w:sz w:val="28"/>
          <w:szCs w:val="28"/>
          <w:highlight w:val="none"/>
        </w:rPr>
        <w:t>下载。</w:t>
      </w:r>
      <w:r>
        <w:rPr>
          <w:rFonts w:hint="eastAsia" w:ascii="仿宋" w:hAnsi="仿宋" w:eastAsia="仿宋"/>
          <w:sz w:val="28"/>
          <w:szCs w:val="28"/>
          <w:highlight w:val="none"/>
          <w:lang w:val="en-US" w:eastAsia="zh-CN"/>
        </w:rPr>
        <w:t>如有</w:t>
      </w:r>
      <w:r>
        <w:rPr>
          <w:rFonts w:hint="eastAsia" w:ascii="仿宋" w:hAnsi="仿宋" w:eastAsia="仿宋"/>
          <w:sz w:val="28"/>
          <w:szCs w:val="28"/>
          <w:highlight w:val="none"/>
        </w:rPr>
        <w:t>答疑</w:t>
      </w:r>
      <w:r>
        <w:rPr>
          <w:rFonts w:hint="eastAsia" w:ascii="仿宋" w:hAnsi="仿宋" w:eastAsia="仿宋"/>
          <w:sz w:val="28"/>
          <w:szCs w:val="28"/>
          <w:highlight w:val="none"/>
          <w:lang w:eastAsia="zh-CN"/>
        </w:rPr>
        <w:t>、</w:t>
      </w:r>
      <w:r>
        <w:rPr>
          <w:rFonts w:hint="eastAsia" w:ascii="仿宋" w:hAnsi="仿宋" w:eastAsia="仿宋"/>
          <w:sz w:val="28"/>
          <w:szCs w:val="28"/>
          <w:highlight w:val="none"/>
          <w:lang w:val="en-US" w:eastAsia="zh-CN"/>
        </w:rPr>
        <w:t>变更公告</w:t>
      </w:r>
      <w:r>
        <w:rPr>
          <w:rFonts w:hint="eastAsia" w:ascii="仿宋" w:hAnsi="仿宋" w:eastAsia="仿宋"/>
          <w:sz w:val="28"/>
          <w:szCs w:val="28"/>
          <w:highlight w:val="none"/>
        </w:rPr>
        <w:t>等</w:t>
      </w:r>
      <w:r>
        <w:rPr>
          <w:rFonts w:hint="eastAsia" w:ascii="仿宋" w:hAnsi="仿宋" w:eastAsia="仿宋"/>
          <w:sz w:val="28"/>
          <w:szCs w:val="28"/>
          <w:highlight w:val="none"/>
          <w:lang w:val="en-US" w:eastAsia="zh-CN"/>
        </w:rPr>
        <w:t>采购</w:t>
      </w:r>
      <w:r>
        <w:rPr>
          <w:rFonts w:hint="eastAsia" w:ascii="仿宋" w:hAnsi="仿宋" w:eastAsia="仿宋"/>
          <w:sz w:val="28"/>
          <w:szCs w:val="28"/>
          <w:highlight w:val="none"/>
        </w:rPr>
        <w:t>资料</w:t>
      </w:r>
      <w:r>
        <w:rPr>
          <w:rFonts w:hint="eastAsia" w:ascii="仿宋" w:hAnsi="仿宋" w:eastAsia="仿宋"/>
          <w:sz w:val="28"/>
          <w:szCs w:val="28"/>
          <w:highlight w:val="none"/>
          <w:lang w:val="en-US" w:eastAsia="zh-CN"/>
        </w:rPr>
        <w:t>均在以上网站公布，供应商</w:t>
      </w:r>
      <w:r>
        <w:rPr>
          <w:rFonts w:hint="eastAsia" w:ascii="仿宋" w:hAnsi="仿宋" w:eastAsia="仿宋"/>
          <w:sz w:val="28"/>
          <w:szCs w:val="28"/>
          <w:highlight w:val="none"/>
        </w:rPr>
        <w:t>自行</w:t>
      </w:r>
      <w:r>
        <w:rPr>
          <w:rFonts w:hint="eastAsia" w:ascii="仿宋" w:hAnsi="仿宋" w:eastAsia="仿宋"/>
          <w:sz w:val="28"/>
          <w:szCs w:val="28"/>
          <w:highlight w:val="none"/>
          <w:lang w:val="en-US" w:eastAsia="zh-CN"/>
        </w:rPr>
        <w:t>关注并</w:t>
      </w:r>
      <w:r>
        <w:rPr>
          <w:rFonts w:hint="eastAsia" w:ascii="仿宋" w:hAnsi="仿宋" w:eastAsia="仿宋"/>
          <w:sz w:val="28"/>
          <w:szCs w:val="28"/>
          <w:highlight w:val="none"/>
        </w:rPr>
        <w:t>下载。</w:t>
      </w:r>
      <w:bookmarkEnd w:id="23"/>
    </w:p>
    <w:p>
      <w:pPr>
        <w:pStyle w:val="11"/>
        <w:spacing w:after="0" w:line="500" w:lineRule="exact"/>
        <w:ind w:firstLine="560" w:firstLineChars="200"/>
        <w:outlineLvl w:val="9"/>
        <w:rPr>
          <w:rFonts w:ascii="黑体" w:hAnsi="黑体" w:eastAsia="黑体"/>
          <w:sz w:val="28"/>
          <w:szCs w:val="28"/>
          <w:highlight w:val="none"/>
        </w:rPr>
      </w:pPr>
      <w:r>
        <w:rPr>
          <w:rFonts w:hint="eastAsia" w:ascii="仿宋" w:hAnsi="仿宋" w:eastAsia="仿宋" w:cs="仿宋"/>
          <w:sz w:val="28"/>
          <w:szCs w:val="28"/>
          <w:highlight w:val="none"/>
          <w:lang w:bidi="ar"/>
        </w:rPr>
        <w:t>（</w:t>
      </w:r>
      <w:r>
        <w:rPr>
          <w:rFonts w:hint="eastAsia" w:ascii="仿宋" w:hAnsi="仿宋" w:eastAsia="仿宋" w:cs="仿宋"/>
          <w:sz w:val="28"/>
          <w:szCs w:val="28"/>
          <w:highlight w:val="none"/>
          <w:lang w:val="en-US" w:eastAsia="zh-CN" w:bidi="ar"/>
        </w:rPr>
        <w:t>三</w:t>
      </w:r>
      <w:r>
        <w:rPr>
          <w:rFonts w:hint="eastAsia" w:ascii="仿宋" w:hAnsi="仿宋" w:eastAsia="仿宋" w:cs="仿宋"/>
          <w:sz w:val="28"/>
          <w:szCs w:val="28"/>
          <w:highlight w:val="none"/>
          <w:lang w:bidi="ar"/>
        </w:rPr>
        <w:t>）</w:t>
      </w:r>
      <w:r>
        <w:rPr>
          <w:rFonts w:hint="eastAsia" w:ascii="仿宋" w:hAnsi="仿宋" w:eastAsia="仿宋" w:cs="仿宋"/>
          <w:sz w:val="28"/>
          <w:szCs w:val="28"/>
          <w:highlight w:val="none"/>
          <w:lang w:val="en-US" w:eastAsia="zh-CN" w:bidi="ar"/>
        </w:rPr>
        <w:t>其他说明：</w:t>
      </w:r>
      <w:r>
        <w:rPr>
          <w:rFonts w:hint="eastAsia" w:ascii="仿宋" w:hAnsi="仿宋" w:eastAsia="仿宋" w:cs="仿宋"/>
          <w:sz w:val="28"/>
          <w:szCs w:val="28"/>
          <w:highlight w:val="none"/>
          <w:lang w:bidi="ar"/>
        </w:rPr>
        <w:t>对参加本项目</w:t>
      </w:r>
      <w:r>
        <w:rPr>
          <w:rFonts w:hint="eastAsia" w:ascii="仿宋" w:hAnsi="仿宋" w:eastAsia="仿宋" w:cs="仿宋"/>
          <w:sz w:val="28"/>
          <w:szCs w:val="28"/>
          <w:highlight w:val="none"/>
          <w:lang w:val="en-US" w:eastAsia="zh-CN" w:bidi="ar"/>
        </w:rPr>
        <w:t>响应的供应商</w:t>
      </w:r>
      <w:r>
        <w:rPr>
          <w:rFonts w:hint="eastAsia" w:ascii="仿宋" w:hAnsi="仿宋" w:eastAsia="仿宋" w:cs="仿宋"/>
          <w:sz w:val="28"/>
          <w:szCs w:val="28"/>
          <w:highlight w:val="none"/>
          <w:lang w:bidi="ar"/>
        </w:rPr>
        <w:t>，收取</w:t>
      </w:r>
      <w:r>
        <w:rPr>
          <w:rFonts w:hint="eastAsia" w:ascii="仿宋" w:hAnsi="仿宋" w:eastAsia="仿宋" w:cs="仿宋"/>
          <w:sz w:val="28"/>
          <w:szCs w:val="28"/>
          <w:highlight w:val="none"/>
          <w:lang w:val="en-US" w:eastAsia="zh-CN" w:bidi="ar"/>
        </w:rPr>
        <w:t>磋商</w:t>
      </w:r>
      <w:r>
        <w:rPr>
          <w:rFonts w:hint="eastAsia" w:ascii="仿宋" w:hAnsi="仿宋" w:eastAsia="仿宋" w:cs="仿宋"/>
          <w:sz w:val="28"/>
          <w:szCs w:val="28"/>
          <w:highlight w:val="none"/>
          <w:lang w:bidi="ar"/>
        </w:rPr>
        <w:t>文件编制费用</w:t>
      </w:r>
      <w:r>
        <w:rPr>
          <w:rFonts w:hint="eastAsia" w:ascii="仿宋" w:hAnsi="仿宋" w:eastAsia="仿宋" w:cs="仿宋"/>
          <w:sz w:val="28"/>
          <w:szCs w:val="28"/>
          <w:highlight w:val="none"/>
          <w:lang w:val="en-US" w:eastAsia="zh-CN" w:bidi="ar"/>
        </w:rPr>
        <w:t>3</w:t>
      </w:r>
      <w:r>
        <w:rPr>
          <w:rFonts w:hint="eastAsia" w:ascii="仿宋" w:hAnsi="仿宋" w:eastAsia="仿宋" w:cs="仿宋"/>
          <w:sz w:val="28"/>
          <w:szCs w:val="28"/>
          <w:highlight w:val="none"/>
          <w:lang w:bidi="ar"/>
        </w:rPr>
        <w:t>00元人民币，</w:t>
      </w:r>
      <w:r>
        <w:rPr>
          <w:rFonts w:hint="eastAsia" w:ascii="仿宋" w:hAnsi="仿宋" w:eastAsia="仿宋" w:cs="仿宋"/>
          <w:sz w:val="28"/>
          <w:szCs w:val="28"/>
          <w:highlight w:val="none"/>
          <w:lang w:val="en-US" w:eastAsia="zh-CN" w:bidi="ar"/>
        </w:rPr>
        <w:t>响应</w:t>
      </w:r>
      <w:r>
        <w:rPr>
          <w:rFonts w:hint="eastAsia" w:ascii="仿宋" w:hAnsi="仿宋" w:eastAsia="仿宋" w:cs="仿宋"/>
          <w:sz w:val="28"/>
          <w:szCs w:val="28"/>
          <w:highlight w:val="none"/>
          <w:lang w:bidi="ar"/>
        </w:rPr>
        <w:t>供应商在递交</w:t>
      </w:r>
      <w:r>
        <w:rPr>
          <w:rFonts w:hint="eastAsia" w:ascii="仿宋" w:hAnsi="仿宋" w:eastAsia="仿宋" w:cs="仿宋"/>
          <w:sz w:val="28"/>
          <w:szCs w:val="28"/>
          <w:highlight w:val="none"/>
          <w:lang w:val="en-US" w:eastAsia="zh-CN" w:bidi="ar"/>
        </w:rPr>
        <w:t>响应</w:t>
      </w:r>
      <w:r>
        <w:rPr>
          <w:rFonts w:hint="eastAsia" w:ascii="仿宋" w:hAnsi="仿宋" w:eastAsia="仿宋" w:cs="仿宋"/>
          <w:sz w:val="28"/>
          <w:szCs w:val="28"/>
          <w:highlight w:val="none"/>
          <w:lang w:bidi="ar"/>
        </w:rPr>
        <w:t>文件时现场现金缴纳，采购代理机构出具收据。无论流标或</w:t>
      </w:r>
      <w:r>
        <w:rPr>
          <w:rFonts w:hint="eastAsia" w:ascii="仿宋" w:hAnsi="仿宋" w:eastAsia="仿宋" w:cs="仿宋"/>
          <w:sz w:val="28"/>
          <w:szCs w:val="28"/>
          <w:highlight w:val="none"/>
          <w:lang w:val="en-US" w:eastAsia="zh-CN" w:bidi="ar"/>
        </w:rPr>
        <w:t>响应</w:t>
      </w:r>
      <w:r>
        <w:rPr>
          <w:rFonts w:hint="eastAsia" w:ascii="仿宋" w:hAnsi="仿宋" w:eastAsia="仿宋" w:cs="仿宋"/>
          <w:sz w:val="28"/>
          <w:szCs w:val="28"/>
          <w:highlight w:val="none"/>
          <w:lang w:bidi="ar"/>
        </w:rPr>
        <w:t>供应商是否</w:t>
      </w:r>
      <w:r>
        <w:rPr>
          <w:rFonts w:hint="eastAsia" w:ascii="仿宋" w:hAnsi="仿宋" w:eastAsia="仿宋" w:cs="仿宋"/>
          <w:sz w:val="28"/>
          <w:szCs w:val="28"/>
          <w:highlight w:val="none"/>
          <w:lang w:val="en-US" w:eastAsia="zh-CN" w:bidi="ar"/>
        </w:rPr>
        <w:t>成交</w:t>
      </w:r>
      <w:r>
        <w:rPr>
          <w:rFonts w:hint="eastAsia" w:ascii="仿宋" w:hAnsi="仿宋" w:eastAsia="仿宋" w:cs="仿宋"/>
          <w:sz w:val="28"/>
          <w:szCs w:val="28"/>
          <w:highlight w:val="none"/>
          <w:lang w:bidi="ar"/>
        </w:rPr>
        <w:t>，文件编制费用一概不退。</w:t>
      </w:r>
      <w:bookmarkEnd w:id="24"/>
    </w:p>
    <w:p>
      <w:pPr>
        <w:pStyle w:val="11"/>
        <w:spacing w:after="0" w:line="240" w:lineRule="auto"/>
        <w:ind w:firstLine="560" w:firstLineChars="200"/>
        <w:outlineLvl w:val="1"/>
        <w:rPr>
          <w:rFonts w:ascii="黑体" w:hAnsi="黑体" w:eastAsia="黑体"/>
          <w:color w:val="auto"/>
          <w:sz w:val="28"/>
          <w:szCs w:val="28"/>
          <w:highlight w:val="none"/>
        </w:rPr>
      </w:pPr>
      <w:bookmarkStart w:id="25" w:name="_Toc28359015"/>
      <w:bookmarkStart w:id="26" w:name="_Toc35393801"/>
      <w:bookmarkStart w:id="27" w:name="_Toc35393632"/>
      <w:bookmarkStart w:id="28" w:name="_Toc28359092"/>
      <w:bookmarkStart w:id="29" w:name="_Toc21203"/>
      <w:r>
        <w:rPr>
          <w:rFonts w:hint="eastAsia" w:ascii="黑体" w:hAnsi="黑体" w:eastAsia="黑体"/>
          <w:color w:val="auto"/>
          <w:sz w:val="28"/>
          <w:szCs w:val="28"/>
          <w:highlight w:val="none"/>
        </w:rPr>
        <w:t>四、响应文件提交</w:t>
      </w:r>
      <w:bookmarkEnd w:id="25"/>
      <w:bookmarkEnd w:id="26"/>
      <w:bookmarkEnd w:id="27"/>
      <w:bookmarkEnd w:id="28"/>
      <w:bookmarkEnd w:id="29"/>
    </w:p>
    <w:p>
      <w:pPr>
        <w:spacing w:line="500" w:lineRule="exact"/>
        <w:ind w:firstLine="560" w:firstLineChars="200"/>
        <w:rPr>
          <w:rFonts w:ascii="仿宋" w:hAnsi="仿宋" w:eastAsia="仿宋"/>
          <w:bCs/>
          <w:color w:val="auto"/>
          <w:sz w:val="28"/>
          <w:szCs w:val="28"/>
          <w:highlight w:val="none"/>
          <w:u w:val="single"/>
        </w:rPr>
      </w:pPr>
      <w:bookmarkStart w:id="30" w:name="_Toc35393634"/>
      <w:bookmarkStart w:id="31" w:name="_Toc28359017"/>
      <w:bookmarkStart w:id="32" w:name="_Toc35393803"/>
      <w:bookmarkStart w:id="33" w:name="_Toc28359094"/>
      <w:r>
        <w:rPr>
          <w:rFonts w:hint="eastAsia" w:ascii="仿宋" w:hAnsi="仿宋" w:eastAsia="仿宋"/>
          <w:color w:val="auto"/>
          <w:sz w:val="28"/>
          <w:szCs w:val="28"/>
          <w:highlight w:val="none"/>
          <w:lang w:eastAsia="zh-CN"/>
        </w:rPr>
        <w:t>（</w:t>
      </w:r>
      <w:r>
        <w:rPr>
          <w:rFonts w:hint="eastAsia" w:ascii="仿宋" w:hAnsi="仿宋" w:eastAsia="仿宋"/>
          <w:color w:val="auto"/>
          <w:sz w:val="28"/>
          <w:szCs w:val="28"/>
          <w:highlight w:val="none"/>
          <w:lang w:val="en-US" w:eastAsia="zh-CN"/>
        </w:rPr>
        <w:t>一</w:t>
      </w:r>
      <w:r>
        <w:rPr>
          <w:rFonts w:hint="eastAsia" w:ascii="仿宋" w:hAnsi="仿宋" w:eastAsia="仿宋"/>
          <w:color w:val="auto"/>
          <w:sz w:val="28"/>
          <w:szCs w:val="28"/>
          <w:highlight w:val="none"/>
          <w:lang w:eastAsia="zh-CN"/>
        </w:rPr>
        <w:t>）</w:t>
      </w:r>
      <w:r>
        <w:rPr>
          <w:rFonts w:hint="eastAsia" w:ascii="仿宋" w:hAnsi="仿宋" w:eastAsia="仿宋"/>
          <w:color w:val="auto"/>
          <w:sz w:val="28"/>
          <w:szCs w:val="28"/>
          <w:highlight w:val="none"/>
        </w:rPr>
        <w:t>截止时间：</w:t>
      </w:r>
      <w:r>
        <w:rPr>
          <w:rFonts w:hint="eastAsia" w:ascii="仿宋" w:hAnsi="仿宋" w:eastAsia="仿宋"/>
          <w:color w:val="auto"/>
          <w:sz w:val="28"/>
          <w:szCs w:val="28"/>
          <w:highlight w:val="none"/>
          <w:lang w:eastAsia="zh-CN"/>
        </w:rPr>
        <w:t>202</w:t>
      </w:r>
      <w:r>
        <w:rPr>
          <w:rFonts w:hint="eastAsia" w:ascii="仿宋" w:hAnsi="仿宋" w:eastAsia="仿宋"/>
          <w:color w:val="auto"/>
          <w:sz w:val="28"/>
          <w:szCs w:val="28"/>
          <w:highlight w:val="none"/>
          <w:lang w:val="en-US" w:eastAsia="zh-CN"/>
        </w:rPr>
        <w:t>2</w:t>
      </w:r>
      <w:r>
        <w:rPr>
          <w:rFonts w:hint="eastAsia" w:ascii="仿宋" w:hAnsi="仿宋" w:eastAsia="仿宋"/>
          <w:bCs/>
          <w:color w:val="auto"/>
          <w:sz w:val="28"/>
          <w:szCs w:val="28"/>
          <w:highlight w:val="none"/>
        </w:rPr>
        <w:t>年</w:t>
      </w:r>
      <w:r>
        <w:rPr>
          <w:rFonts w:hint="eastAsia" w:ascii="仿宋" w:hAnsi="仿宋" w:eastAsia="仿宋"/>
          <w:bCs/>
          <w:color w:val="auto"/>
          <w:sz w:val="28"/>
          <w:szCs w:val="28"/>
          <w:highlight w:val="none"/>
          <w:lang w:val="en-US" w:eastAsia="zh-CN"/>
        </w:rPr>
        <w:t>1</w:t>
      </w:r>
      <w:r>
        <w:rPr>
          <w:rFonts w:hint="eastAsia" w:ascii="仿宋" w:hAnsi="仿宋" w:eastAsia="仿宋"/>
          <w:bCs/>
          <w:color w:val="auto"/>
          <w:sz w:val="28"/>
          <w:szCs w:val="28"/>
          <w:highlight w:val="none"/>
        </w:rPr>
        <w:t>月</w:t>
      </w:r>
      <w:r>
        <w:rPr>
          <w:rFonts w:hint="eastAsia" w:ascii="仿宋" w:hAnsi="仿宋" w:eastAsia="仿宋"/>
          <w:bCs/>
          <w:color w:val="auto"/>
          <w:sz w:val="28"/>
          <w:szCs w:val="28"/>
          <w:highlight w:val="none"/>
          <w:lang w:val="en-US" w:eastAsia="zh-CN"/>
        </w:rPr>
        <w:t xml:space="preserve"> 11 </w:t>
      </w:r>
      <w:r>
        <w:rPr>
          <w:rFonts w:hint="eastAsia" w:ascii="仿宋" w:hAnsi="仿宋" w:eastAsia="仿宋"/>
          <w:bCs/>
          <w:color w:val="auto"/>
          <w:sz w:val="28"/>
          <w:szCs w:val="28"/>
          <w:highlight w:val="none"/>
        </w:rPr>
        <w:t>日</w:t>
      </w:r>
      <w:r>
        <w:rPr>
          <w:rFonts w:hint="eastAsia" w:ascii="仿宋" w:hAnsi="仿宋" w:eastAsia="仿宋"/>
          <w:bCs/>
          <w:color w:val="auto"/>
          <w:sz w:val="28"/>
          <w:szCs w:val="28"/>
          <w:highlight w:val="none"/>
          <w:lang w:val="en-US" w:eastAsia="zh-CN"/>
        </w:rPr>
        <w:t xml:space="preserve"> 09 </w:t>
      </w:r>
      <w:r>
        <w:rPr>
          <w:rFonts w:hint="eastAsia" w:ascii="仿宋" w:hAnsi="仿宋" w:eastAsia="仿宋"/>
          <w:bCs/>
          <w:color w:val="auto"/>
          <w:sz w:val="28"/>
          <w:szCs w:val="28"/>
          <w:highlight w:val="none"/>
        </w:rPr>
        <w:t>点</w:t>
      </w:r>
      <w:r>
        <w:rPr>
          <w:rFonts w:hint="eastAsia" w:ascii="仿宋" w:hAnsi="仿宋" w:eastAsia="仿宋"/>
          <w:bCs/>
          <w:color w:val="auto"/>
          <w:sz w:val="28"/>
          <w:szCs w:val="28"/>
          <w:highlight w:val="none"/>
          <w:lang w:val="en-US" w:eastAsia="zh-CN"/>
        </w:rPr>
        <w:t>0</w:t>
      </w:r>
      <w:r>
        <w:rPr>
          <w:rFonts w:hint="eastAsia" w:ascii="仿宋" w:hAnsi="仿宋" w:eastAsia="仿宋"/>
          <w:bCs/>
          <w:color w:val="auto"/>
          <w:sz w:val="28"/>
          <w:szCs w:val="28"/>
          <w:highlight w:val="none"/>
        </w:rPr>
        <w:t>0分（北京时间）</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lang w:val="en-US" w:eastAsia="zh-CN"/>
        </w:rPr>
        <w:t>（二）提交</w:t>
      </w:r>
      <w:r>
        <w:rPr>
          <w:rFonts w:hint="eastAsia" w:ascii="仿宋" w:hAnsi="仿宋" w:eastAsia="仿宋"/>
          <w:color w:val="auto"/>
          <w:sz w:val="28"/>
          <w:szCs w:val="28"/>
          <w:highlight w:val="none"/>
        </w:rPr>
        <w:t>地点：</w:t>
      </w:r>
      <w:r>
        <w:rPr>
          <w:rFonts w:hint="eastAsia" w:ascii="仿宋" w:hAnsi="仿宋" w:eastAsia="仿宋" w:cs="仿宋"/>
          <w:color w:val="auto"/>
          <w:sz w:val="28"/>
          <w:szCs w:val="28"/>
          <w:highlight w:val="none"/>
          <w:lang w:bidi="ar"/>
        </w:rPr>
        <w:t>如皋市公共资源交易中心（市民服务中心三楼）C区开标室</w:t>
      </w:r>
    </w:p>
    <w:p>
      <w:pPr>
        <w:pStyle w:val="11"/>
        <w:spacing w:after="0" w:line="500" w:lineRule="exact"/>
        <w:ind w:firstLine="562" w:firstLineChars="200"/>
        <w:outlineLvl w:val="9"/>
        <w:rPr>
          <w:rFonts w:hint="eastAsia" w:ascii="仿宋" w:hAnsi="仿宋" w:eastAsia="仿宋" w:cs="宋体"/>
          <w:b/>
          <w:i w:val="0"/>
          <w:iCs w:val="0"/>
          <w:color w:val="auto"/>
          <w:kern w:val="0"/>
          <w:sz w:val="28"/>
          <w:szCs w:val="28"/>
          <w:highlight w:val="none"/>
          <w:lang w:eastAsia="zh-CN" w:bidi="ar"/>
        </w:rPr>
      </w:pPr>
      <w:bookmarkStart w:id="34" w:name="_Toc7142"/>
      <w:r>
        <w:rPr>
          <w:rFonts w:hint="eastAsia" w:ascii="仿宋" w:hAnsi="仿宋" w:eastAsia="仿宋" w:cs="仿宋"/>
          <w:b/>
          <w:color w:val="auto"/>
          <w:sz w:val="28"/>
          <w:szCs w:val="28"/>
          <w:highlight w:val="none"/>
          <w:lang w:val="en-US" w:eastAsia="zh-CN" w:bidi="ar"/>
        </w:rPr>
        <w:t>（三）特别提醒</w:t>
      </w:r>
      <w:r>
        <w:rPr>
          <w:rFonts w:hint="eastAsia" w:ascii="仿宋" w:hAnsi="仿宋" w:eastAsia="仿宋" w:cs="仿宋"/>
          <w:b/>
          <w:color w:val="auto"/>
          <w:sz w:val="28"/>
          <w:szCs w:val="28"/>
          <w:highlight w:val="none"/>
          <w:lang w:bidi="ar"/>
        </w:rPr>
        <w:t>：</w:t>
      </w:r>
      <w:r>
        <w:rPr>
          <w:rFonts w:hint="eastAsia" w:ascii="仿宋" w:hAnsi="仿宋" w:eastAsia="仿宋" w:cs="仿宋"/>
          <w:b/>
          <w:i w:val="0"/>
          <w:iCs w:val="0"/>
          <w:color w:val="auto"/>
          <w:sz w:val="28"/>
          <w:szCs w:val="28"/>
          <w:highlight w:val="none"/>
          <w:shd w:val="clear" w:color="auto" w:fill="auto"/>
          <w:lang w:val="en-US" w:eastAsia="zh-CN" w:bidi="ar"/>
        </w:rPr>
        <w:t>响应供应商法定代表人或授权代表必须</w:t>
      </w:r>
      <w:r>
        <w:rPr>
          <w:rFonts w:hint="eastAsia" w:ascii="仿宋" w:hAnsi="仿宋" w:eastAsia="仿宋" w:cs="仿宋"/>
          <w:b/>
          <w:i w:val="0"/>
          <w:iCs w:val="0"/>
          <w:color w:val="auto"/>
          <w:sz w:val="28"/>
          <w:szCs w:val="28"/>
          <w:highlight w:val="none"/>
          <w:shd w:val="clear" w:color="auto" w:fill="auto"/>
          <w:lang w:bidi="ar"/>
        </w:rPr>
        <w:t>携带本人身份证</w:t>
      </w:r>
      <w:r>
        <w:rPr>
          <w:rFonts w:hint="eastAsia" w:ascii="仿宋" w:hAnsi="仿宋" w:eastAsia="仿宋" w:cs="仿宋"/>
          <w:b/>
          <w:i w:val="0"/>
          <w:iCs w:val="0"/>
          <w:color w:val="auto"/>
          <w:sz w:val="28"/>
          <w:szCs w:val="28"/>
          <w:highlight w:val="none"/>
          <w:shd w:val="clear" w:color="auto" w:fill="auto"/>
          <w:lang w:eastAsia="zh-CN" w:bidi="ar"/>
        </w:rPr>
        <w:t>、</w:t>
      </w:r>
      <w:r>
        <w:rPr>
          <w:rFonts w:hint="eastAsia" w:ascii="仿宋" w:hAnsi="仿宋" w:eastAsia="仿宋" w:cs="仿宋"/>
          <w:b/>
          <w:i w:val="0"/>
          <w:iCs w:val="0"/>
          <w:color w:val="auto"/>
          <w:sz w:val="28"/>
          <w:szCs w:val="28"/>
          <w:highlight w:val="none"/>
          <w:shd w:val="clear" w:color="auto" w:fill="auto"/>
          <w:lang w:val="en-US" w:eastAsia="zh-CN" w:bidi="ar"/>
        </w:rPr>
        <w:t>响应</w:t>
      </w:r>
      <w:r>
        <w:rPr>
          <w:rFonts w:hint="eastAsia" w:ascii="仿宋" w:hAnsi="仿宋" w:eastAsia="仿宋" w:cs="仿宋"/>
          <w:b/>
          <w:i w:val="0"/>
          <w:iCs w:val="0"/>
          <w:color w:val="auto"/>
          <w:sz w:val="28"/>
          <w:szCs w:val="28"/>
          <w:highlight w:val="none"/>
          <w:shd w:val="clear" w:color="auto" w:fill="auto"/>
          <w:lang w:bidi="ar"/>
        </w:rPr>
        <w:t>文件</w:t>
      </w:r>
      <w:r>
        <w:rPr>
          <w:rFonts w:hint="eastAsia" w:ascii="仿宋" w:hAnsi="仿宋" w:eastAsia="仿宋" w:cs="仿宋"/>
          <w:b/>
          <w:i w:val="0"/>
          <w:iCs w:val="0"/>
          <w:color w:val="auto"/>
          <w:sz w:val="28"/>
          <w:szCs w:val="28"/>
          <w:highlight w:val="none"/>
          <w:shd w:val="clear" w:color="auto" w:fill="auto"/>
          <w:lang w:val="en-US" w:eastAsia="zh-CN" w:bidi="ar"/>
        </w:rPr>
        <w:t>及采购文件中要求备查的原件</w:t>
      </w:r>
      <w:r>
        <w:rPr>
          <w:rFonts w:hint="eastAsia" w:ascii="仿宋" w:hAnsi="仿宋" w:eastAsia="仿宋" w:cs="仿宋"/>
          <w:b/>
          <w:i w:val="0"/>
          <w:iCs w:val="0"/>
          <w:color w:val="auto"/>
          <w:sz w:val="28"/>
          <w:szCs w:val="28"/>
          <w:highlight w:val="none"/>
          <w:shd w:val="clear" w:color="auto" w:fill="auto"/>
          <w:lang w:bidi="ar"/>
        </w:rPr>
        <w:t>至</w:t>
      </w:r>
      <w:r>
        <w:rPr>
          <w:rFonts w:hint="eastAsia" w:ascii="仿宋" w:hAnsi="仿宋" w:eastAsia="仿宋" w:cs="仿宋"/>
          <w:b/>
          <w:i w:val="0"/>
          <w:iCs w:val="0"/>
          <w:color w:val="auto"/>
          <w:sz w:val="28"/>
          <w:szCs w:val="28"/>
          <w:highlight w:val="none"/>
          <w:shd w:val="clear" w:color="auto" w:fill="auto"/>
          <w:lang w:val="en-US" w:eastAsia="zh-CN" w:bidi="ar"/>
        </w:rPr>
        <w:t>采购活动现场，原件随时</w:t>
      </w:r>
      <w:r>
        <w:rPr>
          <w:rFonts w:hint="eastAsia" w:ascii="仿宋" w:hAnsi="仿宋" w:eastAsia="仿宋" w:cs="仿宋"/>
          <w:b/>
          <w:i w:val="0"/>
          <w:iCs w:val="0"/>
          <w:color w:val="auto"/>
          <w:sz w:val="28"/>
          <w:szCs w:val="28"/>
          <w:highlight w:val="none"/>
          <w:shd w:val="clear" w:color="auto" w:fill="auto"/>
          <w:lang w:bidi="ar"/>
        </w:rPr>
        <w:t>备</w:t>
      </w:r>
      <w:r>
        <w:rPr>
          <w:rFonts w:hint="eastAsia" w:ascii="仿宋" w:hAnsi="仿宋" w:eastAsia="仿宋" w:cs="仿宋"/>
          <w:b/>
          <w:i w:val="0"/>
          <w:iCs w:val="0"/>
          <w:color w:val="auto"/>
          <w:sz w:val="28"/>
          <w:szCs w:val="28"/>
          <w:highlight w:val="none"/>
          <w:shd w:val="clear" w:color="auto" w:fill="auto"/>
          <w:lang w:val="en-US" w:eastAsia="zh-CN" w:bidi="ar"/>
        </w:rPr>
        <w:t>查；根据国家、江苏省及南通市疾控部门防疫要求：</w:t>
      </w:r>
    </w:p>
    <w:p>
      <w:pPr>
        <w:pStyle w:val="11"/>
        <w:spacing w:after="0" w:line="500" w:lineRule="exact"/>
        <w:ind w:firstLine="562" w:firstLineChars="200"/>
        <w:outlineLvl w:val="9"/>
        <w:rPr>
          <w:rFonts w:hint="eastAsia" w:ascii="仿宋" w:hAnsi="仿宋" w:eastAsia="仿宋" w:cs="宋体"/>
          <w:b/>
          <w:color w:val="auto"/>
          <w:kern w:val="0"/>
          <w:sz w:val="28"/>
          <w:szCs w:val="28"/>
          <w:highlight w:val="none"/>
          <w:lang w:eastAsia="zh-CN" w:bidi="ar"/>
        </w:rPr>
      </w:pPr>
      <w:r>
        <w:rPr>
          <w:rFonts w:hint="eastAsia" w:ascii="仿宋" w:hAnsi="仿宋" w:eastAsia="仿宋" w:cs="宋体"/>
          <w:b/>
          <w:color w:val="auto"/>
          <w:kern w:val="0"/>
          <w:sz w:val="28"/>
          <w:szCs w:val="28"/>
          <w:highlight w:val="none"/>
          <w:lang w:eastAsia="zh-CN" w:bidi="ar"/>
        </w:rPr>
        <w:t>1.拒绝来自中高风险地区供应商授权代表参加该项目采购活动。</w:t>
      </w:r>
    </w:p>
    <w:p>
      <w:pPr>
        <w:pStyle w:val="11"/>
        <w:spacing w:after="0" w:line="500" w:lineRule="exact"/>
        <w:ind w:firstLine="562" w:firstLineChars="200"/>
        <w:outlineLvl w:val="9"/>
        <w:rPr>
          <w:rFonts w:hint="eastAsia" w:ascii="仿宋" w:hAnsi="仿宋" w:eastAsia="仿宋" w:cs="宋体"/>
          <w:b/>
          <w:color w:val="auto"/>
          <w:kern w:val="0"/>
          <w:sz w:val="28"/>
          <w:szCs w:val="28"/>
          <w:highlight w:val="none"/>
          <w:lang w:eastAsia="zh-CN" w:bidi="ar"/>
        </w:rPr>
      </w:pPr>
      <w:r>
        <w:rPr>
          <w:rFonts w:hint="eastAsia" w:ascii="仿宋" w:hAnsi="仿宋" w:eastAsia="仿宋" w:cs="宋体"/>
          <w:b/>
          <w:color w:val="auto"/>
          <w:kern w:val="0"/>
          <w:sz w:val="28"/>
          <w:szCs w:val="28"/>
          <w:highlight w:val="none"/>
          <w:lang w:eastAsia="zh-CN" w:bidi="ar"/>
        </w:rPr>
        <w:t>2.来自中高风险所在地的低风险地区的供应商授权代表，须持有</w:t>
      </w:r>
      <w:r>
        <w:rPr>
          <w:rFonts w:hint="eastAsia" w:ascii="仿宋" w:hAnsi="仿宋" w:eastAsia="仿宋" w:cs="宋体"/>
          <w:b/>
          <w:color w:val="auto"/>
          <w:kern w:val="0"/>
          <w:sz w:val="28"/>
          <w:szCs w:val="28"/>
          <w:highlight w:val="none"/>
          <w:lang w:val="en-US" w:eastAsia="zh-CN" w:bidi="ar"/>
        </w:rPr>
        <w:t>48小时</w:t>
      </w:r>
      <w:r>
        <w:rPr>
          <w:rFonts w:hint="eastAsia" w:ascii="仿宋" w:hAnsi="仿宋" w:eastAsia="仿宋" w:cs="宋体"/>
          <w:b/>
          <w:color w:val="auto"/>
          <w:kern w:val="0"/>
          <w:sz w:val="28"/>
          <w:szCs w:val="28"/>
          <w:highlight w:val="none"/>
          <w:lang w:eastAsia="zh-CN" w:bidi="ar"/>
        </w:rPr>
        <w:t>内核酸检测阴性证明。</w:t>
      </w:r>
    </w:p>
    <w:p>
      <w:pPr>
        <w:pStyle w:val="11"/>
        <w:spacing w:after="0" w:line="500" w:lineRule="exact"/>
        <w:ind w:firstLine="562" w:firstLineChars="200"/>
        <w:outlineLvl w:val="9"/>
        <w:rPr>
          <w:rFonts w:hint="eastAsia" w:ascii="仿宋" w:hAnsi="仿宋" w:eastAsia="仿宋" w:cs="宋体"/>
          <w:b/>
          <w:color w:val="auto"/>
          <w:kern w:val="0"/>
          <w:sz w:val="28"/>
          <w:szCs w:val="28"/>
          <w:highlight w:val="none"/>
          <w:lang w:eastAsia="zh-CN" w:bidi="ar"/>
        </w:rPr>
      </w:pPr>
      <w:r>
        <w:rPr>
          <w:rFonts w:hint="eastAsia" w:ascii="仿宋" w:hAnsi="仿宋" w:eastAsia="仿宋" w:cs="宋体"/>
          <w:b/>
          <w:color w:val="auto"/>
          <w:kern w:val="0"/>
          <w:sz w:val="28"/>
          <w:szCs w:val="28"/>
          <w:highlight w:val="none"/>
          <w:lang w:eastAsia="zh-CN" w:bidi="ar"/>
        </w:rPr>
        <w:t>3</w:t>
      </w:r>
      <w:r>
        <w:rPr>
          <w:rFonts w:hint="eastAsia" w:ascii="仿宋" w:hAnsi="仿宋" w:eastAsia="仿宋" w:cs="宋体"/>
          <w:b/>
          <w:color w:val="auto"/>
          <w:kern w:val="0"/>
          <w:sz w:val="28"/>
          <w:szCs w:val="28"/>
          <w:highlight w:val="none"/>
          <w:lang w:val="en-US" w:eastAsia="zh-CN" w:bidi="ar"/>
        </w:rPr>
        <w:t>.</w:t>
      </w:r>
      <w:r>
        <w:rPr>
          <w:rFonts w:hint="eastAsia" w:ascii="仿宋" w:hAnsi="仿宋" w:eastAsia="仿宋" w:cs="宋体"/>
          <w:b/>
          <w:color w:val="auto"/>
          <w:kern w:val="0"/>
          <w:sz w:val="28"/>
          <w:szCs w:val="28"/>
          <w:highlight w:val="none"/>
          <w:lang w:eastAsia="zh-CN" w:bidi="ar"/>
        </w:rPr>
        <w:t>所有参加该项目采购活动的供应商授权代表，须佩戴口罩，体温正常，并出示绿色健康码</w:t>
      </w:r>
      <w:r>
        <w:rPr>
          <w:rFonts w:hint="eastAsia" w:ascii="仿宋" w:hAnsi="仿宋" w:eastAsia="仿宋" w:cs="宋体"/>
          <w:b/>
          <w:color w:val="auto"/>
          <w:kern w:val="0"/>
          <w:sz w:val="28"/>
          <w:szCs w:val="28"/>
          <w:highlight w:val="none"/>
          <w:lang w:val="en-US" w:eastAsia="zh-CN" w:bidi="ar"/>
        </w:rPr>
        <w:t>和行程码</w:t>
      </w:r>
      <w:r>
        <w:rPr>
          <w:rFonts w:hint="eastAsia" w:ascii="仿宋" w:hAnsi="仿宋" w:eastAsia="仿宋" w:cs="宋体"/>
          <w:b/>
          <w:color w:val="auto"/>
          <w:kern w:val="0"/>
          <w:sz w:val="28"/>
          <w:szCs w:val="28"/>
          <w:highlight w:val="none"/>
          <w:lang w:eastAsia="zh-CN" w:bidi="ar"/>
        </w:rPr>
        <w:t>。</w:t>
      </w:r>
    </w:p>
    <w:p>
      <w:pPr>
        <w:pStyle w:val="11"/>
        <w:spacing w:after="0" w:line="500" w:lineRule="exact"/>
        <w:ind w:firstLine="562" w:firstLineChars="200"/>
        <w:outlineLvl w:val="9"/>
        <w:rPr>
          <w:rFonts w:hint="eastAsia" w:ascii="仿宋" w:hAnsi="仿宋" w:eastAsia="仿宋" w:cs="宋体"/>
          <w:b/>
          <w:kern w:val="0"/>
          <w:sz w:val="28"/>
          <w:szCs w:val="28"/>
          <w:lang w:bidi="ar"/>
        </w:rPr>
      </w:pPr>
      <w:r>
        <w:rPr>
          <w:rFonts w:hint="eastAsia" w:ascii="仿宋" w:hAnsi="仿宋" w:eastAsia="仿宋" w:cs="宋体"/>
          <w:b/>
          <w:color w:val="auto"/>
          <w:kern w:val="0"/>
          <w:sz w:val="28"/>
          <w:szCs w:val="28"/>
          <w:highlight w:val="none"/>
          <w:lang w:val="en-US" w:eastAsia="zh-CN" w:bidi="ar"/>
        </w:rPr>
        <w:t>4.各潜在响应供应商必须自行核查单位所在地区风险等级，按以上防疫要求执行，</w:t>
      </w:r>
      <w:r>
        <w:rPr>
          <w:rFonts w:hint="eastAsia" w:ascii="仿宋" w:hAnsi="仿宋" w:eastAsia="仿宋" w:cs="宋体"/>
          <w:b/>
          <w:color w:val="auto"/>
          <w:kern w:val="0"/>
          <w:sz w:val="28"/>
          <w:szCs w:val="28"/>
          <w:highlight w:val="none"/>
          <w:lang w:bidi="ar"/>
        </w:rPr>
        <w:t>否则拒绝进场</w:t>
      </w:r>
      <w:r>
        <w:rPr>
          <w:rFonts w:hint="eastAsia" w:ascii="仿宋" w:hAnsi="仿宋" w:eastAsia="仿宋" w:cs="宋体"/>
          <w:b/>
          <w:color w:val="auto"/>
          <w:kern w:val="0"/>
          <w:sz w:val="28"/>
          <w:szCs w:val="28"/>
          <w:highlight w:val="none"/>
          <w:lang w:eastAsia="zh-CN" w:bidi="ar"/>
        </w:rPr>
        <w:t>。</w:t>
      </w:r>
      <w:r>
        <w:rPr>
          <w:rFonts w:hint="eastAsia" w:ascii="仿宋" w:hAnsi="仿宋" w:eastAsia="仿宋" w:cs="宋体"/>
          <w:b/>
          <w:color w:val="auto"/>
          <w:kern w:val="0"/>
          <w:sz w:val="28"/>
          <w:szCs w:val="28"/>
          <w:highlight w:val="none"/>
          <w:lang w:val="en-US" w:eastAsia="zh-CN" w:bidi="ar"/>
        </w:rPr>
        <w:t>响应供应商应充分考虑到疫情防</w:t>
      </w:r>
      <w:r>
        <w:rPr>
          <w:rFonts w:hint="eastAsia" w:ascii="仿宋" w:hAnsi="仿宋" w:eastAsia="仿宋" w:cs="宋体"/>
          <w:b/>
          <w:kern w:val="0"/>
          <w:sz w:val="28"/>
          <w:szCs w:val="28"/>
          <w:lang w:val="en-US" w:eastAsia="zh-CN" w:bidi="ar"/>
        </w:rPr>
        <w:t>控期间人员管控、交通堵塞以及停车难等诸多因素，提前做好相应准备和应对，否则</w:t>
      </w:r>
      <w:r>
        <w:rPr>
          <w:rFonts w:hint="eastAsia" w:ascii="仿宋" w:hAnsi="仿宋" w:eastAsia="仿宋" w:cs="宋体"/>
          <w:b/>
          <w:kern w:val="0"/>
          <w:sz w:val="28"/>
          <w:szCs w:val="28"/>
          <w:lang w:bidi="ar"/>
        </w:rPr>
        <w:t>一切</w:t>
      </w:r>
      <w:r>
        <w:rPr>
          <w:rFonts w:hint="eastAsia" w:ascii="仿宋" w:hAnsi="仿宋" w:eastAsia="仿宋" w:cs="宋体"/>
          <w:b/>
          <w:kern w:val="0"/>
          <w:sz w:val="28"/>
          <w:szCs w:val="28"/>
          <w:lang w:val="en-US" w:eastAsia="zh-CN" w:bidi="ar"/>
        </w:rPr>
        <w:t>后果</w:t>
      </w:r>
      <w:r>
        <w:rPr>
          <w:rFonts w:hint="eastAsia" w:ascii="仿宋" w:hAnsi="仿宋" w:eastAsia="仿宋" w:cs="宋体"/>
          <w:b/>
          <w:kern w:val="0"/>
          <w:sz w:val="28"/>
          <w:szCs w:val="28"/>
          <w:lang w:bidi="ar"/>
        </w:rPr>
        <w:t>由</w:t>
      </w:r>
      <w:r>
        <w:rPr>
          <w:rFonts w:hint="eastAsia" w:ascii="仿宋" w:hAnsi="仿宋" w:eastAsia="仿宋" w:cs="宋体"/>
          <w:b/>
          <w:kern w:val="0"/>
          <w:sz w:val="28"/>
          <w:szCs w:val="28"/>
          <w:lang w:val="en-US" w:eastAsia="zh-CN" w:bidi="ar"/>
        </w:rPr>
        <w:t>响应</w:t>
      </w:r>
      <w:r>
        <w:rPr>
          <w:rFonts w:hint="eastAsia" w:ascii="仿宋" w:hAnsi="仿宋" w:eastAsia="仿宋" w:cs="宋体"/>
          <w:b/>
          <w:kern w:val="0"/>
          <w:sz w:val="28"/>
          <w:szCs w:val="28"/>
          <w:lang w:bidi="ar"/>
        </w:rPr>
        <w:t>供应商自负。</w:t>
      </w:r>
      <w:bookmarkEnd w:id="34"/>
    </w:p>
    <w:p>
      <w:pPr>
        <w:pStyle w:val="11"/>
        <w:spacing w:after="0" w:line="500" w:lineRule="exact"/>
        <w:ind w:firstLine="560" w:firstLineChars="200"/>
        <w:outlineLvl w:val="1"/>
        <w:rPr>
          <w:rFonts w:ascii="黑体" w:hAnsi="黑体" w:eastAsia="黑体"/>
          <w:sz w:val="28"/>
          <w:szCs w:val="28"/>
          <w:highlight w:val="none"/>
          <w:lang w:eastAsia="zh-CN"/>
        </w:rPr>
      </w:pPr>
      <w:bookmarkStart w:id="35" w:name="_Toc17484"/>
      <w:r>
        <w:rPr>
          <w:rFonts w:hint="eastAsia" w:ascii="黑体" w:hAnsi="黑体" w:eastAsia="黑体"/>
          <w:sz w:val="28"/>
          <w:szCs w:val="28"/>
          <w:lang w:eastAsia="zh-CN"/>
        </w:rPr>
        <w:t>五</w:t>
      </w:r>
      <w:r>
        <w:rPr>
          <w:rFonts w:hint="eastAsia" w:ascii="黑体" w:hAnsi="黑体" w:eastAsia="黑体"/>
          <w:sz w:val="28"/>
          <w:szCs w:val="28"/>
        </w:rPr>
        <w:t>、</w:t>
      </w:r>
      <w:bookmarkStart w:id="36" w:name="_Toc19393"/>
      <w:bookmarkStart w:id="37" w:name="_Toc31823"/>
      <w:r>
        <w:rPr>
          <w:rFonts w:hint="eastAsia" w:ascii="黑体" w:hAnsi="黑体" w:eastAsia="黑体"/>
          <w:sz w:val="28"/>
          <w:szCs w:val="28"/>
          <w:highlight w:val="none"/>
          <w:lang w:val="en-US" w:eastAsia="zh-CN"/>
        </w:rPr>
        <w:t>开启</w:t>
      </w:r>
      <w:bookmarkEnd w:id="35"/>
      <w:bookmarkEnd w:id="36"/>
      <w:bookmarkEnd w:id="37"/>
    </w:p>
    <w:p>
      <w:pPr>
        <w:spacing w:line="500" w:lineRule="exact"/>
        <w:ind w:firstLine="560" w:firstLineChars="200"/>
        <w:rPr>
          <w:rFonts w:ascii="仿宋" w:hAnsi="仿宋" w:eastAsia="仿宋"/>
          <w:bCs/>
          <w:color w:val="auto"/>
          <w:sz w:val="28"/>
          <w:szCs w:val="28"/>
          <w:highlight w:val="none"/>
          <w:u w:val="single"/>
        </w:rPr>
      </w:pPr>
      <w:r>
        <w:rPr>
          <w:rFonts w:hint="eastAsia" w:ascii="仿宋" w:hAnsi="仿宋" w:eastAsia="仿宋"/>
          <w:sz w:val="28"/>
          <w:szCs w:val="28"/>
          <w:highlight w:val="none"/>
        </w:rPr>
        <w:t>时间：</w:t>
      </w:r>
      <w:r>
        <w:rPr>
          <w:rFonts w:hint="eastAsia" w:ascii="仿宋" w:hAnsi="仿宋" w:eastAsia="仿宋"/>
          <w:color w:val="auto"/>
          <w:sz w:val="28"/>
          <w:szCs w:val="28"/>
          <w:highlight w:val="none"/>
          <w:lang w:eastAsia="zh-CN"/>
        </w:rPr>
        <w:t>202</w:t>
      </w:r>
      <w:r>
        <w:rPr>
          <w:rFonts w:hint="eastAsia" w:ascii="仿宋" w:hAnsi="仿宋" w:eastAsia="仿宋"/>
          <w:color w:val="auto"/>
          <w:sz w:val="28"/>
          <w:szCs w:val="28"/>
          <w:highlight w:val="none"/>
          <w:lang w:val="en-US" w:eastAsia="zh-CN"/>
        </w:rPr>
        <w:t>2</w:t>
      </w:r>
      <w:r>
        <w:rPr>
          <w:rFonts w:hint="eastAsia" w:ascii="仿宋" w:hAnsi="仿宋" w:eastAsia="仿宋"/>
          <w:bCs/>
          <w:color w:val="auto"/>
          <w:sz w:val="28"/>
          <w:szCs w:val="28"/>
          <w:highlight w:val="none"/>
        </w:rPr>
        <w:t>年</w:t>
      </w:r>
      <w:r>
        <w:rPr>
          <w:rFonts w:hint="eastAsia" w:ascii="仿宋" w:hAnsi="仿宋" w:eastAsia="仿宋"/>
          <w:bCs/>
          <w:color w:val="auto"/>
          <w:sz w:val="28"/>
          <w:szCs w:val="28"/>
          <w:highlight w:val="none"/>
          <w:lang w:val="en-US" w:eastAsia="zh-CN"/>
        </w:rPr>
        <w:t>1</w:t>
      </w:r>
      <w:r>
        <w:rPr>
          <w:rFonts w:hint="eastAsia" w:ascii="仿宋" w:hAnsi="仿宋" w:eastAsia="仿宋"/>
          <w:bCs/>
          <w:color w:val="auto"/>
          <w:sz w:val="28"/>
          <w:szCs w:val="28"/>
          <w:highlight w:val="none"/>
        </w:rPr>
        <w:t>月</w:t>
      </w:r>
      <w:r>
        <w:rPr>
          <w:rFonts w:hint="eastAsia" w:ascii="仿宋" w:hAnsi="仿宋" w:eastAsia="仿宋"/>
          <w:bCs/>
          <w:color w:val="auto"/>
          <w:sz w:val="28"/>
          <w:szCs w:val="28"/>
          <w:highlight w:val="none"/>
          <w:lang w:val="en-US" w:eastAsia="zh-CN"/>
        </w:rPr>
        <w:t xml:space="preserve"> 11 </w:t>
      </w:r>
      <w:r>
        <w:rPr>
          <w:rFonts w:hint="eastAsia" w:ascii="仿宋" w:hAnsi="仿宋" w:eastAsia="仿宋"/>
          <w:bCs/>
          <w:color w:val="auto"/>
          <w:sz w:val="28"/>
          <w:szCs w:val="28"/>
          <w:highlight w:val="none"/>
        </w:rPr>
        <w:t>日</w:t>
      </w:r>
      <w:r>
        <w:rPr>
          <w:rFonts w:hint="eastAsia" w:ascii="仿宋" w:hAnsi="仿宋" w:eastAsia="仿宋"/>
          <w:bCs/>
          <w:color w:val="auto"/>
          <w:sz w:val="28"/>
          <w:szCs w:val="28"/>
          <w:highlight w:val="none"/>
          <w:lang w:val="en-US" w:eastAsia="zh-CN"/>
        </w:rPr>
        <w:t xml:space="preserve"> 09 </w:t>
      </w:r>
      <w:r>
        <w:rPr>
          <w:rFonts w:hint="eastAsia" w:ascii="仿宋" w:hAnsi="仿宋" w:eastAsia="仿宋"/>
          <w:bCs/>
          <w:color w:val="auto"/>
          <w:sz w:val="28"/>
          <w:szCs w:val="28"/>
          <w:highlight w:val="none"/>
        </w:rPr>
        <w:t>点</w:t>
      </w:r>
      <w:r>
        <w:rPr>
          <w:rFonts w:hint="eastAsia" w:ascii="仿宋" w:hAnsi="仿宋" w:eastAsia="仿宋"/>
          <w:bCs/>
          <w:color w:val="auto"/>
          <w:sz w:val="28"/>
          <w:szCs w:val="28"/>
          <w:highlight w:val="none"/>
          <w:lang w:val="en-US" w:eastAsia="zh-CN"/>
        </w:rPr>
        <w:t>0</w:t>
      </w:r>
      <w:r>
        <w:rPr>
          <w:rFonts w:hint="eastAsia" w:ascii="仿宋" w:hAnsi="仿宋" w:eastAsia="仿宋"/>
          <w:bCs/>
          <w:color w:val="auto"/>
          <w:sz w:val="28"/>
          <w:szCs w:val="28"/>
          <w:highlight w:val="none"/>
        </w:rPr>
        <w:t>0分（北京时间）；</w:t>
      </w:r>
    </w:p>
    <w:p>
      <w:pPr>
        <w:pStyle w:val="11"/>
        <w:spacing w:after="0" w:line="500" w:lineRule="exact"/>
        <w:ind w:firstLine="560" w:firstLineChars="200"/>
        <w:outlineLvl w:val="9"/>
        <w:rPr>
          <w:rFonts w:hint="eastAsia" w:ascii="黑体" w:hAnsi="黑体" w:eastAsia="黑体"/>
          <w:color w:val="auto"/>
          <w:sz w:val="28"/>
          <w:szCs w:val="28"/>
          <w:highlight w:val="none"/>
          <w:lang w:val="en-US" w:eastAsia="zh-CN"/>
        </w:rPr>
      </w:pPr>
      <w:bookmarkStart w:id="38" w:name="_Toc15858"/>
      <w:r>
        <w:rPr>
          <w:rFonts w:hint="eastAsia" w:ascii="仿宋" w:hAnsi="仿宋" w:eastAsia="仿宋"/>
          <w:color w:val="auto"/>
          <w:sz w:val="28"/>
          <w:szCs w:val="28"/>
          <w:highlight w:val="none"/>
        </w:rPr>
        <w:t>地点</w:t>
      </w:r>
      <w:r>
        <w:rPr>
          <w:rFonts w:hint="eastAsia" w:ascii="仿宋" w:hAnsi="仿宋" w:eastAsia="仿宋" w:cs="宋体"/>
          <w:color w:val="auto"/>
          <w:kern w:val="0"/>
          <w:sz w:val="28"/>
          <w:szCs w:val="28"/>
          <w:highlight w:val="none"/>
          <w:lang w:val="en-US" w:eastAsia="zh-CN" w:bidi="ar-SA"/>
        </w:rPr>
        <w:t>：如皋市公共资源交易中心（市民服务中心三楼）C307室竞谈（磋商）一室</w:t>
      </w:r>
      <w:bookmarkEnd w:id="38"/>
    </w:p>
    <w:p>
      <w:pPr>
        <w:pStyle w:val="11"/>
        <w:spacing w:after="0" w:line="500" w:lineRule="exact"/>
        <w:ind w:firstLine="560" w:firstLineChars="200"/>
        <w:outlineLvl w:val="1"/>
        <w:rPr>
          <w:rFonts w:hint="eastAsia" w:ascii="黑体" w:hAnsi="黑体" w:eastAsia="黑体"/>
          <w:color w:val="auto"/>
          <w:sz w:val="28"/>
          <w:szCs w:val="28"/>
          <w:highlight w:val="none"/>
        </w:rPr>
      </w:pPr>
      <w:bookmarkStart w:id="39" w:name="_Toc22316"/>
      <w:bookmarkStart w:id="40" w:name="_Toc5884"/>
      <w:bookmarkStart w:id="41" w:name="_Toc27179"/>
      <w:bookmarkStart w:id="42" w:name="_Toc14498"/>
      <w:r>
        <w:rPr>
          <w:rFonts w:hint="eastAsia" w:ascii="黑体" w:hAnsi="黑体" w:eastAsia="黑体"/>
          <w:color w:val="auto"/>
          <w:sz w:val="28"/>
          <w:szCs w:val="28"/>
          <w:highlight w:val="none"/>
          <w:lang w:eastAsia="zh-CN"/>
        </w:rPr>
        <w:t>六</w:t>
      </w:r>
      <w:r>
        <w:rPr>
          <w:rFonts w:hint="eastAsia" w:ascii="黑体" w:hAnsi="黑体" w:eastAsia="黑体"/>
          <w:color w:val="auto"/>
          <w:sz w:val="28"/>
          <w:szCs w:val="28"/>
          <w:highlight w:val="none"/>
        </w:rPr>
        <w:t>、</w:t>
      </w:r>
      <w:r>
        <w:rPr>
          <w:rFonts w:hint="eastAsia" w:ascii="黑体" w:hAnsi="黑体" w:eastAsia="黑体"/>
          <w:color w:val="auto"/>
          <w:sz w:val="28"/>
          <w:szCs w:val="28"/>
          <w:highlight w:val="none"/>
          <w:lang w:val="en-US" w:eastAsia="zh-CN"/>
        </w:rPr>
        <w:t>履约</w:t>
      </w:r>
      <w:r>
        <w:rPr>
          <w:rFonts w:hint="eastAsia" w:ascii="黑体" w:hAnsi="黑体" w:eastAsia="黑体"/>
          <w:color w:val="auto"/>
          <w:sz w:val="28"/>
          <w:szCs w:val="28"/>
          <w:highlight w:val="none"/>
          <w:lang w:eastAsia="zh-CN"/>
        </w:rPr>
        <w:t>保证金</w:t>
      </w:r>
      <w:bookmarkEnd w:id="39"/>
      <w:bookmarkEnd w:id="40"/>
      <w:bookmarkEnd w:id="41"/>
      <w:bookmarkEnd w:id="42"/>
    </w:p>
    <w:p>
      <w:pPr>
        <w:keepNext w:val="0"/>
        <w:keepLines w:val="0"/>
        <w:widowControl/>
        <w:suppressLineNumbers w:val="0"/>
        <w:ind w:firstLine="560" w:firstLineChars="200"/>
        <w:jc w:val="left"/>
        <w:rPr>
          <w:color w:val="auto"/>
        </w:rPr>
      </w:pPr>
      <w:r>
        <w:rPr>
          <w:rFonts w:hint="eastAsia" w:ascii="仿宋" w:hAnsi="仿宋" w:eastAsia="仿宋" w:cs="宋体"/>
          <w:color w:val="auto"/>
          <w:kern w:val="0"/>
          <w:sz w:val="28"/>
          <w:szCs w:val="28"/>
        </w:rPr>
        <w:t>履约保证金为成交金额的10%</w:t>
      </w:r>
      <w:r>
        <w:rPr>
          <w:rFonts w:hint="eastAsia" w:ascii="仿宋" w:hAnsi="仿宋" w:eastAsia="仿宋" w:cs="宋体"/>
          <w:color w:val="auto"/>
          <w:kern w:val="0"/>
          <w:sz w:val="28"/>
          <w:szCs w:val="28"/>
          <w:lang w:eastAsia="zh-CN"/>
        </w:rPr>
        <w:t>，</w:t>
      </w:r>
      <w:r>
        <w:rPr>
          <w:rFonts w:hint="eastAsia" w:ascii="仿宋" w:hAnsi="仿宋" w:eastAsia="仿宋" w:cs="宋体"/>
          <w:color w:val="auto"/>
          <w:kern w:val="0"/>
          <w:sz w:val="28"/>
          <w:szCs w:val="28"/>
          <w:lang w:val="en-US" w:eastAsia="zh-CN"/>
        </w:rPr>
        <w:t>可以以支票、汇票、本票、保函等非现金形式缴纳或提交。</w:t>
      </w:r>
    </w:p>
    <w:p>
      <w:pPr>
        <w:pStyle w:val="11"/>
        <w:spacing w:after="0" w:line="240" w:lineRule="auto"/>
        <w:ind w:firstLine="560" w:firstLineChars="200"/>
        <w:outlineLvl w:val="1"/>
        <w:rPr>
          <w:rFonts w:ascii="黑体" w:hAnsi="黑体" w:eastAsia="黑体"/>
          <w:color w:val="auto"/>
          <w:sz w:val="28"/>
          <w:szCs w:val="28"/>
        </w:rPr>
      </w:pPr>
      <w:bookmarkStart w:id="43" w:name="_Toc14412"/>
      <w:r>
        <w:rPr>
          <w:rFonts w:hint="eastAsia" w:ascii="黑体" w:hAnsi="黑体" w:eastAsia="黑体"/>
          <w:color w:val="auto"/>
          <w:sz w:val="28"/>
          <w:szCs w:val="28"/>
          <w:lang w:val="en-US" w:eastAsia="zh-CN"/>
        </w:rPr>
        <w:t>七、</w:t>
      </w:r>
      <w:r>
        <w:rPr>
          <w:rFonts w:hint="eastAsia" w:ascii="黑体" w:hAnsi="黑体" w:eastAsia="黑体"/>
          <w:color w:val="auto"/>
          <w:sz w:val="28"/>
          <w:szCs w:val="28"/>
        </w:rPr>
        <w:t>公告期限</w:t>
      </w:r>
      <w:bookmarkEnd w:id="30"/>
      <w:bookmarkEnd w:id="31"/>
      <w:bookmarkEnd w:id="32"/>
      <w:bookmarkEnd w:id="33"/>
      <w:bookmarkEnd w:id="43"/>
    </w:p>
    <w:p>
      <w:pPr>
        <w:pStyle w:val="11"/>
        <w:spacing w:line="240" w:lineRule="auto"/>
        <w:ind w:firstLine="560" w:firstLineChars="200"/>
        <w:outlineLvl w:val="1"/>
        <w:rPr>
          <w:rFonts w:hint="eastAsia" w:ascii="仿宋" w:hAnsi="仿宋" w:eastAsia="仿宋" w:cs="宋体"/>
          <w:color w:val="auto"/>
          <w:kern w:val="0"/>
          <w:sz w:val="28"/>
          <w:szCs w:val="28"/>
        </w:rPr>
      </w:pPr>
      <w:r>
        <w:rPr>
          <w:rFonts w:hint="eastAsia" w:ascii="仿宋" w:hAnsi="仿宋" w:eastAsia="仿宋" w:cs="宋体"/>
          <w:color w:val="auto"/>
          <w:kern w:val="0"/>
          <w:sz w:val="28"/>
          <w:szCs w:val="28"/>
        </w:rPr>
        <w:t>自本公告发布之日起3个工作日。</w:t>
      </w:r>
    </w:p>
    <w:p>
      <w:pPr>
        <w:pStyle w:val="11"/>
        <w:spacing w:line="240" w:lineRule="auto"/>
        <w:ind w:firstLine="560" w:firstLineChars="200"/>
        <w:outlineLvl w:val="1"/>
        <w:rPr>
          <w:rFonts w:ascii="黑体" w:hAnsi="黑体" w:eastAsia="黑体"/>
          <w:color w:val="auto"/>
          <w:sz w:val="28"/>
          <w:szCs w:val="28"/>
          <w:highlight w:val="none"/>
        </w:rPr>
      </w:pPr>
      <w:r>
        <w:rPr>
          <w:rFonts w:hint="eastAsia" w:ascii="黑体" w:hAnsi="黑体" w:eastAsia="黑体"/>
          <w:color w:val="auto"/>
          <w:sz w:val="28"/>
          <w:szCs w:val="28"/>
          <w:highlight w:val="none"/>
          <w:lang w:val="en-US" w:eastAsia="zh-CN"/>
        </w:rPr>
        <w:t>八</w:t>
      </w:r>
      <w:r>
        <w:rPr>
          <w:rFonts w:hint="eastAsia" w:ascii="黑体" w:hAnsi="黑体" w:eastAsia="黑体"/>
          <w:color w:val="auto"/>
          <w:sz w:val="28"/>
          <w:szCs w:val="28"/>
          <w:highlight w:val="none"/>
        </w:rPr>
        <w:t>、其他补充事宜</w:t>
      </w:r>
      <w:bookmarkEnd w:id="20"/>
      <w:bookmarkEnd w:id="21"/>
      <w:bookmarkEnd w:id="22"/>
    </w:p>
    <w:p>
      <w:pPr>
        <w:spacing w:line="500" w:lineRule="exact"/>
        <w:ind w:firstLine="562" w:firstLineChars="200"/>
        <w:rPr>
          <w:rFonts w:hint="eastAsia" w:ascii="仿宋" w:hAnsi="仿宋" w:eastAsia="仿宋"/>
          <w:b/>
          <w:bCs w:val="0"/>
          <w:color w:val="auto"/>
          <w:sz w:val="28"/>
          <w:szCs w:val="28"/>
          <w:highlight w:val="none"/>
        </w:rPr>
      </w:pPr>
      <w:r>
        <w:rPr>
          <w:rFonts w:hint="eastAsia" w:ascii="仿宋" w:hAnsi="仿宋" w:eastAsia="仿宋"/>
          <w:b/>
          <w:bCs w:val="0"/>
          <w:color w:val="auto"/>
          <w:sz w:val="28"/>
          <w:szCs w:val="28"/>
          <w:highlight w:val="none"/>
        </w:rPr>
        <w:t>（</w:t>
      </w:r>
      <w:r>
        <w:rPr>
          <w:rFonts w:hint="eastAsia" w:ascii="仿宋" w:hAnsi="仿宋" w:eastAsia="仿宋"/>
          <w:b/>
          <w:bCs w:val="0"/>
          <w:color w:val="auto"/>
          <w:sz w:val="28"/>
          <w:szCs w:val="28"/>
          <w:highlight w:val="none"/>
          <w:lang w:val="en-US" w:eastAsia="zh-CN"/>
        </w:rPr>
        <w:t>一</w:t>
      </w:r>
      <w:r>
        <w:rPr>
          <w:rFonts w:hint="eastAsia" w:ascii="仿宋" w:hAnsi="仿宋" w:eastAsia="仿宋"/>
          <w:b/>
          <w:bCs w:val="0"/>
          <w:color w:val="auto"/>
          <w:sz w:val="28"/>
          <w:szCs w:val="28"/>
          <w:highlight w:val="none"/>
        </w:rPr>
        <w:t>）本项目采用书面磋商形式，对磋商文件作出的实质性变动以公告形式通知潜在供应商，供应商在竞争性磋商响应文件中报价为最后报价。</w:t>
      </w:r>
    </w:p>
    <w:p>
      <w:pPr>
        <w:spacing w:line="500" w:lineRule="exact"/>
        <w:ind w:firstLine="560" w:firstLineChars="200"/>
        <w:rPr>
          <w:rFonts w:hint="eastAsia" w:ascii="仿宋" w:hAnsi="仿宋" w:eastAsia="仿宋"/>
          <w:color w:val="auto"/>
          <w:sz w:val="28"/>
          <w:szCs w:val="28"/>
          <w:highlight w:val="none"/>
        </w:rPr>
      </w:pPr>
      <w:bookmarkStart w:id="44" w:name="_Toc19350"/>
      <w:bookmarkStart w:id="45" w:name="_Toc1417"/>
      <w:bookmarkStart w:id="46" w:name="_Toc28062"/>
      <w:r>
        <w:rPr>
          <w:rFonts w:hint="eastAsia" w:ascii="仿宋" w:hAnsi="仿宋" w:eastAsia="仿宋" w:cs="宋体"/>
          <w:color w:val="auto"/>
          <w:kern w:val="0"/>
          <w:sz w:val="28"/>
          <w:szCs w:val="28"/>
          <w:highlight w:val="none"/>
        </w:rPr>
        <w:t>（</w:t>
      </w:r>
      <w:r>
        <w:rPr>
          <w:rFonts w:hint="eastAsia" w:ascii="仿宋" w:hAnsi="仿宋" w:eastAsia="仿宋" w:cs="宋体"/>
          <w:color w:val="auto"/>
          <w:kern w:val="0"/>
          <w:sz w:val="28"/>
          <w:szCs w:val="28"/>
          <w:highlight w:val="none"/>
          <w:lang w:val="en-US" w:eastAsia="zh-CN"/>
        </w:rPr>
        <w:t>二</w:t>
      </w:r>
      <w:r>
        <w:rPr>
          <w:rFonts w:hint="eastAsia" w:ascii="仿宋" w:hAnsi="仿宋" w:eastAsia="仿宋" w:cs="宋体"/>
          <w:color w:val="auto"/>
          <w:kern w:val="0"/>
          <w:sz w:val="28"/>
          <w:szCs w:val="28"/>
          <w:highlight w:val="none"/>
        </w:rPr>
        <w:t>）其他事项详见磋商文件</w:t>
      </w:r>
      <w:bookmarkEnd w:id="44"/>
      <w:bookmarkEnd w:id="45"/>
      <w:bookmarkEnd w:id="46"/>
      <w:r>
        <w:rPr>
          <w:rFonts w:hint="eastAsia" w:ascii="仿宋" w:hAnsi="仿宋" w:eastAsia="仿宋" w:cs="宋体"/>
          <w:color w:val="auto"/>
          <w:kern w:val="0"/>
          <w:sz w:val="28"/>
          <w:szCs w:val="28"/>
          <w:highlight w:val="none"/>
        </w:rPr>
        <w:t>。</w:t>
      </w:r>
    </w:p>
    <w:p>
      <w:pPr>
        <w:pStyle w:val="11"/>
        <w:spacing w:line="240" w:lineRule="auto"/>
        <w:ind w:firstLine="560" w:firstLineChars="200"/>
        <w:outlineLvl w:val="1"/>
        <w:rPr>
          <w:rFonts w:ascii="黑体" w:hAnsi="黑体" w:cs="宋体"/>
          <w:b/>
          <w:color w:val="auto"/>
          <w:sz w:val="28"/>
          <w:szCs w:val="28"/>
          <w:highlight w:val="none"/>
        </w:rPr>
      </w:pPr>
      <w:bookmarkStart w:id="47" w:name="_Toc28359095"/>
      <w:bookmarkStart w:id="48" w:name="_Toc35393636"/>
      <w:bookmarkStart w:id="49" w:name="_Toc28359018"/>
      <w:bookmarkStart w:id="50" w:name="_Toc35393805"/>
      <w:bookmarkStart w:id="51" w:name="_Toc12540"/>
      <w:r>
        <w:rPr>
          <w:rFonts w:hint="eastAsia" w:ascii="黑体" w:hAnsi="黑体" w:eastAsia="黑体"/>
          <w:color w:val="auto"/>
          <w:sz w:val="28"/>
          <w:szCs w:val="28"/>
          <w:highlight w:val="none"/>
          <w:lang w:val="en-US" w:eastAsia="zh-CN"/>
        </w:rPr>
        <w:t>九</w:t>
      </w:r>
      <w:r>
        <w:rPr>
          <w:rFonts w:hint="eastAsia" w:ascii="黑体" w:hAnsi="黑体" w:eastAsia="黑体"/>
          <w:color w:val="auto"/>
          <w:sz w:val="28"/>
          <w:szCs w:val="28"/>
          <w:highlight w:val="none"/>
        </w:rPr>
        <w:t>、凡对本次采购提出询问，请按</w:t>
      </w:r>
      <w:r>
        <w:rPr>
          <w:rFonts w:ascii="黑体" w:hAnsi="黑体" w:eastAsia="黑体"/>
          <w:color w:val="auto"/>
          <w:sz w:val="28"/>
          <w:szCs w:val="28"/>
          <w:highlight w:val="none"/>
        </w:rPr>
        <w:t>以下方式</w:t>
      </w:r>
      <w:r>
        <w:rPr>
          <w:rFonts w:hint="eastAsia" w:ascii="黑体" w:hAnsi="黑体" w:eastAsia="黑体"/>
          <w:color w:val="auto"/>
          <w:sz w:val="28"/>
          <w:szCs w:val="28"/>
          <w:highlight w:val="none"/>
        </w:rPr>
        <w:t>联系。</w:t>
      </w:r>
      <w:bookmarkEnd w:id="47"/>
      <w:bookmarkEnd w:id="48"/>
      <w:bookmarkEnd w:id="49"/>
      <w:bookmarkEnd w:id="50"/>
      <w:bookmarkEnd w:id="51"/>
    </w:p>
    <w:p>
      <w:pPr>
        <w:spacing w:line="480" w:lineRule="exact"/>
        <w:ind w:firstLine="540"/>
        <w:rPr>
          <w:rFonts w:ascii="仿宋" w:hAnsi="仿宋" w:eastAsia="仿宋" w:cs="宋体"/>
          <w:color w:val="auto"/>
          <w:sz w:val="28"/>
          <w:szCs w:val="28"/>
          <w:highlight w:val="none"/>
        </w:rPr>
      </w:pPr>
      <w:bookmarkStart w:id="52" w:name="_Toc28359096"/>
      <w:bookmarkStart w:id="53" w:name="_Toc35393806"/>
      <w:bookmarkStart w:id="54" w:name="_Toc35393637"/>
      <w:bookmarkStart w:id="55" w:name="_Toc28359019"/>
      <w:bookmarkStart w:id="56" w:name="_Toc28359097"/>
      <w:bookmarkStart w:id="57" w:name="_Toc35393807"/>
      <w:bookmarkStart w:id="58" w:name="_Toc28359020"/>
      <w:bookmarkStart w:id="59" w:name="_Toc35393638"/>
      <w:r>
        <w:rPr>
          <w:rFonts w:hint="eastAsia" w:ascii="仿宋" w:hAnsi="仿宋" w:eastAsia="仿宋" w:cs="宋体"/>
          <w:color w:val="auto"/>
          <w:sz w:val="28"/>
          <w:szCs w:val="28"/>
          <w:highlight w:val="none"/>
          <w:lang w:eastAsia="zh-CN"/>
        </w:rPr>
        <w:t>（</w:t>
      </w:r>
      <w:r>
        <w:rPr>
          <w:rFonts w:hint="eastAsia" w:ascii="仿宋" w:hAnsi="仿宋" w:eastAsia="仿宋" w:cs="宋体"/>
          <w:color w:val="auto"/>
          <w:sz w:val="28"/>
          <w:szCs w:val="28"/>
          <w:highlight w:val="none"/>
          <w:lang w:val="en-US" w:eastAsia="zh-CN"/>
        </w:rPr>
        <w:t>一</w:t>
      </w:r>
      <w:r>
        <w:rPr>
          <w:rFonts w:hint="eastAsia" w:ascii="仿宋" w:hAnsi="仿宋" w:eastAsia="仿宋" w:cs="宋体"/>
          <w:color w:val="auto"/>
          <w:sz w:val="28"/>
          <w:szCs w:val="28"/>
          <w:highlight w:val="none"/>
          <w:lang w:eastAsia="zh-CN"/>
        </w:rPr>
        <w:t>）</w:t>
      </w:r>
      <w:r>
        <w:rPr>
          <w:rFonts w:hint="eastAsia" w:ascii="仿宋" w:hAnsi="仿宋" w:eastAsia="仿宋" w:cs="宋体"/>
          <w:color w:val="auto"/>
          <w:sz w:val="28"/>
          <w:szCs w:val="28"/>
          <w:highlight w:val="none"/>
        </w:rPr>
        <w:t>采购人信息</w:t>
      </w:r>
      <w:bookmarkEnd w:id="52"/>
      <w:bookmarkEnd w:id="53"/>
      <w:bookmarkEnd w:id="54"/>
      <w:bookmarkEnd w:id="55"/>
    </w:p>
    <w:p>
      <w:pPr>
        <w:spacing w:line="480" w:lineRule="exact"/>
        <w:ind w:firstLine="560" w:firstLineChars="200"/>
        <w:jc w:val="left"/>
        <w:rPr>
          <w:rFonts w:hint="default" w:ascii="仿宋" w:hAnsi="仿宋" w:eastAsia="仿宋"/>
          <w:color w:val="auto"/>
          <w:sz w:val="28"/>
          <w:szCs w:val="28"/>
          <w:highlight w:val="none"/>
          <w:lang w:val="en-US" w:eastAsia="zh-CN"/>
        </w:rPr>
      </w:pPr>
      <w:r>
        <w:rPr>
          <w:rFonts w:hint="eastAsia" w:ascii="仿宋" w:hAnsi="仿宋" w:eastAsia="仿宋"/>
          <w:color w:val="auto"/>
          <w:sz w:val="28"/>
          <w:szCs w:val="28"/>
          <w:highlight w:val="none"/>
        </w:rPr>
        <w:t>名    称：</w:t>
      </w:r>
      <w:r>
        <w:rPr>
          <w:rFonts w:hint="eastAsia" w:ascii="仿宋" w:hAnsi="仿宋" w:eastAsia="仿宋"/>
          <w:color w:val="auto"/>
          <w:sz w:val="28"/>
          <w:szCs w:val="28"/>
          <w:highlight w:val="none"/>
          <w:lang w:val="en-US" w:eastAsia="zh-CN"/>
        </w:rPr>
        <w:t>江苏省如皋高新技术产业开发区管理委员会</w:t>
      </w:r>
    </w:p>
    <w:p>
      <w:pPr>
        <w:spacing w:line="480" w:lineRule="exact"/>
        <w:ind w:firstLine="560" w:firstLineChars="200"/>
        <w:jc w:val="left"/>
        <w:rPr>
          <w:rFonts w:hint="default" w:ascii="仿宋" w:hAnsi="仿宋" w:eastAsia="仿宋"/>
          <w:color w:val="auto"/>
          <w:sz w:val="28"/>
          <w:szCs w:val="28"/>
          <w:highlight w:val="none"/>
          <w:lang w:val="en-US" w:eastAsia="zh-CN"/>
        </w:rPr>
      </w:pPr>
      <w:r>
        <w:rPr>
          <w:rFonts w:hint="eastAsia" w:ascii="仿宋" w:hAnsi="仿宋" w:eastAsia="仿宋"/>
          <w:color w:val="auto"/>
          <w:sz w:val="28"/>
          <w:szCs w:val="28"/>
          <w:highlight w:val="none"/>
        </w:rPr>
        <w:t>地    址：标龙大厦</w:t>
      </w:r>
    </w:p>
    <w:p>
      <w:pPr>
        <w:spacing w:line="480" w:lineRule="exact"/>
        <w:ind w:firstLine="560" w:firstLineChars="200"/>
        <w:jc w:val="lef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联系方式：13057033765</w:t>
      </w:r>
    </w:p>
    <w:p>
      <w:pPr>
        <w:spacing w:line="480" w:lineRule="exact"/>
        <w:ind w:firstLine="560" w:firstLineChars="200"/>
        <w:jc w:val="lef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（二）采购代理机构信息</w:t>
      </w:r>
      <w:bookmarkEnd w:id="56"/>
      <w:bookmarkEnd w:id="57"/>
      <w:bookmarkEnd w:id="58"/>
      <w:bookmarkEnd w:id="59"/>
    </w:p>
    <w:p>
      <w:pPr>
        <w:spacing w:line="480" w:lineRule="exact"/>
        <w:ind w:firstLine="560" w:firstLineChars="200"/>
        <w:rPr>
          <w:rFonts w:hint="default" w:ascii="仿宋" w:hAnsi="仿宋" w:eastAsia="仿宋"/>
          <w:color w:val="auto"/>
          <w:sz w:val="28"/>
          <w:szCs w:val="28"/>
          <w:highlight w:val="none"/>
          <w:lang w:val="en-US" w:eastAsia="zh-CN"/>
        </w:rPr>
      </w:pPr>
      <w:r>
        <w:rPr>
          <w:rFonts w:hint="eastAsia" w:ascii="仿宋" w:hAnsi="仿宋" w:eastAsia="仿宋"/>
          <w:color w:val="auto"/>
          <w:sz w:val="28"/>
          <w:szCs w:val="28"/>
          <w:highlight w:val="none"/>
        </w:rPr>
        <w:t>名    称：南通泾天纬地项目管理有限公司</w:t>
      </w:r>
      <w:r>
        <w:rPr>
          <w:rFonts w:hint="eastAsia" w:ascii="仿宋" w:hAnsi="仿宋" w:eastAsia="仿宋"/>
          <w:color w:val="auto"/>
          <w:sz w:val="28"/>
          <w:szCs w:val="28"/>
          <w:highlight w:val="none"/>
          <w:lang w:val="en-US" w:eastAsia="zh-CN"/>
        </w:rPr>
        <w:t>第一分公司</w:t>
      </w:r>
    </w:p>
    <w:p>
      <w:pPr>
        <w:spacing w:line="480" w:lineRule="exact"/>
        <w:ind w:firstLine="560" w:firstLineChars="200"/>
        <w:jc w:val="lef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地　　址：如皋城南街道惠政东路168号亿联广场1幢22层</w:t>
      </w:r>
    </w:p>
    <w:p>
      <w:pPr>
        <w:spacing w:line="480" w:lineRule="exact"/>
        <w:ind w:firstLine="560" w:firstLineChars="200"/>
        <w:jc w:val="lef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联系方式：</w:t>
      </w:r>
      <w:r>
        <w:rPr>
          <w:rFonts w:hint="eastAsia" w:ascii="仿宋" w:hAnsi="仿宋" w:eastAsia="仿宋"/>
          <w:color w:val="auto"/>
          <w:sz w:val="28"/>
          <w:szCs w:val="28"/>
          <w:highlight w:val="none"/>
          <w:lang w:val="en-US" w:eastAsia="zh-CN"/>
        </w:rPr>
        <w:t>宗海燕</w:t>
      </w:r>
      <w:r>
        <w:rPr>
          <w:rFonts w:hint="eastAsia" w:ascii="仿宋" w:hAnsi="仿宋" w:eastAsia="仿宋"/>
          <w:color w:val="auto"/>
          <w:sz w:val="28"/>
          <w:szCs w:val="28"/>
          <w:highlight w:val="none"/>
        </w:rPr>
        <w:t>；0513-87610696</w:t>
      </w:r>
    </w:p>
    <w:p>
      <w:pPr>
        <w:spacing w:line="480" w:lineRule="exact"/>
        <w:ind w:firstLine="560" w:firstLineChars="200"/>
        <w:jc w:val="lef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（三）项目联系方式</w:t>
      </w:r>
    </w:p>
    <w:p>
      <w:pPr>
        <w:spacing w:line="480" w:lineRule="exact"/>
        <w:ind w:firstLine="560" w:firstLineChars="200"/>
        <w:jc w:val="left"/>
        <w:rPr>
          <w:rFonts w:hint="eastAsia" w:ascii="仿宋" w:hAnsi="仿宋" w:eastAsia="仿宋"/>
          <w:color w:val="auto"/>
          <w:sz w:val="28"/>
          <w:szCs w:val="28"/>
          <w:highlight w:val="none"/>
          <w:lang w:val="en-US" w:eastAsia="zh-CN"/>
        </w:rPr>
      </w:pPr>
      <w:r>
        <w:rPr>
          <w:rFonts w:hint="eastAsia" w:ascii="仿宋" w:hAnsi="仿宋" w:eastAsia="仿宋"/>
          <w:color w:val="auto"/>
          <w:sz w:val="28"/>
          <w:szCs w:val="28"/>
          <w:highlight w:val="none"/>
        </w:rPr>
        <w:t>项目联系人：</w:t>
      </w:r>
      <w:r>
        <w:rPr>
          <w:rFonts w:hint="eastAsia" w:ascii="仿宋" w:hAnsi="仿宋" w:eastAsia="仿宋"/>
          <w:color w:val="auto"/>
          <w:sz w:val="28"/>
          <w:szCs w:val="28"/>
          <w:highlight w:val="none"/>
          <w:lang w:val="en-US" w:eastAsia="zh-CN"/>
        </w:rPr>
        <w:t>陈宝楼</w:t>
      </w:r>
    </w:p>
    <w:p>
      <w:pPr>
        <w:spacing w:line="480" w:lineRule="exact"/>
        <w:ind w:firstLine="560" w:firstLineChars="200"/>
        <w:jc w:val="left"/>
        <w:outlineLvl w:val="9"/>
        <w:rPr>
          <w:rFonts w:hint="eastAsia" w:ascii="仿宋" w:hAnsi="仿宋" w:eastAsia="仿宋" w:cs="Times New Roman"/>
          <w:color w:val="auto"/>
          <w:kern w:val="2"/>
          <w:sz w:val="28"/>
          <w:szCs w:val="28"/>
          <w:highlight w:val="none"/>
          <w:lang w:val="en-US" w:eastAsia="zh-CN" w:bidi="ar-SA"/>
        </w:rPr>
      </w:pPr>
      <w:r>
        <w:rPr>
          <w:rFonts w:hint="eastAsia" w:ascii="仿宋" w:hAnsi="仿宋" w:eastAsia="仿宋" w:cs="Times New Roman"/>
          <w:color w:val="auto"/>
          <w:kern w:val="2"/>
          <w:sz w:val="28"/>
          <w:szCs w:val="28"/>
          <w:highlight w:val="none"/>
          <w:lang w:val="en-US" w:eastAsia="zh-CN" w:bidi="ar-SA"/>
        </w:rPr>
        <w:t>电      话：13057033765</w:t>
      </w:r>
    </w:p>
    <w:p>
      <w:pPr>
        <w:spacing w:line="480" w:lineRule="exact"/>
        <w:ind w:firstLine="560" w:firstLineChars="200"/>
        <w:jc w:val="center"/>
        <w:outlineLvl w:val="0"/>
        <w:rPr>
          <w:rFonts w:hint="eastAsia" w:ascii="方正小标宋简体" w:eastAsia="方正小标宋简体"/>
          <w:bCs/>
          <w:color w:val="auto"/>
          <w:sz w:val="32"/>
          <w:szCs w:val="32"/>
          <w:highlight w:val="none"/>
        </w:rPr>
      </w:pPr>
      <w:r>
        <w:rPr>
          <w:rFonts w:hint="eastAsia" w:ascii="仿宋" w:hAnsi="仿宋" w:eastAsia="仿宋" w:cs="Times New Roman"/>
          <w:color w:val="auto"/>
          <w:kern w:val="2"/>
          <w:sz w:val="28"/>
          <w:szCs w:val="28"/>
          <w:highlight w:val="none"/>
          <w:lang w:val="en-US" w:eastAsia="zh-CN" w:bidi="ar-SA"/>
        </w:rPr>
        <w:br w:type="page"/>
      </w:r>
      <w:bookmarkStart w:id="60" w:name="_Toc18366"/>
      <w:r>
        <w:rPr>
          <w:rFonts w:hint="eastAsia" w:ascii="方正小标宋简体" w:eastAsia="方正小标宋简体"/>
          <w:bCs/>
          <w:color w:val="auto"/>
          <w:sz w:val="32"/>
          <w:szCs w:val="32"/>
          <w:highlight w:val="none"/>
        </w:rPr>
        <w:t>第二章 磋商须知</w:t>
      </w:r>
      <w:bookmarkEnd w:id="60"/>
    </w:p>
    <w:p>
      <w:pPr>
        <w:ind w:firstLine="548" w:firstLineChars="196"/>
        <w:outlineLvl w:val="1"/>
        <w:rPr>
          <w:rFonts w:hint="eastAsia" w:ascii="黑体" w:hAnsi="黑体" w:eastAsia="黑体"/>
          <w:color w:val="auto"/>
          <w:sz w:val="28"/>
          <w:szCs w:val="28"/>
          <w:highlight w:val="none"/>
        </w:rPr>
      </w:pPr>
      <w:bookmarkStart w:id="61" w:name="_Toc21223"/>
      <w:r>
        <w:rPr>
          <w:rFonts w:hint="eastAsia" w:ascii="黑体" w:hAnsi="黑体" w:eastAsia="黑体"/>
          <w:color w:val="auto"/>
          <w:sz w:val="28"/>
          <w:szCs w:val="28"/>
          <w:highlight w:val="none"/>
        </w:rPr>
        <w:t>一、参加磋商费用</w:t>
      </w:r>
      <w:bookmarkEnd w:id="61"/>
    </w:p>
    <w:p>
      <w:pPr>
        <w:tabs>
          <w:tab w:val="left" w:pos="900"/>
        </w:tabs>
        <w:spacing w:after="156" w:afterLines="50"/>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投标人应自行承担所有与磋商有关的费用。不论最终的磋商结果如何，采购人或者代理机构在任何情况下均无义务和责任承担这些费用。</w:t>
      </w:r>
    </w:p>
    <w:p>
      <w:pPr>
        <w:tabs>
          <w:tab w:val="left" w:pos="900"/>
        </w:tabs>
        <w:spacing w:after="156" w:afterLines="50"/>
        <w:ind w:firstLine="557" w:firstLineChars="199"/>
        <w:outlineLvl w:val="1"/>
        <w:rPr>
          <w:rFonts w:ascii="黑体" w:hAnsi="黑体" w:eastAsia="黑体"/>
          <w:color w:val="auto"/>
          <w:sz w:val="28"/>
          <w:szCs w:val="28"/>
          <w:highlight w:val="none"/>
        </w:rPr>
      </w:pPr>
      <w:bookmarkStart w:id="62" w:name="_Toc139"/>
      <w:r>
        <w:rPr>
          <w:rFonts w:hint="eastAsia" w:ascii="黑体" w:hAnsi="黑体" w:eastAsia="黑体"/>
          <w:color w:val="auto"/>
          <w:sz w:val="28"/>
          <w:szCs w:val="28"/>
          <w:highlight w:val="none"/>
        </w:rPr>
        <w:t>二、磋商文件的约束力</w:t>
      </w:r>
      <w:bookmarkEnd w:id="62"/>
    </w:p>
    <w:p>
      <w:pPr>
        <w:tabs>
          <w:tab w:val="left" w:pos="900"/>
        </w:tabs>
        <w:ind w:left="120" w:leftChars="57" w:firstLine="557" w:firstLineChars="199"/>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1.供应商一旦下载了本磋商文件并决定磋商，即被认为接受了本招标文件的规定和约束，并且视为已经知道或应当知道自身权益是否受到了损害。</w:t>
      </w:r>
    </w:p>
    <w:p>
      <w:pPr>
        <w:tabs>
          <w:tab w:val="left" w:pos="900"/>
        </w:tabs>
        <w:ind w:firstLine="697" w:firstLineChars="249"/>
        <w:rPr>
          <w:rFonts w:hint="eastAsia" w:ascii="仿宋" w:hAnsi="仿宋" w:eastAsia="仿宋"/>
          <w:color w:val="auto"/>
          <w:sz w:val="28"/>
          <w:szCs w:val="28"/>
          <w:highlight w:val="none"/>
        </w:rPr>
      </w:pPr>
      <w:r>
        <w:rPr>
          <w:rFonts w:hint="eastAsia" w:ascii="仿宋" w:hAnsi="仿宋" w:eastAsia="仿宋"/>
          <w:color w:val="auto"/>
          <w:sz w:val="28"/>
          <w:szCs w:val="28"/>
          <w:highlight w:val="none"/>
        </w:rPr>
        <w:t>2.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pPr>
        <w:tabs>
          <w:tab w:val="left" w:pos="900"/>
        </w:tabs>
        <w:ind w:firstLine="697" w:firstLineChars="249"/>
        <w:rPr>
          <w:rFonts w:hint="eastAsia" w:ascii="仿宋" w:hAnsi="仿宋" w:eastAsia="仿宋"/>
          <w:color w:val="auto"/>
          <w:sz w:val="28"/>
          <w:szCs w:val="28"/>
          <w:highlight w:val="none"/>
        </w:rPr>
      </w:pPr>
      <w:r>
        <w:rPr>
          <w:rFonts w:hint="eastAsia" w:ascii="仿宋" w:hAnsi="仿宋" w:eastAsia="仿宋"/>
          <w:color w:val="auto"/>
          <w:sz w:val="28"/>
          <w:szCs w:val="28"/>
          <w:highlight w:val="none"/>
        </w:rPr>
        <w:t>3.采购人或者采购代理机构在发布磋商公告后，除因重大变故采购任务取消情况外，不得擅自终止招标活动。</w:t>
      </w:r>
    </w:p>
    <w:p>
      <w:pPr>
        <w:tabs>
          <w:tab w:val="left" w:pos="900"/>
        </w:tabs>
        <w:ind w:firstLine="697" w:firstLineChars="249"/>
        <w:rPr>
          <w:rFonts w:hint="eastAsia" w:ascii="仿宋" w:hAnsi="仿宋" w:eastAsia="仿宋"/>
          <w:color w:val="auto"/>
          <w:sz w:val="28"/>
          <w:szCs w:val="28"/>
          <w:highlight w:val="none"/>
        </w:rPr>
      </w:pPr>
      <w:r>
        <w:rPr>
          <w:rFonts w:hint="eastAsia" w:ascii="仿宋" w:hAnsi="仿宋" w:eastAsia="仿宋"/>
          <w:color w:val="auto"/>
          <w:sz w:val="28"/>
          <w:szCs w:val="28"/>
          <w:highlight w:val="none"/>
        </w:rPr>
        <w:t>4.</w:t>
      </w:r>
      <w:r>
        <w:rPr>
          <w:rFonts w:hint="eastAsia"/>
          <w:color w:val="auto"/>
          <w:highlight w:val="none"/>
        </w:rPr>
        <w:t xml:space="preserve"> </w:t>
      </w:r>
      <w:r>
        <w:rPr>
          <w:rFonts w:hint="eastAsia" w:ascii="仿宋" w:hAnsi="仿宋" w:eastAsia="仿宋"/>
          <w:color w:val="auto"/>
          <w:sz w:val="28"/>
          <w:szCs w:val="28"/>
          <w:highlight w:val="none"/>
        </w:rPr>
        <w:t>出现下列情形之一的，采购人或者采购代理机构应当终止竞争性磋商采购活动，发布项目终止公告并说明原因，重新开展采购活动：</w:t>
      </w:r>
    </w:p>
    <w:p>
      <w:pPr>
        <w:tabs>
          <w:tab w:val="left" w:pos="900"/>
        </w:tabs>
        <w:ind w:firstLine="697" w:firstLineChars="249"/>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（1）因情况变化，不再符合规定的竞争性磋商采购方式适用情形的；</w:t>
      </w:r>
    </w:p>
    <w:p>
      <w:pPr>
        <w:tabs>
          <w:tab w:val="left" w:pos="900"/>
        </w:tabs>
        <w:ind w:firstLine="697" w:firstLineChars="249"/>
        <w:rPr>
          <w:rFonts w:hint="eastAsia" w:ascii="仿宋" w:hAnsi="仿宋" w:eastAsia="仿宋"/>
          <w:color w:val="auto"/>
          <w:sz w:val="28"/>
          <w:szCs w:val="28"/>
          <w:highlight w:val="none"/>
        </w:rPr>
      </w:pPr>
      <w:r>
        <w:rPr>
          <w:rFonts w:hint="eastAsia" w:ascii="仿宋" w:hAnsi="仿宋" w:eastAsia="仿宋"/>
          <w:color w:val="auto"/>
          <w:sz w:val="28"/>
          <w:szCs w:val="28"/>
          <w:highlight w:val="none"/>
        </w:rPr>
        <w:t>（2）出现影响采购公正的违法、违规行为的；</w:t>
      </w:r>
    </w:p>
    <w:p>
      <w:pPr>
        <w:tabs>
          <w:tab w:val="left" w:pos="900"/>
        </w:tabs>
        <w:ind w:firstLine="697" w:firstLineChars="249"/>
        <w:rPr>
          <w:rFonts w:ascii="仿宋" w:hAnsi="仿宋" w:eastAsia="仿宋"/>
          <w:color w:val="auto"/>
          <w:sz w:val="28"/>
          <w:szCs w:val="28"/>
          <w:highlight w:val="none"/>
        </w:rPr>
      </w:pPr>
      <w:r>
        <w:rPr>
          <w:rFonts w:hint="eastAsia" w:ascii="仿宋" w:hAnsi="仿宋" w:eastAsia="仿宋"/>
          <w:color w:val="auto"/>
          <w:sz w:val="28"/>
          <w:szCs w:val="28"/>
          <w:highlight w:val="none"/>
        </w:rPr>
        <w:t>（3）除了市场竞争不充分的科研项目、需要扶持的科技成果转化项目和政府购买服务项目之外，在采购过程中符合要求的供应商或者报价未超过采购预算的供应商不足3家的。</w:t>
      </w:r>
    </w:p>
    <w:p>
      <w:pPr>
        <w:ind w:firstLine="408" w:firstLineChars="146"/>
        <w:outlineLvl w:val="1"/>
        <w:rPr>
          <w:rFonts w:hint="eastAsia" w:ascii="黑体" w:hAnsi="黑体" w:eastAsia="黑体"/>
          <w:color w:val="auto"/>
          <w:sz w:val="28"/>
          <w:szCs w:val="28"/>
          <w:highlight w:val="none"/>
        </w:rPr>
      </w:pPr>
      <w:bookmarkStart w:id="63" w:name="_Toc4598"/>
      <w:r>
        <w:rPr>
          <w:rFonts w:hint="eastAsia" w:ascii="黑体" w:hAnsi="黑体" w:eastAsia="黑体"/>
          <w:color w:val="auto"/>
          <w:sz w:val="28"/>
          <w:szCs w:val="28"/>
          <w:highlight w:val="none"/>
        </w:rPr>
        <w:t>三、磋商响应文件的编制和递交</w:t>
      </w:r>
      <w:bookmarkEnd w:id="63"/>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1.供应商应当按照磋商文件要求编制磋商响应文件，并对其提交的响应文件的真实性、合法性承担法律责任。</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2.</w:t>
      </w:r>
      <w:r>
        <w:rPr>
          <w:rFonts w:hint="eastAsia"/>
          <w:color w:val="auto"/>
          <w:highlight w:val="none"/>
        </w:rPr>
        <w:t xml:space="preserve"> </w:t>
      </w:r>
      <w:r>
        <w:rPr>
          <w:rFonts w:hint="eastAsia" w:ascii="仿宋" w:hAnsi="仿宋" w:eastAsia="仿宋"/>
          <w:color w:val="auto"/>
          <w:sz w:val="28"/>
          <w:szCs w:val="28"/>
          <w:highlight w:val="none"/>
        </w:rPr>
        <w:t>供应商应当在磋商文件要求的截止时间前，将响应文件密封送达指定地点。在截止时间后送达的响应文件为无效文件，采购人、采购代理机构或者磋商小组应当拒收。</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3.供应商在提交响应文件截止时间前，可以对所提交的响应文件进行补充、修改或者撤回，并书面通知采购人、采购代理机构。补充、修改的内容作为响应文件的组成部分。补充、修改的内容与响应文件不一致的，以补充、修改的内容为准。</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4.磋商响应文件具体格式详见本文件第六章。磋商文件应当可靠装订和密封，每份磋商文件须清楚地标明“正本”或“副本”字样，提供磋商文件正本一份、副本二份。</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5.磋商文件的包装封皮和信封上均应注明项目名称、编号、供应商名称。封口处加盖投标人单位章，或由法定代表人（或其委托代理人）签字。</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6.供应商存在下列情况之一的，响应无效:</w:t>
      </w:r>
    </w:p>
    <w:p>
      <w:pPr>
        <w:ind w:firstLine="560" w:firstLineChars="200"/>
        <w:rPr>
          <w:rFonts w:hint="eastAsia" w:ascii="仿宋" w:hAnsi="仿宋" w:eastAsia="仿宋"/>
          <w:i/>
          <w:iCs/>
          <w:color w:val="auto"/>
          <w:sz w:val="28"/>
          <w:szCs w:val="28"/>
          <w:highlight w:val="none"/>
        </w:rPr>
      </w:pPr>
      <w:r>
        <w:rPr>
          <w:rFonts w:hint="eastAsia" w:ascii="仿宋" w:hAnsi="仿宋" w:eastAsia="仿宋"/>
          <w:color w:val="auto"/>
          <w:sz w:val="28"/>
          <w:szCs w:val="28"/>
          <w:highlight w:val="none"/>
        </w:rPr>
        <w:t>　（1）未按照磋商文件的规定提交磋商保证金的</w:t>
      </w:r>
      <w:r>
        <w:rPr>
          <w:rFonts w:hint="eastAsia" w:ascii="仿宋" w:hAnsi="仿宋" w:eastAsia="仿宋"/>
          <w:i/>
          <w:iCs/>
          <w:color w:val="auto"/>
          <w:sz w:val="28"/>
          <w:szCs w:val="28"/>
          <w:highlight w:val="none"/>
          <w:lang w:eastAsia="zh-CN"/>
        </w:rPr>
        <w:t>（</w:t>
      </w:r>
      <w:r>
        <w:rPr>
          <w:rFonts w:hint="eastAsia" w:ascii="仿宋" w:hAnsi="仿宋" w:eastAsia="仿宋"/>
          <w:i/>
          <w:iCs/>
          <w:color w:val="auto"/>
          <w:sz w:val="28"/>
          <w:szCs w:val="28"/>
          <w:highlight w:val="none"/>
          <w:lang w:val="en-US" w:eastAsia="zh-CN"/>
        </w:rPr>
        <w:t>注：本项目不收取磋商保证金</w:t>
      </w:r>
      <w:r>
        <w:rPr>
          <w:rFonts w:hint="eastAsia" w:ascii="仿宋" w:hAnsi="仿宋" w:eastAsia="仿宋"/>
          <w:i/>
          <w:iCs/>
          <w:color w:val="auto"/>
          <w:sz w:val="28"/>
          <w:szCs w:val="28"/>
          <w:highlight w:val="none"/>
          <w:lang w:eastAsia="zh-CN"/>
        </w:rPr>
        <w:t>）</w:t>
      </w:r>
      <w:r>
        <w:rPr>
          <w:rFonts w:hint="eastAsia" w:ascii="仿宋" w:hAnsi="仿宋" w:eastAsia="仿宋"/>
          <w:i/>
          <w:iCs/>
          <w:color w:val="auto"/>
          <w:sz w:val="28"/>
          <w:szCs w:val="28"/>
          <w:highlight w:val="none"/>
        </w:rPr>
        <w:t>；</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　（2）响应文件未按磋商文件要求签署、盖章的；</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　（3）不具备磋商文件中规定的资格要求的；</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　（4）报价超过磋商文件中规定的预算金额或者最高限价的；</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　（5）响应文件含有采购人不能接受的附加条件的;</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　（6）法律、法规和招标文件规定的其他无效情形。</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7.竞争性磋商响应文件有效期：从提交响应文件截止日起90天。</w:t>
      </w:r>
    </w:p>
    <w:p>
      <w:pPr>
        <w:ind w:firstLine="408" w:firstLineChars="146"/>
        <w:outlineLvl w:val="1"/>
        <w:rPr>
          <w:rFonts w:hint="eastAsia" w:ascii="黑体" w:hAnsi="黑体" w:eastAsia="黑体"/>
          <w:color w:val="auto"/>
          <w:sz w:val="28"/>
          <w:szCs w:val="28"/>
          <w:highlight w:val="none"/>
        </w:rPr>
      </w:pPr>
      <w:bookmarkStart w:id="64" w:name="_Toc14243"/>
      <w:r>
        <w:rPr>
          <w:rFonts w:hint="eastAsia" w:ascii="黑体" w:hAnsi="黑体" w:eastAsia="黑体"/>
          <w:color w:val="auto"/>
          <w:sz w:val="28"/>
          <w:szCs w:val="28"/>
          <w:highlight w:val="none"/>
        </w:rPr>
        <w:t>四、磋商与评审</w:t>
      </w:r>
      <w:bookmarkEnd w:id="64"/>
    </w:p>
    <w:p>
      <w:pPr>
        <w:spacing w:line="500" w:lineRule="exact"/>
        <w:ind w:firstLine="560" w:firstLineChars="200"/>
        <w:rPr>
          <w:rFonts w:hint="eastAsia" w:ascii="仿宋" w:hAnsi="仿宋" w:eastAsia="仿宋"/>
          <w:color w:val="auto"/>
          <w:sz w:val="28"/>
          <w:szCs w:val="28"/>
          <w:highlight w:val="none"/>
        </w:rPr>
      </w:pPr>
      <w:bookmarkStart w:id="65" w:name="_Toc32255"/>
      <w:r>
        <w:rPr>
          <w:rFonts w:hint="eastAsia" w:ascii="仿宋" w:hAnsi="仿宋" w:eastAsia="仿宋"/>
          <w:color w:val="auto"/>
          <w:sz w:val="28"/>
          <w:szCs w:val="28"/>
          <w:highlight w:val="none"/>
        </w:rPr>
        <w:t>（一）采购人、采购代理机构可以视采购项目具体情况，组织供应商进行现场考察或召开磋商前答疑会，但不得单独或分别组织只有一个供应商参加的现场考察和答疑会。</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（二）磋商小组由采购人代表和评审专家共3人或以上单数组成，其中评审专家人数不得少于磋商小组成员总数的2/3。</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（三）磋商小组成员按照客观、公正、审慎的原则，根据磋商文件规定的评审程序、评审方法和评审标准进行独立评审。未实质性响应磋商文件的响应文件按无效响应处理，磋商小组告知提交响应文件的供应商。</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（四）在评审过程中，如果供应商试图向采购人或者代理机构、以及参与评审的人员施加任何影响，都将会导致其磋商响应文件被拒绝。</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（五）磋商小组决定响应文件的响应性只根据磋商响应文件本身的内容，而不寻求外部的证据。</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六）磋商小组在对响应文件的有效性、完整性和响应程度进行审查时，可以要求供应商对响应文件中含义不明确、同类问题表述不一致或者有明显文字和计算错误的内容等作出必要的澄清、说明或者更正。供应商的澄清、说明或者更正不得超出响应文件的范围或者改变响应文件的实质性内容。</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七）磋商小组要求供应商澄清、说明或者更正响应文件以书面形式作出。供应商的澄清、说明或者更正应当由法定代表人或其授权代表签字或者加盖公章。由授权代表签字的，应当附法定代表人授权书。供应商为自然人的，应当由本人签字并附身份证明。</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（八）磋商小组所有成员应当集中与单一供应商分别进行磋商，并给予所有参加磋商的供应商平等的磋商机会。</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九）在磋商过程中，磋商小组可以根据磋商文件和磋商情况实质性变动采购需求中的技术、服务要求以及合同草案条款，但不得变动磋商文件中的其他内容。对磋商文件作出的实质性变动是磋商文件的有效组成部分，磋商小组应当及时以书面形式同时通知所有参加磋商的供应商。</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十）供应商应当按照磋商文件的变动情况和磋商小组的要求重新提交响应文件，并由其法定代表人或授权代表签字或者加盖公章。由授权代表签字的，应当附法定代表人授权书。供应商为自然人的，应当由本人签字并附身份证明。</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十一）磋商文件能够详细列明采购标的的技术、服务要求的，磋商结束后，磋商小组应当要求所有实质性响应的供应商在规定时间内提交最后报价，磋商小组以供应商自身所有报价中最低报价作为其价格评审依据。一般情况下，提交最后报价的供应商不得少于3家。</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十二）磋商文件不能详细列明采购标的的技术、服务要求，需经磋商由供应商提供最终设计方案或解决方案的，磋商结束后，磋商小组应当按照少数服从多数的原则投票推荐3家以上供应商的设计方案或者解决方案，并要求其在规定时间内提交最后报价。最后报价是供应商响应文件的有效组成部分。</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（十三）对于市场竞争不充分的科研项目、需要扶持的科技成果转化项目以及政府购买服务项目，提交最后报价的供应商可以为2家，地方政府采购主管部门有规定的执行其规定。</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（十四）经磋商确定最终采购需求和提交最后报价的供应商后，由磋商小组采用综合评分法对提交最后报价的供应商的响应文件和最后报价进行综合评分。</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十五）磋商小组应当根据综合评分情况，按照评审得分由高到低顺序推荐3名以上成交候选供应商。对于市场竞争不充分的科研项目、需要扶持的科技成果转化项目以及政府购买服务项目，可以推荐2家成交候选供应商。评审得分相同的，按照最后报价由低到高的顺序推荐。评审得分且最后报价相同的，按照技术指标优劣顺序推荐。</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（十六）除资格性检查认定错误、分值汇总计算错误、分项评分超出评分标准范围、客观分评分不一致、经磋商小组一致认定评分畸高、畸低的情形外，采购人或者采购代理机构不得以任何理由组织重新评审。</w:t>
      </w:r>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（十七）磋商小组将对计算上或累加上的算术错误，修正错误的原则如下：</w:t>
      </w:r>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（1）如果用数字表示的金额和用文字表示的金额不一致时，应以文字表示的金额为准进行修正；</w:t>
      </w:r>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（2）当单价与数量的乘积和总价不一致时，以单价为准进行修正。只有在磋商小组认为单价有明显的小数点错误时，才能以标出的总价为准，并修改单价。</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（3）磋商小组将按上述修正错误的方法调整磋商响应文件中的磋商报价，调整后的价格应对磋商响应供应商具有约束力。如果磋商响应供应商不接受修正后的价格，则其磋商将被拒绝。</w:t>
      </w:r>
    </w:p>
    <w:p>
      <w:pPr>
        <w:ind w:firstLine="560" w:firstLineChars="200"/>
        <w:outlineLvl w:val="1"/>
        <w:rPr>
          <w:rFonts w:hint="eastAsia" w:ascii="黑体" w:hAnsi="黑体" w:eastAsia="黑体"/>
          <w:color w:val="auto"/>
          <w:sz w:val="28"/>
          <w:szCs w:val="28"/>
          <w:highlight w:val="none"/>
        </w:rPr>
      </w:pPr>
      <w:r>
        <w:rPr>
          <w:rFonts w:hint="eastAsia" w:ascii="黑体" w:hAnsi="黑体" w:eastAsia="黑体"/>
          <w:color w:val="auto"/>
          <w:sz w:val="28"/>
          <w:szCs w:val="28"/>
          <w:highlight w:val="none"/>
        </w:rPr>
        <w:t>五、成交和合同</w:t>
      </w:r>
      <w:bookmarkEnd w:id="65"/>
    </w:p>
    <w:p>
      <w:pPr>
        <w:spacing w:line="500" w:lineRule="exact"/>
        <w:ind w:firstLine="560" w:firstLineChars="200"/>
        <w:rPr>
          <w:rFonts w:hint="eastAsia" w:ascii="仿宋" w:hAnsi="仿宋" w:eastAsia="仿宋"/>
          <w:color w:val="auto"/>
          <w:sz w:val="28"/>
          <w:szCs w:val="28"/>
          <w:highlight w:val="none"/>
        </w:rPr>
      </w:pPr>
      <w:bookmarkStart w:id="66" w:name="_Toc30006"/>
      <w:r>
        <w:rPr>
          <w:rFonts w:hint="eastAsia" w:ascii="仿宋" w:hAnsi="仿宋" w:eastAsia="仿宋"/>
          <w:color w:val="auto"/>
          <w:sz w:val="28"/>
          <w:szCs w:val="28"/>
          <w:highlight w:val="none"/>
        </w:rPr>
        <w:t>（一）采购代理机构在评审结束后2个工作日内将评审报告送采购人。采购人自收到评审报告之日起５个工作日内，在评审报告确定的成交候选供应商中，按照排序由高到低的原则确定成交供应商，也可以书面授权磋商小组直接确定成交供应商。</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（二）成交通知书发出后，采购人不得违法改变中标结果，成交供应商无正当理由不得放弃成交。</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（三）</w:t>
      </w:r>
      <w:r>
        <w:rPr>
          <w:rFonts w:hint="eastAsia" w:ascii="仿宋" w:hAnsi="仿宋" w:eastAsia="仿宋"/>
          <w:b/>
          <w:bCs/>
          <w:color w:val="auto"/>
          <w:sz w:val="28"/>
          <w:szCs w:val="28"/>
          <w:highlight w:val="none"/>
        </w:rPr>
        <w:t>采购人应当自中标通知书发出之日起30日内，按照采购文件和</w:t>
      </w:r>
      <w:r>
        <w:rPr>
          <w:rFonts w:hint="eastAsia" w:ascii="仿宋" w:hAnsi="仿宋" w:eastAsia="仿宋"/>
          <w:b/>
          <w:bCs/>
          <w:color w:val="auto"/>
          <w:sz w:val="28"/>
          <w:szCs w:val="28"/>
          <w:highlight w:val="none"/>
          <w:lang w:eastAsia="zh-CN"/>
        </w:rPr>
        <w:t>成交人</w:t>
      </w:r>
      <w:r>
        <w:rPr>
          <w:rFonts w:hint="eastAsia" w:ascii="仿宋" w:hAnsi="仿宋" w:eastAsia="仿宋"/>
          <w:b/>
          <w:bCs/>
          <w:color w:val="auto"/>
          <w:sz w:val="28"/>
          <w:szCs w:val="28"/>
          <w:highlight w:val="none"/>
        </w:rPr>
        <w:t>投标文件的规定，与</w:t>
      </w:r>
      <w:r>
        <w:rPr>
          <w:rFonts w:hint="eastAsia" w:ascii="仿宋" w:hAnsi="仿宋" w:eastAsia="仿宋"/>
          <w:b/>
          <w:bCs/>
          <w:color w:val="auto"/>
          <w:sz w:val="28"/>
          <w:szCs w:val="28"/>
          <w:highlight w:val="none"/>
          <w:lang w:eastAsia="zh-CN"/>
        </w:rPr>
        <w:t>成交人</w:t>
      </w:r>
      <w:r>
        <w:rPr>
          <w:rFonts w:hint="eastAsia" w:ascii="仿宋" w:hAnsi="仿宋" w:eastAsia="仿宋"/>
          <w:b/>
          <w:bCs/>
          <w:color w:val="auto"/>
          <w:sz w:val="28"/>
          <w:szCs w:val="28"/>
          <w:highlight w:val="none"/>
        </w:rPr>
        <w:t>签订书面合同。所签订的合同不得对采购文件确定的事项和</w:t>
      </w:r>
      <w:r>
        <w:rPr>
          <w:rFonts w:hint="eastAsia" w:ascii="仿宋" w:hAnsi="仿宋" w:eastAsia="仿宋"/>
          <w:b/>
          <w:bCs/>
          <w:color w:val="auto"/>
          <w:sz w:val="28"/>
          <w:szCs w:val="28"/>
          <w:highlight w:val="none"/>
          <w:lang w:eastAsia="zh-CN"/>
        </w:rPr>
        <w:t>成交人</w:t>
      </w:r>
      <w:r>
        <w:rPr>
          <w:rFonts w:hint="eastAsia" w:ascii="仿宋" w:hAnsi="仿宋" w:eastAsia="仿宋"/>
          <w:b/>
          <w:bCs/>
          <w:color w:val="auto"/>
          <w:sz w:val="28"/>
          <w:szCs w:val="28"/>
          <w:highlight w:val="none"/>
        </w:rPr>
        <w:t>投标文件作实质性修改。</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四）采购人不得向成交供应商提出超出磋商文件以外的任何要求作为签订合同的条件，不得与成交供应商订立背离磋商文件确定的合同文本以及采购标的、规格型号、采购金额、采购数量、技术和服务要求等实质性内容的协议。</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（五）采购人与成交供应商应当根据合同的约定依法履行合同义务。政府采购合同的履行、违约责任和解决争议的方法等适用《中华人民共和国合同法》。</w:t>
      </w:r>
    </w:p>
    <w:p>
      <w:pPr>
        <w:ind w:firstLine="560" w:firstLineChars="200"/>
        <w:outlineLvl w:val="1"/>
        <w:rPr>
          <w:rFonts w:ascii="黑体" w:hAnsi="黑体" w:eastAsia="黑体"/>
          <w:bCs/>
          <w:color w:val="auto"/>
          <w:sz w:val="28"/>
          <w:szCs w:val="28"/>
          <w:highlight w:val="none"/>
        </w:rPr>
      </w:pPr>
      <w:r>
        <w:rPr>
          <w:rFonts w:hint="eastAsia" w:ascii="黑体" w:hAnsi="黑体" w:eastAsia="黑体"/>
          <w:bCs/>
          <w:color w:val="auto"/>
          <w:sz w:val="28"/>
          <w:szCs w:val="28"/>
          <w:highlight w:val="none"/>
        </w:rPr>
        <w:t>六、政府采购政策功能落实</w:t>
      </w:r>
      <w:bookmarkEnd w:id="66"/>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（一）小微型企业价格扣除</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根据财政部、工业和信息化部关于印发《政府采购促进中小企业发展管理办法》的通知（财库〔2020〕46号）要求，对于经主管预算单位统筹后未预留份额专门面向中小企业采购的采购项目，以及预留份额项目中的非预留部分采购包，采购人、采购代理机构应当对符合本办法规定的小微企业报价给予 6%—10%（工程项目为 3%—5%）的扣除，用扣除后的价格参加评审。适用招标投标法的政府采购工程建设项目，采用综合评估法但未采用低价优先法计算价格分的，评标时应当在采用原报价进行评分的基础上增加其价格得分的 3%—5%作为其价格分。</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2.接受大中型企业与小微企业组成联合体或者允许大中型企业向一家或者多家小微企业分包的采购项目，对于联合协议或者分包意向协议约定小微企业的合同份额占到合同总金额 30%以上的，采购人、采购代理机构应当对联合体或者大中型企业的报价给予 2%-3%（工程项目为 1%—2%）的扣除，用扣除后的价格参加评审。适用招标投标法的政府采购工程建设项目，采用综合评估法但未采用低价优先法计算价格分的，评标时应当在采用原报价进行评分的基础上增加其价格得分的 1%—2%作为其价格分。组成联合体或者接受分包的小微企业与联合体内其他企业、分包企业之间存在直接控股、管理关系的，不享受价格扣除优惠政策。</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3.价格扣除比例或者价格分加分比例对小型企业和微型企业同等对待，不作区分。具体采购项目的价格扣除比例或者价格分加分比例，由采购人根据采购标的相关行业平均利润率、市场竞争状况等，在本办法规定的幅度内确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4.在政府采购活动中，供应商提供的货物、工程或者服务符合下列情形的，享受价格扣除政策：</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（1）在货物采购项目中，货物由中小企业制造，即货物由中小企业生产且使用该中小企业商号或者注册商标；</w:t>
      </w:r>
    </w:p>
    <w:p>
      <w:pPr>
        <w:ind w:firstLine="560" w:firstLineChars="200"/>
        <w:rPr>
          <w:rFonts w:hint="eastAsia" w:ascii="仿宋" w:hAnsi="仿宋" w:eastAsia="仿宋"/>
          <w:color w:val="auto"/>
          <w:sz w:val="28"/>
          <w:szCs w:val="28"/>
          <w:highlight w:val="none"/>
        </w:rPr>
      </w:pPr>
      <w:r>
        <w:rPr>
          <w:rFonts w:hint="eastAsia" w:ascii="华文楷体" w:hAnsi="华文楷体" w:eastAsia="华文楷体"/>
          <w:color w:val="auto"/>
          <w:sz w:val="28"/>
          <w:szCs w:val="28"/>
          <w:highlight w:val="none"/>
        </w:rPr>
        <w:t>（2）</w:t>
      </w:r>
      <w:r>
        <w:rPr>
          <w:rFonts w:hint="eastAsia" w:ascii="仿宋" w:hAnsi="仿宋" w:eastAsia="仿宋"/>
          <w:color w:val="auto"/>
          <w:sz w:val="28"/>
          <w:szCs w:val="28"/>
          <w:highlight w:val="none"/>
        </w:rPr>
        <w:t>在工程采购项目中，工程由中小企业承建，即工程施工单位为中小企业；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（3）在服务采购项目中，服务由中小企业承接，即提供服务的人员为中小企业依照《中华人民共和国劳动合同法》订立劳动合同的从业人员。</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（4）以联合体形式参加政府采购活动，联合体各方均为中小企业的，联合体视同中小企业。其中，联合体各方均为小微企业的，联合体视同小微企业。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5）符合上述要求的企业，应当出具《中小企业声明函》，否则不得享受相关中小企业扶持政策。供应商提供声明函内容不实的，属于提供虚假材料谋取中标、成交，依照《中华人民共和国政府采购法》等国家有关规定追究相应责任。适用招标投标法的政府采购工程建设项目，投标人提供声明函内容不实的，属于弄虚作假骗取中标，依照《中华人民共和国招标投标法》等国家有关规定追究相应责任。</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5.下列情形不享受价格扣除政策：</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（1）在货物采购项目中，供应商提供的货物既有中小企业制造货物，也有大型企业制造货物的。</w:t>
      </w:r>
    </w:p>
    <w:p>
      <w:pPr>
        <w:ind w:firstLine="560" w:firstLineChars="200"/>
        <w:rPr>
          <w:rFonts w:hint="eastAsia" w:ascii="仿宋" w:hAnsi="仿宋" w:eastAsia="仿宋"/>
          <w:color w:val="auto"/>
          <w:sz w:val="28"/>
          <w:szCs w:val="28"/>
          <w:highlight w:val="none"/>
        </w:rPr>
      </w:pPr>
      <w:r>
        <w:rPr>
          <w:rFonts w:hint="eastAsia" w:ascii="华文楷体" w:hAnsi="华文楷体" w:eastAsia="华文楷体"/>
          <w:color w:val="auto"/>
          <w:sz w:val="28"/>
          <w:szCs w:val="28"/>
          <w:highlight w:val="none"/>
        </w:rPr>
        <w:t>（2）</w:t>
      </w:r>
      <w:r>
        <w:rPr>
          <w:rFonts w:hint="eastAsia" w:ascii="仿宋" w:hAnsi="仿宋" w:eastAsia="仿宋"/>
          <w:color w:val="auto"/>
          <w:sz w:val="28"/>
          <w:szCs w:val="28"/>
          <w:highlight w:val="none"/>
        </w:rPr>
        <w:t>投标人与大企业的负责人为同一人，或者与大企业存在直接控股、管理关系。</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6.《中小企业划型标准规定》（工信部联企业〔2011〕300号）</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（1）农、林、牧、渔业。营业收入20000万元以下的为中小微型企业。其中，营业收入500万元及以上的为中型企业，营业收入50万元及以上的为小型企业，营业收入50万元以下的为微型企业。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2）工业。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3）建筑业。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4）批发业。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5）零售业。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6）交通运输业。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7）仓储业。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8）邮政业。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9）住宿业。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10）餐饮业。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11）信息传输业。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12）软件和信息技术服务业。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13）房地产开发经营。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14）物业管理。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15）租赁和商务服务业。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（16）其他未列明行业。从业人员300人以下的为中小微型企业。其中，从业人员100人及以上的为中型企业；从业人员10人及以上的为小型企业；从业人员10人以下的为微型企业。</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（二）残疾人福利单位价格扣除</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1.本项目对残疾人福利性单位产品，给予6%的价格扣除，用扣除后的价格参与评审。</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2.残疾人福利单位应当按照采购文件的要求提供《残疾人福利性单位声明函》，否则不享受价格扣除优惠。</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3.残疾人福利单位标准请参照《关于促进残疾人就业政府采购政策的通知》（财库〔2017〕141号）。</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（三）监狱和戒毒企业价格扣除</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1.本项目对监狱和戒毒企业（简称监狱企业）产品，给予6%的价格扣除，用扣除后的价格参与评审。</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2.监狱企业参加政府采购活动时，需提供由省级以上监狱管理局、戒毒管理局(含新疆生产建设兵团)出具的属于监狱企业的证明文件。供应商如不提供上述证明文件，价格将不做相应扣除。</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3.监狱企业标准请参照《关于政府采购支持监狱企业发展有关问题的通知》（</w:t>
      </w:r>
      <w:r>
        <w:rPr>
          <w:rFonts w:ascii="仿宋" w:hAnsi="仿宋" w:eastAsia="仿宋"/>
          <w:color w:val="auto"/>
          <w:sz w:val="28"/>
          <w:szCs w:val="28"/>
          <w:highlight w:val="none"/>
        </w:rPr>
        <w:t>财库</w:t>
      </w:r>
      <w:r>
        <w:rPr>
          <w:rFonts w:hint="eastAsia" w:ascii="仿宋" w:hAnsi="仿宋" w:eastAsia="仿宋"/>
          <w:color w:val="auto"/>
          <w:sz w:val="28"/>
          <w:szCs w:val="28"/>
          <w:highlight w:val="none"/>
        </w:rPr>
        <w:t>〔</w:t>
      </w:r>
      <w:r>
        <w:rPr>
          <w:rFonts w:ascii="仿宋" w:hAnsi="仿宋" w:eastAsia="仿宋"/>
          <w:color w:val="auto"/>
          <w:sz w:val="28"/>
          <w:szCs w:val="28"/>
          <w:highlight w:val="none"/>
        </w:rPr>
        <w:t>2014</w:t>
      </w:r>
      <w:r>
        <w:rPr>
          <w:rFonts w:hint="eastAsia" w:ascii="仿宋" w:hAnsi="仿宋" w:eastAsia="仿宋"/>
          <w:color w:val="auto"/>
          <w:sz w:val="28"/>
          <w:szCs w:val="28"/>
          <w:highlight w:val="none"/>
        </w:rPr>
        <w:t>〕</w:t>
      </w:r>
      <w:r>
        <w:rPr>
          <w:rFonts w:ascii="仿宋" w:hAnsi="仿宋" w:eastAsia="仿宋"/>
          <w:color w:val="auto"/>
          <w:sz w:val="28"/>
          <w:szCs w:val="28"/>
          <w:highlight w:val="none"/>
        </w:rPr>
        <w:t>68号</w:t>
      </w:r>
      <w:r>
        <w:rPr>
          <w:rFonts w:hint="eastAsia" w:ascii="仿宋" w:hAnsi="仿宋" w:eastAsia="仿宋"/>
          <w:color w:val="auto"/>
          <w:sz w:val="28"/>
          <w:szCs w:val="28"/>
          <w:highlight w:val="none"/>
        </w:rPr>
        <w:t>）。</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（四）残疾人福利单位、监狱企业属于小型、微型企业的，不重复享受政策。</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（五）根据《江苏省政府采购供应商监督管理暂行办法》的规定，诚信记录分每减10分，给予本项目总分值2%的扣分，扣分最多不超过本项目总分值6%。</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六）供应商的最后报价如相同，属于财政部、生态环境部最新公布的《环境标志产品政府采购品目清单》或者财政部、发改委最新公布的《节能产品政府采购品目清单》内产品，则优先采购“环境标志产品”或“节能产品”，供应商应当提供国家确定的认证机构出具的、处于有效期之内的节能产品、环境标志产品认证证书。若均非“环境标志产品”、“节能产品”，则将优先采购交货期短者。</w:t>
      </w:r>
    </w:p>
    <w:p>
      <w:pPr>
        <w:ind w:firstLine="560" w:firstLineChars="200"/>
        <w:outlineLvl w:val="1"/>
        <w:rPr>
          <w:rFonts w:hint="eastAsia" w:ascii="黑体" w:hAnsi="黑体" w:eastAsia="黑体"/>
          <w:color w:val="auto"/>
          <w:sz w:val="28"/>
          <w:szCs w:val="28"/>
          <w:highlight w:val="none"/>
        </w:rPr>
      </w:pPr>
      <w:bookmarkStart w:id="67" w:name="_Toc8030"/>
      <w:r>
        <w:rPr>
          <w:rFonts w:hint="eastAsia" w:ascii="黑体" w:hAnsi="黑体" w:eastAsia="黑体"/>
          <w:color w:val="auto"/>
          <w:sz w:val="28"/>
          <w:szCs w:val="28"/>
          <w:highlight w:val="none"/>
        </w:rPr>
        <w:t>七、询问、质疑和投诉</w:t>
      </w:r>
      <w:bookmarkEnd w:id="67"/>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1.供应商对政府采购活动事项有疑问的，可以向采购人或者采购代理机构提出询问，采购人或者采购代理机构应当在3个工作日内作出答复。</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2.供应商认为采购文件、采购过程、中标或者成交结果使自己的权益受到损害的，可以在知道或者应知其权益受到损害之日起7个工作日内，以书面形式向采购人、采购代理机构提出质疑。</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上述应知其权益受到损害之日，是指：</w:t>
      </w:r>
      <w:r>
        <w:rPr>
          <w:rFonts w:ascii="仿宋" w:hAnsi="仿宋" w:eastAsia="仿宋"/>
          <w:color w:val="auto"/>
          <w:sz w:val="28"/>
          <w:szCs w:val="28"/>
          <w:highlight w:val="none"/>
        </w:rPr>
        <w:t>对可以质疑的</w:t>
      </w:r>
      <w:r>
        <w:rPr>
          <w:rFonts w:hint="eastAsia" w:ascii="仿宋" w:hAnsi="仿宋" w:eastAsia="仿宋"/>
          <w:color w:val="auto"/>
          <w:sz w:val="28"/>
          <w:szCs w:val="28"/>
          <w:highlight w:val="none"/>
        </w:rPr>
        <w:t>招标</w:t>
      </w:r>
      <w:r>
        <w:rPr>
          <w:rFonts w:ascii="仿宋" w:hAnsi="仿宋" w:eastAsia="仿宋"/>
          <w:color w:val="auto"/>
          <w:sz w:val="28"/>
          <w:szCs w:val="28"/>
          <w:highlight w:val="none"/>
        </w:rPr>
        <w:t>文件提出质疑的，为收到</w:t>
      </w:r>
      <w:r>
        <w:rPr>
          <w:rFonts w:hint="eastAsia" w:ascii="仿宋" w:hAnsi="仿宋" w:eastAsia="仿宋"/>
          <w:color w:val="auto"/>
          <w:sz w:val="28"/>
          <w:szCs w:val="28"/>
          <w:highlight w:val="none"/>
        </w:rPr>
        <w:t>招标</w:t>
      </w:r>
      <w:r>
        <w:rPr>
          <w:rFonts w:ascii="仿宋" w:hAnsi="仿宋" w:eastAsia="仿宋"/>
          <w:color w:val="auto"/>
          <w:sz w:val="28"/>
          <w:szCs w:val="28"/>
          <w:highlight w:val="none"/>
        </w:rPr>
        <w:t>文件之日或者</w:t>
      </w:r>
      <w:r>
        <w:rPr>
          <w:rFonts w:hint="eastAsia" w:ascii="仿宋" w:hAnsi="仿宋" w:eastAsia="仿宋"/>
          <w:color w:val="auto"/>
          <w:sz w:val="28"/>
          <w:szCs w:val="28"/>
          <w:highlight w:val="none"/>
        </w:rPr>
        <w:t>招标</w:t>
      </w:r>
      <w:r>
        <w:rPr>
          <w:rFonts w:ascii="仿宋" w:hAnsi="仿宋" w:eastAsia="仿宋"/>
          <w:color w:val="auto"/>
          <w:sz w:val="28"/>
          <w:szCs w:val="28"/>
          <w:highlight w:val="none"/>
        </w:rPr>
        <w:t>文件公告期限届满之日；对采购过程提出质疑的，为各采购程序环节结束之日；对中标结果提出质疑的，为中标结果公告期限届满之日。</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3.提出质疑的供应商（以下简称质疑供应商）应当是参与所质疑项目采购活动的供应商。潜在供应商已依法获取其可质疑的采购文件的，可以对该文件提出质疑。</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4.供应商提出质疑应当提交质疑函和必要的证明材料。质疑函应当包括下列内容：供应商的姓名或者名称、地址、邮编、联系人及联系电话；质疑项目的名称、编号；具体、明确的质疑事项和与质疑事项相关的请求；事实依据；必要的法律依据；提出质疑的日期。</w:t>
      </w:r>
    </w:p>
    <w:p>
      <w:pPr>
        <w:ind w:firstLine="562" w:firstLineChars="200"/>
        <w:rPr>
          <w:rFonts w:hint="eastAsia" w:ascii="仿宋" w:hAnsi="仿宋" w:eastAsia="仿宋"/>
          <w:color w:val="auto"/>
          <w:sz w:val="28"/>
          <w:szCs w:val="28"/>
          <w:highlight w:val="none"/>
        </w:rPr>
      </w:pPr>
      <w:r>
        <w:rPr>
          <w:rFonts w:hint="eastAsia" w:ascii="仿宋" w:hAnsi="仿宋" w:eastAsia="仿宋"/>
          <w:b/>
          <w:bCs/>
          <w:color w:val="auto"/>
          <w:sz w:val="28"/>
          <w:szCs w:val="28"/>
          <w:highlight w:val="none"/>
        </w:rPr>
        <w:t>供应商须在法定质疑期内一次性提出针对同一采购程序环节的质疑。供应商递交质疑书面资料时须提供：营业执照复印件、资格条件要求资质证书复印件（如有）、授权委托书原件（如有代理人）、法人代表及代理人身份证复印件、质疑函原件及依据文件。以上文件装订成册后由法人代表或代理人携带身份证当面向采购人、采购代理机构（联系方式及地址信息详见竞争性磋商采购公告）提出。</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供应商为自然人的，应当由本人签字；供应商为法人或者其他组织的，应当由法定代表人、主要负责人，或者其授权代表签字或者盖章，并加盖公章。</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5.质疑供应商对采购人、采购代理机构的答复不满意，或者采购人、采购代理机构未在规定时间内作出答复的，可以在答复期满后15个工作日内向财政部门提起投诉。</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6.投诉人投诉时,应当提交投诉书和必要的证明材料，并按照被投诉采购人、采购代理机构（以下简称被投诉人）和与投诉事项有关的供应商数量提供投诉书的副本。</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投诉书应当包括下列内容：投诉人和被投诉人的姓名或者名称、通讯地址、邮编、联系人及联系电话；质疑和质疑答复情况说明及相关证明材料；具体、明确的投诉事项和与投诉事项相关的投诉请求；事实依据；法律依据；提起投诉的日期。</w:t>
      </w:r>
    </w:p>
    <w:p>
      <w:pPr>
        <w:ind w:firstLine="560" w:firstLineChars="200"/>
        <w:jc w:val="lef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投诉人为自然人的，应当由本人签字；投诉人为法人或者其他组织的，应当由法定代表人、主要负责人，或者其授权代表签字或者盖章，并加盖公章。</w:t>
      </w:r>
    </w:p>
    <w:p>
      <w:pPr>
        <w:ind w:firstLine="560" w:firstLineChars="200"/>
        <w:outlineLvl w:val="1"/>
        <w:rPr>
          <w:rFonts w:hint="eastAsia" w:ascii="黑体" w:hAnsi="黑体" w:eastAsia="黑体"/>
          <w:color w:val="auto"/>
          <w:sz w:val="28"/>
          <w:szCs w:val="28"/>
          <w:highlight w:val="none"/>
        </w:rPr>
      </w:pPr>
      <w:bookmarkStart w:id="68" w:name="_Toc25969"/>
      <w:r>
        <w:rPr>
          <w:rFonts w:hint="eastAsia" w:ascii="黑体" w:hAnsi="黑体" w:eastAsia="黑体"/>
          <w:color w:val="auto"/>
          <w:sz w:val="28"/>
          <w:szCs w:val="28"/>
          <w:highlight w:val="none"/>
        </w:rPr>
        <w:t>八、采购代理服务费</w:t>
      </w:r>
      <w:bookmarkEnd w:id="68"/>
    </w:p>
    <w:p>
      <w:pPr>
        <w:pStyle w:val="46"/>
        <w:spacing w:line="500" w:lineRule="exact"/>
        <w:ind w:firstLine="560"/>
        <w:jc w:val="left"/>
        <w:rPr>
          <w:rFonts w:hint="eastAsia" w:ascii="仿宋" w:hAnsi="仿宋" w:eastAsia="仿宋" w:cs="宋体"/>
          <w:color w:val="auto"/>
          <w:kern w:val="0"/>
          <w:sz w:val="28"/>
          <w:szCs w:val="28"/>
          <w:highlight w:val="none"/>
        </w:rPr>
      </w:pPr>
      <w:r>
        <w:rPr>
          <w:rFonts w:hint="eastAsia" w:ascii="仿宋" w:hAnsi="仿宋" w:eastAsia="仿宋" w:cs="宋体"/>
          <w:color w:val="auto"/>
          <w:kern w:val="0"/>
          <w:sz w:val="28"/>
          <w:szCs w:val="28"/>
          <w:highlight w:val="none"/>
        </w:rPr>
        <w:t>（一）采购代理服务费以成交价为基数，采用差额定率累进法（100万元以下部分，费率为1.5%；100万元（含）~ 500万元部分，费率为1.1%；500万元（含）~ 1000万元部分,费率为0.8%；1000万元（含）~ 5000万元部分,费率为0.5%；）分段计算后汇总，不足叁仟按叁仟元计取，由成交供应商承担。本项目预算中包含此费用，响应供应商在报价中需考虑此费用的代付，采购人不再另行支付。</w:t>
      </w:r>
    </w:p>
    <w:p>
      <w:pPr>
        <w:spacing w:line="500" w:lineRule="exact"/>
        <w:ind w:firstLine="560" w:firstLineChars="200"/>
        <w:rPr>
          <w:rFonts w:hint="eastAsia" w:ascii="仿宋" w:hAnsi="仿宋" w:eastAsia="仿宋" w:cs="宋体"/>
          <w:color w:val="auto"/>
          <w:kern w:val="0"/>
          <w:sz w:val="28"/>
          <w:szCs w:val="28"/>
          <w:highlight w:val="none"/>
        </w:rPr>
      </w:pPr>
      <w:r>
        <w:rPr>
          <w:rFonts w:hint="eastAsia" w:ascii="仿宋" w:hAnsi="仿宋" w:eastAsia="仿宋" w:cs="宋体"/>
          <w:color w:val="auto"/>
          <w:kern w:val="0"/>
          <w:sz w:val="28"/>
          <w:szCs w:val="28"/>
          <w:highlight w:val="none"/>
        </w:rPr>
        <w:t>（二）成交供应商在领取《中标通知书》前，须将采购代理服务费汇入采购代理机构公司账户。</w:t>
      </w:r>
    </w:p>
    <w:p>
      <w:pPr>
        <w:pStyle w:val="46"/>
        <w:spacing w:line="500" w:lineRule="exact"/>
        <w:ind w:firstLine="560"/>
        <w:jc w:val="left"/>
        <w:rPr>
          <w:rFonts w:hint="eastAsia" w:ascii="仿宋" w:hAnsi="仿宋" w:eastAsia="仿宋" w:cs="宋体"/>
          <w:color w:val="auto"/>
          <w:kern w:val="0"/>
          <w:sz w:val="28"/>
          <w:szCs w:val="28"/>
          <w:highlight w:val="none"/>
        </w:rPr>
      </w:pPr>
      <w:bookmarkStart w:id="69" w:name="_Toc10695"/>
      <w:r>
        <w:rPr>
          <w:rFonts w:hint="eastAsia" w:ascii="仿宋" w:hAnsi="仿宋" w:eastAsia="仿宋" w:cs="宋体"/>
          <w:color w:val="auto"/>
          <w:kern w:val="0"/>
          <w:sz w:val="28"/>
          <w:szCs w:val="28"/>
          <w:highlight w:val="none"/>
        </w:rPr>
        <w:t>（1）收款单位名称为：南通泾天纬地项目管理有限公司第一分公司；</w:t>
      </w:r>
    </w:p>
    <w:p>
      <w:pPr>
        <w:pStyle w:val="46"/>
        <w:spacing w:line="500" w:lineRule="exact"/>
        <w:ind w:firstLine="560"/>
        <w:jc w:val="left"/>
        <w:rPr>
          <w:rFonts w:hint="eastAsia" w:ascii="仿宋" w:hAnsi="仿宋" w:eastAsia="仿宋" w:cs="宋体"/>
          <w:color w:val="auto"/>
          <w:kern w:val="0"/>
          <w:sz w:val="28"/>
          <w:szCs w:val="28"/>
          <w:highlight w:val="none"/>
        </w:rPr>
      </w:pPr>
      <w:r>
        <w:rPr>
          <w:rFonts w:hint="eastAsia" w:ascii="仿宋" w:hAnsi="仿宋" w:eastAsia="仿宋" w:cs="宋体"/>
          <w:color w:val="auto"/>
          <w:kern w:val="0"/>
          <w:sz w:val="28"/>
          <w:szCs w:val="28"/>
          <w:highlight w:val="none"/>
        </w:rPr>
        <w:t>（2）账户号码：32050164723600006452；</w:t>
      </w:r>
    </w:p>
    <w:p>
      <w:pPr>
        <w:pStyle w:val="46"/>
        <w:spacing w:line="500" w:lineRule="exact"/>
        <w:ind w:firstLine="560"/>
        <w:jc w:val="left"/>
        <w:rPr>
          <w:rFonts w:hint="eastAsia" w:ascii="方正小标宋简体" w:eastAsia="方正小标宋简体"/>
          <w:bCs/>
          <w:color w:val="auto"/>
          <w:sz w:val="32"/>
          <w:szCs w:val="32"/>
          <w:highlight w:val="none"/>
        </w:rPr>
      </w:pPr>
      <w:r>
        <w:rPr>
          <w:rFonts w:hint="eastAsia" w:ascii="仿宋" w:hAnsi="仿宋" w:eastAsia="仿宋" w:cs="宋体"/>
          <w:color w:val="auto"/>
          <w:kern w:val="0"/>
          <w:sz w:val="28"/>
          <w:szCs w:val="28"/>
          <w:highlight w:val="none"/>
        </w:rPr>
        <w:t>（3）开户行：中国建行银行如皋市支行 行号：105306200016；</w:t>
      </w:r>
    </w:p>
    <w:p>
      <w:pPr>
        <w:ind w:firstLine="560" w:firstLineChars="200"/>
        <w:outlineLvl w:val="1"/>
        <w:rPr>
          <w:rFonts w:hint="eastAsia" w:ascii="黑体" w:hAnsi="黑体" w:eastAsia="黑体"/>
          <w:color w:val="auto"/>
          <w:sz w:val="28"/>
          <w:szCs w:val="28"/>
          <w:highlight w:val="none"/>
        </w:rPr>
      </w:pPr>
      <w:r>
        <w:rPr>
          <w:rFonts w:hint="eastAsia" w:ascii="黑体" w:hAnsi="黑体" w:eastAsia="黑体"/>
          <w:color w:val="auto"/>
          <w:sz w:val="28"/>
          <w:szCs w:val="28"/>
          <w:highlight w:val="none"/>
        </w:rPr>
        <w:t>九、其他事项</w:t>
      </w:r>
      <w:bookmarkEnd w:id="69"/>
    </w:p>
    <w:p>
      <w:pPr>
        <w:spacing w:line="500" w:lineRule="exact"/>
        <w:ind w:firstLine="560" w:firstLineChars="200"/>
        <w:outlineLvl w:val="9"/>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（一）主要技术参数：</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为鼓励不同品牌的充分竞争，如某主要技术参数属于个别品牌专有，则该主要技术参数不具有限制性，供应商可对该参数进行适当调整，并说明调整的理由。</w:t>
      </w:r>
    </w:p>
    <w:p>
      <w:pPr>
        <w:spacing w:line="500" w:lineRule="exact"/>
        <w:ind w:firstLine="560" w:firstLineChars="200"/>
        <w:outlineLvl w:val="9"/>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（二）推荐品牌：</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项目中有列明的品牌、型号为优先选用的品牌、型号，磋商响应供应商也可选用其他品牌、型号替代，但替代的品牌、型号在实质性要求和条件上要相当于或优于参考品牌、型号。相当于或优于参考品牌、型号的证明材料由磋商响应供应商提供，由评委确认。磋商响应供应商未提供证明材料的，视为无效投标。</w:t>
      </w:r>
    </w:p>
    <w:p>
      <w:pPr>
        <w:spacing w:line="500" w:lineRule="exact"/>
        <w:ind w:firstLine="560" w:firstLineChars="200"/>
        <w:outlineLvl w:val="9"/>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（三）产品要求：</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产品必须是全新、未使用过的原装合格正品，完全符合采购文件规定的质量、规格和性能的要求，达到国家或行业规定的标准，实行生产许可证制度的，应提供生产许可证；属于国家强制认证的产品，必须通过认证。</w:t>
      </w:r>
    </w:p>
    <w:p>
      <w:pPr>
        <w:spacing w:line="500" w:lineRule="exact"/>
        <w:ind w:firstLine="560" w:firstLineChars="200"/>
        <w:outlineLvl w:val="9"/>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（四）产品品牌与型号：</w:t>
      </w:r>
    </w:p>
    <w:p>
      <w:pPr>
        <w:spacing w:line="500" w:lineRule="exact"/>
        <w:ind w:firstLine="560" w:firstLineChars="200"/>
        <w:rPr>
          <w:rFonts w:hint="eastAsia" w:ascii="仿宋" w:hAnsi="仿宋" w:eastAsia="仿宋"/>
          <w:color w:val="auto"/>
          <w:sz w:val="28"/>
          <w:szCs w:val="28"/>
          <w:highlight w:val="none"/>
        </w:rPr>
      </w:pPr>
      <w:r>
        <w:rPr>
          <w:rFonts w:ascii="仿宋" w:hAnsi="仿宋" w:eastAsia="仿宋"/>
          <w:color w:val="auto"/>
          <w:sz w:val="28"/>
          <w:szCs w:val="28"/>
          <w:highlight w:val="none"/>
        </w:rPr>
        <w:t>供应商响应文件中必须明确主要产品的品牌、规格型号、性能指标等内容，可附产品介绍图文资料。供应商响应文件未明确主要产品的品牌、规格型号、性能指标等内容的，视为无效响应文件。</w:t>
      </w:r>
    </w:p>
    <w:p>
      <w:pPr>
        <w:spacing w:line="500" w:lineRule="exact"/>
        <w:ind w:firstLine="560" w:firstLineChars="200"/>
        <w:outlineLvl w:val="9"/>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（五）★号条款：</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标注★号的内容（如有）为实质性要求和条件，不允许有负偏离；</w:t>
      </w:r>
    </w:p>
    <w:p>
      <w:pPr>
        <w:ind w:firstLine="560" w:firstLineChars="200"/>
        <w:jc w:val="left"/>
        <w:rPr>
          <w:rFonts w:hint="eastAsia" w:ascii="仿宋" w:hAnsi="仿宋" w:eastAsia="仿宋"/>
          <w:color w:val="auto"/>
          <w:sz w:val="28"/>
          <w:szCs w:val="28"/>
          <w:highlight w:val="none"/>
        </w:rPr>
      </w:pPr>
    </w:p>
    <w:bookmarkEnd w:id="6"/>
    <w:p>
      <w:pPr>
        <w:pStyle w:val="42"/>
        <w:spacing w:line="240" w:lineRule="auto"/>
        <w:ind w:firstLine="0"/>
        <w:jc w:val="center"/>
        <w:outlineLvl w:val="0"/>
        <w:rPr>
          <w:rFonts w:hint="eastAsia" w:ascii="方正小标宋简体" w:eastAsia="方正小标宋简体"/>
          <w:bCs/>
          <w:color w:val="auto"/>
          <w:sz w:val="32"/>
          <w:szCs w:val="32"/>
          <w:highlight w:val="none"/>
        </w:rPr>
      </w:pPr>
      <w:r>
        <w:rPr>
          <w:rFonts w:hint="eastAsia" w:ascii="方正小标宋简体" w:eastAsia="方正小标宋简体"/>
          <w:bCs/>
          <w:color w:val="auto"/>
          <w:sz w:val="32"/>
          <w:szCs w:val="32"/>
          <w:highlight w:val="none"/>
        </w:rPr>
        <w:br w:type="page"/>
      </w:r>
      <w:bookmarkStart w:id="70" w:name="_Toc11402"/>
      <w:r>
        <w:rPr>
          <w:rFonts w:hint="eastAsia" w:ascii="方正小标宋简体" w:eastAsia="方正小标宋简体"/>
          <w:bCs/>
          <w:color w:val="auto"/>
          <w:sz w:val="32"/>
          <w:szCs w:val="32"/>
          <w:highlight w:val="none"/>
        </w:rPr>
        <w:t>第三章 项目需求</w:t>
      </w:r>
      <w:bookmarkEnd w:id="70"/>
    </w:p>
    <w:p>
      <w:pPr>
        <w:spacing w:line="500" w:lineRule="exact"/>
        <w:ind w:firstLine="560" w:firstLineChars="200"/>
        <w:outlineLvl w:val="1"/>
        <w:rPr>
          <w:rFonts w:hint="eastAsia" w:ascii="黑体" w:hAnsi="黑体" w:eastAsia="黑体"/>
          <w:color w:val="auto"/>
          <w:sz w:val="28"/>
          <w:szCs w:val="28"/>
          <w:highlight w:val="none"/>
        </w:rPr>
      </w:pPr>
      <w:bookmarkStart w:id="71" w:name="_Toc6600"/>
      <w:bookmarkStart w:id="72" w:name="_Toc18851"/>
      <w:bookmarkStart w:id="73" w:name="_Toc16223"/>
      <w:bookmarkStart w:id="74" w:name="_Toc15006"/>
      <w:r>
        <w:rPr>
          <w:rFonts w:hint="eastAsia" w:ascii="黑体" w:hAnsi="黑体" w:eastAsia="黑体"/>
          <w:color w:val="auto"/>
          <w:sz w:val="28"/>
          <w:szCs w:val="28"/>
          <w:highlight w:val="none"/>
        </w:rPr>
        <w:t>一、项目简介：</w:t>
      </w:r>
      <w:bookmarkEnd w:id="71"/>
      <w:bookmarkEnd w:id="72"/>
      <w:bookmarkEnd w:id="73"/>
      <w:bookmarkEnd w:id="74"/>
    </w:p>
    <w:p>
      <w:pPr>
        <w:spacing w:line="500" w:lineRule="exact"/>
        <w:ind w:firstLine="560" w:firstLineChars="200"/>
        <w:rPr>
          <w:rFonts w:ascii="仿宋" w:hAnsi="仿宋" w:eastAsia="仿宋"/>
          <w:color w:val="auto"/>
          <w:sz w:val="28"/>
          <w:szCs w:val="28"/>
          <w:highlight w:val="none"/>
        </w:rPr>
      </w:pPr>
      <w:bookmarkStart w:id="75" w:name="_Toc22650"/>
      <w:bookmarkStart w:id="76" w:name="_Toc11369"/>
      <w:bookmarkStart w:id="77" w:name="_Toc22294"/>
      <w:r>
        <w:rPr>
          <w:rFonts w:hint="eastAsia" w:ascii="仿宋" w:hAnsi="仿宋" w:eastAsia="仿宋"/>
          <w:color w:val="auto"/>
          <w:sz w:val="28"/>
          <w:szCs w:val="28"/>
          <w:highlight w:val="none"/>
        </w:rPr>
        <w:t>本项目为</w:t>
      </w:r>
      <w:r>
        <w:rPr>
          <w:rFonts w:hint="eastAsia" w:ascii="仿宋" w:hAnsi="仿宋" w:eastAsia="仿宋"/>
          <w:color w:val="auto"/>
          <w:sz w:val="28"/>
          <w:szCs w:val="28"/>
          <w:highlight w:val="none"/>
          <w:lang w:val="en-US" w:eastAsia="zh-CN"/>
        </w:rPr>
        <w:t>高新区专职消防救援器材购置项目。</w:t>
      </w:r>
    </w:p>
    <w:p>
      <w:pPr>
        <w:numPr>
          <w:ilvl w:val="0"/>
          <w:numId w:val="2"/>
        </w:numPr>
        <w:spacing w:line="500" w:lineRule="exact"/>
        <w:ind w:firstLine="560" w:firstLineChars="200"/>
        <w:outlineLvl w:val="1"/>
        <w:rPr>
          <w:rFonts w:hint="eastAsia" w:ascii="黑体" w:hAnsi="黑体" w:eastAsia="黑体"/>
          <w:color w:val="auto"/>
          <w:sz w:val="28"/>
          <w:szCs w:val="28"/>
          <w:highlight w:val="none"/>
        </w:rPr>
      </w:pPr>
      <w:bookmarkStart w:id="78" w:name="_Toc31798"/>
      <w:r>
        <w:rPr>
          <w:rFonts w:hint="eastAsia" w:ascii="黑体" w:hAnsi="黑体" w:eastAsia="黑体"/>
          <w:color w:val="auto"/>
          <w:sz w:val="28"/>
          <w:szCs w:val="28"/>
          <w:highlight w:val="none"/>
          <w:lang w:val="en-US" w:eastAsia="zh-CN"/>
        </w:rPr>
        <w:t>采购</w:t>
      </w:r>
      <w:r>
        <w:rPr>
          <w:rFonts w:hint="eastAsia" w:ascii="黑体" w:hAnsi="黑体" w:eastAsia="黑体"/>
          <w:color w:val="auto"/>
          <w:sz w:val="28"/>
          <w:szCs w:val="28"/>
          <w:highlight w:val="none"/>
        </w:rPr>
        <w:t>内容：</w:t>
      </w:r>
      <w:bookmarkEnd w:id="75"/>
      <w:bookmarkEnd w:id="76"/>
      <w:bookmarkEnd w:id="77"/>
      <w:bookmarkEnd w:id="78"/>
    </w:p>
    <w:p>
      <w:pPr>
        <w:numPr>
          <w:ilvl w:val="0"/>
          <w:numId w:val="0"/>
        </w:numPr>
        <w:spacing w:line="500" w:lineRule="exact"/>
        <w:ind w:firstLine="1680" w:firstLineChars="600"/>
        <w:outlineLvl w:val="1"/>
        <w:rPr>
          <w:rFonts w:hint="eastAsia" w:ascii="黑体" w:hAnsi="黑体" w:eastAsia="黑体"/>
          <w:color w:val="auto"/>
          <w:sz w:val="28"/>
          <w:szCs w:val="28"/>
          <w:highlight w:val="none"/>
        </w:rPr>
      </w:pPr>
      <w:r>
        <w:rPr>
          <w:rFonts w:hint="eastAsia" w:ascii="黑体" w:hAnsi="黑体" w:eastAsia="黑体" w:cs="Times New Roman"/>
          <w:color w:val="auto"/>
          <w:kern w:val="2"/>
          <w:sz w:val="28"/>
          <w:szCs w:val="28"/>
          <w:highlight w:val="none"/>
          <w:lang w:val="en-US" w:eastAsia="zh-CN" w:bidi="ar-SA"/>
        </w:rPr>
        <w:t>高新区专职消防救援器材购置清单</w:t>
      </w:r>
    </w:p>
    <w:tbl>
      <w:tblPr>
        <w:tblStyle w:val="21"/>
        <w:tblpPr w:leftFromText="180" w:rightFromText="180" w:vertAnchor="text" w:horzAnchor="page" w:tblpX="2032" w:tblpY="538"/>
        <w:tblOverlap w:val="never"/>
        <w:tblW w:w="8297" w:type="dxa"/>
        <w:tblInd w:w="0" w:type="dxa"/>
        <w:tblLayout w:type="autofit"/>
        <w:tblCellMar>
          <w:top w:w="0" w:type="dxa"/>
          <w:left w:w="108" w:type="dxa"/>
          <w:bottom w:w="0" w:type="dxa"/>
          <w:right w:w="108" w:type="dxa"/>
        </w:tblCellMar>
      </w:tblPr>
      <w:tblGrid>
        <w:gridCol w:w="636"/>
        <w:gridCol w:w="1248"/>
        <w:gridCol w:w="5851"/>
        <w:gridCol w:w="562"/>
      </w:tblGrid>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bookmarkStart w:id="79" w:name="_Toc10022"/>
            <w:bookmarkStart w:id="80" w:name="_Toc26902"/>
            <w:bookmarkStart w:id="81" w:name="_Toc32749"/>
            <w:bookmarkStart w:id="82" w:name="_Toc18466"/>
            <w:r>
              <w:rPr>
                <w:rFonts w:hint="default"/>
                <w:color w:val="auto"/>
                <w:highlight w:val="none"/>
                <w:lang w:val="en-US" w:eastAsia="zh-CN"/>
              </w:rPr>
              <w:t>序号</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产品名称</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参数</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数量</w:t>
            </w:r>
          </w:p>
        </w:tc>
      </w:tr>
      <w:tr>
        <w:tblPrEx>
          <w:tblCellMar>
            <w:top w:w="0" w:type="dxa"/>
            <w:left w:w="108" w:type="dxa"/>
            <w:bottom w:w="0" w:type="dxa"/>
            <w:right w:w="108" w:type="dxa"/>
          </w:tblCellMar>
        </w:tblPrEx>
        <w:trPr>
          <w:trHeight w:val="4476"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消防头盔</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总体性能符合XF 44-2015《消防头盔》的标准。17式消防头盔采取多功能模块化滑轨设计。</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提供国家消防装备质量监督检验中心检测报告及认证证书</w:t>
            </w:r>
            <w:r>
              <w:rPr>
                <w:rFonts w:hint="eastAsia"/>
                <w:color w:val="auto"/>
                <w:highlight w:val="none"/>
                <w:lang w:val="en-US" w:eastAsia="zh-CN"/>
              </w:rPr>
              <w:t>复印件加盖响应供应商公章</w:t>
            </w:r>
            <w:r>
              <w:rPr>
                <w:rFonts w:hint="default"/>
                <w:color w:val="auto"/>
                <w:highlight w:val="none"/>
                <w:lang w:val="en-US" w:eastAsia="zh-CN"/>
              </w:rPr>
              <w:t>。</w:t>
            </w:r>
          </w:p>
          <w:p>
            <w:pPr>
              <w:rPr>
                <w:rFonts w:ascii="宋体" w:hAnsi="宋体" w:cs="宋体"/>
                <w:color w:val="auto"/>
                <w:szCs w:val="21"/>
                <w:highlight w:val="none"/>
              </w:rPr>
            </w:pPr>
            <w:r>
              <w:rPr>
                <w:rFonts w:hint="eastAsia" w:ascii="宋体" w:hAnsi="宋体" w:cs="宋体"/>
                <w:color w:val="auto"/>
                <w:szCs w:val="21"/>
                <w:highlight w:val="none"/>
              </w:rPr>
              <w:t>★1、结构：消防头盔为半盔，由盔壳、滑轨（可安装头灯灯架）、缓冲层、舒适衬垫、佩戴装置、面罩、披肩等组成。</w:t>
            </w:r>
          </w:p>
          <w:p>
            <w:pPr>
              <w:rPr>
                <w:rFonts w:ascii="宋体" w:hAnsi="宋体" w:cs="宋体"/>
                <w:color w:val="auto"/>
                <w:szCs w:val="21"/>
                <w:highlight w:val="none"/>
              </w:rPr>
            </w:pPr>
            <w:r>
              <w:rPr>
                <w:rFonts w:hint="eastAsia" w:ascii="宋体" w:hAnsi="宋体" w:cs="宋体"/>
                <w:color w:val="auto"/>
                <w:szCs w:val="21"/>
                <w:highlight w:val="none"/>
              </w:rPr>
              <w:t>★2、盔壳：帽壳采用耐高温阻燃PA-66尼龙改性材料一次成型制成，具有优异的防冲击、耐热辐射、阻燃、防水、防化学腐蚀、耐热耐寒、电绝缘性能。表面色泽鲜明、光洁，无污渍、气泡、缺损及其他有损外观的缺陷。</w:t>
            </w:r>
          </w:p>
          <w:p>
            <w:pPr>
              <w:rPr>
                <w:rFonts w:ascii="宋体" w:hAnsi="宋体" w:cs="宋体"/>
                <w:color w:val="auto"/>
                <w:szCs w:val="21"/>
                <w:highlight w:val="none"/>
              </w:rPr>
            </w:pPr>
            <w:r>
              <w:rPr>
                <w:rFonts w:hint="eastAsia" w:ascii="宋体" w:hAnsi="宋体" w:cs="宋体"/>
                <w:color w:val="auto"/>
                <w:szCs w:val="21"/>
                <w:highlight w:val="none"/>
              </w:rPr>
              <w:t>★3、面罩：采用透光、耐冲击、阻燃、耐高温、防雾和耐刮擦的聚亚苯基砜耐高温阻燃材质制成，具有高效防结雾性能；采用外翻直板式式设计，开合过程方便随意保持定位，向上打开最大角度90°，翻转灵活，面罩翻下时无明显视觉变形及眩晕感。面罩表面无明显擦伤或打毛痕迹，周边光滑，无棱角。</w:t>
            </w:r>
          </w:p>
          <w:p>
            <w:pPr>
              <w:rPr>
                <w:rFonts w:ascii="宋体" w:hAnsi="宋体" w:cs="宋体"/>
                <w:color w:val="auto"/>
                <w:szCs w:val="21"/>
                <w:highlight w:val="none"/>
              </w:rPr>
            </w:pPr>
            <w:r>
              <w:rPr>
                <w:rFonts w:hint="eastAsia" w:ascii="宋体" w:hAnsi="宋体" w:cs="宋体"/>
                <w:color w:val="auto"/>
                <w:szCs w:val="21"/>
                <w:highlight w:val="none"/>
              </w:rPr>
              <w:t>★4、滑轨：盔体两侧配有黑色多功能模块化滑轨，可安装头灯支架，由耐高温阻燃热塑性材料制成。</w:t>
            </w:r>
          </w:p>
          <w:p>
            <w:pPr>
              <w:rPr>
                <w:rFonts w:ascii="宋体" w:hAnsi="宋体" w:cs="宋体"/>
                <w:color w:val="auto"/>
                <w:szCs w:val="21"/>
                <w:highlight w:val="none"/>
              </w:rPr>
            </w:pPr>
            <w:r>
              <w:rPr>
                <w:rFonts w:hint="eastAsia" w:ascii="宋体" w:hAnsi="宋体" w:cs="宋体"/>
                <w:color w:val="auto"/>
                <w:szCs w:val="21"/>
                <w:highlight w:val="none"/>
              </w:rPr>
              <w:t>5、缓冲层：采用三层缓冲结构组成、黑色耐高温聚醚阻燃材质，对人体无毒、无刺激性。</w:t>
            </w:r>
          </w:p>
          <w:p>
            <w:pPr>
              <w:rPr>
                <w:rFonts w:ascii="宋体" w:hAnsi="宋体" w:cs="宋体"/>
                <w:color w:val="auto"/>
                <w:szCs w:val="21"/>
                <w:highlight w:val="none"/>
              </w:rPr>
            </w:pPr>
            <w:r>
              <w:rPr>
                <w:rFonts w:hint="eastAsia" w:ascii="宋体" w:hAnsi="宋体" w:cs="宋体"/>
                <w:color w:val="auto"/>
                <w:szCs w:val="21"/>
                <w:highlight w:val="none"/>
              </w:rPr>
              <w:t>★6、舒适衬垫：头盔顶部衬垫采用优质耐高温阻燃芳纶网状和双层牛皮（吸汗、透气、不氧化）缝制而成，四周舒适层由耐高温阻燃材料一次成型，佩戴舒适（与帽箍一体），在使用过程中可任意调节佩戴高度。</w:t>
            </w:r>
          </w:p>
          <w:p>
            <w:pPr>
              <w:rPr>
                <w:rFonts w:ascii="宋体" w:hAnsi="宋体" w:cs="宋体"/>
                <w:color w:val="auto"/>
                <w:szCs w:val="21"/>
                <w:highlight w:val="none"/>
              </w:rPr>
            </w:pPr>
            <w:r>
              <w:rPr>
                <w:rFonts w:hint="eastAsia" w:ascii="宋体" w:hAnsi="宋体" w:cs="宋体"/>
                <w:color w:val="auto"/>
                <w:szCs w:val="21"/>
                <w:highlight w:val="none"/>
              </w:rPr>
              <w:t>★7、佩戴装置：帽箍和系带为耐高温阻燃材质，帽箍材质为阻燃耐高温尼龙PA-66改性材料制成，系带为高强度芳纶阻燃材料制成。在盔体后沿下侧设有头围调节旋钮，调节范围（51-63cm），为了增强头盔佩戴稳定性，头盔两侧系带采用三角形设计。下颏带装配可单手解脱快脱插扣，为了预防高温后快脱插扣金属部分烫伤皮肤，特在插扣金属处缝制芳纶带隔热。</w:t>
            </w:r>
          </w:p>
          <w:p>
            <w:pPr>
              <w:rPr>
                <w:rFonts w:ascii="宋体" w:hAnsi="宋体" w:cs="宋体"/>
                <w:color w:val="auto"/>
                <w:szCs w:val="21"/>
                <w:highlight w:val="none"/>
              </w:rPr>
            </w:pPr>
            <w:r>
              <w:rPr>
                <w:rFonts w:hint="eastAsia" w:ascii="宋体" w:hAnsi="宋体" w:cs="宋体"/>
                <w:color w:val="auto"/>
                <w:szCs w:val="21"/>
                <w:highlight w:val="none"/>
              </w:rPr>
              <w:t>1）下颏带采用芳纶抗拉阻燃材料，宽度＞20mm，搭配有快速调节搭扣，可调节佩戴松紧。</w:t>
            </w:r>
          </w:p>
          <w:p>
            <w:pPr>
              <w:rPr>
                <w:rFonts w:ascii="宋体" w:hAnsi="宋体" w:cs="宋体"/>
                <w:color w:val="auto"/>
                <w:szCs w:val="21"/>
                <w:highlight w:val="none"/>
              </w:rPr>
            </w:pPr>
            <w:r>
              <w:rPr>
                <w:rFonts w:hint="eastAsia" w:ascii="宋体" w:hAnsi="宋体" w:cs="宋体"/>
                <w:color w:val="auto"/>
                <w:szCs w:val="21"/>
                <w:highlight w:val="none"/>
              </w:rPr>
              <w:t>2）下颏带阻燃性能：损毁长度9mm，续燃时间0s；无熔融、滴落现象。</w:t>
            </w:r>
          </w:p>
          <w:p>
            <w:pPr>
              <w:rPr>
                <w:rFonts w:ascii="宋体" w:hAnsi="宋体" w:cs="宋体"/>
                <w:color w:val="auto"/>
                <w:szCs w:val="21"/>
                <w:highlight w:val="none"/>
              </w:rPr>
            </w:pPr>
            <w:r>
              <w:rPr>
                <w:rFonts w:hint="eastAsia" w:ascii="宋体" w:hAnsi="宋体" w:cs="宋体"/>
                <w:color w:val="auto"/>
                <w:szCs w:val="21"/>
                <w:highlight w:val="none"/>
              </w:rPr>
              <w:t>★8、披肩：为装卸式，可快速拆卸安装，披肩由三层材料缝制而成，外层为藏蓝色防水处理芳纶布，中层为隔热反辐射铝箔布，舒适层为芳纶阻燃面料，为了防止在运动中披肩摆动，特在披肩下角处和下颏带连接处缝制魔术贴固定。披肩长60cm，宽26cm, 可完全覆盖消防员肩部与颈部，采用折叠式设计，可随意张开。</w:t>
            </w:r>
          </w:p>
          <w:p>
            <w:pPr>
              <w:rPr>
                <w:rFonts w:ascii="宋体" w:hAnsi="宋体" w:cs="宋体"/>
                <w:color w:val="auto"/>
                <w:szCs w:val="21"/>
                <w:highlight w:val="none"/>
              </w:rPr>
            </w:pPr>
            <w:r>
              <w:rPr>
                <w:rFonts w:hint="eastAsia" w:ascii="宋体" w:hAnsi="宋体" w:cs="宋体"/>
                <w:color w:val="auto"/>
                <w:szCs w:val="21"/>
                <w:highlight w:val="none"/>
              </w:rPr>
              <w:t>★9、反光标识：抢险救援头盔两侧粘贴弧形反光标识条带，颜色为荧光黄色，宽度为30mm，长度为230mm，弧形总高52mm。</w:t>
            </w:r>
          </w:p>
          <w:p>
            <w:pPr>
              <w:pStyle w:val="11"/>
              <w:rPr>
                <w:rFonts w:hint="default"/>
                <w:color w:val="auto"/>
                <w:highlight w:val="none"/>
                <w:lang w:val="en-US" w:eastAsia="zh-CN"/>
              </w:rPr>
            </w:pPr>
            <w:r>
              <w:rPr>
                <w:rFonts w:hint="eastAsia" w:ascii="宋体" w:hAnsi="宋体" w:cs="宋体"/>
                <w:color w:val="auto"/>
                <w:szCs w:val="21"/>
                <w:highlight w:val="none"/>
              </w:rPr>
              <w:t>★10、质量≤1070g（不包括披肩及其他附件）</w:t>
            </w:r>
          </w:p>
          <w:p>
            <w:pPr>
              <w:pStyle w:val="11"/>
              <w:rPr>
                <w:rFonts w:hint="default"/>
                <w:color w:val="auto"/>
                <w:highlight w:val="none"/>
                <w:lang w:val="en-US" w:eastAsia="zh-CN"/>
              </w:rPr>
            </w:pPr>
            <w:r>
              <w:rPr>
                <w:rFonts w:hint="default"/>
                <w:color w:val="auto"/>
                <w:highlight w:val="none"/>
                <w:lang w:val="en-US" w:eastAsia="zh-CN"/>
              </w:rPr>
              <w:t>成交后，签订合同前提供生产商授权函。</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48</w:t>
            </w:r>
          </w:p>
        </w:tc>
      </w:tr>
      <w:tr>
        <w:tblPrEx>
          <w:tblCellMar>
            <w:top w:w="0" w:type="dxa"/>
            <w:left w:w="108" w:type="dxa"/>
            <w:bottom w:w="0" w:type="dxa"/>
            <w:right w:w="108" w:type="dxa"/>
          </w:tblCellMar>
        </w:tblPrEx>
        <w:trPr>
          <w:trHeight w:val="373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eastAsia"/>
                <w:color w:val="auto"/>
                <w:highlight w:val="none"/>
                <w:lang w:val="en-US" w:eastAsia="zh-CN"/>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消防员灭火防护服</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执行XF 10-2014《消防员灭火防护服》标准；符合应急管理部消防局20式统型要求。</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提供国家消防装备质量监督检验中心检测报告及认证证书</w:t>
            </w:r>
            <w:r>
              <w:rPr>
                <w:rFonts w:hint="eastAsia"/>
                <w:color w:val="auto"/>
                <w:highlight w:val="none"/>
                <w:lang w:val="en-US" w:eastAsia="zh-CN"/>
              </w:rPr>
              <w:t>复印件加盖响应供应商单位公章</w:t>
            </w:r>
            <w:r>
              <w:rPr>
                <w:rFonts w:hint="default"/>
                <w:color w:val="auto"/>
                <w:highlight w:val="none"/>
                <w:lang w:val="en-US" w:eastAsia="zh-CN"/>
              </w:rPr>
              <w:t>。用于身体防护，具备阻燃、防水透气、隔热、防静电和标识性强等性能；颜色为藏蓝色；由外层、防水透气层（隔热层）及舒适层构成。</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外层采用芳纶阻燃面料、舒泊MVC、单位面积质量为（235±12）g/㎡）；阻燃性能：经向续燃时间0s,损耗长度≤23mm,纬向续燃时间0s,损耗长度≤21mm；断裂强力：经向≥1636N,纬向≥1459N；撕破强力：经向≥255.8N,纬向≥228.3N ；</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防水透气层（隔热层）采用芳纶无纺布+阻燃PTFE膜、DYZ14-3、单位面积质量为（160±8）g/㎡）；阻燃性能：经向续燃时间0s，损耗长度≤31mm；纬向续燃时间0s,损耗长度≤28mm；拒油性能：≥4级；</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舒适层采用芳纶粘胶阻燃面料、XV343、单位面积质量为（120±6）g/㎡；阻燃性能：经向续燃时间0s，损耗长度≤39mm；纬向续燃时间0s,损耗长度≤46mm；断裂强力：经向≥371.8N,纬向≥338.5N；</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反光标志带采用3M反光带；阻燃性能：经向续燃时间0s，损耗长度≤24mm；纬向续燃时间0s，损耗长度≤22mm；</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整套服装质量: ≤2.87kg(含粘贴式标识)</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48</w:t>
            </w:r>
          </w:p>
        </w:tc>
      </w:tr>
      <w:tr>
        <w:tblPrEx>
          <w:tblCellMar>
            <w:top w:w="0" w:type="dxa"/>
            <w:left w:w="108" w:type="dxa"/>
            <w:bottom w:w="0" w:type="dxa"/>
            <w:right w:w="108" w:type="dxa"/>
          </w:tblCellMar>
        </w:tblPrEx>
        <w:trPr>
          <w:trHeight w:val="249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阻燃头套</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 869-2010《消防员灭火防护头套》的标准要求。</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提供国家消防装备质量监督检验中心检测报告及认证证书</w:t>
            </w:r>
            <w:r>
              <w:rPr>
                <w:rFonts w:hint="eastAsia"/>
                <w:color w:val="auto"/>
                <w:highlight w:val="none"/>
                <w:lang w:val="en-US" w:eastAsia="zh-CN"/>
              </w:rPr>
              <w:t>复印件加盖响应供应商单位公章</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1、技术性能</w:t>
            </w:r>
          </w:p>
          <w:p>
            <w:pPr>
              <w:rPr>
                <w:rFonts w:hint="default"/>
                <w:color w:val="auto"/>
                <w:highlight w:val="none"/>
                <w:lang w:val="en-US" w:eastAsia="zh-CN"/>
              </w:rPr>
            </w:pPr>
            <w:r>
              <w:rPr>
                <w:rFonts w:hint="default"/>
                <w:color w:val="auto"/>
                <w:highlight w:val="none"/>
                <w:lang w:val="en-US" w:eastAsia="zh-CN"/>
              </w:rPr>
              <w:t>阻燃性能：经向续燃时间0s；损毁长度≤8mm；纬向续燃时间0s；损毁长度≤7mm；水洗尺寸变化率：直向≤2.9%；横向≤1.0%；抗起球性能：4级；接缝强力：≥916.7N；</w:t>
            </w:r>
          </w:p>
          <w:p>
            <w:pPr>
              <w:rPr>
                <w:rFonts w:hint="default"/>
                <w:color w:val="auto"/>
                <w:highlight w:val="none"/>
                <w:lang w:val="en-US" w:eastAsia="zh-CN"/>
              </w:rPr>
            </w:pPr>
            <w:r>
              <w:rPr>
                <w:rFonts w:hint="default"/>
                <w:color w:val="auto"/>
                <w:highlight w:val="none"/>
                <w:lang w:val="en-US" w:eastAsia="zh-CN"/>
              </w:rPr>
              <w:t xml:space="preserve">面部开口尺寸稳定性：≤2.0%；质量：≤154g </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54</w:t>
            </w:r>
          </w:p>
        </w:tc>
      </w:tr>
      <w:tr>
        <w:tblPrEx>
          <w:tblCellMar>
            <w:top w:w="0" w:type="dxa"/>
            <w:left w:w="108" w:type="dxa"/>
            <w:bottom w:w="0" w:type="dxa"/>
            <w:right w:w="108" w:type="dxa"/>
          </w:tblCellMar>
        </w:tblPrEx>
        <w:trPr>
          <w:trHeight w:val="2337"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消防手套</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 7-2004《消防手套》标准要求。</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提供国家消防装备质量监督检验中心检测报告及认证证书</w:t>
            </w:r>
            <w:r>
              <w:rPr>
                <w:rFonts w:hint="eastAsia"/>
                <w:color w:val="auto"/>
                <w:highlight w:val="none"/>
                <w:lang w:val="en-US" w:eastAsia="zh-CN"/>
              </w:rPr>
              <w:t>复印件加盖响应供应商单位公章</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主要用于手部防护，由外层、防水层、隔热层、衬里组成。手背缝合有宽度为不小于50mm的360°反光标志带。面料采用芳纶1313+高性能阻燃纤维材料，具备阻燃、防水透气、防静电、舒适等性能。外层面料材料：藏青色斜纹布；重量：≤0.1Kg。</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100</w:t>
            </w:r>
          </w:p>
        </w:tc>
      </w:tr>
      <w:tr>
        <w:tblPrEx>
          <w:tblCellMar>
            <w:top w:w="0" w:type="dxa"/>
            <w:left w:w="108" w:type="dxa"/>
            <w:bottom w:w="0" w:type="dxa"/>
            <w:right w:w="108" w:type="dxa"/>
          </w:tblCellMar>
        </w:tblPrEx>
        <w:trPr>
          <w:trHeight w:val="373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消防安全腰带</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符合XF 494-2004《消防用防坠落装备》的标准要求。</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提供国家消防装备质量监督检验中心检测报告及认证证书</w:t>
            </w:r>
            <w:r>
              <w:rPr>
                <w:rFonts w:hint="eastAsia"/>
                <w:color w:val="auto"/>
                <w:highlight w:val="none"/>
                <w:lang w:val="en-US" w:eastAsia="zh-CN"/>
              </w:rPr>
              <w:t>复印件加盖响应供应商单位公章</w:t>
            </w:r>
            <w:r>
              <w:rPr>
                <w:rFonts w:hint="default"/>
                <w:color w:val="auto"/>
                <w:highlight w:val="none"/>
                <w:lang w:val="en-US" w:eastAsia="zh-CN"/>
              </w:rPr>
              <w:t>。用于消防员登高作业和逃生自救用的防护装置，采用聚酰胺纤维或聚酯纤维和高强度金属件制成。安全腰带的织带为一整根结构：由织带、针扣、环扣和两个拉环等零件构成。</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织带宽度为70mm。安全腰带的缝线与织带相匹配，用肉眼易于检查；缝合接口及缝合末端回缝不少于13mm；线路、针迹顺直、整齐，无明显弯曲或堆砌，无跳针、开线、断线。腰带的带扣使安全带长度调节方便、佩戴快速且无松脱、滑落现象。经高温下不出现熔融、焦化现象。所有金属件耐腐蚀，防静电。</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设计负荷：≥1.33kN；腰带质量：≤0.85kg</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50</w:t>
            </w:r>
          </w:p>
        </w:tc>
      </w:tr>
      <w:tr>
        <w:tblPrEx>
          <w:tblCellMar>
            <w:top w:w="0" w:type="dxa"/>
            <w:left w:w="108" w:type="dxa"/>
            <w:bottom w:w="0" w:type="dxa"/>
            <w:right w:w="108" w:type="dxa"/>
          </w:tblCellMar>
        </w:tblPrEx>
        <w:trPr>
          <w:trHeight w:val="2426"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消防员灭火防护靴</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总体性能符合XF 6-2004《消防员灭火防护靴》标准；17式消防员灭火防护靴（橡胶）；由靴帮和靴底构成，主体颜色为黑色和黄色，主要材质为耐高温阻燃耐酸碱橡胶，</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提供国家消防装备质量监督检验中心检测报告及认证证书</w:t>
            </w:r>
            <w:r>
              <w:rPr>
                <w:rFonts w:hint="eastAsia"/>
                <w:color w:val="auto"/>
                <w:highlight w:val="none"/>
                <w:lang w:val="en-US" w:eastAsia="zh-CN"/>
              </w:rPr>
              <w:t>复印件加盖响应供应商单位公章</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一、款式</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整体结构。靴帮由外到里分为帮面、防切割层和隔热舒适层三层结构，靴底由上到下分为隔热舒适层、防穿刺层和靴大底三层结构，靴头部位设有保护包头。</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17式消防胶靴从靴内跟底部至靴帮后部筒口最低处的高度为300mm(±5mm)；靴筒口采用倾斜式设计，由前往后向下倾斜，前后高差20mm(±2mm)；靴帮上设有胫骨、踝骨和跖骨保护层，靴后跟部设有反光标识，筒口和靴底各设围条。</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靴帮由筒面和外头皮拼接结构，采用耐高温阻燃耐酸碱橡胶；靴帮防切割层采用经2纬3棉帆布，经2用21S双股标准全棉，纬3用7S单股标准全棉；靴帮和靴底隔热舒适层（俗称靴内衬）采用棉布和氯丁橡胶发泡海绵复合面料。</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靴底防穿刺层采用芳香族聚酰胺纤维（凯夫拉纤维）复合材料。</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保护包头采用轻质新型铝合金或非金属复合材质；反光标识。靴后跟设有三角形反光标识，采用在耐高温阻燃耐酸碱橡胶块上复合银色阻燃反光标志带。</w:t>
            </w:r>
          </w:p>
          <w:p>
            <w:pPr>
              <w:rPr>
                <w:rFonts w:hint="default"/>
                <w:color w:val="auto"/>
                <w:highlight w:val="none"/>
                <w:lang w:val="en-US" w:eastAsia="zh-CN"/>
              </w:rPr>
            </w:pPr>
            <w:r>
              <w:rPr>
                <w:rFonts w:hint="default"/>
                <w:color w:val="auto"/>
                <w:highlight w:val="none"/>
                <w:lang w:val="en-US" w:eastAsia="zh-CN"/>
              </w:rPr>
              <w:t>二、基本技术参数</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防砸性能：符合标准要求，间隙高度不应小于22～23mm；靴面抗切割性能：符合标准要求，不被割穿；</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防水性能：符合标准要求，无渗水现象；电绝缘性能：击穿电压＞5000V,泄漏电流≤1mA；</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防滑性能：始滑角≥15°；靴底抗穿刺性能：≥1820N；质量：≤2.35kg。</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60</w:t>
            </w:r>
          </w:p>
        </w:tc>
      </w:tr>
      <w:tr>
        <w:tblPrEx>
          <w:tblCellMar>
            <w:top w:w="0" w:type="dxa"/>
            <w:left w:w="108" w:type="dxa"/>
            <w:bottom w:w="0" w:type="dxa"/>
            <w:right w:w="108" w:type="dxa"/>
          </w:tblCellMar>
        </w:tblPrEx>
        <w:trPr>
          <w:trHeight w:val="303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正压式空气呼吸器</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符合国家GA124-2013标准，并通过国家消防装备质量监督检验中心检测。</w:t>
            </w:r>
            <w:r>
              <w:rPr>
                <w:rFonts w:hint="eastAsia"/>
                <w:color w:val="auto"/>
                <w:highlight w:val="none"/>
                <w:lang w:val="en-US" w:eastAsia="zh-CN"/>
              </w:rPr>
              <w:t>响应文件中须</w:t>
            </w:r>
            <w:r>
              <w:rPr>
                <w:rFonts w:hint="default"/>
                <w:color w:val="auto"/>
                <w:highlight w:val="none"/>
                <w:lang w:val="en-US" w:eastAsia="zh-CN"/>
              </w:rPr>
              <w:t>提供产品志愿性消防产品认证证书及检测报告</w:t>
            </w:r>
            <w:r>
              <w:rPr>
                <w:rFonts w:hint="eastAsia"/>
                <w:color w:val="auto"/>
                <w:highlight w:val="none"/>
                <w:lang w:val="en-US" w:eastAsia="zh-CN"/>
              </w:rPr>
              <w:t>复印件加盖响应供应商单位公章</w:t>
            </w:r>
            <w:r>
              <w:rPr>
                <w:rFonts w:hint="default"/>
                <w:color w:val="auto"/>
                <w:highlight w:val="none"/>
                <w:lang w:val="en-US" w:eastAsia="zh-CN"/>
              </w:rPr>
              <w:t>。产品由全面罩、供气阀、减压阀、导气管、警报器、背架、压力平视装置等组成为同一品牌。</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呼吸器工作压力：30MPa</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起始报警压力：5.0～6.0MPa</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一级调压器输出压力：0.7MPa</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尺寸：520x350x240 mm</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设备整套重量：约 8 Kg(未充气)</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呼吸供气流量：≥500L/min</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呼吸阻力：&lt;4.2mbar</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气瓶水容积：6.8 L，全缠绕式碳纤复合材料:内胆采用高强度、耐腐蚀、重 量轻的铝合金材料 ，工作压力 30MPa，水压试验压力 50 MPa ，瓶口螺纹：M18X1.5，符合 EN144-2 标准气瓶重量：3.8Kg ，爆破压力达工作压力的 3.4 倍以上 ， 耐疲劳试验达 10000 次以上气瓶有安全保护膜片 ，气瓶配有阻燃橘红色保护袋。</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供气量:&gt;2040 升</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使用时间:&gt;68分钟(按耗气量30升/分计算)</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采用无线连接的压力平视装置，与空呼配合使用，压力平视显示装置由显示模块和发射模块组成， 压力平视显示装置为内置在面罩里设计，可放置在全面罩内,使用时完全不妨碍佩戴者的视线和头部的转动，且无论头部是否摆动，佩戴者都可以看到LED 的显示状态，如果不用时可以独立取下，进行消毒清洗，拆卸方便；显示模块采用多种显示功能，采用2.4G 无线传输模式,压力显示方式: 10-30MPa 显示绿灯；6-10MPa 显示黄灯；6MPa 以下显示红灯且闪烁并有两侧红灯显示；显示模块同时具有低电压报警显示功能，装置防护等级≥IP67；</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工作温度：-30 ℃ 至+60 ℃.具有光感应模块，显示LED 灯可以根据光照强度，自行调节发光度，保证使用者眼睛观察的舒适。发射模块防护等级≥IP65, 当低电量时显示红色报警。符合Ex ia IIC T4 Ga 的相关防爆要求，首次配对后，再次打开减压阀，自动开启发射模块；发射、模块与显示模块具有唯一性，而且在每次开启前无需再次配对。</w:t>
            </w:r>
          </w:p>
          <w:p>
            <w:pPr>
              <w:rPr>
                <w:rFonts w:hint="default"/>
                <w:color w:val="auto"/>
                <w:highlight w:val="none"/>
                <w:lang w:val="en-US" w:eastAsia="zh-CN"/>
              </w:rPr>
            </w:pPr>
            <w:r>
              <w:rPr>
                <w:rFonts w:hint="default"/>
                <w:color w:val="auto"/>
                <w:highlight w:val="none"/>
                <w:lang w:val="en-US" w:eastAsia="zh-CN"/>
              </w:rPr>
              <w:t>腰带上有供气阀固定座，肩带有反光条，气瓶固定带便于伸缩，带有快调锁止机构。</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呼吸面罩：全面罩封闭型，主要材料采用优质天然的Hycar 特种胶，能够耐950 度高温火焰燃烧，能承受严酷使用条件，面罩透镜采用聚碳酸脂，配有口鼻罩，内置机械通话膜片，快速连接接头，并双层密封独特止污阀设计，Kelvar 网状防火头带。</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供气阀：半球形全封闭型，主要材料采用优质Hycar 特种胶，采用增强工程材料，采用半球式结构，方便单手操作， 供气阀表面防滑橡胶条设计，耐950 度高温火焰燃烧，能承受严酷使用条件， 能够自动调节供气量,供气量：≥500L/min，一秒连接，与面罩连接快捷，具有360 度可旋转功能，即取即合。脱下供气阀与闭合阀一个动作即可完成，并同时关闭供气阀。最大限度避免浪费起源。面罩和供气阀都可以免工具拆卸方便维护。</w:t>
            </w:r>
          </w:p>
          <w:p>
            <w:pPr>
              <w:rPr>
                <w:ins w:id="0" w:author="经天纬地 公司账号 [2]" w:date="2021-12-22T11:33:59Z"/>
                <w:rFonts w:hint="default"/>
                <w:color w:val="auto"/>
                <w:highlight w:val="none"/>
                <w:lang w:val="en-US" w:eastAsia="zh-CN"/>
              </w:rPr>
            </w:pPr>
            <w:r>
              <w:rPr>
                <w:rFonts w:hint="default"/>
                <w:color w:val="auto"/>
                <w:highlight w:val="none"/>
                <w:lang w:val="en-US" w:eastAsia="zh-CN"/>
              </w:rPr>
              <w:t>成交后，签订合同前提供生产商授权函。</w:t>
            </w:r>
          </w:p>
          <w:p>
            <w:pPr>
              <w:pStyle w:val="17"/>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25</w:t>
            </w:r>
          </w:p>
        </w:tc>
      </w:tr>
      <w:tr>
        <w:tblPrEx>
          <w:tblCellMar>
            <w:top w:w="0" w:type="dxa"/>
            <w:left w:w="108" w:type="dxa"/>
            <w:bottom w:w="0" w:type="dxa"/>
            <w:right w:w="108" w:type="dxa"/>
          </w:tblCellMar>
        </w:tblPrEx>
        <w:trPr>
          <w:trHeight w:val="249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佩戴式防爆照明灯</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1.额定电压≥ 3.7V；</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2.额定容量≥ 1.9Ah；</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3.连续工作时间：强光≥4h,工作光≥8h；充电时间 3-6h；</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4.防爆标志：ExibII CT4 Gb；</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5.防护等级：IP66/IP68 ；</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6.重量：≤120g；</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 xml:space="preserve">7. </w:t>
            </w:r>
            <w:r>
              <w:rPr>
                <w:rFonts w:hint="eastAsia"/>
                <w:color w:val="auto"/>
                <w:highlight w:val="none"/>
                <w:lang w:val="en-US" w:eastAsia="zh-CN"/>
              </w:rPr>
              <w:t>响应文件中须</w:t>
            </w:r>
            <w:r>
              <w:rPr>
                <w:rFonts w:hint="default"/>
                <w:color w:val="auto"/>
                <w:highlight w:val="none"/>
                <w:lang w:val="en-US" w:eastAsia="zh-CN"/>
              </w:rPr>
              <w:t>提供防爆认证和国家消防装备质量监督检测中心检测报告</w:t>
            </w:r>
            <w:r>
              <w:rPr>
                <w:rFonts w:hint="eastAsia"/>
                <w:color w:val="auto"/>
                <w:highlight w:val="none"/>
                <w:lang w:val="en-US" w:eastAsia="zh-CN"/>
              </w:rPr>
              <w:t>复印件加盖响应供应商单位公章</w:t>
            </w:r>
            <w:r>
              <w:rPr>
                <w:rFonts w:hint="default"/>
                <w:color w:val="auto"/>
                <w:highlight w:val="none"/>
                <w:lang w:val="en-US" w:eastAsia="zh-CN"/>
              </w:rPr>
              <w:t>。</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40</w:t>
            </w:r>
          </w:p>
        </w:tc>
      </w:tr>
      <w:tr>
        <w:tblPrEx>
          <w:tblCellMar>
            <w:top w:w="0" w:type="dxa"/>
            <w:left w:w="108" w:type="dxa"/>
            <w:bottom w:w="0" w:type="dxa"/>
            <w:right w:w="108" w:type="dxa"/>
          </w:tblCellMar>
        </w:tblPrEx>
        <w:trPr>
          <w:trHeight w:val="526"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消防员呼救器</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一、主要特点：</w:t>
            </w:r>
          </w:p>
          <w:p>
            <w:pPr>
              <w:rPr>
                <w:rFonts w:hint="default"/>
                <w:color w:val="auto"/>
                <w:highlight w:val="none"/>
                <w:lang w:val="en-US" w:eastAsia="zh-CN"/>
              </w:rPr>
            </w:pPr>
            <w:r>
              <w:rPr>
                <w:rFonts w:hint="default"/>
                <w:color w:val="auto"/>
                <w:highlight w:val="none"/>
                <w:lang w:val="en-US" w:eastAsia="zh-CN"/>
              </w:rPr>
              <w:t>1.液晶显示屏有背光，实时显示工作时间，可在黑暗环境下工作；具有身份标签读取功能，能够对呼救器进行快速的身份与功能设定；具有高分贝声音报警和高亮度光线报警功能；</w:t>
            </w:r>
          </w:p>
          <w:p>
            <w:pPr>
              <w:rPr>
                <w:rFonts w:hint="default"/>
                <w:color w:val="auto"/>
                <w:highlight w:val="none"/>
                <w:lang w:val="en-US" w:eastAsia="zh-CN"/>
              </w:rPr>
            </w:pPr>
            <w:r>
              <w:rPr>
                <w:rFonts w:hint="default"/>
                <w:color w:val="auto"/>
                <w:highlight w:val="none"/>
                <w:lang w:val="en-US" w:eastAsia="zh-CN"/>
              </w:rPr>
              <w:t>2.防爆等级高于等于Ex ia ⅡB T3 Ga；</w:t>
            </w:r>
          </w:p>
          <w:p>
            <w:pPr>
              <w:rPr>
                <w:rFonts w:hint="default"/>
                <w:color w:val="auto"/>
                <w:highlight w:val="none"/>
                <w:lang w:val="en-US" w:eastAsia="zh-CN"/>
              </w:rPr>
            </w:pPr>
            <w:r>
              <w:rPr>
                <w:rFonts w:hint="default"/>
                <w:color w:val="auto"/>
                <w:highlight w:val="none"/>
                <w:lang w:val="en-US" w:eastAsia="zh-CN"/>
              </w:rPr>
              <w:t>3.具有环境温度检测、显示功能，当环境温度超过设定阈值后会触发高温报警；</w:t>
            </w:r>
          </w:p>
          <w:p>
            <w:pPr>
              <w:rPr>
                <w:rFonts w:hint="default"/>
                <w:color w:val="auto"/>
                <w:highlight w:val="none"/>
                <w:lang w:val="en-US" w:eastAsia="zh-CN"/>
              </w:rPr>
            </w:pPr>
            <w:r>
              <w:rPr>
                <w:rFonts w:hint="default"/>
                <w:color w:val="auto"/>
                <w:highlight w:val="none"/>
                <w:lang w:val="en-US" w:eastAsia="zh-CN"/>
              </w:rPr>
              <w:t>4.具有电池电量检测、显示功能，当电池电量不足时会发出低电量报警。若电池电量不足，设备下次将无法开启；</w:t>
            </w:r>
          </w:p>
          <w:p>
            <w:pPr>
              <w:rPr>
                <w:rFonts w:hint="default"/>
                <w:color w:val="auto"/>
                <w:highlight w:val="none"/>
                <w:lang w:val="en-US" w:eastAsia="zh-CN"/>
              </w:rPr>
            </w:pPr>
            <w:r>
              <w:rPr>
                <w:rFonts w:hint="default"/>
                <w:color w:val="auto"/>
                <w:highlight w:val="none"/>
                <w:lang w:val="en-US" w:eastAsia="zh-CN"/>
              </w:rPr>
              <w:t xml:space="preserve">5.可接收来自于网络指控中心站的撤离命令，呼救器会进行声光报警；使用者可以对撤离命令进行远程确认；自动报警与手动报警相结合。可以通过手动报警按钮主动发出声光报警； </w:t>
            </w:r>
          </w:p>
          <w:p>
            <w:pPr>
              <w:rPr>
                <w:rFonts w:hint="default"/>
                <w:color w:val="auto"/>
                <w:highlight w:val="none"/>
                <w:lang w:val="en-US" w:eastAsia="zh-CN"/>
              </w:rPr>
            </w:pPr>
            <w:r>
              <w:rPr>
                <w:rFonts w:hint="default"/>
                <w:color w:val="auto"/>
                <w:highlight w:val="none"/>
                <w:lang w:val="en-US" w:eastAsia="zh-CN"/>
              </w:rPr>
              <w:t>二、技术参数：</w:t>
            </w:r>
          </w:p>
          <w:p>
            <w:pPr>
              <w:rPr>
                <w:rFonts w:hint="default"/>
                <w:color w:val="auto"/>
                <w:highlight w:val="none"/>
                <w:lang w:val="en-US" w:eastAsia="zh-CN"/>
              </w:rPr>
            </w:pPr>
            <w:r>
              <w:rPr>
                <w:rFonts w:hint="default"/>
                <w:color w:val="auto"/>
                <w:highlight w:val="none"/>
                <w:lang w:val="en-US" w:eastAsia="zh-CN"/>
              </w:rPr>
              <w:t>1.发光亮度：≥300cd/㎡；允许静止时间：30s±2s；预报警时间：15s±2s；预报警声级响度：≥80dB；</w:t>
            </w:r>
          </w:p>
          <w:p>
            <w:pPr>
              <w:rPr>
                <w:rFonts w:hint="default"/>
                <w:color w:val="auto"/>
                <w:highlight w:val="none"/>
                <w:lang w:val="en-US" w:eastAsia="zh-CN"/>
              </w:rPr>
            </w:pPr>
            <w:r>
              <w:rPr>
                <w:rFonts w:hint="default"/>
                <w:color w:val="auto"/>
                <w:highlight w:val="none"/>
                <w:lang w:val="en-US" w:eastAsia="zh-CN"/>
              </w:rPr>
              <w:t>2.连续报警时间：≥600min；连续开机时间：≥24h；通信距离：≥800m（无信号阻挡及干扰）；</w:t>
            </w:r>
          </w:p>
          <w:p>
            <w:pPr>
              <w:rPr>
                <w:rFonts w:hint="default"/>
                <w:color w:val="auto"/>
                <w:highlight w:val="none"/>
                <w:lang w:val="en-US" w:eastAsia="zh-CN"/>
              </w:rPr>
            </w:pPr>
            <w:r>
              <w:rPr>
                <w:rFonts w:hint="default"/>
                <w:color w:val="auto"/>
                <w:highlight w:val="none"/>
                <w:lang w:val="en-US" w:eastAsia="zh-CN"/>
              </w:rPr>
              <w:t>3.重量：≤280g；</w:t>
            </w:r>
          </w:p>
          <w:p>
            <w:pPr>
              <w:rPr>
                <w:rFonts w:hint="default"/>
                <w:color w:val="auto"/>
                <w:highlight w:val="none"/>
                <w:lang w:val="en-US" w:eastAsia="zh-CN"/>
              </w:rPr>
            </w:pPr>
            <w:r>
              <w:rPr>
                <w:rFonts w:hint="default"/>
                <w:color w:val="auto"/>
                <w:highlight w:val="none"/>
                <w:lang w:val="en-US" w:eastAsia="zh-CN"/>
              </w:rPr>
              <w:t>4.响应文件中须提供防爆及国家级检测认证证书复印件加盖响应供应商单位公章。</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30</w:t>
            </w:r>
          </w:p>
        </w:tc>
      </w:tr>
      <w:tr>
        <w:tblPrEx>
          <w:tblCellMar>
            <w:top w:w="0" w:type="dxa"/>
            <w:left w:w="108" w:type="dxa"/>
            <w:bottom w:w="0" w:type="dxa"/>
            <w:right w:w="108" w:type="dxa"/>
          </w:tblCellMar>
        </w:tblPrEx>
        <w:trPr>
          <w:trHeight w:val="280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消防轻型安全绳</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 494-2004《消防用防坠落装备》标准。安全绳为连续、夹心绳结构，主承重部分由连续纤维制成。</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提供国家消防装备质量监督检验中心检测报告及认证证书</w:t>
            </w:r>
            <w:r>
              <w:rPr>
                <w:rFonts w:hint="eastAsia"/>
                <w:color w:val="auto"/>
                <w:highlight w:val="none"/>
                <w:lang w:val="en-US" w:eastAsia="zh-CN"/>
              </w:rPr>
              <w:t>复印件加盖响应供应商单位公章</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1.轻型安全绳的最小破断强度24.76KN，当承重达到最小破断强度的10%时，安全绳的延伸率为3.4%；安全绳的直径为9.5 mm，长度20m，</w:t>
            </w:r>
          </w:p>
          <w:p>
            <w:pPr>
              <w:rPr>
                <w:rFonts w:hint="default"/>
                <w:color w:val="auto"/>
                <w:highlight w:val="none"/>
                <w:lang w:val="en-US" w:eastAsia="zh-CN"/>
              </w:rPr>
            </w:pPr>
            <w:r>
              <w:rPr>
                <w:rFonts w:hint="default"/>
                <w:color w:val="auto"/>
                <w:highlight w:val="none"/>
                <w:lang w:val="en-US" w:eastAsia="zh-CN"/>
              </w:rPr>
              <w:t>2.耐高温性能：经204℃±5℃的耐高温性能时，安全绳不会出现融熔、焦化现象；</w:t>
            </w:r>
          </w:p>
          <w:p>
            <w:pPr>
              <w:rPr>
                <w:rFonts w:hint="default"/>
                <w:color w:val="auto"/>
                <w:highlight w:val="none"/>
                <w:lang w:val="en-US" w:eastAsia="zh-CN"/>
              </w:rPr>
            </w:pPr>
            <w:r>
              <w:rPr>
                <w:rFonts w:hint="default"/>
                <w:color w:val="auto"/>
                <w:highlight w:val="none"/>
                <w:lang w:val="en-US" w:eastAsia="zh-CN"/>
              </w:rPr>
              <w:t>3.质量：≤1.5Kg。</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40</w:t>
            </w:r>
          </w:p>
        </w:tc>
      </w:tr>
      <w:tr>
        <w:tblPrEx>
          <w:tblCellMar>
            <w:top w:w="0" w:type="dxa"/>
            <w:left w:w="108" w:type="dxa"/>
            <w:bottom w:w="0" w:type="dxa"/>
            <w:right w:w="108" w:type="dxa"/>
          </w:tblCellMar>
        </w:tblPrEx>
        <w:trPr>
          <w:trHeight w:val="2169"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消防腰斧腰斧套</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 630-2006《消防腰斧》标准要求。具备能砍、能凿、能撬等性能。腰斧各刃部及撬口均经热处理，硬度达到48HRC-56HRC，平刃能砍断直径6.5mm的Q235A圆钢，尖刃和柄刃能凿击Q235A钢平板，无缺刃、卷边和裂纹等损伤。具备抗冲击、耐腐蚀性能。质量：≤0.87kg。</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30</w:t>
            </w:r>
          </w:p>
        </w:tc>
      </w:tr>
      <w:tr>
        <w:tblPrEx>
          <w:tblCellMar>
            <w:top w:w="0" w:type="dxa"/>
            <w:left w:w="108" w:type="dxa"/>
            <w:bottom w:w="0" w:type="dxa"/>
            <w:right w:w="108" w:type="dxa"/>
          </w:tblCellMar>
        </w:tblPrEx>
        <w:trPr>
          <w:trHeight w:val="186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消防护膝、护肘</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消防员抢险作业时的膝部和肘部防护。多层结构，有效防止硬物刺伤、划破。外层应采用强度高、韧性好、耐磨的PVC、TPR（热塑性弹性材料）、TPU（热塑性聚氨酯弹性体材料）等高分子材料，内层采用无毒、防水、抗冲击性好、轻便的缓冲材料，固定装置可调节。质量：≤500g。</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24</w:t>
            </w:r>
          </w:p>
        </w:tc>
      </w:tr>
      <w:tr>
        <w:tblPrEx>
          <w:tblCellMar>
            <w:top w:w="0" w:type="dxa"/>
            <w:left w:w="108" w:type="dxa"/>
            <w:bottom w:w="0" w:type="dxa"/>
            <w:right w:w="108" w:type="dxa"/>
          </w:tblCellMar>
        </w:tblPrEx>
        <w:trPr>
          <w:trHeight w:val="6157"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抢险救援头盔</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消防员抢险救援头盔采取多功能模块化滑轨设计，总体性能符合XF 633-2006《消防员抢险救援防护服装》标准。符合17式消防员抢险救援头盔款式标识统型要求。</w:t>
            </w:r>
            <w:r>
              <w:rPr>
                <w:rFonts w:hint="eastAsia"/>
                <w:color w:val="auto"/>
                <w:highlight w:val="none"/>
                <w:lang w:val="en-US" w:eastAsia="zh-CN"/>
              </w:rPr>
              <w:t>响应文件中须提供</w:t>
            </w:r>
            <w:r>
              <w:rPr>
                <w:rFonts w:hint="default"/>
                <w:color w:val="auto"/>
                <w:highlight w:val="none"/>
                <w:lang w:val="en-US" w:eastAsia="zh-CN"/>
              </w:rPr>
              <w:t>检测报告</w:t>
            </w:r>
            <w:r>
              <w:rPr>
                <w:rFonts w:hint="eastAsia"/>
                <w:color w:val="auto"/>
                <w:highlight w:val="none"/>
                <w:lang w:val="en-US" w:eastAsia="zh-CN"/>
              </w:rPr>
              <w:t>复印件加盖响应供应商单位公章</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由盔壳、滑轨、缓冲层、舒适衬垫、佩戴装置等组成。半盔式头盔，颜色：桔红色和红色。</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盔壳：改性阻燃尼龙66材质，指挥员头盔为红色，战斗员头盔为橘红色。</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滑轨：盔体两侧设黑色多功能模块化滑轨，为改性阻燃尼龙66材质。</w:t>
            </w:r>
          </w:p>
          <w:p>
            <w:pPr>
              <w:rPr>
                <w:rFonts w:hint="default"/>
                <w:color w:val="auto"/>
                <w:highlight w:val="none"/>
                <w:lang w:val="en-US" w:eastAsia="zh-CN"/>
              </w:rPr>
            </w:pPr>
            <w:r>
              <w:rPr>
                <w:rFonts w:hint="default"/>
                <w:color w:val="auto"/>
                <w:highlight w:val="none"/>
                <w:lang w:val="en-US" w:eastAsia="zh-CN"/>
              </w:rPr>
              <w:t>4</w:t>
            </w:r>
            <w:r>
              <w:rPr>
                <w:rFonts w:hint="eastAsia"/>
                <w:color w:val="auto"/>
                <w:highlight w:val="none"/>
                <w:lang w:val="en-US" w:eastAsia="zh-CN"/>
              </w:rPr>
              <w:t>、</w:t>
            </w:r>
            <w:r>
              <w:rPr>
                <w:rFonts w:hint="default"/>
                <w:color w:val="auto"/>
                <w:highlight w:val="none"/>
                <w:lang w:val="en-US" w:eastAsia="zh-CN"/>
              </w:rPr>
              <w:t>缓冲层：聚苯乙烯发泡树脂材质，颜色为黑色。</w:t>
            </w:r>
          </w:p>
          <w:p>
            <w:pPr>
              <w:rPr>
                <w:rFonts w:hint="default"/>
                <w:color w:val="auto"/>
                <w:highlight w:val="none"/>
                <w:lang w:val="en-US" w:eastAsia="zh-CN"/>
              </w:rPr>
            </w:pPr>
            <w:r>
              <w:rPr>
                <w:rFonts w:hint="eastAsia"/>
                <w:color w:val="auto"/>
                <w:highlight w:val="none"/>
                <w:lang w:val="en-US" w:eastAsia="zh-CN"/>
              </w:rPr>
              <w:t>5、</w:t>
            </w:r>
            <w:r>
              <w:rPr>
                <w:rFonts w:hint="default"/>
                <w:color w:val="auto"/>
                <w:highlight w:val="none"/>
                <w:lang w:val="en-US" w:eastAsia="zh-CN"/>
              </w:rPr>
              <w:t>舒适衬垫：顶部为芳纶网状衬垫，四周为革质舒适层（与帽箍一体）可调节戴帽高度。</w:t>
            </w:r>
          </w:p>
          <w:p>
            <w:pPr>
              <w:rPr>
                <w:rFonts w:hint="default"/>
                <w:color w:val="auto"/>
                <w:highlight w:val="none"/>
                <w:lang w:val="en-US" w:eastAsia="zh-CN"/>
              </w:rPr>
            </w:pPr>
            <w:r>
              <w:rPr>
                <w:rFonts w:hint="default"/>
                <w:color w:val="auto"/>
                <w:highlight w:val="none"/>
                <w:lang w:val="en-US" w:eastAsia="zh-CN"/>
              </w:rPr>
              <w:t>6</w:t>
            </w:r>
            <w:r>
              <w:rPr>
                <w:rFonts w:hint="eastAsia"/>
                <w:color w:val="auto"/>
                <w:highlight w:val="none"/>
                <w:lang w:val="en-US" w:eastAsia="zh-CN"/>
              </w:rPr>
              <w:t>、</w:t>
            </w:r>
            <w:r>
              <w:rPr>
                <w:rFonts w:hint="default"/>
                <w:color w:val="auto"/>
                <w:highlight w:val="none"/>
                <w:lang w:val="en-US" w:eastAsia="zh-CN"/>
              </w:rPr>
              <w:t>佩戴装置：包括帽箍和系带，为改性阻燃尼龙66材质。在盔体后沿下侧设头围调节旋钮，调节范围为540mm～620mm；系带可调节佩戴松紧，加装带孔透气下颏托；插扣为快脱插扣。</w:t>
            </w:r>
          </w:p>
          <w:p>
            <w:pPr>
              <w:rPr>
                <w:rFonts w:hint="default"/>
                <w:color w:val="auto"/>
                <w:highlight w:val="none"/>
                <w:lang w:val="en-US" w:eastAsia="zh-CN"/>
              </w:rPr>
            </w:pPr>
            <w:r>
              <w:rPr>
                <w:rFonts w:hint="default"/>
                <w:color w:val="auto"/>
                <w:highlight w:val="none"/>
                <w:lang w:val="en-US" w:eastAsia="zh-CN"/>
              </w:rPr>
              <w:t>7</w:t>
            </w:r>
            <w:r>
              <w:rPr>
                <w:rFonts w:hint="eastAsia"/>
                <w:color w:val="auto"/>
                <w:highlight w:val="none"/>
                <w:lang w:val="en-US" w:eastAsia="zh-CN"/>
              </w:rPr>
              <w:t>、</w:t>
            </w:r>
            <w:r>
              <w:rPr>
                <w:rFonts w:hint="default"/>
                <w:color w:val="auto"/>
                <w:highlight w:val="none"/>
                <w:lang w:val="en-US" w:eastAsia="zh-CN"/>
              </w:rPr>
              <w:t>反光标识：两侧粘贴弧形反光标识条带；所有可调节扣件全部采用黄色，为改性阻燃尼龙66材料。(含帽徽)</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25</w:t>
            </w:r>
          </w:p>
        </w:tc>
      </w:tr>
      <w:tr>
        <w:tblPrEx>
          <w:tblCellMar>
            <w:top w:w="0" w:type="dxa"/>
            <w:left w:w="108" w:type="dxa"/>
            <w:bottom w:w="0" w:type="dxa"/>
            <w:right w:w="108" w:type="dxa"/>
          </w:tblCellMar>
        </w:tblPrEx>
        <w:trPr>
          <w:trHeight w:val="6157"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抢险救援手套</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本产品执行XF 633-2006《消防员抢险救援防护服装》标准，具有防火、耐磨、隔热等性能，主要是用于扑救火灾和抢险救援过程中，保护手部安全的手套。响应文件中须提供提供国家消防装备质量监督检验中心检测报告复印件加盖响应供应商单位公章。</w:t>
            </w:r>
          </w:p>
          <w:p>
            <w:pPr>
              <w:rPr>
                <w:rFonts w:hint="default"/>
                <w:color w:val="auto"/>
                <w:highlight w:val="none"/>
                <w:lang w:val="en-US" w:eastAsia="zh-CN"/>
              </w:rPr>
            </w:pPr>
            <w:r>
              <w:rPr>
                <w:rFonts w:hint="default"/>
                <w:color w:val="auto"/>
                <w:highlight w:val="none"/>
                <w:lang w:val="en-US" w:eastAsia="zh-CN"/>
              </w:rPr>
              <w:t>一、结构</w:t>
            </w:r>
          </w:p>
          <w:p>
            <w:pPr>
              <w:rPr>
                <w:rFonts w:hint="default"/>
                <w:color w:val="auto"/>
                <w:highlight w:val="none"/>
                <w:lang w:val="en-US" w:eastAsia="zh-CN"/>
              </w:rPr>
            </w:pPr>
            <w:r>
              <w:rPr>
                <w:rFonts w:hint="default"/>
                <w:color w:val="auto"/>
                <w:highlight w:val="none"/>
                <w:lang w:val="en-US" w:eastAsia="zh-CN"/>
              </w:rPr>
              <w:t>1.消防员抢险救援防护手套由外层、内层等多层织物材料复合而成。手掌心内层加防震胶保护手掌；手背关节部位内层加防撞胶保护手背关节。掌心、手指部位缝制真皮、具有耐磨设计。手背有黄色荧光嵌条反光标志。</w:t>
            </w:r>
          </w:p>
          <w:p>
            <w:pPr>
              <w:rPr>
                <w:rFonts w:hint="default"/>
                <w:color w:val="auto"/>
                <w:highlight w:val="none"/>
                <w:lang w:val="en-US" w:eastAsia="zh-CN"/>
              </w:rPr>
            </w:pPr>
            <w:r>
              <w:rPr>
                <w:rFonts w:hint="default"/>
                <w:color w:val="auto"/>
                <w:highlight w:val="none"/>
                <w:lang w:val="en-US" w:eastAsia="zh-CN"/>
              </w:rPr>
              <w:t>二、技术要求</w:t>
            </w:r>
          </w:p>
          <w:p>
            <w:pPr>
              <w:rPr>
                <w:rFonts w:hint="default"/>
                <w:color w:val="auto"/>
                <w:highlight w:val="none"/>
                <w:lang w:val="en-US" w:eastAsia="zh-CN"/>
              </w:rPr>
            </w:pPr>
            <w:r>
              <w:rPr>
                <w:rFonts w:hint="default"/>
                <w:color w:val="auto"/>
                <w:highlight w:val="none"/>
                <w:lang w:val="en-US" w:eastAsia="zh-CN"/>
              </w:rPr>
              <w:t>1.手套本体环形延伸，并超出腕骨不少于25mm；手套口收松紧设计能限制杂物进入手套口。</w:t>
            </w:r>
          </w:p>
          <w:p>
            <w:pPr>
              <w:rPr>
                <w:rFonts w:hint="default"/>
                <w:color w:val="auto"/>
                <w:highlight w:val="none"/>
                <w:lang w:val="en-US" w:eastAsia="zh-CN"/>
              </w:rPr>
            </w:pPr>
            <w:r>
              <w:rPr>
                <w:rFonts w:hint="default"/>
                <w:color w:val="auto"/>
                <w:highlight w:val="none"/>
                <w:lang w:val="en-US" w:eastAsia="zh-CN"/>
              </w:rPr>
              <w:t>2.阻燃性能：</w:t>
            </w:r>
          </w:p>
          <w:p>
            <w:pPr>
              <w:rPr>
                <w:rFonts w:hint="default"/>
                <w:color w:val="auto"/>
                <w:highlight w:val="none"/>
                <w:lang w:val="en-US" w:eastAsia="zh-CN"/>
              </w:rPr>
            </w:pPr>
            <w:r>
              <w:rPr>
                <w:rFonts w:hint="default"/>
                <w:color w:val="auto"/>
                <w:highlight w:val="none"/>
                <w:lang w:val="en-US" w:eastAsia="zh-CN"/>
              </w:rPr>
              <w:t>掌心、背面材料：经向续燃时间0s，损耗长度≤8mm；纬向续燃时间0s，损耗长度≤8mm，均无熔融、滴落现象；</w:t>
            </w:r>
          </w:p>
          <w:p>
            <w:pPr>
              <w:rPr>
                <w:rFonts w:hint="default"/>
                <w:color w:val="auto"/>
                <w:highlight w:val="none"/>
                <w:lang w:val="en-US" w:eastAsia="zh-CN"/>
              </w:rPr>
            </w:pPr>
            <w:r>
              <w:rPr>
                <w:rFonts w:hint="default"/>
                <w:color w:val="auto"/>
                <w:highlight w:val="none"/>
                <w:lang w:val="en-US" w:eastAsia="zh-CN"/>
              </w:rPr>
              <w:t>3.撕破强力：</w:t>
            </w:r>
          </w:p>
          <w:p>
            <w:pPr>
              <w:rPr>
                <w:rFonts w:hint="default"/>
                <w:color w:val="auto"/>
                <w:highlight w:val="none"/>
                <w:lang w:val="en-US" w:eastAsia="zh-CN"/>
              </w:rPr>
            </w:pPr>
            <w:r>
              <w:rPr>
                <w:rFonts w:hint="default"/>
                <w:color w:val="auto"/>
                <w:highlight w:val="none"/>
                <w:lang w:val="en-US" w:eastAsia="zh-CN"/>
              </w:rPr>
              <w:t>掌心面材料：横向≥102.3 ，纵向≥102.2；背面材料：横向≥105.7，纵向≥104.9。</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60</w:t>
            </w:r>
          </w:p>
        </w:tc>
      </w:tr>
      <w:tr>
        <w:tblPrEx>
          <w:tblCellMar>
            <w:top w:w="0" w:type="dxa"/>
            <w:left w:w="108" w:type="dxa"/>
            <w:bottom w:w="0" w:type="dxa"/>
            <w:right w:w="108" w:type="dxa"/>
          </w:tblCellMar>
        </w:tblPrEx>
        <w:trPr>
          <w:trHeight w:val="5237"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抢险救援服（夏款）</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符合XF633-2006《消防员抢险救援防护服装》标准。服装款式符合应急管理部消防局20式消防员抢险救援防护服款式标识统型要求。颜色：橘红色。</w:t>
            </w:r>
            <w:r>
              <w:rPr>
                <w:rFonts w:hint="eastAsia"/>
                <w:color w:val="auto"/>
                <w:highlight w:val="none"/>
                <w:lang w:val="en-US" w:eastAsia="zh-CN"/>
              </w:rPr>
              <w:t>响应文件中须提供</w:t>
            </w:r>
            <w:r>
              <w:rPr>
                <w:rFonts w:hint="default"/>
                <w:color w:val="auto"/>
                <w:highlight w:val="none"/>
                <w:lang w:val="en-US" w:eastAsia="zh-CN"/>
              </w:rPr>
              <w:t>提供检测报告</w:t>
            </w:r>
            <w:r>
              <w:rPr>
                <w:rFonts w:hint="eastAsia"/>
                <w:color w:val="auto"/>
                <w:highlight w:val="none"/>
                <w:lang w:val="en-US" w:eastAsia="zh-CN"/>
              </w:rPr>
              <w:t>复印件加盖响应供应商单位公章</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1.夏季服装为衬衫式上衣配长裤设计，上衣和裤子的重叠部分不小于1,20mm，上衣采用收腰设计，衬衫式圆弧形下摆，前下摆能够束入裤腰，且弯腰时后下摆不得滑出裤腰，前后衣长差量30-50mm。</w:t>
            </w:r>
          </w:p>
          <w:p>
            <w:pPr>
              <w:rPr>
                <w:rFonts w:hint="default"/>
                <w:color w:val="auto"/>
                <w:highlight w:val="none"/>
                <w:lang w:val="en-US" w:eastAsia="zh-CN"/>
              </w:rPr>
            </w:pPr>
            <w:r>
              <w:rPr>
                <w:rFonts w:hint="default"/>
                <w:color w:val="auto"/>
                <w:highlight w:val="none"/>
                <w:lang w:val="en-US" w:eastAsia="zh-CN"/>
              </w:rPr>
              <w:t>2.防护层面料(含舒适层)：</w:t>
            </w:r>
          </w:p>
          <w:p>
            <w:pPr>
              <w:rPr>
                <w:rFonts w:hint="default"/>
                <w:color w:val="auto"/>
                <w:highlight w:val="none"/>
                <w:lang w:val="en-US" w:eastAsia="zh-CN"/>
              </w:rPr>
            </w:pPr>
            <w:r>
              <w:rPr>
                <w:rFonts w:hint="default"/>
                <w:color w:val="auto"/>
                <w:highlight w:val="none"/>
                <w:lang w:val="en-US" w:eastAsia="zh-CN"/>
              </w:rPr>
              <w:t>阻燃性能：经向续燃时间0s，损耗长度≤25mm；纬向续燃时间0s，损耗长度≤22mm，均无熔融、滴落现象；表面抗湿性能沾水等级：≥4级；断裂强力：经向≥886.4N，纬向≥852.0N；撕破强力：经向≥304.9N，纬向≥293.1N；</w:t>
            </w:r>
          </w:p>
          <w:p>
            <w:pPr>
              <w:rPr>
                <w:rFonts w:hint="default"/>
                <w:color w:val="auto"/>
                <w:highlight w:val="none"/>
                <w:lang w:val="en-US" w:eastAsia="zh-CN"/>
              </w:rPr>
            </w:pPr>
            <w:r>
              <w:rPr>
                <w:rFonts w:hint="default"/>
                <w:color w:val="auto"/>
                <w:highlight w:val="none"/>
                <w:lang w:val="en-US" w:eastAsia="zh-CN"/>
              </w:rPr>
              <w:t>3.加强材料：</w:t>
            </w:r>
          </w:p>
          <w:p>
            <w:pPr>
              <w:rPr>
                <w:rFonts w:hint="default"/>
                <w:color w:val="auto"/>
                <w:highlight w:val="none"/>
                <w:lang w:val="en-US" w:eastAsia="zh-CN"/>
              </w:rPr>
            </w:pPr>
            <w:r>
              <w:rPr>
                <w:rFonts w:hint="default"/>
                <w:color w:val="auto"/>
                <w:highlight w:val="none"/>
                <w:lang w:val="en-US" w:eastAsia="zh-CN"/>
              </w:rPr>
              <w:t>阻燃性能：经向续燃时间0s，损耗长度≤4mm；纬向续燃时间0s，损耗长度≤4mm，均无熔融、滴落现象；</w:t>
            </w:r>
          </w:p>
          <w:p>
            <w:pPr>
              <w:rPr>
                <w:rFonts w:hint="default"/>
                <w:color w:val="auto"/>
                <w:highlight w:val="none"/>
                <w:lang w:val="en-US" w:eastAsia="zh-CN"/>
              </w:rPr>
            </w:pPr>
            <w:r>
              <w:rPr>
                <w:rFonts w:hint="default"/>
                <w:color w:val="auto"/>
                <w:highlight w:val="none"/>
                <w:lang w:val="en-US" w:eastAsia="zh-CN"/>
              </w:rPr>
              <w:t>4.质量：≤1.065kg(含粘贴式标识)</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24</w:t>
            </w:r>
          </w:p>
        </w:tc>
      </w:tr>
      <w:tr>
        <w:tblPrEx>
          <w:tblCellMar>
            <w:top w:w="0" w:type="dxa"/>
            <w:left w:w="108" w:type="dxa"/>
            <w:bottom w:w="0" w:type="dxa"/>
            <w:right w:w="108" w:type="dxa"/>
          </w:tblCellMar>
        </w:tblPrEx>
        <w:trPr>
          <w:trHeight w:val="7078"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抢险救援服（冬款）</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符合XF633-2006《消防员抢险救援防护服装》标准。服装款式符合应急管理部消防局20式消防员抢险救援防护服款式标识统型要求。颜色：橘红色。</w:t>
            </w:r>
            <w:r>
              <w:rPr>
                <w:rFonts w:hint="eastAsia"/>
                <w:color w:val="auto"/>
                <w:highlight w:val="none"/>
                <w:lang w:val="en-US" w:eastAsia="zh-CN"/>
              </w:rPr>
              <w:t>响应文件中须提供</w:t>
            </w:r>
            <w:r>
              <w:rPr>
                <w:rFonts w:hint="default"/>
                <w:color w:val="auto"/>
                <w:highlight w:val="none"/>
                <w:lang w:val="en-US" w:eastAsia="zh-CN"/>
              </w:rPr>
              <w:t>提供检测报告</w:t>
            </w:r>
            <w:r>
              <w:rPr>
                <w:rFonts w:hint="eastAsia"/>
                <w:color w:val="auto"/>
                <w:highlight w:val="none"/>
                <w:lang w:val="en-US" w:eastAsia="zh-CN"/>
              </w:rPr>
              <w:t>复印件加盖响应供应商单位公章</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1.冬季服装为夹克式上衣配长裤设计，上衣和下裤经拉链连接可实现一体功能。采用三层结构，含外层、防水透气层和舒适层。</w:t>
            </w:r>
          </w:p>
          <w:p>
            <w:pPr>
              <w:rPr>
                <w:rFonts w:hint="default"/>
                <w:color w:val="auto"/>
                <w:highlight w:val="none"/>
                <w:lang w:val="en-US" w:eastAsia="zh-CN"/>
              </w:rPr>
            </w:pPr>
            <w:r>
              <w:rPr>
                <w:rFonts w:hint="default"/>
                <w:color w:val="auto"/>
                <w:highlight w:val="none"/>
                <w:lang w:val="en-US" w:eastAsia="zh-CN"/>
              </w:rPr>
              <w:t>2.防护层面料：</w:t>
            </w:r>
          </w:p>
          <w:p>
            <w:pPr>
              <w:rPr>
                <w:rFonts w:hint="default"/>
                <w:color w:val="auto"/>
                <w:highlight w:val="none"/>
                <w:lang w:val="en-US" w:eastAsia="zh-CN"/>
              </w:rPr>
            </w:pPr>
            <w:r>
              <w:rPr>
                <w:rFonts w:hint="default"/>
                <w:color w:val="auto"/>
                <w:highlight w:val="none"/>
                <w:lang w:val="en-US" w:eastAsia="zh-CN"/>
              </w:rPr>
              <w:t>阻燃性能：经向续燃时间0s，损耗长度≤25mm；纬向续燃时间0s，损耗长度≤24mm，均无熔融、滴落现象；表面抗湿性能沾水等级：≥4级；断裂强力：经向≥1067N，纬向≥1009N；撕破强力：经向≥323.6N，纬向≥236.0N；</w:t>
            </w:r>
          </w:p>
          <w:p>
            <w:pPr>
              <w:rPr>
                <w:rFonts w:hint="default"/>
                <w:color w:val="auto"/>
                <w:highlight w:val="none"/>
                <w:lang w:val="en-US" w:eastAsia="zh-CN"/>
              </w:rPr>
            </w:pPr>
            <w:r>
              <w:rPr>
                <w:rFonts w:hint="default"/>
                <w:color w:val="auto"/>
                <w:highlight w:val="none"/>
                <w:lang w:val="en-US" w:eastAsia="zh-CN"/>
              </w:rPr>
              <w:t>3.防水透气层面料：</w:t>
            </w:r>
          </w:p>
          <w:p>
            <w:pPr>
              <w:rPr>
                <w:rFonts w:hint="default"/>
                <w:color w:val="auto"/>
                <w:highlight w:val="none"/>
                <w:lang w:val="en-US" w:eastAsia="zh-CN"/>
              </w:rPr>
            </w:pPr>
            <w:r>
              <w:rPr>
                <w:rFonts w:hint="default"/>
                <w:color w:val="auto"/>
                <w:highlight w:val="none"/>
                <w:lang w:val="en-US" w:eastAsia="zh-CN"/>
              </w:rPr>
              <w:t>耐静水压：≥50kPa；拒油性能：≥4级；缩水率：经向：≤3.0%，纬向：≤2.3%</w:t>
            </w:r>
          </w:p>
          <w:p>
            <w:pPr>
              <w:rPr>
                <w:rFonts w:hint="default"/>
                <w:color w:val="auto"/>
                <w:highlight w:val="none"/>
                <w:lang w:val="en-US" w:eastAsia="zh-CN"/>
              </w:rPr>
            </w:pPr>
            <w:r>
              <w:rPr>
                <w:rFonts w:hint="default"/>
                <w:color w:val="auto"/>
                <w:highlight w:val="none"/>
                <w:lang w:val="en-US" w:eastAsia="zh-CN"/>
              </w:rPr>
              <w:t>4.舒适层面料：</w:t>
            </w:r>
          </w:p>
          <w:p>
            <w:pPr>
              <w:rPr>
                <w:rFonts w:hint="default"/>
                <w:color w:val="auto"/>
                <w:highlight w:val="none"/>
                <w:lang w:val="en-US" w:eastAsia="zh-CN"/>
              </w:rPr>
            </w:pPr>
            <w:r>
              <w:rPr>
                <w:rFonts w:hint="default"/>
                <w:color w:val="auto"/>
                <w:highlight w:val="none"/>
                <w:lang w:val="en-US" w:eastAsia="zh-CN"/>
              </w:rPr>
              <w:t>阻燃性能：经向续燃时间0s，损耗长度≤31mm；纬向续燃时间0s，损耗长度≤28mm，均无熔融、滴落现象；断裂强力：经向≥419N，纬向≥309N；</w:t>
            </w:r>
          </w:p>
          <w:p>
            <w:pPr>
              <w:rPr>
                <w:rFonts w:hint="default"/>
                <w:color w:val="auto"/>
                <w:highlight w:val="none"/>
                <w:lang w:val="en-US" w:eastAsia="zh-CN"/>
              </w:rPr>
            </w:pPr>
            <w:r>
              <w:rPr>
                <w:rFonts w:hint="default"/>
                <w:color w:val="auto"/>
                <w:highlight w:val="none"/>
                <w:lang w:val="en-US" w:eastAsia="zh-CN"/>
              </w:rPr>
              <w:t>5.加强材料</w:t>
            </w:r>
          </w:p>
          <w:p>
            <w:pPr>
              <w:rPr>
                <w:rFonts w:hint="default"/>
                <w:color w:val="auto"/>
                <w:highlight w:val="none"/>
                <w:lang w:val="en-US" w:eastAsia="zh-CN"/>
              </w:rPr>
            </w:pPr>
            <w:r>
              <w:rPr>
                <w:rFonts w:hint="default"/>
                <w:color w:val="auto"/>
                <w:highlight w:val="none"/>
                <w:lang w:val="en-US" w:eastAsia="zh-CN"/>
              </w:rPr>
              <w:t>阻燃性能：经向续燃时间0s，损耗长度≤3mm；纬向续燃时间0s，损耗长度≤3mm，均无熔融、滴落现象；</w:t>
            </w:r>
          </w:p>
          <w:p>
            <w:pPr>
              <w:rPr>
                <w:rFonts w:hint="default"/>
                <w:color w:val="auto"/>
                <w:highlight w:val="none"/>
                <w:lang w:val="en-US" w:eastAsia="zh-CN"/>
              </w:rPr>
            </w:pPr>
            <w:r>
              <w:rPr>
                <w:rFonts w:hint="default"/>
                <w:color w:val="auto"/>
                <w:highlight w:val="none"/>
                <w:lang w:val="en-US" w:eastAsia="zh-CN"/>
              </w:rPr>
              <w:t>6.质量：≤1.88kg。(含粘贴式标识)</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24</w:t>
            </w:r>
          </w:p>
        </w:tc>
      </w:tr>
      <w:tr>
        <w:tblPrEx>
          <w:tblCellMar>
            <w:top w:w="0" w:type="dxa"/>
            <w:left w:w="108" w:type="dxa"/>
            <w:bottom w:w="0" w:type="dxa"/>
            <w:right w:w="108" w:type="dxa"/>
          </w:tblCellMar>
        </w:tblPrEx>
        <w:trPr>
          <w:trHeight w:val="342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抢险救援靴</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color w:val="auto"/>
                <w:highlight w:val="none"/>
              </w:rPr>
            </w:pPr>
            <w:r>
              <w:rPr>
                <w:color w:val="auto"/>
                <w:highlight w:val="none"/>
              </w:rPr>
              <w:t>1、整靴的主体颜色应为黑色，且有醒目颜色反光标志，符合统型要求</w:t>
            </w:r>
          </w:p>
          <w:p>
            <w:pPr>
              <w:rPr>
                <w:color w:val="auto"/>
                <w:highlight w:val="none"/>
              </w:rPr>
            </w:pPr>
            <w:r>
              <w:rPr>
                <w:color w:val="auto"/>
                <w:highlight w:val="none"/>
              </w:rPr>
              <w:t>2、皮靴后跟可视部位处应有荧光绿反光标志且高于靴筒2cm±0.1。</w:t>
            </w:r>
          </w:p>
          <w:p>
            <w:pPr>
              <w:rPr>
                <w:color w:val="auto"/>
                <w:highlight w:val="none"/>
              </w:rPr>
            </w:pPr>
            <w:r>
              <w:rPr>
                <w:color w:val="auto"/>
                <w:highlight w:val="none"/>
              </w:rPr>
              <w:t>3、从靴外底起至靴口最低处的高度≥210mm。</w:t>
            </w:r>
          </w:p>
          <w:p>
            <w:pPr>
              <w:rPr>
                <w:color w:val="auto"/>
                <w:highlight w:val="none"/>
              </w:rPr>
            </w:pPr>
            <w:r>
              <w:rPr>
                <w:color w:val="auto"/>
                <w:highlight w:val="none"/>
              </w:rPr>
              <w:t>4、靴帮材料应为头层防水牛皮,靴帮内侧设有透气孔。</w:t>
            </w:r>
          </w:p>
          <w:p>
            <w:pPr>
              <w:rPr>
                <w:color w:val="auto"/>
                <w:highlight w:val="none"/>
              </w:rPr>
            </w:pPr>
            <w:r>
              <w:rPr>
                <w:color w:val="auto"/>
                <w:highlight w:val="none"/>
              </w:rPr>
              <w:t>5、脚踝：使用的回弹性较高泡绵，保护脚踝。</w:t>
            </w:r>
          </w:p>
          <w:p>
            <w:pPr>
              <w:rPr>
                <w:color w:val="auto"/>
                <w:highlight w:val="none"/>
              </w:rPr>
            </w:pPr>
            <w:r>
              <w:rPr>
                <w:color w:val="auto"/>
                <w:highlight w:val="none"/>
              </w:rPr>
              <w:t>6、鞋带：阻燃橘红色鞋带，鞋舌上方设计有储存鞋带的收拉袋。</w:t>
            </w:r>
          </w:p>
          <w:p>
            <w:pPr>
              <w:rPr>
                <w:color w:val="auto"/>
                <w:highlight w:val="none"/>
              </w:rPr>
            </w:pPr>
            <w:r>
              <w:rPr>
                <w:color w:val="auto"/>
                <w:highlight w:val="none"/>
              </w:rPr>
              <w:t>7、外底材料应为阻燃橡胶，耐油，止滑，耐酸碱，耐磨，抗高压</w:t>
            </w:r>
            <w:r>
              <w:rPr>
                <w:rFonts w:hint="eastAsia"/>
                <w:color w:val="auto"/>
                <w:highlight w:val="none"/>
              </w:rPr>
              <w:t>。</w:t>
            </w:r>
          </w:p>
          <w:p>
            <w:pPr>
              <w:rPr>
                <w:color w:val="auto"/>
                <w:highlight w:val="none"/>
              </w:rPr>
            </w:pPr>
            <w:r>
              <w:rPr>
                <w:color w:val="auto"/>
                <w:highlight w:val="none"/>
              </w:rPr>
              <w:t>8、靴头超轻树脂纤维复合塑钢防砸包头，抢险救援</w:t>
            </w:r>
            <w:r>
              <w:rPr>
                <w:rFonts w:hint="eastAsia"/>
                <w:color w:val="auto"/>
                <w:highlight w:val="none"/>
              </w:rPr>
              <w:t>靴内可防止脚趾受到冲击力。</w:t>
            </w:r>
            <w:r>
              <w:rPr>
                <w:color w:val="auto"/>
                <w:highlight w:val="none"/>
              </w:rPr>
              <w:t xml:space="preserve"> </w:t>
            </w:r>
          </w:p>
          <w:p>
            <w:pPr>
              <w:rPr>
                <w:color w:val="auto"/>
                <w:highlight w:val="none"/>
              </w:rPr>
            </w:pPr>
            <w:r>
              <w:rPr>
                <w:color w:val="auto"/>
                <w:highlight w:val="none"/>
              </w:rPr>
              <w:t>9、靴底防穿刺层采用复合纤维防穿刺材料，抗刺穿力≥1200N。靴内底防刺穿层应覆盖整个靴内底，不应位于保护包头卷边上方也不应与之接触，固定好不能有移动现象。</w:t>
            </w:r>
          </w:p>
          <w:p>
            <w:pPr>
              <w:rPr>
                <w:color w:val="auto"/>
                <w:highlight w:val="none"/>
              </w:rPr>
            </w:pPr>
            <w:r>
              <w:rPr>
                <w:color w:val="auto"/>
                <w:highlight w:val="none"/>
              </w:rPr>
              <w:t>10、靴内采用防霉抗菌吸湿排汗防臭</w:t>
            </w:r>
            <w:r>
              <w:rPr>
                <w:rFonts w:hint="eastAsia"/>
                <w:color w:val="auto"/>
                <w:highlight w:val="none"/>
              </w:rPr>
              <w:t>立体</w:t>
            </w:r>
            <w:r>
              <w:rPr>
                <w:color w:val="auto"/>
                <w:highlight w:val="none"/>
              </w:rPr>
              <w:t>缓冲鞋垫，可水洗不变形保持舒适度。</w:t>
            </w:r>
          </w:p>
          <w:p>
            <w:pPr>
              <w:rPr>
                <w:color w:val="auto"/>
                <w:highlight w:val="none"/>
              </w:rPr>
            </w:pPr>
            <w:r>
              <w:rPr>
                <w:color w:val="auto"/>
                <w:highlight w:val="none"/>
              </w:rPr>
              <w:t xml:space="preserve">11、质量：整双靴总重量质量≤1.8kg。 </w:t>
            </w:r>
          </w:p>
          <w:p>
            <w:pPr>
              <w:rPr>
                <w:color w:val="auto"/>
                <w:highlight w:val="none"/>
              </w:rPr>
            </w:pPr>
            <w:r>
              <w:rPr>
                <w:color w:val="auto"/>
                <w:highlight w:val="none"/>
              </w:rPr>
              <w:t>12、鞋子</w:t>
            </w:r>
            <w:r>
              <w:rPr>
                <w:rFonts w:hint="eastAsia"/>
                <w:color w:val="auto"/>
                <w:highlight w:val="none"/>
              </w:rPr>
              <w:t>使用滑轮鞋扣，</w:t>
            </w:r>
            <w:r>
              <w:rPr>
                <w:color w:val="auto"/>
                <w:highlight w:val="none"/>
              </w:rPr>
              <w:t>应经过防腐蚀处理</w:t>
            </w:r>
            <w:r>
              <w:rPr>
                <w:rFonts w:hint="eastAsia"/>
                <w:color w:val="auto"/>
                <w:highlight w:val="none"/>
              </w:rPr>
              <w:t>，依照统型要求，每双2</w:t>
            </w:r>
            <w:r>
              <w:rPr>
                <w:color w:val="auto"/>
                <w:highlight w:val="none"/>
              </w:rPr>
              <w:t>0</w:t>
            </w:r>
            <w:r>
              <w:rPr>
                <w:rFonts w:hint="eastAsia"/>
                <w:color w:val="auto"/>
                <w:highlight w:val="none"/>
              </w:rPr>
              <w:t>只。</w:t>
            </w:r>
            <w:r>
              <w:rPr>
                <w:color w:val="auto"/>
                <w:highlight w:val="none"/>
              </w:rPr>
              <w:t xml:space="preserve"> </w:t>
            </w:r>
          </w:p>
          <w:p>
            <w:pPr>
              <w:rPr>
                <w:color w:val="auto"/>
                <w:highlight w:val="none"/>
              </w:rPr>
            </w:pPr>
            <w:r>
              <w:rPr>
                <w:color w:val="auto"/>
                <w:highlight w:val="none"/>
              </w:rPr>
              <w:t>13、阻燃缝纫线的颜色应与外层材料相匹配</w:t>
            </w:r>
            <w:r>
              <w:rPr>
                <w:rFonts w:hint="eastAsia"/>
                <w:color w:val="auto"/>
                <w:highlight w:val="none"/>
              </w:rPr>
              <w:t>，如反光条、帮面</w:t>
            </w:r>
            <w:r>
              <w:rPr>
                <w:color w:val="auto"/>
                <w:highlight w:val="none"/>
              </w:rPr>
              <w:t>。</w:t>
            </w:r>
          </w:p>
          <w:p>
            <w:pPr>
              <w:rPr>
                <w:color w:val="auto"/>
                <w:highlight w:val="none"/>
              </w:rPr>
            </w:pPr>
            <w:r>
              <w:rPr>
                <w:color w:val="auto"/>
                <w:highlight w:val="none"/>
              </w:rPr>
              <w:t xml:space="preserve">14、靴子外腰需要有：黑底橘色字“消防救援”标志 </w:t>
            </w:r>
          </w:p>
          <w:p>
            <w:pPr>
              <w:rPr>
                <w:color w:val="auto"/>
                <w:highlight w:val="none"/>
              </w:rPr>
            </w:pPr>
            <w:r>
              <w:rPr>
                <w:color w:val="auto"/>
                <w:highlight w:val="none"/>
              </w:rPr>
              <w:t xml:space="preserve">15、救援靴靴帮与靴底的结合强度≥4.0 N/mm，如果测试时外底出现撕裂现象，则结合强度≥3.0N/mm。 </w:t>
            </w:r>
          </w:p>
          <w:p>
            <w:pPr>
              <w:rPr>
                <w:color w:val="auto"/>
                <w:highlight w:val="none"/>
              </w:rPr>
            </w:pPr>
            <w:r>
              <w:rPr>
                <w:color w:val="auto"/>
                <w:highlight w:val="none"/>
              </w:rPr>
              <w:t>16、抢险救援靴在进行防滑性能试验时，始滑角≥26°。</w:t>
            </w:r>
          </w:p>
          <w:p>
            <w:pPr>
              <w:rPr>
                <w:color w:val="auto"/>
                <w:highlight w:val="none"/>
              </w:rPr>
            </w:pPr>
            <w:r>
              <w:rPr>
                <w:color w:val="auto"/>
                <w:highlight w:val="none"/>
              </w:rPr>
              <w:t>17、抢险救援靴的击穿电压≥6000V,且泄漏电流＜0.13mA。</w:t>
            </w:r>
          </w:p>
          <w:p>
            <w:pPr>
              <w:rPr>
                <w:color w:val="auto"/>
                <w:highlight w:val="none"/>
              </w:rPr>
            </w:pPr>
            <w:r>
              <w:rPr>
                <w:color w:val="auto"/>
                <w:highlight w:val="none"/>
              </w:rPr>
              <w:t>18、</w:t>
            </w:r>
            <w:r>
              <w:rPr>
                <w:rFonts w:hint="eastAsia"/>
                <w:color w:val="auto"/>
                <w:highlight w:val="none"/>
              </w:rPr>
              <w:t>抢险救援靴在温度为（</w:t>
            </w:r>
            <w:r>
              <w:rPr>
                <w:color w:val="auto"/>
                <w:highlight w:val="none"/>
              </w:rPr>
              <w:t>180±5）℃条件下，经5min后，靴上任何部件不应产生熔滴，所有硬质附件应保持性能完好，沿圆轴弯曲时无任何龟裂。</w:t>
            </w:r>
          </w:p>
          <w:p>
            <w:pPr>
              <w:rPr>
                <w:color w:val="auto"/>
                <w:highlight w:val="none"/>
              </w:rPr>
            </w:pPr>
            <w:r>
              <w:rPr>
                <w:color w:val="auto"/>
                <w:highlight w:val="none"/>
              </w:rPr>
              <w:t>19</w:t>
            </w:r>
            <w:r>
              <w:rPr>
                <w:rFonts w:hint="eastAsia"/>
                <w:color w:val="auto"/>
                <w:highlight w:val="none"/>
              </w:rPr>
              <w:t>、抢险救援靴在隔热性能测试中</w:t>
            </w:r>
            <w:r>
              <w:rPr>
                <w:color w:val="auto"/>
                <w:highlight w:val="none"/>
              </w:rPr>
              <w:t>，经</w:t>
            </w:r>
            <w:r>
              <w:rPr>
                <w:rFonts w:hint="eastAsia"/>
                <w:color w:val="auto"/>
                <w:highlight w:val="none"/>
              </w:rPr>
              <w:t>加热</w:t>
            </w:r>
            <w:r>
              <w:rPr>
                <w:color w:val="auto"/>
                <w:highlight w:val="none"/>
              </w:rPr>
              <w:t>30min后，靴底内的温升≤7.0℃。</w:t>
            </w:r>
          </w:p>
          <w:p>
            <w:pPr>
              <w:rPr>
                <w:color w:val="auto"/>
                <w:highlight w:val="none"/>
              </w:rPr>
            </w:pPr>
            <w:r>
              <w:rPr>
                <w:color w:val="auto"/>
                <w:highlight w:val="none"/>
              </w:rPr>
              <w:t>20、抢险救援靴在</w:t>
            </w:r>
            <w:r>
              <w:rPr>
                <w:rFonts w:hint="eastAsia"/>
                <w:color w:val="auto"/>
                <w:highlight w:val="none"/>
              </w:rPr>
              <w:t>抗热辐射</w:t>
            </w:r>
            <w:r>
              <w:rPr>
                <w:color w:val="auto"/>
                <w:highlight w:val="none"/>
              </w:rPr>
              <w:t>性能试验中</w:t>
            </w:r>
            <w:r>
              <w:rPr>
                <w:rFonts w:hint="eastAsia"/>
                <w:color w:val="auto"/>
                <w:highlight w:val="none"/>
              </w:rPr>
              <w:t>1</w:t>
            </w:r>
            <w:r>
              <w:rPr>
                <w:color w:val="auto"/>
                <w:highlight w:val="none"/>
              </w:rPr>
              <w:t>K</w:t>
            </w:r>
            <w:r>
              <w:rPr>
                <w:rFonts w:hint="eastAsia"/>
                <w:color w:val="auto"/>
                <w:highlight w:val="none"/>
              </w:rPr>
              <w:t>w</w:t>
            </w:r>
            <w:r>
              <w:rPr>
                <w:color w:val="auto"/>
                <w:highlight w:val="none"/>
              </w:rPr>
              <w:t>/m2被</w:t>
            </w:r>
            <w:r>
              <w:rPr>
                <w:rFonts w:hint="eastAsia"/>
                <w:color w:val="auto"/>
                <w:highlight w:val="none"/>
              </w:rPr>
              <w:t>辐照</w:t>
            </w:r>
            <w:r>
              <w:rPr>
                <w:color w:val="auto"/>
                <w:highlight w:val="none"/>
              </w:rPr>
              <w:t>1min</w:t>
            </w:r>
            <w:r>
              <w:rPr>
                <w:rFonts w:hint="eastAsia"/>
                <w:color w:val="auto"/>
                <w:highlight w:val="none"/>
              </w:rPr>
              <w:t>后</w:t>
            </w:r>
            <w:r>
              <w:rPr>
                <w:color w:val="auto"/>
                <w:highlight w:val="none"/>
              </w:rPr>
              <w:t>，靴底内的温升≤8.6℃。</w:t>
            </w:r>
          </w:p>
          <w:p>
            <w:pPr>
              <w:rPr>
                <w:color w:val="auto"/>
                <w:highlight w:val="none"/>
              </w:rPr>
            </w:pPr>
            <w:r>
              <w:rPr>
                <w:color w:val="auto"/>
                <w:highlight w:val="none"/>
              </w:rPr>
              <w:t xml:space="preserve">21、鞋头耐压性能：内靴头间隙高度≥17.5mm。 </w:t>
            </w:r>
          </w:p>
          <w:p>
            <w:pPr>
              <w:rPr>
                <w:color w:val="auto"/>
                <w:highlight w:val="none"/>
              </w:rPr>
            </w:pPr>
            <w:r>
              <w:rPr>
                <w:color w:val="auto"/>
                <w:highlight w:val="none"/>
              </w:rPr>
              <w:t>22、鞋头抗</w:t>
            </w:r>
            <w:r>
              <w:rPr>
                <w:rFonts w:hint="eastAsia"/>
                <w:color w:val="auto"/>
                <w:highlight w:val="none"/>
              </w:rPr>
              <w:t>冲击</w:t>
            </w:r>
            <w:r>
              <w:rPr>
                <w:color w:val="auto"/>
                <w:highlight w:val="none"/>
              </w:rPr>
              <w:t xml:space="preserve">性能：内靴头间隙高度≥17mm。 </w:t>
            </w:r>
          </w:p>
          <w:p>
            <w:pPr>
              <w:rPr>
                <w:color w:val="auto"/>
                <w:highlight w:val="none"/>
              </w:rPr>
            </w:pPr>
            <w:r>
              <w:rPr>
                <w:color w:val="auto"/>
                <w:highlight w:val="none"/>
              </w:rPr>
              <w:t>23、鞋面抗穿刺性能：靴筒部位应≥143N.</w:t>
            </w:r>
          </w:p>
          <w:p>
            <w:pPr>
              <w:rPr>
                <w:color w:val="auto"/>
                <w:highlight w:val="none"/>
              </w:rPr>
            </w:pPr>
            <w:r>
              <w:rPr>
                <w:color w:val="auto"/>
                <w:highlight w:val="none"/>
              </w:rPr>
              <w:t>24、抢险救援靴靴帮一周增加特殊</w:t>
            </w:r>
            <w:r>
              <w:rPr>
                <w:rFonts w:hint="eastAsia"/>
                <w:color w:val="auto"/>
                <w:highlight w:val="none"/>
              </w:rPr>
              <w:t>热切工艺</w:t>
            </w:r>
            <w:r>
              <w:rPr>
                <w:color w:val="auto"/>
                <w:highlight w:val="none"/>
              </w:rPr>
              <w:t>材料</w:t>
            </w:r>
            <w:r>
              <w:rPr>
                <w:rFonts w:hint="eastAsia"/>
                <w:color w:val="auto"/>
                <w:highlight w:val="none"/>
              </w:rPr>
              <w:t>（非缝制）</w:t>
            </w:r>
            <w:r>
              <w:rPr>
                <w:color w:val="auto"/>
                <w:highlight w:val="none"/>
              </w:rPr>
              <w:t>，耐刮防滑。</w:t>
            </w:r>
          </w:p>
          <w:p>
            <w:pPr>
              <w:rPr>
                <w:rFonts w:hint="default"/>
                <w:color w:val="auto"/>
                <w:highlight w:val="none"/>
                <w:lang w:val="en-US" w:eastAsia="zh-CN"/>
              </w:rPr>
            </w:pPr>
            <w:r>
              <w:rPr>
                <w:color w:val="auto"/>
                <w:highlight w:val="none"/>
              </w:rPr>
              <w:t>25、靴筒外侧脚踝处设有菱形防撞块，防震并在靴筒两侧设有补强材质。</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30</w:t>
            </w:r>
          </w:p>
        </w:tc>
      </w:tr>
      <w:tr>
        <w:tblPrEx>
          <w:tblCellMar>
            <w:top w:w="0" w:type="dxa"/>
            <w:left w:w="108" w:type="dxa"/>
            <w:bottom w:w="0" w:type="dxa"/>
            <w:right w:w="108" w:type="dxa"/>
          </w:tblCellMar>
        </w:tblPrEx>
        <w:trPr>
          <w:trHeight w:val="249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消防护目镜</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 xml:space="preserve">适合军用、劳保、驾驶、医疗、钻探、野外考察等用途，具有抗冲击、耐热、耐磨性能。                              </w:t>
            </w:r>
          </w:p>
          <w:p>
            <w:pPr>
              <w:rPr>
                <w:rFonts w:hint="default"/>
                <w:color w:val="auto"/>
                <w:highlight w:val="none"/>
                <w:lang w:val="en-US" w:eastAsia="zh-CN"/>
              </w:rPr>
            </w:pPr>
            <w:r>
              <w:rPr>
                <w:rFonts w:hint="default"/>
                <w:color w:val="auto"/>
                <w:highlight w:val="none"/>
                <w:lang w:val="en-US" w:eastAsia="zh-CN"/>
              </w:rPr>
              <w:t>1.镜框采用环保无毒柔韧性强的聚氯乙烯(PVC)材料注塑而成，质软，舒适；密切贴合脸部，可同时配带近视眼镜；高性能橡筋调节，适合各种脸型；</w:t>
            </w:r>
          </w:p>
          <w:p>
            <w:pPr>
              <w:rPr>
                <w:rFonts w:hint="default"/>
                <w:color w:val="auto"/>
                <w:highlight w:val="none"/>
                <w:lang w:val="en-US" w:eastAsia="zh-CN"/>
              </w:rPr>
            </w:pPr>
            <w:r>
              <w:rPr>
                <w:rFonts w:hint="default"/>
                <w:color w:val="auto"/>
                <w:highlight w:val="none"/>
                <w:lang w:val="en-US" w:eastAsia="zh-CN"/>
              </w:rPr>
              <w:t>2.间接透气设计，防化学飞溅，防粉尘；</w:t>
            </w:r>
          </w:p>
          <w:p>
            <w:pPr>
              <w:rPr>
                <w:rFonts w:hint="default"/>
                <w:color w:val="auto"/>
                <w:highlight w:val="none"/>
                <w:lang w:val="en-US" w:eastAsia="zh-CN"/>
              </w:rPr>
            </w:pPr>
            <w:r>
              <w:rPr>
                <w:rFonts w:hint="default"/>
                <w:color w:val="auto"/>
                <w:highlight w:val="none"/>
                <w:lang w:val="en-US" w:eastAsia="zh-CN"/>
              </w:rPr>
              <w:t>3.聚碳酸脂强化镜片，防冲击，防刮擦。</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30</w:t>
            </w:r>
          </w:p>
        </w:tc>
      </w:tr>
      <w:tr>
        <w:tblPrEx>
          <w:tblCellMar>
            <w:top w:w="0" w:type="dxa"/>
            <w:left w:w="108" w:type="dxa"/>
            <w:bottom w:w="0" w:type="dxa"/>
            <w:right w:w="108" w:type="dxa"/>
          </w:tblCellMar>
        </w:tblPrEx>
        <w:trPr>
          <w:trHeight w:val="63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绳包</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color w:val="auto"/>
                <w:highlight w:val="none"/>
                <w:lang w:val="en-US" w:eastAsia="zh-CN"/>
              </w:rPr>
            </w:pPr>
            <w:r>
              <w:rPr>
                <w:rFonts w:hint="default"/>
                <w:color w:val="auto"/>
                <w:highlight w:val="none"/>
                <w:lang w:val="en-US" w:eastAsia="zh-CN"/>
              </w:rPr>
              <w:t>适合装20米绳，（插扣式软体）、牛津防水布黑色/藏蓝色。</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50</w:t>
            </w:r>
          </w:p>
        </w:tc>
      </w:tr>
      <w:tr>
        <w:tblPrEx>
          <w:tblCellMar>
            <w:top w:w="0" w:type="dxa"/>
            <w:left w:w="108" w:type="dxa"/>
            <w:bottom w:w="0" w:type="dxa"/>
            <w:right w:w="108" w:type="dxa"/>
          </w:tblCellMar>
        </w:tblPrEx>
        <w:trPr>
          <w:trHeight w:val="4237"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消防员隔热防护服</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 634-2015《消防员隔热防护服》标准。主要由铝箔复合阻燃耐高温材料制成。由头罩，上衣，背带裤，手套，隔热鞋组成。是消防员扑救辐射热较强的石油火灾和气体火灾以及冶炼、玻璃、搪瓷、水泥、化工、热电等行业高温作业时的防护服，具有重量轻、牢度强以及防水等特点；是高温条件下作业的最佳服装。玻璃纤维覆铝箔材料，具有防火隔热性能。</w:t>
            </w:r>
          </w:p>
          <w:p>
            <w:pPr>
              <w:rPr>
                <w:rFonts w:hint="default"/>
                <w:color w:val="auto"/>
                <w:highlight w:val="none"/>
                <w:lang w:val="en-US" w:eastAsia="zh-CN"/>
              </w:rPr>
            </w:pPr>
            <w:r>
              <w:rPr>
                <w:rFonts w:hint="default"/>
                <w:color w:val="auto"/>
                <w:highlight w:val="none"/>
                <w:lang w:val="en-US" w:eastAsia="zh-CN"/>
              </w:rPr>
              <w:t>由头罩，上衣，背带裤，手套，隔热鞋组成。隔热服分面料和衬里两层，面料为铝箔复合（或涂铝）阻燃织物，衬里为天然纤织物。</w:t>
            </w:r>
          </w:p>
          <w:p>
            <w:pPr>
              <w:rPr>
                <w:rFonts w:hint="default"/>
                <w:color w:val="auto"/>
                <w:highlight w:val="none"/>
                <w:lang w:val="en-US" w:eastAsia="zh-CN"/>
              </w:rPr>
            </w:pPr>
            <w:r>
              <w:rPr>
                <w:rFonts w:hint="default"/>
                <w:color w:val="auto"/>
                <w:highlight w:val="none"/>
                <w:lang w:val="en-US" w:eastAsia="zh-CN"/>
              </w:rPr>
              <w:t>阻燃性能：损毁长度≤5mm，续燃时间0s，阴燃时间0s；撕破强力：经向≥86.4N，纬向≥47N；断力强力：经向≥862.1N, 纬向≥468.6N；接缝断强力：≥500.9N；</w:t>
            </w:r>
          </w:p>
          <w:p>
            <w:pPr>
              <w:rPr>
                <w:rFonts w:hint="default"/>
                <w:color w:val="auto"/>
                <w:highlight w:val="none"/>
                <w:lang w:val="en-US" w:eastAsia="zh-CN"/>
              </w:rPr>
            </w:pPr>
            <w:r>
              <w:rPr>
                <w:rFonts w:hint="default"/>
                <w:color w:val="auto"/>
                <w:highlight w:val="none"/>
                <w:lang w:val="en-US" w:eastAsia="zh-CN"/>
              </w:rPr>
              <w:t>抗辐射热渗透性能：内表面温升≤15.5℃；长期使用不会发生铝箔脱落。在800—900摄氏度热辐射下，70%热量返回，装配牢固；全套质量：≤6kg。</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w:t>
            </w:r>
          </w:p>
        </w:tc>
      </w:tr>
      <w:tr>
        <w:tblPrEx>
          <w:tblCellMar>
            <w:top w:w="0" w:type="dxa"/>
            <w:left w:w="108" w:type="dxa"/>
            <w:bottom w:w="0" w:type="dxa"/>
            <w:right w:w="108" w:type="dxa"/>
          </w:tblCellMar>
        </w:tblPrEx>
        <w:trPr>
          <w:trHeight w:val="497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消防员避火防护服</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避火防护服应为连体式，防护整个身体，包括连体服，头罩，手套和脚套。头罩、手套和脚套必须具有与防护服相同的防火和防热功能主体面料及面料结构与防护服一致。手套为三指以上，长度≥38CM,靴套底部带加强涂层，高度≥45CM。背部必须配有空气呼吸器背囊。防护头盔内置于头罩内，通过铆钉，PC弧片与头罩相连接。</w:t>
            </w:r>
          </w:p>
          <w:p>
            <w:pPr>
              <w:rPr>
                <w:rFonts w:hint="default"/>
                <w:color w:val="auto"/>
                <w:highlight w:val="none"/>
                <w:lang w:val="en-US" w:eastAsia="zh-CN"/>
              </w:rPr>
            </w:pPr>
            <w:r>
              <w:rPr>
                <w:rFonts w:hint="default"/>
                <w:color w:val="auto"/>
                <w:highlight w:val="none"/>
                <w:lang w:val="en-US" w:eastAsia="zh-CN"/>
              </w:rPr>
              <w:t>2.整套防护服采用多层结构制成：反射镀铝外层、隔热层、衬里，整体≥7层结构，反射镀铝外层面料基布为50%芳纶/50%玻璃纤维材质应≥320g/㎡，表面镀铝箔。隔热层为100%预氧化纤维，克重应≥550g/㎡，衬里层为100%阻燃棉≥120g/㎡.镀金面屏厚度≥4mm，尺寸≥23*18cm，面屏可更换。</w:t>
            </w:r>
          </w:p>
          <w:p>
            <w:pPr>
              <w:rPr>
                <w:rFonts w:hint="default"/>
                <w:color w:val="auto"/>
                <w:highlight w:val="none"/>
                <w:lang w:val="en-US" w:eastAsia="zh-CN"/>
              </w:rPr>
            </w:pPr>
            <w:r>
              <w:rPr>
                <w:rFonts w:hint="default"/>
                <w:color w:val="auto"/>
                <w:highlight w:val="none"/>
                <w:lang w:val="en-US" w:eastAsia="zh-CN"/>
              </w:rPr>
              <w:t>3.阻燃性能（外层性能）：燃烧毁损长度：经向应≤10mm,纬向≤10mm，续燃时间：经纬向都应≤2S,无熔融、滴落.</w:t>
            </w:r>
          </w:p>
          <w:p>
            <w:pPr>
              <w:rPr>
                <w:rFonts w:hint="default"/>
                <w:color w:val="auto"/>
                <w:highlight w:val="none"/>
                <w:lang w:val="en-US" w:eastAsia="zh-CN"/>
              </w:rPr>
            </w:pPr>
            <w:r>
              <w:rPr>
                <w:rFonts w:hint="default"/>
                <w:color w:val="auto"/>
                <w:highlight w:val="none"/>
                <w:lang w:val="en-US" w:eastAsia="zh-CN"/>
              </w:rPr>
              <w:t>4.抗辐射热渗透性能：其内表面升温达到24℃的时间≥72s.</w:t>
            </w:r>
          </w:p>
          <w:p>
            <w:pPr>
              <w:rPr>
                <w:rFonts w:hint="default"/>
                <w:color w:val="auto"/>
                <w:highlight w:val="none"/>
                <w:lang w:val="en-US" w:eastAsia="zh-CN"/>
              </w:rPr>
            </w:pPr>
            <w:r>
              <w:rPr>
                <w:rFonts w:hint="default"/>
                <w:color w:val="auto"/>
                <w:highlight w:val="none"/>
                <w:lang w:val="en-US" w:eastAsia="zh-CN"/>
              </w:rPr>
              <w:t>5.重量≤11.0kg；</w:t>
            </w:r>
          </w:p>
          <w:p>
            <w:pPr>
              <w:rPr>
                <w:rFonts w:hint="default"/>
                <w:color w:val="auto"/>
                <w:highlight w:val="none"/>
                <w:lang w:val="en-US" w:eastAsia="zh-CN"/>
              </w:rPr>
            </w:pPr>
            <w:r>
              <w:rPr>
                <w:rFonts w:hint="default"/>
                <w:color w:val="auto"/>
                <w:highlight w:val="none"/>
                <w:lang w:val="en-US" w:eastAsia="zh-CN"/>
              </w:rPr>
              <w:t>.</w:t>
            </w:r>
            <w:r>
              <w:rPr>
                <w:rFonts w:hint="eastAsia"/>
                <w:color w:val="auto"/>
                <w:highlight w:val="none"/>
                <w:lang w:val="en-US" w:eastAsia="zh-CN"/>
              </w:rPr>
              <w:t>响应文件中须</w:t>
            </w:r>
            <w:r>
              <w:rPr>
                <w:rFonts w:hint="default"/>
                <w:color w:val="auto"/>
                <w:highlight w:val="none"/>
                <w:lang w:val="en-US" w:eastAsia="zh-CN"/>
              </w:rPr>
              <w:t>提供检测报告</w:t>
            </w:r>
            <w:r>
              <w:rPr>
                <w:rFonts w:hint="eastAsia"/>
                <w:color w:val="auto"/>
                <w:highlight w:val="none"/>
                <w:lang w:val="en-US" w:eastAsia="zh-CN"/>
              </w:rPr>
              <w:t>复印件加盖响应供应商单位公章</w:t>
            </w:r>
            <w:r>
              <w:rPr>
                <w:rFonts w:hint="default"/>
                <w:color w:val="auto"/>
                <w:highlight w:val="none"/>
                <w:lang w:val="en-US" w:eastAsia="zh-CN"/>
              </w:rPr>
              <w:t>。</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w:t>
            </w:r>
          </w:p>
        </w:tc>
      </w:tr>
      <w:tr>
        <w:tblPrEx>
          <w:tblCellMar>
            <w:top w:w="0" w:type="dxa"/>
            <w:left w:w="108" w:type="dxa"/>
            <w:bottom w:w="0" w:type="dxa"/>
            <w:right w:w="108" w:type="dxa"/>
          </w:tblCellMar>
        </w:tblPrEx>
        <w:trPr>
          <w:trHeight w:val="528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二级化学防护服</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 6-2004《消防员灭火防护靴》和XF 770-2008《消防员化学防护服装》标准要求。它性能优良、穿着轻便，是消防人员在弱酸碱化学物品事故现场，使用的最佳轻型防化服。</w:t>
            </w:r>
          </w:p>
          <w:p>
            <w:pPr>
              <w:rPr>
                <w:rFonts w:hint="default"/>
                <w:color w:val="auto"/>
                <w:highlight w:val="none"/>
                <w:lang w:val="en-US" w:eastAsia="zh-CN"/>
              </w:rPr>
            </w:pPr>
            <w:r>
              <w:rPr>
                <w:rFonts w:hint="default"/>
                <w:color w:val="auto"/>
                <w:highlight w:val="none"/>
                <w:lang w:val="en-US" w:eastAsia="zh-CN"/>
              </w:rPr>
              <w:t>由连体服,防化手套,防化靴组成。采用改性PVC涂层面料，具有阻燃、防酸、碱性能。</w:t>
            </w:r>
          </w:p>
          <w:p>
            <w:pPr>
              <w:rPr>
                <w:rFonts w:hint="default"/>
                <w:color w:val="auto"/>
                <w:highlight w:val="none"/>
                <w:lang w:val="en-US" w:eastAsia="zh-CN"/>
              </w:rPr>
            </w:pPr>
            <w:r>
              <w:rPr>
                <w:rFonts w:hint="default"/>
                <w:color w:val="auto"/>
                <w:highlight w:val="none"/>
                <w:lang w:val="en-US" w:eastAsia="zh-CN"/>
              </w:rPr>
              <w:t>1.面料性能：</w:t>
            </w:r>
          </w:p>
          <w:p>
            <w:pPr>
              <w:rPr>
                <w:rFonts w:hint="default"/>
                <w:color w:val="auto"/>
                <w:highlight w:val="none"/>
                <w:lang w:val="en-US" w:eastAsia="zh-CN"/>
              </w:rPr>
            </w:pPr>
            <w:r>
              <w:rPr>
                <w:rFonts w:hint="default"/>
                <w:color w:val="auto"/>
                <w:highlight w:val="none"/>
                <w:lang w:val="en-US" w:eastAsia="zh-CN"/>
              </w:rPr>
              <w:t>厚度：≥0.65mm；断裂强力：经向≥18.4kN/m、纬向≥11.8kN/m；撕破强力：经向≥65.7N、纬向≥46.9N；</w:t>
            </w:r>
          </w:p>
          <w:p>
            <w:pPr>
              <w:rPr>
                <w:rFonts w:hint="default"/>
                <w:color w:val="auto"/>
                <w:highlight w:val="none"/>
                <w:lang w:val="en-US" w:eastAsia="zh-CN"/>
              </w:rPr>
            </w:pPr>
            <w:r>
              <w:rPr>
                <w:rFonts w:hint="default"/>
                <w:color w:val="auto"/>
                <w:highlight w:val="none"/>
                <w:lang w:val="en-US" w:eastAsia="zh-CN"/>
              </w:rPr>
              <w:t>2.面料具备阻燃性能：</w:t>
            </w:r>
          </w:p>
          <w:p>
            <w:pPr>
              <w:rPr>
                <w:rFonts w:hint="default"/>
                <w:color w:val="auto"/>
                <w:highlight w:val="none"/>
                <w:lang w:val="en-US" w:eastAsia="zh-CN"/>
              </w:rPr>
            </w:pPr>
            <w:r>
              <w:rPr>
                <w:rFonts w:hint="default"/>
                <w:color w:val="auto"/>
                <w:highlight w:val="none"/>
                <w:lang w:val="en-US" w:eastAsia="zh-CN"/>
              </w:rPr>
              <w:t>有焰燃烧时间：经向≥7s,纬向≥7s；无焰燃烧时间：经向≥4s,纬向≥4s；损毁长度:经向≤8.3cm、纬向≤8.0cm；耐热老化、耐寒、耐汽油、防酸碱渗透。</w:t>
            </w:r>
          </w:p>
          <w:p>
            <w:pPr>
              <w:rPr>
                <w:rFonts w:hint="default"/>
                <w:color w:val="auto"/>
                <w:highlight w:val="none"/>
                <w:lang w:val="en-US" w:eastAsia="zh-CN"/>
              </w:rPr>
            </w:pPr>
            <w:r>
              <w:rPr>
                <w:rFonts w:hint="default"/>
                <w:color w:val="auto"/>
                <w:highlight w:val="none"/>
                <w:lang w:val="en-US" w:eastAsia="zh-CN"/>
              </w:rPr>
              <w:t>3.胶靴性能</w:t>
            </w:r>
          </w:p>
          <w:p>
            <w:pPr>
              <w:rPr>
                <w:rFonts w:hint="default"/>
                <w:color w:val="auto"/>
                <w:highlight w:val="none"/>
                <w:lang w:val="en-US" w:eastAsia="zh-CN"/>
              </w:rPr>
            </w:pPr>
            <w:r>
              <w:rPr>
                <w:rFonts w:hint="default"/>
                <w:color w:val="auto"/>
                <w:highlight w:val="none"/>
                <w:lang w:val="en-US" w:eastAsia="zh-CN"/>
              </w:rPr>
              <w:t>靴底耐穿刺性能：穿刺力≥1140N；电绝缘性能：击穿电压≥5000V；防酸碱性能：不渗透；防滑性能：始滑角≥15°；</w:t>
            </w:r>
          </w:p>
          <w:p>
            <w:pPr>
              <w:rPr>
                <w:rFonts w:hint="default"/>
                <w:color w:val="auto"/>
                <w:highlight w:val="none"/>
                <w:lang w:val="en-US" w:eastAsia="zh-CN"/>
              </w:rPr>
            </w:pPr>
            <w:r>
              <w:rPr>
                <w:rFonts w:hint="default"/>
                <w:color w:val="auto"/>
                <w:highlight w:val="none"/>
                <w:lang w:val="en-US" w:eastAsia="zh-CN"/>
              </w:rPr>
              <w:t xml:space="preserve">质量: ≤4kg </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8</w:t>
            </w:r>
          </w:p>
        </w:tc>
      </w:tr>
      <w:tr>
        <w:tblPrEx>
          <w:tblCellMar>
            <w:top w:w="0" w:type="dxa"/>
            <w:left w:w="108" w:type="dxa"/>
            <w:bottom w:w="0" w:type="dxa"/>
            <w:right w:w="108" w:type="dxa"/>
          </w:tblCellMar>
        </w:tblPrEx>
        <w:trPr>
          <w:trHeight w:val="477"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一级化学防护服</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一级化学防护服由大视窗的连体头罩、化学防护服、呼吸器背囊、防护靴、防护手套、外置接口、排气阀、等部分组成。可防化、防渗透、防酸、碱、磷、硫类等各有毒、有害气体、液体。</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一级化学防护服面料采用高性能多层聚合织物复合膜制成。采用夹层结构，内层为高强度、耐撕裂的100%无纺布，由两层隔离膜包裹，外涂聚酯涂层。无明显接缝，表面平整，没有破洞、气泡、脱层、露布、死褶的现象。接缝处采用内外双层特殊胶水缝合，并且接口处内外粘贴有与衣物面料相同的密封防护条。右侧配有约122cm的重型气密拉链。</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防化靴：对所有EN943-2:2002中所列介质具有至少480分钟的抗渗透性能。靴子和衣服为全封闭式连体气密性设计。</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防化手套：采用与防化服性能相配的专用材料，通过专用的连接装置与防化服相连，可拆卸可更换。</w:t>
            </w:r>
          </w:p>
          <w:p>
            <w:pPr>
              <w:rPr>
                <w:rFonts w:hint="default"/>
                <w:color w:val="auto"/>
                <w:highlight w:val="none"/>
                <w:lang w:val="en-US" w:eastAsia="zh-CN"/>
              </w:rPr>
            </w:pPr>
            <w:r>
              <w:rPr>
                <w:rFonts w:hint="default"/>
                <w:color w:val="auto"/>
                <w:highlight w:val="none"/>
                <w:lang w:val="en-US" w:eastAsia="zh-CN"/>
              </w:rPr>
              <w:t>4</w:t>
            </w:r>
            <w:r>
              <w:rPr>
                <w:rFonts w:hint="eastAsia"/>
                <w:color w:val="auto"/>
                <w:highlight w:val="none"/>
                <w:lang w:val="en-US" w:eastAsia="zh-CN"/>
              </w:rPr>
              <w:t>、</w:t>
            </w:r>
            <w:r>
              <w:rPr>
                <w:rFonts w:hint="default"/>
                <w:color w:val="auto"/>
                <w:highlight w:val="none"/>
                <w:lang w:val="en-US" w:eastAsia="zh-CN"/>
              </w:rPr>
              <w:t>排气阀：排气阀位于头部后方，当服装内贮积的空气达到一定压力后，排气阀自动开启泄压。</w:t>
            </w:r>
          </w:p>
          <w:p>
            <w:pPr>
              <w:rPr>
                <w:rFonts w:hint="default"/>
                <w:color w:val="auto"/>
                <w:highlight w:val="none"/>
                <w:lang w:val="en-US" w:eastAsia="zh-CN"/>
              </w:rPr>
            </w:pPr>
            <w:r>
              <w:rPr>
                <w:rFonts w:hint="default"/>
                <w:color w:val="auto"/>
                <w:highlight w:val="none"/>
                <w:lang w:val="en-US" w:eastAsia="zh-CN"/>
              </w:rPr>
              <w:t>5</w:t>
            </w:r>
            <w:r>
              <w:rPr>
                <w:rFonts w:hint="eastAsia"/>
                <w:color w:val="auto"/>
                <w:highlight w:val="none"/>
                <w:lang w:val="en-US" w:eastAsia="zh-CN"/>
              </w:rPr>
              <w:t>、</w:t>
            </w:r>
            <w:r>
              <w:rPr>
                <w:rFonts w:hint="default"/>
                <w:color w:val="auto"/>
                <w:highlight w:val="none"/>
                <w:lang w:val="en-US" w:eastAsia="zh-CN"/>
              </w:rPr>
              <w:t>具有国内省级及以上检测机关检测单位出具的检测报告</w:t>
            </w:r>
            <w:r>
              <w:rPr>
                <w:rFonts w:hint="eastAsia"/>
                <w:color w:val="auto"/>
                <w:highlight w:val="none"/>
                <w:lang w:val="en-US" w:eastAsia="zh-CN"/>
              </w:rPr>
              <w:t>复印件</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技术性能：</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整体气密性≤300Pa；贴条的黏度强度≥1.3KN/m；排气阀气密性≥15S；排气阀通气阻力：78～118；耐热老化性能：125℃×24h 不粘不脆。</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阻燃性、防火性：撤离火苗后无点燃或续燃；耐寒性能：可在-25℃±1℃温度下冷冻5min 后，无裂纹。</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靴底耐穿刺力≥1100N 胶靴绝缘性能：击穿电压≥5000V，泄漏电流﹤3mA，防滑性能：始滑角≥15。</w:t>
            </w:r>
          </w:p>
          <w:p>
            <w:pPr>
              <w:rPr>
                <w:rFonts w:hint="default"/>
                <w:color w:val="auto"/>
                <w:highlight w:val="none"/>
                <w:lang w:val="en-US" w:eastAsia="zh-CN"/>
              </w:rPr>
            </w:pPr>
            <w:r>
              <w:rPr>
                <w:rFonts w:hint="default"/>
                <w:color w:val="auto"/>
                <w:highlight w:val="none"/>
                <w:lang w:val="en-US" w:eastAsia="zh-CN"/>
              </w:rPr>
              <w:t>4</w:t>
            </w:r>
            <w:r>
              <w:rPr>
                <w:rFonts w:hint="eastAsia"/>
                <w:color w:val="auto"/>
                <w:highlight w:val="none"/>
                <w:lang w:val="en-US" w:eastAsia="zh-CN"/>
              </w:rPr>
              <w:t>、</w:t>
            </w:r>
            <w:r>
              <w:rPr>
                <w:rFonts w:hint="default"/>
                <w:color w:val="auto"/>
                <w:highlight w:val="none"/>
                <w:lang w:val="en-US" w:eastAsia="zh-CN"/>
              </w:rPr>
              <w:t>防化手套：耐穿刺力≥22N。</w:t>
            </w:r>
          </w:p>
          <w:p>
            <w:pPr>
              <w:rPr>
                <w:rFonts w:hint="default"/>
                <w:color w:val="auto"/>
                <w:highlight w:val="none"/>
                <w:lang w:val="en-US" w:eastAsia="zh-CN"/>
              </w:rPr>
            </w:pPr>
            <w:r>
              <w:rPr>
                <w:rFonts w:hint="default"/>
                <w:color w:val="auto"/>
                <w:highlight w:val="none"/>
                <w:lang w:val="en-US" w:eastAsia="zh-CN"/>
              </w:rPr>
              <w:t>5</w:t>
            </w:r>
            <w:r>
              <w:rPr>
                <w:rFonts w:hint="eastAsia"/>
                <w:color w:val="auto"/>
                <w:highlight w:val="none"/>
                <w:lang w:val="en-US" w:eastAsia="zh-CN"/>
              </w:rPr>
              <w:t>、</w:t>
            </w:r>
            <w:r>
              <w:rPr>
                <w:rFonts w:hint="default"/>
                <w:color w:val="auto"/>
                <w:highlight w:val="none"/>
                <w:lang w:val="en-US" w:eastAsia="zh-CN"/>
              </w:rPr>
              <w:t>面料和接缝位抗化学品渗透时间：≥60min。</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w:t>
            </w:r>
          </w:p>
        </w:tc>
      </w:tr>
      <w:tr>
        <w:tblPrEx>
          <w:tblCellMar>
            <w:top w:w="0" w:type="dxa"/>
            <w:left w:w="108" w:type="dxa"/>
            <w:bottom w:w="0" w:type="dxa"/>
            <w:right w:w="108" w:type="dxa"/>
          </w:tblCellMar>
        </w:tblPrEx>
        <w:trPr>
          <w:trHeight w:val="249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防蜂服</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防蜂服是消防员在摘除黄蜂窝时穿着的防止黄蜂叮咬人体的防护品。由头罩、连体服、胶靴、防穿刺手套等组成。具有防割、防酸碱，防毒液等多种防护功能。面罩由不锈钢网材料制成，透气孔及呼吸孔可有效防止黄蜂喷射毒针。</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面料的强力性能：</w:t>
            </w:r>
          </w:p>
          <w:p>
            <w:pPr>
              <w:rPr>
                <w:rFonts w:hint="default"/>
                <w:color w:val="auto"/>
                <w:highlight w:val="none"/>
                <w:lang w:val="en-US" w:eastAsia="zh-CN"/>
              </w:rPr>
            </w:pPr>
            <w:r>
              <w:rPr>
                <w:rFonts w:hint="default"/>
                <w:color w:val="auto"/>
                <w:highlight w:val="none"/>
                <w:lang w:val="en-US" w:eastAsia="zh-CN"/>
              </w:rPr>
              <w:t>断裂强力：经向≥450N；纬向≥450N；撕破强力：经向≥32N；纬向≥32N；防穿刺性能：≥60N；防割性能：≥2N；耐静水压：≥17kPa。</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w:t>
            </w:r>
          </w:p>
        </w:tc>
      </w:tr>
      <w:tr>
        <w:tblPrEx>
          <w:tblCellMar>
            <w:top w:w="0" w:type="dxa"/>
            <w:left w:w="108" w:type="dxa"/>
            <w:bottom w:w="0" w:type="dxa"/>
            <w:right w:w="108" w:type="dxa"/>
          </w:tblCellMar>
        </w:tblPrEx>
        <w:trPr>
          <w:trHeight w:val="94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内置全棉手套</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用于消防员可燃气体、粉尘、蒸气等易燃易爆场所作业时的手部内层防护装备。具备防静电、质地柔软的性能。为五指式，针织手套，可与防化手套配套使用。</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48</w:t>
            </w:r>
          </w:p>
        </w:tc>
      </w:tr>
      <w:tr>
        <w:tblPrEx>
          <w:tblCellMar>
            <w:top w:w="0" w:type="dxa"/>
            <w:left w:w="108" w:type="dxa"/>
            <w:bottom w:w="0" w:type="dxa"/>
            <w:right w:w="108" w:type="dxa"/>
          </w:tblCellMar>
        </w:tblPrEx>
        <w:trPr>
          <w:trHeight w:val="94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消防员降温背心</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符合Q/XFZB 003-2011《消防员降温背心》的标准要求。拥有国检报告，适用于消防员用的吸热降温背心。降温背心应对消防员的上身躯干提供保护，保护的范围不包括头部、手臂、下肢。颜色为桔红色。</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eastAsia"/>
                <w:color w:val="auto"/>
                <w:highlight w:val="none"/>
                <w:lang w:val="en-US" w:eastAsia="zh-CN"/>
              </w:rPr>
              <w:t>15</w:t>
            </w:r>
          </w:p>
        </w:tc>
      </w:tr>
      <w:tr>
        <w:tblPrEx>
          <w:tblCellMar>
            <w:top w:w="0" w:type="dxa"/>
            <w:left w:w="108" w:type="dxa"/>
            <w:bottom w:w="0" w:type="dxa"/>
            <w:right w:w="108" w:type="dxa"/>
          </w:tblCellMar>
        </w:tblPrEx>
        <w:trPr>
          <w:trHeight w:val="155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防静电内衣</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防静电内衣是消防员在易燃易爆场所抢险救时着装的消防防护内衣。由100%纯棉织物并经过防静电处理而成。采用高强缝线缝制，关键部位均有加固，不开缝，不开线。手感柔软，穿着舒适，符合人体最佳设计。有良好的伸缩性，洗涤后不变形。</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40</w:t>
            </w:r>
          </w:p>
        </w:tc>
      </w:tr>
      <w:tr>
        <w:tblPrEx>
          <w:tblCellMar>
            <w:top w:w="0" w:type="dxa"/>
            <w:left w:w="108" w:type="dxa"/>
            <w:bottom w:w="0" w:type="dxa"/>
            <w:right w:w="108" w:type="dxa"/>
          </w:tblCellMar>
        </w:tblPrEx>
        <w:trPr>
          <w:trHeight w:val="247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防静电服</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GB12014-2009《防静电服》用于消防员在可燃气体、粉尘、蒸气等易燃易爆场所作业时的全身外层防护服装。其材料是用65%涤纶，35%棉，带金属丝，具有防静电性能制成的夹克式服装。布料纱线含一定比例的导电纱，导电纱又是由一定比例的不锈钢纤维或其他导电纤维与普通纤维混纺制成。由于不锈钢纤维属金属纤维，因此，由它织成的防静电布料的导电性能稳定，不随衣服的洗涤次数变化。</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w:t>
            </w:r>
          </w:p>
        </w:tc>
      </w:tr>
      <w:tr>
        <w:tblPrEx>
          <w:tblCellMar>
            <w:top w:w="0" w:type="dxa"/>
            <w:left w:w="108" w:type="dxa"/>
            <w:bottom w:w="0" w:type="dxa"/>
            <w:right w:w="108" w:type="dxa"/>
          </w:tblCellMar>
        </w:tblPrEx>
        <w:trPr>
          <w:trHeight w:val="94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高温手套</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用于高温作业时手部防护，为分指式。具备隔热、耐高温、阻燃性能。符合国家相关标准。</w:t>
            </w:r>
          </w:p>
          <w:p>
            <w:pPr>
              <w:rPr>
                <w:rFonts w:hint="default"/>
                <w:color w:val="auto"/>
                <w:highlight w:val="none"/>
                <w:lang w:val="en-US" w:eastAsia="zh-CN"/>
              </w:rPr>
            </w:pPr>
            <w:r>
              <w:rPr>
                <w:rFonts w:hint="default"/>
                <w:color w:val="auto"/>
                <w:highlight w:val="none"/>
                <w:lang w:val="en-US" w:eastAsia="zh-CN"/>
              </w:rPr>
              <w:t>由碳纤维防火面料制成。</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w:t>
            </w:r>
          </w:p>
        </w:tc>
      </w:tr>
      <w:tr>
        <w:tblPrEx>
          <w:tblCellMar>
            <w:top w:w="0" w:type="dxa"/>
            <w:left w:w="108" w:type="dxa"/>
            <w:bottom w:w="0" w:type="dxa"/>
            <w:right w:w="108" w:type="dxa"/>
          </w:tblCellMar>
        </w:tblPrEx>
        <w:trPr>
          <w:trHeight w:val="4929"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消防过滤式自救呼吸器</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TZL30型消防过滤式自救呼吸器；是宾馆、办公楼、商场、银行、医院、邮电、电力、石油行业、公共娱乐场所和住宅预防火灾必备的个人防护呼吸保护装置。</w:t>
            </w:r>
          </w:p>
          <w:p>
            <w:pPr>
              <w:rPr>
                <w:rFonts w:hint="default"/>
                <w:color w:val="auto"/>
                <w:highlight w:val="none"/>
                <w:lang w:val="en-US" w:eastAsia="zh-CN"/>
              </w:rPr>
            </w:pPr>
            <w:r>
              <w:rPr>
                <w:rFonts w:hint="default"/>
                <w:color w:val="auto"/>
                <w:highlight w:val="none"/>
                <w:lang w:val="en-US" w:eastAsia="zh-CN"/>
              </w:rPr>
              <w:t>结构特点：</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消防过滤式自救呼吸器由全头罩和滤毒罐组成。</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头罩由铝箔布制成，达到防火耐高温防热辐射作用。</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面罩由天然橡胶制成，适合各种头型，与面部密封性好。</w:t>
            </w:r>
          </w:p>
          <w:p>
            <w:pPr>
              <w:rPr>
                <w:rFonts w:hint="default"/>
                <w:color w:val="auto"/>
                <w:highlight w:val="none"/>
                <w:lang w:val="en-US" w:eastAsia="zh-CN"/>
              </w:rPr>
            </w:pPr>
            <w:r>
              <w:rPr>
                <w:rFonts w:hint="default"/>
                <w:color w:val="auto"/>
                <w:highlight w:val="none"/>
                <w:lang w:val="en-US" w:eastAsia="zh-CN"/>
              </w:rPr>
              <w:t>4</w:t>
            </w:r>
            <w:r>
              <w:rPr>
                <w:rFonts w:hint="eastAsia"/>
                <w:color w:val="auto"/>
                <w:highlight w:val="none"/>
                <w:lang w:val="en-US" w:eastAsia="zh-CN"/>
              </w:rPr>
              <w:t>、</w:t>
            </w:r>
            <w:r>
              <w:rPr>
                <w:rFonts w:hint="default"/>
                <w:color w:val="auto"/>
                <w:highlight w:val="none"/>
                <w:lang w:val="en-US" w:eastAsia="zh-CN"/>
              </w:rPr>
              <w:t>单眼式大眼窗镜片。表面经特殊处理，具有开阔的视野，良好的光性能，耐磨、阻燃。</w:t>
            </w:r>
          </w:p>
          <w:p>
            <w:pPr>
              <w:rPr>
                <w:rFonts w:hint="default"/>
                <w:color w:val="auto"/>
                <w:highlight w:val="none"/>
                <w:lang w:val="en-US" w:eastAsia="zh-CN"/>
              </w:rPr>
            </w:pPr>
            <w:r>
              <w:rPr>
                <w:rFonts w:hint="default"/>
                <w:color w:val="auto"/>
                <w:highlight w:val="none"/>
                <w:lang w:val="en-US" w:eastAsia="zh-CN"/>
              </w:rPr>
              <w:t>5</w:t>
            </w:r>
            <w:r>
              <w:rPr>
                <w:rFonts w:hint="eastAsia"/>
                <w:color w:val="auto"/>
                <w:highlight w:val="none"/>
                <w:lang w:val="en-US" w:eastAsia="zh-CN"/>
              </w:rPr>
              <w:t>、</w:t>
            </w:r>
            <w:r>
              <w:rPr>
                <w:rFonts w:hint="default"/>
                <w:color w:val="auto"/>
                <w:highlight w:val="none"/>
                <w:lang w:val="en-US" w:eastAsia="zh-CN"/>
              </w:rPr>
              <w:t>滤毒罐与半面罩连接牢靠处气密性可靠。</w:t>
            </w:r>
          </w:p>
          <w:p>
            <w:pPr>
              <w:rPr>
                <w:rFonts w:hint="default"/>
                <w:color w:val="auto"/>
                <w:highlight w:val="none"/>
                <w:lang w:val="en-US" w:eastAsia="zh-CN"/>
              </w:rPr>
            </w:pPr>
            <w:r>
              <w:rPr>
                <w:rFonts w:hint="default"/>
                <w:color w:val="auto"/>
                <w:highlight w:val="none"/>
                <w:lang w:val="en-US" w:eastAsia="zh-CN"/>
              </w:rPr>
              <w:t>6</w:t>
            </w:r>
            <w:r>
              <w:rPr>
                <w:rFonts w:hint="eastAsia"/>
                <w:color w:val="auto"/>
                <w:highlight w:val="none"/>
                <w:lang w:val="en-US" w:eastAsia="zh-CN"/>
              </w:rPr>
              <w:t>、</w:t>
            </w:r>
            <w:r>
              <w:rPr>
                <w:rFonts w:hint="default"/>
                <w:color w:val="auto"/>
                <w:highlight w:val="none"/>
                <w:lang w:val="en-US" w:eastAsia="zh-CN"/>
              </w:rPr>
              <w:t>呼吸器采用真空密封包装。</w:t>
            </w:r>
          </w:p>
          <w:p>
            <w:pPr>
              <w:rPr>
                <w:rFonts w:hint="default"/>
                <w:color w:val="auto"/>
                <w:highlight w:val="none"/>
                <w:lang w:val="en-US" w:eastAsia="zh-CN"/>
              </w:rPr>
            </w:pPr>
            <w:r>
              <w:rPr>
                <w:rFonts w:hint="default"/>
                <w:color w:val="auto"/>
                <w:highlight w:val="none"/>
                <w:lang w:val="en-US" w:eastAsia="zh-CN"/>
              </w:rPr>
              <w:t>7</w:t>
            </w:r>
            <w:r>
              <w:rPr>
                <w:rFonts w:hint="eastAsia"/>
                <w:color w:val="auto"/>
                <w:highlight w:val="none"/>
                <w:lang w:val="en-US" w:eastAsia="zh-CN"/>
              </w:rPr>
              <w:t>、</w:t>
            </w:r>
            <w:r>
              <w:rPr>
                <w:rFonts w:hint="default"/>
                <w:color w:val="auto"/>
                <w:highlight w:val="none"/>
                <w:lang w:val="en-US" w:eastAsia="zh-CN"/>
              </w:rPr>
              <w:t>本产品采用专利技术设计具有防烫伤结构，能有效防止使用者由于嘴唇与滤毒罐过近而烫伤情况发生。</w:t>
            </w:r>
          </w:p>
          <w:p>
            <w:pPr>
              <w:rPr>
                <w:rFonts w:hint="default"/>
                <w:color w:val="auto"/>
                <w:highlight w:val="none"/>
                <w:lang w:val="en-US" w:eastAsia="zh-CN"/>
              </w:rPr>
            </w:pPr>
            <w:r>
              <w:rPr>
                <w:rFonts w:hint="default"/>
                <w:color w:val="auto"/>
                <w:highlight w:val="none"/>
                <w:lang w:val="en-US" w:eastAsia="zh-CN"/>
              </w:rPr>
              <w:t>8</w:t>
            </w:r>
            <w:r>
              <w:rPr>
                <w:rFonts w:hint="eastAsia"/>
                <w:color w:val="auto"/>
                <w:highlight w:val="none"/>
                <w:lang w:val="en-US" w:eastAsia="zh-CN"/>
              </w:rPr>
              <w:t>、响应文件中须</w:t>
            </w:r>
            <w:r>
              <w:rPr>
                <w:rFonts w:hint="default"/>
                <w:color w:val="auto"/>
                <w:highlight w:val="none"/>
                <w:lang w:val="en-US" w:eastAsia="zh-CN"/>
              </w:rPr>
              <w:t>提供检测报告</w:t>
            </w:r>
            <w:r>
              <w:rPr>
                <w:rFonts w:hint="eastAsia"/>
                <w:color w:val="auto"/>
                <w:highlight w:val="none"/>
                <w:lang w:val="en-US" w:eastAsia="zh-CN"/>
              </w:rPr>
              <w:t>复印件加盖响应供应商公章</w:t>
            </w:r>
            <w:r>
              <w:rPr>
                <w:rFonts w:hint="default"/>
                <w:color w:val="auto"/>
                <w:highlight w:val="none"/>
                <w:lang w:val="en-US" w:eastAsia="zh-CN"/>
              </w:rPr>
              <w:t>。</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color w:val="auto"/>
                <w:highlight w:val="none"/>
                <w:lang w:val="en-US" w:eastAsia="zh-CN"/>
              </w:rPr>
            </w:pPr>
            <w:r>
              <w:rPr>
                <w:rFonts w:hint="default"/>
                <w:color w:val="auto"/>
                <w:highlight w:val="none"/>
                <w:lang w:val="en-US" w:eastAsia="zh-CN"/>
              </w:rPr>
              <w:t>24</w:t>
            </w:r>
          </w:p>
        </w:tc>
      </w:tr>
      <w:tr>
        <w:tblPrEx>
          <w:tblCellMar>
            <w:top w:w="0" w:type="dxa"/>
            <w:left w:w="108" w:type="dxa"/>
            <w:bottom w:w="0" w:type="dxa"/>
            <w:right w:w="108" w:type="dxa"/>
          </w:tblCellMar>
        </w:tblPrEx>
        <w:trPr>
          <w:trHeight w:val="311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电绝缘装具</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用于高电压带电危险场所作业时的全身防护。</w:t>
            </w:r>
          </w:p>
          <w:p>
            <w:pPr>
              <w:rPr>
                <w:rFonts w:hint="default"/>
                <w:color w:val="auto"/>
                <w:highlight w:val="none"/>
                <w:lang w:val="en-US" w:eastAsia="zh-CN"/>
              </w:rPr>
            </w:pPr>
            <w:r>
              <w:rPr>
                <w:rFonts w:hint="default"/>
                <w:color w:val="auto"/>
                <w:highlight w:val="none"/>
                <w:lang w:val="en-US" w:eastAsia="zh-CN"/>
              </w:rPr>
              <w:t>1.由上衣、下裤、手套、靴子组成；衣服采用锦丝涂复织物PVC涂层面料的材料制成，耐高压、耐热老化、耐寒、耐汽油、绝缘、阻燃，防酸、碱性能亦佳，主要用于消防员带电作业时的身体保护；</w:t>
            </w:r>
          </w:p>
          <w:p>
            <w:pPr>
              <w:rPr>
                <w:rFonts w:hint="default"/>
                <w:color w:val="auto"/>
                <w:highlight w:val="none"/>
                <w:lang w:val="en-US" w:eastAsia="zh-CN"/>
              </w:rPr>
            </w:pPr>
            <w:r>
              <w:rPr>
                <w:rFonts w:hint="default"/>
                <w:color w:val="auto"/>
                <w:highlight w:val="none"/>
                <w:lang w:val="en-US" w:eastAsia="zh-CN"/>
              </w:rPr>
              <w:t>2.手套由经过特殊处理的天然橡胶制成，具有绝缘、耐油、耐酸、耐臭氧和耐低温、强机械抗性的性能，用于高电压场所手部保护；</w:t>
            </w:r>
          </w:p>
          <w:p>
            <w:pPr>
              <w:rPr>
                <w:rFonts w:hint="default"/>
                <w:color w:val="auto"/>
                <w:highlight w:val="none"/>
                <w:lang w:val="en-US" w:eastAsia="zh-CN"/>
              </w:rPr>
            </w:pPr>
            <w:r>
              <w:rPr>
                <w:rFonts w:hint="default"/>
                <w:color w:val="auto"/>
                <w:highlight w:val="none"/>
                <w:lang w:val="en-US" w:eastAsia="zh-CN"/>
              </w:rPr>
              <w:t>3.靴子帮面材料为橡胶靴面，靴底材料为橡胶底，具备耐油、耐酸、绝缘、防刺的性能，用于高电压场所作业脚部防护；</w:t>
            </w:r>
          </w:p>
          <w:p>
            <w:pPr>
              <w:rPr>
                <w:rFonts w:hint="default"/>
                <w:color w:val="auto"/>
                <w:highlight w:val="none"/>
                <w:lang w:val="en-US" w:eastAsia="zh-CN"/>
              </w:rPr>
            </w:pPr>
            <w:r>
              <w:rPr>
                <w:rFonts w:hint="default"/>
                <w:color w:val="auto"/>
                <w:highlight w:val="none"/>
                <w:lang w:val="en-US" w:eastAsia="zh-CN"/>
              </w:rPr>
              <w:t>4.质量：≤3.36</w:t>
            </w:r>
            <w:r>
              <w:rPr>
                <w:rFonts w:hint="eastAsia"/>
                <w:color w:val="auto"/>
                <w:highlight w:val="none"/>
                <w:lang w:val="en-US" w:eastAsia="zh-CN"/>
              </w:rPr>
              <w:t>kg</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w:t>
            </w:r>
          </w:p>
        </w:tc>
      </w:tr>
      <w:tr>
        <w:tblPrEx>
          <w:tblCellMar>
            <w:top w:w="0" w:type="dxa"/>
            <w:left w:w="108" w:type="dxa"/>
            <w:bottom w:w="0" w:type="dxa"/>
            <w:right w:w="108" w:type="dxa"/>
          </w:tblCellMar>
        </w:tblPrEx>
        <w:trPr>
          <w:trHeight w:val="186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水带挂钩</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国家消防有关标准。水带挂钩是悬挂消防水带的工具，是在灭火战斗中，向高处垂直铺设水带时，为了减少水带下坠力，用水带挂钩将水带挂在梯子上或其它物体上。它是由帆布带、金属钩和金属半环组成。使用时将半环一端缠烧水带，另一端穿入半环中并提起金属钩，即可将水带悬挂起来。</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20</w:t>
            </w:r>
          </w:p>
        </w:tc>
      </w:tr>
      <w:tr>
        <w:tblPrEx>
          <w:tblCellMar>
            <w:top w:w="0" w:type="dxa"/>
            <w:left w:w="108" w:type="dxa"/>
            <w:bottom w:w="0" w:type="dxa"/>
            <w:right w:w="108" w:type="dxa"/>
          </w:tblCellMar>
        </w:tblPrEx>
        <w:trPr>
          <w:trHeight w:val="94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水带包布</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符合国家消防有关标准。水带包布用于包裹消防水带破漏处，它由帆布带和金属夹钳等零件组成。使用时只要将包布一端穿入夹钳中，夹牢即可。</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20</w:t>
            </w:r>
          </w:p>
        </w:tc>
      </w:tr>
      <w:tr>
        <w:tblPrEx>
          <w:tblCellMar>
            <w:top w:w="0" w:type="dxa"/>
            <w:left w:w="108" w:type="dxa"/>
            <w:bottom w:w="0" w:type="dxa"/>
            <w:right w:w="108" w:type="dxa"/>
          </w:tblCellMar>
        </w:tblPrEx>
        <w:trPr>
          <w:trHeight w:val="94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水带护桥</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符合国家有关标准。用于保护水带不受挤压，水带置于护桥空隙，保证车辆正常行驶。优点：抗压、耐用，使用方便。能承受大于50顿的质量。</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w:t>
            </w:r>
          </w:p>
        </w:tc>
      </w:tr>
      <w:tr>
        <w:tblPrEx>
          <w:tblCellMar>
            <w:top w:w="0" w:type="dxa"/>
            <w:left w:w="108" w:type="dxa"/>
            <w:bottom w:w="0" w:type="dxa"/>
            <w:right w:w="108" w:type="dxa"/>
          </w:tblCellMar>
        </w:tblPrEx>
        <w:trPr>
          <w:trHeight w:val="1248"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65MM直流水枪</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具有喷射距离远、射程集中、流量大、开关方便，适用于远距离扑救一般固体物质A类火灾，接口公称通径DN65，额定压力0.35MPa，工作压力0.2-0.8MPa，额定流量7.5L/S，射程≥28m。</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15</w:t>
            </w:r>
          </w:p>
        </w:tc>
      </w:tr>
      <w:tr>
        <w:tblPrEx>
          <w:tblCellMar>
            <w:top w:w="0" w:type="dxa"/>
            <w:left w:w="108" w:type="dxa"/>
            <w:bottom w:w="0" w:type="dxa"/>
            <w:right w:w="108" w:type="dxa"/>
          </w:tblCellMar>
        </w:tblPrEx>
        <w:trPr>
          <w:trHeight w:val="249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无后坐力消防水枪</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滑阀开关；流量 10L/s；重量≤3.5kg；卡扣式接口。</w:t>
            </w:r>
            <w:r>
              <w:rPr>
                <w:rFonts w:hint="default" w:ascii="Times New Roman" w:hAnsi="Times New Roman" w:eastAsia="宋体" w:cs="Times New Roman"/>
                <w:color w:val="auto"/>
                <w:highlight w:val="none"/>
                <w:lang w:val="en-US" w:eastAsia="zh-CN"/>
              </w:rPr>
              <w:br w:type="textWrapping"/>
            </w:r>
            <w:r>
              <w:rPr>
                <w:rFonts w:hint="eastAsia" w:ascii="宋体" w:hAnsi="宋体" w:eastAsia="宋体" w:cs="宋体"/>
                <w:color w:val="auto"/>
                <w:sz w:val="21"/>
                <w:szCs w:val="21"/>
                <w:highlight w:val="none"/>
              </w:rPr>
              <w:t>★</w:t>
            </w:r>
            <w:r>
              <w:rPr>
                <w:rFonts w:hint="default"/>
                <w:color w:val="auto"/>
                <w:highlight w:val="none"/>
                <w:lang w:val="en-US" w:eastAsia="zh-CN"/>
              </w:rPr>
              <w:t>工作压力≥16bar</w:t>
            </w:r>
            <w:r>
              <w:rPr>
                <w:rFonts w:hint="eastAsia"/>
                <w:color w:val="auto"/>
                <w:highlight w:val="none"/>
                <w:lang w:val="en-US" w:eastAsia="zh-CN"/>
              </w:rPr>
              <w:t>，射程大于35米</w:t>
            </w:r>
            <w:r>
              <w:rPr>
                <w:rFonts w:hint="default" w:ascii="Times New Roman" w:hAnsi="Times New Roman" w:eastAsia="宋体" w:cs="Times New Roman"/>
                <w:color w:val="auto"/>
                <w:highlight w:val="none"/>
                <w:lang w:val="en-US" w:eastAsia="zh-CN"/>
              </w:rPr>
              <w:br w:type="textWrapping"/>
            </w:r>
            <w:r>
              <w:rPr>
                <w:rFonts w:hint="eastAsia" w:ascii="宋体" w:hAnsi="宋体" w:eastAsia="宋体" w:cs="宋体"/>
                <w:color w:val="auto"/>
                <w:sz w:val="21"/>
                <w:szCs w:val="21"/>
                <w:highlight w:val="none"/>
              </w:rPr>
              <w:t>★</w:t>
            </w:r>
            <w:r>
              <w:rPr>
                <w:rFonts w:hint="eastAsia" w:ascii="Times New Roman" w:hAnsi="Times New Roman" w:eastAsia="宋体" w:cs="Times New Roman"/>
                <w:color w:val="auto"/>
                <w:highlight w:val="none"/>
                <w:lang w:val="en-US" w:eastAsia="zh-CN"/>
              </w:rPr>
              <w:t>握把和控制开关均为铝合金压铸材质</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消防枪采用加固设计，耐冲击，出色的流道确保了优异的喷射性能，具有高稳定性。</w:t>
            </w:r>
          </w:p>
          <w:p>
            <w:pPr>
              <w:rPr>
                <w:rFonts w:hint="eastAsia" w:ascii="Times New Roman" w:hAnsi="Times New Roman" w:eastAsia="宋体" w:cs="Times New Roman"/>
                <w:color w:val="auto"/>
                <w:highlight w:val="none"/>
                <w:lang w:val="en-US" w:eastAsia="zh-CN"/>
              </w:rPr>
            </w:pPr>
            <w:r>
              <w:rPr>
                <w:rFonts w:hint="eastAsia" w:ascii="宋体" w:hAnsi="宋体" w:eastAsia="宋体" w:cs="宋体"/>
                <w:color w:val="auto"/>
                <w:sz w:val="21"/>
                <w:szCs w:val="21"/>
                <w:highlight w:val="none"/>
              </w:rPr>
              <w:t>★</w:t>
            </w:r>
            <w:r>
              <w:rPr>
                <w:rFonts w:hint="eastAsia" w:ascii="Times New Roman" w:hAnsi="Times New Roman" w:eastAsia="宋体" w:cs="Times New Roman"/>
                <w:color w:val="auto"/>
                <w:highlight w:val="none"/>
                <w:lang w:val="en-US" w:eastAsia="zh-CN"/>
              </w:rPr>
              <w:t>即使3.5bar的工作压力下也可以稳定可靠的工作。</w:t>
            </w:r>
            <w:r>
              <w:rPr>
                <w:rFonts w:hint="eastAsia" w:ascii="Times New Roman" w:hAnsi="Times New Roman" w:eastAsia="宋体" w:cs="Times New Roman"/>
                <w:color w:val="auto"/>
                <w:highlight w:val="none"/>
                <w:lang w:val="en-US" w:eastAsia="zh-CN"/>
              </w:rPr>
              <w:br w:type="textWrapping"/>
            </w:r>
            <w:r>
              <w:rPr>
                <w:rFonts w:hint="eastAsia" w:ascii="Times New Roman" w:hAnsi="Times New Roman" w:eastAsia="宋体" w:cs="Times New Roman"/>
                <w:color w:val="auto"/>
                <w:highlight w:val="none"/>
                <w:lang w:val="en-US" w:eastAsia="zh-CN"/>
              </w:rPr>
              <w:t>轻巧的铝合金枪手柄和球阀手柄耐冲击，不变形采用旋转齿进行雾化，雾化效果更均匀。喷雾角调节范围0-120度</w:t>
            </w:r>
            <w:r>
              <w:rPr>
                <w:rFonts w:hint="eastAsia" w:cs="Times New Roman"/>
                <w:color w:val="auto"/>
                <w:highlight w:val="none"/>
                <w:lang w:val="en-US" w:eastAsia="zh-CN"/>
              </w:rPr>
              <w:t>，</w:t>
            </w:r>
            <w:r>
              <w:rPr>
                <w:rFonts w:hint="eastAsia" w:ascii="Times New Roman" w:hAnsi="Times New Roman" w:eastAsia="宋体" w:cs="Times New Roman"/>
                <w:color w:val="auto"/>
                <w:highlight w:val="none"/>
                <w:lang w:val="en-US" w:eastAsia="zh-CN"/>
              </w:rPr>
              <w:t>易于操作和维修</w:t>
            </w:r>
          </w:p>
          <w:p>
            <w:pPr>
              <w:pStyle w:val="17"/>
              <w:rPr>
                <w:rFonts w:hint="default"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响应文件中须</w:t>
            </w:r>
            <w:r>
              <w:rPr>
                <w:rFonts w:hint="default" w:ascii="Times New Roman" w:hAnsi="Times New Roman" w:eastAsia="宋体" w:cs="Times New Roman"/>
                <w:color w:val="auto"/>
                <w:kern w:val="2"/>
                <w:sz w:val="21"/>
                <w:szCs w:val="24"/>
                <w:highlight w:val="none"/>
                <w:lang w:val="en-US" w:eastAsia="zh-CN" w:bidi="ar-SA"/>
              </w:rPr>
              <w:t>提供国家消防装备质量监督检验中心出具的型式检验报告复印件并加盖响应供应商公章。</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w:t>
            </w:r>
          </w:p>
        </w:tc>
      </w:tr>
      <w:tr>
        <w:tblPrEx>
          <w:tblCellMar>
            <w:top w:w="0" w:type="dxa"/>
            <w:left w:w="108" w:type="dxa"/>
            <w:bottom w:w="0" w:type="dxa"/>
            <w:right w:w="108" w:type="dxa"/>
          </w:tblCellMar>
        </w:tblPrEx>
        <w:trPr>
          <w:trHeight w:val="5544"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65MM水带</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20型65mm有衬里消防水带按GB 6246-2011《消防水带》及CCCF-CPRZ-25:2019《消防类产品认证实施规则》等标准要求进行了生产检验。</w:t>
            </w:r>
            <w:r>
              <w:rPr>
                <w:rFonts w:hint="eastAsia"/>
                <w:color w:val="auto"/>
                <w:highlight w:val="none"/>
                <w:lang w:val="en-US" w:eastAsia="zh-CN"/>
              </w:rPr>
              <w:t>响应文件中须提供</w:t>
            </w:r>
            <w:r>
              <w:rPr>
                <w:rFonts w:hint="default"/>
                <w:color w:val="auto"/>
                <w:highlight w:val="none"/>
                <w:lang w:val="en-US" w:eastAsia="zh-CN"/>
              </w:rPr>
              <w:t>国家消防装备质量监督检验中心出具的检验报告复印件以及应急管理部消防产品合格评定中心颁发的《消防产品认证证书》复印件并加盖响应供应商公章。</w:t>
            </w:r>
          </w:p>
          <w:p>
            <w:pPr>
              <w:rPr>
                <w:rFonts w:hint="default"/>
                <w:color w:val="auto"/>
                <w:highlight w:val="none"/>
                <w:lang w:val="en-US" w:eastAsia="zh-CN"/>
              </w:rPr>
            </w:pPr>
            <w:r>
              <w:rPr>
                <w:rFonts w:hint="default"/>
                <w:color w:val="auto"/>
                <w:highlight w:val="none"/>
                <w:lang w:val="en-US" w:eastAsia="zh-CN"/>
              </w:rPr>
              <w:t>采用高强度涤纶长丝进行斜纹圆织工艺编织，具有表面光滑平整、编织均匀的优点。衬里采用进口聚氨酯制作而成，具有耐高压、耐腐蚀、不渗水、内管平整光滑，减少压力流失等特点。</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主要参数：单位长度≥20m，水带口径直径：≥63.5mm，标准工作压力：1.6MPa，爆破压力：≥5.01MPa，轴向延伸率≤3.2％，直径膨胀率≤4.2％，水带编织层与衬里之间的附着强度≥35.1N/25mm，单位长度质量≤234g/m，耐磨次数100次以上。水带两头配有65型卡式接口（快速接口）。水带在端部附近中心线两侧有印产品名称、设计工作压力、规格（公称内径及长度）、经线、纬线及衬里材质、生产厂名、注册商标、生产日期。</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100</w:t>
            </w:r>
          </w:p>
        </w:tc>
      </w:tr>
      <w:tr>
        <w:tblPrEx>
          <w:tblCellMar>
            <w:top w:w="0" w:type="dxa"/>
            <w:left w:w="108" w:type="dxa"/>
            <w:bottom w:w="0" w:type="dxa"/>
            <w:right w:w="108" w:type="dxa"/>
          </w:tblCellMar>
        </w:tblPrEx>
        <w:trPr>
          <w:trHeight w:val="479"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80MM水带</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20型80mm有衬里消防水带按GB 6246-2011《消防水带》及CCCF-CPRZ-25:2019《消防类产品认证实施规则》等标准要求进行了生产检验。</w:t>
            </w:r>
            <w:r>
              <w:rPr>
                <w:rFonts w:hint="eastAsia"/>
                <w:color w:val="auto"/>
                <w:highlight w:val="none"/>
                <w:lang w:val="en-US" w:eastAsia="zh-CN"/>
              </w:rPr>
              <w:t>响应文件中须提供</w:t>
            </w:r>
            <w:r>
              <w:rPr>
                <w:rFonts w:hint="default"/>
                <w:color w:val="auto"/>
                <w:highlight w:val="none"/>
                <w:lang w:val="en-US" w:eastAsia="zh-CN"/>
              </w:rPr>
              <w:t>国家消防装备质量监督检验中心出具的检验报告复印件以及应急管理部消防产品合格评定中心颁发的《消防产品认证证书》复印件并加盖响应供应商公章。</w:t>
            </w:r>
          </w:p>
          <w:p>
            <w:pPr>
              <w:rPr>
                <w:rFonts w:hint="default"/>
                <w:color w:val="auto"/>
                <w:highlight w:val="none"/>
                <w:lang w:val="en-US" w:eastAsia="zh-CN"/>
              </w:rPr>
            </w:pPr>
            <w:r>
              <w:rPr>
                <w:rFonts w:hint="default"/>
                <w:color w:val="auto"/>
                <w:highlight w:val="none"/>
                <w:lang w:val="en-US" w:eastAsia="zh-CN"/>
              </w:rPr>
              <w:t>采用高强度涤纶长丝进行斜纹圆织工艺编织，具有表面光滑平整、编织均匀的优点。</w:t>
            </w:r>
          </w:p>
          <w:p>
            <w:pPr>
              <w:rPr>
                <w:rFonts w:hint="default"/>
                <w:color w:val="auto"/>
                <w:highlight w:val="none"/>
                <w:lang w:val="en-US" w:eastAsia="zh-CN"/>
              </w:rPr>
            </w:pPr>
            <w:r>
              <w:rPr>
                <w:rFonts w:hint="default"/>
                <w:color w:val="auto"/>
                <w:highlight w:val="none"/>
                <w:lang w:val="en-US" w:eastAsia="zh-CN"/>
              </w:rPr>
              <w:t>衬里采用进口聚氨酯制作而成，具有耐高压、耐腐蚀、不渗水、内管平整光滑，减少压力流失等特点。</w:t>
            </w:r>
          </w:p>
          <w:p>
            <w:pPr>
              <w:rPr>
                <w:rFonts w:hint="default"/>
                <w:color w:val="auto"/>
                <w:highlight w:val="none"/>
                <w:lang w:val="en-US" w:eastAsia="zh-CN"/>
              </w:rPr>
            </w:pPr>
            <w:r>
              <w:rPr>
                <w:rFonts w:hint="default"/>
                <w:color w:val="auto"/>
                <w:highlight w:val="none"/>
                <w:lang w:val="en-US" w:eastAsia="zh-CN"/>
              </w:rPr>
              <w:t>主要参数：单位长度≥20m，水带口径直径：≥76mm，标准工作压力：1.6MPa，爆破压力：≥5.49MPa，轴向延伸率≤3.1％，直径膨胀率≤4.4％，水带编织层与衬里之间的附着强度≥37.2N/25mm，单位长度质量≤298g/m，耐磨次数100次以上。水带两头配有80型卡式接口（快速接口）。水带在端部附近中心线两侧有印产品名称、设计工作压力、规格（公称内径及长度）、经线、纬线及衬里材质、生产厂名、注册商标、生产日期。</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80</w:t>
            </w:r>
          </w:p>
        </w:tc>
      </w:tr>
      <w:tr>
        <w:tblPrEx>
          <w:tblCellMar>
            <w:top w:w="0" w:type="dxa"/>
            <w:left w:w="108" w:type="dxa"/>
            <w:bottom w:w="0" w:type="dxa"/>
            <w:right w:w="108" w:type="dxa"/>
          </w:tblCellMar>
        </w:tblPrEx>
        <w:trPr>
          <w:trHeight w:val="7069"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水幕水带</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水幕水带也叫喷雾消防水带，在一定水压作用下能均匀地喷出雾状水幕形成水墙，对火焰及热辐射起阻隔作用。用于阻挡或稀释有毒和易燃、易爆气体或液体蒸汽，抑制火势蔓延。开孔前13型65mm有衬里消防水带按GB 6246-2011《消防水带》及CCCF-CPRZ-25:2019《消防类产品认证实施规则》等标准要求进行了生产检验。</w:t>
            </w:r>
            <w:r>
              <w:rPr>
                <w:rFonts w:hint="eastAsia"/>
                <w:color w:val="auto"/>
                <w:highlight w:val="none"/>
                <w:lang w:val="en-US" w:eastAsia="zh-CN"/>
              </w:rPr>
              <w:t>响应文件中须提供</w:t>
            </w:r>
            <w:r>
              <w:rPr>
                <w:rFonts w:hint="default"/>
                <w:color w:val="auto"/>
                <w:highlight w:val="none"/>
                <w:lang w:val="en-US" w:eastAsia="zh-CN"/>
              </w:rPr>
              <w:t>国家消防装备质量监督检验中心出具的检验报告复印件以及应急管理部消防产品合格评定中心颁发的《消防产品认证证书》复印件加盖响应供应商公章。</w:t>
            </w:r>
          </w:p>
          <w:p>
            <w:pPr>
              <w:rPr>
                <w:rFonts w:hint="default"/>
                <w:color w:val="auto"/>
                <w:highlight w:val="none"/>
                <w:lang w:val="en-US" w:eastAsia="zh-CN"/>
              </w:rPr>
            </w:pPr>
            <w:r>
              <w:rPr>
                <w:rFonts w:hint="default"/>
                <w:color w:val="auto"/>
                <w:highlight w:val="none"/>
                <w:lang w:val="en-US" w:eastAsia="zh-CN"/>
              </w:rPr>
              <w:t>水带编织层经线采用涤纶纱、纬线采用高强度涤纶长丝，斜纹环形紧密编织而成。具有耐高压、耐油、耐腐蚀、耐磨损、不渗水、不霉变、特别轻、使用柔软方便易卷缠、表面光滑平整、编织均匀、无跳双经、断双经、跳纬及划伤、无折皱或其他缺陷等特点。单根长度质量比橡胶水带轻40%以上。水带端部附近中心线两侧用油墨印有产品名称、设计工作压力、规格型号（公称内径及长度）、经线、纬线及衬里材质、生产厂名、注册商标、生产日期，且清晰不易脱落。</w:t>
            </w:r>
          </w:p>
          <w:p>
            <w:pPr>
              <w:rPr>
                <w:rFonts w:hint="default"/>
                <w:color w:val="auto"/>
                <w:highlight w:val="none"/>
                <w:lang w:val="en-US" w:eastAsia="zh-CN"/>
              </w:rPr>
            </w:pPr>
            <w:r>
              <w:rPr>
                <w:rFonts w:hint="default"/>
                <w:color w:val="auto"/>
                <w:highlight w:val="none"/>
                <w:lang w:val="en-US" w:eastAsia="zh-CN"/>
              </w:rPr>
              <w:t>主要参数：水带口径直径：≥63.5mm，标准工作压力：1.3MPa，爆破压力：≥4.36MPa，轴向延伸率≤3.4％，直径膨胀率≤3.3％，水带编织层与衬里之间的附着强度≥47.7N/25mm，单位长度质量≤249g/m，耐磨次数100次以上。水带长度20米。</w:t>
            </w:r>
          </w:p>
          <w:p>
            <w:pPr>
              <w:rPr>
                <w:rFonts w:hint="default"/>
                <w:color w:val="auto"/>
                <w:highlight w:val="none"/>
                <w:lang w:val="en-US" w:eastAsia="zh-CN"/>
              </w:rPr>
            </w:pPr>
            <w:r>
              <w:rPr>
                <w:rFonts w:hint="default"/>
                <w:color w:val="auto"/>
                <w:highlight w:val="none"/>
                <w:lang w:val="en-US" w:eastAsia="zh-CN"/>
              </w:rPr>
              <w:t>水带表面有规律排列喷射孔，孔口采用防腐抗锈金属材质铆合，且牢固不易破损撕裂。喷射孔之间相距20㎝，喷雾高度在1.0Mpa下达到：10米。</w:t>
            </w:r>
          </w:p>
          <w:p>
            <w:pPr>
              <w:rPr>
                <w:rFonts w:hint="default"/>
                <w:color w:val="auto"/>
                <w:highlight w:val="none"/>
                <w:lang w:val="en-US" w:eastAsia="zh-CN"/>
              </w:rPr>
            </w:pPr>
            <w:r>
              <w:rPr>
                <w:rFonts w:hint="default"/>
                <w:color w:val="auto"/>
                <w:highlight w:val="none"/>
                <w:lang w:val="en-US" w:eastAsia="zh-CN"/>
              </w:rPr>
              <w:t>水带两头配有65型卡式接口（快速接口）。</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w:t>
            </w:r>
          </w:p>
        </w:tc>
      </w:tr>
      <w:tr>
        <w:tblPrEx>
          <w:tblCellMar>
            <w:top w:w="0" w:type="dxa"/>
            <w:left w:w="108" w:type="dxa"/>
            <w:bottom w:w="0" w:type="dxa"/>
            <w:right w:w="108"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三路分水器</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材质：选用铝镁合金，锻造、压铸工艺，表面阳极氧化防腐、喷塑处理。</w:t>
            </w:r>
          </w:p>
          <w:p>
            <w:pPr>
              <w:rPr>
                <w:rFonts w:hint="default"/>
                <w:color w:val="auto"/>
                <w:highlight w:val="none"/>
                <w:lang w:val="en-US" w:eastAsia="zh-CN"/>
              </w:rPr>
            </w:pPr>
            <w:r>
              <w:rPr>
                <w:rFonts w:hint="default"/>
                <w:color w:val="auto"/>
                <w:highlight w:val="none"/>
                <w:lang w:val="en-US" w:eastAsia="zh-CN"/>
              </w:rPr>
              <w:t>一、技术参数：</w:t>
            </w:r>
          </w:p>
          <w:p>
            <w:pPr>
              <w:rPr>
                <w:rFonts w:hint="default"/>
                <w:color w:val="auto"/>
                <w:highlight w:val="none"/>
                <w:lang w:val="en-US" w:eastAsia="zh-CN"/>
              </w:rPr>
            </w:pPr>
            <w:r>
              <w:rPr>
                <w:rFonts w:hint="default"/>
                <w:color w:val="auto"/>
                <w:highlight w:val="none"/>
                <w:lang w:val="en-US" w:eastAsia="zh-CN"/>
              </w:rPr>
              <w:t>1.公称压力(MPa)：2.5；</w:t>
            </w:r>
          </w:p>
          <w:p>
            <w:pPr>
              <w:rPr>
                <w:rFonts w:hint="default"/>
                <w:color w:val="auto"/>
                <w:highlight w:val="none"/>
                <w:lang w:val="en-US" w:eastAsia="zh-CN"/>
              </w:rPr>
            </w:pPr>
            <w:r>
              <w:rPr>
                <w:rFonts w:hint="default"/>
                <w:color w:val="auto"/>
                <w:highlight w:val="none"/>
                <w:lang w:val="en-US" w:eastAsia="zh-CN"/>
              </w:rPr>
              <w:t>2.强度压力(MPa) ：3.75；</w:t>
            </w:r>
          </w:p>
          <w:p>
            <w:pPr>
              <w:rPr>
                <w:rFonts w:hint="default"/>
                <w:color w:val="auto"/>
                <w:highlight w:val="none"/>
                <w:lang w:val="en-US" w:eastAsia="zh-CN"/>
              </w:rPr>
            </w:pPr>
            <w:r>
              <w:rPr>
                <w:rFonts w:hint="default"/>
                <w:color w:val="auto"/>
                <w:highlight w:val="none"/>
                <w:lang w:val="en-US" w:eastAsia="zh-CN"/>
              </w:rPr>
              <w:t xml:space="preserve">3.阀门通孔直径：＞55mm                                             4.进水口：快速接口，口径：80mm，出水口：快速接口，口径3*65mm                        </w:t>
            </w:r>
          </w:p>
          <w:p>
            <w:pPr>
              <w:rPr>
                <w:rFonts w:hint="default"/>
                <w:color w:val="auto"/>
                <w:highlight w:val="none"/>
                <w:lang w:val="en-US" w:eastAsia="zh-CN"/>
              </w:rPr>
            </w:pPr>
            <w:r>
              <w:rPr>
                <w:rFonts w:hint="default"/>
                <w:color w:val="auto"/>
                <w:highlight w:val="none"/>
                <w:lang w:val="en-US" w:eastAsia="zh-CN"/>
              </w:rPr>
              <w:t>5.重量：≤5kg                                                                   6.响应文件中须提供制造商由国家消防装备质量监督检验中心颁发的检验报告复印件加盖响应供应商公章。</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eastAsia"/>
                <w:color w:val="auto"/>
                <w:highlight w:val="none"/>
                <w:lang w:val="en-US" w:eastAsia="zh-CN"/>
              </w:rPr>
              <w:t>6</w:t>
            </w:r>
          </w:p>
        </w:tc>
      </w:tr>
      <w:tr>
        <w:tblPrEx>
          <w:tblCellMar>
            <w:top w:w="0" w:type="dxa"/>
            <w:left w:w="108" w:type="dxa"/>
            <w:bottom w:w="0" w:type="dxa"/>
            <w:right w:w="108" w:type="dxa"/>
          </w:tblCellMar>
        </w:tblPrEx>
        <w:trPr>
          <w:trHeight w:val="280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二路分水器</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jc w:val="left"/>
              <w:rPr>
                <w:rFonts w:hint="default"/>
                <w:color w:val="auto"/>
                <w:highlight w:val="none"/>
                <w:lang w:val="en-US" w:eastAsia="zh-CN"/>
              </w:rPr>
            </w:pPr>
            <w:r>
              <w:rPr>
                <w:rFonts w:hint="default"/>
                <w:color w:val="auto"/>
                <w:highlight w:val="none"/>
                <w:lang w:val="en-US" w:eastAsia="zh-CN"/>
              </w:rPr>
              <w:t>材质：选用铝镁合金，锻造、压铸工艺，表面阳极氧化防腐、喷塑处理。</w:t>
            </w:r>
          </w:p>
          <w:p>
            <w:pPr>
              <w:jc w:val="left"/>
              <w:rPr>
                <w:rFonts w:hint="default"/>
                <w:color w:val="auto"/>
                <w:highlight w:val="none"/>
                <w:lang w:val="en-US" w:eastAsia="zh-CN"/>
              </w:rPr>
            </w:pPr>
            <w:r>
              <w:rPr>
                <w:rFonts w:hint="default"/>
                <w:color w:val="auto"/>
                <w:highlight w:val="none"/>
                <w:lang w:val="en-US" w:eastAsia="zh-CN"/>
              </w:rPr>
              <w:t>一、技术参数：</w:t>
            </w:r>
          </w:p>
          <w:p>
            <w:pPr>
              <w:jc w:val="left"/>
              <w:rPr>
                <w:rFonts w:hint="default"/>
                <w:color w:val="auto"/>
                <w:highlight w:val="none"/>
                <w:lang w:val="en-US" w:eastAsia="zh-CN"/>
              </w:rPr>
            </w:pPr>
            <w:r>
              <w:rPr>
                <w:rFonts w:hint="default"/>
                <w:color w:val="auto"/>
                <w:highlight w:val="none"/>
                <w:lang w:val="en-US" w:eastAsia="zh-CN"/>
              </w:rPr>
              <w:t>1.公称压力(MPa)：2.5；</w:t>
            </w:r>
          </w:p>
          <w:p>
            <w:pPr>
              <w:jc w:val="left"/>
              <w:rPr>
                <w:rFonts w:hint="default"/>
                <w:color w:val="auto"/>
                <w:highlight w:val="none"/>
                <w:lang w:val="en-US" w:eastAsia="zh-CN"/>
              </w:rPr>
            </w:pPr>
            <w:r>
              <w:rPr>
                <w:rFonts w:hint="default"/>
                <w:color w:val="auto"/>
                <w:highlight w:val="none"/>
                <w:lang w:val="en-US" w:eastAsia="zh-CN"/>
              </w:rPr>
              <w:t>2.强度压力(MPa) ：3.75；</w:t>
            </w:r>
          </w:p>
          <w:p>
            <w:pPr>
              <w:jc w:val="left"/>
              <w:rPr>
                <w:rFonts w:hint="default"/>
                <w:color w:val="auto"/>
                <w:highlight w:val="none"/>
                <w:lang w:val="en-US" w:eastAsia="zh-CN"/>
              </w:rPr>
            </w:pPr>
            <w:r>
              <w:rPr>
                <w:rFonts w:hint="default"/>
                <w:color w:val="auto"/>
                <w:highlight w:val="none"/>
                <w:lang w:val="en-US" w:eastAsia="zh-CN"/>
              </w:rPr>
              <w:t xml:space="preserve">3.阀门通孔直径：＞55mm；                                                            4.进水口：快速接口，口径：65mm，出水口：快速接口，口径2*65mm；                        </w:t>
            </w:r>
          </w:p>
          <w:p>
            <w:pPr>
              <w:jc w:val="left"/>
              <w:rPr>
                <w:rFonts w:hint="default"/>
                <w:color w:val="auto"/>
                <w:highlight w:val="none"/>
                <w:lang w:val="en-US" w:eastAsia="zh-CN"/>
              </w:rPr>
            </w:pPr>
            <w:r>
              <w:rPr>
                <w:rFonts w:hint="default"/>
                <w:color w:val="auto"/>
                <w:highlight w:val="none"/>
                <w:lang w:val="en-US" w:eastAsia="zh-CN"/>
              </w:rPr>
              <w:t>5.重量：≤3.3kg。                                                                         6.响应文件中须提供国家消防装备质量监督检验中心颁发的检验报告复印件并加盖响应供应商公章。</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eastAsia"/>
                <w:color w:val="auto"/>
                <w:highlight w:val="none"/>
                <w:lang w:val="en-US" w:eastAsia="zh-CN"/>
              </w:rPr>
              <w:t>2</w:t>
            </w:r>
          </w:p>
        </w:tc>
      </w:tr>
      <w:tr>
        <w:tblPrEx>
          <w:tblCellMar>
            <w:top w:w="0" w:type="dxa"/>
            <w:left w:w="108" w:type="dxa"/>
            <w:bottom w:w="0" w:type="dxa"/>
            <w:right w:w="108" w:type="dxa"/>
          </w:tblCellMar>
        </w:tblPrEx>
        <w:trPr>
          <w:trHeight w:val="249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止水器</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jc w:val="left"/>
              <w:rPr>
                <w:rFonts w:hint="default"/>
                <w:color w:val="auto"/>
                <w:highlight w:val="none"/>
                <w:lang w:val="en-US" w:eastAsia="zh-CN"/>
              </w:rPr>
            </w:pPr>
            <w:r>
              <w:rPr>
                <w:rFonts w:hint="default"/>
                <w:color w:val="auto"/>
                <w:highlight w:val="none"/>
                <w:lang w:val="en-US" w:eastAsia="zh-CN"/>
              </w:rPr>
              <w:t>材质：选用铝镁合金，锻造、压铸工艺，表面阳极氧化防腐、喷塑处理。</w:t>
            </w:r>
          </w:p>
          <w:p>
            <w:pPr>
              <w:jc w:val="left"/>
              <w:rPr>
                <w:rFonts w:hint="default"/>
                <w:color w:val="auto"/>
                <w:highlight w:val="none"/>
                <w:lang w:val="en-US" w:eastAsia="zh-CN"/>
              </w:rPr>
            </w:pPr>
            <w:r>
              <w:rPr>
                <w:rFonts w:hint="default"/>
                <w:color w:val="auto"/>
                <w:highlight w:val="none"/>
                <w:lang w:val="en-US" w:eastAsia="zh-CN"/>
              </w:rPr>
              <w:t>一、技术参数：</w:t>
            </w:r>
          </w:p>
          <w:p>
            <w:pPr>
              <w:jc w:val="left"/>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公称压力(MPa)：2.5；</w:t>
            </w:r>
          </w:p>
          <w:p>
            <w:pPr>
              <w:jc w:val="left"/>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强度压力(MPa) ：3.75；</w:t>
            </w:r>
          </w:p>
          <w:p>
            <w:pPr>
              <w:jc w:val="left"/>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阀门通孔直径：＞55mm；                                                            4</w:t>
            </w:r>
            <w:r>
              <w:rPr>
                <w:rFonts w:hint="eastAsia"/>
                <w:color w:val="auto"/>
                <w:highlight w:val="none"/>
                <w:lang w:val="en-US" w:eastAsia="zh-CN"/>
              </w:rPr>
              <w:t>.</w:t>
            </w:r>
            <w:r>
              <w:rPr>
                <w:rFonts w:hint="default"/>
                <w:color w:val="auto"/>
                <w:highlight w:val="none"/>
                <w:lang w:val="en-US" w:eastAsia="zh-CN"/>
              </w:rPr>
              <w:t>进水口：快速接口，进出水口径65mm；                                                  5</w:t>
            </w:r>
            <w:r>
              <w:rPr>
                <w:rFonts w:hint="eastAsia"/>
                <w:color w:val="auto"/>
                <w:highlight w:val="none"/>
                <w:lang w:val="en-US" w:eastAsia="zh-CN"/>
              </w:rPr>
              <w:t>.</w:t>
            </w:r>
            <w:r>
              <w:rPr>
                <w:rFonts w:hint="default"/>
                <w:color w:val="auto"/>
                <w:highlight w:val="none"/>
                <w:lang w:val="en-US" w:eastAsia="zh-CN"/>
              </w:rPr>
              <w:t>重量：≤1.7kg。</w:t>
            </w:r>
          </w:p>
          <w:p>
            <w:pPr>
              <w:jc w:val="left"/>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w:t>
            </w:r>
          </w:p>
        </w:tc>
      </w:tr>
      <w:tr>
        <w:tblPrEx>
          <w:tblCellMar>
            <w:top w:w="0" w:type="dxa"/>
            <w:left w:w="108" w:type="dxa"/>
            <w:bottom w:w="0" w:type="dxa"/>
            <w:right w:w="108" w:type="dxa"/>
          </w:tblCellMar>
        </w:tblPrEx>
        <w:trPr>
          <w:trHeight w:val="94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150口径卡式轻型6米吸水管</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 xml:space="preserve">1.轻型消防吸水管:供消防车吸水用。胶管体轻、重量是橡胶的1/2,富有弹性、使用方便。                 </w:t>
            </w:r>
          </w:p>
          <w:p>
            <w:pPr>
              <w:rPr>
                <w:rFonts w:hint="default"/>
                <w:color w:val="auto"/>
                <w:highlight w:val="none"/>
                <w:lang w:val="en-US" w:eastAsia="zh-CN"/>
              </w:rPr>
            </w:pPr>
            <w:r>
              <w:rPr>
                <w:rFonts w:hint="default"/>
                <w:color w:val="auto"/>
                <w:highlight w:val="none"/>
                <w:lang w:val="en-US" w:eastAsia="zh-CN"/>
              </w:rPr>
              <w:t>2.口径：150mm,长度6m，内扣式150 mm。</w:t>
            </w:r>
          </w:p>
        </w:tc>
        <w:tc>
          <w:tcPr>
            <w:tcW w:w="562"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63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异径、异型接口</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符合国家行业标准。优质材质，用于消防水带与水带、消防车、消火栓，消防水枪之间的连接使用。</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27</w:t>
            </w:r>
          </w:p>
        </w:tc>
      </w:tr>
      <w:tr>
        <w:tblPrEx>
          <w:tblCellMar>
            <w:top w:w="0" w:type="dxa"/>
            <w:left w:w="108" w:type="dxa"/>
            <w:bottom w:w="0" w:type="dxa"/>
            <w:right w:w="108" w:type="dxa"/>
          </w:tblCellMar>
        </w:tblPrEx>
        <w:trPr>
          <w:trHeight w:val="218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单杠梯</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符合XF 137-2007《消防梯》标准要求，响应文件中须提供国检报告和消防产品认证证书认证证书复印件加盖响应供应商公章。</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主体用优质坚韧毛竹经特殊工艺处理，多层压合而成，侧板与梯登采用铆钉连接，可供消防队员登高、跨越高墙及作临时担架使用，亦可作一般登高及民用。</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重量：≤8KG；</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w:t>
            </w:r>
          </w:p>
        </w:tc>
      </w:tr>
      <w:tr>
        <w:tblPrEx>
          <w:tblCellMar>
            <w:top w:w="0" w:type="dxa"/>
            <w:left w:w="108" w:type="dxa"/>
            <w:bottom w:w="0" w:type="dxa"/>
            <w:right w:w="108" w:type="dxa"/>
          </w:tblCellMar>
        </w:tblPrEx>
        <w:trPr>
          <w:trHeight w:val="125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6米竹制拉梯</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符合XF 137-2007《消防梯》标准要求。</w:t>
            </w:r>
            <w:r>
              <w:rPr>
                <w:rFonts w:hint="eastAsia"/>
                <w:color w:val="auto"/>
                <w:highlight w:val="none"/>
                <w:lang w:val="en-US" w:eastAsia="zh-CN"/>
              </w:rPr>
              <w:t>响应文件中须提供</w:t>
            </w:r>
            <w:r>
              <w:rPr>
                <w:rFonts w:hint="default"/>
                <w:color w:val="auto"/>
                <w:highlight w:val="none"/>
                <w:lang w:val="en-US" w:eastAsia="zh-CN"/>
              </w:rPr>
              <w:t>国检报告和消防产品认证证书认证证书复印件加盖响应供应商公章。</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主体用优质坚韧毛竹经特殊工艺处理，多层压合而成，侧板与梯登采用铆钉连接，拉梯在展开和缩合的过程中，其限位装置安全可靠。可供消防队员登高、跨越高墙，亦可作一般登高及民用。</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质量：≤29kg；</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w:t>
            </w:r>
          </w:p>
        </w:tc>
      </w:tr>
      <w:tr>
        <w:tblPrEx>
          <w:tblCellMar>
            <w:top w:w="0" w:type="dxa"/>
            <w:left w:w="108" w:type="dxa"/>
            <w:bottom w:w="0" w:type="dxa"/>
            <w:right w:w="108" w:type="dxa"/>
          </w:tblCellMar>
        </w:tblPrEx>
        <w:trPr>
          <w:trHeight w:val="3576"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多功能折叠救援梯</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产品功能：</w:t>
            </w:r>
          </w:p>
          <w:p>
            <w:pPr>
              <w:rPr>
                <w:rFonts w:hint="default"/>
                <w:color w:val="auto"/>
                <w:highlight w:val="none"/>
                <w:lang w:val="en-US" w:eastAsia="zh-CN"/>
              </w:rPr>
            </w:pPr>
            <w:r>
              <w:rPr>
                <w:rFonts w:hint="default"/>
                <w:color w:val="auto"/>
                <w:highlight w:val="none"/>
                <w:lang w:val="en-US" w:eastAsia="zh-CN"/>
              </w:rPr>
              <w:t>多功能折叠梯，可用作：直梯、双侧梯、过桥梯、工作平台等等多种用法。该梯折叠后体积小，便于携带此梯拉直后，可以直接当4米多的过桥使用，可满足多人连续通过。材质：铝合金，可折叠，用于登高救援，灭火作业，性能符合GA137-2007《消防梯》标准要求。梯脚两侧带平衡器，可用作直梯，双侧梯，过桥梯，工作平台等18种功能。</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技术参数：</w:t>
            </w:r>
          </w:p>
          <w:p>
            <w:pPr>
              <w:rPr>
                <w:rFonts w:hint="default"/>
                <w:color w:val="auto"/>
                <w:highlight w:val="none"/>
                <w:lang w:val="en-US" w:eastAsia="zh-CN"/>
              </w:rPr>
            </w:pPr>
            <w:r>
              <w:rPr>
                <w:rFonts w:hint="default"/>
                <w:color w:val="auto"/>
                <w:highlight w:val="none"/>
                <w:lang w:val="en-US" w:eastAsia="zh-CN"/>
              </w:rPr>
              <w:t>2.1双侧梯长约1.8米，延展梯长约3.7米，折叠存放梯长0.91米，梯宽0.39米，梯蹬间距0.33米，最大触及高度4.76米。</w:t>
            </w:r>
          </w:p>
          <w:p>
            <w:pPr>
              <w:rPr>
                <w:rFonts w:hint="default"/>
                <w:color w:val="auto"/>
                <w:highlight w:val="none"/>
                <w:lang w:val="en-US" w:eastAsia="zh-CN"/>
              </w:rPr>
            </w:pPr>
            <w:r>
              <w:rPr>
                <w:rFonts w:hint="default"/>
                <w:color w:val="auto"/>
                <w:highlight w:val="none"/>
                <w:lang w:val="en-US" w:eastAsia="zh-CN"/>
              </w:rPr>
              <w:t>2.2梯子额定承重≥135kg,梯子重量≤17KG。</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247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单干线移动自摆炮</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流量 ≥30L/s；重量重量≤16kg卡扣式接口</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结构紧凑，操作简单，节省灭火前的宝贵时间；</w:t>
            </w:r>
            <w:r>
              <w:rPr>
                <w:rFonts w:hint="eastAsia" w:ascii="Times New Roman" w:hAnsi="Times New Roman" w:eastAsia="宋体" w:cs="Times New Roman"/>
                <w:color w:val="auto"/>
                <w:highlight w:val="none"/>
                <w:lang w:val="en-US" w:eastAsia="zh-CN"/>
              </w:rPr>
              <w:br w:type="textWrapping"/>
            </w:r>
            <w:r>
              <w:rPr>
                <w:rFonts w:hint="eastAsia" w:ascii="Times New Roman" w:hAnsi="Times New Roman" w:eastAsia="宋体" w:cs="Times New Roman"/>
                <w:color w:val="auto"/>
                <w:highlight w:val="none"/>
                <w:lang w:val="en-US" w:eastAsia="zh-CN"/>
              </w:rPr>
              <w:t>低流量即可自摆（≥ 600LPM）；</w:t>
            </w:r>
            <w:r>
              <w:rPr>
                <w:rFonts w:hint="eastAsia" w:ascii="Times New Roman" w:hAnsi="Times New Roman" w:eastAsia="宋体" w:cs="Times New Roman"/>
                <w:color w:val="auto"/>
                <w:highlight w:val="none"/>
                <w:lang w:val="en-US" w:eastAsia="zh-CN"/>
              </w:rPr>
              <w:br w:type="textWrapping"/>
            </w:r>
            <w:r>
              <w:rPr>
                <w:rFonts w:hint="eastAsia" w:ascii="Times New Roman" w:hAnsi="Times New Roman" w:eastAsia="宋体" w:cs="Times New Roman"/>
                <w:color w:val="auto"/>
                <w:highlight w:val="none"/>
                <w:lang w:val="en-US" w:eastAsia="zh-CN"/>
              </w:rPr>
              <w:t>一体化的连杆机构；自摆机构具备脱扣功能；自摆角度在</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喷射灭火作业中即可实现（0～40°）范围内连续设定。</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防腐铝合金材质加表面硬质阳极氧化处理，具有良好防腐和耐磨性能</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≥65 米 @ 7bar 炮头进口压力，炮头可开花直流喷雾;水平自摆：±20 度无级可调；</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俯仰角度：30 度～70 度; 带阻尼手把.</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配置不锈钢拉手的开关球阀，可缓慢开启或关闭阀门，</w:t>
            </w:r>
            <w:r>
              <w:rPr>
                <w:rFonts w:hint="eastAsia" w:ascii="Times New Roman" w:hAnsi="Times New Roman" w:eastAsia="宋体" w:cs="Times New Roman"/>
                <w:color w:val="auto"/>
                <w:highlight w:val="none"/>
                <w:lang w:val="en-US" w:eastAsia="zh-CN"/>
              </w:rPr>
              <w:br w:type="textWrapping"/>
            </w:r>
            <w:r>
              <w:rPr>
                <w:rFonts w:hint="eastAsia" w:ascii="Times New Roman" w:hAnsi="Times New Roman" w:eastAsia="宋体" w:cs="Times New Roman"/>
                <w:color w:val="auto"/>
                <w:highlight w:val="none"/>
                <w:lang w:val="en-US" w:eastAsia="zh-CN"/>
              </w:rPr>
              <w:t>四个支腿带有锁紧定位机构，更加安全可靠。</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四个支腿安装有高强度耐磨弹性减震地钉，增强抓地力。</w:t>
            </w:r>
          </w:p>
          <w:p>
            <w:pPr>
              <w:rPr>
                <w:rFonts w:hint="default"/>
                <w:color w:val="auto"/>
                <w:highlight w:val="none"/>
                <w:lang w:val="en-US" w:eastAsia="zh-CN"/>
              </w:rPr>
            </w:pPr>
            <w:r>
              <w:rPr>
                <w:rFonts w:hint="eastAsia"/>
                <w:color w:val="auto"/>
                <w:highlight w:val="none"/>
                <w:lang w:val="en-US" w:eastAsia="zh-CN"/>
              </w:rPr>
              <w:t>响应文件中须</w:t>
            </w:r>
            <w:r>
              <w:rPr>
                <w:rFonts w:hint="default"/>
                <w:color w:val="auto"/>
                <w:highlight w:val="none"/>
                <w:lang w:val="en-US" w:eastAsia="zh-CN"/>
              </w:rPr>
              <w:t>提供国家消防质量监督检验中心出具的检验报告复印件加盖响应供应商公章。</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342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单干线速攻炮</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流量 ≥30L/S；重量≤11kg；卡扣式接口（炮头流量三档可调）</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防腐铝合金材质加表面硬质阳极氧化处理，具有良好防腐和耐磨性能</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射程≥65 米 @ 7bar 炮头进口压力，炮头可开花直流喷雾;</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配置不锈钢拉手的开关球阀，；</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水平旋转：±20 度；</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俯仰角度：30 度～70 度; 带阻尼手把.</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两个支腿带有锁紧定位机构，更加安全可靠。</w:t>
            </w:r>
          </w:p>
          <w:p>
            <w:pPr>
              <w:rPr>
                <w:rFonts w:hint="eastAsia"/>
                <w:color w:val="auto"/>
                <w:highlight w:val="none"/>
                <w:lang w:val="en-US" w:eastAsia="zh-CN"/>
              </w:rPr>
            </w:pPr>
            <w:r>
              <w:rPr>
                <w:rFonts w:hint="eastAsia" w:ascii="Times New Roman" w:hAnsi="Times New Roman" w:eastAsia="宋体" w:cs="Times New Roman"/>
                <w:color w:val="auto"/>
                <w:highlight w:val="none"/>
                <w:lang w:val="en-US" w:eastAsia="zh-CN"/>
              </w:rPr>
              <w:t>不锈钢前端支腿，和打开的两个后支腿形成三个支撑点，建立起一个稳定的支撑面。三个支腿安装带保护盖的高强度耐磨弹性减震地钉，避免地钉损坏</w:t>
            </w:r>
          </w:p>
          <w:p>
            <w:pPr>
              <w:rPr>
                <w:rFonts w:hint="default"/>
                <w:color w:val="auto"/>
                <w:highlight w:val="none"/>
                <w:lang w:val="en-US" w:eastAsia="zh-CN"/>
              </w:rPr>
            </w:pPr>
            <w:r>
              <w:rPr>
                <w:rFonts w:hint="eastAsia"/>
                <w:color w:val="auto"/>
                <w:highlight w:val="none"/>
                <w:lang w:val="en-US" w:eastAsia="zh-CN"/>
              </w:rPr>
              <w:t>.响应文件中须</w:t>
            </w:r>
            <w:r>
              <w:rPr>
                <w:rFonts w:hint="default"/>
                <w:color w:val="auto"/>
                <w:highlight w:val="none"/>
                <w:lang w:val="en-US" w:eastAsia="zh-CN"/>
              </w:rPr>
              <w:t>提供国家消防质量监督检验中心出具的检验报告复印件加盖响应供应商公章。</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w:t>
            </w:r>
          </w:p>
        </w:tc>
      </w:tr>
      <w:tr>
        <w:tblPrEx>
          <w:tblCellMar>
            <w:top w:w="0" w:type="dxa"/>
            <w:left w:w="108" w:type="dxa"/>
            <w:bottom w:w="0" w:type="dxa"/>
            <w:right w:w="108" w:type="dxa"/>
          </w:tblCellMar>
        </w:tblPrEx>
        <w:trPr>
          <w:trHeight w:val="590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手抬机动泵</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eastAsia"/>
                <w:color w:val="auto"/>
                <w:sz w:val="21"/>
                <w:szCs w:val="21"/>
                <w:highlight w:val="none"/>
                <w:lang w:val="en-US" w:eastAsia="zh-CN"/>
              </w:rPr>
            </w:pPr>
            <w:r>
              <w:rPr>
                <w:rFonts w:hint="default"/>
                <w:color w:val="auto"/>
                <w:sz w:val="21"/>
                <w:szCs w:val="21"/>
                <w:highlight w:val="none"/>
                <w:lang w:val="en-US" w:eastAsia="zh-CN"/>
              </w:rPr>
              <w:t>泵</w:t>
            </w:r>
            <w:r>
              <w:rPr>
                <w:rFonts w:hint="eastAsia"/>
                <w:color w:val="auto"/>
                <w:sz w:val="21"/>
                <w:szCs w:val="21"/>
                <w:highlight w:val="none"/>
                <w:lang w:val="en-US" w:eastAsia="zh-CN"/>
              </w:rPr>
              <w:t>类型：单泵单程离心泵；</w:t>
            </w:r>
          </w:p>
          <w:p>
            <w:pPr>
              <w:pStyle w:val="17"/>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真空泵：碳钎维活片无油式（最大吸程约9米）</w:t>
            </w:r>
          </w:p>
          <w:p>
            <w:pPr>
              <w:pStyle w:val="7"/>
              <w:ind w:left="0" w:leftChars="0" w:firstLine="0" w:firstLineChars="0"/>
              <w:jc w:val="left"/>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抽真空时间：1米吸程（0.7秒）；7米吸程（11.5秒）</w:t>
            </w:r>
          </w:p>
          <w:p>
            <w:pPr>
              <w:rPr>
                <w:rFonts w:hint="eastAsia"/>
                <w:color w:val="auto"/>
                <w:sz w:val="21"/>
                <w:szCs w:val="21"/>
                <w:highlight w:val="none"/>
                <w:lang w:val="en-US" w:eastAsia="zh-CN"/>
              </w:rPr>
            </w:pPr>
            <w:r>
              <w:rPr>
                <w:rFonts w:hint="eastAsia"/>
                <w:color w:val="auto"/>
                <w:sz w:val="21"/>
                <w:szCs w:val="21"/>
                <w:highlight w:val="none"/>
                <w:lang w:val="en-US" w:eastAsia="zh-CN"/>
              </w:rPr>
              <w:t>吸水口：DN65mm</w:t>
            </w:r>
          </w:p>
          <w:p>
            <w:pPr>
              <w:pStyle w:val="17"/>
              <w:rPr>
                <w:rFonts w:hint="eastAsia"/>
                <w:color w:val="auto"/>
                <w:sz w:val="21"/>
                <w:szCs w:val="21"/>
                <w:highlight w:val="none"/>
                <w:lang w:val="en-US" w:eastAsia="zh-CN"/>
              </w:rPr>
            </w:pPr>
            <w:r>
              <w:rPr>
                <w:rFonts w:hint="eastAsia"/>
                <w:color w:val="auto"/>
                <w:sz w:val="21"/>
                <w:szCs w:val="21"/>
                <w:highlight w:val="none"/>
                <w:lang w:val="en-US" w:eastAsia="zh-CN"/>
              </w:rPr>
              <w:t>出水口：DN65mm（快速球阀）</w:t>
            </w:r>
          </w:p>
          <w:p>
            <w:pPr>
              <w:pStyle w:val="7"/>
              <w:ind w:left="0" w:leftChars="0" w:firstLine="0" w:firstLineChars="0"/>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吸程3米：流量/压力 527升分钟/0.6MPA</w:t>
            </w:r>
          </w:p>
          <w:p>
            <w:pPr>
              <w:rPr>
                <w:rFonts w:hint="eastAsia"/>
                <w:color w:val="auto"/>
                <w:sz w:val="21"/>
                <w:szCs w:val="21"/>
                <w:highlight w:val="none"/>
                <w:lang w:val="en-US" w:eastAsia="zh-CN"/>
              </w:rPr>
            </w:pPr>
            <w:r>
              <w:rPr>
                <w:rFonts w:hint="eastAsia"/>
                <w:color w:val="auto"/>
                <w:sz w:val="21"/>
                <w:szCs w:val="21"/>
                <w:highlight w:val="none"/>
                <w:lang w:val="en-US" w:eastAsia="zh-CN"/>
              </w:rPr>
              <w:t xml:space="preserve">                   250升/分钟/0.8MPA</w:t>
            </w:r>
          </w:p>
          <w:p>
            <w:pPr>
              <w:pStyle w:val="17"/>
              <w:rPr>
                <w:rFonts w:hint="eastAsia"/>
                <w:color w:val="auto"/>
                <w:sz w:val="21"/>
                <w:szCs w:val="21"/>
                <w:highlight w:val="none"/>
                <w:lang w:val="en-US" w:eastAsia="zh-CN"/>
              </w:rPr>
            </w:pPr>
            <w:r>
              <w:rPr>
                <w:rFonts w:hint="eastAsia"/>
                <w:color w:val="auto"/>
                <w:sz w:val="21"/>
                <w:szCs w:val="21"/>
                <w:highlight w:val="none"/>
                <w:lang w:val="en-US" w:eastAsia="zh-CN"/>
              </w:rPr>
              <w:t>发动机类型：立式、单杠，手动，电动，风冷，二冲程</w:t>
            </w:r>
          </w:p>
          <w:p>
            <w:pPr>
              <w:pStyle w:val="7"/>
              <w:ind w:left="0" w:leftChars="0" w:firstLine="0" w:firstLineChars="0"/>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输出功率：  最大15PS=12KW</w:t>
            </w:r>
          </w:p>
          <w:p>
            <w:pPr>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转述规格：6000转/分钟</w:t>
            </w:r>
          </w:p>
          <w:p>
            <w:pPr>
              <w:pStyle w:val="17"/>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油箱容量：5.4升（标准耗油量每小时5.4升）</w:t>
            </w:r>
          </w:p>
          <w:p>
            <w:pPr>
              <w:pStyle w:val="7"/>
              <w:ind w:left="0" w:leftChars="0" w:firstLine="0" w:firstLineChars="0"/>
              <w:rPr>
                <w:rFonts w:hint="eastAsia"/>
                <w:color w:val="auto"/>
                <w:highlight w:val="none"/>
                <w:lang w:val="en-US" w:eastAsia="zh-CN"/>
              </w:rPr>
            </w:pPr>
            <w:r>
              <w:rPr>
                <w:rFonts w:hint="eastAsia"/>
                <w:color w:val="auto"/>
                <w:highlight w:val="none"/>
                <w:lang w:val="en-US" w:eastAsia="zh-CN"/>
              </w:rPr>
              <w:t>启动系统：电力起动，自动反冲系统；绳拉式；</w:t>
            </w:r>
          </w:p>
          <w:p>
            <w:pPr>
              <w:rPr>
                <w:rFonts w:hint="eastAsia"/>
                <w:color w:val="auto"/>
                <w:highlight w:val="none"/>
                <w:lang w:val="en-US" w:eastAsia="zh-CN"/>
              </w:rPr>
            </w:pPr>
            <w:r>
              <w:rPr>
                <w:rFonts w:hint="eastAsia" w:ascii="宋体" w:hAnsi="宋体" w:eastAsia="宋体" w:cs="宋体"/>
                <w:color w:val="auto"/>
                <w:sz w:val="21"/>
                <w:szCs w:val="21"/>
                <w:highlight w:val="none"/>
              </w:rPr>
              <w:t>★</w:t>
            </w:r>
            <w:r>
              <w:rPr>
                <w:rFonts w:hint="eastAsia"/>
                <w:color w:val="auto"/>
                <w:highlight w:val="none"/>
                <w:lang w:val="en-US" w:eastAsia="zh-CN"/>
              </w:rPr>
              <w:t>体积：560mm×475mm×530mm</w:t>
            </w:r>
          </w:p>
          <w:p>
            <w:pPr>
              <w:pStyle w:val="7"/>
              <w:ind w:left="0" w:leftChars="0" w:firstLine="0" w:firstLineChars="0"/>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重量：46kg</w:t>
            </w:r>
          </w:p>
          <w:p>
            <w:pPr>
              <w:rPr>
                <w:rFonts w:hint="default"/>
                <w:color w:val="auto"/>
                <w:highlight w:val="none"/>
                <w:lang w:val="en-US" w:eastAsia="zh-CN"/>
              </w:rPr>
            </w:pPr>
            <w:r>
              <w:rPr>
                <w:rFonts w:hint="eastAsia"/>
                <w:color w:val="auto"/>
                <w:sz w:val="21"/>
                <w:szCs w:val="21"/>
                <w:highlight w:val="none"/>
                <w:lang w:val="en-US" w:eastAsia="zh-CN"/>
              </w:rPr>
              <w:t>蓄电池：12V，14Ah/10h</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1</w:t>
            </w:r>
            <w:r>
              <w:rPr>
                <w:rFonts w:hint="eastAsia"/>
                <w:color w:val="auto"/>
                <w:highlight w:val="none"/>
                <w:lang w:val="en-US" w:eastAsia="zh-CN"/>
              </w:rPr>
              <w:t>8</w:t>
            </w:r>
            <w:r>
              <w:rPr>
                <w:rFonts w:hint="default"/>
                <w:color w:val="auto"/>
                <w:highlight w:val="none"/>
                <w:lang w:val="en-US" w:eastAsia="zh-CN"/>
              </w:rPr>
              <w:t>.</w:t>
            </w:r>
            <w:r>
              <w:rPr>
                <w:rFonts w:hint="eastAsia"/>
                <w:color w:val="auto"/>
                <w:highlight w:val="none"/>
                <w:lang w:val="en-US" w:eastAsia="zh-CN"/>
              </w:rPr>
              <w:t>响应文件中须</w:t>
            </w:r>
            <w:r>
              <w:rPr>
                <w:rFonts w:hint="default"/>
                <w:color w:val="auto"/>
                <w:highlight w:val="none"/>
                <w:lang w:val="en-US" w:eastAsia="zh-CN"/>
              </w:rPr>
              <w:t>提供国家消防质量监督检验中心出具的检验报告及认证</w:t>
            </w:r>
            <w:r>
              <w:rPr>
                <w:rFonts w:hint="eastAsia"/>
                <w:color w:val="auto"/>
                <w:highlight w:val="none"/>
                <w:lang w:val="en-US" w:eastAsia="zh-CN"/>
              </w:rPr>
              <w:t>复印件加盖响应供应商公章</w:t>
            </w:r>
            <w:r>
              <w:rPr>
                <w:rFonts w:hint="default"/>
                <w:color w:val="auto"/>
                <w:highlight w:val="none"/>
                <w:lang w:val="en-US" w:eastAsia="zh-CN"/>
              </w:rPr>
              <w:t>。</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590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大功率手抬机动泵</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eastAsia"/>
                <w:color w:val="auto"/>
                <w:sz w:val="21"/>
                <w:szCs w:val="21"/>
                <w:highlight w:val="none"/>
                <w:lang w:val="en-US" w:eastAsia="zh-CN"/>
              </w:rPr>
            </w:pPr>
            <w:r>
              <w:rPr>
                <w:rFonts w:hint="default"/>
                <w:color w:val="auto"/>
                <w:sz w:val="21"/>
                <w:szCs w:val="21"/>
                <w:highlight w:val="none"/>
                <w:lang w:val="en-US" w:eastAsia="zh-CN"/>
              </w:rPr>
              <w:t>泵</w:t>
            </w:r>
            <w:r>
              <w:rPr>
                <w:rFonts w:hint="eastAsia"/>
                <w:color w:val="auto"/>
                <w:sz w:val="21"/>
                <w:szCs w:val="21"/>
                <w:highlight w:val="none"/>
                <w:lang w:val="en-US" w:eastAsia="zh-CN"/>
              </w:rPr>
              <w:t>类型：单泵单程离心泵；</w:t>
            </w:r>
          </w:p>
          <w:p>
            <w:pPr>
              <w:pStyle w:val="17"/>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真空泵：碳钎维活片无油式（最大吸程约9米）</w:t>
            </w:r>
          </w:p>
          <w:p>
            <w:pPr>
              <w:pStyle w:val="7"/>
              <w:ind w:left="0" w:leftChars="0" w:firstLine="0" w:firstLineChars="0"/>
              <w:jc w:val="left"/>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抽真空时间：1米吸程（0.2秒）；7米吸程（8.5秒）</w:t>
            </w:r>
          </w:p>
          <w:p>
            <w:pPr>
              <w:rPr>
                <w:rFonts w:hint="eastAsia"/>
                <w:color w:val="auto"/>
                <w:sz w:val="21"/>
                <w:szCs w:val="21"/>
                <w:highlight w:val="none"/>
                <w:lang w:val="en-US" w:eastAsia="zh-CN"/>
              </w:rPr>
            </w:pPr>
            <w:r>
              <w:rPr>
                <w:rFonts w:hint="eastAsia"/>
                <w:color w:val="auto"/>
                <w:sz w:val="21"/>
                <w:szCs w:val="21"/>
                <w:highlight w:val="none"/>
                <w:lang w:val="en-US" w:eastAsia="zh-CN"/>
              </w:rPr>
              <w:t>吸水口：DN80mm</w:t>
            </w:r>
          </w:p>
          <w:p>
            <w:pPr>
              <w:pStyle w:val="17"/>
              <w:rPr>
                <w:rFonts w:hint="eastAsia"/>
                <w:color w:val="auto"/>
                <w:sz w:val="21"/>
                <w:szCs w:val="21"/>
                <w:highlight w:val="none"/>
                <w:lang w:val="en-US" w:eastAsia="zh-CN"/>
              </w:rPr>
            </w:pPr>
            <w:r>
              <w:rPr>
                <w:rFonts w:hint="eastAsia"/>
                <w:color w:val="auto"/>
                <w:sz w:val="21"/>
                <w:szCs w:val="21"/>
                <w:highlight w:val="none"/>
                <w:lang w:val="en-US" w:eastAsia="zh-CN"/>
              </w:rPr>
              <w:t>出水口：DN65mm（可转动180°）</w:t>
            </w:r>
          </w:p>
          <w:p>
            <w:pPr>
              <w:pStyle w:val="7"/>
              <w:ind w:left="0" w:leftChars="0" w:firstLine="0" w:firstLineChars="0"/>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吸程3米：流量/压力 1550升分钟/0.5MPA</w:t>
            </w:r>
          </w:p>
          <w:p>
            <w:pPr>
              <w:rPr>
                <w:rFonts w:hint="eastAsia"/>
                <w:color w:val="auto"/>
                <w:sz w:val="21"/>
                <w:szCs w:val="21"/>
                <w:highlight w:val="none"/>
                <w:lang w:val="en-US" w:eastAsia="zh-CN"/>
              </w:rPr>
            </w:pPr>
            <w:r>
              <w:rPr>
                <w:rFonts w:hint="eastAsia"/>
                <w:color w:val="auto"/>
                <w:sz w:val="21"/>
                <w:szCs w:val="21"/>
                <w:highlight w:val="none"/>
                <w:lang w:val="en-US" w:eastAsia="zh-CN"/>
              </w:rPr>
              <w:t xml:space="preserve">                      1300升/分钟/0.7MPA</w:t>
            </w:r>
          </w:p>
          <w:p>
            <w:pPr>
              <w:ind w:firstLine="2310" w:firstLineChars="1100"/>
              <w:rPr>
                <w:rFonts w:hint="eastAsia"/>
                <w:color w:val="auto"/>
                <w:highlight w:val="none"/>
                <w:lang w:val="en-US" w:eastAsia="zh-CN"/>
              </w:rPr>
            </w:pPr>
            <w:r>
              <w:rPr>
                <w:rFonts w:hint="eastAsia"/>
                <w:color w:val="auto"/>
                <w:sz w:val="21"/>
                <w:szCs w:val="21"/>
                <w:highlight w:val="none"/>
                <w:lang w:val="en-US" w:eastAsia="zh-CN"/>
              </w:rPr>
              <w:t>900升/分钟/0.9MPA</w:t>
            </w:r>
          </w:p>
          <w:p>
            <w:pPr>
              <w:pStyle w:val="17"/>
              <w:rPr>
                <w:rFonts w:hint="eastAsia"/>
                <w:color w:val="auto"/>
                <w:sz w:val="21"/>
                <w:szCs w:val="21"/>
                <w:highlight w:val="none"/>
                <w:lang w:val="en-US" w:eastAsia="zh-CN"/>
              </w:rPr>
            </w:pPr>
            <w:r>
              <w:rPr>
                <w:rFonts w:hint="eastAsia"/>
                <w:color w:val="auto"/>
                <w:sz w:val="21"/>
                <w:szCs w:val="21"/>
                <w:highlight w:val="none"/>
                <w:lang w:val="en-US" w:eastAsia="zh-CN"/>
              </w:rPr>
              <w:t>发动机类型：立式、单杠，手动，电动，风冷，二冲程</w:t>
            </w:r>
          </w:p>
          <w:p>
            <w:pPr>
              <w:pStyle w:val="7"/>
              <w:ind w:left="0" w:leftChars="0" w:firstLine="0" w:firstLineChars="0"/>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输出功率：  最大46PS=34KW</w:t>
            </w:r>
          </w:p>
          <w:p>
            <w:pPr>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转述规格：5200转/分钟</w:t>
            </w:r>
          </w:p>
          <w:p>
            <w:pPr>
              <w:pStyle w:val="17"/>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油箱容量：18升（标准耗油量每小时9升）</w:t>
            </w:r>
          </w:p>
          <w:p>
            <w:pPr>
              <w:pStyle w:val="7"/>
              <w:ind w:left="0" w:leftChars="0" w:firstLine="0" w:firstLineChars="0"/>
              <w:rPr>
                <w:rFonts w:hint="default"/>
                <w:color w:val="auto"/>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点火方式：飞轮永磁电机C.D.I</w:t>
            </w:r>
          </w:p>
          <w:p>
            <w:pPr>
              <w:pStyle w:val="7"/>
              <w:ind w:left="0" w:leftChars="0" w:firstLine="0" w:firstLineChars="0"/>
              <w:rPr>
                <w:rFonts w:hint="eastAsia"/>
                <w:color w:val="auto"/>
                <w:highlight w:val="none"/>
                <w:lang w:val="en-US" w:eastAsia="zh-CN"/>
              </w:rPr>
            </w:pPr>
            <w:r>
              <w:rPr>
                <w:rFonts w:hint="eastAsia"/>
                <w:color w:val="auto"/>
                <w:highlight w:val="none"/>
                <w:lang w:val="en-US" w:eastAsia="zh-CN"/>
              </w:rPr>
              <w:t>起动系统：电力起动，自动反冲系统；绳拉式；</w:t>
            </w:r>
          </w:p>
          <w:p>
            <w:pPr>
              <w:rPr>
                <w:rFonts w:hint="eastAsia"/>
                <w:color w:val="auto"/>
                <w:highlight w:val="none"/>
                <w:lang w:val="en-US" w:eastAsia="zh-CN"/>
              </w:rPr>
            </w:pPr>
            <w:r>
              <w:rPr>
                <w:rFonts w:hint="eastAsia" w:ascii="宋体" w:hAnsi="宋体" w:eastAsia="宋体" w:cs="宋体"/>
                <w:color w:val="auto"/>
                <w:sz w:val="21"/>
                <w:szCs w:val="21"/>
                <w:highlight w:val="none"/>
              </w:rPr>
              <w:t>★</w:t>
            </w:r>
            <w:r>
              <w:rPr>
                <w:rFonts w:hint="eastAsia"/>
                <w:color w:val="auto"/>
                <w:highlight w:val="none"/>
                <w:lang w:val="en-US" w:eastAsia="zh-CN"/>
              </w:rPr>
              <w:t>体积：700mm×620mm×730mm</w:t>
            </w:r>
          </w:p>
          <w:p>
            <w:pPr>
              <w:pStyle w:val="7"/>
              <w:ind w:left="0" w:leftChars="0" w:firstLine="0" w:firstLineChars="0"/>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重量：85kg</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蓄电池：12V，18Ah/5h</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18</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提供国家消防装备质量监督检验中心签发的检验报告及证书</w:t>
            </w:r>
            <w:r>
              <w:rPr>
                <w:rFonts w:hint="eastAsia"/>
                <w:color w:val="auto"/>
                <w:highlight w:val="none"/>
                <w:lang w:val="en-US" w:eastAsia="zh-CN"/>
              </w:rPr>
              <w:t>复印件加盖响应供应商公章。</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63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4kg手提式干粉灭火器</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符合国家相关行业标准，并</w:t>
            </w:r>
            <w:r>
              <w:rPr>
                <w:rFonts w:hint="eastAsia"/>
                <w:color w:val="auto"/>
                <w:highlight w:val="none"/>
                <w:lang w:val="en-US" w:eastAsia="zh-CN"/>
              </w:rPr>
              <w:t>在响应文件中</w:t>
            </w:r>
            <w:r>
              <w:rPr>
                <w:rFonts w:hint="default"/>
                <w:color w:val="auto"/>
                <w:highlight w:val="none"/>
                <w:lang w:val="en-US" w:eastAsia="zh-CN"/>
              </w:rPr>
              <w:t>提供检测报告</w:t>
            </w:r>
            <w:r>
              <w:rPr>
                <w:rFonts w:hint="eastAsia"/>
                <w:color w:val="auto"/>
                <w:highlight w:val="none"/>
                <w:lang w:val="en-US" w:eastAsia="zh-CN"/>
              </w:rPr>
              <w:t>复印件加盖响应供应商公章</w:t>
            </w:r>
            <w:r>
              <w:rPr>
                <w:rFonts w:hint="default"/>
                <w:color w:val="auto"/>
                <w:highlight w:val="none"/>
                <w:lang w:val="en-US" w:eastAsia="zh-CN"/>
              </w:rPr>
              <w:t>。适用于A.B.C类火灾。</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10</w:t>
            </w:r>
          </w:p>
        </w:tc>
      </w:tr>
      <w:tr>
        <w:tblPrEx>
          <w:tblCellMar>
            <w:top w:w="0" w:type="dxa"/>
            <w:left w:w="108" w:type="dxa"/>
            <w:bottom w:w="0" w:type="dxa"/>
            <w:right w:w="108" w:type="dxa"/>
          </w:tblCellMar>
        </w:tblPrEx>
        <w:trPr>
          <w:trHeight w:val="187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泡沫枪</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空气泡沫枪由喷嘴、启闭柄、密封圈控制开关、手轮、枪筒、吸管、吸管接头、枪组成；</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空气泡沫枪应配用6%的泡沫液。</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能不采用吸管空气泡沫液时，水泵上需配备空气泡沫混合器，按规定此侧输送空气泡沫混合液。</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w:t>
            </w:r>
          </w:p>
        </w:tc>
      </w:tr>
      <w:tr>
        <w:tblPrEx>
          <w:tblCellMar>
            <w:top w:w="0" w:type="dxa"/>
            <w:left w:w="108" w:type="dxa"/>
            <w:bottom w:w="0" w:type="dxa"/>
            <w:right w:w="108" w:type="dxa"/>
          </w:tblCellMar>
        </w:tblPrEx>
        <w:trPr>
          <w:trHeight w:val="247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消防II类安全吊带</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 494-2004《消防用防坠落装备》标准。</w:t>
            </w:r>
            <w:r>
              <w:rPr>
                <w:rFonts w:hint="eastAsia"/>
                <w:color w:val="auto"/>
                <w:highlight w:val="none"/>
                <w:lang w:val="en-US" w:eastAsia="zh-CN"/>
              </w:rPr>
              <w:t>响应文件中须提供</w:t>
            </w:r>
            <w:r>
              <w:rPr>
                <w:rFonts w:hint="default"/>
                <w:color w:val="auto"/>
                <w:highlight w:val="none"/>
                <w:lang w:val="en-US" w:eastAsia="zh-CN"/>
              </w:rPr>
              <w:t>国检报告及消防产品认证证书认证证书复印件加盖响应供应商公章。此类吊带为可调全身式安全带，产品整体设计简洁实用，调节快速,实用方便。吊带的承重织带能调节尺寸大小以适合不同体型佩带。金属零件耐腐蚀。</w:t>
            </w:r>
          </w:p>
          <w:p>
            <w:pPr>
              <w:rPr>
                <w:rFonts w:hint="default"/>
                <w:color w:val="auto"/>
                <w:highlight w:val="none"/>
                <w:lang w:val="en-US" w:eastAsia="zh-CN"/>
              </w:rPr>
            </w:pPr>
            <w:r>
              <w:rPr>
                <w:rFonts w:hint="default"/>
                <w:color w:val="auto"/>
                <w:highlight w:val="none"/>
                <w:lang w:val="en-US" w:eastAsia="zh-CN"/>
              </w:rPr>
              <w:t>吊带整体负荷：≥2.65KN</w:t>
            </w:r>
          </w:p>
          <w:p>
            <w:pPr>
              <w:rPr>
                <w:rFonts w:hint="default"/>
                <w:color w:val="auto"/>
                <w:highlight w:val="none"/>
                <w:lang w:val="en-US" w:eastAsia="zh-CN"/>
              </w:rPr>
            </w:pPr>
            <w:r>
              <w:rPr>
                <w:rFonts w:hint="default"/>
                <w:color w:val="auto"/>
                <w:highlight w:val="none"/>
                <w:lang w:val="en-US" w:eastAsia="zh-CN"/>
              </w:rPr>
              <w:t>吊带上各辅助件负荷：≥1.65KN</w:t>
            </w:r>
          </w:p>
          <w:p>
            <w:pPr>
              <w:rPr>
                <w:rFonts w:hint="default"/>
                <w:color w:val="auto"/>
                <w:highlight w:val="none"/>
                <w:lang w:val="en-US" w:eastAsia="zh-CN"/>
              </w:rPr>
            </w:pPr>
            <w:r>
              <w:rPr>
                <w:rFonts w:hint="default"/>
                <w:color w:val="auto"/>
                <w:highlight w:val="none"/>
                <w:lang w:val="en-US" w:eastAsia="zh-CN"/>
              </w:rPr>
              <w:t xml:space="preserve">质量: ≤1.7Kg   </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w:t>
            </w:r>
          </w:p>
        </w:tc>
      </w:tr>
      <w:tr>
        <w:tblPrEx>
          <w:tblCellMar>
            <w:top w:w="0" w:type="dxa"/>
            <w:left w:w="108" w:type="dxa"/>
            <w:bottom w:w="0" w:type="dxa"/>
            <w:right w:w="108" w:type="dxa"/>
          </w:tblCellMar>
        </w:tblPrEx>
        <w:trPr>
          <w:trHeight w:val="247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消防III类安全吊带</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 494-2004《消防用防坠落装备》标准。响应文件中须提供国检报告及消防产品认证证书复印件加盖响应供应商公章。此类吊带为可调全身可倒置式安全带，产品整体设计简洁实用，调节快速,实用方便。吊带的承重织带能调节尺寸大小以适合不同体型佩带。金属零件耐腐蚀。</w:t>
            </w:r>
          </w:p>
          <w:p>
            <w:pPr>
              <w:rPr>
                <w:rFonts w:hint="default"/>
                <w:color w:val="auto"/>
                <w:highlight w:val="none"/>
                <w:lang w:val="en-US" w:eastAsia="zh-CN"/>
              </w:rPr>
            </w:pPr>
            <w:r>
              <w:rPr>
                <w:rFonts w:hint="default"/>
                <w:color w:val="auto"/>
                <w:highlight w:val="none"/>
                <w:lang w:val="en-US" w:eastAsia="zh-CN"/>
              </w:rPr>
              <w:t>吊带的承重：≥2.65KN</w:t>
            </w:r>
          </w:p>
          <w:p>
            <w:pPr>
              <w:rPr>
                <w:rFonts w:hint="default"/>
                <w:color w:val="auto"/>
                <w:highlight w:val="none"/>
                <w:lang w:val="en-US" w:eastAsia="zh-CN"/>
              </w:rPr>
            </w:pPr>
            <w:r>
              <w:rPr>
                <w:rFonts w:hint="default"/>
                <w:color w:val="auto"/>
                <w:highlight w:val="none"/>
                <w:lang w:val="en-US" w:eastAsia="zh-CN"/>
              </w:rPr>
              <w:t>织带宽度：≥44mm</w:t>
            </w:r>
          </w:p>
          <w:p>
            <w:pPr>
              <w:rPr>
                <w:rFonts w:hint="default"/>
                <w:color w:val="auto"/>
                <w:highlight w:val="none"/>
                <w:lang w:val="en-US" w:eastAsia="zh-CN"/>
              </w:rPr>
            </w:pPr>
            <w:r>
              <w:rPr>
                <w:rFonts w:hint="default"/>
                <w:color w:val="auto"/>
                <w:highlight w:val="none"/>
                <w:lang w:val="en-US" w:eastAsia="zh-CN"/>
              </w:rPr>
              <w:t xml:space="preserve">质量：≤2.15kg。   </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w:t>
            </w:r>
          </w:p>
        </w:tc>
      </w:tr>
      <w:tr>
        <w:tblPrEx>
          <w:tblCellMar>
            <w:top w:w="0" w:type="dxa"/>
            <w:left w:w="108" w:type="dxa"/>
            <w:bottom w:w="0" w:type="dxa"/>
            <w:right w:w="108" w:type="dxa"/>
          </w:tblCellMar>
        </w:tblPrEx>
        <w:trPr>
          <w:trHeight w:val="2887"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救生缓降器</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符合GB 21976.2-2012《建筑火灾逃生避难器材 第2部分：逃生缓降器》标准。该逃生缓降器是一种往复式高楼自救装置，一台产品可在短时间内连续使用救助多人及财物，只需自身重力，无需其它辅助动力、器械，安全平稳缓降至地面，缓降绳索采用纯裸航空用钢丝绳，阻燃、耐磨、强度高。</w:t>
            </w:r>
          </w:p>
          <w:p>
            <w:pPr>
              <w:rPr>
                <w:rFonts w:hint="default"/>
                <w:color w:val="auto"/>
                <w:highlight w:val="none"/>
                <w:lang w:val="en-US" w:eastAsia="zh-CN"/>
              </w:rPr>
            </w:pPr>
            <w:r>
              <w:rPr>
                <w:rFonts w:hint="default"/>
                <w:color w:val="auto"/>
                <w:highlight w:val="none"/>
                <w:lang w:val="en-US" w:eastAsia="zh-CN"/>
              </w:rPr>
              <w:t>由安全钩、安全带、绳索、调速器、金属连接件、及绳索卷盘组成。</w:t>
            </w:r>
          </w:p>
          <w:p>
            <w:pPr>
              <w:rPr>
                <w:rFonts w:hint="default"/>
                <w:color w:val="auto"/>
                <w:highlight w:val="none"/>
                <w:lang w:val="en-US" w:eastAsia="zh-CN"/>
              </w:rPr>
            </w:pPr>
            <w:r>
              <w:rPr>
                <w:rFonts w:hint="default"/>
                <w:color w:val="auto"/>
                <w:highlight w:val="none"/>
                <w:lang w:val="en-US" w:eastAsia="zh-CN"/>
              </w:rPr>
              <w:t xml:space="preserve">钢丝绳索直径：≤4mm；使用最高高度：≥30m；使用负荷重量：20-100kg；每次限载人数：1个；缓降绳索载荷：＞10000N；安全带载荷：＞10000N；安全钩载荷：＞10000N；质量：≤9kg。   </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3</w:t>
            </w:r>
          </w:p>
        </w:tc>
      </w:tr>
      <w:tr>
        <w:tblPrEx>
          <w:tblCellMar>
            <w:top w:w="0" w:type="dxa"/>
            <w:left w:w="108" w:type="dxa"/>
            <w:bottom w:w="0" w:type="dxa"/>
            <w:right w:w="108" w:type="dxa"/>
          </w:tblCellMar>
        </w:tblPrEx>
        <w:trPr>
          <w:trHeight w:val="247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轻型救援三角架</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采用高强度轻质合金制造的可伸缩支脚，安全系数大于7，并设有可装配3套安全索的吊孔，底脚设有环型保护链。绞盘采用可正反向自锁结构，保证了吊索的安全性。吊索选用特制的不锈钢丝绳，柔韧性好，且不会因锈蚀或缺油造成钢索损坏。方便装配，可因地制宜的装配在井口、坑口，且不受地面高低不平的限制。</w:t>
            </w:r>
          </w:p>
          <w:p>
            <w:pPr>
              <w:rPr>
                <w:rFonts w:hint="default"/>
                <w:color w:val="auto"/>
                <w:highlight w:val="none"/>
                <w:lang w:val="en-US" w:eastAsia="zh-CN"/>
              </w:rPr>
            </w:pPr>
            <w:r>
              <w:rPr>
                <w:rFonts w:hint="default"/>
                <w:color w:val="auto"/>
                <w:highlight w:val="none"/>
                <w:lang w:val="en-US" w:eastAsia="zh-CN"/>
              </w:rPr>
              <w:t xml:space="preserve">1.额定载荷 ≤1.6 kN；钢索长度 ≥32m；手柄力 ≤0.2 kN；闭拢长度 ≤2.2m；最大工作高度 ≥2.6 m；重≤38KG。 </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278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多功能担架</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灾害事故现场救援，可用于消防紧急救助、深井及狭窄空间救助、地面一般救助、高空救助、化学事故现场救助。可垂直或水平吊运，也可在光滑的地面拖拉，具有体积小、重量轻、便于携带、应用范围广，可单人操作等特点。</w:t>
            </w:r>
          </w:p>
          <w:p>
            <w:pPr>
              <w:rPr>
                <w:rFonts w:hint="default"/>
                <w:color w:val="auto"/>
                <w:highlight w:val="none"/>
                <w:lang w:val="en-US" w:eastAsia="zh-CN"/>
              </w:rPr>
            </w:pPr>
            <w:r>
              <w:rPr>
                <w:rFonts w:hint="default"/>
                <w:color w:val="auto"/>
                <w:highlight w:val="none"/>
                <w:lang w:val="en-US" w:eastAsia="zh-CN"/>
              </w:rPr>
              <w:t>1．材料：多功能担架采用特殊塑料复合而成；</w:t>
            </w:r>
          </w:p>
          <w:p>
            <w:pPr>
              <w:rPr>
                <w:rFonts w:hint="default"/>
                <w:color w:val="auto"/>
                <w:highlight w:val="none"/>
                <w:lang w:val="en-US" w:eastAsia="zh-CN"/>
              </w:rPr>
            </w:pPr>
            <w:r>
              <w:rPr>
                <w:rFonts w:hint="default"/>
                <w:color w:val="auto"/>
                <w:highlight w:val="none"/>
                <w:lang w:val="en-US" w:eastAsia="zh-CN"/>
              </w:rPr>
              <w:t>2．载重：约150kg；</w:t>
            </w:r>
          </w:p>
          <w:p>
            <w:pPr>
              <w:rPr>
                <w:rFonts w:hint="default"/>
                <w:color w:val="auto"/>
                <w:highlight w:val="none"/>
                <w:lang w:val="en-US" w:eastAsia="zh-CN"/>
              </w:rPr>
            </w:pPr>
            <w:r>
              <w:rPr>
                <w:rFonts w:hint="default"/>
                <w:color w:val="auto"/>
                <w:highlight w:val="none"/>
                <w:lang w:val="en-US" w:eastAsia="zh-CN"/>
              </w:rPr>
              <w:t>3．耐温：高温±45℃  低温-20℃；</w:t>
            </w:r>
          </w:p>
          <w:p>
            <w:pPr>
              <w:rPr>
                <w:rFonts w:hint="default"/>
                <w:color w:val="auto"/>
                <w:highlight w:val="none"/>
                <w:lang w:val="en-US" w:eastAsia="zh-CN"/>
              </w:rPr>
            </w:pPr>
            <w:r>
              <w:rPr>
                <w:rFonts w:hint="default"/>
                <w:color w:val="auto"/>
                <w:highlight w:val="none"/>
                <w:lang w:val="en-US" w:eastAsia="zh-CN"/>
              </w:rPr>
              <w:t>4．质量：≤10 kg；</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404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拖拽式救生衣</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 可产生22磅（相当于10千克重力）的浮力。适合胸围76至145厘米的使用者。不少于8条可调节的固定带可以确保使用者舒适稳固；前置两个大容量口袋，可以装下GPS设备或者是无线电设备。不少于三个前置挂点使得使用者在使用和固定刀、口哨或者其他东西的时候都得心应手；</w:t>
            </w:r>
          </w:p>
          <w:p>
            <w:pPr>
              <w:rPr>
                <w:rFonts w:hint="default"/>
                <w:color w:val="auto"/>
                <w:highlight w:val="none"/>
                <w:lang w:val="en-US" w:eastAsia="zh-CN"/>
              </w:rPr>
            </w:pPr>
            <w:r>
              <w:rPr>
                <w:rFonts w:hint="default"/>
                <w:color w:val="auto"/>
                <w:highlight w:val="none"/>
                <w:lang w:val="en-US" w:eastAsia="zh-CN"/>
              </w:rPr>
              <w:t>2. 背部有另外一个额外的挂点以及魔术织带可以放置频闪灯或者荧光棒，而且在PFD的前后一共缝制了6条高亮荧光带，这样在夜间或者光线黑暗的地方就可以提高作业者的可视性；后背部带有牵引绳连接拉环，用于连接快解式牵引绳，遇险快速逃脱；</w:t>
            </w:r>
          </w:p>
          <w:p>
            <w:pPr>
              <w:rPr>
                <w:rFonts w:hint="default"/>
                <w:color w:val="auto"/>
                <w:highlight w:val="none"/>
                <w:lang w:val="en-US" w:eastAsia="zh-CN"/>
              </w:rPr>
            </w:pPr>
            <w:r>
              <w:rPr>
                <w:rFonts w:hint="default"/>
                <w:color w:val="auto"/>
                <w:highlight w:val="none"/>
                <w:lang w:val="en-US" w:eastAsia="zh-CN"/>
              </w:rPr>
              <w:t>3.PDF牵引绳：用于连接救生衣PFD上面挂点的牵引绳，带有O型环与扣锁，快挂为承重达到25kN的Omega铝合金材质快挂，整个织带具有良好的延展效果，用于PFD作业，紧急情况下，PFD可快速与该牵引绳分离。</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w:t>
            </w:r>
          </w:p>
        </w:tc>
      </w:tr>
      <w:tr>
        <w:tblPrEx>
          <w:tblCellMar>
            <w:top w:w="0" w:type="dxa"/>
            <w:left w:w="108" w:type="dxa"/>
            <w:bottom w:w="0" w:type="dxa"/>
            <w:right w:w="108" w:type="dxa"/>
          </w:tblCellMar>
        </w:tblPrEx>
        <w:trPr>
          <w:trHeight w:val="2426"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消防通用安全绳</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1.符合国家XF494-2004《消防用防坠落装备》标准要求，响应文件中须提供国家消防装备质量监督检验中心的检验报告及认证证书复印件加盖响应供应商公章。</w:t>
            </w:r>
          </w:p>
          <w:p>
            <w:pPr>
              <w:rPr>
                <w:rFonts w:hint="default"/>
                <w:color w:val="auto"/>
                <w:highlight w:val="none"/>
                <w:lang w:val="en-US" w:eastAsia="zh-CN"/>
              </w:rPr>
            </w:pPr>
            <w:r>
              <w:rPr>
                <w:rFonts w:hint="default"/>
                <w:color w:val="auto"/>
                <w:highlight w:val="none"/>
                <w:lang w:val="en-US" w:eastAsia="zh-CN"/>
              </w:rPr>
              <w:t>2.直径：≤14mm，长度≥50米；破断强度：≥47.0KN；</w:t>
            </w:r>
          </w:p>
          <w:p>
            <w:pPr>
              <w:rPr>
                <w:rFonts w:hint="default"/>
                <w:color w:val="auto"/>
                <w:highlight w:val="none"/>
                <w:lang w:val="en-US" w:eastAsia="zh-CN"/>
              </w:rPr>
            </w:pPr>
            <w:r>
              <w:rPr>
                <w:rFonts w:hint="default"/>
                <w:color w:val="auto"/>
                <w:highlight w:val="none"/>
                <w:lang w:val="en-US" w:eastAsia="zh-CN"/>
              </w:rPr>
              <w:t>3.延伸率：当承重达到破断强度的10%时，安全绳的延伸率为≤5.2%；</w:t>
            </w:r>
          </w:p>
          <w:p>
            <w:pPr>
              <w:rPr>
                <w:rFonts w:hint="default"/>
                <w:color w:val="auto"/>
                <w:highlight w:val="none"/>
                <w:lang w:val="en-US" w:eastAsia="zh-CN"/>
              </w:rPr>
            </w:pPr>
            <w:r>
              <w:rPr>
                <w:rFonts w:hint="default"/>
                <w:color w:val="auto"/>
                <w:highlight w:val="none"/>
                <w:lang w:val="en-US" w:eastAsia="zh-CN"/>
              </w:rPr>
              <w:t>4.耐高温性能：经（204±5）℃ 耐高温性能试验后，未出现熔融、焦化现象。</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eastAsia"/>
                <w:color w:val="auto"/>
                <w:highlight w:val="none"/>
                <w:lang w:val="en-US" w:eastAsia="zh-CN"/>
              </w:rPr>
              <w:t>4</w:t>
            </w:r>
          </w:p>
        </w:tc>
      </w:tr>
      <w:tr>
        <w:tblPrEx>
          <w:tblCellMar>
            <w:top w:w="0" w:type="dxa"/>
            <w:left w:w="108" w:type="dxa"/>
            <w:bottom w:w="0" w:type="dxa"/>
            <w:right w:w="108" w:type="dxa"/>
          </w:tblCellMar>
        </w:tblPrEx>
        <w:trPr>
          <w:trHeight w:val="278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班用安全绳（100米）</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numPr>
                <w:ilvl w:val="0"/>
                <w:numId w:val="3"/>
              </w:numPr>
              <w:rPr>
                <w:rFonts w:hint="default"/>
                <w:color w:val="auto"/>
                <w:highlight w:val="none"/>
                <w:lang w:val="en-US" w:eastAsia="zh-CN"/>
              </w:rPr>
            </w:pPr>
            <w:r>
              <w:rPr>
                <w:rFonts w:hint="default"/>
                <w:color w:val="auto"/>
                <w:highlight w:val="none"/>
                <w:lang w:val="en-US" w:eastAsia="zh-CN"/>
              </w:rPr>
              <w:t>符合国家XF494-2004《消防用防坠落装备》标准要求，响应文件中须提供国家消防装备质量监督检验中心的检验报告及认证复印件加盖响应供应商公章。</w:t>
            </w:r>
          </w:p>
          <w:p>
            <w:pPr>
              <w:numPr>
                <w:ilvl w:val="0"/>
                <w:numId w:val="3"/>
              </w:numPr>
              <w:rPr>
                <w:rFonts w:hint="default"/>
                <w:color w:val="auto"/>
                <w:highlight w:val="none"/>
                <w:lang w:val="en-US" w:eastAsia="zh-CN"/>
              </w:rPr>
            </w:pPr>
            <w:r>
              <w:rPr>
                <w:rFonts w:hint="default"/>
                <w:color w:val="auto"/>
                <w:highlight w:val="none"/>
                <w:lang w:val="en-US" w:eastAsia="zh-CN"/>
              </w:rPr>
              <w:t>2.直径：≥16mm，长度≥100米；破断强度：≥49.5KN；</w:t>
            </w:r>
          </w:p>
          <w:p>
            <w:pPr>
              <w:rPr>
                <w:rFonts w:hint="default"/>
                <w:color w:val="auto"/>
                <w:highlight w:val="none"/>
                <w:lang w:val="en-US" w:eastAsia="zh-CN"/>
              </w:rPr>
            </w:pPr>
            <w:r>
              <w:rPr>
                <w:rFonts w:hint="default"/>
                <w:color w:val="auto"/>
                <w:highlight w:val="none"/>
                <w:lang w:val="en-US" w:eastAsia="zh-CN"/>
              </w:rPr>
              <w:t>3.延伸率：当承重达到破断强度的10%时，安全绳的延伸率为≤5.5%；</w:t>
            </w:r>
          </w:p>
          <w:p>
            <w:pPr>
              <w:rPr>
                <w:rFonts w:hint="default"/>
                <w:color w:val="auto"/>
                <w:highlight w:val="none"/>
                <w:lang w:val="en-US" w:eastAsia="zh-CN"/>
              </w:rPr>
            </w:pPr>
            <w:r>
              <w:rPr>
                <w:rFonts w:hint="default"/>
                <w:color w:val="auto"/>
                <w:highlight w:val="none"/>
                <w:lang w:val="en-US" w:eastAsia="zh-CN"/>
              </w:rPr>
              <w:t>4.耐高温性能：经（204±5）℃ 耐高温性能试验后，未出现熔融、焦化现象。</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w:t>
            </w:r>
          </w:p>
        </w:tc>
      </w:tr>
      <w:tr>
        <w:tblPrEx>
          <w:tblCellMar>
            <w:top w:w="0" w:type="dxa"/>
            <w:left w:w="108" w:type="dxa"/>
            <w:bottom w:w="0" w:type="dxa"/>
            <w:right w:w="108" w:type="dxa"/>
          </w:tblCellMar>
        </w:tblPrEx>
        <w:trPr>
          <w:trHeight w:val="32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水域救援头盔</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水面作业头盔是安全性、经济性和舒适性的绝佳选择。特殊设计的带通气孔的护耳部分可以在保证双颊安全性的前提下确保听觉不受干扰。</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顶部不少于8个透气孔确保在炎热的天气下依然感觉凉爽；左右两边各3个通气孔确保听觉不受干扰。</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下颚部分快速调节系带可以让你调整松紧至最舒适的程度；后脑部分带有快速调节棘轮和缓冲垫。</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符合CE EN1385水域安全标准；并提供国内相关检测机构出具的检测报告复印件</w:t>
            </w:r>
            <w:r>
              <w:rPr>
                <w:rFonts w:hint="eastAsia"/>
                <w:color w:val="auto"/>
                <w:highlight w:val="none"/>
                <w:lang w:val="en-US" w:eastAsia="zh-CN"/>
              </w:rPr>
              <w:t>复印件</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材质：耐用的ABS工程塑料外壳有效分散冲击力，高压EVA泡沫棉增强舒适性和保护性。(含帽徽)</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15</w:t>
            </w:r>
          </w:p>
        </w:tc>
      </w:tr>
      <w:tr>
        <w:tblPrEx>
          <w:tblCellMar>
            <w:top w:w="0" w:type="dxa"/>
            <w:left w:w="108" w:type="dxa"/>
            <w:bottom w:w="0" w:type="dxa"/>
            <w:right w:w="108" w:type="dxa"/>
          </w:tblCellMar>
        </w:tblPrEx>
        <w:trPr>
          <w:trHeight w:val="187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救生圈</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 救生圈内层为以聚氨酯泡沫材质，外层为尼龙乙烯基材质，具有抗老化，不易损坏及电绝缘性良好等优点。一次开模成形，耐用性更高；颜色为橙色，显眼醒目；</w:t>
            </w:r>
          </w:p>
          <w:p>
            <w:pPr>
              <w:rPr>
                <w:rFonts w:hint="default"/>
                <w:color w:val="auto"/>
                <w:highlight w:val="none"/>
                <w:lang w:val="en-US" w:eastAsia="zh-CN"/>
              </w:rPr>
            </w:pPr>
            <w:r>
              <w:rPr>
                <w:rFonts w:hint="default"/>
                <w:color w:val="auto"/>
                <w:highlight w:val="none"/>
                <w:lang w:val="en-US" w:eastAsia="zh-CN"/>
              </w:rPr>
              <w:t>2. 外径710mm 内径440mm 厚度105mm 重约2.5kg；浮力：≧14.5KG（适合体重350斤的人使用）；</w:t>
            </w:r>
          </w:p>
          <w:p>
            <w:pPr>
              <w:rPr>
                <w:rFonts w:hint="default"/>
                <w:color w:val="auto"/>
                <w:highlight w:val="none"/>
                <w:lang w:val="en-US" w:eastAsia="zh-CN"/>
              </w:rPr>
            </w:pPr>
            <w:r>
              <w:rPr>
                <w:rFonts w:hint="default"/>
                <w:color w:val="auto"/>
                <w:highlight w:val="none"/>
                <w:lang w:val="en-US" w:eastAsia="zh-CN"/>
              </w:rPr>
              <w:t>3.配有四条等距反光带，方便夜间救援。</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w:t>
            </w:r>
          </w:p>
        </w:tc>
      </w:tr>
      <w:tr>
        <w:tblPrEx>
          <w:tblCellMar>
            <w:top w:w="0" w:type="dxa"/>
            <w:left w:w="108" w:type="dxa"/>
            <w:bottom w:w="0" w:type="dxa"/>
            <w:right w:w="108" w:type="dxa"/>
          </w:tblCellMar>
        </w:tblPrEx>
        <w:trPr>
          <w:trHeight w:val="2169"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安全钩</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1.符合GA494-2004《消防用防坠落装备》标准要求。</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提供《国家消防装备质量监督检验中心》的检测报告认证</w:t>
            </w:r>
            <w:r>
              <w:rPr>
                <w:rFonts w:hint="eastAsia"/>
                <w:color w:val="auto"/>
                <w:highlight w:val="none"/>
                <w:lang w:val="en-US" w:eastAsia="zh-CN"/>
              </w:rPr>
              <w:t>复印件加盖响应供应商公章</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2.材料为铝合金7075，形状为D型。</w:t>
            </w:r>
          </w:p>
          <w:p>
            <w:pPr>
              <w:rPr>
                <w:rFonts w:hint="default"/>
                <w:color w:val="auto"/>
                <w:highlight w:val="none"/>
                <w:lang w:val="en-US" w:eastAsia="zh-CN"/>
              </w:rPr>
            </w:pPr>
            <w:r>
              <w:rPr>
                <w:rFonts w:hint="default"/>
                <w:color w:val="auto"/>
                <w:highlight w:val="none"/>
                <w:lang w:val="en-US" w:eastAsia="zh-CN"/>
              </w:rPr>
              <w:t>3.在开口闭合状态时，安全钩长轴破裂强度≥27KN。</w:t>
            </w:r>
            <w:r>
              <w:rPr>
                <w:rFonts w:hint="default"/>
                <w:color w:val="auto"/>
                <w:highlight w:val="none"/>
                <w:lang w:val="en-US" w:eastAsia="zh-CN"/>
              </w:rPr>
              <w:br w:type="textWrapping"/>
            </w:r>
            <w:r>
              <w:rPr>
                <w:rFonts w:hint="default"/>
                <w:color w:val="auto"/>
                <w:highlight w:val="none"/>
                <w:lang w:val="en-US" w:eastAsia="zh-CN"/>
              </w:rPr>
              <w:t>4.在开口打开状态时，安全钩长轴破裂强度≥7KN。</w:t>
            </w:r>
          </w:p>
          <w:p>
            <w:pPr>
              <w:rPr>
                <w:rFonts w:hint="default"/>
                <w:color w:val="auto"/>
                <w:highlight w:val="none"/>
                <w:lang w:val="en-US" w:eastAsia="zh-CN"/>
              </w:rPr>
            </w:pPr>
            <w:r>
              <w:rPr>
                <w:rFonts w:hint="default"/>
                <w:color w:val="auto"/>
                <w:highlight w:val="none"/>
                <w:lang w:val="en-US" w:eastAsia="zh-CN"/>
              </w:rPr>
              <w:t>5.安全钩短轴破裂强度≥7KN。</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60</w:t>
            </w:r>
          </w:p>
        </w:tc>
      </w:tr>
      <w:tr>
        <w:tblPrEx>
          <w:tblCellMar>
            <w:top w:w="0" w:type="dxa"/>
            <w:left w:w="108" w:type="dxa"/>
            <w:bottom w:w="0" w:type="dxa"/>
            <w:right w:w="108" w:type="dxa"/>
          </w:tblCellMar>
        </w:tblPrEx>
        <w:trPr>
          <w:trHeight w:val="291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消防用红外线热像仪</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前部单键式设计，轻松掌握所有操作；机身前部带有扳机，可实现屏幕冻结和拍照功能；防护等级为IP67，并可在260˚C的条件下全面运行5分钟。锂电池，可连续工作4小时。</w:t>
            </w:r>
          </w:p>
          <w:p>
            <w:pPr>
              <w:rPr>
                <w:rFonts w:hint="default"/>
                <w:color w:val="auto"/>
                <w:highlight w:val="none"/>
                <w:lang w:val="en-US" w:eastAsia="zh-CN"/>
              </w:rPr>
            </w:pPr>
            <w:r>
              <w:rPr>
                <w:rFonts w:hint="default"/>
                <w:color w:val="auto"/>
                <w:highlight w:val="none"/>
                <w:lang w:val="en-US" w:eastAsia="zh-CN"/>
              </w:rPr>
              <w:t>一、技术参数：</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探头红外分辨率：≥240x180像素、热灵敏度：40mK；屏幕：≥4英寸屏幕，≥320x240像素；图像帧频：60Hz、数字变焦：2倍数字变焦；波长范围：7.5-13μm、启动时间：&lt;17秒；</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从休眠模式唤醒时间：&lt;4秒；目标温度范围：-20至650°C；</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标配：热像仪本体，2块电池，充电器，挂绳，硬质塑料箱。</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280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测温仪</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测量范围：-50℃—1150℃；</w:t>
            </w:r>
          </w:p>
          <w:p>
            <w:pPr>
              <w:rPr>
                <w:rFonts w:hint="default"/>
                <w:color w:val="auto"/>
                <w:highlight w:val="none"/>
                <w:lang w:val="en-US" w:eastAsia="zh-CN"/>
              </w:rPr>
            </w:pPr>
            <w:r>
              <w:rPr>
                <w:rFonts w:hint="default"/>
                <w:color w:val="auto"/>
                <w:highlight w:val="none"/>
                <w:lang w:val="en-US" w:eastAsia="zh-CN"/>
              </w:rPr>
              <w:t>准确度：±2%或±2℃</w:t>
            </w:r>
          </w:p>
          <w:p>
            <w:pPr>
              <w:rPr>
                <w:rFonts w:hint="default"/>
                <w:color w:val="auto"/>
                <w:highlight w:val="none"/>
                <w:lang w:val="en-US" w:eastAsia="zh-CN"/>
              </w:rPr>
            </w:pPr>
            <w:r>
              <w:rPr>
                <w:rFonts w:hint="default"/>
                <w:color w:val="auto"/>
                <w:highlight w:val="none"/>
                <w:lang w:val="en-US" w:eastAsia="zh-CN"/>
              </w:rPr>
              <w:t>距离目标比：12：1</w:t>
            </w:r>
          </w:p>
          <w:p>
            <w:pPr>
              <w:rPr>
                <w:rFonts w:hint="default"/>
                <w:color w:val="auto"/>
                <w:highlight w:val="none"/>
                <w:lang w:val="en-US" w:eastAsia="zh-CN"/>
              </w:rPr>
            </w:pPr>
            <w:r>
              <w:rPr>
                <w:rFonts w:hint="default"/>
                <w:color w:val="auto"/>
                <w:highlight w:val="none"/>
                <w:lang w:val="en-US" w:eastAsia="zh-CN"/>
              </w:rPr>
              <w:t>发射率：0.10—0.99可调</w:t>
            </w:r>
          </w:p>
          <w:p>
            <w:pPr>
              <w:rPr>
                <w:rFonts w:hint="default"/>
                <w:color w:val="auto"/>
                <w:highlight w:val="none"/>
                <w:lang w:val="en-US" w:eastAsia="zh-CN"/>
              </w:rPr>
            </w:pPr>
            <w:r>
              <w:rPr>
                <w:rFonts w:hint="default"/>
                <w:color w:val="auto"/>
                <w:highlight w:val="none"/>
                <w:lang w:val="en-US" w:eastAsia="zh-CN"/>
              </w:rPr>
              <w:t>解析度：0.1℃或0.1℉（＜1000℃）  1℃或1℉（≥1000）</w:t>
            </w:r>
          </w:p>
          <w:p>
            <w:pPr>
              <w:rPr>
                <w:rFonts w:hint="default"/>
                <w:color w:val="auto"/>
                <w:highlight w:val="none"/>
                <w:lang w:val="en-US" w:eastAsia="zh-CN"/>
              </w:rPr>
            </w:pPr>
            <w:r>
              <w:rPr>
                <w:rFonts w:hint="default"/>
                <w:color w:val="auto"/>
                <w:highlight w:val="none"/>
                <w:lang w:val="en-US" w:eastAsia="zh-CN"/>
              </w:rPr>
              <w:t>响应时间和响应值长：500ms或(8-14)um</w:t>
            </w:r>
          </w:p>
          <w:p>
            <w:pPr>
              <w:rPr>
                <w:rFonts w:hint="default"/>
                <w:color w:val="auto"/>
                <w:highlight w:val="none"/>
                <w:lang w:val="en-US" w:eastAsia="zh-CN"/>
              </w:rPr>
            </w:pPr>
            <w:r>
              <w:rPr>
                <w:rFonts w:hint="default"/>
                <w:color w:val="auto"/>
                <w:highlight w:val="none"/>
                <w:lang w:val="en-US" w:eastAsia="zh-CN"/>
              </w:rPr>
              <w:t>重复性：±1%或1℃</w:t>
            </w:r>
          </w:p>
          <w:p>
            <w:pPr>
              <w:jc w:val="left"/>
              <w:rPr>
                <w:rFonts w:hint="default"/>
                <w:color w:val="auto"/>
                <w:highlight w:val="none"/>
                <w:lang w:val="en-US" w:eastAsia="zh-CN"/>
              </w:rPr>
            </w:pPr>
            <w:r>
              <w:rPr>
                <w:rFonts w:hint="default"/>
                <w:color w:val="auto"/>
                <w:highlight w:val="none"/>
                <w:lang w:val="en-US" w:eastAsia="zh-CN"/>
              </w:rPr>
              <w:t xml:space="preserve">供电电源：9V电池                                                                                                                                  重量：≤480g   </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1248"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四合一风速仪</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 xml:space="preserve">多功能专业测量风速、温度、湿度、露点、大气压力、BF薄福、风寒指数、海拔高度、台风预报； 特点：180 °折叠；LCD双显示；20分钟自动关机及风寒指数；多单位显示；最大/最小/平均值锁定功能；                                                                                          </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1937"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漏电探测仪</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 xml:space="preserve">探测电压，挂于消防员前胸，解放双手不耽误消防员做任何动作；精确指向性,220v的20cm内报警，380v的80cm内报警。                         </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外壳材质高强度聚碳酸酯；卡扣材质优质不锈钢整机重量≥230g；                                                          3</w:t>
            </w:r>
            <w:r>
              <w:rPr>
                <w:rFonts w:hint="eastAsia"/>
                <w:color w:val="auto"/>
                <w:highlight w:val="none"/>
                <w:lang w:val="en-US" w:eastAsia="zh-CN"/>
              </w:rPr>
              <w:t>.</w:t>
            </w:r>
            <w:r>
              <w:rPr>
                <w:rFonts w:hint="default"/>
                <w:color w:val="auto"/>
                <w:highlight w:val="none"/>
                <w:lang w:val="en-US" w:eastAsia="zh-CN"/>
              </w:rPr>
              <w:t>工作温度-29℃~49℃；开机方式：提拉式；探测范围≥160°；                                                4</w:t>
            </w:r>
            <w:r>
              <w:rPr>
                <w:rFonts w:hint="eastAsia"/>
                <w:color w:val="auto"/>
                <w:highlight w:val="none"/>
                <w:lang w:val="en-US" w:eastAsia="zh-CN"/>
              </w:rPr>
              <w:t>.</w:t>
            </w:r>
            <w:r>
              <w:rPr>
                <w:rFonts w:hint="default"/>
                <w:color w:val="auto"/>
                <w:highlight w:val="none"/>
                <w:lang w:val="en-US" w:eastAsia="zh-CN"/>
              </w:rPr>
              <w:t xml:space="preserve">报警产生距离0.00~5.48米或更远距离；报警方式：声光报警；工作范围：220v~380v~24kv及以上；                                                                                                                                                                           </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63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闪光警示灯</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用于灾害事故现场警戒警示；</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 xml:space="preserve">三角LED闪光；     </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w:t>
            </w:r>
          </w:p>
        </w:tc>
      </w:tr>
      <w:tr>
        <w:tblPrEx>
          <w:tblCellMar>
            <w:top w:w="0" w:type="dxa"/>
            <w:left w:w="108" w:type="dxa"/>
            <w:bottom w:w="0" w:type="dxa"/>
            <w:right w:w="108" w:type="dxa"/>
          </w:tblCellMar>
        </w:tblPrEx>
        <w:trPr>
          <w:trHeight w:val="63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70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收缩式锥形事故标示柱</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防水型荧光牛津布，反射型反光布。</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10</w:t>
            </w:r>
          </w:p>
        </w:tc>
      </w:tr>
      <w:tr>
        <w:tblPrEx>
          <w:tblCellMar>
            <w:top w:w="0" w:type="dxa"/>
            <w:left w:w="108" w:type="dxa"/>
            <w:bottom w:w="0" w:type="dxa"/>
            <w:right w:w="108" w:type="dxa"/>
          </w:tblCellMar>
        </w:tblPrEx>
        <w:trPr>
          <w:trHeight w:val="125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71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警示标识杆</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用于事故现场警戒，有反光功能；可多个配套使用；抗风能力强；整体防腐处理；</w:t>
            </w:r>
          </w:p>
          <w:p>
            <w:pPr>
              <w:rPr>
                <w:rFonts w:hint="default"/>
                <w:color w:val="auto"/>
                <w:highlight w:val="none"/>
                <w:lang w:val="en-US" w:eastAsia="zh-CN"/>
              </w:rPr>
            </w:pPr>
            <w:r>
              <w:rPr>
                <w:rFonts w:hint="default"/>
                <w:color w:val="auto"/>
                <w:highlight w:val="none"/>
                <w:lang w:val="en-US" w:eastAsia="zh-CN"/>
              </w:rPr>
              <w:t>高度：120cm  ；材质：不锈钢；底盘：支撑角可以自动收缩 ；可以与警示牌配套使用。</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6</w:t>
            </w:r>
          </w:p>
        </w:tc>
      </w:tr>
      <w:tr>
        <w:tblPrEx>
          <w:tblCellMar>
            <w:top w:w="0" w:type="dxa"/>
            <w:left w:w="108" w:type="dxa"/>
            <w:bottom w:w="0" w:type="dxa"/>
            <w:right w:w="108" w:type="dxa"/>
          </w:tblCellMar>
        </w:tblPrEx>
        <w:trPr>
          <w:trHeight w:val="63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72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出入口标志牌</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用于灾害事故现场标志。材质：铝塑板材；反光膜。</w:t>
            </w:r>
          </w:p>
        </w:tc>
        <w:tc>
          <w:tcPr>
            <w:tcW w:w="562"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color w:val="auto"/>
                <w:highlight w:val="none"/>
                <w:lang w:val="en-US" w:eastAsia="zh-CN"/>
              </w:rPr>
            </w:pPr>
            <w:r>
              <w:rPr>
                <w:rFonts w:hint="default"/>
                <w:color w:val="auto"/>
                <w:highlight w:val="none"/>
                <w:lang w:val="en-US" w:eastAsia="zh-CN"/>
              </w:rPr>
              <w:t>2</w:t>
            </w:r>
          </w:p>
        </w:tc>
      </w:tr>
      <w:tr>
        <w:tblPrEx>
          <w:tblCellMar>
            <w:top w:w="0" w:type="dxa"/>
            <w:left w:w="108" w:type="dxa"/>
            <w:bottom w:w="0" w:type="dxa"/>
            <w:right w:w="108" w:type="dxa"/>
          </w:tblCellMar>
        </w:tblPrEx>
        <w:trPr>
          <w:trHeight w:val="125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73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各类警示牌</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1.用于灾害事故现场警戒警示。</w:t>
            </w:r>
          </w:p>
          <w:p>
            <w:pPr>
              <w:rPr>
                <w:rFonts w:hint="default"/>
                <w:color w:val="auto"/>
                <w:highlight w:val="none"/>
                <w:lang w:val="en-US" w:eastAsia="zh-CN"/>
              </w:rPr>
            </w:pPr>
            <w:r>
              <w:rPr>
                <w:rFonts w:hint="default"/>
                <w:color w:val="auto"/>
                <w:highlight w:val="none"/>
                <w:lang w:val="en-US" w:eastAsia="zh-CN"/>
              </w:rPr>
              <w:t>2.规格为三角形状。</w:t>
            </w:r>
          </w:p>
          <w:p>
            <w:pPr>
              <w:rPr>
                <w:rFonts w:hint="default"/>
                <w:color w:val="auto"/>
                <w:highlight w:val="none"/>
                <w:lang w:val="en-US" w:eastAsia="zh-CN"/>
              </w:rPr>
            </w:pPr>
            <w:r>
              <w:rPr>
                <w:rFonts w:hint="default"/>
                <w:color w:val="auto"/>
                <w:highlight w:val="none"/>
                <w:lang w:val="en-US" w:eastAsia="zh-CN"/>
              </w:rPr>
              <w:t>3.图案为反光材料，与标志杆配套使用。</w:t>
            </w:r>
          </w:p>
          <w:p>
            <w:pPr>
              <w:rPr>
                <w:rFonts w:hint="default"/>
                <w:color w:val="auto"/>
                <w:highlight w:val="none"/>
                <w:lang w:val="en-US" w:eastAsia="zh-CN"/>
              </w:rPr>
            </w:pPr>
            <w:r>
              <w:rPr>
                <w:rFonts w:hint="default"/>
                <w:color w:val="auto"/>
                <w:highlight w:val="none"/>
                <w:lang w:val="en-US" w:eastAsia="zh-CN"/>
              </w:rPr>
              <w:t>4.材质为铝合金。</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w:t>
            </w:r>
          </w:p>
        </w:tc>
      </w:tr>
      <w:tr>
        <w:tblPrEx>
          <w:tblCellMar>
            <w:top w:w="0" w:type="dxa"/>
            <w:left w:w="108" w:type="dxa"/>
            <w:bottom w:w="0" w:type="dxa"/>
            <w:right w:w="108" w:type="dxa"/>
          </w:tblCellMar>
        </w:tblPrEx>
        <w:trPr>
          <w:trHeight w:val="186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74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多功能挠钩</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1.挠杆柄采用高强度的绝缘材料，防高压，可多节组合。杆头可更换，简便快捷。</w:t>
            </w:r>
          </w:p>
          <w:p>
            <w:pPr>
              <w:rPr>
                <w:rFonts w:hint="default"/>
                <w:color w:val="auto"/>
                <w:highlight w:val="none"/>
                <w:lang w:val="en-US" w:eastAsia="zh-CN"/>
              </w:rPr>
            </w:pPr>
            <w:r>
              <w:rPr>
                <w:rFonts w:hint="default"/>
                <w:color w:val="auto"/>
                <w:highlight w:val="none"/>
                <w:lang w:val="en-US" w:eastAsia="zh-CN"/>
              </w:rPr>
              <w:t>2.不少于12件套：包括长挠杆1根、短挠杆2根（其中1根有水平仪）、挠钩、双头挠钩、消防锯、无火花消防锤、撑顶器、消防剪、消防斧、登高钩、爪耙、工兵铲等。</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1248"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75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绝缘剪断钳</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抗电压5000伏以上。用于切断灾害现场的电源，避免易燃易爆物品发生二次事故。 采用力学杠杆原理，集剪和绝缘防电于一体。产品设计合理、结构独特、携带方便安全可靠、省力高效。</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4</w:t>
            </w:r>
          </w:p>
        </w:tc>
      </w:tr>
      <w:tr>
        <w:tblPrEx>
          <w:tblCellMar>
            <w:top w:w="0" w:type="dxa"/>
            <w:left w:w="108" w:type="dxa"/>
            <w:bottom w:w="0" w:type="dxa"/>
            <w:right w:w="108" w:type="dxa"/>
          </w:tblCellMar>
        </w:tblPrEx>
        <w:trPr>
          <w:trHeight w:val="311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76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便携式防盗门破拆工具组</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eastAsia"/>
                <w:color w:val="auto"/>
                <w:highlight w:val="none"/>
              </w:rPr>
            </w:pPr>
            <w:r>
              <w:rPr>
                <w:rFonts w:hint="eastAsia"/>
                <w:color w:val="auto"/>
                <w:highlight w:val="none"/>
              </w:rPr>
              <w:t>1、整套工具由进口优质不锈钢制成；防盗门破拆工具组利用简单的工具组合，在不破坏防盗门主体结构的同时，可以实现多种门锁的开启，开锁时间短，开锁效率高，安全性能高，同时对使用者的力量要求较低，可适用人群范围较广，实用性较强。</w:t>
            </w:r>
          </w:p>
          <w:p>
            <w:pPr>
              <w:rPr>
                <w:rFonts w:hint="eastAsia"/>
                <w:color w:val="auto"/>
                <w:highlight w:val="none"/>
              </w:rPr>
            </w:pPr>
            <w:r>
              <w:rPr>
                <w:rFonts w:hint="eastAsia"/>
                <w:color w:val="auto"/>
                <w:highlight w:val="none"/>
              </w:rPr>
              <w:t>2、单人就可操作，在保险和天地锁同时上锁的条件下，20秒以内就能将防盗门打开，而且不破坏防盗门主体结构。能够打开90%以上的各种常见的防盗门锁；特别是能够开启卷帘式防盗门。</w:t>
            </w:r>
          </w:p>
          <w:p>
            <w:pPr>
              <w:rPr>
                <w:rFonts w:hint="eastAsia"/>
                <w:color w:val="auto"/>
                <w:highlight w:val="none"/>
              </w:rPr>
            </w:pPr>
            <w:r>
              <w:rPr>
                <w:rFonts w:hint="eastAsia"/>
                <w:color w:val="auto"/>
                <w:highlight w:val="none"/>
              </w:rPr>
              <w:t>3、由破拆斧、锁把钳、锁芯套筒、扁口开锁起、辅助工具及便携式工具箱组成，体积小，重量轻，携带方便，整套工具重量小于4.5KG</w:t>
            </w:r>
          </w:p>
          <w:p>
            <w:pPr>
              <w:rPr>
                <w:rFonts w:hint="eastAsia"/>
                <w:color w:val="auto"/>
                <w:highlight w:val="none"/>
              </w:rPr>
            </w:pPr>
            <w:r>
              <w:rPr>
                <w:rFonts w:hint="eastAsia"/>
                <w:color w:val="auto"/>
                <w:highlight w:val="none"/>
              </w:rPr>
              <w:t>4、整套工具结实耐用，易损部件少，后期维护保养简单。能利用破拆斧除了防盗门以外其它地方的破拆，如轻质墙等。</w:t>
            </w:r>
          </w:p>
          <w:p>
            <w:pPr>
              <w:rPr>
                <w:rFonts w:hint="default"/>
                <w:color w:val="auto"/>
                <w:highlight w:val="none"/>
                <w:lang w:val="en-US" w:eastAsia="zh-CN"/>
              </w:rPr>
            </w:pPr>
            <w:r>
              <w:rPr>
                <w:rFonts w:hint="eastAsia"/>
                <w:color w:val="auto"/>
                <w:highlight w:val="none"/>
              </w:rPr>
              <w:t>5、产品使用简单，工具箱内配备二维码，扫描即可了解产品信息，并完全掌握使用方法。</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1884"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77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毁锁器</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采用先进的锁芯破坏技术及优质不锈钢材料制造，专用于抽取锁芯而不破坏门的结构。操作简单迅速，可在2-3min之间破坏门锁芯打开防盗门，配合辅助工具能够打开90%以上的各种常见的防盗门锁。</w:t>
            </w:r>
          </w:p>
          <w:p>
            <w:pPr>
              <w:rPr>
                <w:rFonts w:hint="default"/>
                <w:color w:val="auto"/>
                <w:highlight w:val="none"/>
                <w:lang w:val="en-US" w:eastAsia="zh-CN"/>
              </w:rPr>
            </w:pPr>
            <w:r>
              <w:rPr>
                <w:rFonts w:hint="default"/>
                <w:color w:val="auto"/>
                <w:highlight w:val="none"/>
                <w:lang w:val="en-US" w:eastAsia="zh-CN"/>
              </w:rPr>
              <w:t>配 置：专用特种钻头螺丝，锁芯拔除器、锁芯切断器、换向扳手、专用电钻、电池、充电器、锁舌转动器、除锈润滑剂、定位器、辅助工具、可锁防水防尘工程塑料箱。</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249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78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机动链锯</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采用油耗更低和排放等级的降低发动机。具有自动复位的停机开关，简单的链条张紧装置以及燃料的可视性使得该款油锯更易操作。</w:t>
            </w:r>
          </w:p>
          <w:p>
            <w:pPr>
              <w:rPr>
                <w:rFonts w:hint="default"/>
                <w:color w:val="auto"/>
                <w:highlight w:val="none"/>
                <w:lang w:val="en-US" w:eastAsia="zh-CN"/>
              </w:rPr>
            </w:pPr>
            <w:r>
              <w:rPr>
                <w:rFonts w:hint="default"/>
                <w:color w:val="auto"/>
                <w:highlight w:val="none"/>
                <w:lang w:val="en-US" w:eastAsia="zh-CN"/>
              </w:rPr>
              <w:t>技术参数：气缸排量≥50cm3，功率≥2.1 kW，最高功率转速≥9600 rpm，气缸缸径44 mm，活塞行程33 mm，火花塞电极间隙0.5 mm，燃油箱容量≥0.45 升，链条润滑油箱容量0.26 升，链条润滑油泵流量9-9 毫升/分钟，链条节距.325"，推荐使用导板长度33-50 cm，最大功率时的链条速度17.34 m/s，操作人员听到的噪音等级103.3 dB(A)，声功率级，LWA  100.5 dB(A)，重量（不包括切割设备）≤5kg.</w:t>
            </w:r>
          </w:p>
        </w:tc>
        <w:tc>
          <w:tcPr>
            <w:tcW w:w="562"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249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79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无齿锯</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用于救援现场快速切割金属或者钢筋混凝土材质，二冲程汽油发动机,可水冲洗。                                                                                                             功率≥ 3.7 kW ，汽缸排量≥ 74cm3， 汽缸缸管内径≥51 mm，空转速度 ≥ 2700 rpm， 建议最大的高速空转速度 ≥ 9300（+/-150） rpm， 油箱容量 ≥ 0.9公升，动力切割机{不带切割锯片或燃油)≤ 10kg，声能级，量测值 ≤ 112dB(A)，声能级，保证值 ≤101LWAdB(A)。锯片直径≥350mm ，切割深度≥125mm。配置：含进口金属砂轮片1片。</w:t>
            </w:r>
          </w:p>
        </w:tc>
        <w:tc>
          <w:tcPr>
            <w:tcW w:w="562"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color w:val="auto"/>
                <w:highlight w:val="none"/>
                <w:lang w:val="en-US" w:eastAsia="zh-CN"/>
              </w:rPr>
            </w:pPr>
            <w:r>
              <w:rPr>
                <w:rFonts w:hint="eastAsia"/>
                <w:color w:val="auto"/>
                <w:highlight w:val="none"/>
                <w:lang w:val="en-US" w:eastAsia="zh-CN"/>
              </w:rPr>
              <w:t>1</w:t>
            </w:r>
          </w:p>
        </w:tc>
      </w:tr>
      <w:tr>
        <w:tblPrEx>
          <w:tblCellMar>
            <w:top w:w="0" w:type="dxa"/>
            <w:left w:w="108" w:type="dxa"/>
            <w:bottom w:w="0" w:type="dxa"/>
            <w:right w:w="108" w:type="dxa"/>
          </w:tblCellMar>
        </w:tblPrEx>
        <w:trPr>
          <w:trHeight w:val="1387"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80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液压破拆工具组</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color w:val="auto"/>
                <w:highlight w:val="none"/>
              </w:rPr>
            </w:pPr>
            <w:r>
              <w:rPr>
                <w:color w:val="auto"/>
                <w:highlight w:val="none"/>
              </w:rPr>
              <w:t>一、 符合GB/T 17906《液压破拆工具通用技术条件》标准要求</w:t>
            </w:r>
          </w:p>
          <w:p>
            <w:pPr>
              <w:rPr>
                <w:color w:val="auto"/>
                <w:highlight w:val="none"/>
              </w:rPr>
            </w:pPr>
            <w:r>
              <w:rPr>
                <w:color w:val="auto"/>
                <w:highlight w:val="none"/>
              </w:rPr>
              <w:t>二、 由液压机动泵、液压软管、剪扩钳、扩张器、液压顶杆、手动液压泵、剪切钳等部分组成，各部件为同一品牌产品，可配套使用；</w:t>
            </w:r>
          </w:p>
          <w:p>
            <w:pPr>
              <w:spacing w:line="240" w:lineRule="atLeast"/>
              <w:rPr>
                <w:rFonts w:hint="eastAsia"/>
                <w:color w:val="auto"/>
                <w:highlight w:val="none"/>
              </w:rPr>
            </w:pPr>
            <w:r>
              <w:rPr>
                <w:color w:val="auto"/>
                <w:highlight w:val="none"/>
              </w:rPr>
              <w:t>1、 液压机动泵：单管</w:t>
            </w:r>
            <w:r>
              <w:rPr>
                <w:rFonts w:hint="eastAsia"/>
                <w:color w:val="auto"/>
                <w:highlight w:val="none"/>
              </w:rPr>
              <w:t>工作原理、两级四冲程汽油机、功率3.5匹/2.6千瓦、燃油油缸容量1250毫升、液压油油缸容量2490毫升</w:t>
            </w:r>
          </w:p>
          <w:p>
            <w:pPr>
              <w:spacing w:line="240" w:lineRule="atLeast"/>
              <w:rPr>
                <w:rFonts w:hint="eastAsia"/>
                <w:color w:val="auto"/>
                <w:highlight w:val="none"/>
              </w:rPr>
            </w:pPr>
            <w:r>
              <w:rPr>
                <w:rFonts w:hint="eastAsia"/>
                <w:color w:val="auto"/>
                <w:highlight w:val="none"/>
              </w:rPr>
              <w:t>第一级输出2X2800-3000毫升/分钟、第二级输出2X550-600毫升/分钟</w:t>
            </w:r>
          </w:p>
          <w:p>
            <w:pPr>
              <w:spacing w:line="240" w:lineRule="atLeast"/>
              <w:rPr>
                <w:rFonts w:hint="eastAsia"/>
                <w:color w:val="auto"/>
                <w:highlight w:val="none"/>
              </w:rPr>
            </w:pPr>
            <w:r>
              <w:rPr>
                <w:rFonts w:hint="eastAsia"/>
                <w:color w:val="auto"/>
                <w:highlight w:val="none"/>
              </w:rPr>
              <w:t>工作压力720巴、重量：24.9公斤、可同时接驳两套工具并同时连续使用工作4小时、工作温度：-20-55度</w:t>
            </w:r>
          </w:p>
          <w:p>
            <w:pPr>
              <w:spacing w:line="240" w:lineRule="atLeast"/>
              <w:rPr>
                <w:rFonts w:hint="eastAsia"/>
                <w:color w:val="auto"/>
                <w:highlight w:val="none"/>
              </w:rPr>
            </w:pPr>
            <w:r>
              <w:rPr>
                <w:rFonts w:hint="eastAsia"/>
                <w:color w:val="auto"/>
                <w:highlight w:val="none"/>
              </w:rPr>
              <w:t>卓越的性能为：</w:t>
            </w:r>
          </w:p>
          <w:p>
            <w:pPr>
              <w:spacing w:line="240" w:lineRule="atLeast"/>
              <w:rPr>
                <w:rFonts w:hint="eastAsia"/>
                <w:color w:val="auto"/>
                <w:highlight w:val="none"/>
              </w:rPr>
            </w:pPr>
            <w:r>
              <w:rPr>
                <w:rFonts w:hint="eastAsia"/>
                <w:color w:val="auto"/>
                <w:highlight w:val="none"/>
              </w:rPr>
              <w:t>1、泵外壳使用抗冲击的合成材料、坚固耐用、防水防潮、不生锈；</w:t>
            </w:r>
          </w:p>
          <w:p>
            <w:pPr>
              <w:spacing w:line="240" w:lineRule="atLeast"/>
              <w:rPr>
                <w:rFonts w:hint="eastAsia"/>
                <w:color w:val="auto"/>
                <w:highlight w:val="none"/>
              </w:rPr>
            </w:pPr>
            <w:r>
              <w:rPr>
                <w:rFonts w:hint="eastAsia"/>
                <w:color w:val="auto"/>
                <w:highlight w:val="none"/>
              </w:rPr>
              <w:t>2、智能型液压泵能够根据实际破拆操作时的强度和硬度、自动变换输转功率、使操作者能够轻而易举的破拆；</w:t>
            </w:r>
          </w:p>
          <w:p>
            <w:pPr>
              <w:spacing w:line="240" w:lineRule="atLeast"/>
              <w:rPr>
                <w:rFonts w:hint="eastAsia"/>
                <w:color w:val="auto"/>
                <w:highlight w:val="none"/>
              </w:rPr>
            </w:pPr>
            <w:r>
              <w:rPr>
                <w:rFonts w:hint="eastAsia"/>
                <w:color w:val="auto"/>
                <w:highlight w:val="none"/>
              </w:rPr>
              <w:t>3、自动怠速功能省油安静工作时噪音仅68分贝、方便使用者在救援现场的交流和伤者的沟通；</w:t>
            </w:r>
          </w:p>
          <w:p>
            <w:pPr>
              <w:spacing w:line="240" w:lineRule="atLeast"/>
              <w:rPr>
                <w:rFonts w:hint="eastAsia"/>
                <w:color w:val="auto"/>
                <w:highlight w:val="none"/>
              </w:rPr>
            </w:pPr>
            <w:r>
              <w:rPr>
                <w:rFonts w:hint="eastAsia"/>
                <w:color w:val="auto"/>
                <w:highlight w:val="none"/>
              </w:rPr>
              <w:t>4、强劲的变速功率和卓越的性能、可在垂直、升高或横向状态时正常操作；</w:t>
            </w:r>
          </w:p>
          <w:p>
            <w:pPr>
              <w:rPr>
                <w:color w:val="auto"/>
                <w:highlight w:val="none"/>
              </w:rPr>
            </w:pPr>
            <w:r>
              <w:rPr>
                <w:rFonts w:hint="eastAsia"/>
                <w:color w:val="auto"/>
                <w:highlight w:val="none"/>
              </w:rPr>
              <w:t>5、精心设计的照明系统，方便使用者在黑暗中操作使用！</w:t>
            </w:r>
            <w:r>
              <w:rPr>
                <w:color w:val="auto"/>
                <w:highlight w:val="none"/>
              </w:rPr>
              <w:t>；</w:t>
            </w:r>
          </w:p>
          <w:p>
            <w:pPr>
              <w:snapToGrid w:val="0"/>
              <w:spacing w:line="240" w:lineRule="atLeast"/>
              <w:rPr>
                <w:rFonts w:hint="eastAsia"/>
                <w:color w:val="auto"/>
                <w:highlight w:val="none"/>
              </w:rPr>
            </w:pPr>
            <w:r>
              <w:rPr>
                <w:color w:val="auto"/>
                <w:highlight w:val="none"/>
              </w:rPr>
              <w:t>2、 液压软管：液压管</w:t>
            </w:r>
            <w:r>
              <w:rPr>
                <w:rFonts w:hint="eastAsia"/>
                <w:color w:val="auto"/>
                <w:highlight w:val="none"/>
              </w:rPr>
              <w:t>材质为凯芙拉纤维、专利设计的平头式接口可在工作状态下带压任意快速</w:t>
            </w:r>
            <w:r>
              <w:rPr>
                <w:color w:val="auto"/>
                <w:highlight w:val="none"/>
              </w:rPr>
              <w:t>连接</w:t>
            </w:r>
            <w:r>
              <w:rPr>
                <w:rFonts w:hint="eastAsia"/>
                <w:color w:val="auto"/>
                <w:highlight w:val="none"/>
              </w:rPr>
              <w:t>和插拔、使用寿命10年</w:t>
            </w:r>
          </w:p>
          <w:p>
            <w:pPr>
              <w:snapToGrid w:val="0"/>
              <w:spacing w:line="240" w:lineRule="atLeast"/>
              <w:rPr>
                <w:rFonts w:hint="eastAsia"/>
                <w:color w:val="auto"/>
                <w:highlight w:val="none"/>
              </w:rPr>
            </w:pPr>
            <w:r>
              <w:rPr>
                <w:rFonts w:hint="eastAsia"/>
                <w:color w:val="auto"/>
                <w:highlight w:val="none"/>
              </w:rPr>
              <w:t>液压管可360度自由旋转而</w:t>
            </w:r>
            <w:r>
              <w:rPr>
                <w:color w:val="auto"/>
                <w:highlight w:val="none"/>
              </w:rPr>
              <w:t>不扭曲、不打结、</w:t>
            </w:r>
            <w:r>
              <w:rPr>
                <w:rFonts w:hint="eastAsia"/>
                <w:color w:val="auto"/>
                <w:highlight w:val="none"/>
              </w:rPr>
              <w:t>不漏油、</w:t>
            </w:r>
            <w:r>
              <w:rPr>
                <w:color w:val="auto"/>
                <w:highlight w:val="none"/>
              </w:rPr>
              <w:t>内管最大工作压力720巴、外管工作压力25巴</w:t>
            </w:r>
          </w:p>
          <w:p>
            <w:pPr>
              <w:snapToGrid w:val="0"/>
              <w:spacing w:line="240" w:lineRule="atLeast"/>
              <w:rPr>
                <w:rFonts w:hint="eastAsia"/>
                <w:color w:val="auto"/>
                <w:highlight w:val="none"/>
              </w:rPr>
            </w:pPr>
            <w:r>
              <w:rPr>
                <w:rFonts w:hint="eastAsia"/>
                <w:color w:val="auto"/>
                <w:highlight w:val="none"/>
              </w:rPr>
              <w:t>液压管长度：10米、</w:t>
            </w:r>
            <w:r>
              <w:rPr>
                <w:color w:val="auto"/>
                <w:highlight w:val="none"/>
              </w:rPr>
              <w:t>重量4.7公斤</w:t>
            </w:r>
            <w:r>
              <w:rPr>
                <w:rFonts w:hint="eastAsia"/>
                <w:color w:val="auto"/>
                <w:highlight w:val="none"/>
                <w:lang w:val="en-US" w:eastAsia="zh-CN"/>
              </w:rPr>
              <w:t>；</w:t>
            </w:r>
            <w:r>
              <w:rPr>
                <w:rFonts w:hint="eastAsia"/>
                <w:color w:val="auto"/>
                <w:highlight w:val="none"/>
                <w:lang w:val="en-US" w:eastAsia="zh-CN"/>
              </w:rPr>
              <w:br w:type="textWrapping"/>
            </w:r>
            <w:r>
              <w:rPr>
                <w:color w:val="auto"/>
                <w:highlight w:val="none"/>
              </w:rPr>
              <w:t>3、 扩张器：单管工作原理、</w:t>
            </w:r>
            <w:r>
              <w:rPr>
                <w:rFonts w:hint="eastAsia"/>
                <w:color w:val="auto"/>
                <w:highlight w:val="none"/>
              </w:rPr>
              <w:t>可带压操作、手把处有照明系统、配有独一无二的加速阀比传统的速度可提高65%！</w:t>
            </w:r>
          </w:p>
          <w:p>
            <w:pPr>
              <w:rPr>
                <w:rFonts w:hint="eastAsia"/>
                <w:color w:val="auto"/>
                <w:highlight w:val="none"/>
                <w:lang w:val="en-US" w:eastAsia="zh-CN"/>
              </w:rPr>
            </w:pPr>
            <w:r>
              <w:rPr>
                <w:color w:val="auto"/>
                <w:highlight w:val="none"/>
              </w:rPr>
              <w:t>最大扩张距离：686毫米、最大扩张力：21吨、最小扩张力：4.4吨、挤压力：</w:t>
            </w:r>
            <w:r>
              <w:rPr>
                <w:rFonts w:hint="eastAsia"/>
                <w:color w:val="auto"/>
                <w:highlight w:val="none"/>
              </w:rPr>
              <w:t>6.6</w:t>
            </w:r>
            <w:r>
              <w:rPr>
                <w:color w:val="auto"/>
                <w:highlight w:val="none"/>
              </w:rPr>
              <w:t>吨、</w:t>
            </w:r>
            <w:r>
              <w:rPr>
                <w:rFonts w:hint="eastAsia"/>
                <w:color w:val="auto"/>
                <w:highlight w:val="none"/>
              </w:rPr>
              <w:t>牵引距离：466毫米、</w:t>
            </w:r>
            <w:r>
              <w:rPr>
                <w:color w:val="auto"/>
                <w:highlight w:val="none"/>
              </w:rPr>
              <w:t>牵引力：9.2吨、工作压力：720巴、重量</w:t>
            </w:r>
            <w:r>
              <w:rPr>
                <w:rFonts w:hint="eastAsia"/>
                <w:color w:val="auto"/>
                <w:highlight w:val="none"/>
              </w:rPr>
              <w:t>18.1</w:t>
            </w:r>
            <w:r>
              <w:rPr>
                <w:color w:val="auto"/>
                <w:highlight w:val="none"/>
              </w:rPr>
              <w:t>公斤、外型尺寸：</w:t>
            </w:r>
            <w:r>
              <w:rPr>
                <w:rFonts w:hint="eastAsia"/>
                <w:color w:val="auto"/>
                <w:highlight w:val="none"/>
              </w:rPr>
              <w:t>771</w:t>
            </w:r>
            <w:r>
              <w:rPr>
                <w:color w:val="auto"/>
                <w:highlight w:val="none"/>
              </w:rPr>
              <w:t>×</w:t>
            </w:r>
            <w:r>
              <w:rPr>
                <w:rFonts w:hint="eastAsia"/>
                <w:color w:val="auto"/>
                <w:highlight w:val="none"/>
              </w:rPr>
              <w:t>316</w:t>
            </w:r>
            <w:r>
              <w:rPr>
                <w:color w:val="auto"/>
                <w:highlight w:val="none"/>
              </w:rPr>
              <w:t>×</w:t>
            </w:r>
            <w:r>
              <w:rPr>
                <w:rFonts w:hint="eastAsia"/>
                <w:color w:val="auto"/>
                <w:highlight w:val="none"/>
              </w:rPr>
              <w:t>206毫米、</w:t>
            </w:r>
            <w:r>
              <w:rPr>
                <w:color w:val="auto"/>
                <w:highlight w:val="none"/>
              </w:rPr>
              <w:t>工作温度：-20-</w:t>
            </w:r>
            <w:r>
              <w:rPr>
                <w:rFonts w:hint="eastAsia"/>
                <w:color w:val="auto"/>
                <w:highlight w:val="none"/>
              </w:rPr>
              <w:t>55度</w:t>
            </w:r>
            <w:r>
              <w:rPr>
                <w:rFonts w:hint="eastAsia"/>
                <w:color w:val="auto"/>
                <w:highlight w:val="none"/>
                <w:lang w:val="en-US" w:eastAsia="zh-CN"/>
              </w:rPr>
              <w:t>；</w:t>
            </w:r>
          </w:p>
          <w:p>
            <w:pPr>
              <w:spacing w:line="240" w:lineRule="atLeast"/>
              <w:rPr>
                <w:rFonts w:hint="eastAsia"/>
                <w:color w:val="auto"/>
                <w:highlight w:val="none"/>
              </w:rPr>
            </w:pPr>
            <w:r>
              <w:rPr>
                <w:color w:val="auto"/>
                <w:highlight w:val="none"/>
              </w:rPr>
              <w:t>4、 剪扩钳：</w:t>
            </w:r>
            <w:r>
              <w:rPr>
                <w:rFonts w:hint="eastAsia"/>
                <w:color w:val="auto"/>
                <w:highlight w:val="none"/>
              </w:rPr>
              <w:t>单管工作原理、可带压操作、把手处有照明系统、专利设计的全新i-Bolt镶嵌螺栓结构、更容易使用在狭小的空间。</w:t>
            </w:r>
          </w:p>
          <w:p>
            <w:pPr>
              <w:rPr>
                <w:rFonts w:hint="eastAsia"/>
                <w:color w:val="auto"/>
                <w:highlight w:val="none"/>
                <w:lang w:val="en-US" w:eastAsia="zh-CN"/>
              </w:rPr>
            </w:pPr>
            <w:r>
              <w:rPr>
                <w:rFonts w:hint="eastAsia"/>
                <w:color w:val="auto"/>
                <w:highlight w:val="none"/>
              </w:rPr>
              <w:t>最大</w:t>
            </w:r>
            <w:r>
              <w:rPr>
                <w:color w:val="auto"/>
                <w:highlight w:val="none"/>
              </w:rPr>
              <w:t>扩张距离：360毫米、最大扩张力：21.5吨、最小扩张力3.6吨、刃端最大张距：229毫米、剪切力：38.8吨、挤压力7.8吨、牵引距离：416毫米、牵引力：5.2吨、剪切圆钢直径：32毫米、剪切板材尺寸：110 x 12毫米、工作压力：720巴、重量14.2公斤、外型尺寸：</w:t>
            </w:r>
            <w:r>
              <w:rPr>
                <w:rFonts w:hint="eastAsia"/>
                <w:color w:val="auto"/>
                <w:highlight w:val="none"/>
              </w:rPr>
              <w:t>787</w:t>
            </w:r>
            <w:r>
              <w:rPr>
                <w:color w:val="auto"/>
                <w:highlight w:val="none"/>
              </w:rPr>
              <w:t>×2</w:t>
            </w:r>
            <w:r>
              <w:rPr>
                <w:rFonts w:hint="eastAsia"/>
                <w:color w:val="auto"/>
                <w:highlight w:val="none"/>
              </w:rPr>
              <w:t>7</w:t>
            </w:r>
            <w:r>
              <w:rPr>
                <w:color w:val="auto"/>
                <w:highlight w:val="none"/>
              </w:rPr>
              <w:t>0×</w:t>
            </w:r>
            <w:r>
              <w:rPr>
                <w:rFonts w:hint="eastAsia"/>
                <w:color w:val="auto"/>
                <w:highlight w:val="none"/>
              </w:rPr>
              <w:t>202毫米、</w:t>
            </w:r>
            <w:r>
              <w:rPr>
                <w:color w:val="auto"/>
                <w:highlight w:val="none"/>
              </w:rPr>
              <w:t>工作温度：-20-</w:t>
            </w:r>
            <w:r>
              <w:rPr>
                <w:rFonts w:hint="eastAsia"/>
                <w:color w:val="auto"/>
                <w:highlight w:val="none"/>
              </w:rPr>
              <w:t>55</w:t>
            </w:r>
            <w:r>
              <w:rPr>
                <w:color w:val="auto"/>
                <w:highlight w:val="none"/>
              </w:rPr>
              <w:t>度</w:t>
            </w:r>
            <w:r>
              <w:rPr>
                <w:rFonts w:hint="eastAsia"/>
                <w:color w:val="auto"/>
                <w:highlight w:val="none"/>
                <w:lang w:val="en-US" w:eastAsia="zh-CN"/>
              </w:rPr>
              <w:t>；</w:t>
            </w:r>
          </w:p>
          <w:p>
            <w:pPr>
              <w:rPr>
                <w:rFonts w:hint="eastAsia"/>
                <w:color w:val="auto"/>
                <w:highlight w:val="none"/>
                <w:lang w:val="en-US" w:eastAsia="zh-CN"/>
              </w:rPr>
            </w:pPr>
            <w:r>
              <w:rPr>
                <w:color w:val="auto"/>
                <w:highlight w:val="none"/>
              </w:rPr>
              <w:t>5、</w:t>
            </w:r>
            <w:r>
              <w:rPr>
                <w:rFonts w:hint="default"/>
                <w:color w:val="auto"/>
                <w:highlight w:val="none"/>
                <w:lang w:val="en-US" w:eastAsia="zh-CN"/>
              </w:rPr>
              <w:t xml:space="preserve"> 双级液压顶杆</w:t>
            </w:r>
            <w:r>
              <w:rPr>
                <w:rFonts w:hint="eastAsia"/>
                <w:color w:val="auto"/>
                <w:highlight w:val="none"/>
                <w:lang w:val="en-US" w:eastAsia="zh-CN"/>
              </w:rPr>
              <w:t>：专利设计的加速阀、比传统工具在顶升时可提高35%的速度、端头为可360°旋转十字头、定位容易/精准、在任何救援的情形下均可达到安全的稳固和夹持的状态！</w:t>
            </w:r>
          </w:p>
          <w:p>
            <w:pPr>
              <w:rPr>
                <w:rFonts w:hint="default"/>
                <w:color w:val="auto"/>
                <w:highlight w:val="none"/>
                <w:lang w:val="en-US"/>
              </w:rPr>
            </w:pPr>
            <w:r>
              <w:rPr>
                <w:rFonts w:hint="eastAsia"/>
                <w:color w:val="auto"/>
                <w:highlight w:val="none"/>
                <w:lang w:val="en-US" w:eastAsia="zh-CN"/>
              </w:rPr>
              <w:t>单管工作原理、可带压操作、一级支撑力：22.1吨、二级支撑力：8.3吨、原始高度：533毫米、一级支撑高度：388毫米、二级支撑高度：354毫米、总支撑高度：1275毫米、工作压力：720巴、重量17.4公斤、外型尺寸：533×133×350毫米、工作温度：-20-55</w:t>
            </w:r>
          </w:p>
          <w:p>
            <w:pPr>
              <w:rPr>
                <w:rFonts w:hint="eastAsia"/>
                <w:color w:val="auto"/>
                <w:highlight w:val="none"/>
                <w:lang w:val="en-US" w:eastAsia="zh-CN"/>
              </w:rPr>
            </w:pPr>
            <w:r>
              <w:rPr>
                <w:color w:val="auto"/>
                <w:highlight w:val="none"/>
              </w:rPr>
              <w:t>6、 手动液压泵：</w:t>
            </w:r>
            <w:r>
              <w:rPr>
                <w:rFonts w:hint="eastAsia"/>
                <w:color w:val="auto"/>
                <w:highlight w:val="none"/>
              </w:rPr>
              <w:t>单管工作原理、双级</w:t>
            </w:r>
            <w:r>
              <w:rPr>
                <w:color w:val="auto"/>
                <w:highlight w:val="none"/>
              </w:rPr>
              <w:t>手动操作</w:t>
            </w:r>
            <w:r>
              <w:rPr>
                <w:rFonts w:hint="eastAsia"/>
                <w:color w:val="auto"/>
                <w:highlight w:val="none"/>
              </w:rPr>
              <w:t>、</w:t>
            </w:r>
            <w:r>
              <w:rPr>
                <w:color w:val="auto"/>
                <w:highlight w:val="none"/>
              </w:rPr>
              <w:t>液压油缸容量1800毫升</w:t>
            </w:r>
            <w:r>
              <w:rPr>
                <w:rFonts w:hint="eastAsia"/>
                <w:color w:val="auto"/>
                <w:highlight w:val="none"/>
              </w:rPr>
              <w:t>、</w:t>
            </w:r>
            <w:r>
              <w:rPr>
                <w:color w:val="auto"/>
                <w:highlight w:val="none"/>
              </w:rPr>
              <w:t>工作压力720巴</w:t>
            </w:r>
            <w:r>
              <w:rPr>
                <w:rFonts w:hint="eastAsia"/>
                <w:color w:val="auto"/>
                <w:highlight w:val="none"/>
              </w:rPr>
              <w:t>、</w:t>
            </w:r>
            <w:r>
              <w:rPr>
                <w:color w:val="auto"/>
                <w:highlight w:val="none"/>
              </w:rPr>
              <w:t>重量：</w:t>
            </w:r>
            <w:r>
              <w:rPr>
                <w:rFonts w:hint="eastAsia"/>
                <w:color w:val="auto"/>
                <w:highlight w:val="none"/>
              </w:rPr>
              <w:t>10.8</w:t>
            </w:r>
            <w:r>
              <w:rPr>
                <w:color w:val="auto"/>
                <w:highlight w:val="none"/>
              </w:rPr>
              <w:t>公斤</w:t>
            </w:r>
            <w:r>
              <w:rPr>
                <w:rFonts w:hint="eastAsia"/>
                <w:color w:val="auto"/>
                <w:highlight w:val="none"/>
              </w:rPr>
              <w:t>、</w:t>
            </w:r>
            <w:r>
              <w:rPr>
                <w:color w:val="auto"/>
                <w:highlight w:val="none"/>
              </w:rPr>
              <w:t>外型尺寸：765×240×236</w:t>
            </w:r>
            <w:r>
              <w:rPr>
                <w:rFonts w:hint="eastAsia"/>
                <w:color w:val="auto"/>
                <w:highlight w:val="none"/>
              </w:rPr>
              <w:t>毫米、</w:t>
            </w:r>
            <w:r>
              <w:rPr>
                <w:color w:val="auto"/>
                <w:highlight w:val="none"/>
              </w:rPr>
              <w:t>工作温度：-20-</w:t>
            </w:r>
            <w:r>
              <w:rPr>
                <w:rFonts w:hint="eastAsia"/>
                <w:color w:val="auto"/>
                <w:highlight w:val="none"/>
              </w:rPr>
              <w:t>55度</w:t>
            </w:r>
            <w:r>
              <w:rPr>
                <w:rFonts w:hint="eastAsia"/>
                <w:color w:val="auto"/>
                <w:highlight w:val="none"/>
                <w:lang w:val="en-US" w:eastAsia="zh-CN"/>
              </w:rPr>
              <w:t>；</w:t>
            </w:r>
          </w:p>
          <w:p>
            <w:pPr>
              <w:rPr>
                <w:color w:val="auto"/>
                <w:highlight w:val="none"/>
              </w:rPr>
            </w:pPr>
            <w:r>
              <w:rPr>
                <w:color w:val="auto"/>
                <w:highlight w:val="none"/>
              </w:rPr>
              <w:t>7、 剪切钳：</w:t>
            </w:r>
          </w:p>
          <w:p>
            <w:pPr>
              <w:spacing w:line="240" w:lineRule="atLeast"/>
              <w:rPr>
                <w:rFonts w:hint="eastAsia"/>
                <w:color w:val="auto"/>
                <w:highlight w:val="none"/>
              </w:rPr>
            </w:pPr>
            <w:r>
              <w:rPr>
                <w:color w:val="auto"/>
                <w:highlight w:val="none"/>
              </w:rPr>
              <w:t>技术参数：</w:t>
            </w:r>
            <w:r>
              <w:rPr>
                <w:rFonts w:hint="eastAsia"/>
                <w:color w:val="auto"/>
                <w:highlight w:val="none"/>
              </w:rPr>
              <w:t>专利设计的多功能齿形钳头、剪切效果强劲、省时省力、可以使用在不同的救援场所！全新i-Bolt螺栓镶嵌结构、更容易使用在狭小的空间。</w:t>
            </w:r>
          </w:p>
          <w:p>
            <w:pPr>
              <w:rPr>
                <w:rFonts w:hint="eastAsia"/>
                <w:color w:val="auto"/>
                <w:highlight w:val="none"/>
                <w:lang w:eastAsia="zh-CN"/>
              </w:rPr>
            </w:pPr>
            <w:r>
              <w:rPr>
                <w:rFonts w:hint="eastAsia"/>
                <w:color w:val="auto"/>
                <w:highlight w:val="none"/>
              </w:rPr>
              <w:t>单管工作原理、可带压操作、把手处有照明系统、刃端</w:t>
            </w:r>
            <w:r>
              <w:rPr>
                <w:color w:val="auto"/>
                <w:highlight w:val="none"/>
              </w:rPr>
              <w:t>扩张距离：</w:t>
            </w:r>
            <w:r>
              <w:rPr>
                <w:rFonts w:hint="eastAsia"/>
                <w:color w:val="auto"/>
                <w:highlight w:val="none"/>
              </w:rPr>
              <w:t>237</w:t>
            </w:r>
            <w:r>
              <w:rPr>
                <w:color w:val="auto"/>
                <w:highlight w:val="none"/>
              </w:rPr>
              <w:t>毫米、剪切力：3</w:t>
            </w:r>
            <w:r>
              <w:rPr>
                <w:rFonts w:hint="eastAsia"/>
                <w:color w:val="auto"/>
                <w:highlight w:val="none"/>
              </w:rPr>
              <w:t>8.8</w:t>
            </w:r>
            <w:r>
              <w:rPr>
                <w:color w:val="auto"/>
                <w:highlight w:val="none"/>
              </w:rPr>
              <w:t>吨、剪切圆钢直径：32毫米、剪切板材尺寸：110 x 12毫米、工作压力</w:t>
            </w:r>
            <w:r>
              <w:rPr>
                <w:rFonts w:hint="eastAsia"/>
                <w:color w:val="auto"/>
                <w:highlight w:val="none"/>
              </w:rPr>
              <w:t>：</w:t>
            </w:r>
            <w:r>
              <w:rPr>
                <w:color w:val="auto"/>
                <w:highlight w:val="none"/>
              </w:rPr>
              <w:t>720巴、重量</w:t>
            </w:r>
            <w:r>
              <w:rPr>
                <w:rFonts w:hint="eastAsia"/>
                <w:color w:val="auto"/>
                <w:highlight w:val="none"/>
              </w:rPr>
              <w:t>：</w:t>
            </w:r>
            <w:r>
              <w:rPr>
                <w:color w:val="auto"/>
                <w:highlight w:val="none"/>
              </w:rPr>
              <w:t>1</w:t>
            </w:r>
            <w:r>
              <w:rPr>
                <w:rFonts w:hint="eastAsia"/>
                <w:color w:val="auto"/>
                <w:highlight w:val="none"/>
              </w:rPr>
              <w:t>4.2</w:t>
            </w:r>
            <w:r>
              <w:rPr>
                <w:color w:val="auto"/>
                <w:highlight w:val="none"/>
              </w:rPr>
              <w:t>公斤、外型尺寸：</w:t>
            </w:r>
            <w:r>
              <w:rPr>
                <w:rFonts w:hint="eastAsia"/>
                <w:color w:val="auto"/>
                <w:highlight w:val="none"/>
              </w:rPr>
              <w:t>771</w:t>
            </w:r>
            <w:r>
              <w:rPr>
                <w:color w:val="auto"/>
                <w:highlight w:val="none"/>
              </w:rPr>
              <w:t>×270×2</w:t>
            </w:r>
            <w:r>
              <w:rPr>
                <w:rFonts w:hint="eastAsia"/>
                <w:color w:val="auto"/>
                <w:highlight w:val="none"/>
              </w:rPr>
              <w:t>02毫米、</w:t>
            </w:r>
            <w:r>
              <w:rPr>
                <w:color w:val="auto"/>
                <w:highlight w:val="none"/>
              </w:rPr>
              <w:t>工作温度：-20-</w:t>
            </w:r>
            <w:r>
              <w:rPr>
                <w:rFonts w:hint="eastAsia"/>
                <w:color w:val="auto"/>
                <w:highlight w:val="none"/>
              </w:rPr>
              <w:t>55度</w:t>
            </w:r>
            <w:r>
              <w:rPr>
                <w:rFonts w:hint="eastAsia"/>
                <w:color w:val="auto"/>
                <w:highlight w:val="none"/>
                <w:lang w:eastAsia="zh-CN"/>
              </w:rPr>
              <w:t>。</w:t>
            </w:r>
          </w:p>
          <w:p>
            <w:pPr>
              <w:pStyle w:val="17"/>
              <w:rPr>
                <w:rFonts w:hint="eastAsia"/>
                <w:color w:val="auto"/>
                <w:highlight w:val="none"/>
                <w:lang w:val="en-US" w:eastAsia="zh-CN"/>
              </w:rPr>
            </w:pPr>
            <w:r>
              <w:rPr>
                <w:rFonts w:hint="eastAsia" w:ascii="Times New Roman" w:hAnsi="Times New Roman" w:eastAsia="宋体" w:cs="Times New Roman"/>
                <w:color w:val="auto"/>
                <w:kern w:val="2"/>
                <w:sz w:val="21"/>
                <w:szCs w:val="24"/>
                <w:highlight w:val="none"/>
                <w:lang w:val="en-US" w:eastAsia="zh-CN" w:bidi="ar-SA"/>
              </w:rPr>
              <w:t>响应文件中须</w:t>
            </w:r>
            <w:r>
              <w:rPr>
                <w:rFonts w:hint="default" w:ascii="Times New Roman" w:hAnsi="Times New Roman" w:eastAsia="宋体" w:cs="Times New Roman"/>
                <w:color w:val="auto"/>
                <w:kern w:val="2"/>
                <w:sz w:val="21"/>
                <w:szCs w:val="24"/>
                <w:highlight w:val="none"/>
                <w:lang w:val="en-US" w:eastAsia="zh-CN" w:bidi="ar-SA"/>
              </w:rPr>
              <w:t>提供《国家消防装备质量监督检验中心》的检测报告认证</w:t>
            </w:r>
            <w:r>
              <w:rPr>
                <w:rFonts w:hint="eastAsia" w:ascii="Times New Roman" w:hAnsi="Times New Roman" w:eastAsia="宋体" w:cs="Times New Roman"/>
                <w:color w:val="auto"/>
                <w:kern w:val="2"/>
                <w:sz w:val="21"/>
                <w:szCs w:val="24"/>
                <w:highlight w:val="none"/>
                <w:lang w:val="en-US" w:eastAsia="zh-CN" w:bidi="ar-SA"/>
              </w:rPr>
              <w:t>复印件加盖响应供应商公章</w:t>
            </w:r>
            <w:r>
              <w:rPr>
                <w:rFonts w:hint="default" w:ascii="Times New Roman" w:hAnsi="Times New Roman" w:eastAsia="宋体" w:cs="Times New Roman"/>
                <w:color w:val="auto"/>
                <w:kern w:val="2"/>
                <w:sz w:val="21"/>
                <w:szCs w:val="24"/>
                <w:highlight w:val="none"/>
                <w:lang w:val="en-US" w:eastAsia="zh-CN" w:bidi="ar-SA"/>
              </w:rPr>
              <w:t>。</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63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81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手动破拆工具组</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1.由组合工具组成,可对砖瓦、薄型金属进行破碎。</w:t>
            </w:r>
          </w:p>
          <w:p>
            <w:pPr>
              <w:rPr>
                <w:rFonts w:hint="default"/>
                <w:color w:val="auto"/>
                <w:highlight w:val="none"/>
                <w:lang w:val="en-US" w:eastAsia="zh-CN"/>
              </w:rPr>
            </w:pPr>
            <w:r>
              <w:rPr>
                <w:rFonts w:hint="default"/>
                <w:color w:val="auto"/>
                <w:highlight w:val="none"/>
                <w:lang w:val="en-US" w:eastAsia="zh-CN"/>
              </w:rPr>
              <w:t>2.操纵杆1个，刀头7个，含工具箱。</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156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82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消防大平斧</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 xml:space="preserve">斧头材质高碳钢锻打而成, 经热处理淬火。斧柄采用TPR（热塑性橡胶材料）+PVC+玻璃纤维棒芯复合型手柄，柄芯采用玻璃纤维棒以保证强度，斧柄表面采用PVC制成绝缘轻便强度高，韧性好，外表包裹一层TPR经人体工程学设计防滑不震手，更环保，因材料特殊性永不折断，具备砍，剁，锤等功能。 </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w:t>
            </w:r>
          </w:p>
        </w:tc>
      </w:tr>
      <w:tr>
        <w:tblPrEx>
          <w:tblCellMar>
            <w:top w:w="0" w:type="dxa"/>
            <w:left w:w="108" w:type="dxa"/>
            <w:bottom w:w="0" w:type="dxa"/>
            <w:right w:w="108" w:type="dxa"/>
          </w:tblCellMar>
        </w:tblPrEx>
        <w:trPr>
          <w:trHeight w:val="125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83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消防斧</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消防大斧，结构：斧头和斧柄，斧柄采用木柄；斧头一侧为斧刃，另一侧为尖锥形突起，斧头甶高碳钢锻打而成，各刃口热处理，硬度48-55HRC之间，具备砍，凿，剁等功能，</w:t>
            </w:r>
            <w:r>
              <w:rPr>
                <w:rFonts w:hint="eastAsia"/>
                <w:color w:val="auto"/>
                <w:highlight w:val="none"/>
                <w:lang w:val="en-US" w:eastAsia="zh-CN"/>
              </w:rPr>
              <w:t>响应文件中须</w:t>
            </w:r>
            <w:r>
              <w:rPr>
                <w:rFonts w:hint="default"/>
                <w:color w:val="auto"/>
                <w:highlight w:val="none"/>
                <w:lang w:val="en-US" w:eastAsia="zh-CN"/>
              </w:rPr>
              <w:t>提供国家级检测机构提供的检验报告</w:t>
            </w:r>
            <w:r>
              <w:rPr>
                <w:rFonts w:hint="eastAsia"/>
                <w:color w:val="auto"/>
                <w:highlight w:val="none"/>
                <w:lang w:val="en-US" w:eastAsia="zh-CN"/>
              </w:rPr>
              <w:t>复印件加盖响应供应商公章</w:t>
            </w:r>
            <w:r>
              <w:rPr>
                <w:rFonts w:hint="default"/>
                <w:color w:val="auto"/>
                <w:highlight w:val="none"/>
                <w:lang w:val="en-US" w:eastAsia="zh-CN"/>
              </w:rPr>
              <w:t>。</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w:t>
            </w:r>
          </w:p>
        </w:tc>
      </w:tr>
      <w:tr>
        <w:tblPrEx>
          <w:tblCellMar>
            <w:top w:w="0" w:type="dxa"/>
            <w:left w:w="108" w:type="dxa"/>
            <w:bottom w:w="0" w:type="dxa"/>
            <w:right w:w="108" w:type="dxa"/>
          </w:tblCellMar>
        </w:tblPrEx>
        <w:trPr>
          <w:trHeight w:val="94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84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铁铲</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锹柄采用木柄。锹头为高强度锰钢锻打制程，经热处理淬火，可用于高强度救援清理作业。</w:t>
            </w:r>
            <w:r>
              <w:rPr>
                <w:rFonts w:hint="eastAsia"/>
                <w:color w:val="auto"/>
                <w:highlight w:val="none"/>
                <w:lang w:val="en-US" w:eastAsia="zh-CN"/>
              </w:rPr>
              <w:t>响应文件中须</w:t>
            </w:r>
            <w:r>
              <w:rPr>
                <w:rFonts w:hint="default"/>
                <w:color w:val="auto"/>
                <w:highlight w:val="none"/>
                <w:lang w:val="en-US" w:eastAsia="zh-CN"/>
              </w:rPr>
              <w:t>提供国家级检测机构提供的检验报告</w:t>
            </w:r>
            <w:r>
              <w:rPr>
                <w:rFonts w:hint="eastAsia"/>
                <w:color w:val="auto"/>
                <w:highlight w:val="none"/>
                <w:lang w:val="en-US" w:eastAsia="zh-CN"/>
              </w:rPr>
              <w:t>复印件加盖响应供应商公章</w:t>
            </w:r>
            <w:r>
              <w:rPr>
                <w:rFonts w:hint="default"/>
                <w:color w:val="auto"/>
                <w:highlight w:val="none"/>
                <w:lang w:val="en-US" w:eastAsia="zh-CN"/>
              </w:rPr>
              <w:t>。</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w:t>
            </w:r>
          </w:p>
        </w:tc>
      </w:tr>
      <w:tr>
        <w:tblPrEx>
          <w:tblCellMar>
            <w:top w:w="0" w:type="dxa"/>
            <w:left w:w="108" w:type="dxa"/>
            <w:bottom w:w="0" w:type="dxa"/>
            <w:right w:w="108" w:type="dxa"/>
          </w:tblCellMar>
        </w:tblPrEx>
        <w:trPr>
          <w:trHeight w:val="63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85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铁铤</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消防撬棍由高碳钢锻打而成，长90CM经热处理淬火工艺，保证强度，适用于城市救援及地震救援。</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w:t>
            </w:r>
          </w:p>
        </w:tc>
      </w:tr>
      <w:tr>
        <w:tblPrEx>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86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火钩</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火钩材料：钢质，长度：≥1.8米。</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w:t>
            </w:r>
          </w:p>
        </w:tc>
      </w:tr>
      <w:tr>
        <w:tblPrEx>
          <w:tblCellMar>
            <w:top w:w="0" w:type="dxa"/>
            <w:left w:w="108" w:type="dxa"/>
            <w:bottom w:w="0" w:type="dxa"/>
            <w:right w:w="108" w:type="dxa"/>
          </w:tblCellMar>
        </w:tblPrEx>
        <w:trPr>
          <w:trHeight w:val="125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87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大锤</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高碳钢，经过整体锻打一次成型，锤柄采用TPR（热塑性橡胶材料）+PVC+玻璃纤维棒芯复合型手柄，柄芯采用玻璃纤维棒以保证强度，锤柄表面采用PVC制成绝缘轻便强度高，韧性好，外表包裹一层TPR经人体工程学设计防滑不震手。</w:t>
            </w:r>
            <w:r>
              <w:rPr>
                <w:rFonts w:hint="eastAsia"/>
                <w:color w:val="auto"/>
                <w:highlight w:val="none"/>
                <w:lang w:val="en-US" w:eastAsia="zh-CN"/>
              </w:rPr>
              <w:t>响应文件中</w:t>
            </w:r>
            <w:r>
              <w:rPr>
                <w:rFonts w:hint="default"/>
                <w:color w:val="auto"/>
                <w:highlight w:val="none"/>
                <w:lang w:val="en-US" w:eastAsia="zh-CN"/>
              </w:rPr>
              <w:t>提供国家级检测机构提供的检验报告</w:t>
            </w:r>
            <w:r>
              <w:rPr>
                <w:rFonts w:hint="eastAsia"/>
                <w:color w:val="auto"/>
                <w:highlight w:val="none"/>
                <w:lang w:val="en-US" w:eastAsia="zh-CN"/>
              </w:rPr>
              <w:t>复印件加盖响应供应商公章</w:t>
            </w:r>
            <w:r>
              <w:rPr>
                <w:rFonts w:hint="default"/>
                <w:color w:val="auto"/>
                <w:highlight w:val="none"/>
                <w:lang w:val="en-US" w:eastAsia="zh-CN"/>
              </w:rPr>
              <w:t>。</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w:t>
            </w:r>
          </w:p>
        </w:tc>
      </w:tr>
      <w:tr>
        <w:tblPrEx>
          <w:tblCellMar>
            <w:top w:w="0" w:type="dxa"/>
            <w:left w:w="108" w:type="dxa"/>
            <w:bottom w:w="0" w:type="dxa"/>
            <w:right w:w="108" w:type="dxa"/>
          </w:tblCellMar>
        </w:tblPrEx>
        <w:trPr>
          <w:trHeight w:val="1637"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88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丁字镐</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镐柄采用TPR (热塑性橡胶材料）+PVC+玻璃纤维棒芯复合型手柄，柄芯采用玻璃纤维棒以保证强度，斧柄采用PVC制成绝缘轻便强度高，韧性好外表包裹一层TPR经人体工程学设计防滑不震手，镐头由高强度锰钢锻打制成，经热处理工艺硬度（HRC）48-55，可一次斩断12mmQ235A热轧圆钢。</w:t>
            </w:r>
            <w:r>
              <w:rPr>
                <w:rFonts w:hint="eastAsia"/>
                <w:color w:val="auto"/>
                <w:highlight w:val="none"/>
                <w:lang w:val="en-US" w:eastAsia="zh-CN"/>
              </w:rPr>
              <w:t>响应文件中</w:t>
            </w:r>
            <w:r>
              <w:rPr>
                <w:rFonts w:hint="default"/>
                <w:color w:val="auto"/>
                <w:highlight w:val="none"/>
                <w:lang w:val="en-US" w:eastAsia="zh-CN"/>
              </w:rPr>
              <w:t>提供国家级质量检验机构出具的检验报告</w:t>
            </w:r>
            <w:r>
              <w:rPr>
                <w:rFonts w:hint="eastAsia"/>
                <w:color w:val="auto"/>
                <w:highlight w:val="none"/>
                <w:lang w:val="en-US" w:eastAsia="zh-CN"/>
              </w:rPr>
              <w:t>复印件加盖响应供应商公章</w:t>
            </w:r>
            <w:r>
              <w:rPr>
                <w:rFonts w:hint="default"/>
                <w:color w:val="auto"/>
                <w:highlight w:val="none"/>
                <w:lang w:val="en-US" w:eastAsia="zh-CN"/>
              </w:rPr>
              <w:t>。</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5</w:t>
            </w:r>
          </w:p>
        </w:tc>
      </w:tr>
      <w:tr>
        <w:tblPrEx>
          <w:tblCellMar>
            <w:top w:w="0" w:type="dxa"/>
            <w:left w:w="108" w:type="dxa"/>
            <w:bottom w:w="0" w:type="dxa"/>
            <w:right w:w="108" w:type="dxa"/>
          </w:tblCellMar>
        </w:tblPrEx>
        <w:trPr>
          <w:trHeight w:val="3467"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89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手提式强光照明</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1.额定电压：DC11.1-14.8v；电池容量：≥4400mAh；功率：≥3*3W；</w:t>
            </w:r>
          </w:p>
          <w:p>
            <w:pPr>
              <w:rPr>
                <w:rFonts w:hint="default"/>
                <w:color w:val="auto"/>
                <w:highlight w:val="none"/>
                <w:lang w:val="en-US" w:eastAsia="zh-CN"/>
              </w:rPr>
            </w:pPr>
            <w:r>
              <w:rPr>
                <w:rFonts w:hint="default"/>
                <w:color w:val="auto"/>
                <w:highlight w:val="none"/>
                <w:lang w:val="en-US" w:eastAsia="zh-CN"/>
              </w:rPr>
              <w:t>2.放电时间：强光≥480min 工作光≥960min；充电时间：约5h；</w:t>
            </w:r>
          </w:p>
          <w:p>
            <w:pPr>
              <w:rPr>
                <w:rFonts w:hint="default"/>
                <w:color w:val="auto"/>
                <w:highlight w:val="none"/>
                <w:lang w:val="en-US" w:eastAsia="zh-CN"/>
              </w:rPr>
            </w:pPr>
            <w:r>
              <w:rPr>
                <w:rFonts w:hint="eastAsia"/>
                <w:color w:val="auto"/>
                <w:highlight w:val="none"/>
                <w:lang w:val="en-US" w:eastAsia="zh-CN"/>
              </w:rPr>
              <w:t>3</w:t>
            </w:r>
            <w:r>
              <w:rPr>
                <w:rFonts w:hint="default"/>
                <w:color w:val="auto"/>
                <w:highlight w:val="none"/>
                <w:lang w:val="en-US" w:eastAsia="zh-CN"/>
              </w:rPr>
              <w:t>.防爆等级 Ex dia IIC T6 Gb；防护等级：IP68；</w:t>
            </w:r>
          </w:p>
          <w:p>
            <w:pPr>
              <w:rPr>
                <w:rFonts w:hint="default"/>
                <w:color w:val="auto"/>
                <w:highlight w:val="none"/>
                <w:lang w:val="en-US" w:eastAsia="zh-CN"/>
              </w:rPr>
            </w:pPr>
            <w:r>
              <w:rPr>
                <w:rFonts w:hint="eastAsia"/>
                <w:color w:val="auto"/>
                <w:highlight w:val="none"/>
                <w:lang w:val="en-US" w:eastAsia="zh-CN"/>
              </w:rPr>
              <w:t>4.</w:t>
            </w:r>
            <w:r>
              <w:rPr>
                <w:rFonts w:hint="default"/>
                <w:color w:val="auto"/>
                <w:highlight w:val="none"/>
                <w:lang w:val="en-US" w:eastAsia="zh-CN"/>
              </w:rPr>
              <w:t>重量 约900g</w:t>
            </w:r>
          </w:p>
          <w:p>
            <w:pPr>
              <w:rPr>
                <w:rFonts w:hint="default"/>
                <w:color w:val="auto"/>
                <w:highlight w:val="none"/>
                <w:lang w:val="en-US" w:eastAsia="zh-CN"/>
              </w:rPr>
            </w:pPr>
            <w:r>
              <w:rPr>
                <w:rFonts w:hint="eastAsia"/>
                <w:color w:val="auto"/>
                <w:highlight w:val="none"/>
                <w:lang w:val="en-US" w:eastAsia="zh-CN"/>
              </w:rPr>
              <w:t>5.</w:t>
            </w:r>
            <w:r>
              <w:rPr>
                <w:rFonts w:hint="default"/>
                <w:color w:val="auto"/>
                <w:highlight w:val="none"/>
                <w:lang w:val="en-US" w:eastAsia="zh-CN"/>
              </w:rPr>
              <w:t>灯具具有两档光：工作光（250mA）连续放电时间16小时，光照度在</w:t>
            </w:r>
            <w:r>
              <w:rPr>
                <w:rFonts w:hint="eastAsia"/>
                <w:color w:val="auto"/>
                <w:highlight w:val="none"/>
                <w:lang w:val="en-US" w:eastAsia="zh-CN"/>
              </w:rPr>
              <w:t>6.</w:t>
            </w:r>
            <w:r>
              <w:rPr>
                <w:rFonts w:hint="default"/>
                <w:color w:val="auto"/>
                <w:highlight w:val="none"/>
                <w:lang w:val="en-US" w:eastAsia="zh-CN"/>
              </w:rPr>
              <w:t>米处≥650LX强光，强光（500mA）连续放电时间,8小时，按动开关按钮可进行随意转换。</w:t>
            </w:r>
          </w:p>
          <w:p>
            <w:pPr>
              <w:rPr>
                <w:rFonts w:hint="default"/>
                <w:color w:val="auto"/>
                <w:highlight w:val="none"/>
                <w:lang w:val="en-US" w:eastAsia="zh-CN"/>
              </w:rPr>
            </w:pPr>
            <w:r>
              <w:rPr>
                <w:rFonts w:hint="eastAsia"/>
                <w:color w:val="auto"/>
                <w:highlight w:val="none"/>
                <w:lang w:val="en-US" w:eastAsia="zh-CN"/>
              </w:rPr>
              <w:t>7.响应文件中提供国家权威机构检验中心出具的防爆合格证、国家消防装备质量监督检验中心出具的检测报告复印件加盖响应供应商公章。</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10</w:t>
            </w:r>
          </w:p>
        </w:tc>
      </w:tr>
      <w:tr>
        <w:tblPrEx>
          <w:tblCellMar>
            <w:top w:w="0" w:type="dxa"/>
            <w:left w:w="108" w:type="dxa"/>
            <w:bottom w:w="0" w:type="dxa"/>
            <w:right w:w="108" w:type="dxa"/>
          </w:tblCellMar>
        </w:tblPrEx>
        <w:trPr>
          <w:trHeight w:val="280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救生照明线</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产品符合GB 26783-2011标准。</w:t>
            </w:r>
            <w:r>
              <w:rPr>
                <w:rFonts w:hint="eastAsia"/>
                <w:color w:val="auto"/>
                <w:highlight w:val="none"/>
                <w:lang w:val="en-US" w:eastAsia="zh-CN"/>
              </w:rPr>
              <w:t>响应文件中</w:t>
            </w:r>
            <w:r>
              <w:rPr>
                <w:rFonts w:hint="default"/>
                <w:color w:val="auto"/>
                <w:highlight w:val="none"/>
                <w:lang w:val="en-US" w:eastAsia="zh-CN"/>
              </w:rPr>
              <w:t>提供国家消防装备质量监督检测中心检测报告及认证</w:t>
            </w:r>
            <w:r>
              <w:rPr>
                <w:rFonts w:hint="eastAsia"/>
                <w:color w:val="auto"/>
                <w:highlight w:val="none"/>
                <w:lang w:val="en-US" w:eastAsia="zh-CN"/>
              </w:rPr>
              <w:t>复印件加盖响应供应商公章。</w:t>
            </w:r>
          </w:p>
          <w:p>
            <w:pPr>
              <w:rPr>
                <w:rFonts w:hint="default"/>
                <w:color w:val="auto"/>
                <w:highlight w:val="none"/>
                <w:lang w:val="en-US" w:eastAsia="zh-CN"/>
              </w:rPr>
            </w:pPr>
            <w:r>
              <w:rPr>
                <w:rFonts w:hint="default"/>
                <w:color w:val="auto"/>
                <w:highlight w:val="none"/>
                <w:lang w:val="en-US" w:eastAsia="zh-CN"/>
              </w:rPr>
              <w:t>1.供电电压：DC12V/13000mAh；工作电流：≥0.3A；连续工作时间：≥13h；频闪工作时间：≥26h；发光亮度：≥13.5cd/m²；</w:t>
            </w:r>
          </w:p>
          <w:p>
            <w:pPr>
              <w:rPr>
                <w:rFonts w:hint="default"/>
                <w:color w:val="auto"/>
                <w:highlight w:val="none"/>
                <w:lang w:val="en-US" w:eastAsia="zh-CN"/>
              </w:rPr>
            </w:pPr>
            <w:r>
              <w:rPr>
                <w:rFonts w:hint="default"/>
                <w:color w:val="auto"/>
                <w:highlight w:val="none"/>
                <w:lang w:val="en-US" w:eastAsia="zh-CN"/>
              </w:rPr>
              <w:t>2.线体材料：EL冷光源材料；输出方式：长亮/频闪；线体直径：5.0±0.5mm；线体拉力：＞300N；可视距离：≥50m；环境极限温度：-40℃~70℃；绝缘电阻：＞50MΩ；</w:t>
            </w:r>
          </w:p>
          <w:p>
            <w:pPr>
              <w:rPr>
                <w:rFonts w:hint="default"/>
                <w:color w:val="auto"/>
                <w:highlight w:val="none"/>
                <w:lang w:val="en-US" w:eastAsia="zh-CN"/>
              </w:rPr>
            </w:pPr>
            <w:r>
              <w:rPr>
                <w:rFonts w:hint="default"/>
                <w:color w:val="auto"/>
                <w:highlight w:val="none"/>
                <w:lang w:val="en-US" w:eastAsia="zh-CN"/>
              </w:rPr>
              <w:t>3.防护等级：IP55</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186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91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消防用荧光棒</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由荧光棒、挂扣组成。</w:t>
            </w:r>
          </w:p>
          <w:p>
            <w:pPr>
              <w:rPr>
                <w:rFonts w:hint="default"/>
                <w:color w:val="auto"/>
                <w:highlight w:val="none"/>
                <w:lang w:val="en-US" w:eastAsia="zh-CN"/>
              </w:rPr>
            </w:pPr>
            <w:r>
              <w:rPr>
                <w:rFonts w:hint="default"/>
                <w:color w:val="auto"/>
                <w:highlight w:val="none"/>
                <w:lang w:val="en-US" w:eastAsia="zh-CN"/>
              </w:rPr>
              <w:t>该产品是一种基于化学发光技术的辅助照明指示工具，具有一次性使用、360o泛光照明、无需电能、结构简单、使用携带方便等特点，尤其适合在搜寻指引、楼梯通道照明、危险区域和可疑物指示、受限空间搜救、道路标记、深井坑道初探等情况下使用。</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24</w:t>
            </w:r>
          </w:p>
        </w:tc>
      </w:tr>
      <w:tr>
        <w:tblPrEx>
          <w:tblCellMar>
            <w:top w:w="0" w:type="dxa"/>
            <w:left w:w="108" w:type="dxa"/>
            <w:bottom w:w="0" w:type="dxa"/>
            <w:right w:w="108" w:type="dxa"/>
          </w:tblCellMar>
        </w:tblPrEx>
        <w:trPr>
          <w:trHeight w:val="63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92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电源线盘</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220V电缆卷盘，不小于30米，线规格不小于1.5平方，具备分插不小于3个。</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2</w:t>
            </w:r>
          </w:p>
        </w:tc>
      </w:tr>
      <w:tr>
        <w:tblPrEx>
          <w:tblCellMar>
            <w:top w:w="0" w:type="dxa"/>
            <w:left w:w="108" w:type="dxa"/>
            <w:bottom w:w="0" w:type="dxa"/>
            <w:right w:w="108" w:type="dxa"/>
          </w:tblCellMar>
        </w:tblPrEx>
        <w:trPr>
          <w:trHeight w:val="263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93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移动照明灯组</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采用三角</w:t>
            </w:r>
            <w:r>
              <w:rPr>
                <w:rFonts w:hint="eastAsia"/>
                <w:color w:val="auto"/>
                <w:highlight w:val="none"/>
                <w:lang w:val="en-US" w:eastAsia="zh-CN"/>
              </w:rPr>
              <w:t>全铝合金</w:t>
            </w:r>
            <w:r>
              <w:rPr>
                <w:rFonts w:hint="default"/>
                <w:color w:val="auto"/>
                <w:highlight w:val="none"/>
                <w:lang w:val="en-US" w:eastAsia="zh-CN"/>
              </w:rPr>
              <w:t>支架设计，使用便捷，30秒内可组装成2.74米高灯塔；360度全景照明及180°单向照明可调；垂直照射角度可调；无照明盲区；采用36颗大功率LED光源，光效高，寿命长达5万小时以上；具有工作光、弱光、超强光可选；智能电量显示。</w:t>
            </w:r>
          </w:p>
          <w:p>
            <w:pPr>
              <w:rPr>
                <w:rFonts w:hint="default"/>
                <w:color w:val="auto"/>
                <w:highlight w:val="none"/>
                <w:lang w:val="en-US" w:eastAsia="zh-CN"/>
              </w:rPr>
            </w:pPr>
            <w:r>
              <w:rPr>
                <w:rFonts w:hint="default"/>
                <w:color w:val="auto"/>
                <w:highlight w:val="none"/>
                <w:lang w:val="en-US" w:eastAsia="zh-CN"/>
              </w:rPr>
              <w:t>1．电池类型：锂电池；额定电压：≥DC12V；电池容量：≥26Ah；充满电连续工作时间：强光≥4h、中光≥6h、弱光＞20h；充电时间：≤8h；重量：≤11.2kg；光源规格：泛光额定功率：≥105W；聚光额定功率：≥105W；防护等级：IP65。</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5193"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94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移动供气源</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符合GA1261-2015《长管呼吸器》和《移动式正压长管空气呼吸器试验大纲》标准。</w:t>
            </w:r>
          </w:p>
          <w:p>
            <w:pPr>
              <w:rPr>
                <w:rFonts w:hint="default"/>
                <w:color w:val="auto"/>
                <w:highlight w:val="none"/>
                <w:lang w:val="en-US" w:eastAsia="zh-CN"/>
              </w:rPr>
            </w:pPr>
            <w:r>
              <w:rPr>
                <w:rFonts w:hint="default"/>
                <w:color w:val="auto"/>
                <w:highlight w:val="none"/>
                <w:lang w:val="en-US" w:eastAsia="zh-CN"/>
              </w:rPr>
              <w:t>1.工作压力：30MPa，供气流量：≥1000L/min；可同时供两人使用，确保长时间作业。</w:t>
            </w:r>
          </w:p>
          <w:p>
            <w:pPr>
              <w:rPr>
                <w:rFonts w:hint="default"/>
                <w:color w:val="auto"/>
                <w:highlight w:val="none"/>
                <w:lang w:val="en-US" w:eastAsia="zh-CN"/>
              </w:rPr>
            </w:pPr>
            <w:r>
              <w:rPr>
                <w:rFonts w:hint="default"/>
                <w:color w:val="auto"/>
                <w:highlight w:val="none"/>
                <w:lang w:val="en-US" w:eastAsia="zh-CN"/>
              </w:rPr>
              <w:t>2.气瓶，气瓶水容积：≥6.8L（4只)，全缠绕式碳纤维复合材料；气瓶阀手轮带防意外关闭的安全自锁功能，符合公安部GA124-2004标准，接口螺纹：G5/8。</w:t>
            </w:r>
          </w:p>
          <w:p>
            <w:pPr>
              <w:rPr>
                <w:rFonts w:hint="default"/>
                <w:color w:val="auto"/>
                <w:highlight w:val="none"/>
                <w:lang w:val="en-US" w:eastAsia="zh-CN"/>
              </w:rPr>
            </w:pPr>
            <w:r>
              <w:rPr>
                <w:rFonts w:hint="default"/>
                <w:color w:val="auto"/>
                <w:highlight w:val="none"/>
                <w:lang w:val="en-US" w:eastAsia="zh-CN"/>
              </w:rPr>
              <w:t>3.全面罩：球形大视野面屏，视野率达到81%以上，具有独特防雾功能，头网永久阻燃，五点式收紧结构，与面部贴合更紧密。</w:t>
            </w:r>
          </w:p>
          <w:p>
            <w:pPr>
              <w:rPr>
                <w:rFonts w:hint="default"/>
                <w:color w:val="auto"/>
                <w:highlight w:val="none"/>
                <w:lang w:val="en-US" w:eastAsia="zh-CN"/>
              </w:rPr>
            </w:pPr>
            <w:r>
              <w:rPr>
                <w:rFonts w:hint="default"/>
                <w:color w:val="auto"/>
                <w:highlight w:val="none"/>
                <w:lang w:val="en-US" w:eastAsia="zh-CN"/>
              </w:rPr>
              <w:t>4.供气阀：体积小不影响下视野，无需定位快速连接面罩，可360°旋转。要求面罩与供气阀正面插接。带有节气开关，供气最大流量≥500L/min。</w:t>
            </w:r>
          </w:p>
          <w:p>
            <w:pPr>
              <w:rPr>
                <w:rFonts w:hint="default"/>
                <w:color w:val="auto"/>
                <w:highlight w:val="none"/>
                <w:lang w:val="en-US" w:eastAsia="zh-CN"/>
              </w:rPr>
            </w:pPr>
            <w:r>
              <w:rPr>
                <w:rFonts w:hint="default"/>
                <w:color w:val="auto"/>
                <w:highlight w:val="none"/>
                <w:lang w:val="en-US" w:eastAsia="zh-CN"/>
              </w:rPr>
              <w:t>5.减压阀输出流量≥1000L/min，内置安全阀装置。可在不影响供气的情况下更换气瓶。</w:t>
            </w:r>
          </w:p>
          <w:p>
            <w:pPr>
              <w:rPr>
                <w:rFonts w:hint="default"/>
                <w:color w:val="auto"/>
                <w:highlight w:val="none"/>
                <w:lang w:val="en-US" w:eastAsia="zh-CN"/>
              </w:rPr>
            </w:pPr>
            <w:r>
              <w:rPr>
                <w:rFonts w:hint="default"/>
                <w:color w:val="auto"/>
                <w:highlight w:val="none"/>
                <w:lang w:val="en-US" w:eastAsia="zh-CN"/>
              </w:rPr>
              <w:t>6.中压导管配置：主导管1根≥40米、分支导管2根各≥10米。</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373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压缩空气填充泵</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呼吸空气压缩机，采用三相电机380V驱动电压，充气速度快，适用充瓶数量多消防充气站，全自动控制功能。工作噪音≤75分贝,符合ISO3746标准认定。</w:t>
            </w:r>
          </w:p>
          <w:p>
            <w:pPr>
              <w:rPr>
                <w:rFonts w:hint="default"/>
                <w:color w:val="auto"/>
                <w:highlight w:val="none"/>
                <w:lang w:val="en-US" w:eastAsia="zh-CN"/>
              </w:rPr>
            </w:pPr>
            <w:r>
              <w:rPr>
                <w:rFonts w:hint="default"/>
                <w:color w:val="auto"/>
                <w:highlight w:val="none"/>
                <w:lang w:val="en-US" w:eastAsia="zh-CN"/>
              </w:rPr>
              <w:t>1.排气量≥200L/min；</w:t>
            </w:r>
          </w:p>
          <w:p>
            <w:pPr>
              <w:rPr>
                <w:rFonts w:hint="default"/>
                <w:color w:val="auto"/>
                <w:highlight w:val="none"/>
                <w:lang w:val="en-US" w:eastAsia="zh-CN"/>
              </w:rPr>
            </w:pPr>
            <w:r>
              <w:rPr>
                <w:rFonts w:hint="default"/>
                <w:color w:val="auto"/>
                <w:highlight w:val="none"/>
                <w:lang w:val="en-US" w:eastAsia="zh-CN"/>
              </w:rPr>
              <w:t>2. 功率≥4KW；</w:t>
            </w:r>
          </w:p>
          <w:p>
            <w:pPr>
              <w:rPr>
                <w:rFonts w:hint="default"/>
                <w:color w:val="auto"/>
                <w:highlight w:val="none"/>
                <w:lang w:val="en-US" w:eastAsia="zh-CN"/>
              </w:rPr>
            </w:pPr>
            <w:r>
              <w:rPr>
                <w:rFonts w:hint="default"/>
                <w:color w:val="auto"/>
                <w:highlight w:val="none"/>
                <w:lang w:val="en-US" w:eastAsia="zh-CN"/>
              </w:rPr>
              <w:t>3. 重量不大于115kg；</w:t>
            </w:r>
          </w:p>
          <w:p>
            <w:pPr>
              <w:rPr>
                <w:rFonts w:hint="default"/>
                <w:color w:val="auto"/>
                <w:highlight w:val="none"/>
                <w:lang w:val="en-US" w:eastAsia="zh-CN"/>
              </w:rPr>
            </w:pPr>
            <w:r>
              <w:rPr>
                <w:rFonts w:hint="default"/>
                <w:color w:val="auto"/>
                <w:highlight w:val="none"/>
                <w:lang w:val="en-US" w:eastAsia="zh-CN"/>
              </w:rPr>
              <w:t>4. 配备两根充气管（杜邦凯夫拉材质，承压高达425bar耐温-40℃-100℃。）；</w:t>
            </w:r>
          </w:p>
          <w:p>
            <w:pPr>
              <w:rPr>
                <w:rFonts w:hint="default"/>
                <w:color w:val="auto"/>
                <w:highlight w:val="none"/>
                <w:lang w:val="en-US" w:eastAsia="zh-CN"/>
              </w:rPr>
            </w:pPr>
            <w:r>
              <w:rPr>
                <w:rFonts w:hint="default"/>
                <w:color w:val="auto"/>
                <w:highlight w:val="none"/>
                <w:lang w:val="en-US" w:eastAsia="zh-CN"/>
              </w:rPr>
              <w:t>5. 带开/关/自由放空功能三合一的不锈钢充气装置，360°旋转设计；油泵润滑，可视油位镜，支持7*24小时连续运行；含各级安全阀，末级安全阀设定可达350bar；</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2310"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96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小行无人机</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轴距：≥350mm、最大起飞重量：≤1150g、续航时间≥30分钟、一体式带屏遥控器、控制距离：≥10km，抗风能力≥5级、工作温度：-10℃-40℃。机载内存：≥24G.一体式双光镜头、其红外热成像镜头分辨率为640×512，帧率：30帧、数字变焦：≥16倍。可见光相机像素：1/2英寸COMS  4800万像素，数字变焦：≥32倍、最大照片尺寸：约8000×6000、视频分辨率：3840×2160@30帧；具有探照、夜航、喊话、图传等功能；具备全向障碍感知能力。</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63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97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医药急救箱</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用于常规外伤和化学伤害急救所需的敷料、药品和器械等用品。</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1988"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98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移动排烟机</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用于正负压通风、排烟，抽烟及密闭空间救援通风等，高精密平衡的抗风阻叶轮强力粉碎空气阻力、更深入穿透建筑物，采用力弓专业技术。</w:t>
            </w:r>
          </w:p>
          <w:p>
            <w:pPr>
              <w:rPr>
                <w:rFonts w:hint="default"/>
                <w:color w:val="auto"/>
                <w:highlight w:val="none"/>
                <w:lang w:val="en-US" w:eastAsia="zh-CN"/>
              </w:rPr>
            </w:pPr>
            <w:r>
              <w:rPr>
                <w:rFonts w:hint="default"/>
                <w:color w:val="auto"/>
                <w:highlight w:val="none"/>
                <w:lang w:val="en-US" w:eastAsia="zh-CN"/>
              </w:rPr>
              <w:t>无阻碍风量：≥6,370 m3/hr；电机功率： ≥0.9 kw，电源：230V,50Hz,电机通过防爆认证可在易爆环境下安全使用。</w:t>
            </w:r>
          </w:p>
          <w:p>
            <w:pPr>
              <w:rPr>
                <w:rFonts w:hint="default"/>
                <w:color w:val="auto"/>
                <w:highlight w:val="none"/>
                <w:lang w:val="en-US" w:eastAsia="zh-CN"/>
              </w:rPr>
            </w:pPr>
            <w:r>
              <w:rPr>
                <w:rFonts w:hint="default"/>
                <w:color w:val="auto"/>
                <w:highlight w:val="none"/>
                <w:lang w:val="en-US" w:eastAsia="zh-CN"/>
              </w:rPr>
              <w:t>风管：≥4.5米；</w:t>
            </w:r>
          </w:p>
          <w:p>
            <w:pPr>
              <w:rPr>
                <w:rFonts w:hint="default"/>
                <w:color w:val="auto"/>
                <w:highlight w:val="none"/>
                <w:lang w:val="en-US" w:eastAsia="zh-CN"/>
              </w:rPr>
            </w:pPr>
            <w:r>
              <w:rPr>
                <w:rFonts w:hint="default"/>
                <w:color w:val="auto"/>
                <w:highlight w:val="none"/>
                <w:lang w:val="en-US" w:eastAsia="zh-CN"/>
              </w:rPr>
              <w:t>重量：≤24kg；</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807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99</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手持防爆电台</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一、一般规格</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频率范围：350-400MHz；信道容量：（常规） 1024；区域（常规）：64（每个区域最多256个信道）；组呼联系人：（集群） 2048；个呼联系人：（集群） 512；组群（集群）： 64（每个组群最多128个组）；工作电压：7.4V(额定)；电池：2400mAh(Li-Ion)；重量（带标配电池和天线）：≤378g；</w:t>
            </w:r>
          </w:p>
          <w:p>
            <w:pPr>
              <w:rPr>
                <w:rFonts w:hint="default"/>
                <w:color w:val="auto"/>
                <w:highlight w:val="none"/>
                <w:lang w:val="en-US" w:eastAsia="zh-CN"/>
              </w:rPr>
            </w:pPr>
            <w:r>
              <w:rPr>
                <w:rFonts w:hint="default"/>
                <w:color w:val="auto"/>
                <w:highlight w:val="none"/>
                <w:lang w:val="en-US" w:eastAsia="zh-CN"/>
              </w:rPr>
              <w:t>二、发射部分</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输出功率： 1W—2.5W； 4FSK数字调制方式：12.5kHz仅数据：7K60FXD、12.5kHz数据和语音：7K60FXW；传导/辐射发射： ≥-36dBm（&lt;1GHz）、≥-30dBm（&gt;1GHz）；</w:t>
            </w:r>
          </w:p>
          <w:p>
            <w:pPr>
              <w:rPr>
                <w:rFonts w:hint="default"/>
                <w:color w:val="auto"/>
                <w:highlight w:val="none"/>
                <w:lang w:val="en-US" w:eastAsia="zh-CN"/>
              </w:rPr>
            </w:pPr>
            <w:r>
              <w:rPr>
                <w:rFonts w:hint="default"/>
                <w:color w:val="auto"/>
                <w:highlight w:val="none"/>
                <w:lang w:val="en-US" w:eastAsia="zh-CN"/>
              </w:rPr>
              <w:t>三、接收部分</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灵敏度模拟:≤0.28μV(12dB SINAD)、≤0.22μV(典型值)(12dB SINAD)、≤0.4μV(20dB SINAD)；数字： ≤0.3μV/BER5%；5、额定音频输出功率： 0.5W；</w:t>
            </w:r>
          </w:p>
          <w:p>
            <w:pPr>
              <w:rPr>
                <w:rFonts w:hint="default"/>
                <w:color w:val="auto"/>
                <w:highlight w:val="none"/>
                <w:lang w:val="en-US" w:eastAsia="zh-CN"/>
              </w:rPr>
            </w:pPr>
            <w:r>
              <w:rPr>
                <w:rFonts w:hint="default"/>
                <w:color w:val="auto"/>
                <w:highlight w:val="none"/>
                <w:lang w:val="en-US" w:eastAsia="zh-CN"/>
              </w:rPr>
              <w:t>四、环境指标</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工作温度范围： -30℃～+60℃；储存温度范围： -40℃～+85℃；</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防水防尘： IP67；防湿 ：按MIL-STD-810 C/D/E/F/G标准；</w:t>
            </w:r>
          </w:p>
          <w:p>
            <w:pPr>
              <w:rPr>
                <w:rFonts w:hint="default"/>
                <w:color w:val="auto"/>
                <w:highlight w:val="none"/>
                <w:lang w:val="en-US" w:eastAsia="zh-CN"/>
              </w:rPr>
            </w:pPr>
            <w:r>
              <w:rPr>
                <w:rFonts w:hint="default"/>
                <w:color w:val="auto"/>
                <w:highlight w:val="none"/>
                <w:lang w:val="en-US" w:eastAsia="zh-CN"/>
              </w:rPr>
              <w:t>五、卫星定位</w:t>
            </w:r>
          </w:p>
          <w:p>
            <w:pPr>
              <w:jc w:val="left"/>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 xml:space="preserve">精确性规范适用于长期跟踪：（95%值&gt;在额定-130dBm信号强度下5个卫星可见）；水平位置精度 ：＜10米；                                                                                               六、防爆等级                                                                   </w:t>
            </w:r>
            <w:r>
              <w:rPr>
                <w:rFonts w:hint="eastAsia"/>
                <w:color w:val="auto"/>
                <w:highlight w:val="none"/>
                <w:lang w:val="en-US" w:eastAsia="zh-CN"/>
              </w:rPr>
              <w:t>1.</w:t>
            </w:r>
            <w:r>
              <w:rPr>
                <w:rFonts w:hint="default"/>
                <w:color w:val="auto"/>
                <w:highlight w:val="none"/>
                <w:lang w:val="en-US" w:eastAsia="zh-CN"/>
              </w:rPr>
              <w:t>对讲机应通过国家电气产品防爆认证，防爆等级不低于Ex ib IIB T3 Gb（爆炸性气体）和Ex ibD 21 T195°C（爆炸性粉尘），响应文件中提供国家防爆电气产品质量监督检验中心颁发的《防爆电气设备防爆合格证》复印件加盖响应供应商公章。</w:t>
            </w:r>
          </w:p>
          <w:p>
            <w:pPr>
              <w:rPr>
                <w:rFonts w:hint="default"/>
                <w:color w:val="auto"/>
                <w:highlight w:val="none"/>
                <w:lang w:val="en-US" w:eastAsia="zh-CN"/>
              </w:rPr>
            </w:pP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10</w:t>
            </w:r>
          </w:p>
        </w:tc>
      </w:tr>
      <w:tr>
        <w:tblPrEx>
          <w:tblCellMar>
            <w:top w:w="0" w:type="dxa"/>
            <w:left w:w="108" w:type="dxa"/>
            <w:bottom w:w="0" w:type="dxa"/>
            <w:right w:w="108" w:type="dxa"/>
          </w:tblCellMar>
        </w:tblPrEx>
        <w:trPr>
          <w:trHeight w:val="7998"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车载台</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jc w:val="left"/>
              <w:rPr>
                <w:rFonts w:hint="default"/>
                <w:color w:val="auto"/>
                <w:highlight w:val="none"/>
                <w:lang w:val="en-US" w:eastAsia="zh-CN"/>
              </w:rPr>
            </w:pPr>
            <w:r>
              <w:rPr>
                <w:rFonts w:hint="eastAsia"/>
                <w:color w:val="auto"/>
                <w:highlight w:val="none"/>
                <w:lang w:val="en-US" w:eastAsia="zh-CN"/>
              </w:rPr>
              <w:t>一、</w:t>
            </w:r>
            <w:r>
              <w:rPr>
                <w:rFonts w:hint="default"/>
                <w:color w:val="auto"/>
                <w:highlight w:val="none"/>
                <w:lang w:val="en-US" w:eastAsia="zh-CN"/>
              </w:rPr>
              <w:t xml:space="preserve">技术需求                                                                                        </w:t>
            </w:r>
            <w:r>
              <w:rPr>
                <w:rFonts w:hint="eastAsia"/>
                <w:color w:val="auto"/>
                <w:highlight w:val="none"/>
                <w:lang w:val="en-US" w:eastAsia="zh-CN"/>
              </w:rPr>
              <w:t>1.</w:t>
            </w:r>
            <w:r>
              <w:rPr>
                <w:rFonts w:hint="default"/>
                <w:color w:val="auto"/>
                <w:highlight w:val="none"/>
                <w:lang w:val="en-US" w:eastAsia="zh-CN"/>
              </w:rPr>
              <w:t>车载台须具有中华人民共和国工业和信息化部颁发的《无线电发射设备型号核准证》，具有公安部检测中心出具的设备检测报告，响应文件中提供检测报告复印件复印件加盖响应供应商公章。</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车载台须具备良好的防水防尘功能，防尘防水等级≥IP54，并</w:t>
            </w:r>
            <w:r>
              <w:rPr>
                <w:rFonts w:hint="eastAsia"/>
                <w:color w:val="auto"/>
                <w:highlight w:val="none"/>
                <w:lang w:val="en-US" w:eastAsia="zh-CN"/>
              </w:rPr>
              <w:t>响应文件中</w:t>
            </w:r>
            <w:r>
              <w:rPr>
                <w:rFonts w:hint="default"/>
                <w:color w:val="auto"/>
                <w:highlight w:val="none"/>
                <w:lang w:val="en-US" w:eastAsia="zh-CN"/>
              </w:rPr>
              <w:t>提供相关证明材料</w:t>
            </w:r>
            <w:r>
              <w:rPr>
                <w:rFonts w:hint="eastAsia"/>
                <w:color w:val="auto"/>
                <w:highlight w:val="none"/>
                <w:lang w:val="en-US" w:eastAsia="zh-CN"/>
              </w:rPr>
              <w:t>复印件加盖响应供应商公章</w:t>
            </w:r>
            <w:r>
              <w:rPr>
                <w:rFonts w:hint="default"/>
                <w:color w:val="auto"/>
                <w:highlight w:val="none"/>
                <w:lang w:val="en-US" w:eastAsia="zh-CN"/>
              </w:rPr>
              <w:t xml:space="preserve">；           </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车载台应具有大屏显示，屏幕尺寸≥2.0吋，显示屏文字显示≥6行。</w:t>
            </w:r>
          </w:p>
          <w:p>
            <w:pPr>
              <w:jc w:val="left"/>
              <w:rPr>
                <w:rFonts w:hint="default"/>
                <w:color w:val="auto"/>
                <w:highlight w:val="none"/>
                <w:lang w:val="en-US" w:eastAsia="zh-CN"/>
              </w:rPr>
            </w:pPr>
            <w:r>
              <w:rPr>
                <w:rFonts w:hint="default"/>
                <w:color w:val="auto"/>
                <w:highlight w:val="none"/>
                <w:lang w:val="en-US" w:eastAsia="zh-CN"/>
              </w:rPr>
              <w:t>二、技术参数                                                                                                （一）一般规格</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频率范围：350-400MHz；信道容量：≥1024；组群：≥64（每组群≥16个组）；工作电压：13.6V±15%；</w:t>
            </w:r>
          </w:p>
          <w:p>
            <w:pPr>
              <w:rPr>
                <w:rFonts w:hint="default"/>
                <w:color w:val="auto"/>
                <w:highlight w:val="none"/>
                <w:lang w:val="en-US" w:eastAsia="zh-CN"/>
              </w:rPr>
            </w:pPr>
            <w:r>
              <w:rPr>
                <w:rFonts w:hint="default"/>
                <w:color w:val="auto"/>
                <w:highlight w:val="none"/>
                <w:lang w:val="en-US" w:eastAsia="zh-CN"/>
              </w:rPr>
              <w:t>（二）发射指标</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输出功率：5-25W； 4FSK数字调制方式：12.5kHz仅数据：7K60FXD、12.5kHz数据和语音：7K60FXW；传导/辐射发射：36dBm＜1GHz、-30dBm＞1GHz；</w:t>
            </w:r>
          </w:p>
          <w:p>
            <w:pPr>
              <w:rPr>
                <w:rFonts w:hint="default"/>
                <w:color w:val="auto"/>
                <w:highlight w:val="none"/>
                <w:lang w:val="en-US" w:eastAsia="zh-CN"/>
              </w:rPr>
            </w:pPr>
            <w:r>
              <w:rPr>
                <w:rFonts w:hint="default"/>
                <w:color w:val="auto"/>
                <w:highlight w:val="none"/>
                <w:lang w:val="en-US" w:eastAsia="zh-CN"/>
              </w:rPr>
              <w:t>（三）接收指标</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接收灵敏度：≤0.3μV/BER5%；额定音频输出功率：≥3W；</w:t>
            </w:r>
          </w:p>
          <w:p>
            <w:pPr>
              <w:rPr>
                <w:rFonts w:hint="default"/>
                <w:color w:val="auto"/>
                <w:highlight w:val="none"/>
                <w:lang w:val="en-US" w:eastAsia="zh-CN"/>
              </w:rPr>
            </w:pPr>
            <w:r>
              <w:rPr>
                <w:rFonts w:hint="default"/>
                <w:color w:val="auto"/>
                <w:highlight w:val="none"/>
                <w:lang w:val="en-US" w:eastAsia="zh-CN"/>
              </w:rPr>
              <w:t>（四）、环境指标</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工作温度范围：≥-30℃～+60℃；储存温度范围：≥-40℃～+85℃；</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防尘防水：≥IP54；</w:t>
            </w:r>
          </w:p>
          <w:p>
            <w:pPr>
              <w:rPr>
                <w:rFonts w:hint="default"/>
                <w:color w:val="auto"/>
                <w:highlight w:val="none"/>
                <w:lang w:val="en-US" w:eastAsia="zh-CN"/>
              </w:rPr>
            </w:pPr>
            <w:r>
              <w:rPr>
                <w:rFonts w:hint="default"/>
                <w:color w:val="auto"/>
                <w:highlight w:val="none"/>
                <w:lang w:val="en-US" w:eastAsia="zh-CN"/>
              </w:rPr>
              <w:t>（五）、定位指标</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TTFF（首次定位时间）冷启动：＜1分； TTFF（首次定位时间）热启动：＜10秒；水平位置精度：＜10米；</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11174"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101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4G布控球机</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一、基本要求：</w:t>
            </w:r>
          </w:p>
          <w:p>
            <w:pPr>
              <w:rPr>
                <w:rFonts w:hint="default"/>
                <w:color w:val="auto"/>
                <w:highlight w:val="none"/>
                <w:lang w:val="en-US" w:eastAsia="zh-CN"/>
              </w:rPr>
            </w:pPr>
            <w:r>
              <w:rPr>
                <w:rFonts w:hint="default"/>
                <w:color w:val="auto"/>
                <w:highlight w:val="none"/>
                <w:lang w:val="en-US" w:eastAsia="zh-CN"/>
              </w:rPr>
              <w:t>1.要求接入江苏省消防总队现场图传平台，并支持接入部局图综平台；要求融入南通支队现有的图传客户端软件；</w:t>
            </w:r>
          </w:p>
          <w:p>
            <w:pPr>
              <w:rPr>
                <w:rFonts w:hint="default"/>
                <w:color w:val="auto"/>
                <w:highlight w:val="none"/>
                <w:lang w:val="en-US" w:eastAsia="zh-CN"/>
              </w:rPr>
            </w:pPr>
            <w:r>
              <w:rPr>
                <w:rFonts w:hint="default"/>
                <w:color w:val="auto"/>
                <w:highlight w:val="none"/>
                <w:lang w:val="en-US" w:eastAsia="zh-CN"/>
              </w:rPr>
              <w:t>二、 技术参数：</w:t>
            </w:r>
          </w:p>
          <w:p>
            <w:pPr>
              <w:rPr>
                <w:rFonts w:hint="default"/>
                <w:color w:val="auto"/>
                <w:highlight w:val="none"/>
                <w:lang w:val="en-US" w:eastAsia="zh-CN"/>
              </w:rPr>
            </w:pPr>
            <w:r>
              <w:rPr>
                <w:rFonts w:hint="default"/>
                <w:color w:val="auto"/>
                <w:highlight w:val="none"/>
                <w:lang w:val="en-US" w:eastAsia="zh-CN"/>
              </w:rPr>
              <w:t>1. 产品要求具备航空头接口，双SIM卡传输，双TF卡存储，双音频输入；</w:t>
            </w:r>
          </w:p>
          <w:p>
            <w:pPr>
              <w:rPr>
                <w:rFonts w:hint="default"/>
                <w:color w:val="auto"/>
                <w:highlight w:val="none"/>
                <w:lang w:val="en-US" w:eastAsia="zh-CN"/>
              </w:rPr>
            </w:pPr>
            <w:r>
              <w:rPr>
                <w:rFonts w:hint="default"/>
                <w:color w:val="auto"/>
                <w:highlight w:val="none"/>
                <w:lang w:val="en-US" w:eastAsia="zh-CN"/>
              </w:rPr>
              <w:t>2. 产品采用一体化设计，内置电池，无线图传模块，视频编解码模块一体化设计，设备本身无外接线，尺寸不大于220mmxφ140mmxφ140mm；</w:t>
            </w:r>
          </w:p>
          <w:p>
            <w:pPr>
              <w:rPr>
                <w:rFonts w:hint="default"/>
                <w:color w:val="auto"/>
                <w:highlight w:val="none"/>
                <w:lang w:val="en-US" w:eastAsia="zh-CN"/>
              </w:rPr>
            </w:pPr>
            <w:r>
              <w:rPr>
                <w:rFonts w:hint="default"/>
                <w:color w:val="auto"/>
                <w:highlight w:val="none"/>
                <w:lang w:val="en-US" w:eastAsia="zh-CN"/>
              </w:rPr>
              <w:t>3. 编码算法：支持H.264/H.265算法编码，音频编码至少支持两种或以上；</w:t>
            </w:r>
          </w:p>
          <w:p>
            <w:pPr>
              <w:rPr>
                <w:rFonts w:hint="default"/>
                <w:color w:val="auto"/>
                <w:highlight w:val="none"/>
                <w:lang w:val="en-US" w:eastAsia="zh-CN"/>
              </w:rPr>
            </w:pPr>
            <w:r>
              <w:rPr>
                <w:rFonts w:hint="default"/>
                <w:color w:val="auto"/>
                <w:highlight w:val="none"/>
                <w:lang w:val="en-US" w:eastAsia="zh-CN"/>
              </w:rPr>
              <w:t>4. 要求支持双码流，本地存储支持1920x1080，远程实时传输支持1920x1080，帧率1-30帧可调，码率64kbps-10Mbps可调；</w:t>
            </w:r>
          </w:p>
          <w:p>
            <w:pPr>
              <w:rPr>
                <w:rFonts w:hint="default"/>
                <w:color w:val="auto"/>
                <w:highlight w:val="none"/>
                <w:lang w:val="en-US" w:eastAsia="zh-CN"/>
              </w:rPr>
            </w:pPr>
            <w:r>
              <w:rPr>
                <w:rFonts w:hint="default"/>
                <w:color w:val="auto"/>
                <w:highlight w:val="none"/>
                <w:lang w:val="en-US" w:eastAsia="zh-CN"/>
              </w:rPr>
              <w:t>5. 云台支持水平360°无限位、垂直-15°至90°转动；</w:t>
            </w:r>
          </w:p>
          <w:p>
            <w:pPr>
              <w:rPr>
                <w:rFonts w:hint="default"/>
                <w:color w:val="auto"/>
                <w:highlight w:val="none"/>
                <w:lang w:val="en-US" w:eastAsia="zh-CN"/>
              </w:rPr>
            </w:pPr>
            <w:r>
              <w:rPr>
                <w:rFonts w:hint="default"/>
                <w:color w:val="auto"/>
                <w:highlight w:val="none"/>
                <w:lang w:val="en-US" w:eastAsia="zh-CN"/>
              </w:rPr>
              <w:t>6. 星光级机芯，36倍光学变焦，12倍数字变焦；</w:t>
            </w:r>
          </w:p>
          <w:p>
            <w:pPr>
              <w:rPr>
                <w:rFonts w:hint="default"/>
                <w:color w:val="auto"/>
                <w:highlight w:val="none"/>
                <w:lang w:val="en-US" w:eastAsia="zh-CN"/>
              </w:rPr>
            </w:pPr>
            <w:r>
              <w:rPr>
                <w:rFonts w:hint="default"/>
                <w:color w:val="auto"/>
                <w:highlight w:val="none"/>
                <w:lang w:val="en-US" w:eastAsia="zh-CN"/>
              </w:rPr>
              <w:t>7. 设备要求支持远程控制功能，可响应控制设备发出的水平、垂直和变焦命令；</w:t>
            </w:r>
          </w:p>
          <w:p>
            <w:pPr>
              <w:rPr>
                <w:rFonts w:hint="default"/>
                <w:color w:val="auto"/>
                <w:highlight w:val="none"/>
                <w:lang w:val="en-US" w:eastAsia="zh-CN"/>
              </w:rPr>
            </w:pPr>
            <w:r>
              <w:rPr>
                <w:rFonts w:hint="default"/>
                <w:color w:val="auto"/>
                <w:highlight w:val="none"/>
                <w:lang w:val="en-US" w:eastAsia="zh-CN"/>
              </w:rPr>
              <w:t>8. 支持红外夜视，夜间识别可识别不小于100米目标处人体轮廓；</w:t>
            </w:r>
          </w:p>
          <w:p>
            <w:pPr>
              <w:rPr>
                <w:rFonts w:hint="default"/>
                <w:color w:val="auto"/>
                <w:highlight w:val="none"/>
                <w:lang w:val="en-US" w:eastAsia="zh-CN"/>
              </w:rPr>
            </w:pPr>
            <w:r>
              <w:rPr>
                <w:rFonts w:hint="default"/>
                <w:color w:val="auto"/>
                <w:highlight w:val="none"/>
                <w:lang w:val="en-US" w:eastAsia="zh-CN"/>
              </w:rPr>
              <w:t>9. 采用4G全网通模块，支持中国移动/电信/联通三大运营商及专网接入，支持双卡绑定同传；</w:t>
            </w:r>
          </w:p>
          <w:p>
            <w:pPr>
              <w:rPr>
                <w:rFonts w:hint="default"/>
                <w:color w:val="auto"/>
                <w:highlight w:val="none"/>
                <w:lang w:val="en-US" w:eastAsia="zh-CN"/>
              </w:rPr>
            </w:pPr>
            <w:r>
              <w:rPr>
                <w:rFonts w:hint="default"/>
                <w:color w:val="auto"/>
                <w:highlight w:val="none"/>
                <w:lang w:val="en-US" w:eastAsia="zh-CN"/>
              </w:rPr>
              <w:t>10. 支持WIFI/AP功能，支持WIFI/AP一键切换，支持路由功能，其他网络设备可通过该终端上网；</w:t>
            </w:r>
          </w:p>
          <w:p>
            <w:pPr>
              <w:rPr>
                <w:rFonts w:hint="default"/>
                <w:color w:val="auto"/>
                <w:highlight w:val="none"/>
                <w:lang w:val="en-US" w:eastAsia="zh-CN"/>
              </w:rPr>
            </w:pPr>
            <w:r>
              <w:rPr>
                <w:rFonts w:hint="default"/>
                <w:color w:val="auto"/>
                <w:highlight w:val="none"/>
                <w:lang w:val="en-US" w:eastAsia="zh-CN"/>
              </w:rPr>
              <w:t>11. 支持GPS/北斗/基站定位，能够在画面中叠加经纬度信息；</w:t>
            </w:r>
          </w:p>
          <w:p>
            <w:pPr>
              <w:rPr>
                <w:rFonts w:hint="default"/>
                <w:color w:val="auto"/>
                <w:highlight w:val="none"/>
                <w:lang w:val="en-US" w:eastAsia="zh-CN"/>
              </w:rPr>
            </w:pPr>
            <w:r>
              <w:rPr>
                <w:rFonts w:hint="default"/>
                <w:color w:val="auto"/>
                <w:highlight w:val="none"/>
                <w:lang w:val="en-US" w:eastAsia="zh-CN"/>
              </w:rPr>
              <w:t>12. 支持蓝牙通讯，能够保存蓝牙配对信息，无需每次启动时重新配对；支持手机软件配置蓝牙耳机；</w:t>
            </w:r>
          </w:p>
          <w:p>
            <w:pPr>
              <w:rPr>
                <w:rFonts w:hint="default"/>
                <w:color w:val="auto"/>
                <w:highlight w:val="none"/>
                <w:lang w:val="en-US" w:eastAsia="zh-CN"/>
              </w:rPr>
            </w:pPr>
            <w:r>
              <w:rPr>
                <w:rFonts w:hint="default"/>
                <w:color w:val="auto"/>
                <w:highlight w:val="none"/>
                <w:lang w:val="en-US" w:eastAsia="zh-CN"/>
              </w:rPr>
              <w:t>13. 内置大容量锂电池，连续工作时间不低于8小时，可支持配置一体化电池底座，连续工作时间不低于18小时；</w:t>
            </w:r>
          </w:p>
          <w:p>
            <w:pPr>
              <w:rPr>
                <w:rFonts w:hint="default"/>
                <w:color w:val="auto"/>
                <w:highlight w:val="none"/>
                <w:lang w:val="en-US" w:eastAsia="zh-CN"/>
              </w:rPr>
            </w:pPr>
            <w:r>
              <w:rPr>
                <w:rFonts w:hint="default"/>
                <w:color w:val="auto"/>
                <w:highlight w:val="none"/>
                <w:lang w:val="en-US" w:eastAsia="zh-CN"/>
              </w:rPr>
              <w:t>14. 支持电量查询与低电量报警；</w:t>
            </w:r>
          </w:p>
          <w:p>
            <w:pPr>
              <w:rPr>
                <w:rFonts w:hint="default"/>
                <w:color w:val="auto"/>
                <w:highlight w:val="none"/>
                <w:lang w:val="en-US" w:eastAsia="zh-CN"/>
              </w:rPr>
            </w:pPr>
            <w:r>
              <w:rPr>
                <w:rFonts w:hint="default"/>
                <w:color w:val="auto"/>
                <w:highlight w:val="none"/>
                <w:lang w:val="en-US" w:eastAsia="zh-CN"/>
              </w:rPr>
              <w:t>15. 支持双TF卡存储，单卡支持128GB存储空间;</w:t>
            </w:r>
          </w:p>
          <w:p>
            <w:pPr>
              <w:rPr>
                <w:rFonts w:hint="default"/>
                <w:color w:val="auto"/>
                <w:highlight w:val="none"/>
                <w:lang w:val="en-US" w:eastAsia="zh-CN"/>
              </w:rPr>
            </w:pPr>
            <w:r>
              <w:rPr>
                <w:rFonts w:hint="default"/>
                <w:color w:val="auto"/>
                <w:highlight w:val="none"/>
                <w:lang w:val="en-US" w:eastAsia="zh-CN"/>
              </w:rPr>
              <w:t>16.  支持图像回放功能，可在电脑上对录像文件、图片进行回放;</w:t>
            </w:r>
          </w:p>
          <w:p>
            <w:pPr>
              <w:rPr>
                <w:rFonts w:hint="default"/>
                <w:color w:val="auto"/>
                <w:highlight w:val="none"/>
                <w:lang w:val="en-US" w:eastAsia="zh-CN"/>
              </w:rPr>
            </w:pPr>
            <w:r>
              <w:rPr>
                <w:rFonts w:hint="default"/>
                <w:color w:val="auto"/>
                <w:highlight w:val="none"/>
                <w:lang w:val="en-US" w:eastAsia="zh-CN"/>
              </w:rPr>
              <w:t>17. 支持在抓拍图片和录像文件中添加水印信息，并可通过专用播放器检测到水印信息；</w:t>
            </w:r>
          </w:p>
          <w:p>
            <w:pPr>
              <w:rPr>
                <w:rFonts w:hint="default"/>
                <w:color w:val="auto"/>
                <w:highlight w:val="none"/>
                <w:lang w:val="en-US" w:eastAsia="zh-CN"/>
              </w:rPr>
            </w:pPr>
            <w:r>
              <w:rPr>
                <w:rFonts w:hint="default"/>
                <w:color w:val="auto"/>
                <w:highlight w:val="none"/>
                <w:lang w:val="en-US" w:eastAsia="zh-CN"/>
              </w:rPr>
              <w:t>18. 支持GPS/北斗/基站定位，能够在画面中叠加经纬度信息。</w:t>
            </w:r>
          </w:p>
          <w:p>
            <w:pPr>
              <w:rPr>
                <w:rFonts w:hint="default"/>
                <w:color w:val="auto"/>
                <w:highlight w:val="none"/>
                <w:lang w:val="en-US" w:eastAsia="zh-CN"/>
              </w:rPr>
            </w:pPr>
            <w:r>
              <w:rPr>
                <w:rFonts w:hint="default"/>
                <w:color w:val="auto"/>
                <w:highlight w:val="none"/>
                <w:lang w:val="en-US" w:eastAsia="zh-CN"/>
              </w:rPr>
              <w:t>19.  高低温适应区间要求 -30°至60°；</w:t>
            </w:r>
          </w:p>
          <w:p>
            <w:pPr>
              <w:rPr>
                <w:rFonts w:hint="default"/>
                <w:color w:val="auto"/>
                <w:highlight w:val="none"/>
                <w:lang w:val="en-US" w:eastAsia="zh-CN"/>
              </w:rPr>
            </w:pPr>
            <w:r>
              <w:rPr>
                <w:rFonts w:hint="default"/>
                <w:color w:val="auto"/>
                <w:highlight w:val="none"/>
                <w:lang w:val="en-US" w:eastAsia="zh-CN"/>
              </w:rPr>
              <w:t>20.  设备防护等级达到IP66或以上。</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796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102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4G单兵</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基本要求：</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要求接入江苏省消防总队现场图传平台，并支持接入部局图综平台；要求融入南通支队现有的图传客户端软件；</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可通过手机APP访问图传平台进行图像浏览和语音对讲。</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设备自带HDMI接口，方便接入DV摄像机视频。</w:t>
            </w:r>
          </w:p>
          <w:p>
            <w:pPr>
              <w:rPr>
                <w:rFonts w:hint="default"/>
                <w:color w:val="auto"/>
                <w:highlight w:val="none"/>
                <w:lang w:val="en-US" w:eastAsia="zh-CN"/>
              </w:rPr>
            </w:pPr>
            <w:r>
              <w:rPr>
                <w:rFonts w:hint="default"/>
                <w:color w:val="auto"/>
                <w:highlight w:val="none"/>
                <w:lang w:val="en-US" w:eastAsia="zh-CN"/>
              </w:rPr>
              <w:t>技术参数：</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系统特性：专业图像编码设备， Android5.0以上操作系统；</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视频接口：支持HDMI接口，支持高清视频输入输出；</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视频编码特性：支持H.264/H.265压缩编码，支持720P，1080P高清视频传输；</w:t>
            </w:r>
          </w:p>
          <w:p>
            <w:pPr>
              <w:rPr>
                <w:rFonts w:hint="default"/>
                <w:color w:val="auto"/>
                <w:highlight w:val="none"/>
                <w:lang w:val="en-US" w:eastAsia="zh-CN"/>
              </w:rPr>
            </w:pPr>
            <w:r>
              <w:rPr>
                <w:rFonts w:hint="default"/>
                <w:color w:val="auto"/>
                <w:highlight w:val="none"/>
                <w:lang w:val="en-US" w:eastAsia="zh-CN"/>
              </w:rPr>
              <w:t>4</w:t>
            </w:r>
            <w:r>
              <w:rPr>
                <w:rFonts w:hint="eastAsia"/>
                <w:color w:val="auto"/>
                <w:highlight w:val="none"/>
                <w:lang w:val="en-US" w:eastAsia="zh-CN"/>
              </w:rPr>
              <w:t>.</w:t>
            </w:r>
            <w:r>
              <w:rPr>
                <w:rFonts w:hint="default"/>
                <w:color w:val="auto"/>
                <w:highlight w:val="none"/>
                <w:lang w:val="en-US" w:eastAsia="zh-CN"/>
              </w:rPr>
              <w:t>设备内置双摄像头：前置不低于500万，后置不低于1200万像素；</w:t>
            </w:r>
          </w:p>
          <w:p>
            <w:pPr>
              <w:rPr>
                <w:rFonts w:hint="default"/>
                <w:color w:val="auto"/>
                <w:highlight w:val="none"/>
                <w:lang w:val="en-US" w:eastAsia="zh-CN"/>
              </w:rPr>
            </w:pPr>
            <w:r>
              <w:rPr>
                <w:rFonts w:hint="default"/>
                <w:color w:val="auto"/>
                <w:highlight w:val="none"/>
                <w:lang w:val="en-US" w:eastAsia="zh-CN"/>
              </w:rPr>
              <w:t>5</w:t>
            </w:r>
            <w:r>
              <w:rPr>
                <w:rFonts w:hint="eastAsia"/>
                <w:color w:val="auto"/>
                <w:highlight w:val="none"/>
                <w:lang w:val="en-US" w:eastAsia="zh-CN"/>
              </w:rPr>
              <w:t>.</w:t>
            </w:r>
            <w:r>
              <w:rPr>
                <w:rFonts w:hint="default"/>
                <w:color w:val="auto"/>
                <w:highlight w:val="none"/>
                <w:lang w:val="en-US" w:eastAsia="zh-CN"/>
              </w:rPr>
              <w:t>语音对讲：支持双向语音对讲，采样率不低于8K，音频编码支持G711A、G711U、AAC、ADPCM可选。支持噪声消除和回音抑制；</w:t>
            </w:r>
          </w:p>
          <w:p>
            <w:pPr>
              <w:rPr>
                <w:rFonts w:hint="default"/>
                <w:color w:val="auto"/>
                <w:highlight w:val="none"/>
                <w:lang w:val="en-US" w:eastAsia="zh-CN"/>
              </w:rPr>
            </w:pPr>
            <w:r>
              <w:rPr>
                <w:rFonts w:hint="default"/>
                <w:color w:val="auto"/>
                <w:highlight w:val="none"/>
                <w:lang w:val="en-US" w:eastAsia="zh-CN"/>
              </w:rPr>
              <w:t>6</w:t>
            </w:r>
            <w:r>
              <w:rPr>
                <w:rFonts w:hint="eastAsia"/>
                <w:color w:val="auto"/>
                <w:highlight w:val="none"/>
                <w:lang w:val="en-US" w:eastAsia="zh-CN"/>
              </w:rPr>
              <w:t>.</w:t>
            </w:r>
            <w:r>
              <w:rPr>
                <w:rFonts w:hint="default"/>
                <w:color w:val="auto"/>
                <w:highlight w:val="none"/>
                <w:lang w:val="en-US" w:eastAsia="zh-CN"/>
              </w:rPr>
              <w:t>本地录像：采用TF卡存储，最高支持128GB存储空间；</w:t>
            </w:r>
          </w:p>
          <w:p>
            <w:pPr>
              <w:rPr>
                <w:rFonts w:hint="default"/>
                <w:color w:val="auto"/>
                <w:highlight w:val="none"/>
                <w:lang w:val="en-US" w:eastAsia="zh-CN"/>
              </w:rPr>
            </w:pPr>
            <w:r>
              <w:rPr>
                <w:rFonts w:hint="default"/>
                <w:color w:val="auto"/>
                <w:highlight w:val="none"/>
                <w:lang w:val="en-US" w:eastAsia="zh-CN"/>
              </w:rPr>
              <w:t>7</w:t>
            </w:r>
            <w:r>
              <w:rPr>
                <w:rFonts w:hint="eastAsia"/>
                <w:color w:val="auto"/>
                <w:highlight w:val="none"/>
                <w:lang w:val="en-US" w:eastAsia="zh-CN"/>
              </w:rPr>
              <w:t>.</w:t>
            </w:r>
            <w:r>
              <w:rPr>
                <w:rFonts w:hint="default"/>
                <w:color w:val="auto"/>
                <w:highlight w:val="none"/>
                <w:lang w:val="en-US" w:eastAsia="zh-CN"/>
              </w:rPr>
              <w:t>扬声器：内置扬声器，功率≥1500mW；</w:t>
            </w:r>
          </w:p>
          <w:p>
            <w:pPr>
              <w:rPr>
                <w:rFonts w:hint="default"/>
                <w:color w:val="auto"/>
                <w:highlight w:val="none"/>
                <w:lang w:val="en-US" w:eastAsia="zh-CN"/>
              </w:rPr>
            </w:pPr>
            <w:r>
              <w:rPr>
                <w:rFonts w:hint="default"/>
                <w:color w:val="auto"/>
                <w:highlight w:val="none"/>
                <w:lang w:val="en-US" w:eastAsia="zh-CN"/>
              </w:rPr>
              <w:t>8</w:t>
            </w:r>
            <w:r>
              <w:rPr>
                <w:rFonts w:hint="eastAsia"/>
                <w:color w:val="auto"/>
                <w:highlight w:val="none"/>
                <w:lang w:val="en-US" w:eastAsia="zh-CN"/>
              </w:rPr>
              <w:t>.</w:t>
            </w:r>
            <w:r>
              <w:rPr>
                <w:rFonts w:hint="default"/>
                <w:color w:val="auto"/>
                <w:highlight w:val="none"/>
                <w:lang w:val="en-US" w:eastAsia="zh-CN"/>
              </w:rPr>
              <w:t>显示屏：高亮触摸显示屏，强光下可见；尺寸3.5inch，分辨率480x800；支持手套触摸；</w:t>
            </w:r>
          </w:p>
          <w:p>
            <w:pPr>
              <w:rPr>
                <w:rFonts w:hint="default"/>
                <w:color w:val="auto"/>
                <w:highlight w:val="none"/>
                <w:lang w:val="en-US" w:eastAsia="zh-CN"/>
              </w:rPr>
            </w:pPr>
            <w:r>
              <w:rPr>
                <w:rFonts w:hint="default"/>
                <w:color w:val="auto"/>
                <w:highlight w:val="none"/>
                <w:lang w:val="en-US" w:eastAsia="zh-CN"/>
              </w:rPr>
              <w:t>9</w:t>
            </w:r>
            <w:r>
              <w:rPr>
                <w:rFonts w:hint="eastAsia"/>
                <w:color w:val="auto"/>
                <w:highlight w:val="none"/>
                <w:lang w:val="en-US" w:eastAsia="zh-CN"/>
              </w:rPr>
              <w:t>.</w:t>
            </w:r>
            <w:r>
              <w:rPr>
                <w:rFonts w:hint="default"/>
                <w:color w:val="auto"/>
                <w:highlight w:val="none"/>
                <w:lang w:val="en-US" w:eastAsia="zh-CN"/>
              </w:rPr>
              <w:t>WIFI/蓝牙：2.4GHz &amp; 5.8GHz 802.11 b/g/n/ac；蓝牙4.0以上；</w:t>
            </w:r>
          </w:p>
          <w:p>
            <w:pPr>
              <w:rPr>
                <w:rFonts w:hint="default"/>
                <w:color w:val="auto"/>
                <w:highlight w:val="none"/>
                <w:lang w:val="en-US" w:eastAsia="zh-CN"/>
              </w:rPr>
            </w:pPr>
            <w:r>
              <w:rPr>
                <w:rFonts w:hint="default"/>
                <w:color w:val="auto"/>
                <w:highlight w:val="none"/>
                <w:lang w:val="en-US" w:eastAsia="zh-CN"/>
              </w:rPr>
              <w:t>10</w:t>
            </w:r>
            <w:r>
              <w:rPr>
                <w:rFonts w:hint="eastAsia"/>
                <w:color w:val="auto"/>
                <w:highlight w:val="none"/>
                <w:lang w:val="en-US" w:eastAsia="zh-CN"/>
              </w:rPr>
              <w:t>.</w:t>
            </w:r>
            <w:r>
              <w:rPr>
                <w:rFonts w:hint="default"/>
                <w:color w:val="auto"/>
                <w:highlight w:val="none"/>
                <w:lang w:val="en-US" w:eastAsia="zh-CN"/>
              </w:rPr>
              <w:t>定位：支持内置GPS、北斗双模，支持基站定位；</w:t>
            </w:r>
          </w:p>
          <w:p>
            <w:pPr>
              <w:rPr>
                <w:rFonts w:hint="default"/>
                <w:color w:val="auto"/>
                <w:highlight w:val="none"/>
                <w:lang w:val="en-US" w:eastAsia="zh-CN"/>
              </w:rPr>
            </w:pPr>
            <w:r>
              <w:rPr>
                <w:rFonts w:hint="default"/>
                <w:color w:val="auto"/>
                <w:highlight w:val="none"/>
                <w:lang w:val="en-US" w:eastAsia="zh-CN"/>
              </w:rPr>
              <w:t>11</w:t>
            </w:r>
            <w:r>
              <w:rPr>
                <w:rFonts w:hint="eastAsia"/>
                <w:color w:val="auto"/>
                <w:highlight w:val="none"/>
                <w:lang w:val="en-US" w:eastAsia="zh-CN"/>
              </w:rPr>
              <w:t>.</w:t>
            </w:r>
            <w:r>
              <w:rPr>
                <w:rFonts w:hint="default"/>
                <w:color w:val="auto"/>
                <w:highlight w:val="none"/>
                <w:lang w:val="en-US" w:eastAsia="zh-CN"/>
              </w:rPr>
              <w:t>USIM卡：支持双卡双待；</w:t>
            </w:r>
          </w:p>
          <w:p>
            <w:pPr>
              <w:rPr>
                <w:rFonts w:hint="default"/>
                <w:color w:val="auto"/>
                <w:highlight w:val="none"/>
                <w:lang w:val="en-US" w:eastAsia="zh-CN"/>
              </w:rPr>
            </w:pPr>
            <w:r>
              <w:rPr>
                <w:rFonts w:hint="default"/>
                <w:color w:val="auto"/>
                <w:highlight w:val="none"/>
                <w:lang w:val="en-US" w:eastAsia="zh-CN"/>
              </w:rPr>
              <w:t>12</w:t>
            </w:r>
            <w:r>
              <w:rPr>
                <w:rFonts w:hint="eastAsia"/>
                <w:color w:val="auto"/>
                <w:highlight w:val="none"/>
                <w:lang w:val="en-US" w:eastAsia="zh-CN"/>
              </w:rPr>
              <w:t>.</w:t>
            </w:r>
            <w:r>
              <w:rPr>
                <w:rFonts w:hint="default"/>
                <w:color w:val="auto"/>
                <w:highlight w:val="none"/>
                <w:lang w:val="en-US" w:eastAsia="zh-CN"/>
              </w:rPr>
              <w:t>传感器：支持光、重力、陀螺仪、磁感、压力、温度等环境数据采集；</w:t>
            </w:r>
          </w:p>
          <w:p>
            <w:pPr>
              <w:rPr>
                <w:rFonts w:hint="default"/>
                <w:color w:val="auto"/>
                <w:highlight w:val="none"/>
                <w:lang w:val="en-US" w:eastAsia="zh-CN"/>
              </w:rPr>
            </w:pPr>
            <w:r>
              <w:rPr>
                <w:rFonts w:hint="default"/>
                <w:color w:val="auto"/>
                <w:highlight w:val="none"/>
                <w:lang w:val="en-US" w:eastAsia="zh-CN"/>
              </w:rPr>
              <w:t>13</w:t>
            </w:r>
            <w:r>
              <w:rPr>
                <w:rFonts w:hint="eastAsia"/>
                <w:color w:val="auto"/>
                <w:highlight w:val="none"/>
                <w:lang w:val="en-US" w:eastAsia="zh-CN"/>
              </w:rPr>
              <w:t>.</w:t>
            </w:r>
            <w:r>
              <w:rPr>
                <w:rFonts w:hint="default"/>
                <w:color w:val="auto"/>
                <w:highlight w:val="none"/>
                <w:lang w:val="en-US" w:eastAsia="zh-CN"/>
              </w:rPr>
              <w:t>低电量报警：可通过特定状态指示灯显示低电压报警</w:t>
            </w:r>
          </w:p>
          <w:p>
            <w:pPr>
              <w:rPr>
                <w:rFonts w:hint="default"/>
                <w:color w:val="auto"/>
                <w:highlight w:val="none"/>
                <w:lang w:val="en-US" w:eastAsia="zh-CN"/>
              </w:rPr>
            </w:pPr>
            <w:r>
              <w:rPr>
                <w:rFonts w:hint="default"/>
                <w:color w:val="auto"/>
                <w:highlight w:val="none"/>
                <w:lang w:val="en-US" w:eastAsia="zh-CN"/>
              </w:rPr>
              <w:t>14</w:t>
            </w:r>
            <w:r>
              <w:rPr>
                <w:rFonts w:hint="eastAsia"/>
                <w:color w:val="auto"/>
                <w:highlight w:val="none"/>
                <w:lang w:val="en-US" w:eastAsia="zh-CN"/>
              </w:rPr>
              <w:t>.</w:t>
            </w:r>
            <w:r>
              <w:rPr>
                <w:rFonts w:hint="default"/>
                <w:color w:val="auto"/>
                <w:highlight w:val="none"/>
                <w:lang w:val="en-US" w:eastAsia="zh-CN"/>
              </w:rPr>
              <w:t>充电方式：支持座充，Micro USB2.0接口支持USB充电；电池：蓄电不小于4300mAh容量；防水等级：IP67；</w:t>
            </w:r>
          </w:p>
          <w:p>
            <w:pPr>
              <w:rPr>
                <w:rFonts w:hint="default"/>
                <w:color w:val="auto"/>
                <w:highlight w:val="none"/>
                <w:lang w:val="en-US" w:eastAsia="zh-CN"/>
              </w:rPr>
            </w:pPr>
            <w:r>
              <w:rPr>
                <w:rFonts w:hint="default"/>
                <w:color w:val="auto"/>
                <w:highlight w:val="none"/>
                <w:lang w:val="en-US" w:eastAsia="zh-CN"/>
              </w:rPr>
              <w:t>15</w:t>
            </w:r>
            <w:r>
              <w:rPr>
                <w:rFonts w:hint="eastAsia"/>
                <w:color w:val="auto"/>
                <w:highlight w:val="none"/>
                <w:lang w:val="en-US" w:eastAsia="zh-CN"/>
              </w:rPr>
              <w:t>.</w:t>
            </w:r>
            <w:r>
              <w:rPr>
                <w:rFonts w:hint="default"/>
                <w:color w:val="auto"/>
                <w:highlight w:val="none"/>
                <w:lang w:val="en-US" w:eastAsia="zh-CN"/>
              </w:rPr>
              <w:t>设备配套应具以下附件：电池两块、座充、电源适配器。</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156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103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木质堵漏楔</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各类孔洞状较低压力的堵漏作业。红松材质，经蒸馏、防腐、干燥、绝缘等工序处理制成，防裂、不变形。适用范围：用于各类孔、洞、裂缝等压力较低的堵漏作业。该产品由圆锥形、方楔形和棱台形三类木楔共计28件木楔、1把木锤。</w:t>
            </w:r>
          </w:p>
          <w:p>
            <w:pPr>
              <w:rPr>
                <w:rFonts w:hint="default"/>
                <w:color w:val="auto"/>
                <w:highlight w:val="none"/>
                <w:lang w:val="en-US" w:eastAsia="zh-CN"/>
              </w:rPr>
            </w:pPr>
            <w:r>
              <w:rPr>
                <w:rFonts w:hint="default"/>
                <w:color w:val="auto"/>
                <w:highlight w:val="none"/>
                <w:lang w:val="en-US" w:eastAsia="zh-CN"/>
              </w:rPr>
              <w:t>适用温度范围-70℃至150℃，压力-1.0Mpa至0.8Mpa，配一个便携箱。</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1555"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104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金属堵漏套管</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本套工具是抢险堵漏器材配套专用工具，操作简易迅速，使用方便。</w:t>
            </w:r>
          </w:p>
          <w:p>
            <w:pPr>
              <w:rPr>
                <w:rFonts w:hint="default"/>
                <w:color w:val="auto"/>
                <w:highlight w:val="none"/>
                <w:lang w:val="en-US" w:eastAsia="zh-CN"/>
              </w:rPr>
            </w:pPr>
            <w:r>
              <w:rPr>
                <w:rFonts w:hint="default"/>
                <w:color w:val="auto"/>
                <w:highlight w:val="none"/>
                <w:lang w:val="en-US" w:eastAsia="zh-CN"/>
              </w:rPr>
              <w:t>该工具适用介质温度在70～150℃，适用管道直径：12～100mm  ，最大封堵压力不小于2.5MPa。配有不少于10种不同的套管的尺寸。</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2169"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105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粘贴式堵漏工具</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可堵介质：液化气、石油、水、化学试剂等。可堵介质温 度：-70℃—+250℃；压 力：-1.0 — +2.5MPa。快速固化堵漏只需2至10分钟。</w:t>
            </w:r>
          </w:p>
          <w:p>
            <w:pPr>
              <w:rPr>
                <w:rFonts w:hint="default"/>
                <w:color w:val="auto"/>
                <w:highlight w:val="none"/>
                <w:lang w:val="en-US" w:eastAsia="zh-CN"/>
              </w:rPr>
            </w:pPr>
            <w:r>
              <w:rPr>
                <w:rFonts w:hint="default"/>
                <w:color w:val="auto"/>
                <w:highlight w:val="none"/>
                <w:lang w:val="en-US" w:eastAsia="zh-CN"/>
              </w:rPr>
              <w:t>产品配置：26mm不锈钢捆扎器1把、铁胶泥1Kg、钢带（18mm*1mm）3M、18mm卡扣10只、内六角扳手1把、防护手套1付、玻璃布1卷、小刀1把、粘贴涂胶片2片。</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278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106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注入式堵漏工具</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注入式堵漏工具适用于化工、化肥、炼油、煤气、发电、冶金等装置管道上的各种静密封点堵漏密封，如：法兰、阀门、接头、弯头、三通管等破损泄漏及储油塔、煤气柜、变压器等泄漏。注入式堵漏工具由手动高压泵、注胶枪及一组注胶接头组成，可以在不停工、不停车和不动用电焊火种的条件下，采用内部注射密封剂料，表面粘接、钢带捆扎等工艺手段加以解决。适用介质温度在-200℃至750℃、压力大于30MPa的泄漏。手动高压泵最高压力为76MPa。全套产品不少于26件。</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1862"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107</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无火花工具</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主要用于易燃易爆的场合，采用优质合金铝青铜材料制造，工作时无火花、无磁性、耐腐蚀，由多种开启、关闭、清理和其他无火花工具组成，是抢险救援必备的安全可靠的工具。硬度HRC≥35。全套含：管钳、克丝钳、锤子、防爆铲、F型扳手、活动扳手、梅花扳手、开口扳手、螺丝刀、錾子等21件。各种工具须通过绝缘处理。</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default"/>
                <w:color w:val="auto"/>
                <w:highlight w:val="none"/>
                <w:lang w:val="en-US" w:eastAsia="zh-CN"/>
              </w:rPr>
              <w:t>1</w:t>
            </w:r>
          </w:p>
        </w:tc>
      </w:tr>
      <w:tr>
        <w:tblPrEx>
          <w:tblCellMar>
            <w:top w:w="0" w:type="dxa"/>
            <w:left w:w="108" w:type="dxa"/>
            <w:bottom w:w="0" w:type="dxa"/>
            <w:right w:w="108" w:type="dxa"/>
          </w:tblCellMar>
        </w:tblPrEx>
        <w:trPr>
          <w:trHeight w:val="2501" w:hRule="atLeast"/>
        </w:trPr>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color w:val="auto"/>
                <w:highlight w:val="none"/>
                <w:lang w:val="en-US" w:eastAsia="zh-CN"/>
              </w:rPr>
            </w:pPr>
            <w:r>
              <w:rPr>
                <w:rFonts w:hint="eastAsia"/>
                <w:color w:val="auto"/>
                <w:highlight w:val="none"/>
                <w:lang w:val="en-US" w:eastAsia="zh-CN"/>
              </w:rPr>
              <w:t>108</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rPr>
                <w:rFonts w:hint="eastAsia"/>
                <w:color w:val="auto"/>
                <w:highlight w:val="none"/>
                <w:lang w:val="en-US" w:eastAsia="zh-CN"/>
              </w:rPr>
            </w:pPr>
            <w:r>
              <w:rPr>
                <w:rFonts w:hint="eastAsia"/>
                <w:color w:val="auto"/>
                <w:highlight w:val="none"/>
                <w:lang w:val="en-US" w:eastAsia="zh-CN"/>
              </w:rPr>
              <w:t>消防挂钩梯</w:t>
            </w:r>
          </w:p>
        </w:tc>
        <w:tc>
          <w:tcPr>
            <w:tcW w:w="0" w:type="auto"/>
            <w:tcBorders>
              <w:top w:val="single" w:color="000000" w:sz="4" w:space="0"/>
              <w:left w:val="single" w:color="000000" w:sz="4" w:space="0"/>
              <w:bottom w:val="single" w:color="000000" w:sz="4" w:space="0"/>
              <w:right w:val="single" w:color="000000" w:sz="4" w:space="0"/>
            </w:tcBorders>
            <w:noWrap w:val="0"/>
            <w:vAlign w:val="top"/>
          </w:tcPr>
          <w:p>
            <w:pPr>
              <w:pStyle w:val="20"/>
              <w:numPr>
                <w:ilvl w:val="0"/>
                <w:numId w:val="4"/>
              </w:numPr>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竹材，主体用坚韧毛竹经特殊工艺处理，多层压合而成，侧板与梯登采用铆钉连接。</w:t>
            </w:r>
          </w:p>
          <w:p>
            <w:pPr>
              <w:pStyle w:val="20"/>
              <w:numPr>
                <w:ilvl w:val="0"/>
                <w:numId w:val="4"/>
              </w:numPr>
              <w:rPr>
                <w:rFonts w:hint="default"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梯子表面光洁，表面涂不导电涂料保护，金属零件镀锌（铬）或黑色磁漆。</w:t>
            </w:r>
          </w:p>
          <w:p>
            <w:pPr>
              <w:pStyle w:val="20"/>
              <w:numPr>
                <w:ilvl w:val="0"/>
                <w:numId w:val="4"/>
              </w:numPr>
              <w:rPr>
                <w:rFonts w:hint="default"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工作高度:4±0.1 (4.1)m、宽度250±2（251）mm、梯蹬间距340±2mm（340）、挂钩可折叠，质量11.2KG。</w:t>
            </w:r>
          </w:p>
          <w:p>
            <w:pPr>
              <w:pStyle w:val="20"/>
              <w:numPr>
                <w:ilvl w:val="0"/>
                <w:numId w:val="0"/>
              </w:numPr>
              <w:rPr>
                <w:color w:val="auto"/>
                <w:sz w:val="21"/>
                <w:szCs w:val="21"/>
                <w:highlight w:val="none"/>
              </w:rPr>
            </w:pPr>
            <w:r>
              <w:rPr>
                <w:rFonts w:hint="eastAsia" w:ascii="Times New Roman" w:hAnsi="Times New Roman" w:eastAsia="宋体" w:cs="Times New Roman"/>
                <w:color w:val="auto"/>
                <w:kern w:val="2"/>
                <w:sz w:val="21"/>
                <w:szCs w:val="24"/>
                <w:highlight w:val="none"/>
                <w:lang w:val="en-US" w:eastAsia="zh-CN" w:bidi="ar-SA"/>
              </w:rPr>
              <w:t>4.水平弯曲残余变形比值：≤0.2（0.12）、梯橙弯曲残余变形比值：≤0.5（0.27）。</w:t>
            </w:r>
          </w:p>
        </w:tc>
        <w:tc>
          <w:tcPr>
            <w:tcW w:w="562"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color w:val="auto"/>
                <w:highlight w:val="none"/>
                <w:lang w:val="en-US" w:eastAsia="zh-CN"/>
              </w:rPr>
            </w:pPr>
            <w:r>
              <w:rPr>
                <w:rFonts w:hint="eastAsia"/>
                <w:color w:val="auto"/>
                <w:highlight w:val="none"/>
                <w:lang w:val="en-US" w:eastAsia="zh-CN"/>
              </w:rPr>
              <w:t>4</w:t>
            </w:r>
          </w:p>
        </w:tc>
      </w:tr>
    </w:tbl>
    <w:p>
      <w:pPr>
        <w:numPr>
          <w:ilvl w:val="0"/>
          <w:numId w:val="5"/>
        </w:numPr>
        <w:spacing w:line="480" w:lineRule="exact"/>
        <w:ind w:firstLine="560" w:firstLineChars="200"/>
        <w:outlineLvl w:val="1"/>
        <w:rPr>
          <w:rFonts w:hint="eastAsia" w:ascii="黑体" w:hAnsi="黑体" w:eastAsia="黑体"/>
          <w:color w:val="auto"/>
          <w:sz w:val="28"/>
          <w:szCs w:val="28"/>
          <w:highlight w:val="none"/>
        </w:rPr>
      </w:pPr>
      <w:r>
        <w:rPr>
          <w:rFonts w:hint="eastAsia" w:ascii="黑体" w:hAnsi="黑体" w:eastAsia="黑体"/>
          <w:color w:val="auto"/>
          <w:sz w:val="28"/>
          <w:szCs w:val="28"/>
          <w:highlight w:val="none"/>
        </w:rPr>
        <w:t>技术要求</w:t>
      </w:r>
      <w:bookmarkEnd w:id="79"/>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（一）技术要求详见</w:t>
      </w:r>
      <w:r>
        <w:rPr>
          <w:rFonts w:hint="eastAsia" w:ascii="仿宋" w:hAnsi="仿宋" w:eastAsia="仿宋"/>
          <w:color w:val="auto"/>
          <w:sz w:val="28"/>
          <w:szCs w:val="28"/>
          <w:highlight w:val="none"/>
          <w:lang w:val="en-US" w:eastAsia="zh-CN"/>
        </w:rPr>
        <w:t>上述高新区专职消防救援器材购置清单。</w:t>
      </w:r>
    </w:p>
    <w:p>
      <w:pPr>
        <w:spacing w:line="500" w:lineRule="exact"/>
        <w:ind w:firstLine="560" w:firstLineChars="200"/>
        <w:rPr>
          <w:rFonts w:ascii="仿宋" w:hAnsi="仿宋" w:eastAsia="仿宋"/>
          <w:bCs/>
          <w:color w:val="auto"/>
          <w:sz w:val="28"/>
          <w:szCs w:val="28"/>
          <w:highlight w:val="none"/>
        </w:rPr>
      </w:pPr>
      <w:r>
        <w:rPr>
          <w:rFonts w:hint="eastAsia" w:ascii="仿宋" w:hAnsi="仿宋" w:eastAsia="仿宋"/>
          <w:bCs/>
          <w:color w:val="auto"/>
          <w:sz w:val="28"/>
          <w:szCs w:val="28"/>
          <w:highlight w:val="none"/>
        </w:rPr>
        <w:t>（二）标的物所有权的转移：标的物运送至现场，经验收（数量及外观）合格后，在送货单上签字认可。</w:t>
      </w:r>
    </w:p>
    <w:p>
      <w:pPr>
        <w:spacing w:line="500" w:lineRule="exact"/>
        <w:ind w:firstLine="560" w:firstLineChars="200"/>
        <w:rPr>
          <w:rFonts w:ascii="仿宋" w:hAnsi="仿宋" w:eastAsia="仿宋"/>
          <w:bCs/>
          <w:color w:val="auto"/>
          <w:sz w:val="28"/>
          <w:szCs w:val="28"/>
          <w:highlight w:val="none"/>
        </w:rPr>
      </w:pPr>
      <w:r>
        <w:rPr>
          <w:rFonts w:hint="eastAsia" w:ascii="仿宋" w:hAnsi="仿宋" w:eastAsia="仿宋"/>
          <w:bCs/>
          <w:color w:val="auto"/>
          <w:sz w:val="28"/>
          <w:szCs w:val="28"/>
          <w:highlight w:val="none"/>
        </w:rPr>
        <w:t>（三）</w:t>
      </w:r>
      <w:r>
        <w:rPr>
          <w:rFonts w:hint="eastAsia" w:ascii="仿宋" w:hAnsi="仿宋" w:eastAsia="仿宋"/>
          <w:bCs/>
          <w:color w:val="auto"/>
          <w:sz w:val="28"/>
          <w:szCs w:val="28"/>
          <w:highlight w:val="none"/>
          <w:lang w:val="en-US" w:eastAsia="zh-CN"/>
        </w:rPr>
        <w:t>成交</w:t>
      </w:r>
      <w:r>
        <w:rPr>
          <w:rFonts w:hint="eastAsia" w:ascii="仿宋" w:hAnsi="仿宋" w:eastAsia="仿宋"/>
          <w:bCs/>
          <w:color w:val="auto"/>
          <w:sz w:val="28"/>
          <w:szCs w:val="28"/>
          <w:highlight w:val="none"/>
        </w:rPr>
        <w:t>人保证</w:t>
      </w:r>
      <w:r>
        <w:rPr>
          <w:rFonts w:hint="eastAsia" w:ascii="仿宋" w:hAnsi="仿宋" w:eastAsia="仿宋"/>
          <w:bCs/>
          <w:color w:val="auto"/>
          <w:sz w:val="28"/>
          <w:szCs w:val="28"/>
          <w:highlight w:val="none"/>
          <w:lang w:val="en-US" w:eastAsia="zh-CN"/>
        </w:rPr>
        <w:t>采购</w:t>
      </w:r>
      <w:r>
        <w:rPr>
          <w:rFonts w:hint="eastAsia" w:ascii="仿宋" w:hAnsi="仿宋" w:eastAsia="仿宋"/>
          <w:bCs/>
          <w:color w:val="auto"/>
          <w:sz w:val="28"/>
          <w:szCs w:val="28"/>
          <w:highlight w:val="none"/>
        </w:rPr>
        <w:t>单位委托采购的货物，能按</w:t>
      </w:r>
      <w:r>
        <w:rPr>
          <w:rFonts w:hint="eastAsia" w:ascii="仿宋" w:hAnsi="仿宋" w:eastAsia="仿宋"/>
          <w:bCs/>
          <w:color w:val="auto"/>
          <w:sz w:val="28"/>
          <w:szCs w:val="28"/>
          <w:highlight w:val="none"/>
          <w:lang w:val="en-US" w:eastAsia="zh-CN"/>
        </w:rPr>
        <w:t>采购</w:t>
      </w:r>
      <w:r>
        <w:rPr>
          <w:rFonts w:hint="eastAsia" w:ascii="仿宋" w:hAnsi="仿宋" w:eastAsia="仿宋"/>
          <w:bCs/>
          <w:color w:val="auto"/>
          <w:sz w:val="28"/>
          <w:szCs w:val="28"/>
          <w:highlight w:val="none"/>
        </w:rPr>
        <w:t>方要求的到货时间、品种、数量、免费运送至</w:t>
      </w:r>
      <w:r>
        <w:rPr>
          <w:rFonts w:hint="eastAsia" w:ascii="仿宋" w:hAnsi="仿宋" w:eastAsia="仿宋"/>
          <w:bCs/>
          <w:color w:val="auto"/>
          <w:sz w:val="28"/>
          <w:szCs w:val="28"/>
          <w:highlight w:val="none"/>
          <w:lang w:eastAsia="zh-CN"/>
        </w:rPr>
        <w:t>采购人</w:t>
      </w:r>
      <w:r>
        <w:rPr>
          <w:rFonts w:hint="eastAsia" w:ascii="仿宋" w:hAnsi="仿宋" w:eastAsia="仿宋"/>
          <w:bCs/>
          <w:color w:val="auto"/>
          <w:sz w:val="28"/>
          <w:szCs w:val="28"/>
          <w:highlight w:val="none"/>
        </w:rPr>
        <w:t>指定的地点，并且完成设施的安装，并做好交接手续。</w:t>
      </w:r>
    </w:p>
    <w:p>
      <w:pPr>
        <w:spacing w:line="500" w:lineRule="exact"/>
        <w:ind w:firstLine="560" w:firstLineChars="200"/>
        <w:rPr>
          <w:rFonts w:ascii="仿宋" w:hAnsi="仿宋" w:eastAsia="仿宋"/>
          <w:bCs/>
          <w:color w:val="auto"/>
          <w:sz w:val="28"/>
          <w:szCs w:val="28"/>
          <w:highlight w:val="none"/>
        </w:rPr>
      </w:pPr>
      <w:r>
        <w:rPr>
          <w:rFonts w:hint="eastAsia" w:ascii="仿宋" w:hAnsi="仿宋" w:eastAsia="仿宋"/>
          <w:color w:val="auto"/>
          <w:sz w:val="28"/>
          <w:szCs w:val="28"/>
          <w:highlight w:val="none"/>
        </w:rPr>
        <w:t>（四）安全事项：承包人应对标的的物的运输、现场装卸完毕前各个环节的风险责任和安全责任负责，由此引起的一切损失由承包人自行承担。</w:t>
      </w:r>
    </w:p>
    <w:p>
      <w:pPr>
        <w:pStyle w:val="17"/>
        <w:spacing w:line="500" w:lineRule="exact"/>
        <w:rPr>
          <w:rFonts w:hint="eastAsia" w:ascii="黑体" w:hAnsi="黑体" w:eastAsia="黑体"/>
          <w:color w:val="auto"/>
          <w:sz w:val="28"/>
          <w:szCs w:val="28"/>
          <w:highlight w:val="none"/>
        </w:rPr>
      </w:pPr>
      <w:r>
        <w:rPr>
          <w:rFonts w:hint="eastAsia" w:ascii="仿宋_GB2312" w:hAnsi="仿宋_GB2312" w:eastAsia="仿宋_GB2312" w:cs="仿宋_GB2312"/>
          <w:color w:val="auto"/>
          <w:sz w:val="28"/>
          <w:szCs w:val="28"/>
          <w:highlight w:val="none"/>
        </w:rPr>
        <w:t xml:space="preserve">  </w:t>
      </w:r>
      <w:bookmarkEnd w:id="80"/>
      <w:bookmarkEnd w:id="81"/>
      <w:bookmarkEnd w:id="82"/>
      <w:bookmarkStart w:id="83" w:name="_Toc10693"/>
      <w:bookmarkStart w:id="84" w:name="_Toc32160"/>
      <w:bookmarkStart w:id="85" w:name="_Toc26523"/>
      <w:bookmarkStart w:id="86" w:name="_Toc2215"/>
      <w:r>
        <w:rPr>
          <w:rFonts w:hint="eastAsia" w:ascii="黑体" w:hAnsi="黑体" w:eastAsia="黑体"/>
          <w:color w:val="auto"/>
          <w:sz w:val="28"/>
          <w:szCs w:val="28"/>
          <w:highlight w:val="none"/>
        </w:rPr>
        <w:t>四、质量标准</w:t>
      </w:r>
      <w:bookmarkEnd w:id="83"/>
      <w:bookmarkEnd w:id="84"/>
      <w:bookmarkEnd w:id="85"/>
      <w:bookmarkEnd w:id="86"/>
    </w:p>
    <w:p>
      <w:pPr>
        <w:spacing w:line="500" w:lineRule="exact"/>
        <w:ind w:firstLine="560" w:firstLineChars="200"/>
        <w:rPr>
          <w:rFonts w:hint="eastAsia" w:ascii="仿宋" w:hAnsi="仿宋" w:eastAsia="仿宋"/>
          <w:bCs/>
          <w:color w:val="auto"/>
          <w:sz w:val="28"/>
          <w:szCs w:val="28"/>
          <w:highlight w:val="none"/>
        </w:rPr>
      </w:pPr>
      <w:bookmarkStart w:id="87" w:name="_Hlk40719223"/>
      <w:bookmarkStart w:id="88" w:name="_Toc22453"/>
      <w:bookmarkStart w:id="89" w:name="_Toc9124"/>
      <w:bookmarkStart w:id="90" w:name="_Toc11050"/>
      <w:bookmarkStart w:id="91" w:name="_Toc16641"/>
      <w:r>
        <w:rPr>
          <w:rFonts w:hint="eastAsia" w:ascii="仿宋" w:hAnsi="仿宋" w:eastAsia="仿宋"/>
          <w:bCs/>
          <w:color w:val="auto"/>
          <w:sz w:val="28"/>
          <w:szCs w:val="28"/>
          <w:highlight w:val="none"/>
        </w:rPr>
        <w:t>（一）</w:t>
      </w:r>
      <w:r>
        <w:rPr>
          <w:rFonts w:hint="eastAsia" w:ascii="仿宋" w:hAnsi="仿宋" w:eastAsia="仿宋"/>
          <w:bCs/>
          <w:color w:val="auto"/>
          <w:sz w:val="28"/>
          <w:szCs w:val="28"/>
          <w:highlight w:val="none"/>
          <w:lang w:val="en-US" w:eastAsia="zh-CN"/>
        </w:rPr>
        <w:t>响应</w:t>
      </w:r>
      <w:r>
        <w:rPr>
          <w:rFonts w:hint="eastAsia" w:ascii="仿宋" w:hAnsi="仿宋" w:eastAsia="仿宋"/>
          <w:bCs/>
          <w:color w:val="auto"/>
          <w:sz w:val="28"/>
          <w:szCs w:val="28"/>
          <w:highlight w:val="none"/>
        </w:rPr>
        <w:t>供应商不能简单照搬</w:t>
      </w:r>
      <w:r>
        <w:rPr>
          <w:rFonts w:hint="eastAsia" w:ascii="仿宋" w:hAnsi="仿宋" w:eastAsia="仿宋"/>
          <w:bCs/>
          <w:color w:val="auto"/>
          <w:sz w:val="28"/>
          <w:szCs w:val="28"/>
          <w:highlight w:val="none"/>
          <w:lang w:val="en-US" w:eastAsia="zh-CN"/>
        </w:rPr>
        <w:t>磋商</w:t>
      </w:r>
      <w:r>
        <w:rPr>
          <w:rFonts w:hint="eastAsia" w:ascii="仿宋" w:hAnsi="仿宋" w:eastAsia="仿宋"/>
          <w:bCs/>
          <w:color w:val="auto"/>
          <w:sz w:val="28"/>
          <w:szCs w:val="28"/>
          <w:highlight w:val="none"/>
        </w:rPr>
        <w:t>文件提供的需求，必须按</w:t>
      </w:r>
      <w:r>
        <w:rPr>
          <w:rFonts w:hint="eastAsia" w:ascii="仿宋" w:hAnsi="仿宋" w:eastAsia="仿宋"/>
          <w:bCs/>
          <w:color w:val="auto"/>
          <w:sz w:val="28"/>
          <w:szCs w:val="28"/>
          <w:highlight w:val="none"/>
          <w:lang w:val="en-US" w:eastAsia="zh-CN"/>
        </w:rPr>
        <w:t>磋商</w:t>
      </w:r>
      <w:r>
        <w:rPr>
          <w:rFonts w:hint="eastAsia" w:ascii="仿宋" w:hAnsi="仿宋" w:eastAsia="仿宋"/>
          <w:bCs/>
          <w:color w:val="auto"/>
          <w:sz w:val="28"/>
          <w:szCs w:val="28"/>
          <w:highlight w:val="none"/>
        </w:rPr>
        <w:t>文件技术规格逐项作出实质性应答，如照搬照抄项目需求中的技术的，</w:t>
      </w:r>
      <w:r>
        <w:rPr>
          <w:rFonts w:hint="eastAsia" w:ascii="仿宋" w:hAnsi="仿宋" w:eastAsia="仿宋"/>
          <w:bCs/>
          <w:color w:val="auto"/>
          <w:sz w:val="28"/>
          <w:szCs w:val="28"/>
          <w:highlight w:val="none"/>
          <w:lang w:val="en-US" w:eastAsia="zh-CN"/>
        </w:rPr>
        <w:t>成交</w:t>
      </w:r>
      <w:r>
        <w:rPr>
          <w:rFonts w:hint="eastAsia" w:ascii="仿宋" w:hAnsi="仿宋" w:eastAsia="仿宋"/>
          <w:bCs/>
          <w:color w:val="auto"/>
          <w:sz w:val="28"/>
          <w:szCs w:val="28"/>
          <w:highlight w:val="none"/>
        </w:rPr>
        <w:t>后成交人在同采购人签订合同和履约环节中不得提出异议，一切后果和损失由成交人承担。</w:t>
      </w:r>
    </w:p>
    <w:p>
      <w:pPr>
        <w:spacing w:line="500" w:lineRule="exact"/>
        <w:ind w:firstLine="560" w:firstLineChars="200"/>
        <w:rPr>
          <w:rFonts w:hint="eastAsia" w:ascii="仿宋" w:hAnsi="仿宋" w:eastAsia="仿宋"/>
          <w:bCs/>
          <w:color w:val="auto"/>
          <w:sz w:val="28"/>
          <w:szCs w:val="28"/>
          <w:highlight w:val="none"/>
        </w:rPr>
      </w:pPr>
      <w:r>
        <w:rPr>
          <w:rFonts w:hint="eastAsia" w:ascii="仿宋" w:hAnsi="仿宋" w:eastAsia="仿宋"/>
          <w:bCs/>
          <w:color w:val="auto"/>
          <w:sz w:val="28"/>
          <w:szCs w:val="28"/>
          <w:highlight w:val="none"/>
        </w:rPr>
        <w:t>（二）成交人须明确所投设备的生产厂家、品牌、型号、规格和外形、尺寸等。</w:t>
      </w:r>
    </w:p>
    <w:p>
      <w:pPr>
        <w:spacing w:line="500" w:lineRule="exact"/>
        <w:ind w:firstLine="560" w:firstLineChars="200"/>
        <w:rPr>
          <w:rFonts w:hint="eastAsia" w:ascii="仿宋" w:hAnsi="仿宋" w:eastAsia="仿宋"/>
          <w:bCs/>
          <w:color w:val="auto"/>
          <w:sz w:val="28"/>
          <w:szCs w:val="28"/>
          <w:highlight w:val="none"/>
        </w:rPr>
      </w:pPr>
      <w:r>
        <w:rPr>
          <w:rFonts w:hint="eastAsia" w:ascii="仿宋" w:hAnsi="仿宋" w:eastAsia="仿宋"/>
          <w:bCs/>
          <w:color w:val="auto"/>
          <w:sz w:val="28"/>
          <w:szCs w:val="28"/>
          <w:highlight w:val="none"/>
        </w:rPr>
        <w:t>（三）成交人应保证货物是全新、未使用过的原厂合格产品，并完全符合招标文件规定的质量、规格和参数的要求。验收过程中发现产品不符合上述要求的，将视作不合格产品，采购人有权终止合同，造成的一切损失由成交人承担。</w:t>
      </w:r>
    </w:p>
    <w:p>
      <w:pPr>
        <w:spacing w:line="500" w:lineRule="exact"/>
        <w:ind w:firstLine="560" w:firstLineChars="200"/>
        <w:rPr>
          <w:rFonts w:hint="eastAsia" w:ascii="仿宋" w:hAnsi="仿宋" w:eastAsia="仿宋"/>
          <w:bCs/>
          <w:color w:val="auto"/>
          <w:sz w:val="28"/>
          <w:szCs w:val="28"/>
          <w:highlight w:val="none"/>
        </w:rPr>
      </w:pPr>
      <w:r>
        <w:rPr>
          <w:rFonts w:hint="eastAsia" w:ascii="仿宋" w:hAnsi="仿宋" w:eastAsia="仿宋"/>
          <w:bCs/>
          <w:color w:val="auto"/>
          <w:sz w:val="28"/>
          <w:szCs w:val="28"/>
          <w:highlight w:val="none"/>
        </w:rPr>
        <w:t>（四）成交人应保证提供的产品不得侵犯第三方专利权、商标权和设计权、版权等。否则，成交人应负全部责任，并承担由此引起的一切后果。</w:t>
      </w:r>
    </w:p>
    <w:p>
      <w:pPr>
        <w:spacing w:line="500" w:lineRule="exact"/>
        <w:ind w:firstLine="560" w:firstLineChars="200"/>
        <w:rPr>
          <w:rFonts w:hint="eastAsia" w:ascii="仿宋" w:hAnsi="仿宋" w:eastAsia="仿宋"/>
          <w:bCs/>
          <w:color w:val="auto"/>
          <w:sz w:val="28"/>
          <w:szCs w:val="28"/>
          <w:highlight w:val="none"/>
        </w:rPr>
      </w:pPr>
      <w:r>
        <w:rPr>
          <w:rFonts w:hint="eastAsia" w:ascii="仿宋" w:hAnsi="仿宋" w:eastAsia="仿宋"/>
          <w:bCs/>
          <w:color w:val="auto"/>
          <w:sz w:val="28"/>
          <w:szCs w:val="28"/>
          <w:highlight w:val="none"/>
        </w:rPr>
        <w:t>（五）成交人应保证其货物在正确安装、正常使用下，在其使用寿命期内应具有满意的性能</w:t>
      </w:r>
      <w:r>
        <w:rPr>
          <w:rFonts w:hint="eastAsia" w:ascii="仿宋" w:hAnsi="仿宋" w:eastAsia="仿宋"/>
          <w:color w:val="auto"/>
          <w:sz w:val="28"/>
          <w:szCs w:val="28"/>
          <w:highlight w:val="none"/>
        </w:rPr>
        <w:t>。</w:t>
      </w:r>
    </w:p>
    <w:p>
      <w:pPr>
        <w:spacing w:line="500" w:lineRule="exact"/>
        <w:ind w:firstLine="560" w:firstLineChars="200"/>
        <w:rPr>
          <w:rFonts w:hint="eastAsia" w:ascii="仿宋" w:hAnsi="仿宋" w:eastAsia="仿宋"/>
          <w:bCs/>
          <w:color w:val="auto"/>
          <w:sz w:val="28"/>
          <w:szCs w:val="28"/>
          <w:highlight w:val="none"/>
        </w:rPr>
      </w:pPr>
      <w:r>
        <w:rPr>
          <w:rFonts w:hint="eastAsia" w:ascii="仿宋" w:hAnsi="仿宋" w:eastAsia="仿宋"/>
          <w:bCs/>
          <w:color w:val="auto"/>
          <w:sz w:val="28"/>
          <w:szCs w:val="28"/>
          <w:highlight w:val="none"/>
        </w:rPr>
        <w:t>（六）成交人应采取必要的安全措施保证货物的运输及安装的安全，并承担货物的运输及安装过程中产生的风险。</w:t>
      </w:r>
    </w:p>
    <w:p>
      <w:pPr>
        <w:spacing w:line="500" w:lineRule="exact"/>
        <w:ind w:firstLine="560" w:firstLineChars="200"/>
        <w:rPr>
          <w:rFonts w:hint="eastAsia" w:ascii="仿宋" w:hAnsi="仿宋" w:eastAsia="仿宋"/>
          <w:bCs/>
          <w:color w:val="auto"/>
          <w:sz w:val="28"/>
          <w:szCs w:val="28"/>
          <w:highlight w:val="none"/>
        </w:rPr>
      </w:pPr>
      <w:r>
        <w:rPr>
          <w:rFonts w:hint="eastAsia" w:ascii="仿宋" w:hAnsi="仿宋" w:eastAsia="仿宋"/>
          <w:bCs/>
          <w:color w:val="auto"/>
          <w:sz w:val="28"/>
          <w:szCs w:val="28"/>
          <w:highlight w:val="none"/>
        </w:rPr>
        <w:t>（七）所有成交产品的技术标准按国家标准执行，无国家标准的，按行业标准执行，无国家和行业标准的，按企业标准执行；但在采购文件中有特别要求的，按采购文件中规定的要求执行，并且符合相关法律、法规规定的要求。</w:t>
      </w:r>
    </w:p>
    <w:p>
      <w:pPr>
        <w:spacing w:line="500" w:lineRule="exact"/>
        <w:ind w:firstLine="560" w:firstLineChars="200"/>
        <w:rPr>
          <w:rFonts w:hint="eastAsia" w:ascii="仿宋" w:hAnsi="仿宋" w:eastAsia="仿宋"/>
          <w:bCs/>
          <w:color w:val="auto"/>
          <w:sz w:val="28"/>
          <w:szCs w:val="28"/>
          <w:highlight w:val="none"/>
        </w:rPr>
      </w:pPr>
      <w:r>
        <w:rPr>
          <w:rFonts w:hint="eastAsia" w:ascii="仿宋" w:hAnsi="仿宋" w:eastAsia="仿宋"/>
          <w:bCs/>
          <w:color w:val="auto"/>
          <w:sz w:val="28"/>
          <w:szCs w:val="28"/>
          <w:highlight w:val="none"/>
        </w:rPr>
        <w:t>（八）成交人必须保证所提供的产品符合国家相应质量要求，供货时必须随产品提供出厂材料，包括但不限于检验报告（复印件）、产品合格证（原件）以及设备的测试、运行、保养手册。</w:t>
      </w:r>
    </w:p>
    <w:p>
      <w:pPr>
        <w:spacing w:line="500" w:lineRule="exact"/>
        <w:ind w:firstLine="560" w:firstLineChars="200"/>
        <w:rPr>
          <w:rFonts w:hint="eastAsia" w:ascii="仿宋" w:hAnsi="仿宋" w:eastAsia="仿宋"/>
          <w:bCs/>
          <w:color w:val="auto"/>
          <w:sz w:val="28"/>
          <w:szCs w:val="28"/>
          <w:highlight w:val="none"/>
        </w:rPr>
      </w:pPr>
      <w:r>
        <w:rPr>
          <w:rFonts w:hint="eastAsia" w:ascii="仿宋" w:hAnsi="仿宋" w:eastAsia="仿宋"/>
          <w:bCs/>
          <w:color w:val="auto"/>
          <w:sz w:val="28"/>
          <w:szCs w:val="28"/>
          <w:highlight w:val="none"/>
        </w:rPr>
        <w:t>（九）成交人所供货物最终验收后，成交人应对由于设计、工艺或材料的缺陷而发生的任何不足或故障负责，并承担由此引起的一切后果。</w:t>
      </w:r>
      <w:bookmarkEnd w:id="87"/>
    </w:p>
    <w:p>
      <w:pPr>
        <w:spacing w:line="500" w:lineRule="exact"/>
        <w:ind w:firstLine="560" w:firstLineChars="200"/>
        <w:rPr>
          <w:rFonts w:hint="eastAsia" w:ascii="黑体" w:hAnsi="黑体" w:eastAsia="黑体"/>
          <w:color w:val="auto"/>
          <w:sz w:val="28"/>
          <w:szCs w:val="28"/>
          <w:highlight w:val="none"/>
        </w:rPr>
      </w:pPr>
      <w:r>
        <w:rPr>
          <w:rFonts w:hint="eastAsia" w:ascii="仿宋" w:hAnsi="仿宋" w:eastAsia="仿宋"/>
          <w:color w:val="auto"/>
          <w:sz w:val="28"/>
          <w:szCs w:val="28"/>
          <w:highlight w:val="none"/>
        </w:rPr>
        <w:t>（十）所有成交产品的技术标准按国家标准执行，无国家标准的，按行业标准执行，无国家和行业标准的，按企业标准执行；但在采购文件中有特别要求的，按采购文件中规定的要求执行，并且符合相关法律、法规规定的要求。</w:t>
      </w:r>
    </w:p>
    <w:p>
      <w:pPr>
        <w:spacing w:line="500" w:lineRule="exact"/>
        <w:ind w:firstLine="560" w:firstLineChars="200"/>
        <w:outlineLvl w:val="1"/>
        <w:rPr>
          <w:rFonts w:hint="eastAsia" w:ascii="黑体" w:hAnsi="黑体" w:eastAsia="黑体"/>
          <w:color w:val="auto"/>
          <w:sz w:val="28"/>
          <w:szCs w:val="28"/>
          <w:highlight w:val="none"/>
        </w:rPr>
      </w:pPr>
      <w:r>
        <w:rPr>
          <w:rFonts w:hint="eastAsia" w:ascii="黑体" w:hAnsi="黑体" w:eastAsia="黑体"/>
          <w:color w:val="auto"/>
          <w:sz w:val="28"/>
          <w:szCs w:val="28"/>
          <w:highlight w:val="none"/>
        </w:rPr>
        <w:t>五、交货或者服务期限和地点</w:t>
      </w:r>
      <w:bookmarkEnd w:id="88"/>
      <w:bookmarkEnd w:id="89"/>
      <w:bookmarkEnd w:id="90"/>
      <w:bookmarkEnd w:id="91"/>
    </w:p>
    <w:p>
      <w:pPr>
        <w:spacing w:line="440" w:lineRule="exact"/>
        <w:ind w:firstLine="560" w:firstLineChars="200"/>
        <w:outlineLvl w:val="9"/>
        <w:rPr>
          <w:rFonts w:hint="eastAsia" w:ascii="仿宋" w:hAnsi="仿宋" w:eastAsia="仿宋"/>
          <w:color w:val="auto"/>
          <w:sz w:val="28"/>
          <w:szCs w:val="28"/>
          <w:highlight w:val="none"/>
        </w:rPr>
      </w:pPr>
      <w:bookmarkStart w:id="92" w:name="_Toc25122"/>
      <w:bookmarkStart w:id="93" w:name="_Toc31287"/>
      <w:bookmarkStart w:id="94" w:name="_Toc3672"/>
      <w:r>
        <w:rPr>
          <w:rFonts w:hint="eastAsia" w:ascii="仿宋" w:hAnsi="仿宋" w:eastAsia="仿宋"/>
          <w:color w:val="auto"/>
          <w:sz w:val="28"/>
          <w:szCs w:val="28"/>
          <w:highlight w:val="none"/>
        </w:rPr>
        <w:t>交货或者服务期限：自合同签订之日起 30 日历天内，具体时间以采购人通知为准。</w:t>
      </w:r>
    </w:p>
    <w:p>
      <w:pPr>
        <w:spacing w:line="500" w:lineRule="exact"/>
        <w:ind w:firstLine="490" w:firstLineChars="175"/>
        <w:rPr>
          <w:rFonts w:ascii="仿宋" w:hAnsi="仿宋" w:eastAsia="仿宋"/>
          <w:color w:val="auto"/>
          <w:sz w:val="28"/>
          <w:szCs w:val="28"/>
          <w:highlight w:val="none"/>
        </w:rPr>
      </w:pPr>
      <w:r>
        <w:rPr>
          <w:rFonts w:hint="eastAsia" w:ascii="仿宋" w:hAnsi="仿宋" w:eastAsia="仿宋"/>
          <w:color w:val="auto"/>
          <w:sz w:val="28"/>
          <w:szCs w:val="28"/>
          <w:highlight w:val="none"/>
        </w:rPr>
        <w:t>地点：</w:t>
      </w:r>
      <w:r>
        <w:rPr>
          <w:rFonts w:hint="eastAsia" w:ascii="仿宋" w:hAnsi="仿宋" w:eastAsia="仿宋" w:cs="Times New Roman"/>
          <w:color w:val="auto"/>
          <w:sz w:val="28"/>
          <w:szCs w:val="28"/>
          <w:highlight w:val="none"/>
        </w:rPr>
        <w:t>采购人指定地点。</w:t>
      </w:r>
    </w:p>
    <w:p>
      <w:pPr>
        <w:spacing w:line="500" w:lineRule="exact"/>
        <w:ind w:firstLine="560" w:firstLineChars="200"/>
        <w:outlineLvl w:val="1"/>
        <w:rPr>
          <w:rFonts w:hint="eastAsia" w:ascii="黑体" w:hAnsi="黑体" w:eastAsia="黑体"/>
          <w:color w:val="auto"/>
          <w:sz w:val="28"/>
          <w:szCs w:val="28"/>
          <w:highlight w:val="none"/>
        </w:rPr>
      </w:pPr>
      <w:bookmarkStart w:id="95" w:name="_Toc31844"/>
      <w:r>
        <w:rPr>
          <w:rFonts w:hint="eastAsia" w:ascii="黑体" w:hAnsi="黑体" w:eastAsia="黑体"/>
          <w:color w:val="auto"/>
          <w:sz w:val="28"/>
          <w:szCs w:val="28"/>
          <w:highlight w:val="none"/>
        </w:rPr>
        <w:t>六、履约保证金</w:t>
      </w:r>
      <w:bookmarkEnd w:id="92"/>
      <w:bookmarkEnd w:id="93"/>
      <w:bookmarkEnd w:id="94"/>
      <w:bookmarkEnd w:id="95"/>
    </w:p>
    <w:p>
      <w:pPr>
        <w:spacing w:line="500" w:lineRule="exact"/>
        <w:ind w:firstLine="560" w:firstLineChars="200"/>
        <w:rPr>
          <w:rFonts w:ascii="仿宋" w:hAnsi="仿宋" w:eastAsia="仿宋"/>
          <w:color w:val="auto"/>
          <w:sz w:val="28"/>
          <w:szCs w:val="28"/>
          <w:highlight w:val="none"/>
        </w:rPr>
      </w:pPr>
      <w:bookmarkStart w:id="96" w:name="_Toc18697"/>
      <w:r>
        <w:rPr>
          <w:rFonts w:hint="eastAsia" w:ascii="仿宋" w:hAnsi="仿宋" w:eastAsia="仿宋"/>
          <w:color w:val="auto"/>
          <w:sz w:val="28"/>
          <w:szCs w:val="28"/>
          <w:highlight w:val="none"/>
        </w:rPr>
        <w:t>（一）中标（成交）通知书发出后7个工作日内，成交单位按照成交金额</w:t>
      </w:r>
      <w:r>
        <w:rPr>
          <w:rFonts w:hint="eastAsia" w:ascii="仿宋" w:hAnsi="仿宋" w:eastAsia="仿宋"/>
          <w:color w:val="auto"/>
          <w:sz w:val="28"/>
          <w:szCs w:val="28"/>
          <w:highlight w:val="none"/>
          <w:lang w:val="en-US" w:eastAsia="zh-CN"/>
        </w:rPr>
        <w:t>10</w:t>
      </w:r>
      <w:r>
        <w:rPr>
          <w:rFonts w:hint="eastAsia" w:ascii="仿宋" w:hAnsi="仿宋" w:eastAsia="仿宋"/>
          <w:color w:val="auto"/>
          <w:sz w:val="28"/>
          <w:szCs w:val="28"/>
          <w:highlight w:val="none"/>
        </w:rPr>
        <w:t>%向采购单位缴纳履约保证金并签订合同；履约验收完毕后，采购人退还履约保证金</w:t>
      </w:r>
      <w:r>
        <w:rPr>
          <w:rFonts w:hint="eastAsia" w:ascii="仿宋" w:hAnsi="仿宋" w:eastAsia="仿宋"/>
          <w:color w:val="auto"/>
          <w:sz w:val="28"/>
          <w:szCs w:val="28"/>
          <w:highlight w:val="none"/>
          <w:lang w:eastAsia="zh-CN"/>
        </w:rPr>
        <w:t>。</w:t>
      </w:r>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（二）履约保证金由供应商与采购人协商，自主选择以支票、汇票、本票、保函等非现金形式缴纳或提交。</w:t>
      </w:r>
    </w:p>
    <w:p>
      <w:pPr>
        <w:spacing w:line="500" w:lineRule="exact"/>
        <w:ind w:firstLine="560" w:firstLineChars="200"/>
        <w:outlineLvl w:val="1"/>
        <w:rPr>
          <w:rFonts w:hint="eastAsia" w:ascii="黑体" w:hAnsi="黑体" w:eastAsia="黑体"/>
          <w:color w:val="auto"/>
          <w:sz w:val="28"/>
          <w:szCs w:val="28"/>
          <w:highlight w:val="none"/>
        </w:rPr>
      </w:pPr>
      <w:bookmarkStart w:id="97" w:name="_Toc14279"/>
      <w:bookmarkStart w:id="98" w:name="_Toc27606"/>
      <w:bookmarkStart w:id="99" w:name="_Toc25406"/>
      <w:r>
        <w:rPr>
          <w:rFonts w:hint="eastAsia" w:ascii="黑体" w:hAnsi="黑体" w:eastAsia="黑体"/>
          <w:color w:val="auto"/>
          <w:sz w:val="28"/>
          <w:szCs w:val="28"/>
          <w:highlight w:val="none"/>
        </w:rPr>
        <w:t>七、验收或者考核方案</w:t>
      </w:r>
      <w:bookmarkEnd w:id="96"/>
      <w:bookmarkEnd w:id="97"/>
      <w:bookmarkEnd w:id="98"/>
      <w:bookmarkEnd w:id="99"/>
    </w:p>
    <w:p>
      <w:pPr>
        <w:spacing w:line="500" w:lineRule="exact"/>
        <w:ind w:firstLine="560" w:firstLineChars="200"/>
        <w:rPr>
          <w:rFonts w:ascii="仿宋" w:hAnsi="仿宋" w:eastAsia="仿宋"/>
          <w:color w:val="auto"/>
          <w:sz w:val="28"/>
          <w:szCs w:val="28"/>
          <w:highlight w:val="none"/>
        </w:rPr>
      </w:pPr>
      <w:bookmarkStart w:id="100" w:name="_Toc27875"/>
      <w:bookmarkStart w:id="101" w:name="_Toc30669"/>
      <w:bookmarkStart w:id="102" w:name="_Toc25117"/>
      <w:bookmarkStart w:id="103" w:name="_Toc31005"/>
      <w:r>
        <w:rPr>
          <w:rFonts w:hint="eastAsia" w:ascii="仿宋" w:hAnsi="仿宋" w:eastAsia="仿宋"/>
          <w:color w:val="auto"/>
          <w:sz w:val="28"/>
          <w:szCs w:val="28"/>
          <w:highlight w:val="none"/>
        </w:rPr>
        <w:t>（一）交付验收标准依次序对照适用标准为：</w:t>
      </w:r>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1.符合中华人民共和国国家安全质量标准、环保标准或行业标准；</w:t>
      </w:r>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2.符合采购文件中技术参数及各项配置要求等；</w:t>
      </w:r>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3.货物来源国家官方标准。</w:t>
      </w:r>
    </w:p>
    <w:p>
      <w:pPr>
        <w:spacing w:line="440" w:lineRule="exact"/>
        <w:ind w:firstLine="560" w:firstLineChars="200"/>
        <w:outlineLvl w:val="0"/>
        <w:rPr>
          <w:rFonts w:ascii="仿宋" w:hAnsi="仿宋" w:eastAsia="仿宋"/>
          <w:color w:val="auto"/>
          <w:sz w:val="28"/>
          <w:szCs w:val="28"/>
          <w:highlight w:val="none"/>
        </w:rPr>
      </w:pPr>
      <w:r>
        <w:rPr>
          <w:rFonts w:hint="eastAsia" w:ascii="仿宋" w:hAnsi="仿宋" w:eastAsia="仿宋"/>
          <w:color w:val="auto"/>
          <w:sz w:val="28"/>
          <w:szCs w:val="28"/>
          <w:highlight w:val="none"/>
        </w:rPr>
        <w:t>（二）在接到</w:t>
      </w:r>
      <w:r>
        <w:rPr>
          <w:rFonts w:hint="eastAsia" w:ascii="仿宋" w:hAnsi="仿宋" w:eastAsia="仿宋"/>
          <w:color w:val="auto"/>
          <w:sz w:val="28"/>
          <w:szCs w:val="28"/>
          <w:highlight w:val="none"/>
          <w:lang w:val="en-US" w:eastAsia="zh-CN"/>
        </w:rPr>
        <w:t>成交</w:t>
      </w:r>
      <w:r>
        <w:rPr>
          <w:rFonts w:hint="eastAsia" w:ascii="仿宋" w:hAnsi="仿宋" w:eastAsia="仿宋"/>
          <w:color w:val="auto"/>
          <w:sz w:val="28"/>
          <w:szCs w:val="28"/>
          <w:highlight w:val="none"/>
        </w:rPr>
        <w:t>人以书面形式提出验收申请后，</w:t>
      </w:r>
      <w:r>
        <w:rPr>
          <w:rFonts w:hint="eastAsia" w:ascii="仿宋" w:hAnsi="仿宋" w:eastAsia="仿宋"/>
          <w:color w:val="auto"/>
          <w:sz w:val="28"/>
          <w:szCs w:val="28"/>
          <w:highlight w:val="none"/>
          <w:lang w:val="en-US" w:eastAsia="zh-CN"/>
        </w:rPr>
        <w:t>采购方</w:t>
      </w:r>
      <w:r>
        <w:rPr>
          <w:rFonts w:hint="eastAsia" w:ascii="仿宋" w:hAnsi="仿宋" w:eastAsia="仿宋"/>
          <w:color w:val="auto"/>
          <w:sz w:val="28"/>
          <w:szCs w:val="28"/>
          <w:highlight w:val="none"/>
        </w:rPr>
        <w:t>及时组织相关专业技术人员进行验收，验收应在</w:t>
      </w:r>
      <w:r>
        <w:rPr>
          <w:rFonts w:hint="eastAsia" w:ascii="仿宋" w:hAnsi="仿宋" w:eastAsia="仿宋"/>
          <w:color w:val="auto"/>
          <w:sz w:val="28"/>
          <w:szCs w:val="28"/>
          <w:highlight w:val="none"/>
          <w:lang w:val="en-US" w:eastAsia="zh-CN"/>
        </w:rPr>
        <w:t>采购</w:t>
      </w:r>
      <w:r>
        <w:rPr>
          <w:rFonts w:hint="eastAsia" w:ascii="仿宋" w:hAnsi="仿宋" w:eastAsia="仿宋"/>
          <w:color w:val="auto"/>
          <w:sz w:val="28"/>
          <w:szCs w:val="28"/>
          <w:highlight w:val="none"/>
        </w:rPr>
        <w:t>人和</w:t>
      </w:r>
      <w:r>
        <w:rPr>
          <w:rFonts w:hint="eastAsia" w:ascii="仿宋" w:hAnsi="仿宋" w:eastAsia="仿宋"/>
          <w:color w:val="auto"/>
          <w:sz w:val="28"/>
          <w:szCs w:val="28"/>
          <w:highlight w:val="none"/>
          <w:lang w:val="en-US" w:eastAsia="zh-CN"/>
        </w:rPr>
        <w:t>成交</w:t>
      </w:r>
      <w:r>
        <w:rPr>
          <w:rFonts w:hint="eastAsia" w:ascii="仿宋" w:hAnsi="仿宋" w:eastAsia="仿宋"/>
          <w:color w:val="auto"/>
          <w:sz w:val="28"/>
          <w:szCs w:val="28"/>
          <w:highlight w:val="none"/>
        </w:rPr>
        <w:t>人双方共同参加下进行。必要时邀请相关部门共同参与验收，并出具验收报告，作为支付货款的依据。</w:t>
      </w:r>
    </w:p>
    <w:p>
      <w:pPr>
        <w:spacing w:line="500" w:lineRule="exact"/>
        <w:ind w:firstLine="560" w:firstLineChars="200"/>
        <w:outlineLvl w:val="1"/>
        <w:rPr>
          <w:rFonts w:hint="eastAsia" w:ascii="黑体" w:hAnsi="黑体" w:eastAsia="黑体"/>
          <w:color w:val="auto"/>
          <w:sz w:val="28"/>
          <w:szCs w:val="28"/>
          <w:highlight w:val="none"/>
        </w:rPr>
      </w:pPr>
      <w:r>
        <w:rPr>
          <w:rFonts w:hint="eastAsia" w:ascii="黑体" w:hAnsi="黑体" w:eastAsia="黑体"/>
          <w:color w:val="auto"/>
          <w:sz w:val="28"/>
          <w:szCs w:val="28"/>
          <w:highlight w:val="none"/>
        </w:rPr>
        <w:t>八、质量保证期限</w:t>
      </w:r>
      <w:bookmarkEnd w:id="100"/>
      <w:bookmarkEnd w:id="101"/>
      <w:bookmarkEnd w:id="102"/>
      <w:bookmarkEnd w:id="103"/>
    </w:p>
    <w:p>
      <w:pPr>
        <w:spacing w:line="500" w:lineRule="exact"/>
        <w:ind w:firstLine="560" w:firstLineChars="200"/>
        <w:rPr>
          <w:rFonts w:hint="eastAsia" w:ascii="黑体" w:hAnsi="黑体" w:eastAsia="黑体"/>
          <w:color w:val="auto"/>
          <w:sz w:val="28"/>
          <w:szCs w:val="28"/>
          <w:highlight w:val="none"/>
        </w:rPr>
      </w:pPr>
      <w:r>
        <w:rPr>
          <w:rFonts w:hint="eastAsia" w:ascii="仿宋" w:hAnsi="仿宋" w:eastAsia="仿宋"/>
          <w:color w:val="auto"/>
          <w:sz w:val="28"/>
          <w:szCs w:val="28"/>
          <w:highlight w:val="none"/>
        </w:rPr>
        <w:t>自验收合格之日起计</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u w:val="single"/>
          <w:lang w:val="en-US" w:eastAsia="zh-CN"/>
        </w:rPr>
        <w:t>贰</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年</w:t>
      </w:r>
      <w:r>
        <w:rPr>
          <w:rFonts w:hint="eastAsia" w:ascii="仿宋" w:hAnsi="仿宋" w:eastAsia="仿宋"/>
          <w:color w:val="auto"/>
          <w:sz w:val="28"/>
          <w:szCs w:val="28"/>
          <w:highlight w:val="none"/>
          <w:lang w:eastAsia="zh-CN"/>
        </w:rPr>
        <w:t>（</w:t>
      </w:r>
      <w:r>
        <w:rPr>
          <w:rFonts w:hint="eastAsia" w:ascii="仿宋" w:hAnsi="仿宋" w:eastAsia="仿宋"/>
          <w:color w:val="auto"/>
          <w:sz w:val="28"/>
          <w:szCs w:val="28"/>
          <w:highlight w:val="none"/>
          <w:lang w:val="en-US" w:eastAsia="zh-CN"/>
        </w:rPr>
        <w:t>整机</w:t>
      </w:r>
      <w:r>
        <w:rPr>
          <w:rFonts w:hint="eastAsia" w:ascii="仿宋" w:hAnsi="仿宋" w:eastAsia="仿宋"/>
          <w:color w:val="auto"/>
          <w:sz w:val="28"/>
          <w:szCs w:val="28"/>
          <w:highlight w:val="none"/>
          <w:lang w:eastAsia="zh-CN"/>
        </w:rPr>
        <w:t>）</w:t>
      </w:r>
      <w:r>
        <w:rPr>
          <w:rFonts w:hint="eastAsia" w:ascii="仿宋" w:hAnsi="仿宋" w:eastAsia="仿宋"/>
          <w:color w:val="auto"/>
          <w:sz w:val="28"/>
          <w:szCs w:val="28"/>
          <w:highlight w:val="none"/>
        </w:rPr>
        <w:t>。</w:t>
      </w:r>
    </w:p>
    <w:p>
      <w:pPr>
        <w:spacing w:line="500" w:lineRule="exact"/>
        <w:ind w:firstLine="560" w:firstLineChars="200"/>
        <w:outlineLvl w:val="1"/>
        <w:rPr>
          <w:rFonts w:hint="eastAsia" w:ascii="黑体" w:hAnsi="黑体" w:eastAsia="黑体"/>
          <w:color w:val="auto"/>
          <w:sz w:val="28"/>
          <w:szCs w:val="28"/>
          <w:highlight w:val="none"/>
        </w:rPr>
      </w:pPr>
      <w:bookmarkStart w:id="104" w:name="_Toc5814"/>
      <w:bookmarkStart w:id="105" w:name="_Toc11524"/>
      <w:bookmarkStart w:id="106" w:name="_Toc29986"/>
      <w:bookmarkStart w:id="107" w:name="_Toc5286"/>
      <w:r>
        <w:rPr>
          <w:rFonts w:hint="eastAsia" w:ascii="黑体" w:hAnsi="黑体" w:eastAsia="黑体"/>
          <w:color w:val="auto"/>
          <w:sz w:val="28"/>
          <w:szCs w:val="28"/>
          <w:highlight w:val="none"/>
        </w:rPr>
        <w:t>九、售后服务</w:t>
      </w:r>
      <w:bookmarkEnd w:id="104"/>
      <w:bookmarkEnd w:id="105"/>
      <w:bookmarkEnd w:id="106"/>
      <w:bookmarkEnd w:id="107"/>
    </w:p>
    <w:p>
      <w:pPr>
        <w:spacing w:line="500" w:lineRule="exact"/>
        <w:ind w:firstLine="560" w:firstLineChars="200"/>
        <w:rPr>
          <w:rFonts w:ascii="仿宋" w:hAnsi="仿宋" w:eastAsia="仿宋"/>
          <w:color w:val="auto"/>
          <w:sz w:val="28"/>
          <w:szCs w:val="28"/>
          <w:highlight w:val="none"/>
        </w:rPr>
      </w:pPr>
      <w:bookmarkStart w:id="108" w:name="_Toc13109"/>
      <w:bookmarkStart w:id="109" w:name="_Toc23608"/>
      <w:bookmarkStart w:id="110" w:name="_Toc4667"/>
      <w:r>
        <w:rPr>
          <w:rFonts w:hint="eastAsia" w:ascii="仿宋" w:hAnsi="仿宋" w:eastAsia="仿宋"/>
          <w:color w:val="auto"/>
          <w:sz w:val="28"/>
          <w:szCs w:val="28"/>
          <w:highlight w:val="none"/>
        </w:rPr>
        <w:t>（一）所有设备均由</w:t>
      </w:r>
      <w:r>
        <w:rPr>
          <w:rFonts w:hint="eastAsia" w:ascii="仿宋" w:hAnsi="仿宋" w:eastAsia="仿宋"/>
          <w:color w:val="auto"/>
          <w:sz w:val="28"/>
          <w:szCs w:val="28"/>
          <w:highlight w:val="none"/>
          <w:lang w:eastAsia="zh-CN"/>
        </w:rPr>
        <w:t>成交人</w:t>
      </w:r>
      <w:r>
        <w:rPr>
          <w:rFonts w:hint="eastAsia" w:ascii="仿宋" w:hAnsi="仿宋" w:eastAsia="仿宋"/>
          <w:color w:val="auto"/>
          <w:sz w:val="28"/>
          <w:szCs w:val="28"/>
          <w:highlight w:val="none"/>
        </w:rPr>
        <w:t>免费送货上门并安装调试好。</w:t>
      </w:r>
      <w:r>
        <w:rPr>
          <w:rFonts w:hint="eastAsia" w:ascii="仿宋" w:hAnsi="仿宋" w:eastAsia="仿宋"/>
          <w:color w:val="auto"/>
          <w:sz w:val="28"/>
          <w:szCs w:val="28"/>
          <w:highlight w:val="none"/>
          <w:lang w:eastAsia="zh-CN"/>
        </w:rPr>
        <w:t>成交人</w:t>
      </w:r>
      <w:r>
        <w:rPr>
          <w:rFonts w:hint="eastAsia" w:ascii="仿宋" w:hAnsi="仿宋" w:eastAsia="仿宋"/>
          <w:color w:val="auto"/>
          <w:sz w:val="28"/>
          <w:szCs w:val="28"/>
          <w:highlight w:val="none"/>
        </w:rPr>
        <w:t>应对所投设备进行调试并对</w:t>
      </w:r>
      <w:r>
        <w:rPr>
          <w:rFonts w:hint="eastAsia" w:ascii="仿宋" w:hAnsi="仿宋" w:eastAsia="仿宋"/>
          <w:color w:val="auto"/>
          <w:sz w:val="28"/>
          <w:szCs w:val="28"/>
          <w:highlight w:val="none"/>
          <w:lang w:eastAsia="zh-CN"/>
        </w:rPr>
        <w:t>采购人</w:t>
      </w:r>
      <w:r>
        <w:rPr>
          <w:rFonts w:hint="eastAsia" w:ascii="仿宋" w:hAnsi="仿宋" w:eastAsia="仿宋"/>
          <w:color w:val="auto"/>
          <w:sz w:val="28"/>
          <w:szCs w:val="28"/>
          <w:highlight w:val="none"/>
        </w:rPr>
        <w:t>操作人员提供现场实地操作培训。</w:t>
      </w:r>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（二）在免费质保期内（</w:t>
      </w:r>
      <w:r>
        <w:rPr>
          <w:rFonts w:hint="eastAsia" w:ascii="仿宋" w:hAnsi="仿宋" w:eastAsia="仿宋"/>
          <w:color w:val="auto"/>
          <w:sz w:val="28"/>
          <w:szCs w:val="28"/>
          <w:highlight w:val="none"/>
          <w:lang w:val="en-US" w:eastAsia="zh-CN"/>
        </w:rPr>
        <w:t>2</w:t>
      </w:r>
      <w:r>
        <w:rPr>
          <w:rFonts w:hint="eastAsia" w:ascii="仿宋" w:hAnsi="仿宋" w:eastAsia="仿宋"/>
          <w:color w:val="auto"/>
          <w:sz w:val="28"/>
          <w:szCs w:val="28"/>
          <w:highlight w:val="none"/>
        </w:rPr>
        <w:t>年）设备发生非人为故障，</w:t>
      </w:r>
      <w:r>
        <w:rPr>
          <w:rFonts w:hint="eastAsia" w:ascii="仿宋" w:hAnsi="仿宋" w:eastAsia="仿宋"/>
          <w:color w:val="auto"/>
          <w:sz w:val="28"/>
          <w:szCs w:val="28"/>
          <w:highlight w:val="none"/>
          <w:lang w:eastAsia="zh-CN"/>
        </w:rPr>
        <w:t>成交人</w:t>
      </w:r>
      <w:r>
        <w:rPr>
          <w:rFonts w:hint="eastAsia" w:ascii="仿宋" w:hAnsi="仿宋" w:eastAsia="仿宋"/>
          <w:color w:val="auto"/>
          <w:sz w:val="28"/>
          <w:szCs w:val="28"/>
          <w:highlight w:val="none"/>
        </w:rPr>
        <w:t>应免费上门检修维修，免费更换零部件，并免费上门进行定期检查维护保养、解决用户在使用中出现的疑难。保修期内免费进行检修或更换零配件。</w:t>
      </w:r>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（三）在免费质保期内，</w:t>
      </w:r>
      <w:r>
        <w:rPr>
          <w:rFonts w:hint="eastAsia" w:ascii="仿宋" w:hAnsi="仿宋" w:eastAsia="仿宋"/>
          <w:color w:val="auto"/>
          <w:sz w:val="28"/>
          <w:szCs w:val="28"/>
          <w:highlight w:val="none"/>
          <w:lang w:eastAsia="zh-CN"/>
        </w:rPr>
        <w:t>成交人</w:t>
      </w:r>
      <w:r>
        <w:rPr>
          <w:rFonts w:hint="eastAsia" w:ascii="仿宋" w:hAnsi="仿宋" w:eastAsia="仿宋"/>
          <w:color w:val="auto"/>
          <w:sz w:val="28"/>
          <w:szCs w:val="28"/>
          <w:highlight w:val="none"/>
        </w:rPr>
        <w:t>接需方电话后半小时内响应，1 小时内答复，4～6 小时内到达现场维修，非</w:t>
      </w:r>
      <w:r>
        <w:rPr>
          <w:rFonts w:hint="eastAsia" w:ascii="仿宋" w:hAnsi="仿宋" w:eastAsia="仿宋"/>
          <w:color w:val="auto"/>
          <w:sz w:val="28"/>
          <w:szCs w:val="28"/>
          <w:highlight w:val="none"/>
          <w:lang w:eastAsia="zh-CN"/>
        </w:rPr>
        <w:t>采购人</w:t>
      </w:r>
      <w:r>
        <w:rPr>
          <w:rFonts w:hint="eastAsia" w:ascii="仿宋" w:hAnsi="仿宋" w:eastAsia="仿宋"/>
          <w:color w:val="auto"/>
          <w:sz w:val="28"/>
          <w:szCs w:val="28"/>
          <w:highlight w:val="none"/>
        </w:rPr>
        <w:t>为引起的故障一概由</w:t>
      </w:r>
      <w:r>
        <w:rPr>
          <w:rFonts w:hint="eastAsia" w:ascii="仿宋" w:hAnsi="仿宋" w:eastAsia="仿宋"/>
          <w:color w:val="auto"/>
          <w:sz w:val="28"/>
          <w:szCs w:val="28"/>
          <w:highlight w:val="none"/>
          <w:lang w:eastAsia="zh-CN"/>
        </w:rPr>
        <w:t>成交人</w:t>
      </w:r>
      <w:r>
        <w:rPr>
          <w:rFonts w:hint="eastAsia" w:ascii="仿宋" w:hAnsi="仿宋" w:eastAsia="仿宋"/>
          <w:color w:val="auto"/>
          <w:sz w:val="28"/>
          <w:szCs w:val="28"/>
          <w:highlight w:val="none"/>
        </w:rPr>
        <w:t>负责并承担一切费用，免费保修期内因维修所延误时间顺延免费保修期。</w:t>
      </w:r>
    </w:p>
    <w:p>
      <w:pPr>
        <w:spacing w:line="500" w:lineRule="exact"/>
        <w:ind w:firstLine="560" w:firstLineChars="200"/>
        <w:rPr>
          <w:rFonts w:hint="default" w:ascii="仿宋" w:hAnsi="仿宋" w:eastAsia="仿宋"/>
          <w:color w:val="auto"/>
          <w:sz w:val="28"/>
          <w:szCs w:val="28"/>
          <w:highlight w:val="none"/>
          <w:lang w:val="en-US" w:eastAsia="zh-CN"/>
        </w:rPr>
      </w:pPr>
      <w:r>
        <w:rPr>
          <w:rFonts w:hint="eastAsia" w:ascii="仿宋" w:hAnsi="仿宋" w:eastAsia="仿宋"/>
          <w:color w:val="auto"/>
          <w:sz w:val="28"/>
          <w:szCs w:val="28"/>
          <w:highlight w:val="none"/>
        </w:rPr>
        <w:t>（四）负责终身维修。质保期满后若设备出现故障，</w:t>
      </w:r>
      <w:r>
        <w:rPr>
          <w:rFonts w:hint="eastAsia" w:ascii="仿宋" w:hAnsi="仿宋" w:eastAsia="仿宋"/>
          <w:color w:val="auto"/>
          <w:sz w:val="28"/>
          <w:szCs w:val="28"/>
          <w:highlight w:val="none"/>
          <w:lang w:eastAsia="zh-CN"/>
        </w:rPr>
        <w:t>成交人</w:t>
      </w:r>
      <w:r>
        <w:rPr>
          <w:rFonts w:hint="eastAsia" w:ascii="仿宋" w:hAnsi="仿宋" w:eastAsia="仿宋"/>
          <w:color w:val="auto"/>
          <w:sz w:val="28"/>
          <w:szCs w:val="28"/>
          <w:highlight w:val="none"/>
        </w:rPr>
        <w:t>应在接到用户通知后 12 小时内派维修人员上门修理。</w:t>
      </w:r>
      <w:r>
        <w:rPr>
          <w:rFonts w:hint="eastAsia" w:ascii="仿宋" w:hAnsi="仿宋" w:eastAsia="仿宋"/>
          <w:color w:val="auto"/>
          <w:sz w:val="28"/>
          <w:szCs w:val="28"/>
          <w:highlight w:val="none"/>
          <w:lang w:eastAsia="zh-CN"/>
        </w:rPr>
        <w:t>成交人</w:t>
      </w:r>
      <w:r>
        <w:rPr>
          <w:rFonts w:hint="eastAsia" w:ascii="仿宋" w:hAnsi="仿宋" w:eastAsia="仿宋"/>
          <w:color w:val="auto"/>
          <w:sz w:val="28"/>
          <w:szCs w:val="28"/>
          <w:highlight w:val="none"/>
        </w:rPr>
        <w:t>终身按优惠价向用户提供用于维修、保养的配件。</w:t>
      </w:r>
    </w:p>
    <w:p>
      <w:pPr>
        <w:spacing w:line="500" w:lineRule="exact"/>
        <w:ind w:firstLine="560" w:firstLineChars="200"/>
        <w:outlineLvl w:val="1"/>
        <w:rPr>
          <w:rFonts w:hint="eastAsia" w:ascii="黑体" w:hAnsi="黑体" w:eastAsia="黑体"/>
          <w:color w:val="auto"/>
          <w:sz w:val="28"/>
          <w:szCs w:val="28"/>
          <w:highlight w:val="none"/>
        </w:rPr>
      </w:pPr>
      <w:bookmarkStart w:id="111" w:name="_Toc20344"/>
      <w:r>
        <w:rPr>
          <w:rFonts w:hint="eastAsia" w:ascii="黑体" w:hAnsi="黑体" w:eastAsia="黑体"/>
          <w:color w:val="auto"/>
          <w:sz w:val="28"/>
          <w:szCs w:val="28"/>
          <w:highlight w:val="none"/>
        </w:rPr>
        <w:t>十、付款方式</w:t>
      </w:r>
      <w:bookmarkEnd w:id="108"/>
      <w:bookmarkEnd w:id="109"/>
      <w:bookmarkEnd w:id="110"/>
      <w:bookmarkEnd w:id="111"/>
    </w:p>
    <w:p>
      <w:pPr>
        <w:spacing w:line="500" w:lineRule="exact"/>
        <w:ind w:firstLine="560" w:firstLineChars="200"/>
        <w:outlineLvl w:val="1"/>
        <w:rPr>
          <w:rFonts w:hint="eastAsia" w:ascii="仿宋" w:hAnsi="仿宋" w:eastAsia="仿宋"/>
          <w:b w:val="0"/>
          <w:bCs/>
          <w:color w:val="auto"/>
          <w:sz w:val="28"/>
          <w:szCs w:val="28"/>
          <w:highlight w:val="none"/>
          <w:lang w:eastAsia="zh-CN"/>
        </w:rPr>
      </w:pPr>
      <w:bookmarkStart w:id="112" w:name="_Toc5414"/>
      <w:bookmarkStart w:id="113" w:name="_Toc18960"/>
      <w:bookmarkStart w:id="114" w:name="_Toc29516"/>
      <w:bookmarkStart w:id="115" w:name="_Toc24090"/>
      <w:bookmarkStart w:id="116" w:name="_Toc26484"/>
      <w:r>
        <w:rPr>
          <w:rFonts w:hint="eastAsia" w:ascii="仿宋" w:hAnsi="仿宋" w:eastAsia="仿宋"/>
          <w:b w:val="0"/>
          <w:bCs/>
          <w:color w:val="auto"/>
          <w:sz w:val="28"/>
          <w:szCs w:val="28"/>
          <w:highlight w:val="none"/>
        </w:rPr>
        <w:t>完成供货</w:t>
      </w:r>
      <w:r>
        <w:rPr>
          <w:rFonts w:hint="eastAsia" w:ascii="仿宋" w:hAnsi="仿宋" w:eastAsia="仿宋"/>
          <w:b w:val="0"/>
          <w:bCs/>
          <w:color w:val="auto"/>
          <w:sz w:val="28"/>
          <w:szCs w:val="28"/>
          <w:highlight w:val="none"/>
          <w:lang w:val="en-US" w:eastAsia="zh-CN"/>
        </w:rPr>
        <w:t>和</w:t>
      </w:r>
      <w:r>
        <w:rPr>
          <w:rFonts w:hint="eastAsia" w:ascii="仿宋" w:hAnsi="仿宋" w:eastAsia="仿宋"/>
          <w:b w:val="0"/>
          <w:bCs/>
          <w:color w:val="auto"/>
          <w:sz w:val="28"/>
          <w:szCs w:val="28"/>
          <w:highlight w:val="none"/>
        </w:rPr>
        <w:t>调试</w:t>
      </w:r>
      <w:r>
        <w:rPr>
          <w:rFonts w:hint="eastAsia" w:ascii="仿宋" w:hAnsi="仿宋" w:eastAsia="仿宋"/>
          <w:b w:val="0"/>
          <w:bCs/>
          <w:color w:val="auto"/>
          <w:sz w:val="28"/>
          <w:szCs w:val="28"/>
          <w:highlight w:val="none"/>
          <w:lang w:val="en-US" w:eastAsia="zh-CN"/>
        </w:rPr>
        <w:t>且验收合格后</w:t>
      </w:r>
      <w:r>
        <w:rPr>
          <w:rFonts w:hint="eastAsia" w:ascii="仿宋" w:hAnsi="仿宋" w:eastAsia="仿宋"/>
          <w:b w:val="0"/>
          <w:bCs/>
          <w:color w:val="auto"/>
          <w:sz w:val="28"/>
          <w:szCs w:val="28"/>
          <w:highlight w:val="none"/>
        </w:rPr>
        <w:t>付合同</w:t>
      </w:r>
      <w:r>
        <w:rPr>
          <w:rFonts w:hint="eastAsia" w:ascii="仿宋" w:hAnsi="仿宋" w:eastAsia="仿宋"/>
          <w:b w:val="0"/>
          <w:bCs/>
          <w:color w:val="auto"/>
          <w:sz w:val="28"/>
          <w:szCs w:val="28"/>
          <w:highlight w:val="none"/>
          <w:lang w:val="en-US" w:eastAsia="zh-CN"/>
        </w:rPr>
        <w:t>金额</w:t>
      </w:r>
      <w:r>
        <w:rPr>
          <w:rFonts w:hint="eastAsia" w:ascii="仿宋" w:hAnsi="仿宋" w:eastAsia="仿宋"/>
          <w:b w:val="0"/>
          <w:bCs/>
          <w:color w:val="auto"/>
          <w:sz w:val="28"/>
          <w:szCs w:val="28"/>
          <w:highlight w:val="none"/>
        </w:rPr>
        <w:t>的</w:t>
      </w:r>
      <w:r>
        <w:rPr>
          <w:rFonts w:hint="eastAsia" w:ascii="仿宋" w:hAnsi="仿宋" w:eastAsia="仿宋"/>
          <w:b w:val="0"/>
          <w:bCs/>
          <w:color w:val="auto"/>
          <w:sz w:val="28"/>
          <w:szCs w:val="28"/>
          <w:highlight w:val="none"/>
          <w:lang w:val="en-US" w:eastAsia="zh-CN"/>
        </w:rPr>
        <w:t>6</w:t>
      </w:r>
      <w:r>
        <w:rPr>
          <w:rFonts w:hint="eastAsia" w:ascii="仿宋" w:hAnsi="仿宋" w:eastAsia="仿宋"/>
          <w:b w:val="0"/>
          <w:bCs/>
          <w:color w:val="auto"/>
          <w:sz w:val="28"/>
          <w:szCs w:val="28"/>
          <w:highlight w:val="none"/>
        </w:rPr>
        <w:t>0%，</w:t>
      </w:r>
      <w:r>
        <w:rPr>
          <w:rFonts w:hint="eastAsia" w:ascii="仿宋" w:hAnsi="仿宋" w:eastAsia="仿宋"/>
          <w:b w:val="0"/>
          <w:bCs/>
          <w:color w:val="auto"/>
          <w:sz w:val="28"/>
          <w:szCs w:val="28"/>
          <w:highlight w:val="none"/>
          <w:lang w:val="en-US" w:eastAsia="zh-CN"/>
        </w:rPr>
        <w:t>第二年农历年年底前支付</w:t>
      </w:r>
      <w:r>
        <w:rPr>
          <w:rFonts w:hint="eastAsia" w:ascii="仿宋" w:hAnsi="仿宋" w:eastAsia="仿宋"/>
          <w:b w:val="0"/>
          <w:bCs/>
          <w:color w:val="auto"/>
          <w:sz w:val="28"/>
          <w:szCs w:val="28"/>
          <w:highlight w:val="none"/>
        </w:rPr>
        <w:t>合同金额的</w:t>
      </w:r>
      <w:r>
        <w:rPr>
          <w:rFonts w:hint="eastAsia" w:ascii="仿宋" w:hAnsi="仿宋" w:eastAsia="仿宋"/>
          <w:b w:val="0"/>
          <w:bCs/>
          <w:color w:val="auto"/>
          <w:sz w:val="28"/>
          <w:szCs w:val="28"/>
          <w:highlight w:val="none"/>
          <w:lang w:val="en-US" w:eastAsia="zh-CN"/>
        </w:rPr>
        <w:t>2</w:t>
      </w:r>
      <w:r>
        <w:rPr>
          <w:rFonts w:hint="eastAsia" w:ascii="仿宋" w:hAnsi="仿宋" w:eastAsia="仿宋"/>
          <w:b w:val="0"/>
          <w:bCs/>
          <w:color w:val="auto"/>
          <w:sz w:val="28"/>
          <w:szCs w:val="28"/>
          <w:highlight w:val="none"/>
        </w:rPr>
        <w:t>0%；余款在</w:t>
      </w:r>
      <w:r>
        <w:rPr>
          <w:rFonts w:hint="eastAsia" w:ascii="仿宋" w:hAnsi="仿宋" w:eastAsia="仿宋"/>
          <w:b w:val="0"/>
          <w:bCs/>
          <w:color w:val="auto"/>
          <w:sz w:val="28"/>
          <w:szCs w:val="28"/>
          <w:highlight w:val="none"/>
          <w:lang w:val="en-US" w:eastAsia="zh-CN"/>
        </w:rPr>
        <w:t>贰年质保期满后</w:t>
      </w:r>
      <w:r>
        <w:rPr>
          <w:rFonts w:hint="eastAsia" w:ascii="仿宋" w:hAnsi="仿宋" w:eastAsia="仿宋"/>
          <w:b w:val="0"/>
          <w:bCs/>
          <w:color w:val="auto"/>
          <w:sz w:val="28"/>
          <w:szCs w:val="28"/>
          <w:highlight w:val="none"/>
        </w:rPr>
        <w:t>无质量问题一次性付清。</w:t>
      </w:r>
      <w:bookmarkEnd w:id="112"/>
      <w:r>
        <w:rPr>
          <w:rFonts w:hint="eastAsia" w:ascii="仿宋" w:hAnsi="仿宋" w:eastAsia="仿宋"/>
          <w:b w:val="0"/>
          <w:bCs/>
          <w:color w:val="auto"/>
          <w:sz w:val="28"/>
          <w:szCs w:val="28"/>
          <w:highlight w:val="none"/>
        </w:rPr>
        <w:t>支付前成交人均需全额开具正式税票</w:t>
      </w:r>
      <w:r>
        <w:rPr>
          <w:rFonts w:hint="eastAsia" w:ascii="仿宋" w:hAnsi="仿宋" w:eastAsia="仿宋"/>
          <w:b w:val="0"/>
          <w:bCs/>
          <w:color w:val="auto"/>
          <w:sz w:val="28"/>
          <w:szCs w:val="28"/>
          <w:highlight w:val="none"/>
          <w:lang w:eastAsia="zh-CN"/>
        </w:rPr>
        <w:t>。</w:t>
      </w:r>
    </w:p>
    <w:p>
      <w:pPr>
        <w:spacing w:line="500" w:lineRule="exact"/>
        <w:ind w:firstLine="560" w:firstLineChars="200"/>
        <w:outlineLvl w:val="1"/>
        <w:rPr>
          <w:rFonts w:hint="eastAsia" w:ascii="黑体" w:hAnsi="黑体" w:eastAsia="黑体"/>
          <w:color w:val="auto"/>
          <w:sz w:val="28"/>
          <w:szCs w:val="28"/>
          <w:highlight w:val="none"/>
        </w:rPr>
      </w:pPr>
      <w:r>
        <w:rPr>
          <w:rFonts w:hint="eastAsia" w:ascii="黑体" w:hAnsi="黑体" w:eastAsia="黑体"/>
          <w:color w:val="auto"/>
          <w:sz w:val="28"/>
          <w:szCs w:val="28"/>
          <w:highlight w:val="none"/>
        </w:rPr>
        <w:t>十一、报价要求</w:t>
      </w:r>
      <w:bookmarkEnd w:id="113"/>
      <w:bookmarkEnd w:id="114"/>
      <w:bookmarkEnd w:id="115"/>
      <w:bookmarkEnd w:id="116"/>
    </w:p>
    <w:p>
      <w:pPr>
        <w:spacing w:line="440" w:lineRule="exact"/>
        <w:ind w:firstLine="560" w:firstLineChars="200"/>
        <w:rPr>
          <w:rFonts w:hint="eastAsia" w:ascii="仿宋" w:hAnsi="仿宋" w:eastAsia="仿宋" w:cs="仿宋"/>
          <w:color w:val="auto"/>
          <w:sz w:val="28"/>
          <w:szCs w:val="28"/>
          <w:highlight w:val="none"/>
        </w:rPr>
      </w:pPr>
      <w:bookmarkStart w:id="117" w:name="_Toc12656"/>
      <w:bookmarkStart w:id="118" w:name="_Hlk40719431"/>
      <w:r>
        <w:rPr>
          <w:rFonts w:hint="eastAsia" w:ascii="仿宋" w:hAnsi="仿宋" w:eastAsia="仿宋" w:cs="仿宋"/>
          <w:color w:val="auto"/>
          <w:sz w:val="28"/>
          <w:szCs w:val="28"/>
          <w:highlight w:val="none"/>
        </w:rPr>
        <w:t>响应供应商报价时按照项目整体任务报总价，为完成本项目规定服务范围的全部工作需支付的一切费用，其应包括技术服务费、交通费、材料费、专家评审费、评审会务费、</w:t>
      </w:r>
      <w:bookmarkStart w:id="227" w:name="_GoBack"/>
      <w:bookmarkEnd w:id="227"/>
      <w:r>
        <w:rPr>
          <w:rFonts w:hint="eastAsia" w:ascii="仿宋" w:hAnsi="仿宋" w:eastAsia="仿宋" w:cs="仿宋"/>
          <w:color w:val="auto"/>
          <w:sz w:val="28"/>
          <w:szCs w:val="28"/>
          <w:highlight w:val="none"/>
        </w:rPr>
        <w:t>人员经费、招标代理费、税金、政策性文件规定及合同包含的所有风险、责任等各项应有费用。</w:t>
      </w:r>
    </w:p>
    <w:p>
      <w:pPr>
        <w:spacing w:line="500" w:lineRule="exact"/>
        <w:ind w:firstLine="560" w:firstLineChars="200"/>
        <w:outlineLvl w:val="1"/>
        <w:rPr>
          <w:rFonts w:hint="eastAsia" w:ascii="仿宋" w:hAnsi="仿宋" w:eastAsia="仿宋"/>
          <w:bCs/>
          <w:color w:val="auto"/>
          <w:sz w:val="28"/>
          <w:szCs w:val="28"/>
          <w:highlight w:val="none"/>
        </w:rPr>
      </w:pPr>
      <w:bookmarkStart w:id="119" w:name="_Toc18171"/>
      <w:r>
        <w:rPr>
          <w:rFonts w:hint="eastAsia" w:ascii="黑体" w:hAnsi="黑体" w:eastAsia="黑体"/>
          <w:color w:val="auto"/>
          <w:sz w:val="28"/>
          <w:szCs w:val="28"/>
          <w:highlight w:val="none"/>
        </w:rPr>
        <w:t>十二、其他要求</w:t>
      </w:r>
      <w:bookmarkEnd w:id="117"/>
      <w:bookmarkEnd w:id="119"/>
    </w:p>
    <w:bookmarkEnd w:id="118"/>
    <w:p>
      <w:pPr>
        <w:spacing w:line="500" w:lineRule="exact"/>
        <w:ind w:firstLine="560" w:firstLineChars="200"/>
        <w:rPr>
          <w:rFonts w:hint="eastAsia" w:ascii="仿宋" w:hAnsi="仿宋" w:eastAsia="仿宋"/>
          <w:bCs/>
          <w:color w:val="auto"/>
          <w:sz w:val="28"/>
          <w:szCs w:val="28"/>
          <w:highlight w:val="none"/>
        </w:rPr>
      </w:pPr>
      <w:r>
        <w:rPr>
          <w:rFonts w:hint="eastAsia" w:ascii="仿宋" w:hAnsi="仿宋" w:eastAsia="仿宋"/>
          <w:bCs/>
          <w:color w:val="auto"/>
          <w:sz w:val="28"/>
          <w:szCs w:val="28"/>
          <w:highlight w:val="none"/>
        </w:rPr>
        <w:t>（一）对本项目响应供应商资格要求、项目需求等的质疑由采购单位负责答复；采购单位具有项目的解释权，质疑函和答复由采购代理机构备案。</w:t>
      </w:r>
    </w:p>
    <w:p>
      <w:pPr>
        <w:spacing w:line="500" w:lineRule="exact"/>
        <w:ind w:firstLine="560" w:firstLineChars="200"/>
        <w:rPr>
          <w:rFonts w:hint="eastAsia" w:ascii="仿宋" w:hAnsi="仿宋" w:eastAsia="仿宋"/>
          <w:bCs/>
          <w:color w:val="auto"/>
          <w:sz w:val="28"/>
          <w:szCs w:val="28"/>
          <w:highlight w:val="none"/>
        </w:rPr>
      </w:pPr>
      <w:r>
        <w:rPr>
          <w:rFonts w:hint="eastAsia" w:ascii="仿宋" w:hAnsi="仿宋" w:eastAsia="仿宋"/>
          <w:bCs/>
          <w:color w:val="auto"/>
          <w:sz w:val="28"/>
          <w:szCs w:val="28"/>
          <w:highlight w:val="none"/>
        </w:rPr>
        <w:t>（二）响应供应商对采购文件有疑义的必须在答疑截止日期前以书面方式向采购人提出，采购人认为合理的，将以采购文件答疑方式告知所有供应商。如在答疑截止日前未提出疑义的视同完全认同采购文件所有条款。</w:t>
      </w:r>
    </w:p>
    <w:p>
      <w:pPr>
        <w:pStyle w:val="42"/>
        <w:spacing w:line="240" w:lineRule="auto"/>
        <w:ind w:firstLine="0"/>
        <w:jc w:val="center"/>
        <w:outlineLvl w:val="0"/>
        <w:rPr>
          <w:rFonts w:hint="eastAsia" w:ascii="方正小标宋简体" w:eastAsia="方正小标宋简体"/>
          <w:bCs/>
          <w:color w:val="auto"/>
          <w:sz w:val="32"/>
          <w:szCs w:val="32"/>
          <w:highlight w:val="none"/>
        </w:rPr>
      </w:pPr>
      <w:r>
        <w:rPr>
          <w:rFonts w:hint="eastAsia" w:ascii="方正小标宋简体" w:eastAsia="方正小标宋简体"/>
          <w:bCs/>
          <w:color w:val="auto"/>
          <w:sz w:val="32"/>
          <w:szCs w:val="32"/>
          <w:highlight w:val="none"/>
        </w:rPr>
        <w:br w:type="page"/>
      </w:r>
      <w:bookmarkStart w:id="120" w:name="_Toc7333"/>
      <w:r>
        <w:rPr>
          <w:rFonts w:hint="eastAsia" w:ascii="方正小标宋简体" w:eastAsia="方正小标宋简体"/>
          <w:bCs/>
          <w:color w:val="auto"/>
          <w:sz w:val="32"/>
          <w:szCs w:val="32"/>
          <w:highlight w:val="none"/>
        </w:rPr>
        <w:t>第四章 合同范本</w:t>
      </w:r>
      <w:bookmarkEnd w:id="120"/>
    </w:p>
    <w:p>
      <w:pPr>
        <w:pStyle w:val="42"/>
        <w:spacing w:line="240" w:lineRule="auto"/>
        <w:ind w:firstLine="560" w:firstLineChars="200"/>
        <w:rPr>
          <w:rFonts w:hint="eastAsia" w:ascii="黑体" w:hAnsi="黑体" w:eastAsia="黑体"/>
          <w:color w:val="auto"/>
          <w:kern w:val="2"/>
          <w:sz w:val="28"/>
          <w:szCs w:val="28"/>
          <w:highlight w:val="none"/>
        </w:rPr>
      </w:pPr>
      <w:r>
        <w:rPr>
          <w:rFonts w:hint="eastAsia" w:ascii="黑体" w:hAnsi="黑体" w:eastAsia="黑体"/>
          <w:color w:val="auto"/>
          <w:kern w:val="2"/>
          <w:sz w:val="28"/>
          <w:szCs w:val="28"/>
          <w:highlight w:val="none"/>
        </w:rPr>
        <w:t>一、货物</w:t>
      </w:r>
    </w:p>
    <w:p>
      <w:pPr>
        <w:widowControl/>
        <w:snapToGrid w:val="0"/>
        <w:spacing w:before="19"/>
        <w:jc w:val="center"/>
        <w:rPr>
          <w:rFonts w:hint="eastAsia" w:ascii="方正小标宋简体" w:eastAsia="方正小标宋简体"/>
          <w:color w:val="auto"/>
          <w:sz w:val="32"/>
          <w:szCs w:val="32"/>
          <w:highlight w:val="none"/>
        </w:rPr>
      </w:pPr>
      <w:r>
        <w:rPr>
          <w:rFonts w:hint="eastAsia" w:ascii="方正小标宋简体" w:eastAsia="方正小标宋简体"/>
          <w:color w:val="auto"/>
          <w:sz w:val="32"/>
          <w:szCs w:val="32"/>
          <w:highlight w:val="none"/>
        </w:rPr>
        <w:t>如皋市政府采购合同</w:t>
      </w:r>
    </w:p>
    <w:p>
      <w:pPr>
        <w:widowControl/>
        <w:snapToGrid w:val="0"/>
        <w:spacing w:before="19"/>
        <w:rPr>
          <w:rFonts w:hint="eastAsia" w:ascii="仿宋" w:hAnsi="仿宋" w:eastAsia="仿宋"/>
          <w:color w:val="auto"/>
          <w:sz w:val="24"/>
          <w:highlight w:val="none"/>
        </w:rPr>
      </w:pPr>
      <w:r>
        <w:rPr>
          <w:rFonts w:hint="eastAsia" w:ascii="仿宋" w:hAnsi="仿宋" w:eastAsia="仿宋"/>
          <w:color w:val="auto"/>
          <w:sz w:val="24"/>
          <w:highlight w:val="none"/>
        </w:rPr>
        <w:t xml:space="preserve">甲方 : </w:t>
      </w:r>
    </w:p>
    <w:p>
      <w:pPr>
        <w:widowControl/>
        <w:snapToGrid w:val="0"/>
        <w:spacing w:before="19"/>
        <w:rPr>
          <w:rFonts w:hint="eastAsia" w:ascii="仿宋" w:hAnsi="仿宋" w:eastAsia="仿宋"/>
          <w:color w:val="auto"/>
          <w:sz w:val="24"/>
          <w:highlight w:val="none"/>
        </w:rPr>
      </w:pPr>
      <w:r>
        <w:rPr>
          <w:rFonts w:hint="eastAsia" w:ascii="仿宋" w:hAnsi="仿宋" w:eastAsia="仿宋"/>
          <w:color w:val="auto"/>
          <w:sz w:val="24"/>
          <w:highlight w:val="none"/>
        </w:rPr>
        <w:t xml:space="preserve">乙方 : </w:t>
      </w:r>
    </w:p>
    <w:p>
      <w:pPr>
        <w:widowControl/>
        <w:snapToGrid w:val="0"/>
        <w:spacing w:before="19"/>
        <w:rPr>
          <w:rFonts w:hint="eastAsia" w:ascii="仿宋" w:hAnsi="仿宋" w:eastAsia="仿宋"/>
          <w:color w:val="auto"/>
          <w:sz w:val="24"/>
          <w:highlight w:val="none"/>
        </w:rPr>
      </w:pPr>
      <w:r>
        <w:rPr>
          <w:rFonts w:hint="eastAsia" w:ascii="仿宋" w:hAnsi="仿宋" w:eastAsia="仿宋"/>
          <w:color w:val="auto"/>
          <w:sz w:val="24"/>
          <w:highlight w:val="none"/>
        </w:rPr>
        <w:t xml:space="preserve">    </w:t>
      </w:r>
      <w:r>
        <w:rPr>
          <w:rFonts w:hint="eastAsia" w:ascii="仿宋_GB2312" w:hAnsi="宋体" w:eastAsia="仿宋_GB2312"/>
          <w:color w:val="auto"/>
          <w:sz w:val="24"/>
          <w:highlight w:val="none"/>
        </w:rPr>
        <w:t>（甲方）（××项目）委托（代理机构名称，如有）进行了政府采购。按照评委会评审推荐、甲方确定乙方为中标单位。现甲乙双方协商同意签订本合同。</w:t>
      </w:r>
    </w:p>
    <w:p>
      <w:pPr>
        <w:widowControl/>
        <w:numPr>
          <w:ilvl w:val="0"/>
          <w:numId w:val="6"/>
        </w:numPr>
        <w:snapToGrid w:val="0"/>
        <w:spacing w:before="19"/>
        <w:rPr>
          <w:rFonts w:hint="eastAsia" w:ascii="仿宋" w:hAnsi="仿宋" w:eastAsia="仿宋"/>
          <w:color w:val="auto"/>
          <w:sz w:val="24"/>
          <w:highlight w:val="none"/>
          <w:u w:val="single"/>
        </w:rPr>
      </w:pPr>
      <w:r>
        <w:rPr>
          <w:rFonts w:hint="eastAsia" w:ascii="仿宋" w:hAnsi="仿宋" w:eastAsia="仿宋"/>
          <w:b/>
          <w:bCs/>
          <w:color w:val="auto"/>
          <w:sz w:val="24"/>
          <w:highlight w:val="none"/>
        </w:rPr>
        <w:t>货物及其数量如下表</w:t>
      </w:r>
      <w:r>
        <w:rPr>
          <w:rFonts w:hint="eastAsia" w:ascii="仿宋" w:hAnsi="仿宋" w:eastAsia="仿宋"/>
          <w:color w:val="auto"/>
          <w:sz w:val="24"/>
          <w:highlight w:val="none"/>
        </w:rPr>
        <w:t>：</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0"/>
        <w:gridCol w:w="3256"/>
        <w:gridCol w:w="769"/>
        <w:gridCol w:w="769"/>
        <w:gridCol w:w="1203"/>
        <w:gridCol w:w="14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580" w:type="dxa"/>
            <w:noWrap w:val="0"/>
            <w:vAlign w:val="center"/>
          </w:tcPr>
          <w:p>
            <w:pPr>
              <w:jc w:val="center"/>
              <w:rPr>
                <w:rFonts w:hint="eastAsia" w:ascii="仿宋" w:hAnsi="仿宋" w:eastAsia="仿宋"/>
                <w:color w:val="auto"/>
                <w:sz w:val="24"/>
                <w:highlight w:val="none"/>
              </w:rPr>
            </w:pPr>
            <w:r>
              <w:rPr>
                <w:rFonts w:hint="eastAsia" w:ascii="仿宋" w:hAnsi="仿宋" w:eastAsia="仿宋"/>
                <w:color w:val="auto"/>
                <w:sz w:val="24"/>
                <w:highlight w:val="none"/>
              </w:rPr>
              <w:t>货物名称</w:t>
            </w:r>
          </w:p>
        </w:tc>
        <w:tc>
          <w:tcPr>
            <w:tcW w:w="3256" w:type="dxa"/>
            <w:noWrap w:val="0"/>
            <w:vAlign w:val="center"/>
          </w:tcPr>
          <w:p>
            <w:pPr>
              <w:jc w:val="center"/>
              <w:rPr>
                <w:rFonts w:hint="eastAsia" w:ascii="仿宋" w:hAnsi="仿宋" w:eastAsia="仿宋"/>
                <w:color w:val="auto"/>
                <w:sz w:val="24"/>
                <w:highlight w:val="none"/>
              </w:rPr>
            </w:pPr>
            <w:r>
              <w:rPr>
                <w:rFonts w:hint="eastAsia" w:ascii="仿宋" w:hAnsi="仿宋" w:eastAsia="仿宋"/>
                <w:color w:val="auto"/>
                <w:sz w:val="24"/>
                <w:highlight w:val="none"/>
              </w:rPr>
              <w:t>规格型号</w:t>
            </w:r>
          </w:p>
        </w:tc>
        <w:tc>
          <w:tcPr>
            <w:tcW w:w="769" w:type="dxa"/>
            <w:noWrap w:val="0"/>
            <w:vAlign w:val="center"/>
          </w:tcPr>
          <w:p>
            <w:pPr>
              <w:jc w:val="center"/>
              <w:rPr>
                <w:rFonts w:hint="eastAsia" w:ascii="仿宋" w:hAnsi="仿宋" w:eastAsia="仿宋"/>
                <w:color w:val="auto"/>
                <w:sz w:val="24"/>
                <w:highlight w:val="none"/>
              </w:rPr>
            </w:pPr>
            <w:r>
              <w:rPr>
                <w:rFonts w:hint="eastAsia" w:ascii="仿宋" w:hAnsi="仿宋" w:eastAsia="仿宋"/>
                <w:color w:val="auto"/>
                <w:sz w:val="24"/>
                <w:highlight w:val="none"/>
              </w:rPr>
              <w:t>单位</w:t>
            </w:r>
          </w:p>
        </w:tc>
        <w:tc>
          <w:tcPr>
            <w:tcW w:w="769" w:type="dxa"/>
            <w:noWrap w:val="0"/>
            <w:vAlign w:val="center"/>
          </w:tcPr>
          <w:p>
            <w:pPr>
              <w:jc w:val="center"/>
              <w:rPr>
                <w:rFonts w:hint="eastAsia" w:ascii="仿宋" w:hAnsi="仿宋" w:eastAsia="仿宋"/>
                <w:color w:val="auto"/>
                <w:sz w:val="24"/>
                <w:highlight w:val="none"/>
              </w:rPr>
            </w:pPr>
            <w:r>
              <w:rPr>
                <w:rFonts w:hint="eastAsia" w:ascii="仿宋" w:hAnsi="仿宋" w:eastAsia="仿宋"/>
                <w:color w:val="auto"/>
                <w:sz w:val="24"/>
                <w:highlight w:val="none"/>
              </w:rPr>
              <w:t>数量</w:t>
            </w:r>
          </w:p>
        </w:tc>
        <w:tc>
          <w:tcPr>
            <w:tcW w:w="1203" w:type="dxa"/>
            <w:noWrap w:val="0"/>
            <w:vAlign w:val="center"/>
          </w:tcPr>
          <w:p>
            <w:pPr>
              <w:jc w:val="center"/>
              <w:rPr>
                <w:rFonts w:hint="eastAsia" w:ascii="仿宋" w:hAnsi="仿宋" w:eastAsia="仿宋"/>
                <w:color w:val="auto"/>
                <w:sz w:val="24"/>
                <w:highlight w:val="none"/>
              </w:rPr>
            </w:pPr>
            <w:r>
              <w:rPr>
                <w:rFonts w:hint="eastAsia" w:ascii="仿宋" w:hAnsi="仿宋" w:eastAsia="仿宋"/>
                <w:color w:val="auto"/>
                <w:sz w:val="24"/>
                <w:highlight w:val="none"/>
              </w:rPr>
              <w:t>单价</w:t>
            </w:r>
          </w:p>
        </w:tc>
        <w:tc>
          <w:tcPr>
            <w:tcW w:w="1425" w:type="dxa"/>
            <w:noWrap w:val="0"/>
            <w:vAlign w:val="center"/>
          </w:tcPr>
          <w:p>
            <w:pPr>
              <w:jc w:val="center"/>
              <w:rPr>
                <w:rFonts w:hint="eastAsia" w:ascii="仿宋" w:hAnsi="仿宋" w:eastAsia="仿宋"/>
                <w:color w:val="auto"/>
                <w:sz w:val="24"/>
                <w:highlight w:val="none"/>
              </w:rPr>
            </w:pPr>
            <w:r>
              <w:rPr>
                <w:rFonts w:hint="eastAsia" w:ascii="仿宋" w:hAnsi="仿宋" w:eastAsia="仿宋"/>
                <w:color w:val="auto"/>
                <w:sz w:val="24"/>
                <w:highlight w:val="none"/>
              </w:rPr>
              <w:t>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580" w:type="dxa"/>
            <w:noWrap w:val="0"/>
            <w:vAlign w:val="top"/>
          </w:tcPr>
          <w:p>
            <w:pPr>
              <w:rPr>
                <w:rFonts w:hint="eastAsia" w:ascii="仿宋" w:hAnsi="仿宋" w:eastAsia="仿宋"/>
                <w:color w:val="auto"/>
                <w:sz w:val="24"/>
                <w:highlight w:val="none"/>
              </w:rPr>
            </w:pPr>
          </w:p>
        </w:tc>
        <w:tc>
          <w:tcPr>
            <w:tcW w:w="3256" w:type="dxa"/>
            <w:noWrap w:val="0"/>
            <w:vAlign w:val="top"/>
          </w:tcPr>
          <w:p>
            <w:pPr>
              <w:rPr>
                <w:rFonts w:hint="eastAsia" w:ascii="仿宋" w:hAnsi="仿宋" w:eastAsia="仿宋"/>
                <w:color w:val="auto"/>
                <w:sz w:val="24"/>
                <w:highlight w:val="none"/>
              </w:rPr>
            </w:pPr>
          </w:p>
        </w:tc>
        <w:tc>
          <w:tcPr>
            <w:tcW w:w="769" w:type="dxa"/>
            <w:noWrap w:val="0"/>
            <w:vAlign w:val="top"/>
          </w:tcPr>
          <w:p>
            <w:pPr>
              <w:rPr>
                <w:rFonts w:hint="eastAsia" w:ascii="仿宋" w:hAnsi="仿宋" w:eastAsia="仿宋"/>
                <w:color w:val="auto"/>
                <w:sz w:val="24"/>
                <w:highlight w:val="none"/>
              </w:rPr>
            </w:pPr>
          </w:p>
        </w:tc>
        <w:tc>
          <w:tcPr>
            <w:tcW w:w="769" w:type="dxa"/>
            <w:noWrap w:val="0"/>
            <w:vAlign w:val="top"/>
          </w:tcPr>
          <w:p>
            <w:pPr>
              <w:rPr>
                <w:rFonts w:hint="eastAsia" w:ascii="仿宋" w:hAnsi="仿宋" w:eastAsia="仿宋"/>
                <w:color w:val="auto"/>
                <w:sz w:val="24"/>
                <w:highlight w:val="none"/>
              </w:rPr>
            </w:pPr>
          </w:p>
        </w:tc>
        <w:tc>
          <w:tcPr>
            <w:tcW w:w="1203" w:type="dxa"/>
            <w:noWrap w:val="0"/>
            <w:vAlign w:val="top"/>
          </w:tcPr>
          <w:p>
            <w:pPr>
              <w:rPr>
                <w:rFonts w:hint="eastAsia" w:ascii="仿宋" w:hAnsi="仿宋" w:eastAsia="仿宋"/>
                <w:color w:val="auto"/>
                <w:sz w:val="24"/>
                <w:highlight w:val="none"/>
              </w:rPr>
            </w:pPr>
          </w:p>
        </w:tc>
        <w:tc>
          <w:tcPr>
            <w:tcW w:w="1425" w:type="dxa"/>
            <w:noWrap w:val="0"/>
            <w:vAlign w:val="top"/>
          </w:tcPr>
          <w:p>
            <w:pPr>
              <w:rPr>
                <w:rFonts w:hint="eastAsia" w:ascii="仿宋" w:hAnsi="仿宋" w:eastAsia="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580" w:type="dxa"/>
            <w:noWrap w:val="0"/>
            <w:vAlign w:val="top"/>
          </w:tcPr>
          <w:p>
            <w:pPr>
              <w:rPr>
                <w:rFonts w:hint="eastAsia" w:ascii="仿宋" w:hAnsi="仿宋" w:eastAsia="仿宋"/>
                <w:color w:val="auto"/>
                <w:sz w:val="24"/>
                <w:highlight w:val="none"/>
              </w:rPr>
            </w:pPr>
          </w:p>
        </w:tc>
        <w:tc>
          <w:tcPr>
            <w:tcW w:w="3256" w:type="dxa"/>
            <w:noWrap w:val="0"/>
            <w:vAlign w:val="top"/>
          </w:tcPr>
          <w:p>
            <w:pPr>
              <w:rPr>
                <w:rFonts w:hint="eastAsia" w:ascii="仿宋" w:hAnsi="仿宋" w:eastAsia="仿宋"/>
                <w:color w:val="auto"/>
                <w:sz w:val="24"/>
                <w:highlight w:val="none"/>
              </w:rPr>
            </w:pPr>
          </w:p>
        </w:tc>
        <w:tc>
          <w:tcPr>
            <w:tcW w:w="769" w:type="dxa"/>
            <w:noWrap w:val="0"/>
            <w:vAlign w:val="top"/>
          </w:tcPr>
          <w:p>
            <w:pPr>
              <w:rPr>
                <w:rFonts w:hint="eastAsia" w:ascii="仿宋" w:hAnsi="仿宋" w:eastAsia="仿宋"/>
                <w:color w:val="auto"/>
                <w:sz w:val="24"/>
                <w:highlight w:val="none"/>
              </w:rPr>
            </w:pPr>
          </w:p>
        </w:tc>
        <w:tc>
          <w:tcPr>
            <w:tcW w:w="769" w:type="dxa"/>
            <w:noWrap w:val="0"/>
            <w:vAlign w:val="top"/>
          </w:tcPr>
          <w:p>
            <w:pPr>
              <w:rPr>
                <w:rFonts w:hint="eastAsia" w:ascii="仿宋" w:hAnsi="仿宋" w:eastAsia="仿宋"/>
                <w:color w:val="auto"/>
                <w:sz w:val="24"/>
                <w:highlight w:val="none"/>
              </w:rPr>
            </w:pPr>
          </w:p>
        </w:tc>
        <w:tc>
          <w:tcPr>
            <w:tcW w:w="1203" w:type="dxa"/>
            <w:noWrap w:val="0"/>
            <w:vAlign w:val="top"/>
          </w:tcPr>
          <w:p>
            <w:pPr>
              <w:rPr>
                <w:rFonts w:hint="eastAsia" w:ascii="仿宋" w:hAnsi="仿宋" w:eastAsia="仿宋"/>
                <w:color w:val="auto"/>
                <w:sz w:val="24"/>
                <w:highlight w:val="none"/>
              </w:rPr>
            </w:pPr>
          </w:p>
        </w:tc>
        <w:tc>
          <w:tcPr>
            <w:tcW w:w="1425" w:type="dxa"/>
            <w:noWrap w:val="0"/>
            <w:vAlign w:val="top"/>
          </w:tcPr>
          <w:p>
            <w:pPr>
              <w:rPr>
                <w:rFonts w:hint="eastAsia" w:ascii="仿宋" w:hAnsi="仿宋" w:eastAsia="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580" w:type="dxa"/>
            <w:noWrap w:val="0"/>
            <w:vAlign w:val="center"/>
          </w:tcPr>
          <w:p>
            <w:pPr>
              <w:rPr>
                <w:rFonts w:hint="eastAsia" w:ascii="仿宋" w:hAnsi="仿宋" w:eastAsia="仿宋"/>
                <w:color w:val="auto"/>
                <w:sz w:val="24"/>
                <w:highlight w:val="none"/>
              </w:rPr>
            </w:pPr>
            <w:r>
              <w:rPr>
                <w:rFonts w:hint="eastAsia" w:ascii="仿宋" w:hAnsi="仿宋" w:eastAsia="仿宋"/>
                <w:color w:val="auto"/>
                <w:sz w:val="24"/>
                <w:highlight w:val="none"/>
              </w:rPr>
              <w:t>总      计</w:t>
            </w:r>
          </w:p>
        </w:tc>
        <w:tc>
          <w:tcPr>
            <w:tcW w:w="4794" w:type="dxa"/>
            <w:gridSpan w:val="3"/>
            <w:noWrap w:val="0"/>
            <w:vAlign w:val="center"/>
          </w:tcPr>
          <w:p>
            <w:pPr>
              <w:rPr>
                <w:rFonts w:hint="eastAsia" w:ascii="仿宋" w:hAnsi="仿宋" w:eastAsia="仿宋"/>
                <w:color w:val="auto"/>
                <w:sz w:val="24"/>
                <w:highlight w:val="none"/>
              </w:rPr>
            </w:pPr>
            <w:r>
              <w:rPr>
                <w:rFonts w:hint="eastAsia" w:ascii="仿宋" w:hAnsi="仿宋" w:eastAsia="仿宋"/>
                <w:color w:val="auto"/>
                <w:sz w:val="24"/>
                <w:highlight w:val="none"/>
              </w:rPr>
              <w:t>（大写）</w:t>
            </w:r>
          </w:p>
        </w:tc>
        <w:tc>
          <w:tcPr>
            <w:tcW w:w="2628" w:type="dxa"/>
            <w:gridSpan w:val="2"/>
            <w:noWrap w:val="0"/>
            <w:vAlign w:val="center"/>
          </w:tcPr>
          <w:p>
            <w:pPr>
              <w:rPr>
                <w:rFonts w:hint="eastAsia" w:ascii="仿宋" w:hAnsi="仿宋" w:eastAsia="仿宋"/>
                <w:color w:val="auto"/>
                <w:sz w:val="24"/>
                <w:highlight w:val="none"/>
              </w:rPr>
            </w:pPr>
            <w:r>
              <w:rPr>
                <w:rFonts w:hint="eastAsia" w:ascii="仿宋" w:hAnsi="仿宋" w:eastAsia="仿宋"/>
                <w:b/>
                <w:bCs/>
                <w:color w:val="auto"/>
                <w:sz w:val="24"/>
                <w:highlight w:val="none"/>
              </w:rPr>
              <w:t>￥</w:t>
            </w:r>
          </w:p>
        </w:tc>
      </w:tr>
    </w:tbl>
    <w:p>
      <w:pPr>
        <w:widowControl/>
        <w:numPr>
          <w:ilvl w:val="0"/>
          <w:numId w:val="6"/>
        </w:numPr>
        <w:snapToGrid w:val="0"/>
        <w:spacing w:before="19"/>
        <w:rPr>
          <w:rFonts w:hint="eastAsia" w:ascii="仿宋" w:hAnsi="仿宋" w:eastAsia="仿宋"/>
          <w:color w:val="auto"/>
          <w:sz w:val="24"/>
          <w:highlight w:val="none"/>
        </w:rPr>
      </w:pPr>
      <w:r>
        <w:rPr>
          <w:rFonts w:hint="eastAsia" w:ascii="仿宋" w:hAnsi="仿宋" w:eastAsia="仿宋"/>
          <w:b/>
          <w:bCs/>
          <w:color w:val="auto"/>
          <w:sz w:val="24"/>
          <w:highlight w:val="none"/>
        </w:rPr>
        <w:t>质保期</w:t>
      </w:r>
      <w:r>
        <w:rPr>
          <w:rFonts w:hint="eastAsia" w:ascii="仿宋" w:hAnsi="仿宋" w:eastAsia="仿宋"/>
          <w:color w:val="auto"/>
          <w:sz w:val="24"/>
          <w:highlight w:val="none"/>
        </w:rPr>
        <w:t>：</w:t>
      </w:r>
      <w:r>
        <w:rPr>
          <w:rFonts w:hint="eastAsia" w:ascii="仿宋" w:hAnsi="仿宋" w:eastAsia="仿宋"/>
          <w:color w:val="auto"/>
          <w:sz w:val="24"/>
          <w:highlight w:val="none"/>
          <w:u w:val="single"/>
        </w:rPr>
        <w:t xml:space="preserve">                       </w:t>
      </w:r>
    </w:p>
    <w:p>
      <w:pPr>
        <w:widowControl/>
        <w:numPr>
          <w:ilvl w:val="0"/>
          <w:numId w:val="6"/>
        </w:numPr>
        <w:snapToGrid w:val="0"/>
        <w:spacing w:before="19"/>
        <w:rPr>
          <w:rFonts w:hint="eastAsia" w:ascii="仿宋" w:hAnsi="仿宋" w:eastAsia="仿宋"/>
          <w:color w:val="auto"/>
          <w:sz w:val="24"/>
          <w:highlight w:val="none"/>
        </w:rPr>
      </w:pPr>
      <w:r>
        <w:rPr>
          <w:rFonts w:hint="eastAsia" w:ascii="仿宋" w:hAnsi="仿宋" w:eastAsia="仿宋"/>
          <w:b/>
          <w:bCs/>
          <w:color w:val="auto"/>
          <w:sz w:val="24"/>
          <w:highlight w:val="none"/>
        </w:rPr>
        <w:t>交货时间</w:t>
      </w:r>
      <w:r>
        <w:rPr>
          <w:rFonts w:hint="eastAsia" w:ascii="仿宋" w:hAnsi="仿宋" w:eastAsia="仿宋"/>
          <w:color w:val="auto"/>
          <w:sz w:val="24"/>
          <w:highlight w:val="none"/>
        </w:rPr>
        <w:t>：</w:t>
      </w:r>
      <w:r>
        <w:rPr>
          <w:rFonts w:hint="eastAsia" w:ascii="仿宋" w:hAnsi="仿宋" w:eastAsia="仿宋"/>
          <w:color w:val="auto"/>
          <w:sz w:val="24"/>
          <w:highlight w:val="none"/>
          <w:u w:val="single"/>
        </w:rPr>
        <w:t xml:space="preserve">                     </w:t>
      </w:r>
    </w:p>
    <w:p>
      <w:pPr>
        <w:widowControl/>
        <w:numPr>
          <w:ilvl w:val="0"/>
          <w:numId w:val="6"/>
        </w:numPr>
        <w:snapToGrid w:val="0"/>
        <w:spacing w:before="19"/>
        <w:rPr>
          <w:rFonts w:hint="eastAsia" w:ascii="仿宋" w:hAnsi="仿宋" w:eastAsia="仿宋"/>
          <w:color w:val="auto"/>
          <w:sz w:val="24"/>
          <w:highlight w:val="none"/>
        </w:rPr>
      </w:pPr>
      <w:r>
        <w:rPr>
          <w:rFonts w:hint="eastAsia" w:ascii="仿宋" w:hAnsi="仿宋" w:eastAsia="仿宋"/>
          <w:b/>
          <w:bCs/>
          <w:color w:val="auto"/>
          <w:sz w:val="24"/>
          <w:highlight w:val="none"/>
        </w:rPr>
        <w:t>交货地点</w:t>
      </w:r>
      <w:r>
        <w:rPr>
          <w:rFonts w:hint="eastAsia" w:ascii="仿宋" w:hAnsi="仿宋" w:eastAsia="仿宋"/>
          <w:color w:val="auto"/>
          <w:sz w:val="24"/>
          <w:highlight w:val="none"/>
        </w:rPr>
        <w:t>：</w:t>
      </w:r>
      <w:r>
        <w:rPr>
          <w:rFonts w:hint="eastAsia" w:ascii="仿宋" w:hAnsi="仿宋" w:eastAsia="仿宋"/>
          <w:color w:val="auto"/>
          <w:sz w:val="24"/>
          <w:highlight w:val="none"/>
          <w:u w:val="single"/>
        </w:rPr>
        <w:t xml:space="preserve">                     </w:t>
      </w:r>
    </w:p>
    <w:p>
      <w:pPr>
        <w:widowControl/>
        <w:numPr>
          <w:ilvl w:val="0"/>
          <w:numId w:val="6"/>
        </w:numPr>
        <w:snapToGrid w:val="0"/>
        <w:spacing w:before="19"/>
        <w:rPr>
          <w:rFonts w:hint="eastAsia" w:ascii="仿宋" w:hAnsi="仿宋" w:eastAsia="仿宋"/>
          <w:color w:val="auto"/>
          <w:sz w:val="24"/>
          <w:highlight w:val="none"/>
        </w:rPr>
      </w:pPr>
      <w:r>
        <w:rPr>
          <w:rFonts w:hint="eastAsia" w:ascii="仿宋" w:hAnsi="仿宋" w:eastAsia="仿宋"/>
          <w:b/>
          <w:bCs/>
          <w:color w:val="auto"/>
          <w:sz w:val="24"/>
          <w:highlight w:val="none"/>
        </w:rPr>
        <w:t>付款</w:t>
      </w:r>
      <w:r>
        <w:rPr>
          <w:rFonts w:hint="eastAsia" w:ascii="仿宋" w:hAnsi="仿宋" w:eastAsia="仿宋"/>
          <w:color w:val="auto"/>
          <w:sz w:val="24"/>
          <w:highlight w:val="none"/>
        </w:rPr>
        <w:t>：由甲方按</w:t>
      </w:r>
      <w:r>
        <w:rPr>
          <w:rFonts w:hint="eastAsia" w:ascii="仿宋" w:hAnsi="仿宋" w:eastAsia="仿宋"/>
          <w:color w:val="auto"/>
          <w:sz w:val="24"/>
          <w:highlight w:val="none"/>
          <w:lang w:val="en-US" w:eastAsia="zh-CN"/>
        </w:rPr>
        <w:t>采购文件</w:t>
      </w:r>
      <w:r>
        <w:rPr>
          <w:rFonts w:hint="eastAsia" w:ascii="仿宋" w:hAnsi="仿宋" w:eastAsia="仿宋"/>
          <w:color w:val="auto"/>
          <w:sz w:val="24"/>
          <w:highlight w:val="none"/>
        </w:rPr>
        <w:t>规定向乙方办理付款</w:t>
      </w:r>
      <w:r>
        <w:rPr>
          <w:rFonts w:hint="eastAsia" w:ascii="仿宋" w:hAnsi="仿宋" w:eastAsia="仿宋"/>
          <w:color w:val="auto"/>
          <w:sz w:val="24"/>
          <w:highlight w:val="none"/>
          <w:lang w:eastAsia="zh-CN"/>
        </w:rPr>
        <w:t>。</w:t>
      </w:r>
    </w:p>
    <w:p>
      <w:pPr>
        <w:widowControl/>
        <w:numPr>
          <w:ilvl w:val="0"/>
          <w:numId w:val="6"/>
        </w:numPr>
        <w:snapToGrid w:val="0"/>
        <w:spacing w:before="19"/>
        <w:rPr>
          <w:rFonts w:hint="eastAsia" w:ascii="仿宋" w:hAnsi="仿宋" w:eastAsia="仿宋"/>
          <w:b/>
          <w:bCs/>
          <w:color w:val="auto"/>
          <w:sz w:val="24"/>
          <w:highlight w:val="none"/>
        </w:rPr>
      </w:pPr>
      <w:r>
        <w:rPr>
          <w:rFonts w:hint="eastAsia" w:ascii="仿宋" w:hAnsi="仿宋" w:eastAsia="仿宋"/>
          <w:b/>
          <w:bCs/>
          <w:color w:val="auto"/>
          <w:sz w:val="24"/>
          <w:highlight w:val="none"/>
        </w:rPr>
        <w:t>合同纠纷处理：</w:t>
      </w:r>
      <w:r>
        <w:rPr>
          <w:rFonts w:hint="eastAsia" w:ascii="仿宋" w:hAnsi="仿宋" w:eastAsia="仿宋"/>
          <w:color w:val="auto"/>
          <w:sz w:val="24"/>
          <w:highlight w:val="none"/>
        </w:rPr>
        <w:t>本合同执行过程中发生纠纷，由甲方和乙方协商处理。</w:t>
      </w:r>
    </w:p>
    <w:p>
      <w:pPr>
        <w:widowControl/>
        <w:numPr>
          <w:ilvl w:val="0"/>
          <w:numId w:val="6"/>
        </w:numPr>
        <w:snapToGrid w:val="0"/>
        <w:spacing w:before="19"/>
        <w:rPr>
          <w:rFonts w:hint="eastAsia" w:ascii="仿宋" w:hAnsi="仿宋" w:eastAsia="仿宋"/>
          <w:b/>
          <w:bCs/>
          <w:color w:val="auto"/>
          <w:sz w:val="24"/>
          <w:highlight w:val="none"/>
        </w:rPr>
      </w:pPr>
      <w:r>
        <w:rPr>
          <w:rFonts w:hint="eastAsia" w:ascii="仿宋" w:hAnsi="仿宋" w:eastAsia="仿宋"/>
          <w:b/>
          <w:bCs/>
          <w:color w:val="auto"/>
          <w:sz w:val="24"/>
          <w:highlight w:val="none"/>
        </w:rPr>
        <w:t>合同生效：</w:t>
      </w:r>
      <w:r>
        <w:rPr>
          <w:rFonts w:hint="eastAsia" w:ascii="仿宋" w:hAnsi="仿宋" w:eastAsia="仿宋"/>
          <w:color w:val="auto"/>
          <w:sz w:val="24"/>
          <w:highlight w:val="none"/>
        </w:rPr>
        <w:t>本合同由甲乙双方签字盖章后生效。</w:t>
      </w:r>
    </w:p>
    <w:p>
      <w:pPr>
        <w:widowControl/>
        <w:numPr>
          <w:ilvl w:val="0"/>
          <w:numId w:val="6"/>
        </w:numPr>
        <w:snapToGrid w:val="0"/>
        <w:spacing w:before="19"/>
        <w:rPr>
          <w:rFonts w:hint="eastAsia" w:ascii="仿宋" w:hAnsi="仿宋" w:eastAsia="仿宋"/>
          <w:b/>
          <w:bCs/>
          <w:color w:val="auto"/>
          <w:sz w:val="24"/>
          <w:highlight w:val="none"/>
        </w:rPr>
      </w:pPr>
      <w:r>
        <w:rPr>
          <w:rFonts w:hint="eastAsia" w:ascii="仿宋" w:hAnsi="仿宋" w:eastAsia="仿宋"/>
          <w:b/>
          <w:bCs/>
          <w:color w:val="auto"/>
          <w:sz w:val="24"/>
          <w:highlight w:val="none"/>
        </w:rPr>
        <w:t>组成本合同的文件包括：</w:t>
      </w:r>
    </w:p>
    <w:p>
      <w:pPr>
        <w:widowControl/>
        <w:snapToGrid w:val="0"/>
        <w:spacing w:before="19"/>
        <w:ind w:firstLine="480" w:firstLineChars="200"/>
        <w:rPr>
          <w:rFonts w:hint="eastAsia" w:ascii="仿宋" w:hAnsi="仿宋" w:eastAsia="仿宋"/>
          <w:bCs/>
          <w:color w:val="auto"/>
          <w:sz w:val="24"/>
          <w:highlight w:val="none"/>
        </w:rPr>
      </w:pPr>
      <w:r>
        <w:rPr>
          <w:rFonts w:hint="eastAsia" w:ascii="仿宋" w:hAnsi="仿宋" w:eastAsia="仿宋"/>
          <w:bCs/>
          <w:color w:val="auto"/>
          <w:sz w:val="24"/>
          <w:highlight w:val="none"/>
        </w:rPr>
        <w:t>1、本合同专用条款；</w:t>
      </w:r>
    </w:p>
    <w:p>
      <w:pPr>
        <w:widowControl/>
        <w:snapToGrid w:val="0"/>
        <w:spacing w:before="19"/>
        <w:ind w:firstLine="480" w:firstLineChars="200"/>
        <w:rPr>
          <w:rFonts w:hint="eastAsia" w:ascii="仿宋" w:hAnsi="仿宋" w:eastAsia="仿宋"/>
          <w:bCs/>
          <w:color w:val="auto"/>
          <w:sz w:val="24"/>
          <w:highlight w:val="none"/>
        </w:rPr>
      </w:pPr>
      <w:r>
        <w:rPr>
          <w:rFonts w:hint="eastAsia" w:ascii="仿宋" w:hAnsi="仿宋" w:eastAsia="仿宋"/>
          <w:bCs/>
          <w:color w:val="auto"/>
          <w:sz w:val="24"/>
          <w:highlight w:val="none"/>
        </w:rPr>
        <w:t>2、甲乙双方商定的其他必要文件。</w:t>
      </w:r>
    </w:p>
    <w:p>
      <w:pPr>
        <w:widowControl/>
        <w:snapToGrid w:val="0"/>
        <w:spacing w:before="19"/>
        <w:rPr>
          <w:rFonts w:hint="eastAsia" w:ascii="仿宋" w:hAnsi="仿宋" w:eastAsia="仿宋"/>
          <w:bCs/>
          <w:color w:val="auto"/>
          <w:sz w:val="24"/>
          <w:highlight w:val="none"/>
        </w:rPr>
      </w:pPr>
      <w:r>
        <w:rPr>
          <w:rFonts w:hint="eastAsia" w:ascii="仿宋" w:hAnsi="仿宋" w:eastAsia="仿宋"/>
          <w:bCs/>
          <w:color w:val="auto"/>
          <w:sz w:val="24"/>
          <w:highlight w:val="none"/>
        </w:rPr>
        <w:t>上述合同文件内容互为补充，如有不明确，由甲方负责解释。</w:t>
      </w:r>
    </w:p>
    <w:p>
      <w:pPr>
        <w:widowControl/>
        <w:snapToGrid w:val="0"/>
        <w:spacing w:before="19"/>
        <w:rPr>
          <w:rFonts w:hint="eastAsia" w:ascii="仿宋" w:hAnsi="仿宋" w:eastAsia="仿宋"/>
          <w:bCs/>
          <w:color w:val="auto"/>
          <w:sz w:val="24"/>
          <w:highlight w:val="none"/>
        </w:rPr>
      </w:pPr>
      <w:r>
        <w:rPr>
          <w:rFonts w:hint="eastAsia" w:ascii="仿宋" w:hAnsi="仿宋" w:eastAsia="仿宋"/>
          <w:bCs/>
          <w:color w:val="auto"/>
          <w:sz w:val="24"/>
          <w:highlight w:val="none"/>
        </w:rPr>
        <w:t>本合同一式两份，甲方持一份，乙方持一份。</w:t>
      </w:r>
    </w:p>
    <w:tbl>
      <w:tblPr>
        <w:tblStyle w:val="21"/>
        <w:tblW w:w="0" w:type="auto"/>
        <w:tblInd w:w="0" w:type="dxa"/>
        <w:tblLayout w:type="autofit"/>
        <w:tblCellMar>
          <w:top w:w="0" w:type="dxa"/>
          <w:left w:w="108" w:type="dxa"/>
          <w:bottom w:w="0" w:type="dxa"/>
          <w:right w:w="108" w:type="dxa"/>
        </w:tblCellMar>
      </w:tblPr>
      <w:tblGrid>
        <w:gridCol w:w="4261"/>
        <w:gridCol w:w="4261"/>
      </w:tblGrid>
      <w:tr>
        <w:tblPrEx>
          <w:tblCellMar>
            <w:top w:w="0" w:type="dxa"/>
            <w:left w:w="108" w:type="dxa"/>
            <w:bottom w:w="0" w:type="dxa"/>
            <w:right w:w="108" w:type="dxa"/>
          </w:tblCellMar>
        </w:tblPrEx>
        <w:tc>
          <w:tcPr>
            <w:tcW w:w="4261" w:type="dxa"/>
            <w:noWrap w:val="0"/>
            <w:vAlign w:val="top"/>
          </w:tcPr>
          <w:p>
            <w:pPr>
              <w:widowControl/>
              <w:snapToGrid w:val="0"/>
              <w:spacing w:before="19"/>
              <w:rPr>
                <w:rFonts w:hint="eastAsia" w:ascii="仿宋" w:hAnsi="仿宋" w:eastAsia="仿宋"/>
                <w:b/>
                <w:color w:val="auto"/>
                <w:sz w:val="24"/>
                <w:highlight w:val="none"/>
                <w:u w:val="single"/>
              </w:rPr>
            </w:pPr>
            <w:r>
              <w:rPr>
                <w:rFonts w:hint="eastAsia" w:ascii="仿宋" w:hAnsi="仿宋" w:eastAsia="仿宋"/>
                <w:b/>
                <w:color w:val="auto"/>
                <w:sz w:val="24"/>
                <w:highlight w:val="none"/>
              </w:rPr>
              <w:t>甲方（公章）：</w:t>
            </w:r>
            <w:r>
              <w:rPr>
                <w:rFonts w:hint="eastAsia" w:ascii="仿宋" w:hAnsi="仿宋" w:eastAsia="仿宋"/>
                <w:b/>
                <w:color w:val="auto"/>
                <w:sz w:val="24"/>
                <w:highlight w:val="none"/>
                <w:u w:val="single"/>
              </w:rPr>
              <w:t xml:space="preserve">                </w:t>
            </w:r>
          </w:p>
          <w:p>
            <w:pPr>
              <w:widowControl/>
              <w:snapToGrid w:val="0"/>
              <w:spacing w:before="19"/>
              <w:rPr>
                <w:rFonts w:hint="eastAsia" w:ascii="仿宋" w:hAnsi="仿宋" w:eastAsia="仿宋"/>
                <w:b/>
                <w:color w:val="auto"/>
                <w:sz w:val="24"/>
                <w:highlight w:val="none"/>
                <w:u w:val="single"/>
              </w:rPr>
            </w:pPr>
            <w:r>
              <w:rPr>
                <w:rFonts w:hint="eastAsia" w:ascii="仿宋" w:hAnsi="仿宋" w:eastAsia="仿宋"/>
                <w:color w:val="auto"/>
                <w:sz w:val="24"/>
                <w:highlight w:val="none"/>
              </w:rPr>
              <w:t>地址：</w:t>
            </w:r>
            <w:r>
              <w:rPr>
                <w:rFonts w:hint="eastAsia" w:ascii="仿宋" w:hAnsi="仿宋" w:eastAsia="仿宋"/>
                <w:color w:val="auto"/>
                <w:sz w:val="24"/>
                <w:highlight w:val="none"/>
                <w:u w:val="single"/>
              </w:rPr>
              <w:t xml:space="preserve">                      </w:t>
            </w:r>
            <w:r>
              <w:rPr>
                <w:rFonts w:hint="eastAsia" w:ascii="仿宋" w:hAnsi="仿宋" w:eastAsia="仿宋"/>
                <w:b/>
                <w:color w:val="auto"/>
                <w:sz w:val="24"/>
                <w:highlight w:val="none"/>
                <w:u w:val="single"/>
              </w:rPr>
              <w:t xml:space="preserve"> </w:t>
            </w:r>
          </w:p>
          <w:p>
            <w:pPr>
              <w:widowControl/>
              <w:snapToGrid w:val="0"/>
              <w:spacing w:before="19"/>
              <w:rPr>
                <w:rFonts w:hint="eastAsia" w:ascii="仿宋" w:hAnsi="仿宋" w:eastAsia="仿宋"/>
                <w:color w:val="auto"/>
                <w:sz w:val="24"/>
                <w:highlight w:val="none"/>
                <w:u w:val="single"/>
              </w:rPr>
            </w:pPr>
            <w:r>
              <w:rPr>
                <w:rFonts w:hint="eastAsia" w:ascii="仿宋" w:hAnsi="仿宋" w:eastAsia="仿宋"/>
                <w:color w:val="auto"/>
                <w:sz w:val="24"/>
                <w:highlight w:val="none"/>
              </w:rPr>
              <w:t>法定代表人（授权人）：</w:t>
            </w:r>
            <w:r>
              <w:rPr>
                <w:rFonts w:hint="eastAsia" w:ascii="仿宋" w:hAnsi="仿宋" w:eastAsia="仿宋"/>
                <w:color w:val="auto"/>
                <w:sz w:val="24"/>
                <w:highlight w:val="none"/>
                <w:u w:val="single"/>
              </w:rPr>
              <w:t xml:space="preserve">        </w:t>
            </w:r>
          </w:p>
          <w:p>
            <w:pPr>
              <w:widowControl/>
              <w:snapToGrid w:val="0"/>
              <w:spacing w:before="19"/>
              <w:jc w:val="right"/>
              <w:rPr>
                <w:rFonts w:hint="eastAsia" w:ascii="仿宋" w:hAnsi="仿宋" w:eastAsia="仿宋"/>
                <w:color w:val="auto"/>
                <w:sz w:val="24"/>
                <w:highlight w:val="none"/>
                <w:u w:val="single"/>
              </w:rPr>
            </w:pPr>
          </w:p>
          <w:p>
            <w:pPr>
              <w:widowControl/>
              <w:snapToGrid w:val="0"/>
              <w:spacing w:before="19"/>
              <w:jc w:val="right"/>
              <w:rPr>
                <w:rFonts w:hint="eastAsia" w:ascii="仿宋" w:hAnsi="仿宋" w:eastAsia="仿宋"/>
                <w:color w:val="auto"/>
                <w:sz w:val="24"/>
                <w:highlight w:val="none"/>
                <w:u w:val="single"/>
              </w:rPr>
            </w:pPr>
          </w:p>
          <w:p>
            <w:pPr>
              <w:widowControl/>
              <w:snapToGrid w:val="0"/>
              <w:spacing w:before="19"/>
              <w:jc w:val="right"/>
              <w:rPr>
                <w:rFonts w:hint="eastAsia" w:ascii="仿宋" w:hAnsi="仿宋" w:eastAsia="仿宋"/>
                <w:color w:val="auto"/>
                <w:sz w:val="24"/>
                <w:highlight w:val="none"/>
                <w:u w:val="single"/>
              </w:rPr>
            </w:pPr>
          </w:p>
          <w:p>
            <w:pPr>
              <w:widowControl/>
              <w:snapToGrid w:val="0"/>
              <w:spacing w:before="19"/>
              <w:jc w:val="right"/>
              <w:rPr>
                <w:rFonts w:hint="eastAsia" w:ascii="仿宋" w:hAnsi="仿宋" w:eastAsia="仿宋"/>
                <w:bCs/>
                <w:color w:val="auto"/>
                <w:sz w:val="24"/>
                <w:highlight w:val="none"/>
              </w:rPr>
            </w:pPr>
            <w:r>
              <w:rPr>
                <w:rFonts w:hint="eastAsia" w:ascii="仿宋" w:hAnsi="仿宋" w:eastAsia="仿宋"/>
                <w:color w:val="auto"/>
                <w:sz w:val="24"/>
                <w:highlight w:val="none"/>
                <w:u w:val="single"/>
              </w:rPr>
              <w:t xml:space="preserve">        </w:t>
            </w:r>
            <w:r>
              <w:rPr>
                <w:rFonts w:hint="eastAsia" w:ascii="仿宋" w:hAnsi="仿宋" w:eastAsia="仿宋"/>
                <w:color w:val="auto"/>
                <w:sz w:val="24"/>
                <w:highlight w:val="none"/>
              </w:rPr>
              <w:t>年</w:t>
            </w:r>
            <w:r>
              <w:rPr>
                <w:rFonts w:hint="eastAsia" w:ascii="仿宋" w:hAnsi="仿宋" w:eastAsia="仿宋"/>
                <w:color w:val="auto"/>
                <w:sz w:val="24"/>
                <w:highlight w:val="none"/>
                <w:u w:val="single"/>
              </w:rPr>
              <w:t xml:space="preserve">   </w:t>
            </w:r>
            <w:r>
              <w:rPr>
                <w:rFonts w:hint="eastAsia" w:ascii="仿宋" w:hAnsi="仿宋" w:eastAsia="仿宋"/>
                <w:color w:val="auto"/>
                <w:sz w:val="24"/>
                <w:highlight w:val="none"/>
              </w:rPr>
              <w:t>月</w:t>
            </w:r>
            <w:r>
              <w:rPr>
                <w:rFonts w:hint="eastAsia" w:ascii="仿宋" w:hAnsi="仿宋" w:eastAsia="仿宋"/>
                <w:color w:val="auto"/>
                <w:sz w:val="24"/>
                <w:highlight w:val="none"/>
                <w:u w:val="single"/>
              </w:rPr>
              <w:t xml:space="preserve">    </w:t>
            </w:r>
            <w:r>
              <w:rPr>
                <w:rFonts w:hint="eastAsia" w:ascii="仿宋" w:hAnsi="仿宋" w:eastAsia="仿宋"/>
                <w:color w:val="auto"/>
                <w:sz w:val="24"/>
                <w:highlight w:val="none"/>
              </w:rPr>
              <w:t>日</w:t>
            </w:r>
          </w:p>
        </w:tc>
        <w:tc>
          <w:tcPr>
            <w:tcW w:w="4261" w:type="dxa"/>
            <w:noWrap w:val="0"/>
            <w:vAlign w:val="top"/>
          </w:tcPr>
          <w:p>
            <w:pPr>
              <w:widowControl/>
              <w:snapToGrid w:val="0"/>
              <w:spacing w:before="19"/>
              <w:rPr>
                <w:rFonts w:hint="eastAsia" w:ascii="仿宋" w:hAnsi="仿宋" w:eastAsia="仿宋"/>
                <w:b/>
                <w:color w:val="auto"/>
                <w:sz w:val="24"/>
                <w:highlight w:val="none"/>
                <w:u w:val="single"/>
              </w:rPr>
            </w:pPr>
            <w:r>
              <w:rPr>
                <w:rFonts w:hint="eastAsia" w:ascii="仿宋" w:hAnsi="仿宋" w:eastAsia="仿宋"/>
                <w:b/>
                <w:color w:val="auto"/>
                <w:sz w:val="24"/>
                <w:highlight w:val="none"/>
              </w:rPr>
              <w:t>乙方（公章）：</w:t>
            </w:r>
            <w:r>
              <w:rPr>
                <w:rFonts w:hint="eastAsia" w:ascii="仿宋" w:hAnsi="仿宋" w:eastAsia="仿宋"/>
                <w:b/>
                <w:color w:val="auto"/>
                <w:sz w:val="24"/>
                <w:highlight w:val="none"/>
                <w:u w:val="single"/>
              </w:rPr>
              <w:t xml:space="preserve">                </w:t>
            </w:r>
          </w:p>
          <w:p>
            <w:pPr>
              <w:widowControl/>
              <w:snapToGrid w:val="0"/>
              <w:spacing w:before="19"/>
              <w:rPr>
                <w:rFonts w:hint="eastAsia" w:ascii="仿宋" w:hAnsi="仿宋" w:eastAsia="仿宋"/>
                <w:color w:val="auto"/>
                <w:sz w:val="24"/>
                <w:highlight w:val="none"/>
                <w:u w:val="single"/>
              </w:rPr>
            </w:pPr>
            <w:r>
              <w:rPr>
                <w:rFonts w:hint="eastAsia" w:ascii="仿宋" w:hAnsi="仿宋" w:eastAsia="仿宋"/>
                <w:color w:val="auto"/>
                <w:sz w:val="24"/>
                <w:highlight w:val="none"/>
              </w:rPr>
              <w:t>地址：</w:t>
            </w:r>
            <w:r>
              <w:rPr>
                <w:rFonts w:hint="eastAsia" w:ascii="仿宋" w:hAnsi="仿宋" w:eastAsia="仿宋"/>
                <w:color w:val="auto"/>
                <w:sz w:val="24"/>
                <w:highlight w:val="none"/>
                <w:u w:val="single"/>
              </w:rPr>
              <w:t xml:space="preserve">                       </w:t>
            </w:r>
          </w:p>
          <w:p>
            <w:pPr>
              <w:widowControl/>
              <w:snapToGrid w:val="0"/>
              <w:spacing w:before="19"/>
              <w:rPr>
                <w:rFonts w:hint="eastAsia" w:ascii="仿宋" w:hAnsi="仿宋" w:eastAsia="仿宋"/>
                <w:color w:val="auto"/>
                <w:sz w:val="24"/>
                <w:highlight w:val="none"/>
                <w:u w:val="single"/>
              </w:rPr>
            </w:pPr>
            <w:r>
              <w:rPr>
                <w:rFonts w:hint="eastAsia" w:ascii="仿宋" w:hAnsi="仿宋" w:eastAsia="仿宋"/>
                <w:color w:val="auto"/>
                <w:sz w:val="24"/>
                <w:highlight w:val="none"/>
              </w:rPr>
              <w:t>法定代表人（授权人）：</w:t>
            </w:r>
            <w:r>
              <w:rPr>
                <w:rFonts w:hint="eastAsia" w:ascii="仿宋" w:hAnsi="仿宋" w:eastAsia="仿宋"/>
                <w:color w:val="auto"/>
                <w:sz w:val="24"/>
                <w:highlight w:val="none"/>
                <w:u w:val="single"/>
              </w:rPr>
              <w:t xml:space="preserve">        </w:t>
            </w:r>
          </w:p>
          <w:p>
            <w:pPr>
              <w:widowControl/>
              <w:snapToGrid w:val="0"/>
              <w:spacing w:before="19"/>
              <w:rPr>
                <w:rFonts w:hint="eastAsia" w:ascii="仿宋" w:hAnsi="仿宋" w:eastAsia="仿宋"/>
                <w:color w:val="auto"/>
                <w:sz w:val="24"/>
                <w:highlight w:val="none"/>
                <w:u w:val="single"/>
              </w:rPr>
            </w:pPr>
            <w:r>
              <w:rPr>
                <w:rFonts w:hint="eastAsia" w:ascii="仿宋" w:hAnsi="仿宋" w:eastAsia="仿宋"/>
                <w:color w:val="auto"/>
                <w:sz w:val="24"/>
                <w:highlight w:val="none"/>
              </w:rPr>
              <w:t>户名：</w:t>
            </w:r>
            <w:r>
              <w:rPr>
                <w:rFonts w:hint="eastAsia" w:ascii="仿宋" w:hAnsi="仿宋" w:eastAsia="仿宋"/>
                <w:color w:val="auto"/>
                <w:sz w:val="24"/>
                <w:highlight w:val="none"/>
                <w:u w:val="single"/>
              </w:rPr>
              <w:t xml:space="preserve">                       </w:t>
            </w:r>
          </w:p>
          <w:p>
            <w:pPr>
              <w:widowControl/>
              <w:snapToGrid w:val="0"/>
              <w:spacing w:before="19"/>
              <w:rPr>
                <w:rFonts w:hint="eastAsia" w:ascii="仿宋" w:hAnsi="仿宋" w:eastAsia="仿宋"/>
                <w:color w:val="auto"/>
                <w:sz w:val="24"/>
                <w:highlight w:val="none"/>
                <w:u w:val="single"/>
              </w:rPr>
            </w:pPr>
            <w:r>
              <w:rPr>
                <w:rFonts w:hint="eastAsia" w:ascii="仿宋" w:hAnsi="仿宋" w:eastAsia="仿宋"/>
                <w:color w:val="auto"/>
                <w:sz w:val="24"/>
                <w:highlight w:val="none"/>
              </w:rPr>
              <w:t>开户银行：</w:t>
            </w:r>
            <w:r>
              <w:rPr>
                <w:rFonts w:hint="eastAsia" w:ascii="仿宋" w:hAnsi="仿宋" w:eastAsia="仿宋"/>
                <w:color w:val="auto"/>
                <w:sz w:val="24"/>
                <w:highlight w:val="none"/>
                <w:u w:val="single"/>
              </w:rPr>
              <w:t xml:space="preserve">                   </w:t>
            </w:r>
          </w:p>
          <w:p>
            <w:pPr>
              <w:widowControl/>
              <w:snapToGrid w:val="0"/>
              <w:spacing w:before="19"/>
              <w:rPr>
                <w:rFonts w:hint="eastAsia" w:ascii="仿宋" w:hAnsi="仿宋" w:eastAsia="仿宋"/>
                <w:color w:val="auto"/>
                <w:sz w:val="24"/>
                <w:highlight w:val="none"/>
                <w:u w:val="single"/>
              </w:rPr>
            </w:pPr>
            <w:r>
              <w:rPr>
                <w:rFonts w:hint="eastAsia" w:ascii="仿宋" w:hAnsi="仿宋" w:eastAsia="仿宋"/>
                <w:color w:val="auto"/>
                <w:sz w:val="24"/>
                <w:highlight w:val="none"/>
              </w:rPr>
              <w:t>账号：</w:t>
            </w:r>
            <w:r>
              <w:rPr>
                <w:rFonts w:hint="eastAsia" w:ascii="仿宋" w:hAnsi="仿宋" w:eastAsia="仿宋"/>
                <w:color w:val="auto"/>
                <w:sz w:val="24"/>
                <w:highlight w:val="none"/>
                <w:u w:val="single"/>
              </w:rPr>
              <w:t xml:space="preserve">                       </w:t>
            </w:r>
          </w:p>
          <w:p>
            <w:pPr>
              <w:widowControl/>
              <w:snapToGrid w:val="0"/>
              <w:spacing w:before="19"/>
              <w:jc w:val="right"/>
              <w:rPr>
                <w:rFonts w:hint="eastAsia" w:ascii="仿宋" w:hAnsi="仿宋" w:eastAsia="仿宋"/>
                <w:bCs/>
                <w:color w:val="auto"/>
                <w:sz w:val="24"/>
                <w:highlight w:val="none"/>
              </w:rPr>
            </w:pPr>
            <w:r>
              <w:rPr>
                <w:rFonts w:hint="eastAsia" w:ascii="仿宋" w:hAnsi="仿宋" w:eastAsia="仿宋"/>
                <w:color w:val="auto"/>
                <w:sz w:val="24"/>
                <w:highlight w:val="none"/>
                <w:u w:val="single"/>
              </w:rPr>
              <w:t xml:space="preserve">        </w:t>
            </w:r>
            <w:r>
              <w:rPr>
                <w:rFonts w:hint="eastAsia" w:ascii="仿宋" w:hAnsi="仿宋" w:eastAsia="仿宋"/>
                <w:color w:val="auto"/>
                <w:sz w:val="24"/>
                <w:highlight w:val="none"/>
              </w:rPr>
              <w:t>年</w:t>
            </w:r>
            <w:r>
              <w:rPr>
                <w:rFonts w:hint="eastAsia" w:ascii="仿宋" w:hAnsi="仿宋" w:eastAsia="仿宋"/>
                <w:color w:val="auto"/>
                <w:sz w:val="24"/>
                <w:highlight w:val="none"/>
                <w:u w:val="single"/>
              </w:rPr>
              <w:t xml:space="preserve">   </w:t>
            </w:r>
            <w:r>
              <w:rPr>
                <w:rFonts w:hint="eastAsia" w:ascii="仿宋" w:hAnsi="仿宋" w:eastAsia="仿宋"/>
                <w:color w:val="auto"/>
                <w:sz w:val="24"/>
                <w:highlight w:val="none"/>
              </w:rPr>
              <w:t>月</w:t>
            </w:r>
            <w:r>
              <w:rPr>
                <w:rFonts w:hint="eastAsia" w:ascii="仿宋" w:hAnsi="仿宋" w:eastAsia="仿宋"/>
                <w:color w:val="auto"/>
                <w:sz w:val="24"/>
                <w:highlight w:val="none"/>
                <w:u w:val="single"/>
              </w:rPr>
              <w:t xml:space="preserve">    </w:t>
            </w:r>
            <w:r>
              <w:rPr>
                <w:rFonts w:hint="eastAsia" w:ascii="仿宋" w:hAnsi="仿宋" w:eastAsia="仿宋"/>
                <w:color w:val="auto"/>
                <w:sz w:val="24"/>
                <w:highlight w:val="none"/>
              </w:rPr>
              <w:t>日</w:t>
            </w:r>
          </w:p>
        </w:tc>
      </w:tr>
    </w:tbl>
    <w:p>
      <w:pPr>
        <w:widowControl/>
        <w:snapToGrid w:val="0"/>
        <w:spacing w:before="19"/>
        <w:jc w:val="right"/>
        <w:rPr>
          <w:rFonts w:hint="eastAsia" w:ascii="仿宋" w:hAnsi="仿宋" w:eastAsia="仿宋"/>
          <w:bCs/>
          <w:color w:val="auto"/>
          <w:sz w:val="24"/>
          <w:highlight w:val="none"/>
        </w:rPr>
      </w:pPr>
    </w:p>
    <w:p>
      <w:pPr>
        <w:widowControl/>
        <w:snapToGrid w:val="0"/>
        <w:spacing w:before="19"/>
        <w:jc w:val="right"/>
        <w:rPr>
          <w:rFonts w:hint="eastAsia" w:ascii="仿宋" w:hAnsi="仿宋" w:eastAsia="仿宋"/>
          <w:color w:val="auto"/>
          <w:sz w:val="24"/>
          <w:highlight w:val="none"/>
          <w:u w:val="single"/>
        </w:rPr>
      </w:pPr>
    </w:p>
    <w:p>
      <w:pPr>
        <w:widowControl/>
        <w:snapToGrid w:val="0"/>
        <w:spacing w:before="19"/>
        <w:jc w:val="center"/>
        <w:rPr>
          <w:rFonts w:hint="eastAsia" w:ascii="仿宋" w:hAnsi="仿宋" w:eastAsia="仿宋"/>
          <w:color w:val="auto"/>
          <w:sz w:val="24"/>
          <w:highlight w:val="none"/>
        </w:rPr>
      </w:pPr>
      <w:r>
        <w:rPr>
          <w:rFonts w:hint="eastAsia" w:ascii="仿宋" w:hAnsi="仿宋" w:eastAsia="仿宋"/>
          <w:b/>
          <w:bCs/>
          <w:color w:val="auto"/>
          <w:sz w:val="24"/>
          <w:highlight w:val="none"/>
          <w:u w:val="double"/>
        </w:rPr>
        <w:t>合同专用条款</w:t>
      </w:r>
    </w:p>
    <w:p>
      <w:pPr>
        <w:ind w:firstLine="482" w:firstLineChars="200"/>
        <w:rPr>
          <w:rFonts w:hint="eastAsia" w:ascii="仿宋" w:hAnsi="仿宋" w:eastAsia="仿宋"/>
          <w:b/>
          <w:color w:val="auto"/>
          <w:sz w:val="24"/>
          <w:highlight w:val="none"/>
        </w:rPr>
      </w:pPr>
      <w:r>
        <w:rPr>
          <w:rFonts w:hint="eastAsia" w:ascii="仿宋" w:hAnsi="仿宋" w:eastAsia="仿宋"/>
          <w:b/>
          <w:color w:val="auto"/>
          <w:sz w:val="24"/>
          <w:highlight w:val="none"/>
        </w:rPr>
        <w:t>第一条 供货及知识产权</w:t>
      </w:r>
    </w:p>
    <w:p>
      <w:pPr>
        <w:ind w:firstLine="480" w:firstLineChars="200"/>
        <w:rPr>
          <w:rFonts w:hint="eastAsia" w:ascii="仿宋" w:hAnsi="仿宋" w:eastAsia="仿宋"/>
          <w:color w:val="auto"/>
          <w:sz w:val="24"/>
          <w:highlight w:val="none"/>
        </w:rPr>
      </w:pPr>
      <w:r>
        <w:rPr>
          <w:rFonts w:ascii="仿宋" w:hAnsi="仿宋" w:eastAsia="仿宋"/>
          <w:color w:val="auto"/>
          <w:sz w:val="24"/>
          <w:highlight w:val="none"/>
        </w:rPr>
        <w:t>乙方应按</w:t>
      </w:r>
      <w:r>
        <w:rPr>
          <w:rFonts w:hint="eastAsia" w:ascii="仿宋" w:hAnsi="仿宋" w:eastAsia="仿宋"/>
          <w:color w:val="auto"/>
          <w:sz w:val="24"/>
          <w:highlight w:val="none"/>
        </w:rPr>
        <w:t>询价</w:t>
      </w:r>
      <w:r>
        <w:rPr>
          <w:rFonts w:ascii="仿宋" w:hAnsi="仿宋" w:eastAsia="仿宋"/>
          <w:color w:val="auto"/>
          <w:sz w:val="24"/>
          <w:highlight w:val="none"/>
        </w:rPr>
        <w:t>文件规定</w:t>
      </w:r>
      <w:r>
        <w:rPr>
          <w:rFonts w:hint="eastAsia" w:ascii="仿宋" w:hAnsi="仿宋" w:eastAsia="仿宋"/>
          <w:color w:val="auto"/>
          <w:sz w:val="24"/>
          <w:highlight w:val="none"/>
        </w:rPr>
        <w:t>及响应文件承诺</w:t>
      </w:r>
      <w:r>
        <w:rPr>
          <w:rFonts w:ascii="仿宋" w:hAnsi="仿宋" w:eastAsia="仿宋"/>
          <w:color w:val="auto"/>
          <w:sz w:val="24"/>
          <w:highlight w:val="none"/>
        </w:rPr>
        <w:t>的货物性能、技术要求、质量标准向甲方提供未经使用的全新产品。乙</w:t>
      </w:r>
      <w:r>
        <w:rPr>
          <w:rFonts w:hint="eastAsia" w:ascii="仿宋" w:hAnsi="仿宋" w:eastAsia="仿宋"/>
          <w:color w:val="auto"/>
          <w:sz w:val="24"/>
          <w:highlight w:val="none"/>
        </w:rPr>
        <w:t>方应保证甲方在使用、接受本合同货物和服务或其任何一部分时不受第三方提出侵犯其专利权、版权、商标权和工业设计权等知识产权的起诉。一旦出现侵权，由乙方负全部责任。</w:t>
      </w:r>
    </w:p>
    <w:p>
      <w:pPr>
        <w:ind w:firstLine="482" w:firstLineChars="200"/>
        <w:rPr>
          <w:rFonts w:hint="eastAsia" w:ascii="仿宋" w:hAnsi="仿宋" w:eastAsia="仿宋"/>
          <w:color w:val="auto"/>
          <w:sz w:val="24"/>
          <w:highlight w:val="none"/>
        </w:rPr>
      </w:pPr>
      <w:r>
        <w:rPr>
          <w:rFonts w:hint="eastAsia" w:ascii="仿宋" w:hAnsi="仿宋" w:eastAsia="仿宋"/>
          <w:b/>
          <w:color w:val="auto"/>
          <w:sz w:val="24"/>
          <w:highlight w:val="none"/>
        </w:rPr>
        <w:t xml:space="preserve">第二条 合同总价款    </w:t>
      </w:r>
      <w:r>
        <w:rPr>
          <w:rFonts w:hint="eastAsia" w:ascii="仿宋" w:hAnsi="仿宋" w:eastAsia="仿宋"/>
          <w:color w:val="auto"/>
          <w:sz w:val="24"/>
          <w:highlight w:val="none"/>
        </w:rPr>
        <w:t xml:space="preserve"> </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本合同总价款是货物设计、制造、包装、仓储、运输、安装及验收合格之前及保修期内备品备件发生的所有含税费用。本合同总价款还包含乙方应当提供的伴随服务/售后服务费用。</w:t>
      </w:r>
    </w:p>
    <w:p>
      <w:pPr>
        <w:ind w:firstLine="482" w:firstLineChars="200"/>
        <w:rPr>
          <w:rFonts w:hint="eastAsia" w:ascii="仿宋" w:hAnsi="仿宋" w:eastAsia="仿宋"/>
          <w:b/>
          <w:color w:val="auto"/>
          <w:sz w:val="24"/>
          <w:highlight w:val="none"/>
        </w:rPr>
      </w:pPr>
      <w:r>
        <w:rPr>
          <w:rFonts w:hint="eastAsia" w:ascii="仿宋" w:hAnsi="仿宋" w:eastAsia="仿宋"/>
          <w:b/>
          <w:color w:val="auto"/>
          <w:sz w:val="24"/>
          <w:highlight w:val="none"/>
        </w:rPr>
        <w:t>第三条 质量保证期内的技术支持与售后服务</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1.所提供产品应包含不少于</w:t>
      </w:r>
      <w:r>
        <w:rPr>
          <w:rFonts w:hint="eastAsia" w:ascii="仿宋" w:hAnsi="仿宋" w:eastAsia="仿宋"/>
          <w:color w:val="auto"/>
          <w:sz w:val="24"/>
          <w:highlight w:val="none"/>
          <w:u w:val="single"/>
        </w:rPr>
        <w:t xml:space="preserve">   </w:t>
      </w:r>
      <w:r>
        <w:rPr>
          <w:rFonts w:hint="eastAsia" w:ascii="仿宋" w:hAnsi="仿宋" w:eastAsia="仿宋"/>
          <w:color w:val="auto"/>
          <w:sz w:val="24"/>
          <w:highlight w:val="none"/>
        </w:rPr>
        <w:t>年的整机（含全部部件）免费上门保修服务，质量保证期从设备安装验收合格开始计算。</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2.在质量保证期内厂商应自行处理保修凭证问题，采购人不负责提供产品的保修卡、发票等保修凭证。</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3.应针对本项目指定专人作为售后联系人，7*8小时负责协调产品销售以及售后问题。</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4.应在质量保证期内，免费故障报修电话为7*24小时，故障报修响应时间应在60分钟内。故障修复时间应在48小时内提供上门服务并修复。此款“修复”，是指从发现设备或系统发生故障并通知有关成交供应商后，经过相应的技术服务使设备或系统继续正常提供系统服务，才视为“修复”。</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5.在质量保证期内，未能在规定时间内修复情况下主动提供免费备机服务。</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6.在质量保证期内更换的任何配件，须为原设备厂家生产的；并且保证替代的零配件是新的未使用过和未经修复的。</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7. 提供的产品若有设计缺陷，应主动召回。</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8. 在质量保证期内，供应商应提供每年度技术巡检服务，巡检内容应包含：对设备使用状况的调查、升级软件、为机器除尘，故障预防工作。并向采购人提供巡检记录以及巡检报告。</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9.软件免费维护和升级服务的内容，供应商可根据自身情况，提供相应的软件服务方案。</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10.损坏的信息存储介质不得收回，应免费由用户保留。</w:t>
      </w:r>
    </w:p>
    <w:p>
      <w:pPr>
        <w:ind w:firstLine="482" w:firstLineChars="200"/>
        <w:rPr>
          <w:rFonts w:hint="eastAsia" w:ascii="仿宋" w:hAnsi="仿宋" w:eastAsia="仿宋"/>
          <w:b/>
          <w:color w:val="auto"/>
          <w:sz w:val="24"/>
          <w:highlight w:val="none"/>
        </w:rPr>
      </w:pPr>
      <w:r>
        <w:rPr>
          <w:rFonts w:hint="eastAsia" w:ascii="仿宋" w:hAnsi="仿宋" w:eastAsia="仿宋"/>
          <w:b/>
          <w:color w:val="auto"/>
          <w:sz w:val="24"/>
          <w:highlight w:val="none"/>
        </w:rPr>
        <w:t>第四条 质量保证期外的技术支持与服务</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按乙方询价响应文件执行。</w:t>
      </w:r>
    </w:p>
    <w:p>
      <w:pPr>
        <w:ind w:firstLine="482" w:firstLineChars="200"/>
        <w:rPr>
          <w:rFonts w:hint="eastAsia" w:ascii="仿宋" w:hAnsi="仿宋" w:eastAsia="仿宋"/>
          <w:b/>
          <w:color w:val="auto"/>
          <w:sz w:val="24"/>
          <w:highlight w:val="none"/>
        </w:rPr>
      </w:pPr>
      <w:r>
        <w:rPr>
          <w:rFonts w:hint="eastAsia" w:ascii="仿宋" w:hAnsi="仿宋" w:eastAsia="仿宋"/>
          <w:b/>
          <w:color w:val="auto"/>
          <w:sz w:val="24"/>
          <w:highlight w:val="none"/>
        </w:rPr>
        <w:t>第五条 交货和验收</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1、乙方应按照本合同规定的时间、地点和方式向甲方交付货物。</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2、乙方交付的货物应当完全符合本合同所规定的货物、数量和规格要求。 乙方提供的货物不符合合同规定的，甲方有权拒收货物，由此引起的风险，由乙方承担。</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3、甲方应当在到货后五日内对货物进行验收，</w:t>
      </w:r>
      <w:r>
        <w:rPr>
          <w:rFonts w:ascii="仿宋" w:hAnsi="仿宋" w:eastAsia="仿宋"/>
          <w:color w:val="auto"/>
          <w:sz w:val="24"/>
          <w:highlight w:val="none"/>
        </w:rPr>
        <w:t>验收包括：型号、规格、数量、外观质量、及货物包装</w:t>
      </w:r>
      <w:r>
        <w:rPr>
          <w:rFonts w:hint="eastAsia" w:ascii="仿宋" w:hAnsi="仿宋" w:eastAsia="仿宋"/>
          <w:color w:val="auto"/>
          <w:sz w:val="24"/>
          <w:highlight w:val="none"/>
        </w:rPr>
        <w:t>是否完好，安装调试是否合格。所提供货物的装箱清单、用户手册、原厂保修卡、随机资料及配件、随机工具等是否齐全。验收合格后甲方应在验收记录上签字盖章。</w:t>
      </w:r>
    </w:p>
    <w:p>
      <w:pPr>
        <w:ind w:firstLine="482" w:firstLineChars="200"/>
        <w:rPr>
          <w:rFonts w:hint="eastAsia" w:ascii="仿宋" w:hAnsi="仿宋" w:eastAsia="仿宋"/>
          <w:b/>
          <w:color w:val="auto"/>
          <w:sz w:val="24"/>
          <w:highlight w:val="none"/>
        </w:rPr>
      </w:pPr>
      <w:r>
        <w:rPr>
          <w:rFonts w:hint="eastAsia" w:ascii="仿宋" w:hAnsi="仿宋" w:eastAsia="仿宋"/>
          <w:b/>
          <w:color w:val="auto"/>
          <w:sz w:val="24"/>
          <w:highlight w:val="none"/>
        </w:rPr>
        <w:t>第六条 货款支付</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本合同项下所有款项均在乙方货物交付验收合格后，并提交所需单据后</w:t>
      </w:r>
      <w:r>
        <w:rPr>
          <w:rFonts w:hint="eastAsia" w:ascii="仿宋" w:hAnsi="仿宋" w:eastAsia="仿宋"/>
          <w:color w:val="auto"/>
          <w:sz w:val="24"/>
          <w:highlight w:val="none"/>
          <w:u w:val="single"/>
        </w:rPr>
        <w:t>　　　</w:t>
      </w:r>
      <w:r>
        <w:rPr>
          <w:rFonts w:hint="eastAsia" w:ascii="仿宋" w:hAnsi="仿宋" w:eastAsia="仿宋"/>
          <w:color w:val="auto"/>
          <w:sz w:val="24"/>
          <w:highlight w:val="none"/>
        </w:rPr>
        <w:t>个工作日内按合同约定的付款方支付货款。</w:t>
      </w:r>
    </w:p>
    <w:p>
      <w:pPr>
        <w:ind w:firstLine="482" w:firstLineChars="200"/>
        <w:rPr>
          <w:rFonts w:hint="eastAsia" w:ascii="仿宋" w:hAnsi="仿宋" w:eastAsia="仿宋"/>
          <w:b/>
          <w:color w:val="auto"/>
          <w:sz w:val="24"/>
          <w:highlight w:val="none"/>
        </w:rPr>
      </w:pPr>
      <w:r>
        <w:rPr>
          <w:rFonts w:hint="eastAsia" w:ascii="仿宋" w:hAnsi="仿宋" w:eastAsia="仿宋"/>
          <w:b/>
          <w:color w:val="auto"/>
          <w:sz w:val="24"/>
          <w:highlight w:val="none"/>
        </w:rPr>
        <w:t>第七条 违约责任</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1、甲方无正当理由拒收货物、拒付货物款的，由甲方向乙方偿付合同总价的5%违约金。</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2、甲方未按合同规定的期限向乙方支付货款的，每逾期1天甲方向乙方偿付欠款总额的5‰滞纳金，但累计滞纳金总额不超过欠款总额的5% 。</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3、如乙方不能交付货物，甲方有权扣留全部履约保证金；同时乙方应向甲方支付合同总价５％的违约金。</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4、</w:t>
      </w:r>
      <w:r>
        <w:rPr>
          <w:rFonts w:ascii="仿宋" w:hAnsi="仿宋" w:eastAsia="仿宋"/>
          <w:color w:val="auto"/>
          <w:sz w:val="24"/>
          <w:highlight w:val="none"/>
        </w:rPr>
        <w:t>乙方逾期交付货物的，每逾期1天，乙方向甲方偿付逾期交货部分货款总额的5‰的滞纳金</w:t>
      </w:r>
      <w:r>
        <w:rPr>
          <w:rFonts w:hint="eastAsia" w:ascii="仿宋" w:hAnsi="仿宋" w:eastAsia="仿宋"/>
          <w:color w:val="auto"/>
          <w:sz w:val="24"/>
          <w:highlight w:val="none"/>
        </w:rPr>
        <w:t>。如乙方逾期交货达10天，甲方有权解除合同，解除合同的通知自到达乙方时生效。</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5、</w:t>
      </w:r>
      <w:r>
        <w:rPr>
          <w:rFonts w:ascii="仿宋" w:hAnsi="仿宋" w:eastAsia="仿宋"/>
          <w:color w:val="auto"/>
          <w:sz w:val="24"/>
          <w:highlight w:val="none"/>
        </w:rPr>
        <w:t>乙方所交</w:t>
      </w:r>
      <w:r>
        <w:rPr>
          <w:rFonts w:hint="eastAsia" w:ascii="仿宋" w:hAnsi="仿宋" w:eastAsia="仿宋"/>
          <w:color w:val="auto"/>
          <w:sz w:val="24"/>
          <w:highlight w:val="none"/>
        </w:rPr>
        <w:t>付</w:t>
      </w:r>
      <w:r>
        <w:rPr>
          <w:rFonts w:ascii="仿宋" w:hAnsi="仿宋" w:eastAsia="仿宋"/>
          <w:color w:val="auto"/>
          <w:sz w:val="24"/>
          <w:highlight w:val="none"/>
        </w:rPr>
        <w:t>的货物品种、型号、规格不符合合同规定的，甲方有权拒收。</w:t>
      </w:r>
      <w:r>
        <w:rPr>
          <w:rFonts w:hint="eastAsia" w:ascii="仿宋" w:hAnsi="仿宋" w:eastAsia="仿宋"/>
          <w:color w:val="auto"/>
          <w:sz w:val="24"/>
          <w:highlight w:val="none"/>
        </w:rPr>
        <w:t>甲方拒收的，</w:t>
      </w:r>
      <w:r>
        <w:rPr>
          <w:rFonts w:ascii="仿宋" w:hAnsi="仿宋" w:eastAsia="仿宋"/>
          <w:color w:val="auto"/>
          <w:sz w:val="24"/>
          <w:highlight w:val="none"/>
        </w:rPr>
        <w:t>乙方</w:t>
      </w:r>
      <w:r>
        <w:rPr>
          <w:rFonts w:hint="eastAsia" w:ascii="仿宋" w:hAnsi="仿宋" w:eastAsia="仿宋"/>
          <w:color w:val="auto"/>
          <w:sz w:val="24"/>
          <w:highlight w:val="none"/>
        </w:rPr>
        <w:t>应</w:t>
      </w:r>
      <w:r>
        <w:rPr>
          <w:rFonts w:ascii="仿宋" w:hAnsi="仿宋" w:eastAsia="仿宋"/>
          <w:color w:val="auto"/>
          <w:sz w:val="24"/>
          <w:highlight w:val="none"/>
        </w:rPr>
        <w:t>向甲方支付货款总额5%的违约金。</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6、在乙方承诺的或国家规定的质量保证期内（取两者中最长的期限），</w:t>
      </w:r>
      <w:r>
        <w:rPr>
          <w:rFonts w:ascii="仿宋" w:hAnsi="仿宋" w:eastAsia="仿宋"/>
          <w:color w:val="auto"/>
          <w:sz w:val="24"/>
          <w:highlight w:val="none"/>
        </w:rPr>
        <w:t>如经乙方两次维修</w:t>
      </w:r>
      <w:r>
        <w:rPr>
          <w:rFonts w:hint="eastAsia" w:ascii="仿宋" w:hAnsi="仿宋" w:eastAsia="仿宋"/>
          <w:color w:val="auto"/>
          <w:sz w:val="24"/>
          <w:highlight w:val="none"/>
        </w:rPr>
        <w:t>或更换</w:t>
      </w:r>
      <w:r>
        <w:rPr>
          <w:rFonts w:ascii="仿宋" w:hAnsi="仿宋" w:eastAsia="仿宋"/>
          <w:color w:val="auto"/>
          <w:sz w:val="24"/>
          <w:highlight w:val="none"/>
        </w:rPr>
        <w:t>，货物仍不能达到合同约定</w:t>
      </w:r>
      <w:r>
        <w:rPr>
          <w:rFonts w:hint="eastAsia" w:ascii="仿宋" w:hAnsi="仿宋" w:eastAsia="仿宋"/>
          <w:color w:val="auto"/>
          <w:sz w:val="24"/>
          <w:highlight w:val="none"/>
        </w:rPr>
        <w:t>的</w:t>
      </w:r>
      <w:r>
        <w:rPr>
          <w:rFonts w:ascii="仿宋" w:hAnsi="仿宋" w:eastAsia="仿宋"/>
          <w:color w:val="auto"/>
          <w:sz w:val="24"/>
          <w:highlight w:val="none"/>
        </w:rPr>
        <w:t>质量标准，甲方有权退货，乙方</w:t>
      </w:r>
      <w:r>
        <w:rPr>
          <w:rFonts w:hint="eastAsia" w:ascii="仿宋" w:hAnsi="仿宋" w:eastAsia="仿宋"/>
          <w:color w:val="auto"/>
          <w:sz w:val="24"/>
          <w:highlight w:val="none"/>
        </w:rPr>
        <w:t>应</w:t>
      </w:r>
      <w:r>
        <w:rPr>
          <w:rFonts w:ascii="仿宋" w:hAnsi="仿宋" w:eastAsia="仿宋"/>
          <w:color w:val="auto"/>
          <w:sz w:val="24"/>
          <w:highlight w:val="none"/>
        </w:rPr>
        <w:t>退回全部货款，并按第3款处理，同时，乙方还须赔偿甲方因此遭受的损失。</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7、乙方未按本合同的规定和服务承诺提供服务的，应按合同总价款的_3_%向甲方承担违约责任。</w:t>
      </w:r>
    </w:p>
    <w:p>
      <w:pPr>
        <w:ind w:firstLine="482" w:firstLineChars="200"/>
        <w:rPr>
          <w:rFonts w:hint="eastAsia" w:ascii="仿宋" w:hAnsi="仿宋" w:eastAsia="仿宋"/>
          <w:b/>
          <w:color w:val="auto"/>
          <w:sz w:val="24"/>
          <w:highlight w:val="none"/>
        </w:rPr>
      </w:pPr>
      <w:r>
        <w:rPr>
          <w:rFonts w:hint="eastAsia" w:ascii="仿宋" w:hAnsi="仿宋" w:eastAsia="仿宋"/>
          <w:b/>
          <w:color w:val="auto"/>
          <w:sz w:val="24"/>
          <w:highlight w:val="none"/>
        </w:rPr>
        <w:t>第八条 合同的变更和终止</w:t>
      </w:r>
    </w:p>
    <w:p>
      <w:pPr>
        <w:pStyle w:val="14"/>
        <w:tabs>
          <w:tab w:val="clear" w:pos="4153"/>
          <w:tab w:val="clear" w:pos="8306"/>
        </w:tabs>
        <w:ind w:firstLine="480" w:firstLineChars="200"/>
        <w:rPr>
          <w:rFonts w:hint="eastAsia" w:ascii="仿宋" w:hAnsi="仿宋" w:eastAsia="仿宋"/>
          <w:color w:val="auto"/>
          <w:sz w:val="24"/>
          <w:szCs w:val="24"/>
          <w:highlight w:val="none"/>
        </w:rPr>
      </w:pPr>
      <w:r>
        <w:rPr>
          <w:rFonts w:hint="eastAsia" w:ascii="仿宋" w:hAnsi="仿宋" w:eastAsia="仿宋"/>
          <w:color w:val="auto"/>
          <w:sz w:val="24"/>
          <w:szCs w:val="24"/>
          <w:highlight w:val="none"/>
        </w:rPr>
        <w:t>除《政府采购法》第49条、第50条第二款规定的情形外，本合同一经签订，甲乙双方不得擅自变更、中止或终止合同。</w:t>
      </w:r>
    </w:p>
    <w:p>
      <w:pPr>
        <w:ind w:firstLine="482" w:firstLineChars="200"/>
        <w:rPr>
          <w:rFonts w:hint="eastAsia" w:ascii="仿宋" w:hAnsi="仿宋" w:eastAsia="仿宋"/>
          <w:b/>
          <w:color w:val="auto"/>
          <w:sz w:val="24"/>
          <w:highlight w:val="none"/>
        </w:rPr>
      </w:pPr>
      <w:r>
        <w:rPr>
          <w:rFonts w:hint="eastAsia" w:ascii="仿宋" w:hAnsi="仿宋" w:eastAsia="仿宋"/>
          <w:b/>
          <w:color w:val="auto"/>
          <w:sz w:val="24"/>
          <w:highlight w:val="none"/>
        </w:rPr>
        <w:t>第十三条 合同的转让</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乙方不得擅自部分或全部转让其应履行的合同义务。</w:t>
      </w:r>
    </w:p>
    <w:p>
      <w:pPr>
        <w:ind w:firstLine="482" w:firstLineChars="200"/>
        <w:rPr>
          <w:rFonts w:hint="eastAsia" w:ascii="仿宋" w:hAnsi="仿宋" w:eastAsia="仿宋"/>
          <w:b/>
          <w:color w:val="auto"/>
          <w:sz w:val="24"/>
          <w:highlight w:val="none"/>
        </w:rPr>
      </w:pPr>
      <w:r>
        <w:rPr>
          <w:rFonts w:hint="eastAsia" w:ascii="仿宋" w:hAnsi="仿宋" w:eastAsia="仿宋"/>
          <w:b/>
          <w:color w:val="auto"/>
          <w:sz w:val="24"/>
          <w:highlight w:val="none"/>
        </w:rPr>
        <w:t>第十四条 争议的解决</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1、因货物的质量问题发生争议的，应当邀请国家认可的质量检测机构对货物质量进行鉴定。货物符合标准的，鉴定费由甲方承担；货物不符合质量标准的，鉴定费由乙方承担、并更换有问题商品或部件。</w:t>
      </w:r>
    </w:p>
    <w:p>
      <w:pPr>
        <w:ind w:firstLine="480" w:firstLineChars="200"/>
        <w:rPr>
          <w:rFonts w:hint="eastAsia" w:ascii="仿宋" w:hAnsi="仿宋" w:eastAsia="仿宋"/>
          <w:color w:val="auto"/>
          <w:sz w:val="24"/>
          <w:highlight w:val="none"/>
        </w:rPr>
      </w:pPr>
      <w:r>
        <w:rPr>
          <w:rFonts w:hint="eastAsia" w:ascii="仿宋" w:hAnsi="仿宋" w:eastAsia="仿宋"/>
          <w:color w:val="auto"/>
          <w:sz w:val="24"/>
          <w:highlight w:val="none"/>
        </w:rPr>
        <w:t>2、因履行本合同引起的或与本合同有关的争议，甲、乙双方应首先通过友好协商解决，如果协商不能解决争议，向南通市仲裁委员会按其仲裁规则申请仲裁。</w:t>
      </w:r>
    </w:p>
    <w:p>
      <w:pPr>
        <w:ind w:firstLine="482" w:firstLineChars="200"/>
        <w:rPr>
          <w:rFonts w:hint="eastAsia" w:ascii="仿宋" w:hAnsi="仿宋" w:eastAsia="仿宋"/>
          <w:b/>
          <w:color w:val="auto"/>
          <w:sz w:val="24"/>
          <w:highlight w:val="none"/>
        </w:rPr>
      </w:pPr>
      <w:r>
        <w:rPr>
          <w:rFonts w:hint="eastAsia" w:ascii="仿宋" w:hAnsi="仿宋" w:eastAsia="仿宋"/>
          <w:b/>
          <w:color w:val="auto"/>
          <w:sz w:val="24"/>
          <w:highlight w:val="none"/>
        </w:rPr>
        <w:t>第十五条 合同生效及其他</w:t>
      </w:r>
    </w:p>
    <w:p>
      <w:pPr>
        <w:ind w:firstLine="480" w:firstLineChars="200"/>
        <w:outlineLvl w:val="9"/>
        <w:rPr>
          <w:rFonts w:hint="eastAsia" w:ascii="仿宋" w:hAnsi="仿宋" w:eastAsia="仿宋"/>
          <w:color w:val="auto"/>
          <w:sz w:val="24"/>
          <w:highlight w:val="none"/>
        </w:rPr>
      </w:pPr>
      <w:bookmarkStart w:id="121" w:name="_Toc1534"/>
      <w:r>
        <w:rPr>
          <w:rFonts w:hint="eastAsia" w:ascii="仿宋" w:hAnsi="仿宋" w:eastAsia="仿宋"/>
          <w:color w:val="auto"/>
          <w:sz w:val="24"/>
          <w:highlight w:val="none"/>
        </w:rPr>
        <w:t>1、本合同自签订之日起生效。</w:t>
      </w:r>
      <w:bookmarkEnd w:id="121"/>
    </w:p>
    <w:p>
      <w:pPr>
        <w:ind w:firstLine="480" w:firstLineChars="200"/>
        <w:outlineLvl w:val="9"/>
        <w:rPr>
          <w:rFonts w:hint="eastAsia" w:ascii="仿宋" w:hAnsi="仿宋" w:eastAsia="仿宋"/>
          <w:color w:val="auto"/>
          <w:sz w:val="24"/>
          <w:highlight w:val="none"/>
        </w:rPr>
      </w:pPr>
      <w:bookmarkStart w:id="122" w:name="_Toc26110"/>
      <w:r>
        <w:rPr>
          <w:rFonts w:hint="eastAsia" w:ascii="仿宋" w:hAnsi="仿宋" w:eastAsia="仿宋"/>
          <w:color w:val="auto"/>
          <w:sz w:val="24"/>
          <w:highlight w:val="none"/>
        </w:rPr>
        <w:t>2、履约保证金在履约验收合格后七个工作日内无息退还。逾期退还的，除应当退还履约保证金本金外，还应当按商业银行同期贷款利率支付资金占用费。</w:t>
      </w:r>
      <w:bookmarkEnd w:id="122"/>
    </w:p>
    <w:p>
      <w:pPr>
        <w:pStyle w:val="42"/>
        <w:spacing w:line="240" w:lineRule="auto"/>
        <w:ind w:firstLine="0"/>
        <w:jc w:val="center"/>
        <w:outlineLvl w:val="0"/>
        <w:rPr>
          <w:b/>
          <w:color w:val="auto"/>
          <w:highlight w:val="none"/>
        </w:rPr>
      </w:pPr>
      <w:bookmarkStart w:id="123" w:name="_Toc16090"/>
      <w:r>
        <w:rPr>
          <w:rFonts w:hint="eastAsia" w:ascii="方正小标宋简体" w:eastAsia="方正小标宋简体"/>
          <w:bCs/>
          <w:color w:val="auto"/>
          <w:sz w:val="32"/>
          <w:szCs w:val="32"/>
          <w:highlight w:val="none"/>
        </w:rPr>
        <w:br w:type="page"/>
      </w:r>
      <w:r>
        <w:rPr>
          <w:rFonts w:hint="eastAsia" w:ascii="方正小标宋简体" w:eastAsia="方正小标宋简体"/>
          <w:bCs/>
          <w:color w:val="auto"/>
          <w:sz w:val="32"/>
          <w:szCs w:val="32"/>
          <w:highlight w:val="none"/>
        </w:rPr>
        <w:t>第五章 评审标准和方法</w:t>
      </w:r>
      <w:bookmarkEnd w:id="123"/>
    </w:p>
    <w:p>
      <w:pPr>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1.评审方法为综合评分法，即磋商响应文件能够最大限度的满足磋商文件规定的各项综合评价标准且经评审得分最高的供应商为中标候选人的评标方法。</w:t>
      </w:r>
    </w:p>
    <w:p>
      <w:pPr>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磋商小组将对通过资格及符合性检查的各合格磋商人根据磋商响应文件和磋商货物的性能、价格、商务等因素进行评分，总分为100分(不含清单内产品加分)。磋商人的最终得分是所有评委给其的评分(不含报价得分)的算术平均值加价格分和清单内产品加分，分数计算取至小数点后2位。</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2.评审因素：价格、技术、商务、财务状况、信誉、业绩、服务、对磋商文件的响应程度，以及相应的比重或者权值等。</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3. 价格分应当采用低价优先法计算，即满足招标文件要求且投标价格最低的投标报价为评标基准价，其价格分为满分。其他投标人的价格分统一按照下列公式计算：</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投标报价得分=(评标基准价／投标报价)×价格分分值</w:t>
      </w:r>
    </w:p>
    <w:p>
      <w:pPr>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评标过程中，不得去掉报价中的最高报价和最低报价。因落实政府采购政策进行价格调整的，以调整后的价格计算评标基准价和投标报价。</w:t>
      </w:r>
    </w:p>
    <w:p>
      <w:pPr>
        <w:ind w:firstLine="560" w:firstLineChars="200"/>
        <w:rPr>
          <w:rFonts w:hint="eastAsia" w:ascii="仿宋" w:hAnsi="仿宋" w:eastAsia="仿宋"/>
          <w:color w:val="auto"/>
          <w:sz w:val="28"/>
          <w:szCs w:val="28"/>
          <w:highlight w:val="none"/>
        </w:rPr>
      </w:pPr>
    </w:p>
    <w:p>
      <w:pPr>
        <w:ind w:firstLine="560" w:firstLineChars="200"/>
        <w:rPr>
          <w:rFonts w:hint="eastAsia" w:ascii="仿宋" w:hAnsi="仿宋" w:eastAsia="仿宋"/>
          <w:color w:val="auto"/>
          <w:sz w:val="28"/>
          <w:szCs w:val="28"/>
          <w:highlight w:val="none"/>
        </w:rPr>
      </w:pPr>
    </w:p>
    <w:p>
      <w:pPr>
        <w:ind w:firstLine="560" w:firstLineChars="200"/>
        <w:rPr>
          <w:rFonts w:hint="eastAsia" w:ascii="仿宋" w:hAnsi="仿宋" w:eastAsia="仿宋"/>
          <w:color w:val="auto"/>
          <w:sz w:val="28"/>
          <w:szCs w:val="28"/>
          <w:highlight w:val="none"/>
        </w:rPr>
      </w:pPr>
    </w:p>
    <w:p>
      <w:pPr>
        <w:ind w:firstLine="560" w:firstLineChars="200"/>
        <w:rPr>
          <w:rFonts w:hint="eastAsia" w:ascii="仿宋" w:hAnsi="仿宋" w:eastAsia="仿宋"/>
          <w:color w:val="auto"/>
          <w:sz w:val="28"/>
          <w:szCs w:val="28"/>
          <w:highlight w:val="none"/>
        </w:rPr>
      </w:pPr>
    </w:p>
    <w:p>
      <w:pPr>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4.评分</w:t>
      </w:r>
      <w:r>
        <w:rPr>
          <w:rFonts w:hint="eastAsia" w:ascii="仿宋" w:hAnsi="仿宋" w:eastAsia="仿宋"/>
          <w:color w:val="auto"/>
          <w:sz w:val="28"/>
          <w:szCs w:val="28"/>
          <w:highlight w:val="none"/>
          <w:lang w:val="en-US" w:eastAsia="zh-CN"/>
        </w:rPr>
        <w:t>标准</w:t>
      </w:r>
      <w:r>
        <w:rPr>
          <w:rFonts w:hint="eastAsia" w:ascii="仿宋" w:hAnsi="仿宋" w:eastAsia="仿宋"/>
          <w:color w:val="auto"/>
          <w:sz w:val="28"/>
          <w:szCs w:val="28"/>
          <w:highlight w:val="none"/>
        </w:rPr>
        <w:t>表</w:t>
      </w:r>
      <w:r>
        <w:rPr>
          <w:rFonts w:ascii="仿宋" w:hAnsi="仿宋" w:eastAsia="仿宋"/>
          <w:color w:val="auto"/>
          <w:sz w:val="28"/>
          <w:szCs w:val="28"/>
          <w:highlight w:val="none"/>
        </w:rPr>
        <w:t xml:space="preserve"> </w:t>
      </w:r>
    </w:p>
    <w:tbl>
      <w:tblPr>
        <w:tblStyle w:val="21"/>
        <w:tblW w:w="88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30"/>
        <w:gridCol w:w="731"/>
        <w:gridCol w:w="6233"/>
        <w:gridCol w:w="66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230" w:type="dxa"/>
            <w:tcBorders>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评审项目</w:t>
            </w:r>
          </w:p>
        </w:tc>
        <w:tc>
          <w:tcPr>
            <w:tcW w:w="731" w:type="dxa"/>
            <w:tcBorders>
              <w:left w:val="single" w:color="auto" w:sz="4" w:space="0"/>
            </w:tcBorders>
            <w:noWrap w:val="0"/>
            <w:vAlign w:val="center"/>
          </w:tcPr>
          <w:p>
            <w:pPr>
              <w:jc w:val="center"/>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分值</w:t>
            </w:r>
          </w:p>
        </w:tc>
        <w:tc>
          <w:tcPr>
            <w:tcW w:w="6233" w:type="dxa"/>
            <w:tcBorders>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评分内容</w:t>
            </w:r>
          </w:p>
        </w:tc>
        <w:tc>
          <w:tcPr>
            <w:tcW w:w="660" w:type="dxa"/>
            <w:tcBorders>
              <w:left w:val="single" w:color="auto" w:sz="4" w:space="0"/>
            </w:tcBorders>
            <w:noWrap w:val="0"/>
            <w:vAlign w:val="center"/>
          </w:tcPr>
          <w:p>
            <w:pPr>
              <w:jc w:val="center"/>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得分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454" w:hRule="atLeast"/>
          <w:jc w:val="center"/>
        </w:trPr>
        <w:tc>
          <w:tcPr>
            <w:tcW w:w="1230" w:type="dxa"/>
            <w:tcBorders>
              <w:right w:val="single" w:color="auto" w:sz="4" w:space="0"/>
            </w:tcBorders>
            <w:noWrap w:val="0"/>
            <w:vAlign w:val="center"/>
          </w:tcPr>
          <w:p>
            <w:pPr>
              <w:ind w:firstLine="240" w:firstLineChars="100"/>
              <w:jc w:val="center"/>
              <w:rPr>
                <w:rFonts w:hint="eastAsia" w:ascii="仿宋" w:hAnsi="仿宋" w:eastAsia="仿宋" w:cs="仿宋"/>
                <w:color w:val="auto"/>
                <w:sz w:val="24"/>
                <w:highlight w:val="none"/>
              </w:rPr>
            </w:pPr>
            <w:bookmarkStart w:id="124" w:name="_Hlk11247177"/>
            <w:r>
              <w:rPr>
                <w:rFonts w:hint="eastAsia" w:ascii="仿宋" w:hAnsi="仿宋" w:eastAsia="仿宋" w:cs="仿宋"/>
                <w:color w:val="auto"/>
                <w:sz w:val="24"/>
                <w:highlight w:val="none"/>
              </w:rPr>
              <w:t>价格</w:t>
            </w:r>
          </w:p>
          <w:p>
            <w:pPr>
              <w:jc w:val="center"/>
              <w:rPr>
                <w:rFonts w:hint="eastAsia" w:ascii="仿宋" w:hAnsi="仿宋" w:eastAsia="仿宋" w:cs="仿宋"/>
                <w:color w:val="auto"/>
                <w:sz w:val="24"/>
                <w:highlight w:val="none"/>
              </w:rPr>
            </w:pPr>
          </w:p>
        </w:tc>
        <w:tc>
          <w:tcPr>
            <w:tcW w:w="731" w:type="dxa"/>
            <w:tcBorders>
              <w:left w:val="single" w:color="auto" w:sz="4" w:space="0"/>
            </w:tcBorders>
            <w:noWrap w:val="0"/>
            <w:vAlign w:val="center"/>
          </w:tcPr>
          <w:p>
            <w:pPr>
              <w:jc w:val="center"/>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30</w:t>
            </w:r>
          </w:p>
        </w:tc>
        <w:tc>
          <w:tcPr>
            <w:tcW w:w="6233" w:type="dxa"/>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480" w:firstLineChars="200"/>
              <w:textAlignment w:val="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价格分应当采用低价优先法计算，即满足磋商文件要求且最后报价最低的供应商的价格为磋商基准价，其价格分为满分。其他响应供应商的价格分统一按照下列公式计算：</w:t>
            </w:r>
          </w:p>
          <w:p>
            <w:pPr>
              <w:keepNext w:val="0"/>
              <w:keepLines w:val="0"/>
              <w:pageBreakBefore w:val="0"/>
              <w:widowControl w:val="0"/>
              <w:kinsoku/>
              <w:wordWrap/>
              <w:overflowPunct/>
              <w:topLinePunct w:val="0"/>
              <w:autoSpaceDE/>
              <w:autoSpaceDN/>
              <w:bidi w:val="0"/>
              <w:adjustRightInd/>
              <w:snapToGrid/>
              <w:spacing w:line="240" w:lineRule="exact"/>
              <w:ind w:firstLine="480" w:firstLineChars="200"/>
              <w:textAlignment w:val="auto"/>
              <w:rPr>
                <w:rFonts w:hint="eastAsia" w:ascii="仿宋" w:hAnsi="仿宋" w:eastAsia="仿宋" w:cs="仿宋"/>
                <w:color w:val="auto"/>
                <w:sz w:val="24"/>
                <w:highlight w:val="none"/>
              </w:rPr>
            </w:pPr>
            <w:r>
              <w:rPr>
                <w:rFonts w:hint="eastAsia" w:ascii="仿宋" w:hAnsi="仿宋" w:eastAsia="仿宋" w:cs="仿宋"/>
                <w:color w:val="auto"/>
                <w:sz w:val="24"/>
                <w:szCs w:val="24"/>
                <w:highlight w:val="none"/>
              </w:rPr>
              <w:t>磋商报价得分=(磋商基准价／最后磋商报价)×价格分分值</w:t>
            </w:r>
          </w:p>
        </w:tc>
        <w:tc>
          <w:tcPr>
            <w:tcW w:w="660" w:type="dxa"/>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ind w:firstLine="480" w:firstLineChars="200"/>
              <w:textAlignment w:val="auto"/>
              <w:rPr>
                <w:rFonts w:hint="eastAsia" w:ascii="仿宋" w:hAnsi="仿宋" w:eastAsia="仿宋" w:cs="仿宋"/>
                <w:color w:val="auto"/>
                <w:sz w:val="24"/>
                <w:szCs w:val="24"/>
                <w:highlight w:val="none"/>
              </w:rPr>
            </w:pPr>
          </w:p>
        </w:tc>
      </w:tr>
      <w:bookmarkEnd w:id="124"/>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065" w:hRule="atLeast"/>
          <w:jc w:val="center"/>
        </w:trPr>
        <w:tc>
          <w:tcPr>
            <w:tcW w:w="1230" w:type="dxa"/>
            <w:tcBorders>
              <w:right w:val="single" w:color="auto" w:sz="4" w:space="0"/>
            </w:tcBorders>
            <w:noWrap w:val="0"/>
            <w:vAlign w:val="center"/>
          </w:tcPr>
          <w:p>
            <w:pPr>
              <w:ind w:left="239" w:leftChars="114"/>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技术参数要求响应</w:t>
            </w:r>
          </w:p>
          <w:p>
            <w:pPr>
              <w:ind w:firstLine="240" w:firstLineChars="100"/>
              <w:jc w:val="center"/>
              <w:rPr>
                <w:rFonts w:hint="eastAsia" w:ascii="仿宋" w:hAnsi="仿宋" w:eastAsia="仿宋" w:cs="仿宋"/>
                <w:color w:val="auto"/>
                <w:sz w:val="24"/>
                <w:highlight w:val="none"/>
              </w:rPr>
            </w:pPr>
          </w:p>
        </w:tc>
        <w:tc>
          <w:tcPr>
            <w:tcW w:w="731" w:type="dxa"/>
            <w:tcBorders>
              <w:left w:val="single" w:color="auto" w:sz="4" w:space="0"/>
            </w:tcBorders>
            <w:noWrap w:val="0"/>
            <w:vAlign w:val="center"/>
          </w:tcPr>
          <w:p>
            <w:pPr>
              <w:jc w:val="center"/>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40</w:t>
            </w:r>
          </w:p>
        </w:tc>
        <w:tc>
          <w:tcPr>
            <w:tcW w:w="6233" w:type="dxa"/>
            <w:tcBorders>
              <w:right w:val="single" w:color="auto" w:sz="4" w:space="0"/>
            </w:tcBorders>
            <w:noWrap w:val="0"/>
            <w:vAlign w:val="center"/>
          </w:tcPr>
          <w:p>
            <w:pPr>
              <w:rPr>
                <w:rFonts w:hint="eastAsia" w:ascii="仿宋" w:hAnsi="仿宋" w:eastAsia="仿宋" w:cs="仿宋"/>
                <w:color w:val="auto"/>
                <w:sz w:val="24"/>
                <w:highlight w:val="none"/>
                <w:lang w:eastAsia="zh-CN"/>
              </w:rPr>
            </w:pPr>
            <w:r>
              <w:rPr>
                <w:rFonts w:hint="eastAsia" w:ascii="仿宋" w:hAnsi="仿宋" w:eastAsia="仿宋" w:cs="仿宋"/>
                <w:color w:val="auto"/>
                <w:sz w:val="24"/>
                <w:highlight w:val="none"/>
              </w:rPr>
              <w:t>完全满足</w:t>
            </w:r>
            <w:r>
              <w:rPr>
                <w:rFonts w:hint="eastAsia" w:ascii="仿宋" w:hAnsi="仿宋" w:eastAsia="仿宋" w:cs="仿宋"/>
                <w:color w:val="auto"/>
                <w:sz w:val="24"/>
                <w:highlight w:val="none"/>
                <w:lang w:eastAsia="zh-CN"/>
              </w:rPr>
              <w:t>采购文件</w:t>
            </w:r>
            <w:r>
              <w:rPr>
                <w:rFonts w:hint="eastAsia" w:ascii="仿宋" w:hAnsi="仿宋" w:eastAsia="仿宋" w:cs="仿宋"/>
                <w:color w:val="auto"/>
                <w:sz w:val="24"/>
                <w:highlight w:val="none"/>
              </w:rPr>
              <w:t>技术指标要求得</w:t>
            </w:r>
            <w:r>
              <w:rPr>
                <w:rFonts w:hint="eastAsia" w:ascii="仿宋" w:hAnsi="仿宋" w:eastAsia="仿宋" w:cs="仿宋"/>
                <w:color w:val="auto"/>
                <w:sz w:val="24"/>
                <w:highlight w:val="none"/>
                <w:lang w:val="en-US" w:eastAsia="zh-CN"/>
              </w:rPr>
              <w:t>40</w:t>
            </w:r>
            <w:r>
              <w:rPr>
                <w:rFonts w:hint="eastAsia" w:ascii="仿宋" w:hAnsi="仿宋" w:eastAsia="仿宋" w:cs="仿宋"/>
                <w:color w:val="auto"/>
                <w:sz w:val="24"/>
                <w:highlight w:val="none"/>
              </w:rPr>
              <w:t>分；负偏离一项扣1分，扣完为止。要求</w:t>
            </w:r>
            <w:r>
              <w:rPr>
                <w:rFonts w:hint="eastAsia" w:ascii="仿宋" w:hAnsi="仿宋" w:eastAsia="仿宋" w:cs="仿宋"/>
                <w:color w:val="auto"/>
                <w:sz w:val="24"/>
                <w:highlight w:val="none"/>
                <w:lang w:val="en-US" w:eastAsia="zh-CN"/>
              </w:rPr>
              <w:t>提供</w:t>
            </w:r>
            <w:r>
              <w:rPr>
                <w:rFonts w:hint="eastAsia" w:ascii="仿宋" w:hAnsi="仿宋" w:eastAsia="仿宋" w:cs="仿宋"/>
                <w:color w:val="auto"/>
                <w:sz w:val="24"/>
                <w:highlight w:val="none"/>
              </w:rPr>
              <w:t>检测报告的产品技术指标要与检测报告中的指标相对应。</w:t>
            </w:r>
            <w:r>
              <w:rPr>
                <w:rFonts w:hint="eastAsia" w:ascii="仿宋" w:hAnsi="仿宋" w:eastAsia="仿宋" w:cs="仿宋"/>
                <w:color w:val="auto"/>
                <w:sz w:val="24"/>
                <w:highlight w:val="none"/>
                <w:lang w:val="en-US" w:eastAsia="zh-CN"/>
              </w:rPr>
              <w:t>标注</w:t>
            </w:r>
            <w:r>
              <w:rPr>
                <w:rFonts w:hint="eastAsia" w:ascii="仿宋" w:hAnsi="仿宋" w:eastAsia="仿宋" w:cs="仿宋"/>
                <w:color w:val="auto"/>
                <w:sz w:val="24"/>
                <w:highlight w:val="none"/>
              </w:rPr>
              <w:t>★</w:t>
            </w:r>
            <w:r>
              <w:rPr>
                <w:rFonts w:hint="eastAsia" w:ascii="仿宋" w:hAnsi="仿宋" w:eastAsia="仿宋" w:cs="仿宋"/>
                <w:color w:val="auto"/>
                <w:sz w:val="24"/>
                <w:highlight w:val="none"/>
                <w:lang w:val="en-US" w:eastAsia="zh-CN"/>
              </w:rPr>
              <w:t>条款</w:t>
            </w:r>
            <w:r>
              <w:rPr>
                <w:rFonts w:hint="eastAsia" w:ascii="仿宋" w:hAnsi="仿宋" w:eastAsia="仿宋" w:cs="仿宋"/>
                <w:color w:val="auto"/>
                <w:sz w:val="24"/>
                <w:highlight w:val="none"/>
              </w:rPr>
              <w:t>为实质性要求和条件，不允许有负偏离</w:t>
            </w:r>
            <w:r>
              <w:rPr>
                <w:rFonts w:hint="eastAsia" w:ascii="仿宋" w:hAnsi="仿宋" w:eastAsia="仿宋" w:cs="仿宋"/>
                <w:color w:val="auto"/>
                <w:sz w:val="24"/>
                <w:highlight w:val="none"/>
                <w:lang w:eastAsia="zh-CN"/>
              </w:rPr>
              <w:t>。</w:t>
            </w:r>
          </w:p>
          <w:p>
            <w:pPr>
              <w:rPr>
                <w:rFonts w:hint="eastAsia" w:ascii="仿宋" w:hAnsi="仿宋" w:eastAsia="仿宋" w:cs="仿宋"/>
                <w:color w:val="auto"/>
                <w:sz w:val="24"/>
                <w:highlight w:val="none"/>
              </w:rPr>
            </w:pPr>
          </w:p>
        </w:tc>
        <w:tc>
          <w:tcPr>
            <w:tcW w:w="660" w:type="dxa"/>
            <w:tcBorders>
              <w:left w:val="single" w:color="auto" w:sz="4" w:space="0"/>
            </w:tcBorders>
            <w:noWrap w:val="0"/>
            <w:vAlign w:val="center"/>
          </w:tcPr>
          <w:p>
            <w:pPr>
              <w:rPr>
                <w:rFonts w:hint="eastAsia" w:ascii="仿宋" w:hAnsi="仿宋" w:eastAsia="仿宋" w:cs="仿宋"/>
                <w:color w:val="auto"/>
                <w:sz w:val="24"/>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320" w:hRule="atLeast"/>
          <w:jc w:val="center"/>
        </w:trPr>
        <w:tc>
          <w:tcPr>
            <w:tcW w:w="1230" w:type="dxa"/>
            <w:tcBorders>
              <w:right w:val="single" w:color="auto" w:sz="4" w:space="0"/>
            </w:tcBorders>
            <w:noWrap w:val="0"/>
            <w:vAlign w:val="center"/>
          </w:tcPr>
          <w:p>
            <w:pPr>
              <w:ind w:left="239" w:leftChars="114"/>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企业</w:t>
            </w:r>
          </w:p>
          <w:p>
            <w:pPr>
              <w:ind w:left="239" w:leftChars="114"/>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认证</w:t>
            </w:r>
          </w:p>
          <w:p>
            <w:pPr>
              <w:ind w:left="239" w:leftChars="114"/>
              <w:jc w:val="center"/>
              <w:rPr>
                <w:rFonts w:hint="eastAsia" w:ascii="仿宋" w:hAnsi="仿宋" w:eastAsia="仿宋" w:cs="仿宋"/>
                <w:color w:val="auto"/>
                <w:sz w:val="24"/>
                <w:highlight w:val="none"/>
              </w:rPr>
            </w:pPr>
          </w:p>
        </w:tc>
        <w:tc>
          <w:tcPr>
            <w:tcW w:w="731" w:type="dxa"/>
            <w:tcBorders>
              <w:left w:val="single" w:color="auto" w:sz="4" w:space="0"/>
            </w:tcBorders>
            <w:noWrap w:val="0"/>
            <w:vAlign w:val="center"/>
          </w:tcPr>
          <w:p>
            <w:pPr>
              <w:jc w:val="center"/>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2</w:t>
            </w:r>
          </w:p>
        </w:tc>
        <w:tc>
          <w:tcPr>
            <w:tcW w:w="6233" w:type="dxa"/>
            <w:tcBorders>
              <w:right w:val="single" w:color="auto" w:sz="4" w:space="0"/>
            </w:tcBorders>
            <w:noWrap w:val="0"/>
            <w:vAlign w:val="center"/>
          </w:tcPr>
          <w:p>
            <w:pPr>
              <w:rPr>
                <w:rFonts w:hint="eastAsia" w:ascii="仿宋" w:hAnsi="仿宋" w:eastAsia="仿宋" w:cs="仿宋"/>
                <w:color w:val="auto"/>
                <w:sz w:val="24"/>
                <w:highlight w:val="none"/>
                <w:lang w:eastAsia="zh-CN"/>
              </w:rPr>
            </w:pPr>
            <w:r>
              <w:rPr>
                <w:rFonts w:hint="eastAsia" w:ascii="仿宋" w:hAnsi="仿宋" w:eastAsia="仿宋" w:cs="仿宋"/>
                <w:color w:val="auto"/>
                <w:sz w:val="24"/>
                <w:szCs w:val="24"/>
                <w:highlight w:val="none"/>
                <w:lang w:val="en-US" w:eastAsia="zh-CN"/>
              </w:rPr>
              <w:t>消防服装、正压式空气呼吸器</w:t>
            </w:r>
            <w:r>
              <w:rPr>
                <w:rFonts w:hint="eastAsia" w:ascii="仿宋" w:hAnsi="仿宋" w:eastAsia="仿宋" w:cs="仿宋"/>
                <w:color w:val="auto"/>
                <w:sz w:val="24"/>
                <w:highlight w:val="none"/>
              </w:rPr>
              <w:t>企业具有有效的ISO9001质量体系认证证书</w:t>
            </w:r>
            <w:r>
              <w:rPr>
                <w:rFonts w:hint="eastAsia" w:ascii="仿宋" w:hAnsi="仿宋" w:eastAsia="仿宋" w:cs="仿宋"/>
                <w:color w:val="auto"/>
                <w:sz w:val="24"/>
                <w:highlight w:val="none"/>
                <w:lang w:val="en-US" w:eastAsia="zh-CN"/>
              </w:rPr>
              <w:t>复印件加盖响应供应商单位公章，</w:t>
            </w:r>
            <w:r>
              <w:rPr>
                <w:rFonts w:hint="eastAsia" w:ascii="仿宋" w:hAnsi="仿宋" w:eastAsia="仿宋" w:cs="仿宋"/>
                <w:color w:val="auto"/>
                <w:sz w:val="24"/>
                <w:highlight w:val="none"/>
              </w:rPr>
              <w:t>每提供一项得1分，最高得</w:t>
            </w:r>
            <w:r>
              <w:rPr>
                <w:rFonts w:hint="eastAsia" w:ascii="仿宋" w:hAnsi="仿宋" w:eastAsia="仿宋" w:cs="仿宋"/>
                <w:color w:val="auto"/>
                <w:sz w:val="24"/>
                <w:highlight w:val="none"/>
                <w:lang w:val="en-US" w:eastAsia="zh-CN"/>
              </w:rPr>
              <w:t>2</w:t>
            </w:r>
            <w:r>
              <w:rPr>
                <w:rFonts w:hint="eastAsia" w:ascii="仿宋" w:hAnsi="仿宋" w:eastAsia="仿宋" w:cs="仿宋"/>
                <w:color w:val="auto"/>
                <w:sz w:val="24"/>
                <w:highlight w:val="none"/>
              </w:rPr>
              <w:t>分</w:t>
            </w:r>
            <w:r>
              <w:rPr>
                <w:rFonts w:hint="eastAsia" w:ascii="仿宋" w:hAnsi="仿宋" w:eastAsia="仿宋" w:cs="仿宋"/>
                <w:color w:val="auto"/>
                <w:sz w:val="24"/>
                <w:highlight w:val="none"/>
                <w:lang w:eastAsia="zh-CN"/>
              </w:rPr>
              <w:t>。</w:t>
            </w:r>
          </w:p>
        </w:tc>
        <w:tc>
          <w:tcPr>
            <w:tcW w:w="660" w:type="dxa"/>
            <w:tcBorders>
              <w:left w:val="single" w:color="auto" w:sz="4" w:space="0"/>
            </w:tcBorders>
            <w:noWrap w:val="0"/>
            <w:vAlign w:val="center"/>
          </w:tcPr>
          <w:p>
            <w:pPr>
              <w:rPr>
                <w:rFonts w:hint="eastAsia" w:ascii="仿宋" w:hAnsi="仿宋" w:eastAsia="仿宋" w:cs="仿宋"/>
                <w:color w:val="auto"/>
                <w:sz w:val="24"/>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091" w:hRule="atLeast"/>
          <w:jc w:val="center"/>
        </w:trPr>
        <w:tc>
          <w:tcPr>
            <w:tcW w:w="1230" w:type="dxa"/>
            <w:tcBorders>
              <w:right w:val="single" w:color="auto" w:sz="4" w:space="0"/>
            </w:tcBorders>
            <w:noWrap w:val="0"/>
            <w:vAlign w:val="center"/>
          </w:tcPr>
          <w:p>
            <w:pPr>
              <w:ind w:firstLine="240" w:firstLineChars="100"/>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业绩</w:t>
            </w:r>
          </w:p>
          <w:p>
            <w:pPr>
              <w:jc w:val="center"/>
              <w:rPr>
                <w:rFonts w:hint="eastAsia" w:ascii="仿宋" w:hAnsi="仿宋" w:eastAsia="仿宋" w:cs="仿宋"/>
                <w:color w:val="auto"/>
                <w:sz w:val="24"/>
                <w:highlight w:val="none"/>
              </w:rPr>
            </w:pPr>
          </w:p>
        </w:tc>
        <w:tc>
          <w:tcPr>
            <w:tcW w:w="731" w:type="dxa"/>
            <w:tcBorders>
              <w:left w:val="single" w:color="auto" w:sz="4" w:space="0"/>
            </w:tcBorders>
            <w:noWrap w:val="0"/>
            <w:vAlign w:val="center"/>
          </w:tcPr>
          <w:p>
            <w:pPr>
              <w:jc w:val="center"/>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5</w:t>
            </w:r>
          </w:p>
        </w:tc>
        <w:tc>
          <w:tcPr>
            <w:tcW w:w="6233" w:type="dxa"/>
            <w:tcBorders>
              <w:right w:val="single" w:color="auto" w:sz="4" w:space="0"/>
            </w:tcBorders>
            <w:noWrap w:val="0"/>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lang w:eastAsia="zh-CN"/>
              </w:rPr>
              <w:t>响应供应商</w:t>
            </w:r>
            <w:r>
              <w:rPr>
                <w:rFonts w:hint="eastAsia" w:ascii="仿宋" w:hAnsi="仿宋" w:eastAsia="仿宋" w:cs="仿宋"/>
                <w:color w:val="auto"/>
                <w:sz w:val="24"/>
                <w:highlight w:val="none"/>
              </w:rPr>
              <w:t>201</w:t>
            </w:r>
            <w:r>
              <w:rPr>
                <w:rFonts w:hint="eastAsia" w:ascii="仿宋" w:hAnsi="仿宋" w:eastAsia="仿宋" w:cs="仿宋"/>
                <w:color w:val="auto"/>
                <w:sz w:val="24"/>
                <w:highlight w:val="none"/>
                <w:lang w:val="en-US" w:eastAsia="zh-CN"/>
              </w:rPr>
              <w:t>8</w:t>
            </w:r>
            <w:r>
              <w:rPr>
                <w:rFonts w:hint="eastAsia" w:ascii="仿宋" w:hAnsi="仿宋" w:eastAsia="仿宋" w:cs="仿宋"/>
                <w:color w:val="auto"/>
                <w:sz w:val="24"/>
                <w:highlight w:val="none"/>
              </w:rPr>
              <w:t>年</w:t>
            </w:r>
            <w:r>
              <w:rPr>
                <w:rFonts w:hint="eastAsia" w:ascii="仿宋" w:hAnsi="仿宋" w:eastAsia="仿宋" w:cs="仿宋"/>
                <w:color w:val="auto"/>
                <w:sz w:val="24"/>
                <w:highlight w:val="none"/>
                <w:lang w:val="en-US" w:eastAsia="zh-CN"/>
              </w:rPr>
              <w:t>1月1日</w:t>
            </w:r>
            <w:r>
              <w:rPr>
                <w:rFonts w:hint="eastAsia" w:ascii="仿宋" w:hAnsi="仿宋" w:eastAsia="仿宋" w:cs="仿宋"/>
                <w:color w:val="auto"/>
                <w:sz w:val="24"/>
                <w:highlight w:val="none"/>
              </w:rPr>
              <w:t>以来</w:t>
            </w:r>
            <w:r>
              <w:rPr>
                <w:rFonts w:hint="eastAsia" w:ascii="仿宋" w:hAnsi="仿宋" w:eastAsia="仿宋" w:cs="仿宋"/>
                <w:color w:val="auto"/>
                <w:sz w:val="24"/>
                <w:highlight w:val="none"/>
                <w:lang w:val="en-US" w:eastAsia="zh-CN"/>
              </w:rPr>
              <w:t>承担的类似</w:t>
            </w:r>
            <w:r>
              <w:rPr>
                <w:rFonts w:hint="eastAsia" w:ascii="仿宋" w:hAnsi="仿宋" w:eastAsia="仿宋" w:cs="仿宋"/>
                <w:color w:val="auto"/>
                <w:sz w:val="24"/>
                <w:highlight w:val="none"/>
              </w:rPr>
              <w:t>消防</w:t>
            </w:r>
            <w:r>
              <w:rPr>
                <w:rFonts w:hint="eastAsia" w:ascii="仿宋" w:hAnsi="仿宋" w:eastAsia="仿宋" w:cs="仿宋"/>
                <w:color w:val="auto"/>
                <w:sz w:val="24"/>
                <w:highlight w:val="none"/>
                <w:lang w:val="en-US" w:eastAsia="zh-CN"/>
              </w:rPr>
              <w:t>装备</w:t>
            </w:r>
            <w:r>
              <w:rPr>
                <w:rFonts w:hint="eastAsia" w:ascii="仿宋" w:hAnsi="仿宋" w:eastAsia="仿宋" w:cs="仿宋"/>
                <w:color w:val="auto"/>
                <w:sz w:val="24"/>
                <w:highlight w:val="none"/>
              </w:rPr>
              <w:t>销售</w:t>
            </w:r>
            <w:r>
              <w:rPr>
                <w:rFonts w:hint="eastAsia" w:ascii="仿宋" w:hAnsi="仿宋" w:eastAsia="仿宋" w:cs="仿宋"/>
                <w:color w:val="auto"/>
                <w:sz w:val="24"/>
                <w:highlight w:val="none"/>
                <w:lang w:val="en-US" w:eastAsia="zh-CN"/>
              </w:rPr>
              <w:t>项目，一份得1</w:t>
            </w:r>
            <w:r>
              <w:rPr>
                <w:rFonts w:hint="eastAsia" w:ascii="仿宋" w:hAnsi="仿宋" w:eastAsia="仿宋" w:cs="仿宋"/>
                <w:color w:val="auto"/>
                <w:sz w:val="24"/>
                <w:highlight w:val="none"/>
              </w:rPr>
              <w:t>分，最多得</w:t>
            </w:r>
            <w:r>
              <w:rPr>
                <w:rFonts w:hint="eastAsia" w:ascii="仿宋" w:hAnsi="仿宋" w:eastAsia="仿宋" w:cs="仿宋"/>
                <w:color w:val="auto"/>
                <w:sz w:val="24"/>
                <w:highlight w:val="none"/>
                <w:lang w:val="en-US" w:eastAsia="zh-CN"/>
              </w:rPr>
              <w:t>5</w:t>
            </w:r>
            <w:r>
              <w:rPr>
                <w:rFonts w:hint="eastAsia" w:ascii="仿宋" w:hAnsi="仿宋" w:eastAsia="仿宋" w:cs="仿宋"/>
                <w:color w:val="auto"/>
                <w:sz w:val="24"/>
                <w:highlight w:val="none"/>
              </w:rPr>
              <w:t>分，</w:t>
            </w:r>
            <w:r>
              <w:rPr>
                <w:rFonts w:hint="eastAsia" w:ascii="仿宋" w:hAnsi="仿宋" w:eastAsia="仿宋" w:cs="仿宋"/>
                <w:color w:val="auto"/>
                <w:sz w:val="24"/>
                <w:highlight w:val="none"/>
                <w:lang w:val="en-US" w:eastAsia="zh-CN"/>
              </w:rPr>
              <w:t>提供</w:t>
            </w:r>
            <w:r>
              <w:rPr>
                <w:rFonts w:hint="eastAsia" w:ascii="仿宋" w:hAnsi="仿宋" w:eastAsia="仿宋" w:cs="仿宋"/>
                <w:color w:val="auto"/>
                <w:sz w:val="24"/>
                <w:highlight w:val="none"/>
              </w:rPr>
              <w:t>合同</w:t>
            </w:r>
            <w:r>
              <w:rPr>
                <w:rFonts w:hint="eastAsia" w:ascii="仿宋" w:hAnsi="仿宋" w:eastAsia="仿宋" w:cs="仿宋"/>
                <w:color w:val="auto"/>
                <w:sz w:val="24"/>
                <w:highlight w:val="none"/>
                <w:lang w:val="en-US" w:eastAsia="zh-CN"/>
              </w:rPr>
              <w:t>复印件，</w:t>
            </w:r>
            <w:r>
              <w:rPr>
                <w:rFonts w:hint="eastAsia" w:ascii="仿宋" w:hAnsi="仿宋" w:eastAsia="仿宋" w:cs="仿宋"/>
                <w:color w:val="auto"/>
                <w:sz w:val="24"/>
                <w:highlight w:val="none"/>
              </w:rPr>
              <w:t>原件备查。</w:t>
            </w:r>
          </w:p>
        </w:tc>
        <w:tc>
          <w:tcPr>
            <w:tcW w:w="660" w:type="dxa"/>
            <w:tcBorders>
              <w:left w:val="single" w:color="auto" w:sz="4" w:space="0"/>
            </w:tcBorders>
            <w:noWrap w:val="0"/>
            <w:vAlign w:val="center"/>
          </w:tcPr>
          <w:p>
            <w:pPr>
              <w:rPr>
                <w:rFonts w:hint="eastAsia" w:ascii="仿宋" w:hAnsi="仿宋" w:eastAsia="仿宋" w:cs="仿宋"/>
                <w:color w:val="auto"/>
                <w:sz w:val="24"/>
                <w:highlight w:val="none"/>
                <w:lang w:eastAsia="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091" w:hRule="atLeast"/>
          <w:jc w:val="center"/>
        </w:trPr>
        <w:tc>
          <w:tcPr>
            <w:tcW w:w="1230" w:type="dxa"/>
            <w:tcBorders>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项目实施方案</w:t>
            </w:r>
          </w:p>
        </w:tc>
        <w:tc>
          <w:tcPr>
            <w:tcW w:w="731" w:type="dxa"/>
            <w:tcBorders>
              <w:left w:val="single" w:color="auto" w:sz="4" w:space="0"/>
            </w:tcBorders>
            <w:noWrap w:val="0"/>
            <w:vAlign w:val="center"/>
          </w:tcPr>
          <w:p>
            <w:pPr>
              <w:jc w:val="center"/>
              <w:rPr>
                <w:rFonts w:hint="default"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5</w:t>
            </w:r>
          </w:p>
        </w:tc>
        <w:tc>
          <w:tcPr>
            <w:tcW w:w="6233" w:type="dxa"/>
            <w:tcBorders>
              <w:right w:val="single" w:color="auto" w:sz="4" w:space="0"/>
            </w:tcBorders>
            <w:noWrap w:val="0"/>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对各</w:t>
            </w:r>
            <w:r>
              <w:rPr>
                <w:rFonts w:hint="eastAsia" w:ascii="仿宋" w:hAnsi="仿宋" w:eastAsia="仿宋" w:cs="仿宋"/>
                <w:color w:val="auto"/>
                <w:sz w:val="24"/>
                <w:highlight w:val="none"/>
                <w:lang w:val="en-US" w:eastAsia="zh-CN"/>
              </w:rPr>
              <w:t>采购</w:t>
            </w:r>
            <w:r>
              <w:rPr>
                <w:rFonts w:hint="eastAsia" w:ascii="仿宋" w:hAnsi="仿宋" w:eastAsia="仿宋" w:cs="仿宋"/>
                <w:color w:val="auto"/>
                <w:sz w:val="24"/>
                <w:highlight w:val="none"/>
              </w:rPr>
              <w:t>文件中的项目实施方案中的送货方式、安装计划、人员配备、现场施工计划、调试方案、验收方案等，由</w:t>
            </w:r>
            <w:r>
              <w:rPr>
                <w:rFonts w:hint="eastAsia" w:ascii="仿宋" w:hAnsi="仿宋" w:eastAsia="仿宋" w:cs="仿宋"/>
                <w:color w:val="auto"/>
                <w:sz w:val="24"/>
                <w:highlight w:val="none"/>
                <w:lang w:val="en-US" w:eastAsia="zh-CN"/>
              </w:rPr>
              <w:t>评审小组</w:t>
            </w:r>
            <w:r>
              <w:rPr>
                <w:rFonts w:hint="eastAsia" w:ascii="仿宋" w:hAnsi="仿宋" w:eastAsia="仿宋" w:cs="仿宋"/>
                <w:color w:val="auto"/>
                <w:sz w:val="24"/>
                <w:highlight w:val="none"/>
              </w:rPr>
              <w:t>进行</w:t>
            </w:r>
            <w:r>
              <w:rPr>
                <w:rFonts w:hint="eastAsia" w:ascii="仿宋" w:hAnsi="仿宋" w:eastAsia="仿宋" w:cs="仿宋"/>
                <w:color w:val="auto"/>
                <w:sz w:val="24"/>
                <w:highlight w:val="none"/>
                <w:lang w:val="en-US" w:eastAsia="zh-CN"/>
              </w:rPr>
              <w:t>横向比较，优秀得5分；比较好得3分；一般得1分；不提供不得分。</w:t>
            </w:r>
          </w:p>
        </w:tc>
        <w:tc>
          <w:tcPr>
            <w:tcW w:w="660" w:type="dxa"/>
            <w:tcBorders>
              <w:left w:val="single" w:color="auto" w:sz="4" w:space="0"/>
            </w:tcBorders>
            <w:noWrap w:val="0"/>
            <w:vAlign w:val="center"/>
          </w:tcPr>
          <w:p>
            <w:pPr>
              <w:rPr>
                <w:rFonts w:hint="eastAsia" w:ascii="仿宋" w:hAnsi="仿宋" w:eastAsia="仿宋" w:cs="仿宋"/>
                <w:color w:val="auto"/>
                <w:sz w:val="24"/>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091" w:hRule="atLeast"/>
          <w:jc w:val="center"/>
        </w:trPr>
        <w:tc>
          <w:tcPr>
            <w:tcW w:w="1230" w:type="dxa"/>
            <w:tcBorders>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售后服务和培训</w:t>
            </w:r>
          </w:p>
          <w:p>
            <w:pPr>
              <w:jc w:val="center"/>
              <w:rPr>
                <w:rFonts w:hint="eastAsia" w:ascii="仿宋" w:hAnsi="仿宋" w:eastAsia="仿宋" w:cs="仿宋"/>
                <w:color w:val="auto"/>
                <w:sz w:val="24"/>
                <w:highlight w:val="none"/>
              </w:rPr>
            </w:pPr>
          </w:p>
        </w:tc>
        <w:tc>
          <w:tcPr>
            <w:tcW w:w="731" w:type="dxa"/>
            <w:tcBorders>
              <w:left w:val="single" w:color="auto" w:sz="4" w:space="0"/>
            </w:tcBorders>
            <w:noWrap w:val="0"/>
            <w:vAlign w:val="center"/>
          </w:tcPr>
          <w:p>
            <w:pPr>
              <w:jc w:val="center"/>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6</w:t>
            </w:r>
          </w:p>
        </w:tc>
        <w:tc>
          <w:tcPr>
            <w:tcW w:w="6233" w:type="dxa"/>
            <w:tcBorders>
              <w:right w:val="single" w:color="auto" w:sz="4" w:space="0"/>
            </w:tcBorders>
            <w:noWrap w:val="0"/>
            <w:vAlign w:val="center"/>
          </w:tcPr>
          <w:p>
            <w:pPr>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1.有详细的售后服务承诺的得1 分，无不得分；</w:t>
            </w:r>
          </w:p>
          <w:p>
            <w:pPr>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2、有质保期外服务承诺、服务措施得1 分，无不得分；</w:t>
            </w:r>
          </w:p>
          <w:p>
            <w:pPr>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3、有专业售后服务人员得1 分，无不得分；</w:t>
            </w:r>
          </w:p>
          <w:p>
            <w:pPr>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4、应急事项处理方案得1 分，无不得分；</w:t>
            </w:r>
          </w:p>
          <w:p>
            <w:pPr>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5、备品备件及优惠承诺得2 分，无不得分。</w:t>
            </w:r>
          </w:p>
        </w:tc>
        <w:tc>
          <w:tcPr>
            <w:tcW w:w="660" w:type="dxa"/>
            <w:tcBorders>
              <w:left w:val="single" w:color="auto" w:sz="4" w:space="0"/>
            </w:tcBorders>
            <w:noWrap w:val="0"/>
            <w:vAlign w:val="center"/>
          </w:tcPr>
          <w:p>
            <w:pPr>
              <w:rPr>
                <w:rFonts w:hint="eastAsia" w:ascii="仿宋" w:hAnsi="仿宋" w:eastAsia="仿宋" w:cs="仿宋"/>
                <w:color w:val="auto"/>
                <w:sz w:val="24"/>
                <w:highlight w:val="none"/>
                <w:lang w:eastAsia="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091" w:hRule="atLeast"/>
          <w:jc w:val="center"/>
        </w:trPr>
        <w:tc>
          <w:tcPr>
            <w:tcW w:w="1230" w:type="dxa"/>
            <w:tcBorders>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样品</w:t>
            </w:r>
          </w:p>
          <w:p>
            <w:pPr>
              <w:jc w:val="center"/>
              <w:rPr>
                <w:rFonts w:hint="eastAsia" w:ascii="仿宋" w:hAnsi="仿宋" w:eastAsia="仿宋" w:cs="仿宋"/>
                <w:color w:val="auto"/>
                <w:sz w:val="24"/>
                <w:highlight w:val="none"/>
              </w:rPr>
            </w:pPr>
          </w:p>
        </w:tc>
        <w:tc>
          <w:tcPr>
            <w:tcW w:w="731" w:type="dxa"/>
            <w:tcBorders>
              <w:left w:val="single" w:color="auto" w:sz="4" w:space="0"/>
            </w:tcBorders>
            <w:noWrap w:val="0"/>
            <w:vAlign w:val="center"/>
          </w:tcPr>
          <w:p>
            <w:pPr>
              <w:jc w:val="center"/>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12</w:t>
            </w:r>
          </w:p>
        </w:tc>
        <w:tc>
          <w:tcPr>
            <w:tcW w:w="6233" w:type="dxa"/>
            <w:tcBorders>
              <w:right w:val="single" w:color="auto" w:sz="4" w:space="0"/>
            </w:tcBorders>
            <w:noWrap w:val="0"/>
            <w:vAlign w:val="center"/>
          </w:tcPr>
          <w:p>
            <w:pPr>
              <w:widowControl/>
              <w:rPr>
                <w:rFonts w:hint="eastAsia" w:ascii="仿宋" w:hAnsi="仿宋" w:eastAsia="仿宋" w:cs="仿宋"/>
                <w:color w:val="auto"/>
                <w:kern w:val="0"/>
                <w:sz w:val="14"/>
                <w:szCs w:val="14"/>
                <w:highlight w:val="none"/>
              </w:rPr>
            </w:pPr>
            <w:r>
              <w:rPr>
                <w:rFonts w:hint="eastAsia" w:ascii="仿宋" w:hAnsi="仿宋" w:eastAsia="仿宋" w:cs="仿宋"/>
                <w:color w:val="auto"/>
                <w:sz w:val="24"/>
                <w:highlight w:val="none"/>
              </w:rPr>
              <w:t>提供：正压式空气呼吸器、</w:t>
            </w:r>
            <w:r>
              <w:rPr>
                <w:rFonts w:hint="eastAsia" w:ascii="仿宋" w:hAnsi="仿宋" w:eastAsia="仿宋" w:cs="仿宋"/>
                <w:color w:val="auto"/>
                <w:sz w:val="24"/>
                <w:highlight w:val="none"/>
                <w:lang w:val="en-US" w:eastAsia="zh-CN"/>
              </w:rPr>
              <w:t>消防头盔、</w:t>
            </w:r>
            <w:r>
              <w:rPr>
                <w:rFonts w:hint="eastAsia" w:ascii="仿宋" w:hAnsi="仿宋" w:eastAsia="仿宋" w:cs="仿宋"/>
                <w:color w:val="auto"/>
                <w:sz w:val="24"/>
                <w:highlight w:val="none"/>
              </w:rPr>
              <w:t>抢险救援头盔、消防员避火防护服、一级化学防护服</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lang w:val="en-US" w:eastAsia="zh-CN"/>
              </w:rPr>
              <w:t>消防安全腰带</w:t>
            </w:r>
            <w:r>
              <w:rPr>
                <w:rFonts w:hint="eastAsia" w:ascii="仿宋" w:hAnsi="仿宋" w:eastAsia="仿宋" w:cs="仿宋"/>
                <w:color w:val="auto"/>
                <w:sz w:val="24"/>
                <w:highlight w:val="none"/>
              </w:rPr>
              <w:t>、</w:t>
            </w:r>
            <w:r>
              <w:rPr>
                <w:rFonts w:hint="eastAsia" w:ascii="仿宋" w:hAnsi="仿宋" w:eastAsia="仿宋" w:cs="仿宋"/>
                <w:color w:val="auto"/>
                <w:sz w:val="24"/>
                <w:szCs w:val="24"/>
                <w:highlight w:val="none"/>
                <w:lang w:val="en-US" w:eastAsia="zh-CN"/>
              </w:rPr>
              <w:t>消防员灭火防护靴、</w:t>
            </w:r>
            <w:r>
              <w:rPr>
                <w:rFonts w:hint="default" w:ascii="仿宋" w:hAnsi="仿宋" w:eastAsia="仿宋" w:cs="仿宋"/>
                <w:color w:val="auto"/>
                <w:sz w:val="24"/>
                <w:highlight w:val="none"/>
                <w:lang w:val="en-US" w:eastAsia="zh-CN"/>
              </w:rPr>
              <w:t>无后坐力消防水枪</w:t>
            </w:r>
            <w:r>
              <w:rPr>
                <w:rFonts w:hint="eastAsia" w:ascii="仿宋" w:hAnsi="仿宋" w:eastAsia="仿宋" w:cs="仿宋"/>
                <w:color w:val="auto"/>
                <w:sz w:val="24"/>
                <w:highlight w:val="none"/>
              </w:rPr>
              <w:t>，</w:t>
            </w:r>
            <w:r>
              <w:rPr>
                <w:rFonts w:hint="eastAsia" w:ascii="仿宋" w:hAnsi="仿宋" w:eastAsia="仿宋" w:cs="仿宋"/>
                <w:color w:val="auto"/>
                <w:sz w:val="24"/>
                <w:highlight w:val="none"/>
                <w:lang w:val="en-US" w:eastAsia="zh-CN"/>
              </w:rPr>
              <w:t>评审小组根据样品使用的材料、做工、</w:t>
            </w:r>
            <w:r>
              <w:rPr>
                <w:rFonts w:hint="eastAsia" w:ascii="仿宋" w:hAnsi="仿宋" w:eastAsia="仿宋" w:cs="仿宋"/>
                <w:color w:val="auto"/>
                <w:sz w:val="24"/>
                <w:highlight w:val="none"/>
              </w:rPr>
              <w:t>外观、性能、实用性等方面综合评定</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lang w:val="en-US" w:eastAsia="zh-CN"/>
              </w:rPr>
              <w:t>每个样品在0.5-1.5之间打分，本项最高12分</w:t>
            </w:r>
            <w:r>
              <w:rPr>
                <w:rFonts w:hint="eastAsia" w:ascii="仿宋" w:hAnsi="仿宋" w:eastAsia="仿宋" w:cs="仿宋"/>
                <w:color w:val="auto"/>
                <w:sz w:val="24"/>
                <w:highlight w:val="none"/>
              </w:rPr>
              <w:t>。</w:t>
            </w:r>
          </w:p>
        </w:tc>
        <w:tc>
          <w:tcPr>
            <w:tcW w:w="660" w:type="dxa"/>
            <w:tcBorders>
              <w:left w:val="single" w:color="auto" w:sz="4" w:space="0"/>
            </w:tcBorders>
            <w:noWrap w:val="0"/>
            <w:vAlign w:val="center"/>
          </w:tcPr>
          <w:p>
            <w:pPr>
              <w:widowControl/>
              <w:rPr>
                <w:rFonts w:hint="eastAsia" w:ascii="仿宋" w:hAnsi="仿宋" w:eastAsia="仿宋" w:cs="仿宋"/>
                <w:color w:val="auto"/>
                <w:sz w:val="24"/>
                <w:highlight w:val="none"/>
              </w:rPr>
            </w:pPr>
          </w:p>
        </w:tc>
      </w:tr>
    </w:tbl>
    <w:p>
      <w:pPr>
        <w:ind w:firstLine="482" w:firstLineChars="200"/>
        <w:rPr>
          <w:rFonts w:hint="eastAsia" w:ascii="仿宋" w:hAnsi="仿宋" w:eastAsia="仿宋" w:cs="Arial"/>
          <w:b/>
          <w:bCs w:val="0"/>
          <w:color w:val="auto"/>
          <w:kern w:val="2"/>
          <w:sz w:val="24"/>
          <w:szCs w:val="24"/>
          <w:highlight w:val="none"/>
          <w:lang w:val="en-US" w:eastAsia="zh-CN" w:bidi="ar-SA"/>
        </w:rPr>
      </w:pPr>
      <w:bookmarkStart w:id="125" w:name="_Toc28309"/>
    </w:p>
    <w:p>
      <w:pPr>
        <w:ind w:firstLine="482" w:firstLineChars="200"/>
        <w:rPr>
          <w:rFonts w:hint="eastAsia" w:ascii="方正小标宋简体" w:eastAsia="方正小标宋简体"/>
          <w:bCs/>
          <w:color w:val="auto"/>
          <w:sz w:val="32"/>
          <w:szCs w:val="32"/>
          <w:highlight w:val="none"/>
        </w:rPr>
      </w:pPr>
      <w:r>
        <w:rPr>
          <w:rFonts w:hint="eastAsia" w:ascii="仿宋" w:hAnsi="仿宋" w:eastAsia="仿宋" w:cs="Arial"/>
          <w:b/>
          <w:bCs w:val="0"/>
          <w:color w:val="auto"/>
          <w:kern w:val="2"/>
          <w:sz w:val="24"/>
          <w:szCs w:val="24"/>
          <w:highlight w:val="none"/>
          <w:lang w:val="en-US" w:eastAsia="zh-CN" w:bidi="ar-SA"/>
        </w:rPr>
        <w:t>注意：磋商响应供应商对“评分标准表”中的所有打分项逐一响应并提供证明文件（复印件），放在“商务技术响应文件”中，所有文件均需加盖响应供应商单位公章。对于“评分标准表”中证明材料，磋商响应供应商均须将原件带到开标现场，根据评审委员会要求提交核查，不能提交原件的证明材料不予认可，相应得分项不予得分。</w:t>
      </w:r>
      <w:bookmarkEnd w:id="125"/>
      <w:ins w:id="1" w:author="经天纬地 公司账号 [2]" w:date="2021-12-22T11:34:00Z">
        <w:bookmarkStart w:id="126" w:name="_Toc11987"/>
        <w:r>
          <w:rPr>
            <w:rFonts w:ascii="方正小标宋简体" w:eastAsia="方正小标宋简体"/>
            <w:bCs/>
            <w:color w:val="auto"/>
            <w:sz w:val="44"/>
            <w:szCs w:val="28"/>
            <w:highlight w:val="none"/>
          </w:rPr>
          <w:br w:type="page"/>
        </w:r>
      </w:ins>
      <w:r>
        <w:rPr>
          <w:rFonts w:hint="eastAsia" w:ascii="方正小标宋简体" w:eastAsia="方正小标宋简体"/>
          <w:bCs/>
          <w:color w:val="auto"/>
          <w:sz w:val="44"/>
          <w:szCs w:val="28"/>
          <w:highlight w:val="none"/>
          <w:lang w:val="en-US" w:eastAsia="zh-CN"/>
        </w:rPr>
        <w:t xml:space="preserve">         </w:t>
      </w:r>
      <w:r>
        <w:rPr>
          <w:rFonts w:hint="eastAsia" w:ascii="方正小标宋简体" w:eastAsia="方正小标宋简体"/>
          <w:bCs/>
          <w:color w:val="auto"/>
          <w:sz w:val="32"/>
          <w:szCs w:val="32"/>
          <w:highlight w:val="none"/>
        </w:rPr>
        <w:t>第六章 竞争性磋商响应文件</w:t>
      </w:r>
      <w:bookmarkEnd w:id="126"/>
    </w:p>
    <w:p>
      <w:pPr>
        <w:rPr>
          <w:rFonts w:hint="eastAsia" w:ascii="黑体" w:hAnsi="黑体" w:eastAsia="黑体"/>
          <w:color w:val="auto"/>
          <w:sz w:val="28"/>
          <w:szCs w:val="28"/>
          <w:highlight w:val="none"/>
        </w:rPr>
      </w:pPr>
      <w:r>
        <w:rPr>
          <w:rFonts w:hint="eastAsia" w:ascii="黑体" w:hAnsi="黑体" w:eastAsia="黑体"/>
          <w:color w:val="auto"/>
          <w:sz w:val="28"/>
          <w:szCs w:val="28"/>
          <w:highlight w:val="none"/>
        </w:rPr>
        <w:t>封面</w:t>
      </w:r>
    </w:p>
    <w:p>
      <w:pPr>
        <w:spacing w:line="500" w:lineRule="exact"/>
        <w:ind w:firstLine="880" w:firstLineChars="200"/>
        <w:jc w:val="center"/>
        <w:outlineLvl w:val="9"/>
        <w:rPr>
          <w:rFonts w:hint="eastAsia" w:ascii="方正小标宋简体" w:hAnsi="仿宋" w:eastAsia="方正小标宋简体"/>
          <w:color w:val="auto"/>
          <w:sz w:val="44"/>
          <w:szCs w:val="44"/>
          <w:highlight w:val="none"/>
        </w:rPr>
      </w:pPr>
      <w:bookmarkStart w:id="127" w:name="_Toc21177"/>
      <w:bookmarkStart w:id="128" w:name="_Toc11183"/>
      <w:bookmarkStart w:id="129" w:name="_Toc21420"/>
      <w:bookmarkStart w:id="130" w:name="_Toc21925"/>
      <w:bookmarkStart w:id="131" w:name="_Toc11249"/>
      <w:bookmarkStart w:id="132" w:name="_Toc16125"/>
      <w:bookmarkStart w:id="133" w:name="_Toc24543"/>
      <w:bookmarkStart w:id="134" w:name="_Toc15627"/>
      <w:r>
        <w:rPr>
          <w:rFonts w:hint="eastAsia" w:ascii="方正小标宋简体" w:hAnsi="仿宋" w:eastAsia="方正小标宋简体"/>
          <w:color w:val="auto"/>
          <w:sz w:val="44"/>
          <w:szCs w:val="44"/>
          <w:highlight w:val="none"/>
        </w:rPr>
        <w:t>如皋市政府采购竞争性磋商响应文件</w:t>
      </w:r>
      <w:bookmarkEnd w:id="127"/>
      <w:bookmarkEnd w:id="128"/>
      <w:bookmarkEnd w:id="129"/>
      <w:bookmarkEnd w:id="130"/>
      <w:bookmarkEnd w:id="131"/>
      <w:bookmarkEnd w:id="132"/>
      <w:bookmarkEnd w:id="133"/>
      <w:bookmarkEnd w:id="134"/>
    </w:p>
    <w:p>
      <w:pPr>
        <w:ind w:firstLine="1434" w:firstLineChars="595"/>
        <w:rPr>
          <w:rFonts w:hint="eastAsia" w:ascii="宋体" w:hAnsi="宋体"/>
          <w:b/>
          <w:color w:val="auto"/>
          <w:sz w:val="24"/>
          <w:highlight w:val="none"/>
        </w:rPr>
      </w:pPr>
    </w:p>
    <w:p>
      <w:pPr>
        <w:ind w:firstLine="2072" w:firstLineChars="645"/>
        <w:rPr>
          <w:rFonts w:hint="eastAsia" w:ascii="宋体" w:hAnsi="宋体"/>
          <w:b/>
          <w:color w:val="auto"/>
          <w:sz w:val="32"/>
          <w:szCs w:val="32"/>
          <w:highlight w:val="none"/>
        </w:rPr>
      </w:pPr>
    </w:p>
    <w:p>
      <w:pPr>
        <w:ind w:firstLine="2072" w:firstLineChars="645"/>
        <w:rPr>
          <w:rFonts w:hint="eastAsia" w:ascii="宋体" w:hAnsi="宋体"/>
          <w:b/>
          <w:color w:val="auto"/>
          <w:sz w:val="32"/>
          <w:szCs w:val="32"/>
          <w:highlight w:val="none"/>
        </w:rPr>
      </w:pPr>
    </w:p>
    <w:p>
      <w:pPr>
        <w:ind w:firstLine="2072" w:firstLineChars="645"/>
        <w:rPr>
          <w:rFonts w:hint="eastAsia" w:ascii="宋体" w:hAnsi="宋体"/>
          <w:b/>
          <w:color w:val="auto"/>
          <w:sz w:val="32"/>
          <w:szCs w:val="32"/>
          <w:highlight w:val="none"/>
        </w:rPr>
      </w:pPr>
    </w:p>
    <w:p>
      <w:pPr>
        <w:ind w:firstLine="2072" w:firstLineChars="645"/>
        <w:rPr>
          <w:rFonts w:hint="eastAsia" w:ascii="宋体" w:hAnsi="宋体"/>
          <w:b/>
          <w:color w:val="auto"/>
          <w:sz w:val="32"/>
          <w:szCs w:val="32"/>
          <w:highlight w:val="none"/>
        </w:rPr>
      </w:pPr>
    </w:p>
    <w:p>
      <w:pPr>
        <w:ind w:firstLine="2072" w:firstLineChars="645"/>
        <w:rPr>
          <w:rFonts w:hint="eastAsia" w:ascii="宋体" w:hAnsi="宋体"/>
          <w:b/>
          <w:color w:val="auto"/>
          <w:sz w:val="32"/>
          <w:szCs w:val="32"/>
          <w:highlight w:val="none"/>
        </w:rPr>
      </w:pPr>
    </w:p>
    <w:p>
      <w:pPr>
        <w:ind w:firstLine="2072" w:firstLineChars="645"/>
        <w:outlineLvl w:val="9"/>
        <w:rPr>
          <w:rFonts w:hint="eastAsia" w:ascii="宋体" w:hAnsi="宋体"/>
          <w:b/>
          <w:color w:val="auto"/>
          <w:sz w:val="32"/>
          <w:szCs w:val="32"/>
          <w:highlight w:val="none"/>
        </w:rPr>
      </w:pPr>
      <w:bookmarkStart w:id="135" w:name="_Toc31527"/>
      <w:bookmarkStart w:id="136" w:name="_Toc18636"/>
      <w:bookmarkStart w:id="137" w:name="_Toc6731"/>
      <w:bookmarkStart w:id="138" w:name="_Toc13001"/>
      <w:bookmarkStart w:id="139" w:name="_Toc25965"/>
      <w:bookmarkStart w:id="140" w:name="_Toc10608"/>
      <w:bookmarkStart w:id="141" w:name="_Toc7419"/>
      <w:bookmarkStart w:id="142" w:name="_Toc4761"/>
      <w:bookmarkStart w:id="143" w:name="_Toc31740"/>
      <w:r>
        <w:rPr>
          <w:rFonts w:hint="eastAsia" w:ascii="宋体" w:hAnsi="宋体"/>
          <w:b/>
          <w:color w:val="auto"/>
          <w:sz w:val="32"/>
          <w:szCs w:val="32"/>
          <w:highlight w:val="none"/>
        </w:rPr>
        <w:t>项目名称：</w:t>
      </w:r>
      <w:bookmarkEnd w:id="135"/>
      <w:bookmarkEnd w:id="136"/>
      <w:bookmarkEnd w:id="137"/>
      <w:bookmarkEnd w:id="138"/>
      <w:bookmarkEnd w:id="139"/>
      <w:bookmarkEnd w:id="140"/>
      <w:bookmarkEnd w:id="141"/>
      <w:bookmarkEnd w:id="142"/>
      <w:bookmarkEnd w:id="143"/>
      <w:r>
        <w:rPr>
          <w:rFonts w:hint="eastAsia" w:ascii="宋体" w:hAnsi="宋体"/>
          <w:b/>
          <w:color w:val="auto"/>
          <w:sz w:val="32"/>
          <w:szCs w:val="32"/>
          <w:highlight w:val="none"/>
          <w:u w:val="single"/>
        </w:rPr>
        <w:t xml:space="preserve">               </w:t>
      </w:r>
    </w:p>
    <w:p>
      <w:pPr>
        <w:outlineLvl w:val="9"/>
        <w:rPr>
          <w:rFonts w:hint="eastAsia" w:ascii="宋体" w:hAnsi="宋体"/>
          <w:b/>
          <w:color w:val="auto"/>
          <w:sz w:val="32"/>
          <w:szCs w:val="32"/>
          <w:highlight w:val="none"/>
          <w:u w:val="single"/>
        </w:rPr>
      </w:pPr>
      <w:r>
        <w:rPr>
          <w:rFonts w:hint="eastAsia" w:ascii="宋体" w:hAnsi="宋体"/>
          <w:b/>
          <w:color w:val="auto"/>
          <w:sz w:val="32"/>
          <w:szCs w:val="32"/>
          <w:highlight w:val="none"/>
        </w:rPr>
        <w:t xml:space="preserve">             </w:t>
      </w:r>
      <w:bookmarkStart w:id="144" w:name="_Toc29276"/>
      <w:bookmarkStart w:id="145" w:name="_Toc17497"/>
      <w:bookmarkStart w:id="146" w:name="_Toc22207"/>
      <w:bookmarkStart w:id="147" w:name="_Toc30092"/>
      <w:bookmarkStart w:id="148" w:name="_Toc6609"/>
      <w:bookmarkStart w:id="149" w:name="_Toc13368"/>
      <w:bookmarkStart w:id="150" w:name="_Toc11706"/>
      <w:bookmarkStart w:id="151" w:name="_Toc8648"/>
      <w:bookmarkStart w:id="152" w:name="_Toc3616"/>
      <w:r>
        <w:rPr>
          <w:rFonts w:hint="eastAsia" w:ascii="宋体" w:hAnsi="宋体"/>
          <w:b/>
          <w:color w:val="auto"/>
          <w:sz w:val="32"/>
          <w:szCs w:val="32"/>
          <w:highlight w:val="none"/>
        </w:rPr>
        <w:t>计划编号：</w:t>
      </w:r>
      <w:bookmarkEnd w:id="144"/>
      <w:bookmarkEnd w:id="145"/>
      <w:bookmarkEnd w:id="146"/>
      <w:bookmarkEnd w:id="147"/>
      <w:bookmarkEnd w:id="148"/>
      <w:bookmarkEnd w:id="149"/>
      <w:bookmarkEnd w:id="150"/>
      <w:bookmarkEnd w:id="151"/>
      <w:bookmarkEnd w:id="152"/>
      <w:r>
        <w:rPr>
          <w:rFonts w:hint="eastAsia" w:ascii="宋体" w:hAnsi="宋体"/>
          <w:b/>
          <w:color w:val="auto"/>
          <w:sz w:val="32"/>
          <w:szCs w:val="32"/>
          <w:highlight w:val="none"/>
          <w:u w:val="single"/>
        </w:rPr>
        <w:t xml:space="preserve">               </w:t>
      </w:r>
    </w:p>
    <w:p>
      <w:pPr>
        <w:jc w:val="center"/>
        <w:rPr>
          <w:rFonts w:hint="eastAsia" w:ascii="宋体" w:hAnsi="宋体"/>
          <w:b/>
          <w:color w:val="auto"/>
          <w:sz w:val="32"/>
          <w:szCs w:val="32"/>
          <w:highlight w:val="none"/>
          <w:u w:val="single"/>
        </w:rPr>
      </w:pPr>
    </w:p>
    <w:p>
      <w:pPr>
        <w:jc w:val="center"/>
        <w:rPr>
          <w:rFonts w:hint="eastAsia" w:ascii="宋体" w:hAnsi="宋体"/>
          <w:b/>
          <w:color w:val="auto"/>
          <w:sz w:val="32"/>
          <w:szCs w:val="32"/>
          <w:highlight w:val="none"/>
          <w:u w:val="single"/>
        </w:rPr>
      </w:pPr>
    </w:p>
    <w:p>
      <w:pPr>
        <w:jc w:val="center"/>
        <w:rPr>
          <w:rFonts w:hint="eastAsia" w:ascii="宋体" w:hAnsi="宋体"/>
          <w:b/>
          <w:color w:val="auto"/>
          <w:sz w:val="32"/>
          <w:szCs w:val="32"/>
          <w:highlight w:val="none"/>
          <w:u w:val="single"/>
        </w:rPr>
      </w:pPr>
    </w:p>
    <w:p>
      <w:pPr>
        <w:jc w:val="center"/>
        <w:rPr>
          <w:rFonts w:hint="eastAsia" w:ascii="宋体" w:hAnsi="宋体"/>
          <w:b/>
          <w:color w:val="auto"/>
          <w:sz w:val="32"/>
          <w:szCs w:val="32"/>
          <w:highlight w:val="none"/>
          <w:u w:val="single"/>
        </w:rPr>
      </w:pPr>
    </w:p>
    <w:p>
      <w:pPr>
        <w:pStyle w:val="11"/>
        <w:rPr>
          <w:rFonts w:hint="eastAsia" w:ascii="文鼎CS楷体" w:eastAsia="文鼎CS楷体"/>
          <w:b/>
          <w:bCs/>
          <w:color w:val="auto"/>
          <w:sz w:val="32"/>
          <w:szCs w:val="32"/>
          <w:highlight w:val="none"/>
        </w:rPr>
      </w:pPr>
    </w:p>
    <w:p>
      <w:pPr>
        <w:outlineLvl w:val="9"/>
        <w:rPr>
          <w:rFonts w:hint="eastAsia"/>
          <w:b/>
          <w:color w:val="auto"/>
          <w:sz w:val="32"/>
          <w:szCs w:val="32"/>
          <w:highlight w:val="none"/>
        </w:rPr>
      </w:pPr>
      <w:bookmarkStart w:id="153" w:name="_Toc31897"/>
      <w:bookmarkStart w:id="154" w:name="_Toc24264"/>
      <w:bookmarkStart w:id="155" w:name="_Toc7886"/>
      <w:bookmarkStart w:id="156" w:name="_Toc3705"/>
      <w:bookmarkStart w:id="157" w:name="_Toc5131"/>
      <w:bookmarkStart w:id="158" w:name="_Toc29644"/>
      <w:bookmarkStart w:id="159" w:name="_Toc16563"/>
      <w:bookmarkStart w:id="160" w:name="_Toc6295"/>
      <w:bookmarkStart w:id="161" w:name="_Toc17479"/>
      <w:r>
        <w:rPr>
          <w:rFonts w:hint="eastAsia"/>
          <w:b/>
          <w:color w:val="auto"/>
          <w:sz w:val="32"/>
          <w:szCs w:val="32"/>
          <w:highlight w:val="none"/>
        </w:rPr>
        <w:t>供应商名称：</w:t>
      </w:r>
      <w:bookmarkEnd w:id="153"/>
      <w:bookmarkEnd w:id="154"/>
      <w:bookmarkEnd w:id="155"/>
      <w:bookmarkEnd w:id="156"/>
      <w:bookmarkEnd w:id="157"/>
      <w:bookmarkEnd w:id="158"/>
      <w:bookmarkEnd w:id="159"/>
      <w:bookmarkEnd w:id="160"/>
      <w:bookmarkEnd w:id="161"/>
    </w:p>
    <w:p>
      <w:pPr>
        <w:outlineLvl w:val="9"/>
        <w:rPr>
          <w:rFonts w:hint="eastAsia"/>
          <w:b/>
          <w:color w:val="auto"/>
          <w:sz w:val="32"/>
          <w:szCs w:val="32"/>
          <w:highlight w:val="none"/>
        </w:rPr>
      </w:pPr>
      <w:bookmarkStart w:id="162" w:name="_Toc29826"/>
      <w:bookmarkStart w:id="163" w:name="_Toc27624"/>
      <w:bookmarkStart w:id="164" w:name="_Toc19503"/>
      <w:bookmarkStart w:id="165" w:name="_Toc434"/>
      <w:bookmarkStart w:id="166" w:name="_Toc10953"/>
      <w:bookmarkStart w:id="167" w:name="_Toc15705"/>
      <w:bookmarkStart w:id="168" w:name="_Toc1859"/>
      <w:bookmarkStart w:id="169" w:name="_Toc4327"/>
      <w:bookmarkStart w:id="170" w:name="_Toc27225"/>
      <w:r>
        <w:rPr>
          <w:rFonts w:hint="eastAsia"/>
          <w:b/>
          <w:color w:val="auto"/>
          <w:sz w:val="32"/>
          <w:szCs w:val="32"/>
          <w:highlight w:val="none"/>
        </w:rPr>
        <w:t>法定代表人或授权代表签字：</w:t>
      </w:r>
      <w:bookmarkEnd w:id="162"/>
      <w:bookmarkEnd w:id="163"/>
      <w:bookmarkEnd w:id="164"/>
      <w:bookmarkEnd w:id="165"/>
      <w:bookmarkEnd w:id="166"/>
      <w:bookmarkEnd w:id="167"/>
      <w:bookmarkEnd w:id="168"/>
      <w:bookmarkEnd w:id="169"/>
      <w:bookmarkEnd w:id="170"/>
    </w:p>
    <w:p>
      <w:pPr>
        <w:snapToGrid w:val="0"/>
        <w:spacing w:line="500" w:lineRule="atLeast"/>
        <w:outlineLvl w:val="9"/>
        <w:rPr>
          <w:rFonts w:hint="eastAsia" w:ascii="宋体" w:hAnsi="宋体"/>
          <w:b/>
          <w:color w:val="auto"/>
          <w:sz w:val="32"/>
          <w:szCs w:val="32"/>
          <w:highlight w:val="none"/>
        </w:rPr>
      </w:pPr>
      <w:bookmarkStart w:id="171" w:name="_Toc1392"/>
      <w:bookmarkStart w:id="172" w:name="_Toc19102"/>
      <w:bookmarkStart w:id="173" w:name="_Toc22595"/>
      <w:bookmarkStart w:id="174" w:name="_Toc8360"/>
      <w:bookmarkStart w:id="175" w:name="_Toc24256"/>
      <w:bookmarkStart w:id="176" w:name="_Toc26358"/>
      <w:bookmarkStart w:id="177" w:name="_Toc4844"/>
      <w:bookmarkStart w:id="178" w:name="_Toc30912"/>
      <w:bookmarkStart w:id="179" w:name="_Toc13704"/>
      <w:r>
        <w:rPr>
          <w:rFonts w:hint="eastAsia" w:ascii="宋体" w:hAnsi="宋体"/>
          <w:b/>
          <w:color w:val="auto"/>
          <w:sz w:val="32"/>
          <w:szCs w:val="32"/>
          <w:highlight w:val="none"/>
        </w:rPr>
        <w:t>地址：</w:t>
      </w:r>
      <w:bookmarkEnd w:id="171"/>
      <w:bookmarkEnd w:id="172"/>
      <w:bookmarkEnd w:id="173"/>
      <w:bookmarkEnd w:id="174"/>
      <w:bookmarkEnd w:id="175"/>
      <w:bookmarkEnd w:id="176"/>
      <w:bookmarkEnd w:id="177"/>
      <w:bookmarkEnd w:id="178"/>
      <w:bookmarkEnd w:id="179"/>
      <w:r>
        <w:rPr>
          <w:rFonts w:hint="eastAsia" w:ascii="宋体" w:hAnsi="宋体"/>
          <w:b/>
          <w:color w:val="auto"/>
          <w:sz w:val="32"/>
          <w:szCs w:val="32"/>
          <w:highlight w:val="none"/>
        </w:rPr>
        <w:t xml:space="preserve"> </w:t>
      </w:r>
    </w:p>
    <w:p>
      <w:pPr>
        <w:snapToGrid w:val="0"/>
        <w:spacing w:line="500" w:lineRule="atLeast"/>
        <w:outlineLvl w:val="9"/>
        <w:rPr>
          <w:rFonts w:hint="eastAsia" w:ascii="宋体" w:hAnsi="宋体"/>
          <w:b/>
          <w:color w:val="auto"/>
          <w:sz w:val="32"/>
          <w:szCs w:val="32"/>
          <w:highlight w:val="none"/>
        </w:rPr>
      </w:pPr>
      <w:bookmarkStart w:id="180" w:name="_Toc26479"/>
      <w:bookmarkStart w:id="181" w:name="_Toc14830"/>
      <w:bookmarkStart w:id="182" w:name="_Toc23957"/>
      <w:bookmarkStart w:id="183" w:name="_Toc29334"/>
      <w:bookmarkStart w:id="184" w:name="_Toc21461"/>
      <w:bookmarkStart w:id="185" w:name="_Toc22289"/>
      <w:bookmarkStart w:id="186" w:name="_Toc6346"/>
      <w:bookmarkStart w:id="187" w:name="_Toc32668"/>
      <w:bookmarkStart w:id="188" w:name="_Toc19177"/>
      <w:r>
        <w:rPr>
          <w:rFonts w:hint="eastAsia"/>
          <w:b/>
          <w:color w:val="auto"/>
          <w:sz w:val="32"/>
          <w:szCs w:val="32"/>
          <w:highlight w:val="none"/>
        </w:rPr>
        <w:t>联系</w:t>
      </w:r>
      <w:r>
        <w:rPr>
          <w:rFonts w:hint="eastAsia" w:ascii="宋体" w:hAnsi="宋体"/>
          <w:b/>
          <w:color w:val="auto"/>
          <w:sz w:val="32"/>
          <w:szCs w:val="32"/>
          <w:highlight w:val="none"/>
        </w:rPr>
        <w:t>电话：</w:t>
      </w:r>
      <w:bookmarkEnd w:id="180"/>
      <w:bookmarkEnd w:id="181"/>
      <w:bookmarkEnd w:id="182"/>
      <w:bookmarkEnd w:id="183"/>
      <w:bookmarkEnd w:id="184"/>
      <w:bookmarkEnd w:id="185"/>
      <w:bookmarkEnd w:id="186"/>
      <w:bookmarkEnd w:id="187"/>
      <w:bookmarkEnd w:id="188"/>
      <w:r>
        <w:rPr>
          <w:rFonts w:hint="eastAsia" w:ascii="宋体" w:hAnsi="宋体"/>
          <w:b/>
          <w:color w:val="auto"/>
          <w:sz w:val="32"/>
          <w:szCs w:val="32"/>
          <w:highlight w:val="none"/>
        </w:rPr>
        <w:t xml:space="preserve"> </w:t>
      </w:r>
    </w:p>
    <w:p>
      <w:pPr>
        <w:snapToGrid w:val="0"/>
        <w:spacing w:line="500" w:lineRule="atLeast"/>
        <w:jc w:val="center"/>
        <w:outlineLvl w:val="9"/>
        <w:rPr>
          <w:rFonts w:hint="eastAsia" w:ascii="宋体" w:hAnsi="宋体"/>
          <w:b/>
          <w:color w:val="auto"/>
          <w:sz w:val="32"/>
          <w:szCs w:val="32"/>
          <w:highlight w:val="none"/>
        </w:rPr>
      </w:pPr>
      <w:r>
        <w:rPr>
          <w:rFonts w:hint="eastAsia" w:ascii="宋体" w:hAnsi="宋体"/>
          <w:b/>
          <w:color w:val="auto"/>
          <w:sz w:val="32"/>
          <w:szCs w:val="32"/>
          <w:highlight w:val="none"/>
          <w:u w:val="single"/>
        </w:rPr>
        <w:t xml:space="preserve">      </w:t>
      </w:r>
      <w:bookmarkStart w:id="189" w:name="_Toc23702"/>
      <w:bookmarkStart w:id="190" w:name="_Toc11363"/>
      <w:bookmarkStart w:id="191" w:name="_Toc3051"/>
      <w:bookmarkStart w:id="192" w:name="_Toc1252"/>
      <w:bookmarkStart w:id="193" w:name="_Toc19749"/>
      <w:bookmarkStart w:id="194" w:name="_Toc27325"/>
      <w:bookmarkStart w:id="195" w:name="_Toc1577"/>
      <w:bookmarkStart w:id="196" w:name="_Toc5236"/>
      <w:r>
        <w:rPr>
          <w:rFonts w:hint="eastAsia" w:ascii="宋体" w:hAnsi="宋体"/>
          <w:b/>
          <w:color w:val="auto"/>
          <w:sz w:val="32"/>
          <w:szCs w:val="32"/>
          <w:highlight w:val="none"/>
        </w:rPr>
        <w:t>年</w:t>
      </w:r>
      <w:r>
        <w:rPr>
          <w:rFonts w:hint="eastAsia" w:ascii="宋体" w:hAnsi="宋体"/>
          <w:b/>
          <w:color w:val="auto"/>
          <w:sz w:val="32"/>
          <w:szCs w:val="32"/>
          <w:highlight w:val="none"/>
          <w:u w:val="single"/>
        </w:rPr>
        <w:t xml:space="preserve">   </w:t>
      </w:r>
      <w:r>
        <w:rPr>
          <w:rFonts w:hint="eastAsia" w:ascii="宋体" w:hAnsi="宋体"/>
          <w:b/>
          <w:color w:val="auto"/>
          <w:sz w:val="32"/>
          <w:szCs w:val="32"/>
          <w:highlight w:val="none"/>
        </w:rPr>
        <w:t>月</w:t>
      </w:r>
      <w:r>
        <w:rPr>
          <w:rFonts w:hint="eastAsia" w:ascii="宋体" w:hAnsi="宋体"/>
          <w:b/>
          <w:color w:val="auto"/>
          <w:sz w:val="32"/>
          <w:szCs w:val="32"/>
          <w:highlight w:val="none"/>
          <w:u w:val="single"/>
        </w:rPr>
        <w:t xml:space="preserve">   </w:t>
      </w:r>
      <w:r>
        <w:rPr>
          <w:rFonts w:hint="eastAsia" w:ascii="宋体" w:hAnsi="宋体"/>
          <w:b/>
          <w:color w:val="auto"/>
          <w:sz w:val="32"/>
          <w:szCs w:val="32"/>
          <w:highlight w:val="none"/>
        </w:rPr>
        <w:t>日</w:t>
      </w:r>
      <w:bookmarkEnd w:id="189"/>
      <w:bookmarkEnd w:id="190"/>
      <w:bookmarkEnd w:id="191"/>
      <w:bookmarkEnd w:id="192"/>
      <w:bookmarkEnd w:id="193"/>
      <w:bookmarkEnd w:id="194"/>
      <w:bookmarkEnd w:id="195"/>
      <w:bookmarkEnd w:id="196"/>
    </w:p>
    <w:p>
      <w:pPr>
        <w:snapToGrid w:val="0"/>
        <w:spacing w:line="500" w:lineRule="atLeast"/>
        <w:jc w:val="center"/>
        <w:rPr>
          <w:rFonts w:hint="eastAsia" w:ascii="宋体" w:hAnsi="宋体"/>
          <w:b/>
          <w:color w:val="auto"/>
          <w:sz w:val="32"/>
          <w:szCs w:val="32"/>
          <w:highlight w:val="none"/>
        </w:rPr>
      </w:pPr>
      <w:r>
        <w:rPr>
          <w:rFonts w:ascii="宋体" w:hAnsi="宋体"/>
          <w:b/>
          <w:color w:val="auto"/>
          <w:sz w:val="32"/>
          <w:szCs w:val="32"/>
          <w:highlight w:val="none"/>
        </w:rPr>
        <w:br w:type="page"/>
      </w:r>
    </w:p>
    <w:p>
      <w:pPr>
        <w:spacing w:line="500" w:lineRule="exact"/>
        <w:ind w:firstLine="560" w:firstLineChars="200"/>
        <w:outlineLvl w:val="1"/>
        <w:rPr>
          <w:rFonts w:hint="eastAsia" w:ascii="仿宋" w:hAnsi="仿宋" w:eastAsia="仿宋"/>
          <w:color w:val="auto"/>
          <w:sz w:val="28"/>
          <w:szCs w:val="28"/>
          <w:highlight w:val="none"/>
        </w:rPr>
      </w:pPr>
      <w:bookmarkStart w:id="197" w:name="_Toc20119"/>
      <w:bookmarkStart w:id="198" w:name="_Toc23180"/>
      <w:bookmarkStart w:id="199" w:name="_Toc28762"/>
      <w:bookmarkStart w:id="200" w:name="_Toc10448"/>
      <w:bookmarkStart w:id="201" w:name="_Toc16699"/>
      <w:r>
        <w:rPr>
          <w:rFonts w:hint="eastAsia" w:ascii="黑体" w:hAnsi="黑体" w:eastAsia="黑体"/>
          <w:color w:val="auto"/>
          <w:sz w:val="28"/>
          <w:szCs w:val="28"/>
          <w:highlight w:val="none"/>
        </w:rPr>
        <w:t>一、供应商资格证明材料</w:t>
      </w:r>
      <w:bookmarkEnd w:id="197"/>
      <w:bookmarkEnd w:id="198"/>
      <w:bookmarkEnd w:id="199"/>
      <w:bookmarkEnd w:id="200"/>
      <w:bookmarkEnd w:id="201"/>
    </w:p>
    <w:p>
      <w:pPr>
        <w:spacing w:line="500" w:lineRule="exact"/>
        <w:ind w:firstLine="560" w:firstLineChars="200"/>
        <w:rPr>
          <w:rFonts w:hint="eastAsia" w:ascii="仿宋" w:hAnsi="仿宋" w:eastAsia="仿宋" w:cs="Arial"/>
          <w:bCs/>
          <w:color w:val="auto"/>
          <w:sz w:val="28"/>
          <w:szCs w:val="28"/>
          <w:highlight w:val="none"/>
        </w:rPr>
      </w:pPr>
      <w:r>
        <w:rPr>
          <w:rFonts w:hint="eastAsia" w:ascii="仿宋" w:hAnsi="仿宋" w:eastAsia="仿宋"/>
          <w:bCs/>
          <w:color w:val="auto"/>
          <w:sz w:val="28"/>
          <w:szCs w:val="28"/>
          <w:highlight w:val="none"/>
        </w:rPr>
        <w:t>（一）</w:t>
      </w:r>
      <w:r>
        <w:rPr>
          <w:rFonts w:hint="eastAsia" w:ascii="仿宋" w:hAnsi="仿宋" w:eastAsia="仿宋" w:cs="Arial"/>
          <w:bCs/>
          <w:color w:val="auto"/>
          <w:sz w:val="28"/>
          <w:szCs w:val="28"/>
          <w:highlight w:val="none"/>
        </w:rPr>
        <w:t>法人或者其他组织的营业执照，自然人的身份证明（复印件）。</w:t>
      </w:r>
    </w:p>
    <w:p>
      <w:pPr>
        <w:spacing w:line="500" w:lineRule="exact"/>
        <w:ind w:firstLine="560" w:firstLineChars="200"/>
        <w:rPr>
          <w:rFonts w:hint="eastAsia" w:ascii="仿宋" w:hAnsi="仿宋" w:eastAsia="仿宋" w:cs="Arial"/>
          <w:bCs/>
          <w:color w:val="auto"/>
          <w:sz w:val="28"/>
          <w:szCs w:val="28"/>
          <w:highlight w:val="none"/>
        </w:rPr>
      </w:pPr>
      <w:r>
        <w:rPr>
          <w:rFonts w:hint="eastAsia" w:ascii="仿宋" w:hAnsi="仿宋" w:eastAsia="仿宋" w:cs="Arial"/>
          <w:bCs/>
          <w:color w:val="auto"/>
          <w:sz w:val="28"/>
          <w:szCs w:val="28"/>
          <w:highlight w:val="none"/>
        </w:rPr>
        <w:t>（二）上一年度财务状况报告（复印件，成立不满一年不需提供）。</w:t>
      </w:r>
    </w:p>
    <w:p>
      <w:pPr>
        <w:spacing w:line="500" w:lineRule="exact"/>
        <w:ind w:firstLine="560" w:firstLineChars="200"/>
        <w:rPr>
          <w:rFonts w:hint="eastAsia" w:ascii="仿宋" w:hAnsi="仿宋" w:eastAsia="仿宋" w:cs="Arial"/>
          <w:bCs/>
          <w:color w:val="auto"/>
          <w:sz w:val="28"/>
          <w:szCs w:val="28"/>
          <w:highlight w:val="none"/>
        </w:rPr>
      </w:pPr>
      <w:r>
        <w:rPr>
          <w:rFonts w:hint="eastAsia" w:ascii="仿宋" w:hAnsi="仿宋" w:eastAsia="仿宋" w:cs="Arial"/>
          <w:bCs/>
          <w:color w:val="auto"/>
          <w:sz w:val="28"/>
          <w:szCs w:val="28"/>
          <w:highlight w:val="none"/>
        </w:rPr>
        <w:t>（三）依法缴纳税收和社会保障资金的相关材料（复印件）。</w:t>
      </w:r>
    </w:p>
    <w:p>
      <w:pPr>
        <w:spacing w:line="500" w:lineRule="exact"/>
        <w:ind w:firstLine="560" w:firstLineChars="200"/>
        <w:rPr>
          <w:rFonts w:hint="eastAsia" w:ascii="仿宋" w:hAnsi="仿宋" w:eastAsia="仿宋" w:cs="Arial"/>
          <w:bCs/>
          <w:color w:val="auto"/>
          <w:sz w:val="28"/>
          <w:szCs w:val="28"/>
          <w:highlight w:val="none"/>
        </w:rPr>
      </w:pPr>
      <w:r>
        <w:rPr>
          <w:rFonts w:hint="eastAsia" w:ascii="仿宋" w:hAnsi="仿宋" w:eastAsia="仿宋" w:cs="Arial"/>
          <w:bCs/>
          <w:color w:val="auto"/>
          <w:sz w:val="28"/>
          <w:szCs w:val="28"/>
          <w:highlight w:val="none"/>
        </w:rPr>
        <w:t>参加本次政府采购活动前一年内至少三个月缴纳增值税、营业税或者企业所得税的</w:t>
      </w:r>
      <w:r>
        <w:rPr>
          <w:rFonts w:hint="eastAsia" w:ascii="仿宋" w:hAnsi="仿宋" w:eastAsia="仿宋" w:cs="Arial"/>
          <w:color w:val="auto"/>
          <w:sz w:val="28"/>
          <w:szCs w:val="28"/>
          <w:highlight w:val="none"/>
        </w:rPr>
        <w:t>凭</w:t>
      </w:r>
      <w:r>
        <w:rPr>
          <w:rFonts w:hint="eastAsia" w:ascii="仿宋" w:hAnsi="仿宋" w:eastAsia="仿宋" w:cs="Arial"/>
          <w:bCs/>
          <w:color w:val="auto"/>
          <w:sz w:val="28"/>
          <w:szCs w:val="28"/>
          <w:highlight w:val="none"/>
        </w:rPr>
        <w:t>据，以及缴纳社会保险的凭据（专用收据或者社会保险缴纳清单）（复印件）。</w:t>
      </w:r>
    </w:p>
    <w:p>
      <w:pPr>
        <w:spacing w:line="500" w:lineRule="exact"/>
        <w:ind w:firstLine="560" w:firstLineChars="200"/>
        <w:rPr>
          <w:rFonts w:hint="eastAsia" w:ascii="仿宋" w:hAnsi="仿宋" w:eastAsia="仿宋" w:cs="Arial"/>
          <w:color w:val="auto"/>
          <w:sz w:val="28"/>
          <w:szCs w:val="28"/>
          <w:highlight w:val="none"/>
        </w:rPr>
      </w:pPr>
      <w:r>
        <w:rPr>
          <w:rFonts w:hint="eastAsia" w:ascii="仿宋" w:hAnsi="仿宋" w:eastAsia="仿宋" w:cs="Arial"/>
          <w:bCs/>
          <w:color w:val="auto"/>
          <w:sz w:val="28"/>
          <w:szCs w:val="28"/>
          <w:highlight w:val="none"/>
        </w:rPr>
        <w:t>（四）具备履行合同所必需的设备和专业技术能</w:t>
      </w:r>
      <w:r>
        <w:rPr>
          <w:rFonts w:hint="eastAsia" w:ascii="仿宋" w:hAnsi="仿宋" w:eastAsia="仿宋" w:cs="Arial"/>
          <w:color w:val="auto"/>
          <w:sz w:val="28"/>
          <w:szCs w:val="28"/>
          <w:highlight w:val="none"/>
        </w:rPr>
        <w:t>力的书面声明（</w:t>
      </w:r>
      <w:r>
        <w:rPr>
          <w:rFonts w:ascii="仿宋" w:hAnsi="仿宋" w:eastAsia="仿宋" w:cs="Arial"/>
          <w:color w:val="auto"/>
          <w:sz w:val="28"/>
          <w:szCs w:val="28"/>
          <w:highlight w:val="none"/>
        </w:rPr>
        <w:t>原件</w:t>
      </w:r>
      <w:r>
        <w:rPr>
          <w:rFonts w:hint="eastAsia" w:ascii="仿宋" w:hAnsi="仿宋" w:eastAsia="仿宋" w:cs="Arial"/>
          <w:color w:val="auto"/>
          <w:sz w:val="28"/>
          <w:szCs w:val="28"/>
          <w:highlight w:val="none"/>
        </w:rPr>
        <w:t>）。</w:t>
      </w:r>
    </w:p>
    <w:p>
      <w:pPr>
        <w:jc w:val="center"/>
        <w:outlineLvl w:val="9"/>
        <w:rPr>
          <w:rFonts w:hint="eastAsia" w:ascii="方正小标宋简体" w:hAnsi="仿宋" w:eastAsia="方正小标宋简体"/>
          <w:color w:val="auto"/>
          <w:sz w:val="36"/>
          <w:szCs w:val="36"/>
          <w:highlight w:val="none"/>
        </w:rPr>
      </w:pPr>
      <w:r>
        <w:rPr>
          <w:rFonts w:hint="eastAsia" w:ascii="方正小标宋简体" w:hAnsi="仿宋" w:eastAsia="方正小标宋简体"/>
          <w:color w:val="auto"/>
          <w:sz w:val="36"/>
          <w:szCs w:val="36"/>
          <w:highlight w:val="none"/>
        </w:rPr>
        <w:t>声  明</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我公司郑重声明：我公司具备履行本项采购合同所必需的设备和专业技术能力，为履行本项采购合同我公司具备如下主要设备和主要专业技术能力：</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主要设备有：________。</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主要专业技术能力有：________。</w:t>
      </w:r>
    </w:p>
    <w:p>
      <w:pPr>
        <w:spacing w:line="500" w:lineRule="exact"/>
        <w:ind w:firstLine="560" w:firstLineChars="200"/>
        <w:rPr>
          <w:rFonts w:hint="eastAsia" w:ascii="仿宋" w:hAnsi="仿宋" w:eastAsia="仿宋"/>
          <w:color w:val="auto"/>
          <w:sz w:val="28"/>
          <w:szCs w:val="28"/>
          <w:highlight w:val="none"/>
        </w:rPr>
      </w:pPr>
    </w:p>
    <w:p>
      <w:pPr>
        <w:spacing w:line="500" w:lineRule="exact"/>
        <w:ind w:firstLine="2520" w:firstLineChars="9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供应商名称（公章）：</w:t>
      </w:r>
    </w:p>
    <w:p>
      <w:pPr>
        <w:spacing w:line="500" w:lineRule="exac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 xml:space="preserve">                       授权代表签字：_________________</w:t>
      </w:r>
    </w:p>
    <w:p>
      <w:pPr>
        <w:spacing w:before="50" w:after="156" w:afterLines="50" w:line="500" w:lineRule="exact"/>
        <w:ind w:firstLine="560" w:firstLineChars="200"/>
        <w:jc w:val="left"/>
        <w:rPr>
          <w:rFonts w:ascii="仿宋" w:hAnsi="仿宋" w:eastAsia="仿宋"/>
          <w:b/>
          <w:color w:val="auto"/>
          <w:sz w:val="28"/>
          <w:szCs w:val="28"/>
          <w:highlight w:val="none"/>
        </w:rPr>
      </w:pPr>
      <w:r>
        <w:rPr>
          <w:rFonts w:hint="eastAsia" w:ascii="仿宋" w:hAnsi="仿宋" w:eastAsia="仿宋"/>
          <w:color w:val="auto"/>
          <w:sz w:val="28"/>
          <w:szCs w:val="28"/>
          <w:highlight w:val="none"/>
        </w:rPr>
        <w:t xml:space="preserve">                           日期：______年 </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月</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日</w:t>
      </w:r>
    </w:p>
    <w:p>
      <w:pPr>
        <w:spacing w:line="500" w:lineRule="exact"/>
        <w:ind w:firstLine="562" w:firstLineChars="200"/>
        <w:rPr>
          <w:rFonts w:hint="eastAsia" w:ascii="仿宋" w:hAnsi="仿宋" w:eastAsia="仿宋" w:cs="Arial"/>
          <w:color w:val="auto"/>
          <w:sz w:val="28"/>
          <w:szCs w:val="28"/>
          <w:highlight w:val="none"/>
        </w:rPr>
      </w:pPr>
      <w:r>
        <w:rPr>
          <w:rFonts w:ascii="仿宋" w:hAnsi="仿宋" w:eastAsia="仿宋"/>
          <w:b/>
          <w:color w:val="auto"/>
          <w:sz w:val="28"/>
          <w:szCs w:val="28"/>
          <w:highlight w:val="none"/>
        </w:rPr>
        <w:br w:type="page"/>
      </w:r>
      <w:r>
        <w:rPr>
          <w:rFonts w:hint="eastAsia" w:ascii="仿宋" w:hAnsi="仿宋" w:eastAsia="仿宋"/>
          <w:bCs/>
          <w:color w:val="auto"/>
          <w:sz w:val="28"/>
          <w:szCs w:val="28"/>
          <w:highlight w:val="none"/>
        </w:rPr>
        <w:t>（五）</w:t>
      </w:r>
      <w:r>
        <w:rPr>
          <w:rFonts w:hint="eastAsia" w:ascii="仿宋" w:hAnsi="仿宋" w:eastAsia="仿宋" w:cs="Arial"/>
          <w:color w:val="auto"/>
          <w:sz w:val="28"/>
          <w:szCs w:val="28"/>
          <w:highlight w:val="none"/>
        </w:rPr>
        <w:t>参加政府采购活动前 3 年内在经营活动中没有重大违法记录的书面声明（</w:t>
      </w:r>
      <w:r>
        <w:rPr>
          <w:rFonts w:ascii="仿宋" w:hAnsi="仿宋" w:eastAsia="仿宋"/>
          <w:color w:val="auto"/>
          <w:sz w:val="28"/>
          <w:szCs w:val="28"/>
          <w:highlight w:val="none"/>
        </w:rPr>
        <w:t>原件</w:t>
      </w:r>
      <w:r>
        <w:rPr>
          <w:rFonts w:hint="eastAsia" w:ascii="仿宋" w:hAnsi="仿宋" w:eastAsia="仿宋" w:cs="Arial"/>
          <w:color w:val="auto"/>
          <w:sz w:val="28"/>
          <w:szCs w:val="28"/>
          <w:highlight w:val="none"/>
        </w:rPr>
        <w:t>）。</w:t>
      </w:r>
    </w:p>
    <w:p>
      <w:pPr>
        <w:jc w:val="center"/>
        <w:outlineLvl w:val="9"/>
        <w:rPr>
          <w:rFonts w:hint="eastAsia" w:ascii="方正小标宋简体" w:hAnsi="仿宋" w:eastAsia="方正小标宋简体"/>
          <w:color w:val="auto"/>
          <w:sz w:val="36"/>
          <w:szCs w:val="36"/>
          <w:highlight w:val="none"/>
        </w:rPr>
      </w:pPr>
      <w:r>
        <w:rPr>
          <w:rFonts w:hint="eastAsia" w:ascii="方正小标宋简体" w:hAnsi="仿宋" w:eastAsia="方正小标宋简体"/>
          <w:color w:val="auto"/>
          <w:sz w:val="36"/>
          <w:szCs w:val="36"/>
          <w:highlight w:val="none"/>
        </w:rPr>
        <w:t>声  明</w:t>
      </w:r>
    </w:p>
    <w:p>
      <w:pPr>
        <w:spacing w:line="500" w:lineRule="exact"/>
        <w:ind w:firstLine="482"/>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我公司郑重声明：参加本次政府采购活动前 3 年内，我公司在经营活动中没有因违法经营受到刑事处罚或者责令停产停业、吊销许可证或者执照、较大数额罚款等行政处罚。</w:t>
      </w:r>
    </w:p>
    <w:p>
      <w:pPr>
        <w:spacing w:line="500" w:lineRule="exact"/>
        <w:ind w:firstLine="482"/>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在投标截止时间节点，没有被“信用中国”（</w:t>
      </w:r>
      <w:r>
        <w:rPr>
          <w:rFonts w:ascii="仿宋" w:hAnsi="仿宋" w:eastAsia="仿宋"/>
          <w:color w:val="auto"/>
          <w:sz w:val="28"/>
          <w:szCs w:val="28"/>
          <w:highlight w:val="none"/>
        </w:rPr>
        <w:t>www.creditchina.gov.cn</w:t>
      </w:r>
      <w:r>
        <w:rPr>
          <w:rFonts w:hint="eastAsia" w:ascii="仿宋" w:hAnsi="仿宋" w:eastAsia="仿宋"/>
          <w:color w:val="auto"/>
          <w:sz w:val="28"/>
          <w:szCs w:val="28"/>
          <w:highlight w:val="none"/>
        </w:rPr>
        <w:t>）、“中国政府采购网”（</w:t>
      </w:r>
      <w:r>
        <w:rPr>
          <w:rFonts w:ascii="仿宋" w:hAnsi="仿宋" w:eastAsia="仿宋"/>
          <w:color w:val="auto"/>
          <w:sz w:val="28"/>
          <w:szCs w:val="28"/>
          <w:highlight w:val="none"/>
        </w:rPr>
        <w:t>www.ccgp.gov.cn</w:t>
      </w:r>
      <w:r>
        <w:rPr>
          <w:rFonts w:hint="eastAsia" w:ascii="仿宋" w:hAnsi="仿宋" w:eastAsia="仿宋"/>
          <w:color w:val="auto"/>
          <w:sz w:val="28"/>
          <w:szCs w:val="28"/>
          <w:highlight w:val="none"/>
        </w:rPr>
        <w:t>）、“信用江苏”（</w:t>
      </w:r>
      <w:r>
        <w:rPr>
          <w:rFonts w:ascii="仿宋" w:hAnsi="仿宋" w:eastAsia="仿宋"/>
          <w:color w:val="auto"/>
          <w:sz w:val="28"/>
          <w:szCs w:val="28"/>
          <w:highlight w:val="none"/>
        </w:rPr>
        <w:t>www.jscredit.cn/index.htm</w:t>
      </w:r>
      <w:r>
        <w:rPr>
          <w:rFonts w:hint="eastAsia" w:ascii="仿宋" w:hAnsi="仿宋" w:eastAsia="仿宋"/>
          <w:color w:val="auto"/>
          <w:sz w:val="28"/>
          <w:szCs w:val="28"/>
          <w:highlight w:val="none"/>
        </w:rPr>
        <w:t>）网站列入失信被执行人、重大税收违法案件当事人名单、政府采购严重违法失信行为记录名单。</w:t>
      </w:r>
    </w:p>
    <w:p>
      <w:pPr>
        <w:spacing w:line="500" w:lineRule="exact"/>
        <w:ind w:firstLine="482"/>
        <w:rPr>
          <w:rFonts w:hint="eastAsia" w:ascii="仿宋" w:hAnsi="仿宋" w:eastAsia="仿宋"/>
          <w:color w:val="auto"/>
          <w:sz w:val="28"/>
          <w:szCs w:val="28"/>
          <w:highlight w:val="none"/>
        </w:rPr>
      </w:pPr>
    </w:p>
    <w:p>
      <w:pPr>
        <w:spacing w:line="500" w:lineRule="exac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 xml:space="preserve">                       供应商名称（公章）：</w:t>
      </w:r>
    </w:p>
    <w:p>
      <w:pPr>
        <w:spacing w:line="500" w:lineRule="exac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 xml:space="preserve">                       授权代表签字：_________________</w:t>
      </w:r>
    </w:p>
    <w:p>
      <w:pPr>
        <w:spacing w:line="500" w:lineRule="exact"/>
        <w:ind w:firstLine="560" w:firstLineChars="200"/>
        <w:rPr>
          <w:rFonts w:hint="eastAsia" w:ascii="仿宋" w:hAnsi="仿宋" w:eastAsia="仿宋" w:cs="Arial"/>
          <w:color w:val="auto"/>
          <w:sz w:val="28"/>
          <w:szCs w:val="28"/>
          <w:highlight w:val="none"/>
        </w:rPr>
      </w:pPr>
      <w:r>
        <w:rPr>
          <w:rFonts w:hint="eastAsia" w:ascii="仿宋" w:hAnsi="仿宋" w:eastAsia="仿宋"/>
          <w:color w:val="auto"/>
          <w:sz w:val="28"/>
          <w:szCs w:val="28"/>
          <w:highlight w:val="none"/>
        </w:rPr>
        <w:t xml:space="preserve">                           日期：______年 </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月</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日</w:t>
      </w:r>
    </w:p>
    <w:p>
      <w:pPr>
        <w:spacing w:before="50" w:after="156" w:afterLines="50" w:line="480" w:lineRule="exact"/>
        <w:ind w:firstLine="562" w:firstLineChars="200"/>
        <w:jc w:val="left"/>
        <w:rPr>
          <w:rFonts w:hint="eastAsia" w:ascii="仿宋" w:hAnsi="仿宋" w:eastAsia="仿宋"/>
          <w:color w:val="auto"/>
          <w:sz w:val="28"/>
          <w:szCs w:val="28"/>
          <w:highlight w:val="none"/>
        </w:rPr>
      </w:pPr>
      <w:r>
        <w:rPr>
          <w:rFonts w:ascii="仿宋" w:hAnsi="仿宋" w:eastAsia="仿宋"/>
          <w:b/>
          <w:color w:val="auto"/>
          <w:sz w:val="28"/>
          <w:szCs w:val="28"/>
          <w:highlight w:val="none"/>
        </w:rPr>
        <w:br w:type="page"/>
      </w:r>
      <w:r>
        <w:rPr>
          <w:rFonts w:hint="eastAsia" w:ascii="仿宋" w:hAnsi="仿宋" w:eastAsia="仿宋"/>
          <w:bCs/>
          <w:color w:val="auto"/>
          <w:sz w:val="28"/>
          <w:szCs w:val="28"/>
          <w:highlight w:val="none"/>
        </w:rPr>
        <w:t>（六）</w:t>
      </w:r>
      <w:r>
        <w:rPr>
          <w:rFonts w:hint="eastAsia" w:ascii="仿宋" w:hAnsi="仿宋" w:eastAsia="仿宋"/>
          <w:color w:val="auto"/>
          <w:sz w:val="28"/>
          <w:szCs w:val="28"/>
          <w:highlight w:val="none"/>
        </w:rPr>
        <w:t>法人</w:t>
      </w:r>
      <w:r>
        <w:rPr>
          <w:rFonts w:ascii="仿宋" w:hAnsi="仿宋" w:eastAsia="仿宋"/>
          <w:color w:val="auto"/>
          <w:sz w:val="28"/>
          <w:szCs w:val="28"/>
          <w:highlight w:val="none"/>
        </w:rPr>
        <w:t>授权书（原件）</w:t>
      </w:r>
      <w:r>
        <w:rPr>
          <w:rFonts w:hint="eastAsia" w:ascii="仿宋" w:hAnsi="仿宋" w:eastAsia="仿宋"/>
          <w:color w:val="auto"/>
          <w:sz w:val="28"/>
          <w:szCs w:val="28"/>
          <w:highlight w:val="none"/>
        </w:rPr>
        <w:t>。</w:t>
      </w:r>
    </w:p>
    <w:p>
      <w:pPr>
        <w:spacing w:line="480" w:lineRule="exact"/>
        <w:jc w:val="center"/>
        <w:outlineLvl w:val="9"/>
        <w:rPr>
          <w:rFonts w:hint="eastAsia" w:ascii="方正小标宋简体" w:eastAsia="方正小标宋简体"/>
          <w:i/>
          <w:color w:val="auto"/>
          <w:sz w:val="36"/>
          <w:szCs w:val="36"/>
          <w:highlight w:val="none"/>
        </w:rPr>
      </w:pPr>
      <w:r>
        <w:rPr>
          <w:rFonts w:hint="eastAsia" w:ascii="方正小标宋简体" w:eastAsia="方正小标宋简体"/>
          <w:color w:val="auto"/>
          <w:sz w:val="36"/>
          <w:szCs w:val="36"/>
          <w:highlight w:val="none"/>
        </w:rPr>
        <w:t>法定代表人授权委托书</w:t>
      </w:r>
    </w:p>
    <w:p>
      <w:pPr>
        <w:pStyle w:val="43"/>
        <w:spacing w:line="480" w:lineRule="exact"/>
        <w:ind w:firstLine="48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本授权书声明：____________（供应商名称）授权________________（被授权人的姓名）为我方就项目名称：____________项目编号:____________采购活动的合法代理人，以本公司名义全权处理一切与该项目采购有关的事务。</w:t>
      </w:r>
    </w:p>
    <w:p>
      <w:pPr>
        <w:pStyle w:val="43"/>
        <w:spacing w:line="480" w:lineRule="exact"/>
        <w:ind w:firstLine="48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本授权书于______年____月____日起生效，特此声明。</w:t>
      </w:r>
    </w:p>
    <w:p>
      <w:pPr>
        <w:pStyle w:val="43"/>
        <w:spacing w:line="480" w:lineRule="exact"/>
        <w:ind w:firstLine="480"/>
        <w:rPr>
          <w:rFonts w:hint="eastAsia" w:ascii="仿宋" w:hAnsi="仿宋" w:eastAsia="仿宋"/>
          <w:color w:val="auto"/>
          <w:sz w:val="28"/>
          <w:szCs w:val="28"/>
          <w:highlight w:val="none"/>
        </w:rPr>
      </w:pPr>
    </w:p>
    <w:p>
      <w:pPr>
        <w:pStyle w:val="43"/>
        <w:spacing w:line="480" w:lineRule="exact"/>
        <w:ind w:firstLine="480"/>
        <w:rPr>
          <w:rFonts w:hint="eastAsia" w:ascii="仿宋" w:hAnsi="仿宋" w:eastAsia="仿宋"/>
          <w:color w:val="auto"/>
          <w:sz w:val="28"/>
          <w:szCs w:val="28"/>
          <w:highlight w:val="none"/>
          <w:u w:val="single"/>
        </w:rPr>
      </w:pPr>
      <w:r>
        <w:rPr>
          <w:rFonts w:hint="eastAsia" w:ascii="仿宋" w:hAnsi="仿宋" w:eastAsia="仿宋"/>
          <w:color w:val="auto"/>
          <w:sz w:val="28"/>
          <w:szCs w:val="28"/>
          <w:highlight w:val="none"/>
        </w:rPr>
        <w:t xml:space="preserve">法定代表人（签字）： </w:t>
      </w:r>
      <w:r>
        <w:rPr>
          <w:rFonts w:hint="eastAsia" w:ascii="仿宋" w:hAnsi="仿宋" w:eastAsia="仿宋"/>
          <w:color w:val="auto"/>
          <w:sz w:val="28"/>
          <w:szCs w:val="28"/>
          <w:highlight w:val="none"/>
          <w:u w:val="single"/>
        </w:rPr>
        <w:t xml:space="preserve">          </w:t>
      </w:r>
    </w:p>
    <w:p>
      <w:pPr>
        <w:pStyle w:val="43"/>
        <w:spacing w:line="480" w:lineRule="exact"/>
        <w:ind w:firstLine="48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身份证号码：</w:t>
      </w:r>
      <w:r>
        <w:rPr>
          <w:rFonts w:hint="eastAsia" w:ascii="仿宋" w:hAnsi="仿宋" w:eastAsia="仿宋"/>
          <w:color w:val="auto"/>
          <w:sz w:val="28"/>
          <w:szCs w:val="28"/>
          <w:highlight w:val="none"/>
          <w:u w:val="single"/>
        </w:rPr>
        <w:t xml:space="preserve">                  </w:t>
      </w:r>
    </w:p>
    <w:p>
      <w:pPr>
        <w:pStyle w:val="43"/>
        <w:spacing w:line="480" w:lineRule="exact"/>
        <w:ind w:firstLine="232" w:firstLineChars="83"/>
        <w:rPr>
          <w:rFonts w:hint="eastAsia" w:ascii="仿宋" w:hAnsi="仿宋" w:eastAsia="仿宋"/>
          <w:color w:val="auto"/>
          <w:sz w:val="28"/>
          <w:szCs w:val="28"/>
          <w:highlight w:val="none"/>
        </w:rPr>
      </w:pPr>
      <w:r>
        <w:rPr>
          <w:rFonts w:hint="eastAsia" w:ascii="仿宋" w:hAnsi="仿宋" w:eastAsia="仿宋"/>
          <w:color w:val="auto"/>
          <w:sz w:val="28"/>
          <w:szCs w:val="28"/>
          <w:highlight w:val="none"/>
        </w:rPr>
        <w:t xml:space="preserve">  联系电话（手机）：</w:t>
      </w:r>
      <w:r>
        <w:rPr>
          <w:rFonts w:hint="eastAsia" w:ascii="仿宋" w:hAnsi="仿宋" w:eastAsia="仿宋"/>
          <w:color w:val="auto"/>
          <w:sz w:val="28"/>
          <w:szCs w:val="28"/>
          <w:highlight w:val="none"/>
          <w:u w:val="single"/>
        </w:rPr>
        <w:t xml:space="preserve">            </w:t>
      </w:r>
    </w:p>
    <w:p>
      <w:pPr>
        <w:pStyle w:val="43"/>
        <w:spacing w:line="480" w:lineRule="exact"/>
        <w:ind w:firstLine="480"/>
        <w:rPr>
          <w:rFonts w:hint="eastAsia" w:ascii="仿宋" w:hAnsi="仿宋" w:eastAsia="仿宋"/>
          <w:color w:val="auto"/>
          <w:sz w:val="28"/>
          <w:szCs w:val="28"/>
          <w:highlight w:val="none"/>
        </w:rPr>
      </w:pPr>
    </w:p>
    <w:p>
      <w:pPr>
        <w:pStyle w:val="43"/>
        <w:spacing w:line="480" w:lineRule="exact"/>
        <w:ind w:firstLine="48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代理人（被授权人）姓名：</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 xml:space="preserve"> </w:t>
      </w:r>
    </w:p>
    <w:p>
      <w:pPr>
        <w:pStyle w:val="43"/>
        <w:spacing w:line="480" w:lineRule="exact"/>
        <w:ind w:firstLine="48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身份证号码：</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 xml:space="preserve"> </w:t>
      </w:r>
    </w:p>
    <w:p>
      <w:pPr>
        <w:pStyle w:val="43"/>
        <w:spacing w:line="480" w:lineRule="exact"/>
        <w:ind w:firstLine="48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联系电话（手机）：</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 xml:space="preserve"> </w:t>
      </w:r>
    </w:p>
    <w:p>
      <w:pPr>
        <w:pStyle w:val="43"/>
        <w:spacing w:line="480" w:lineRule="exact"/>
        <w:ind w:firstLine="480"/>
        <w:rPr>
          <w:rFonts w:hint="eastAsia" w:ascii="仿宋" w:hAnsi="仿宋" w:eastAsia="仿宋"/>
          <w:color w:val="auto"/>
          <w:sz w:val="28"/>
          <w:szCs w:val="28"/>
          <w:highlight w:val="none"/>
        </w:rPr>
      </w:pPr>
    </w:p>
    <w:p>
      <w:pPr>
        <w:pStyle w:val="43"/>
        <w:spacing w:line="480" w:lineRule="exact"/>
        <w:ind w:firstLine="1260" w:firstLineChars="45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供应商名称（加盖公章）：</w:t>
      </w:r>
    </w:p>
    <w:p>
      <w:pPr>
        <w:pStyle w:val="43"/>
        <w:spacing w:line="480" w:lineRule="exact"/>
        <w:ind w:firstLine="6020" w:firstLineChars="215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 xml:space="preserve">    年   月   日</w:t>
      </w:r>
    </w:p>
    <w:p>
      <w:pPr>
        <w:pStyle w:val="43"/>
        <w:spacing w:line="480" w:lineRule="exact"/>
        <w:ind w:firstLine="48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 xml:space="preserve">               </w:t>
      </w:r>
      <w:bookmarkStart w:id="202" w:name="_格式3__银行出具的资信证明"/>
      <w:bookmarkEnd w:id="202"/>
      <w:bookmarkStart w:id="203" w:name="_Hlt26671380"/>
      <w:bookmarkEnd w:id="203"/>
      <w:bookmarkStart w:id="204" w:name="_Hlt26955070"/>
      <w:bookmarkEnd w:id="204"/>
    </w:p>
    <w:p>
      <w:pPr>
        <w:pStyle w:val="5"/>
        <w:spacing w:line="480" w:lineRule="exact"/>
        <w:ind w:firstLine="56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法定代表人身份证复印件</w:t>
      </w:r>
    </w:p>
    <w:p>
      <w:pPr>
        <w:pStyle w:val="5"/>
        <w:spacing w:line="480" w:lineRule="exact"/>
        <w:ind w:firstLine="1400" w:firstLineChars="500"/>
        <w:rPr>
          <w:rFonts w:hint="eastAsia" w:ascii="仿宋" w:hAnsi="仿宋" w:eastAsia="仿宋"/>
          <w:color w:val="auto"/>
          <w:sz w:val="28"/>
          <w:szCs w:val="28"/>
          <w:highlight w:val="none"/>
        </w:rPr>
      </w:pPr>
    </w:p>
    <w:p>
      <w:pPr>
        <w:pStyle w:val="5"/>
        <w:spacing w:line="480" w:lineRule="exact"/>
        <w:ind w:firstLine="490" w:firstLineChars="175"/>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代理人（被授权人）身份证复印件</w:t>
      </w:r>
    </w:p>
    <w:p>
      <w:pPr>
        <w:pStyle w:val="5"/>
        <w:spacing w:line="480" w:lineRule="exact"/>
        <w:ind w:firstLine="0" w:firstLineChars="0"/>
        <w:rPr>
          <w:rFonts w:hint="eastAsia" w:ascii="宋体" w:hAnsi="宋体"/>
          <w:color w:val="auto"/>
          <w:sz w:val="24"/>
          <w:highlight w:val="none"/>
        </w:rPr>
      </w:pPr>
    </w:p>
    <w:p>
      <w:pPr>
        <w:spacing w:before="50" w:after="156" w:afterLines="50" w:line="500" w:lineRule="exact"/>
        <w:ind w:firstLine="480"/>
        <w:jc w:val="left"/>
        <w:rPr>
          <w:rFonts w:hint="eastAsia" w:ascii="仿宋" w:hAnsi="仿宋" w:eastAsia="仿宋"/>
          <w:color w:val="auto"/>
          <w:sz w:val="28"/>
          <w:szCs w:val="28"/>
          <w:highlight w:val="none"/>
        </w:rPr>
      </w:pPr>
    </w:p>
    <w:p>
      <w:pPr>
        <w:spacing w:before="50" w:after="156" w:afterLines="50" w:line="500" w:lineRule="exact"/>
        <w:ind w:firstLine="480"/>
        <w:jc w:val="left"/>
        <w:rPr>
          <w:rFonts w:hint="eastAsia" w:ascii="仿宋" w:hAnsi="仿宋" w:eastAsia="仿宋"/>
          <w:color w:val="auto"/>
          <w:sz w:val="28"/>
          <w:szCs w:val="28"/>
          <w:highlight w:val="none"/>
        </w:rPr>
      </w:pPr>
    </w:p>
    <w:p>
      <w:pPr>
        <w:pStyle w:val="17"/>
        <w:rPr>
          <w:rFonts w:hint="eastAsia" w:ascii="仿宋" w:hAnsi="仿宋" w:eastAsia="仿宋"/>
          <w:color w:val="auto"/>
          <w:sz w:val="28"/>
          <w:szCs w:val="28"/>
          <w:highlight w:val="none"/>
        </w:rPr>
      </w:pPr>
    </w:p>
    <w:p>
      <w:pPr>
        <w:pStyle w:val="7"/>
        <w:rPr>
          <w:rFonts w:hint="eastAsia"/>
          <w:color w:val="auto"/>
          <w:highlight w:val="none"/>
        </w:rPr>
      </w:pPr>
    </w:p>
    <w:p>
      <w:pPr>
        <w:spacing w:before="50" w:after="156" w:afterLines="50" w:line="500" w:lineRule="exact"/>
        <w:ind w:firstLine="480"/>
        <w:jc w:val="left"/>
        <w:rPr>
          <w:rFonts w:hint="eastAsia" w:ascii="仿宋" w:hAnsi="仿宋" w:eastAsia="仿宋" w:cs="Arial"/>
          <w:color w:val="auto"/>
          <w:sz w:val="28"/>
          <w:szCs w:val="28"/>
          <w:highlight w:val="none"/>
        </w:rPr>
      </w:pPr>
      <w:r>
        <w:rPr>
          <w:rFonts w:hint="eastAsia" w:ascii="仿宋" w:hAnsi="仿宋" w:eastAsia="仿宋"/>
          <w:color w:val="auto"/>
          <w:sz w:val="28"/>
          <w:szCs w:val="28"/>
          <w:highlight w:val="none"/>
        </w:rPr>
        <w:t>（七）</w:t>
      </w:r>
      <w:r>
        <w:rPr>
          <w:rFonts w:hint="eastAsia" w:ascii="仿宋" w:hAnsi="仿宋" w:eastAsia="仿宋" w:cs="Arial"/>
          <w:color w:val="auto"/>
          <w:sz w:val="28"/>
          <w:szCs w:val="28"/>
          <w:highlight w:val="none"/>
        </w:rPr>
        <w:t>磋商响应函（原件）。</w:t>
      </w:r>
    </w:p>
    <w:p>
      <w:pPr>
        <w:spacing w:before="50" w:after="156" w:afterLines="50" w:line="500" w:lineRule="exact"/>
        <w:jc w:val="center"/>
        <w:outlineLvl w:val="9"/>
        <w:rPr>
          <w:rFonts w:hint="eastAsia" w:ascii="方正小标宋简体" w:eastAsia="方正小标宋简体"/>
          <w:color w:val="auto"/>
          <w:sz w:val="36"/>
          <w:szCs w:val="36"/>
          <w:highlight w:val="none"/>
        </w:rPr>
      </w:pPr>
      <w:r>
        <w:rPr>
          <w:rFonts w:hint="eastAsia" w:ascii="方正小标宋简体" w:eastAsia="方正小标宋简体"/>
          <w:color w:val="auto"/>
          <w:sz w:val="36"/>
          <w:szCs w:val="36"/>
          <w:highlight w:val="none"/>
        </w:rPr>
        <w:t>竞争性磋商响应函</w:t>
      </w:r>
    </w:p>
    <w:p>
      <w:pPr>
        <w:pStyle w:val="43"/>
        <w:spacing w:line="500" w:lineRule="exac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致：采购人或者代理机构</w:t>
      </w:r>
    </w:p>
    <w:p>
      <w:pPr>
        <w:pStyle w:val="43"/>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根据贵方的</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号磋商文件，正式授权下述签字人</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(姓名和职务)代表我方</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（供应商的名称），全权处理本次项目磋商采购的有关事宜。</w:t>
      </w:r>
    </w:p>
    <w:p>
      <w:pPr>
        <w:pStyle w:val="43"/>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据此函，</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（签字人）兹宣布同意如下：</w:t>
      </w:r>
    </w:p>
    <w:p>
      <w:pPr>
        <w:pStyle w:val="43"/>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1.按磋商文件规定的各项要求，向买方提供所需货物、服务。</w:t>
      </w:r>
    </w:p>
    <w:p>
      <w:pPr>
        <w:pStyle w:val="43"/>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2.我们已详细审核全部磋商文件及其有效补充文件，我们知道必须放弃提出含糊不清或误解问题的权利。</w:t>
      </w:r>
    </w:p>
    <w:p>
      <w:pPr>
        <w:pStyle w:val="43"/>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3.我们同意从规定的响应文件接收截止时间起遵循本响应文件，并在规定的磋商有效期期满之前均具有约束力。</w:t>
      </w:r>
    </w:p>
    <w:p>
      <w:pPr>
        <w:pStyle w:val="43"/>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4.如果在响应文件接收截止时间后规定的磋商有效期内撤回响应文件或成交后拒绝签订合同，我们接受贵方相应处罚。</w:t>
      </w:r>
    </w:p>
    <w:p>
      <w:pPr>
        <w:pStyle w:val="43"/>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5.同意向贵方提供贵方可能另外要求的与磋商采购有关的任何证据或资料，并保证我方已提供和将要提供的文件是真实的、准确的。</w:t>
      </w:r>
    </w:p>
    <w:p>
      <w:pPr>
        <w:pStyle w:val="43"/>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6.一旦我方成交，我方将根据磋商文件的规定，严格履行合同的责任和义务，并保证在磋商文件规定的时间完成项目，交付买方验收、使用。</w:t>
      </w:r>
    </w:p>
    <w:p>
      <w:pPr>
        <w:pStyle w:val="43"/>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7.遵守磋商文件中要求的收费项目和标准。</w:t>
      </w:r>
    </w:p>
    <w:p>
      <w:pPr>
        <w:pStyle w:val="43"/>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8.与本磋商采购有关的正式通讯地址为：</w:t>
      </w:r>
    </w:p>
    <w:p>
      <w:pPr>
        <w:pStyle w:val="43"/>
        <w:spacing w:line="500" w:lineRule="exac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地 址：                         邮 编：</w:t>
      </w:r>
    </w:p>
    <w:p>
      <w:pPr>
        <w:pStyle w:val="43"/>
        <w:spacing w:line="500" w:lineRule="exac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电 话：                         传 真：</w:t>
      </w:r>
    </w:p>
    <w:p>
      <w:pPr>
        <w:pStyle w:val="43"/>
        <w:spacing w:line="500" w:lineRule="exac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 xml:space="preserve">供应商开户行：                  账 户： </w:t>
      </w:r>
    </w:p>
    <w:p>
      <w:pPr>
        <w:pStyle w:val="43"/>
        <w:spacing w:line="500" w:lineRule="exac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 xml:space="preserve">供应商名称（公章）：            </w:t>
      </w:r>
    </w:p>
    <w:p>
      <w:pPr>
        <w:pStyle w:val="43"/>
        <w:spacing w:line="500" w:lineRule="exac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日 期：</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年</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月</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日</w:t>
      </w:r>
    </w:p>
    <w:p>
      <w:pPr>
        <w:spacing w:before="50" w:after="156" w:afterLines="50" w:line="500" w:lineRule="exact"/>
        <w:ind w:firstLine="480"/>
        <w:jc w:val="left"/>
        <w:rPr>
          <w:rFonts w:hint="eastAsia" w:ascii="仿宋" w:hAnsi="仿宋" w:eastAsia="仿宋" w:cs="Arial"/>
          <w:color w:val="auto"/>
          <w:sz w:val="28"/>
          <w:szCs w:val="28"/>
          <w:highlight w:val="none"/>
        </w:rPr>
      </w:pPr>
      <w:r>
        <w:rPr>
          <w:rFonts w:ascii="仿宋" w:hAnsi="仿宋" w:eastAsia="仿宋"/>
          <w:b/>
          <w:bCs/>
          <w:color w:val="auto"/>
          <w:sz w:val="28"/>
          <w:szCs w:val="28"/>
          <w:highlight w:val="none"/>
        </w:rPr>
        <w:br w:type="page"/>
      </w:r>
      <w:r>
        <w:rPr>
          <w:rFonts w:hint="eastAsia" w:ascii="仿宋" w:hAnsi="仿宋" w:eastAsia="仿宋"/>
          <w:color w:val="auto"/>
          <w:sz w:val="28"/>
          <w:szCs w:val="28"/>
          <w:highlight w:val="none"/>
        </w:rPr>
        <w:t>（八）</w:t>
      </w:r>
      <w:r>
        <w:rPr>
          <w:rFonts w:hint="eastAsia" w:ascii="仿宋" w:hAnsi="仿宋" w:eastAsia="仿宋" w:cs="Arial"/>
          <w:color w:val="auto"/>
          <w:sz w:val="28"/>
          <w:szCs w:val="28"/>
          <w:highlight w:val="none"/>
        </w:rPr>
        <w:t>联合体协议（以联合体形式参加磋商的，必须提供联合体协议原件）</w:t>
      </w:r>
    </w:p>
    <w:p>
      <w:pPr>
        <w:jc w:val="center"/>
        <w:outlineLvl w:val="9"/>
        <w:rPr>
          <w:rFonts w:hint="eastAsia" w:ascii="方正小标宋简体" w:eastAsia="方正小标宋简体"/>
          <w:i/>
          <w:color w:val="auto"/>
          <w:sz w:val="36"/>
          <w:szCs w:val="36"/>
          <w:highlight w:val="none"/>
        </w:rPr>
      </w:pPr>
      <w:r>
        <w:rPr>
          <w:rFonts w:hint="eastAsia" w:ascii="方正小标宋简体" w:eastAsia="方正小标宋简体"/>
          <w:color w:val="auto"/>
          <w:sz w:val="36"/>
          <w:szCs w:val="36"/>
          <w:highlight w:val="none"/>
        </w:rPr>
        <w:t>联合体协议</w:t>
      </w:r>
    </w:p>
    <w:p>
      <w:pPr>
        <w:spacing w:line="500" w:lineRule="exact"/>
        <w:rPr>
          <w:rFonts w:ascii="仿宋" w:hAnsi="仿宋" w:eastAsia="仿宋"/>
          <w:color w:val="auto"/>
          <w:sz w:val="28"/>
          <w:szCs w:val="28"/>
          <w:highlight w:val="none"/>
        </w:rPr>
      </w:pPr>
      <w:r>
        <w:rPr>
          <w:rFonts w:hint="eastAsia" w:ascii="仿宋" w:hAnsi="仿宋" w:eastAsia="仿宋"/>
          <w:color w:val="auto"/>
          <w:sz w:val="28"/>
          <w:szCs w:val="28"/>
          <w:highlight w:val="none"/>
        </w:rPr>
        <w:t>（</w:t>
      </w:r>
      <w:r>
        <w:rPr>
          <w:rFonts w:hint="eastAsia" w:ascii="仿宋" w:hAnsi="仿宋" w:eastAsia="仿宋"/>
          <w:i/>
          <w:color w:val="auto"/>
          <w:sz w:val="28"/>
          <w:szCs w:val="28"/>
          <w:highlight w:val="none"/>
        </w:rPr>
        <w:t>联合体中各供应商全称</w:t>
      </w:r>
      <w:r>
        <w:rPr>
          <w:rFonts w:hint="eastAsia" w:ascii="仿宋" w:hAnsi="仿宋" w:eastAsia="仿宋"/>
          <w:color w:val="auto"/>
          <w:sz w:val="28"/>
          <w:szCs w:val="28"/>
          <w:highlight w:val="none"/>
        </w:rPr>
        <w:t>）在此达成以下协议：</w:t>
      </w:r>
    </w:p>
    <w:p>
      <w:pPr>
        <w:spacing w:line="500" w:lineRule="exact"/>
        <w:ind w:firstLine="645"/>
        <w:rPr>
          <w:rFonts w:ascii="仿宋" w:hAnsi="仿宋" w:eastAsia="仿宋"/>
          <w:color w:val="auto"/>
          <w:sz w:val="28"/>
          <w:szCs w:val="28"/>
          <w:highlight w:val="none"/>
        </w:rPr>
      </w:pPr>
      <w:r>
        <w:rPr>
          <w:rFonts w:ascii="仿宋" w:hAnsi="仿宋" w:eastAsia="仿宋"/>
          <w:color w:val="auto"/>
          <w:sz w:val="28"/>
          <w:szCs w:val="28"/>
          <w:highlight w:val="none"/>
        </w:rPr>
        <w:t>1</w:t>
      </w:r>
      <w:r>
        <w:rPr>
          <w:rFonts w:hint="eastAsia" w:ascii="仿宋" w:hAnsi="仿宋" w:eastAsia="仿宋"/>
          <w:color w:val="auto"/>
          <w:sz w:val="28"/>
          <w:szCs w:val="28"/>
          <w:highlight w:val="none"/>
        </w:rPr>
        <w:t>.我们自愿组成联合体，参加</w:t>
      </w:r>
      <w:r>
        <w:rPr>
          <w:rFonts w:hint="eastAsia" w:ascii="仿宋" w:hAnsi="仿宋" w:eastAsia="仿宋"/>
          <w:color w:val="auto"/>
          <w:sz w:val="28"/>
          <w:szCs w:val="28"/>
          <w:highlight w:val="none"/>
          <w:u w:val="single"/>
        </w:rPr>
        <w:t>（</w:t>
      </w:r>
      <w:r>
        <w:rPr>
          <w:rFonts w:hint="eastAsia" w:ascii="仿宋" w:hAnsi="仿宋" w:eastAsia="仿宋"/>
          <w:i/>
          <w:color w:val="auto"/>
          <w:sz w:val="28"/>
          <w:szCs w:val="28"/>
          <w:highlight w:val="none"/>
          <w:u w:val="single"/>
        </w:rPr>
        <w:t>项目名称</w:t>
      </w:r>
      <w:r>
        <w:rPr>
          <w:rFonts w:hint="eastAsia" w:ascii="仿宋" w:hAnsi="仿宋" w:eastAsia="仿宋"/>
          <w:color w:val="auto"/>
          <w:sz w:val="28"/>
          <w:szCs w:val="28"/>
          <w:highlight w:val="none"/>
          <w:u w:val="single"/>
        </w:rPr>
        <w:t>）</w:t>
      </w:r>
      <w:r>
        <w:rPr>
          <w:rFonts w:hint="eastAsia" w:ascii="仿宋" w:hAnsi="仿宋" w:eastAsia="仿宋"/>
          <w:color w:val="auto"/>
          <w:sz w:val="28"/>
          <w:szCs w:val="28"/>
          <w:highlight w:val="none"/>
        </w:rPr>
        <w:t>项目（计划编号</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）的政府采购活动。</w:t>
      </w:r>
    </w:p>
    <w:p>
      <w:pPr>
        <w:spacing w:line="500" w:lineRule="exact"/>
        <w:ind w:firstLine="645"/>
        <w:rPr>
          <w:rFonts w:ascii="仿宋" w:hAnsi="仿宋" w:eastAsia="仿宋"/>
          <w:color w:val="auto"/>
          <w:sz w:val="28"/>
          <w:szCs w:val="28"/>
          <w:highlight w:val="none"/>
        </w:rPr>
      </w:pPr>
      <w:r>
        <w:rPr>
          <w:rFonts w:ascii="仿宋" w:hAnsi="仿宋" w:eastAsia="仿宋"/>
          <w:color w:val="auto"/>
          <w:sz w:val="28"/>
          <w:szCs w:val="28"/>
          <w:highlight w:val="none"/>
        </w:rPr>
        <w:t>2</w:t>
      </w:r>
      <w:r>
        <w:rPr>
          <w:rFonts w:hint="eastAsia" w:ascii="仿宋" w:hAnsi="仿宋" w:eastAsia="仿宋"/>
          <w:color w:val="auto"/>
          <w:sz w:val="28"/>
          <w:szCs w:val="28"/>
          <w:highlight w:val="none"/>
        </w:rPr>
        <w:t>.若我们联合中标、成交，</w:t>
      </w:r>
      <w:r>
        <w:rPr>
          <w:rFonts w:hint="eastAsia" w:ascii="仿宋" w:hAnsi="仿宋" w:eastAsia="仿宋"/>
          <w:color w:val="auto"/>
          <w:sz w:val="28"/>
          <w:szCs w:val="28"/>
          <w:highlight w:val="none"/>
          <w:u w:val="single"/>
        </w:rPr>
        <w:t>（</w:t>
      </w:r>
      <w:r>
        <w:rPr>
          <w:rFonts w:hint="eastAsia" w:ascii="仿宋" w:hAnsi="仿宋" w:eastAsia="仿宋"/>
          <w:i/>
          <w:color w:val="auto"/>
          <w:sz w:val="28"/>
          <w:szCs w:val="28"/>
          <w:highlight w:val="none"/>
          <w:u w:val="single"/>
        </w:rPr>
        <w:t>供应商</w:t>
      </w:r>
      <w:r>
        <w:rPr>
          <w:rFonts w:ascii="仿宋" w:hAnsi="仿宋" w:eastAsia="仿宋"/>
          <w:i/>
          <w:color w:val="auto"/>
          <w:sz w:val="28"/>
          <w:szCs w:val="28"/>
          <w:highlight w:val="none"/>
          <w:u w:val="single"/>
        </w:rPr>
        <w:t>1</w:t>
      </w:r>
      <w:r>
        <w:rPr>
          <w:rFonts w:hint="eastAsia" w:ascii="仿宋" w:hAnsi="仿宋" w:eastAsia="仿宋"/>
          <w:i/>
          <w:color w:val="auto"/>
          <w:sz w:val="28"/>
          <w:szCs w:val="28"/>
          <w:highlight w:val="none"/>
          <w:u w:val="single"/>
        </w:rPr>
        <w:t>全称</w:t>
      </w:r>
      <w:r>
        <w:rPr>
          <w:rFonts w:hint="eastAsia" w:ascii="仿宋" w:hAnsi="仿宋" w:eastAsia="仿宋"/>
          <w:color w:val="auto"/>
          <w:sz w:val="28"/>
          <w:szCs w:val="28"/>
          <w:highlight w:val="none"/>
          <w:u w:val="single"/>
        </w:rPr>
        <w:t>）</w:t>
      </w:r>
      <w:r>
        <w:rPr>
          <w:rFonts w:hint="eastAsia" w:ascii="仿宋" w:hAnsi="仿宋" w:eastAsia="仿宋"/>
          <w:color w:val="auto"/>
          <w:sz w:val="28"/>
          <w:szCs w:val="28"/>
          <w:highlight w:val="none"/>
        </w:rPr>
        <w:t>实施项目中</w:t>
      </w:r>
      <w:r>
        <w:rPr>
          <w:rFonts w:hint="eastAsia" w:ascii="仿宋" w:hAnsi="仿宋" w:eastAsia="仿宋"/>
          <w:color w:val="auto"/>
          <w:sz w:val="28"/>
          <w:szCs w:val="28"/>
          <w:highlight w:val="none"/>
          <w:u w:val="single"/>
        </w:rPr>
        <w:t>（工作内容）</w:t>
      </w:r>
      <w:r>
        <w:rPr>
          <w:rFonts w:hint="eastAsia" w:ascii="仿宋" w:hAnsi="仿宋" w:eastAsia="仿宋"/>
          <w:color w:val="auto"/>
          <w:sz w:val="28"/>
          <w:szCs w:val="28"/>
          <w:highlight w:val="none"/>
        </w:rPr>
        <w:t>部分工作，并承担相应的责任。</w:t>
      </w:r>
      <w:r>
        <w:rPr>
          <w:rFonts w:hint="eastAsia" w:ascii="仿宋" w:hAnsi="仿宋" w:eastAsia="仿宋"/>
          <w:color w:val="auto"/>
          <w:sz w:val="28"/>
          <w:szCs w:val="28"/>
          <w:highlight w:val="none"/>
          <w:u w:val="single"/>
        </w:rPr>
        <w:t>（</w:t>
      </w:r>
      <w:r>
        <w:rPr>
          <w:rFonts w:hint="eastAsia" w:ascii="仿宋" w:hAnsi="仿宋" w:eastAsia="仿宋"/>
          <w:i/>
          <w:color w:val="auto"/>
          <w:sz w:val="28"/>
          <w:szCs w:val="28"/>
          <w:highlight w:val="none"/>
          <w:u w:val="single"/>
        </w:rPr>
        <w:t>供应商</w:t>
      </w:r>
      <w:r>
        <w:rPr>
          <w:rFonts w:ascii="仿宋" w:hAnsi="仿宋" w:eastAsia="仿宋"/>
          <w:i/>
          <w:color w:val="auto"/>
          <w:sz w:val="28"/>
          <w:szCs w:val="28"/>
          <w:highlight w:val="none"/>
          <w:u w:val="single"/>
        </w:rPr>
        <w:t>2</w:t>
      </w:r>
      <w:r>
        <w:rPr>
          <w:rFonts w:hint="eastAsia" w:ascii="仿宋" w:hAnsi="仿宋" w:eastAsia="仿宋"/>
          <w:i/>
          <w:color w:val="auto"/>
          <w:sz w:val="28"/>
          <w:szCs w:val="28"/>
          <w:highlight w:val="none"/>
          <w:u w:val="single"/>
        </w:rPr>
        <w:t>全称</w:t>
      </w:r>
      <w:r>
        <w:rPr>
          <w:rFonts w:hint="eastAsia" w:ascii="仿宋" w:hAnsi="仿宋" w:eastAsia="仿宋"/>
          <w:color w:val="auto"/>
          <w:sz w:val="28"/>
          <w:szCs w:val="28"/>
          <w:highlight w:val="none"/>
          <w:u w:val="single"/>
        </w:rPr>
        <w:t>）</w:t>
      </w:r>
      <w:r>
        <w:rPr>
          <w:rFonts w:hint="eastAsia" w:ascii="仿宋" w:hAnsi="仿宋" w:eastAsia="仿宋"/>
          <w:color w:val="auto"/>
          <w:sz w:val="28"/>
          <w:szCs w:val="28"/>
          <w:highlight w:val="none"/>
        </w:rPr>
        <w:t>实施项目中（</w:t>
      </w:r>
      <w:r>
        <w:rPr>
          <w:rFonts w:hint="eastAsia" w:ascii="仿宋" w:hAnsi="仿宋" w:eastAsia="仿宋"/>
          <w:i/>
          <w:color w:val="auto"/>
          <w:sz w:val="28"/>
          <w:szCs w:val="28"/>
          <w:highlight w:val="none"/>
          <w:u w:val="single"/>
        </w:rPr>
        <w:t>工作内容</w:t>
      </w:r>
      <w:r>
        <w:rPr>
          <w:rFonts w:hint="eastAsia" w:ascii="仿宋" w:hAnsi="仿宋" w:eastAsia="仿宋"/>
          <w:color w:val="auto"/>
          <w:sz w:val="28"/>
          <w:szCs w:val="28"/>
          <w:highlight w:val="none"/>
        </w:rPr>
        <w:t>）部分工作，并承担相应的责任……。（注：联合体中各供应商都应明示所承担的工作和相应的责任）。</w:t>
      </w:r>
    </w:p>
    <w:p>
      <w:pPr>
        <w:spacing w:line="500" w:lineRule="exact"/>
        <w:ind w:firstLine="645"/>
        <w:rPr>
          <w:rFonts w:ascii="仿宋" w:hAnsi="仿宋" w:eastAsia="仿宋"/>
          <w:color w:val="auto"/>
          <w:sz w:val="28"/>
          <w:szCs w:val="28"/>
          <w:highlight w:val="none"/>
        </w:rPr>
      </w:pPr>
      <w:r>
        <w:rPr>
          <w:rFonts w:ascii="仿宋" w:hAnsi="仿宋" w:eastAsia="仿宋"/>
          <w:color w:val="auto"/>
          <w:sz w:val="28"/>
          <w:szCs w:val="28"/>
          <w:highlight w:val="none"/>
        </w:rPr>
        <w:t>3</w:t>
      </w:r>
      <w:r>
        <w:rPr>
          <w:rFonts w:hint="eastAsia" w:ascii="仿宋" w:hAnsi="仿宋" w:eastAsia="仿宋"/>
          <w:color w:val="auto"/>
          <w:sz w:val="28"/>
          <w:szCs w:val="28"/>
          <w:highlight w:val="none"/>
        </w:rPr>
        <w:t>.其中</w:t>
      </w:r>
      <w:r>
        <w:rPr>
          <w:rFonts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u w:val="single"/>
        </w:rPr>
        <w:t>（</w:t>
      </w:r>
      <w:r>
        <w:rPr>
          <w:rFonts w:hint="eastAsia" w:ascii="仿宋" w:hAnsi="仿宋" w:eastAsia="仿宋"/>
          <w:i/>
          <w:color w:val="auto"/>
          <w:sz w:val="28"/>
          <w:szCs w:val="28"/>
          <w:highlight w:val="none"/>
          <w:u w:val="single"/>
        </w:rPr>
        <w:t>小型、微型企业/残疾人福利性单位/监狱企业全称</w:t>
      </w:r>
      <w:r>
        <w:rPr>
          <w:rFonts w:hint="eastAsia" w:ascii="仿宋" w:hAnsi="仿宋" w:eastAsia="仿宋"/>
          <w:color w:val="auto"/>
          <w:sz w:val="28"/>
          <w:szCs w:val="28"/>
          <w:highlight w:val="none"/>
          <w:u w:val="single"/>
        </w:rPr>
        <w:t>）</w:t>
      </w:r>
      <w:r>
        <w:rPr>
          <w:rFonts w:hint="eastAsia" w:ascii="仿宋" w:hAnsi="仿宋" w:eastAsia="仿宋"/>
          <w:color w:val="auto"/>
          <w:sz w:val="28"/>
          <w:szCs w:val="28"/>
          <w:highlight w:val="none"/>
        </w:rPr>
        <w:t>为</w:t>
      </w:r>
      <w:r>
        <w:rPr>
          <w:rFonts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w:t>
      </w:r>
      <w:r>
        <w:rPr>
          <w:rFonts w:hint="eastAsia" w:ascii="仿宋" w:hAnsi="仿宋" w:eastAsia="仿宋"/>
          <w:i/>
          <w:color w:val="auto"/>
          <w:sz w:val="28"/>
          <w:szCs w:val="28"/>
          <w:highlight w:val="none"/>
        </w:rPr>
        <w:t>小型、微型企业/残疾人福利性单位/监狱企业</w:t>
      </w:r>
      <w:r>
        <w:rPr>
          <w:rFonts w:hint="eastAsia" w:ascii="仿宋" w:hAnsi="仿宋" w:eastAsia="仿宋"/>
          <w:color w:val="auto"/>
          <w:sz w:val="28"/>
          <w:szCs w:val="28"/>
          <w:highlight w:val="none"/>
        </w:rPr>
        <w:t>）企业，且我们约定该公司/单位所承担的合同金额将占本项目合同总金额的</w:t>
      </w:r>
      <w:r>
        <w:rPr>
          <w:rFonts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u w:val="single"/>
        </w:rPr>
        <w:t xml:space="preserve">   </w:t>
      </w:r>
      <w:r>
        <w:rPr>
          <w:rFonts w:ascii="仿宋" w:hAnsi="仿宋" w:eastAsia="仿宋"/>
          <w:color w:val="auto"/>
          <w:sz w:val="28"/>
          <w:szCs w:val="28"/>
          <w:highlight w:val="none"/>
          <w:u w:val="single"/>
        </w:rPr>
        <w:t xml:space="preserve"> </w:t>
      </w:r>
      <w:r>
        <w:rPr>
          <w:rFonts w:ascii="仿宋" w:hAnsi="仿宋" w:eastAsia="仿宋"/>
          <w:color w:val="auto"/>
          <w:sz w:val="28"/>
          <w:szCs w:val="28"/>
          <w:highlight w:val="none"/>
        </w:rPr>
        <w:t xml:space="preserve"> %</w:t>
      </w:r>
      <w:r>
        <w:rPr>
          <w:rFonts w:hint="eastAsia" w:ascii="仿宋" w:hAnsi="仿宋" w:eastAsia="仿宋"/>
          <w:color w:val="auto"/>
          <w:sz w:val="28"/>
          <w:szCs w:val="28"/>
          <w:highlight w:val="none"/>
        </w:rPr>
        <w:t>。</w:t>
      </w:r>
    </w:p>
    <w:p>
      <w:pPr>
        <w:spacing w:line="500" w:lineRule="exact"/>
        <w:ind w:firstLine="645"/>
        <w:rPr>
          <w:rFonts w:hint="eastAsia" w:ascii="仿宋" w:hAnsi="仿宋" w:eastAsia="仿宋"/>
          <w:color w:val="auto"/>
          <w:sz w:val="28"/>
          <w:szCs w:val="28"/>
          <w:highlight w:val="none"/>
        </w:rPr>
      </w:pPr>
      <w:r>
        <w:rPr>
          <w:rFonts w:ascii="仿宋" w:hAnsi="仿宋" w:eastAsia="仿宋"/>
          <w:color w:val="auto"/>
          <w:sz w:val="28"/>
          <w:szCs w:val="28"/>
          <w:highlight w:val="none"/>
        </w:rPr>
        <w:t xml:space="preserve">                   </w:t>
      </w:r>
      <w:r>
        <w:rPr>
          <w:rFonts w:hint="eastAsia" w:ascii="仿宋" w:hAnsi="仿宋" w:eastAsia="仿宋"/>
          <w:color w:val="auto"/>
          <w:sz w:val="28"/>
          <w:szCs w:val="28"/>
          <w:highlight w:val="none"/>
        </w:rPr>
        <w:t xml:space="preserve">                       </w:t>
      </w:r>
    </w:p>
    <w:p>
      <w:pPr>
        <w:spacing w:line="500" w:lineRule="exact"/>
        <w:ind w:right="560" w:firstLine="2520" w:firstLineChars="9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供应商全称（公章）：</w:t>
      </w:r>
    </w:p>
    <w:p>
      <w:pPr>
        <w:spacing w:line="500" w:lineRule="exact"/>
        <w:ind w:right="560" w:firstLine="2520" w:firstLineChars="900"/>
        <w:rPr>
          <w:rFonts w:hint="eastAsia" w:ascii="仿宋" w:hAnsi="仿宋" w:eastAsia="仿宋"/>
          <w:color w:val="auto"/>
          <w:sz w:val="28"/>
          <w:szCs w:val="28"/>
          <w:highlight w:val="none"/>
        </w:rPr>
      </w:pPr>
    </w:p>
    <w:p>
      <w:pPr>
        <w:spacing w:before="50" w:after="156" w:afterLines="50" w:line="500" w:lineRule="exact"/>
        <w:ind w:firstLine="480"/>
        <w:jc w:val="left"/>
        <w:rPr>
          <w:rFonts w:hint="eastAsia" w:ascii="仿宋" w:hAnsi="仿宋" w:eastAsia="仿宋"/>
          <w:color w:val="auto"/>
          <w:sz w:val="28"/>
          <w:szCs w:val="28"/>
          <w:highlight w:val="none"/>
        </w:rPr>
      </w:pPr>
      <w:r>
        <w:rPr>
          <w:rFonts w:ascii="仿宋" w:hAnsi="仿宋" w:eastAsia="仿宋"/>
          <w:color w:val="auto"/>
          <w:sz w:val="28"/>
          <w:szCs w:val="28"/>
          <w:highlight w:val="none"/>
        </w:rPr>
        <w:t xml:space="preserve">                   </w:t>
      </w:r>
      <w:r>
        <w:rPr>
          <w:rFonts w:hint="eastAsia" w:ascii="仿宋" w:hAnsi="仿宋" w:eastAsia="仿宋"/>
          <w:color w:val="auto"/>
          <w:sz w:val="28"/>
          <w:szCs w:val="28"/>
          <w:highlight w:val="none"/>
        </w:rPr>
        <w:t xml:space="preserve">             日期：</w:t>
      </w:r>
    </w:p>
    <w:p>
      <w:pPr>
        <w:spacing w:before="50" w:after="156" w:afterLines="50" w:line="500" w:lineRule="exact"/>
        <w:ind w:firstLine="480"/>
        <w:jc w:val="left"/>
        <w:rPr>
          <w:rFonts w:hint="eastAsia" w:ascii="仿宋" w:hAnsi="仿宋" w:eastAsia="仿宋"/>
          <w:color w:val="auto"/>
          <w:sz w:val="28"/>
          <w:szCs w:val="28"/>
          <w:highlight w:val="none"/>
        </w:rPr>
      </w:pPr>
      <w:r>
        <w:rPr>
          <w:rFonts w:ascii="仿宋" w:hAnsi="仿宋" w:eastAsia="仿宋"/>
          <w:b/>
          <w:bCs/>
          <w:color w:val="auto"/>
          <w:sz w:val="28"/>
          <w:szCs w:val="28"/>
          <w:highlight w:val="none"/>
        </w:rPr>
        <w:br w:type="page"/>
      </w:r>
      <w:r>
        <w:rPr>
          <w:rFonts w:hint="eastAsia" w:ascii="仿宋" w:hAnsi="仿宋" w:eastAsia="仿宋"/>
          <w:color w:val="auto"/>
          <w:sz w:val="28"/>
          <w:szCs w:val="28"/>
          <w:highlight w:val="none"/>
        </w:rPr>
        <w:t>（九）其他资格证明材料（格式自拟）</w:t>
      </w:r>
    </w:p>
    <w:p>
      <w:pPr>
        <w:spacing w:before="50" w:after="156" w:afterLines="50" w:line="500" w:lineRule="exact"/>
        <w:ind w:firstLine="560" w:firstLineChars="200"/>
        <w:jc w:val="left"/>
        <w:rPr>
          <w:rFonts w:hint="eastAsia" w:ascii="仿宋" w:hAnsi="仿宋" w:eastAsia="仿宋"/>
          <w:color w:val="auto"/>
          <w:sz w:val="28"/>
          <w:szCs w:val="28"/>
          <w:highlight w:val="none"/>
        </w:rPr>
      </w:pPr>
      <w:r>
        <w:rPr>
          <w:rFonts w:hint="eastAsia" w:ascii="仿宋" w:hAnsi="仿宋" w:eastAsia="仿宋" w:cs="Arial"/>
          <w:color w:val="auto"/>
          <w:sz w:val="28"/>
          <w:szCs w:val="28"/>
          <w:highlight w:val="none"/>
        </w:rPr>
        <w:t>对应本项目磋商公告“二、申请人的资格要求”中“</w:t>
      </w:r>
      <w:r>
        <w:rPr>
          <w:rFonts w:hint="eastAsia" w:ascii="仿宋" w:hAnsi="仿宋" w:eastAsia="仿宋"/>
          <w:color w:val="auto"/>
          <w:sz w:val="28"/>
          <w:szCs w:val="28"/>
          <w:highlight w:val="none"/>
        </w:rPr>
        <w:t>（三）本项目的特定资格要求</w:t>
      </w:r>
      <w:r>
        <w:rPr>
          <w:rFonts w:hint="eastAsia" w:ascii="仿宋" w:hAnsi="仿宋" w:eastAsia="仿宋" w:cs="Arial"/>
          <w:color w:val="auto"/>
          <w:sz w:val="28"/>
          <w:szCs w:val="28"/>
          <w:highlight w:val="none"/>
        </w:rPr>
        <w:t>”的</w:t>
      </w:r>
      <w:r>
        <w:rPr>
          <w:rFonts w:hint="eastAsia" w:ascii="仿宋" w:hAnsi="仿宋" w:eastAsia="仿宋"/>
          <w:color w:val="auto"/>
          <w:sz w:val="28"/>
          <w:szCs w:val="28"/>
          <w:highlight w:val="none"/>
        </w:rPr>
        <w:t>相应证明材料。</w:t>
      </w:r>
    </w:p>
    <w:p>
      <w:pPr>
        <w:spacing w:before="50" w:after="156" w:afterLines="50" w:line="500" w:lineRule="exact"/>
        <w:ind w:firstLine="848" w:firstLineChars="303"/>
        <w:jc w:val="left"/>
        <w:rPr>
          <w:rFonts w:hint="eastAsia" w:ascii="仿宋" w:hAnsi="仿宋" w:eastAsia="仿宋"/>
          <w:color w:val="auto"/>
          <w:sz w:val="28"/>
          <w:szCs w:val="28"/>
          <w:highlight w:val="none"/>
        </w:rPr>
      </w:pPr>
    </w:p>
    <w:p>
      <w:pPr>
        <w:spacing w:before="50" w:after="156" w:afterLines="50" w:line="500" w:lineRule="exact"/>
        <w:ind w:firstLine="848" w:firstLineChars="303"/>
        <w:jc w:val="left"/>
        <w:rPr>
          <w:rFonts w:hint="eastAsia" w:ascii="仿宋" w:hAnsi="仿宋" w:eastAsia="仿宋"/>
          <w:color w:val="auto"/>
          <w:sz w:val="28"/>
          <w:szCs w:val="28"/>
          <w:highlight w:val="none"/>
        </w:rPr>
      </w:pPr>
    </w:p>
    <w:p>
      <w:pPr>
        <w:spacing w:line="500" w:lineRule="exact"/>
        <w:ind w:firstLine="562" w:firstLineChars="200"/>
        <w:rPr>
          <w:rFonts w:hint="eastAsia" w:ascii="仿宋" w:hAnsi="仿宋" w:eastAsia="仿宋"/>
          <w:color w:val="auto"/>
          <w:sz w:val="28"/>
          <w:szCs w:val="28"/>
          <w:highlight w:val="none"/>
        </w:rPr>
      </w:pPr>
      <w:r>
        <w:rPr>
          <w:rFonts w:hint="eastAsia" w:ascii="仿宋" w:hAnsi="仿宋" w:eastAsia="仿宋"/>
          <w:b/>
          <w:color w:val="auto"/>
          <w:sz w:val="28"/>
          <w:szCs w:val="28"/>
          <w:highlight w:val="none"/>
        </w:rPr>
        <w:t>注意：</w:t>
      </w:r>
      <w:r>
        <w:rPr>
          <w:rFonts w:hint="eastAsia" w:ascii="仿宋" w:hAnsi="仿宋" w:eastAsia="仿宋"/>
          <w:b/>
          <w:bCs/>
          <w:color w:val="auto"/>
          <w:sz w:val="28"/>
          <w:szCs w:val="28"/>
          <w:highlight w:val="none"/>
        </w:rPr>
        <w:t>以上所有资格证明文件必须加盖公章</w:t>
      </w:r>
      <w:r>
        <w:rPr>
          <w:rFonts w:hint="eastAsia" w:ascii="仿宋" w:hAnsi="仿宋" w:eastAsia="仿宋"/>
          <w:b/>
          <w:color w:val="auto"/>
          <w:sz w:val="28"/>
          <w:szCs w:val="28"/>
          <w:highlight w:val="none"/>
        </w:rPr>
        <w:t>，原件备查；如供应商组成联合体参加磋商，则联合体各方均须加盖公章，否则视为无效磋商响应文件。</w:t>
      </w:r>
    </w:p>
    <w:p>
      <w:pPr>
        <w:spacing w:line="500" w:lineRule="exact"/>
        <w:ind w:firstLine="560" w:firstLineChars="200"/>
        <w:rPr>
          <w:rFonts w:hint="eastAsia" w:ascii="仿宋" w:hAnsi="仿宋" w:eastAsia="仿宋"/>
          <w:color w:val="auto"/>
          <w:sz w:val="28"/>
          <w:szCs w:val="28"/>
          <w:highlight w:val="none"/>
        </w:rPr>
      </w:pPr>
    </w:p>
    <w:p>
      <w:pPr>
        <w:spacing w:line="500" w:lineRule="exact"/>
        <w:ind w:firstLine="560" w:firstLineChars="200"/>
        <w:rPr>
          <w:rFonts w:hint="eastAsia" w:ascii="仿宋" w:hAnsi="仿宋" w:eastAsia="仿宋"/>
          <w:color w:val="auto"/>
          <w:sz w:val="28"/>
          <w:szCs w:val="28"/>
          <w:highlight w:val="none"/>
        </w:rPr>
      </w:pPr>
    </w:p>
    <w:p>
      <w:pPr>
        <w:spacing w:line="500" w:lineRule="exact"/>
        <w:outlineLvl w:val="1"/>
        <w:rPr>
          <w:rFonts w:hint="eastAsia" w:ascii="黑体" w:hAnsi="黑体" w:eastAsia="黑体"/>
          <w:color w:val="auto"/>
          <w:sz w:val="28"/>
          <w:szCs w:val="28"/>
          <w:highlight w:val="none"/>
        </w:rPr>
      </w:pPr>
      <w:r>
        <w:rPr>
          <w:rFonts w:ascii="黑体" w:hAnsi="黑体" w:eastAsia="黑体"/>
          <w:color w:val="auto"/>
          <w:sz w:val="28"/>
          <w:szCs w:val="28"/>
          <w:highlight w:val="none"/>
        </w:rPr>
        <w:br w:type="page"/>
      </w:r>
      <w:bookmarkStart w:id="205" w:name="_Toc27970"/>
      <w:bookmarkStart w:id="206" w:name="_Toc4183"/>
      <w:bookmarkStart w:id="207" w:name="_Toc17476"/>
      <w:bookmarkStart w:id="208" w:name="_Toc9764"/>
      <w:bookmarkStart w:id="209" w:name="_Toc32116"/>
      <w:r>
        <w:rPr>
          <w:rFonts w:ascii="黑体" w:hAnsi="黑体" w:eastAsia="黑体"/>
          <w:color w:val="auto"/>
          <w:sz w:val="28"/>
          <w:szCs w:val="28"/>
          <w:highlight w:val="none"/>
        </w:rPr>
        <w:t>二</w:t>
      </w:r>
      <w:r>
        <w:rPr>
          <w:rFonts w:hint="eastAsia" w:ascii="黑体" w:hAnsi="黑体" w:eastAsia="黑体"/>
          <w:color w:val="auto"/>
          <w:sz w:val="28"/>
          <w:szCs w:val="28"/>
          <w:highlight w:val="none"/>
        </w:rPr>
        <w:t>、竞争性磋商商务技术响应材料</w:t>
      </w:r>
      <w:bookmarkEnd w:id="205"/>
      <w:bookmarkEnd w:id="206"/>
      <w:bookmarkEnd w:id="207"/>
      <w:bookmarkEnd w:id="208"/>
      <w:bookmarkEnd w:id="209"/>
    </w:p>
    <w:p>
      <w:pPr>
        <w:spacing w:line="500" w:lineRule="exact"/>
        <w:ind w:firstLine="560" w:firstLineChars="200"/>
        <w:outlineLvl w:val="9"/>
        <w:rPr>
          <w:rFonts w:hint="eastAsia" w:ascii="仿宋" w:hAnsi="仿宋" w:eastAsia="仿宋"/>
          <w:b/>
          <w:bCs/>
          <w:color w:val="auto"/>
          <w:sz w:val="28"/>
          <w:szCs w:val="28"/>
          <w:highlight w:val="none"/>
        </w:rPr>
      </w:pPr>
      <w:r>
        <w:rPr>
          <w:rFonts w:hint="eastAsia" w:ascii="仿宋" w:hAnsi="仿宋" w:eastAsia="仿宋"/>
          <w:color w:val="auto"/>
          <w:sz w:val="28"/>
          <w:szCs w:val="28"/>
          <w:highlight w:val="none"/>
        </w:rPr>
        <w:t>（一）评分索引表</w:t>
      </w:r>
    </w:p>
    <w:p>
      <w:pPr>
        <w:jc w:val="center"/>
        <w:outlineLvl w:val="9"/>
        <w:rPr>
          <w:rFonts w:hint="eastAsia" w:ascii="黑体" w:hAnsi="黑体" w:eastAsia="黑体"/>
          <w:color w:val="auto"/>
          <w:sz w:val="32"/>
          <w:szCs w:val="32"/>
          <w:highlight w:val="none"/>
        </w:rPr>
      </w:pPr>
      <w:r>
        <w:rPr>
          <w:rFonts w:hint="eastAsia" w:ascii="黑体" w:hAnsi="黑体" w:eastAsia="黑体"/>
          <w:color w:val="auto"/>
          <w:sz w:val="32"/>
          <w:szCs w:val="32"/>
          <w:highlight w:val="none"/>
        </w:rPr>
        <w:t>评分索引表</w:t>
      </w:r>
    </w:p>
    <w:p>
      <w:pPr>
        <w:jc w:val="center"/>
        <w:rPr>
          <w:rFonts w:ascii="黑体" w:hAnsi="黑体" w:eastAsia="黑体"/>
          <w:color w:val="auto"/>
          <w:sz w:val="32"/>
          <w:szCs w:val="32"/>
          <w:highlight w:val="none"/>
        </w:rPr>
      </w:pPr>
    </w:p>
    <w:tbl>
      <w:tblPr>
        <w:tblStyle w:val="21"/>
        <w:tblW w:w="0" w:type="auto"/>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5"/>
        <w:gridCol w:w="3420"/>
        <w:gridCol w:w="1875"/>
        <w:gridCol w:w="22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0" w:hRule="atLeast"/>
        </w:trPr>
        <w:tc>
          <w:tcPr>
            <w:tcW w:w="1305" w:type="dxa"/>
            <w:noWrap w:val="0"/>
            <w:vAlign w:val="center"/>
          </w:tcPr>
          <w:p>
            <w:pPr>
              <w:pStyle w:val="44"/>
              <w:shd w:val="clear" w:color="auto" w:fill="FFFFFF"/>
              <w:spacing w:line="265" w:lineRule="atLeast"/>
              <w:ind w:left="0"/>
              <w:jc w:val="center"/>
              <w:rPr>
                <w:rFonts w:hint="eastAsia" w:ascii="黑体" w:hAnsi="黑体" w:eastAsia="黑体"/>
                <w:b/>
                <w:color w:val="auto"/>
                <w:highlight w:val="none"/>
                <w:lang w:val="en-US"/>
              </w:rPr>
            </w:pPr>
            <w:r>
              <w:rPr>
                <w:rFonts w:hint="eastAsia" w:ascii="黑体" w:hAnsi="黑体" w:eastAsia="黑体"/>
                <w:b/>
                <w:color w:val="auto"/>
                <w:highlight w:val="none"/>
                <w:lang w:val="en-US"/>
              </w:rPr>
              <w:t>序号</w:t>
            </w:r>
          </w:p>
        </w:tc>
        <w:tc>
          <w:tcPr>
            <w:tcW w:w="3420" w:type="dxa"/>
            <w:noWrap w:val="0"/>
            <w:vAlign w:val="center"/>
          </w:tcPr>
          <w:p>
            <w:pPr>
              <w:pStyle w:val="44"/>
              <w:shd w:val="clear" w:color="auto" w:fill="FFFFFF"/>
              <w:spacing w:line="265" w:lineRule="atLeast"/>
              <w:ind w:left="420"/>
              <w:jc w:val="center"/>
              <w:rPr>
                <w:rFonts w:ascii="黑体" w:hAnsi="黑体" w:eastAsia="黑体"/>
                <w:b/>
                <w:bCs/>
                <w:color w:val="auto"/>
                <w:highlight w:val="none"/>
                <w:lang w:val="en-US" w:eastAsia="zh-CN"/>
              </w:rPr>
            </w:pPr>
            <w:r>
              <w:rPr>
                <w:rFonts w:hint="eastAsia" w:ascii="黑体" w:hAnsi="黑体" w:eastAsia="黑体"/>
                <w:b/>
                <w:color w:val="auto"/>
                <w:highlight w:val="none"/>
                <w:lang w:val="en-US"/>
              </w:rPr>
              <w:t>评分项目</w:t>
            </w:r>
          </w:p>
        </w:tc>
        <w:tc>
          <w:tcPr>
            <w:tcW w:w="1875" w:type="dxa"/>
            <w:noWrap w:val="0"/>
            <w:vAlign w:val="center"/>
          </w:tcPr>
          <w:p>
            <w:pPr>
              <w:jc w:val="center"/>
              <w:rPr>
                <w:rFonts w:hint="eastAsia" w:ascii="黑体" w:hAnsi="黑体" w:eastAsia="黑体"/>
                <w:b/>
                <w:color w:val="auto"/>
                <w:kern w:val="0"/>
                <w:sz w:val="24"/>
                <w:highlight w:val="none"/>
                <w:lang w:bidi="en-US"/>
              </w:rPr>
            </w:pPr>
            <w:r>
              <w:rPr>
                <w:rFonts w:hint="eastAsia" w:ascii="黑体" w:hAnsi="黑体" w:eastAsia="黑体"/>
                <w:b/>
                <w:color w:val="auto"/>
                <w:kern w:val="0"/>
                <w:sz w:val="24"/>
                <w:highlight w:val="none"/>
                <w:lang w:bidi="en-US"/>
              </w:rPr>
              <w:t>评分分值</w:t>
            </w:r>
          </w:p>
        </w:tc>
        <w:tc>
          <w:tcPr>
            <w:tcW w:w="2205" w:type="dxa"/>
            <w:noWrap w:val="0"/>
            <w:vAlign w:val="center"/>
          </w:tcPr>
          <w:p>
            <w:pPr>
              <w:jc w:val="center"/>
              <w:rPr>
                <w:rFonts w:ascii="黑体" w:hAnsi="黑体" w:eastAsia="黑体"/>
                <w:b/>
                <w:color w:val="auto"/>
                <w:sz w:val="24"/>
                <w:highlight w:val="none"/>
              </w:rPr>
            </w:pPr>
            <w:r>
              <w:rPr>
                <w:rFonts w:hint="eastAsia" w:ascii="黑体" w:hAnsi="黑体" w:eastAsia="黑体"/>
                <w:b/>
                <w:color w:val="auto"/>
                <w:kern w:val="0"/>
                <w:sz w:val="24"/>
                <w:highlight w:val="none"/>
                <w:lang w:bidi="en-US"/>
              </w:rPr>
              <w:t>在响应文件中的页码位置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jc w:val="both"/>
              <w:rPr>
                <w:rFonts w:ascii="宋体" w:hAnsi="宋体" w:eastAsia="Times New Roman"/>
                <w:b/>
                <w:color w:val="auto"/>
                <w:highlight w:val="none"/>
                <w:lang w:val="en-US" w:eastAsia="zh-CN"/>
              </w:rPr>
            </w:pPr>
          </w:p>
        </w:tc>
        <w:tc>
          <w:tcPr>
            <w:tcW w:w="3420" w:type="dxa"/>
            <w:noWrap w:val="0"/>
            <w:vAlign w:val="top"/>
          </w:tcPr>
          <w:p>
            <w:pPr>
              <w:pStyle w:val="44"/>
              <w:shd w:val="clear" w:color="auto" w:fill="FFFFFF"/>
              <w:spacing w:line="265" w:lineRule="atLeast"/>
              <w:ind w:left="420"/>
              <w:jc w:val="both"/>
              <w:rPr>
                <w:rFonts w:ascii="宋体" w:hAnsi="宋体" w:eastAsia="Times New Roman"/>
                <w:b/>
                <w:color w:val="auto"/>
                <w:highlight w:val="none"/>
                <w:lang w:val="en-US" w:eastAsia="zh-CN"/>
              </w:rPr>
            </w:pPr>
          </w:p>
        </w:tc>
        <w:tc>
          <w:tcPr>
            <w:tcW w:w="1875" w:type="dxa"/>
            <w:noWrap w:val="0"/>
            <w:vAlign w:val="top"/>
          </w:tcPr>
          <w:p>
            <w:pPr>
              <w:rPr>
                <w:rFonts w:ascii="宋体" w:hAnsi="宋体"/>
                <w:b/>
                <w:color w:val="auto"/>
                <w:kern w:val="0"/>
                <w:sz w:val="24"/>
                <w:highlight w:val="none"/>
                <w:lang w:bidi="en-US"/>
              </w:rPr>
            </w:pPr>
          </w:p>
        </w:tc>
        <w:tc>
          <w:tcPr>
            <w:tcW w:w="2205" w:type="dxa"/>
            <w:noWrap w:val="0"/>
            <w:vAlign w:val="top"/>
          </w:tcPr>
          <w:p>
            <w:pPr>
              <w:rPr>
                <w:rFonts w:ascii="宋体" w:hAnsi="宋体"/>
                <w:b/>
                <w:color w:val="auto"/>
                <w:kern w:val="0"/>
                <w:sz w:val="24"/>
                <w:highlight w:val="none"/>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3420"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3420"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3420"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3420"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3420"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3420"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3420"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3420"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3420"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3420"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rPr>
                <w:rFonts w:ascii="宋体" w:hAnsi="宋体" w:eastAsia="Times New Roman"/>
                <w:b/>
                <w:bCs/>
                <w:color w:val="auto"/>
                <w:highlight w:val="none"/>
                <w:lang w:val="en-US" w:eastAsia="zh-CN"/>
              </w:rPr>
            </w:pPr>
          </w:p>
        </w:tc>
        <w:tc>
          <w:tcPr>
            <w:tcW w:w="3420" w:type="dxa"/>
            <w:noWrap w:val="0"/>
            <w:vAlign w:val="top"/>
          </w:tcPr>
          <w:p>
            <w:pPr>
              <w:pStyle w:val="44"/>
              <w:shd w:val="clear" w:color="auto" w:fill="FFFFFF"/>
              <w:spacing w:line="265" w:lineRule="atLeast"/>
              <w:ind w:left="420"/>
              <w:rPr>
                <w:rFonts w:ascii="宋体" w:hAnsi="宋体" w:eastAsia="Times New Roman"/>
                <w:b/>
                <w:bCs/>
                <w:color w:val="auto"/>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3420" w:type="dxa"/>
            <w:noWrap w:val="0"/>
            <w:vAlign w:val="top"/>
          </w:tcPr>
          <w:p>
            <w:pPr>
              <w:pStyle w:val="44"/>
              <w:shd w:val="clear" w:color="auto" w:fill="FFFFFF"/>
              <w:spacing w:line="265" w:lineRule="atLeast"/>
              <w:ind w:left="420"/>
              <w:rPr>
                <w:rFonts w:ascii="宋体" w:hAnsi="宋体" w:eastAsia="Times New Roman"/>
                <w:color w:val="auto"/>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rPr>
                <w:rFonts w:ascii="宋体" w:hAnsi="宋体" w:eastAsia="Times New Roman"/>
                <w:b/>
                <w:bCs/>
                <w:color w:val="auto"/>
                <w:highlight w:val="none"/>
                <w:lang w:val="en-US" w:eastAsia="zh-CN"/>
              </w:rPr>
            </w:pPr>
          </w:p>
        </w:tc>
        <w:tc>
          <w:tcPr>
            <w:tcW w:w="3420" w:type="dxa"/>
            <w:noWrap w:val="0"/>
            <w:vAlign w:val="top"/>
          </w:tcPr>
          <w:p>
            <w:pPr>
              <w:pStyle w:val="44"/>
              <w:shd w:val="clear" w:color="auto" w:fill="FFFFFF"/>
              <w:spacing w:line="265" w:lineRule="atLeast"/>
              <w:ind w:left="420"/>
              <w:rPr>
                <w:rFonts w:ascii="宋体" w:hAnsi="宋体" w:eastAsia="Times New Roman"/>
                <w:b/>
                <w:bCs/>
                <w:color w:val="auto"/>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rPr>
                <w:rFonts w:ascii="宋体" w:hAnsi="宋体" w:eastAsia="Times New Roman"/>
                <w:b/>
                <w:bCs/>
                <w:color w:val="auto"/>
                <w:highlight w:val="none"/>
                <w:lang w:val="en-US" w:eastAsia="zh-CN"/>
              </w:rPr>
            </w:pPr>
          </w:p>
        </w:tc>
        <w:tc>
          <w:tcPr>
            <w:tcW w:w="3420" w:type="dxa"/>
            <w:noWrap w:val="0"/>
            <w:vAlign w:val="top"/>
          </w:tcPr>
          <w:p>
            <w:pPr>
              <w:pStyle w:val="44"/>
              <w:shd w:val="clear" w:color="auto" w:fill="FFFFFF"/>
              <w:spacing w:line="265" w:lineRule="atLeast"/>
              <w:ind w:left="420"/>
              <w:rPr>
                <w:rFonts w:ascii="宋体" w:hAnsi="宋体" w:eastAsia="Times New Roman"/>
                <w:b/>
                <w:bCs/>
                <w:color w:val="auto"/>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rPr>
                <w:rFonts w:ascii="宋体" w:hAnsi="宋体" w:eastAsia="Times New Roman"/>
                <w:b/>
                <w:bCs/>
                <w:color w:val="auto"/>
                <w:highlight w:val="none"/>
                <w:lang w:val="en-US" w:eastAsia="zh-CN"/>
              </w:rPr>
            </w:pPr>
          </w:p>
        </w:tc>
        <w:tc>
          <w:tcPr>
            <w:tcW w:w="3420" w:type="dxa"/>
            <w:noWrap w:val="0"/>
            <w:vAlign w:val="top"/>
          </w:tcPr>
          <w:p>
            <w:pPr>
              <w:pStyle w:val="44"/>
              <w:shd w:val="clear" w:color="auto" w:fill="FFFFFF"/>
              <w:spacing w:line="265" w:lineRule="atLeast"/>
              <w:ind w:left="420"/>
              <w:rPr>
                <w:rFonts w:ascii="宋体" w:hAnsi="宋体" w:eastAsia="Times New Roman"/>
                <w:b/>
                <w:bCs/>
                <w:color w:val="auto"/>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420"/>
              <w:rPr>
                <w:rFonts w:ascii="宋体" w:hAnsi="宋体" w:eastAsia="Times New Roman"/>
                <w:b/>
                <w:bCs/>
                <w:color w:val="auto"/>
                <w:highlight w:val="none"/>
                <w:lang w:val="en-US" w:eastAsia="zh-CN"/>
              </w:rPr>
            </w:pPr>
          </w:p>
        </w:tc>
        <w:tc>
          <w:tcPr>
            <w:tcW w:w="3420" w:type="dxa"/>
            <w:noWrap w:val="0"/>
            <w:vAlign w:val="top"/>
          </w:tcPr>
          <w:p>
            <w:pPr>
              <w:pStyle w:val="44"/>
              <w:shd w:val="clear" w:color="auto" w:fill="FFFFFF"/>
              <w:spacing w:line="265" w:lineRule="atLeast"/>
              <w:ind w:left="420"/>
              <w:rPr>
                <w:rFonts w:ascii="宋体" w:hAnsi="宋体" w:eastAsia="Times New Roman"/>
                <w:b/>
                <w:bCs/>
                <w:color w:val="auto"/>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noWrap w:val="0"/>
            <w:vAlign w:val="top"/>
          </w:tcPr>
          <w:p>
            <w:pPr>
              <w:pStyle w:val="44"/>
              <w:shd w:val="clear" w:color="auto" w:fill="FFFFFF"/>
              <w:spacing w:line="265" w:lineRule="atLeast"/>
              <w:ind w:left="0" w:firstLine="480" w:firstLineChars="200"/>
              <w:rPr>
                <w:rFonts w:ascii="宋体" w:hAnsi="宋体" w:eastAsia="Times New Roman"/>
                <w:color w:val="auto"/>
                <w:szCs w:val="21"/>
                <w:highlight w:val="none"/>
                <w:lang w:val="en-US" w:eastAsia="zh-CN"/>
              </w:rPr>
            </w:pPr>
          </w:p>
        </w:tc>
        <w:tc>
          <w:tcPr>
            <w:tcW w:w="3420" w:type="dxa"/>
            <w:noWrap w:val="0"/>
            <w:vAlign w:val="top"/>
          </w:tcPr>
          <w:p>
            <w:pPr>
              <w:pStyle w:val="44"/>
              <w:shd w:val="clear" w:color="auto" w:fill="FFFFFF"/>
              <w:spacing w:line="265" w:lineRule="atLeast"/>
              <w:ind w:left="0" w:firstLine="480" w:firstLineChars="200"/>
              <w:rPr>
                <w:rFonts w:ascii="宋体" w:hAnsi="宋体" w:eastAsia="Times New Roman"/>
                <w:color w:val="auto"/>
                <w:szCs w:val="21"/>
                <w:highlight w:val="none"/>
                <w:lang w:val="en-US" w:eastAsia="zh-CN"/>
              </w:rPr>
            </w:pPr>
          </w:p>
        </w:tc>
        <w:tc>
          <w:tcPr>
            <w:tcW w:w="1875" w:type="dxa"/>
            <w:noWrap w:val="0"/>
            <w:vAlign w:val="top"/>
          </w:tcPr>
          <w:p>
            <w:pPr>
              <w:rPr>
                <w:rFonts w:ascii="宋体" w:hAnsi="宋体"/>
                <w:color w:val="auto"/>
                <w:highlight w:val="none"/>
              </w:rPr>
            </w:pPr>
          </w:p>
        </w:tc>
        <w:tc>
          <w:tcPr>
            <w:tcW w:w="2205" w:type="dxa"/>
            <w:noWrap w:val="0"/>
            <w:vAlign w:val="top"/>
          </w:tcPr>
          <w:p>
            <w:pPr>
              <w:rPr>
                <w:rFonts w:ascii="宋体" w:hAnsi="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305" w:type="dxa"/>
            <w:tcBorders>
              <w:bottom w:val="single" w:color="auto" w:sz="4" w:space="0"/>
            </w:tcBorders>
            <w:noWrap w:val="0"/>
            <w:vAlign w:val="top"/>
          </w:tcPr>
          <w:p>
            <w:pPr>
              <w:pStyle w:val="44"/>
              <w:shd w:val="clear" w:color="auto" w:fill="FFFFFF"/>
              <w:spacing w:line="265" w:lineRule="atLeast"/>
              <w:ind w:left="0" w:firstLine="480" w:firstLineChars="200"/>
              <w:rPr>
                <w:rFonts w:ascii="宋体" w:hAnsi="宋体" w:eastAsia="Times New Roman"/>
                <w:color w:val="auto"/>
                <w:highlight w:val="none"/>
                <w:lang w:val="en-US" w:eastAsia="zh-CN"/>
              </w:rPr>
            </w:pPr>
          </w:p>
        </w:tc>
        <w:tc>
          <w:tcPr>
            <w:tcW w:w="3420" w:type="dxa"/>
            <w:tcBorders>
              <w:bottom w:val="single" w:color="auto" w:sz="4" w:space="0"/>
            </w:tcBorders>
            <w:noWrap w:val="0"/>
            <w:vAlign w:val="top"/>
          </w:tcPr>
          <w:p>
            <w:pPr>
              <w:pStyle w:val="44"/>
              <w:shd w:val="clear" w:color="auto" w:fill="FFFFFF"/>
              <w:spacing w:line="265" w:lineRule="atLeast"/>
              <w:ind w:left="0" w:firstLine="480" w:firstLineChars="200"/>
              <w:rPr>
                <w:rFonts w:ascii="宋体" w:hAnsi="宋体" w:eastAsia="Times New Roman"/>
                <w:color w:val="auto"/>
                <w:highlight w:val="none"/>
                <w:lang w:val="en-US" w:eastAsia="zh-CN"/>
              </w:rPr>
            </w:pPr>
          </w:p>
        </w:tc>
        <w:tc>
          <w:tcPr>
            <w:tcW w:w="1875" w:type="dxa"/>
            <w:tcBorders>
              <w:bottom w:val="single" w:color="auto" w:sz="4" w:space="0"/>
            </w:tcBorders>
            <w:noWrap w:val="0"/>
            <w:vAlign w:val="top"/>
          </w:tcPr>
          <w:p>
            <w:pPr>
              <w:rPr>
                <w:rFonts w:ascii="宋体" w:hAnsi="宋体"/>
                <w:color w:val="auto"/>
                <w:highlight w:val="none"/>
              </w:rPr>
            </w:pPr>
          </w:p>
        </w:tc>
        <w:tc>
          <w:tcPr>
            <w:tcW w:w="2205" w:type="dxa"/>
            <w:tcBorders>
              <w:bottom w:val="single" w:color="auto" w:sz="4" w:space="0"/>
            </w:tcBorders>
            <w:noWrap w:val="0"/>
            <w:vAlign w:val="top"/>
          </w:tcPr>
          <w:p>
            <w:pPr>
              <w:rPr>
                <w:rFonts w:ascii="宋体" w:hAnsi="宋体"/>
                <w:color w:val="auto"/>
                <w:highlight w:val="none"/>
              </w:rPr>
            </w:pPr>
          </w:p>
        </w:tc>
      </w:tr>
    </w:tbl>
    <w:p>
      <w:pPr>
        <w:rPr>
          <w:rFonts w:ascii="宋体" w:hAnsi="宋体"/>
          <w:color w:val="auto"/>
          <w:highlight w:val="none"/>
        </w:rPr>
      </w:pPr>
    </w:p>
    <w:p>
      <w:pPr>
        <w:spacing w:line="500" w:lineRule="exact"/>
        <w:ind w:firstLine="560" w:firstLineChars="200"/>
        <w:rPr>
          <w:rFonts w:hint="eastAsia" w:ascii="黑体" w:hAnsi="黑体" w:eastAsia="黑体"/>
          <w:color w:val="auto"/>
          <w:sz w:val="28"/>
          <w:szCs w:val="28"/>
          <w:highlight w:val="none"/>
        </w:rPr>
      </w:pPr>
    </w:p>
    <w:p>
      <w:pPr>
        <w:spacing w:line="500" w:lineRule="exact"/>
        <w:ind w:firstLine="562" w:firstLineChars="200"/>
        <w:rPr>
          <w:rFonts w:hint="eastAsia" w:ascii="仿宋" w:hAnsi="仿宋" w:eastAsia="仿宋"/>
          <w:b/>
          <w:bCs/>
          <w:color w:val="auto"/>
          <w:sz w:val="28"/>
          <w:szCs w:val="28"/>
          <w:highlight w:val="none"/>
        </w:rPr>
      </w:pPr>
    </w:p>
    <w:p>
      <w:pPr>
        <w:spacing w:line="500" w:lineRule="exact"/>
        <w:ind w:firstLine="562" w:firstLineChars="200"/>
        <w:rPr>
          <w:rFonts w:hint="eastAsia" w:ascii="仿宋" w:hAnsi="仿宋" w:eastAsia="仿宋"/>
          <w:b/>
          <w:bCs/>
          <w:color w:val="auto"/>
          <w:sz w:val="28"/>
          <w:szCs w:val="28"/>
          <w:highlight w:val="none"/>
        </w:rPr>
      </w:pPr>
    </w:p>
    <w:p>
      <w:pPr>
        <w:spacing w:line="500" w:lineRule="exact"/>
        <w:ind w:firstLine="562" w:firstLineChars="200"/>
        <w:rPr>
          <w:rFonts w:hint="eastAsia" w:ascii="仿宋" w:hAnsi="仿宋" w:eastAsia="仿宋"/>
          <w:b/>
          <w:bCs/>
          <w:color w:val="auto"/>
          <w:sz w:val="28"/>
          <w:szCs w:val="28"/>
          <w:highlight w:val="none"/>
        </w:rPr>
      </w:pPr>
    </w:p>
    <w:p>
      <w:pPr>
        <w:spacing w:line="500" w:lineRule="exact"/>
        <w:ind w:firstLine="562" w:firstLineChars="200"/>
        <w:outlineLvl w:val="9"/>
        <w:rPr>
          <w:rFonts w:hint="eastAsia" w:ascii="仿宋" w:hAnsi="仿宋" w:eastAsia="仿宋"/>
          <w:bCs/>
          <w:color w:val="auto"/>
          <w:sz w:val="28"/>
          <w:szCs w:val="28"/>
          <w:highlight w:val="none"/>
        </w:rPr>
      </w:pPr>
      <w:r>
        <w:rPr>
          <w:rFonts w:ascii="仿宋" w:hAnsi="仿宋" w:eastAsia="仿宋"/>
          <w:b/>
          <w:bCs/>
          <w:color w:val="auto"/>
          <w:sz w:val="28"/>
          <w:szCs w:val="28"/>
          <w:highlight w:val="none"/>
        </w:rPr>
        <w:br w:type="page"/>
      </w:r>
      <w:r>
        <w:rPr>
          <w:rFonts w:hint="eastAsia" w:ascii="仿宋" w:hAnsi="仿宋" w:eastAsia="仿宋"/>
          <w:color w:val="auto"/>
          <w:sz w:val="28"/>
          <w:szCs w:val="28"/>
          <w:highlight w:val="none"/>
        </w:rPr>
        <w:t>（二）</w:t>
      </w:r>
      <w:r>
        <w:rPr>
          <w:rFonts w:hint="eastAsia" w:ascii="仿宋" w:hAnsi="仿宋" w:eastAsia="仿宋"/>
          <w:bCs/>
          <w:color w:val="auto"/>
          <w:sz w:val="28"/>
          <w:szCs w:val="28"/>
          <w:highlight w:val="none"/>
        </w:rPr>
        <w:t>技术部分正负偏离表</w:t>
      </w:r>
    </w:p>
    <w:p>
      <w:pPr>
        <w:spacing w:line="500" w:lineRule="exact"/>
        <w:ind w:firstLine="562" w:firstLineChars="200"/>
        <w:rPr>
          <w:rFonts w:hint="eastAsia" w:ascii="仿宋" w:hAnsi="仿宋" w:eastAsia="仿宋"/>
          <w:b/>
          <w:bCs/>
          <w:color w:val="auto"/>
          <w:sz w:val="28"/>
          <w:szCs w:val="28"/>
          <w:highlight w:val="none"/>
        </w:rPr>
      </w:pPr>
    </w:p>
    <w:p>
      <w:pPr>
        <w:ind w:firstLine="641"/>
        <w:jc w:val="center"/>
        <w:outlineLvl w:val="9"/>
        <w:rPr>
          <w:rFonts w:hint="eastAsia" w:ascii="方正小标宋简体" w:hAnsi="宋体" w:eastAsia="方正小标宋简体"/>
          <w:color w:val="auto"/>
          <w:sz w:val="32"/>
          <w:szCs w:val="32"/>
          <w:highlight w:val="none"/>
        </w:rPr>
      </w:pPr>
      <w:r>
        <w:rPr>
          <w:rFonts w:hint="eastAsia" w:ascii="方正小标宋简体" w:hAnsi="宋体" w:eastAsia="方正小标宋简体"/>
          <w:color w:val="auto"/>
          <w:sz w:val="32"/>
          <w:szCs w:val="32"/>
          <w:highlight w:val="none"/>
        </w:rPr>
        <w:t>技术部分正负偏离表</w:t>
      </w:r>
    </w:p>
    <w:p>
      <w:pPr>
        <w:ind w:firstLine="641"/>
        <w:jc w:val="center"/>
        <w:rPr>
          <w:rFonts w:hint="eastAsia" w:ascii="宋体" w:hAnsi="宋体"/>
          <w:b/>
          <w:color w:val="auto"/>
          <w:sz w:val="32"/>
          <w:szCs w:val="32"/>
          <w:highlight w:val="none"/>
        </w:rPr>
      </w:pPr>
    </w:p>
    <w:p>
      <w:pPr>
        <w:rPr>
          <w:rFonts w:hint="eastAsia" w:ascii="仿宋" w:hAnsi="仿宋" w:eastAsia="仿宋"/>
          <w:color w:val="auto"/>
          <w:sz w:val="24"/>
          <w:highlight w:val="none"/>
        </w:rPr>
      </w:pPr>
      <w:r>
        <w:rPr>
          <w:rFonts w:hint="eastAsia" w:ascii="仿宋" w:hAnsi="仿宋" w:eastAsia="仿宋"/>
          <w:color w:val="auto"/>
          <w:sz w:val="24"/>
          <w:highlight w:val="none"/>
        </w:rPr>
        <w:t xml:space="preserve">供应商全称（加盖公章）： </w:t>
      </w:r>
    </w:p>
    <w:tbl>
      <w:tblPr>
        <w:tblStyle w:val="21"/>
        <w:tblpPr w:leftFromText="180" w:rightFromText="180" w:vertAnchor="text" w:horzAnchor="page" w:tblpX="1697" w:tblpY="245"/>
        <w:tblOverlap w:val="never"/>
        <w:tblW w:w="9300" w:type="dxa"/>
        <w:tblInd w:w="0" w:type="dxa"/>
        <w:tblLayout w:type="fixed"/>
        <w:tblCellMar>
          <w:top w:w="0" w:type="dxa"/>
          <w:left w:w="108" w:type="dxa"/>
          <w:bottom w:w="0" w:type="dxa"/>
          <w:right w:w="108" w:type="dxa"/>
        </w:tblCellMar>
      </w:tblPr>
      <w:tblGrid>
        <w:gridCol w:w="435"/>
        <w:gridCol w:w="705"/>
        <w:gridCol w:w="4980"/>
        <w:gridCol w:w="630"/>
        <w:gridCol w:w="870"/>
        <w:gridCol w:w="840"/>
        <w:gridCol w:w="840"/>
      </w:tblGrid>
      <w:tr>
        <w:tblPrEx>
          <w:tblCellMar>
            <w:top w:w="0" w:type="dxa"/>
            <w:left w:w="108" w:type="dxa"/>
            <w:bottom w:w="0" w:type="dxa"/>
            <w:right w:w="108" w:type="dxa"/>
          </w:tblCellMar>
        </w:tblPrEx>
        <w:trPr>
          <w:trHeight w:val="162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spacing w:line="400" w:lineRule="exact"/>
              <w:jc w:val="center"/>
              <w:rPr>
                <w:rFonts w:hint="default"/>
                <w:color w:val="auto"/>
                <w:highlight w:val="none"/>
                <w:lang w:val="en-US" w:eastAsia="zh-CN"/>
              </w:rPr>
            </w:pPr>
            <w:r>
              <w:rPr>
                <w:rFonts w:hint="eastAsia" w:ascii="仿宋" w:hAnsi="仿宋" w:eastAsia="仿宋"/>
                <w:color w:val="auto"/>
                <w:sz w:val="24"/>
                <w:highlight w:val="none"/>
              </w:rPr>
              <w:t>序号</w:t>
            </w:r>
          </w:p>
        </w:tc>
        <w:tc>
          <w:tcPr>
            <w:tcW w:w="705" w:type="dxa"/>
            <w:tcBorders>
              <w:top w:val="single" w:color="000000" w:sz="4" w:space="0"/>
              <w:left w:val="single" w:color="000000" w:sz="4" w:space="0"/>
              <w:bottom w:val="single" w:color="000000" w:sz="4" w:space="0"/>
              <w:right w:val="single" w:color="000000" w:sz="4" w:space="0"/>
            </w:tcBorders>
            <w:noWrap/>
            <w:vAlign w:val="center"/>
          </w:tcPr>
          <w:p>
            <w:pPr>
              <w:spacing w:line="400" w:lineRule="exact"/>
              <w:jc w:val="center"/>
              <w:rPr>
                <w:rFonts w:hint="default"/>
                <w:color w:val="auto"/>
                <w:highlight w:val="none"/>
                <w:lang w:val="en-US" w:eastAsia="zh-CN"/>
              </w:rPr>
            </w:pPr>
            <w:r>
              <w:rPr>
                <w:rFonts w:hint="eastAsia" w:ascii="仿宋" w:hAnsi="仿宋" w:eastAsia="仿宋"/>
                <w:color w:val="auto"/>
                <w:sz w:val="24"/>
                <w:highlight w:val="none"/>
              </w:rPr>
              <w:t>项目（设备、材料、服务）名称</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spacing w:line="400" w:lineRule="exact"/>
              <w:jc w:val="center"/>
              <w:rPr>
                <w:rFonts w:hint="default" w:ascii="仿宋" w:hAnsi="仿宋" w:eastAsia="仿宋"/>
                <w:color w:val="auto"/>
                <w:sz w:val="24"/>
                <w:highlight w:val="none"/>
                <w:lang w:val="en-US" w:eastAsia="zh-CN"/>
              </w:rPr>
            </w:pPr>
            <w:r>
              <w:rPr>
                <w:rFonts w:hint="eastAsia" w:ascii="仿宋" w:hAnsi="仿宋" w:eastAsia="仿宋"/>
                <w:color w:val="auto"/>
                <w:sz w:val="24"/>
                <w:highlight w:val="none"/>
              </w:rPr>
              <w:t>磋商文件具体参数规格</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eastAsia" w:ascii="仿宋" w:hAnsi="仿宋" w:eastAsia="仿宋"/>
                <w:color w:val="auto"/>
                <w:sz w:val="24"/>
                <w:highlight w:val="none"/>
              </w:rPr>
              <w:t>投标具体参数规格</w:t>
            </w:r>
          </w:p>
        </w:tc>
        <w:tc>
          <w:tcPr>
            <w:tcW w:w="870" w:type="dxa"/>
            <w:tcBorders>
              <w:top w:val="single" w:color="000000" w:sz="4" w:space="0"/>
              <w:left w:val="single" w:color="000000" w:sz="4" w:space="0"/>
              <w:bottom w:val="single" w:color="000000" w:sz="4" w:space="0"/>
              <w:right w:val="single" w:color="000000" w:sz="4" w:space="0"/>
            </w:tcBorders>
            <w:noWrap/>
            <w:vAlign w:val="center"/>
          </w:tcPr>
          <w:p>
            <w:pPr>
              <w:spacing w:line="400" w:lineRule="exact"/>
              <w:jc w:val="center"/>
              <w:rPr>
                <w:rFonts w:hint="default"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rPr>
              <w:t>投标产品品牌</w:t>
            </w:r>
          </w:p>
        </w:tc>
        <w:tc>
          <w:tcPr>
            <w:tcW w:w="840" w:type="dxa"/>
            <w:tcBorders>
              <w:top w:val="single" w:color="000000" w:sz="4" w:space="0"/>
              <w:left w:val="single" w:color="000000" w:sz="4" w:space="0"/>
              <w:bottom w:val="single" w:color="000000" w:sz="4" w:space="0"/>
              <w:right w:val="single" w:color="000000" w:sz="4" w:space="0"/>
            </w:tcBorders>
            <w:noWrap/>
            <w:vAlign w:val="center"/>
          </w:tcPr>
          <w:p>
            <w:pPr>
              <w:spacing w:line="400" w:lineRule="exact"/>
              <w:jc w:val="center"/>
              <w:rPr>
                <w:rFonts w:hint="default"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rPr>
              <w:t>超出、符合或偏离</w:t>
            </w:r>
          </w:p>
        </w:tc>
        <w:tc>
          <w:tcPr>
            <w:tcW w:w="840" w:type="dxa"/>
            <w:tcBorders>
              <w:top w:val="single" w:color="000000" w:sz="4" w:space="0"/>
              <w:left w:val="single" w:color="000000" w:sz="4" w:space="0"/>
              <w:bottom w:val="single" w:color="000000" w:sz="4" w:space="0"/>
              <w:right w:val="single" w:color="000000" w:sz="4" w:space="0"/>
            </w:tcBorders>
            <w:noWrap/>
            <w:vAlign w:val="center"/>
          </w:tcPr>
          <w:p>
            <w:pPr>
              <w:spacing w:line="400" w:lineRule="exact"/>
              <w:jc w:val="center"/>
              <w:rPr>
                <w:rFonts w:hint="default" w:ascii="仿宋" w:hAnsi="仿宋" w:eastAsia="仿宋" w:cs="Times New Roman"/>
                <w:color w:val="auto"/>
                <w:kern w:val="2"/>
                <w:sz w:val="24"/>
                <w:szCs w:val="24"/>
                <w:highlight w:val="none"/>
                <w:lang w:val="en-US" w:eastAsia="zh-CN" w:bidi="ar-SA"/>
              </w:rPr>
            </w:pPr>
            <w:r>
              <w:rPr>
                <w:rFonts w:hint="eastAsia" w:ascii="仿宋" w:hAnsi="仿宋" w:eastAsia="仿宋"/>
                <w:color w:val="auto"/>
                <w:sz w:val="24"/>
                <w:highlight w:val="none"/>
              </w:rPr>
              <w:t>原因</w:t>
            </w:r>
          </w:p>
        </w:tc>
      </w:tr>
      <w:tr>
        <w:tblPrEx>
          <w:tblCellMar>
            <w:top w:w="0" w:type="dxa"/>
            <w:left w:w="108" w:type="dxa"/>
            <w:bottom w:w="0" w:type="dxa"/>
            <w:right w:w="108" w:type="dxa"/>
          </w:tblCellMar>
        </w:tblPrEx>
        <w:trPr>
          <w:trHeight w:val="4476"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消防头盔</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总体性能符合XF 44-2015《消防头盔》的标准。17式消防头盔采取多功能模块化滑轨设计。</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提供国家消防装备质量监督检验中心检测报告及认证证书</w:t>
            </w:r>
            <w:r>
              <w:rPr>
                <w:rFonts w:hint="eastAsia"/>
                <w:color w:val="auto"/>
                <w:highlight w:val="none"/>
                <w:lang w:val="en-US" w:eastAsia="zh-CN"/>
              </w:rPr>
              <w:t>复印件加盖响应供应商公章</w:t>
            </w:r>
            <w:r>
              <w:rPr>
                <w:rFonts w:hint="default"/>
                <w:color w:val="auto"/>
                <w:highlight w:val="none"/>
                <w:lang w:val="en-US" w:eastAsia="zh-CN"/>
              </w:rPr>
              <w:t>。</w:t>
            </w:r>
          </w:p>
          <w:p>
            <w:pPr>
              <w:rPr>
                <w:rFonts w:ascii="宋体" w:hAnsi="宋体" w:cs="宋体"/>
                <w:color w:val="auto"/>
                <w:szCs w:val="21"/>
                <w:highlight w:val="none"/>
              </w:rPr>
            </w:pPr>
            <w:r>
              <w:rPr>
                <w:rFonts w:hint="eastAsia" w:ascii="宋体" w:hAnsi="宋体" w:cs="宋体"/>
                <w:color w:val="auto"/>
                <w:szCs w:val="21"/>
                <w:highlight w:val="none"/>
              </w:rPr>
              <w:t>★1、结构：消防头盔为半盔，由盔壳、滑轨（可安装头灯灯架）、缓冲层、舒适衬垫、佩戴装置、面罩、披肩等组成。</w:t>
            </w:r>
          </w:p>
          <w:p>
            <w:pPr>
              <w:rPr>
                <w:rFonts w:ascii="宋体" w:hAnsi="宋体" w:cs="宋体"/>
                <w:color w:val="auto"/>
                <w:szCs w:val="21"/>
                <w:highlight w:val="none"/>
              </w:rPr>
            </w:pPr>
            <w:r>
              <w:rPr>
                <w:rFonts w:hint="eastAsia" w:ascii="宋体" w:hAnsi="宋体" w:cs="宋体"/>
                <w:color w:val="auto"/>
                <w:szCs w:val="21"/>
                <w:highlight w:val="none"/>
              </w:rPr>
              <w:t>★2、盔壳：帽壳采用耐高温阻燃PA-66尼龙改性材料一次成型制成，具有优异的防冲击、耐热辐射、阻燃、防水、防化学腐蚀、耐热耐寒、电绝缘性能。表面色泽鲜明、光洁，无污渍、气泡、缺损及其他有损外观的缺陷。</w:t>
            </w:r>
          </w:p>
          <w:p>
            <w:pPr>
              <w:rPr>
                <w:rFonts w:ascii="宋体" w:hAnsi="宋体" w:cs="宋体"/>
                <w:color w:val="auto"/>
                <w:szCs w:val="21"/>
                <w:highlight w:val="none"/>
              </w:rPr>
            </w:pPr>
            <w:r>
              <w:rPr>
                <w:rFonts w:hint="eastAsia" w:ascii="宋体" w:hAnsi="宋体" w:cs="宋体"/>
                <w:color w:val="auto"/>
                <w:szCs w:val="21"/>
                <w:highlight w:val="none"/>
              </w:rPr>
              <w:t>★3、面罩：采用透光、耐冲击、阻燃、耐高温、防雾和耐刮擦的聚亚苯基砜耐高温阻燃材质制成，具有高效防结雾性能；采用外翻直板式式设计，开合过程方便随意保持定位，向上打开最大角度90°，翻转灵活，面罩翻下时无明显视觉变形及眩晕感。面罩表面无明显擦伤或打毛痕迹，周边光滑，无棱角。</w:t>
            </w:r>
          </w:p>
          <w:p>
            <w:pPr>
              <w:rPr>
                <w:rFonts w:ascii="宋体" w:hAnsi="宋体" w:cs="宋体"/>
                <w:color w:val="auto"/>
                <w:szCs w:val="21"/>
                <w:highlight w:val="none"/>
              </w:rPr>
            </w:pPr>
            <w:r>
              <w:rPr>
                <w:rFonts w:hint="eastAsia" w:ascii="宋体" w:hAnsi="宋体" w:cs="宋体"/>
                <w:color w:val="auto"/>
                <w:szCs w:val="21"/>
                <w:highlight w:val="none"/>
              </w:rPr>
              <w:t>★4、滑轨：盔体两侧配有黑色多功能模块化滑轨，可安装头灯支架，由耐高温阻燃热塑性材料制成。</w:t>
            </w:r>
          </w:p>
          <w:p>
            <w:pPr>
              <w:rPr>
                <w:rFonts w:ascii="宋体" w:hAnsi="宋体" w:cs="宋体"/>
                <w:color w:val="auto"/>
                <w:szCs w:val="21"/>
                <w:highlight w:val="none"/>
              </w:rPr>
            </w:pPr>
            <w:r>
              <w:rPr>
                <w:rFonts w:hint="eastAsia" w:ascii="宋体" w:hAnsi="宋体" w:cs="宋体"/>
                <w:color w:val="auto"/>
                <w:szCs w:val="21"/>
                <w:highlight w:val="none"/>
              </w:rPr>
              <w:t>5、缓冲层：采用三层缓冲结构组成、黑色耐高温聚醚阻燃材质，对人体无毒、无刺激性。</w:t>
            </w:r>
          </w:p>
          <w:p>
            <w:pPr>
              <w:rPr>
                <w:rFonts w:ascii="宋体" w:hAnsi="宋体" w:cs="宋体"/>
                <w:color w:val="auto"/>
                <w:szCs w:val="21"/>
                <w:highlight w:val="none"/>
              </w:rPr>
            </w:pPr>
            <w:r>
              <w:rPr>
                <w:rFonts w:hint="eastAsia" w:ascii="宋体" w:hAnsi="宋体" w:cs="宋体"/>
                <w:color w:val="auto"/>
                <w:szCs w:val="21"/>
                <w:highlight w:val="none"/>
              </w:rPr>
              <w:t>★6、舒适衬垫：头盔顶部衬垫采用优质耐高温阻燃芳纶网状和双层牛皮（吸汗、透气、不氧化）缝制而成，四周舒适层由耐高温阻燃材料一次成型，佩戴舒适（与帽箍一体），在使用过程中可任意调节佩戴高度。</w:t>
            </w:r>
          </w:p>
          <w:p>
            <w:pPr>
              <w:rPr>
                <w:rFonts w:ascii="宋体" w:hAnsi="宋体" w:cs="宋体"/>
                <w:color w:val="auto"/>
                <w:szCs w:val="21"/>
                <w:highlight w:val="none"/>
              </w:rPr>
            </w:pPr>
            <w:r>
              <w:rPr>
                <w:rFonts w:hint="eastAsia" w:ascii="宋体" w:hAnsi="宋体" w:cs="宋体"/>
                <w:color w:val="auto"/>
                <w:szCs w:val="21"/>
                <w:highlight w:val="none"/>
              </w:rPr>
              <w:t>★7、佩戴装置：帽箍和系带为耐高温阻燃材质，帽箍材质为阻燃耐高温尼龙PA-66改性材料制成，系带为高强度芳纶阻燃材料制成。在盔体后沿下侧设有头围调节旋钮，调节范围（51-63cm），为了增强头盔佩戴稳定性，头盔两侧系带采用三角形设计。下颏带装配可单手解脱快脱插扣，为了预防高温后快脱插扣金属部分烫伤皮肤，特在插扣金属处缝制芳纶带隔热。</w:t>
            </w:r>
          </w:p>
          <w:p>
            <w:pPr>
              <w:rPr>
                <w:rFonts w:ascii="宋体" w:hAnsi="宋体" w:cs="宋体"/>
                <w:color w:val="auto"/>
                <w:szCs w:val="21"/>
                <w:highlight w:val="none"/>
              </w:rPr>
            </w:pPr>
            <w:r>
              <w:rPr>
                <w:rFonts w:hint="eastAsia" w:ascii="宋体" w:hAnsi="宋体" w:cs="宋体"/>
                <w:color w:val="auto"/>
                <w:szCs w:val="21"/>
                <w:highlight w:val="none"/>
              </w:rPr>
              <w:t>1）下颏带采用芳纶抗拉阻燃材料，宽度＞20mm，搭配有快速调节搭扣，可调节佩戴松紧。</w:t>
            </w:r>
          </w:p>
          <w:p>
            <w:pPr>
              <w:rPr>
                <w:rFonts w:ascii="宋体" w:hAnsi="宋体" w:cs="宋体"/>
                <w:color w:val="auto"/>
                <w:szCs w:val="21"/>
                <w:highlight w:val="none"/>
              </w:rPr>
            </w:pPr>
            <w:r>
              <w:rPr>
                <w:rFonts w:hint="eastAsia" w:ascii="宋体" w:hAnsi="宋体" w:cs="宋体"/>
                <w:color w:val="auto"/>
                <w:szCs w:val="21"/>
                <w:highlight w:val="none"/>
              </w:rPr>
              <w:t>2）下颏带阻燃性能：损毁长度9mm，续燃时间0s；无熔融、滴落现象。</w:t>
            </w:r>
          </w:p>
          <w:p>
            <w:pPr>
              <w:rPr>
                <w:rFonts w:ascii="宋体" w:hAnsi="宋体" w:cs="宋体"/>
                <w:color w:val="auto"/>
                <w:szCs w:val="21"/>
                <w:highlight w:val="none"/>
              </w:rPr>
            </w:pPr>
            <w:r>
              <w:rPr>
                <w:rFonts w:hint="eastAsia" w:ascii="宋体" w:hAnsi="宋体" w:cs="宋体"/>
                <w:color w:val="auto"/>
                <w:szCs w:val="21"/>
                <w:highlight w:val="none"/>
              </w:rPr>
              <w:t>★8、披肩：为装卸式，可快速拆卸安装，披肩由三层材料缝制而成，外层为藏蓝色防水处理芳纶布，中层为隔热反辐射铝箔布，舒适层为芳纶阻燃面料，为了防止在运动中披肩摆动，特在披肩下角处和下颏带连接处缝制魔术贴固定。披肩长60cm，宽26cm, 可完全覆盖消防员肩部与颈部，采用折叠式设计，可随意张开。</w:t>
            </w:r>
          </w:p>
          <w:p>
            <w:pPr>
              <w:rPr>
                <w:rFonts w:ascii="宋体" w:hAnsi="宋体" w:cs="宋体"/>
                <w:color w:val="auto"/>
                <w:szCs w:val="21"/>
                <w:highlight w:val="none"/>
              </w:rPr>
            </w:pPr>
            <w:r>
              <w:rPr>
                <w:rFonts w:hint="eastAsia" w:ascii="宋体" w:hAnsi="宋体" w:cs="宋体"/>
                <w:color w:val="auto"/>
                <w:szCs w:val="21"/>
                <w:highlight w:val="none"/>
              </w:rPr>
              <w:t>★9、反光标识：抢险救援头盔两侧粘贴弧形反光标识条带，颜色为荧光黄色，宽度为30mm，长度为230mm，弧形总高52mm。</w:t>
            </w:r>
          </w:p>
          <w:p>
            <w:pPr>
              <w:pStyle w:val="11"/>
              <w:rPr>
                <w:rFonts w:hint="default"/>
                <w:color w:val="auto"/>
                <w:highlight w:val="none"/>
                <w:lang w:val="en-US" w:eastAsia="zh-CN"/>
              </w:rPr>
            </w:pPr>
            <w:r>
              <w:rPr>
                <w:rFonts w:hint="eastAsia" w:ascii="宋体" w:hAnsi="宋体" w:cs="宋体"/>
                <w:color w:val="auto"/>
                <w:szCs w:val="21"/>
                <w:highlight w:val="none"/>
              </w:rPr>
              <w:t>★10、质量≤1070g（不包括披肩及其他附件）</w:t>
            </w:r>
          </w:p>
          <w:p>
            <w:pPr>
              <w:pStyle w:val="11"/>
              <w:rPr>
                <w:rFonts w:hint="default"/>
                <w:color w:val="auto"/>
                <w:highlight w:val="none"/>
                <w:lang w:val="en-US" w:eastAsia="zh-CN"/>
              </w:rPr>
            </w:pPr>
            <w:r>
              <w:rPr>
                <w:rFonts w:hint="default"/>
                <w:color w:val="auto"/>
                <w:highlight w:val="none"/>
                <w:lang w:val="en-US" w:eastAsia="zh-CN"/>
              </w:rPr>
              <w:t>成交后，签订合同前提供生产商授权函。</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34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eastAsia"/>
                <w:color w:val="auto"/>
                <w:highlight w:val="none"/>
                <w:lang w:val="en-US" w:eastAsia="zh-CN"/>
              </w:rPr>
              <w:t>2</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消防员灭火防护服</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执行XF 10-2014《消防员灭火防护服》标准；符合应急管理部消防局20式统型要求。</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提供国家消防装备质量监督检验中心检测报告及认证证书</w:t>
            </w:r>
            <w:r>
              <w:rPr>
                <w:rFonts w:hint="eastAsia"/>
                <w:color w:val="auto"/>
                <w:highlight w:val="none"/>
                <w:lang w:val="en-US" w:eastAsia="zh-CN"/>
              </w:rPr>
              <w:t>复印件加盖响应供应商单位公章</w:t>
            </w:r>
            <w:r>
              <w:rPr>
                <w:rFonts w:hint="default"/>
                <w:color w:val="auto"/>
                <w:highlight w:val="none"/>
                <w:lang w:val="en-US" w:eastAsia="zh-CN"/>
              </w:rPr>
              <w:t>。用于身体防护，具备阻燃、防水透气、隔热、防静电和标识性强等性能；颜色为藏蓝色；由外层、防水透气层（隔热层）及舒适层构成。</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外层采用芳纶阻燃面料、舒泊MVC、单位面积质量为（235±12）g/㎡）；阻燃性能：经向续燃时间0s,损耗长度≤23mm,纬向续燃时间0s,损耗长度≤21mm；断裂强力：经向≥1636N,纬向≥1459N；撕破强力：经向≥255.8N,纬向≥228.3N ；</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防水透气层（隔热层）采用芳纶无纺布+阻燃PTFE膜、DYZ14-3、单位面积质量为（160±8）g/㎡）；阻燃性能：经向续燃时间0s，损耗长度≤31mm；纬向续燃时间0s,损耗长度≤28mm；拒油性能：≥4级；</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舒适层采用芳纶粘胶阻燃面料、XV343、单位面积质量为（120±6）g/㎡；阻燃性能：经向续燃时间0s，损耗长度≤39mm；纬向续燃时间0s,损耗长度≤46mm；断裂强力：经向≥371.8N,纬向≥338.5N；</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反光标志带采用3M反光带；阻燃性能：经向续燃时间0s，损耗长度≤24mm；纬向续燃时间0s，损耗长度≤22mm；</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整套服装质量: ≤2.87kg(含粘贴式标识)</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49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3</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阻燃头套</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 869-2010《消防员灭火防护头套》的标准要求。</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提供国家消防装备质量监督检验中心检测报告及认证证书</w:t>
            </w:r>
            <w:r>
              <w:rPr>
                <w:rFonts w:hint="eastAsia"/>
                <w:color w:val="auto"/>
                <w:highlight w:val="none"/>
                <w:lang w:val="en-US" w:eastAsia="zh-CN"/>
              </w:rPr>
              <w:t>复印件加盖响应供应商单位公章</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1、技术性能</w:t>
            </w:r>
          </w:p>
          <w:p>
            <w:pPr>
              <w:rPr>
                <w:rFonts w:hint="default"/>
                <w:color w:val="auto"/>
                <w:highlight w:val="none"/>
                <w:lang w:val="en-US" w:eastAsia="zh-CN"/>
              </w:rPr>
            </w:pPr>
            <w:r>
              <w:rPr>
                <w:rFonts w:hint="default"/>
                <w:color w:val="auto"/>
                <w:highlight w:val="none"/>
                <w:lang w:val="en-US" w:eastAsia="zh-CN"/>
              </w:rPr>
              <w:t>阻燃性能：经向续燃时间0s；损毁长度≤8mm；纬向续燃时间0s；损毁长度≤7mm；水洗尺寸变化率：直向≤2.9%；横向≤1.0%；抗起球性能：4级；接缝强力：≥916.7N；</w:t>
            </w:r>
          </w:p>
          <w:p>
            <w:pPr>
              <w:rPr>
                <w:rFonts w:hint="default"/>
                <w:color w:val="auto"/>
                <w:highlight w:val="none"/>
                <w:lang w:val="en-US" w:eastAsia="zh-CN"/>
              </w:rPr>
            </w:pPr>
            <w:r>
              <w:rPr>
                <w:rFonts w:hint="default"/>
                <w:color w:val="auto"/>
                <w:highlight w:val="none"/>
                <w:lang w:val="en-US" w:eastAsia="zh-CN"/>
              </w:rPr>
              <w:t xml:space="preserve">面部开口尺寸稳定性：≤2.0%；质量：≤154g </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337"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4</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消防手套</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 7-2004《消防手套》标准要求。</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提供国家消防装备质量监督检验中心检测报告及认证证书</w:t>
            </w:r>
            <w:r>
              <w:rPr>
                <w:rFonts w:hint="eastAsia"/>
                <w:color w:val="auto"/>
                <w:highlight w:val="none"/>
                <w:lang w:val="en-US" w:eastAsia="zh-CN"/>
              </w:rPr>
              <w:t>复印件加盖响应供应商单位公章</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主要用于手部防护，由外层、防水层、隔热层、衬里组成。手背缝合有宽度为不小于50mm的360°反光标志带。面料采用芳纶1313+高性能阻燃纤维材料，具备阻燃、防水透气、防静电、舒适等性能。外层面料材料：藏青色斜纹布；重量：≤0.1Kg。</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373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5</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消防安全腰带</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符合XF 494-2004《消防用防坠落装备》的标准要求。</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提供国家消防装备质量监督检验中心检测报告及认证证书</w:t>
            </w:r>
            <w:r>
              <w:rPr>
                <w:rFonts w:hint="eastAsia"/>
                <w:color w:val="auto"/>
                <w:highlight w:val="none"/>
                <w:lang w:val="en-US" w:eastAsia="zh-CN"/>
              </w:rPr>
              <w:t>复印件加盖响应供应商单位公章</w:t>
            </w:r>
            <w:r>
              <w:rPr>
                <w:rFonts w:hint="default"/>
                <w:color w:val="auto"/>
                <w:highlight w:val="none"/>
                <w:lang w:val="en-US" w:eastAsia="zh-CN"/>
              </w:rPr>
              <w:t>。用于消防员登高作业和逃生自救用的防护装置，采用聚酰胺纤维或聚酯纤维和高强度金属件制成。安全腰带的织带为一整根结构：由织带、针扣、环扣和两个拉环等零件构成。</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织带宽度为70mm。安全腰带的缝线与织带相匹配，用肉眼易于检查；缝合接口及缝合末端回缝不少于13mm；线路、针迹顺直、整齐，无明显弯曲或堆砌，无跳针、开线、断线。腰带的带扣使安全带长度调节方便、佩戴快速且无松脱、滑落现象。经高温下不出现熔融、焦化现象。所有金属件耐腐蚀，防静电。</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设计负荷：≥1.33kN；腰带质量：≤0.85kg</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426"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6</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消防员灭火防护靴</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总体性能符合XF 6-2004《消防员灭火防护靴》标准；17式消防员灭火防护靴（橡胶）；由靴帮和靴底构成，主体颜色为黑色和黄色，主要材质为耐高温阻燃耐酸碱橡胶，</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提供国家消防装备质量监督检验中心检测报告及认证证书</w:t>
            </w:r>
            <w:r>
              <w:rPr>
                <w:rFonts w:hint="eastAsia"/>
                <w:color w:val="auto"/>
                <w:highlight w:val="none"/>
                <w:lang w:val="en-US" w:eastAsia="zh-CN"/>
              </w:rPr>
              <w:t>复印件加盖响应供应商单位公章</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一、款式</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整体结构。靴帮由外到里分为帮面、防切割层和隔热舒适层三层结构，靴底由上到下分为隔热舒适层、防穿刺层和靴大底三层结构，靴头部位设有保护包头。</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17式消防胶靴从靴内跟底部至靴帮后部筒口最低处的高度为300mm(±5mm)；靴筒口采用倾斜式设计，由前往后向下倾斜，前后高差20mm(±2mm)；靴帮上设有胫骨、踝骨和跖骨保护层，靴后跟部设有反光标识，筒口和靴底各设围条。</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靴帮由筒面和外头皮拼接结构，采用耐高温阻燃耐酸碱橡胶；靴帮防切割层采用经2纬3棉帆布，经2用21S双股标准全棉，纬3用7S单股标准全棉；靴帮和靴底隔热舒适层（俗称靴内衬）采用棉布和氯丁橡胶发泡海绵复合面料。</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靴底防穿刺层采用芳香族聚酰胺纤维（凯夫拉纤维）复合材料。</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保护包头采用轻质新型铝合金或非金属复合材质；反光标识。靴后跟设有三角形反光标识，采用在耐高温阻燃耐酸碱橡胶块上复合银色阻燃反光标志带。</w:t>
            </w:r>
          </w:p>
          <w:p>
            <w:pPr>
              <w:rPr>
                <w:rFonts w:hint="default"/>
                <w:color w:val="auto"/>
                <w:highlight w:val="none"/>
                <w:lang w:val="en-US" w:eastAsia="zh-CN"/>
              </w:rPr>
            </w:pPr>
            <w:r>
              <w:rPr>
                <w:rFonts w:hint="default"/>
                <w:color w:val="auto"/>
                <w:highlight w:val="none"/>
                <w:lang w:val="en-US" w:eastAsia="zh-CN"/>
              </w:rPr>
              <w:t>二、基本技术参数</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防砸性能：符合标准要求，间隙高度不应小于22～23mm；靴面抗切割性能：符合标准要求，不被割穿；</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防水性能：符合标准要求，无渗水现象；电绝缘性能：击穿电压＞5000V,泄漏电流≤1mA；</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防滑性能：始滑角≥15°；靴底抗穿刺性能：≥1820N；质量：≤2.35kg。</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98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7</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正压式空气呼吸器</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符合国家GA124-2013标准，并通过国家消防装备质量监督检验中心检测。</w:t>
            </w:r>
            <w:r>
              <w:rPr>
                <w:rFonts w:hint="eastAsia"/>
                <w:color w:val="auto"/>
                <w:highlight w:val="none"/>
                <w:lang w:val="en-US" w:eastAsia="zh-CN"/>
              </w:rPr>
              <w:t>响应文件中须</w:t>
            </w:r>
            <w:r>
              <w:rPr>
                <w:rFonts w:hint="default"/>
                <w:color w:val="auto"/>
                <w:highlight w:val="none"/>
                <w:lang w:val="en-US" w:eastAsia="zh-CN"/>
              </w:rPr>
              <w:t>提供产品志愿性消防产品认证证书及检测报告</w:t>
            </w:r>
            <w:r>
              <w:rPr>
                <w:rFonts w:hint="eastAsia"/>
                <w:color w:val="auto"/>
                <w:highlight w:val="none"/>
                <w:lang w:val="en-US" w:eastAsia="zh-CN"/>
              </w:rPr>
              <w:t>复印件加盖响应供应商单位公章</w:t>
            </w:r>
            <w:r>
              <w:rPr>
                <w:rFonts w:hint="default"/>
                <w:color w:val="auto"/>
                <w:highlight w:val="none"/>
                <w:lang w:val="en-US" w:eastAsia="zh-CN"/>
              </w:rPr>
              <w:t>。产品由全面罩、供气阀、减压阀、导气管、警报器、背架、压力平视装置等组成为同一品牌。</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呼吸器工作压力：30MPa</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起始报警压力：5.0～6.0MPa</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一级调压器输出压力：0.7MPa</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尺寸：520x350x240 mm</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设备整套重量：约 8 Kg(未充气)</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呼吸供气流量：≥500L/min</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呼吸阻力：&lt;4.2mbar</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气瓶水容积：6.8 L，全缠绕式碳纤复合材料:内胆采用高强度、耐腐蚀、重 量轻的铝合金材料 ，工作压力 30MPa，水压试验压力 50 MPa ，瓶口螺纹：M18X1.5，符合 EN144-2 标准气瓶重量：3.8Kg ，爆破压力达工作压力的 3.4 倍以上 ， 耐疲劳试验达 10000 次以上气瓶有安全保护膜片 ，气瓶配有阻燃橘红色保护袋。</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供气量:&gt;2040 升</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使用时间:&gt;68分钟(按耗气量30升/分计算)</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采用无线连接的压力平视装置，与空呼配合使用，压力平视显示装置由显示模块和发射模块组成， 压力平视显示装置为内置在面罩里设计，可放置在全面罩内,使用时完全不妨碍佩戴者的视线和头部的转动，且无论头部是否摆动，佩戴者都可以看到LED 的显示状态，如果不用时可以独立取下，进行消毒清洗，拆卸方便；显示模块采用多种显示功能，采用2.4G 无线传输模式,压力显示方式: 10-30MPa 显示绿灯；6-10MPa 显示黄灯；6MPa 以下显示红灯且闪烁并有两侧红灯显示；显示模块同时具有低电压报警显示功能，装置防护等级≥IP67；</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工作温度：-30 ℃ 至+60 ℃.具有光感应模块，显示LED 灯可以根据光照强度，自行调节发光度，保证使用者眼睛观察的舒适。发射模块防护等级≥IP65, 当低电量时显示红色报警。符合Ex ia IIC T4 Ga 的相关防爆要求，首次配对后，再次打开减压阀，自动开启发射模块；发射、模块与显示模块具有唯一性，而且在每次开启前无需再次配对。</w:t>
            </w:r>
          </w:p>
          <w:p>
            <w:pPr>
              <w:rPr>
                <w:rFonts w:hint="default"/>
                <w:color w:val="auto"/>
                <w:highlight w:val="none"/>
                <w:lang w:val="en-US" w:eastAsia="zh-CN"/>
              </w:rPr>
            </w:pPr>
            <w:r>
              <w:rPr>
                <w:rFonts w:hint="default"/>
                <w:color w:val="auto"/>
                <w:highlight w:val="none"/>
                <w:lang w:val="en-US" w:eastAsia="zh-CN"/>
              </w:rPr>
              <w:t>腰带上有供气阀固定座，肩带有反光条，气瓶固定带便于伸缩，带有快调锁止机构。</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呼吸面罩：全面罩封闭型，主要材料采用优质天然的Hycar 特种胶，能够耐950 度高温火焰燃烧，能承受严酷使用条件，面罩透镜采用聚碳酸脂，配有口鼻罩，内置机械通话膜片，快速连接接头，并双层密封独特止污阀设计，Kelvar 网状防火头带。</w:t>
            </w:r>
          </w:p>
          <w:p>
            <w:pPr>
              <w:rPr>
                <w:rFonts w:hint="default"/>
                <w:color w:val="auto"/>
                <w:highlight w:val="none"/>
                <w:lang w:val="en-US" w:eastAsia="zh-CN"/>
              </w:rPr>
            </w:pPr>
            <w:r>
              <w:rPr>
                <w:rFonts w:hint="eastAsia"/>
                <w:color w:val="auto"/>
                <w:highlight w:val="none"/>
              </w:rPr>
              <w:t>★</w:t>
            </w:r>
            <w:r>
              <w:rPr>
                <w:rFonts w:hint="default"/>
                <w:color w:val="auto"/>
                <w:highlight w:val="none"/>
                <w:lang w:val="en-US" w:eastAsia="zh-CN"/>
              </w:rPr>
              <w:t>供气阀：半球形全封闭型，主要材料采用优质Hycar 特种胶，采用增强工程材料，采用半球式结构，方便单手操作， 供气阀表面防滑橡胶条设计，耐950 度高温火焰燃烧，能承受严酷使用条件， 能够自动调节供气量,供气量：≥500L/min，一秒连接，与面罩连接快捷，具有360 度可旋转功能，即取即合。脱下供气阀与闭合阀一个动作即可完成，并同时关闭供气阀。最大限度避免浪费起源。面罩和供气阀都可以免工具拆卸方便维护。</w:t>
            </w:r>
          </w:p>
          <w:p>
            <w:pPr>
              <w:rPr>
                <w:ins w:id="2" w:author="经天纬地 公司账号 [2]" w:date="2021-12-22T11:33:59Z"/>
                <w:rFonts w:hint="default"/>
                <w:color w:val="auto"/>
                <w:highlight w:val="none"/>
                <w:lang w:val="en-US" w:eastAsia="zh-CN"/>
              </w:rPr>
            </w:pPr>
            <w:r>
              <w:rPr>
                <w:rFonts w:hint="default"/>
                <w:color w:val="auto"/>
                <w:highlight w:val="none"/>
                <w:lang w:val="en-US" w:eastAsia="zh-CN"/>
              </w:rPr>
              <w:t>成交后，签订合同前提供生产商授权函。</w:t>
            </w:r>
          </w:p>
          <w:p>
            <w:pPr>
              <w:pStyle w:val="17"/>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49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8</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佩戴式防爆照明灯</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1.额定电压≥ 3.7V；</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2.额定容量≥ 1.9Ah；</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3.连续工作时间：强光≥4h,工作光≥8h；充电时间 3-6h；</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4.防爆标志：ExibII CT4 Gb；</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5.防护等级：IP66/IP68 ；</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6.重量：≤120g；</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 xml:space="preserve">7. </w:t>
            </w:r>
            <w:r>
              <w:rPr>
                <w:rFonts w:hint="eastAsia"/>
                <w:color w:val="auto"/>
                <w:highlight w:val="none"/>
                <w:lang w:val="en-US" w:eastAsia="zh-CN"/>
              </w:rPr>
              <w:t>响应文件中须</w:t>
            </w:r>
            <w:r>
              <w:rPr>
                <w:rFonts w:hint="default"/>
                <w:color w:val="auto"/>
                <w:highlight w:val="none"/>
                <w:lang w:val="en-US" w:eastAsia="zh-CN"/>
              </w:rPr>
              <w:t>提供防爆认证和国家消防装备质量监督检测中心检测报告</w:t>
            </w:r>
            <w:r>
              <w:rPr>
                <w:rFonts w:hint="eastAsia"/>
                <w:color w:val="auto"/>
                <w:highlight w:val="none"/>
                <w:lang w:val="en-US" w:eastAsia="zh-CN"/>
              </w:rPr>
              <w:t>复印件加盖响应供应商单位公章</w:t>
            </w:r>
            <w:r>
              <w:rPr>
                <w:rFonts w:hint="default"/>
                <w:color w:val="auto"/>
                <w:highlight w:val="none"/>
                <w:lang w:val="en-US" w:eastAsia="zh-CN"/>
              </w:rPr>
              <w:t>。</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526"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9</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消防员呼救器</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一、主要特点：</w:t>
            </w:r>
          </w:p>
          <w:p>
            <w:pPr>
              <w:rPr>
                <w:rFonts w:hint="default"/>
                <w:color w:val="auto"/>
                <w:highlight w:val="none"/>
                <w:lang w:val="en-US" w:eastAsia="zh-CN"/>
              </w:rPr>
            </w:pPr>
            <w:r>
              <w:rPr>
                <w:rFonts w:hint="default"/>
                <w:color w:val="auto"/>
                <w:highlight w:val="none"/>
                <w:lang w:val="en-US" w:eastAsia="zh-CN"/>
              </w:rPr>
              <w:t>1.液晶显示屏有背光，实时显示工作时间，可在黑暗环境下工作；具有身份标签读取功能，能够对呼救器进行快速的身份与功能设定；具有高分贝声音报警和高亮度光线报警功能；</w:t>
            </w:r>
          </w:p>
          <w:p>
            <w:pPr>
              <w:rPr>
                <w:rFonts w:hint="default"/>
                <w:color w:val="auto"/>
                <w:highlight w:val="none"/>
                <w:lang w:val="en-US" w:eastAsia="zh-CN"/>
              </w:rPr>
            </w:pPr>
            <w:r>
              <w:rPr>
                <w:rFonts w:hint="default"/>
                <w:color w:val="auto"/>
                <w:highlight w:val="none"/>
                <w:lang w:val="en-US" w:eastAsia="zh-CN"/>
              </w:rPr>
              <w:t>2.防爆等级高于等于Ex ia ⅡB T3 Ga；</w:t>
            </w:r>
          </w:p>
          <w:p>
            <w:pPr>
              <w:rPr>
                <w:rFonts w:hint="default"/>
                <w:color w:val="auto"/>
                <w:highlight w:val="none"/>
                <w:lang w:val="en-US" w:eastAsia="zh-CN"/>
              </w:rPr>
            </w:pPr>
            <w:r>
              <w:rPr>
                <w:rFonts w:hint="default"/>
                <w:color w:val="auto"/>
                <w:highlight w:val="none"/>
                <w:lang w:val="en-US" w:eastAsia="zh-CN"/>
              </w:rPr>
              <w:t>3.具有环境温度检测、显示功能，当环境温度超过设定阈值后会触发高温报警；</w:t>
            </w:r>
          </w:p>
          <w:p>
            <w:pPr>
              <w:rPr>
                <w:rFonts w:hint="default"/>
                <w:color w:val="auto"/>
                <w:highlight w:val="none"/>
                <w:lang w:val="en-US" w:eastAsia="zh-CN"/>
              </w:rPr>
            </w:pPr>
            <w:r>
              <w:rPr>
                <w:rFonts w:hint="default"/>
                <w:color w:val="auto"/>
                <w:highlight w:val="none"/>
                <w:lang w:val="en-US" w:eastAsia="zh-CN"/>
              </w:rPr>
              <w:t>4.具有电池电量检测、显示功能，当电池电量不足时会发出低电量报警。若电池电量不足，设备下次将无法开启；</w:t>
            </w:r>
          </w:p>
          <w:p>
            <w:pPr>
              <w:rPr>
                <w:rFonts w:hint="default"/>
                <w:color w:val="auto"/>
                <w:highlight w:val="none"/>
                <w:lang w:val="en-US" w:eastAsia="zh-CN"/>
              </w:rPr>
            </w:pPr>
            <w:r>
              <w:rPr>
                <w:rFonts w:hint="default"/>
                <w:color w:val="auto"/>
                <w:highlight w:val="none"/>
                <w:lang w:val="en-US" w:eastAsia="zh-CN"/>
              </w:rPr>
              <w:t xml:space="preserve">5.可接收来自于网络指控中心站的撤离命令，呼救器会进行声光报警；使用者可以对撤离命令进行远程确认；自动报警与手动报警相结合。可以通过手动报警按钮主动发出声光报警； </w:t>
            </w:r>
          </w:p>
          <w:p>
            <w:pPr>
              <w:rPr>
                <w:rFonts w:hint="default"/>
                <w:color w:val="auto"/>
                <w:highlight w:val="none"/>
                <w:lang w:val="en-US" w:eastAsia="zh-CN"/>
              </w:rPr>
            </w:pPr>
            <w:r>
              <w:rPr>
                <w:rFonts w:hint="default"/>
                <w:color w:val="auto"/>
                <w:highlight w:val="none"/>
                <w:lang w:val="en-US" w:eastAsia="zh-CN"/>
              </w:rPr>
              <w:t>二、技术参数：</w:t>
            </w:r>
          </w:p>
          <w:p>
            <w:pPr>
              <w:rPr>
                <w:rFonts w:hint="default"/>
                <w:color w:val="auto"/>
                <w:highlight w:val="none"/>
                <w:lang w:val="en-US" w:eastAsia="zh-CN"/>
              </w:rPr>
            </w:pPr>
            <w:r>
              <w:rPr>
                <w:rFonts w:hint="default"/>
                <w:color w:val="auto"/>
                <w:highlight w:val="none"/>
                <w:lang w:val="en-US" w:eastAsia="zh-CN"/>
              </w:rPr>
              <w:t>1.发光亮度：≥300cd/㎡；允许静止时间：30s±2s；预报警时间：15s±2s；预报警声级响度：≥80dB；</w:t>
            </w:r>
          </w:p>
          <w:p>
            <w:pPr>
              <w:rPr>
                <w:rFonts w:hint="default"/>
                <w:color w:val="auto"/>
                <w:highlight w:val="none"/>
                <w:lang w:val="en-US" w:eastAsia="zh-CN"/>
              </w:rPr>
            </w:pPr>
            <w:r>
              <w:rPr>
                <w:rFonts w:hint="default"/>
                <w:color w:val="auto"/>
                <w:highlight w:val="none"/>
                <w:lang w:val="en-US" w:eastAsia="zh-CN"/>
              </w:rPr>
              <w:t>2.连续报警时间：≥600min；连续开机时间：≥24h；通信距离：≥800m（无信号阻挡及干扰）；</w:t>
            </w:r>
          </w:p>
          <w:p>
            <w:pPr>
              <w:rPr>
                <w:rFonts w:hint="default"/>
                <w:color w:val="auto"/>
                <w:highlight w:val="none"/>
                <w:lang w:val="en-US" w:eastAsia="zh-CN"/>
              </w:rPr>
            </w:pPr>
            <w:r>
              <w:rPr>
                <w:rFonts w:hint="default"/>
                <w:color w:val="auto"/>
                <w:highlight w:val="none"/>
                <w:lang w:val="en-US" w:eastAsia="zh-CN"/>
              </w:rPr>
              <w:t>3.重量：≤280g；</w:t>
            </w:r>
          </w:p>
          <w:p>
            <w:pPr>
              <w:rPr>
                <w:rFonts w:hint="default"/>
                <w:color w:val="auto"/>
                <w:highlight w:val="none"/>
                <w:lang w:val="en-US" w:eastAsia="zh-CN"/>
              </w:rPr>
            </w:pPr>
            <w:r>
              <w:rPr>
                <w:rFonts w:hint="default"/>
                <w:color w:val="auto"/>
                <w:highlight w:val="none"/>
                <w:lang w:val="en-US" w:eastAsia="zh-CN"/>
              </w:rPr>
              <w:t>4.响应文件中须提供防爆及国家级检测认证证书复印件加盖响应供应商单位公章。</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80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10</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消防轻型安全绳</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 494-2004《消防用防坠落装备》标准。安全绳为连续、夹心绳结构，主承重部分由连续纤维制成。</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提供国家消防装备质量监督检验中心检测报告及认证证书</w:t>
            </w:r>
            <w:r>
              <w:rPr>
                <w:rFonts w:hint="eastAsia"/>
                <w:color w:val="auto"/>
                <w:highlight w:val="none"/>
                <w:lang w:val="en-US" w:eastAsia="zh-CN"/>
              </w:rPr>
              <w:t>复印件加盖响应供应商单位公章</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1.轻型安全绳的最小破断强度24.76KN，当承重达到最小破断强度的10%时，安全绳的延伸率为3.4%；安全绳的直径为9.5 mm，长度20m，</w:t>
            </w:r>
          </w:p>
          <w:p>
            <w:pPr>
              <w:rPr>
                <w:rFonts w:hint="default"/>
                <w:color w:val="auto"/>
                <w:highlight w:val="none"/>
                <w:lang w:val="en-US" w:eastAsia="zh-CN"/>
              </w:rPr>
            </w:pPr>
            <w:r>
              <w:rPr>
                <w:rFonts w:hint="default"/>
                <w:color w:val="auto"/>
                <w:highlight w:val="none"/>
                <w:lang w:val="en-US" w:eastAsia="zh-CN"/>
              </w:rPr>
              <w:t>2.耐高温性能：经204℃±5℃的耐高温性能时，安全绳不会出现融熔、焦化现象；</w:t>
            </w:r>
          </w:p>
          <w:p>
            <w:pPr>
              <w:rPr>
                <w:rFonts w:hint="default"/>
                <w:color w:val="auto"/>
                <w:highlight w:val="none"/>
                <w:lang w:val="en-US" w:eastAsia="zh-CN"/>
              </w:rPr>
            </w:pPr>
            <w:r>
              <w:rPr>
                <w:rFonts w:hint="default"/>
                <w:color w:val="auto"/>
                <w:highlight w:val="none"/>
                <w:lang w:val="en-US" w:eastAsia="zh-CN"/>
              </w:rPr>
              <w:t>3.质量：≤1.5Kg。</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169"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11</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消防腰斧腰斧套</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 630-2006《消防腰斧》标准要求。具备能砍、能凿、能撬等性能。腰斧各刃部及撬口均经热处理，硬度达到48HRC-56HRC，平刃能砍断直径6.5mm的Q235A圆钢，尖刃和柄刃能凿击Q235A钢平板，无缺刃、卷边和裂纹等损伤。具备抗冲击、耐腐蚀性能。质量：≤0.87kg。</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86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12</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消防护膝、护肘</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消防员抢险作业时的膝部和肘部防护。多层结构，有效防止硬物刺伤、划破。外层应采用强度高、韧性好、耐磨的PVC、TPR（热塑性弹性材料）、TPU（热塑性聚氨酯弹性体材料）等高分子材料，内层采用无毒、防水、抗冲击性好、轻便的缓冲材料，固定装置可调节。质量：≤500g。</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6157"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13</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抢险救援头盔</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消防员抢险救援头盔采取多功能模块化滑轨设计，总体性能符合XF 633-2006《消防员抢险救援防护服装》标准。符合17式消防员抢险救援头盔款式标识统型要求。</w:t>
            </w:r>
            <w:r>
              <w:rPr>
                <w:rFonts w:hint="eastAsia"/>
                <w:color w:val="auto"/>
                <w:highlight w:val="none"/>
                <w:lang w:val="en-US" w:eastAsia="zh-CN"/>
              </w:rPr>
              <w:t>响应文件中须提供</w:t>
            </w:r>
            <w:r>
              <w:rPr>
                <w:rFonts w:hint="default"/>
                <w:color w:val="auto"/>
                <w:highlight w:val="none"/>
                <w:lang w:val="en-US" w:eastAsia="zh-CN"/>
              </w:rPr>
              <w:t>检测报告</w:t>
            </w:r>
            <w:r>
              <w:rPr>
                <w:rFonts w:hint="eastAsia"/>
                <w:color w:val="auto"/>
                <w:highlight w:val="none"/>
                <w:lang w:val="en-US" w:eastAsia="zh-CN"/>
              </w:rPr>
              <w:t>复印件加盖响应供应商单位公章</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由盔壳、滑轨、缓冲层、舒适衬垫、佩戴装置等组成。半盔式头盔，颜色：桔红色和红色。</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盔壳：改性阻燃尼龙66材质，指挥员头盔为红色，战斗员头盔为橘红色。</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滑轨：盔体两侧设黑色多功能模块化滑轨，为改性阻燃尼龙66材质。</w:t>
            </w:r>
          </w:p>
          <w:p>
            <w:pPr>
              <w:rPr>
                <w:rFonts w:hint="default"/>
                <w:color w:val="auto"/>
                <w:highlight w:val="none"/>
                <w:lang w:val="en-US" w:eastAsia="zh-CN"/>
              </w:rPr>
            </w:pPr>
            <w:r>
              <w:rPr>
                <w:rFonts w:hint="default"/>
                <w:color w:val="auto"/>
                <w:highlight w:val="none"/>
                <w:lang w:val="en-US" w:eastAsia="zh-CN"/>
              </w:rPr>
              <w:t>4</w:t>
            </w:r>
            <w:r>
              <w:rPr>
                <w:rFonts w:hint="eastAsia"/>
                <w:color w:val="auto"/>
                <w:highlight w:val="none"/>
                <w:lang w:val="en-US" w:eastAsia="zh-CN"/>
              </w:rPr>
              <w:t>、</w:t>
            </w:r>
            <w:r>
              <w:rPr>
                <w:rFonts w:hint="default"/>
                <w:color w:val="auto"/>
                <w:highlight w:val="none"/>
                <w:lang w:val="en-US" w:eastAsia="zh-CN"/>
              </w:rPr>
              <w:t>缓冲层：聚苯乙烯发泡树脂材质，颜色为黑色。</w:t>
            </w:r>
          </w:p>
          <w:p>
            <w:pPr>
              <w:rPr>
                <w:rFonts w:hint="default"/>
                <w:color w:val="auto"/>
                <w:highlight w:val="none"/>
                <w:lang w:val="en-US" w:eastAsia="zh-CN"/>
              </w:rPr>
            </w:pPr>
            <w:r>
              <w:rPr>
                <w:rFonts w:hint="eastAsia"/>
                <w:color w:val="auto"/>
                <w:highlight w:val="none"/>
                <w:lang w:val="en-US" w:eastAsia="zh-CN"/>
              </w:rPr>
              <w:t>5、</w:t>
            </w:r>
            <w:r>
              <w:rPr>
                <w:rFonts w:hint="default"/>
                <w:color w:val="auto"/>
                <w:highlight w:val="none"/>
                <w:lang w:val="en-US" w:eastAsia="zh-CN"/>
              </w:rPr>
              <w:t>舒适衬垫：顶部为芳纶网状衬垫，四周为革质舒适层（与帽箍一体）可调节戴帽高度。</w:t>
            </w:r>
          </w:p>
          <w:p>
            <w:pPr>
              <w:rPr>
                <w:rFonts w:hint="default"/>
                <w:color w:val="auto"/>
                <w:highlight w:val="none"/>
                <w:lang w:val="en-US" w:eastAsia="zh-CN"/>
              </w:rPr>
            </w:pPr>
            <w:r>
              <w:rPr>
                <w:rFonts w:hint="default"/>
                <w:color w:val="auto"/>
                <w:highlight w:val="none"/>
                <w:lang w:val="en-US" w:eastAsia="zh-CN"/>
              </w:rPr>
              <w:t>6</w:t>
            </w:r>
            <w:r>
              <w:rPr>
                <w:rFonts w:hint="eastAsia"/>
                <w:color w:val="auto"/>
                <w:highlight w:val="none"/>
                <w:lang w:val="en-US" w:eastAsia="zh-CN"/>
              </w:rPr>
              <w:t>、</w:t>
            </w:r>
            <w:r>
              <w:rPr>
                <w:rFonts w:hint="default"/>
                <w:color w:val="auto"/>
                <w:highlight w:val="none"/>
                <w:lang w:val="en-US" w:eastAsia="zh-CN"/>
              </w:rPr>
              <w:t>佩戴装置：包括帽箍和系带，为改性阻燃尼龙66材质。在盔体后沿下侧设头围调节旋钮，调节范围为540mm～620mm；系带可调节佩戴松紧，加装带孔透气下颏托；插扣为快脱插扣。</w:t>
            </w:r>
          </w:p>
          <w:p>
            <w:pPr>
              <w:rPr>
                <w:rFonts w:hint="default"/>
                <w:color w:val="auto"/>
                <w:highlight w:val="none"/>
                <w:lang w:val="en-US" w:eastAsia="zh-CN"/>
              </w:rPr>
            </w:pPr>
            <w:r>
              <w:rPr>
                <w:rFonts w:hint="default"/>
                <w:color w:val="auto"/>
                <w:highlight w:val="none"/>
                <w:lang w:val="en-US" w:eastAsia="zh-CN"/>
              </w:rPr>
              <w:t>7</w:t>
            </w:r>
            <w:r>
              <w:rPr>
                <w:rFonts w:hint="eastAsia"/>
                <w:color w:val="auto"/>
                <w:highlight w:val="none"/>
                <w:lang w:val="en-US" w:eastAsia="zh-CN"/>
              </w:rPr>
              <w:t>、</w:t>
            </w:r>
            <w:r>
              <w:rPr>
                <w:rFonts w:hint="default"/>
                <w:color w:val="auto"/>
                <w:highlight w:val="none"/>
                <w:lang w:val="en-US" w:eastAsia="zh-CN"/>
              </w:rPr>
              <w:t>反光标识：两侧粘贴弧形反光标识条带；所有可调节扣件全部采用黄色，为改性阻燃尼龙66材料。(含帽徽)</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6157"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14</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抢险救援手套</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本产品执行XF 633-2006《消防员抢险救援防护服装》标准，具有防火、耐磨、隔热等性能，主要是用于扑救火灾和抢险救援过程中，保护手部安全的手套。响应文件中须提供提供国家消防装备质量监督检验中心检测报告复印件加盖响应供应商单位公章。</w:t>
            </w:r>
          </w:p>
          <w:p>
            <w:pPr>
              <w:rPr>
                <w:rFonts w:hint="default"/>
                <w:color w:val="auto"/>
                <w:highlight w:val="none"/>
                <w:lang w:val="en-US" w:eastAsia="zh-CN"/>
              </w:rPr>
            </w:pPr>
            <w:r>
              <w:rPr>
                <w:rFonts w:hint="default"/>
                <w:color w:val="auto"/>
                <w:highlight w:val="none"/>
                <w:lang w:val="en-US" w:eastAsia="zh-CN"/>
              </w:rPr>
              <w:t>一、结构</w:t>
            </w:r>
          </w:p>
          <w:p>
            <w:pPr>
              <w:rPr>
                <w:rFonts w:hint="default"/>
                <w:color w:val="auto"/>
                <w:highlight w:val="none"/>
                <w:lang w:val="en-US" w:eastAsia="zh-CN"/>
              </w:rPr>
            </w:pPr>
            <w:r>
              <w:rPr>
                <w:rFonts w:hint="default"/>
                <w:color w:val="auto"/>
                <w:highlight w:val="none"/>
                <w:lang w:val="en-US" w:eastAsia="zh-CN"/>
              </w:rPr>
              <w:t>1.消防员抢险救援防护手套由外层、内层等多层织物材料复合而成。手掌心内层加防震胶保护手掌；手背关节部位内层加防撞胶保护手背关节。掌心、手指部位缝制真皮、具有耐磨设计。手背有黄色荧光嵌条反光标志。</w:t>
            </w:r>
          </w:p>
          <w:p>
            <w:pPr>
              <w:rPr>
                <w:rFonts w:hint="default"/>
                <w:color w:val="auto"/>
                <w:highlight w:val="none"/>
                <w:lang w:val="en-US" w:eastAsia="zh-CN"/>
              </w:rPr>
            </w:pPr>
            <w:r>
              <w:rPr>
                <w:rFonts w:hint="default"/>
                <w:color w:val="auto"/>
                <w:highlight w:val="none"/>
                <w:lang w:val="en-US" w:eastAsia="zh-CN"/>
              </w:rPr>
              <w:t>二、技术要求</w:t>
            </w:r>
          </w:p>
          <w:p>
            <w:pPr>
              <w:rPr>
                <w:rFonts w:hint="default"/>
                <w:color w:val="auto"/>
                <w:highlight w:val="none"/>
                <w:lang w:val="en-US" w:eastAsia="zh-CN"/>
              </w:rPr>
            </w:pPr>
            <w:r>
              <w:rPr>
                <w:rFonts w:hint="default"/>
                <w:color w:val="auto"/>
                <w:highlight w:val="none"/>
                <w:lang w:val="en-US" w:eastAsia="zh-CN"/>
              </w:rPr>
              <w:t>1.手套本体环形延伸，并超出腕骨不少于25mm；手套口收松紧设计能限制杂物进入手套口。</w:t>
            </w:r>
          </w:p>
          <w:p>
            <w:pPr>
              <w:rPr>
                <w:rFonts w:hint="default"/>
                <w:color w:val="auto"/>
                <w:highlight w:val="none"/>
                <w:lang w:val="en-US" w:eastAsia="zh-CN"/>
              </w:rPr>
            </w:pPr>
            <w:r>
              <w:rPr>
                <w:rFonts w:hint="default"/>
                <w:color w:val="auto"/>
                <w:highlight w:val="none"/>
                <w:lang w:val="en-US" w:eastAsia="zh-CN"/>
              </w:rPr>
              <w:t>2.阻燃性能：</w:t>
            </w:r>
          </w:p>
          <w:p>
            <w:pPr>
              <w:rPr>
                <w:rFonts w:hint="default"/>
                <w:color w:val="auto"/>
                <w:highlight w:val="none"/>
                <w:lang w:val="en-US" w:eastAsia="zh-CN"/>
              </w:rPr>
            </w:pPr>
            <w:r>
              <w:rPr>
                <w:rFonts w:hint="default"/>
                <w:color w:val="auto"/>
                <w:highlight w:val="none"/>
                <w:lang w:val="en-US" w:eastAsia="zh-CN"/>
              </w:rPr>
              <w:t>掌心、背面材料：经向续燃时间0s，损耗长度≤8mm；纬向续燃时间0s，损耗长度≤8mm，均无熔融、滴落现象；</w:t>
            </w:r>
          </w:p>
          <w:p>
            <w:pPr>
              <w:rPr>
                <w:rFonts w:hint="default"/>
                <w:color w:val="auto"/>
                <w:highlight w:val="none"/>
                <w:lang w:val="en-US" w:eastAsia="zh-CN"/>
              </w:rPr>
            </w:pPr>
            <w:r>
              <w:rPr>
                <w:rFonts w:hint="default"/>
                <w:color w:val="auto"/>
                <w:highlight w:val="none"/>
                <w:lang w:val="en-US" w:eastAsia="zh-CN"/>
              </w:rPr>
              <w:t>3.撕破强力：</w:t>
            </w:r>
          </w:p>
          <w:p>
            <w:pPr>
              <w:rPr>
                <w:rFonts w:hint="default"/>
                <w:color w:val="auto"/>
                <w:highlight w:val="none"/>
                <w:lang w:val="en-US" w:eastAsia="zh-CN"/>
              </w:rPr>
            </w:pPr>
            <w:r>
              <w:rPr>
                <w:rFonts w:hint="default"/>
                <w:color w:val="auto"/>
                <w:highlight w:val="none"/>
                <w:lang w:val="en-US" w:eastAsia="zh-CN"/>
              </w:rPr>
              <w:t>掌心面材料：横向≥102.3 ，纵向≥102.2；背面材料：横向≥105.7，纵向≥104.9。</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5237"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15</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抢险救援服（夏款）</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符合XF633-2006《消防员抢险救援防护服装》标准。服装款式符合应急管理部消防局20式消防员抢险救援防护服款式标识统型要求。颜色：橘红色。</w:t>
            </w:r>
            <w:r>
              <w:rPr>
                <w:rFonts w:hint="eastAsia"/>
                <w:color w:val="auto"/>
                <w:highlight w:val="none"/>
                <w:lang w:val="en-US" w:eastAsia="zh-CN"/>
              </w:rPr>
              <w:t>响应文件中须提供</w:t>
            </w:r>
            <w:r>
              <w:rPr>
                <w:rFonts w:hint="default"/>
                <w:color w:val="auto"/>
                <w:highlight w:val="none"/>
                <w:lang w:val="en-US" w:eastAsia="zh-CN"/>
              </w:rPr>
              <w:t>提供检测报告</w:t>
            </w:r>
            <w:r>
              <w:rPr>
                <w:rFonts w:hint="eastAsia"/>
                <w:color w:val="auto"/>
                <w:highlight w:val="none"/>
                <w:lang w:val="en-US" w:eastAsia="zh-CN"/>
              </w:rPr>
              <w:t>复印件加盖响应供应商单位公章</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1.夏季服装为衬衫式上衣配长裤设计，上衣和裤子的重叠部分不小于1,20mm，上衣采用收腰设计，衬衫式圆弧形下摆，前下摆能够束入裤腰，且弯腰时后下摆不得滑出裤腰，前后衣长差量30-50mm。</w:t>
            </w:r>
          </w:p>
          <w:p>
            <w:pPr>
              <w:rPr>
                <w:rFonts w:hint="default"/>
                <w:color w:val="auto"/>
                <w:highlight w:val="none"/>
                <w:lang w:val="en-US" w:eastAsia="zh-CN"/>
              </w:rPr>
            </w:pPr>
            <w:r>
              <w:rPr>
                <w:rFonts w:hint="default"/>
                <w:color w:val="auto"/>
                <w:highlight w:val="none"/>
                <w:lang w:val="en-US" w:eastAsia="zh-CN"/>
              </w:rPr>
              <w:t>2.防护层面料(含舒适层)：</w:t>
            </w:r>
          </w:p>
          <w:p>
            <w:pPr>
              <w:rPr>
                <w:rFonts w:hint="default"/>
                <w:color w:val="auto"/>
                <w:highlight w:val="none"/>
                <w:lang w:val="en-US" w:eastAsia="zh-CN"/>
              </w:rPr>
            </w:pPr>
            <w:r>
              <w:rPr>
                <w:rFonts w:hint="default"/>
                <w:color w:val="auto"/>
                <w:highlight w:val="none"/>
                <w:lang w:val="en-US" w:eastAsia="zh-CN"/>
              </w:rPr>
              <w:t>阻燃性能：经向续燃时间0s，损耗长度≤25mm；纬向续燃时间0s，损耗长度≤22mm，均无熔融、滴落现象；表面抗湿性能沾水等级：≥4级；断裂强力：经向≥886.4N，纬向≥852.0N；撕破强力：经向≥304.9N，纬向≥293.1N；</w:t>
            </w:r>
          </w:p>
          <w:p>
            <w:pPr>
              <w:rPr>
                <w:rFonts w:hint="default"/>
                <w:color w:val="auto"/>
                <w:highlight w:val="none"/>
                <w:lang w:val="en-US" w:eastAsia="zh-CN"/>
              </w:rPr>
            </w:pPr>
            <w:r>
              <w:rPr>
                <w:rFonts w:hint="default"/>
                <w:color w:val="auto"/>
                <w:highlight w:val="none"/>
                <w:lang w:val="en-US" w:eastAsia="zh-CN"/>
              </w:rPr>
              <w:t>3.加强材料：</w:t>
            </w:r>
          </w:p>
          <w:p>
            <w:pPr>
              <w:rPr>
                <w:rFonts w:hint="default"/>
                <w:color w:val="auto"/>
                <w:highlight w:val="none"/>
                <w:lang w:val="en-US" w:eastAsia="zh-CN"/>
              </w:rPr>
            </w:pPr>
            <w:r>
              <w:rPr>
                <w:rFonts w:hint="default"/>
                <w:color w:val="auto"/>
                <w:highlight w:val="none"/>
                <w:lang w:val="en-US" w:eastAsia="zh-CN"/>
              </w:rPr>
              <w:t>阻燃性能：经向续燃时间0s，损耗长度≤4mm；纬向续燃时间0s，损耗长度≤4mm，均无熔融、滴落现象；</w:t>
            </w:r>
          </w:p>
          <w:p>
            <w:pPr>
              <w:rPr>
                <w:rFonts w:hint="default"/>
                <w:color w:val="auto"/>
                <w:highlight w:val="none"/>
                <w:lang w:val="en-US" w:eastAsia="zh-CN"/>
              </w:rPr>
            </w:pPr>
            <w:r>
              <w:rPr>
                <w:rFonts w:hint="default"/>
                <w:color w:val="auto"/>
                <w:highlight w:val="none"/>
                <w:lang w:val="en-US" w:eastAsia="zh-CN"/>
              </w:rPr>
              <w:t>4.质量：≤1.065kg(含粘贴式标识)</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348"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16</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抢险救援服（冬款）</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符合XF633-2006《消防员抢险救援防护服装》标准。服装款式符合应急管理部消防局20式消防员抢险救援防护服款式标识统型要求。颜色：橘红色。</w:t>
            </w:r>
            <w:r>
              <w:rPr>
                <w:rFonts w:hint="eastAsia"/>
                <w:color w:val="auto"/>
                <w:highlight w:val="none"/>
                <w:lang w:val="en-US" w:eastAsia="zh-CN"/>
              </w:rPr>
              <w:t>响应文件中须提供</w:t>
            </w:r>
            <w:r>
              <w:rPr>
                <w:rFonts w:hint="default"/>
                <w:color w:val="auto"/>
                <w:highlight w:val="none"/>
                <w:lang w:val="en-US" w:eastAsia="zh-CN"/>
              </w:rPr>
              <w:t>提供检测报告</w:t>
            </w:r>
            <w:r>
              <w:rPr>
                <w:rFonts w:hint="eastAsia"/>
                <w:color w:val="auto"/>
                <w:highlight w:val="none"/>
                <w:lang w:val="en-US" w:eastAsia="zh-CN"/>
              </w:rPr>
              <w:t>复印件加盖响应供应商单位公章</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1.冬季服装为夹克式上衣配长裤设计，上衣和下裤经拉链连接可实现一体功能。采用三层结构，含外层、防水透气层和舒适层。</w:t>
            </w:r>
          </w:p>
          <w:p>
            <w:pPr>
              <w:rPr>
                <w:rFonts w:hint="default"/>
                <w:color w:val="auto"/>
                <w:highlight w:val="none"/>
                <w:lang w:val="en-US" w:eastAsia="zh-CN"/>
              </w:rPr>
            </w:pPr>
            <w:r>
              <w:rPr>
                <w:rFonts w:hint="default"/>
                <w:color w:val="auto"/>
                <w:highlight w:val="none"/>
                <w:lang w:val="en-US" w:eastAsia="zh-CN"/>
              </w:rPr>
              <w:t>2.防护层面料：</w:t>
            </w:r>
          </w:p>
          <w:p>
            <w:pPr>
              <w:rPr>
                <w:rFonts w:hint="default"/>
                <w:color w:val="auto"/>
                <w:highlight w:val="none"/>
                <w:lang w:val="en-US" w:eastAsia="zh-CN"/>
              </w:rPr>
            </w:pPr>
            <w:r>
              <w:rPr>
                <w:rFonts w:hint="default"/>
                <w:color w:val="auto"/>
                <w:highlight w:val="none"/>
                <w:lang w:val="en-US" w:eastAsia="zh-CN"/>
              </w:rPr>
              <w:t>阻燃性能：经向续燃时间0s，损耗长度≤25mm；纬向续燃时间0s，损耗长度≤24mm，均无熔融、滴落现象；表面抗湿性能沾水等级：≥4级；断裂强力：经向≥1067N，纬向≥1009N；撕破强力：经向≥323.6N，纬向≥236.0N；</w:t>
            </w:r>
          </w:p>
          <w:p>
            <w:pPr>
              <w:rPr>
                <w:rFonts w:hint="default"/>
                <w:color w:val="auto"/>
                <w:highlight w:val="none"/>
                <w:lang w:val="en-US" w:eastAsia="zh-CN"/>
              </w:rPr>
            </w:pPr>
            <w:r>
              <w:rPr>
                <w:rFonts w:hint="default"/>
                <w:color w:val="auto"/>
                <w:highlight w:val="none"/>
                <w:lang w:val="en-US" w:eastAsia="zh-CN"/>
              </w:rPr>
              <w:t>3.防水透气层面料：</w:t>
            </w:r>
          </w:p>
          <w:p>
            <w:pPr>
              <w:rPr>
                <w:rFonts w:hint="default"/>
                <w:color w:val="auto"/>
                <w:highlight w:val="none"/>
                <w:lang w:val="en-US" w:eastAsia="zh-CN"/>
              </w:rPr>
            </w:pPr>
            <w:r>
              <w:rPr>
                <w:rFonts w:hint="default"/>
                <w:color w:val="auto"/>
                <w:highlight w:val="none"/>
                <w:lang w:val="en-US" w:eastAsia="zh-CN"/>
              </w:rPr>
              <w:t>耐静水压：≥50kPa；拒油性能：≥4级；缩水率：经向：≤3.0%，纬向：≤2.3%</w:t>
            </w:r>
          </w:p>
          <w:p>
            <w:pPr>
              <w:rPr>
                <w:rFonts w:hint="default"/>
                <w:color w:val="auto"/>
                <w:highlight w:val="none"/>
                <w:lang w:val="en-US" w:eastAsia="zh-CN"/>
              </w:rPr>
            </w:pPr>
            <w:r>
              <w:rPr>
                <w:rFonts w:hint="default"/>
                <w:color w:val="auto"/>
                <w:highlight w:val="none"/>
                <w:lang w:val="en-US" w:eastAsia="zh-CN"/>
              </w:rPr>
              <w:t>4.舒适层面料：</w:t>
            </w:r>
          </w:p>
          <w:p>
            <w:pPr>
              <w:rPr>
                <w:rFonts w:hint="default"/>
                <w:color w:val="auto"/>
                <w:highlight w:val="none"/>
                <w:lang w:val="en-US" w:eastAsia="zh-CN"/>
              </w:rPr>
            </w:pPr>
            <w:r>
              <w:rPr>
                <w:rFonts w:hint="default"/>
                <w:color w:val="auto"/>
                <w:highlight w:val="none"/>
                <w:lang w:val="en-US" w:eastAsia="zh-CN"/>
              </w:rPr>
              <w:t>阻燃性能：经向续燃时间0s，损耗长度≤31mm；纬向续燃时间0s，损耗长度≤28mm，均无熔融、滴落现象；断裂强力：经向≥419N，纬向≥309N；</w:t>
            </w:r>
          </w:p>
          <w:p>
            <w:pPr>
              <w:rPr>
                <w:rFonts w:hint="default"/>
                <w:color w:val="auto"/>
                <w:highlight w:val="none"/>
                <w:lang w:val="en-US" w:eastAsia="zh-CN"/>
              </w:rPr>
            </w:pPr>
            <w:r>
              <w:rPr>
                <w:rFonts w:hint="default"/>
                <w:color w:val="auto"/>
                <w:highlight w:val="none"/>
                <w:lang w:val="en-US" w:eastAsia="zh-CN"/>
              </w:rPr>
              <w:t>5.加强材料</w:t>
            </w:r>
          </w:p>
          <w:p>
            <w:pPr>
              <w:rPr>
                <w:rFonts w:hint="default"/>
                <w:color w:val="auto"/>
                <w:highlight w:val="none"/>
                <w:lang w:val="en-US" w:eastAsia="zh-CN"/>
              </w:rPr>
            </w:pPr>
            <w:r>
              <w:rPr>
                <w:rFonts w:hint="default"/>
                <w:color w:val="auto"/>
                <w:highlight w:val="none"/>
                <w:lang w:val="en-US" w:eastAsia="zh-CN"/>
              </w:rPr>
              <w:t>阻燃性能：经向续燃时间0s，损耗长度≤3mm；纬向续燃时间0s，损耗长度≤3mm，均无熔融、滴落现象；</w:t>
            </w:r>
          </w:p>
          <w:p>
            <w:pPr>
              <w:rPr>
                <w:rFonts w:hint="default"/>
                <w:color w:val="auto"/>
                <w:highlight w:val="none"/>
                <w:lang w:val="en-US" w:eastAsia="zh-CN"/>
              </w:rPr>
            </w:pPr>
            <w:r>
              <w:rPr>
                <w:rFonts w:hint="default"/>
                <w:color w:val="auto"/>
                <w:highlight w:val="none"/>
                <w:lang w:val="en-US" w:eastAsia="zh-CN"/>
              </w:rPr>
              <w:t>6.质量：≤1.88kg。(含粘贴式标识)</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07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17</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抢险救援靴</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color w:val="auto"/>
                <w:highlight w:val="none"/>
              </w:rPr>
            </w:pPr>
            <w:r>
              <w:rPr>
                <w:color w:val="auto"/>
                <w:highlight w:val="none"/>
              </w:rPr>
              <w:t>1、整靴的主体颜色应为黑色，且有醒目颜色反光标志，符合统型要求</w:t>
            </w:r>
          </w:p>
          <w:p>
            <w:pPr>
              <w:rPr>
                <w:color w:val="auto"/>
                <w:highlight w:val="none"/>
              </w:rPr>
            </w:pPr>
            <w:r>
              <w:rPr>
                <w:color w:val="auto"/>
                <w:highlight w:val="none"/>
              </w:rPr>
              <w:t>2、皮靴后跟可视部位处应有荧光绿反光标志且高于靴筒2cm±0.1。</w:t>
            </w:r>
          </w:p>
          <w:p>
            <w:pPr>
              <w:rPr>
                <w:color w:val="auto"/>
                <w:highlight w:val="none"/>
              </w:rPr>
            </w:pPr>
            <w:r>
              <w:rPr>
                <w:color w:val="auto"/>
                <w:highlight w:val="none"/>
              </w:rPr>
              <w:t>3、从靴外底起至靴口最低处的高度≥210mm。</w:t>
            </w:r>
          </w:p>
          <w:p>
            <w:pPr>
              <w:rPr>
                <w:color w:val="auto"/>
                <w:highlight w:val="none"/>
              </w:rPr>
            </w:pPr>
            <w:r>
              <w:rPr>
                <w:color w:val="auto"/>
                <w:highlight w:val="none"/>
              </w:rPr>
              <w:t>4、靴帮材料应为头层防水牛皮,靴帮内侧设有透气孔。</w:t>
            </w:r>
          </w:p>
          <w:p>
            <w:pPr>
              <w:rPr>
                <w:color w:val="auto"/>
                <w:highlight w:val="none"/>
              </w:rPr>
            </w:pPr>
            <w:r>
              <w:rPr>
                <w:color w:val="auto"/>
                <w:highlight w:val="none"/>
              </w:rPr>
              <w:t>5、脚踝：使用的回弹性较高泡绵，保护脚踝。</w:t>
            </w:r>
          </w:p>
          <w:p>
            <w:pPr>
              <w:rPr>
                <w:color w:val="auto"/>
                <w:highlight w:val="none"/>
              </w:rPr>
            </w:pPr>
            <w:r>
              <w:rPr>
                <w:color w:val="auto"/>
                <w:highlight w:val="none"/>
              </w:rPr>
              <w:t>6、鞋带：阻燃橘红色鞋带，鞋舌上方设计有储存鞋带的收拉袋。</w:t>
            </w:r>
          </w:p>
          <w:p>
            <w:pPr>
              <w:rPr>
                <w:color w:val="auto"/>
                <w:highlight w:val="none"/>
              </w:rPr>
            </w:pPr>
            <w:r>
              <w:rPr>
                <w:color w:val="auto"/>
                <w:highlight w:val="none"/>
              </w:rPr>
              <w:t>7、外底材料应为阻燃橡胶，耐油，止滑，耐酸碱，耐磨，抗高压</w:t>
            </w:r>
            <w:r>
              <w:rPr>
                <w:rFonts w:hint="eastAsia"/>
                <w:color w:val="auto"/>
                <w:highlight w:val="none"/>
              </w:rPr>
              <w:t>。</w:t>
            </w:r>
          </w:p>
          <w:p>
            <w:pPr>
              <w:rPr>
                <w:color w:val="auto"/>
                <w:highlight w:val="none"/>
              </w:rPr>
            </w:pPr>
            <w:r>
              <w:rPr>
                <w:color w:val="auto"/>
                <w:highlight w:val="none"/>
              </w:rPr>
              <w:t>8、靴头超轻树脂纤维复合塑钢防砸包头，抢险救援</w:t>
            </w:r>
            <w:r>
              <w:rPr>
                <w:rFonts w:hint="eastAsia"/>
                <w:color w:val="auto"/>
                <w:highlight w:val="none"/>
              </w:rPr>
              <w:t>靴内可防止脚趾受到冲击力。</w:t>
            </w:r>
            <w:r>
              <w:rPr>
                <w:color w:val="auto"/>
                <w:highlight w:val="none"/>
              </w:rPr>
              <w:t xml:space="preserve"> </w:t>
            </w:r>
          </w:p>
          <w:p>
            <w:pPr>
              <w:rPr>
                <w:color w:val="auto"/>
                <w:highlight w:val="none"/>
              </w:rPr>
            </w:pPr>
            <w:r>
              <w:rPr>
                <w:color w:val="auto"/>
                <w:highlight w:val="none"/>
              </w:rPr>
              <w:t>9、靴底防穿刺层采用复合纤维防穿刺材料，抗刺穿力≥1200N。靴内底防刺穿层应覆盖整个靴内底，不应位于保护包头卷边上方也不应与之接触，固定好不能有移动现象。</w:t>
            </w:r>
          </w:p>
          <w:p>
            <w:pPr>
              <w:rPr>
                <w:color w:val="auto"/>
                <w:highlight w:val="none"/>
              </w:rPr>
            </w:pPr>
            <w:r>
              <w:rPr>
                <w:color w:val="auto"/>
                <w:highlight w:val="none"/>
              </w:rPr>
              <w:t>10、靴内采用防霉抗菌吸湿排汗防臭</w:t>
            </w:r>
            <w:r>
              <w:rPr>
                <w:rFonts w:hint="eastAsia"/>
                <w:color w:val="auto"/>
                <w:highlight w:val="none"/>
              </w:rPr>
              <w:t>立体</w:t>
            </w:r>
            <w:r>
              <w:rPr>
                <w:color w:val="auto"/>
                <w:highlight w:val="none"/>
              </w:rPr>
              <w:t>缓冲鞋垫，可水洗不变形保持舒适度。</w:t>
            </w:r>
          </w:p>
          <w:p>
            <w:pPr>
              <w:rPr>
                <w:color w:val="auto"/>
                <w:highlight w:val="none"/>
              </w:rPr>
            </w:pPr>
            <w:r>
              <w:rPr>
                <w:color w:val="auto"/>
                <w:highlight w:val="none"/>
              </w:rPr>
              <w:t xml:space="preserve">11、质量：整双靴总重量质量≤1.8kg。 </w:t>
            </w:r>
          </w:p>
          <w:p>
            <w:pPr>
              <w:rPr>
                <w:color w:val="auto"/>
                <w:highlight w:val="none"/>
              </w:rPr>
            </w:pPr>
            <w:r>
              <w:rPr>
                <w:color w:val="auto"/>
                <w:highlight w:val="none"/>
              </w:rPr>
              <w:t>12、鞋子</w:t>
            </w:r>
            <w:r>
              <w:rPr>
                <w:rFonts w:hint="eastAsia"/>
                <w:color w:val="auto"/>
                <w:highlight w:val="none"/>
              </w:rPr>
              <w:t>使用滑轮鞋扣，</w:t>
            </w:r>
            <w:r>
              <w:rPr>
                <w:color w:val="auto"/>
                <w:highlight w:val="none"/>
              </w:rPr>
              <w:t>应经过防腐蚀处理</w:t>
            </w:r>
            <w:r>
              <w:rPr>
                <w:rFonts w:hint="eastAsia"/>
                <w:color w:val="auto"/>
                <w:highlight w:val="none"/>
              </w:rPr>
              <w:t>，依照统型要求，每双2</w:t>
            </w:r>
            <w:r>
              <w:rPr>
                <w:color w:val="auto"/>
                <w:highlight w:val="none"/>
              </w:rPr>
              <w:t>0</w:t>
            </w:r>
            <w:r>
              <w:rPr>
                <w:rFonts w:hint="eastAsia"/>
                <w:color w:val="auto"/>
                <w:highlight w:val="none"/>
              </w:rPr>
              <w:t>只。</w:t>
            </w:r>
            <w:r>
              <w:rPr>
                <w:color w:val="auto"/>
                <w:highlight w:val="none"/>
              </w:rPr>
              <w:t xml:space="preserve"> </w:t>
            </w:r>
          </w:p>
          <w:p>
            <w:pPr>
              <w:rPr>
                <w:color w:val="auto"/>
                <w:highlight w:val="none"/>
              </w:rPr>
            </w:pPr>
            <w:r>
              <w:rPr>
                <w:color w:val="auto"/>
                <w:highlight w:val="none"/>
              </w:rPr>
              <w:t>13、阻燃缝纫线的颜色应与外层材料相匹配</w:t>
            </w:r>
            <w:r>
              <w:rPr>
                <w:rFonts w:hint="eastAsia"/>
                <w:color w:val="auto"/>
                <w:highlight w:val="none"/>
              </w:rPr>
              <w:t>，如反光条、帮面</w:t>
            </w:r>
            <w:r>
              <w:rPr>
                <w:color w:val="auto"/>
                <w:highlight w:val="none"/>
              </w:rPr>
              <w:t>。</w:t>
            </w:r>
          </w:p>
          <w:p>
            <w:pPr>
              <w:rPr>
                <w:color w:val="auto"/>
                <w:highlight w:val="none"/>
              </w:rPr>
            </w:pPr>
            <w:r>
              <w:rPr>
                <w:color w:val="auto"/>
                <w:highlight w:val="none"/>
              </w:rPr>
              <w:t xml:space="preserve">14、靴子外腰需要有：黑底橘色字“消防救援”标志 </w:t>
            </w:r>
          </w:p>
          <w:p>
            <w:pPr>
              <w:rPr>
                <w:color w:val="auto"/>
                <w:highlight w:val="none"/>
              </w:rPr>
            </w:pPr>
            <w:r>
              <w:rPr>
                <w:color w:val="auto"/>
                <w:highlight w:val="none"/>
              </w:rPr>
              <w:t xml:space="preserve">15、救援靴靴帮与靴底的结合强度≥4.0 N/mm，如果测试时外底出现撕裂现象，则结合强度≥3.0N/mm。 </w:t>
            </w:r>
          </w:p>
          <w:p>
            <w:pPr>
              <w:rPr>
                <w:color w:val="auto"/>
                <w:highlight w:val="none"/>
              </w:rPr>
            </w:pPr>
            <w:r>
              <w:rPr>
                <w:color w:val="auto"/>
                <w:highlight w:val="none"/>
              </w:rPr>
              <w:t>16、抢险救援靴在进行防滑性能试验时，始滑角≥26°。</w:t>
            </w:r>
          </w:p>
          <w:p>
            <w:pPr>
              <w:rPr>
                <w:color w:val="auto"/>
                <w:highlight w:val="none"/>
              </w:rPr>
            </w:pPr>
            <w:r>
              <w:rPr>
                <w:color w:val="auto"/>
                <w:highlight w:val="none"/>
              </w:rPr>
              <w:t>17、抢险救援靴的击穿电压≥6000V,且泄漏电流＜0.13mA。</w:t>
            </w:r>
          </w:p>
          <w:p>
            <w:pPr>
              <w:rPr>
                <w:color w:val="auto"/>
                <w:highlight w:val="none"/>
              </w:rPr>
            </w:pPr>
            <w:r>
              <w:rPr>
                <w:color w:val="auto"/>
                <w:highlight w:val="none"/>
              </w:rPr>
              <w:t>18、</w:t>
            </w:r>
            <w:r>
              <w:rPr>
                <w:rFonts w:hint="eastAsia"/>
                <w:color w:val="auto"/>
                <w:highlight w:val="none"/>
              </w:rPr>
              <w:t>抢险救援靴在温度为（</w:t>
            </w:r>
            <w:r>
              <w:rPr>
                <w:color w:val="auto"/>
                <w:highlight w:val="none"/>
              </w:rPr>
              <w:t>180±5）℃条件下，经5min后，靴上任何部件不应产生熔滴，所有硬质附件应保持性能完好，沿圆轴弯曲时无任何龟裂。</w:t>
            </w:r>
          </w:p>
          <w:p>
            <w:pPr>
              <w:rPr>
                <w:color w:val="auto"/>
                <w:highlight w:val="none"/>
              </w:rPr>
            </w:pPr>
            <w:r>
              <w:rPr>
                <w:color w:val="auto"/>
                <w:highlight w:val="none"/>
              </w:rPr>
              <w:t>19</w:t>
            </w:r>
            <w:r>
              <w:rPr>
                <w:rFonts w:hint="eastAsia"/>
                <w:color w:val="auto"/>
                <w:highlight w:val="none"/>
              </w:rPr>
              <w:t>、抢险救援靴在隔热性能测试中</w:t>
            </w:r>
            <w:r>
              <w:rPr>
                <w:color w:val="auto"/>
                <w:highlight w:val="none"/>
              </w:rPr>
              <w:t>，经</w:t>
            </w:r>
            <w:r>
              <w:rPr>
                <w:rFonts w:hint="eastAsia"/>
                <w:color w:val="auto"/>
                <w:highlight w:val="none"/>
              </w:rPr>
              <w:t>加热</w:t>
            </w:r>
            <w:r>
              <w:rPr>
                <w:color w:val="auto"/>
                <w:highlight w:val="none"/>
              </w:rPr>
              <w:t>30min后，靴底内的温升≤7.0℃。</w:t>
            </w:r>
          </w:p>
          <w:p>
            <w:pPr>
              <w:rPr>
                <w:color w:val="auto"/>
                <w:highlight w:val="none"/>
              </w:rPr>
            </w:pPr>
            <w:r>
              <w:rPr>
                <w:color w:val="auto"/>
                <w:highlight w:val="none"/>
              </w:rPr>
              <w:t>20、抢险救援靴在</w:t>
            </w:r>
            <w:r>
              <w:rPr>
                <w:rFonts w:hint="eastAsia"/>
                <w:color w:val="auto"/>
                <w:highlight w:val="none"/>
              </w:rPr>
              <w:t>抗热辐射</w:t>
            </w:r>
            <w:r>
              <w:rPr>
                <w:color w:val="auto"/>
                <w:highlight w:val="none"/>
              </w:rPr>
              <w:t>性能试验中</w:t>
            </w:r>
            <w:r>
              <w:rPr>
                <w:rFonts w:hint="eastAsia"/>
                <w:color w:val="auto"/>
                <w:highlight w:val="none"/>
              </w:rPr>
              <w:t>1</w:t>
            </w:r>
            <w:r>
              <w:rPr>
                <w:color w:val="auto"/>
                <w:highlight w:val="none"/>
              </w:rPr>
              <w:t>K</w:t>
            </w:r>
            <w:r>
              <w:rPr>
                <w:rFonts w:hint="eastAsia"/>
                <w:color w:val="auto"/>
                <w:highlight w:val="none"/>
              </w:rPr>
              <w:t>w</w:t>
            </w:r>
            <w:r>
              <w:rPr>
                <w:color w:val="auto"/>
                <w:highlight w:val="none"/>
              </w:rPr>
              <w:t>/m2被</w:t>
            </w:r>
            <w:r>
              <w:rPr>
                <w:rFonts w:hint="eastAsia"/>
                <w:color w:val="auto"/>
                <w:highlight w:val="none"/>
              </w:rPr>
              <w:t>辐照</w:t>
            </w:r>
            <w:r>
              <w:rPr>
                <w:color w:val="auto"/>
                <w:highlight w:val="none"/>
              </w:rPr>
              <w:t>1min</w:t>
            </w:r>
            <w:r>
              <w:rPr>
                <w:rFonts w:hint="eastAsia"/>
                <w:color w:val="auto"/>
                <w:highlight w:val="none"/>
              </w:rPr>
              <w:t>后</w:t>
            </w:r>
            <w:r>
              <w:rPr>
                <w:color w:val="auto"/>
                <w:highlight w:val="none"/>
              </w:rPr>
              <w:t>，靴底内的温升≤8.6℃。</w:t>
            </w:r>
          </w:p>
          <w:p>
            <w:pPr>
              <w:rPr>
                <w:color w:val="auto"/>
                <w:highlight w:val="none"/>
              </w:rPr>
            </w:pPr>
            <w:r>
              <w:rPr>
                <w:color w:val="auto"/>
                <w:highlight w:val="none"/>
              </w:rPr>
              <w:t xml:space="preserve">21、鞋头耐压性能：内靴头间隙高度≥17.5mm。 </w:t>
            </w:r>
          </w:p>
          <w:p>
            <w:pPr>
              <w:rPr>
                <w:color w:val="auto"/>
                <w:highlight w:val="none"/>
              </w:rPr>
            </w:pPr>
            <w:r>
              <w:rPr>
                <w:color w:val="auto"/>
                <w:highlight w:val="none"/>
              </w:rPr>
              <w:t>22、鞋头抗</w:t>
            </w:r>
            <w:r>
              <w:rPr>
                <w:rFonts w:hint="eastAsia"/>
                <w:color w:val="auto"/>
                <w:highlight w:val="none"/>
              </w:rPr>
              <w:t>冲击</w:t>
            </w:r>
            <w:r>
              <w:rPr>
                <w:color w:val="auto"/>
                <w:highlight w:val="none"/>
              </w:rPr>
              <w:t xml:space="preserve">性能：内靴头间隙高度≥17mm。 </w:t>
            </w:r>
          </w:p>
          <w:p>
            <w:pPr>
              <w:rPr>
                <w:color w:val="auto"/>
                <w:highlight w:val="none"/>
              </w:rPr>
            </w:pPr>
            <w:r>
              <w:rPr>
                <w:color w:val="auto"/>
                <w:highlight w:val="none"/>
              </w:rPr>
              <w:t>23、鞋面抗穿刺性能：靴筒部位应≥143N.</w:t>
            </w:r>
          </w:p>
          <w:p>
            <w:pPr>
              <w:rPr>
                <w:color w:val="auto"/>
                <w:highlight w:val="none"/>
              </w:rPr>
            </w:pPr>
            <w:r>
              <w:rPr>
                <w:color w:val="auto"/>
                <w:highlight w:val="none"/>
              </w:rPr>
              <w:t>24、抢险救援靴靴帮一周增加特殊</w:t>
            </w:r>
            <w:r>
              <w:rPr>
                <w:rFonts w:hint="eastAsia"/>
                <w:color w:val="auto"/>
                <w:highlight w:val="none"/>
              </w:rPr>
              <w:t>热切工艺</w:t>
            </w:r>
            <w:r>
              <w:rPr>
                <w:color w:val="auto"/>
                <w:highlight w:val="none"/>
              </w:rPr>
              <w:t>材料</w:t>
            </w:r>
            <w:r>
              <w:rPr>
                <w:rFonts w:hint="eastAsia"/>
                <w:color w:val="auto"/>
                <w:highlight w:val="none"/>
              </w:rPr>
              <w:t>（非缝制）</w:t>
            </w:r>
            <w:r>
              <w:rPr>
                <w:color w:val="auto"/>
                <w:highlight w:val="none"/>
              </w:rPr>
              <w:t>，耐刮防滑。</w:t>
            </w:r>
          </w:p>
          <w:p>
            <w:pPr>
              <w:rPr>
                <w:rFonts w:hint="default"/>
                <w:color w:val="auto"/>
                <w:highlight w:val="none"/>
                <w:lang w:val="en-US" w:eastAsia="zh-CN"/>
              </w:rPr>
            </w:pPr>
            <w:r>
              <w:rPr>
                <w:color w:val="auto"/>
                <w:highlight w:val="none"/>
              </w:rPr>
              <w:t>25、靴筒外侧脚踝处设有菱形防撞块，防震并在靴筒两侧设有补强材质。</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49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18</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消防护目镜</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 xml:space="preserve">适合军用、劳保、驾驶、医疗、钻探、野外考察等用途，具有抗冲击、耐热、耐磨性能。                              </w:t>
            </w:r>
          </w:p>
          <w:p>
            <w:pPr>
              <w:rPr>
                <w:rFonts w:hint="default"/>
                <w:color w:val="auto"/>
                <w:highlight w:val="none"/>
                <w:lang w:val="en-US" w:eastAsia="zh-CN"/>
              </w:rPr>
            </w:pPr>
            <w:r>
              <w:rPr>
                <w:rFonts w:hint="default"/>
                <w:color w:val="auto"/>
                <w:highlight w:val="none"/>
                <w:lang w:val="en-US" w:eastAsia="zh-CN"/>
              </w:rPr>
              <w:t>1.镜框采用环保无毒柔韧性强的聚氯乙烯(PVC)材料注塑而成，质软，舒适；密切贴合脸部，可同时配带近视眼镜；高性能橡筋调节，适合各种脸型；</w:t>
            </w:r>
          </w:p>
          <w:p>
            <w:pPr>
              <w:rPr>
                <w:rFonts w:hint="default"/>
                <w:color w:val="auto"/>
                <w:highlight w:val="none"/>
                <w:lang w:val="en-US" w:eastAsia="zh-CN"/>
              </w:rPr>
            </w:pPr>
            <w:r>
              <w:rPr>
                <w:rFonts w:hint="default"/>
                <w:color w:val="auto"/>
                <w:highlight w:val="none"/>
                <w:lang w:val="en-US" w:eastAsia="zh-CN"/>
              </w:rPr>
              <w:t>2.间接透气设计，防化学飞溅，防粉尘；</w:t>
            </w:r>
          </w:p>
          <w:p>
            <w:pPr>
              <w:rPr>
                <w:rFonts w:hint="default"/>
                <w:color w:val="auto"/>
                <w:highlight w:val="none"/>
                <w:lang w:val="en-US" w:eastAsia="zh-CN"/>
              </w:rPr>
            </w:pPr>
            <w:r>
              <w:rPr>
                <w:rFonts w:hint="default"/>
                <w:color w:val="auto"/>
                <w:highlight w:val="none"/>
                <w:lang w:val="en-US" w:eastAsia="zh-CN"/>
              </w:rPr>
              <w:t>3.聚碳酸脂强化镜片，防冲击，防刮擦。</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63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19</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绳包</w:t>
            </w:r>
          </w:p>
        </w:tc>
        <w:tc>
          <w:tcPr>
            <w:tcW w:w="4980"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color w:val="auto"/>
                <w:highlight w:val="none"/>
                <w:lang w:val="en-US" w:eastAsia="zh-CN"/>
              </w:rPr>
            </w:pPr>
            <w:r>
              <w:rPr>
                <w:rFonts w:hint="default"/>
                <w:color w:val="auto"/>
                <w:highlight w:val="none"/>
                <w:lang w:val="en-US" w:eastAsia="zh-CN"/>
              </w:rPr>
              <w:t>适合装20米绳，（插扣式软体）、牛津防水布黑色/藏蓝色。</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4237"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20</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消防员隔热防护服</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 634-2015《消防员隔热防护服》标准。主要由铝箔复合阻燃耐高温材料制成。由头罩，上衣，背带裤，手套，隔热鞋组成。是消防员扑救辐射热较强的石油火灾和气体火灾以及冶炼、玻璃、搪瓷、水泥、化工、热电等行业高温作业时的防护服，具有重量轻、牢度强以及防水等特点；是高温条件下作业的最佳服装。玻璃纤维覆铝箔材料，具有防火隔热性能。</w:t>
            </w:r>
          </w:p>
          <w:p>
            <w:pPr>
              <w:rPr>
                <w:rFonts w:hint="default"/>
                <w:color w:val="auto"/>
                <w:highlight w:val="none"/>
                <w:lang w:val="en-US" w:eastAsia="zh-CN"/>
              </w:rPr>
            </w:pPr>
            <w:r>
              <w:rPr>
                <w:rFonts w:hint="default"/>
                <w:color w:val="auto"/>
                <w:highlight w:val="none"/>
                <w:lang w:val="en-US" w:eastAsia="zh-CN"/>
              </w:rPr>
              <w:t>由头罩，上衣，背带裤，手套，隔热鞋组成。隔热服分面料和衬里两层，面料为铝箔复合（或涂铝）阻燃织物，衬里为天然纤织物。</w:t>
            </w:r>
          </w:p>
          <w:p>
            <w:pPr>
              <w:rPr>
                <w:rFonts w:hint="default"/>
                <w:color w:val="auto"/>
                <w:highlight w:val="none"/>
                <w:lang w:val="en-US" w:eastAsia="zh-CN"/>
              </w:rPr>
            </w:pPr>
            <w:r>
              <w:rPr>
                <w:rFonts w:hint="default"/>
                <w:color w:val="auto"/>
                <w:highlight w:val="none"/>
                <w:lang w:val="en-US" w:eastAsia="zh-CN"/>
              </w:rPr>
              <w:t>阻燃性能：损毁长度≤5mm，续燃时间0s，阴燃时间0s；撕破强力：经向≥86.4N，纬向≥47N；断力强力：经向≥862.1N, 纬向≥468.6N；接缝断强力：≥500.9N；</w:t>
            </w:r>
          </w:p>
          <w:p>
            <w:pPr>
              <w:rPr>
                <w:rFonts w:hint="default"/>
                <w:color w:val="auto"/>
                <w:highlight w:val="none"/>
                <w:lang w:val="en-US" w:eastAsia="zh-CN"/>
              </w:rPr>
            </w:pPr>
            <w:r>
              <w:rPr>
                <w:rFonts w:hint="default"/>
                <w:color w:val="auto"/>
                <w:highlight w:val="none"/>
                <w:lang w:val="en-US" w:eastAsia="zh-CN"/>
              </w:rPr>
              <w:t>抗辐射热渗透性能：内表面温升≤15.5℃；长期使用不会发生铝箔脱落。在800—900摄氏度热辐射下，70%热量返回，装配牢固；全套质量：≤6kg。</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497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21</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消防员避火防护服</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避火防护服应为连体式，防护整个身体，包括连体服，头罩，手套和脚套。头罩、手套和脚套必须具有与防护服相同的防火和防热功能主体面料及面料结构与防护服一致。手套为三指以上，长度≥38CM,靴套底部带加强涂层，高度≥45CM。背部必须配有空气呼吸器背囊。防护头盔内置于头罩内，通过铆钉，PC弧片与头罩相连接。</w:t>
            </w:r>
          </w:p>
          <w:p>
            <w:pPr>
              <w:rPr>
                <w:rFonts w:hint="default"/>
                <w:color w:val="auto"/>
                <w:highlight w:val="none"/>
                <w:lang w:val="en-US" w:eastAsia="zh-CN"/>
              </w:rPr>
            </w:pPr>
            <w:r>
              <w:rPr>
                <w:rFonts w:hint="default"/>
                <w:color w:val="auto"/>
                <w:highlight w:val="none"/>
                <w:lang w:val="en-US" w:eastAsia="zh-CN"/>
              </w:rPr>
              <w:t>2.整套防护服采用多层结构制成：反射镀铝外层、隔热层、衬里，整体≥7层结构，反射镀铝外层面料基布为50%芳纶/50%玻璃纤维材质应≥320g/㎡，表面镀铝箔。隔热层为100%预氧化纤维，克重应≥550g/㎡，衬里层为100%阻燃棉≥120g/㎡.镀金面屏厚度≥4mm，尺寸≥23*18cm，面屏可更换。</w:t>
            </w:r>
          </w:p>
          <w:p>
            <w:pPr>
              <w:rPr>
                <w:rFonts w:hint="default"/>
                <w:color w:val="auto"/>
                <w:highlight w:val="none"/>
                <w:lang w:val="en-US" w:eastAsia="zh-CN"/>
              </w:rPr>
            </w:pPr>
            <w:r>
              <w:rPr>
                <w:rFonts w:hint="default"/>
                <w:color w:val="auto"/>
                <w:highlight w:val="none"/>
                <w:lang w:val="en-US" w:eastAsia="zh-CN"/>
              </w:rPr>
              <w:t>3.阻燃性能（外层性能）：燃烧毁损长度：经向应≤10mm,纬向≤10mm，续燃时间：经纬向都应≤2S,无熔融、滴落.</w:t>
            </w:r>
          </w:p>
          <w:p>
            <w:pPr>
              <w:rPr>
                <w:rFonts w:hint="default"/>
                <w:color w:val="auto"/>
                <w:highlight w:val="none"/>
                <w:lang w:val="en-US" w:eastAsia="zh-CN"/>
              </w:rPr>
            </w:pPr>
            <w:r>
              <w:rPr>
                <w:rFonts w:hint="default"/>
                <w:color w:val="auto"/>
                <w:highlight w:val="none"/>
                <w:lang w:val="en-US" w:eastAsia="zh-CN"/>
              </w:rPr>
              <w:t>4.抗辐射热渗透性能：其内表面升温达到24℃的时间≥72s.</w:t>
            </w:r>
          </w:p>
          <w:p>
            <w:pPr>
              <w:rPr>
                <w:rFonts w:hint="default"/>
                <w:color w:val="auto"/>
                <w:highlight w:val="none"/>
                <w:lang w:val="en-US" w:eastAsia="zh-CN"/>
              </w:rPr>
            </w:pPr>
            <w:r>
              <w:rPr>
                <w:rFonts w:hint="default"/>
                <w:color w:val="auto"/>
                <w:highlight w:val="none"/>
                <w:lang w:val="en-US" w:eastAsia="zh-CN"/>
              </w:rPr>
              <w:t>5.重量≤11.0kg；</w:t>
            </w:r>
          </w:p>
          <w:p>
            <w:pPr>
              <w:rPr>
                <w:rFonts w:hint="default"/>
                <w:color w:val="auto"/>
                <w:highlight w:val="none"/>
                <w:lang w:val="en-US" w:eastAsia="zh-CN"/>
              </w:rPr>
            </w:pPr>
            <w:r>
              <w:rPr>
                <w:rFonts w:hint="default"/>
                <w:color w:val="auto"/>
                <w:highlight w:val="none"/>
                <w:lang w:val="en-US" w:eastAsia="zh-CN"/>
              </w:rPr>
              <w:t>.</w:t>
            </w:r>
            <w:r>
              <w:rPr>
                <w:rFonts w:hint="eastAsia"/>
                <w:color w:val="auto"/>
                <w:highlight w:val="none"/>
                <w:lang w:val="en-US" w:eastAsia="zh-CN"/>
              </w:rPr>
              <w:t>响应文件中须</w:t>
            </w:r>
            <w:r>
              <w:rPr>
                <w:rFonts w:hint="default"/>
                <w:color w:val="auto"/>
                <w:highlight w:val="none"/>
                <w:lang w:val="en-US" w:eastAsia="zh-CN"/>
              </w:rPr>
              <w:t>提供检测报告</w:t>
            </w:r>
            <w:r>
              <w:rPr>
                <w:rFonts w:hint="eastAsia"/>
                <w:color w:val="auto"/>
                <w:highlight w:val="none"/>
                <w:lang w:val="en-US" w:eastAsia="zh-CN"/>
              </w:rPr>
              <w:t>复印件加盖响应供应商单位公章</w:t>
            </w:r>
            <w:r>
              <w:rPr>
                <w:rFonts w:hint="default"/>
                <w:color w:val="auto"/>
                <w:highlight w:val="none"/>
                <w:lang w:val="en-US" w:eastAsia="zh-CN"/>
              </w:rPr>
              <w:t>。</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528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22</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二级化学防护服</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 6-2004《消防员灭火防护靴》和XF 770-2008《消防员化学防护服装》标准要求。它性能优良、穿着轻便，是消防人员在弱酸碱化学物品事故现场，使用的最佳轻型防化服。</w:t>
            </w:r>
          </w:p>
          <w:p>
            <w:pPr>
              <w:rPr>
                <w:rFonts w:hint="default"/>
                <w:color w:val="auto"/>
                <w:highlight w:val="none"/>
                <w:lang w:val="en-US" w:eastAsia="zh-CN"/>
              </w:rPr>
            </w:pPr>
            <w:r>
              <w:rPr>
                <w:rFonts w:hint="default"/>
                <w:color w:val="auto"/>
                <w:highlight w:val="none"/>
                <w:lang w:val="en-US" w:eastAsia="zh-CN"/>
              </w:rPr>
              <w:t>由连体服,防化手套,防化靴组成。采用改性PVC涂层面料，具有阻燃、防酸、碱性能。</w:t>
            </w:r>
          </w:p>
          <w:p>
            <w:pPr>
              <w:rPr>
                <w:rFonts w:hint="default"/>
                <w:color w:val="auto"/>
                <w:highlight w:val="none"/>
                <w:lang w:val="en-US" w:eastAsia="zh-CN"/>
              </w:rPr>
            </w:pPr>
            <w:r>
              <w:rPr>
                <w:rFonts w:hint="default"/>
                <w:color w:val="auto"/>
                <w:highlight w:val="none"/>
                <w:lang w:val="en-US" w:eastAsia="zh-CN"/>
              </w:rPr>
              <w:t>1.面料性能：</w:t>
            </w:r>
          </w:p>
          <w:p>
            <w:pPr>
              <w:rPr>
                <w:rFonts w:hint="default"/>
                <w:color w:val="auto"/>
                <w:highlight w:val="none"/>
                <w:lang w:val="en-US" w:eastAsia="zh-CN"/>
              </w:rPr>
            </w:pPr>
            <w:r>
              <w:rPr>
                <w:rFonts w:hint="default"/>
                <w:color w:val="auto"/>
                <w:highlight w:val="none"/>
                <w:lang w:val="en-US" w:eastAsia="zh-CN"/>
              </w:rPr>
              <w:t>厚度：≥0.65mm；断裂强力：经向≥18.4kN/m、纬向≥11.8kN/m；撕破强力：经向≥65.7N、纬向≥46.9N；</w:t>
            </w:r>
          </w:p>
          <w:p>
            <w:pPr>
              <w:rPr>
                <w:rFonts w:hint="default"/>
                <w:color w:val="auto"/>
                <w:highlight w:val="none"/>
                <w:lang w:val="en-US" w:eastAsia="zh-CN"/>
              </w:rPr>
            </w:pPr>
            <w:r>
              <w:rPr>
                <w:rFonts w:hint="default"/>
                <w:color w:val="auto"/>
                <w:highlight w:val="none"/>
                <w:lang w:val="en-US" w:eastAsia="zh-CN"/>
              </w:rPr>
              <w:t>2.面料具备阻燃性能：</w:t>
            </w:r>
          </w:p>
          <w:p>
            <w:pPr>
              <w:rPr>
                <w:rFonts w:hint="default"/>
                <w:color w:val="auto"/>
                <w:highlight w:val="none"/>
                <w:lang w:val="en-US" w:eastAsia="zh-CN"/>
              </w:rPr>
            </w:pPr>
            <w:r>
              <w:rPr>
                <w:rFonts w:hint="default"/>
                <w:color w:val="auto"/>
                <w:highlight w:val="none"/>
                <w:lang w:val="en-US" w:eastAsia="zh-CN"/>
              </w:rPr>
              <w:t>有焰燃烧时间：经向≥7s,纬向≥7s；无焰燃烧时间：经向≥4s,纬向≥4s；损毁长度:经向≤8.3cm、纬向≤8.0cm；耐热老化、耐寒、耐汽油、防酸碱渗透。</w:t>
            </w:r>
          </w:p>
          <w:p>
            <w:pPr>
              <w:rPr>
                <w:rFonts w:hint="default"/>
                <w:color w:val="auto"/>
                <w:highlight w:val="none"/>
                <w:lang w:val="en-US" w:eastAsia="zh-CN"/>
              </w:rPr>
            </w:pPr>
            <w:r>
              <w:rPr>
                <w:rFonts w:hint="default"/>
                <w:color w:val="auto"/>
                <w:highlight w:val="none"/>
                <w:lang w:val="en-US" w:eastAsia="zh-CN"/>
              </w:rPr>
              <w:t>3.胶靴性能</w:t>
            </w:r>
          </w:p>
          <w:p>
            <w:pPr>
              <w:rPr>
                <w:rFonts w:hint="default"/>
                <w:color w:val="auto"/>
                <w:highlight w:val="none"/>
                <w:lang w:val="en-US" w:eastAsia="zh-CN"/>
              </w:rPr>
            </w:pPr>
            <w:r>
              <w:rPr>
                <w:rFonts w:hint="default"/>
                <w:color w:val="auto"/>
                <w:highlight w:val="none"/>
                <w:lang w:val="en-US" w:eastAsia="zh-CN"/>
              </w:rPr>
              <w:t>靴底耐穿刺性能：穿刺力≥1140N；电绝缘性能：击穿电压≥5000V；防酸碱性能：不渗透；防滑性能：始滑角≥15°；</w:t>
            </w:r>
          </w:p>
          <w:p>
            <w:pPr>
              <w:rPr>
                <w:rFonts w:hint="default"/>
                <w:color w:val="auto"/>
                <w:highlight w:val="none"/>
                <w:lang w:val="en-US" w:eastAsia="zh-CN"/>
              </w:rPr>
            </w:pPr>
            <w:r>
              <w:rPr>
                <w:rFonts w:hint="default"/>
                <w:color w:val="auto"/>
                <w:highlight w:val="none"/>
                <w:lang w:val="en-US" w:eastAsia="zh-CN"/>
              </w:rPr>
              <w:t xml:space="preserve">质量: ≤4kg </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477"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23</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一级化学防护服</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一级化学防护服由大视窗的连体头罩、化学防护服、呼吸器背囊、防护靴、防护手套、外置接口、排气阀、等部分组成。可防化、防渗透、防酸、碱、磷、硫类等各有毒、有害气体、液体。</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一级化学防护服面料采用高性能多层聚合织物复合膜制成。采用夹层结构，内层为高强度、耐撕裂的100%无纺布，由两层隔离膜包裹，外涂聚酯涂层。无明显接缝，表面平整，没有破洞、气泡、脱层、露布、死褶的现象。接缝处采用内外双层特殊胶水缝合，并且接口处内外粘贴有与衣物面料相同的密封防护条。右侧配有约122cm的重型气密拉链。</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防化靴：对所有EN943-2:2002中所列介质具有至少480分钟的抗渗透性能。靴子和衣服为全封闭式连体气密性设计。</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防化手套：采用与防化服性能相配的专用材料，通过专用的连接装置与防化服相连，可拆卸可更换。</w:t>
            </w:r>
          </w:p>
          <w:p>
            <w:pPr>
              <w:rPr>
                <w:rFonts w:hint="default"/>
                <w:color w:val="auto"/>
                <w:highlight w:val="none"/>
                <w:lang w:val="en-US" w:eastAsia="zh-CN"/>
              </w:rPr>
            </w:pPr>
            <w:r>
              <w:rPr>
                <w:rFonts w:hint="default"/>
                <w:color w:val="auto"/>
                <w:highlight w:val="none"/>
                <w:lang w:val="en-US" w:eastAsia="zh-CN"/>
              </w:rPr>
              <w:t>4</w:t>
            </w:r>
            <w:r>
              <w:rPr>
                <w:rFonts w:hint="eastAsia"/>
                <w:color w:val="auto"/>
                <w:highlight w:val="none"/>
                <w:lang w:val="en-US" w:eastAsia="zh-CN"/>
              </w:rPr>
              <w:t>、</w:t>
            </w:r>
            <w:r>
              <w:rPr>
                <w:rFonts w:hint="default"/>
                <w:color w:val="auto"/>
                <w:highlight w:val="none"/>
                <w:lang w:val="en-US" w:eastAsia="zh-CN"/>
              </w:rPr>
              <w:t>排气阀：排气阀位于头部后方，当服装内贮积的空气达到一定压力后，排气阀自动开启泄压。</w:t>
            </w:r>
          </w:p>
          <w:p>
            <w:pPr>
              <w:rPr>
                <w:rFonts w:hint="default"/>
                <w:color w:val="auto"/>
                <w:highlight w:val="none"/>
                <w:lang w:val="en-US" w:eastAsia="zh-CN"/>
              </w:rPr>
            </w:pPr>
            <w:r>
              <w:rPr>
                <w:rFonts w:hint="default"/>
                <w:color w:val="auto"/>
                <w:highlight w:val="none"/>
                <w:lang w:val="en-US" w:eastAsia="zh-CN"/>
              </w:rPr>
              <w:t>5</w:t>
            </w:r>
            <w:r>
              <w:rPr>
                <w:rFonts w:hint="eastAsia"/>
                <w:color w:val="auto"/>
                <w:highlight w:val="none"/>
                <w:lang w:val="en-US" w:eastAsia="zh-CN"/>
              </w:rPr>
              <w:t>、</w:t>
            </w:r>
            <w:r>
              <w:rPr>
                <w:rFonts w:hint="default"/>
                <w:color w:val="auto"/>
                <w:highlight w:val="none"/>
                <w:lang w:val="en-US" w:eastAsia="zh-CN"/>
              </w:rPr>
              <w:t>具有国内省级及以上检测机关检测单位出具的检测报告</w:t>
            </w:r>
            <w:r>
              <w:rPr>
                <w:rFonts w:hint="eastAsia"/>
                <w:color w:val="auto"/>
                <w:highlight w:val="none"/>
                <w:lang w:val="en-US" w:eastAsia="zh-CN"/>
              </w:rPr>
              <w:t>复印件</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技术性能：</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整体气密性≤300Pa；贴条的黏度强度≥1.3KN/m；排气阀气密性≥15S；排气阀通气阻力：78～118；耐热老化性能：125℃×24h 不粘不脆。</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阻燃性、防火性：撤离火苗后无点燃或续燃；耐寒性能：可在-25℃±1℃温度下冷冻5min 后，无裂纹。</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靴底耐穿刺力≥1100N 胶靴绝缘性能：击穿电压≥5000V，泄漏电流﹤3mA，防滑性能：始滑角≥15。</w:t>
            </w:r>
          </w:p>
          <w:p>
            <w:pPr>
              <w:rPr>
                <w:rFonts w:hint="default"/>
                <w:color w:val="auto"/>
                <w:highlight w:val="none"/>
                <w:lang w:val="en-US" w:eastAsia="zh-CN"/>
              </w:rPr>
            </w:pPr>
            <w:r>
              <w:rPr>
                <w:rFonts w:hint="default"/>
                <w:color w:val="auto"/>
                <w:highlight w:val="none"/>
                <w:lang w:val="en-US" w:eastAsia="zh-CN"/>
              </w:rPr>
              <w:t>4</w:t>
            </w:r>
            <w:r>
              <w:rPr>
                <w:rFonts w:hint="eastAsia"/>
                <w:color w:val="auto"/>
                <w:highlight w:val="none"/>
                <w:lang w:val="en-US" w:eastAsia="zh-CN"/>
              </w:rPr>
              <w:t>、</w:t>
            </w:r>
            <w:r>
              <w:rPr>
                <w:rFonts w:hint="default"/>
                <w:color w:val="auto"/>
                <w:highlight w:val="none"/>
                <w:lang w:val="en-US" w:eastAsia="zh-CN"/>
              </w:rPr>
              <w:t>防化手套：耐穿刺力≥22N。</w:t>
            </w:r>
          </w:p>
          <w:p>
            <w:pPr>
              <w:rPr>
                <w:rFonts w:hint="default"/>
                <w:color w:val="auto"/>
                <w:highlight w:val="none"/>
                <w:lang w:val="en-US" w:eastAsia="zh-CN"/>
              </w:rPr>
            </w:pPr>
            <w:r>
              <w:rPr>
                <w:rFonts w:hint="default"/>
                <w:color w:val="auto"/>
                <w:highlight w:val="none"/>
                <w:lang w:val="en-US" w:eastAsia="zh-CN"/>
              </w:rPr>
              <w:t>5</w:t>
            </w:r>
            <w:r>
              <w:rPr>
                <w:rFonts w:hint="eastAsia"/>
                <w:color w:val="auto"/>
                <w:highlight w:val="none"/>
                <w:lang w:val="en-US" w:eastAsia="zh-CN"/>
              </w:rPr>
              <w:t>、</w:t>
            </w:r>
            <w:r>
              <w:rPr>
                <w:rFonts w:hint="default"/>
                <w:color w:val="auto"/>
                <w:highlight w:val="none"/>
                <w:lang w:val="en-US" w:eastAsia="zh-CN"/>
              </w:rPr>
              <w:t>面料和接缝位抗化学品渗透时间：≥60min。</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49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24</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防蜂服</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防蜂服是消防员在摘除黄蜂窝时穿着的防止黄蜂叮咬人体的防护品。由头罩、连体服、胶靴、防穿刺手套等组成。具有防割、防酸碱，防毒液等多种防护功能。面罩由不锈钢网材料制成，透气孔及呼吸孔可有效防止黄蜂喷射毒针。</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面料的强力性能：</w:t>
            </w:r>
          </w:p>
          <w:p>
            <w:pPr>
              <w:rPr>
                <w:rFonts w:hint="default"/>
                <w:color w:val="auto"/>
                <w:highlight w:val="none"/>
                <w:lang w:val="en-US" w:eastAsia="zh-CN"/>
              </w:rPr>
            </w:pPr>
            <w:r>
              <w:rPr>
                <w:rFonts w:hint="default"/>
                <w:color w:val="auto"/>
                <w:highlight w:val="none"/>
                <w:lang w:val="en-US" w:eastAsia="zh-CN"/>
              </w:rPr>
              <w:t>断裂强力：经向≥450N；纬向≥450N；撕破强力：经向≥32N；纬向≥32N；防穿刺性能：≥60N；防割性能：≥2N；耐静水压：≥17kPa。</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94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25</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内置全棉手套</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用于消防员可燃气体、粉尘、蒸气等易燃易爆场所作业时的手部内层防护装备。具备防静电、质地柔软的性能。为五指式，针织手套，可与防化手套配套使用。</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25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26</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消防员降温背心</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ins w:id="3" w:author="经天纬地 公司账号 [2]" w:date="2021-12-22T11:33:59Z"/>
                <w:rFonts w:hint="default"/>
                <w:color w:val="auto"/>
                <w:highlight w:val="none"/>
                <w:lang w:val="en-US" w:eastAsia="zh-CN"/>
              </w:rPr>
            </w:pPr>
            <w:r>
              <w:rPr>
                <w:rFonts w:hint="default"/>
                <w:color w:val="auto"/>
                <w:highlight w:val="none"/>
                <w:lang w:val="en-US" w:eastAsia="zh-CN"/>
              </w:rPr>
              <w:t>符合Q/XFZB 003-2011《消防员降温背心》的标准要求。拥有国检报告，适用于消防员用的吸热降温背心。降温背心应对消防员的上身躯干提供保护，保护的范围不包括头部、手臂、下肢。颜色为桔红色。</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55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27</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防静电内衣</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防静电内衣是消防员在易燃易爆场所抢险救时着装的消防防护内衣。由100%纯棉织物并经过防静电处理而成。采用高强缝线缝制，关键部位均有加固，不开缝，不开线。手感柔软，穿着舒适，符合人体最佳设计。有良好的伸缩性，洗涤后不变形。</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47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28</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防静电服</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GB12014-2009《防静电服》用于消防员在可燃气体、粉尘、蒸气等易燃易爆场所作业时的全身外层防护服装。其材料是用65%涤纶，35%棉，带金属丝，具有防静电性能制成的夹克式服装。布料纱线含一定比例的导电纱，导电纱又是由一定比例的不锈钢纤维或其他导电纤维与普通纤维混纺制成。由于不锈钢纤维属金属纤维，因此，由它织成的防静电布料的导电性能稳定，不随衣服的洗涤次数变化。</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94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29</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高温手套</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用于高温作业时手部防护，为分指式。具备隔热、耐高温、阻燃性能。符合国家相关标准。</w:t>
            </w:r>
          </w:p>
          <w:p>
            <w:pPr>
              <w:rPr>
                <w:rFonts w:hint="default"/>
                <w:color w:val="auto"/>
                <w:highlight w:val="none"/>
                <w:lang w:val="en-US" w:eastAsia="zh-CN"/>
              </w:rPr>
            </w:pPr>
            <w:r>
              <w:rPr>
                <w:rFonts w:hint="default"/>
                <w:color w:val="auto"/>
                <w:highlight w:val="none"/>
                <w:lang w:val="en-US" w:eastAsia="zh-CN"/>
              </w:rPr>
              <w:t>由碳纤维防火面料制成。</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4929"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30</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消防过滤式自救呼吸器</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TZL30型消防过滤式自救呼吸器；是宾馆、办公楼、商场、银行、医院、邮电、电力、石油行业、公共娱乐场所和住宅预防火灾必备的个人防护呼吸保护装置。</w:t>
            </w:r>
          </w:p>
          <w:p>
            <w:pPr>
              <w:rPr>
                <w:rFonts w:hint="default"/>
                <w:color w:val="auto"/>
                <w:highlight w:val="none"/>
                <w:lang w:val="en-US" w:eastAsia="zh-CN"/>
              </w:rPr>
            </w:pPr>
            <w:r>
              <w:rPr>
                <w:rFonts w:hint="default"/>
                <w:color w:val="auto"/>
                <w:highlight w:val="none"/>
                <w:lang w:val="en-US" w:eastAsia="zh-CN"/>
              </w:rPr>
              <w:t>结构特点：</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消防过滤式自救呼吸器由全头罩和滤毒罐组成。</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头罩由铝箔布制成，达到防火耐高温防热辐射作用。</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面罩由天然橡胶制成，适合各种头型，与面部密封性好。</w:t>
            </w:r>
          </w:p>
          <w:p>
            <w:pPr>
              <w:rPr>
                <w:rFonts w:hint="default"/>
                <w:color w:val="auto"/>
                <w:highlight w:val="none"/>
                <w:lang w:val="en-US" w:eastAsia="zh-CN"/>
              </w:rPr>
            </w:pPr>
            <w:r>
              <w:rPr>
                <w:rFonts w:hint="default"/>
                <w:color w:val="auto"/>
                <w:highlight w:val="none"/>
                <w:lang w:val="en-US" w:eastAsia="zh-CN"/>
              </w:rPr>
              <w:t>4</w:t>
            </w:r>
            <w:r>
              <w:rPr>
                <w:rFonts w:hint="eastAsia"/>
                <w:color w:val="auto"/>
                <w:highlight w:val="none"/>
                <w:lang w:val="en-US" w:eastAsia="zh-CN"/>
              </w:rPr>
              <w:t>、</w:t>
            </w:r>
            <w:r>
              <w:rPr>
                <w:rFonts w:hint="default"/>
                <w:color w:val="auto"/>
                <w:highlight w:val="none"/>
                <w:lang w:val="en-US" w:eastAsia="zh-CN"/>
              </w:rPr>
              <w:t>单眼式大眼窗镜片。表面经特殊处理，具有开阔的视野，良好的光性能，耐磨、阻燃。</w:t>
            </w:r>
          </w:p>
          <w:p>
            <w:pPr>
              <w:rPr>
                <w:rFonts w:hint="default"/>
                <w:color w:val="auto"/>
                <w:highlight w:val="none"/>
                <w:lang w:val="en-US" w:eastAsia="zh-CN"/>
              </w:rPr>
            </w:pPr>
            <w:r>
              <w:rPr>
                <w:rFonts w:hint="default"/>
                <w:color w:val="auto"/>
                <w:highlight w:val="none"/>
                <w:lang w:val="en-US" w:eastAsia="zh-CN"/>
              </w:rPr>
              <w:t>5</w:t>
            </w:r>
            <w:r>
              <w:rPr>
                <w:rFonts w:hint="eastAsia"/>
                <w:color w:val="auto"/>
                <w:highlight w:val="none"/>
                <w:lang w:val="en-US" w:eastAsia="zh-CN"/>
              </w:rPr>
              <w:t>、</w:t>
            </w:r>
            <w:r>
              <w:rPr>
                <w:rFonts w:hint="default"/>
                <w:color w:val="auto"/>
                <w:highlight w:val="none"/>
                <w:lang w:val="en-US" w:eastAsia="zh-CN"/>
              </w:rPr>
              <w:t>滤毒罐与半面罩连接牢靠处气密性可靠。</w:t>
            </w:r>
          </w:p>
          <w:p>
            <w:pPr>
              <w:rPr>
                <w:rFonts w:hint="default"/>
                <w:color w:val="auto"/>
                <w:highlight w:val="none"/>
                <w:lang w:val="en-US" w:eastAsia="zh-CN"/>
              </w:rPr>
            </w:pPr>
            <w:r>
              <w:rPr>
                <w:rFonts w:hint="default"/>
                <w:color w:val="auto"/>
                <w:highlight w:val="none"/>
                <w:lang w:val="en-US" w:eastAsia="zh-CN"/>
              </w:rPr>
              <w:t>6</w:t>
            </w:r>
            <w:r>
              <w:rPr>
                <w:rFonts w:hint="eastAsia"/>
                <w:color w:val="auto"/>
                <w:highlight w:val="none"/>
                <w:lang w:val="en-US" w:eastAsia="zh-CN"/>
              </w:rPr>
              <w:t>、</w:t>
            </w:r>
            <w:r>
              <w:rPr>
                <w:rFonts w:hint="default"/>
                <w:color w:val="auto"/>
                <w:highlight w:val="none"/>
                <w:lang w:val="en-US" w:eastAsia="zh-CN"/>
              </w:rPr>
              <w:t>呼吸器采用真空密封包装。</w:t>
            </w:r>
          </w:p>
          <w:p>
            <w:pPr>
              <w:rPr>
                <w:rFonts w:hint="default"/>
                <w:color w:val="auto"/>
                <w:highlight w:val="none"/>
                <w:lang w:val="en-US" w:eastAsia="zh-CN"/>
              </w:rPr>
            </w:pPr>
            <w:r>
              <w:rPr>
                <w:rFonts w:hint="default"/>
                <w:color w:val="auto"/>
                <w:highlight w:val="none"/>
                <w:lang w:val="en-US" w:eastAsia="zh-CN"/>
              </w:rPr>
              <w:t>7</w:t>
            </w:r>
            <w:r>
              <w:rPr>
                <w:rFonts w:hint="eastAsia"/>
                <w:color w:val="auto"/>
                <w:highlight w:val="none"/>
                <w:lang w:val="en-US" w:eastAsia="zh-CN"/>
              </w:rPr>
              <w:t>、</w:t>
            </w:r>
            <w:r>
              <w:rPr>
                <w:rFonts w:hint="default"/>
                <w:color w:val="auto"/>
                <w:highlight w:val="none"/>
                <w:lang w:val="en-US" w:eastAsia="zh-CN"/>
              </w:rPr>
              <w:t>本产品采用专利技术设计具有防烫伤结构，能有效防止使用者由于嘴唇与滤毒罐过近而烫伤情况发生。</w:t>
            </w:r>
          </w:p>
          <w:p>
            <w:pPr>
              <w:rPr>
                <w:rFonts w:hint="default"/>
                <w:color w:val="auto"/>
                <w:highlight w:val="none"/>
                <w:lang w:val="en-US" w:eastAsia="zh-CN"/>
              </w:rPr>
            </w:pPr>
            <w:r>
              <w:rPr>
                <w:rFonts w:hint="default"/>
                <w:color w:val="auto"/>
                <w:highlight w:val="none"/>
                <w:lang w:val="en-US" w:eastAsia="zh-CN"/>
              </w:rPr>
              <w:t>8</w:t>
            </w:r>
            <w:r>
              <w:rPr>
                <w:rFonts w:hint="eastAsia"/>
                <w:color w:val="auto"/>
                <w:highlight w:val="none"/>
                <w:lang w:val="en-US" w:eastAsia="zh-CN"/>
              </w:rPr>
              <w:t>、响应文件中须</w:t>
            </w:r>
            <w:r>
              <w:rPr>
                <w:rFonts w:hint="default"/>
                <w:color w:val="auto"/>
                <w:highlight w:val="none"/>
                <w:lang w:val="en-US" w:eastAsia="zh-CN"/>
              </w:rPr>
              <w:t>提供检测报告</w:t>
            </w:r>
            <w:r>
              <w:rPr>
                <w:rFonts w:hint="eastAsia"/>
                <w:color w:val="auto"/>
                <w:highlight w:val="none"/>
                <w:lang w:val="en-US" w:eastAsia="zh-CN"/>
              </w:rPr>
              <w:t>复印件加盖响应供应商公章</w:t>
            </w:r>
            <w:r>
              <w:rPr>
                <w:rFonts w:hint="default"/>
                <w:color w:val="auto"/>
                <w:highlight w:val="none"/>
                <w:lang w:val="en-US" w:eastAsia="zh-CN"/>
              </w:rPr>
              <w:t>。</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311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31</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电绝缘装具</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用于高电压带电危险场所作业时的全身防护。</w:t>
            </w:r>
          </w:p>
          <w:p>
            <w:pPr>
              <w:rPr>
                <w:rFonts w:hint="default"/>
                <w:color w:val="auto"/>
                <w:highlight w:val="none"/>
                <w:lang w:val="en-US" w:eastAsia="zh-CN"/>
              </w:rPr>
            </w:pPr>
            <w:r>
              <w:rPr>
                <w:rFonts w:hint="default"/>
                <w:color w:val="auto"/>
                <w:highlight w:val="none"/>
                <w:lang w:val="en-US" w:eastAsia="zh-CN"/>
              </w:rPr>
              <w:t>1.由上衣、下裤、手套、靴子组成；衣服采用锦丝涂复织物PVC涂层面料的材料制成，耐高压、耐热老化、耐寒、耐汽油、绝缘、阻燃，防酸、碱性能亦佳，主要用于消防员带电作业时的身体保护；</w:t>
            </w:r>
          </w:p>
          <w:p>
            <w:pPr>
              <w:rPr>
                <w:rFonts w:hint="default"/>
                <w:color w:val="auto"/>
                <w:highlight w:val="none"/>
                <w:lang w:val="en-US" w:eastAsia="zh-CN"/>
              </w:rPr>
            </w:pPr>
            <w:r>
              <w:rPr>
                <w:rFonts w:hint="default"/>
                <w:color w:val="auto"/>
                <w:highlight w:val="none"/>
                <w:lang w:val="en-US" w:eastAsia="zh-CN"/>
              </w:rPr>
              <w:t>2.手套由经过特殊处理的天然橡胶制成，具有绝缘、耐油、耐酸、耐臭氧和耐低温、强机械抗性的性能，用于高电压场所手部保护；</w:t>
            </w:r>
          </w:p>
          <w:p>
            <w:pPr>
              <w:rPr>
                <w:rFonts w:hint="default"/>
                <w:color w:val="auto"/>
                <w:highlight w:val="none"/>
                <w:lang w:val="en-US" w:eastAsia="zh-CN"/>
              </w:rPr>
            </w:pPr>
            <w:r>
              <w:rPr>
                <w:rFonts w:hint="default"/>
                <w:color w:val="auto"/>
                <w:highlight w:val="none"/>
                <w:lang w:val="en-US" w:eastAsia="zh-CN"/>
              </w:rPr>
              <w:t>3.靴子帮面材料为橡胶靴面，靴底材料为橡胶底，具备耐油、耐酸、绝缘、防刺的性能，用于高电压场所作业脚部防护；</w:t>
            </w:r>
          </w:p>
          <w:p>
            <w:pPr>
              <w:rPr>
                <w:rFonts w:hint="default"/>
                <w:color w:val="auto"/>
                <w:highlight w:val="none"/>
                <w:lang w:val="en-US" w:eastAsia="zh-CN"/>
              </w:rPr>
            </w:pPr>
            <w:r>
              <w:rPr>
                <w:rFonts w:hint="default"/>
                <w:color w:val="auto"/>
                <w:highlight w:val="none"/>
                <w:lang w:val="en-US" w:eastAsia="zh-CN"/>
              </w:rPr>
              <w:t>4.质量：≤3.36</w:t>
            </w:r>
            <w:r>
              <w:rPr>
                <w:rFonts w:hint="eastAsia"/>
                <w:color w:val="auto"/>
                <w:highlight w:val="none"/>
                <w:lang w:val="en-US" w:eastAsia="zh-CN"/>
              </w:rPr>
              <w:t>kg</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86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32</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水带挂钩</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国家消防有关标准。水带挂钩是悬挂消防水带的工具，是在灭火战斗中，向高处垂直铺设水带时，为了减少水带下坠力，用水带挂钩将水带挂在梯子上或其它物体上。它是由帆布带、金属钩和金属半环组成。使用时将半环一端缠烧水带，另一端穿入半环中并提起金属钩，即可将水带悬挂起来。</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94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33</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水带包布</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符合国家消防有关标准。水带包布用于包裹消防水带破漏处，它由帆布带和金属夹钳等零件组成。使用时只要将包布一端穿入夹钳中，夹牢即可。</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94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34</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水带护桥</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符合国家有关标准。用于保护水带不受挤压，水带置于护桥空隙，保证车辆正常行驶。优点：抗压、耐用，使用方便。能承受大于50顿的质量。</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248"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35</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65MM直流水枪</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具有喷射距离远、射程集中、流量大、开关方便，适用于远距离扑救一般固体物质A类火灾，接口公称通径DN65，额定压力0.35MPa，工作压力0.2-0.8MPa，额定流量7.5L/S，射程≥28m。</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49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36</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无后坐力消防水枪</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lang w:val="en-US" w:eastAsia="zh-CN"/>
              </w:rPr>
              <w:t>滑阀开关；流量 10L/s；重量≤3.5kg；卡扣式接口。</w:t>
            </w:r>
            <w:r>
              <w:rPr>
                <w:rFonts w:hint="default" w:ascii="Times New Roman" w:hAnsi="Times New Roman" w:eastAsia="宋体" w:cs="Times New Roman"/>
                <w:color w:val="auto"/>
                <w:highlight w:val="none"/>
                <w:lang w:val="en-US" w:eastAsia="zh-CN"/>
              </w:rPr>
              <w:br w:type="textWrapping"/>
            </w:r>
            <w:r>
              <w:rPr>
                <w:rFonts w:hint="eastAsia" w:ascii="宋体" w:hAnsi="宋体" w:eastAsia="宋体" w:cs="宋体"/>
                <w:color w:val="auto"/>
                <w:sz w:val="21"/>
                <w:szCs w:val="21"/>
                <w:highlight w:val="none"/>
              </w:rPr>
              <w:t>★</w:t>
            </w:r>
            <w:r>
              <w:rPr>
                <w:rFonts w:hint="default"/>
                <w:color w:val="auto"/>
                <w:highlight w:val="none"/>
                <w:lang w:val="en-US" w:eastAsia="zh-CN"/>
              </w:rPr>
              <w:t>工作压力≥16bar</w:t>
            </w:r>
            <w:r>
              <w:rPr>
                <w:rFonts w:hint="eastAsia"/>
                <w:color w:val="auto"/>
                <w:highlight w:val="none"/>
                <w:lang w:val="en-US" w:eastAsia="zh-CN"/>
              </w:rPr>
              <w:t>，射程大于35米</w:t>
            </w:r>
            <w:r>
              <w:rPr>
                <w:rFonts w:hint="default" w:ascii="Times New Roman" w:hAnsi="Times New Roman" w:eastAsia="宋体" w:cs="Times New Roman"/>
                <w:color w:val="auto"/>
                <w:highlight w:val="none"/>
                <w:lang w:val="en-US" w:eastAsia="zh-CN"/>
              </w:rPr>
              <w:br w:type="textWrapping"/>
            </w:r>
            <w:r>
              <w:rPr>
                <w:rFonts w:hint="eastAsia" w:ascii="宋体" w:hAnsi="宋体" w:eastAsia="宋体" w:cs="宋体"/>
                <w:color w:val="auto"/>
                <w:sz w:val="21"/>
                <w:szCs w:val="21"/>
                <w:highlight w:val="none"/>
              </w:rPr>
              <w:t>★</w:t>
            </w:r>
            <w:r>
              <w:rPr>
                <w:rFonts w:hint="eastAsia" w:ascii="Times New Roman" w:hAnsi="Times New Roman" w:eastAsia="宋体" w:cs="Times New Roman"/>
                <w:color w:val="auto"/>
                <w:highlight w:val="none"/>
                <w:lang w:val="en-US" w:eastAsia="zh-CN"/>
              </w:rPr>
              <w:t>握把和控制开关均为铝合金压铸材质</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消防枪采用加固设计，耐冲击，出色的流道确保了优异的喷射性能，具有高稳定性。</w:t>
            </w:r>
          </w:p>
          <w:p>
            <w:pPr>
              <w:rPr>
                <w:rFonts w:hint="eastAsia" w:ascii="Times New Roman" w:hAnsi="Times New Roman" w:eastAsia="宋体" w:cs="Times New Roman"/>
                <w:color w:val="auto"/>
                <w:highlight w:val="none"/>
                <w:lang w:val="en-US" w:eastAsia="zh-CN"/>
              </w:rPr>
            </w:pPr>
            <w:r>
              <w:rPr>
                <w:rFonts w:hint="eastAsia" w:ascii="宋体" w:hAnsi="宋体" w:eastAsia="宋体" w:cs="宋体"/>
                <w:color w:val="auto"/>
                <w:sz w:val="21"/>
                <w:szCs w:val="21"/>
                <w:highlight w:val="none"/>
              </w:rPr>
              <w:t>★</w:t>
            </w:r>
            <w:r>
              <w:rPr>
                <w:rFonts w:hint="eastAsia" w:ascii="Times New Roman" w:hAnsi="Times New Roman" w:eastAsia="宋体" w:cs="Times New Roman"/>
                <w:color w:val="auto"/>
                <w:highlight w:val="none"/>
                <w:lang w:val="en-US" w:eastAsia="zh-CN"/>
              </w:rPr>
              <w:t>即使3.5bar的工作压力下也可以稳定可靠的工作。</w:t>
            </w:r>
            <w:r>
              <w:rPr>
                <w:rFonts w:hint="eastAsia" w:ascii="Times New Roman" w:hAnsi="Times New Roman" w:eastAsia="宋体" w:cs="Times New Roman"/>
                <w:color w:val="auto"/>
                <w:highlight w:val="none"/>
                <w:lang w:val="en-US" w:eastAsia="zh-CN"/>
              </w:rPr>
              <w:br w:type="textWrapping"/>
            </w:r>
            <w:r>
              <w:rPr>
                <w:rFonts w:hint="eastAsia" w:ascii="Times New Roman" w:hAnsi="Times New Roman" w:eastAsia="宋体" w:cs="Times New Roman"/>
                <w:color w:val="auto"/>
                <w:highlight w:val="none"/>
                <w:lang w:val="en-US" w:eastAsia="zh-CN"/>
              </w:rPr>
              <w:t>轻巧的铝合金枪手柄和球阀手柄耐冲击，不变形采用旋转齿进行雾化，雾化效果更均匀。喷雾角调节范围0-120度</w:t>
            </w:r>
            <w:r>
              <w:rPr>
                <w:rFonts w:hint="eastAsia" w:cs="Times New Roman"/>
                <w:color w:val="auto"/>
                <w:highlight w:val="none"/>
                <w:lang w:val="en-US" w:eastAsia="zh-CN"/>
              </w:rPr>
              <w:t>，</w:t>
            </w:r>
            <w:r>
              <w:rPr>
                <w:rFonts w:hint="eastAsia" w:ascii="Times New Roman" w:hAnsi="Times New Roman" w:eastAsia="宋体" w:cs="Times New Roman"/>
                <w:color w:val="auto"/>
                <w:highlight w:val="none"/>
                <w:lang w:val="en-US" w:eastAsia="zh-CN"/>
              </w:rPr>
              <w:t>易于操作和维修</w:t>
            </w:r>
          </w:p>
          <w:p>
            <w:pPr>
              <w:pStyle w:val="17"/>
              <w:rPr>
                <w:rFonts w:hint="default"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响应文件中须</w:t>
            </w:r>
            <w:r>
              <w:rPr>
                <w:rFonts w:hint="default" w:ascii="Times New Roman" w:hAnsi="Times New Roman" w:eastAsia="宋体" w:cs="Times New Roman"/>
                <w:color w:val="auto"/>
                <w:kern w:val="2"/>
                <w:sz w:val="21"/>
                <w:szCs w:val="24"/>
                <w:highlight w:val="none"/>
                <w:lang w:val="en-US" w:eastAsia="zh-CN" w:bidi="ar-SA"/>
              </w:rPr>
              <w:t>提供国家消防装备质量监督检验中心出具的型式检验报告复印件并加盖响应供应商公章。</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5544"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37</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65MM水带</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20型65mm有衬里消防水带按GB 6246-2011《消防水带》及CCCF-CPRZ-25:2019《消防类产品认证实施规则》等标准要求进行了生产检验。</w:t>
            </w:r>
            <w:r>
              <w:rPr>
                <w:rFonts w:hint="eastAsia"/>
                <w:color w:val="auto"/>
                <w:highlight w:val="none"/>
                <w:lang w:val="en-US" w:eastAsia="zh-CN"/>
              </w:rPr>
              <w:t>响应文件中须提供</w:t>
            </w:r>
            <w:r>
              <w:rPr>
                <w:rFonts w:hint="default"/>
                <w:color w:val="auto"/>
                <w:highlight w:val="none"/>
                <w:lang w:val="en-US" w:eastAsia="zh-CN"/>
              </w:rPr>
              <w:t>国家消防装备质量监督检验中心出具的检验报告复印件以及应急管理部消防产品合格评定中心颁发的《消防产品认证证书》复印件并加盖响应供应商公章。</w:t>
            </w:r>
          </w:p>
          <w:p>
            <w:pPr>
              <w:rPr>
                <w:rFonts w:hint="default"/>
                <w:color w:val="auto"/>
                <w:highlight w:val="none"/>
                <w:lang w:val="en-US" w:eastAsia="zh-CN"/>
              </w:rPr>
            </w:pPr>
            <w:r>
              <w:rPr>
                <w:rFonts w:hint="default"/>
                <w:color w:val="auto"/>
                <w:highlight w:val="none"/>
                <w:lang w:val="en-US" w:eastAsia="zh-CN"/>
              </w:rPr>
              <w:t>采用高强度涤纶长丝进行斜纹圆织工艺编织，具有表面光滑平整、编织均匀的优点。衬里采用进口聚氨酯制作而成，具有耐高压、耐腐蚀、不渗水、内管平整光滑，减少压力流失等特点。</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主要参数：单位长度≥20m，水带口径直径：≥63.5mm，标准工作压力：1.6MPa，爆破压力：≥5.01MPa，轴向延伸率≤3.2％，直径膨胀率≤4.2％，水带编织层与衬里之间的附着强度≥35.1N/25mm，单位长度质量≤234g/m，耐磨次数100次以上。水带两头配有65型卡式接口（快速接口）。水带在端部附近中心线两侧有印产品名称、设计工作压力、规格（公称内径及长度）、经线、纬线及衬里材质、生产厂名、注册商标、生产日期。</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479"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38</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80MM水带</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20型80mm有衬里消防水带按GB 6246-2011《消防水带》及CCCF-CPRZ-25:2019《消防类产品认证实施规则》等标准要求进行了生产检验。</w:t>
            </w:r>
            <w:r>
              <w:rPr>
                <w:rFonts w:hint="eastAsia"/>
                <w:color w:val="auto"/>
                <w:highlight w:val="none"/>
                <w:lang w:val="en-US" w:eastAsia="zh-CN"/>
              </w:rPr>
              <w:t>响应文件中须提供</w:t>
            </w:r>
            <w:r>
              <w:rPr>
                <w:rFonts w:hint="default"/>
                <w:color w:val="auto"/>
                <w:highlight w:val="none"/>
                <w:lang w:val="en-US" w:eastAsia="zh-CN"/>
              </w:rPr>
              <w:t>国家消防装备质量监督检验中心出具的检验报告复印件以及应急管理部消防产品合格评定中心颁发的《消防产品认证证书》复印件并加盖响应供应商公章。</w:t>
            </w:r>
          </w:p>
          <w:p>
            <w:pPr>
              <w:rPr>
                <w:rFonts w:hint="default"/>
                <w:color w:val="auto"/>
                <w:highlight w:val="none"/>
                <w:lang w:val="en-US" w:eastAsia="zh-CN"/>
              </w:rPr>
            </w:pPr>
            <w:r>
              <w:rPr>
                <w:rFonts w:hint="default"/>
                <w:color w:val="auto"/>
                <w:highlight w:val="none"/>
                <w:lang w:val="en-US" w:eastAsia="zh-CN"/>
              </w:rPr>
              <w:t>采用高强度涤纶长丝进行斜纹圆织工艺编织，具有表面光滑平整、编织均匀的优点。</w:t>
            </w:r>
          </w:p>
          <w:p>
            <w:pPr>
              <w:rPr>
                <w:rFonts w:hint="default"/>
                <w:color w:val="auto"/>
                <w:highlight w:val="none"/>
                <w:lang w:val="en-US" w:eastAsia="zh-CN"/>
              </w:rPr>
            </w:pPr>
            <w:r>
              <w:rPr>
                <w:rFonts w:hint="default"/>
                <w:color w:val="auto"/>
                <w:highlight w:val="none"/>
                <w:lang w:val="en-US" w:eastAsia="zh-CN"/>
              </w:rPr>
              <w:t>衬里采用进口聚氨酯制作而成，具有耐高压、耐腐蚀、不渗水、内管平整光滑，减少压力流失等特点。</w:t>
            </w:r>
          </w:p>
          <w:p>
            <w:pPr>
              <w:rPr>
                <w:rFonts w:hint="default"/>
                <w:color w:val="auto"/>
                <w:highlight w:val="none"/>
                <w:lang w:val="en-US" w:eastAsia="zh-CN"/>
              </w:rPr>
            </w:pPr>
            <w:r>
              <w:rPr>
                <w:rFonts w:hint="default"/>
                <w:color w:val="auto"/>
                <w:highlight w:val="none"/>
                <w:lang w:val="en-US" w:eastAsia="zh-CN"/>
              </w:rPr>
              <w:t>主要参数：单位长度≥20m，水带口径直径：≥76mm，标准工作压力：1.6MPa，爆破压力：≥5.49MPa，轴向延伸率≤3.1％，直径膨胀率≤4.4％，水带编织层与衬里之间的附着强度≥37.2N/25mm，单位长度质量≤298g/m，耐磨次数100次以上。水带两头配有80型卡式接口（快速接口）。水带在端部附近中心线两侧有印产品名称、设计工作压力、规格（公称内径及长度）、经线、纬线及衬里材质、生产厂名、注册商标、生产日期。</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7069"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39</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水幕水带</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水幕水带也叫喷雾消防水带，在一定水压作用下能均匀地喷出雾状水幕形成水墙，对火焰及热辐射起阻隔作用。用于阻挡或稀释有毒和易燃、易爆气体或液体蒸汽，抑制火势蔓延。开孔前13型65mm有衬里消防水带按GB 6246-2011《消防水带》及CCCF-CPRZ-25:2019《消防类产品认证实施规则》等标准要求进行了生产检验。</w:t>
            </w:r>
            <w:r>
              <w:rPr>
                <w:rFonts w:hint="eastAsia"/>
                <w:color w:val="auto"/>
                <w:highlight w:val="none"/>
                <w:lang w:val="en-US" w:eastAsia="zh-CN"/>
              </w:rPr>
              <w:t>响应文件中须提供</w:t>
            </w:r>
            <w:r>
              <w:rPr>
                <w:rFonts w:hint="default"/>
                <w:color w:val="auto"/>
                <w:highlight w:val="none"/>
                <w:lang w:val="en-US" w:eastAsia="zh-CN"/>
              </w:rPr>
              <w:t>国家消防装备质量监督检验中心出具的检验报告复印件以及应急管理部消防产品合格评定中心颁发的《消防产品认证证书》复印件加盖响应供应商公章。</w:t>
            </w:r>
          </w:p>
          <w:p>
            <w:pPr>
              <w:rPr>
                <w:rFonts w:hint="default"/>
                <w:color w:val="auto"/>
                <w:highlight w:val="none"/>
                <w:lang w:val="en-US" w:eastAsia="zh-CN"/>
              </w:rPr>
            </w:pPr>
            <w:r>
              <w:rPr>
                <w:rFonts w:hint="default"/>
                <w:color w:val="auto"/>
                <w:highlight w:val="none"/>
                <w:lang w:val="en-US" w:eastAsia="zh-CN"/>
              </w:rPr>
              <w:t>水带编织层经线采用涤纶纱、纬线采用高强度涤纶长丝，斜纹环形紧密编织而成。具有耐高压、耐油、耐腐蚀、耐磨损、不渗水、不霉变、特别轻、使用柔软方便易卷缠、表面光滑平整、编织均匀、无跳双经、断双经、跳纬及划伤、无折皱或其他缺陷等特点。单根长度质量比橡胶水带轻40%以上。水带端部附近中心线两侧用油墨印有产品名称、设计工作压力、规格型号（公称内径及长度）、经线、纬线及衬里材质、生产厂名、注册商标、生产日期，且清晰不易脱落。</w:t>
            </w:r>
          </w:p>
          <w:p>
            <w:pPr>
              <w:rPr>
                <w:rFonts w:hint="default"/>
                <w:color w:val="auto"/>
                <w:highlight w:val="none"/>
                <w:lang w:val="en-US" w:eastAsia="zh-CN"/>
              </w:rPr>
            </w:pPr>
            <w:r>
              <w:rPr>
                <w:rFonts w:hint="default"/>
                <w:color w:val="auto"/>
                <w:highlight w:val="none"/>
                <w:lang w:val="en-US" w:eastAsia="zh-CN"/>
              </w:rPr>
              <w:t>主要参数：水带口径直径：≥63.5mm，标准工作压力：1.3MPa，爆破压力：≥4.36MPa，轴向延伸率≤3.4％，直径膨胀率≤3.3％，水带编织层与衬里之间的附着强度≥47.7N/25mm，单位长度质量≤249g/m，耐磨次数100次以上。水带长度20米。</w:t>
            </w:r>
          </w:p>
          <w:p>
            <w:pPr>
              <w:rPr>
                <w:rFonts w:hint="default"/>
                <w:color w:val="auto"/>
                <w:highlight w:val="none"/>
                <w:lang w:val="en-US" w:eastAsia="zh-CN"/>
              </w:rPr>
            </w:pPr>
            <w:r>
              <w:rPr>
                <w:rFonts w:hint="default"/>
                <w:color w:val="auto"/>
                <w:highlight w:val="none"/>
                <w:lang w:val="en-US" w:eastAsia="zh-CN"/>
              </w:rPr>
              <w:t>水带表面有规律排列喷射孔，孔口采用防腐抗锈金属材质铆合，且牢固不易破损撕裂。喷射孔之间相距20㎝，喷雾高度在1.0Mpa下达到：10米。</w:t>
            </w:r>
          </w:p>
          <w:p>
            <w:pPr>
              <w:rPr>
                <w:rFonts w:hint="default"/>
                <w:color w:val="auto"/>
                <w:highlight w:val="none"/>
                <w:lang w:val="en-US" w:eastAsia="zh-CN"/>
              </w:rPr>
            </w:pPr>
            <w:r>
              <w:rPr>
                <w:rFonts w:hint="default"/>
                <w:color w:val="auto"/>
                <w:highlight w:val="none"/>
                <w:lang w:val="en-US" w:eastAsia="zh-CN"/>
              </w:rPr>
              <w:t>水带两头配有65型卡式接口（快速接口）。</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80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40</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三路分水器</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jc w:val="left"/>
              <w:rPr>
                <w:rFonts w:hint="default"/>
                <w:color w:val="auto"/>
                <w:highlight w:val="none"/>
                <w:lang w:val="en-US" w:eastAsia="zh-CN"/>
              </w:rPr>
            </w:pPr>
            <w:r>
              <w:rPr>
                <w:rFonts w:hint="default"/>
                <w:color w:val="auto"/>
                <w:highlight w:val="none"/>
                <w:lang w:val="en-US" w:eastAsia="zh-CN"/>
              </w:rPr>
              <w:t>材质：选用铝镁合金，锻造、压铸工艺，表面阳极氧化防腐、喷塑处理。</w:t>
            </w:r>
          </w:p>
          <w:p>
            <w:pPr>
              <w:jc w:val="left"/>
              <w:rPr>
                <w:rFonts w:hint="default"/>
                <w:color w:val="auto"/>
                <w:highlight w:val="none"/>
                <w:lang w:val="en-US" w:eastAsia="zh-CN"/>
              </w:rPr>
            </w:pPr>
            <w:r>
              <w:rPr>
                <w:rFonts w:hint="default"/>
                <w:color w:val="auto"/>
                <w:highlight w:val="none"/>
                <w:lang w:val="en-US" w:eastAsia="zh-CN"/>
              </w:rPr>
              <w:t>一、技术参数：</w:t>
            </w:r>
          </w:p>
          <w:p>
            <w:pPr>
              <w:jc w:val="left"/>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公称压力(MPa)：2.5；</w:t>
            </w:r>
          </w:p>
          <w:p>
            <w:pPr>
              <w:jc w:val="left"/>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强度压力(MPa) ：3.75；</w:t>
            </w:r>
          </w:p>
          <w:p>
            <w:pPr>
              <w:jc w:val="left"/>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阀门通孔直径：＞55mm</w:t>
            </w:r>
            <w:ins w:id="4" w:author="经天纬地 公司账号 [2]" w:date="2021-12-22T11:33:59Z">
              <w:r>
                <w:rPr>
                  <w:rFonts w:hint="default"/>
                  <w:color w:val="auto"/>
                  <w:highlight w:val="none"/>
                  <w:lang w:val="en-US" w:eastAsia="zh-CN"/>
                </w:rPr>
                <w:t xml:space="preserve">                                             </w:t>
              </w:r>
            </w:ins>
            <w:r>
              <w:rPr>
                <w:rFonts w:hint="eastAsia"/>
                <w:color w:val="auto"/>
                <w:highlight w:val="none"/>
                <w:lang w:val="en-US" w:eastAsia="zh-CN"/>
              </w:rPr>
              <w:t>4.</w:t>
            </w:r>
            <w:r>
              <w:rPr>
                <w:rFonts w:hint="default"/>
                <w:color w:val="auto"/>
                <w:highlight w:val="none"/>
                <w:lang w:val="en-US" w:eastAsia="zh-CN"/>
              </w:rPr>
              <w:t>进水口：快速接口，口径：80mm，出水口：快速接口，口径3*65mm</w:t>
            </w:r>
            <w:ins w:id="5" w:author="经天纬地 公司账号 [2]" w:date="2021-12-22T11:33:59Z">
              <w:r>
                <w:rPr>
                  <w:rFonts w:hint="default"/>
                  <w:color w:val="auto"/>
                  <w:highlight w:val="none"/>
                  <w:lang w:val="en-US" w:eastAsia="zh-CN"/>
                </w:rPr>
                <w:t xml:space="preserve">                        </w:t>
              </w:r>
            </w:ins>
          </w:p>
          <w:p>
            <w:pPr>
              <w:jc w:val="left"/>
              <w:rPr>
                <w:rFonts w:hint="default"/>
                <w:color w:val="auto"/>
                <w:highlight w:val="none"/>
                <w:lang w:val="en-US" w:eastAsia="zh-CN"/>
              </w:rPr>
            </w:pPr>
            <w:r>
              <w:rPr>
                <w:rFonts w:hint="eastAsia"/>
                <w:color w:val="auto"/>
                <w:highlight w:val="none"/>
                <w:lang w:val="en-US" w:eastAsia="zh-CN"/>
              </w:rPr>
              <w:t>5.</w:t>
            </w:r>
            <w:r>
              <w:rPr>
                <w:rFonts w:hint="default"/>
                <w:color w:val="auto"/>
                <w:highlight w:val="none"/>
                <w:lang w:val="en-US" w:eastAsia="zh-CN"/>
              </w:rPr>
              <w:t>重量：≤5kg</w:t>
            </w:r>
            <w:ins w:id="6" w:author="经天纬地 公司账号 [2]" w:date="2021-12-22T11:33:59Z">
              <w:r>
                <w:rPr>
                  <w:rFonts w:hint="default"/>
                  <w:color w:val="auto"/>
                  <w:highlight w:val="none"/>
                  <w:lang w:val="en-US" w:eastAsia="zh-CN"/>
                </w:rPr>
                <w:t xml:space="preserve">                                                                   </w:t>
              </w:r>
            </w:ins>
            <w:r>
              <w:rPr>
                <w:rFonts w:hint="default"/>
                <w:color w:val="auto"/>
                <w:highlight w:val="none"/>
                <w:lang w:val="en-US" w:eastAsia="zh-CN"/>
              </w:rPr>
              <w:t>6.</w:t>
            </w:r>
            <w:r>
              <w:rPr>
                <w:rFonts w:hint="eastAsia"/>
                <w:color w:val="auto"/>
                <w:highlight w:val="none"/>
                <w:lang w:val="en-US" w:eastAsia="zh-CN"/>
              </w:rPr>
              <w:t>响应文件中须提</w:t>
            </w:r>
            <w:r>
              <w:rPr>
                <w:rFonts w:hint="default"/>
                <w:color w:val="auto"/>
                <w:highlight w:val="none"/>
                <w:lang w:val="en-US" w:eastAsia="zh-CN"/>
              </w:rPr>
              <w:t>供制造商由国家消防装备质量监督检验中心颁发的检验报告</w:t>
            </w:r>
            <w:r>
              <w:rPr>
                <w:rFonts w:hint="eastAsia"/>
                <w:color w:val="auto"/>
                <w:highlight w:val="none"/>
                <w:lang w:val="en-US" w:eastAsia="zh-CN"/>
              </w:rPr>
              <w:t>复印件加盖响应供应商公章</w:t>
            </w:r>
            <w:r>
              <w:rPr>
                <w:rFonts w:hint="default"/>
                <w:color w:val="auto"/>
                <w:highlight w:val="none"/>
                <w:lang w:val="en-US" w:eastAsia="zh-CN"/>
              </w:rPr>
              <w:t>。</w:t>
            </w:r>
          </w:p>
          <w:p>
            <w:pPr>
              <w:jc w:val="left"/>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rPr>
          <w:trHeight w:val="342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41</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二路分水器</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jc w:val="left"/>
              <w:rPr>
                <w:rFonts w:hint="default"/>
                <w:color w:val="auto"/>
                <w:highlight w:val="none"/>
                <w:lang w:val="en-US" w:eastAsia="zh-CN"/>
              </w:rPr>
            </w:pPr>
            <w:r>
              <w:rPr>
                <w:rFonts w:hint="default"/>
                <w:color w:val="auto"/>
                <w:highlight w:val="none"/>
                <w:lang w:val="en-US" w:eastAsia="zh-CN"/>
              </w:rPr>
              <w:t>材质：选用铝镁合金，锻造、压铸工艺，表面阳极氧化防腐、喷塑处理。</w:t>
            </w:r>
          </w:p>
          <w:p>
            <w:pPr>
              <w:jc w:val="left"/>
              <w:rPr>
                <w:rFonts w:hint="default"/>
                <w:color w:val="auto"/>
                <w:highlight w:val="none"/>
                <w:lang w:val="en-US" w:eastAsia="zh-CN"/>
              </w:rPr>
            </w:pPr>
            <w:r>
              <w:rPr>
                <w:rFonts w:hint="default"/>
                <w:color w:val="auto"/>
                <w:highlight w:val="none"/>
                <w:lang w:val="en-US" w:eastAsia="zh-CN"/>
              </w:rPr>
              <w:t>一、技术参数：</w:t>
            </w:r>
          </w:p>
          <w:p>
            <w:pPr>
              <w:jc w:val="left"/>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公称压力(MPa)：2.5；</w:t>
            </w:r>
          </w:p>
          <w:p>
            <w:pPr>
              <w:jc w:val="left"/>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强度压力(MPa) ：3.75；</w:t>
            </w:r>
          </w:p>
          <w:p>
            <w:pPr>
              <w:jc w:val="left"/>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阀门通孔直径：＞55mm</w:t>
            </w:r>
            <w:ins w:id="7" w:author="经天纬地 公司账号 [2]" w:date="2021-12-22T11:33:59Z">
              <w:r>
                <w:rPr>
                  <w:rFonts w:hint="default"/>
                  <w:color w:val="auto"/>
                  <w:highlight w:val="none"/>
                  <w:lang w:val="en-US" w:eastAsia="zh-CN"/>
                </w:rPr>
                <w:t xml:space="preserve">；                                                            </w:t>
              </w:r>
            </w:ins>
            <w:r>
              <w:rPr>
                <w:rFonts w:hint="eastAsia"/>
                <w:color w:val="auto"/>
                <w:highlight w:val="none"/>
                <w:lang w:val="en-US" w:eastAsia="zh-CN"/>
              </w:rPr>
              <w:t>4.</w:t>
            </w:r>
            <w:r>
              <w:rPr>
                <w:rFonts w:hint="default"/>
                <w:color w:val="auto"/>
                <w:highlight w:val="none"/>
                <w:lang w:val="en-US" w:eastAsia="zh-CN"/>
              </w:rPr>
              <w:t xml:space="preserve">进水口：快速接口，口径：65mm，出水口：快速接口，口径2*65mm；                        </w:t>
            </w:r>
          </w:p>
          <w:p>
            <w:pPr>
              <w:jc w:val="left"/>
              <w:rPr>
                <w:rFonts w:hint="default"/>
                <w:color w:val="auto"/>
                <w:highlight w:val="none"/>
                <w:lang w:val="en-US" w:eastAsia="zh-CN"/>
              </w:rPr>
            </w:pPr>
            <w:r>
              <w:rPr>
                <w:rFonts w:hint="eastAsia"/>
                <w:color w:val="auto"/>
                <w:highlight w:val="none"/>
                <w:lang w:val="en-US" w:eastAsia="zh-CN"/>
              </w:rPr>
              <w:t>5.</w:t>
            </w:r>
            <w:r>
              <w:rPr>
                <w:rFonts w:hint="default"/>
                <w:color w:val="auto"/>
                <w:highlight w:val="none"/>
                <w:lang w:val="en-US" w:eastAsia="zh-CN"/>
              </w:rPr>
              <w:t>重量：≤3.3kg。                                                                         6.</w:t>
            </w:r>
            <w:r>
              <w:rPr>
                <w:rFonts w:hint="eastAsia"/>
                <w:color w:val="auto"/>
                <w:highlight w:val="none"/>
                <w:lang w:val="en-US" w:eastAsia="zh-CN"/>
              </w:rPr>
              <w:t>响应文件中须提供</w:t>
            </w:r>
            <w:r>
              <w:rPr>
                <w:rFonts w:hint="default"/>
                <w:color w:val="auto"/>
                <w:highlight w:val="none"/>
                <w:lang w:val="en-US" w:eastAsia="zh-CN"/>
              </w:rPr>
              <w:t>国家消防装备质量监督检验中心颁发的检验报告复印件并加盖响应供应商公章。</w:t>
            </w:r>
          </w:p>
          <w:p>
            <w:pPr>
              <w:jc w:val="left"/>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49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42</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止水器</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jc w:val="left"/>
              <w:rPr>
                <w:rFonts w:hint="default"/>
                <w:color w:val="auto"/>
                <w:highlight w:val="none"/>
                <w:lang w:val="en-US" w:eastAsia="zh-CN"/>
              </w:rPr>
            </w:pPr>
            <w:r>
              <w:rPr>
                <w:rFonts w:hint="default"/>
                <w:color w:val="auto"/>
                <w:highlight w:val="none"/>
                <w:lang w:val="en-US" w:eastAsia="zh-CN"/>
              </w:rPr>
              <w:t>材质：选用铝镁合金，锻造、压铸工艺，表面阳极氧化防腐、喷塑处理。</w:t>
            </w:r>
          </w:p>
          <w:p>
            <w:pPr>
              <w:jc w:val="left"/>
              <w:rPr>
                <w:rFonts w:hint="default"/>
                <w:color w:val="auto"/>
                <w:highlight w:val="none"/>
                <w:lang w:val="en-US" w:eastAsia="zh-CN"/>
              </w:rPr>
            </w:pPr>
            <w:r>
              <w:rPr>
                <w:rFonts w:hint="default"/>
                <w:color w:val="auto"/>
                <w:highlight w:val="none"/>
                <w:lang w:val="en-US" w:eastAsia="zh-CN"/>
              </w:rPr>
              <w:t>一、技术参数：</w:t>
            </w:r>
          </w:p>
          <w:p>
            <w:pPr>
              <w:jc w:val="left"/>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公称压力(MPa)：2.5；</w:t>
            </w:r>
          </w:p>
          <w:p>
            <w:pPr>
              <w:jc w:val="left"/>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强度压力(MPa) ：3.75；</w:t>
            </w:r>
          </w:p>
          <w:p>
            <w:pPr>
              <w:jc w:val="left"/>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阀门通孔直径：＞55mm；                                                            4</w:t>
            </w:r>
            <w:r>
              <w:rPr>
                <w:rFonts w:hint="eastAsia"/>
                <w:color w:val="auto"/>
                <w:highlight w:val="none"/>
                <w:lang w:val="en-US" w:eastAsia="zh-CN"/>
              </w:rPr>
              <w:t>.</w:t>
            </w:r>
            <w:r>
              <w:rPr>
                <w:rFonts w:hint="default"/>
                <w:color w:val="auto"/>
                <w:highlight w:val="none"/>
                <w:lang w:val="en-US" w:eastAsia="zh-CN"/>
              </w:rPr>
              <w:t>进水口：快速接口，进出水口径65mm；                                                  5</w:t>
            </w:r>
            <w:r>
              <w:rPr>
                <w:rFonts w:hint="eastAsia"/>
                <w:color w:val="auto"/>
                <w:highlight w:val="none"/>
                <w:lang w:val="en-US" w:eastAsia="zh-CN"/>
              </w:rPr>
              <w:t>.</w:t>
            </w:r>
            <w:r>
              <w:rPr>
                <w:rFonts w:hint="default"/>
                <w:color w:val="auto"/>
                <w:highlight w:val="none"/>
                <w:lang w:val="en-US" w:eastAsia="zh-CN"/>
              </w:rPr>
              <w:t>重量：≤1.7kg。</w:t>
            </w:r>
          </w:p>
          <w:p>
            <w:pPr>
              <w:jc w:val="left"/>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94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43</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150口径卡式轻型6米吸水管</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 xml:space="preserve">1.轻型消防吸水管:供消防车吸水用。胶管体轻、重量是橡胶的1/2,富有弹性、使用方便。                 </w:t>
            </w:r>
          </w:p>
          <w:p>
            <w:pPr>
              <w:rPr>
                <w:rFonts w:hint="default"/>
                <w:color w:val="auto"/>
                <w:highlight w:val="none"/>
                <w:lang w:val="en-US" w:eastAsia="zh-CN"/>
              </w:rPr>
            </w:pPr>
            <w:r>
              <w:rPr>
                <w:rFonts w:hint="default"/>
                <w:color w:val="auto"/>
                <w:highlight w:val="none"/>
                <w:lang w:val="en-US" w:eastAsia="zh-CN"/>
              </w:rPr>
              <w:t>2.口径：150mm,长度6m，内扣式150 mm。</w:t>
            </w:r>
          </w:p>
        </w:tc>
        <w:tc>
          <w:tcPr>
            <w:tcW w:w="63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63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44</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异径、异型接口</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符合国家行业标准。优质材质，用于消防水带与水带、消防车、消火栓，消防水枪之间的连接使用。</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18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45</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单杠梯</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符合XF 137-2007《消防梯》标准要求，响应文件中须提供国检报告和消防产品认证证书认证证书复印件加盖响应供应商公章。</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主体用优质坚韧毛竹经特殊工艺处理，多层压合而成，侧板与梯登采用铆钉连接，可供消防队员登高、跨越高墙及作临时担架使用，亦可作一般登高及民用。</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重量：≤8KG；</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25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46</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6米竹制拉梯</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符合XF 137-2007《消防梯》标准要求。</w:t>
            </w:r>
            <w:r>
              <w:rPr>
                <w:rFonts w:hint="eastAsia"/>
                <w:color w:val="auto"/>
                <w:highlight w:val="none"/>
                <w:lang w:val="en-US" w:eastAsia="zh-CN"/>
              </w:rPr>
              <w:t>响应文件中须提供</w:t>
            </w:r>
            <w:r>
              <w:rPr>
                <w:rFonts w:hint="default"/>
                <w:color w:val="auto"/>
                <w:highlight w:val="none"/>
                <w:lang w:val="en-US" w:eastAsia="zh-CN"/>
              </w:rPr>
              <w:t>国检报告和消防产品认证证书认证证书复印件加盖响应供应商公章。</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主体用优质坚韧毛竹经特殊工艺处理，多层压合而成，侧板与梯登采用铆钉连接，拉梯在展开和缩合的过程中，其限位装置安全可靠。可供消防队员登高、跨越高墙，亦可作一般登高及民用。</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质量：≤29kg；</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3576"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47</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多功能折叠救援梯</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产品功能：</w:t>
            </w:r>
          </w:p>
          <w:p>
            <w:pPr>
              <w:rPr>
                <w:rFonts w:hint="default"/>
                <w:color w:val="auto"/>
                <w:highlight w:val="none"/>
                <w:lang w:val="en-US" w:eastAsia="zh-CN"/>
              </w:rPr>
            </w:pPr>
            <w:r>
              <w:rPr>
                <w:rFonts w:hint="default"/>
                <w:color w:val="auto"/>
                <w:highlight w:val="none"/>
                <w:lang w:val="en-US" w:eastAsia="zh-CN"/>
              </w:rPr>
              <w:t>多功能折叠梯，可用作：直梯、双侧梯、过桥梯、工作平台等等多种用法。该梯折叠后体积小，便于携带此梯拉直后，可以直接当4米多的过桥使用，可满足多人连续通过。材质：铝合金，可折叠，用于登高救援，灭火作业，性能符合GA137-2007《消防梯》标准要求。梯脚两侧带平衡器，可用作直梯，双侧梯，过桥梯，工作平台等18种功能。</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技术参数：</w:t>
            </w:r>
          </w:p>
          <w:p>
            <w:pPr>
              <w:rPr>
                <w:rFonts w:hint="default"/>
                <w:color w:val="auto"/>
                <w:highlight w:val="none"/>
                <w:lang w:val="en-US" w:eastAsia="zh-CN"/>
              </w:rPr>
            </w:pPr>
            <w:r>
              <w:rPr>
                <w:rFonts w:hint="default"/>
                <w:color w:val="auto"/>
                <w:highlight w:val="none"/>
                <w:lang w:val="en-US" w:eastAsia="zh-CN"/>
              </w:rPr>
              <w:t>2.1双侧梯长约1.8米，延展梯长约3.7米，折叠存放梯长0.91米，梯宽0.39米，梯蹬间距0.33米，最大触及高度4.76米。</w:t>
            </w:r>
          </w:p>
          <w:p>
            <w:pPr>
              <w:rPr>
                <w:rFonts w:hint="default"/>
                <w:color w:val="auto"/>
                <w:highlight w:val="none"/>
                <w:lang w:val="en-US" w:eastAsia="zh-CN"/>
              </w:rPr>
            </w:pPr>
            <w:r>
              <w:rPr>
                <w:rFonts w:hint="default"/>
                <w:color w:val="auto"/>
                <w:highlight w:val="none"/>
                <w:lang w:val="en-US" w:eastAsia="zh-CN"/>
              </w:rPr>
              <w:t>2.2梯子额定承重≥135kg,梯子重量≤17KG。</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47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48</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单干线移动自摆炮</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流量 ≥30L/s；重量重量≤16kg卡扣式接口</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结构紧凑，操作简单，节省灭火前的宝贵时间；</w:t>
            </w:r>
            <w:r>
              <w:rPr>
                <w:rFonts w:hint="eastAsia" w:ascii="Times New Roman" w:hAnsi="Times New Roman" w:eastAsia="宋体" w:cs="Times New Roman"/>
                <w:color w:val="auto"/>
                <w:highlight w:val="none"/>
                <w:lang w:val="en-US" w:eastAsia="zh-CN"/>
              </w:rPr>
              <w:br w:type="textWrapping"/>
            </w:r>
            <w:r>
              <w:rPr>
                <w:rFonts w:hint="eastAsia" w:ascii="Times New Roman" w:hAnsi="Times New Roman" w:eastAsia="宋体" w:cs="Times New Roman"/>
                <w:color w:val="auto"/>
                <w:highlight w:val="none"/>
                <w:lang w:val="en-US" w:eastAsia="zh-CN"/>
              </w:rPr>
              <w:t>低流量即可自摆（≥ 600LPM）；</w:t>
            </w:r>
            <w:r>
              <w:rPr>
                <w:rFonts w:hint="eastAsia" w:ascii="Times New Roman" w:hAnsi="Times New Roman" w:eastAsia="宋体" w:cs="Times New Roman"/>
                <w:color w:val="auto"/>
                <w:highlight w:val="none"/>
                <w:lang w:val="en-US" w:eastAsia="zh-CN"/>
              </w:rPr>
              <w:br w:type="textWrapping"/>
            </w:r>
            <w:r>
              <w:rPr>
                <w:rFonts w:hint="eastAsia" w:ascii="Times New Roman" w:hAnsi="Times New Roman" w:eastAsia="宋体" w:cs="Times New Roman"/>
                <w:color w:val="auto"/>
                <w:highlight w:val="none"/>
                <w:lang w:val="en-US" w:eastAsia="zh-CN"/>
              </w:rPr>
              <w:t>一体化的连杆机构；自摆机构具备脱扣功能；自摆角度在</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喷射灭火作业中即可实现（0～40°）范围内连续设定。</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防腐铝合金材质加表面硬质阳极氧化处理，具有良好防腐和耐磨性能</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≥65 米 @ 7bar 炮头进口压力，炮头可开花直流喷雾;水平自摆：±20 度无级可调；</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俯仰角度：30 度～70 度; 带阻尼手把.</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配置不锈钢拉手的开关球阀，可缓慢开启或关闭阀门，</w:t>
            </w:r>
            <w:r>
              <w:rPr>
                <w:rFonts w:hint="eastAsia" w:ascii="Times New Roman" w:hAnsi="Times New Roman" w:eastAsia="宋体" w:cs="Times New Roman"/>
                <w:color w:val="auto"/>
                <w:highlight w:val="none"/>
                <w:lang w:val="en-US" w:eastAsia="zh-CN"/>
              </w:rPr>
              <w:br w:type="textWrapping"/>
            </w:r>
            <w:r>
              <w:rPr>
                <w:rFonts w:hint="eastAsia" w:ascii="Times New Roman" w:hAnsi="Times New Roman" w:eastAsia="宋体" w:cs="Times New Roman"/>
                <w:color w:val="auto"/>
                <w:highlight w:val="none"/>
                <w:lang w:val="en-US" w:eastAsia="zh-CN"/>
              </w:rPr>
              <w:t>四个支腿带有锁紧定位机构，更加安全可靠。</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四个支腿安装有高强度耐磨弹性减震地钉，增强抓地力。</w:t>
            </w:r>
          </w:p>
          <w:p>
            <w:pPr>
              <w:rPr>
                <w:rFonts w:hint="default"/>
                <w:color w:val="auto"/>
                <w:highlight w:val="none"/>
                <w:lang w:val="en-US" w:eastAsia="zh-CN"/>
              </w:rPr>
            </w:pPr>
            <w:r>
              <w:rPr>
                <w:rFonts w:hint="eastAsia"/>
                <w:color w:val="auto"/>
                <w:highlight w:val="none"/>
                <w:lang w:val="en-US" w:eastAsia="zh-CN"/>
              </w:rPr>
              <w:t>响应文件中须</w:t>
            </w:r>
            <w:r>
              <w:rPr>
                <w:rFonts w:hint="default"/>
                <w:color w:val="auto"/>
                <w:highlight w:val="none"/>
                <w:lang w:val="en-US" w:eastAsia="zh-CN"/>
              </w:rPr>
              <w:t>提供国家消防质量监督检验中心出具的检验报告复印件加盖响应供应商公章。</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342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49</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单干线速攻炮</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流量 ≥30L/S；重量≤11kg；卡扣式接口（炮头流量三档可调）</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防腐铝合金材质加表面硬质阳极氧化处理，具有良好防腐和耐磨性能</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射程≥65 米 @ 7bar 炮头进口压力，炮头可开花直流喷雾;</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配置不锈钢拉手的开关球阀，；</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水平旋转：±20 度；</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俯仰角度：30 度～70 度; 带阻尼手把.</w:t>
            </w:r>
          </w:p>
          <w:p>
            <w:pPr>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两个支腿带有锁紧定位机构，更加安全可靠。</w:t>
            </w:r>
          </w:p>
          <w:p>
            <w:pPr>
              <w:rPr>
                <w:rFonts w:hint="eastAsia"/>
                <w:color w:val="auto"/>
                <w:highlight w:val="none"/>
                <w:lang w:val="en-US" w:eastAsia="zh-CN"/>
              </w:rPr>
            </w:pPr>
            <w:r>
              <w:rPr>
                <w:rFonts w:hint="eastAsia" w:ascii="Times New Roman" w:hAnsi="Times New Roman" w:eastAsia="宋体" w:cs="Times New Roman"/>
                <w:color w:val="auto"/>
                <w:highlight w:val="none"/>
                <w:lang w:val="en-US" w:eastAsia="zh-CN"/>
              </w:rPr>
              <w:t>不锈钢前端支腿，和打开的两个后支腿形成三个支撑点，建立起一个稳定的支撑面。三个支腿安装带保护盖的高强度耐磨弹性减震地钉，避免地钉损坏</w:t>
            </w:r>
          </w:p>
          <w:p>
            <w:pPr>
              <w:rPr>
                <w:rFonts w:hint="default"/>
                <w:color w:val="auto"/>
                <w:highlight w:val="none"/>
                <w:lang w:val="en-US" w:eastAsia="zh-CN"/>
              </w:rPr>
            </w:pPr>
            <w:r>
              <w:rPr>
                <w:rFonts w:hint="eastAsia"/>
                <w:color w:val="auto"/>
                <w:highlight w:val="none"/>
                <w:lang w:val="en-US" w:eastAsia="zh-CN"/>
              </w:rPr>
              <w:t>.响应文件中须</w:t>
            </w:r>
            <w:r>
              <w:rPr>
                <w:rFonts w:hint="default"/>
                <w:color w:val="auto"/>
                <w:highlight w:val="none"/>
                <w:lang w:val="en-US" w:eastAsia="zh-CN"/>
              </w:rPr>
              <w:t>提供国家消防质量监督检验中心出具的检验报告复印件加盖响应供应商公章。</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590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50</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手抬机动泵</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eastAsia"/>
                <w:color w:val="auto"/>
                <w:sz w:val="21"/>
                <w:szCs w:val="21"/>
                <w:highlight w:val="none"/>
                <w:lang w:val="en-US" w:eastAsia="zh-CN"/>
              </w:rPr>
            </w:pPr>
            <w:r>
              <w:rPr>
                <w:rFonts w:hint="default"/>
                <w:color w:val="auto"/>
                <w:sz w:val="21"/>
                <w:szCs w:val="21"/>
                <w:highlight w:val="none"/>
                <w:lang w:val="en-US" w:eastAsia="zh-CN"/>
              </w:rPr>
              <w:t>泵</w:t>
            </w:r>
            <w:r>
              <w:rPr>
                <w:rFonts w:hint="eastAsia"/>
                <w:color w:val="auto"/>
                <w:sz w:val="21"/>
                <w:szCs w:val="21"/>
                <w:highlight w:val="none"/>
                <w:lang w:val="en-US" w:eastAsia="zh-CN"/>
              </w:rPr>
              <w:t>类型：单泵单程离心泵；</w:t>
            </w:r>
          </w:p>
          <w:p>
            <w:pPr>
              <w:pStyle w:val="17"/>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真空泵：碳钎维活片无油式（最大吸程约9米）</w:t>
            </w:r>
          </w:p>
          <w:p>
            <w:pPr>
              <w:pStyle w:val="7"/>
              <w:ind w:left="0" w:leftChars="0" w:firstLine="0" w:firstLineChars="0"/>
              <w:jc w:val="left"/>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抽真空时间：1米吸程（0.7秒）；7米吸程（11.5秒）</w:t>
            </w:r>
          </w:p>
          <w:p>
            <w:pPr>
              <w:rPr>
                <w:rFonts w:hint="eastAsia"/>
                <w:color w:val="auto"/>
                <w:sz w:val="21"/>
                <w:szCs w:val="21"/>
                <w:highlight w:val="none"/>
                <w:lang w:val="en-US" w:eastAsia="zh-CN"/>
              </w:rPr>
            </w:pPr>
            <w:r>
              <w:rPr>
                <w:rFonts w:hint="eastAsia"/>
                <w:color w:val="auto"/>
                <w:sz w:val="21"/>
                <w:szCs w:val="21"/>
                <w:highlight w:val="none"/>
                <w:lang w:val="en-US" w:eastAsia="zh-CN"/>
              </w:rPr>
              <w:t>吸水口：DN65mm</w:t>
            </w:r>
          </w:p>
          <w:p>
            <w:pPr>
              <w:pStyle w:val="17"/>
              <w:rPr>
                <w:rFonts w:hint="eastAsia"/>
                <w:color w:val="auto"/>
                <w:sz w:val="21"/>
                <w:szCs w:val="21"/>
                <w:highlight w:val="none"/>
                <w:lang w:val="en-US" w:eastAsia="zh-CN"/>
              </w:rPr>
            </w:pPr>
            <w:r>
              <w:rPr>
                <w:rFonts w:hint="eastAsia"/>
                <w:color w:val="auto"/>
                <w:sz w:val="21"/>
                <w:szCs w:val="21"/>
                <w:highlight w:val="none"/>
                <w:lang w:val="en-US" w:eastAsia="zh-CN"/>
              </w:rPr>
              <w:t>出水口：DN65mm（快速球阀）</w:t>
            </w:r>
          </w:p>
          <w:p>
            <w:pPr>
              <w:pStyle w:val="7"/>
              <w:ind w:left="0" w:leftChars="0" w:firstLine="0" w:firstLineChars="0"/>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吸程3米：流量/压力 527升分钟/0.6MPA</w:t>
            </w:r>
          </w:p>
          <w:p>
            <w:pPr>
              <w:rPr>
                <w:rFonts w:hint="eastAsia"/>
                <w:color w:val="auto"/>
                <w:sz w:val="21"/>
                <w:szCs w:val="21"/>
                <w:highlight w:val="none"/>
                <w:lang w:val="en-US" w:eastAsia="zh-CN"/>
              </w:rPr>
            </w:pPr>
            <w:r>
              <w:rPr>
                <w:rFonts w:hint="eastAsia"/>
                <w:color w:val="auto"/>
                <w:sz w:val="21"/>
                <w:szCs w:val="21"/>
                <w:highlight w:val="none"/>
                <w:lang w:val="en-US" w:eastAsia="zh-CN"/>
              </w:rPr>
              <w:t xml:space="preserve">                   250升/分钟/0.8MPA</w:t>
            </w:r>
          </w:p>
          <w:p>
            <w:pPr>
              <w:pStyle w:val="17"/>
              <w:rPr>
                <w:rFonts w:hint="eastAsia"/>
                <w:color w:val="auto"/>
                <w:sz w:val="21"/>
                <w:szCs w:val="21"/>
                <w:highlight w:val="none"/>
                <w:lang w:val="en-US" w:eastAsia="zh-CN"/>
              </w:rPr>
            </w:pPr>
            <w:r>
              <w:rPr>
                <w:rFonts w:hint="eastAsia"/>
                <w:color w:val="auto"/>
                <w:sz w:val="21"/>
                <w:szCs w:val="21"/>
                <w:highlight w:val="none"/>
                <w:lang w:val="en-US" w:eastAsia="zh-CN"/>
              </w:rPr>
              <w:t>发动机类型：立式、单杠，手动，电动，风冷，二冲程</w:t>
            </w:r>
          </w:p>
          <w:p>
            <w:pPr>
              <w:pStyle w:val="7"/>
              <w:ind w:left="0" w:leftChars="0" w:firstLine="0" w:firstLineChars="0"/>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输出功率：  最大15PS=12KW</w:t>
            </w:r>
          </w:p>
          <w:p>
            <w:pPr>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转述规格：6000转/分钟</w:t>
            </w:r>
          </w:p>
          <w:p>
            <w:pPr>
              <w:pStyle w:val="17"/>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油箱容量：5.4升（标准耗油量每小时5.4升）</w:t>
            </w:r>
          </w:p>
          <w:p>
            <w:pPr>
              <w:pStyle w:val="7"/>
              <w:ind w:left="0" w:leftChars="0" w:firstLine="0" w:firstLineChars="0"/>
              <w:rPr>
                <w:rFonts w:hint="eastAsia"/>
                <w:color w:val="auto"/>
                <w:highlight w:val="none"/>
                <w:lang w:val="en-US" w:eastAsia="zh-CN"/>
              </w:rPr>
            </w:pPr>
            <w:r>
              <w:rPr>
                <w:rFonts w:hint="eastAsia"/>
                <w:color w:val="auto"/>
                <w:highlight w:val="none"/>
                <w:lang w:val="en-US" w:eastAsia="zh-CN"/>
              </w:rPr>
              <w:t>启动系统：电力起动，自动反冲系统；绳拉式；</w:t>
            </w:r>
          </w:p>
          <w:p>
            <w:pPr>
              <w:rPr>
                <w:rFonts w:hint="eastAsia"/>
                <w:color w:val="auto"/>
                <w:highlight w:val="none"/>
                <w:lang w:val="en-US" w:eastAsia="zh-CN"/>
              </w:rPr>
            </w:pPr>
            <w:r>
              <w:rPr>
                <w:rFonts w:hint="eastAsia" w:ascii="宋体" w:hAnsi="宋体" w:eastAsia="宋体" w:cs="宋体"/>
                <w:color w:val="auto"/>
                <w:sz w:val="21"/>
                <w:szCs w:val="21"/>
                <w:highlight w:val="none"/>
              </w:rPr>
              <w:t>★</w:t>
            </w:r>
            <w:r>
              <w:rPr>
                <w:rFonts w:hint="eastAsia"/>
                <w:color w:val="auto"/>
                <w:highlight w:val="none"/>
                <w:lang w:val="en-US" w:eastAsia="zh-CN"/>
              </w:rPr>
              <w:t>体积：560mm×475mm×530mm</w:t>
            </w:r>
          </w:p>
          <w:p>
            <w:pPr>
              <w:pStyle w:val="7"/>
              <w:ind w:left="0" w:leftChars="0" w:firstLine="0" w:firstLineChars="0"/>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重量：46kg</w:t>
            </w:r>
          </w:p>
          <w:p>
            <w:pPr>
              <w:rPr>
                <w:rFonts w:hint="default"/>
                <w:color w:val="auto"/>
                <w:highlight w:val="none"/>
                <w:lang w:val="en-US" w:eastAsia="zh-CN"/>
              </w:rPr>
            </w:pPr>
            <w:r>
              <w:rPr>
                <w:rFonts w:hint="eastAsia"/>
                <w:color w:val="auto"/>
                <w:sz w:val="21"/>
                <w:szCs w:val="21"/>
                <w:highlight w:val="none"/>
                <w:lang w:val="en-US" w:eastAsia="zh-CN"/>
              </w:rPr>
              <w:t>蓄电池：12V，14Ah/10h</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1</w:t>
            </w:r>
            <w:r>
              <w:rPr>
                <w:rFonts w:hint="eastAsia"/>
                <w:color w:val="auto"/>
                <w:highlight w:val="none"/>
                <w:lang w:val="en-US" w:eastAsia="zh-CN"/>
              </w:rPr>
              <w:t>8</w:t>
            </w:r>
            <w:r>
              <w:rPr>
                <w:rFonts w:hint="default"/>
                <w:color w:val="auto"/>
                <w:highlight w:val="none"/>
                <w:lang w:val="en-US" w:eastAsia="zh-CN"/>
              </w:rPr>
              <w:t>.</w:t>
            </w:r>
            <w:r>
              <w:rPr>
                <w:rFonts w:hint="eastAsia"/>
                <w:color w:val="auto"/>
                <w:highlight w:val="none"/>
                <w:lang w:val="en-US" w:eastAsia="zh-CN"/>
              </w:rPr>
              <w:t>响应文件中须</w:t>
            </w:r>
            <w:r>
              <w:rPr>
                <w:rFonts w:hint="default"/>
                <w:color w:val="auto"/>
                <w:highlight w:val="none"/>
                <w:lang w:val="en-US" w:eastAsia="zh-CN"/>
              </w:rPr>
              <w:t>提供国家消防质量监督检验中心出具的检验报告及认证</w:t>
            </w:r>
            <w:r>
              <w:rPr>
                <w:rFonts w:hint="eastAsia"/>
                <w:color w:val="auto"/>
                <w:highlight w:val="none"/>
                <w:lang w:val="en-US" w:eastAsia="zh-CN"/>
              </w:rPr>
              <w:t>复印件加盖响应供应商公章</w:t>
            </w:r>
            <w:r>
              <w:rPr>
                <w:rFonts w:hint="default"/>
                <w:color w:val="auto"/>
                <w:highlight w:val="none"/>
                <w:lang w:val="en-US" w:eastAsia="zh-CN"/>
              </w:rPr>
              <w:t>。</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590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51</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大功率手抬机动泵</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eastAsia"/>
                <w:color w:val="auto"/>
                <w:sz w:val="21"/>
                <w:szCs w:val="21"/>
                <w:highlight w:val="none"/>
                <w:lang w:val="en-US" w:eastAsia="zh-CN"/>
              </w:rPr>
            </w:pPr>
            <w:r>
              <w:rPr>
                <w:rFonts w:hint="default"/>
                <w:color w:val="auto"/>
                <w:sz w:val="21"/>
                <w:szCs w:val="21"/>
                <w:highlight w:val="none"/>
                <w:lang w:val="en-US" w:eastAsia="zh-CN"/>
              </w:rPr>
              <w:t>泵</w:t>
            </w:r>
            <w:r>
              <w:rPr>
                <w:rFonts w:hint="eastAsia"/>
                <w:color w:val="auto"/>
                <w:sz w:val="21"/>
                <w:szCs w:val="21"/>
                <w:highlight w:val="none"/>
                <w:lang w:val="en-US" w:eastAsia="zh-CN"/>
              </w:rPr>
              <w:t>类型：单泵单程离心泵；</w:t>
            </w:r>
          </w:p>
          <w:p>
            <w:pPr>
              <w:pStyle w:val="17"/>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真空泵：碳钎维活片无油式（最大吸程约9米）</w:t>
            </w:r>
          </w:p>
          <w:p>
            <w:pPr>
              <w:pStyle w:val="7"/>
              <w:ind w:left="0" w:leftChars="0" w:firstLine="0" w:firstLineChars="0"/>
              <w:jc w:val="left"/>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抽真空时间：1米吸程（0.2秒）；7米吸程（8.5秒）</w:t>
            </w:r>
          </w:p>
          <w:p>
            <w:pPr>
              <w:rPr>
                <w:rFonts w:hint="eastAsia"/>
                <w:color w:val="auto"/>
                <w:sz w:val="21"/>
                <w:szCs w:val="21"/>
                <w:highlight w:val="none"/>
                <w:lang w:val="en-US" w:eastAsia="zh-CN"/>
              </w:rPr>
            </w:pPr>
            <w:r>
              <w:rPr>
                <w:rFonts w:hint="eastAsia"/>
                <w:color w:val="auto"/>
                <w:sz w:val="21"/>
                <w:szCs w:val="21"/>
                <w:highlight w:val="none"/>
                <w:lang w:val="en-US" w:eastAsia="zh-CN"/>
              </w:rPr>
              <w:t>吸水口：DN80mm</w:t>
            </w:r>
          </w:p>
          <w:p>
            <w:pPr>
              <w:pStyle w:val="17"/>
              <w:rPr>
                <w:rFonts w:hint="eastAsia"/>
                <w:color w:val="auto"/>
                <w:sz w:val="21"/>
                <w:szCs w:val="21"/>
                <w:highlight w:val="none"/>
                <w:lang w:val="en-US" w:eastAsia="zh-CN"/>
              </w:rPr>
            </w:pPr>
            <w:r>
              <w:rPr>
                <w:rFonts w:hint="eastAsia"/>
                <w:color w:val="auto"/>
                <w:sz w:val="21"/>
                <w:szCs w:val="21"/>
                <w:highlight w:val="none"/>
                <w:lang w:val="en-US" w:eastAsia="zh-CN"/>
              </w:rPr>
              <w:t>出水口：DN65mm（可转动180°）</w:t>
            </w:r>
          </w:p>
          <w:p>
            <w:pPr>
              <w:pStyle w:val="7"/>
              <w:ind w:left="0" w:leftChars="0" w:firstLine="0" w:firstLineChars="0"/>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吸程3米：流量/压力 1550升分钟/0.5MPA</w:t>
            </w:r>
          </w:p>
          <w:p>
            <w:pPr>
              <w:rPr>
                <w:rFonts w:hint="eastAsia"/>
                <w:color w:val="auto"/>
                <w:sz w:val="21"/>
                <w:szCs w:val="21"/>
                <w:highlight w:val="none"/>
                <w:lang w:val="en-US" w:eastAsia="zh-CN"/>
              </w:rPr>
            </w:pPr>
            <w:r>
              <w:rPr>
                <w:rFonts w:hint="eastAsia"/>
                <w:color w:val="auto"/>
                <w:sz w:val="21"/>
                <w:szCs w:val="21"/>
                <w:highlight w:val="none"/>
                <w:lang w:val="en-US" w:eastAsia="zh-CN"/>
              </w:rPr>
              <w:t xml:space="preserve">                      1300升/分钟/0.7MPA</w:t>
            </w:r>
          </w:p>
          <w:p>
            <w:pPr>
              <w:ind w:firstLine="2310" w:firstLineChars="1100"/>
              <w:rPr>
                <w:rFonts w:hint="eastAsia"/>
                <w:color w:val="auto"/>
                <w:highlight w:val="none"/>
                <w:lang w:val="en-US" w:eastAsia="zh-CN"/>
              </w:rPr>
            </w:pPr>
            <w:r>
              <w:rPr>
                <w:rFonts w:hint="eastAsia"/>
                <w:color w:val="auto"/>
                <w:sz w:val="21"/>
                <w:szCs w:val="21"/>
                <w:highlight w:val="none"/>
                <w:lang w:val="en-US" w:eastAsia="zh-CN"/>
              </w:rPr>
              <w:t>900升/分钟/0.9MPA</w:t>
            </w:r>
          </w:p>
          <w:p>
            <w:pPr>
              <w:pStyle w:val="17"/>
              <w:rPr>
                <w:rFonts w:hint="eastAsia"/>
                <w:color w:val="auto"/>
                <w:sz w:val="21"/>
                <w:szCs w:val="21"/>
                <w:highlight w:val="none"/>
                <w:lang w:val="en-US" w:eastAsia="zh-CN"/>
              </w:rPr>
            </w:pPr>
            <w:r>
              <w:rPr>
                <w:rFonts w:hint="eastAsia"/>
                <w:color w:val="auto"/>
                <w:sz w:val="21"/>
                <w:szCs w:val="21"/>
                <w:highlight w:val="none"/>
                <w:lang w:val="en-US" w:eastAsia="zh-CN"/>
              </w:rPr>
              <w:t>发动机类型：立式、单杠，手动，电动，风冷，二冲程</w:t>
            </w:r>
          </w:p>
          <w:p>
            <w:pPr>
              <w:pStyle w:val="7"/>
              <w:ind w:left="0" w:leftChars="0" w:firstLine="0" w:firstLineChars="0"/>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输出功率：  最大46PS=34KW</w:t>
            </w:r>
          </w:p>
          <w:p>
            <w:pPr>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转述规格：5200转/分钟</w:t>
            </w:r>
          </w:p>
          <w:p>
            <w:pPr>
              <w:pStyle w:val="17"/>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油箱容量：18升（标准耗油量每小时9升）</w:t>
            </w:r>
          </w:p>
          <w:p>
            <w:pPr>
              <w:pStyle w:val="7"/>
              <w:ind w:left="0" w:leftChars="0" w:firstLine="0" w:firstLineChars="0"/>
              <w:rPr>
                <w:rFonts w:hint="default"/>
                <w:color w:val="auto"/>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点火方式：飞轮永磁电机C.D.I</w:t>
            </w:r>
          </w:p>
          <w:p>
            <w:pPr>
              <w:pStyle w:val="7"/>
              <w:ind w:left="0" w:leftChars="0" w:firstLine="0" w:firstLineChars="0"/>
              <w:rPr>
                <w:rFonts w:hint="eastAsia"/>
                <w:color w:val="auto"/>
                <w:highlight w:val="none"/>
                <w:lang w:val="en-US" w:eastAsia="zh-CN"/>
              </w:rPr>
            </w:pPr>
            <w:r>
              <w:rPr>
                <w:rFonts w:hint="eastAsia"/>
                <w:color w:val="auto"/>
                <w:highlight w:val="none"/>
                <w:lang w:val="en-US" w:eastAsia="zh-CN"/>
              </w:rPr>
              <w:t>起动系统：电力起动，自动反冲系统；绳拉式；</w:t>
            </w:r>
          </w:p>
          <w:p>
            <w:pPr>
              <w:rPr>
                <w:rFonts w:hint="eastAsia"/>
                <w:color w:val="auto"/>
                <w:highlight w:val="none"/>
                <w:lang w:val="en-US" w:eastAsia="zh-CN"/>
              </w:rPr>
            </w:pPr>
            <w:r>
              <w:rPr>
                <w:rFonts w:hint="eastAsia" w:ascii="宋体" w:hAnsi="宋体" w:eastAsia="宋体" w:cs="宋体"/>
                <w:color w:val="auto"/>
                <w:sz w:val="21"/>
                <w:szCs w:val="21"/>
                <w:highlight w:val="none"/>
              </w:rPr>
              <w:t>★</w:t>
            </w:r>
            <w:r>
              <w:rPr>
                <w:rFonts w:hint="eastAsia"/>
                <w:color w:val="auto"/>
                <w:highlight w:val="none"/>
                <w:lang w:val="en-US" w:eastAsia="zh-CN"/>
              </w:rPr>
              <w:t>体积：700mm×620mm×730mm</w:t>
            </w:r>
          </w:p>
          <w:p>
            <w:pPr>
              <w:pStyle w:val="7"/>
              <w:ind w:left="0" w:leftChars="0" w:firstLine="0" w:firstLineChars="0"/>
              <w:rPr>
                <w:rFonts w:hint="eastAsia"/>
                <w:color w:val="auto"/>
                <w:sz w:val="21"/>
                <w:szCs w:val="21"/>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重量：85kg</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eastAsia"/>
                <w:color w:val="auto"/>
                <w:sz w:val="21"/>
                <w:szCs w:val="21"/>
                <w:highlight w:val="none"/>
                <w:lang w:val="en-US" w:eastAsia="zh-CN"/>
              </w:rPr>
              <w:t>蓄电池：12V，18Ah/5h</w:t>
            </w:r>
          </w:p>
          <w:p>
            <w:pPr>
              <w:rPr>
                <w:rFonts w:hint="default"/>
                <w:color w:val="auto"/>
                <w:highlight w:val="none"/>
                <w:lang w:val="en-US" w:eastAsia="zh-CN"/>
              </w:rPr>
            </w:pPr>
            <w:r>
              <w:rPr>
                <w:rFonts w:hint="eastAsia" w:ascii="宋体" w:hAnsi="宋体" w:eastAsia="宋体" w:cs="宋体"/>
                <w:color w:val="auto"/>
                <w:sz w:val="21"/>
                <w:szCs w:val="21"/>
                <w:highlight w:val="none"/>
              </w:rPr>
              <w:t>★</w:t>
            </w:r>
            <w:r>
              <w:rPr>
                <w:rFonts w:hint="default"/>
                <w:color w:val="auto"/>
                <w:highlight w:val="none"/>
                <w:lang w:val="en-US" w:eastAsia="zh-CN"/>
              </w:rPr>
              <w:t>18</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提供国家消防装备质量监督检验中心签发的检验报告及证书</w:t>
            </w:r>
            <w:r>
              <w:rPr>
                <w:rFonts w:hint="eastAsia"/>
                <w:color w:val="auto"/>
                <w:highlight w:val="none"/>
                <w:lang w:val="en-US" w:eastAsia="zh-CN"/>
              </w:rPr>
              <w:t>复印件加盖响应供应商公章。</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63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52</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4kg手提式干粉灭火器</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符合国家相关行业标准，并</w:t>
            </w:r>
            <w:r>
              <w:rPr>
                <w:rFonts w:hint="eastAsia"/>
                <w:color w:val="auto"/>
                <w:highlight w:val="none"/>
                <w:lang w:val="en-US" w:eastAsia="zh-CN"/>
              </w:rPr>
              <w:t>在响应文件中</w:t>
            </w:r>
            <w:r>
              <w:rPr>
                <w:rFonts w:hint="default"/>
                <w:color w:val="auto"/>
                <w:highlight w:val="none"/>
                <w:lang w:val="en-US" w:eastAsia="zh-CN"/>
              </w:rPr>
              <w:t>提供检测报告</w:t>
            </w:r>
            <w:r>
              <w:rPr>
                <w:rFonts w:hint="eastAsia"/>
                <w:color w:val="auto"/>
                <w:highlight w:val="none"/>
                <w:lang w:val="en-US" w:eastAsia="zh-CN"/>
              </w:rPr>
              <w:t>复印件加盖响应供应商公章</w:t>
            </w:r>
            <w:r>
              <w:rPr>
                <w:rFonts w:hint="default"/>
                <w:color w:val="auto"/>
                <w:highlight w:val="none"/>
                <w:lang w:val="en-US" w:eastAsia="zh-CN"/>
              </w:rPr>
              <w:t>。适用于A.B.C类火灾。</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87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53</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泡沫枪</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空气泡沫枪由喷嘴、启闭柄、密封圈控制开关、手轮、枪筒、吸管、吸管接头、枪组成；</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空气泡沫枪应配用6%的泡沫液。</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能不采用吸管空气泡沫液时，水泵上需配备空气泡沫混合器，按规定此侧输送空气泡沫混合液。</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47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54</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消防II类安全吊带</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 494-2004《消防用防坠落装备》标准。</w:t>
            </w:r>
            <w:r>
              <w:rPr>
                <w:rFonts w:hint="eastAsia"/>
                <w:color w:val="auto"/>
                <w:highlight w:val="none"/>
                <w:lang w:val="en-US" w:eastAsia="zh-CN"/>
              </w:rPr>
              <w:t>响应文件中须提供</w:t>
            </w:r>
            <w:r>
              <w:rPr>
                <w:rFonts w:hint="default"/>
                <w:color w:val="auto"/>
                <w:highlight w:val="none"/>
                <w:lang w:val="en-US" w:eastAsia="zh-CN"/>
              </w:rPr>
              <w:t>国检报告及消防产品认证证书认证证书复印件加盖响应供应商公章。此类吊带为可调全身式安全带，产品整体设计简洁实用，调节快速,实用方便。吊带的承重织带能调节尺寸大小以适合不同体型佩带。金属零件耐腐蚀。</w:t>
            </w:r>
          </w:p>
          <w:p>
            <w:pPr>
              <w:rPr>
                <w:rFonts w:hint="default"/>
                <w:color w:val="auto"/>
                <w:highlight w:val="none"/>
                <w:lang w:val="en-US" w:eastAsia="zh-CN"/>
              </w:rPr>
            </w:pPr>
            <w:r>
              <w:rPr>
                <w:rFonts w:hint="default"/>
                <w:color w:val="auto"/>
                <w:highlight w:val="none"/>
                <w:lang w:val="en-US" w:eastAsia="zh-CN"/>
              </w:rPr>
              <w:t>吊带整体负荷：≥2.65KN</w:t>
            </w:r>
          </w:p>
          <w:p>
            <w:pPr>
              <w:rPr>
                <w:rFonts w:hint="default"/>
                <w:color w:val="auto"/>
                <w:highlight w:val="none"/>
                <w:lang w:val="en-US" w:eastAsia="zh-CN"/>
              </w:rPr>
            </w:pPr>
            <w:r>
              <w:rPr>
                <w:rFonts w:hint="default"/>
                <w:color w:val="auto"/>
                <w:highlight w:val="none"/>
                <w:lang w:val="en-US" w:eastAsia="zh-CN"/>
              </w:rPr>
              <w:t>吊带上各辅助件负荷：≥1.65KN</w:t>
            </w:r>
          </w:p>
          <w:p>
            <w:pPr>
              <w:rPr>
                <w:rFonts w:hint="default"/>
                <w:color w:val="auto"/>
                <w:highlight w:val="none"/>
                <w:lang w:val="en-US" w:eastAsia="zh-CN"/>
              </w:rPr>
            </w:pPr>
            <w:r>
              <w:rPr>
                <w:rFonts w:hint="default"/>
                <w:color w:val="auto"/>
                <w:highlight w:val="none"/>
                <w:lang w:val="en-US" w:eastAsia="zh-CN"/>
              </w:rPr>
              <w:t xml:space="preserve">质量: ≤1.7Kg   </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47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55</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消防III类安全吊带</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符合XF 494-2004《消防用防坠落装备》标准。响应文件中须提供国检报告及消防产品认证证书复印件加盖响应供应商公章。此类吊带为可调全身可倒置式安全带，产品整体设计简洁实用，调节快速,实用方便。吊带的承重织带能调节尺寸大小以适合不同体型佩带。金属零件耐腐蚀。</w:t>
            </w:r>
          </w:p>
          <w:p>
            <w:pPr>
              <w:rPr>
                <w:rFonts w:hint="default"/>
                <w:color w:val="auto"/>
                <w:highlight w:val="none"/>
                <w:lang w:val="en-US" w:eastAsia="zh-CN"/>
              </w:rPr>
            </w:pPr>
            <w:r>
              <w:rPr>
                <w:rFonts w:hint="default"/>
                <w:color w:val="auto"/>
                <w:highlight w:val="none"/>
                <w:lang w:val="en-US" w:eastAsia="zh-CN"/>
              </w:rPr>
              <w:t>吊带的承重：≥2.65KN</w:t>
            </w:r>
          </w:p>
          <w:p>
            <w:pPr>
              <w:rPr>
                <w:rFonts w:hint="default"/>
                <w:color w:val="auto"/>
                <w:highlight w:val="none"/>
                <w:lang w:val="en-US" w:eastAsia="zh-CN"/>
              </w:rPr>
            </w:pPr>
            <w:r>
              <w:rPr>
                <w:rFonts w:hint="default"/>
                <w:color w:val="auto"/>
                <w:highlight w:val="none"/>
                <w:lang w:val="en-US" w:eastAsia="zh-CN"/>
              </w:rPr>
              <w:t>织带宽度：≥44mm</w:t>
            </w:r>
          </w:p>
          <w:p>
            <w:pPr>
              <w:rPr>
                <w:rFonts w:hint="default"/>
                <w:color w:val="auto"/>
                <w:highlight w:val="none"/>
                <w:lang w:val="en-US" w:eastAsia="zh-CN"/>
              </w:rPr>
            </w:pPr>
            <w:r>
              <w:rPr>
                <w:rFonts w:hint="default"/>
                <w:color w:val="auto"/>
                <w:highlight w:val="none"/>
                <w:lang w:val="en-US" w:eastAsia="zh-CN"/>
              </w:rPr>
              <w:t xml:space="preserve">质量：≤2.15kg。   </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887"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56</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救生缓降器</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符合GB 21976.2-2012《建筑火灾逃生避难器材 第2部分：逃生缓降器》标准。该逃生缓降器是一种往复式高楼自救装置，一台产品可在短时间内连续使用救助多人及财物，只需自身重力，无需其它辅助动力、器械，安全平稳缓降至地面，缓降绳索采用纯裸航空用钢丝绳，阻燃、耐磨、强度高。</w:t>
            </w:r>
          </w:p>
          <w:p>
            <w:pPr>
              <w:rPr>
                <w:rFonts w:hint="default"/>
                <w:color w:val="auto"/>
                <w:highlight w:val="none"/>
                <w:lang w:val="en-US" w:eastAsia="zh-CN"/>
              </w:rPr>
            </w:pPr>
            <w:r>
              <w:rPr>
                <w:rFonts w:hint="default"/>
                <w:color w:val="auto"/>
                <w:highlight w:val="none"/>
                <w:lang w:val="en-US" w:eastAsia="zh-CN"/>
              </w:rPr>
              <w:t>由安全钩、安全带、绳索、调速器、金属连接件、及绳索卷盘组成。</w:t>
            </w:r>
          </w:p>
          <w:p>
            <w:pPr>
              <w:rPr>
                <w:rFonts w:hint="default"/>
                <w:color w:val="auto"/>
                <w:highlight w:val="none"/>
                <w:lang w:val="en-US" w:eastAsia="zh-CN"/>
              </w:rPr>
            </w:pPr>
            <w:r>
              <w:rPr>
                <w:rFonts w:hint="default"/>
                <w:color w:val="auto"/>
                <w:highlight w:val="none"/>
                <w:lang w:val="en-US" w:eastAsia="zh-CN"/>
              </w:rPr>
              <w:t xml:space="preserve">钢丝绳索直径：≤4mm；使用最高高度：≥30m；使用负荷重量：20-100kg；每次限载人数：1个；缓降绳索载荷：＞10000N；安全带载荷：＞10000N；安全钩载荷：＞10000N；质量：≤9kg。   </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47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57</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轻型救援三角架</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采用高强度轻质合金制造的可伸缩支脚，安全系数大于7，并设有可装配3套安全索的吊孔，底脚设有环型保护链。绞盘采用可正反向自锁结构，保证了吊索的安全性。吊索选用特制的不锈钢丝绳，柔韧性好，且不会因锈蚀或缺油造成钢索损坏。方便装配，可因地制宜的装配在井口、坑口，且不受地面高低不平的限制。</w:t>
            </w:r>
          </w:p>
          <w:p>
            <w:pPr>
              <w:rPr>
                <w:rFonts w:hint="default"/>
                <w:color w:val="auto"/>
                <w:highlight w:val="none"/>
                <w:lang w:val="en-US" w:eastAsia="zh-CN"/>
              </w:rPr>
            </w:pPr>
            <w:r>
              <w:rPr>
                <w:rFonts w:hint="default"/>
                <w:color w:val="auto"/>
                <w:highlight w:val="none"/>
                <w:lang w:val="en-US" w:eastAsia="zh-CN"/>
              </w:rPr>
              <w:t xml:space="preserve">1.额定载荷 ≤1.6 kN；钢索长度 ≥32m；手柄力 ≤0.2 kN；闭拢长度 ≤2.2m；最大工作高度 ≥2.6 m；重≤38KG。 </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78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58</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多功能担架</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灾害事故现场救援，可用于消防紧急救助、深井及狭窄空间救助、地面一般救助、高空救助、化学事故现场救助。可垂直或水平吊运，也可在光滑的地面拖拉，具有体积小、重量轻、便于携带、应用范围广，可单人操作等特点。</w:t>
            </w:r>
          </w:p>
          <w:p>
            <w:pPr>
              <w:rPr>
                <w:rFonts w:hint="default"/>
                <w:color w:val="auto"/>
                <w:highlight w:val="none"/>
                <w:lang w:val="en-US" w:eastAsia="zh-CN"/>
              </w:rPr>
            </w:pPr>
            <w:r>
              <w:rPr>
                <w:rFonts w:hint="default"/>
                <w:color w:val="auto"/>
                <w:highlight w:val="none"/>
                <w:lang w:val="en-US" w:eastAsia="zh-CN"/>
              </w:rPr>
              <w:t>1．材料：多功能担架采用特殊塑料复合而成；</w:t>
            </w:r>
          </w:p>
          <w:p>
            <w:pPr>
              <w:rPr>
                <w:rFonts w:hint="default"/>
                <w:color w:val="auto"/>
                <w:highlight w:val="none"/>
                <w:lang w:val="en-US" w:eastAsia="zh-CN"/>
              </w:rPr>
            </w:pPr>
            <w:r>
              <w:rPr>
                <w:rFonts w:hint="default"/>
                <w:color w:val="auto"/>
                <w:highlight w:val="none"/>
                <w:lang w:val="en-US" w:eastAsia="zh-CN"/>
              </w:rPr>
              <w:t>2．载重：约150kg；</w:t>
            </w:r>
          </w:p>
          <w:p>
            <w:pPr>
              <w:rPr>
                <w:rFonts w:hint="default"/>
                <w:color w:val="auto"/>
                <w:highlight w:val="none"/>
                <w:lang w:val="en-US" w:eastAsia="zh-CN"/>
              </w:rPr>
            </w:pPr>
            <w:r>
              <w:rPr>
                <w:rFonts w:hint="default"/>
                <w:color w:val="auto"/>
                <w:highlight w:val="none"/>
                <w:lang w:val="en-US" w:eastAsia="zh-CN"/>
              </w:rPr>
              <w:t>3．耐温：高温±45℃  低温-20℃；</w:t>
            </w:r>
          </w:p>
          <w:p>
            <w:pPr>
              <w:rPr>
                <w:rFonts w:hint="default"/>
                <w:color w:val="auto"/>
                <w:highlight w:val="none"/>
                <w:lang w:val="en-US" w:eastAsia="zh-CN"/>
              </w:rPr>
            </w:pPr>
            <w:r>
              <w:rPr>
                <w:rFonts w:hint="default"/>
                <w:color w:val="auto"/>
                <w:highlight w:val="none"/>
                <w:lang w:val="en-US" w:eastAsia="zh-CN"/>
              </w:rPr>
              <w:t>4．质量：≤10 kg；</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404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59</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拖拽式救生衣</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 可产生22磅（相当于10千克重力）的浮力。适合胸围76至145厘米的使用者。不少于8条可调节的固定带可以确保使用者舒适稳固；前置两个大容量口袋，可以装下GPS设备或者是无线电设备。不少于三个前置挂点使得使用者在使用和固定刀、口哨或者其他东西的时候都得心应手；</w:t>
            </w:r>
          </w:p>
          <w:p>
            <w:pPr>
              <w:rPr>
                <w:rFonts w:hint="default"/>
                <w:color w:val="auto"/>
                <w:highlight w:val="none"/>
                <w:lang w:val="en-US" w:eastAsia="zh-CN"/>
              </w:rPr>
            </w:pPr>
            <w:r>
              <w:rPr>
                <w:rFonts w:hint="default"/>
                <w:color w:val="auto"/>
                <w:highlight w:val="none"/>
                <w:lang w:val="en-US" w:eastAsia="zh-CN"/>
              </w:rPr>
              <w:t>2. 背部有另外一个额外的挂点以及魔术织带可以放置频闪灯或者荧光棒，而且在PFD的前后一共缝制了6条高亮荧光带，这样在夜间或者光线黑暗的地方就可以提高作业者的可视性；后背部带有牵引绳连接拉环，用于连接快解式牵引绳，遇险快速逃脱；</w:t>
            </w:r>
          </w:p>
          <w:p>
            <w:pPr>
              <w:rPr>
                <w:rFonts w:hint="default"/>
                <w:color w:val="auto"/>
                <w:highlight w:val="none"/>
                <w:lang w:val="en-US" w:eastAsia="zh-CN"/>
              </w:rPr>
            </w:pPr>
            <w:r>
              <w:rPr>
                <w:rFonts w:hint="default"/>
                <w:color w:val="auto"/>
                <w:highlight w:val="none"/>
                <w:lang w:val="en-US" w:eastAsia="zh-CN"/>
              </w:rPr>
              <w:t>3.PDF牵引绳：用于连接救生衣PFD上面挂点的牵引绳，带有O型环与扣锁，快挂为承重达到25kN的Omega铝合金材质快挂，整个织带具有良好的延展效果，用于PFD作业，紧急情况下，PFD可快速与该牵引绳分离。</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49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60</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消防通用安全绳</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1.符合国家XF494-2004《消防用防坠落装备》标准要求，响应文件中须提供国家消防装备质量监督检验中心的检验报告及认证证书复印件加盖响应供应商公章。</w:t>
            </w:r>
          </w:p>
          <w:p>
            <w:pPr>
              <w:rPr>
                <w:rFonts w:hint="default"/>
                <w:color w:val="auto"/>
                <w:highlight w:val="none"/>
                <w:lang w:val="en-US" w:eastAsia="zh-CN"/>
              </w:rPr>
            </w:pPr>
            <w:r>
              <w:rPr>
                <w:rFonts w:hint="default"/>
                <w:color w:val="auto"/>
                <w:highlight w:val="none"/>
                <w:lang w:val="en-US" w:eastAsia="zh-CN"/>
              </w:rPr>
              <w:t>2.直径：≤14mm，长度≥50米；破断强度：≥47.0KN；</w:t>
            </w:r>
          </w:p>
          <w:p>
            <w:pPr>
              <w:rPr>
                <w:rFonts w:hint="default"/>
                <w:color w:val="auto"/>
                <w:highlight w:val="none"/>
                <w:lang w:val="en-US" w:eastAsia="zh-CN"/>
              </w:rPr>
            </w:pPr>
            <w:r>
              <w:rPr>
                <w:rFonts w:hint="default"/>
                <w:color w:val="auto"/>
                <w:highlight w:val="none"/>
                <w:lang w:val="en-US" w:eastAsia="zh-CN"/>
              </w:rPr>
              <w:t>3.延伸率：当承重达到破断强度的10%时，安全绳的延伸率为≤5.2%；</w:t>
            </w:r>
          </w:p>
          <w:p>
            <w:pPr>
              <w:rPr>
                <w:ins w:id="8" w:author="经天纬地 公司账号 [2]" w:date="2021-12-22T11:33:59Z"/>
                <w:rFonts w:hint="default"/>
                <w:color w:val="auto"/>
                <w:highlight w:val="none"/>
                <w:lang w:val="en-US" w:eastAsia="zh-CN"/>
              </w:rPr>
            </w:pPr>
            <w:r>
              <w:rPr>
                <w:rFonts w:hint="default"/>
                <w:color w:val="auto"/>
                <w:highlight w:val="none"/>
                <w:lang w:val="en-US" w:eastAsia="zh-CN"/>
              </w:rPr>
              <w:t>4.耐高温性能：经（204±5）℃ 耐高温性能试验后，未出现熔融、焦化现象。</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78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61</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班用安全绳（100米）</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numPr>
                <w:ilvl w:val="0"/>
                <w:numId w:val="3"/>
              </w:numPr>
              <w:rPr>
                <w:rFonts w:hint="default"/>
                <w:color w:val="auto"/>
                <w:highlight w:val="none"/>
                <w:lang w:val="en-US" w:eastAsia="zh-CN"/>
              </w:rPr>
            </w:pPr>
            <w:r>
              <w:rPr>
                <w:rFonts w:hint="default"/>
                <w:color w:val="auto"/>
                <w:highlight w:val="none"/>
                <w:lang w:val="en-US" w:eastAsia="zh-CN"/>
              </w:rPr>
              <w:t>符合国家XF494-2004《消防用防坠落装备》标准要求，响应文件中须提供国家消防装备质量监督检验中心的检验报告及认证复印件加盖响应供应商公章。</w:t>
            </w:r>
          </w:p>
          <w:p>
            <w:pPr>
              <w:numPr>
                <w:ilvl w:val="0"/>
                <w:numId w:val="3"/>
              </w:numPr>
              <w:rPr>
                <w:rFonts w:hint="default"/>
                <w:color w:val="auto"/>
                <w:highlight w:val="none"/>
                <w:lang w:val="en-US" w:eastAsia="zh-CN"/>
              </w:rPr>
            </w:pPr>
            <w:r>
              <w:rPr>
                <w:rFonts w:hint="default"/>
                <w:color w:val="auto"/>
                <w:highlight w:val="none"/>
                <w:lang w:val="en-US" w:eastAsia="zh-CN"/>
              </w:rPr>
              <w:t>2.直径：≥16mm，长度≥100米；破断强度：≥49.5KN；</w:t>
            </w:r>
          </w:p>
          <w:p>
            <w:pPr>
              <w:rPr>
                <w:rFonts w:hint="default"/>
                <w:color w:val="auto"/>
                <w:highlight w:val="none"/>
                <w:lang w:val="en-US" w:eastAsia="zh-CN"/>
              </w:rPr>
            </w:pPr>
            <w:r>
              <w:rPr>
                <w:rFonts w:hint="default"/>
                <w:color w:val="auto"/>
                <w:highlight w:val="none"/>
                <w:lang w:val="en-US" w:eastAsia="zh-CN"/>
              </w:rPr>
              <w:t>3.延伸率：当承重达到破断强度的10%时，安全绳的延伸率为≤5.5%；</w:t>
            </w:r>
          </w:p>
          <w:p>
            <w:pPr>
              <w:rPr>
                <w:rFonts w:hint="default"/>
                <w:color w:val="auto"/>
                <w:highlight w:val="none"/>
                <w:lang w:val="en-US" w:eastAsia="zh-CN"/>
              </w:rPr>
            </w:pPr>
            <w:r>
              <w:rPr>
                <w:rFonts w:hint="default"/>
                <w:color w:val="auto"/>
                <w:highlight w:val="none"/>
                <w:lang w:val="en-US" w:eastAsia="zh-CN"/>
              </w:rPr>
              <w:t>4.耐高温性能：经（204±5）℃ 耐高温性能试验后，未出现熔融、焦化现象。</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3260"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62</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水域救援头盔</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水面作业头盔是安全性、经济性和舒适性的绝佳选择。特殊设计的带通气孔的护耳部分可以在保证双颊安全性的前提下确保听觉不受干扰。</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顶部不少于8个透气孔确保在炎热的天气下依然感觉凉爽；左右两边各3个通气孔确保听觉不受干扰。</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下颚部分快速调节系带可以让你调整松紧至最舒适的程度；后脑部分带有快速调节棘轮和缓冲垫。</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符合CE EN1385水域安全标准；并提供国内相关检测机构出具的检测报告复印件</w:t>
            </w:r>
            <w:r>
              <w:rPr>
                <w:rFonts w:hint="eastAsia"/>
                <w:color w:val="auto"/>
                <w:highlight w:val="none"/>
                <w:lang w:val="en-US" w:eastAsia="zh-CN"/>
              </w:rPr>
              <w:t>复印件</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材质：耐用的ABS工程塑料外壳有效分散冲击力，高压EVA泡沫棉增强舒适性和保护性。(含帽徽)</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87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63</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救生圈</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 救生圈内层为以聚氨酯泡沫材质，外层为尼龙乙烯基材质，具有抗老化，不易损坏及电绝缘性良好等优点。一次开模成形，耐用性更高；颜色为橙色，显眼醒目；</w:t>
            </w:r>
          </w:p>
          <w:p>
            <w:pPr>
              <w:rPr>
                <w:rFonts w:hint="default"/>
                <w:color w:val="auto"/>
                <w:highlight w:val="none"/>
                <w:lang w:val="en-US" w:eastAsia="zh-CN"/>
              </w:rPr>
            </w:pPr>
            <w:r>
              <w:rPr>
                <w:rFonts w:hint="default"/>
                <w:color w:val="auto"/>
                <w:highlight w:val="none"/>
                <w:lang w:val="en-US" w:eastAsia="zh-CN"/>
              </w:rPr>
              <w:t>2. 外径710mm 内径440mm 厚度105mm 重约2.5kg；浮力：≧14.5KG（适合体重350斤的人使用）；</w:t>
            </w:r>
          </w:p>
          <w:p>
            <w:pPr>
              <w:rPr>
                <w:rFonts w:hint="default"/>
                <w:color w:val="auto"/>
                <w:highlight w:val="none"/>
                <w:lang w:val="en-US" w:eastAsia="zh-CN"/>
              </w:rPr>
            </w:pPr>
            <w:r>
              <w:rPr>
                <w:rFonts w:hint="default"/>
                <w:color w:val="auto"/>
                <w:highlight w:val="none"/>
                <w:lang w:val="en-US" w:eastAsia="zh-CN"/>
              </w:rPr>
              <w:t>3.配有四条等距反光带，方便夜间救援。</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169"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64</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安全钩</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1.符合GA494-2004《消防用防坠落装备》标准要求。</w:t>
            </w:r>
            <w:r>
              <w:rPr>
                <w:rFonts w:hint="eastAsia"/>
                <w:color w:val="auto"/>
                <w:highlight w:val="none"/>
                <w:lang w:val="en-US" w:eastAsia="zh-CN"/>
              </w:rPr>
              <w:t>响应文件中须</w:t>
            </w:r>
            <w:r>
              <w:rPr>
                <w:rFonts w:hint="default"/>
                <w:color w:val="auto"/>
                <w:highlight w:val="none"/>
                <w:lang w:val="en-US" w:eastAsia="zh-CN"/>
              </w:rPr>
              <w:t>提供《国家消防装备质量监督检验中心》的检测报告认证</w:t>
            </w:r>
            <w:r>
              <w:rPr>
                <w:rFonts w:hint="eastAsia"/>
                <w:color w:val="auto"/>
                <w:highlight w:val="none"/>
                <w:lang w:val="en-US" w:eastAsia="zh-CN"/>
              </w:rPr>
              <w:t>复印件加盖响应供应商公章</w:t>
            </w:r>
            <w:r>
              <w:rPr>
                <w:rFonts w:hint="default"/>
                <w:color w:val="auto"/>
                <w:highlight w:val="none"/>
                <w:lang w:val="en-US" w:eastAsia="zh-CN"/>
              </w:rPr>
              <w:t>。</w:t>
            </w:r>
          </w:p>
          <w:p>
            <w:pPr>
              <w:rPr>
                <w:rFonts w:hint="default"/>
                <w:color w:val="auto"/>
                <w:highlight w:val="none"/>
                <w:lang w:val="en-US" w:eastAsia="zh-CN"/>
              </w:rPr>
            </w:pPr>
            <w:r>
              <w:rPr>
                <w:rFonts w:hint="default"/>
                <w:color w:val="auto"/>
                <w:highlight w:val="none"/>
                <w:lang w:val="en-US" w:eastAsia="zh-CN"/>
              </w:rPr>
              <w:t>2.材料为铝合金7075，形状为D型。</w:t>
            </w:r>
          </w:p>
          <w:p>
            <w:pPr>
              <w:rPr>
                <w:rFonts w:hint="default"/>
                <w:color w:val="auto"/>
                <w:highlight w:val="none"/>
                <w:lang w:val="en-US" w:eastAsia="zh-CN"/>
              </w:rPr>
            </w:pPr>
            <w:r>
              <w:rPr>
                <w:rFonts w:hint="default"/>
                <w:color w:val="auto"/>
                <w:highlight w:val="none"/>
                <w:lang w:val="en-US" w:eastAsia="zh-CN"/>
              </w:rPr>
              <w:t>3.在开口闭合状态时，安全钩长轴破裂强度≥27KN。</w:t>
            </w:r>
            <w:r>
              <w:rPr>
                <w:rFonts w:hint="default"/>
                <w:color w:val="auto"/>
                <w:highlight w:val="none"/>
                <w:lang w:val="en-US" w:eastAsia="zh-CN"/>
              </w:rPr>
              <w:br w:type="textWrapping"/>
            </w:r>
            <w:r>
              <w:rPr>
                <w:rFonts w:hint="default"/>
                <w:color w:val="auto"/>
                <w:highlight w:val="none"/>
                <w:lang w:val="en-US" w:eastAsia="zh-CN"/>
              </w:rPr>
              <w:t>4.在开口打开状态时，安全钩长轴破裂强度≥7KN。</w:t>
            </w:r>
          </w:p>
          <w:p>
            <w:pPr>
              <w:rPr>
                <w:rFonts w:hint="default"/>
                <w:color w:val="auto"/>
                <w:highlight w:val="none"/>
                <w:lang w:val="en-US" w:eastAsia="zh-CN"/>
              </w:rPr>
            </w:pPr>
            <w:r>
              <w:rPr>
                <w:rFonts w:hint="default"/>
                <w:color w:val="auto"/>
                <w:highlight w:val="none"/>
                <w:lang w:val="en-US" w:eastAsia="zh-CN"/>
              </w:rPr>
              <w:t>5.安全钩短轴破裂强度≥7KN。</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91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65</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消防用红外线热像仪</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前部单键式设计，轻松掌握所有操作；机身前部带有扳机，可实现屏幕冻结和拍照功能；防护等级为IP67，并可在260˚C的条件下全面运行5分钟。锂电池，可连续工作4小时。</w:t>
            </w:r>
          </w:p>
          <w:p>
            <w:pPr>
              <w:rPr>
                <w:rFonts w:hint="default"/>
                <w:color w:val="auto"/>
                <w:highlight w:val="none"/>
                <w:lang w:val="en-US" w:eastAsia="zh-CN"/>
              </w:rPr>
            </w:pPr>
            <w:r>
              <w:rPr>
                <w:rFonts w:hint="default"/>
                <w:color w:val="auto"/>
                <w:highlight w:val="none"/>
                <w:lang w:val="en-US" w:eastAsia="zh-CN"/>
              </w:rPr>
              <w:t>一、技术参数：</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探头红外分辨率：≥240x180像素、热灵敏度：40mK；屏幕：≥4英寸屏幕，≥320x240像素；图像帧频：60Hz、数字变焦：2倍数字变焦；波长范围：7.5-13μm、启动时间：&lt;17秒；</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从休眠模式唤醒时间：&lt;4秒；目标温度范围：-20至650°C；</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标配：热像仪本体，2块电池，充电器，挂绳，硬质塑料箱。</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80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66</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测温仪</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测量范围：-50℃—1150℃；</w:t>
            </w:r>
          </w:p>
          <w:p>
            <w:pPr>
              <w:rPr>
                <w:rFonts w:hint="default"/>
                <w:color w:val="auto"/>
                <w:highlight w:val="none"/>
                <w:lang w:val="en-US" w:eastAsia="zh-CN"/>
              </w:rPr>
            </w:pPr>
            <w:r>
              <w:rPr>
                <w:rFonts w:hint="default"/>
                <w:color w:val="auto"/>
                <w:highlight w:val="none"/>
                <w:lang w:val="en-US" w:eastAsia="zh-CN"/>
              </w:rPr>
              <w:t>准确度：±2%或±2℃</w:t>
            </w:r>
          </w:p>
          <w:p>
            <w:pPr>
              <w:rPr>
                <w:rFonts w:hint="default"/>
                <w:color w:val="auto"/>
                <w:highlight w:val="none"/>
                <w:lang w:val="en-US" w:eastAsia="zh-CN"/>
              </w:rPr>
            </w:pPr>
            <w:r>
              <w:rPr>
                <w:rFonts w:hint="default"/>
                <w:color w:val="auto"/>
                <w:highlight w:val="none"/>
                <w:lang w:val="en-US" w:eastAsia="zh-CN"/>
              </w:rPr>
              <w:t>距离目标比：12：1</w:t>
            </w:r>
          </w:p>
          <w:p>
            <w:pPr>
              <w:rPr>
                <w:rFonts w:hint="default"/>
                <w:color w:val="auto"/>
                <w:highlight w:val="none"/>
                <w:lang w:val="en-US" w:eastAsia="zh-CN"/>
              </w:rPr>
            </w:pPr>
            <w:r>
              <w:rPr>
                <w:rFonts w:hint="default"/>
                <w:color w:val="auto"/>
                <w:highlight w:val="none"/>
                <w:lang w:val="en-US" w:eastAsia="zh-CN"/>
              </w:rPr>
              <w:t>发射率：0.10—0.99可调</w:t>
            </w:r>
          </w:p>
          <w:p>
            <w:pPr>
              <w:rPr>
                <w:rFonts w:hint="default"/>
                <w:color w:val="auto"/>
                <w:highlight w:val="none"/>
                <w:lang w:val="en-US" w:eastAsia="zh-CN"/>
              </w:rPr>
            </w:pPr>
            <w:r>
              <w:rPr>
                <w:rFonts w:hint="default"/>
                <w:color w:val="auto"/>
                <w:highlight w:val="none"/>
                <w:lang w:val="en-US" w:eastAsia="zh-CN"/>
              </w:rPr>
              <w:t>解析度：0.1℃或0.1℉（＜1000℃）  1℃或1℉（≥1000）</w:t>
            </w:r>
          </w:p>
          <w:p>
            <w:pPr>
              <w:rPr>
                <w:rFonts w:hint="default"/>
                <w:color w:val="auto"/>
                <w:highlight w:val="none"/>
                <w:lang w:val="en-US" w:eastAsia="zh-CN"/>
              </w:rPr>
            </w:pPr>
            <w:r>
              <w:rPr>
                <w:rFonts w:hint="default"/>
                <w:color w:val="auto"/>
                <w:highlight w:val="none"/>
                <w:lang w:val="en-US" w:eastAsia="zh-CN"/>
              </w:rPr>
              <w:t>响应时间和响应值长：500ms或(8-14)um</w:t>
            </w:r>
          </w:p>
          <w:p>
            <w:pPr>
              <w:rPr>
                <w:rFonts w:hint="default"/>
                <w:color w:val="auto"/>
                <w:highlight w:val="none"/>
                <w:lang w:val="en-US" w:eastAsia="zh-CN"/>
              </w:rPr>
            </w:pPr>
            <w:r>
              <w:rPr>
                <w:rFonts w:hint="default"/>
                <w:color w:val="auto"/>
                <w:highlight w:val="none"/>
                <w:lang w:val="en-US" w:eastAsia="zh-CN"/>
              </w:rPr>
              <w:t>重复性：±1%或1℃</w:t>
            </w:r>
          </w:p>
          <w:p>
            <w:pPr>
              <w:jc w:val="left"/>
              <w:rPr>
                <w:rFonts w:hint="default"/>
                <w:color w:val="auto"/>
                <w:highlight w:val="none"/>
                <w:lang w:val="en-US" w:eastAsia="zh-CN"/>
              </w:rPr>
            </w:pPr>
            <w:r>
              <w:rPr>
                <w:rFonts w:hint="default"/>
                <w:color w:val="auto"/>
                <w:highlight w:val="none"/>
                <w:lang w:val="en-US" w:eastAsia="zh-CN"/>
              </w:rPr>
              <w:t xml:space="preserve">供电电源：9V电池                                                                                                                                  重量：≤480g   </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248"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67</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四合一风速仪</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 xml:space="preserve">多功能专业测量风速、温度、湿度、露点、大气压力、BF薄福、风寒指数、海拔高度、台风预报； 特点：180 °折叠；LCD双显示；20分钟自动关机及风寒指数；多单位显示；最大/最小/平均值锁定功能；                                                                                          </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937"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68</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漏电探测仪</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 xml:space="preserve">探测电压，挂于消防员前胸，解放双手不耽误消防员做任何动作；精确指向性,220v的20cm内报警，380v的80cm内报警。                         </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外壳材质高强度聚碳酸酯；卡扣材质优质不锈钢整机重量≥230g；                                                          3</w:t>
            </w:r>
            <w:r>
              <w:rPr>
                <w:rFonts w:hint="eastAsia"/>
                <w:color w:val="auto"/>
                <w:highlight w:val="none"/>
                <w:lang w:val="en-US" w:eastAsia="zh-CN"/>
              </w:rPr>
              <w:t>.</w:t>
            </w:r>
            <w:r>
              <w:rPr>
                <w:rFonts w:hint="default"/>
                <w:color w:val="auto"/>
                <w:highlight w:val="none"/>
                <w:lang w:val="en-US" w:eastAsia="zh-CN"/>
              </w:rPr>
              <w:t>工作温度-29℃~49℃；开机方式：提拉式；探测范围≥160°；                                                4</w:t>
            </w:r>
            <w:r>
              <w:rPr>
                <w:rFonts w:hint="eastAsia"/>
                <w:color w:val="auto"/>
                <w:highlight w:val="none"/>
                <w:lang w:val="en-US" w:eastAsia="zh-CN"/>
              </w:rPr>
              <w:t>.</w:t>
            </w:r>
            <w:r>
              <w:rPr>
                <w:rFonts w:hint="default"/>
                <w:color w:val="auto"/>
                <w:highlight w:val="none"/>
                <w:lang w:val="en-US" w:eastAsia="zh-CN"/>
              </w:rPr>
              <w:t xml:space="preserve">报警产生距离0.00~5.48米或更远距离；报警方式：声光报警；工作范围：220v~380v~24kv及以上；                                                                                                                                                                           </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63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69</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闪光警示灯</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用于灾害事故现场警戒警示；</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 xml:space="preserve">三角LED闪光；     </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63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70</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收缩式锥形事故标示柱</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防水型荧光牛津布，反射型反光布。</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25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71</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警示标识杆</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用于事故现场警戒，有反光功能；可多个配套使用；抗风能力强；整体防腐处理；</w:t>
            </w:r>
          </w:p>
          <w:p>
            <w:pPr>
              <w:rPr>
                <w:rFonts w:hint="default"/>
                <w:color w:val="auto"/>
                <w:highlight w:val="none"/>
                <w:lang w:val="en-US" w:eastAsia="zh-CN"/>
              </w:rPr>
            </w:pPr>
            <w:r>
              <w:rPr>
                <w:rFonts w:hint="default"/>
                <w:color w:val="auto"/>
                <w:highlight w:val="none"/>
                <w:lang w:val="en-US" w:eastAsia="zh-CN"/>
              </w:rPr>
              <w:t>高度：120cm  ；材质：不锈钢；底盘：支撑角可以自动收缩 ；可以与警示牌配套使用。</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63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72</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出入口标志牌</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用于灾害事故现场标志。材质：铝塑板材；反光膜。</w:t>
            </w:r>
          </w:p>
        </w:tc>
        <w:tc>
          <w:tcPr>
            <w:tcW w:w="63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25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73</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各类警示牌</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1.用于灾害事故现场警戒警示。</w:t>
            </w:r>
          </w:p>
          <w:p>
            <w:pPr>
              <w:rPr>
                <w:rFonts w:hint="default"/>
                <w:color w:val="auto"/>
                <w:highlight w:val="none"/>
                <w:lang w:val="en-US" w:eastAsia="zh-CN"/>
              </w:rPr>
            </w:pPr>
            <w:r>
              <w:rPr>
                <w:rFonts w:hint="default"/>
                <w:color w:val="auto"/>
                <w:highlight w:val="none"/>
                <w:lang w:val="en-US" w:eastAsia="zh-CN"/>
              </w:rPr>
              <w:t>2.规格为三角形状。</w:t>
            </w:r>
          </w:p>
          <w:p>
            <w:pPr>
              <w:rPr>
                <w:rFonts w:hint="default"/>
                <w:color w:val="auto"/>
                <w:highlight w:val="none"/>
                <w:lang w:val="en-US" w:eastAsia="zh-CN"/>
              </w:rPr>
            </w:pPr>
            <w:r>
              <w:rPr>
                <w:rFonts w:hint="default"/>
                <w:color w:val="auto"/>
                <w:highlight w:val="none"/>
                <w:lang w:val="en-US" w:eastAsia="zh-CN"/>
              </w:rPr>
              <w:t>3.图案为反光材料，与标志杆配套使用。</w:t>
            </w:r>
          </w:p>
          <w:p>
            <w:pPr>
              <w:rPr>
                <w:rFonts w:hint="default"/>
                <w:color w:val="auto"/>
                <w:highlight w:val="none"/>
                <w:lang w:val="en-US" w:eastAsia="zh-CN"/>
              </w:rPr>
            </w:pPr>
            <w:r>
              <w:rPr>
                <w:rFonts w:hint="default"/>
                <w:color w:val="auto"/>
                <w:highlight w:val="none"/>
                <w:lang w:val="en-US" w:eastAsia="zh-CN"/>
              </w:rPr>
              <w:t>4.材质为铝合金。</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86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74</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多功能挠钩</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1.挠杆柄采用高强度的绝缘材料，防高压，可多节组合。杆头可更换，简便快捷。</w:t>
            </w:r>
          </w:p>
          <w:p>
            <w:pPr>
              <w:rPr>
                <w:rFonts w:hint="default"/>
                <w:color w:val="auto"/>
                <w:highlight w:val="none"/>
                <w:lang w:val="en-US" w:eastAsia="zh-CN"/>
              </w:rPr>
            </w:pPr>
            <w:r>
              <w:rPr>
                <w:rFonts w:hint="default"/>
                <w:color w:val="auto"/>
                <w:highlight w:val="none"/>
                <w:lang w:val="en-US" w:eastAsia="zh-CN"/>
              </w:rPr>
              <w:t>2.不少于12件套：包括长挠杆1根、短挠杆2根（其中1根有水平仪）、挠钩、双头挠钩、消防锯、无火花消防锤、撑顶器、消防剪、消防斧、登高钩、爪耙、工兵铲等。</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248"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75</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绝缘剪断钳</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抗电压5000伏以上。用于切断灾害现场的电源，避免易燃易爆物品发生二次事故。 采用力学杠杆原理，集剪和绝缘防电于一体。产品设计合理、结构独特、携带方便安全可靠、省力高效。</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311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76</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便携式防盗门破拆工具组</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eastAsia"/>
                <w:color w:val="auto"/>
                <w:highlight w:val="none"/>
              </w:rPr>
            </w:pPr>
            <w:r>
              <w:rPr>
                <w:rFonts w:hint="eastAsia"/>
                <w:color w:val="auto"/>
                <w:highlight w:val="none"/>
              </w:rPr>
              <w:t>1、整套工具由进口优质不锈钢制成；防盗门破拆工具组利用简单的工具组合，在不破坏防盗门主体结构的同时，可以实现多种门锁的开启，开锁时间短，开锁效率高，安全性能高，同时对使用者的力量要求较低，可适用人群范围较广，实用性较强。</w:t>
            </w:r>
          </w:p>
          <w:p>
            <w:pPr>
              <w:rPr>
                <w:rFonts w:hint="eastAsia"/>
                <w:color w:val="auto"/>
                <w:highlight w:val="none"/>
              </w:rPr>
            </w:pPr>
            <w:r>
              <w:rPr>
                <w:rFonts w:hint="eastAsia"/>
                <w:color w:val="auto"/>
                <w:highlight w:val="none"/>
              </w:rPr>
              <w:t>2、单人就可操作，在保险和天地锁同时上锁的条件下，20秒以内就能将防盗门打开，而且不破坏防盗门主体结构。能够打开90%以上的各种常见的防盗门锁；特别是能够开启卷帘式防盗门。</w:t>
            </w:r>
          </w:p>
          <w:p>
            <w:pPr>
              <w:rPr>
                <w:rFonts w:hint="eastAsia"/>
                <w:color w:val="auto"/>
                <w:highlight w:val="none"/>
              </w:rPr>
            </w:pPr>
            <w:r>
              <w:rPr>
                <w:rFonts w:hint="eastAsia"/>
                <w:color w:val="auto"/>
                <w:highlight w:val="none"/>
              </w:rPr>
              <w:t>3、由破拆斧、锁把钳、锁芯套筒、扁口开锁起、辅助工具及便携式工具箱组成，体积小，重量轻，携带方便，整套工具重量小于4.5KG</w:t>
            </w:r>
          </w:p>
          <w:p>
            <w:pPr>
              <w:rPr>
                <w:rFonts w:hint="eastAsia"/>
                <w:color w:val="auto"/>
                <w:highlight w:val="none"/>
              </w:rPr>
            </w:pPr>
            <w:r>
              <w:rPr>
                <w:rFonts w:hint="eastAsia"/>
                <w:color w:val="auto"/>
                <w:highlight w:val="none"/>
              </w:rPr>
              <w:t>4、整套工具结实耐用，易损部件少，后期维护保养简单。能利用破拆斧除了防盗门以外其它地方的破拆，如轻质墙等。</w:t>
            </w:r>
          </w:p>
          <w:p>
            <w:pPr>
              <w:rPr>
                <w:rFonts w:hint="default"/>
                <w:color w:val="auto"/>
                <w:highlight w:val="none"/>
                <w:lang w:val="en-US" w:eastAsia="zh-CN"/>
              </w:rPr>
            </w:pPr>
            <w:r>
              <w:rPr>
                <w:rFonts w:hint="eastAsia"/>
                <w:color w:val="auto"/>
                <w:highlight w:val="none"/>
              </w:rPr>
              <w:t>5、产品使用简单，工具箱内配备二维码，扫描即可了解产品信息，并完全掌握使用方法。</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884"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77</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毁锁器</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采用先进的锁芯破坏技术及优质不锈钢材料制造，专用于抽取锁芯而不破坏门的结构。操作简单迅速，可在2-3min之间破坏门锁芯打开防盗门，配合辅助工具能够打开90%以上的各种常见的防盗门锁。</w:t>
            </w:r>
          </w:p>
          <w:p>
            <w:pPr>
              <w:rPr>
                <w:rFonts w:hint="default"/>
                <w:color w:val="auto"/>
                <w:highlight w:val="none"/>
                <w:lang w:val="en-US" w:eastAsia="zh-CN"/>
              </w:rPr>
            </w:pPr>
            <w:r>
              <w:rPr>
                <w:rFonts w:hint="default"/>
                <w:color w:val="auto"/>
                <w:highlight w:val="none"/>
                <w:lang w:val="en-US" w:eastAsia="zh-CN"/>
              </w:rPr>
              <w:t>配 置：专用特种钻头螺丝，锁芯拔除器、锁芯切断器、换向扳手、专用电钻、电池、充电器、锁舌转动器、除锈润滑剂、定位器、辅助工具、可锁防水防尘工程塑料箱。</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49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78</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机动链锯</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采用油耗更低和排放等级的降低发动机。具有自动复位的停机开关，简单的链条张紧装置以及燃料的可视性使得该款油锯更易操作。</w:t>
            </w:r>
          </w:p>
          <w:p>
            <w:pPr>
              <w:rPr>
                <w:rFonts w:hint="default"/>
                <w:color w:val="auto"/>
                <w:highlight w:val="none"/>
                <w:lang w:val="en-US" w:eastAsia="zh-CN"/>
              </w:rPr>
            </w:pPr>
            <w:r>
              <w:rPr>
                <w:rFonts w:hint="default"/>
                <w:color w:val="auto"/>
                <w:highlight w:val="none"/>
                <w:lang w:val="en-US" w:eastAsia="zh-CN"/>
              </w:rPr>
              <w:t>技术参数：气缸排量≥50cm3，功率≥2.1 kW，最高功率转速≥9600 rpm，气缸缸径44 mm，活塞行程33 mm，火花塞电极间隙0.5 mm，燃油箱容量≥0.45 升，链条润滑油箱容量0.26 升，链条润滑油泵流量9-9 毫升/分钟，链条节距.325"，推荐使用导板长度33-50 cm，最大功率时的链条速度17.34 m/s，操作人员听到的噪音等级103.3 dB(A)，声功率级，LWA  100.5 dB(A)，重量（不包括切割设备）≤5kg.</w:t>
            </w:r>
          </w:p>
        </w:tc>
        <w:tc>
          <w:tcPr>
            <w:tcW w:w="63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310"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79</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无齿锯</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jc w:val="left"/>
              <w:rPr>
                <w:rFonts w:hint="default"/>
                <w:color w:val="auto"/>
                <w:highlight w:val="none"/>
                <w:lang w:val="en-US" w:eastAsia="zh-CN"/>
              </w:rPr>
            </w:pPr>
            <w:r>
              <w:rPr>
                <w:rFonts w:hint="default"/>
                <w:color w:val="auto"/>
                <w:highlight w:val="none"/>
                <w:lang w:val="en-US" w:eastAsia="zh-CN"/>
              </w:rPr>
              <w:t>用于救援现场快速切割金属或者钢筋混凝土材质，二冲程汽油发动机,可水冲洗</w:t>
            </w:r>
            <w:r>
              <w:rPr>
                <w:rFonts w:hint="eastAsia"/>
                <w:color w:val="auto"/>
                <w:highlight w:val="none"/>
                <w:lang w:val="en-US" w:eastAsia="zh-CN"/>
              </w:rPr>
              <w:t>。</w:t>
            </w:r>
            <w:ins w:id="9" w:author="经天纬地 公司账号 [2]" w:date="2021-12-22T11:33:59Z">
              <w:r>
                <w:rPr>
                  <w:rFonts w:hint="default"/>
                  <w:color w:val="auto"/>
                  <w:highlight w:val="none"/>
                  <w:lang w:val="en-US" w:eastAsia="zh-CN"/>
                </w:rPr>
                <w:t xml:space="preserve">                                                                                                             </w:t>
              </w:r>
            </w:ins>
            <w:r>
              <w:rPr>
                <w:rFonts w:hint="default"/>
                <w:color w:val="auto"/>
                <w:highlight w:val="none"/>
                <w:lang w:val="en-US" w:eastAsia="zh-CN"/>
              </w:rPr>
              <w:t>功率≥ 3.7 kW ，汽缸排量≥ 74cm3， 汽缸缸管内径≥51 mm，空转速度 ≥ 2700 rpm， 建议最大的高速空转速度 ≥ 9300（+/-150） rpm， 油箱容量 ≥ 0.9公升，动力切割机{不带切割锯片或燃油)≤ 10kg，声能级，量测值 ≤ 112dB(A)，声能级，保证值 ≤101LWAdB(A)。锯片直径≥350mm ，切割深度≥125mm。配置：含进口金属砂轮片1片。</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387"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80</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液压破拆工具组</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color w:val="auto"/>
                <w:highlight w:val="none"/>
              </w:rPr>
            </w:pPr>
            <w:r>
              <w:rPr>
                <w:color w:val="auto"/>
                <w:highlight w:val="none"/>
              </w:rPr>
              <w:t>一、 符合GB/T 17906《液压破拆工具通用技术条件》标准要求</w:t>
            </w:r>
          </w:p>
          <w:p>
            <w:pPr>
              <w:rPr>
                <w:color w:val="auto"/>
                <w:highlight w:val="none"/>
              </w:rPr>
            </w:pPr>
            <w:r>
              <w:rPr>
                <w:color w:val="auto"/>
                <w:highlight w:val="none"/>
              </w:rPr>
              <w:t>二、 由液压机动泵、液压软管、剪扩钳、扩张器、液压顶杆、手动液压泵、剪切钳等部分组成，各部件为同一品牌产品，可配套使用；</w:t>
            </w:r>
          </w:p>
          <w:p>
            <w:pPr>
              <w:spacing w:line="240" w:lineRule="atLeast"/>
              <w:rPr>
                <w:rFonts w:hint="eastAsia"/>
                <w:color w:val="auto"/>
                <w:highlight w:val="none"/>
              </w:rPr>
            </w:pPr>
            <w:r>
              <w:rPr>
                <w:color w:val="auto"/>
                <w:highlight w:val="none"/>
              </w:rPr>
              <w:t>1、 液压机动泵：单管</w:t>
            </w:r>
            <w:r>
              <w:rPr>
                <w:rFonts w:hint="eastAsia"/>
                <w:color w:val="auto"/>
                <w:highlight w:val="none"/>
              </w:rPr>
              <w:t>工作原理、两级四冲程汽油机、功率3.5匹/2.6千瓦、燃油油缸容量1250毫升、液压油油缸容量2490毫升</w:t>
            </w:r>
          </w:p>
          <w:p>
            <w:pPr>
              <w:spacing w:line="240" w:lineRule="atLeast"/>
              <w:rPr>
                <w:rFonts w:hint="eastAsia"/>
                <w:color w:val="auto"/>
                <w:highlight w:val="none"/>
              </w:rPr>
            </w:pPr>
            <w:r>
              <w:rPr>
                <w:rFonts w:hint="eastAsia"/>
                <w:color w:val="auto"/>
                <w:highlight w:val="none"/>
              </w:rPr>
              <w:t>第一级输出2X2800-3000毫升/分钟、第二级输出2X550-600毫升/分钟</w:t>
            </w:r>
          </w:p>
          <w:p>
            <w:pPr>
              <w:spacing w:line="240" w:lineRule="atLeast"/>
              <w:rPr>
                <w:rFonts w:hint="eastAsia"/>
                <w:color w:val="auto"/>
                <w:highlight w:val="none"/>
              </w:rPr>
            </w:pPr>
            <w:r>
              <w:rPr>
                <w:rFonts w:hint="eastAsia"/>
                <w:color w:val="auto"/>
                <w:highlight w:val="none"/>
              </w:rPr>
              <w:t>工作压力720巴、重量：24.9公斤、可同时接驳两套工具并同时连续使用工作4小时、工作温度：-20-55度</w:t>
            </w:r>
          </w:p>
          <w:p>
            <w:pPr>
              <w:spacing w:line="240" w:lineRule="atLeast"/>
              <w:rPr>
                <w:rFonts w:hint="eastAsia"/>
                <w:color w:val="auto"/>
                <w:highlight w:val="none"/>
              </w:rPr>
            </w:pPr>
            <w:r>
              <w:rPr>
                <w:rFonts w:hint="eastAsia"/>
                <w:color w:val="auto"/>
                <w:highlight w:val="none"/>
              </w:rPr>
              <w:t>卓越的性能为：</w:t>
            </w:r>
          </w:p>
          <w:p>
            <w:pPr>
              <w:spacing w:line="240" w:lineRule="atLeast"/>
              <w:rPr>
                <w:rFonts w:hint="eastAsia"/>
                <w:color w:val="auto"/>
                <w:highlight w:val="none"/>
              </w:rPr>
            </w:pPr>
            <w:r>
              <w:rPr>
                <w:rFonts w:hint="eastAsia"/>
                <w:color w:val="auto"/>
                <w:highlight w:val="none"/>
              </w:rPr>
              <w:t>1、泵外壳使用抗冲击的合成材料、坚固耐用、防水防潮、不生锈；</w:t>
            </w:r>
          </w:p>
          <w:p>
            <w:pPr>
              <w:spacing w:line="240" w:lineRule="atLeast"/>
              <w:rPr>
                <w:rFonts w:hint="eastAsia"/>
                <w:color w:val="auto"/>
                <w:highlight w:val="none"/>
              </w:rPr>
            </w:pPr>
            <w:r>
              <w:rPr>
                <w:rFonts w:hint="eastAsia"/>
                <w:color w:val="auto"/>
                <w:highlight w:val="none"/>
              </w:rPr>
              <w:t>2、智能型液压泵能够根据实际破拆操作时的强度和硬度、自动变换输转功率、使操作者能够轻而易举的破拆；</w:t>
            </w:r>
          </w:p>
          <w:p>
            <w:pPr>
              <w:spacing w:line="240" w:lineRule="atLeast"/>
              <w:rPr>
                <w:rFonts w:hint="eastAsia"/>
                <w:color w:val="auto"/>
                <w:highlight w:val="none"/>
              </w:rPr>
            </w:pPr>
            <w:r>
              <w:rPr>
                <w:rFonts w:hint="eastAsia"/>
                <w:color w:val="auto"/>
                <w:highlight w:val="none"/>
              </w:rPr>
              <w:t>3、自动怠速功能省油安静工作时噪音仅68分贝、方便使用者在救援现场的交流和伤者的沟通；</w:t>
            </w:r>
          </w:p>
          <w:p>
            <w:pPr>
              <w:spacing w:line="240" w:lineRule="atLeast"/>
              <w:rPr>
                <w:rFonts w:hint="eastAsia"/>
                <w:color w:val="auto"/>
                <w:highlight w:val="none"/>
              </w:rPr>
            </w:pPr>
            <w:r>
              <w:rPr>
                <w:rFonts w:hint="eastAsia"/>
                <w:color w:val="auto"/>
                <w:highlight w:val="none"/>
              </w:rPr>
              <w:t>4、强劲的变速功率和卓越的性能、可在垂直、升高或横向状态时正常操作；</w:t>
            </w:r>
          </w:p>
          <w:p>
            <w:pPr>
              <w:rPr>
                <w:color w:val="auto"/>
                <w:highlight w:val="none"/>
              </w:rPr>
            </w:pPr>
            <w:r>
              <w:rPr>
                <w:rFonts w:hint="eastAsia"/>
                <w:color w:val="auto"/>
                <w:highlight w:val="none"/>
              </w:rPr>
              <w:t>5、精心设计的照明系统，方便使用者在黑暗中操作使用！</w:t>
            </w:r>
            <w:r>
              <w:rPr>
                <w:color w:val="auto"/>
                <w:highlight w:val="none"/>
              </w:rPr>
              <w:t>；</w:t>
            </w:r>
          </w:p>
          <w:p>
            <w:pPr>
              <w:snapToGrid w:val="0"/>
              <w:spacing w:line="240" w:lineRule="atLeast"/>
              <w:rPr>
                <w:rFonts w:hint="eastAsia"/>
                <w:color w:val="auto"/>
                <w:highlight w:val="none"/>
              </w:rPr>
            </w:pPr>
            <w:r>
              <w:rPr>
                <w:color w:val="auto"/>
                <w:highlight w:val="none"/>
              </w:rPr>
              <w:t>2、 液压软管：液压管</w:t>
            </w:r>
            <w:r>
              <w:rPr>
                <w:rFonts w:hint="eastAsia"/>
                <w:color w:val="auto"/>
                <w:highlight w:val="none"/>
              </w:rPr>
              <w:t>材质为凯芙拉纤维、专利设计的平头式接口可在工作状态下带压任意快速</w:t>
            </w:r>
            <w:r>
              <w:rPr>
                <w:color w:val="auto"/>
                <w:highlight w:val="none"/>
              </w:rPr>
              <w:t>连接</w:t>
            </w:r>
            <w:r>
              <w:rPr>
                <w:rFonts w:hint="eastAsia"/>
                <w:color w:val="auto"/>
                <w:highlight w:val="none"/>
              </w:rPr>
              <w:t>和插拔、使用寿命10年</w:t>
            </w:r>
          </w:p>
          <w:p>
            <w:pPr>
              <w:snapToGrid w:val="0"/>
              <w:spacing w:line="240" w:lineRule="atLeast"/>
              <w:rPr>
                <w:rFonts w:hint="eastAsia"/>
                <w:color w:val="auto"/>
                <w:highlight w:val="none"/>
              </w:rPr>
            </w:pPr>
            <w:r>
              <w:rPr>
                <w:rFonts w:hint="eastAsia"/>
                <w:color w:val="auto"/>
                <w:highlight w:val="none"/>
              </w:rPr>
              <w:t>液压管可360度自由旋转而</w:t>
            </w:r>
            <w:r>
              <w:rPr>
                <w:color w:val="auto"/>
                <w:highlight w:val="none"/>
              </w:rPr>
              <w:t>不扭曲、不打结、</w:t>
            </w:r>
            <w:r>
              <w:rPr>
                <w:rFonts w:hint="eastAsia"/>
                <w:color w:val="auto"/>
                <w:highlight w:val="none"/>
              </w:rPr>
              <w:t>不漏油、</w:t>
            </w:r>
            <w:r>
              <w:rPr>
                <w:color w:val="auto"/>
                <w:highlight w:val="none"/>
              </w:rPr>
              <w:t>内管最大工作压力720巴、外管工作压力25巴</w:t>
            </w:r>
          </w:p>
          <w:p>
            <w:pPr>
              <w:snapToGrid w:val="0"/>
              <w:spacing w:line="240" w:lineRule="atLeast"/>
              <w:rPr>
                <w:rFonts w:hint="eastAsia"/>
                <w:color w:val="auto"/>
                <w:highlight w:val="none"/>
              </w:rPr>
            </w:pPr>
            <w:r>
              <w:rPr>
                <w:rFonts w:hint="eastAsia"/>
                <w:color w:val="auto"/>
                <w:highlight w:val="none"/>
              </w:rPr>
              <w:t>液压管长度：10米、</w:t>
            </w:r>
            <w:r>
              <w:rPr>
                <w:color w:val="auto"/>
                <w:highlight w:val="none"/>
              </w:rPr>
              <w:t>重量4.7公斤</w:t>
            </w:r>
            <w:r>
              <w:rPr>
                <w:rFonts w:hint="eastAsia"/>
                <w:color w:val="auto"/>
                <w:highlight w:val="none"/>
                <w:lang w:val="en-US" w:eastAsia="zh-CN"/>
              </w:rPr>
              <w:t>；</w:t>
            </w:r>
            <w:r>
              <w:rPr>
                <w:rFonts w:hint="eastAsia"/>
                <w:color w:val="auto"/>
                <w:highlight w:val="none"/>
                <w:lang w:val="en-US" w:eastAsia="zh-CN"/>
              </w:rPr>
              <w:br w:type="textWrapping"/>
            </w:r>
            <w:r>
              <w:rPr>
                <w:color w:val="auto"/>
                <w:highlight w:val="none"/>
              </w:rPr>
              <w:t>3、 扩张器：单管工作原理、</w:t>
            </w:r>
            <w:r>
              <w:rPr>
                <w:rFonts w:hint="eastAsia"/>
                <w:color w:val="auto"/>
                <w:highlight w:val="none"/>
              </w:rPr>
              <w:t>可带压操作、手把处有照明系统、配有独一无二的加速阀比传统的速度可提高65%！</w:t>
            </w:r>
          </w:p>
          <w:p>
            <w:pPr>
              <w:rPr>
                <w:rFonts w:hint="eastAsia"/>
                <w:color w:val="auto"/>
                <w:highlight w:val="none"/>
                <w:lang w:val="en-US" w:eastAsia="zh-CN"/>
              </w:rPr>
            </w:pPr>
            <w:r>
              <w:rPr>
                <w:color w:val="auto"/>
                <w:highlight w:val="none"/>
              </w:rPr>
              <w:t>最大扩张距离：686毫米、最大扩张力：21吨、最小扩张力：4.4吨、挤压力：</w:t>
            </w:r>
            <w:r>
              <w:rPr>
                <w:rFonts w:hint="eastAsia"/>
                <w:color w:val="auto"/>
                <w:highlight w:val="none"/>
              </w:rPr>
              <w:t>6.6</w:t>
            </w:r>
            <w:r>
              <w:rPr>
                <w:color w:val="auto"/>
                <w:highlight w:val="none"/>
              </w:rPr>
              <w:t>吨、</w:t>
            </w:r>
            <w:r>
              <w:rPr>
                <w:rFonts w:hint="eastAsia"/>
                <w:color w:val="auto"/>
                <w:highlight w:val="none"/>
              </w:rPr>
              <w:t>牵引距离：466毫米、</w:t>
            </w:r>
            <w:r>
              <w:rPr>
                <w:color w:val="auto"/>
                <w:highlight w:val="none"/>
              </w:rPr>
              <w:t>牵引力：9.2吨、工作压力：720巴、重量</w:t>
            </w:r>
            <w:r>
              <w:rPr>
                <w:rFonts w:hint="eastAsia"/>
                <w:color w:val="auto"/>
                <w:highlight w:val="none"/>
              </w:rPr>
              <w:t>18.1</w:t>
            </w:r>
            <w:r>
              <w:rPr>
                <w:color w:val="auto"/>
                <w:highlight w:val="none"/>
              </w:rPr>
              <w:t>公斤、外型尺寸：</w:t>
            </w:r>
            <w:r>
              <w:rPr>
                <w:rFonts w:hint="eastAsia"/>
                <w:color w:val="auto"/>
                <w:highlight w:val="none"/>
              </w:rPr>
              <w:t>771</w:t>
            </w:r>
            <w:r>
              <w:rPr>
                <w:color w:val="auto"/>
                <w:highlight w:val="none"/>
              </w:rPr>
              <w:t>×</w:t>
            </w:r>
            <w:r>
              <w:rPr>
                <w:rFonts w:hint="eastAsia"/>
                <w:color w:val="auto"/>
                <w:highlight w:val="none"/>
              </w:rPr>
              <w:t>316</w:t>
            </w:r>
            <w:r>
              <w:rPr>
                <w:color w:val="auto"/>
                <w:highlight w:val="none"/>
              </w:rPr>
              <w:t>×</w:t>
            </w:r>
            <w:r>
              <w:rPr>
                <w:rFonts w:hint="eastAsia"/>
                <w:color w:val="auto"/>
                <w:highlight w:val="none"/>
              </w:rPr>
              <w:t>206毫米、</w:t>
            </w:r>
            <w:r>
              <w:rPr>
                <w:color w:val="auto"/>
                <w:highlight w:val="none"/>
              </w:rPr>
              <w:t>工作温度：-20-</w:t>
            </w:r>
            <w:r>
              <w:rPr>
                <w:rFonts w:hint="eastAsia"/>
                <w:color w:val="auto"/>
                <w:highlight w:val="none"/>
              </w:rPr>
              <w:t>55度</w:t>
            </w:r>
            <w:r>
              <w:rPr>
                <w:rFonts w:hint="eastAsia"/>
                <w:color w:val="auto"/>
                <w:highlight w:val="none"/>
                <w:lang w:val="en-US" w:eastAsia="zh-CN"/>
              </w:rPr>
              <w:t>；</w:t>
            </w:r>
          </w:p>
          <w:p>
            <w:pPr>
              <w:spacing w:line="240" w:lineRule="atLeast"/>
              <w:rPr>
                <w:rFonts w:hint="eastAsia"/>
                <w:color w:val="auto"/>
                <w:highlight w:val="none"/>
              </w:rPr>
            </w:pPr>
            <w:r>
              <w:rPr>
                <w:color w:val="auto"/>
                <w:highlight w:val="none"/>
              </w:rPr>
              <w:t>4、 剪扩钳：</w:t>
            </w:r>
            <w:r>
              <w:rPr>
                <w:rFonts w:hint="eastAsia"/>
                <w:color w:val="auto"/>
                <w:highlight w:val="none"/>
              </w:rPr>
              <w:t>单管工作原理、可带压操作、把手处有照明系统、专利设计的全新i-Bolt镶嵌螺栓结构、更容易使用在狭小的空间。</w:t>
            </w:r>
          </w:p>
          <w:p>
            <w:pPr>
              <w:rPr>
                <w:rFonts w:hint="eastAsia"/>
                <w:color w:val="auto"/>
                <w:highlight w:val="none"/>
                <w:lang w:val="en-US" w:eastAsia="zh-CN"/>
              </w:rPr>
            </w:pPr>
            <w:r>
              <w:rPr>
                <w:rFonts w:hint="eastAsia"/>
                <w:color w:val="auto"/>
                <w:highlight w:val="none"/>
              </w:rPr>
              <w:t>最大</w:t>
            </w:r>
            <w:r>
              <w:rPr>
                <w:color w:val="auto"/>
                <w:highlight w:val="none"/>
              </w:rPr>
              <w:t>扩张距离：360毫米、最大扩张力：21.5吨、最小扩张力3.6吨、刃端最大张距：229毫米、剪切力：38.8吨、挤压力7.8吨、牵引距离：416毫米、牵引力：5.2吨、剪切圆钢直径：32毫米、剪切板材尺寸：110 x 12毫米、工作压力：720巴、重量14.2公斤、外型尺寸：</w:t>
            </w:r>
            <w:r>
              <w:rPr>
                <w:rFonts w:hint="eastAsia"/>
                <w:color w:val="auto"/>
                <w:highlight w:val="none"/>
              </w:rPr>
              <w:t>787</w:t>
            </w:r>
            <w:r>
              <w:rPr>
                <w:color w:val="auto"/>
                <w:highlight w:val="none"/>
              </w:rPr>
              <w:t>×2</w:t>
            </w:r>
            <w:r>
              <w:rPr>
                <w:rFonts w:hint="eastAsia"/>
                <w:color w:val="auto"/>
                <w:highlight w:val="none"/>
              </w:rPr>
              <w:t>7</w:t>
            </w:r>
            <w:r>
              <w:rPr>
                <w:color w:val="auto"/>
                <w:highlight w:val="none"/>
              </w:rPr>
              <w:t>0×</w:t>
            </w:r>
            <w:r>
              <w:rPr>
                <w:rFonts w:hint="eastAsia"/>
                <w:color w:val="auto"/>
                <w:highlight w:val="none"/>
              </w:rPr>
              <w:t>202毫米、</w:t>
            </w:r>
            <w:r>
              <w:rPr>
                <w:color w:val="auto"/>
                <w:highlight w:val="none"/>
              </w:rPr>
              <w:t>工作温度：-20-</w:t>
            </w:r>
            <w:r>
              <w:rPr>
                <w:rFonts w:hint="eastAsia"/>
                <w:color w:val="auto"/>
                <w:highlight w:val="none"/>
              </w:rPr>
              <w:t>55</w:t>
            </w:r>
            <w:r>
              <w:rPr>
                <w:color w:val="auto"/>
                <w:highlight w:val="none"/>
              </w:rPr>
              <w:t>度</w:t>
            </w:r>
            <w:r>
              <w:rPr>
                <w:rFonts w:hint="eastAsia"/>
                <w:color w:val="auto"/>
                <w:highlight w:val="none"/>
                <w:lang w:val="en-US" w:eastAsia="zh-CN"/>
              </w:rPr>
              <w:t>；</w:t>
            </w:r>
          </w:p>
          <w:p>
            <w:pPr>
              <w:rPr>
                <w:rFonts w:hint="eastAsia"/>
                <w:color w:val="auto"/>
                <w:highlight w:val="none"/>
                <w:lang w:val="en-US" w:eastAsia="zh-CN"/>
              </w:rPr>
            </w:pPr>
            <w:r>
              <w:rPr>
                <w:color w:val="auto"/>
                <w:highlight w:val="none"/>
              </w:rPr>
              <w:t>5、</w:t>
            </w:r>
            <w:r>
              <w:rPr>
                <w:rFonts w:hint="default"/>
                <w:color w:val="auto"/>
                <w:highlight w:val="none"/>
                <w:lang w:val="en-US" w:eastAsia="zh-CN"/>
              </w:rPr>
              <w:t xml:space="preserve"> 双级液压顶杆</w:t>
            </w:r>
            <w:r>
              <w:rPr>
                <w:rFonts w:hint="eastAsia"/>
                <w:color w:val="auto"/>
                <w:highlight w:val="none"/>
                <w:lang w:val="en-US" w:eastAsia="zh-CN"/>
              </w:rPr>
              <w:t>：专利设计的加速阀、比传统工具在顶升时可提高35%的速度、端头为可360°旋转十字头、定位容易/精准、在任何救援的情形下均可达到安全的稳固和夹持的状态！</w:t>
            </w:r>
          </w:p>
          <w:p>
            <w:pPr>
              <w:rPr>
                <w:rFonts w:hint="default"/>
                <w:color w:val="auto"/>
                <w:highlight w:val="none"/>
                <w:lang w:val="en-US"/>
              </w:rPr>
            </w:pPr>
            <w:r>
              <w:rPr>
                <w:rFonts w:hint="eastAsia"/>
                <w:color w:val="auto"/>
                <w:highlight w:val="none"/>
                <w:lang w:val="en-US" w:eastAsia="zh-CN"/>
              </w:rPr>
              <w:t>单管工作原理、可带压操作、一级支撑力：22.1吨、二级支撑力：8.3吨、原始高度：533毫米、一级支撑高度：388毫米、二级支撑高度：354毫米、总支撑高度：1275毫米、工作压力：720巴、重量17.4公斤、外型尺寸：533×133×350毫米、工作温度：-20-55</w:t>
            </w:r>
          </w:p>
          <w:p>
            <w:pPr>
              <w:rPr>
                <w:rFonts w:hint="eastAsia"/>
                <w:color w:val="auto"/>
                <w:highlight w:val="none"/>
                <w:lang w:val="en-US" w:eastAsia="zh-CN"/>
              </w:rPr>
            </w:pPr>
            <w:r>
              <w:rPr>
                <w:color w:val="auto"/>
                <w:highlight w:val="none"/>
              </w:rPr>
              <w:t>6、 手动液压泵：</w:t>
            </w:r>
            <w:r>
              <w:rPr>
                <w:rFonts w:hint="eastAsia"/>
                <w:color w:val="auto"/>
                <w:highlight w:val="none"/>
              </w:rPr>
              <w:t>单管工作原理、双级</w:t>
            </w:r>
            <w:r>
              <w:rPr>
                <w:color w:val="auto"/>
                <w:highlight w:val="none"/>
              </w:rPr>
              <w:t>手动操作</w:t>
            </w:r>
            <w:r>
              <w:rPr>
                <w:rFonts w:hint="eastAsia"/>
                <w:color w:val="auto"/>
                <w:highlight w:val="none"/>
              </w:rPr>
              <w:t>、</w:t>
            </w:r>
            <w:r>
              <w:rPr>
                <w:color w:val="auto"/>
                <w:highlight w:val="none"/>
              </w:rPr>
              <w:t>液压油缸容量1800毫升</w:t>
            </w:r>
            <w:r>
              <w:rPr>
                <w:rFonts w:hint="eastAsia"/>
                <w:color w:val="auto"/>
                <w:highlight w:val="none"/>
              </w:rPr>
              <w:t>、</w:t>
            </w:r>
            <w:r>
              <w:rPr>
                <w:color w:val="auto"/>
                <w:highlight w:val="none"/>
              </w:rPr>
              <w:t>工作压力720巴</w:t>
            </w:r>
            <w:r>
              <w:rPr>
                <w:rFonts w:hint="eastAsia"/>
                <w:color w:val="auto"/>
                <w:highlight w:val="none"/>
              </w:rPr>
              <w:t>、</w:t>
            </w:r>
            <w:r>
              <w:rPr>
                <w:color w:val="auto"/>
                <w:highlight w:val="none"/>
              </w:rPr>
              <w:t>重量：</w:t>
            </w:r>
            <w:r>
              <w:rPr>
                <w:rFonts w:hint="eastAsia"/>
                <w:color w:val="auto"/>
                <w:highlight w:val="none"/>
              </w:rPr>
              <w:t>10.8</w:t>
            </w:r>
            <w:r>
              <w:rPr>
                <w:color w:val="auto"/>
                <w:highlight w:val="none"/>
              </w:rPr>
              <w:t>公斤</w:t>
            </w:r>
            <w:r>
              <w:rPr>
                <w:rFonts w:hint="eastAsia"/>
                <w:color w:val="auto"/>
                <w:highlight w:val="none"/>
              </w:rPr>
              <w:t>、</w:t>
            </w:r>
            <w:r>
              <w:rPr>
                <w:color w:val="auto"/>
                <w:highlight w:val="none"/>
              </w:rPr>
              <w:t>外型尺寸：765×240×236</w:t>
            </w:r>
            <w:r>
              <w:rPr>
                <w:rFonts w:hint="eastAsia"/>
                <w:color w:val="auto"/>
                <w:highlight w:val="none"/>
              </w:rPr>
              <w:t>毫米、</w:t>
            </w:r>
            <w:r>
              <w:rPr>
                <w:color w:val="auto"/>
                <w:highlight w:val="none"/>
              </w:rPr>
              <w:t>工作温度：-20-</w:t>
            </w:r>
            <w:r>
              <w:rPr>
                <w:rFonts w:hint="eastAsia"/>
                <w:color w:val="auto"/>
                <w:highlight w:val="none"/>
              </w:rPr>
              <w:t>55度</w:t>
            </w:r>
            <w:r>
              <w:rPr>
                <w:rFonts w:hint="eastAsia"/>
                <w:color w:val="auto"/>
                <w:highlight w:val="none"/>
                <w:lang w:val="en-US" w:eastAsia="zh-CN"/>
              </w:rPr>
              <w:t>；</w:t>
            </w:r>
          </w:p>
          <w:p>
            <w:pPr>
              <w:rPr>
                <w:color w:val="auto"/>
                <w:highlight w:val="none"/>
              </w:rPr>
            </w:pPr>
            <w:r>
              <w:rPr>
                <w:color w:val="auto"/>
                <w:highlight w:val="none"/>
              </w:rPr>
              <w:t>7、 剪切钳：</w:t>
            </w:r>
          </w:p>
          <w:p>
            <w:pPr>
              <w:spacing w:line="240" w:lineRule="atLeast"/>
              <w:rPr>
                <w:rFonts w:hint="eastAsia"/>
                <w:color w:val="auto"/>
                <w:highlight w:val="none"/>
              </w:rPr>
            </w:pPr>
            <w:r>
              <w:rPr>
                <w:color w:val="auto"/>
                <w:highlight w:val="none"/>
              </w:rPr>
              <w:t>技术参数：</w:t>
            </w:r>
            <w:r>
              <w:rPr>
                <w:rFonts w:hint="eastAsia"/>
                <w:color w:val="auto"/>
                <w:highlight w:val="none"/>
              </w:rPr>
              <w:t>专利设计的多功能齿形钳头、剪切效果强劲、省时省力、可以使用在不同的救援场所！全新i-Bolt螺栓镶嵌结构、更容易使用在狭小的空间。</w:t>
            </w:r>
          </w:p>
          <w:p>
            <w:pPr>
              <w:rPr>
                <w:rFonts w:hint="eastAsia"/>
                <w:color w:val="auto"/>
                <w:highlight w:val="none"/>
                <w:lang w:eastAsia="zh-CN"/>
              </w:rPr>
            </w:pPr>
            <w:r>
              <w:rPr>
                <w:rFonts w:hint="eastAsia"/>
                <w:color w:val="auto"/>
                <w:highlight w:val="none"/>
              </w:rPr>
              <w:t>单管工作原理、可带压操作、把手处有照明系统、刃端</w:t>
            </w:r>
            <w:r>
              <w:rPr>
                <w:color w:val="auto"/>
                <w:highlight w:val="none"/>
              </w:rPr>
              <w:t>扩张距离：</w:t>
            </w:r>
            <w:r>
              <w:rPr>
                <w:rFonts w:hint="eastAsia"/>
                <w:color w:val="auto"/>
                <w:highlight w:val="none"/>
              </w:rPr>
              <w:t>237</w:t>
            </w:r>
            <w:r>
              <w:rPr>
                <w:color w:val="auto"/>
                <w:highlight w:val="none"/>
              </w:rPr>
              <w:t>毫米、剪切力：3</w:t>
            </w:r>
            <w:r>
              <w:rPr>
                <w:rFonts w:hint="eastAsia"/>
                <w:color w:val="auto"/>
                <w:highlight w:val="none"/>
              </w:rPr>
              <w:t>8.8</w:t>
            </w:r>
            <w:r>
              <w:rPr>
                <w:color w:val="auto"/>
                <w:highlight w:val="none"/>
              </w:rPr>
              <w:t>吨、剪切圆钢直径：32毫米、剪切板材尺寸：110 x 12毫米、工作压力</w:t>
            </w:r>
            <w:r>
              <w:rPr>
                <w:rFonts w:hint="eastAsia"/>
                <w:color w:val="auto"/>
                <w:highlight w:val="none"/>
              </w:rPr>
              <w:t>：</w:t>
            </w:r>
            <w:r>
              <w:rPr>
                <w:color w:val="auto"/>
                <w:highlight w:val="none"/>
              </w:rPr>
              <w:t>720巴、重量</w:t>
            </w:r>
            <w:r>
              <w:rPr>
                <w:rFonts w:hint="eastAsia"/>
                <w:color w:val="auto"/>
                <w:highlight w:val="none"/>
              </w:rPr>
              <w:t>：</w:t>
            </w:r>
            <w:r>
              <w:rPr>
                <w:color w:val="auto"/>
                <w:highlight w:val="none"/>
              </w:rPr>
              <w:t>1</w:t>
            </w:r>
            <w:r>
              <w:rPr>
                <w:rFonts w:hint="eastAsia"/>
                <w:color w:val="auto"/>
                <w:highlight w:val="none"/>
              </w:rPr>
              <w:t>4.2</w:t>
            </w:r>
            <w:r>
              <w:rPr>
                <w:color w:val="auto"/>
                <w:highlight w:val="none"/>
              </w:rPr>
              <w:t>公斤、外型尺寸：</w:t>
            </w:r>
            <w:r>
              <w:rPr>
                <w:rFonts w:hint="eastAsia"/>
                <w:color w:val="auto"/>
                <w:highlight w:val="none"/>
              </w:rPr>
              <w:t>771</w:t>
            </w:r>
            <w:r>
              <w:rPr>
                <w:color w:val="auto"/>
                <w:highlight w:val="none"/>
              </w:rPr>
              <w:t>×270×2</w:t>
            </w:r>
            <w:r>
              <w:rPr>
                <w:rFonts w:hint="eastAsia"/>
                <w:color w:val="auto"/>
                <w:highlight w:val="none"/>
              </w:rPr>
              <w:t>02毫米、</w:t>
            </w:r>
            <w:r>
              <w:rPr>
                <w:color w:val="auto"/>
                <w:highlight w:val="none"/>
              </w:rPr>
              <w:t>工作温度：-20-</w:t>
            </w:r>
            <w:r>
              <w:rPr>
                <w:rFonts w:hint="eastAsia"/>
                <w:color w:val="auto"/>
                <w:highlight w:val="none"/>
              </w:rPr>
              <w:t>55度</w:t>
            </w:r>
            <w:r>
              <w:rPr>
                <w:rFonts w:hint="eastAsia"/>
                <w:color w:val="auto"/>
                <w:highlight w:val="none"/>
                <w:lang w:eastAsia="zh-CN"/>
              </w:rPr>
              <w:t>。</w:t>
            </w:r>
          </w:p>
          <w:p>
            <w:pPr>
              <w:pStyle w:val="17"/>
              <w:rPr>
                <w:rFonts w:hint="eastAsia"/>
                <w:color w:val="auto"/>
                <w:highlight w:val="none"/>
                <w:lang w:val="en-US" w:eastAsia="zh-CN"/>
              </w:rPr>
            </w:pPr>
            <w:r>
              <w:rPr>
                <w:rFonts w:hint="eastAsia" w:ascii="Times New Roman" w:hAnsi="Times New Roman" w:eastAsia="宋体" w:cs="Times New Roman"/>
                <w:color w:val="auto"/>
                <w:kern w:val="2"/>
                <w:sz w:val="21"/>
                <w:szCs w:val="24"/>
                <w:highlight w:val="none"/>
                <w:lang w:val="en-US" w:eastAsia="zh-CN" w:bidi="ar-SA"/>
              </w:rPr>
              <w:t>响应文件中须</w:t>
            </w:r>
            <w:r>
              <w:rPr>
                <w:rFonts w:hint="default" w:ascii="Times New Roman" w:hAnsi="Times New Roman" w:eastAsia="宋体" w:cs="Times New Roman"/>
                <w:color w:val="auto"/>
                <w:kern w:val="2"/>
                <w:sz w:val="21"/>
                <w:szCs w:val="24"/>
                <w:highlight w:val="none"/>
                <w:lang w:val="en-US" w:eastAsia="zh-CN" w:bidi="ar-SA"/>
              </w:rPr>
              <w:t>提供《国家消防装备质量监督检验中心》的检测报告认证</w:t>
            </w:r>
            <w:r>
              <w:rPr>
                <w:rFonts w:hint="eastAsia" w:ascii="Times New Roman" w:hAnsi="Times New Roman" w:eastAsia="宋体" w:cs="Times New Roman"/>
                <w:color w:val="auto"/>
                <w:kern w:val="2"/>
                <w:sz w:val="21"/>
                <w:szCs w:val="24"/>
                <w:highlight w:val="none"/>
                <w:lang w:val="en-US" w:eastAsia="zh-CN" w:bidi="ar-SA"/>
              </w:rPr>
              <w:t>复印件加盖响应供应商公章</w:t>
            </w:r>
            <w:r>
              <w:rPr>
                <w:rFonts w:hint="default" w:ascii="Times New Roman" w:hAnsi="Times New Roman" w:eastAsia="宋体" w:cs="Times New Roman"/>
                <w:color w:val="auto"/>
                <w:kern w:val="2"/>
                <w:sz w:val="21"/>
                <w:szCs w:val="24"/>
                <w:highlight w:val="none"/>
                <w:lang w:val="en-US" w:eastAsia="zh-CN" w:bidi="ar-SA"/>
              </w:rPr>
              <w:t>。</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63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81</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手动破拆工具组</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1.由组合工具组成,可对砖瓦、薄型金属进行破碎。</w:t>
            </w:r>
          </w:p>
          <w:p>
            <w:pPr>
              <w:rPr>
                <w:rFonts w:hint="default"/>
                <w:color w:val="auto"/>
                <w:highlight w:val="none"/>
                <w:lang w:val="en-US" w:eastAsia="zh-CN"/>
              </w:rPr>
            </w:pPr>
            <w:r>
              <w:rPr>
                <w:rFonts w:hint="default"/>
                <w:color w:val="auto"/>
                <w:highlight w:val="none"/>
                <w:lang w:val="en-US" w:eastAsia="zh-CN"/>
              </w:rPr>
              <w:t>2.操纵杆1个，刀头7个，含工具箱。</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56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82</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消防大平斧</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 xml:space="preserve">斧头材质高碳钢锻打而成, 经热处理淬火。斧柄采用TPR（热塑性橡胶材料）+PVC+玻璃纤维棒芯复合型手柄，柄芯采用玻璃纤维棒以保证强度，斧柄表面采用PVC制成绝缘轻便强度高，韧性好，外表包裹一层TPR经人体工程学设计防滑不震手，更环保，因材料特殊性永不折断，具备砍，剁，锤等功能。 </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25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83</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消防斧</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消防大斧，结构：斧头和斧柄，斧柄采用木柄；斧头一侧为斧刃，另一侧为尖锥形突起，斧头甶高碳钢锻打而成，各刃口热处理，硬度48-55HRC之间，具备砍，凿，剁等功能，</w:t>
            </w:r>
            <w:r>
              <w:rPr>
                <w:rFonts w:hint="eastAsia"/>
                <w:color w:val="auto"/>
                <w:highlight w:val="none"/>
                <w:lang w:val="en-US" w:eastAsia="zh-CN"/>
              </w:rPr>
              <w:t>响应文件中须</w:t>
            </w:r>
            <w:r>
              <w:rPr>
                <w:rFonts w:hint="default"/>
                <w:color w:val="auto"/>
                <w:highlight w:val="none"/>
                <w:lang w:val="en-US" w:eastAsia="zh-CN"/>
              </w:rPr>
              <w:t>提供国家级检测机构提供的检验报告</w:t>
            </w:r>
            <w:r>
              <w:rPr>
                <w:rFonts w:hint="eastAsia"/>
                <w:color w:val="auto"/>
                <w:highlight w:val="none"/>
                <w:lang w:val="en-US" w:eastAsia="zh-CN"/>
              </w:rPr>
              <w:t>复印件加盖响应供应商公章</w:t>
            </w:r>
            <w:r>
              <w:rPr>
                <w:rFonts w:hint="default"/>
                <w:color w:val="auto"/>
                <w:highlight w:val="none"/>
                <w:lang w:val="en-US" w:eastAsia="zh-CN"/>
              </w:rPr>
              <w:t>。</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94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84</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铁铲</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锹柄采用木柄。锹头为高强度锰钢锻打制程，经热处理淬火，可用于高强度救援清理作业。</w:t>
            </w:r>
            <w:r>
              <w:rPr>
                <w:rFonts w:hint="eastAsia"/>
                <w:color w:val="auto"/>
                <w:highlight w:val="none"/>
                <w:lang w:val="en-US" w:eastAsia="zh-CN"/>
              </w:rPr>
              <w:t>响应文件中须</w:t>
            </w:r>
            <w:r>
              <w:rPr>
                <w:rFonts w:hint="default"/>
                <w:color w:val="auto"/>
                <w:highlight w:val="none"/>
                <w:lang w:val="en-US" w:eastAsia="zh-CN"/>
              </w:rPr>
              <w:t>提供国家级检测机构提供的检验报告</w:t>
            </w:r>
            <w:r>
              <w:rPr>
                <w:rFonts w:hint="eastAsia"/>
                <w:color w:val="auto"/>
                <w:highlight w:val="none"/>
                <w:lang w:val="en-US" w:eastAsia="zh-CN"/>
              </w:rPr>
              <w:t>复印件加盖响应供应商公章</w:t>
            </w:r>
            <w:r>
              <w:rPr>
                <w:rFonts w:hint="default"/>
                <w:color w:val="auto"/>
                <w:highlight w:val="none"/>
                <w:lang w:val="en-US" w:eastAsia="zh-CN"/>
              </w:rPr>
              <w:t>。</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63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85</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铁铤</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消防撬棍由高碳钢锻打而成，长90CM经热处理淬火工艺，保证强度，适用于城市救援及地震救援。</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360"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86</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火钩</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火钩材料：钢质，长度：≥1.8米。</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25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87</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大锤</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高碳钢，经过整体锻打一次成型，锤柄采用TPR（热塑性橡胶材料）+PVC+玻璃纤维棒芯复合型手柄，柄芯采用玻璃纤维棒以保证强度，锤柄表面采用PVC制成绝缘轻便强度高，韧性好，外表包裹一层TPR经人体工程学设计防滑不震手。</w:t>
            </w:r>
            <w:r>
              <w:rPr>
                <w:rFonts w:hint="eastAsia"/>
                <w:color w:val="auto"/>
                <w:highlight w:val="none"/>
                <w:lang w:val="en-US" w:eastAsia="zh-CN"/>
              </w:rPr>
              <w:t>响应文件中</w:t>
            </w:r>
            <w:r>
              <w:rPr>
                <w:rFonts w:hint="default"/>
                <w:color w:val="auto"/>
                <w:highlight w:val="none"/>
                <w:lang w:val="en-US" w:eastAsia="zh-CN"/>
              </w:rPr>
              <w:t>提供国家级检测机构提供的检验报告</w:t>
            </w:r>
            <w:r>
              <w:rPr>
                <w:rFonts w:hint="eastAsia"/>
                <w:color w:val="auto"/>
                <w:highlight w:val="none"/>
                <w:lang w:val="en-US" w:eastAsia="zh-CN"/>
              </w:rPr>
              <w:t>复印件加盖响应供应商公章</w:t>
            </w:r>
            <w:r>
              <w:rPr>
                <w:rFonts w:hint="default"/>
                <w:color w:val="auto"/>
                <w:highlight w:val="none"/>
                <w:lang w:val="en-US" w:eastAsia="zh-CN"/>
              </w:rPr>
              <w:t>。</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637"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88</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丁字镐</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镐柄采用TPR (热塑性橡胶材料）+PVC+玻璃纤维棒芯复合型手柄，柄芯采用玻璃纤维棒以保证强度，斧柄采用PVC制成绝缘轻便强度高，韧性好外表包裹一层TPR经人体工程学设计防滑不震手，镐头由高强度锰钢锻打制成，经热处理工艺硬度（HRC）48-55，可一次斩断12mmQ235A热轧圆钢。</w:t>
            </w:r>
            <w:r>
              <w:rPr>
                <w:rFonts w:hint="eastAsia"/>
                <w:color w:val="auto"/>
                <w:highlight w:val="none"/>
                <w:lang w:val="en-US" w:eastAsia="zh-CN"/>
              </w:rPr>
              <w:t>响应文件中</w:t>
            </w:r>
            <w:r>
              <w:rPr>
                <w:rFonts w:hint="default"/>
                <w:color w:val="auto"/>
                <w:highlight w:val="none"/>
                <w:lang w:val="en-US" w:eastAsia="zh-CN"/>
              </w:rPr>
              <w:t>提供国家级质量检验机构出具的检验报告</w:t>
            </w:r>
            <w:r>
              <w:rPr>
                <w:rFonts w:hint="eastAsia"/>
                <w:color w:val="auto"/>
                <w:highlight w:val="none"/>
                <w:lang w:val="en-US" w:eastAsia="zh-CN"/>
              </w:rPr>
              <w:t>复印件加盖响应供应商公章</w:t>
            </w:r>
            <w:r>
              <w:rPr>
                <w:rFonts w:hint="default"/>
                <w:color w:val="auto"/>
                <w:highlight w:val="none"/>
                <w:lang w:val="en-US" w:eastAsia="zh-CN"/>
              </w:rPr>
              <w:t>。</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3467"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89</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手提式强光照明</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1.额定电压：DC11.1-14.8v；电池容量：≥4400mAh；功率：≥3*3W；</w:t>
            </w:r>
          </w:p>
          <w:p>
            <w:pPr>
              <w:rPr>
                <w:rFonts w:hint="default"/>
                <w:color w:val="auto"/>
                <w:highlight w:val="none"/>
                <w:lang w:val="en-US" w:eastAsia="zh-CN"/>
              </w:rPr>
            </w:pPr>
            <w:r>
              <w:rPr>
                <w:rFonts w:hint="default"/>
                <w:color w:val="auto"/>
                <w:highlight w:val="none"/>
                <w:lang w:val="en-US" w:eastAsia="zh-CN"/>
              </w:rPr>
              <w:t>2.放电时间：强光≥480min 工作光≥960min；充电时间：约5h；</w:t>
            </w:r>
          </w:p>
          <w:p>
            <w:pPr>
              <w:rPr>
                <w:rFonts w:hint="default"/>
                <w:color w:val="auto"/>
                <w:highlight w:val="none"/>
                <w:lang w:val="en-US" w:eastAsia="zh-CN"/>
              </w:rPr>
            </w:pPr>
            <w:r>
              <w:rPr>
                <w:rFonts w:hint="eastAsia"/>
                <w:color w:val="auto"/>
                <w:highlight w:val="none"/>
                <w:lang w:val="en-US" w:eastAsia="zh-CN"/>
              </w:rPr>
              <w:t>3</w:t>
            </w:r>
            <w:r>
              <w:rPr>
                <w:rFonts w:hint="default"/>
                <w:color w:val="auto"/>
                <w:highlight w:val="none"/>
                <w:lang w:val="en-US" w:eastAsia="zh-CN"/>
              </w:rPr>
              <w:t>.防爆等级 Ex dia IIC T6 Gb；防护等级：IP68；</w:t>
            </w:r>
          </w:p>
          <w:p>
            <w:pPr>
              <w:rPr>
                <w:rFonts w:hint="default"/>
                <w:color w:val="auto"/>
                <w:highlight w:val="none"/>
                <w:lang w:val="en-US" w:eastAsia="zh-CN"/>
              </w:rPr>
            </w:pPr>
            <w:r>
              <w:rPr>
                <w:rFonts w:hint="eastAsia"/>
                <w:color w:val="auto"/>
                <w:highlight w:val="none"/>
                <w:lang w:val="en-US" w:eastAsia="zh-CN"/>
              </w:rPr>
              <w:t>4.</w:t>
            </w:r>
            <w:r>
              <w:rPr>
                <w:rFonts w:hint="default"/>
                <w:color w:val="auto"/>
                <w:highlight w:val="none"/>
                <w:lang w:val="en-US" w:eastAsia="zh-CN"/>
              </w:rPr>
              <w:t>重量 约900g</w:t>
            </w:r>
          </w:p>
          <w:p>
            <w:pPr>
              <w:rPr>
                <w:rFonts w:hint="default"/>
                <w:color w:val="auto"/>
                <w:highlight w:val="none"/>
                <w:lang w:val="en-US" w:eastAsia="zh-CN"/>
              </w:rPr>
            </w:pPr>
            <w:r>
              <w:rPr>
                <w:rFonts w:hint="eastAsia"/>
                <w:color w:val="auto"/>
                <w:highlight w:val="none"/>
                <w:lang w:val="en-US" w:eastAsia="zh-CN"/>
              </w:rPr>
              <w:t>5.</w:t>
            </w:r>
            <w:r>
              <w:rPr>
                <w:rFonts w:hint="default"/>
                <w:color w:val="auto"/>
                <w:highlight w:val="none"/>
                <w:lang w:val="en-US" w:eastAsia="zh-CN"/>
              </w:rPr>
              <w:t>灯具具有两档光：工作光（250mA）连续放电时间16小时，光照度在</w:t>
            </w:r>
            <w:r>
              <w:rPr>
                <w:rFonts w:hint="eastAsia"/>
                <w:color w:val="auto"/>
                <w:highlight w:val="none"/>
                <w:lang w:val="en-US" w:eastAsia="zh-CN"/>
              </w:rPr>
              <w:t>6.</w:t>
            </w:r>
            <w:r>
              <w:rPr>
                <w:rFonts w:hint="default"/>
                <w:color w:val="auto"/>
                <w:highlight w:val="none"/>
                <w:lang w:val="en-US" w:eastAsia="zh-CN"/>
              </w:rPr>
              <w:t>米处≥650LX强光，强光（500mA）连续放电时间,8小时，按动开关按钮可进行随意转换。</w:t>
            </w:r>
          </w:p>
          <w:p>
            <w:pPr>
              <w:rPr>
                <w:rFonts w:hint="default"/>
                <w:color w:val="auto"/>
                <w:highlight w:val="none"/>
                <w:lang w:val="en-US" w:eastAsia="zh-CN"/>
              </w:rPr>
            </w:pPr>
            <w:r>
              <w:rPr>
                <w:rFonts w:hint="eastAsia"/>
                <w:color w:val="auto"/>
                <w:highlight w:val="none"/>
                <w:lang w:val="en-US" w:eastAsia="zh-CN"/>
              </w:rPr>
              <w:t>7.响应文件中提供国家权威机构检验中心出具的防爆合格证、国家消防装备质量监督检验中心出具的检测报告复印件加盖响应供应商公章。</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80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90</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救生照明线</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产品符合GB 26783-2011标准。</w:t>
            </w:r>
            <w:r>
              <w:rPr>
                <w:rFonts w:hint="eastAsia"/>
                <w:color w:val="auto"/>
                <w:highlight w:val="none"/>
                <w:lang w:val="en-US" w:eastAsia="zh-CN"/>
              </w:rPr>
              <w:t>响应文件中</w:t>
            </w:r>
            <w:r>
              <w:rPr>
                <w:rFonts w:hint="default"/>
                <w:color w:val="auto"/>
                <w:highlight w:val="none"/>
                <w:lang w:val="en-US" w:eastAsia="zh-CN"/>
              </w:rPr>
              <w:t>提供国家消防装备质量监督检测中心检测报告及认证</w:t>
            </w:r>
            <w:r>
              <w:rPr>
                <w:rFonts w:hint="eastAsia"/>
                <w:color w:val="auto"/>
                <w:highlight w:val="none"/>
                <w:lang w:val="en-US" w:eastAsia="zh-CN"/>
              </w:rPr>
              <w:t>复印件加盖响应供应商公章。</w:t>
            </w:r>
          </w:p>
          <w:p>
            <w:pPr>
              <w:rPr>
                <w:rFonts w:hint="default"/>
                <w:color w:val="auto"/>
                <w:highlight w:val="none"/>
                <w:lang w:val="en-US" w:eastAsia="zh-CN"/>
              </w:rPr>
            </w:pPr>
            <w:r>
              <w:rPr>
                <w:rFonts w:hint="default"/>
                <w:color w:val="auto"/>
                <w:highlight w:val="none"/>
                <w:lang w:val="en-US" w:eastAsia="zh-CN"/>
              </w:rPr>
              <w:t>1.供电电压：DC12V/13000mAh；工作电流：≥0.3A；连续工作时间：≥13h；频闪工作时间：≥26h；发光亮度：≥13.5cd/m²；</w:t>
            </w:r>
          </w:p>
          <w:p>
            <w:pPr>
              <w:rPr>
                <w:rFonts w:hint="default"/>
                <w:color w:val="auto"/>
                <w:highlight w:val="none"/>
                <w:lang w:val="en-US" w:eastAsia="zh-CN"/>
              </w:rPr>
            </w:pPr>
            <w:r>
              <w:rPr>
                <w:rFonts w:hint="default"/>
                <w:color w:val="auto"/>
                <w:highlight w:val="none"/>
                <w:lang w:val="en-US" w:eastAsia="zh-CN"/>
              </w:rPr>
              <w:t>2.线体材料：EL冷光源材料；输出方式：长亮/频闪；线体直径：5.0±0.5mm；线体拉力：＞300N；可视距离：≥50m；环境极限温度：-40℃~70℃；绝缘电阻：＞50MΩ；</w:t>
            </w:r>
          </w:p>
          <w:p>
            <w:pPr>
              <w:rPr>
                <w:rFonts w:hint="default"/>
                <w:color w:val="auto"/>
                <w:highlight w:val="none"/>
                <w:lang w:val="en-US" w:eastAsia="zh-CN"/>
              </w:rPr>
            </w:pPr>
            <w:r>
              <w:rPr>
                <w:rFonts w:hint="default"/>
                <w:color w:val="auto"/>
                <w:highlight w:val="none"/>
                <w:lang w:val="en-US" w:eastAsia="zh-CN"/>
              </w:rPr>
              <w:t>3.防护等级：IP55</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86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91</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消防用荧光棒</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由荧光棒、挂扣组成。</w:t>
            </w:r>
          </w:p>
          <w:p>
            <w:pPr>
              <w:rPr>
                <w:rFonts w:hint="default"/>
                <w:color w:val="auto"/>
                <w:highlight w:val="none"/>
                <w:lang w:val="en-US" w:eastAsia="zh-CN"/>
              </w:rPr>
            </w:pPr>
            <w:r>
              <w:rPr>
                <w:rFonts w:hint="default"/>
                <w:color w:val="auto"/>
                <w:highlight w:val="none"/>
                <w:lang w:val="en-US" w:eastAsia="zh-CN"/>
              </w:rPr>
              <w:t>该产品是一种基于化学发光技术的辅助照明指示工具，具有一次性使用、360o泛光照明、无需电能、结构简单、使用携带方便等特点，尤其适合在搜寻指引、楼梯通道照明、危险区域和可疑物指示、受限空间搜救、道路标记、深井坑道初探等情况下使用。</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63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92</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电源线盘</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220V电缆卷盘，不小于30米，线规格不小于1.5平方，具备分插不小于3个。</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63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93</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移动照明灯组</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采用三角</w:t>
            </w:r>
            <w:r>
              <w:rPr>
                <w:rFonts w:hint="eastAsia"/>
                <w:color w:val="auto"/>
                <w:highlight w:val="none"/>
                <w:lang w:val="en-US" w:eastAsia="zh-CN"/>
              </w:rPr>
              <w:t>全铝合金</w:t>
            </w:r>
            <w:r>
              <w:rPr>
                <w:rFonts w:hint="default"/>
                <w:color w:val="auto"/>
                <w:highlight w:val="none"/>
                <w:lang w:val="en-US" w:eastAsia="zh-CN"/>
              </w:rPr>
              <w:t>支架设计，使用便捷，30秒内可组装成2.74米高灯塔；360度全景照明及180°单向照明可调；垂直照射角度可调；无照明盲区；采用36颗大功率LED光源，光效高，寿命长达5万小时以上；具有工作光、弱光、超强光可选；智能电量显示。</w:t>
            </w:r>
          </w:p>
          <w:p>
            <w:pPr>
              <w:rPr>
                <w:rFonts w:hint="default"/>
                <w:color w:val="auto"/>
                <w:highlight w:val="none"/>
                <w:lang w:val="en-US" w:eastAsia="zh-CN"/>
              </w:rPr>
            </w:pPr>
            <w:r>
              <w:rPr>
                <w:rFonts w:hint="default"/>
                <w:color w:val="auto"/>
                <w:highlight w:val="none"/>
                <w:lang w:val="en-US" w:eastAsia="zh-CN"/>
              </w:rPr>
              <w:t>1．电池类型：锂电池；额定电压：≥DC12V；电池容量：≥26Ah；充满电连续工作时间：强光≥4h、中光≥6h、弱光＞20h；充电时间：≤8h；重量：≤11.2kg；光源规格：泛光额定功率：≥105W；聚光额定功率：≥105W；防护等级：IP65。</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5193"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94</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移动供气源</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符合GA1261-2015《长管呼吸器》和《移动式正压长管空气呼吸器试验大纲》标准。</w:t>
            </w:r>
          </w:p>
          <w:p>
            <w:pPr>
              <w:rPr>
                <w:rFonts w:hint="default"/>
                <w:color w:val="auto"/>
                <w:highlight w:val="none"/>
                <w:lang w:val="en-US" w:eastAsia="zh-CN"/>
              </w:rPr>
            </w:pPr>
            <w:r>
              <w:rPr>
                <w:rFonts w:hint="default"/>
                <w:color w:val="auto"/>
                <w:highlight w:val="none"/>
                <w:lang w:val="en-US" w:eastAsia="zh-CN"/>
              </w:rPr>
              <w:t>1.工作压力：30MPa，供气流量：≥1000L/min；可同时供两人使用，确保长时间作业。</w:t>
            </w:r>
          </w:p>
          <w:p>
            <w:pPr>
              <w:rPr>
                <w:rFonts w:hint="default"/>
                <w:color w:val="auto"/>
                <w:highlight w:val="none"/>
                <w:lang w:val="en-US" w:eastAsia="zh-CN"/>
              </w:rPr>
            </w:pPr>
            <w:r>
              <w:rPr>
                <w:rFonts w:hint="default"/>
                <w:color w:val="auto"/>
                <w:highlight w:val="none"/>
                <w:lang w:val="en-US" w:eastAsia="zh-CN"/>
              </w:rPr>
              <w:t>2.气瓶，气瓶水容积：≥6.8L（4只)，全缠绕式碳纤维复合材料；气瓶阀手轮带防意外关闭的安全自锁功能，符合公安部GA124-2004标准，接口螺纹：G5/8。</w:t>
            </w:r>
          </w:p>
          <w:p>
            <w:pPr>
              <w:rPr>
                <w:rFonts w:hint="default"/>
                <w:color w:val="auto"/>
                <w:highlight w:val="none"/>
                <w:lang w:val="en-US" w:eastAsia="zh-CN"/>
              </w:rPr>
            </w:pPr>
            <w:r>
              <w:rPr>
                <w:rFonts w:hint="default"/>
                <w:color w:val="auto"/>
                <w:highlight w:val="none"/>
                <w:lang w:val="en-US" w:eastAsia="zh-CN"/>
              </w:rPr>
              <w:t>3.全面罩：球形大视野面屏，视野率达到81%以上，具有独特防雾功能，头网永久阻燃，五点式收紧结构，与面部贴合更紧密。</w:t>
            </w:r>
          </w:p>
          <w:p>
            <w:pPr>
              <w:rPr>
                <w:rFonts w:hint="default"/>
                <w:color w:val="auto"/>
                <w:highlight w:val="none"/>
                <w:lang w:val="en-US" w:eastAsia="zh-CN"/>
              </w:rPr>
            </w:pPr>
            <w:r>
              <w:rPr>
                <w:rFonts w:hint="default"/>
                <w:color w:val="auto"/>
                <w:highlight w:val="none"/>
                <w:lang w:val="en-US" w:eastAsia="zh-CN"/>
              </w:rPr>
              <w:t>4.供气阀：体积小不影响下视野，无需定位快速连接面罩，可360°旋转。要求面罩与供气阀正面插接。带有节气开关，供气最大流量≥500L/min。</w:t>
            </w:r>
          </w:p>
          <w:p>
            <w:pPr>
              <w:rPr>
                <w:rFonts w:hint="default"/>
                <w:color w:val="auto"/>
                <w:highlight w:val="none"/>
                <w:lang w:val="en-US" w:eastAsia="zh-CN"/>
              </w:rPr>
            </w:pPr>
            <w:r>
              <w:rPr>
                <w:rFonts w:hint="default"/>
                <w:color w:val="auto"/>
                <w:highlight w:val="none"/>
                <w:lang w:val="en-US" w:eastAsia="zh-CN"/>
              </w:rPr>
              <w:t>5.减压阀输出流量≥1000L/min，内置安全阀装置。可在不影响供气的情况下更换气瓶。</w:t>
            </w:r>
          </w:p>
          <w:p>
            <w:pPr>
              <w:rPr>
                <w:rFonts w:hint="default"/>
                <w:color w:val="auto"/>
                <w:highlight w:val="none"/>
                <w:lang w:val="en-US" w:eastAsia="zh-CN"/>
              </w:rPr>
            </w:pPr>
            <w:r>
              <w:rPr>
                <w:rFonts w:hint="default"/>
                <w:color w:val="auto"/>
                <w:highlight w:val="none"/>
                <w:lang w:val="en-US" w:eastAsia="zh-CN"/>
              </w:rPr>
              <w:t>6.中压导管配置：主导管1根≥40米、分支导管2根各≥10米。</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373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95</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压缩空气填充泵</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呼吸空气压缩机，采用三相电机380V驱动电压，充气速度快，适用充瓶数量多消防充气站，全自动控制功能。工作噪音≤75分贝,符合ISO3746标准认定。</w:t>
            </w:r>
          </w:p>
          <w:p>
            <w:pPr>
              <w:rPr>
                <w:rFonts w:hint="default"/>
                <w:color w:val="auto"/>
                <w:highlight w:val="none"/>
                <w:lang w:val="en-US" w:eastAsia="zh-CN"/>
              </w:rPr>
            </w:pPr>
            <w:r>
              <w:rPr>
                <w:rFonts w:hint="default"/>
                <w:color w:val="auto"/>
                <w:highlight w:val="none"/>
                <w:lang w:val="en-US" w:eastAsia="zh-CN"/>
              </w:rPr>
              <w:t>1.排气量≥200L/min；</w:t>
            </w:r>
          </w:p>
          <w:p>
            <w:pPr>
              <w:rPr>
                <w:rFonts w:hint="default"/>
                <w:color w:val="auto"/>
                <w:highlight w:val="none"/>
                <w:lang w:val="en-US" w:eastAsia="zh-CN"/>
              </w:rPr>
            </w:pPr>
            <w:r>
              <w:rPr>
                <w:rFonts w:hint="default"/>
                <w:color w:val="auto"/>
                <w:highlight w:val="none"/>
                <w:lang w:val="en-US" w:eastAsia="zh-CN"/>
              </w:rPr>
              <w:t>2. 功率≥4KW；</w:t>
            </w:r>
          </w:p>
          <w:p>
            <w:pPr>
              <w:rPr>
                <w:rFonts w:hint="default"/>
                <w:color w:val="auto"/>
                <w:highlight w:val="none"/>
                <w:lang w:val="en-US" w:eastAsia="zh-CN"/>
              </w:rPr>
            </w:pPr>
            <w:r>
              <w:rPr>
                <w:rFonts w:hint="default"/>
                <w:color w:val="auto"/>
                <w:highlight w:val="none"/>
                <w:lang w:val="en-US" w:eastAsia="zh-CN"/>
              </w:rPr>
              <w:t>3. 重量不大于115kg；</w:t>
            </w:r>
          </w:p>
          <w:p>
            <w:pPr>
              <w:rPr>
                <w:rFonts w:hint="default"/>
                <w:color w:val="auto"/>
                <w:highlight w:val="none"/>
                <w:lang w:val="en-US" w:eastAsia="zh-CN"/>
              </w:rPr>
            </w:pPr>
            <w:r>
              <w:rPr>
                <w:rFonts w:hint="default"/>
                <w:color w:val="auto"/>
                <w:highlight w:val="none"/>
                <w:lang w:val="en-US" w:eastAsia="zh-CN"/>
              </w:rPr>
              <w:t>4. 配备两根充气管（杜邦凯夫拉材质，承压高达425bar耐温-40℃-100℃。）；</w:t>
            </w:r>
          </w:p>
          <w:p>
            <w:pPr>
              <w:rPr>
                <w:rFonts w:hint="default"/>
                <w:color w:val="auto"/>
                <w:highlight w:val="none"/>
                <w:lang w:val="en-US" w:eastAsia="zh-CN"/>
              </w:rPr>
            </w:pPr>
            <w:r>
              <w:rPr>
                <w:rFonts w:hint="default"/>
                <w:color w:val="auto"/>
                <w:highlight w:val="none"/>
                <w:lang w:val="en-US" w:eastAsia="zh-CN"/>
              </w:rPr>
              <w:t>5. 带开/关/自由放空功能三合一的不锈钢充气装置，360°旋转设计；油泵润滑，可视油位镜，支持7*24小时连续运行；含各级安全阀，末级安全阀设定可达350bar；</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310"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96</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小行无人机</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轴距：≥350mm、最大起飞重量：≤1150g、续航时间≥30分钟、一体式带屏遥控器、控制距离：≥10km，抗风能力≥5级、工作温度：-10℃-40℃。机载内存：≥24G.一体式双光镜头、其红外热成像镜头分辨率为640×512，帧率：30帧、数字变焦：≥16倍。可见光相机像素：1/2英寸COMS  4800万像素，数字变焦：≥32倍、最大照片尺寸：约8000×6000、视频分辨率：3840×2160@30帧；具有探照、夜航、喊话、图传等功能；具备全向障碍感知能力。</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63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97</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医药急救箱</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用于常规外伤和化学伤害急救所需的敷料、药品和器械等用品。</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988"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98</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移动排烟机</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用于正负压通风、排烟，抽烟及密闭空间救援通风等，高精密平衡的抗风阻叶轮强力粉碎空气阻力、更深入穿透建筑物，采用力弓专业技术。</w:t>
            </w:r>
          </w:p>
          <w:p>
            <w:pPr>
              <w:rPr>
                <w:rFonts w:hint="default"/>
                <w:color w:val="auto"/>
                <w:highlight w:val="none"/>
                <w:lang w:val="en-US" w:eastAsia="zh-CN"/>
              </w:rPr>
            </w:pPr>
            <w:r>
              <w:rPr>
                <w:rFonts w:hint="default"/>
                <w:color w:val="auto"/>
                <w:highlight w:val="none"/>
                <w:lang w:val="en-US" w:eastAsia="zh-CN"/>
              </w:rPr>
              <w:t>无阻碍风量：≥6,370 m3/hr；电机功率： ≥0.9 kw，电源：230V,50Hz,电机通过防爆认证可在易爆环境下安全使用。</w:t>
            </w:r>
          </w:p>
          <w:p>
            <w:pPr>
              <w:rPr>
                <w:rFonts w:hint="default"/>
                <w:color w:val="auto"/>
                <w:highlight w:val="none"/>
                <w:lang w:val="en-US" w:eastAsia="zh-CN"/>
              </w:rPr>
            </w:pPr>
            <w:r>
              <w:rPr>
                <w:rFonts w:hint="default"/>
                <w:color w:val="auto"/>
                <w:highlight w:val="none"/>
                <w:lang w:val="en-US" w:eastAsia="zh-CN"/>
              </w:rPr>
              <w:t>风管：≥4.5米；</w:t>
            </w:r>
          </w:p>
          <w:p>
            <w:pPr>
              <w:rPr>
                <w:rFonts w:hint="default"/>
                <w:color w:val="auto"/>
                <w:highlight w:val="none"/>
                <w:lang w:val="en-US" w:eastAsia="zh-CN"/>
              </w:rPr>
            </w:pPr>
            <w:r>
              <w:rPr>
                <w:rFonts w:hint="default"/>
                <w:color w:val="auto"/>
                <w:highlight w:val="none"/>
                <w:lang w:val="en-US" w:eastAsia="zh-CN"/>
              </w:rPr>
              <w:t>重量：≤24kg；</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807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99</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手持防爆电台</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一、一般规格</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频率范围：350-400MHz；信道容量：（常规） 1024；区域（常规）：64（每个区域最多256个信道）；组呼联系人：（集群） 2048；个呼联系人：（集群） 512；组群（集群）： 64（每个组群最多128个组）；工作电压：7.4V(额定)；电池：2400mAh(Li-Ion)；重量（带标配电池和天线）：≤378g；</w:t>
            </w:r>
          </w:p>
          <w:p>
            <w:pPr>
              <w:rPr>
                <w:rFonts w:hint="default"/>
                <w:color w:val="auto"/>
                <w:highlight w:val="none"/>
                <w:lang w:val="en-US" w:eastAsia="zh-CN"/>
              </w:rPr>
            </w:pPr>
            <w:r>
              <w:rPr>
                <w:rFonts w:hint="default"/>
                <w:color w:val="auto"/>
                <w:highlight w:val="none"/>
                <w:lang w:val="en-US" w:eastAsia="zh-CN"/>
              </w:rPr>
              <w:t>二、发射部分</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输出功率： 1W—2.5W； 4FSK数字调制方式：12.5kHz仅数据：7K60FXD、12.5kHz数据和语音：7K60FXW；传导/辐射发射： ≥-36dBm（&lt;1GHz）、≥-30dBm（&gt;1GHz）；</w:t>
            </w:r>
          </w:p>
          <w:p>
            <w:pPr>
              <w:rPr>
                <w:rFonts w:hint="default"/>
                <w:color w:val="auto"/>
                <w:highlight w:val="none"/>
                <w:lang w:val="en-US" w:eastAsia="zh-CN"/>
              </w:rPr>
            </w:pPr>
            <w:r>
              <w:rPr>
                <w:rFonts w:hint="default"/>
                <w:color w:val="auto"/>
                <w:highlight w:val="none"/>
                <w:lang w:val="en-US" w:eastAsia="zh-CN"/>
              </w:rPr>
              <w:t>三、接收部分</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灵敏度模拟:≤0.28μV(12dB SINAD)、≤0.22μV(典型值)(12dB SINAD)、≤0.4μV(20dB SINAD)；数字： ≤0.3μV/BER5%；5、额定音频输出功率： 0.5W；</w:t>
            </w:r>
          </w:p>
          <w:p>
            <w:pPr>
              <w:rPr>
                <w:rFonts w:hint="default"/>
                <w:color w:val="auto"/>
                <w:highlight w:val="none"/>
                <w:lang w:val="en-US" w:eastAsia="zh-CN"/>
              </w:rPr>
            </w:pPr>
            <w:r>
              <w:rPr>
                <w:rFonts w:hint="default"/>
                <w:color w:val="auto"/>
                <w:highlight w:val="none"/>
                <w:lang w:val="en-US" w:eastAsia="zh-CN"/>
              </w:rPr>
              <w:t>四、环境指标</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工作温度范围： -30℃～+60℃；储存温度范围： -40℃～+85℃；</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防水防尘： IP67；防湿 ：按MIL-STD-810 C/D/E/F/G标准；</w:t>
            </w:r>
          </w:p>
          <w:p>
            <w:pPr>
              <w:rPr>
                <w:rFonts w:hint="default"/>
                <w:color w:val="auto"/>
                <w:highlight w:val="none"/>
                <w:lang w:val="en-US" w:eastAsia="zh-CN"/>
              </w:rPr>
            </w:pPr>
            <w:r>
              <w:rPr>
                <w:rFonts w:hint="default"/>
                <w:color w:val="auto"/>
                <w:highlight w:val="none"/>
                <w:lang w:val="en-US" w:eastAsia="zh-CN"/>
              </w:rPr>
              <w:t>五、卫星定位</w:t>
            </w:r>
          </w:p>
          <w:p>
            <w:pPr>
              <w:jc w:val="left"/>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 xml:space="preserve">精确性规范适用于长期跟踪：（95%值&gt;在额定-130dBm信号强度下5个卫星可见）；水平位置精度 ：＜10米；                                                                                               六、防爆等级                                                                   </w:t>
            </w:r>
            <w:r>
              <w:rPr>
                <w:rFonts w:hint="eastAsia"/>
                <w:color w:val="auto"/>
                <w:highlight w:val="none"/>
                <w:lang w:val="en-US" w:eastAsia="zh-CN"/>
              </w:rPr>
              <w:t>1.</w:t>
            </w:r>
            <w:r>
              <w:rPr>
                <w:rFonts w:hint="default"/>
                <w:color w:val="auto"/>
                <w:highlight w:val="none"/>
                <w:lang w:val="en-US" w:eastAsia="zh-CN"/>
              </w:rPr>
              <w:t>对讲机应通过国家电气产品防爆认证，防爆等级不低于Ex ib IIB T3 Gb（爆炸性气体）和Ex ibD 21 T195°C（爆炸性粉尘），响应文件中提供国家防爆电气产品质量监督检验中心颁发的《防爆电气设备防爆合格证》复印件加盖响应供应商公章。</w:t>
            </w:r>
          </w:p>
          <w:p>
            <w:pPr>
              <w:rPr>
                <w:rFonts w:hint="default"/>
                <w:color w:val="auto"/>
                <w:highlight w:val="none"/>
                <w:lang w:val="en-US" w:eastAsia="zh-CN"/>
              </w:rPr>
            </w:pP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7998"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100</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车载台</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jc w:val="left"/>
              <w:rPr>
                <w:rFonts w:hint="default"/>
                <w:color w:val="auto"/>
                <w:highlight w:val="none"/>
                <w:lang w:val="en-US" w:eastAsia="zh-CN"/>
              </w:rPr>
            </w:pPr>
            <w:r>
              <w:rPr>
                <w:rFonts w:hint="eastAsia"/>
                <w:color w:val="auto"/>
                <w:highlight w:val="none"/>
                <w:lang w:val="en-US" w:eastAsia="zh-CN"/>
              </w:rPr>
              <w:t>一、</w:t>
            </w:r>
            <w:r>
              <w:rPr>
                <w:rFonts w:hint="default"/>
                <w:color w:val="auto"/>
                <w:highlight w:val="none"/>
                <w:lang w:val="en-US" w:eastAsia="zh-CN"/>
              </w:rPr>
              <w:t xml:space="preserve">技术需求                                                                                        </w:t>
            </w:r>
            <w:r>
              <w:rPr>
                <w:rFonts w:hint="eastAsia"/>
                <w:color w:val="auto"/>
                <w:highlight w:val="none"/>
                <w:lang w:val="en-US" w:eastAsia="zh-CN"/>
              </w:rPr>
              <w:t>1.</w:t>
            </w:r>
            <w:r>
              <w:rPr>
                <w:rFonts w:hint="default"/>
                <w:color w:val="auto"/>
                <w:highlight w:val="none"/>
                <w:lang w:val="en-US" w:eastAsia="zh-CN"/>
              </w:rPr>
              <w:t>车载台须具有中华人民共和国工业和信息化部颁发的《无线电发射设备型号核准证》，具有公安部检测中心出具的设备检测报告，响应文件中提供检测报告复印件复印件加盖响应供应商公章。</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车载台须具备良好的防水防尘功能，防尘防水等级≥IP54，并</w:t>
            </w:r>
            <w:r>
              <w:rPr>
                <w:rFonts w:hint="eastAsia"/>
                <w:color w:val="auto"/>
                <w:highlight w:val="none"/>
                <w:lang w:val="en-US" w:eastAsia="zh-CN"/>
              </w:rPr>
              <w:t>响应文件中</w:t>
            </w:r>
            <w:r>
              <w:rPr>
                <w:rFonts w:hint="default"/>
                <w:color w:val="auto"/>
                <w:highlight w:val="none"/>
                <w:lang w:val="en-US" w:eastAsia="zh-CN"/>
              </w:rPr>
              <w:t>提供相关证明材料</w:t>
            </w:r>
            <w:r>
              <w:rPr>
                <w:rFonts w:hint="eastAsia"/>
                <w:color w:val="auto"/>
                <w:highlight w:val="none"/>
                <w:lang w:val="en-US" w:eastAsia="zh-CN"/>
              </w:rPr>
              <w:t>复印件加盖响应供应商公章</w:t>
            </w:r>
            <w:r>
              <w:rPr>
                <w:rFonts w:hint="default"/>
                <w:color w:val="auto"/>
                <w:highlight w:val="none"/>
                <w:lang w:val="en-US" w:eastAsia="zh-CN"/>
              </w:rPr>
              <w:t xml:space="preserve">；           </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车载台应具有大屏显示，屏幕尺寸≥2.0吋，显示屏文字显示≥6行。</w:t>
            </w:r>
          </w:p>
          <w:p>
            <w:pPr>
              <w:jc w:val="left"/>
              <w:rPr>
                <w:rFonts w:hint="default"/>
                <w:color w:val="auto"/>
                <w:highlight w:val="none"/>
                <w:lang w:val="en-US" w:eastAsia="zh-CN"/>
              </w:rPr>
            </w:pPr>
            <w:r>
              <w:rPr>
                <w:rFonts w:hint="default"/>
                <w:color w:val="auto"/>
                <w:highlight w:val="none"/>
                <w:lang w:val="en-US" w:eastAsia="zh-CN"/>
              </w:rPr>
              <w:t>二、技术参数                                                                                                （一）一般规格</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频率范围：350-400MHz；信道容量：≥1024；组群：≥64（每组群≥16个组）；工作电压：13.6V±15%；</w:t>
            </w:r>
          </w:p>
          <w:p>
            <w:pPr>
              <w:rPr>
                <w:rFonts w:hint="default"/>
                <w:color w:val="auto"/>
                <w:highlight w:val="none"/>
                <w:lang w:val="en-US" w:eastAsia="zh-CN"/>
              </w:rPr>
            </w:pPr>
            <w:r>
              <w:rPr>
                <w:rFonts w:hint="default"/>
                <w:color w:val="auto"/>
                <w:highlight w:val="none"/>
                <w:lang w:val="en-US" w:eastAsia="zh-CN"/>
              </w:rPr>
              <w:t>（二）发射指标</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输出功率：5-25W； 4FSK数字调制方式：12.5kHz仅数据：7K60FXD、12.5kHz数据和语音：7K60FXW；传导/辐射发射：36dBm＜1GHz、-30dBm＞1GHz；</w:t>
            </w:r>
          </w:p>
          <w:p>
            <w:pPr>
              <w:rPr>
                <w:rFonts w:hint="default"/>
                <w:color w:val="auto"/>
                <w:highlight w:val="none"/>
                <w:lang w:val="en-US" w:eastAsia="zh-CN"/>
              </w:rPr>
            </w:pPr>
            <w:r>
              <w:rPr>
                <w:rFonts w:hint="default"/>
                <w:color w:val="auto"/>
                <w:highlight w:val="none"/>
                <w:lang w:val="en-US" w:eastAsia="zh-CN"/>
              </w:rPr>
              <w:t>（三）接收指标</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接收灵敏度：≤0.3μV/BER5%；额定音频输出功率：≥3W；</w:t>
            </w:r>
          </w:p>
          <w:p>
            <w:pPr>
              <w:rPr>
                <w:rFonts w:hint="default"/>
                <w:color w:val="auto"/>
                <w:highlight w:val="none"/>
                <w:lang w:val="en-US" w:eastAsia="zh-CN"/>
              </w:rPr>
            </w:pPr>
            <w:r>
              <w:rPr>
                <w:rFonts w:hint="default"/>
                <w:color w:val="auto"/>
                <w:highlight w:val="none"/>
                <w:lang w:val="en-US" w:eastAsia="zh-CN"/>
              </w:rPr>
              <w:t>（四）、环境指标</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工作温度范围：≥-30℃～+60℃；储存温度范围：≥-40℃～+85℃；</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防尘防水：≥IP54；</w:t>
            </w:r>
          </w:p>
          <w:p>
            <w:pPr>
              <w:rPr>
                <w:rFonts w:hint="default"/>
                <w:color w:val="auto"/>
                <w:highlight w:val="none"/>
                <w:lang w:val="en-US" w:eastAsia="zh-CN"/>
              </w:rPr>
            </w:pPr>
            <w:r>
              <w:rPr>
                <w:rFonts w:hint="default"/>
                <w:color w:val="auto"/>
                <w:highlight w:val="none"/>
                <w:lang w:val="en-US" w:eastAsia="zh-CN"/>
              </w:rPr>
              <w:t>（五）、定位指标</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TTFF（首次定位时间）冷启动：＜1分； TTFF（首次定位时间）热启动：＜10秒；水平位置精度：＜10米；</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1174"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101</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4G布控球机</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一、基本要求：</w:t>
            </w:r>
          </w:p>
          <w:p>
            <w:pPr>
              <w:rPr>
                <w:rFonts w:hint="default"/>
                <w:color w:val="auto"/>
                <w:highlight w:val="none"/>
                <w:lang w:val="en-US" w:eastAsia="zh-CN"/>
              </w:rPr>
            </w:pPr>
            <w:r>
              <w:rPr>
                <w:rFonts w:hint="default"/>
                <w:color w:val="auto"/>
                <w:highlight w:val="none"/>
                <w:lang w:val="en-US" w:eastAsia="zh-CN"/>
              </w:rPr>
              <w:t>1.要求接入江苏省消防总队现场图传平台，并支持接入部局图综平台；要求融入南通支队现有的图传客户端软件；</w:t>
            </w:r>
          </w:p>
          <w:p>
            <w:pPr>
              <w:rPr>
                <w:rFonts w:hint="default"/>
                <w:color w:val="auto"/>
                <w:highlight w:val="none"/>
                <w:lang w:val="en-US" w:eastAsia="zh-CN"/>
              </w:rPr>
            </w:pPr>
            <w:r>
              <w:rPr>
                <w:rFonts w:hint="default"/>
                <w:color w:val="auto"/>
                <w:highlight w:val="none"/>
                <w:lang w:val="en-US" w:eastAsia="zh-CN"/>
              </w:rPr>
              <w:t>二、 技术参数：</w:t>
            </w:r>
          </w:p>
          <w:p>
            <w:pPr>
              <w:rPr>
                <w:rFonts w:hint="default"/>
                <w:color w:val="auto"/>
                <w:highlight w:val="none"/>
                <w:lang w:val="en-US" w:eastAsia="zh-CN"/>
              </w:rPr>
            </w:pPr>
            <w:r>
              <w:rPr>
                <w:rFonts w:hint="default"/>
                <w:color w:val="auto"/>
                <w:highlight w:val="none"/>
                <w:lang w:val="en-US" w:eastAsia="zh-CN"/>
              </w:rPr>
              <w:t>1. 产品要求具备航空头接口，双SIM卡传输，双TF卡存储，双音频输入；</w:t>
            </w:r>
          </w:p>
          <w:p>
            <w:pPr>
              <w:rPr>
                <w:rFonts w:hint="default"/>
                <w:color w:val="auto"/>
                <w:highlight w:val="none"/>
                <w:lang w:val="en-US" w:eastAsia="zh-CN"/>
              </w:rPr>
            </w:pPr>
            <w:r>
              <w:rPr>
                <w:rFonts w:hint="default"/>
                <w:color w:val="auto"/>
                <w:highlight w:val="none"/>
                <w:lang w:val="en-US" w:eastAsia="zh-CN"/>
              </w:rPr>
              <w:t>2. 产品采用一体化设计，内置电池，无线图传模块，视频编解码模块一体化设计，设备本身无外接线，尺寸不大于220mmxφ140mmxφ140mm；</w:t>
            </w:r>
          </w:p>
          <w:p>
            <w:pPr>
              <w:rPr>
                <w:rFonts w:hint="default"/>
                <w:color w:val="auto"/>
                <w:highlight w:val="none"/>
                <w:lang w:val="en-US" w:eastAsia="zh-CN"/>
              </w:rPr>
            </w:pPr>
            <w:r>
              <w:rPr>
                <w:rFonts w:hint="default"/>
                <w:color w:val="auto"/>
                <w:highlight w:val="none"/>
                <w:lang w:val="en-US" w:eastAsia="zh-CN"/>
              </w:rPr>
              <w:t>3. 编码算法：支持H.264/H.265算法编码，音频编码至少支持两种或以上；</w:t>
            </w:r>
          </w:p>
          <w:p>
            <w:pPr>
              <w:rPr>
                <w:rFonts w:hint="default"/>
                <w:color w:val="auto"/>
                <w:highlight w:val="none"/>
                <w:lang w:val="en-US" w:eastAsia="zh-CN"/>
              </w:rPr>
            </w:pPr>
            <w:r>
              <w:rPr>
                <w:rFonts w:hint="default"/>
                <w:color w:val="auto"/>
                <w:highlight w:val="none"/>
                <w:lang w:val="en-US" w:eastAsia="zh-CN"/>
              </w:rPr>
              <w:t>4. 要求支持双码流，本地存储支持1920x1080，远程实时传输支持1920x1080，帧率1-30帧可调，码率64kbps-10Mbps可调；</w:t>
            </w:r>
          </w:p>
          <w:p>
            <w:pPr>
              <w:rPr>
                <w:rFonts w:hint="default"/>
                <w:color w:val="auto"/>
                <w:highlight w:val="none"/>
                <w:lang w:val="en-US" w:eastAsia="zh-CN"/>
              </w:rPr>
            </w:pPr>
            <w:r>
              <w:rPr>
                <w:rFonts w:hint="default"/>
                <w:color w:val="auto"/>
                <w:highlight w:val="none"/>
                <w:lang w:val="en-US" w:eastAsia="zh-CN"/>
              </w:rPr>
              <w:t>5. 云台支持水平360°无限位、垂直-15°至90°转动；</w:t>
            </w:r>
          </w:p>
          <w:p>
            <w:pPr>
              <w:rPr>
                <w:rFonts w:hint="default"/>
                <w:color w:val="auto"/>
                <w:highlight w:val="none"/>
                <w:lang w:val="en-US" w:eastAsia="zh-CN"/>
              </w:rPr>
            </w:pPr>
            <w:r>
              <w:rPr>
                <w:rFonts w:hint="default"/>
                <w:color w:val="auto"/>
                <w:highlight w:val="none"/>
                <w:lang w:val="en-US" w:eastAsia="zh-CN"/>
              </w:rPr>
              <w:t>6. 星光级机芯，36倍光学变焦，12倍数字变焦；</w:t>
            </w:r>
          </w:p>
          <w:p>
            <w:pPr>
              <w:rPr>
                <w:rFonts w:hint="default"/>
                <w:color w:val="auto"/>
                <w:highlight w:val="none"/>
                <w:lang w:val="en-US" w:eastAsia="zh-CN"/>
              </w:rPr>
            </w:pPr>
            <w:r>
              <w:rPr>
                <w:rFonts w:hint="default"/>
                <w:color w:val="auto"/>
                <w:highlight w:val="none"/>
                <w:lang w:val="en-US" w:eastAsia="zh-CN"/>
              </w:rPr>
              <w:t>7. 设备要求支持远程控制功能，可响应控制设备发出的水平、垂直和变焦命令；</w:t>
            </w:r>
          </w:p>
          <w:p>
            <w:pPr>
              <w:rPr>
                <w:rFonts w:hint="default"/>
                <w:color w:val="auto"/>
                <w:highlight w:val="none"/>
                <w:lang w:val="en-US" w:eastAsia="zh-CN"/>
              </w:rPr>
            </w:pPr>
            <w:r>
              <w:rPr>
                <w:rFonts w:hint="default"/>
                <w:color w:val="auto"/>
                <w:highlight w:val="none"/>
                <w:lang w:val="en-US" w:eastAsia="zh-CN"/>
              </w:rPr>
              <w:t>8. 支持红外夜视，夜间识别可识别不小于100米目标处人体轮廓；</w:t>
            </w:r>
          </w:p>
          <w:p>
            <w:pPr>
              <w:rPr>
                <w:rFonts w:hint="default"/>
                <w:color w:val="auto"/>
                <w:highlight w:val="none"/>
                <w:lang w:val="en-US" w:eastAsia="zh-CN"/>
              </w:rPr>
            </w:pPr>
            <w:r>
              <w:rPr>
                <w:rFonts w:hint="default"/>
                <w:color w:val="auto"/>
                <w:highlight w:val="none"/>
                <w:lang w:val="en-US" w:eastAsia="zh-CN"/>
              </w:rPr>
              <w:t>9. 采用4G全网通模块，支持中国移动/电信/联通三大运营商及专网接入，支持双卡绑定同传；</w:t>
            </w:r>
          </w:p>
          <w:p>
            <w:pPr>
              <w:rPr>
                <w:rFonts w:hint="default"/>
                <w:color w:val="auto"/>
                <w:highlight w:val="none"/>
                <w:lang w:val="en-US" w:eastAsia="zh-CN"/>
              </w:rPr>
            </w:pPr>
            <w:r>
              <w:rPr>
                <w:rFonts w:hint="default"/>
                <w:color w:val="auto"/>
                <w:highlight w:val="none"/>
                <w:lang w:val="en-US" w:eastAsia="zh-CN"/>
              </w:rPr>
              <w:t>10. 支持WIFI/AP功能，支持WIFI/AP一键切换，支持路由功能，其他网络设备可通过该终端上网；</w:t>
            </w:r>
          </w:p>
          <w:p>
            <w:pPr>
              <w:rPr>
                <w:rFonts w:hint="default"/>
                <w:color w:val="auto"/>
                <w:highlight w:val="none"/>
                <w:lang w:val="en-US" w:eastAsia="zh-CN"/>
              </w:rPr>
            </w:pPr>
            <w:r>
              <w:rPr>
                <w:rFonts w:hint="default"/>
                <w:color w:val="auto"/>
                <w:highlight w:val="none"/>
                <w:lang w:val="en-US" w:eastAsia="zh-CN"/>
              </w:rPr>
              <w:t>11. 支持GPS/北斗/基站定位，能够在画面中叠加经纬度信息；</w:t>
            </w:r>
          </w:p>
          <w:p>
            <w:pPr>
              <w:rPr>
                <w:rFonts w:hint="default"/>
                <w:color w:val="auto"/>
                <w:highlight w:val="none"/>
                <w:lang w:val="en-US" w:eastAsia="zh-CN"/>
              </w:rPr>
            </w:pPr>
            <w:r>
              <w:rPr>
                <w:rFonts w:hint="default"/>
                <w:color w:val="auto"/>
                <w:highlight w:val="none"/>
                <w:lang w:val="en-US" w:eastAsia="zh-CN"/>
              </w:rPr>
              <w:t>12. 支持蓝牙通讯，能够保存蓝牙配对信息，无需每次启动时重新配对；支持手机软件配置蓝牙耳机；</w:t>
            </w:r>
          </w:p>
          <w:p>
            <w:pPr>
              <w:rPr>
                <w:rFonts w:hint="default"/>
                <w:color w:val="auto"/>
                <w:highlight w:val="none"/>
                <w:lang w:val="en-US" w:eastAsia="zh-CN"/>
              </w:rPr>
            </w:pPr>
            <w:r>
              <w:rPr>
                <w:rFonts w:hint="default"/>
                <w:color w:val="auto"/>
                <w:highlight w:val="none"/>
                <w:lang w:val="en-US" w:eastAsia="zh-CN"/>
              </w:rPr>
              <w:t>13. 内置大容量锂电池，连续工作时间不低于8小时，可支持配置一体化电池底座，连续工作时间不低于18小时；</w:t>
            </w:r>
          </w:p>
          <w:p>
            <w:pPr>
              <w:rPr>
                <w:rFonts w:hint="default"/>
                <w:color w:val="auto"/>
                <w:highlight w:val="none"/>
                <w:lang w:val="en-US" w:eastAsia="zh-CN"/>
              </w:rPr>
            </w:pPr>
            <w:r>
              <w:rPr>
                <w:rFonts w:hint="default"/>
                <w:color w:val="auto"/>
                <w:highlight w:val="none"/>
                <w:lang w:val="en-US" w:eastAsia="zh-CN"/>
              </w:rPr>
              <w:t>14. 支持电量查询与低电量报警；</w:t>
            </w:r>
          </w:p>
          <w:p>
            <w:pPr>
              <w:rPr>
                <w:rFonts w:hint="default"/>
                <w:color w:val="auto"/>
                <w:highlight w:val="none"/>
                <w:lang w:val="en-US" w:eastAsia="zh-CN"/>
              </w:rPr>
            </w:pPr>
            <w:r>
              <w:rPr>
                <w:rFonts w:hint="default"/>
                <w:color w:val="auto"/>
                <w:highlight w:val="none"/>
                <w:lang w:val="en-US" w:eastAsia="zh-CN"/>
              </w:rPr>
              <w:t>15. 支持双TF卡存储，单卡支持128GB存储空间;</w:t>
            </w:r>
          </w:p>
          <w:p>
            <w:pPr>
              <w:rPr>
                <w:rFonts w:hint="default"/>
                <w:color w:val="auto"/>
                <w:highlight w:val="none"/>
                <w:lang w:val="en-US" w:eastAsia="zh-CN"/>
              </w:rPr>
            </w:pPr>
            <w:r>
              <w:rPr>
                <w:rFonts w:hint="default"/>
                <w:color w:val="auto"/>
                <w:highlight w:val="none"/>
                <w:lang w:val="en-US" w:eastAsia="zh-CN"/>
              </w:rPr>
              <w:t>16.  支持图像回放功能，可在电脑上对录像文件、图片进行回放;</w:t>
            </w:r>
          </w:p>
          <w:p>
            <w:pPr>
              <w:rPr>
                <w:rFonts w:hint="default"/>
                <w:color w:val="auto"/>
                <w:highlight w:val="none"/>
                <w:lang w:val="en-US" w:eastAsia="zh-CN"/>
              </w:rPr>
            </w:pPr>
            <w:r>
              <w:rPr>
                <w:rFonts w:hint="default"/>
                <w:color w:val="auto"/>
                <w:highlight w:val="none"/>
                <w:lang w:val="en-US" w:eastAsia="zh-CN"/>
              </w:rPr>
              <w:t>17. 支持在抓拍图片和录像文件中添加水印信息，并可通过专用播放器检测到水印信息；</w:t>
            </w:r>
          </w:p>
          <w:p>
            <w:pPr>
              <w:rPr>
                <w:rFonts w:hint="default"/>
                <w:color w:val="auto"/>
                <w:highlight w:val="none"/>
                <w:lang w:val="en-US" w:eastAsia="zh-CN"/>
              </w:rPr>
            </w:pPr>
            <w:r>
              <w:rPr>
                <w:rFonts w:hint="default"/>
                <w:color w:val="auto"/>
                <w:highlight w:val="none"/>
                <w:lang w:val="en-US" w:eastAsia="zh-CN"/>
              </w:rPr>
              <w:t>18. 支持GPS/北斗/基站定位，能够在画面中叠加经纬度信息。</w:t>
            </w:r>
          </w:p>
          <w:p>
            <w:pPr>
              <w:rPr>
                <w:rFonts w:hint="default"/>
                <w:color w:val="auto"/>
                <w:highlight w:val="none"/>
                <w:lang w:val="en-US" w:eastAsia="zh-CN"/>
              </w:rPr>
            </w:pPr>
            <w:r>
              <w:rPr>
                <w:rFonts w:hint="default"/>
                <w:color w:val="auto"/>
                <w:highlight w:val="none"/>
                <w:lang w:val="en-US" w:eastAsia="zh-CN"/>
              </w:rPr>
              <w:t>19.  高低温适应区间要求 -30°至60°；</w:t>
            </w:r>
          </w:p>
          <w:p>
            <w:pPr>
              <w:rPr>
                <w:rFonts w:hint="default"/>
                <w:color w:val="auto"/>
                <w:highlight w:val="none"/>
                <w:lang w:val="en-US" w:eastAsia="zh-CN"/>
              </w:rPr>
            </w:pPr>
            <w:r>
              <w:rPr>
                <w:rFonts w:hint="default"/>
                <w:color w:val="auto"/>
                <w:highlight w:val="none"/>
                <w:lang w:val="en-US" w:eastAsia="zh-CN"/>
              </w:rPr>
              <w:t>20.  设备防护等级达到IP66或以上。</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796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102</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4G单兵</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基本要求：</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要求接入江苏省消防总队现场图传平台，并支持接入部局图综平台；要求融入南通支队现有的图传客户端软件；</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可通过手机APP访问图传平台进行图像浏览和语音对讲。</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设备自带HDMI接口，方便接入DV摄像机视频。</w:t>
            </w:r>
          </w:p>
          <w:p>
            <w:pPr>
              <w:rPr>
                <w:rFonts w:hint="default"/>
                <w:color w:val="auto"/>
                <w:highlight w:val="none"/>
                <w:lang w:val="en-US" w:eastAsia="zh-CN"/>
              </w:rPr>
            </w:pPr>
            <w:r>
              <w:rPr>
                <w:rFonts w:hint="default"/>
                <w:color w:val="auto"/>
                <w:highlight w:val="none"/>
                <w:lang w:val="en-US" w:eastAsia="zh-CN"/>
              </w:rPr>
              <w:t>技术参数：</w:t>
            </w:r>
          </w:p>
          <w:p>
            <w:pPr>
              <w:rPr>
                <w:rFonts w:hint="default"/>
                <w:color w:val="auto"/>
                <w:highlight w:val="none"/>
                <w:lang w:val="en-US" w:eastAsia="zh-CN"/>
              </w:rPr>
            </w:pPr>
            <w:r>
              <w:rPr>
                <w:rFonts w:hint="default"/>
                <w:color w:val="auto"/>
                <w:highlight w:val="none"/>
                <w:lang w:val="en-US" w:eastAsia="zh-CN"/>
              </w:rPr>
              <w:t>1</w:t>
            </w:r>
            <w:r>
              <w:rPr>
                <w:rFonts w:hint="eastAsia"/>
                <w:color w:val="auto"/>
                <w:highlight w:val="none"/>
                <w:lang w:val="en-US" w:eastAsia="zh-CN"/>
              </w:rPr>
              <w:t>.</w:t>
            </w:r>
            <w:r>
              <w:rPr>
                <w:rFonts w:hint="default"/>
                <w:color w:val="auto"/>
                <w:highlight w:val="none"/>
                <w:lang w:val="en-US" w:eastAsia="zh-CN"/>
              </w:rPr>
              <w:t>系统特性：专业图像编码设备， Android5.0以上操作系统；</w:t>
            </w:r>
          </w:p>
          <w:p>
            <w:pPr>
              <w:rPr>
                <w:rFonts w:hint="default"/>
                <w:color w:val="auto"/>
                <w:highlight w:val="none"/>
                <w:lang w:val="en-US" w:eastAsia="zh-CN"/>
              </w:rPr>
            </w:pPr>
            <w:r>
              <w:rPr>
                <w:rFonts w:hint="default"/>
                <w:color w:val="auto"/>
                <w:highlight w:val="none"/>
                <w:lang w:val="en-US" w:eastAsia="zh-CN"/>
              </w:rPr>
              <w:t>2</w:t>
            </w:r>
            <w:r>
              <w:rPr>
                <w:rFonts w:hint="eastAsia"/>
                <w:color w:val="auto"/>
                <w:highlight w:val="none"/>
                <w:lang w:val="en-US" w:eastAsia="zh-CN"/>
              </w:rPr>
              <w:t>.</w:t>
            </w:r>
            <w:r>
              <w:rPr>
                <w:rFonts w:hint="default"/>
                <w:color w:val="auto"/>
                <w:highlight w:val="none"/>
                <w:lang w:val="en-US" w:eastAsia="zh-CN"/>
              </w:rPr>
              <w:t>视频接口：支持HDMI接口，支持高清视频输入输出；</w:t>
            </w:r>
          </w:p>
          <w:p>
            <w:pPr>
              <w:rPr>
                <w:rFonts w:hint="default"/>
                <w:color w:val="auto"/>
                <w:highlight w:val="none"/>
                <w:lang w:val="en-US" w:eastAsia="zh-CN"/>
              </w:rPr>
            </w:pPr>
            <w:r>
              <w:rPr>
                <w:rFonts w:hint="default"/>
                <w:color w:val="auto"/>
                <w:highlight w:val="none"/>
                <w:lang w:val="en-US" w:eastAsia="zh-CN"/>
              </w:rPr>
              <w:t>3</w:t>
            </w:r>
            <w:r>
              <w:rPr>
                <w:rFonts w:hint="eastAsia"/>
                <w:color w:val="auto"/>
                <w:highlight w:val="none"/>
                <w:lang w:val="en-US" w:eastAsia="zh-CN"/>
              </w:rPr>
              <w:t>.</w:t>
            </w:r>
            <w:r>
              <w:rPr>
                <w:rFonts w:hint="default"/>
                <w:color w:val="auto"/>
                <w:highlight w:val="none"/>
                <w:lang w:val="en-US" w:eastAsia="zh-CN"/>
              </w:rPr>
              <w:t>视频编码特性：支持H.264/H.265压缩编码，支持720P，1080P高清视频传输；</w:t>
            </w:r>
          </w:p>
          <w:p>
            <w:pPr>
              <w:rPr>
                <w:rFonts w:hint="default"/>
                <w:color w:val="auto"/>
                <w:highlight w:val="none"/>
                <w:lang w:val="en-US" w:eastAsia="zh-CN"/>
              </w:rPr>
            </w:pPr>
            <w:r>
              <w:rPr>
                <w:rFonts w:hint="default"/>
                <w:color w:val="auto"/>
                <w:highlight w:val="none"/>
                <w:lang w:val="en-US" w:eastAsia="zh-CN"/>
              </w:rPr>
              <w:t>4</w:t>
            </w:r>
            <w:r>
              <w:rPr>
                <w:rFonts w:hint="eastAsia"/>
                <w:color w:val="auto"/>
                <w:highlight w:val="none"/>
                <w:lang w:val="en-US" w:eastAsia="zh-CN"/>
              </w:rPr>
              <w:t>.</w:t>
            </w:r>
            <w:r>
              <w:rPr>
                <w:rFonts w:hint="default"/>
                <w:color w:val="auto"/>
                <w:highlight w:val="none"/>
                <w:lang w:val="en-US" w:eastAsia="zh-CN"/>
              </w:rPr>
              <w:t>设备内置双摄像头：前置不低于500万，后置不低于1200万像素；</w:t>
            </w:r>
          </w:p>
          <w:p>
            <w:pPr>
              <w:rPr>
                <w:rFonts w:hint="default"/>
                <w:color w:val="auto"/>
                <w:highlight w:val="none"/>
                <w:lang w:val="en-US" w:eastAsia="zh-CN"/>
              </w:rPr>
            </w:pPr>
            <w:r>
              <w:rPr>
                <w:rFonts w:hint="default"/>
                <w:color w:val="auto"/>
                <w:highlight w:val="none"/>
                <w:lang w:val="en-US" w:eastAsia="zh-CN"/>
              </w:rPr>
              <w:t>5</w:t>
            </w:r>
            <w:r>
              <w:rPr>
                <w:rFonts w:hint="eastAsia"/>
                <w:color w:val="auto"/>
                <w:highlight w:val="none"/>
                <w:lang w:val="en-US" w:eastAsia="zh-CN"/>
              </w:rPr>
              <w:t>.</w:t>
            </w:r>
            <w:r>
              <w:rPr>
                <w:rFonts w:hint="default"/>
                <w:color w:val="auto"/>
                <w:highlight w:val="none"/>
                <w:lang w:val="en-US" w:eastAsia="zh-CN"/>
              </w:rPr>
              <w:t>语音对讲：支持双向语音对讲，采样率不低于8K，音频编码支持G711A、G711U、AAC、ADPCM可选。支持噪声消除和回音抑制；</w:t>
            </w:r>
          </w:p>
          <w:p>
            <w:pPr>
              <w:rPr>
                <w:rFonts w:hint="default"/>
                <w:color w:val="auto"/>
                <w:highlight w:val="none"/>
                <w:lang w:val="en-US" w:eastAsia="zh-CN"/>
              </w:rPr>
            </w:pPr>
            <w:r>
              <w:rPr>
                <w:rFonts w:hint="default"/>
                <w:color w:val="auto"/>
                <w:highlight w:val="none"/>
                <w:lang w:val="en-US" w:eastAsia="zh-CN"/>
              </w:rPr>
              <w:t>6</w:t>
            </w:r>
            <w:r>
              <w:rPr>
                <w:rFonts w:hint="eastAsia"/>
                <w:color w:val="auto"/>
                <w:highlight w:val="none"/>
                <w:lang w:val="en-US" w:eastAsia="zh-CN"/>
              </w:rPr>
              <w:t>.</w:t>
            </w:r>
            <w:r>
              <w:rPr>
                <w:rFonts w:hint="default"/>
                <w:color w:val="auto"/>
                <w:highlight w:val="none"/>
                <w:lang w:val="en-US" w:eastAsia="zh-CN"/>
              </w:rPr>
              <w:t>本地录像：采用TF卡存储，最高支持128GB存储空间；</w:t>
            </w:r>
          </w:p>
          <w:p>
            <w:pPr>
              <w:rPr>
                <w:rFonts w:hint="default"/>
                <w:color w:val="auto"/>
                <w:highlight w:val="none"/>
                <w:lang w:val="en-US" w:eastAsia="zh-CN"/>
              </w:rPr>
            </w:pPr>
            <w:r>
              <w:rPr>
                <w:rFonts w:hint="default"/>
                <w:color w:val="auto"/>
                <w:highlight w:val="none"/>
                <w:lang w:val="en-US" w:eastAsia="zh-CN"/>
              </w:rPr>
              <w:t>7</w:t>
            </w:r>
            <w:r>
              <w:rPr>
                <w:rFonts w:hint="eastAsia"/>
                <w:color w:val="auto"/>
                <w:highlight w:val="none"/>
                <w:lang w:val="en-US" w:eastAsia="zh-CN"/>
              </w:rPr>
              <w:t>.</w:t>
            </w:r>
            <w:r>
              <w:rPr>
                <w:rFonts w:hint="default"/>
                <w:color w:val="auto"/>
                <w:highlight w:val="none"/>
                <w:lang w:val="en-US" w:eastAsia="zh-CN"/>
              </w:rPr>
              <w:t>扬声器：内置扬声器，功率≥1500mW；</w:t>
            </w:r>
          </w:p>
          <w:p>
            <w:pPr>
              <w:rPr>
                <w:rFonts w:hint="default"/>
                <w:color w:val="auto"/>
                <w:highlight w:val="none"/>
                <w:lang w:val="en-US" w:eastAsia="zh-CN"/>
              </w:rPr>
            </w:pPr>
            <w:r>
              <w:rPr>
                <w:rFonts w:hint="default"/>
                <w:color w:val="auto"/>
                <w:highlight w:val="none"/>
                <w:lang w:val="en-US" w:eastAsia="zh-CN"/>
              </w:rPr>
              <w:t>8</w:t>
            </w:r>
            <w:r>
              <w:rPr>
                <w:rFonts w:hint="eastAsia"/>
                <w:color w:val="auto"/>
                <w:highlight w:val="none"/>
                <w:lang w:val="en-US" w:eastAsia="zh-CN"/>
              </w:rPr>
              <w:t>.</w:t>
            </w:r>
            <w:r>
              <w:rPr>
                <w:rFonts w:hint="default"/>
                <w:color w:val="auto"/>
                <w:highlight w:val="none"/>
                <w:lang w:val="en-US" w:eastAsia="zh-CN"/>
              </w:rPr>
              <w:t>显示屏：高亮触摸显示屏，强光下可见；尺寸3.5inch，分辨率480x800；支持手套触摸；</w:t>
            </w:r>
          </w:p>
          <w:p>
            <w:pPr>
              <w:rPr>
                <w:rFonts w:hint="default"/>
                <w:color w:val="auto"/>
                <w:highlight w:val="none"/>
                <w:lang w:val="en-US" w:eastAsia="zh-CN"/>
              </w:rPr>
            </w:pPr>
            <w:r>
              <w:rPr>
                <w:rFonts w:hint="default"/>
                <w:color w:val="auto"/>
                <w:highlight w:val="none"/>
                <w:lang w:val="en-US" w:eastAsia="zh-CN"/>
              </w:rPr>
              <w:t>9</w:t>
            </w:r>
            <w:r>
              <w:rPr>
                <w:rFonts w:hint="eastAsia"/>
                <w:color w:val="auto"/>
                <w:highlight w:val="none"/>
                <w:lang w:val="en-US" w:eastAsia="zh-CN"/>
              </w:rPr>
              <w:t>.</w:t>
            </w:r>
            <w:r>
              <w:rPr>
                <w:rFonts w:hint="default"/>
                <w:color w:val="auto"/>
                <w:highlight w:val="none"/>
                <w:lang w:val="en-US" w:eastAsia="zh-CN"/>
              </w:rPr>
              <w:t>WIFI/蓝牙：2.4GHz &amp; 5.8GHz 802.11 b/g/n/ac；蓝牙4.0以上；</w:t>
            </w:r>
          </w:p>
          <w:p>
            <w:pPr>
              <w:rPr>
                <w:rFonts w:hint="default"/>
                <w:color w:val="auto"/>
                <w:highlight w:val="none"/>
                <w:lang w:val="en-US" w:eastAsia="zh-CN"/>
              </w:rPr>
            </w:pPr>
            <w:r>
              <w:rPr>
                <w:rFonts w:hint="default"/>
                <w:color w:val="auto"/>
                <w:highlight w:val="none"/>
                <w:lang w:val="en-US" w:eastAsia="zh-CN"/>
              </w:rPr>
              <w:t>10</w:t>
            </w:r>
            <w:r>
              <w:rPr>
                <w:rFonts w:hint="eastAsia"/>
                <w:color w:val="auto"/>
                <w:highlight w:val="none"/>
                <w:lang w:val="en-US" w:eastAsia="zh-CN"/>
              </w:rPr>
              <w:t>.</w:t>
            </w:r>
            <w:r>
              <w:rPr>
                <w:rFonts w:hint="default"/>
                <w:color w:val="auto"/>
                <w:highlight w:val="none"/>
                <w:lang w:val="en-US" w:eastAsia="zh-CN"/>
              </w:rPr>
              <w:t>定位：支持内置GPS、北斗双模，支持基站定位；</w:t>
            </w:r>
          </w:p>
          <w:p>
            <w:pPr>
              <w:rPr>
                <w:rFonts w:hint="default"/>
                <w:color w:val="auto"/>
                <w:highlight w:val="none"/>
                <w:lang w:val="en-US" w:eastAsia="zh-CN"/>
              </w:rPr>
            </w:pPr>
            <w:r>
              <w:rPr>
                <w:rFonts w:hint="default"/>
                <w:color w:val="auto"/>
                <w:highlight w:val="none"/>
                <w:lang w:val="en-US" w:eastAsia="zh-CN"/>
              </w:rPr>
              <w:t>11</w:t>
            </w:r>
            <w:r>
              <w:rPr>
                <w:rFonts w:hint="eastAsia"/>
                <w:color w:val="auto"/>
                <w:highlight w:val="none"/>
                <w:lang w:val="en-US" w:eastAsia="zh-CN"/>
              </w:rPr>
              <w:t>.</w:t>
            </w:r>
            <w:r>
              <w:rPr>
                <w:rFonts w:hint="default"/>
                <w:color w:val="auto"/>
                <w:highlight w:val="none"/>
                <w:lang w:val="en-US" w:eastAsia="zh-CN"/>
              </w:rPr>
              <w:t>USIM卡：支持双卡双待；</w:t>
            </w:r>
          </w:p>
          <w:p>
            <w:pPr>
              <w:rPr>
                <w:rFonts w:hint="default"/>
                <w:color w:val="auto"/>
                <w:highlight w:val="none"/>
                <w:lang w:val="en-US" w:eastAsia="zh-CN"/>
              </w:rPr>
            </w:pPr>
            <w:r>
              <w:rPr>
                <w:rFonts w:hint="default"/>
                <w:color w:val="auto"/>
                <w:highlight w:val="none"/>
                <w:lang w:val="en-US" w:eastAsia="zh-CN"/>
              </w:rPr>
              <w:t>12</w:t>
            </w:r>
            <w:r>
              <w:rPr>
                <w:rFonts w:hint="eastAsia"/>
                <w:color w:val="auto"/>
                <w:highlight w:val="none"/>
                <w:lang w:val="en-US" w:eastAsia="zh-CN"/>
              </w:rPr>
              <w:t>.</w:t>
            </w:r>
            <w:r>
              <w:rPr>
                <w:rFonts w:hint="default"/>
                <w:color w:val="auto"/>
                <w:highlight w:val="none"/>
                <w:lang w:val="en-US" w:eastAsia="zh-CN"/>
              </w:rPr>
              <w:t>传感器：支持光、重力、陀螺仪、磁感、压力、温度等环境数据采集；</w:t>
            </w:r>
          </w:p>
          <w:p>
            <w:pPr>
              <w:rPr>
                <w:rFonts w:hint="default"/>
                <w:color w:val="auto"/>
                <w:highlight w:val="none"/>
                <w:lang w:val="en-US" w:eastAsia="zh-CN"/>
              </w:rPr>
            </w:pPr>
            <w:r>
              <w:rPr>
                <w:rFonts w:hint="default"/>
                <w:color w:val="auto"/>
                <w:highlight w:val="none"/>
                <w:lang w:val="en-US" w:eastAsia="zh-CN"/>
              </w:rPr>
              <w:t>13</w:t>
            </w:r>
            <w:r>
              <w:rPr>
                <w:rFonts w:hint="eastAsia"/>
                <w:color w:val="auto"/>
                <w:highlight w:val="none"/>
                <w:lang w:val="en-US" w:eastAsia="zh-CN"/>
              </w:rPr>
              <w:t>.</w:t>
            </w:r>
            <w:r>
              <w:rPr>
                <w:rFonts w:hint="default"/>
                <w:color w:val="auto"/>
                <w:highlight w:val="none"/>
                <w:lang w:val="en-US" w:eastAsia="zh-CN"/>
              </w:rPr>
              <w:t>低电量报警：可通过特定状态指示灯显示低电压报警</w:t>
            </w:r>
          </w:p>
          <w:p>
            <w:pPr>
              <w:rPr>
                <w:rFonts w:hint="default"/>
                <w:color w:val="auto"/>
                <w:highlight w:val="none"/>
                <w:lang w:val="en-US" w:eastAsia="zh-CN"/>
              </w:rPr>
            </w:pPr>
            <w:r>
              <w:rPr>
                <w:rFonts w:hint="default"/>
                <w:color w:val="auto"/>
                <w:highlight w:val="none"/>
                <w:lang w:val="en-US" w:eastAsia="zh-CN"/>
              </w:rPr>
              <w:t>14</w:t>
            </w:r>
            <w:r>
              <w:rPr>
                <w:rFonts w:hint="eastAsia"/>
                <w:color w:val="auto"/>
                <w:highlight w:val="none"/>
                <w:lang w:val="en-US" w:eastAsia="zh-CN"/>
              </w:rPr>
              <w:t>.</w:t>
            </w:r>
            <w:r>
              <w:rPr>
                <w:rFonts w:hint="default"/>
                <w:color w:val="auto"/>
                <w:highlight w:val="none"/>
                <w:lang w:val="en-US" w:eastAsia="zh-CN"/>
              </w:rPr>
              <w:t>充电方式：支持座充，Micro USB2.0接口支持USB充电；电池：蓄电不小于4300mAh容量；防水等级：IP67；</w:t>
            </w:r>
          </w:p>
          <w:p>
            <w:pPr>
              <w:rPr>
                <w:rFonts w:hint="default"/>
                <w:color w:val="auto"/>
                <w:highlight w:val="none"/>
                <w:lang w:val="en-US" w:eastAsia="zh-CN"/>
              </w:rPr>
            </w:pPr>
            <w:r>
              <w:rPr>
                <w:rFonts w:hint="default"/>
                <w:color w:val="auto"/>
                <w:highlight w:val="none"/>
                <w:lang w:val="en-US" w:eastAsia="zh-CN"/>
              </w:rPr>
              <w:t>15</w:t>
            </w:r>
            <w:r>
              <w:rPr>
                <w:rFonts w:hint="eastAsia"/>
                <w:color w:val="auto"/>
                <w:highlight w:val="none"/>
                <w:lang w:val="en-US" w:eastAsia="zh-CN"/>
              </w:rPr>
              <w:t>.</w:t>
            </w:r>
            <w:r>
              <w:rPr>
                <w:rFonts w:hint="default"/>
                <w:color w:val="auto"/>
                <w:highlight w:val="none"/>
                <w:lang w:val="en-US" w:eastAsia="zh-CN"/>
              </w:rPr>
              <w:t>设备配套应具以下附件：电池两块、座充、电源适配器。</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56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103</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木质堵漏楔</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用于各类孔洞状较低压力的堵漏作业。红松材质，经蒸馏、防腐、干燥、绝缘等工序处理制成，防裂、不变形。适用范围：用于各类孔、洞、裂缝等压力较低的堵漏作业。该产品由圆锥形、方楔形和棱台形三类木楔共计28件木楔、1把木锤。</w:t>
            </w:r>
          </w:p>
          <w:p>
            <w:pPr>
              <w:rPr>
                <w:rFonts w:hint="default"/>
                <w:color w:val="auto"/>
                <w:highlight w:val="none"/>
                <w:lang w:val="en-US" w:eastAsia="zh-CN"/>
              </w:rPr>
            </w:pPr>
            <w:r>
              <w:rPr>
                <w:rFonts w:hint="default"/>
                <w:color w:val="auto"/>
                <w:highlight w:val="none"/>
                <w:lang w:val="en-US" w:eastAsia="zh-CN"/>
              </w:rPr>
              <w:t>适用温度范围-70℃至150℃，压力-1.0Mpa至0.8Mpa，配一个便携箱。</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555"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104</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金属堵漏套管</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本套工具是抢险堵漏器材配套专用工具，操作简易迅速，使用方便。</w:t>
            </w:r>
          </w:p>
          <w:p>
            <w:pPr>
              <w:rPr>
                <w:rFonts w:hint="default"/>
                <w:color w:val="auto"/>
                <w:highlight w:val="none"/>
                <w:lang w:val="en-US" w:eastAsia="zh-CN"/>
              </w:rPr>
            </w:pPr>
            <w:r>
              <w:rPr>
                <w:rFonts w:hint="default"/>
                <w:color w:val="auto"/>
                <w:highlight w:val="none"/>
                <w:lang w:val="en-US" w:eastAsia="zh-CN"/>
              </w:rPr>
              <w:t>该工具适用介质温度在70～150℃，适用管道直径：12～100mm  ，最大封堵压力不小于2.5MPa。配有不少于10种不同的套管的尺寸。</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169"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105</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粘贴式堵漏工具</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可堵介质：液化气、石油、水、化学试剂等。可堵介质温 度：-70℃—+250℃；压 力：-1.0 — +2.5MPa。快速固化堵漏只需2至10分钟。</w:t>
            </w:r>
          </w:p>
          <w:p>
            <w:pPr>
              <w:rPr>
                <w:rFonts w:hint="default"/>
                <w:color w:val="auto"/>
                <w:highlight w:val="none"/>
                <w:lang w:val="en-US" w:eastAsia="zh-CN"/>
              </w:rPr>
            </w:pPr>
            <w:r>
              <w:rPr>
                <w:rFonts w:hint="default"/>
                <w:color w:val="auto"/>
                <w:highlight w:val="none"/>
                <w:lang w:val="en-US" w:eastAsia="zh-CN"/>
              </w:rPr>
              <w:t>产品配置：26mm不锈钢捆扎器1把、铁胶泥1Kg、钢带（18mm*1mm）3M、18mm卡扣10只、内六角扳手1把、防护手套1付、玻璃布1卷、小刀1把、粘贴涂胶片2片。</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78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106</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注入式堵漏工具</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注入式堵漏工具适用于化工、化肥、炼油、煤气、发电、冶金等装置管道上的各种静密封点堵漏密封，如：法兰、阀门、接头、弯头、三通管等破损泄漏及储油塔、煤气柜、变压器等泄漏。注入式堵漏工具由手动高压泵、注胶枪及一组注胶接头组成，可以在不停工、不停车和不动用电焊火种的条件下，采用内部注射密封剂料，表面粘接、钢带捆扎等工艺手段加以解决。适用介质温度在-200℃至750℃、压力大于30MPa的泄漏。手动高压泵最高压力为76MPa。全套产品不少于26件。</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1862"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r>
              <w:rPr>
                <w:rFonts w:hint="default"/>
                <w:color w:val="auto"/>
                <w:highlight w:val="none"/>
                <w:lang w:val="en-US" w:eastAsia="zh-CN"/>
              </w:rPr>
              <w:t>107</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color w:val="auto"/>
                <w:highlight w:val="none"/>
                <w:lang w:val="en-US" w:eastAsia="zh-CN"/>
              </w:rPr>
            </w:pPr>
            <w:r>
              <w:rPr>
                <w:rFonts w:hint="default"/>
                <w:color w:val="auto"/>
                <w:highlight w:val="none"/>
                <w:lang w:val="en-US" w:eastAsia="zh-CN"/>
              </w:rPr>
              <w:t>无火花工具</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rPr>
                <w:rFonts w:hint="default"/>
                <w:color w:val="auto"/>
                <w:highlight w:val="none"/>
                <w:lang w:val="en-US" w:eastAsia="zh-CN"/>
              </w:rPr>
            </w:pPr>
            <w:r>
              <w:rPr>
                <w:rFonts w:hint="default"/>
                <w:color w:val="auto"/>
                <w:highlight w:val="none"/>
                <w:lang w:val="en-US" w:eastAsia="zh-CN"/>
              </w:rPr>
              <w:t>主要用于易燃易爆的场合，采用优质合金铝青铜材料制造，工作时无火花、无磁性、耐腐蚀，由多种开启、关闭、清理和其他无火花工具组成，是抢险救援必备的安全可靠的工具。硬度HRC≥35。全套含：管钳、克丝钳、锤子、防爆铲、F型扳手、活动扳手、梅花扳手、开口扳手、螺丝刀、錾子等21件。各种工具须通过绝缘处理。</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r>
      <w:tr>
        <w:tblPrEx>
          <w:tblCellMar>
            <w:top w:w="0" w:type="dxa"/>
            <w:left w:w="108" w:type="dxa"/>
            <w:bottom w:w="0" w:type="dxa"/>
            <w:right w:w="108" w:type="dxa"/>
          </w:tblCellMar>
        </w:tblPrEx>
        <w:trPr>
          <w:trHeight w:val="2501" w:hRule="atLeast"/>
        </w:trPr>
        <w:tc>
          <w:tcPr>
            <w:tcW w:w="435" w:type="dxa"/>
            <w:tcBorders>
              <w:top w:val="single" w:color="000000" w:sz="4" w:space="0"/>
              <w:left w:val="single" w:color="000000" w:sz="4" w:space="0"/>
              <w:bottom w:val="single" w:color="000000" w:sz="4" w:space="0"/>
              <w:right w:val="single" w:color="000000" w:sz="4" w:space="0"/>
            </w:tcBorders>
            <w:noWrap/>
            <w:vAlign w:val="center"/>
          </w:tcPr>
          <w:p>
            <w:pPr>
              <w:rPr>
                <w:rFonts w:hint="eastAsia"/>
                <w:color w:val="auto"/>
                <w:highlight w:val="none"/>
                <w:lang w:val="en-US" w:eastAsia="zh-CN"/>
              </w:rPr>
            </w:pPr>
            <w:r>
              <w:rPr>
                <w:rFonts w:hint="eastAsia"/>
                <w:color w:val="auto"/>
                <w:highlight w:val="none"/>
                <w:lang w:val="en-US" w:eastAsia="zh-CN"/>
              </w:rPr>
              <w:t>108</w:t>
            </w:r>
          </w:p>
        </w:tc>
        <w:tc>
          <w:tcPr>
            <w:tcW w:w="70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color w:val="auto"/>
                <w:highlight w:val="none"/>
                <w:lang w:val="en-US" w:eastAsia="zh-CN"/>
              </w:rPr>
            </w:pPr>
            <w:r>
              <w:rPr>
                <w:rFonts w:hint="eastAsia"/>
                <w:color w:val="auto"/>
                <w:highlight w:val="none"/>
                <w:lang w:val="en-US" w:eastAsia="zh-CN"/>
              </w:rPr>
              <w:t>消防挂钩梯</w:t>
            </w:r>
          </w:p>
        </w:tc>
        <w:tc>
          <w:tcPr>
            <w:tcW w:w="4980" w:type="dxa"/>
            <w:tcBorders>
              <w:top w:val="single" w:color="000000" w:sz="4" w:space="0"/>
              <w:left w:val="single" w:color="000000" w:sz="4" w:space="0"/>
              <w:bottom w:val="single" w:color="000000" w:sz="4" w:space="0"/>
              <w:right w:val="single" w:color="000000" w:sz="4" w:space="0"/>
            </w:tcBorders>
            <w:noWrap w:val="0"/>
            <w:vAlign w:val="top"/>
          </w:tcPr>
          <w:p>
            <w:pPr>
              <w:pStyle w:val="20"/>
              <w:numPr>
                <w:ilvl w:val="0"/>
                <w:numId w:val="4"/>
              </w:numPr>
              <w:rPr>
                <w:rFonts w:hint="eastAsia"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竹材，主体用坚韧毛竹经特殊工艺处理，多层压合而成，侧板与梯登采用铆钉连接。</w:t>
            </w:r>
          </w:p>
          <w:p>
            <w:pPr>
              <w:pStyle w:val="20"/>
              <w:numPr>
                <w:ilvl w:val="0"/>
                <w:numId w:val="4"/>
              </w:numPr>
              <w:rPr>
                <w:rFonts w:hint="default"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梯子表面光洁，表面涂不导电涂料保护，金属零件镀锌（铬）或黑色磁漆。</w:t>
            </w:r>
          </w:p>
          <w:p>
            <w:pPr>
              <w:pStyle w:val="20"/>
              <w:numPr>
                <w:ilvl w:val="0"/>
                <w:numId w:val="4"/>
              </w:numPr>
              <w:rPr>
                <w:rFonts w:hint="default" w:ascii="Times New Roman" w:hAnsi="Times New Roman" w:eastAsia="宋体" w:cs="Times New Roman"/>
                <w:color w:val="auto"/>
                <w:kern w:val="2"/>
                <w:sz w:val="21"/>
                <w:szCs w:val="24"/>
                <w:highlight w:val="none"/>
                <w:lang w:val="en-US" w:eastAsia="zh-CN" w:bidi="ar-SA"/>
              </w:rPr>
            </w:pPr>
            <w:r>
              <w:rPr>
                <w:rFonts w:hint="eastAsia" w:ascii="Times New Roman" w:hAnsi="Times New Roman" w:eastAsia="宋体" w:cs="Times New Roman"/>
                <w:color w:val="auto"/>
                <w:kern w:val="2"/>
                <w:sz w:val="21"/>
                <w:szCs w:val="24"/>
                <w:highlight w:val="none"/>
                <w:lang w:val="en-US" w:eastAsia="zh-CN" w:bidi="ar-SA"/>
              </w:rPr>
              <w:t>工作高度:4±0.1 (4.1)m、宽度250±2（251）mm、梯蹬间距340±2mm（340）、挂钩可折叠，质量11.2KG。</w:t>
            </w:r>
          </w:p>
          <w:p>
            <w:pPr>
              <w:pStyle w:val="20"/>
              <w:numPr>
                <w:ilvl w:val="0"/>
                <w:numId w:val="0"/>
              </w:numPr>
              <w:rPr>
                <w:color w:val="auto"/>
                <w:sz w:val="21"/>
                <w:szCs w:val="21"/>
                <w:highlight w:val="none"/>
              </w:rPr>
            </w:pPr>
            <w:r>
              <w:rPr>
                <w:rFonts w:hint="eastAsia" w:ascii="Times New Roman" w:hAnsi="Times New Roman" w:eastAsia="宋体" w:cs="Times New Roman"/>
                <w:color w:val="auto"/>
                <w:kern w:val="2"/>
                <w:sz w:val="21"/>
                <w:szCs w:val="24"/>
                <w:highlight w:val="none"/>
                <w:lang w:val="en-US" w:eastAsia="zh-CN" w:bidi="ar-SA"/>
              </w:rPr>
              <w:t>4.水平弯曲残余变形比值：≤0.2（0.12）、梯橙弯曲残余变形比值：≤0.5（0.27）。</w:t>
            </w:r>
          </w:p>
        </w:tc>
        <w:tc>
          <w:tcPr>
            <w:tcW w:w="630" w:type="dxa"/>
            <w:tcBorders>
              <w:top w:val="single" w:color="000000" w:sz="4" w:space="0"/>
              <w:left w:val="single" w:color="000000" w:sz="4" w:space="0"/>
              <w:bottom w:val="single" w:color="000000" w:sz="4" w:space="0"/>
              <w:right w:val="single" w:color="000000" w:sz="4" w:space="0"/>
            </w:tcBorders>
            <w:noWrap/>
            <w:vAlign w:val="center"/>
          </w:tcPr>
          <w:p>
            <w:pPr>
              <w:rPr>
                <w:rFonts w:hint="default"/>
                <w:color w:val="auto"/>
                <w:highlight w:val="none"/>
                <w:lang w:val="en-US" w:eastAsia="zh-CN"/>
              </w:rPr>
            </w:pPr>
          </w:p>
        </w:tc>
        <w:tc>
          <w:tcPr>
            <w:tcW w:w="870" w:type="dxa"/>
            <w:tcBorders>
              <w:top w:val="single" w:color="000000" w:sz="4" w:space="0"/>
              <w:left w:val="single" w:color="000000" w:sz="4" w:space="0"/>
              <w:bottom w:val="single" w:color="000000" w:sz="4" w:space="0"/>
              <w:right w:val="single" w:color="000000" w:sz="4" w:space="0"/>
            </w:tcBorders>
            <w:noWrap/>
            <w:vAlign w:val="center"/>
          </w:tcPr>
          <w:p>
            <w:pPr>
              <w:rPr>
                <w:rFonts w:hint="eastAsia"/>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eastAsia"/>
                <w:color w:val="auto"/>
                <w:highlight w:val="none"/>
                <w:lang w:val="en-US" w:eastAsia="zh-CN"/>
              </w:rPr>
            </w:pPr>
          </w:p>
        </w:tc>
        <w:tc>
          <w:tcPr>
            <w:tcW w:w="840" w:type="dxa"/>
            <w:tcBorders>
              <w:top w:val="single" w:color="000000" w:sz="4" w:space="0"/>
              <w:left w:val="single" w:color="000000" w:sz="4" w:space="0"/>
              <w:bottom w:val="single" w:color="000000" w:sz="4" w:space="0"/>
              <w:right w:val="single" w:color="000000" w:sz="4" w:space="0"/>
            </w:tcBorders>
            <w:noWrap/>
            <w:vAlign w:val="center"/>
          </w:tcPr>
          <w:p>
            <w:pPr>
              <w:rPr>
                <w:rFonts w:hint="eastAsia"/>
                <w:color w:val="auto"/>
                <w:highlight w:val="none"/>
                <w:lang w:val="en-US" w:eastAsia="zh-CN"/>
              </w:rPr>
            </w:pPr>
          </w:p>
        </w:tc>
      </w:tr>
    </w:tbl>
    <w:p>
      <w:pPr>
        <w:rPr>
          <w:rFonts w:ascii="仿宋" w:hAnsi="仿宋" w:eastAsia="仿宋"/>
          <w:color w:val="auto"/>
          <w:sz w:val="24"/>
          <w:highlight w:val="none"/>
        </w:rPr>
      </w:pPr>
      <w:r>
        <w:rPr>
          <w:rFonts w:hint="eastAsia" w:ascii="仿宋" w:hAnsi="仿宋" w:eastAsia="仿宋"/>
          <w:color w:val="auto"/>
          <w:sz w:val="24"/>
          <w:highlight w:val="none"/>
        </w:rPr>
        <w:t xml:space="preserve">      </w:t>
      </w:r>
    </w:p>
    <w:p>
      <w:pPr>
        <w:rPr>
          <w:rFonts w:ascii="仿宋" w:hAnsi="仿宋" w:eastAsia="仿宋"/>
          <w:color w:val="auto"/>
          <w:sz w:val="24"/>
          <w:highlight w:val="none"/>
        </w:rPr>
      </w:pPr>
    </w:p>
    <w:p>
      <w:pPr>
        <w:rPr>
          <w:rFonts w:hint="eastAsia" w:ascii="仿宋" w:hAnsi="仿宋" w:eastAsia="仿宋"/>
          <w:color w:val="auto"/>
          <w:sz w:val="24"/>
          <w:highlight w:val="none"/>
        </w:rPr>
      </w:pPr>
    </w:p>
    <w:p>
      <w:pPr>
        <w:rPr>
          <w:rFonts w:ascii="仿宋" w:hAnsi="仿宋" w:eastAsia="仿宋"/>
          <w:color w:val="auto"/>
          <w:sz w:val="24"/>
          <w:highlight w:val="none"/>
        </w:rPr>
      </w:pPr>
      <w:r>
        <w:rPr>
          <w:rFonts w:hint="eastAsia" w:ascii="仿宋" w:hAnsi="仿宋" w:eastAsia="仿宋"/>
          <w:color w:val="auto"/>
          <w:sz w:val="24"/>
          <w:highlight w:val="none"/>
        </w:rPr>
        <w:t>法定代表人或授权代表签字：</w:t>
      </w:r>
    </w:p>
    <w:p>
      <w:pPr>
        <w:rPr>
          <w:rFonts w:ascii="仿宋" w:hAnsi="仿宋" w:eastAsia="仿宋"/>
          <w:color w:val="auto"/>
          <w:szCs w:val="21"/>
          <w:highlight w:val="none"/>
        </w:rPr>
      </w:pPr>
    </w:p>
    <w:p>
      <w:pPr>
        <w:spacing w:line="500" w:lineRule="exact"/>
        <w:rPr>
          <w:rFonts w:ascii="仿宋" w:hAnsi="仿宋" w:eastAsia="仿宋"/>
          <w:color w:val="auto"/>
          <w:szCs w:val="21"/>
          <w:highlight w:val="none"/>
        </w:rPr>
      </w:pPr>
      <w:bookmarkStart w:id="210" w:name="_Toc15616"/>
      <w:r>
        <w:rPr>
          <w:rFonts w:hint="eastAsia" w:ascii="仿宋" w:hAnsi="仿宋" w:eastAsia="仿宋"/>
          <w:color w:val="auto"/>
          <w:szCs w:val="21"/>
          <w:highlight w:val="none"/>
        </w:rPr>
        <w:t>注：1、供应商须按照</w:t>
      </w:r>
      <w:r>
        <w:rPr>
          <w:rFonts w:hint="eastAsia" w:ascii="仿宋" w:hAnsi="仿宋" w:eastAsia="仿宋"/>
          <w:b/>
          <w:bCs/>
          <w:color w:val="auto"/>
          <w:szCs w:val="21"/>
          <w:highlight w:val="none"/>
        </w:rPr>
        <w:t>“项目需求 三、技术要求或者服务要求”</w:t>
      </w:r>
      <w:r>
        <w:rPr>
          <w:rFonts w:hint="eastAsia" w:ascii="仿宋" w:hAnsi="仿宋" w:eastAsia="仿宋"/>
          <w:color w:val="auto"/>
          <w:szCs w:val="21"/>
          <w:highlight w:val="none"/>
        </w:rPr>
        <w:t>详细填列。</w:t>
      </w:r>
      <w:bookmarkEnd w:id="210"/>
    </w:p>
    <w:p>
      <w:pPr>
        <w:numPr>
          <w:ilvl w:val="0"/>
          <w:numId w:val="7"/>
        </w:numPr>
        <w:ind w:firstLine="420" w:firstLineChars="200"/>
        <w:rPr>
          <w:rFonts w:hint="eastAsia" w:ascii="仿宋" w:hAnsi="仿宋" w:eastAsia="仿宋"/>
          <w:color w:val="auto"/>
          <w:szCs w:val="21"/>
          <w:highlight w:val="none"/>
        </w:rPr>
      </w:pPr>
      <w:r>
        <w:rPr>
          <w:rFonts w:hint="eastAsia" w:ascii="仿宋" w:hAnsi="仿宋" w:eastAsia="仿宋"/>
          <w:color w:val="auto"/>
          <w:szCs w:val="21"/>
          <w:highlight w:val="none"/>
        </w:rPr>
        <w:t>行数不够，可自行添加。</w:t>
      </w:r>
    </w:p>
    <w:p>
      <w:pPr>
        <w:ind w:firstLine="420" w:firstLineChars="200"/>
        <w:rPr>
          <w:rFonts w:hint="eastAsia" w:ascii="仿宋" w:hAnsi="仿宋" w:eastAsia="仿宋"/>
          <w:b/>
          <w:bCs/>
          <w:color w:val="auto"/>
          <w:szCs w:val="21"/>
          <w:highlight w:val="none"/>
        </w:rPr>
      </w:pPr>
      <w:r>
        <w:rPr>
          <w:rFonts w:hint="eastAsia" w:ascii="仿宋" w:hAnsi="仿宋" w:eastAsia="仿宋"/>
          <w:color w:val="auto"/>
          <w:szCs w:val="21"/>
          <w:highlight w:val="none"/>
        </w:rPr>
        <w:t>3、</w:t>
      </w:r>
      <w:r>
        <w:rPr>
          <w:rFonts w:hint="eastAsia" w:ascii="仿宋" w:hAnsi="仿宋" w:eastAsia="仿宋"/>
          <w:b/>
          <w:bCs/>
          <w:color w:val="auto"/>
          <w:szCs w:val="21"/>
          <w:highlight w:val="none"/>
        </w:rPr>
        <w:t>对有不符合采购文件技术、商务要求的，不管是多么微小，响应供应商都应在《技术部分正负偏离表》中如实详细说明，响应供应商在中标后才提出或被采购人发现响应供应商有不符合招标文件要求的均按虚假应标处理，拒绝其投标或取消中标结果，其虚假应标行为上报监督管理部门。</w:t>
      </w:r>
    </w:p>
    <w:p>
      <w:pPr>
        <w:spacing w:line="500" w:lineRule="exact"/>
        <w:ind w:firstLine="560" w:firstLineChars="200"/>
        <w:outlineLvl w:val="9"/>
        <w:rPr>
          <w:rFonts w:hint="eastAsia" w:ascii="仿宋" w:hAnsi="仿宋" w:eastAsia="仿宋"/>
          <w:bCs/>
          <w:color w:val="auto"/>
          <w:sz w:val="28"/>
          <w:szCs w:val="28"/>
          <w:highlight w:val="none"/>
        </w:rPr>
      </w:pPr>
      <w:r>
        <w:rPr>
          <w:rFonts w:hint="eastAsia" w:ascii="仿宋" w:hAnsi="仿宋" w:eastAsia="仿宋"/>
          <w:bCs/>
          <w:color w:val="auto"/>
          <w:sz w:val="28"/>
          <w:szCs w:val="28"/>
          <w:highlight w:val="none"/>
        </w:rPr>
        <w:br w:type="page"/>
      </w:r>
      <w:r>
        <w:rPr>
          <w:rFonts w:hint="eastAsia" w:ascii="仿宋" w:hAnsi="仿宋" w:eastAsia="仿宋"/>
          <w:color w:val="auto"/>
          <w:sz w:val="28"/>
          <w:szCs w:val="28"/>
          <w:highlight w:val="none"/>
        </w:rPr>
        <w:t>（三）</w:t>
      </w:r>
      <w:r>
        <w:rPr>
          <w:rFonts w:hint="eastAsia" w:ascii="仿宋" w:hAnsi="仿宋" w:eastAsia="仿宋"/>
          <w:bCs/>
          <w:color w:val="auto"/>
          <w:sz w:val="28"/>
          <w:szCs w:val="28"/>
          <w:highlight w:val="none"/>
        </w:rPr>
        <w:t>商务部分正负偏离表</w:t>
      </w:r>
    </w:p>
    <w:p>
      <w:pPr>
        <w:spacing w:line="500" w:lineRule="exact"/>
        <w:ind w:firstLine="560" w:firstLineChars="200"/>
        <w:rPr>
          <w:rFonts w:hint="eastAsia" w:ascii="仿宋" w:hAnsi="仿宋" w:eastAsia="仿宋"/>
          <w:bCs/>
          <w:color w:val="auto"/>
          <w:sz w:val="28"/>
          <w:szCs w:val="28"/>
          <w:highlight w:val="none"/>
        </w:rPr>
      </w:pPr>
    </w:p>
    <w:p>
      <w:pPr>
        <w:jc w:val="center"/>
        <w:outlineLvl w:val="9"/>
        <w:rPr>
          <w:rFonts w:hint="eastAsia" w:ascii="方正小标宋简体" w:hAnsi="宋体" w:eastAsia="方正小标宋简体"/>
          <w:color w:val="auto"/>
          <w:sz w:val="32"/>
          <w:szCs w:val="32"/>
          <w:highlight w:val="none"/>
        </w:rPr>
      </w:pPr>
      <w:r>
        <w:rPr>
          <w:rFonts w:hint="eastAsia" w:ascii="方正小标宋简体" w:hAnsi="宋体" w:eastAsia="方正小标宋简体"/>
          <w:color w:val="auto"/>
          <w:sz w:val="32"/>
          <w:szCs w:val="32"/>
          <w:highlight w:val="none"/>
        </w:rPr>
        <w:t>商务部分正负偏离表</w:t>
      </w:r>
    </w:p>
    <w:p>
      <w:pPr>
        <w:jc w:val="center"/>
        <w:rPr>
          <w:rFonts w:ascii="宋体" w:hAnsi="宋体"/>
          <w:color w:val="auto"/>
          <w:sz w:val="24"/>
          <w:highlight w:val="none"/>
        </w:rPr>
      </w:pPr>
    </w:p>
    <w:p>
      <w:pPr>
        <w:spacing w:line="400" w:lineRule="exact"/>
        <w:rPr>
          <w:rFonts w:hint="eastAsia" w:ascii="仿宋" w:hAnsi="仿宋" w:eastAsia="仿宋"/>
          <w:color w:val="auto"/>
          <w:sz w:val="24"/>
          <w:highlight w:val="none"/>
        </w:rPr>
      </w:pPr>
      <w:r>
        <w:rPr>
          <w:rFonts w:hint="eastAsia" w:ascii="仿宋" w:hAnsi="仿宋" w:eastAsia="仿宋"/>
          <w:color w:val="auto"/>
          <w:sz w:val="24"/>
          <w:highlight w:val="none"/>
        </w:rPr>
        <w:t xml:space="preserve">供应商全称（加盖公章）：  </w:t>
      </w:r>
    </w:p>
    <w:p>
      <w:pPr>
        <w:spacing w:line="400" w:lineRule="exact"/>
        <w:rPr>
          <w:rFonts w:ascii="仿宋" w:hAnsi="仿宋" w:eastAsia="仿宋"/>
          <w:color w:val="auto"/>
          <w:sz w:val="24"/>
          <w:highlight w:val="none"/>
        </w:rPr>
      </w:pPr>
      <w:r>
        <w:rPr>
          <w:rFonts w:hint="eastAsia" w:ascii="仿宋" w:hAnsi="仿宋" w:eastAsia="仿宋"/>
          <w:color w:val="auto"/>
          <w:sz w:val="24"/>
          <w:highlight w:val="none"/>
        </w:rPr>
        <w:t xml:space="preserve">      </w:t>
      </w:r>
    </w:p>
    <w:tbl>
      <w:tblPr>
        <w:tblStyle w:val="21"/>
        <w:tblW w:w="4873" w:type="pct"/>
        <w:tblInd w:w="211"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200"/>
        <w:gridCol w:w="4948"/>
        <w:gridCol w:w="1125"/>
        <w:gridCol w:w="1033"/>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58" w:hRule="atLeast"/>
        </w:trPr>
        <w:tc>
          <w:tcPr>
            <w:tcW w:w="722"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jc w:val="center"/>
              <w:rPr>
                <w:rFonts w:hint="eastAsia" w:ascii="仿宋" w:hAnsi="仿宋" w:eastAsia="仿宋"/>
                <w:b/>
                <w:bCs/>
                <w:color w:val="auto"/>
                <w:sz w:val="24"/>
                <w:highlight w:val="none"/>
              </w:rPr>
            </w:pPr>
            <w:r>
              <w:rPr>
                <w:rFonts w:hint="eastAsia" w:ascii="仿宋" w:hAnsi="仿宋" w:eastAsia="仿宋"/>
                <w:b/>
                <w:bCs/>
                <w:color w:val="auto"/>
                <w:sz w:val="24"/>
                <w:highlight w:val="none"/>
              </w:rPr>
              <w:t>项目名称</w:t>
            </w:r>
          </w:p>
        </w:tc>
        <w:tc>
          <w:tcPr>
            <w:tcW w:w="2978"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jc w:val="center"/>
              <w:rPr>
                <w:rFonts w:ascii="仿宋" w:hAnsi="仿宋" w:eastAsia="仿宋"/>
                <w:b/>
                <w:bCs/>
                <w:color w:val="auto"/>
                <w:sz w:val="24"/>
                <w:highlight w:val="none"/>
              </w:rPr>
            </w:pPr>
            <w:r>
              <w:rPr>
                <w:rFonts w:hint="eastAsia" w:ascii="仿宋" w:hAnsi="仿宋" w:eastAsia="仿宋"/>
                <w:b/>
                <w:bCs/>
                <w:color w:val="auto"/>
                <w:sz w:val="24"/>
                <w:highlight w:val="none"/>
              </w:rPr>
              <w:t>采购文件要求</w:t>
            </w:r>
          </w:p>
        </w:tc>
        <w:tc>
          <w:tcPr>
            <w:tcW w:w="677"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jc w:val="center"/>
              <w:rPr>
                <w:rFonts w:ascii="仿宋" w:hAnsi="仿宋" w:eastAsia="仿宋"/>
                <w:b/>
                <w:bCs/>
                <w:color w:val="auto"/>
                <w:sz w:val="24"/>
                <w:highlight w:val="none"/>
              </w:rPr>
            </w:pPr>
            <w:r>
              <w:rPr>
                <w:rFonts w:hint="eastAsia" w:ascii="仿宋" w:hAnsi="仿宋" w:eastAsia="仿宋"/>
                <w:b/>
                <w:bCs/>
                <w:color w:val="auto"/>
                <w:sz w:val="24"/>
                <w:highlight w:val="none"/>
              </w:rPr>
              <w:t>是否响应</w:t>
            </w:r>
          </w:p>
        </w:tc>
        <w:tc>
          <w:tcPr>
            <w:tcW w:w="621"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jc w:val="center"/>
              <w:rPr>
                <w:rFonts w:ascii="仿宋" w:hAnsi="仿宋" w:eastAsia="仿宋"/>
                <w:b/>
                <w:bCs/>
                <w:color w:val="auto"/>
                <w:sz w:val="24"/>
                <w:highlight w:val="none"/>
              </w:rPr>
            </w:pPr>
            <w:r>
              <w:rPr>
                <w:rFonts w:hint="eastAsia" w:ascii="仿宋" w:hAnsi="仿宋" w:eastAsia="仿宋"/>
                <w:b/>
                <w:bCs/>
                <w:color w:val="auto"/>
                <w:sz w:val="24"/>
                <w:highlight w:val="none"/>
              </w:rPr>
              <w:t>供应商的承诺或说明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98" w:hRule="atLeast"/>
        </w:trPr>
        <w:tc>
          <w:tcPr>
            <w:tcW w:w="722"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r>
              <w:rPr>
                <w:rFonts w:hint="eastAsia" w:ascii="仿宋" w:hAnsi="仿宋" w:eastAsia="仿宋"/>
                <w:color w:val="auto"/>
                <w:sz w:val="24"/>
                <w:highlight w:val="none"/>
              </w:rPr>
              <w:t>质保期</w:t>
            </w:r>
          </w:p>
        </w:tc>
        <w:tc>
          <w:tcPr>
            <w:tcW w:w="2978"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r>
              <w:rPr>
                <w:rFonts w:hint="eastAsia" w:ascii="仿宋" w:hAnsi="仿宋" w:eastAsia="仿宋"/>
                <w:color w:val="auto"/>
                <w:sz w:val="21"/>
                <w:szCs w:val="21"/>
                <w:highlight w:val="none"/>
              </w:rPr>
              <w:t xml:space="preserve">自验收合格之日起计  </w:t>
            </w:r>
            <w:r>
              <w:rPr>
                <w:rFonts w:hint="eastAsia" w:ascii="仿宋" w:hAnsi="仿宋" w:eastAsia="仿宋"/>
                <w:color w:val="auto"/>
                <w:sz w:val="21"/>
                <w:szCs w:val="21"/>
                <w:highlight w:val="none"/>
                <w:lang w:val="en-US" w:eastAsia="zh-CN"/>
              </w:rPr>
              <w:t>贰</w:t>
            </w:r>
            <w:r>
              <w:rPr>
                <w:rFonts w:hint="eastAsia" w:ascii="仿宋" w:hAnsi="仿宋" w:eastAsia="仿宋"/>
                <w:color w:val="auto"/>
                <w:sz w:val="21"/>
                <w:szCs w:val="21"/>
                <w:highlight w:val="none"/>
              </w:rPr>
              <w:t>年</w:t>
            </w:r>
          </w:p>
        </w:tc>
        <w:tc>
          <w:tcPr>
            <w:tcW w:w="677"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c>
          <w:tcPr>
            <w:tcW w:w="621"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98" w:hRule="atLeast"/>
        </w:trPr>
        <w:tc>
          <w:tcPr>
            <w:tcW w:w="722"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r>
              <w:rPr>
                <w:rFonts w:hint="eastAsia" w:ascii="仿宋" w:hAnsi="仿宋" w:eastAsia="仿宋"/>
                <w:color w:val="auto"/>
                <w:sz w:val="24"/>
                <w:highlight w:val="none"/>
              </w:rPr>
              <w:t>售后技术服务要求</w:t>
            </w:r>
          </w:p>
        </w:tc>
        <w:tc>
          <w:tcPr>
            <w:tcW w:w="2978"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1"/>
                <w:szCs w:val="21"/>
                <w:highlight w:val="none"/>
              </w:rPr>
            </w:pPr>
            <w:r>
              <w:rPr>
                <w:rFonts w:hint="eastAsia" w:ascii="仿宋" w:hAnsi="仿宋" w:eastAsia="仿宋"/>
                <w:color w:val="auto"/>
                <w:sz w:val="21"/>
                <w:szCs w:val="21"/>
                <w:highlight w:val="none"/>
              </w:rPr>
              <w:t>（一）所有设备均由</w:t>
            </w:r>
            <w:r>
              <w:rPr>
                <w:rFonts w:hint="eastAsia" w:ascii="仿宋" w:hAnsi="仿宋" w:eastAsia="仿宋"/>
                <w:color w:val="auto"/>
                <w:sz w:val="21"/>
                <w:szCs w:val="21"/>
                <w:highlight w:val="none"/>
                <w:lang w:eastAsia="zh-CN"/>
              </w:rPr>
              <w:t>成交人</w:t>
            </w:r>
            <w:r>
              <w:rPr>
                <w:rFonts w:hint="eastAsia" w:ascii="仿宋" w:hAnsi="仿宋" w:eastAsia="仿宋"/>
                <w:color w:val="auto"/>
                <w:sz w:val="21"/>
                <w:szCs w:val="21"/>
                <w:highlight w:val="none"/>
              </w:rPr>
              <w:t>免费送货上门并安装调试好。</w:t>
            </w:r>
            <w:r>
              <w:rPr>
                <w:rFonts w:hint="eastAsia" w:ascii="仿宋" w:hAnsi="仿宋" w:eastAsia="仿宋"/>
                <w:color w:val="auto"/>
                <w:sz w:val="21"/>
                <w:szCs w:val="21"/>
                <w:highlight w:val="none"/>
                <w:lang w:eastAsia="zh-CN"/>
              </w:rPr>
              <w:t>成交人</w:t>
            </w:r>
            <w:r>
              <w:rPr>
                <w:rFonts w:hint="eastAsia" w:ascii="仿宋" w:hAnsi="仿宋" w:eastAsia="仿宋"/>
                <w:color w:val="auto"/>
                <w:sz w:val="21"/>
                <w:szCs w:val="21"/>
                <w:highlight w:val="none"/>
              </w:rPr>
              <w:t>应对所投设备进行调试并对</w:t>
            </w:r>
            <w:r>
              <w:rPr>
                <w:rFonts w:hint="eastAsia" w:ascii="仿宋" w:hAnsi="仿宋" w:eastAsia="仿宋"/>
                <w:color w:val="auto"/>
                <w:sz w:val="21"/>
                <w:szCs w:val="21"/>
                <w:highlight w:val="none"/>
                <w:lang w:eastAsia="zh-CN"/>
              </w:rPr>
              <w:t>采购人</w:t>
            </w:r>
            <w:r>
              <w:rPr>
                <w:rFonts w:hint="eastAsia" w:ascii="仿宋" w:hAnsi="仿宋" w:eastAsia="仿宋"/>
                <w:color w:val="auto"/>
                <w:sz w:val="21"/>
                <w:szCs w:val="21"/>
                <w:highlight w:val="none"/>
              </w:rPr>
              <w:t>操作人员提供现场实地操作培训。</w:t>
            </w:r>
          </w:p>
          <w:p>
            <w:pPr>
              <w:snapToGrid w:val="0"/>
              <w:spacing w:before="156" w:beforeLines="50" w:line="400" w:lineRule="exact"/>
              <w:rPr>
                <w:rFonts w:hint="eastAsia" w:ascii="仿宋" w:hAnsi="仿宋" w:eastAsia="仿宋"/>
                <w:color w:val="auto"/>
                <w:sz w:val="21"/>
                <w:szCs w:val="21"/>
                <w:highlight w:val="none"/>
              </w:rPr>
            </w:pPr>
            <w:r>
              <w:rPr>
                <w:rFonts w:hint="eastAsia" w:ascii="仿宋" w:hAnsi="仿宋" w:eastAsia="仿宋"/>
                <w:color w:val="auto"/>
                <w:sz w:val="21"/>
                <w:szCs w:val="21"/>
                <w:highlight w:val="none"/>
              </w:rPr>
              <w:t>（二）在免费质保期内（1年）设备发生非人为故障，</w:t>
            </w:r>
            <w:r>
              <w:rPr>
                <w:rFonts w:hint="eastAsia" w:ascii="仿宋" w:hAnsi="仿宋" w:eastAsia="仿宋"/>
                <w:color w:val="auto"/>
                <w:sz w:val="21"/>
                <w:szCs w:val="21"/>
                <w:highlight w:val="none"/>
                <w:lang w:eastAsia="zh-CN"/>
              </w:rPr>
              <w:t>成交人</w:t>
            </w:r>
            <w:r>
              <w:rPr>
                <w:rFonts w:hint="eastAsia" w:ascii="仿宋" w:hAnsi="仿宋" w:eastAsia="仿宋"/>
                <w:color w:val="auto"/>
                <w:sz w:val="21"/>
                <w:szCs w:val="21"/>
                <w:highlight w:val="none"/>
              </w:rPr>
              <w:t>应免费上门检修维修，免费更换零部件，并免费上门进行定期检查维护保养、解决用户在使用中出现的疑难。保修期内免费进行检修或更换零配件。</w:t>
            </w:r>
          </w:p>
          <w:p>
            <w:pPr>
              <w:snapToGrid w:val="0"/>
              <w:spacing w:before="156" w:beforeLines="50" w:line="400" w:lineRule="exact"/>
              <w:rPr>
                <w:rFonts w:hint="eastAsia" w:ascii="仿宋" w:hAnsi="仿宋" w:eastAsia="仿宋"/>
                <w:color w:val="auto"/>
                <w:sz w:val="21"/>
                <w:szCs w:val="21"/>
                <w:highlight w:val="none"/>
              </w:rPr>
            </w:pPr>
            <w:r>
              <w:rPr>
                <w:rFonts w:hint="eastAsia" w:ascii="仿宋" w:hAnsi="仿宋" w:eastAsia="仿宋"/>
                <w:color w:val="auto"/>
                <w:sz w:val="21"/>
                <w:szCs w:val="21"/>
                <w:highlight w:val="none"/>
              </w:rPr>
              <w:t>（三）在免费质保期内，</w:t>
            </w:r>
            <w:r>
              <w:rPr>
                <w:rFonts w:hint="eastAsia" w:ascii="仿宋" w:hAnsi="仿宋" w:eastAsia="仿宋"/>
                <w:color w:val="auto"/>
                <w:sz w:val="21"/>
                <w:szCs w:val="21"/>
                <w:highlight w:val="none"/>
                <w:lang w:eastAsia="zh-CN"/>
              </w:rPr>
              <w:t>成交人</w:t>
            </w:r>
            <w:r>
              <w:rPr>
                <w:rFonts w:hint="eastAsia" w:ascii="仿宋" w:hAnsi="仿宋" w:eastAsia="仿宋"/>
                <w:color w:val="auto"/>
                <w:sz w:val="21"/>
                <w:szCs w:val="21"/>
                <w:highlight w:val="none"/>
              </w:rPr>
              <w:t>接需方电话后半小时内响应，1 小时内答复，4～6 小时内到达现场维修，非</w:t>
            </w:r>
            <w:r>
              <w:rPr>
                <w:rFonts w:hint="eastAsia" w:ascii="仿宋" w:hAnsi="仿宋" w:eastAsia="仿宋"/>
                <w:color w:val="auto"/>
                <w:sz w:val="21"/>
                <w:szCs w:val="21"/>
                <w:highlight w:val="none"/>
                <w:lang w:eastAsia="zh-CN"/>
              </w:rPr>
              <w:t>采购人</w:t>
            </w:r>
            <w:r>
              <w:rPr>
                <w:rFonts w:hint="eastAsia" w:ascii="仿宋" w:hAnsi="仿宋" w:eastAsia="仿宋"/>
                <w:color w:val="auto"/>
                <w:sz w:val="21"/>
                <w:szCs w:val="21"/>
                <w:highlight w:val="none"/>
              </w:rPr>
              <w:t>为引起的故障一概由</w:t>
            </w:r>
            <w:r>
              <w:rPr>
                <w:rFonts w:hint="eastAsia" w:ascii="仿宋" w:hAnsi="仿宋" w:eastAsia="仿宋"/>
                <w:color w:val="auto"/>
                <w:sz w:val="21"/>
                <w:szCs w:val="21"/>
                <w:highlight w:val="none"/>
                <w:lang w:eastAsia="zh-CN"/>
              </w:rPr>
              <w:t>成交人</w:t>
            </w:r>
            <w:r>
              <w:rPr>
                <w:rFonts w:hint="eastAsia" w:ascii="仿宋" w:hAnsi="仿宋" w:eastAsia="仿宋"/>
                <w:color w:val="auto"/>
                <w:sz w:val="21"/>
                <w:szCs w:val="21"/>
                <w:highlight w:val="none"/>
              </w:rPr>
              <w:t>负责并承担一切费用，免费保修期内因维修所延误时间顺延免费保修期。</w:t>
            </w:r>
          </w:p>
          <w:p>
            <w:pPr>
              <w:snapToGrid w:val="0"/>
              <w:spacing w:before="156" w:beforeLines="50" w:line="400" w:lineRule="exact"/>
              <w:rPr>
                <w:rFonts w:hint="eastAsia" w:ascii="仿宋" w:hAnsi="仿宋" w:eastAsia="仿宋"/>
                <w:color w:val="auto"/>
                <w:sz w:val="21"/>
                <w:szCs w:val="21"/>
                <w:highlight w:val="none"/>
                <w:lang w:val="en-US" w:eastAsia="zh-CN"/>
              </w:rPr>
            </w:pPr>
            <w:r>
              <w:rPr>
                <w:rFonts w:hint="eastAsia" w:ascii="仿宋" w:hAnsi="仿宋" w:eastAsia="仿宋"/>
                <w:color w:val="auto"/>
                <w:sz w:val="21"/>
                <w:szCs w:val="21"/>
                <w:highlight w:val="none"/>
              </w:rPr>
              <w:t>（四）负责终身维修。质保期满后若设备出现故障，</w:t>
            </w:r>
            <w:r>
              <w:rPr>
                <w:rFonts w:hint="eastAsia" w:ascii="仿宋" w:hAnsi="仿宋" w:eastAsia="仿宋"/>
                <w:color w:val="auto"/>
                <w:sz w:val="21"/>
                <w:szCs w:val="21"/>
                <w:highlight w:val="none"/>
                <w:lang w:eastAsia="zh-CN"/>
              </w:rPr>
              <w:t>成交人</w:t>
            </w:r>
            <w:r>
              <w:rPr>
                <w:rFonts w:hint="eastAsia" w:ascii="仿宋" w:hAnsi="仿宋" w:eastAsia="仿宋"/>
                <w:color w:val="auto"/>
                <w:sz w:val="21"/>
                <w:szCs w:val="21"/>
                <w:highlight w:val="none"/>
              </w:rPr>
              <w:t>应在接到用户通知后 12 小时内派维修人员上门修理。</w:t>
            </w:r>
            <w:r>
              <w:rPr>
                <w:rFonts w:hint="eastAsia" w:ascii="仿宋" w:hAnsi="仿宋" w:eastAsia="仿宋"/>
                <w:color w:val="auto"/>
                <w:sz w:val="21"/>
                <w:szCs w:val="21"/>
                <w:highlight w:val="none"/>
                <w:lang w:eastAsia="zh-CN"/>
              </w:rPr>
              <w:t>成交人</w:t>
            </w:r>
            <w:r>
              <w:rPr>
                <w:rFonts w:hint="eastAsia" w:ascii="仿宋" w:hAnsi="仿宋" w:eastAsia="仿宋"/>
                <w:color w:val="auto"/>
                <w:sz w:val="21"/>
                <w:szCs w:val="21"/>
                <w:highlight w:val="none"/>
              </w:rPr>
              <w:t>终身按优惠价向用户提供用于维修、保养的配件。</w:t>
            </w:r>
            <w:r>
              <w:rPr>
                <w:rFonts w:hint="eastAsia" w:ascii="仿宋" w:hAnsi="仿宋" w:eastAsia="仿宋"/>
                <w:color w:val="auto"/>
                <w:sz w:val="21"/>
                <w:szCs w:val="21"/>
                <w:highlight w:val="none"/>
                <w:lang w:val="en-US" w:eastAsia="zh-CN"/>
              </w:rPr>
              <w:t>如果成交人对于产品故障未在规定时间内进行处理，采购人有权交具有资质的第三方进行维修处理，所产生的费用在质保金中扣除。</w:t>
            </w:r>
          </w:p>
          <w:p>
            <w:pPr>
              <w:snapToGrid w:val="0"/>
              <w:spacing w:before="156" w:beforeLines="50" w:line="400" w:lineRule="exact"/>
              <w:rPr>
                <w:rFonts w:hint="eastAsia" w:ascii="仿宋" w:hAnsi="仿宋" w:eastAsia="仿宋"/>
                <w:color w:val="auto"/>
                <w:sz w:val="24"/>
                <w:highlight w:val="none"/>
              </w:rPr>
            </w:pPr>
          </w:p>
        </w:tc>
        <w:tc>
          <w:tcPr>
            <w:tcW w:w="677"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c>
          <w:tcPr>
            <w:tcW w:w="621"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98" w:hRule="atLeast"/>
        </w:trPr>
        <w:tc>
          <w:tcPr>
            <w:tcW w:w="722"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r>
              <w:rPr>
                <w:rFonts w:hint="eastAsia" w:ascii="仿宋" w:hAnsi="仿宋" w:eastAsia="仿宋"/>
                <w:color w:val="auto"/>
                <w:sz w:val="24"/>
                <w:highlight w:val="none"/>
              </w:rPr>
              <w:t>交货时间</w:t>
            </w:r>
          </w:p>
        </w:tc>
        <w:tc>
          <w:tcPr>
            <w:tcW w:w="2978" w:type="pct"/>
            <w:tcBorders>
              <w:top w:val="single" w:color="auto" w:sz="4" w:space="0"/>
              <w:left w:val="single" w:color="auto" w:sz="4" w:space="0"/>
              <w:bottom w:val="single" w:color="auto" w:sz="4" w:space="0"/>
              <w:right w:val="single" w:color="auto" w:sz="4" w:space="0"/>
            </w:tcBorders>
            <w:noWrap w:val="0"/>
            <w:vAlign w:val="center"/>
          </w:tcPr>
          <w:p>
            <w:pPr>
              <w:spacing w:line="440" w:lineRule="exact"/>
              <w:outlineLvl w:val="9"/>
              <w:rPr>
                <w:rFonts w:hint="eastAsia" w:ascii="仿宋" w:hAnsi="仿宋" w:eastAsia="仿宋"/>
                <w:color w:val="auto"/>
                <w:sz w:val="24"/>
                <w:highlight w:val="none"/>
              </w:rPr>
            </w:pPr>
            <w:r>
              <w:rPr>
                <w:rFonts w:hint="eastAsia" w:ascii="仿宋" w:hAnsi="仿宋" w:eastAsia="仿宋"/>
                <w:color w:val="auto"/>
                <w:sz w:val="21"/>
                <w:szCs w:val="21"/>
                <w:highlight w:val="none"/>
                <w:lang w:val="en-US" w:eastAsia="zh-CN"/>
              </w:rPr>
              <w:t>自合同签订之日起 30 日历天内，具体时间以采购人通知为准。</w:t>
            </w:r>
          </w:p>
        </w:tc>
        <w:tc>
          <w:tcPr>
            <w:tcW w:w="677"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c>
          <w:tcPr>
            <w:tcW w:w="621"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98" w:hRule="atLeast"/>
        </w:trPr>
        <w:tc>
          <w:tcPr>
            <w:tcW w:w="722"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r>
              <w:rPr>
                <w:rFonts w:hint="eastAsia" w:ascii="仿宋" w:hAnsi="仿宋" w:eastAsia="仿宋"/>
                <w:color w:val="auto"/>
                <w:sz w:val="24"/>
                <w:highlight w:val="none"/>
              </w:rPr>
              <w:t>交货</w:t>
            </w:r>
            <w:r>
              <w:rPr>
                <w:rFonts w:hint="eastAsia" w:ascii="仿宋" w:hAnsi="仿宋" w:eastAsia="仿宋"/>
                <w:color w:val="auto"/>
                <w:sz w:val="24"/>
                <w:highlight w:val="none"/>
                <w:lang w:val="en-US" w:eastAsia="zh-CN"/>
              </w:rPr>
              <w:t>验收</w:t>
            </w:r>
            <w:r>
              <w:rPr>
                <w:rFonts w:hint="eastAsia" w:ascii="仿宋" w:hAnsi="仿宋" w:eastAsia="仿宋"/>
                <w:color w:val="auto"/>
                <w:sz w:val="24"/>
                <w:highlight w:val="none"/>
              </w:rPr>
              <w:t>方式</w:t>
            </w:r>
          </w:p>
        </w:tc>
        <w:tc>
          <w:tcPr>
            <w:tcW w:w="2978" w:type="pct"/>
            <w:tcBorders>
              <w:top w:val="single" w:color="auto" w:sz="4" w:space="0"/>
              <w:left w:val="single" w:color="auto" w:sz="4" w:space="0"/>
              <w:bottom w:val="single" w:color="auto" w:sz="4" w:space="0"/>
              <w:right w:val="single" w:color="auto" w:sz="4" w:space="0"/>
            </w:tcBorders>
            <w:noWrap w:val="0"/>
            <w:vAlign w:val="center"/>
          </w:tcPr>
          <w:p>
            <w:pPr>
              <w:spacing w:line="440" w:lineRule="exact"/>
              <w:outlineLvl w:val="9"/>
              <w:rPr>
                <w:rFonts w:hint="eastAsia" w:ascii="仿宋" w:hAnsi="仿宋" w:eastAsia="仿宋"/>
                <w:color w:val="auto"/>
                <w:sz w:val="21"/>
                <w:szCs w:val="21"/>
                <w:highlight w:val="none"/>
                <w:lang w:val="en-US" w:eastAsia="zh-CN"/>
              </w:rPr>
            </w:pPr>
            <w:r>
              <w:rPr>
                <w:rFonts w:hint="eastAsia" w:ascii="仿宋" w:hAnsi="仿宋" w:eastAsia="仿宋"/>
                <w:color w:val="auto"/>
                <w:sz w:val="21"/>
                <w:szCs w:val="21"/>
                <w:highlight w:val="none"/>
                <w:lang w:val="en-US" w:eastAsia="zh-CN"/>
              </w:rPr>
              <w:t>（一）交付验收标准依次序对照适用标准为：</w:t>
            </w:r>
          </w:p>
          <w:p>
            <w:pPr>
              <w:spacing w:line="440" w:lineRule="exact"/>
              <w:outlineLvl w:val="9"/>
              <w:rPr>
                <w:rFonts w:hint="eastAsia" w:ascii="仿宋" w:hAnsi="仿宋" w:eastAsia="仿宋"/>
                <w:color w:val="auto"/>
                <w:sz w:val="21"/>
                <w:szCs w:val="21"/>
                <w:highlight w:val="none"/>
                <w:lang w:val="en-US" w:eastAsia="zh-CN"/>
              </w:rPr>
            </w:pPr>
            <w:r>
              <w:rPr>
                <w:rFonts w:hint="eastAsia" w:ascii="仿宋" w:hAnsi="仿宋" w:eastAsia="仿宋"/>
                <w:color w:val="auto"/>
                <w:sz w:val="21"/>
                <w:szCs w:val="21"/>
                <w:highlight w:val="none"/>
                <w:lang w:val="en-US" w:eastAsia="zh-CN"/>
              </w:rPr>
              <w:t>1.符合中华人民共和国国家安全质量标准、环保标准或行业标准；</w:t>
            </w:r>
          </w:p>
          <w:p>
            <w:pPr>
              <w:spacing w:line="440" w:lineRule="exact"/>
              <w:outlineLvl w:val="9"/>
              <w:rPr>
                <w:rFonts w:hint="eastAsia" w:ascii="仿宋" w:hAnsi="仿宋" w:eastAsia="仿宋"/>
                <w:color w:val="auto"/>
                <w:sz w:val="21"/>
                <w:szCs w:val="21"/>
                <w:highlight w:val="none"/>
                <w:lang w:val="en-US" w:eastAsia="zh-CN"/>
              </w:rPr>
            </w:pPr>
            <w:r>
              <w:rPr>
                <w:rFonts w:hint="eastAsia" w:ascii="仿宋" w:hAnsi="仿宋" w:eastAsia="仿宋"/>
                <w:color w:val="auto"/>
                <w:sz w:val="21"/>
                <w:szCs w:val="21"/>
                <w:highlight w:val="none"/>
                <w:lang w:val="en-US" w:eastAsia="zh-CN"/>
              </w:rPr>
              <w:t>2.符合采购文件中技术参数及各项配置要求等；</w:t>
            </w:r>
          </w:p>
          <w:p>
            <w:pPr>
              <w:spacing w:line="440" w:lineRule="exact"/>
              <w:outlineLvl w:val="9"/>
              <w:rPr>
                <w:rFonts w:hint="eastAsia" w:ascii="仿宋" w:hAnsi="仿宋" w:eastAsia="仿宋"/>
                <w:color w:val="auto"/>
                <w:sz w:val="21"/>
                <w:szCs w:val="21"/>
                <w:highlight w:val="none"/>
                <w:lang w:val="en-US" w:eastAsia="zh-CN"/>
              </w:rPr>
            </w:pPr>
            <w:r>
              <w:rPr>
                <w:rFonts w:hint="eastAsia" w:ascii="仿宋" w:hAnsi="仿宋" w:eastAsia="仿宋"/>
                <w:color w:val="auto"/>
                <w:sz w:val="21"/>
                <w:szCs w:val="21"/>
                <w:highlight w:val="none"/>
                <w:lang w:val="en-US" w:eastAsia="zh-CN"/>
              </w:rPr>
              <w:t>3.货物来源国家官方标准。</w:t>
            </w:r>
          </w:p>
          <w:p>
            <w:pPr>
              <w:spacing w:line="440" w:lineRule="exact"/>
              <w:outlineLvl w:val="9"/>
              <w:rPr>
                <w:rFonts w:hint="eastAsia" w:ascii="仿宋" w:hAnsi="仿宋" w:eastAsia="仿宋"/>
                <w:color w:val="auto"/>
                <w:sz w:val="24"/>
                <w:highlight w:val="none"/>
              </w:rPr>
            </w:pPr>
            <w:r>
              <w:rPr>
                <w:rFonts w:hint="eastAsia" w:ascii="仿宋" w:hAnsi="仿宋" w:eastAsia="仿宋"/>
                <w:color w:val="auto"/>
                <w:sz w:val="21"/>
                <w:szCs w:val="21"/>
                <w:highlight w:val="none"/>
                <w:lang w:val="en-US" w:eastAsia="zh-CN"/>
              </w:rPr>
              <w:t>（二）在接到成交人以书面形式提出验收申请后，采购方及时组织相关专业技术人员进行验收，验收应在采购人和成交人双方共同参加下进行。必要时邀请相关部门共同参与验收，并出具验收报告，作为支付货款的依据。</w:t>
            </w:r>
          </w:p>
        </w:tc>
        <w:tc>
          <w:tcPr>
            <w:tcW w:w="677"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c>
          <w:tcPr>
            <w:tcW w:w="621"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98" w:hRule="atLeast"/>
        </w:trPr>
        <w:tc>
          <w:tcPr>
            <w:tcW w:w="722"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r>
              <w:rPr>
                <w:rFonts w:hint="eastAsia" w:ascii="仿宋" w:hAnsi="仿宋" w:eastAsia="仿宋"/>
                <w:color w:val="auto"/>
                <w:sz w:val="24"/>
                <w:highlight w:val="none"/>
              </w:rPr>
              <w:t>交货地点</w:t>
            </w:r>
          </w:p>
        </w:tc>
        <w:tc>
          <w:tcPr>
            <w:tcW w:w="2978" w:type="pct"/>
            <w:tcBorders>
              <w:top w:val="single" w:color="auto" w:sz="4" w:space="0"/>
              <w:left w:val="single" w:color="auto" w:sz="4" w:space="0"/>
              <w:bottom w:val="single" w:color="auto" w:sz="4" w:space="0"/>
              <w:right w:val="single" w:color="auto" w:sz="4" w:space="0"/>
            </w:tcBorders>
            <w:noWrap w:val="0"/>
            <w:vAlign w:val="center"/>
          </w:tcPr>
          <w:p>
            <w:pPr>
              <w:spacing w:line="440" w:lineRule="exact"/>
              <w:outlineLvl w:val="9"/>
              <w:rPr>
                <w:rFonts w:hint="eastAsia" w:ascii="仿宋" w:hAnsi="仿宋" w:eastAsia="仿宋"/>
                <w:color w:val="auto"/>
                <w:sz w:val="24"/>
                <w:highlight w:val="none"/>
              </w:rPr>
            </w:pPr>
            <w:r>
              <w:rPr>
                <w:rFonts w:hint="eastAsia" w:ascii="仿宋" w:hAnsi="仿宋" w:eastAsia="仿宋"/>
                <w:color w:val="auto"/>
                <w:sz w:val="21"/>
                <w:szCs w:val="21"/>
                <w:highlight w:val="none"/>
                <w:lang w:val="en-US" w:eastAsia="zh-CN"/>
              </w:rPr>
              <w:t>采购人指定地点</w:t>
            </w:r>
          </w:p>
        </w:tc>
        <w:tc>
          <w:tcPr>
            <w:tcW w:w="677"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c>
          <w:tcPr>
            <w:tcW w:w="621"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798" w:hRule="atLeast"/>
        </w:trPr>
        <w:tc>
          <w:tcPr>
            <w:tcW w:w="722"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r>
              <w:rPr>
                <w:rFonts w:hint="eastAsia" w:ascii="仿宋" w:hAnsi="仿宋" w:eastAsia="仿宋"/>
                <w:color w:val="auto"/>
                <w:sz w:val="24"/>
                <w:highlight w:val="none"/>
              </w:rPr>
              <w:t>付款方式</w:t>
            </w:r>
          </w:p>
        </w:tc>
        <w:tc>
          <w:tcPr>
            <w:tcW w:w="2978"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r>
              <w:rPr>
                <w:rFonts w:hint="eastAsia" w:ascii="仿宋" w:hAnsi="仿宋" w:eastAsia="仿宋"/>
                <w:color w:val="auto"/>
                <w:sz w:val="21"/>
                <w:szCs w:val="21"/>
                <w:highlight w:val="none"/>
              </w:rPr>
              <w:t>完成供货</w:t>
            </w:r>
            <w:r>
              <w:rPr>
                <w:rFonts w:hint="eastAsia" w:ascii="仿宋" w:hAnsi="仿宋" w:eastAsia="仿宋"/>
                <w:color w:val="auto"/>
                <w:sz w:val="21"/>
                <w:szCs w:val="21"/>
                <w:highlight w:val="none"/>
                <w:lang w:val="en-US" w:eastAsia="zh-CN"/>
              </w:rPr>
              <w:t>和</w:t>
            </w:r>
            <w:r>
              <w:rPr>
                <w:rFonts w:hint="eastAsia" w:ascii="仿宋" w:hAnsi="仿宋" w:eastAsia="仿宋"/>
                <w:color w:val="auto"/>
                <w:sz w:val="21"/>
                <w:szCs w:val="21"/>
                <w:highlight w:val="none"/>
              </w:rPr>
              <w:t>调试</w:t>
            </w:r>
            <w:r>
              <w:rPr>
                <w:rFonts w:hint="eastAsia" w:ascii="仿宋" w:hAnsi="仿宋" w:eastAsia="仿宋"/>
                <w:color w:val="auto"/>
                <w:sz w:val="21"/>
                <w:szCs w:val="21"/>
                <w:highlight w:val="none"/>
                <w:lang w:val="en-US" w:eastAsia="zh-CN"/>
              </w:rPr>
              <w:t>且验收合格后</w:t>
            </w:r>
            <w:r>
              <w:rPr>
                <w:rFonts w:hint="eastAsia" w:ascii="仿宋" w:hAnsi="仿宋" w:eastAsia="仿宋"/>
                <w:color w:val="auto"/>
                <w:sz w:val="21"/>
                <w:szCs w:val="21"/>
                <w:highlight w:val="none"/>
              </w:rPr>
              <w:t>付合同</w:t>
            </w:r>
            <w:r>
              <w:rPr>
                <w:rFonts w:hint="eastAsia" w:ascii="仿宋" w:hAnsi="仿宋" w:eastAsia="仿宋"/>
                <w:color w:val="auto"/>
                <w:sz w:val="21"/>
                <w:szCs w:val="21"/>
                <w:highlight w:val="none"/>
                <w:lang w:val="en-US" w:eastAsia="zh-CN"/>
              </w:rPr>
              <w:t>金额</w:t>
            </w:r>
            <w:r>
              <w:rPr>
                <w:rFonts w:hint="eastAsia" w:ascii="仿宋" w:hAnsi="仿宋" w:eastAsia="仿宋"/>
                <w:color w:val="auto"/>
                <w:sz w:val="21"/>
                <w:szCs w:val="21"/>
                <w:highlight w:val="none"/>
              </w:rPr>
              <w:t>的</w:t>
            </w:r>
            <w:r>
              <w:rPr>
                <w:rFonts w:hint="eastAsia" w:ascii="仿宋" w:hAnsi="仿宋" w:eastAsia="仿宋"/>
                <w:color w:val="auto"/>
                <w:sz w:val="21"/>
                <w:szCs w:val="21"/>
                <w:highlight w:val="none"/>
                <w:lang w:val="en-US" w:eastAsia="zh-CN"/>
              </w:rPr>
              <w:t>6</w:t>
            </w:r>
            <w:r>
              <w:rPr>
                <w:rFonts w:hint="eastAsia" w:ascii="仿宋" w:hAnsi="仿宋" w:eastAsia="仿宋"/>
                <w:color w:val="auto"/>
                <w:sz w:val="21"/>
                <w:szCs w:val="21"/>
                <w:highlight w:val="none"/>
              </w:rPr>
              <w:t>0%，</w:t>
            </w:r>
            <w:r>
              <w:rPr>
                <w:rFonts w:hint="eastAsia" w:ascii="仿宋" w:hAnsi="仿宋" w:eastAsia="仿宋"/>
                <w:color w:val="auto"/>
                <w:sz w:val="21"/>
                <w:szCs w:val="21"/>
                <w:highlight w:val="none"/>
                <w:lang w:val="en-US" w:eastAsia="zh-CN"/>
              </w:rPr>
              <w:t>第二年农历年年底前支付</w:t>
            </w:r>
            <w:r>
              <w:rPr>
                <w:rFonts w:hint="eastAsia" w:ascii="仿宋" w:hAnsi="仿宋" w:eastAsia="仿宋"/>
                <w:color w:val="auto"/>
                <w:sz w:val="21"/>
                <w:szCs w:val="21"/>
                <w:highlight w:val="none"/>
              </w:rPr>
              <w:t>合同金额的</w:t>
            </w:r>
            <w:r>
              <w:rPr>
                <w:rFonts w:hint="eastAsia" w:ascii="仿宋" w:hAnsi="仿宋" w:eastAsia="仿宋"/>
                <w:color w:val="auto"/>
                <w:sz w:val="21"/>
                <w:szCs w:val="21"/>
                <w:highlight w:val="none"/>
                <w:lang w:val="en-US" w:eastAsia="zh-CN"/>
              </w:rPr>
              <w:t>2</w:t>
            </w:r>
            <w:r>
              <w:rPr>
                <w:rFonts w:hint="eastAsia" w:ascii="仿宋" w:hAnsi="仿宋" w:eastAsia="仿宋"/>
                <w:color w:val="auto"/>
                <w:sz w:val="21"/>
                <w:szCs w:val="21"/>
                <w:highlight w:val="none"/>
              </w:rPr>
              <w:t>0%；余款在</w:t>
            </w:r>
            <w:r>
              <w:rPr>
                <w:rFonts w:hint="eastAsia" w:ascii="仿宋" w:hAnsi="仿宋" w:eastAsia="仿宋"/>
                <w:color w:val="auto"/>
                <w:sz w:val="21"/>
                <w:szCs w:val="21"/>
                <w:highlight w:val="none"/>
                <w:lang w:val="en-US" w:eastAsia="zh-CN"/>
              </w:rPr>
              <w:t>贰年质保期满后</w:t>
            </w:r>
            <w:r>
              <w:rPr>
                <w:rFonts w:hint="eastAsia" w:ascii="仿宋" w:hAnsi="仿宋" w:eastAsia="仿宋"/>
                <w:color w:val="auto"/>
                <w:sz w:val="21"/>
                <w:szCs w:val="21"/>
                <w:highlight w:val="none"/>
              </w:rPr>
              <w:t>无质量问题一次性付清。支付前成交人均需全额开具正式税票或者收据</w:t>
            </w:r>
            <w:r>
              <w:rPr>
                <w:rFonts w:hint="eastAsia" w:ascii="仿宋" w:hAnsi="仿宋" w:eastAsia="仿宋"/>
                <w:color w:val="auto"/>
                <w:sz w:val="21"/>
                <w:szCs w:val="21"/>
                <w:highlight w:val="none"/>
                <w:lang w:eastAsia="zh-CN"/>
              </w:rPr>
              <w:t>。</w:t>
            </w:r>
          </w:p>
        </w:tc>
        <w:tc>
          <w:tcPr>
            <w:tcW w:w="677"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c>
          <w:tcPr>
            <w:tcW w:w="621"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98" w:hRule="atLeast"/>
        </w:trPr>
        <w:tc>
          <w:tcPr>
            <w:tcW w:w="722"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r>
              <w:rPr>
                <w:rFonts w:hint="eastAsia" w:ascii="仿宋" w:hAnsi="仿宋" w:eastAsia="仿宋"/>
                <w:color w:val="auto"/>
                <w:sz w:val="24"/>
                <w:highlight w:val="none"/>
              </w:rPr>
              <w:t>投标货币</w:t>
            </w:r>
          </w:p>
        </w:tc>
        <w:tc>
          <w:tcPr>
            <w:tcW w:w="2978"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default" w:ascii="仿宋" w:hAnsi="仿宋" w:eastAsia="仿宋"/>
                <w:color w:val="auto"/>
                <w:sz w:val="24"/>
                <w:highlight w:val="none"/>
                <w:lang w:val="en-US" w:eastAsia="zh-CN"/>
              </w:rPr>
            </w:pPr>
            <w:r>
              <w:rPr>
                <w:rFonts w:hint="eastAsia" w:ascii="仿宋" w:hAnsi="仿宋" w:eastAsia="仿宋"/>
                <w:color w:val="auto"/>
                <w:sz w:val="24"/>
                <w:highlight w:val="none"/>
                <w:lang w:val="en-US" w:eastAsia="zh-CN"/>
              </w:rPr>
              <w:t>人民币</w:t>
            </w:r>
          </w:p>
        </w:tc>
        <w:tc>
          <w:tcPr>
            <w:tcW w:w="677"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c>
          <w:tcPr>
            <w:tcW w:w="621"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98" w:hRule="atLeast"/>
        </w:trPr>
        <w:tc>
          <w:tcPr>
            <w:tcW w:w="722"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r>
              <w:rPr>
                <w:rFonts w:hint="eastAsia" w:ascii="仿宋" w:hAnsi="仿宋" w:eastAsia="仿宋"/>
                <w:color w:val="auto"/>
                <w:sz w:val="24"/>
                <w:highlight w:val="none"/>
              </w:rPr>
              <w:t>其他</w:t>
            </w:r>
          </w:p>
        </w:tc>
        <w:tc>
          <w:tcPr>
            <w:tcW w:w="2978"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c>
          <w:tcPr>
            <w:tcW w:w="677"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c>
          <w:tcPr>
            <w:tcW w:w="621" w:type="pct"/>
            <w:tcBorders>
              <w:top w:val="single" w:color="auto" w:sz="4" w:space="0"/>
              <w:left w:val="single" w:color="auto" w:sz="4" w:space="0"/>
              <w:bottom w:val="single" w:color="auto" w:sz="4" w:space="0"/>
              <w:right w:val="single" w:color="auto" w:sz="4" w:space="0"/>
            </w:tcBorders>
            <w:noWrap w:val="0"/>
            <w:vAlign w:val="center"/>
          </w:tcPr>
          <w:p>
            <w:pPr>
              <w:snapToGrid w:val="0"/>
              <w:spacing w:before="156" w:beforeLines="50" w:line="400" w:lineRule="exact"/>
              <w:rPr>
                <w:rFonts w:hint="eastAsia" w:ascii="仿宋" w:hAnsi="仿宋" w:eastAsia="仿宋"/>
                <w:color w:val="auto"/>
                <w:sz w:val="24"/>
                <w:highlight w:val="none"/>
              </w:rPr>
            </w:pPr>
          </w:p>
        </w:tc>
      </w:tr>
    </w:tbl>
    <w:p>
      <w:pPr>
        <w:spacing w:line="400" w:lineRule="exact"/>
        <w:rPr>
          <w:rFonts w:hint="eastAsia" w:ascii="仿宋" w:hAnsi="仿宋" w:eastAsia="仿宋"/>
          <w:color w:val="auto"/>
          <w:sz w:val="24"/>
          <w:highlight w:val="none"/>
        </w:rPr>
      </w:pPr>
    </w:p>
    <w:p>
      <w:pPr>
        <w:spacing w:line="400" w:lineRule="exact"/>
        <w:rPr>
          <w:rFonts w:ascii="仿宋" w:hAnsi="仿宋" w:eastAsia="仿宋"/>
          <w:color w:val="auto"/>
          <w:sz w:val="24"/>
          <w:highlight w:val="none"/>
        </w:rPr>
      </w:pPr>
      <w:r>
        <w:rPr>
          <w:rFonts w:hint="eastAsia" w:ascii="仿宋" w:hAnsi="仿宋" w:eastAsia="仿宋"/>
          <w:color w:val="auto"/>
          <w:sz w:val="24"/>
          <w:highlight w:val="none"/>
        </w:rPr>
        <w:t>法定代表人或授权代表签字：</w:t>
      </w:r>
    </w:p>
    <w:p>
      <w:pPr>
        <w:spacing w:line="400" w:lineRule="exact"/>
        <w:rPr>
          <w:rFonts w:ascii="仿宋" w:hAnsi="仿宋" w:eastAsia="仿宋"/>
          <w:color w:val="auto"/>
          <w:sz w:val="24"/>
          <w:highlight w:val="none"/>
        </w:rPr>
      </w:pPr>
    </w:p>
    <w:p>
      <w:pPr>
        <w:spacing w:line="500" w:lineRule="exact"/>
        <w:ind w:right="561" w:firstLine="562" w:firstLineChars="200"/>
        <w:jc w:val="left"/>
        <w:outlineLvl w:val="9"/>
        <w:rPr>
          <w:rFonts w:hint="eastAsia" w:ascii="仿宋" w:hAnsi="仿宋" w:eastAsia="仿宋"/>
          <w:color w:val="auto"/>
          <w:sz w:val="28"/>
          <w:szCs w:val="28"/>
          <w:highlight w:val="none"/>
        </w:rPr>
      </w:pPr>
      <w:r>
        <w:rPr>
          <w:rFonts w:ascii="仿宋" w:hAnsi="仿宋" w:eastAsia="仿宋"/>
          <w:b/>
          <w:bCs/>
          <w:color w:val="auto"/>
          <w:sz w:val="28"/>
          <w:szCs w:val="28"/>
          <w:highlight w:val="none"/>
        </w:rPr>
        <w:br w:type="page"/>
      </w:r>
      <w:r>
        <w:rPr>
          <w:rFonts w:hint="eastAsia" w:ascii="仿宋" w:hAnsi="仿宋" w:eastAsia="仿宋"/>
          <w:color w:val="auto"/>
          <w:sz w:val="28"/>
          <w:szCs w:val="28"/>
          <w:highlight w:val="none"/>
        </w:rPr>
        <w:t>（四）技术方案、服务承诺、培训承诺（格式自拟）</w:t>
      </w:r>
    </w:p>
    <w:p>
      <w:pPr>
        <w:spacing w:line="500" w:lineRule="exact"/>
        <w:ind w:right="560"/>
        <w:jc w:val="left"/>
        <w:rPr>
          <w:rFonts w:hint="eastAsia" w:ascii="仿宋" w:hAnsi="仿宋" w:eastAsia="仿宋"/>
          <w:color w:val="auto"/>
          <w:sz w:val="28"/>
          <w:szCs w:val="28"/>
          <w:highlight w:val="none"/>
        </w:rPr>
      </w:pPr>
    </w:p>
    <w:p>
      <w:pPr>
        <w:spacing w:line="500" w:lineRule="exact"/>
        <w:ind w:right="560"/>
        <w:jc w:val="left"/>
        <w:rPr>
          <w:rFonts w:hint="eastAsia" w:ascii="仿宋" w:hAnsi="仿宋" w:eastAsia="仿宋"/>
          <w:color w:val="auto"/>
          <w:sz w:val="28"/>
          <w:szCs w:val="28"/>
          <w:highlight w:val="none"/>
        </w:rPr>
      </w:pPr>
    </w:p>
    <w:p>
      <w:pPr>
        <w:spacing w:line="500" w:lineRule="exact"/>
        <w:ind w:right="560"/>
        <w:jc w:val="left"/>
        <w:rPr>
          <w:rFonts w:hint="eastAsia" w:ascii="仿宋" w:hAnsi="仿宋" w:eastAsia="仿宋"/>
          <w:color w:val="auto"/>
          <w:sz w:val="28"/>
          <w:szCs w:val="28"/>
          <w:highlight w:val="none"/>
        </w:rPr>
      </w:pPr>
    </w:p>
    <w:p>
      <w:pPr>
        <w:spacing w:line="500" w:lineRule="exact"/>
        <w:ind w:right="560"/>
        <w:jc w:val="left"/>
        <w:rPr>
          <w:rFonts w:hint="eastAsia" w:ascii="仿宋" w:hAnsi="仿宋" w:eastAsia="仿宋"/>
          <w:color w:val="auto"/>
          <w:sz w:val="28"/>
          <w:szCs w:val="28"/>
          <w:highlight w:val="none"/>
        </w:rPr>
      </w:pPr>
    </w:p>
    <w:p>
      <w:pPr>
        <w:spacing w:line="500" w:lineRule="exact"/>
        <w:ind w:right="561" w:firstLine="560" w:firstLineChars="200"/>
        <w:jc w:val="left"/>
        <w:outlineLvl w:val="9"/>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（五）其它需要提交的商务技术响应文件材料（格式自拟）</w:t>
      </w:r>
    </w:p>
    <w:p>
      <w:pPr>
        <w:spacing w:line="500" w:lineRule="exact"/>
        <w:ind w:right="561" w:firstLine="840" w:firstLineChars="300"/>
        <w:jc w:val="left"/>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1、响应供应商按“评分标准表”中的所有打分项按顺序逐一响应并提供的证明文件。</w:t>
      </w:r>
    </w:p>
    <w:p>
      <w:pPr>
        <w:spacing w:line="500" w:lineRule="exact"/>
        <w:ind w:firstLine="560" w:firstLineChars="200"/>
        <w:rPr>
          <w:rFonts w:hint="eastAsia" w:ascii="黑体" w:hAnsi="黑体" w:eastAsia="黑体"/>
          <w:color w:val="auto"/>
          <w:sz w:val="28"/>
          <w:szCs w:val="28"/>
          <w:highlight w:val="none"/>
        </w:rPr>
      </w:pPr>
    </w:p>
    <w:p>
      <w:pPr>
        <w:spacing w:line="500" w:lineRule="exact"/>
        <w:ind w:firstLine="560" w:firstLineChars="200"/>
        <w:rPr>
          <w:rFonts w:hint="eastAsia" w:ascii="黑体" w:hAnsi="黑体" w:eastAsia="黑体"/>
          <w:color w:val="auto"/>
          <w:sz w:val="28"/>
          <w:szCs w:val="28"/>
          <w:highlight w:val="none"/>
        </w:rPr>
      </w:pPr>
    </w:p>
    <w:p>
      <w:pPr>
        <w:spacing w:line="500" w:lineRule="exact"/>
        <w:rPr>
          <w:rFonts w:hint="eastAsia" w:ascii="仿宋" w:hAnsi="仿宋" w:eastAsia="仿宋"/>
          <w:color w:val="auto"/>
          <w:sz w:val="28"/>
          <w:szCs w:val="28"/>
          <w:highlight w:val="none"/>
        </w:rPr>
      </w:pPr>
      <w:r>
        <w:rPr>
          <w:rFonts w:hint="eastAsia" w:ascii="仿宋" w:hAnsi="仿宋" w:eastAsia="仿宋"/>
          <w:b/>
          <w:bCs/>
          <w:color w:val="auto"/>
          <w:sz w:val="28"/>
          <w:szCs w:val="28"/>
          <w:highlight w:val="none"/>
        </w:rPr>
        <w:t>注意：以上商务技术响应文件所有涉及证明文件复印件必须加盖公章，原件备查。</w:t>
      </w:r>
    </w:p>
    <w:p>
      <w:pPr>
        <w:spacing w:line="500" w:lineRule="exact"/>
        <w:ind w:firstLine="560" w:firstLineChars="200"/>
        <w:rPr>
          <w:rFonts w:hint="eastAsia" w:ascii="黑体" w:hAnsi="黑体" w:eastAsia="黑体"/>
          <w:color w:val="auto"/>
          <w:sz w:val="28"/>
          <w:szCs w:val="28"/>
          <w:highlight w:val="none"/>
        </w:rPr>
      </w:pPr>
    </w:p>
    <w:p>
      <w:pPr>
        <w:spacing w:line="500" w:lineRule="exact"/>
        <w:outlineLvl w:val="1"/>
        <w:rPr>
          <w:rFonts w:hint="eastAsia" w:ascii="黑体" w:hAnsi="黑体" w:eastAsia="黑体"/>
          <w:bCs/>
          <w:color w:val="auto"/>
          <w:sz w:val="28"/>
          <w:szCs w:val="28"/>
          <w:highlight w:val="none"/>
        </w:rPr>
      </w:pPr>
      <w:r>
        <w:rPr>
          <w:rFonts w:ascii="黑体" w:hAnsi="黑体" w:eastAsia="黑体"/>
          <w:color w:val="auto"/>
          <w:sz w:val="28"/>
          <w:szCs w:val="28"/>
          <w:highlight w:val="none"/>
        </w:rPr>
        <w:br w:type="page"/>
      </w:r>
      <w:bookmarkStart w:id="211" w:name="_Toc13947"/>
      <w:bookmarkStart w:id="212" w:name="_Toc20996"/>
      <w:bookmarkStart w:id="213" w:name="_Toc18193"/>
      <w:bookmarkStart w:id="214" w:name="_Toc27461"/>
      <w:bookmarkStart w:id="215" w:name="_Toc21614"/>
      <w:r>
        <w:rPr>
          <w:rFonts w:hint="eastAsia" w:ascii="黑体" w:hAnsi="黑体" w:eastAsia="黑体"/>
          <w:color w:val="auto"/>
          <w:sz w:val="28"/>
          <w:szCs w:val="28"/>
          <w:highlight w:val="none"/>
        </w:rPr>
        <w:t>三、竞争性磋商响应</w:t>
      </w:r>
      <w:r>
        <w:rPr>
          <w:rFonts w:hint="eastAsia" w:ascii="黑体" w:hAnsi="黑体" w:eastAsia="黑体"/>
          <w:bCs/>
          <w:color w:val="auto"/>
          <w:sz w:val="28"/>
          <w:szCs w:val="28"/>
          <w:highlight w:val="none"/>
        </w:rPr>
        <w:t>报价材料</w:t>
      </w:r>
      <w:bookmarkEnd w:id="211"/>
      <w:bookmarkEnd w:id="212"/>
      <w:bookmarkEnd w:id="213"/>
      <w:bookmarkEnd w:id="214"/>
      <w:bookmarkEnd w:id="215"/>
    </w:p>
    <w:p>
      <w:pPr>
        <w:spacing w:line="500" w:lineRule="exact"/>
        <w:ind w:firstLine="560" w:firstLineChars="200"/>
        <w:outlineLvl w:val="9"/>
        <w:rPr>
          <w:rFonts w:hint="eastAsia" w:ascii="仿宋" w:hAnsi="仿宋" w:eastAsia="仿宋"/>
          <w:bCs/>
          <w:color w:val="auto"/>
          <w:sz w:val="28"/>
          <w:szCs w:val="28"/>
          <w:highlight w:val="none"/>
        </w:rPr>
      </w:pPr>
      <w:r>
        <w:rPr>
          <w:rFonts w:hint="eastAsia" w:ascii="仿宋" w:hAnsi="仿宋" w:eastAsia="仿宋"/>
          <w:color w:val="auto"/>
          <w:sz w:val="28"/>
          <w:szCs w:val="28"/>
          <w:highlight w:val="none"/>
        </w:rPr>
        <w:t>（一）</w:t>
      </w:r>
      <w:r>
        <w:rPr>
          <w:rFonts w:hint="eastAsia" w:ascii="仿宋" w:hAnsi="仿宋" w:eastAsia="仿宋"/>
          <w:bCs/>
          <w:color w:val="auto"/>
          <w:sz w:val="28"/>
          <w:szCs w:val="28"/>
          <w:highlight w:val="none"/>
        </w:rPr>
        <w:t>竞争性磋商响应报价表</w:t>
      </w:r>
    </w:p>
    <w:p>
      <w:pPr>
        <w:spacing w:line="500" w:lineRule="exact"/>
        <w:ind w:firstLine="560" w:firstLineChars="200"/>
        <w:rPr>
          <w:rFonts w:hint="eastAsia" w:ascii="仿宋" w:hAnsi="仿宋" w:eastAsia="仿宋"/>
          <w:bCs/>
          <w:color w:val="auto"/>
          <w:sz w:val="28"/>
          <w:szCs w:val="28"/>
          <w:highlight w:val="none"/>
        </w:rPr>
      </w:pPr>
    </w:p>
    <w:p>
      <w:pPr>
        <w:spacing w:line="560" w:lineRule="exact"/>
        <w:ind w:firstLine="3040" w:firstLineChars="950"/>
        <w:rPr>
          <w:rFonts w:hint="eastAsia" w:ascii="方正小标宋简体" w:hAnsi="宋体" w:eastAsia="方正小标宋简体"/>
          <w:color w:val="auto"/>
          <w:sz w:val="32"/>
          <w:szCs w:val="32"/>
          <w:highlight w:val="none"/>
        </w:rPr>
      </w:pPr>
      <w:r>
        <w:rPr>
          <w:rFonts w:hint="eastAsia" w:ascii="方正小标宋简体" w:hAnsi="宋体" w:eastAsia="方正小标宋简体"/>
          <w:color w:val="auto"/>
          <w:sz w:val="32"/>
          <w:szCs w:val="32"/>
          <w:highlight w:val="none"/>
        </w:rPr>
        <w:t>竞争性磋商响应报价表</w:t>
      </w:r>
    </w:p>
    <w:p>
      <w:pPr>
        <w:spacing w:line="560" w:lineRule="exact"/>
        <w:ind w:firstLine="3040" w:firstLineChars="950"/>
        <w:rPr>
          <w:rFonts w:hint="eastAsia" w:ascii="方正小标宋简体" w:hAnsi="宋体" w:eastAsia="方正小标宋简体"/>
          <w:color w:val="auto"/>
          <w:sz w:val="32"/>
          <w:szCs w:val="32"/>
          <w:highlight w:val="none"/>
        </w:rPr>
      </w:pPr>
    </w:p>
    <w:tbl>
      <w:tblPr>
        <w:tblStyle w:val="21"/>
        <w:tblW w:w="0" w:type="auto"/>
        <w:tblInd w:w="95" w:type="dxa"/>
        <w:tblLayout w:type="fixed"/>
        <w:tblCellMar>
          <w:top w:w="0" w:type="dxa"/>
          <w:left w:w="108" w:type="dxa"/>
          <w:bottom w:w="0" w:type="dxa"/>
          <w:right w:w="108" w:type="dxa"/>
        </w:tblCellMar>
      </w:tblPr>
      <w:tblGrid>
        <w:gridCol w:w="794"/>
        <w:gridCol w:w="3788"/>
        <w:gridCol w:w="1725"/>
        <w:gridCol w:w="2500"/>
      </w:tblGrid>
      <w:tr>
        <w:tblPrEx>
          <w:tblCellMar>
            <w:top w:w="0" w:type="dxa"/>
            <w:left w:w="108" w:type="dxa"/>
            <w:bottom w:w="0" w:type="dxa"/>
            <w:right w:w="108" w:type="dxa"/>
          </w:tblCellMar>
        </w:tblPrEx>
        <w:trPr>
          <w:trHeight w:val="390" w:hRule="atLeast"/>
        </w:trPr>
        <w:tc>
          <w:tcPr>
            <w:tcW w:w="8807" w:type="dxa"/>
            <w:gridSpan w:val="4"/>
            <w:tcBorders>
              <w:top w:val="nil"/>
              <w:left w:val="nil"/>
              <w:bottom w:val="nil"/>
              <w:right w:val="nil"/>
            </w:tcBorders>
            <w:noWrap/>
            <w:vAlign w:val="center"/>
          </w:tcPr>
          <w:p>
            <w:pPr>
              <w:widowControl/>
              <w:spacing w:line="400" w:lineRule="exact"/>
              <w:jc w:val="left"/>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供应商（全称并加盖公章）：</w:t>
            </w:r>
          </w:p>
        </w:tc>
      </w:tr>
      <w:tr>
        <w:tblPrEx>
          <w:tblCellMar>
            <w:top w:w="0" w:type="dxa"/>
            <w:left w:w="108" w:type="dxa"/>
            <w:bottom w:w="0" w:type="dxa"/>
            <w:right w:w="108" w:type="dxa"/>
          </w:tblCellMar>
        </w:tblPrEx>
        <w:trPr>
          <w:trHeight w:val="405" w:hRule="atLeast"/>
        </w:trPr>
        <w:tc>
          <w:tcPr>
            <w:tcW w:w="8807" w:type="dxa"/>
            <w:gridSpan w:val="4"/>
            <w:tcBorders>
              <w:top w:val="nil"/>
              <w:left w:val="nil"/>
              <w:bottom w:val="nil"/>
              <w:right w:val="nil"/>
            </w:tcBorders>
            <w:noWrap/>
            <w:vAlign w:val="center"/>
          </w:tcPr>
          <w:p>
            <w:pPr>
              <w:widowControl/>
              <w:spacing w:line="400" w:lineRule="exact"/>
              <w:jc w:val="left"/>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项目名称：</w:t>
            </w:r>
          </w:p>
        </w:tc>
      </w:tr>
      <w:tr>
        <w:tblPrEx>
          <w:tblCellMar>
            <w:top w:w="0" w:type="dxa"/>
            <w:left w:w="108" w:type="dxa"/>
            <w:bottom w:w="0" w:type="dxa"/>
            <w:right w:w="108" w:type="dxa"/>
          </w:tblCellMar>
        </w:tblPrEx>
        <w:trPr>
          <w:trHeight w:val="420" w:hRule="atLeast"/>
        </w:trPr>
        <w:tc>
          <w:tcPr>
            <w:tcW w:w="6307" w:type="dxa"/>
            <w:gridSpan w:val="3"/>
            <w:tcBorders>
              <w:top w:val="nil"/>
              <w:left w:val="nil"/>
              <w:bottom w:val="nil"/>
              <w:right w:val="nil"/>
            </w:tcBorders>
            <w:noWrap/>
            <w:vAlign w:val="center"/>
          </w:tcPr>
          <w:p>
            <w:pPr>
              <w:widowControl/>
              <w:spacing w:line="400" w:lineRule="exact"/>
              <w:jc w:val="left"/>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计划编号：</w:t>
            </w:r>
          </w:p>
        </w:tc>
        <w:tc>
          <w:tcPr>
            <w:tcW w:w="2500" w:type="dxa"/>
            <w:tcBorders>
              <w:top w:val="nil"/>
              <w:left w:val="nil"/>
              <w:bottom w:val="nil"/>
              <w:right w:val="nil"/>
            </w:tcBorders>
            <w:noWrap/>
            <w:vAlign w:val="center"/>
          </w:tcPr>
          <w:p>
            <w:pPr>
              <w:widowControl/>
              <w:spacing w:line="400" w:lineRule="exact"/>
              <w:jc w:val="left"/>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分包号：</w:t>
            </w:r>
          </w:p>
        </w:tc>
      </w:tr>
      <w:tr>
        <w:tblPrEx>
          <w:tblCellMar>
            <w:top w:w="0" w:type="dxa"/>
            <w:left w:w="108" w:type="dxa"/>
            <w:bottom w:w="0" w:type="dxa"/>
            <w:right w:w="108" w:type="dxa"/>
          </w:tblCellMar>
        </w:tblPrEx>
        <w:trPr>
          <w:trHeight w:val="525" w:hRule="atLeast"/>
        </w:trPr>
        <w:tc>
          <w:tcPr>
            <w:tcW w:w="4582" w:type="dxa"/>
            <w:gridSpan w:val="2"/>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竞争性磋商响应报价</w:t>
            </w:r>
          </w:p>
        </w:tc>
        <w:tc>
          <w:tcPr>
            <w:tcW w:w="4225" w:type="dxa"/>
            <w:gridSpan w:val="2"/>
            <w:tcBorders>
              <w:top w:val="single" w:color="auto" w:sz="4" w:space="0"/>
              <w:left w:val="nil"/>
              <w:bottom w:val="single" w:color="auto" w:sz="4" w:space="0"/>
              <w:right w:val="single" w:color="auto" w:sz="4" w:space="0"/>
            </w:tcBorders>
            <w:noWrap/>
            <w:vAlign w:val="center"/>
          </w:tcPr>
          <w:p>
            <w:pPr>
              <w:widowControl/>
              <w:spacing w:line="400" w:lineRule="exact"/>
              <w:jc w:val="left"/>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小写：</w:t>
            </w:r>
          </w:p>
        </w:tc>
      </w:tr>
      <w:tr>
        <w:tblPrEx>
          <w:tblCellMar>
            <w:top w:w="0" w:type="dxa"/>
            <w:left w:w="108" w:type="dxa"/>
            <w:bottom w:w="0" w:type="dxa"/>
            <w:right w:w="108" w:type="dxa"/>
          </w:tblCellMar>
        </w:tblPrEx>
        <w:trPr>
          <w:trHeight w:val="525" w:hRule="atLeast"/>
        </w:trPr>
        <w:tc>
          <w:tcPr>
            <w:tcW w:w="4582"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400" w:lineRule="exact"/>
              <w:jc w:val="left"/>
              <w:rPr>
                <w:rFonts w:ascii="仿宋" w:hAnsi="仿宋" w:eastAsia="仿宋" w:cs="宋体"/>
                <w:color w:val="auto"/>
                <w:kern w:val="0"/>
                <w:sz w:val="24"/>
                <w:highlight w:val="none"/>
              </w:rPr>
            </w:pPr>
          </w:p>
        </w:tc>
        <w:tc>
          <w:tcPr>
            <w:tcW w:w="4225" w:type="dxa"/>
            <w:gridSpan w:val="2"/>
            <w:tcBorders>
              <w:top w:val="single" w:color="auto" w:sz="4" w:space="0"/>
              <w:left w:val="nil"/>
              <w:bottom w:val="single" w:color="auto" w:sz="4" w:space="0"/>
              <w:right w:val="single" w:color="auto" w:sz="4" w:space="0"/>
            </w:tcBorders>
            <w:noWrap/>
            <w:vAlign w:val="center"/>
          </w:tcPr>
          <w:p>
            <w:pPr>
              <w:widowControl/>
              <w:spacing w:line="400" w:lineRule="exact"/>
              <w:jc w:val="left"/>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大写：</w:t>
            </w:r>
          </w:p>
        </w:tc>
      </w:tr>
      <w:tr>
        <w:tblPrEx>
          <w:tblCellMar>
            <w:top w:w="0" w:type="dxa"/>
            <w:left w:w="108" w:type="dxa"/>
            <w:bottom w:w="0" w:type="dxa"/>
            <w:right w:w="108" w:type="dxa"/>
          </w:tblCellMar>
        </w:tblPrEx>
        <w:trPr>
          <w:trHeight w:val="525" w:hRule="atLeast"/>
        </w:trPr>
        <w:tc>
          <w:tcPr>
            <w:tcW w:w="794" w:type="dxa"/>
            <w:vMerge w:val="restart"/>
            <w:tcBorders>
              <w:top w:val="nil"/>
              <w:left w:val="single" w:color="auto" w:sz="4" w:space="0"/>
              <w:bottom w:val="single" w:color="auto" w:sz="4" w:space="0"/>
              <w:right w:val="single" w:color="auto" w:sz="4" w:space="0"/>
            </w:tcBorders>
            <w:noWrap/>
            <w:textDirection w:val="tbRlV"/>
            <w:vAlign w:val="center"/>
          </w:tcPr>
          <w:p>
            <w:pPr>
              <w:widowControl/>
              <w:spacing w:line="400" w:lineRule="exact"/>
              <w:jc w:val="center"/>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落实政府采购政策评审价格申报</w:t>
            </w:r>
          </w:p>
        </w:tc>
        <w:tc>
          <w:tcPr>
            <w:tcW w:w="3788" w:type="dxa"/>
            <w:vMerge w:val="restart"/>
            <w:tcBorders>
              <w:top w:val="nil"/>
              <w:left w:val="single" w:color="auto" w:sz="4" w:space="0"/>
              <w:bottom w:val="single" w:color="auto" w:sz="4" w:space="0"/>
              <w:right w:val="single" w:color="auto" w:sz="4" w:space="0"/>
            </w:tcBorders>
            <w:noWrap w:val="0"/>
            <w:vAlign w:val="center"/>
          </w:tcPr>
          <w:p>
            <w:pPr>
              <w:widowControl/>
              <w:spacing w:line="400" w:lineRule="exact"/>
              <w:jc w:val="center"/>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小、微企业产品报价折扣10%后的评审报价</w:t>
            </w:r>
            <w:r>
              <w:rPr>
                <w:rFonts w:hint="eastAsia" w:ascii="仿宋" w:hAnsi="仿宋" w:eastAsia="仿宋" w:cs="宋体"/>
                <w:b/>
                <w:bCs/>
                <w:color w:val="auto"/>
                <w:kern w:val="0"/>
                <w:sz w:val="24"/>
                <w:highlight w:val="none"/>
              </w:rPr>
              <w:t>（如专门面向中小企业采购的采购项目，此条款不适用）</w:t>
            </w:r>
          </w:p>
        </w:tc>
        <w:tc>
          <w:tcPr>
            <w:tcW w:w="4225" w:type="dxa"/>
            <w:gridSpan w:val="2"/>
            <w:tcBorders>
              <w:top w:val="single" w:color="auto" w:sz="4" w:space="0"/>
              <w:left w:val="nil"/>
              <w:bottom w:val="single" w:color="auto" w:sz="4" w:space="0"/>
              <w:right w:val="single" w:color="auto" w:sz="4" w:space="0"/>
            </w:tcBorders>
            <w:noWrap/>
            <w:vAlign w:val="center"/>
          </w:tcPr>
          <w:p>
            <w:pPr>
              <w:widowControl/>
              <w:spacing w:line="400" w:lineRule="exact"/>
              <w:jc w:val="left"/>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小写：</w:t>
            </w:r>
          </w:p>
        </w:tc>
      </w:tr>
      <w:tr>
        <w:tblPrEx>
          <w:tblCellMar>
            <w:top w:w="0" w:type="dxa"/>
            <w:left w:w="108" w:type="dxa"/>
            <w:bottom w:w="0" w:type="dxa"/>
            <w:right w:w="108" w:type="dxa"/>
          </w:tblCellMar>
        </w:tblPrEx>
        <w:trPr>
          <w:trHeight w:val="525" w:hRule="atLeast"/>
        </w:trPr>
        <w:tc>
          <w:tcPr>
            <w:tcW w:w="794" w:type="dxa"/>
            <w:vMerge w:val="continue"/>
            <w:tcBorders>
              <w:top w:val="nil"/>
              <w:left w:val="single" w:color="auto" w:sz="4" w:space="0"/>
              <w:bottom w:val="single" w:color="auto" w:sz="4" w:space="0"/>
              <w:right w:val="single" w:color="auto" w:sz="4" w:space="0"/>
            </w:tcBorders>
            <w:noWrap w:val="0"/>
            <w:vAlign w:val="center"/>
          </w:tcPr>
          <w:p>
            <w:pPr>
              <w:widowControl/>
              <w:spacing w:line="400" w:lineRule="exact"/>
              <w:jc w:val="left"/>
              <w:rPr>
                <w:rFonts w:ascii="仿宋" w:hAnsi="仿宋" w:eastAsia="仿宋" w:cs="宋体"/>
                <w:color w:val="auto"/>
                <w:kern w:val="0"/>
                <w:sz w:val="24"/>
                <w:highlight w:val="none"/>
              </w:rPr>
            </w:pPr>
          </w:p>
        </w:tc>
        <w:tc>
          <w:tcPr>
            <w:tcW w:w="3788" w:type="dxa"/>
            <w:vMerge w:val="continue"/>
            <w:tcBorders>
              <w:top w:val="nil"/>
              <w:left w:val="single" w:color="auto" w:sz="4" w:space="0"/>
              <w:bottom w:val="single" w:color="auto" w:sz="4" w:space="0"/>
              <w:right w:val="single" w:color="auto" w:sz="4" w:space="0"/>
            </w:tcBorders>
            <w:noWrap w:val="0"/>
            <w:vAlign w:val="center"/>
          </w:tcPr>
          <w:p>
            <w:pPr>
              <w:widowControl/>
              <w:spacing w:line="400" w:lineRule="exact"/>
              <w:jc w:val="left"/>
              <w:rPr>
                <w:rFonts w:ascii="仿宋" w:hAnsi="仿宋" w:eastAsia="仿宋" w:cs="宋体"/>
                <w:color w:val="auto"/>
                <w:kern w:val="0"/>
                <w:sz w:val="24"/>
                <w:highlight w:val="none"/>
              </w:rPr>
            </w:pPr>
          </w:p>
        </w:tc>
        <w:tc>
          <w:tcPr>
            <w:tcW w:w="4225" w:type="dxa"/>
            <w:gridSpan w:val="2"/>
            <w:tcBorders>
              <w:top w:val="single" w:color="auto" w:sz="4" w:space="0"/>
              <w:left w:val="nil"/>
              <w:bottom w:val="single" w:color="auto" w:sz="4" w:space="0"/>
              <w:right w:val="single" w:color="auto" w:sz="4" w:space="0"/>
            </w:tcBorders>
            <w:noWrap/>
            <w:vAlign w:val="center"/>
          </w:tcPr>
          <w:p>
            <w:pPr>
              <w:widowControl/>
              <w:spacing w:line="400" w:lineRule="exact"/>
              <w:jc w:val="left"/>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大写：</w:t>
            </w:r>
          </w:p>
        </w:tc>
      </w:tr>
      <w:tr>
        <w:tblPrEx>
          <w:tblCellMar>
            <w:top w:w="0" w:type="dxa"/>
            <w:left w:w="108" w:type="dxa"/>
            <w:bottom w:w="0" w:type="dxa"/>
            <w:right w:w="108" w:type="dxa"/>
          </w:tblCellMar>
        </w:tblPrEx>
        <w:trPr>
          <w:trHeight w:val="525" w:hRule="atLeast"/>
        </w:trPr>
        <w:tc>
          <w:tcPr>
            <w:tcW w:w="794" w:type="dxa"/>
            <w:vMerge w:val="continue"/>
            <w:tcBorders>
              <w:top w:val="nil"/>
              <w:left w:val="single" w:color="auto" w:sz="4" w:space="0"/>
              <w:bottom w:val="single" w:color="auto" w:sz="4" w:space="0"/>
              <w:right w:val="single" w:color="auto" w:sz="4" w:space="0"/>
            </w:tcBorders>
            <w:noWrap w:val="0"/>
            <w:vAlign w:val="center"/>
          </w:tcPr>
          <w:p>
            <w:pPr>
              <w:widowControl/>
              <w:spacing w:line="400" w:lineRule="exact"/>
              <w:jc w:val="left"/>
              <w:rPr>
                <w:rFonts w:ascii="仿宋" w:hAnsi="仿宋" w:eastAsia="仿宋" w:cs="宋体"/>
                <w:color w:val="auto"/>
                <w:kern w:val="0"/>
                <w:sz w:val="24"/>
                <w:highlight w:val="none"/>
              </w:rPr>
            </w:pPr>
          </w:p>
        </w:tc>
        <w:tc>
          <w:tcPr>
            <w:tcW w:w="3788" w:type="dxa"/>
            <w:vMerge w:val="restart"/>
            <w:tcBorders>
              <w:top w:val="nil"/>
              <w:left w:val="single" w:color="auto" w:sz="4" w:space="0"/>
              <w:bottom w:val="single" w:color="auto" w:sz="4" w:space="0"/>
              <w:right w:val="single" w:color="auto" w:sz="4" w:space="0"/>
            </w:tcBorders>
            <w:noWrap w:val="0"/>
            <w:vAlign w:val="center"/>
          </w:tcPr>
          <w:p>
            <w:pPr>
              <w:widowControl/>
              <w:spacing w:line="400" w:lineRule="exact"/>
              <w:jc w:val="center"/>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残疾人福利单位产品报价折扣6%后的评审报价</w:t>
            </w:r>
          </w:p>
        </w:tc>
        <w:tc>
          <w:tcPr>
            <w:tcW w:w="4225" w:type="dxa"/>
            <w:gridSpan w:val="2"/>
            <w:tcBorders>
              <w:top w:val="single" w:color="auto" w:sz="4" w:space="0"/>
              <w:left w:val="nil"/>
              <w:bottom w:val="single" w:color="auto" w:sz="4" w:space="0"/>
              <w:right w:val="single" w:color="auto" w:sz="4" w:space="0"/>
            </w:tcBorders>
            <w:noWrap/>
            <w:vAlign w:val="center"/>
          </w:tcPr>
          <w:p>
            <w:pPr>
              <w:widowControl/>
              <w:spacing w:line="400" w:lineRule="exact"/>
              <w:jc w:val="left"/>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小写：</w:t>
            </w:r>
          </w:p>
        </w:tc>
      </w:tr>
      <w:tr>
        <w:tblPrEx>
          <w:tblCellMar>
            <w:top w:w="0" w:type="dxa"/>
            <w:left w:w="108" w:type="dxa"/>
            <w:bottom w:w="0" w:type="dxa"/>
            <w:right w:w="108" w:type="dxa"/>
          </w:tblCellMar>
        </w:tblPrEx>
        <w:trPr>
          <w:trHeight w:val="525" w:hRule="atLeast"/>
        </w:trPr>
        <w:tc>
          <w:tcPr>
            <w:tcW w:w="794" w:type="dxa"/>
            <w:vMerge w:val="continue"/>
            <w:tcBorders>
              <w:top w:val="nil"/>
              <w:left w:val="single" w:color="auto" w:sz="4" w:space="0"/>
              <w:bottom w:val="single" w:color="auto" w:sz="4" w:space="0"/>
              <w:right w:val="single" w:color="auto" w:sz="4" w:space="0"/>
            </w:tcBorders>
            <w:noWrap w:val="0"/>
            <w:vAlign w:val="center"/>
          </w:tcPr>
          <w:p>
            <w:pPr>
              <w:widowControl/>
              <w:spacing w:line="400" w:lineRule="exact"/>
              <w:jc w:val="left"/>
              <w:rPr>
                <w:rFonts w:ascii="仿宋" w:hAnsi="仿宋" w:eastAsia="仿宋" w:cs="宋体"/>
                <w:color w:val="auto"/>
                <w:kern w:val="0"/>
                <w:sz w:val="24"/>
                <w:highlight w:val="none"/>
              </w:rPr>
            </w:pPr>
          </w:p>
        </w:tc>
        <w:tc>
          <w:tcPr>
            <w:tcW w:w="3788" w:type="dxa"/>
            <w:vMerge w:val="continue"/>
            <w:tcBorders>
              <w:top w:val="nil"/>
              <w:left w:val="single" w:color="auto" w:sz="4" w:space="0"/>
              <w:bottom w:val="single" w:color="auto" w:sz="4" w:space="0"/>
              <w:right w:val="single" w:color="auto" w:sz="4" w:space="0"/>
            </w:tcBorders>
            <w:noWrap w:val="0"/>
            <w:vAlign w:val="center"/>
          </w:tcPr>
          <w:p>
            <w:pPr>
              <w:widowControl/>
              <w:spacing w:line="400" w:lineRule="exact"/>
              <w:jc w:val="left"/>
              <w:rPr>
                <w:rFonts w:ascii="仿宋" w:hAnsi="仿宋" w:eastAsia="仿宋" w:cs="宋体"/>
                <w:color w:val="auto"/>
                <w:kern w:val="0"/>
                <w:sz w:val="24"/>
                <w:highlight w:val="none"/>
              </w:rPr>
            </w:pPr>
          </w:p>
        </w:tc>
        <w:tc>
          <w:tcPr>
            <w:tcW w:w="4225" w:type="dxa"/>
            <w:gridSpan w:val="2"/>
            <w:tcBorders>
              <w:top w:val="single" w:color="auto" w:sz="4" w:space="0"/>
              <w:left w:val="nil"/>
              <w:bottom w:val="single" w:color="auto" w:sz="4" w:space="0"/>
              <w:right w:val="single" w:color="auto" w:sz="4" w:space="0"/>
            </w:tcBorders>
            <w:noWrap/>
            <w:vAlign w:val="center"/>
          </w:tcPr>
          <w:p>
            <w:pPr>
              <w:widowControl/>
              <w:spacing w:line="400" w:lineRule="exact"/>
              <w:jc w:val="left"/>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大写：</w:t>
            </w:r>
          </w:p>
        </w:tc>
      </w:tr>
      <w:tr>
        <w:tblPrEx>
          <w:tblCellMar>
            <w:top w:w="0" w:type="dxa"/>
            <w:left w:w="108" w:type="dxa"/>
            <w:bottom w:w="0" w:type="dxa"/>
            <w:right w:w="108" w:type="dxa"/>
          </w:tblCellMar>
        </w:tblPrEx>
        <w:trPr>
          <w:trHeight w:val="525" w:hRule="atLeast"/>
        </w:trPr>
        <w:tc>
          <w:tcPr>
            <w:tcW w:w="794" w:type="dxa"/>
            <w:vMerge w:val="continue"/>
            <w:tcBorders>
              <w:top w:val="nil"/>
              <w:left w:val="single" w:color="auto" w:sz="4" w:space="0"/>
              <w:bottom w:val="single" w:color="auto" w:sz="4" w:space="0"/>
              <w:right w:val="single" w:color="auto" w:sz="4" w:space="0"/>
            </w:tcBorders>
            <w:noWrap w:val="0"/>
            <w:vAlign w:val="center"/>
          </w:tcPr>
          <w:p>
            <w:pPr>
              <w:widowControl/>
              <w:spacing w:line="400" w:lineRule="exact"/>
              <w:jc w:val="left"/>
              <w:rPr>
                <w:rFonts w:ascii="仿宋" w:hAnsi="仿宋" w:eastAsia="仿宋" w:cs="宋体"/>
                <w:color w:val="auto"/>
                <w:kern w:val="0"/>
                <w:sz w:val="24"/>
                <w:highlight w:val="none"/>
              </w:rPr>
            </w:pPr>
          </w:p>
        </w:tc>
        <w:tc>
          <w:tcPr>
            <w:tcW w:w="3788" w:type="dxa"/>
            <w:vMerge w:val="restart"/>
            <w:tcBorders>
              <w:top w:val="nil"/>
              <w:left w:val="single" w:color="auto" w:sz="4" w:space="0"/>
              <w:bottom w:val="single" w:color="auto" w:sz="4" w:space="0"/>
              <w:right w:val="single" w:color="auto" w:sz="4" w:space="0"/>
            </w:tcBorders>
            <w:noWrap w:val="0"/>
            <w:vAlign w:val="center"/>
          </w:tcPr>
          <w:p>
            <w:pPr>
              <w:widowControl/>
              <w:spacing w:line="400" w:lineRule="exact"/>
              <w:jc w:val="center"/>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监狱和戒毒企业产品报价折扣6%后的评审报价</w:t>
            </w:r>
          </w:p>
        </w:tc>
        <w:tc>
          <w:tcPr>
            <w:tcW w:w="4225" w:type="dxa"/>
            <w:gridSpan w:val="2"/>
            <w:tcBorders>
              <w:top w:val="single" w:color="auto" w:sz="4" w:space="0"/>
              <w:left w:val="nil"/>
              <w:bottom w:val="single" w:color="auto" w:sz="4" w:space="0"/>
              <w:right w:val="single" w:color="auto" w:sz="4" w:space="0"/>
            </w:tcBorders>
            <w:noWrap/>
            <w:vAlign w:val="center"/>
          </w:tcPr>
          <w:p>
            <w:pPr>
              <w:widowControl/>
              <w:spacing w:line="400" w:lineRule="exact"/>
              <w:jc w:val="left"/>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小写：</w:t>
            </w:r>
          </w:p>
        </w:tc>
      </w:tr>
      <w:tr>
        <w:tblPrEx>
          <w:tblCellMar>
            <w:top w:w="0" w:type="dxa"/>
            <w:left w:w="108" w:type="dxa"/>
            <w:bottom w:w="0" w:type="dxa"/>
            <w:right w:w="108" w:type="dxa"/>
          </w:tblCellMar>
        </w:tblPrEx>
        <w:trPr>
          <w:trHeight w:val="525" w:hRule="atLeast"/>
        </w:trPr>
        <w:tc>
          <w:tcPr>
            <w:tcW w:w="794" w:type="dxa"/>
            <w:vMerge w:val="continue"/>
            <w:tcBorders>
              <w:top w:val="nil"/>
              <w:left w:val="single" w:color="auto" w:sz="4" w:space="0"/>
              <w:bottom w:val="single" w:color="auto" w:sz="4" w:space="0"/>
              <w:right w:val="single" w:color="auto" w:sz="4" w:space="0"/>
            </w:tcBorders>
            <w:noWrap w:val="0"/>
            <w:vAlign w:val="center"/>
          </w:tcPr>
          <w:p>
            <w:pPr>
              <w:widowControl/>
              <w:spacing w:line="400" w:lineRule="exact"/>
              <w:jc w:val="left"/>
              <w:rPr>
                <w:rFonts w:ascii="仿宋" w:hAnsi="仿宋" w:eastAsia="仿宋" w:cs="宋体"/>
                <w:color w:val="auto"/>
                <w:kern w:val="0"/>
                <w:sz w:val="24"/>
                <w:highlight w:val="none"/>
              </w:rPr>
            </w:pPr>
          </w:p>
        </w:tc>
        <w:tc>
          <w:tcPr>
            <w:tcW w:w="3788" w:type="dxa"/>
            <w:vMerge w:val="continue"/>
            <w:tcBorders>
              <w:top w:val="nil"/>
              <w:left w:val="single" w:color="auto" w:sz="4" w:space="0"/>
              <w:bottom w:val="single" w:color="auto" w:sz="4" w:space="0"/>
              <w:right w:val="single" w:color="auto" w:sz="4" w:space="0"/>
            </w:tcBorders>
            <w:noWrap w:val="0"/>
            <w:vAlign w:val="center"/>
          </w:tcPr>
          <w:p>
            <w:pPr>
              <w:widowControl/>
              <w:spacing w:line="400" w:lineRule="exact"/>
              <w:jc w:val="left"/>
              <w:rPr>
                <w:rFonts w:ascii="仿宋" w:hAnsi="仿宋" w:eastAsia="仿宋" w:cs="宋体"/>
                <w:color w:val="auto"/>
                <w:kern w:val="0"/>
                <w:sz w:val="24"/>
                <w:highlight w:val="none"/>
              </w:rPr>
            </w:pPr>
          </w:p>
        </w:tc>
        <w:tc>
          <w:tcPr>
            <w:tcW w:w="4225" w:type="dxa"/>
            <w:gridSpan w:val="2"/>
            <w:tcBorders>
              <w:top w:val="single" w:color="auto" w:sz="4" w:space="0"/>
              <w:left w:val="nil"/>
              <w:bottom w:val="single" w:color="auto" w:sz="4" w:space="0"/>
              <w:right w:val="single" w:color="auto" w:sz="4" w:space="0"/>
            </w:tcBorders>
            <w:noWrap/>
            <w:vAlign w:val="center"/>
          </w:tcPr>
          <w:p>
            <w:pPr>
              <w:widowControl/>
              <w:spacing w:line="400" w:lineRule="exact"/>
              <w:jc w:val="left"/>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大写：</w:t>
            </w:r>
          </w:p>
        </w:tc>
      </w:tr>
      <w:tr>
        <w:tblPrEx>
          <w:tblCellMar>
            <w:top w:w="0" w:type="dxa"/>
            <w:left w:w="108" w:type="dxa"/>
            <w:bottom w:w="0" w:type="dxa"/>
            <w:right w:w="108" w:type="dxa"/>
          </w:tblCellMar>
        </w:tblPrEx>
        <w:trPr>
          <w:trHeight w:val="525" w:hRule="atLeast"/>
        </w:trPr>
        <w:tc>
          <w:tcPr>
            <w:tcW w:w="794" w:type="dxa"/>
            <w:vMerge w:val="continue"/>
            <w:tcBorders>
              <w:top w:val="nil"/>
              <w:left w:val="single" w:color="auto" w:sz="4" w:space="0"/>
              <w:bottom w:val="single" w:color="auto" w:sz="4" w:space="0"/>
              <w:right w:val="single" w:color="auto" w:sz="4" w:space="0"/>
            </w:tcBorders>
            <w:noWrap w:val="0"/>
            <w:vAlign w:val="center"/>
          </w:tcPr>
          <w:p>
            <w:pPr>
              <w:widowControl/>
              <w:spacing w:line="400" w:lineRule="exact"/>
              <w:jc w:val="left"/>
              <w:rPr>
                <w:rFonts w:ascii="仿宋" w:hAnsi="仿宋" w:eastAsia="仿宋" w:cs="宋体"/>
                <w:color w:val="auto"/>
                <w:kern w:val="0"/>
                <w:sz w:val="24"/>
                <w:highlight w:val="none"/>
              </w:rPr>
            </w:pPr>
          </w:p>
        </w:tc>
        <w:tc>
          <w:tcPr>
            <w:tcW w:w="3788" w:type="dxa"/>
            <w:vMerge w:val="restart"/>
            <w:tcBorders>
              <w:top w:val="nil"/>
              <w:left w:val="single" w:color="auto" w:sz="4" w:space="0"/>
              <w:bottom w:val="single" w:color="auto" w:sz="4" w:space="0"/>
              <w:right w:val="single" w:color="auto" w:sz="4" w:space="0"/>
            </w:tcBorders>
            <w:noWrap w:val="0"/>
            <w:vAlign w:val="center"/>
          </w:tcPr>
          <w:p>
            <w:pPr>
              <w:widowControl/>
              <w:spacing w:line="400" w:lineRule="exact"/>
              <w:jc w:val="center"/>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小、微企业组成联合体，其中小、微企业产品报价折扣10%（工程项目为5%）后的评审报价</w:t>
            </w:r>
          </w:p>
        </w:tc>
        <w:tc>
          <w:tcPr>
            <w:tcW w:w="4225" w:type="dxa"/>
            <w:gridSpan w:val="2"/>
            <w:tcBorders>
              <w:top w:val="single" w:color="auto" w:sz="4" w:space="0"/>
              <w:left w:val="nil"/>
              <w:bottom w:val="single" w:color="auto" w:sz="4" w:space="0"/>
              <w:right w:val="single" w:color="auto" w:sz="4" w:space="0"/>
            </w:tcBorders>
            <w:noWrap/>
            <w:vAlign w:val="center"/>
          </w:tcPr>
          <w:p>
            <w:pPr>
              <w:widowControl/>
              <w:spacing w:line="400" w:lineRule="exact"/>
              <w:jc w:val="left"/>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小写：</w:t>
            </w:r>
          </w:p>
        </w:tc>
      </w:tr>
      <w:tr>
        <w:tblPrEx>
          <w:tblCellMar>
            <w:top w:w="0" w:type="dxa"/>
            <w:left w:w="108" w:type="dxa"/>
            <w:bottom w:w="0" w:type="dxa"/>
            <w:right w:w="108" w:type="dxa"/>
          </w:tblCellMar>
        </w:tblPrEx>
        <w:trPr>
          <w:trHeight w:val="525" w:hRule="atLeast"/>
        </w:trPr>
        <w:tc>
          <w:tcPr>
            <w:tcW w:w="794" w:type="dxa"/>
            <w:vMerge w:val="continue"/>
            <w:tcBorders>
              <w:top w:val="nil"/>
              <w:left w:val="single" w:color="auto" w:sz="4" w:space="0"/>
              <w:bottom w:val="single" w:color="auto" w:sz="4" w:space="0"/>
              <w:right w:val="single" w:color="auto" w:sz="4" w:space="0"/>
            </w:tcBorders>
            <w:noWrap w:val="0"/>
            <w:vAlign w:val="center"/>
          </w:tcPr>
          <w:p>
            <w:pPr>
              <w:widowControl/>
              <w:spacing w:line="400" w:lineRule="exact"/>
              <w:jc w:val="left"/>
              <w:rPr>
                <w:rFonts w:ascii="仿宋" w:hAnsi="仿宋" w:eastAsia="仿宋" w:cs="宋体"/>
                <w:color w:val="auto"/>
                <w:kern w:val="0"/>
                <w:sz w:val="24"/>
                <w:highlight w:val="none"/>
              </w:rPr>
            </w:pPr>
          </w:p>
        </w:tc>
        <w:tc>
          <w:tcPr>
            <w:tcW w:w="3788" w:type="dxa"/>
            <w:vMerge w:val="continue"/>
            <w:tcBorders>
              <w:top w:val="nil"/>
              <w:left w:val="single" w:color="auto" w:sz="4" w:space="0"/>
              <w:bottom w:val="single" w:color="auto" w:sz="4" w:space="0"/>
              <w:right w:val="single" w:color="auto" w:sz="4" w:space="0"/>
            </w:tcBorders>
            <w:noWrap w:val="0"/>
            <w:vAlign w:val="center"/>
          </w:tcPr>
          <w:p>
            <w:pPr>
              <w:widowControl/>
              <w:spacing w:line="400" w:lineRule="exact"/>
              <w:jc w:val="left"/>
              <w:rPr>
                <w:rFonts w:ascii="仿宋" w:hAnsi="仿宋" w:eastAsia="仿宋" w:cs="宋体"/>
                <w:color w:val="auto"/>
                <w:kern w:val="0"/>
                <w:sz w:val="24"/>
                <w:highlight w:val="none"/>
              </w:rPr>
            </w:pPr>
          </w:p>
        </w:tc>
        <w:tc>
          <w:tcPr>
            <w:tcW w:w="4225" w:type="dxa"/>
            <w:gridSpan w:val="2"/>
            <w:tcBorders>
              <w:top w:val="single" w:color="auto" w:sz="4" w:space="0"/>
              <w:left w:val="nil"/>
              <w:bottom w:val="single" w:color="auto" w:sz="4" w:space="0"/>
              <w:right w:val="single" w:color="auto" w:sz="4" w:space="0"/>
            </w:tcBorders>
            <w:noWrap/>
            <w:vAlign w:val="center"/>
          </w:tcPr>
          <w:p>
            <w:pPr>
              <w:widowControl/>
              <w:spacing w:line="400" w:lineRule="exact"/>
              <w:jc w:val="left"/>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大写：</w:t>
            </w:r>
          </w:p>
        </w:tc>
      </w:tr>
      <w:tr>
        <w:tblPrEx>
          <w:tblCellMar>
            <w:top w:w="0" w:type="dxa"/>
            <w:left w:w="108" w:type="dxa"/>
            <w:bottom w:w="0" w:type="dxa"/>
            <w:right w:w="108" w:type="dxa"/>
          </w:tblCellMar>
        </w:tblPrEx>
        <w:trPr>
          <w:trHeight w:val="525" w:hRule="atLeast"/>
        </w:trPr>
        <w:tc>
          <w:tcPr>
            <w:tcW w:w="794" w:type="dxa"/>
            <w:vMerge w:val="continue"/>
            <w:tcBorders>
              <w:top w:val="nil"/>
              <w:left w:val="single" w:color="auto" w:sz="4" w:space="0"/>
              <w:bottom w:val="single" w:color="auto" w:sz="4" w:space="0"/>
              <w:right w:val="single" w:color="auto" w:sz="4" w:space="0"/>
            </w:tcBorders>
            <w:noWrap w:val="0"/>
            <w:vAlign w:val="center"/>
          </w:tcPr>
          <w:p>
            <w:pPr>
              <w:widowControl/>
              <w:spacing w:line="400" w:lineRule="exact"/>
              <w:jc w:val="left"/>
              <w:rPr>
                <w:rFonts w:ascii="仿宋" w:hAnsi="仿宋" w:eastAsia="仿宋" w:cs="宋体"/>
                <w:color w:val="auto"/>
                <w:kern w:val="0"/>
                <w:sz w:val="24"/>
                <w:highlight w:val="none"/>
              </w:rPr>
            </w:pPr>
          </w:p>
        </w:tc>
        <w:tc>
          <w:tcPr>
            <w:tcW w:w="3788" w:type="dxa"/>
            <w:vMerge w:val="restart"/>
            <w:tcBorders>
              <w:top w:val="nil"/>
              <w:left w:val="single" w:color="auto" w:sz="4" w:space="0"/>
              <w:bottom w:val="single" w:color="auto" w:sz="4" w:space="0"/>
              <w:right w:val="single" w:color="auto" w:sz="4" w:space="0"/>
            </w:tcBorders>
            <w:noWrap w:val="0"/>
            <w:vAlign w:val="center"/>
          </w:tcPr>
          <w:p>
            <w:pPr>
              <w:widowControl/>
              <w:spacing w:line="400" w:lineRule="exact"/>
              <w:jc w:val="center"/>
              <w:rPr>
                <w:rFonts w:ascii="仿宋" w:hAnsi="仿宋" w:eastAsia="仿宋" w:cs="宋体"/>
                <w:color w:val="auto"/>
                <w:kern w:val="0"/>
                <w:sz w:val="24"/>
                <w:highlight w:val="none"/>
              </w:rPr>
            </w:pPr>
            <w:r>
              <w:rPr>
                <w:rFonts w:hint="eastAsia" w:ascii="仿宋" w:hAnsi="仿宋" w:eastAsia="仿宋"/>
                <w:color w:val="auto"/>
                <w:sz w:val="24"/>
                <w:highlight w:val="none"/>
              </w:rPr>
              <w:t>联合协议中约定，小型、微型企业（残疾人福利单位、监狱企业）的协议合同金额占到联合体协议合同总金额30%以上，响应报价折扣3%后的评审价</w:t>
            </w:r>
          </w:p>
        </w:tc>
        <w:tc>
          <w:tcPr>
            <w:tcW w:w="4225" w:type="dxa"/>
            <w:gridSpan w:val="2"/>
            <w:tcBorders>
              <w:top w:val="single" w:color="auto" w:sz="4" w:space="0"/>
              <w:left w:val="nil"/>
              <w:bottom w:val="single" w:color="auto" w:sz="4" w:space="0"/>
              <w:right w:val="single" w:color="auto" w:sz="4" w:space="0"/>
            </w:tcBorders>
            <w:noWrap/>
            <w:vAlign w:val="center"/>
          </w:tcPr>
          <w:p>
            <w:pPr>
              <w:widowControl/>
              <w:spacing w:line="400" w:lineRule="exact"/>
              <w:jc w:val="left"/>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小写：</w:t>
            </w:r>
          </w:p>
        </w:tc>
      </w:tr>
      <w:tr>
        <w:tblPrEx>
          <w:tblCellMar>
            <w:top w:w="0" w:type="dxa"/>
            <w:left w:w="108" w:type="dxa"/>
            <w:bottom w:w="0" w:type="dxa"/>
            <w:right w:w="108" w:type="dxa"/>
          </w:tblCellMar>
        </w:tblPrEx>
        <w:trPr>
          <w:trHeight w:val="525" w:hRule="atLeast"/>
        </w:trPr>
        <w:tc>
          <w:tcPr>
            <w:tcW w:w="794" w:type="dxa"/>
            <w:vMerge w:val="continue"/>
            <w:tcBorders>
              <w:top w:val="nil"/>
              <w:left w:val="single" w:color="auto" w:sz="4" w:space="0"/>
              <w:bottom w:val="single" w:color="auto" w:sz="4" w:space="0"/>
              <w:right w:val="single" w:color="auto" w:sz="4" w:space="0"/>
            </w:tcBorders>
            <w:noWrap w:val="0"/>
            <w:vAlign w:val="center"/>
          </w:tcPr>
          <w:p>
            <w:pPr>
              <w:widowControl/>
              <w:spacing w:line="400" w:lineRule="exact"/>
              <w:jc w:val="left"/>
              <w:rPr>
                <w:rFonts w:ascii="仿宋" w:hAnsi="仿宋" w:eastAsia="仿宋" w:cs="宋体"/>
                <w:color w:val="auto"/>
                <w:kern w:val="0"/>
                <w:sz w:val="24"/>
                <w:highlight w:val="none"/>
              </w:rPr>
            </w:pPr>
          </w:p>
        </w:tc>
        <w:tc>
          <w:tcPr>
            <w:tcW w:w="3788" w:type="dxa"/>
            <w:vMerge w:val="continue"/>
            <w:tcBorders>
              <w:top w:val="nil"/>
              <w:left w:val="single" w:color="auto" w:sz="4" w:space="0"/>
              <w:bottom w:val="single" w:color="auto" w:sz="4" w:space="0"/>
              <w:right w:val="single" w:color="auto" w:sz="4" w:space="0"/>
            </w:tcBorders>
            <w:noWrap w:val="0"/>
            <w:vAlign w:val="center"/>
          </w:tcPr>
          <w:p>
            <w:pPr>
              <w:widowControl/>
              <w:spacing w:line="400" w:lineRule="exact"/>
              <w:jc w:val="left"/>
              <w:rPr>
                <w:rFonts w:ascii="仿宋" w:hAnsi="仿宋" w:eastAsia="仿宋" w:cs="宋体"/>
                <w:color w:val="auto"/>
                <w:kern w:val="0"/>
                <w:sz w:val="24"/>
                <w:highlight w:val="none"/>
              </w:rPr>
            </w:pPr>
          </w:p>
        </w:tc>
        <w:tc>
          <w:tcPr>
            <w:tcW w:w="4225" w:type="dxa"/>
            <w:gridSpan w:val="2"/>
            <w:tcBorders>
              <w:top w:val="single" w:color="auto" w:sz="4" w:space="0"/>
              <w:left w:val="nil"/>
              <w:bottom w:val="single" w:color="auto" w:sz="4" w:space="0"/>
              <w:right w:val="single" w:color="auto" w:sz="4" w:space="0"/>
            </w:tcBorders>
            <w:noWrap/>
            <w:vAlign w:val="center"/>
          </w:tcPr>
          <w:p>
            <w:pPr>
              <w:widowControl/>
              <w:spacing w:line="400" w:lineRule="exact"/>
              <w:jc w:val="left"/>
              <w:rPr>
                <w:rFonts w:ascii="仿宋" w:hAnsi="仿宋" w:eastAsia="仿宋" w:cs="宋体"/>
                <w:color w:val="auto"/>
                <w:kern w:val="0"/>
                <w:sz w:val="24"/>
                <w:highlight w:val="none"/>
              </w:rPr>
            </w:pPr>
            <w:r>
              <w:rPr>
                <w:rFonts w:hint="eastAsia" w:ascii="仿宋" w:hAnsi="仿宋" w:eastAsia="仿宋" w:cs="宋体"/>
                <w:color w:val="auto"/>
                <w:kern w:val="0"/>
                <w:sz w:val="24"/>
                <w:highlight w:val="none"/>
              </w:rPr>
              <w:t>大写：</w:t>
            </w:r>
          </w:p>
        </w:tc>
      </w:tr>
      <w:tr>
        <w:tblPrEx>
          <w:tblCellMar>
            <w:top w:w="0" w:type="dxa"/>
            <w:left w:w="108" w:type="dxa"/>
            <w:bottom w:w="0" w:type="dxa"/>
            <w:right w:w="108" w:type="dxa"/>
          </w:tblCellMar>
        </w:tblPrEx>
        <w:trPr>
          <w:trHeight w:val="436" w:hRule="atLeast"/>
        </w:trPr>
        <w:tc>
          <w:tcPr>
            <w:tcW w:w="8807" w:type="dxa"/>
            <w:gridSpan w:val="4"/>
            <w:tcBorders>
              <w:top w:val="nil"/>
              <w:left w:val="nil"/>
              <w:bottom w:val="nil"/>
              <w:right w:val="nil"/>
            </w:tcBorders>
            <w:noWrap w:val="0"/>
            <w:vAlign w:val="center"/>
          </w:tcPr>
          <w:p>
            <w:pPr>
              <w:widowControl/>
              <w:spacing w:line="300" w:lineRule="exact"/>
              <w:ind w:firstLine="420" w:firstLineChars="200"/>
              <w:jc w:val="left"/>
              <w:rPr>
                <w:rFonts w:ascii="仿宋" w:hAnsi="仿宋" w:eastAsia="仿宋" w:cs="宋体"/>
                <w:color w:val="auto"/>
                <w:kern w:val="0"/>
                <w:szCs w:val="21"/>
                <w:highlight w:val="none"/>
              </w:rPr>
            </w:pPr>
            <w:r>
              <w:rPr>
                <w:rFonts w:hint="eastAsia" w:ascii="仿宋" w:hAnsi="仿宋" w:eastAsia="仿宋" w:cs="宋体"/>
                <w:color w:val="auto"/>
                <w:kern w:val="0"/>
                <w:szCs w:val="21"/>
                <w:highlight w:val="none"/>
              </w:rPr>
              <w:t>注：小、微企业、残疾人福利单位、监狱和戒毒企业等落实政府采购政策不重复计算价格扣除。小型、微型企业提供中型企业制造的货物的，视同为中型企业。</w:t>
            </w:r>
          </w:p>
        </w:tc>
      </w:tr>
    </w:tbl>
    <w:p>
      <w:pPr>
        <w:spacing w:line="500" w:lineRule="exact"/>
        <w:ind w:firstLine="562" w:firstLineChars="200"/>
        <w:outlineLvl w:val="9"/>
        <w:rPr>
          <w:rFonts w:hint="eastAsia" w:ascii="仿宋" w:hAnsi="仿宋" w:eastAsia="仿宋"/>
          <w:bCs/>
          <w:color w:val="auto"/>
          <w:sz w:val="28"/>
          <w:szCs w:val="28"/>
          <w:highlight w:val="none"/>
        </w:rPr>
      </w:pPr>
      <w:r>
        <w:rPr>
          <w:rFonts w:ascii="仿宋" w:hAnsi="仿宋" w:eastAsia="仿宋"/>
          <w:b/>
          <w:bCs/>
          <w:color w:val="auto"/>
          <w:sz w:val="28"/>
          <w:szCs w:val="28"/>
          <w:highlight w:val="none"/>
        </w:rPr>
        <w:br w:type="page"/>
      </w:r>
      <w:r>
        <w:rPr>
          <w:rFonts w:hint="eastAsia" w:ascii="仿宋" w:hAnsi="仿宋" w:eastAsia="仿宋"/>
          <w:color w:val="auto"/>
          <w:sz w:val="28"/>
          <w:szCs w:val="28"/>
          <w:highlight w:val="none"/>
        </w:rPr>
        <w:t>（二）</w:t>
      </w:r>
      <w:r>
        <w:rPr>
          <w:rFonts w:hint="eastAsia" w:ascii="仿宋" w:hAnsi="仿宋" w:eastAsia="仿宋"/>
          <w:bCs/>
          <w:color w:val="auto"/>
          <w:sz w:val="28"/>
          <w:szCs w:val="28"/>
          <w:highlight w:val="none"/>
        </w:rPr>
        <w:t>竞争性磋商响应报价明细表</w:t>
      </w:r>
    </w:p>
    <w:p>
      <w:pPr>
        <w:spacing w:line="500" w:lineRule="exact"/>
        <w:ind w:firstLine="560" w:firstLineChars="200"/>
        <w:rPr>
          <w:rFonts w:hint="eastAsia" w:ascii="仿宋" w:hAnsi="仿宋" w:eastAsia="仿宋"/>
          <w:bCs/>
          <w:color w:val="auto"/>
          <w:sz w:val="28"/>
          <w:szCs w:val="28"/>
          <w:highlight w:val="none"/>
        </w:rPr>
      </w:pPr>
    </w:p>
    <w:p>
      <w:pPr>
        <w:spacing w:line="560" w:lineRule="exact"/>
        <w:ind w:firstLine="1995" w:firstLineChars="950"/>
        <w:rPr>
          <w:rFonts w:hint="eastAsia" w:ascii="方正小标宋简体" w:hAnsi="宋体" w:eastAsia="方正小标宋简体"/>
          <w:sz w:val="32"/>
          <w:szCs w:val="32"/>
        </w:rPr>
      </w:pPr>
      <w:r>
        <w:rPr>
          <w:rFonts w:hint="eastAsia" w:ascii="宋体" w:hAnsi="宋体"/>
          <w:color w:val="auto"/>
          <w:highlight w:val="none"/>
        </w:rPr>
        <w:t xml:space="preserve">  </w:t>
      </w:r>
      <w:r>
        <w:rPr>
          <w:rFonts w:hint="eastAsia" w:ascii="宋体" w:hAnsi="宋体"/>
          <w:color w:val="auto"/>
          <w:sz w:val="24"/>
          <w:highlight w:val="none"/>
        </w:rPr>
        <w:t xml:space="preserve">  </w:t>
      </w:r>
      <w:r>
        <w:rPr>
          <w:rFonts w:hint="eastAsia" w:ascii="方正小标宋简体" w:hAnsi="宋体" w:eastAsia="方正小标宋简体"/>
          <w:sz w:val="32"/>
          <w:szCs w:val="32"/>
        </w:rPr>
        <w:t>竞争性磋商响应报价明细表</w:t>
      </w:r>
    </w:p>
    <w:p>
      <w:pPr>
        <w:spacing w:line="560" w:lineRule="exact"/>
        <w:ind w:firstLine="2280" w:firstLineChars="950"/>
        <w:rPr>
          <w:rFonts w:hint="eastAsia" w:ascii="宋体" w:hAnsi="宋体"/>
          <w:sz w:val="24"/>
        </w:rPr>
      </w:pPr>
    </w:p>
    <w:p>
      <w:pPr>
        <w:pStyle w:val="12"/>
        <w:spacing w:line="400" w:lineRule="atLeast"/>
        <w:rPr>
          <w:rFonts w:hint="eastAsia" w:ascii="仿宋" w:hAnsi="仿宋" w:eastAsia="仿宋"/>
          <w:szCs w:val="24"/>
        </w:rPr>
      </w:pPr>
      <w:r>
        <w:rPr>
          <w:rFonts w:hint="eastAsia" w:ascii="仿宋" w:hAnsi="仿宋" w:eastAsia="仿宋"/>
          <w:szCs w:val="24"/>
        </w:rPr>
        <w:t xml:space="preserve">项目名称： </w:t>
      </w:r>
    </w:p>
    <w:p>
      <w:pPr>
        <w:spacing w:line="400" w:lineRule="atLeast"/>
        <w:rPr>
          <w:rFonts w:hint="eastAsia" w:ascii="仿宋" w:hAnsi="仿宋" w:eastAsia="仿宋"/>
          <w:sz w:val="24"/>
        </w:rPr>
      </w:pPr>
      <w:r>
        <w:rPr>
          <w:rFonts w:hint="eastAsia" w:ascii="仿宋" w:hAnsi="仿宋" w:eastAsia="仿宋"/>
          <w:sz w:val="24"/>
        </w:rPr>
        <w:t xml:space="preserve">项目编号：                                      分包号：    </w:t>
      </w:r>
    </w:p>
    <w:p>
      <w:pPr>
        <w:spacing w:line="400" w:lineRule="atLeast"/>
        <w:rPr>
          <w:rFonts w:hint="eastAsia" w:ascii="仿宋" w:hAnsi="仿宋" w:eastAsia="仿宋"/>
          <w:sz w:val="24"/>
        </w:rPr>
      </w:pPr>
      <w:r>
        <w:rPr>
          <w:rFonts w:hint="eastAsia" w:ascii="仿宋" w:hAnsi="仿宋" w:eastAsia="仿宋"/>
          <w:sz w:val="24"/>
        </w:rPr>
        <w:t xml:space="preserve">        </w:t>
      </w:r>
    </w:p>
    <w:tbl>
      <w:tblPr>
        <w:tblStyle w:val="21"/>
        <w:tblW w:w="493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1181"/>
        <w:gridCol w:w="1368"/>
        <w:gridCol w:w="11"/>
        <w:gridCol w:w="987"/>
        <w:gridCol w:w="997"/>
        <w:gridCol w:w="997"/>
        <w:gridCol w:w="1161"/>
        <w:gridCol w:w="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4" w:hRule="atLeast"/>
        </w:trPr>
        <w:tc>
          <w:tcPr>
            <w:tcW w:w="750" w:type="dxa"/>
            <w:noWrap w:val="0"/>
            <w:vAlign w:val="center"/>
          </w:tcPr>
          <w:p>
            <w:pPr>
              <w:jc w:val="center"/>
              <w:rPr>
                <w:rFonts w:hint="eastAsia" w:ascii="仿宋" w:hAnsi="仿宋" w:eastAsia="仿宋"/>
                <w:sz w:val="24"/>
              </w:rPr>
            </w:pPr>
            <w:r>
              <w:rPr>
                <w:rFonts w:hint="eastAsia" w:ascii="仿宋" w:hAnsi="仿宋" w:eastAsia="仿宋"/>
                <w:sz w:val="24"/>
              </w:rPr>
              <w:t>序号</w:t>
            </w:r>
          </w:p>
        </w:tc>
        <w:tc>
          <w:tcPr>
            <w:tcW w:w="1256" w:type="dxa"/>
            <w:noWrap w:val="0"/>
            <w:vAlign w:val="center"/>
          </w:tcPr>
          <w:p>
            <w:pPr>
              <w:jc w:val="center"/>
              <w:rPr>
                <w:rFonts w:hint="eastAsia" w:ascii="仿宋" w:hAnsi="仿宋" w:eastAsia="仿宋"/>
                <w:sz w:val="24"/>
              </w:rPr>
            </w:pPr>
            <w:r>
              <w:rPr>
                <w:rFonts w:hint="eastAsia" w:ascii="仿宋" w:hAnsi="仿宋" w:eastAsia="仿宋"/>
                <w:sz w:val="24"/>
              </w:rPr>
              <w:t>设备名称</w:t>
            </w:r>
          </w:p>
        </w:tc>
        <w:tc>
          <w:tcPr>
            <w:tcW w:w="1454" w:type="dxa"/>
            <w:noWrap w:val="0"/>
            <w:vAlign w:val="center"/>
          </w:tcPr>
          <w:p>
            <w:pPr>
              <w:jc w:val="center"/>
              <w:rPr>
                <w:rFonts w:hint="eastAsia" w:ascii="仿宋" w:hAnsi="仿宋" w:eastAsia="仿宋"/>
                <w:sz w:val="24"/>
              </w:rPr>
            </w:pPr>
            <w:r>
              <w:rPr>
                <w:rFonts w:hint="eastAsia" w:ascii="仿宋" w:hAnsi="仿宋" w:eastAsia="仿宋"/>
                <w:sz w:val="24"/>
              </w:rPr>
              <w:t>品牌型号</w:t>
            </w:r>
          </w:p>
        </w:tc>
        <w:tc>
          <w:tcPr>
            <w:tcW w:w="1061" w:type="dxa"/>
            <w:gridSpan w:val="2"/>
            <w:noWrap w:val="0"/>
            <w:vAlign w:val="center"/>
          </w:tcPr>
          <w:p>
            <w:pPr>
              <w:jc w:val="center"/>
              <w:rPr>
                <w:rFonts w:hint="eastAsia" w:ascii="仿宋" w:hAnsi="仿宋" w:eastAsia="仿宋"/>
                <w:sz w:val="24"/>
              </w:rPr>
            </w:pPr>
            <w:r>
              <w:rPr>
                <w:rFonts w:hint="eastAsia" w:ascii="仿宋" w:hAnsi="仿宋" w:eastAsia="仿宋"/>
                <w:sz w:val="24"/>
              </w:rPr>
              <w:t>数量</w:t>
            </w:r>
          </w:p>
        </w:tc>
        <w:tc>
          <w:tcPr>
            <w:tcW w:w="1060" w:type="dxa"/>
            <w:noWrap w:val="0"/>
            <w:vAlign w:val="center"/>
          </w:tcPr>
          <w:p>
            <w:pPr>
              <w:jc w:val="center"/>
              <w:rPr>
                <w:rFonts w:hint="eastAsia" w:ascii="仿宋" w:hAnsi="仿宋" w:eastAsia="仿宋"/>
                <w:sz w:val="24"/>
              </w:rPr>
            </w:pPr>
            <w:r>
              <w:rPr>
                <w:rFonts w:hint="eastAsia" w:ascii="仿宋" w:hAnsi="仿宋" w:eastAsia="仿宋"/>
                <w:sz w:val="24"/>
              </w:rPr>
              <w:t>单价</w:t>
            </w:r>
          </w:p>
          <w:p>
            <w:pPr>
              <w:jc w:val="center"/>
              <w:rPr>
                <w:rFonts w:hint="eastAsia" w:ascii="仿宋" w:hAnsi="仿宋" w:eastAsia="仿宋"/>
                <w:sz w:val="24"/>
              </w:rPr>
            </w:pPr>
            <w:r>
              <w:rPr>
                <w:rFonts w:hint="eastAsia" w:ascii="仿宋" w:hAnsi="仿宋" w:eastAsia="仿宋"/>
                <w:sz w:val="24"/>
              </w:rPr>
              <w:t>（元）</w:t>
            </w:r>
          </w:p>
        </w:tc>
        <w:tc>
          <w:tcPr>
            <w:tcW w:w="1060" w:type="dxa"/>
            <w:noWrap w:val="0"/>
            <w:vAlign w:val="center"/>
          </w:tcPr>
          <w:p>
            <w:pPr>
              <w:jc w:val="center"/>
              <w:rPr>
                <w:rFonts w:hint="eastAsia" w:ascii="仿宋" w:hAnsi="仿宋" w:eastAsia="仿宋"/>
                <w:sz w:val="24"/>
              </w:rPr>
            </w:pPr>
            <w:r>
              <w:rPr>
                <w:rFonts w:hint="eastAsia" w:ascii="仿宋" w:hAnsi="仿宋" w:eastAsia="仿宋"/>
                <w:sz w:val="24"/>
              </w:rPr>
              <w:t>产地</w:t>
            </w:r>
          </w:p>
        </w:tc>
        <w:tc>
          <w:tcPr>
            <w:tcW w:w="1234" w:type="dxa"/>
            <w:noWrap w:val="0"/>
            <w:vAlign w:val="center"/>
          </w:tcPr>
          <w:p>
            <w:pPr>
              <w:jc w:val="center"/>
              <w:rPr>
                <w:rFonts w:hint="eastAsia" w:ascii="仿宋" w:hAnsi="仿宋" w:eastAsia="仿宋"/>
                <w:sz w:val="24"/>
              </w:rPr>
            </w:pPr>
            <w:r>
              <w:rPr>
                <w:rFonts w:hint="eastAsia" w:ascii="仿宋" w:hAnsi="仿宋" w:eastAsia="仿宋"/>
                <w:sz w:val="24"/>
              </w:rPr>
              <w:t>单项</w:t>
            </w:r>
          </w:p>
          <w:p>
            <w:pPr>
              <w:jc w:val="center"/>
              <w:rPr>
                <w:rFonts w:hint="eastAsia" w:ascii="仿宋" w:hAnsi="仿宋" w:eastAsia="仿宋"/>
                <w:sz w:val="24"/>
              </w:rPr>
            </w:pPr>
            <w:r>
              <w:rPr>
                <w:rFonts w:hint="eastAsia" w:ascii="仿宋" w:hAnsi="仿宋" w:eastAsia="仿宋"/>
                <w:sz w:val="24"/>
              </w:rPr>
              <w:t>合计价</w:t>
            </w:r>
          </w:p>
          <w:p>
            <w:pPr>
              <w:jc w:val="center"/>
              <w:rPr>
                <w:rFonts w:hint="eastAsia" w:ascii="仿宋" w:hAnsi="仿宋" w:eastAsia="仿宋"/>
                <w:sz w:val="24"/>
              </w:rPr>
            </w:pPr>
            <w:r>
              <w:rPr>
                <w:rFonts w:hint="eastAsia" w:ascii="仿宋" w:hAnsi="仿宋" w:eastAsia="仿宋"/>
                <w:sz w:val="24"/>
              </w:rPr>
              <w:t>（元）</w:t>
            </w:r>
          </w:p>
        </w:tc>
        <w:tc>
          <w:tcPr>
            <w:tcW w:w="1060" w:type="dxa"/>
            <w:noWrap w:val="0"/>
            <w:vAlign w:val="center"/>
          </w:tcPr>
          <w:p>
            <w:pPr>
              <w:jc w:val="center"/>
              <w:rPr>
                <w:rFonts w:hint="eastAsia" w:ascii="仿宋" w:hAnsi="仿宋" w:eastAsia="仿宋"/>
                <w:sz w:val="24"/>
              </w:rPr>
            </w:pPr>
            <w:r>
              <w:rPr>
                <w:rFonts w:hint="eastAsia" w:ascii="仿宋" w:hAnsi="仿宋" w:eastAsia="仿宋"/>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trPr>
        <w:tc>
          <w:tcPr>
            <w:tcW w:w="750" w:type="dxa"/>
            <w:noWrap w:val="0"/>
            <w:vAlign w:val="center"/>
          </w:tcPr>
          <w:p>
            <w:pPr>
              <w:jc w:val="center"/>
              <w:rPr>
                <w:rFonts w:hint="eastAsia" w:ascii="仿宋" w:hAnsi="仿宋" w:eastAsia="仿宋"/>
                <w:sz w:val="24"/>
              </w:rPr>
            </w:pPr>
          </w:p>
        </w:tc>
        <w:tc>
          <w:tcPr>
            <w:tcW w:w="1256" w:type="dxa"/>
            <w:noWrap w:val="0"/>
            <w:vAlign w:val="center"/>
          </w:tcPr>
          <w:p>
            <w:pPr>
              <w:jc w:val="center"/>
              <w:rPr>
                <w:rFonts w:hint="eastAsia" w:ascii="仿宋" w:hAnsi="仿宋" w:eastAsia="仿宋"/>
                <w:sz w:val="24"/>
              </w:rPr>
            </w:pPr>
          </w:p>
        </w:tc>
        <w:tc>
          <w:tcPr>
            <w:tcW w:w="1454" w:type="dxa"/>
            <w:noWrap w:val="0"/>
            <w:vAlign w:val="center"/>
          </w:tcPr>
          <w:p>
            <w:pPr>
              <w:jc w:val="center"/>
              <w:rPr>
                <w:rFonts w:hint="eastAsia" w:ascii="仿宋" w:hAnsi="仿宋" w:eastAsia="仿宋"/>
                <w:sz w:val="24"/>
              </w:rPr>
            </w:pPr>
          </w:p>
        </w:tc>
        <w:tc>
          <w:tcPr>
            <w:tcW w:w="1061" w:type="dxa"/>
            <w:gridSpan w:val="2"/>
            <w:noWrap w:val="0"/>
            <w:vAlign w:val="center"/>
          </w:tcPr>
          <w:p>
            <w:pPr>
              <w:jc w:val="center"/>
              <w:rPr>
                <w:rFonts w:hint="eastAsia" w:ascii="仿宋" w:hAnsi="仿宋" w:eastAsia="仿宋"/>
                <w:sz w:val="24"/>
              </w:rPr>
            </w:pPr>
          </w:p>
        </w:tc>
        <w:tc>
          <w:tcPr>
            <w:tcW w:w="1060" w:type="dxa"/>
            <w:noWrap w:val="0"/>
            <w:vAlign w:val="center"/>
          </w:tcPr>
          <w:p>
            <w:pPr>
              <w:jc w:val="center"/>
              <w:rPr>
                <w:rFonts w:hint="eastAsia" w:ascii="仿宋" w:hAnsi="仿宋" w:eastAsia="仿宋"/>
                <w:sz w:val="24"/>
              </w:rPr>
            </w:pPr>
          </w:p>
        </w:tc>
        <w:tc>
          <w:tcPr>
            <w:tcW w:w="1060" w:type="dxa"/>
            <w:noWrap w:val="0"/>
            <w:vAlign w:val="center"/>
          </w:tcPr>
          <w:p>
            <w:pPr>
              <w:jc w:val="center"/>
              <w:rPr>
                <w:rFonts w:hint="eastAsia" w:ascii="仿宋" w:hAnsi="仿宋" w:eastAsia="仿宋"/>
                <w:sz w:val="24"/>
              </w:rPr>
            </w:pPr>
          </w:p>
        </w:tc>
        <w:tc>
          <w:tcPr>
            <w:tcW w:w="1234" w:type="dxa"/>
            <w:noWrap w:val="0"/>
            <w:vAlign w:val="center"/>
          </w:tcPr>
          <w:p>
            <w:pPr>
              <w:jc w:val="center"/>
              <w:rPr>
                <w:rFonts w:hint="eastAsia" w:ascii="仿宋" w:hAnsi="仿宋" w:eastAsia="仿宋"/>
                <w:sz w:val="24"/>
              </w:rPr>
            </w:pPr>
          </w:p>
        </w:tc>
        <w:tc>
          <w:tcPr>
            <w:tcW w:w="1060" w:type="dxa"/>
            <w:noWrap w:val="0"/>
            <w:vAlign w:val="center"/>
          </w:tcPr>
          <w:p>
            <w:pPr>
              <w:jc w:val="center"/>
              <w:rPr>
                <w:rFonts w:hint="eastAsia"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trPr>
        <w:tc>
          <w:tcPr>
            <w:tcW w:w="750" w:type="dxa"/>
            <w:noWrap w:val="0"/>
            <w:vAlign w:val="center"/>
          </w:tcPr>
          <w:p>
            <w:pPr>
              <w:jc w:val="center"/>
              <w:rPr>
                <w:rFonts w:hint="eastAsia" w:ascii="仿宋" w:hAnsi="仿宋" w:eastAsia="仿宋"/>
                <w:sz w:val="24"/>
              </w:rPr>
            </w:pPr>
          </w:p>
        </w:tc>
        <w:tc>
          <w:tcPr>
            <w:tcW w:w="1256" w:type="dxa"/>
            <w:noWrap w:val="0"/>
            <w:vAlign w:val="center"/>
          </w:tcPr>
          <w:p>
            <w:pPr>
              <w:jc w:val="center"/>
              <w:rPr>
                <w:rFonts w:hint="eastAsia" w:ascii="仿宋" w:hAnsi="仿宋" w:eastAsia="仿宋"/>
                <w:sz w:val="24"/>
              </w:rPr>
            </w:pPr>
          </w:p>
        </w:tc>
        <w:tc>
          <w:tcPr>
            <w:tcW w:w="1454" w:type="dxa"/>
            <w:noWrap w:val="0"/>
            <w:vAlign w:val="center"/>
          </w:tcPr>
          <w:p>
            <w:pPr>
              <w:jc w:val="center"/>
              <w:rPr>
                <w:rFonts w:hint="eastAsia" w:ascii="仿宋" w:hAnsi="仿宋" w:eastAsia="仿宋"/>
                <w:sz w:val="24"/>
              </w:rPr>
            </w:pPr>
          </w:p>
        </w:tc>
        <w:tc>
          <w:tcPr>
            <w:tcW w:w="1061" w:type="dxa"/>
            <w:gridSpan w:val="2"/>
            <w:noWrap w:val="0"/>
            <w:vAlign w:val="center"/>
          </w:tcPr>
          <w:p>
            <w:pPr>
              <w:jc w:val="center"/>
              <w:rPr>
                <w:rFonts w:hint="eastAsia" w:ascii="仿宋" w:hAnsi="仿宋" w:eastAsia="仿宋"/>
                <w:sz w:val="24"/>
              </w:rPr>
            </w:pPr>
          </w:p>
        </w:tc>
        <w:tc>
          <w:tcPr>
            <w:tcW w:w="1060" w:type="dxa"/>
            <w:noWrap w:val="0"/>
            <w:vAlign w:val="center"/>
          </w:tcPr>
          <w:p>
            <w:pPr>
              <w:jc w:val="center"/>
              <w:rPr>
                <w:rFonts w:hint="eastAsia" w:ascii="仿宋" w:hAnsi="仿宋" w:eastAsia="仿宋"/>
                <w:sz w:val="24"/>
              </w:rPr>
            </w:pPr>
          </w:p>
        </w:tc>
        <w:tc>
          <w:tcPr>
            <w:tcW w:w="1060" w:type="dxa"/>
            <w:noWrap w:val="0"/>
            <w:vAlign w:val="center"/>
          </w:tcPr>
          <w:p>
            <w:pPr>
              <w:jc w:val="center"/>
              <w:rPr>
                <w:rFonts w:hint="eastAsia" w:ascii="仿宋" w:hAnsi="仿宋" w:eastAsia="仿宋"/>
                <w:sz w:val="24"/>
              </w:rPr>
            </w:pPr>
          </w:p>
        </w:tc>
        <w:tc>
          <w:tcPr>
            <w:tcW w:w="1234" w:type="dxa"/>
            <w:noWrap w:val="0"/>
            <w:vAlign w:val="center"/>
          </w:tcPr>
          <w:p>
            <w:pPr>
              <w:jc w:val="center"/>
              <w:rPr>
                <w:rFonts w:hint="eastAsia" w:ascii="仿宋" w:hAnsi="仿宋" w:eastAsia="仿宋"/>
                <w:sz w:val="24"/>
              </w:rPr>
            </w:pPr>
          </w:p>
        </w:tc>
        <w:tc>
          <w:tcPr>
            <w:tcW w:w="1060" w:type="dxa"/>
            <w:noWrap w:val="0"/>
            <w:vAlign w:val="center"/>
          </w:tcPr>
          <w:p>
            <w:pPr>
              <w:jc w:val="center"/>
              <w:rPr>
                <w:rFonts w:hint="eastAsia"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trPr>
        <w:tc>
          <w:tcPr>
            <w:tcW w:w="750" w:type="dxa"/>
            <w:noWrap w:val="0"/>
            <w:vAlign w:val="center"/>
          </w:tcPr>
          <w:p>
            <w:pPr>
              <w:jc w:val="center"/>
              <w:rPr>
                <w:rFonts w:hint="eastAsia" w:ascii="仿宋" w:hAnsi="仿宋" w:eastAsia="仿宋"/>
                <w:sz w:val="24"/>
              </w:rPr>
            </w:pPr>
          </w:p>
        </w:tc>
        <w:tc>
          <w:tcPr>
            <w:tcW w:w="1256" w:type="dxa"/>
            <w:noWrap w:val="0"/>
            <w:vAlign w:val="center"/>
          </w:tcPr>
          <w:p>
            <w:pPr>
              <w:jc w:val="center"/>
              <w:rPr>
                <w:rFonts w:hint="eastAsia" w:ascii="仿宋" w:hAnsi="仿宋" w:eastAsia="仿宋"/>
                <w:sz w:val="24"/>
              </w:rPr>
            </w:pPr>
          </w:p>
        </w:tc>
        <w:tc>
          <w:tcPr>
            <w:tcW w:w="1454" w:type="dxa"/>
            <w:noWrap w:val="0"/>
            <w:vAlign w:val="center"/>
          </w:tcPr>
          <w:p>
            <w:pPr>
              <w:jc w:val="center"/>
              <w:rPr>
                <w:rFonts w:hint="eastAsia" w:ascii="仿宋" w:hAnsi="仿宋" w:eastAsia="仿宋"/>
                <w:sz w:val="24"/>
              </w:rPr>
            </w:pPr>
          </w:p>
        </w:tc>
        <w:tc>
          <w:tcPr>
            <w:tcW w:w="1061" w:type="dxa"/>
            <w:gridSpan w:val="2"/>
            <w:noWrap w:val="0"/>
            <w:vAlign w:val="center"/>
          </w:tcPr>
          <w:p>
            <w:pPr>
              <w:jc w:val="center"/>
              <w:rPr>
                <w:rFonts w:hint="eastAsia" w:ascii="仿宋" w:hAnsi="仿宋" w:eastAsia="仿宋"/>
                <w:sz w:val="24"/>
              </w:rPr>
            </w:pPr>
          </w:p>
        </w:tc>
        <w:tc>
          <w:tcPr>
            <w:tcW w:w="1060" w:type="dxa"/>
            <w:noWrap w:val="0"/>
            <w:vAlign w:val="center"/>
          </w:tcPr>
          <w:p>
            <w:pPr>
              <w:jc w:val="center"/>
              <w:rPr>
                <w:rFonts w:hint="eastAsia" w:ascii="仿宋" w:hAnsi="仿宋" w:eastAsia="仿宋"/>
                <w:sz w:val="24"/>
              </w:rPr>
            </w:pPr>
          </w:p>
        </w:tc>
        <w:tc>
          <w:tcPr>
            <w:tcW w:w="1060" w:type="dxa"/>
            <w:noWrap w:val="0"/>
            <w:vAlign w:val="center"/>
          </w:tcPr>
          <w:p>
            <w:pPr>
              <w:jc w:val="center"/>
              <w:rPr>
                <w:rFonts w:hint="eastAsia" w:ascii="仿宋" w:hAnsi="仿宋" w:eastAsia="仿宋"/>
                <w:sz w:val="24"/>
              </w:rPr>
            </w:pPr>
          </w:p>
        </w:tc>
        <w:tc>
          <w:tcPr>
            <w:tcW w:w="1234" w:type="dxa"/>
            <w:noWrap w:val="0"/>
            <w:vAlign w:val="center"/>
          </w:tcPr>
          <w:p>
            <w:pPr>
              <w:jc w:val="center"/>
              <w:rPr>
                <w:rFonts w:hint="eastAsia" w:ascii="仿宋" w:hAnsi="仿宋" w:eastAsia="仿宋"/>
                <w:sz w:val="24"/>
              </w:rPr>
            </w:pPr>
          </w:p>
        </w:tc>
        <w:tc>
          <w:tcPr>
            <w:tcW w:w="1060" w:type="dxa"/>
            <w:noWrap w:val="0"/>
            <w:vAlign w:val="center"/>
          </w:tcPr>
          <w:p>
            <w:pPr>
              <w:jc w:val="center"/>
              <w:rPr>
                <w:rFonts w:hint="eastAsia"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3472" w:type="dxa"/>
            <w:gridSpan w:val="4"/>
            <w:noWrap w:val="0"/>
            <w:vAlign w:val="center"/>
          </w:tcPr>
          <w:p>
            <w:pPr>
              <w:jc w:val="center"/>
              <w:rPr>
                <w:rFonts w:hint="eastAsia" w:ascii="仿宋" w:hAnsi="仿宋" w:eastAsia="仿宋"/>
                <w:sz w:val="24"/>
              </w:rPr>
            </w:pPr>
            <w:r>
              <w:rPr>
                <w:rFonts w:hint="eastAsia" w:ascii="仿宋" w:hAnsi="仿宋" w:eastAsia="仿宋"/>
                <w:sz w:val="24"/>
              </w:rPr>
              <w:t>总报价</w:t>
            </w:r>
          </w:p>
        </w:tc>
        <w:tc>
          <w:tcPr>
            <w:tcW w:w="5463" w:type="dxa"/>
            <w:gridSpan w:val="5"/>
            <w:noWrap w:val="0"/>
            <w:vAlign w:val="center"/>
          </w:tcPr>
          <w:p>
            <w:pPr>
              <w:rPr>
                <w:rFonts w:hint="eastAsia" w:ascii="仿宋" w:hAnsi="仿宋" w:eastAsia="仿宋"/>
                <w:sz w:val="24"/>
              </w:rPr>
            </w:pPr>
            <w:r>
              <w:rPr>
                <w:rFonts w:hint="eastAsia" w:ascii="仿宋" w:hAnsi="仿宋" w:eastAsia="仿宋"/>
                <w:sz w:val="24"/>
              </w:rPr>
              <w:t>人民币（大写）：</w:t>
            </w:r>
            <w:r>
              <w:rPr>
                <w:rFonts w:hint="eastAsia" w:ascii="仿宋" w:hAnsi="仿宋" w:eastAsia="仿宋"/>
                <w:sz w:val="24"/>
                <w:u w:val="single"/>
              </w:rPr>
              <w:t xml:space="preserve">      </w:t>
            </w:r>
            <w:r>
              <w:rPr>
                <w:rFonts w:hint="eastAsia" w:ascii="仿宋" w:hAnsi="仿宋" w:eastAsia="仿宋"/>
                <w:sz w:val="24"/>
              </w:rPr>
              <w:t xml:space="preserve"> 元整</w:t>
            </w:r>
          </w:p>
          <w:p>
            <w:pPr>
              <w:rPr>
                <w:rFonts w:hint="eastAsia" w:ascii="仿宋" w:hAnsi="仿宋" w:eastAsia="仿宋"/>
                <w:sz w:val="24"/>
              </w:rPr>
            </w:pPr>
            <w:r>
              <w:rPr>
                <w:rFonts w:hint="eastAsia" w:ascii="仿宋" w:hAnsi="仿宋" w:eastAsia="仿宋"/>
                <w:b/>
                <w:bCs/>
                <w:sz w:val="24"/>
              </w:rPr>
              <w:t>￥</w:t>
            </w:r>
            <w:r>
              <w:rPr>
                <w:rFonts w:hint="eastAsia" w:ascii="仿宋" w:hAnsi="仿宋" w:eastAsia="仿宋"/>
                <w:sz w:val="24"/>
                <w:u w:val="single"/>
              </w:rPr>
              <w:t xml:space="preserve">           </w:t>
            </w:r>
          </w:p>
        </w:tc>
      </w:tr>
    </w:tbl>
    <w:p>
      <w:pPr>
        <w:spacing w:line="400" w:lineRule="atLeast"/>
        <w:rPr>
          <w:rFonts w:hint="eastAsia" w:ascii="仿宋" w:hAnsi="仿宋" w:eastAsia="仿宋"/>
          <w:sz w:val="24"/>
        </w:rPr>
      </w:pPr>
      <w:r>
        <w:rPr>
          <w:rFonts w:hint="eastAsia" w:ascii="仿宋" w:hAnsi="仿宋" w:eastAsia="仿宋"/>
          <w:sz w:val="24"/>
        </w:rPr>
        <w:t xml:space="preserve">       </w:t>
      </w:r>
    </w:p>
    <w:p>
      <w:pPr>
        <w:spacing w:line="360" w:lineRule="auto"/>
        <w:jc w:val="center"/>
        <w:rPr>
          <w:rFonts w:hint="eastAsia" w:ascii="仿宋" w:hAnsi="仿宋" w:eastAsia="仿宋" w:cs="宋体"/>
          <w:kern w:val="0"/>
          <w:sz w:val="24"/>
        </w:rPr>
      </w:pPr>
      <w:r>
        <w:rPr>
          <w:rFonts w:hint="eastAsia" w:ascii="仿宋" w:hAnsi="仿宋" w:eastAsia="仿宋" w:cs="宋体"/>
          <w:kern w:val="0"/>
          <w:sz w:val="24"/>
        </w:rPr>
        <w:t xml:space="preserve">                               </w:t>
      </w:r>
    </w:p>
    <w:p>
      <w:pPr>
        <w:spacing w:line="360" w:lineRule="auto"/>
        <w:jc w:val="center"/>
        <w:rPr>
          <w:rFonts w:hint="eastAsia" w:ascii="仿宋" w:hAnsi="仿宋" w:eastAsia="仿宋"/>
          <w:sz w:val="24"/>
        </w:rPr>
      </w:pPr>
      <w:r>
        <w:rPr>
          <w:rFonts w:hint="eastAsia" w:ascii="仿宋" w:hAnsi="仿宋" w:eastAsia="仿宋" w:cs="宋体"/>
          <w:kern w:val="0"/>
          <w:sz w:val="24"/>
        </w:rPr>
        <w:t xml:space="preserve">              </w:t>
      </w:r>
      <w:bookmarkStart w:id="216" w:name="_Toc6092"/>
      <w:bookmarkStart w:id="217" w:name="_Toc1837"/>
      <w:bookmarkStart w:id="218" w:name="_Toc8539"/>
      <w:bookmarkStart w:id="219" w:name="_Toc6276"/>
      <w:bookmarkStart w:id="220" w:name="_Toc2943"/>
      <w:bookmarkStart w:id="221" w:name="_Toc26512"/>
      <w:r>
        <w:rPr>
          <w:rFonts w:hint="eastAsia" w:ascii="仿宋" w:hAnsi="仿宋" w:eastAsia="仿宋" w:cs="宋体"/>
          <w:kern w:val="0"/>
          <w:sz w:val="24"/>
        </w:rPr>
        <w:t>供应商（全称并加盖公章）：</w:t>
      </w:r>
      <w:bookmarkEnd w:id="216"/>
      <w:bookmarkEnd w:id="217"/>
      <w:bookmarkEnd w:id="218"/>
      <w:bookmarkEnd w:id="219"/>
      <w:bookmarkEnd w:id="220"/>
      <w:bookmarkEnd w:id="221"/>
      <w:r>
        <w:rPr>
          <w:rFonts w:hint="eastAsia" w:ascii="仿宋" w:hAnsi="仿宋" w:eastAsia="仿宋"/>
          <w:sz w:val="24"/>
        </w:rPr>
        <w:t xml:space="preserve">   </w:t>
      </w:r>
    </w:p>
    <w:p>
      <w:pPr>
        <w:spacing w:line="360" w:lineRule="auto"/>
        <w:jc w:val="right"/>
        <w:rPr>
          <w:rFonts w:hint="eastAsia" w:ascii="仿宋" w:hAnsi="仿宋" w:eastAsia="仿宋"/>
          <w:sz w:val="24"/>
        </w:rPr>
      </w:pPr>
      <w:r>
        <w:rPr>
          <w:rFonts w:hint="eastAsia" w:ascii="仿宋" w:hAnsi="仿宋" w:eastAsia="仿宋"/>
          <w:sz w:val="24"/>
        </w:rPr>
        <w:t>年    月    日</w:t>
      </w:r>
    </w:p>
    <w:p>
      <w:pPr>
        <w:spacing w:line="300" w:lineRule="exact"/>
        <w:rPr>
          <w:rFonts w:hint="eastAsia" w:ascii="仿宋" w:hAnsi="仿宋" w:eastAsia="仿宋"/>
          <w:b/>
          <w:szCs w:val="21"/>
        </w:rPr>
      </w:pPr>
      <w:r>
        <w:rPr>
          <w:rFonts w:hint="eastAsia" w:ascii="仿宋" w:hAnsi="仿宋" w:eastAsia="仿宋"/>
          <w:szCs w:val="21"/>
        </w:rPr>
        <w:t>注：</w:t>
      </w:r>
    </w:p>
    <w:p>
      <w:pPr>
        <w:spacing w:line="300" w:lineRule="exact"/>
        <w:rPr>
          <w:rFonts w:hint="eastAsia" w:ascii="仿宋" w:hAnsi="仿宋" w:eastAsia="仿宋"/>
          <w:szCs w:val="21"/>
        </w:rPr>
      </w:pPr>
      <w:r>
        <w:rPr>
          <w:rFonts w:hint="eastAsia" w:ascii="仿宋" w:hAnsi="仿宋" w:eastAsia="仿宋"/>
          <w:szCs w:val="21"/>
        </w:rPr>
        <w:t>1、此表可以根据需要自行增减行数</w:t>
      </w:r>
      <w:r>
        <w:rPr>
          <w:rFonts w:hint="eastAsia" w:ascii="仿宋" w:hAnsi="仿宋" w:eastAsia="仿宋"/>
          <w:b/>
          <w:bCs/>
          <w:szCs w:val="21"/>
        </w:rPr>
        <w:t>（详见项目需求）</w:t>
      </w:r>
      <w:r>
        <w:rPr>
          <w:rFonts w:hint="eastAsia" w:ascii="仿宋" w:hAnsi="仿宋" w:eastAsia="仿宋"/>
          <w:szCs w:val="21"/>
        </w:rPr>
        <w:t>。</w:t>
      </w:r>
    </w:p>
    <w:p>
      <w:pPr>
        <w:spacing w:line="300" w:lineRule="exact"/>
        <w:rPr>
          <w:rFonts w:hint="eastAsia" w:ascii="仿宋" w:hAnsi="仿宋" w:eastAsia="仿宋"/>
          <w:szCs w:val="21"/>
        </w:rPr>
      </w:pPr>
      <w:r>
        <w:rPr>
          <w:rFonts w:hint="eastAsia" w:ascii="仿宋" w:hAnsi="仿宋" w:eastAsia="仿宋"/>
          <w:szCs w:val="21"/>
        </w:rPr>
        <w:t>2、项目如有分包，请各磋商供应商按投报的分包分别列表。</w:t>
      </w:r>
    </w:p>
    <w:p>
      <w:pPr>
        <w:spacing w:line="300" w:lineRule="exact"/>
        <w:rPr>
          <w:rFonts w:hint="eastAsia" w:ascii="仿宋" w:hAnsi="仿宋" w:eastAsia="仿宋"/>
          <w:szCs w:val="21"/>
        </w:rPr>
      </w:pPr>
      <w:r>
        <w:rPr>
          <w:rFonts w:hint="eastAsia" w:ascii="仿宋" w:hAnsi="仿宋" w:eastAsia="仿宋"/>
          <w:szCs w:val="21"/>
        </w:rPr>
        <w:t>3、报价即视为完全响应本项目磋商公告、文件所有要求，报价包括完成本项目涉及的一切费用，采购人不再支付其他任何费用。</w:t>
      </w:r>
    </w:p>
    <w:p>
      <w:pPr>
        <w:spacing w:line="300" w:lineRule="exact"/>
        <w:rPr>
          <w:rFonts w:hint="eastAsia" w:ascii="仿宋" w:hAnsi="仿宋" w:eastAsia="仿宋"/>
          <w:color w:val="auto"/>
          <w:szCs w:val="21"/>
          <w:highlight w:val="none"/>
        </w:rPr>
      </w:pPr>
    </w:p>
    <w:p>
      <w:pPr>
        <w:spacing w:line="300" w:lineRule="exact"/>
        <w:rPr>
          <w:rFonts w:hint="eastAsia" w:ascii="仿宋" w:hAnsi="仿宋" w:eastAsia="仿宋"/>
          <w:color w:val="auto"/>
          <w:szCs w:val="21"/>
          <w:highlight w:val="none"/>
        </w:rPr>
      </w:pPr>
    </w:p>
    <w:p>
      <w:pPr>
        <w:spacing w:line="300" w:lineRule="exact"/>
        <w:rPr>
          <w:rFonts w:hint="eastAsia" w:ascii="仿宋" w:hAnsi="仿宋" w:eastAsia="仿宋"/>
          <w:color w:val="auto"/>
          <w:szCs w:val="21"/>
          <w:highlight w:val="none"/>
        </w:rPr>
      </w:pPr>
    </w:p>
    <w:p>
      <w:pPr>
        <w:spacing w:line="500" w:lineRule="exact"/>
        <w:ind w:firstLine="562" w:firstLineChars="200"/>
        <w:outlineLvl w:val="9"/>
        <w:rPr>
          <w:rFonts w:hint="eastAsia" w:ascii="仿宋" w:hAnsi="仿宋" w:eastAsia="仿宋"/>
          <w:bCs/>
          <w:color w:val="auto"/>
          <w:sz w:val="28"/>
          <w:szCs w:val="28"/>
          <w:highlight w:val="none"/>
        </w:rPr>
      </w:pPr>
      <w:r>
        <w:rPr>
          <w:rFonts w:ascii="仿宋" w:hAnsi="仿宋" w:eastAsia="仿宋"/>
          <w:b/>
          <w:bCs/>
          <w:color w:val="auto"/>
          <w:sz w:val="28"/>
          <w:szCs w:val="28"/>
          <w:highlight w:val="none"/>
        </w:rPr>
        <w:br w:type="page"/>
      </w:r>
      <w:bookmarkStart w:id="222" w:name="_Toc24650"/>
      <w:r>
        <w:rPr>
          <w:rFonts w:hint="eastAsia" w:ascii="仿宋" w:hAnsi="仿宋" w:eastAsia="仿宋"/>
          <w:b/>
          <w:bCs/>
          <w:color w:val="auto"/>
          <w:sz w:val="28"/>
          <w:szCs w:val="28"/>
          <w:highlight w:val="none"/>
        </w:rPr>
        <w:t>（三）</w:t>
      </w:r>
      <w:r>
        <w:rPr>
          <w:rFonts w:hint="eastAsia" w:ascii="仿宋" w:hAnsi="仿宋" w:eastAsia="仿宋"/>
          <w:bCs/>
          <w:color w:val="auto"/>
          <w:sz w:val="28"/>
          <w:szCs w:val="28"/>
          <w:highlight w:val="none"/>
        </w:rPr>
        <w:t>小微企业声明函</w:t>
      </w:r>
      <w:bookmarkEnd w:id="222"/>
    </w:p>
    <w:p>
      <w:pPr>
        <w:spacing w:line="500" w:lineRule="exact"/>
        <w:jc w:val="center"/>
        <w:outlineLvl w:val="9"/>
        <w:rPr>
          <w:rFonts w:hint="eastAsia" w:ascii="方正小标宋简体" w:eastAsia="方正小标宋简体"/>
          <w:color w:val="auto"/>
          <w:sz w:val="36"/>
          <w:szCs w:val="36"/>
          <w:highlight w:val="none"/>
        </w:rPr>
      </w:pPr>
      <w:bookmarkStart w:id="223" w:name="_Toc16664"/>
      <w:r>
        <w:rPr>
          <w:rFonts w:hint="eastAsia" w:ascii="方正小标宋简体" w:eastAsia="方正小标宋简体"/>
          <w:color w:val="auto"/>
          <w:sz w:val="36"/>
          <w:szCs w:val="36"/>
          <w:highlight w:val="none"/>
        </w:rPr>
        <w:t>中小微企业声明函（货物）</w:t>
      </w:r>
      <w:bookmarkEnd w:id="223"/>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本公司（联合体）郑重声明，根据《政府采购促进中小企业发展管理办法》（财库﹝2020﹞46 号）的规定，本公司（联合体）参加</w:t>
      </w:r>
      <w:r>
        <w:rPr>
          <w:rFonts w:hint="eastAsia" w:ascii="仿宋" w:hAnsi="仿宋" w:eastAsia="仿宋"/>
          <w:i/>
          <w:color w:val="auto"/>
          <w:sz w:val="28"/>
          <w:szCs w:val="28"/>
          <w:highlight w:val="none"/>
          <w:u w:val="single"/>
        </w:rPr>
        <w:t xml:space="preserve"> （单位名称）</w:t>
      </w:r>
      <w:r>
        <w:rPr>
          <w:rFonts w:hint="eastAsia" w:ascii="仿宋" w:hAnsi="仿宋" w:eastAsia="仿宋"/>
          <w:color w:val="auto"/>
          <w:sz w:val="28"/>
          <w:szCs w:val="28"/>
          <w:highlight w:val="none"/>
        </w:rPr>
        <w:t xml:space="preserve"> 的</w:t>
      </w:r>
      <w:r>
        <w:rPr>
          <w:rFonts w:hint="eastAsia" w:ascii="仿宋" w:hAnsi="仿宋" w:eastAsia="仿宋"/>
          <w:i/>
          <w:color w:val="auto"/>
          <w:sz w:val="28"/>
          <w:szCs w:val="28"/>
          <w:highlight w:val="none"/>
          <w:u w:val="single"/>
        </w:rPr>
        <w:t xml:space="preserve"> （项目名称）</w:t>
      </w:r>
      <w:r>
        <w:rPr>
          <w:rFonts w:hint="eastAsia" w:ascii="仿宋" w:hAnsi="仿宋" w:eastAsia="仿宋"/>
          <w:color w:val="auto"/>
          <w:sz w:val="28"/>
          <w:szCs w:val="28"/>
          <w:highlight w:val="none"/>
        </w:rPr>
        <w:t xml:space="preserve"> 采购活动，提供的货物全部由符合政策要求的中小企业制造。相关企业（含联合体中的中小企业、签订分包意向协议的中小企业）的具体情况如下：</w:t>
      </w:r>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 xml:space="preserve">1. </w:t>
      </w:r>
      <w:r>
        <w:rPr>
          <w:rFonts w:hint="eastAsia" w:ascii="仿宋" w:hAnsi="仿宋" w:eastAsia="仿宋"/>
          <w:i/>
          <w:color w:val="auto"/>
          <w:sz w:val="28"/>
          <w:szCs w:val="28"/>
          <w:highlight w:val="none"/>
          <w:u w:val="single"/>
        </w:rPr>
        <w:t xml:space="preserve">（标的名称） </w:t>
      </w:r>
      <w:r>
        <w:rPr>
          <w:rFonts w:hint="eastAsia" w:ascii="仿宋" w:hAnsi="仿宋" w:eastAsia="仿宋"/>
          <w:color w:val="auto"/>
          <w:sz w:val="28"/>
          <w:szCs w:val="28"/>
          <w:highlight w:val="none"/>
        </w:rPr>
        <w:t>，属于</w:t>
      </w:r>
      <w:r>
        <w:rPr>
          <w:rFonts w:hint="eastAsia" w:ascii="仿宋" w:hAnsi="仿宋" w:eastAsia="仿宋"/>
          <w:i/>
          <w:color w:val="auto"/>
          <w:sz w:val="28"/>
          <w:szCs w:val="28"/>
          <w:highlight w:val="none"/>
          <w:u w:val="single"/>
        </w:rPr>
        <w:t xml:space="preserve"> （采购文件中明确的所属行业）行业</w:t>
      </w:r>
      <w:r>
        <w:rPr>
          <w:rFonts w:hint="eastAsia" w:ascii="仿宋" w:hAnsi="仿宋" w:eastAsia="仿宋"/>
          <w:color w:val="auto"/>
          <w:sz w:val="28"/>
          <w:szCs w:val="28"/>
          <w:highlight w:val="none"/>
        </w:rPr>
        <w:t xml:space="preserve"> ；制造商为 </w:t>
      </w:r>
      <w:r>
        <w:rPr>
          <w:rFonts w:hint="eastAsia" w:ascii="仿宋" w:hAnsi="仿宋" w:eastAsia="仿宋"/>
          <w:i/>
          <w:color w:val="auto"/>
          <w:sz w:val="28"/>
          <w:szCs w:val="28"/>
          <w:highlight w:val="none"/>
          <w:u w:val="single"/>
        </w:rPr>
        <w:t>（企业名称）</w:t>
      </w:r>
      <w:r>
        <w:rPr>
          <w:rFonts w:hint="eastAsia" w:ascii="仿宋" w:hAnsi="仿宋" w:eastAsia="仿宋"/>
          <w:color w:val="auto"/>
          <w:sz w:val="28"/>
          <w:szCs w:val="28"/>
          <w:highlight w:val="none"/>
        </w:rPr>
        <w:t xml:space="preserve"> ，从业人员</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人，营业收入为</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万元，资产总额为</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万元</w:t>
      </w:r>
      <w:r>
        <w:rPr>
          <w:rFonts w:hint="eastAsia" w:ascii="仿宋" w:hAnsi="仿宋" w:eastAsia="仿宋"/>
          <w:color w:val="auto"/>
          <w:sz w:val="28"/>
          <w:szCs w:val="28"/>
          <w:highlight w:val="none"/>
          <w:vertAlign w:val="superscript"/>
        </w:rPr>
        <w:t>1</w:t>
      </w:r>
      <w:r>
        <w:rPr>
          <w:rFonts w:hint="eastAsia" w:ascii="仿宋" w:hAnsi="仿宋" w:eastAsia="仿宋"/>
          <w:color w:val="auto"/>
          <w:sz w:val="28"/>
          <w:szCs w:val="28"/>
          <w:highlight w:val="none"/>
        </w:rPr>
        <w:t xml:space="preserve"> ，属于</w:t>
      </w:r>
      <w:r>
        <w:rPr>
          <w:rFonts w:hint="eastAsia" w:ascii="仿宋" w:hAnsi="仿宋" w:eastAsia="仿宋"/>
          <w:i/>
          <w:color w:val="auto"/>
          <w:sz w:val="28"/>
          <w:szCs w:val="28"/>
          <w:highlight w:val="none"/>
          <w:u w:val="single"/>
        </w:rPr>
        <w:t xml:space="preserve"> （中型企业、小型企业、微型企业） </w:t>
      </w:r>
      <w:r>
        <w:rPr>
          <w:rFonts w:hint="eastAsia" w:ascii="仿宋" w:hAnsi="仿宋" w:eastAsia="仿宋"/>
          <w:color w:val="auto"/>
          <w:sz w:val="28"/>
          <w:szCs w:val="28"/>
          <w:highlight w:val="none"/>
        </w:rPr>
        <w:t>；</w:t>
      </w:r>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 xml:space="preserve">2. </w:t>
      </w:r>
      <w:r>
        <w:rPr>
          <w:rFonts w:hint="eastAsia" w:ascii="仿宋" w:hAnsi="仿宋" w:eastAsia="仿宋"/>
          <w:i/>
          <w:color w:val="auto"/>
          <w:sz w:val="28"/>
          <w:szCs w:val="28"/>
          <w:highlight w:val="none"/>
          <w:u w:val="single"/>
        </w:rPr>
        <w:t>（标的名称）</w:t>
      </w:r>
      <w:r>
        <w:rPr>
          <w:rFonts w:hint="eastAsia" w:ascii="仿宋" w:hAnsi="仿宋" w:eastAsia="仿宋"/>
          <w:color w:val="auto"/>
          <w:sz w:val="28"/>
          <w:szCs w:val="28"/>
          <w:highlight w:val="none"/>
        </w:rPr>
        <w:t xml:space="preserve"> ，属于</w:t>
      </w:r>
      <w:r>
        <w:rPr>
          <w:rFonts w:hint="eastAsia" w:ascii="仿宋" w:hAnsi="仿宋" w:eastAsia="仿宋"/>
          <w:i/>
          <w:color w:val="auto"/>
          <w:sz w:val="28"/>
          <w:szCs w:val="28"/>
          <w:highlight w:val="none"/>
          <w:u w:val="single"/>
        </w:rPr>
        <w:t xml:space="preserve"> （采购文件中明确的所属行业）行业</w:t>
      </w:r>
      <w:r>
        <w:rPr>
          <w:rFonts w:hint="eastAsia" w:ascii="仿宋" w:hAnsi="仿宋" w:eastAsia="仿宋"/>
          <w:color w:val="auto"/>
          <w:sz w:val="28"/>
          <w:szCs w:val="28"/>
          <w:highlight w:val="none"/>
        </w:rPr>
        <w:t xml:space="preserve"> ；制造商为</w:t>
      </w:r>
      <w:r>
        <w:rPr>
          <w:rFonts w:hint="eastAsia" w:ascii="仿宋" w:hAnsi="仿宋" w:eastAsia="仿宋"/>
          <w:i/>
          <w:color w:val="auto"/>
          <w:sz w:val="28"/>
          <w:szCs w:val="28"/>
          <w:highlight w:val="none"/>
          <w:u w:val="single"/>
        </w:rPr>
        <w:t xml:space="preserve"> （企业名称） </w:t>
      </w:r>
      <w:r>
        <w:rPr>
          <w:rFonts w:hint="eastAsia" w:ascii="仿宋" w:hAnsi="仿宋" w:eastAsia="仿宋"/>
          <w:color w:val="auto"/>
          <w:sz w:val="28"/>
          <w:szCs w:val="28"/>
          <w:highlight w:val="none"/>
        </w:rPr>
        <w:t>，从业人员</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人，营业收入为</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万元，资产总额为</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万元，属于</w:t>
      </w:r>
      <w:r>
        <w:rPr>
          <w:rFonts w:hint="eastAsia" w:ascii="仿宋" w:hAnsi="仿宋" w:eastAsia="仿宋"/>
          <w:i/>
          <w:color w:val="auto"/>
          <w:sz w:val="28"/>
          <w:szCs w:val="28"/>
          <w:highlight w:val="none"/>
          <w:u w:val="single"/>
        </w:rPr>
        <w:t xml:space="preserve"> （中型企业、小型企业、微型企业）</w:t>
      </w:r>
      <w:r>
        <w:rPr>
          <w:rFonts w:hint="eastAsia" w:ascii="仿宋" w:hAnsi="仿宋" w:eastAsia="仿宋"/>
          <w:color w:val="auto"/>
          <w:sz w:val="28"/>
          <w:szCs w:val="28"/>
          <w:highlight w:val="none"/>
        </w:rPr>
        <w:t xml:space="preserve"> ；</w:t>
      </w:r>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w:t>
      </w:r>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以上企业，不属于大企业的分支机构，不存在控股股东为大企业的情形，也不存在与大企业的负责人为同一人的情形。</w:t>
      </w:r>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本企业对上述声明内容的真实性负责。如有虚假，将依法承担相应责任。</w:t>
      </w:r>
    </w:p>
    <w:p>
      <w:pPr>
        <w:spacing w:line="500" w:lineRule="exact"/>
        <w:jc w:val="right"/>
        <w:rPr>
          <w:rFonts w:ascii="仿宋" w:hAnsi="仿宋" w:eastAsia="仿宋"/>
          <w:color w:val="auto"/>
          <w:sz w:val="28"/>
          <w:szCs w:val="28"/>
          <w:highlight w:val="none"/>
        </w:rPr>
      </w:pPr>
      <w:r>
        <w:rPr>
          <w:rFonts w:hint="eastAsia" w:ascii="仿宋" w:hAnsi="仿宋" w:eastAsia="仿宋"/>
          <w:color w:val="auto"/>
          <w:sz w:val="28"/>
          <w:szCs w:val="28"/>
          <w:highlight w:val="none"/>
        </w:rPr>
        <w:t xml:space="preserve">企业名称（盖章）：          </w:t>
      </w:r>
    </w:p>
    <w:p>
      <w:pPr>
        <w:spacing w:line="500" w:lineRule="exact"/>
        <w:jc w:val="right"/>
        <w:rPr>
          <w:rFonts w:ascii="仿宋" w:hAnsi="仿宋" w:eastAsia="仿宋"/>
          <w:color w:val="auto"/>
          <w:sz w:val="28"/>
          <w:szCs w:val="28"/>
          <w:highlight w:val="none"/>
        </w:rPr>
      </w:pPr>
      <w:r>
        <w:rPr>
          <w:rFonts w:hint="eastAsia" w:ascii="仿宋" w:hAnsi="仿宋" w:eastAsia="仿宋"/>
          <w:color w:val="auto"/>
          <w:sz w:val="28"/>
          <w:szCs w:val="28"/>
          <w:highlight w:val="none"/>
        </w:rPr>
        <w:t xml:space="preserve">日 期：             </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注1. 从业人员、营业收入、资产总额填报上一年度数据，无上一年度数据的新成立企业可不填报。</w:t>
      </w:r>
    </w:p>
    <w:p>
      <w:pPr>
        <w:spacing w:line="500" w:lineRule="exact"/>
        <w:ind w:firstLine="840" w:firstLineChars="3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2. 响应供应商应将此声明函放在报价文件中，如不提供此声明函，价格将不做相应扣除。</w:t>
      </w:r>
    </w:p>
    <w:p>
      <w:pPr>
        <w:spacing w:line="500" w:lineRule="exact"/>
        <w:ind w:firstLine="280" w:firstLineChars="100"/>
        <w:rPr>
          <w:rFonts w:ascii="仿宋" w:hAnsi="仿宋" w:eastAsia="仿宋"/>
          <w:color w:val="auto"/>
          <w:sz w:val="28"/>
          <w:szCs w:val="28"/>
          <w:highlight w:val="none"/>
        </w:rPr>
      </w:pPr>
      <w:r>
        <w:rPr>
          <w:rFonts w:hint="eastAsia" w:ascii="仿宋" w:hAnsi="仿宋" w:eastAsia="仿宋"/>
          <w:color w:val="auto"/>
          <w:sz w:val="28"/>
          <w:szCs w:val="28"/>
          <w:highlight w:val="none"/>
        </w:rPr>
        <w:t xml:space="preserve">   </w:t>
      </w:r>
      <w:r>
        <w:rPr>
          <w:rFonts w:hint="eastAsia" w:ascii="仿宋" w:hAnsi="仿宋" w:eastAsia="仿宋"/>
          <w:color w:val="auto"/>
          <w:sz w:val="28"/>
          <w:szCs w:val="28"/>
          <w:highlight w:val="none"/>
          <w:lang w:val="en-US" w:eastAsia="zh-CN"/>
        </w:rPr>
        <w:t xml:space="preserve"> </w:t>
      </w:r>
      <w:r>
        <w:rPr>
          <w:rFonts w:hint="eastAsia" w:ascii="仿宋" w:hAnsi="仿宋" w:eastAsia="仿宋"/>
          <w:color w:val="auto"/>
          <w:sz w:val="28"/>
          <w:szCs w:val="28"/>
          <w:highlight w:val="none"/>
        </w:rPr>
        <w:t>3.</w:t>
      </w:r>
      <w:r>
        <w:rPr>
          <w:rFonts w:hint="eastAsia" w:ascii="仿宋" w:hAnsi="仿宋" w:eastAsia="仿宋"/>
          <w:color w:val="auto"/>
          <w:sz w:val="28"/>
          <w:szCs w:val="28"/>
          <w:highlight w:val="none"/>
          <w:lang w:val="en-US" w:eastAsia="zh-CN"/>
        </w:rPr>
        <w:t>本项目为工业</w:t>
      </w:r>
      <w:r>
        <w:rPr>
          <w:rFonts w:hint="eastAsia" w:ascii="仿宋" w:hAnsi="仿宋" w:eastAsia="仿宋"/>
          <w:color w:val="auto"/>
          <w:sz w:val="28"/>
          <w:szCs w:val="28"/>
          <w:highlight w:val="none"/>
        </w:rPr>
        <w:t>。</w:t>
      </w:r>
    </w:p>
    <w:p>
      <w:pPr>
        <w:spacing w:line="500" w:lineRule="exact"/>
        <w:ind w:firstLine="840" w:firstLineChars="300"/>
        <w:rPr>
          <w:rFonts w:hint="eastAsia" w:ascii="仿宋" w:hAnsi="仿宋" w:eastAsia="仿宋"/>
          <w:color w:val="auto"/>
          <w:sz w:val="28"/>
          <w:szCs w:val="28"/>
          <w:highlight w:val="none"/>
        </w:rPr>
      </w:pPr>
      <w:r>
        <w:rPr>
          <w:rFonts w:hint="eastAsia" w:ascii="仿宋" w:hAnsi="仿宋" w:eastAsia="仿宋"/>
          <w:bCs/>
          <w:color w:val="auto"/>
          <w:sz w:val="28"/>
          <w:szCs w:val="28"/>
          <w:highlight w:val="none"/>
        </w:rPr>
        <w:br w:type="page"/>
      </w:r>
      <w:r>
        <w:rPr>
          <w:rFonts w:hint="eastAsia" w:ascii="仿宋" w:hAnsi="仿宋" w:eastAsia="仿宋"/>
          <w:bCs/>
          <w:color w:val="auto"/>
          <w:sz w:val="28"/>
          <w:szCs w:val="28"/>
          <w:highlight w:val="none"/>
        </w:rPr>
        <w:t xml:space="preserve">   </w:t>
      </w:r>
    </w:p>
    <w:p>
      <w:pPr>
        <w:spacing w:line="500" w:lineRule="exact"/>
        <w:outlineLvl w:val="9"/>
        <w:rPr>
          <w:rFonts w:hint="eastAsia" w:ascii="仿宋" w:hAnsi="仿宋" w:eastAsia="仿宋" w:cs="Arial"/>
          <w:color w:val="auto"/>
          <w:sz w:val="28"/>
          <w:szCs w:val="28"/>
          <w:highlight w:val="none"/>
        </w:rPr>
      </w:pPr>
      <w:bookmarkStart w:id="224" w:name="_Toc26956"/>
      <w:r>
        <w:rPr>
          <w:rFonts w:hint="eastAsia" w:ascii="仿宋" w:hAnsi="仿宋" w:eastAsia="仿宋"/>
          <w:bCs/>
          <w:color w:val="auto"/>
          <w:sz w:val="28"/>
          <w:szCs w:val="28"/>
          <w:highlight w:val="none"/>
        </w:rPr>
        <w:t>（四）</w:t>
      </w:r>
      <w:r>
        <w:rPr>
          <w:rFonts w:hint="eastAsia" w:ascii="仿宋" w:hAnsi="仿宋" w:eastAsia="仿宋" w:cs="Arial"/>
          <w:color w:val="auto"/>
          <w:sz w:val="28"/>
          <w:szCs w:val="28"/>
          <w:highlight w:val="none"/>
        </w:rPr>
        <w:t>残疾人福利性单位声明函</w:t>
      </w:r>
      <w:bookmarkEnd w:id="224"/>
    </w:p>
    <w:p>
      <w:pPr>
        <w:spacing w:line="500" w:lineRule="exact"/>
        <w:rPr>
          <w:rFonts w:hint="eastAsia" w:ascii="仿宋" w:hAnsi="仿宋" w:eastAsia="仿宋" w:cs="Arial"/>
          <w:color w:val="auto"/>
          <w:sz w:val="28"/>
          <w:szCs w:val="28"/>
          <w:highlight w:val="none"/>
        </w:rPr>
      </w:pPr>
    </w:p>
    <w:p>
      <w:pPr>
        <w:jc w:val="center"/>
        <w:rPr>
          <w:rFonts w:hint="eastAsia" w:ascii="方正小标宋简体" w:eastAsia="方正小标宋简体"/>
          <w:i/>
          <w:color w:val="auto"/>
          <w:sz w:val="36"/>
          <w:szCs w:val="36"/>
          <w:highlight w:val="none"/>
        </w:rPr>
      </w:pPr>
      <w:r>
        <w:rPr>
          <w:rFonts w:hint="eastAsia" w:ascii="方正小标宋简体" w:eastAsia="方正小标宋简体"/>
          <w:color w:val="auto"/>
          <w:sz w:val="36"/>
          <w:szCs w:val="36"/>
          <w:highlight w:val="none"/>
        </w:rPr>
        <w:t>残疾人福利性单位声明函</w:t>
      </w:r>
    </w:p>
    <w:p>
      <w:pPr>
        <w:spacing w:line="500" w:lineRule="exact"/>
        <w:ind w:firstLine="560" w:firstLineChars="200"/>
        <w:rPr>
          <w:rFonts w:hint="eastAsia" w:ascii="仿宋" w:hAnsi="仿宋" w:eastAsia="仿宋"/>
          <w:color w:val="auto"/>
          <w:sz w:val="28"/>
          <w:szCs w:val="28"/>
          <w:highlight w:val="none"/>
        </w:rPr>
      </w:pP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本单位郑重声明，根据《财政部 民政部 中国残疾人联合会关于促进残疾人就业政府采购政策的通知》（财库〔2017〕 141号）的规定，本单位为符合条件的残疾人福利性单位，且本单位参加</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单位的项目编号为</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的</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项目采购活动提供本单位制造的货物（由本单位承担工程/提供服务），或者提供其他残疾人福利性单位制造的货物（不包括使用非残疾人福利性单位注册商标的货物）。</w:t>
      </w:r>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本单位在本次政府采购活动中提供的残疾人福利单位产品报价合计为人民币（大写）</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元整（￥：</w:t>
      </w:r>
      <w:r>
        <w:rPr>
          <w:rFonts w:hint="eastAsia" w:ascii="仿宋" w:hAnsi="仿宋" w:eastAsia="仿宋"/>
          <w:color w:val="auto"/>
          <w:sz w:val="28"/>
          <w:szCs w:val="28"/>
          <w:highlight w:val="none"/>
          <w:u w:val="single"/>
        </w:rPr>
        <w:t xml:space="preserve">     </w:t>
      </w:r>
      <w:r>
        <w:rPr>
          <w:rFonts w:hint="eastAsia" w:ascii="仿宋" w:hAnsi="仿宋" w:eastAsia="仿宋"/>
          <w:color w:val="auto"/>
          <w:sz w:val="28"/>
          <w:szCs w:val="28"/>
          <w:highlight w:val="none"/>
        </w:rPr>
        <w:t>）。</w:t>
      </w:r>
    </w:p>
    <w:p>
      <w:pPr>
        <w:spacing w:line="500" w:lineRule="exact"/>
        <w:ind w:firstLine="560" w:firstLineChars="200"/>
        <w:rPr>
          <w:rFonts w:ascii="仿宋" w:hAnsi="仿宋" w:eastAsia="仿宋"/>
          <w:color w:val="auto"/>
          <w:sz w:val="28"/>
          <w:szCs w:val="28"/>
          <w:highlight w:val="none"/>
        </w:rPr>
      </w:pPr>
      <w:r>
        <w:rPr>
          <w:rFonts w:hint="eastAsia" w:ascii="仿宋" w:hAnsi="仿宋" w:eastAsia="仿宋"/>
          <w:color w:val="auto"/>
          <w:sz w:val="28"/>
          <w:szCs w:val="28"/>
          <w:highlight w:val="none"/>
        </w:rPr>
        <w:t>本单位对上述声明的真实性负责。如有虚假，将依法承担相应责任。</w:t>
      </w:r>
    </w:p>
    <w:p>
      <w:pPr>
        <w:spacing w:line="500" w:lineRule="exact"/>
        <w:ind w:firstLine="560" w:firstLineChars="200"/>
        <w:rPr>
          <w:rFonts w:hint="eastAsia" w:ascii="仿宋" w:hAnsi="仿宋" w:eastAsia="仿宋"/>
          <w:color w:val="auto"/>
          <w:sz w:val="28"/>
          <w:szCs w:val="28"/>
          <w:highlight w:val="none"/>
        </w:rPr>
      </w:pPr>
    </w:p>
    <w:p>
      <w:pPr>
        <w:tabs>
          <w:tab w:val="left" w:pos="4860"/>
        </w:tabs>
        <w:spacing w:line="500" w:lineRule="exact"/>
        <w:ind w:right="1560" w:firstLine="560" w:firstLineChars="200"/>
        <w:jc w:val="center"/>
        <w:outlineLvl w:val="9"/>
        <w:rPr>
          <w:rFonts w:ascii="仿宋" w:hAnsi="仿宋" w:eastAsia="仿宋"/>
          <w:color w:val="auto"/>
          <w:sz w:val="28"/>
          <w:szCs w:val="28"/>
          <w:highlight w:val="none"/>
        </w:rPr>
      </w:pPr>
      <w:r>
        <w:rPr>
          <w:rFonts w:hint="eastAsia" w:ascii="仿宋" w:hAnsi="仿宋" w:eastAsia="仿宋"/>
          <w:color w:val="auto"/>
          <w:sz w:val="28"/>
          <w:szCs w:val="28"/>
          <w:highlight w:val="none"/>
        </w:rPr>
        <w:t xml:space="preserve">                 </w:t>
      </w:r>
      <w:bookmarkStart w:id="225" w:name="_Toc11849"/>
      <w:r>
        <w:rPr>
          <w:rFonts w:hint="eastAsia" w:ascii="仿宋" w:hAnsi="仿宋" w:eastAsia="仿宋"/>
          <w:color w:val="auto"/>
          <w:sz w:val="28"/>
          <w:szCs w:val="28"/>
          <w:highlight w:val="none"/>
        </w:rPr>
        <w:t>供应商全称（盖章）：</w:t>
      </w:r>
      <w:bookmarkEnd w:id="225"/>
    </w:p>
    <w:p>
      <w:pPr>
        <w:tabs>
          <w:tab w:val="left" w:pos="4860"/>
        </w:tabs>
        <w:spacing w:line="500" w:lineRule="exact"/>
        <w:ind w:right="1560" w:firstLine="560" w:firstLineChars="200"/>
        <w:jc w:val="center"/>
        <w:outlineLvl w:val="9"/>
        <w:rPr>
          <w:rFonts w:ascii="仿宋" w:hAnsi="仿宋" w:eastAsia="仿宋"/>
          <w:color w:val="auto"/>
          <w:sz w:val="28"/>
          <w:szCs w:val="28"/>
          <w:highlight w:val="none"/>
        </w:rPr>
      </w:pPr>
      <w:r>
        <w:rPr>
          <w:rFonts w:hint="eastAsia" w:ascii="仿宋" w:hAnsi="仿宋" w:eastAsia="仿宋"/>
          <w:color w:val="auto"/>
          <w:sz w:val="28"/>
          <w:szCs w:val="28"/>
          <w:highlight w:val="none"/>
        </w:rPr>
        <w:t xml:space="preserve">                              </w:t>
      </w:r>
      <w:bookmarkStart w:id="226" w:name="_Toc17400"/>
      <w:r>
        <w:rPr>
          <w:rFonts w:hint="eastAsia" w:ascii="仿宋" w:hAnsi="仿宋" w:eastAsia="仿宋"/>
          <w:color w:val="auto"/>
          <w:sz w:val="28"/>
          <w:szCs w:val="28"/>
          <w:highlight w:val="none"/>
        </w:rPr>
        <w:t>日  期：</w:t>
      </w:r>
      <w:bookmarkEnd w:id="226"/>
    </w:p>
    <w:p>
      <w:pPr>
        <w:spacing w:line="500" w:lineRule="exact"/>
        <w:ind w:firstLine="560" w:firstLineChars="200"/>
        <w:rPr>
          <w:rFonts w:hint="eastAsia" w:ascii="仿宋" w:hAnsi="仿宋" w:eastAsia="仿宋"/>
          <w:color w:val="auto"/>
          <w:sz w:val="28"/>
          <w:szCs w:val="28"/>
          <w:highlight w:val="none"/>
        </w:rPr>
      </w:pP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注意：1.供应商如不提供此声明函，价格将不做相应扣除。</w:t>
      </w:r>
    </w:p>
    <w:p>
      <w:pPr>
        <w:spacing w:line="500" w:lineRule="exact"/>
        <w:ind w:firstLine="1400" w:firstLineChars="500"/>
        <w:rPr>
          <w:rFonts w:ascii="仿宋" w:hAnsi="仿宋" w:eastAsia="仿宋"/>
          <w:color w:val="auto"/>
          <w:sz w:val="28"/>
          <w:szCs w:val="28"/>
          <w:highlight w:val="none"/>
        </w:rPr>
      </w:pPr>
      <w:r>
        <w:rPr>
          <w:rFonts w:hint="eastAsia" w:ascii="仿宋" w:hAnsi="仿宋" w:eastAsia="仿宋"/>
          <w:color w:val="auto"/>
          <w:sz w:val="28"/>
          <w:szCs w:val="28"/>
          <w:highlight w:val="none"/>
        </w:rPr>
        <w:t>2.成交供应商为残疾人福利单位的，此声明函将随中标结果同时公告，接受社会监督。</w:t>
      </w:r>
    </w:p>
    <w:p>
      <w:pPr>
        <w:ind w:firstLine="420" w:firstLineChars="200"/>
        <w:rPr>
          <w:rFonts w:hint="eastAsia" w:ascii="仿宋" w:hAnsi="仿宋" w:eastAsia="仿宋"/>
          <w:color w:val="auto"/>
          <w:szCs w:val="21"/>
          <w:highlight w:val="none"/>
        </w:rPr>
      </w:pPr>
    </w:p>
    <w:sectPr>
      <w:headerReference r:id="rId5" w:type="default"/>
      <w:footerReference r:id="rId6" w:type="default"/>
      <w:footerReference r:id="rId7"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1522A90F-9278-40A9-8745-2C0B7C5F7D77}"/>
  </w:font>
  <w:font w:name="黑体">
    <w:panose1 w:val="02010609060101010101"/>
    <w:charset w:val="86"/>
    <w:family w:val="auto"/>
    <w:pitch w:val="default"/>
    <w:sig w:usb0="800002BF" w:usb1="38CF7CFA" w:usb2="00000016" w:usb3="00000000" w:csb0="00040001" w:csb1="00000000"/>
    <w:embedRegular r:id="rId2" w:fontKey="{0CB20B2C-C9E2-4B5A-A490-D5421F54E1E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880D271D-A140-4B53-A52F-EBEB552A8EBE}"/>
  </w:font>
  <w:font w:name="仿宋_GB2312">
    <w:panose1 w:val="02010609030101010101"/>
    <w:charset w:val="86"/>
    <w:family w:val="modern"/>
    <w:pitch w:val="default"/>
    <w:sig w:usb0="00000001" w:usb1="080E0000" w:usb2="00000000" w:usb3="00000000" w:csb0="00040000" w:csb1="00000000"/>
    <w:embedRegular r:id="rId4" w:fontKey="{071F473E-1E11-46AE-8D4D-F6E79A914FFF}"/>
  </w:font>
  <w:font w:name="Tahoma">
    <w:panose1 w:val="020B0604030504040204"/>
    <w:charset w:val="00"/>
    <w:family w:val="swiss"/>
    <w:pitch w:val="default"/>
    <w:sig w:usb0="E1002EFF" w:usb1="C000605B" w:usb2="00000029" w:usb3="00000000" w:csb0="200101FF" w:csb1="20280000"/>
  </w:font>
  <w:font w:name="方正小标宋简体">
    <w:panose1 w:val="02000000000000000000"/>
    <w:charset w:val="86"/>
    <w:family w:val="script"/>
    <w:pitch w:val="default"/>
    <w:sig w:usb0="00000001" w:usb1="08000000" w:usb2="00000000" w:usb3="00000000" w:csb0="00040000" w:csb1="00000000"/>
    <w:embedRegular r:id="rId5" w:fontKey="{1BC753C8-482E-4C0A-98E8-00FAED70BF55}"/>
  </w:font>
  <w:font w:name="仿宋">
    <w:panose1 w:val="02010609060101010101"/>
    <w:charset w:val="86"/>
    <w:family w:val="modern"/>
    <w:pitch w:val="default"/>
    <w:sig w:usb0="800002BF" w:usb1="38CF7CFA" w:usb2="00000016" w:usb3="00000000" w:csb0="00040001" w:csb1="00000000"/>
    <w:embedRegular r:id="rId6" w:fontKey="{BF007717-B1D1-45DF-86DB-05B3DF4D58B2}"/>
  </w:font>
  <w:font w:name="华文楷体">
    <w:panose1 w:val="02010600040101010101"/>
    <w:charset w:val="86"/>
    <w:family w:val="auto"/>
    <w:pitch w:val="default"/>
    <w:sig w:usb0="00000287" w:usb1="080F0000" w:usb2="00000000" w:usb3="00000000" w:csb0="0004009F" w:csb1="DFD70000"/>
    <w:embedRegular r:id="rId7" w:fontKey="{787A1BE1-9788-4DD8-A4B9-D552D9BB8239}"/>
  </w:font>
  <w:font w:name="文鼎CS楷体">
    <w:altName w:val="宋体"/>
    <w:panose1 w:val="02010609010101010101"/>
    <w:charset w:val="86"/>
    <w:family w:val="modern"/>
    <w:pitch w:val="default"/>
    <w:sig w:usb0="00000000" w:usb1="00000000" w:usb2="00000010" w:usb3="00000000" w:csb0="00040000" w:csb1="00000000"/>
    <w:embedRegular r:id="rId8" w:fontKey="{CC1D07CE-0676-4140-998D-57706E726397}"/>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margin" w:xAlign="center" w:y="1"/>
      <w:rPr>
        <w:rStyle w:val="24"/>
      </w:rPr>
    </w:pPr>
    <w:r>
      <w:fldChar w:fldCharType="begin"/>
    </w:r>
    <w:r>
      <w:rPr>
        <w:rStyle w:val="24"/>
      </w:rPr>
      <w:instrText xml:space="preserve">PAGE  </w:instrText>
    </w:r>
    <w:r>
      <w:fldChar w:fldCharType="end"/>
    </w:r>
  </w:p>
  <w:p>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margin" w:xAlign="center" w:y="1"/>
      <w:rPr>
        <w:rStyle w:val="24"/>
      </w:rPr>
    </w:pPr>
    <w:r>
      <w:fldChar w:fldCharType="begin"/>
    </w:r>
    <w:r>
      <w:rPr>
        <w:rStyle w:val="24"/>
      </w:rPr>
      <w:instrText xml:space="preserve">PAGE  </w:instrText>
    </w:r>
    <w:r>
      <w:fldChar w:fldCharType="separate"/>
    </w:r>
    <w:r>
      <w:rPr>
        <w:rStyle w:val="24"/>
      </w:rPr>
      <w:t>10</w:t>
    </w:r>
    <w:r>
      <w:fldChar w:fldCharType="end"/>
    </w:r>
  </w:p>
  <w:p>
    <w:pPr>
      <w:pStyle w:val="1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margin" w:xAlign="center" w:y="1"/>
      <w:rPr>
        <w:rStyle w:val="24"/>
      </w:rPr>
    </w:pPr>
    <w:r>
      <w:fldChar w:fldCharType="begin"/>
    </w:r>
    <w:r>
      <w:rPr>
        <w:rStyle w:val="24"/>
      </w:rPr>
      <w:instrText xml:space="preserve">PAGE  </w:instrText>
    </w:r>
    <w:r>
      <w:fldChar w:fldCharType="end"/>
    </w:r>
  </w:p>
  <w:p>
    <w:pPr>
      <w:pStyle w:val="1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w:pict>
        <v:shape id="PowerPlusWaterMarkObject14611" o:spid="_x0000_s8195" o:spt="136" type="#_x0000_t136" style="position:absolute;left:0pt;height:60.35pt;width:277.35pt;mso-position-horizontal:center;mso-position-horizontal-relative:margin;mso-position-vertical:center;mso-position-vertical-relative:margin;rotation:-2949120f;z-index:-251657216;mso-width-relative:page;mso-height-relative:page;" fillcolor="#C0C0C0" filled="t" stroked="f" coordsize="21600,21600">
          <v:path/>
          <v:fill on="t" opacity="32768f" focussize="0,0"/>
          <v:stroke on="f"/>
          <v:imagedata o:title=""/>
          <o:lock v:ext="edit" aspectratio="t"/>
          <v:textpath on="t" fitshape="t" fitpath="t" trim="t" xscale="f" string="南通泾天纬地" style="font-family:微软雅黑;font-size:60pt;v-same-letter-heights:f;v-text-align:center;"/>
        </v:shape>
      </w:pict>
    </w:r>
    <w:r>
      <w:rPr>
        <w:rFonts w:hint="eastAsia"/>
      </w:rPr>
      <w:t>如</w:t>
    </w:r>
    <w:r>
      <w:t>皋市政府采购</w:t>
    </w:r>
    <w:r>
      <w:rPr>
        <w:rFonts w:hint="eastAsia"/>
      </w:rPr>
      <w:t>竞争性磋商</w:t>
    </w:r>
    <w:r>
      <w:t>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w:rPr>
        <w:rFonts w:hint="eastAsia"/>
      </w:rPr>
      <w:t>如</w:t>
    </w:r>
    <w:r>
      <w:t>皋市政府采购</w:t>
    </w:r>
    <w:r>
      <w:rPr>
        <w:rFonts w:hint="eastAsia"/>
        <w:lang w:eastAsia="zh-CN"/>
      </w:rPr>
      <w:t>竞争性磋商</w:t>
    </w:r>
    <w:r>
      <w:t>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42CE97"/>
    <w:multiLevelType w:val="singleLevel"/>
    <w:tmpl w:val="8E42CE97"/>
    <w:lvl w:ilvl="0" w:tentative="0">
      <w:start w:val="2"/>
      <w:numFmt w:val="chineseCounting"/>
      <w:suff w:val="nothing"/>
      <w:lvlText w:val="%1、"/>
      <w:lvlJc w:val="left"/>
      <w:rPr>
        <w:rFonts w:hint="eastAsia"/>
      </w:rPr>
    </w:lvl>
  </w:abstractNum>
  <w:abstractNum w:abstractNumId="1">
    <w:nsid w:val="B29BE6CB"/>
    <w:multiLevelType w:val="singleLevel"/>
    <w:tmpl w:val="B29BE6CB"/>
    <w:lvl w:ilvl="0" w:tentative="0">
      <w:start w:val="3"/>
      <w:numFmt w:val="chineseCounting"/>
      <w:suff w:val="nothing"/>
      <w:lvlText w:val="%1、"/>
      <w:lvlJc w:val="left"/>
      <w:rPr>
        <w:rFonts w:hint="eastAsia"/>
      </w:rPr>
    </w:lvl>
  </w:abstractNum>
  <w:abstractNum w:abstractNumId="2">
    <w:nsid w:val="EFCEB333"/>
    <w:multiLevelType w:val="singleLevel"/>
    <w:tmpl w:val="EFCEB333"/>
    <w:lvl w:ilvl="0" w:tentative="0">
      <w:start w:val="1"/>
      <w:numFmt w:val="decimal"/>
      <w:lvlText w:val="%1."/>
      <w:lvlJc w:val="left"/>
      <w:pPr>
        <w:tabs>
          <w:tab w:val="left" w:pos="312"/>
        </w:tabs>
      </w:pPr>
    </w:lvl>
  </w:abstractNum>
  <w:abstractNum w:abstractNumId="3">
    <w:nsid w:val="03DA7096"/>
    <w:multiLevelType w:val="singleLevel"/>
    <w:tmpl w:val="03DA7096"/>
    <w:lvl w:ilvl="0" w:tentative="0">
      <w:start w:val="1"/>
      <w:numFmt w:val="decimal"/>
      <w:lvlText w:val="%1."/>
      <w:lvlJc w:val="left"/>
      <w:pPr>
        <w:tabs>
          <w:tab w:val="left" w:pos="312"/>
        </w:tabs>
      </w:pPr>
    </w:lvl>
  </w:abstractNum>
  <w:abstractNum w:abstractNumId="4">
    <w:nsid w:val="36BB623D"/>
    <w:multiLevelType w:val="multilevel"/>
    <w:tmpl w:val="36BB623D"/>
    <w:lvl w:ilvl="0" w:tentative="0">
      <w:start w:val="1"/>
      <w:numFmt w:val="japaneseCounting"/>
      <w:lvlText w:val="%1、"/>
      <w:lvlJc w:val="left"/>
      <w:pPr>
        <w:tabs>
          <w:tab w:val="left" w:pos="1146"/>
        </w:tabs>
        <w:ind w:left="1146" w:hanging="720"/>
      </w:pPr>
      <w:rPr>
        <w:rFonts w:hint="eastAsia"/>
        <w:b/>
      </w:rPr>
    </w:lvl>
    <w:lvl w:ilvl="1" w:tentative="0">
      <w:start w:val="8"/>
      <w:numFmt w:val="japaneseCounting"/>
      <w:lvlText w:val="%2、"/>
      <w:lvlJc w:val="left"/>
      <w:pPr>
        <w:tabs>
          <w:tab w:val="left" w:pos="1532"/>
        </w:tabs>
        <w:ind w:left="1532" w:hanging="840"/>
      </w:pPr>
      <w:rPr>
        <w:rFonts w:hint="eastAsia"/>
      </w:rPr>
    </w:lvl>
    <w:lvl w:ilvl="2" w:tentative="0">
      <w:start w:val="1"/>
      <w:numFmt w:val="decimal"/>
      <w:lvlText w:val="%3、"/>
      <w:lvlJc w:val="left"/>
      <w:pPr>
        <w:tabs>
          <w:tab w:val="left" w:pos="1832"/>
        </w:tabs>
        <w:ind w:left="1832" w:hanging="720"/>
      </w:pPr>
      <w:rPr>
        <w:rFonts w:hint="eastAsia"/>
        <w:u w:val="none"/>
      </w:rPr>
    </w:lvl>
    <w:lvl w:ilvl="3" w:tentative="0">
      <w:start w:val="1"/>
      <w:numFmt w:val="decimal"/>
      <w:lvlText w:val="%4."/>
      <w:lvlJc w:val="left"/>
      <w:pPr>
        <w:tabs>
          <w:tab w:val="left" w:pos="1952"/>
        </w:tabs>
        <w:ind w:left="1952" w:hanging="420"/>
      </w:pPr>
    </w:lvl>
    <w:lvl w:ilvl="4" w:tentative="0">
      <w:start w:val="1"/>
      <w:numFmt w:val="lowerLetter"/>
      <w:lvlText w:val="%5)"/>
      <w:lvlJc w:val="left"/>
      <w:pPr>
        <w:tabs>
          <w:tab w:val="left" w:pos="2372"/>
        </w:tabs>
        <w:ind w:left="2372" w:hanging="420"/>
      </w:pPr>
    </w:lvl>
    <w:lvl w:ilvl="5" w:tentative="0">
      <w:start w:val="1"/>
      <w:numFmt w:val="lowerRoman"/>
      <w:lvlText w:val="%6."/>
      <w:lvlJc w:val="right"/>
      <w:pPr>
        <w:tabs>
          <w:tab w:val="left" w:pos="2792"/>
        </w:tabs>
        <w:ind w:left="2792" w:hanging="420"/>
      </w:pPr>
    </w:lvl>
    <w:lvl w:ilvl="6" w:tentative="0">
      <w:start w:val="1"/>
      <w:numFmt w:val="decimal"/>
      <w:lvlText w:val="%7."/>
      <w:lvlJc w:val="left"/>
      <w:pPr>
        <w:tabs>
          <w:tab w:val="left" w:pos="3212"/>
        </w:tabs>
        <w:ind w:left="3212" w:hanging="420"/>
      </w:pPr>
    </w:lvl>
    <w:lvl w:ilvl="7" w:tentative="0">
      <w:start w:val="1"/>
      <w:numFmt w:val="lowerLetter"/>
      <w:lvlText w:val="%8)"/>
      <w:lvlJc w:val="left"/>
      <w:pPr>
        <w:tabs>
          <w:tab w:val="left" w:pos="3632"/>
        </w:tabs>
        <w:ind w:left="3632" w:hanging="420"/>
      </w:pPr>
    </w:lvl>
    <w:lvl w:ilvl="8" w:tentative="0">
      <w:start w:val="1"/>
      <w:numFmt w:val="lowerRoman"/>
      <w:lvlText w:val="%9."/>
      <w:lvlJc w:val="right"/>
      <w:pPr>
        <w:tabs>
          <w:tab w:val="left" w:pos="4052"/>
        </w:tabs>
        <w:ind w:left="4052" w:hanging="420"/>
      </w:pPr>
    </w:lvl>
  </w:abstractNum>
  <w:abstractNum w:abstractNumId="5">
    <w:nsid w:val="474F5A05"/>
    <w:multiLevelType w:val="multilevel"/>
    <w:tmpl w:val="474F5A05"/>
    <w:lvl w:ilvl="0" w:tentative="0">
      <w:start w:val="2"/>
      <w:numFmt w:val="japaneseCounting"/>
      <w:lvlText w:val="（%1）"/>
      <w:lvlJc w:val="left"/>
      <w:pPr>
        <w:ind w:left="1445" w:hanging="885"/>
      </w:pPr>
      <w:rPr>
        <w:rFonts w:hint="default"/>
        <w:u w:val="none"/>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abstractNum w:abstractNumId="6">
    <w:nsid w:val="52E78CDD"/>
    <w:multiLevelType w:val="singleLevel"/>
    <w:tmpl w:val="52E78CDD"/>
    <w:lvl w:ilvl="0" w:tentative="0">
      <w:start w:val="2"/>
      <w:numFmt w:val="decimal"/>
      <w:suff w:val="nothing"/>
      <w:lvlText w:val="%1、"/>
      <w:lvlJc w:val="left"/>
    </w:lvl>
  </w:abstractNum>
  <w:num w:numId="1">
    <w:abstractNumId w:val="5"/>
  </w:num>
  <w:num w:numId="2">
    <w:abstractNumId w:val="0"/>
  </w:num>
  <w:num w:numId="3">
    <w:abstractNumId w:val="2"/>
  </w:num>
  <w:num w:numId="4">
    <w:abstractNumId w:val="3"/>
  </w:num>
  <w:num w:numId="5">
    <w:abstractNumId w:val="1"/>
  </w:num>
  <w:num w:numId="6">
    <w:abstractNumId w:val="4"/>
  </w:num>
  <w:num w:numId="7">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经天纬地 公司账号 [2]">
    <w15:presenceInfo w15:providerId="None" w15:userId="经天纬地 公司账号"/>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2,3,4,5,6,7,8"/>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358F"/>
    <w:rsid w:val="00002443"/>
    <w:rsid w:val="00003D0F"/>
    <w:rsid w:val="000056BE"/>
    <w:rsid w:val="0000649A"/>
    <w:rsid w:val="00007D0D"/>
    <w:rsid w:val="00010D73"/>
    <w:rsid w:val="00012515"/>
    <w:rsid w:val="000146E4"/>
    <w:rsid w:val="00017872"/>
    <w:rsid w:val="000224F2"/>
    <w:rsid w:val="00024B8A"/>
    <w:rsid w:val="00026B11"/>
    <w:rsid w:val="00027BB8"/>
    <w:rsid w:val="000302F1"/>
    <w:rsid w:val="00030326"/>
    <w:rsid w:val="00033AD2"/>
    <w:rsid w:val="00043C24"/>
    <w:rsid w:val="00045758"/>
    <w:rsid w:val="0004600C"/>
    <w:rsid w:val="00046680"/>
    <w:rsid w:val="00051A8F"/>
    <w:rsid w:val="000520C4"/>
    <w:rsid w:val="000521AA"/>
    <w:rsid w:val="0005552C"/>
    <w:rsid w:val="00057E57"/>
    <w:rsid w:val="0006367C"/>
    <w:rsid w:val="000649E6"/>
    <w:rsid w:val="00064FB2"/>
    <w:rsid w:val="000650E9"/>
    <w:rsid w:val="00065B58"/>
    <w:rsid w:val="00065E0B"/>
    <w:rsid w:val="0007487C"/>
    <w:rsid w:val="00076998"/>
    <w:rsid w:val="00077225"/>
    <w:rsid w:val="0008063C"/>
    <w:rsid w:val="00084764"/>
    <w:rsid w:val="00086F34"/>
    <w:rsid w:val="000871A8"/>
    <w:rsid w:val="00087229"/>
    <w:rsid w:val="000908B9"/>
    <w:rsid w:val="00095630"/>
    <w:rsid w:val="000957D2"/>
    <w:rsid w:val="000958FB"/>
    <w:rsid w:val="00095E4C"/>
    <w:rsid w:val="000970E2"/>
    <w:rsid w:val="00097375"/>
    <w:rsid w:val="000A04A8"/>
    <w:rsid w:val="000A16E3"/>
    <w:rsid w:val="000A2DB2"/>
    <w:rsid w:val="000A3128"/>
    <w:rsid w:val="000A41F5"/>
    <w:rsid w:val="000A6601"/>
    <w:rsid w:val="000A720D"/>
    <w:rsid w:val="000A7870"/>
    <w:rsid w:val="000B0233"/>
    <w:rsid w:val="000B0986"/>
    <w:rsid w:val="000B0D4C"/>
    <w:rsid w:val="000B40CC"/>
    <w:rsid w:val="000B486C"/>
    <w:rsid w:val="000B49C4"/>
    <w:rsid w:val="000B627B"/>
    <w:rsid w:val="000B641B"/>
    <w:rsid w:val="000B65BC"/>
    <w:rsid w:val="000B72C8"/>
    <w:rsid w:val="000B7662"/>
    <w:rsid w:val="000C1489"/>
    <w:rsid w:val="000C4860"/>
    <w:rsid w:val="000C62A7"/>
    <w:rsid w:val="000D1DDB"/>
    <w:rsid w:val="000E08EF"/>
    <w:rsid w:val="000E10B3"/>
    <w:rsid w:val="000E55E7"/>
    <w:rsid w:val="000E7622"/>
    <w:rsid w:val="000E7DA3"/>
    <w:rsid w:val="000F450C"/>
    <w:rsid w:val="000F596B"/>
    <w:rsid w:val="000F695B"/>
    <w:rsid w:val="000F6C1F"/>
    <w:rsid w:val="000F6D86"/>
    <w:rsid w:val="000F7FA8"/>
    <w:rsid w:val="001000E4"/>
    <w:rsid w:val="00100830"/>
    <w:rsid w:val="0010140C"/>
    <w:rsid w:val="001041F0"/>
    <w:rsid w:val="00105A76"/>
    <w:rsid w:val="00105AD1"/>
    <w:rsid w:val="001064C9"/>
    <w:rsid w:val="0010677C"/>
    <w:rsid w:val="001100C9"/>
    <w:rsid w:val="00111314"/>
    <w:rsid w:val="0011345C"/>
    <w:rsid w:val="00113765"/>
    <w:rsid w:val="00113A63"/>
    <w:rsid w:val="00114B25"/>
    <w:rsid w:val="00114F40"/>
    <w:rsid w:val="00126D12"/>
    <w:rsid w:val="00127240"/>
    <w:rsid w:val="00127629"/>
    <w:rsid w:val="0013182C"/>
    <w:rsid w:val="001334A5"/>
    <w:rsid w:val="00133659"/>
    <w:rsid w:val="0013368E"/>
    <w:rsid w:val="00133D14"/>
    <w:rsid w:val="001345E5"/>
    <w:rsid w:val="001349F1"/>
    <w:rsid w:val="001419AB"/>
    <w:rsid w:val="00145860"/>
    <w:rsid w:val="0015239E"/>
    <w:rsid w:val="00153255"/>
    <w:rsid w:val="00155DF2"/>
    <w:rsid w:val="00156777"/>
    <w:rsid w:val="00161510"/>
    <w:rsid w:val="00162EED"/>
    <w:rsid w:val="00163BF8"/>
    <w:rsid w:val="001644AF"/>
    <w:rsid w:val="001649F7"/>
    <w:rsid w:val="00165914"/>
    <w:rsid w:val="00167929"/>
    <w:rsid w:val="001705C6"/>
    <w:rsid w:val="001712E4"/>
    <w:rsid w:val="001740E6"/>
    <w:rsid w:val="00180865"/>
    <w:rsid w:val="001812CA"/>
    <w:rsid w:val="00181918"/>
    <w:rsid w:val="00184BCE"/>
    <w:rsid w:val="0019026D"/>
    <w:rsid w:val="00191574"/>
    <w:rsid w:val="001917E5"/>
    <w:rsid w:val="00194D5C"/>
    <w:rsid w:val="00197451"/>
    <w:rsid w:val="001A122F"/>
    <w:rsid w:val="001A4D58"/>
    <w:rsid w:val="001A5BBD"/>
    <w:rsid w:val="001A5E89"/>
    <w:rsid w:val="001A612C"/>
    <w:rsid w:val="001A73A2"/>
    <w:rsid w:val="001A7C78"/>
    <w:rsid w:val="001B00E4"/>
    <w:rsid w:val="001B00EC"/>
    <w:rsid w:val="001B090C"/>
    <w:rsid w:val="001B0AF2"/>
    <w:rsid w:val="001B1841"/>
    <w:rsid w:val="001B4726"/>
    <w:rsid w:val="001B4841"/>
    <w:rsid w:val="001B4D60"/>
    <w:rsid w:val="001B729E"/>
    <w:rsid w:val="001C01F6"/>
    <w:rsid w:val="001C281A"/>
    <w:rsid w:val="001C34B9"/>
    <w:rsid w:val="001C3F69"/>
    <w:rsid w:val="001C5507"/>
    <w:rsid w:val="001C5F46"/>
    <w:rsid w:val="001D3753"/>
    <w:rsid w:val="001D42B3"/>
    <w:rsid w:val="001D6A95"/>
    <w:rsid w:val="001D73F3"/>
    <w:rsid w:val="001D7FC6"/>
    <w:rsid w:val="001E2B14"/>
    <w:rsid w:val="001E35A1"/>
    <w:rsid w:val="001E4CA5"/>
    <w:rsid w:val="001F24A9"/>
    <w:rsid w:val="001F2B35"/>
    <w:rsid w:val="001F6197"/>
    <w:rsid w:val="001F672D"/>
    <w:rsid w:val="001F6A0B"/>
    <w:rsid w:val="001F6DC3"/>
    <w:rsid w:val="001F78B2"/>
    <w:rsid w:val="001F7ED8"/>
    <w:rsid w:val="00202637"/>
    <w:rsid w:val="00204FF8"/>
    <w:rsid w:val="00206D9D"/>
    <w:rsid w:val="0020708E"/>
    <w:rsid w:val="002120E9"/>
    <w:rsid w:val="00214D2E"/>
    <w:rsid w:val="00217A36"/>
    <w:rsid w:val="00222308"/>
    <w:rsid w:val="00223FE8"/>
    <w:rsid w:val="002248EF"/>
    <w:rsid w:val="00226BC6"/>
    <w:rsid w:val="00230887"/>
    <w:rsid w:val="002341A3"/>
    <w:rsid w:val="00234AA1"/>
    <w:rsid w:val="00234FAA"/>
    <w:rsid w:val="00236047"/>
    <w:rsid w:val="002368D0"/>
    <w:rsid w:val="002408FF"/>
    <w:rsid w:val="00241D07"/>
    <w:rsid w:val="00242069"/>
    <w:rsid w:val="00242BDE"/>
    <w:rsid w:val="00245739"/>
    <w:rsid w:val="00245AD7"/>
    <w:rsid w:val="00247711"/>
    <w:rsid w:val="00250F9F"/>
    <w:rsid w:val="002512E6"/>
    <w:rsid w:val="002530FB"/>
    <w:rsid w:val="002533FB"/>
    <w:rsid w:val="00255ED0"/>
    <w:rsid w:val="00263E7B"/>
    <w:rsid w:val="00266AA3"/>
    <w:rsid w:val="00271AF8"/>
    <w:rsid w:val="002721FF"/>
    <w:rsid w:val="002748FD"/>
    <w:rsid w:val="00276B7A"/>
    <w:rsid w:val="00281501"/>
    <w:rsid w:val="00282304"/>
    <w:rsid w:val="0028486A"/>
    <w:rsid w:val="00285B89"/>
    <w:rsid w:val="00286DC8"/>
    <w:rsid w:val="00287690"/>
    <w:rsid w:val="002934C3"/>
    <w:rsid w:val="002967B2"/>
    <w:rsid w:val="002A111D"/>
    <w:rsid w:val="002A2392"/>
    <w:rsid w:val="002A47A2"/>
    <w:rsid w:val="002A7835"/>
    <w:rsid w:val="002A7DA5"/>
    <w:rsid w:val="002B0F3D"/>
    <w:rsid w:val="002B1D62"/>
    <w:rsid w:val="002B37B5"/>
    <w:rsid w:val="002B3941"/>
    <w:rsid w:val="002B406D"/>
    <w:rsid w:val="002B505E"/>
    <w:rsid w:val="002B6ED5"/>
    <w:rsid w:val="002B7F98"/>
    <w:rsid w:val="002C1C9F"/>
    <w:rsid w:val="002C327B"/>
    <w:rsid w:val="002C4617"/>
    <w:rsid w:val="002C4CD8"/>
    <w:rsid w:val="002C6149"/>
    <w:rsid w:val="002D0A56"/>
    <w:rsid w:val="002D26DF"/>
    <w:rsid w:val="002D2CEA"/>
    <w:rsid w:val="002E38B2"/>
    <w:rsid w:val="002F2AC6"/>
    <w:rsid w:val="002F3F72"/>
    <w:rsid w:val="00300644"/>
    <w:rsid w:val="003015DA"/>
    <w:rsid w:val="003029DE"/>
    <w:rsid w:val="00303347"/>
    <w:rsid w:val="0030399E"/>
    <w:rsid w:val="00303BC3"/>
    <w:rsid w:val="003048FD"/>
    <w:rsid w:val="003068B2"/>
    <w:rsid w:val="00311048"/>
    <w:rsid w:val="00311A60"/>
    <w:rsid w:val="00313F9C"/>
    <w:rsid w:val="003149B4"/>
    <w:rsid w:val="00315EFE"/>
    <w:rsid w:val="003210C3"/>
    <w:rsid w:val="00322CE3"/>
    <w:rsid w:val="003248D7"/>
    <w:rsid w:val="003250B4"/>
    <w:rsid w:val="00325A77"/>
    <w:rsid w:val="0033131E"/>
    <w:rsid w:val="003318D5"/>
    <w:rsid w:val="003338C9"/>
    <w:rsid w:val="00333B0E"/>
    <w:rsid w:val="003362A6"/>
    <w:rsid w:val="003363D5"/>
    <w:rsid w:val="00337283"/>
    <w:rsid w:val="00337736"/>
    <w:rsid w:val="00343298"/>
    <w:rsid w:val="0034458A"/>
    <w:rsid w:val="003451D0"/>
    <w:rsid w:val="00345375"/>
    <w:rsid w:val="00345CF9"/>
    <w:rsid w:val="0034773F"/>
    <w:rsid w:val="003516AA"/>
    <w:rsid w:val="00353806"/>
    <w:rsid w:val="00354989"/>
    <w:rsid w:val="00357832"/>
    <w:rsid w:val="003612FE"/>
    <w:rsid w:val="00362041"/>
    <w:rsid w:val="003621BB"/>
    <w:rsid w:val="00362D37"/>
    <w:rsid w:val="00363534"/>
    <w:rsid w:val="003636A7"/>
    <w:rsid w:val="0036607A"/>
    <w:rsid w:val="00366540"/>
    <w:rsid w:val="00366D25"/>
    <w:rsid w:val="003672FB"/>
    <w:rsid w:val="003710F9"/>
    <w:rsid w:val="00371196"/>
    <w:rsid w:val="00371570"/>
    <w:rsid w:val="003721CA"/>
    <w:rsid w:val="00373BBF"/>
    <w:rsid w:val="00375083"/>
    <w:rsid w:val="00375719"/>
    <w:rsid w:val="00375FDC"/>
    <w:rsid w:val="00382426"/>
    <w:rsid w:val="00385F5D"/>
    <w:rsid w:val="003867BC"/>
    <w:rsid w:val="0039188A"/>
    <w:rsid w:val="00392FB7"/>
    <w:rsid w:val="00394338"/>
    <w:rsid w:val="003944F5"/>
    <w:rsid w:val="003A2953"/>
    <w:rsid w:val="003A34C0"/>
    <w:rsid w:val="003A4183"/>
    <w:rsid w:val="003A4FE6"/>
    <w:rsid w:val="003A5E0F"/>
    <w:rsid w:val="003A6468"/>
    <w:rsid w:val="003A6FB7"/>
    <w:rsid w:val="003A71FF"/>
    <w:rsid w:val="003A72D7"/>
    <w:rsid w:val="003B16A7"/>
    <w:rsid w:val="003B5884"/>
    <w:rsid w:val="003C0F69"/>
    <w:rsid w:val="003C6B90"/>
    <w:rsid w:val="003D09FC"/>
    <w:rsid w:val="003D3723"/>
    <w:rsid w:val="003D3A49"/>
    <w:rsid w:val="003D3E54"/>
    <w:rsid w:val="003D4183"/>
    <w:rsid w:val="003D4E38"/>
    <w:rsid w:val="003D68A7"/>
    <w:rsid w:val="003D77F0"/>
    <w:rsid w:val="003E0928"/>
    <w:rsid w:val="003E25B4"/>
    <w:rsid w:val="003E3AFE"/>
    <w:rsid w:val="003E3F16"/>
    <w:rsid w:val="003E41B3"/>
    <w:rsid w:val="003F09BB"/>
    <w:rsid w:val="003F1B7F"/>
    <w:rsid w:val="003F2D2B"/>
    <w:rsid w:val="003F31F1"/>
    <w:rsid w:val="003F40A5"/>
    <w:rsid w:val="003F6497"/>
    <w:rsid w:val="00401FCA"/>
    <w:rsid w:val="004064FC"/>
    <w:rsid w:val="00410447"/>
    <w:rsid w:val="00410A9D"/>
    <w:rsid w:val="00410B14"/>
    <w:rsid w:val="00410C7F"/>
    <w:rsid w:val="00411081"/>
    <w:rsid w:val="00413350"/>
    <w:rsid w:val="004155F4"/>
    <w:rsid w:val="00415D3C"/>
    <w:rsid w:val="00415EED"/>
    <w:rsid w:val="00416948"/>
    <w:rsid w:val="00417502"/>
    <w:rsid w:val="0042098E"/>
    <w:rsid w:val="00422129"/>
    <w:rsid w:val="00422CC9"/>
    <w:rsid w:val="004232C7"/>
    <w:rsid w:val="00423455"/>
    <w:rsid w:val="004234C5"/>
    <w:rsid w:val="00424021"/>
    <w:rsid w:val="00424A4D"/>
    <w:rsid w:val="00425C81"/>
    <w:rsid w:val="004264E0"/>
    <w:rsid w:val="00427191"/>
    <w:rsid w:val="0043055C"/>
    <w:rsid w:val="00433126"/>
    <w:rsid w:val="00434289"/>
    <w:rsid w:val="00440DA8"/>
    <w:rsid w:val="00441291"/>
    <w:rsid w:val="004421E5"/>
    <w:rsid w:val="00442326"/>
    <w:rsid w:val="00442D98"/>
    <w:rsid w:val="004436C8"/>
    <w:rsid w:val="00443B43"/>
    <w:rsid w:val="00445047"/>
    <w:rsid w:val="0044567F"/>
    <w:rsid w:val="00450BF1"/>
    <w:rsid w:val="0045479C"/>
    <w:rsid w:val="004554A4"/>
    <w:rsid w:val="00456385"/>
    <w:rsid w:val="00457182"/>
    <w:rsid w:val="00457587"/>
    <w:rsid w:val="004606EC"/>
    <w:rsid w:val="00460884"/>
    <w:rsid w:val="00466E69"/>
    <w:rsid w:val="0046782D"/>
    <w:rsid w:val="00472FCB"/>
    <w:rsid w:val="0047370E"/>
    <w:rsid w:val="00473D0C"/>
    <w:rsid w:val="00477522"/>
    <w:rsid w:val="00477EB5"/>
    <w:rsid w:val="00480C42"/>
    <w:rsid w:val="00481CFB"/>
    <w:rsid w:val="00486085"/>
    <w:rsid w:val="004870A9"/>
    <w:rsid w:val="004873AA"/>
    <w:rsid w:val="00487FB2"/>
    <w:rsid w:val="00490F01"/>
    <w:rsid w:val="00491832"/>
    <w:rsid w:val="0049296A"/>
    <w:rsid w:val="00494667"/>
    <w:rsid w:val="004956DA"/>
    <w:rsid w:val="004961F1"/>
    <w:rsid w:val="00496680"/>
    <w:rsid w:val="00497431"/>
    <w:rsid w:val="004A6D5B"/>
    <w:rsid w:val="004A7FCA"/>
    <w:rsid w:val="004B218B"/>
    <w:rsid w:val="004B4C91"/>
    <w:rsid w:val="004B65E1"/>
    <w:rsid w:val="004B6918"/>
    <w:rsid w:val="004B751D"/>
    <w:rsid w:val="004C138F"/>
    <w:rsid w:val="004C345A"/>
    <w:rsid w:val="004C3971"/>
    <w:rsid w:val="004C4437"/>
    <w:rsid w:val="004C472C"/>
    <w:rsid w:val="004C7416"/>
    <w:rsid w:val="004D1FE1"/>
    <w:rsid w:val="004D4FD7"/>
    <w:rsid w:val="004D6C03"/>
    <w:rsid w:val="004E1D13"/>
    <w:rsid w:val="004E32BA"/>
    <w:rsid w:val="004E36D3"/>
    <w:rsid w:val="004E4141"/>
    <w:rsid w:val="004E576D"/>
    <w:rsid w:val="004E72B4"/>
    <w:rsid w:val="004F409F"/>
    <w:rsid w:val="004F41EE"/>
    <w:rsid w:val="004F5731"/>
    <w:rsid w:val="005007D1"/>
    <w:rsid w:val="00504C4C"/>
    <w:rsid w:val="005056F8"/>
    <w:rsid w:val="0050766C"/>
    <w:rsid w:val="00507772"/>
    <w:rsid w:val="005107D4"/>
    <w:rsid w:val="005109F1"/>
    <w:rsid w:val="00511862"/>
    <w:rsid w:val="00513AD1"/>
    <w:rsid w:val="00514197"/>
    <w:rsid w:val="005159D7"/>
    <w:rsid w:val="00520885"/>
    <w:rsid w:val="005217C8"/>
    <w:rsid w:val="005249F2"/>
    <w:rsid w:val="005256B1"/>
    <w:rsid w:val="00525D82"/>
    <w:rsid w:val="0052633A"/>
    <w:rsid w:val="00527A3C"/>
    <w:rsid w:val="00527B03"/>
    <w:rsid w:val="00531DDD"/>
    <w:rsid w:val="00535858"/>
    <w:rsid w:val="005360D8"/>
    <w:rsid w:val="0053612C"/>
    <w:rsid w:val="005404D6"/>
    <w:rsid w:val="00540533"/>
    <w:rsid w:val="00540FA8"/>
    <w:rsid w:val="005444CA"/>
    <w:rsid w:val="00544847"/>
    <w:rsid w:val="00552C0D"/>
    <w:rsid w:val="00553A6B"/>
    <w:rsid w:val="00557981"/>
    <w:rsid w:val="00560740"/>
    <w:rsid w:val="00561B47"/>
    <w:rsid w:val="00567203"/>
    <w:rsid w:val="005735C6"/>
    <w:rsid w:val="00573A38"/>
    <w:rsid w:val="00576F6E"/>
    <w:rsid w:val="00577C92"/>
    <w:rsid w:val="0058140C"/>
    <w:rsid w:val="00582345"/>
    <w:rsid w:val="00583328"/>
    <w:rsid w:val="00585FBE"/>
    <w:rsid w:val="005864C5"/>
    <w:rsid w:val="00586512"/>
    <w:rsid w:val="005965B5"/>
    <w:rsid w:val="005968E5"/>
    <w:rsid w:val="00597A44"/>
    <w:rsid w:val="005A045E"/>
    <w:rsid w:val="005A2282"/>
    <w:rsid w:val="005A2C5C"/>
    <w:rsid w:val="005A2D04"/>
    <w:rsid w:val="005A355B"/>
    <w:rsid w:val="005A4A9D"/>
    <w:rsid w:val="005A5551"/>
    <w:rsid w:val="005A6069"/>
    <w:rsid w:val="005A7F3B"/>
    <w:rsid w:val="005B0A48"/>
    <w:rsid w:val="005B163A"/>
    <w:rsid w:val="005B1CC5"/>
    <w:rsid w:val="005B1E67"/>
    <w:rsid w:val="005B3389"/>
    <w:rsid w:val="005B41B7"/>
    <w:rsid w:val="005B5547"/>
    <w:rsid w:val="005B6501"/>
    <w:rsid w:val="005B6CBD"/>
    <w:rsid w:val="005B6D90"/>
    <w:rsid w:val="005C3FA1"/>
    <w:rsid w:val="005C65BF"/>
    <w:rsid w:val="005C6A8F"/>
    <w:rsid w:val="005C6D22"/>
    <w:rsid w:val="005C7390"/>
    <w:rsid w:val="005D0832"/>
    <w:rsid w:val="005D0F8C"/>
    <w:rsid w:val="005D1A07"/>
    <w:rsid w:val="005D1EBA"/>
    <w:rsid w:val="005D6824"/>
    <w:rsid w:val="005D6E97"/>
    <w:rsid w:val="005E13DE"/>
    <w:rsid w:val="005E1B49"/>
    <w:rsid w:val="005E2A24"/>
    <w:rsid w:val="005E6266"/>
    <w:rsid w:val="005E68DA"/>
    <w:rsid w:val="005E71B2"/>
    <w:rsid w:val="005F1E92"/>
    <w:rsid w:val="005F2D94"/>
    <w:rsid w:val="005F3CE9"/>
    <w:rsid w:val="005F6C63"/>
    <w:rsid w:val="00600863"/>
    <w:rsid w:val="00603774"/>
    <w:rsid w:val="006039C3"/>
    <w:rsid w:val="00604A0E"/>
    <w:rsid w:val="00604CF7"/>
    <w:rsid w:val="00605CF1"/>
    <w:rsid w:val="006077E3"/>
    <w:rsid w:val="006163F8"/>
    <w:rsid w:val="00620CEA"/>
    <w:rsid w:val="00621656"/>
    <w:rsid w:val="00625485"/>
    <w:rsid w:val="00625842"/>
    <w:rsid w:val="00626F31"/>
    <w:rsid w:val="00630AC1"/>
    <w:rsid w:val="00633158"/>
    <w:rsid w:val="00633CDA"/>
    <w:rsid w:val="00635B08"/>
    <w:rsid w:val="00635FB6"/>
    <w:rsid w:val="00643BC1"/>
    <w:rsid w:val="0064501F"/>
    <w:rsid w:val="0064785F"/>
    <w:rsid w:val="006521CF"/>
    <w:rsid w:val="00653655"/>
    <w:rsid w:val="0065467A"/>
    <w:rsid w:val="0065589C"/>
    <w:rsid w:val="00656A41"/>
    <w:rsid w:val="00661251"/>
    <w:rsid w:val="0066144A"/>
    <w:rsid w:val="00661AE6"/>
    <w:rsid w:val="00663737"/>
    <w:rsid w:val="0066525D"/>
    <w:rsid w:val="006666DB"/>
    <w:rsid w:val="00671049"/>
    <w:rsid w:val="0067146B"/>
    <w:rsid w:val="00673A14"/>
    <w:rsid w:val="00673EEA"/>
    <w:rsid w:val="0067569A"/>
    <w:rsid w:val="006756F7"/>
    <w:rsid w:val="00676B2F"/>
    <w:rsid w:val="00676C31"/>
    <w:rsid w:val="00680007"/>
    <w:rsid w:val="006832CD"/>
    <w:rsid w:val="00685128"/>
    <w:rsid w:val="00685974"/>
    <w:rsid w:val="00687266"/>
    <w:rsid w:val="00687C76"/>
    <w:rsid w:val="00687F65"/>
    <w:rsid w:val="00690669"/>
    <w:rsid w:val="00693828"/>
    <w:rsid w:val="00694E56"/>
    <w:rsid w:val="00697286"/>
    <w:rsid w:val="006A0C8C"/>
    <w:rsid w:val="006A1B4A"/>
    <w:rsid w:val="006A45A2"/>
    <w:rsid w:val="006A479D"/>
    <w:rsid w:val="006A5DD7"/>
    <w:rsid w:val="006A7341"/>
    <w:rsid w:val="006B1982"/>
    <w:rsid w:val="006B57D6"/>
    <w:rsid w:val="006C7682"/>
    <w:rsid w:val="006D1F24"/>
    <w:rsid w:val="006D2D87"/>
    <w:rsid w:val="006D3B83"/>
    <w:rsid w:val="006D6FED"/>
    <w:rsid w:val="006E16FF"/>
    <w:rsid w:val="006E37C2"/>
    <w:rsid w:val="006E41D2"/>
    <w:rsid w:val="006E46D7"/>
    <w:rsid w:val="006E4AC8"/>
    <w:rsid w:val="006F1F3A"/>
    <w:rsid w:val="006F206F"/>
    <w:rsid w:val="006F4B62"/>
    <w:rsid w:val="006F53FC"/>
    <w:rsid w:val="0070025C"/>
    <w:rsid w:val="00701A5B"/>
    <w:rsid w:val="007022A3"/>
    <w:rsid w:val="007039B8"/>
    <w:rsid w:val="00704166"/>
    <w:rsid w:val="00704458"/>
    <w:rsid w:val="00706D61"/>
    <w:rsid w:val="00707147"/>
    <w:rsid w:val="00707764"/>
    <w:rsid w:val="00710B1A"/>
    <w:rsid w:val="00711996"/>
    <w:rsid w:val="00714A08"/>
    <w:rsid w:val="00715048"/>
    <w:rsid w:val="007156B9"/>
    <w:rsid w:val="007164C0"/>
    <w:rsid w:val="00722672"/>
    <w:rsid w:val="00722C39"/>
    <w:rsid w:val="00723763"/>
    <w:rsid w:val="007254CE"/>
    <w:rsid w:val="00726F91"/>
    <w:rsid w:val="00730296"/>
    <w:rsid w:val="00731C2D"/>
    <w:rsid w:val="007406E3"/>
    <w:rsid w:val="00741CAC"/>
    <w:rsid w:val="007460E4"/>
    <w:rsid w:val="007469CD"/>
    <w:rsid w:val="00747873"/>
    <w:rsid w:val="00747F59"/>
    <w:rsid w:val="0075175B"/>
    <w:rsid w:val="00753CB1"/>
    <w:rsid w:val="0075569A"/>
    <w:rsid w:val="00761BCB"/>
    <w:rsid w:val="00762E34"/>
    <w:rsid w:val="007631D4"/>
    <w:rsid w:val="00763833"/>
    <w:rsid w:val="007656BB"/>
    <w:rsid w:val="00767ECE"/>
    <w:rsid w:val="007709E6"/>
    <w:rsid w:val="00770A02"/>
    <w:rsid w:val="00771932"/>
    <w:rsid w:val="00771935"/>
    <w:rsid w:val="00772EF3"/>
    <w:rsid w:val="00775011"/>
    <w:rsid w:val="00775DD8"/>
    <w:rsid w:val="00776BD2"/>
    <w:rsid w:val="007771B5"/>
    <w:rsid w:val="00780386"/>
    <w:rsid w:val="00780DFE"/>
    <w:rsid w:val="00780FA3"/>
    <w:rsid w:val="00783DCC"/>
    <w:rsid w:val="0078495D"/>
    <w:rsid w:val="007855C1"/>
    <w:rsid w:val="00786944"/>
    <w:rsid w:val="007900CC"/>
    <w:rsid w:val="00791FD3"/>
    <w:rsid w:val="00792375"/>
    <w:rsid w:val="0079314E"/>
    <w:rsid w:val="00793F9D"/>
    <w:rsid w:val="007948B7"/>
    <w:rsid w:val="00794CCA"/>
    <w:rsid w:val="007951E0"/>
    <w:rsid w:val="007959FE"/>
    <w:rsid w:val="00797A10"/>
    <w:rsid w:val="007A13FA"/>
    <w:rsid w:val="007A1F3D"/>
    <w:rsid w:val="007A2116"/>
    <w:rsid w:val="007A2DA5"/>
    <w:rsid w:val="007A45E4"/>
    <w:rsid w:val="007A45E6"/>
    <w:rsid w:val="007A4C07"/>
    <w:rsid w:val="007A4D7A"/>
    <w:rsid w:val="007B2A53"/>
    <w:rsid w:val="007B34A8"/>
    <w:rsid w:val="007B37F0"/>
    <w:rsid w:val="007B677B"/>
    <w:rsid w:val="007B6986"/>
    <w:rsid w:val="007B6EF9"/>
    <w:rsid w:val="007C0C96"/>
    <w:rsid w:val="007C2F32"/>
    <w:rsid w:val="007C3699"/>
    <w:rsid w:val="007C4867"/>
    <w:rsid w:val="007C75A3"/>
    <w:rsid w:val="007C7E20"/>
    <w:rsid w:val="007D188B"/>
    <w:rsid w:val="007D1DD6"/>
    <w:rsid w:val="007D5271"/>
    <w:rsid w:val="007D6C62"/>
    <w:rsid w:val="007D7955"/>
    <w:rsid w:val="007D7B0E"/>
    <w:rsid w:val="007E00FB"/>
    <w:rsid w:val="007E0298"/>
    <w:rsid w:val="007E0C9D"/>
    <w:rsid w:val="007E17B8"/>
    <w:rsid w:val="007E5C67"/>
    <w:rsid w:val="007E7C48"/>
    <w:rsid w:val="007F1CAC"/>
    <w:rsid w:val="007F58EE"/>
    <w:rsid w:val="00800CD2"/>
    <w:rsid w:val="0080691D"/>
    <w:rsid w:val="00812A1D"/>
    <w:rsid w:val="00812CC4"/>
    <w:rsid w:val="00816468"/>
    <w:rsid w:val="00817133"/>
    <w:rsid w:val="00817D75"/>
    <w:rsid w:val="00821719"/>
    <w:rsid w:val="00823949"/>
    <w:rsid w:val="00824032"/>
    <w:rsid w:val="00824118"/>
    <w:rsid w:val="008249E6"/>
    <w:rsid w:val="008251A4"/>
    <w:rsid w:val="00827ABF"/>
    <w:rsid w:val="00827EA9"/>
    <w:rsid w:val="008309EE"/>
    <w:rsid w:val="00831582"/>
    <w:rsid w:val="00832567"/>
    <w:rsid w:val="00833345"/>
    <w:rsid w:val="008341A3"/>
    <w:rsid w:val="008365F8"/>
    <w:rsid w:val="008372B9"/>
    <w:rsid w:val="008379AC"/>
    <w:rsid w:val="00840519"/>
    <w:rsid w:val="008448AB"/>
    <w:rsid w:val="00850598"/>
    <w:rsid w:val="00850CBC"/>
    <w:rsid w:val="00851471"/>
    <w:rsid w:val="00852821"/>
    <w:rsid w:val="008549DA"/>
    <w:rsid w:val="00861757"/>
    <w:rsid w:val="0086357C"/>
    <w:rsid w:val="008665D1"/>
    <w:rsid w:val="0086740E"/>
    <w:rsid w:val="00875772"/>
    <w:rsid w:val="008904BF"/>
    <w:rsid w:val="00891938"/>
    <w:rsid w:val="008924DD"/>
    <w:rsid w:val="00893255"/>
    <w:rsid w:val="00895143"/>
    <w:rsid w:val="00895A7F"/>
    <w:rsid w:val="00896855"/>
    <w:rsid w:val="00896EE9"/>
    <w:rsid w:val="0089716A"/>
    <w:rsid w:val="008973D6"/>
    <w:rsid w:val="008A061A"/>
    <w:rsid w:val="008A19AA"/>
    <w:rsid w:val="008A3EB6"/>
    <w:rsid w:val="008A4F6B"/>
    <w:rsid w:val="008A618A"/>
    <w:rsid w:val="008A6457"/>
    <w:rsid w:val="008A71EA"/>
    <w:rsid w:val="008B1FBF"/>
    <w:rsid w:val="008B324A"/>
    <w:rsid w:val="008B324B"/>
    <w:rsid w:val="008B3B46"/>
    <w:rsid w:val="008B6FBE"/>
    <w:rsid w:val="008B71C8"/>
    <w:rsid w:val="008C3461"/>
    <w:rsid w:val="008C36BA"/>
    <w:rsid w:val="008C5E05"/>
    <w:rsid w:val="008C692D"/>
    <w:rsid w:val="008C7ED9"/>
    <w:rsid w:val="008D113F"/>
    <w:rsid w:val="008D271C"/>
    <w:rsid w:val="008D53DB"/>
    <w:rsid w:val="008D6341"/>
    <w:rsid w:val="008E0A4D"/>
    <w:rsid w:val="008E1128"/>
    <w:rsid w:val="008E112A"/>
    <w:rsid w:val="008E1141"/>
    <w:rsid w:val="008E1C48"/>
    <w:rsid w:val="008E1FFD"/>
    <w:rsid w:val="008E2B52"/>
    <w:rsid w:val="008E3B6F"/>
    <w:rsid w:val="008E48B7"/>
    <w:rsid w:val="008F09C4"/>
    <w:rsid w:val="008F2017"/>
    <w:rsid w:val="008F2050"/>
    <w:rsid w:val="008F31B4"/>
    <w:rsid w:val="008F714E"/>
    <w:rsid w:val="009007BC"/>
    <w:rsid w:val="00901445"/>
    <w:rsid w:val="0090558B"/>
    <w:rsid w:val="00905892"/>
    <w:rsid w:val="009068CA"/>
    <w:rsid w:val="00907CFD"/>
    <w:rsid w:val="00910187"/>
    <w:rsid w:val="00913A8F"/>
    <w:rsid w:val="0092092A"/>
    <w:rsid w:val="00923006"/>
    <w:rsid w:val="009243D3"/>
    <w:rsid w:val="00924B70"/>
    <w:rsid w:val="00925174"/>
    <w:rsid w:val="00926C5D"/>
    <w:rsid w:val="00927691"/>
    <w:rsid w:val="009305A1"/>
    <w:rsid w:val="00930BC2"/>
    <w:rsid w:val="00931436"/>
    <w:rsid w:val="009321A8"/>
    <w:rsid w:val="009327ED"/>
    <w:rsid w:val="009332A5"/>
    <w:rsid w:val="009335EF"/>
    <w:rsid w:val="00934FD7"/>
    <w:rsid w:val="00935573"/>
    <w:rsid w:val="00936DCE"/>
    <w:rsid w:val="00937C0B"/>
    <w:rsid w:val="00945DF0"/>
    <w:rsid w:val="00947855"/>
    <w:rsid w:val="00950BC0"/>
    <w:rsid w:val="00951514"/>
    <w:rsid w:val="00951F67"/>
    <w:rsid w:val="00952314"/>
    <w:rsid w:val="00952DB8"/>
    <w:rsid w:val="00953BFF"/>
    <w:rsid w:val="009547A9"/>
    <w:rsid w:val="009547E2"/>
    <w:rsid w:val="009559E3"/>
    <w:rsid w:val="00956B3C"/>
    <w:rsid w:val="00956C6F"/>
    <w:rsid w:val="00960332"/>
    <w:rsid w:val="00960D8D"/>
    <w:rsid w:val="0096291E"/>
    <w:rsid w:val="00964A21"/>
    <w:rsid w:val="00971806"/>
    <w:rsid w:val="0097312B"/>
    <w:rsid w:val="00975E69"/>
    <w:rsid w:val="00980598"/>
    <w:rsid w:val="00981485"/>
    <w:rsid w:val="0098213D"/>
    <w:rsid w:val="00982775"/>
    <w:rsid w:val="009858EA"/>
    <w:rsid w:val="00985A80"/>
    <w:rsid w:val="00985B1E"/>
    <w:rsid w:val="00987D51"/>
    <w:rsid w:val="009907E9"/>
    <w:rsid w:val="00990D00"/>
    <w:rsid w:val="009912E2"/>
    <w:rsid w:val="009923B2"/>
    <w:rsid w:val="00996840"/>
    <w:rsid w:val="009971D3"/>
    <w:rsid w:val="009A27AA"/>
    <w:rsid w:val="009A4D41"/>
    <w:rsid w:val="009A4FA9"/>
    <w:rsid w:val="009A6A5A"/>
    <w:rsid w:val="009A7084"/>
    <w:rsid w:val="009A736F"/>
    <w:rsid w:val="009B0DB5"/>
    <w:rsid w:val="009B259F"/>
    <w:rsid w:val="009B2B15"/>
    <w:rsid w:val="009B5F59"/>
    <w:rsid w:val="009B60A1"/>
    <w:rsid w:val="009B661B"/>
    <w:rsid w:val="009B703D"/>
    <w:rsid w:val="009B79D6"/>
    <w:rsid w:val="009C16CC"/>
    <w:rsid w:val="009C2C5E"/>
    <w:rsid w:val="009C72BD"/>
    <w:rsid w:val="009C73EF"/>
    <w:rsid w:val="009D2907"/>
    <w:rsid w:val="009E06BF"/>
    <w:rsid w:val="009E0A07"/>
    <w:rsid w:val="009E2471"/>
    <w:rsid w:val="009E47B8"/>
    <w:rsid w:val="009E4827"/>
    <w:rsid w:val="009E70E3"/>
    <w:rsid w:val="009F0C05"/>
    <w:rsid w:val="009F297D"/>
    <w:rsid w:val="009F2B56"/>
    <w:rsid w:val="009F492E"/>
    <w:rsid w:val="009F5160"/>
    <w:rsid w:val="009F55B3"/>
    <w:rsid w:val="009F58C0"/>
    <w:rsid w:val="009F6869"/>
    <w:rsid w:val="009F73C0"/>
    <w:rsid w:val="009F7D84"/>
    <w:rsid w:val="009F7F2E"/>
    <w:rsid w:val="00A0068E"/>
    <w:rsid w:val="00A020CF"/>
    <w:rsid w:val="00A02441"/>
    <w:rsid w:val="00A0247F"/>
    <w:rsid w:val="00A03729"/>
    <w:rsid w:val="00A057BF"/>
    <w:rsid w:val="00A06959"/>
    <w:rsid w:val="00A109D0"/>
    <w:rsid w:val="00A15E13"/>
    <w:rsid w:val="00A163D6"/>
    <w:rsid w:val="00A16E76"/>
    <w:rsid w:val="00A177A2"/>
    <w:rsid w:val="00A207A7"/>
    <w:rsid w:val="00A20F64"/>
    <w:rsid w:val="00A213D0"/>
    <w:rsid w:val="00A22E24"/>
    <w:rsid w:val="00A2387F"/>
    <w:rsid w:val="00A2429B"/>
    <w:rsid w:val="00A2738F"/>
    <w:rsid w:val="00A30C66"/>
    <w:rsid w:val="00A331DF"/>
    <w:rsid w:val="00A344AA"/>
    <w:rsid w:val="00A35DB4"/>
    <w:rsid w:val="00A378D8"/>
    <w:rsid w:val="00A41E82"/>
    <w:rsid w:val="00A44605"/>
    <w:rsid w:val="00A44B5B"/>
    <w:rsid w:val="00A44EE8"/>
    <w:rsid w:val="00A45731"/>
    <w:rsid w:val="00A46AA4"/>
    <w:rsid w:val="00A505BC"/>
    <w:rsid w:val="00A518EA"/>
    <w:rsid w:val="00A53FBF"/>
    <w:rsid w:val="00A56DF9"/>
    <w:rsid w:val="00A60601"/>
    <w:rsid w:val="00A6063F"/>
    <w:rsid w:val="00A61CE3"/>
    <w:rsid w:val="00A72B22"/>
    <w:rsid w:val="00A7457F"/>
    <w:rsid w:val="00A77D81"/>
    <w:rsid w:val="00A8132C"/>
    <w:rsid w:val="00A82650"/>
    <w:rsid w:val="00A83BA0"/>
    <w:rsid w:val="00A84B26"/>
    <w:rsid w:val="00A91A7D"/>
    <w:rsid w:val="00A96994"/>
    <w:rsid w:val="00A97D63"/>
    <w:rsid w:val="00AA09B9"/>
    <w:rsid w:val="00AA0D95"/>
    <w:rsid w:val="00AB369E"/>
    <w:rsid w:val="00AB3A2E"/>
    <w:rsid w:val="00AB5C54"/>
    <w:rsid w:val="00AB7379"/>
    <w:rsid w:val="00AB7565"/>
    <w:rsid w:val="00AB7F52"/>
    <w:rsid w:val="00AC0853"/>
    <w:rsid w:val="00AC3650"/>
    <w:rsid w:val="00AC39AE"/>
    <w:rsid w:val="00AC4800"/>
    <w:rsid w:val="00AC4CB9"/>
    <w:rsid w:val="00AC4F96"/>
    <w:rsid w:val="00AC6DDB"/>
    <w:rsid w:val="00AC7C99"/>
    <w:rsid w:val="00AD0F6E"/>
    <w:rsid w:val="00AD25FF"/>
    <w:rsid w:val="00AD437F"/>
    <w:rsid w:val="00AD473A"/>
    <w:rsid w:val="00AD6143"/>
    <w:rsid w:val="00AD7470"/>
    <w:rsid w:val="00AE6F46"/>
    <w:rsid w:val="00AE7968"/>
    <w:rsid w:val="00AF15A2"/>
    <w:rsid w:val="00AF3E85"/>
    <w:rsid w:val="00B0024E"/>
    <w:rsid w:val="00B01C01"/>
    <w:rsid w:val="00B03AA5"/>
    <w:rsid w:val="00B040B6"/>
    <w:rsid w:val="00B06FC1"/>
    <w:rsid w:val="00B071B1"/>
    <w:rsid w:val="00B078A6"/>
    <w:rsid w:val="00B1184E"/>
    <w:rsid w:val="00B12D48"/>
    <w:rsid w:val="00B13C08"/>
    <w:rsid w:val="00B13FF5"/>
    <w:rsid w:val="00B14490"/>
    <w:rsid w:val="00B1732E"/>
    <w:rsid w:val="00B17EAC"/>
    <w:rsid w:val="00B2002A"/>
    <w:rsid w:val="00B2035C"/>
    <w:rsid w:val="00B23620"/>
    <w:rsid w:val="00B24487"/>
    <w:rsid w:val="00B24E76"/>
    <w:rsid w:val="00B253B0"/>
    <w:rsid w:val="00B26835"/>
    <w:rsid w:val="00B311D4"/>
    <w:rsid w:val="00B3252E"/>
    <w:rsid w:val="00B4292B"/>
    <w:rsid w:val="00B46C39"/>
    <w:rsid w:val="00B47B9C"/>
    <w:rsid w:val="00B5057F"/>
    <w:rsid w:val="00B52178"/>
    <w:rsid w:val="00B549F7"/>
    <w:rsid w:val="00B54B75"/>
    <w:rsid w:val="00B54EA0"/>
    <w:rsid w:val="00B605EE"/>
    <w:rsid w:val="00B64F01"/>
    <w:rsid w:val="00B67843"/>
    <w:rsid w:val="00B75567"/>
    <w:rsid w:val="00B767EB"/>
    <w:rsid w:val="00B77E26"/>
    <w:rsid w:val="00B809F0"/>
    <w:rsid w:val="00B8156F"/>
    <w:rsid w:val="00B81A07"/>
    <w:rsid w:val="00B81E8E"/>
    <w:rsid w:val="00B81E90"/>
    <w:rsid w:val="00B844FE"/>
    <w:rsid w:val="00B84EA0"/>
    <w:rsid w:val="00B86920"/>
    <w:rsid w:val="00B87927"/>
    <w:rsid w:val="00B87C05"/>
    <w:rsid w:val="00B9057D"/>
    <w:rsid w:val="00B9165A"/>
    <w:rsid w:val="00B942CB"/>
    <w:rsid w:val="00B94563"/>
    <w:rsid w:val="00B94E71"/>
    <w:rsid w:val="00B95916"/>
    <w:rsid w:val="00B95AD4"/>
    <w:rsid w:val="00B97A93"/>
    <w:rsid w:val="00BA1E17"/>
    <w:rsid w:val="00BA543B"/>
    <w:rsid w:val="00BA55FB"/>
    <w:rsid w:val="00BA58EE"/>
    <w:rsid w:val="00BA5E5D"/>
    <w:rsid w:val="00BA7616"/>
    <w:rsid w:val="00BB2C2B"/>
    <w:rsid w:val="00BB3437"/>
    <w:rsid w:val="00BB3896"/>
    <w:rsid w:val="00BC06C0"/>
    <w:rsid w:val="00BC268D"/>
    <w:rsid w:val="00BC3410"/>
    <w:rsid w:val="00BC3979"/>
    <w:rsid w:val="00BD06D6"/>
    <w:rsid w:val="00BD1997"/>
    <w:rsid w:val="00BD1E4E"/>
    <w:rsid w:val="00BD7A3F"/>
    <w:rsid w:val="00BE16D9"/>
    <w:rsid w:val="00BE3EA9"/>
    <w:rsid w:val="00BE41EA"/>
    <w:rsid w:val="00BE47C1"/>
    <w:rsid w:val="00BE5D77"/>
    <w:rsid w:val="00BE6AC4"/>
    <w:rsid w:val="00BF30BF"/>
    <w:rsid w:val="00BF512D"/>
    <w:rsid w:val="00BF54E4"/>
    <w:rsid w:val="00BF56B4"/>
    <w:rsid w:val="00BF667E"/>
    <w:rsid w:val="00BF67D5"/>
    <w:rsid w:val="00BF70A1"/>
    <w:rsid w:val="00C00503"/>
    <w:rsid w:val="00C0112B"/>
    <w:rsid w:val="00C02A60"/>
    <w:rsid w:val="00C035A3"/>
    <w:rsid w:val="00C0589C"/>
    <w:rsid w:val="00C06553"/>
    <w:rsid w:val="00C1060A"/>
    <w:rsid w:val="00C11AC4"/>
    <w:rsid w:val="00C123FF"/>
    <w:rsid w:val="00C135EB"/>
    <w:rsid w:val="00C151E4"/>
    <w:rsid w:val="00C155B3"/>
    <w:rsid w:val="00C165B3"/>
    <w:rsid w:val="00C17F90"/>
    <w:rsid w:val="00C207ED"/>
    <w:rsid w:val="00C2083B"/>
    <w:rsid w:val="00C21579"/>
    <w:rsid w:val="00C22902"/>
    <w:rsid w:val="00C25907"/>
    <w:rsid w:val="00C2641B"/>
    <w:rsid w:val="00C314FD"/>
    <w:rsid w:val="00C31573"/>
    <w:rsid w:val="00C316F1"/>
    <w:rsid w:val="00C31BFA"/>
    <w:rsid w:val="00C32D07"/>
    <w:rsid w:val="00C34389"/>
    <w:rsid w:val="00C34BF6"/>
    <w:rsid w:val="00C356FC"/>
    <w:rsid w:val="00C3633D"/>
    <w:rsid w:val="00C37013"/>
    <w:rsid w:val="00C37147"/>
    <w:rsid w:val="00C40D64"/>
    <w:rsid w:val="00C411E2"/>
    <w:rsid w:val="00C4291C"/>
    <w:rsid w:val="00C43003"/>
    <w:rsid w:val="00C44677"/>
    <w:rsid w:val="00C44BF3"/>
    <w:rsid w:val="00C5109A"/>
    <w:rsid w:val="00C5226D"/>
    <w:rsid w:val="00C52D13"/>
    <w:rsid w:val="00C53566"/>
    <w:rsid w:val="00C55B26"/>
    <w:rsid w:val="00C57B96"/>
    <w:rsid w:val="00C60730"/>
    <w:rsid w:val="00C60A80"/>
    <w:rsid w:val="00C6163C"/>
    <w:rsid w:val="00C62C10"/>
    <w:rsid w:val="00C66083"/>
    <w:rsid w:val="00C66293"/>
    <w:rsid w:val="00C673D6"/>
    <w:rsid w:val="00C6766E"/>
    <w:rsid w:val="00C70BD7"/>
    <w:rsid w:val="00C70D7F"/>
    <w:rsid w:val="00C71AA8"/>
    <w:rsid w:val="00C72D3B"/>
    <w:rsid w:val="00C73479"/>
    <w:rsid w:val="00C74FD5"/>
    <w:rsid w:val="00C80909"/>
    <w:rsid w:val="00C80CD1"/>
    <w:rsid w:val="00C812D9"/>
    <w:rsid w:val="00C8194B"/>
    <w:rsid w:val="00C81FF9"/>
    <w:rsid w:val="00C8354A"/>
    <w:rsid w:val="00C8358F"/>
    <w:rsid w:val="00C845D5"/>
    <w:rsid w:val="00C84B57"/>
    <w:rsid w:val="00C9251A"/>
    <w:rsid w:val="00C93093"/>
    <w:rsid w:val="00C93B60"/>
    <w:rsid w:val="00C93EA1"/>
    <w:rsid w:val="00CA16D9"/>
    <w:rsid w:val="00CA2BE6"/>
    <w:rsid w:val="00CA5578"/>
    <w:rsid w:val="00CB0435"/>
    <w:rsid w:val="00CB04B1"/>
    <w:rsid w:val="00CB324B"/>
    <w:rsid w:val="00CB6386"/>
    <w:rsid w:val="00CB656A"/>
    <w:rsid w:val="00CC060D"/>
    <w:rsid w:val="00CC0786"/>
    <w:rsid w:val="00CC0ACC"/>
    <w:rsid w:val="00CC2D1F"/>
    <w:rsid w:val="00CC4A42"/>
    <w:rsid w:val="00CD0A22"/>
    <w:rsid w:val="00CD3B00"/>
    <w:rsid w:val="00CD43AB"/>
    <w:rsid w:val="00CD4BFE"/>
    <w:rsid w:val="00CD641E"/>
    <w:rsid w:val="00CD6CC9"/>
    <w:rsid w:val="00CD75B6"/>
    <w:rsid w:val="00CD78F6"/>
    <w:rsid w:val="00CE1361"/>
    <w:rsid w:val="00CE192C"/>
    <w:rsid w:val="00CE2A86"/>
    <w:rsid w:val="00CE3552"/>
    <w:rsid w:val="00CE78A7"/>
    <w:rsid w:val="00CE7CB5"/>
    <w:rsid w:val="00CF07D2"/>
    <w:rsid w:val="00CF16EF"/>
    <w:rsid w:val="00CF3617"/>
    <w:rsid w:val="00D02DD5"/>
    <w:rsid w:val="00D07325"/>
    <w:rsid w:val="00D0786F"/>
    <w:rsid w:val="00D104DB"/>
    <w:rsid w:val="00D11347"/>
    <w:rsid w:val="00D14B88"/>
    <w:rsid w:val="00D20AC3"/>
    <w:rsid w:val="00D2138E"/>
    <w:rsid w:val="00D219FC"/>
    <w:rsid w:val="00D22374"/>
    <w:rsid w:val="00D24003"/>
    <w:rsid w:val="00D279BF"/>
    <w:rsid w:val="00D317BA"/>
    <w:rsid w:val="00D3302E"/>
    <w:rsid w:val="00D342C2"/>
    <w:rsid w:val="00D4034A"/>
    <w:rsid w:val="00D4374A"/>
    <w:rsid w:val="00D44421"/>
    <w:rsid w:val="00D45198"/>
    <w:rsid w:val="00D45808"/>
    <w:rsid w:val="00D4646C"/>
    <w:rsid w:val="00D47AD7"/>
    <w:rsid w:val="00D47CE8"/>
    <w:rsid w:val="00D5043E"/>
    <w:rsid w:val="00D52095"/>
    <w:rsid w:val="00D53170"/>
    <w:rsid w:val="00D5431E"/>
    <w:rsid w:val="00D54C0E"/>
    <w:rsid w:val="00D5580E"/>
    <w:rsid w:val="00D55A20"/>
    <w:rsid w:val="00D615C7"/>
    <w:rsid w:val="00D63A43"/>
    <w:rsid w:val="00D63EBB"/>
    <w:rsid w:val="00D641ED"/>
    <w:rsid w:val="00D64A11"/>
    <w:rsid w:val="00D67D14"/>
    <w:rsid w:val="00D756A8"/>
    <w:rsid w:val="00D75B19"/>
    <w:rsid w:val="00D75CD0"/>
    <w:rsid w:val="00D858B5"/>
    <w:rsid w:val="00D85949"/>
    <w:rsid w:val="00D86E99"/>
    <w:rsid w:val="00D87B14"/>
    <w:rsid w:val="00D87DF7"/>
    <w:rsid w:val="00D90616"/>
    <w:rsid w:val="00D90D4E"/>
    <w:rsid w:val="00D931B4"/>
    <w:rsid w:val="00D94462"/>
    <w:rsid w:val="00D95FE5"/>
    <w:rsid w:val="00D9731D"/>
    <w:rsid w:val="00DA2D5D"/>
    <w:rsid w:val="00DA3372"/>
    <w:rsid w:val="00DA6EA5"/>
    <w:rsid w:val="00DA708B"/>
    <w:rsid w:val="00DB1362"/>
    <w:rsid w:val="00DB2890"/>
    <w:rsid w:val="00DB3686"/>
    <w:rsid w:val="00DB5CF2"/>
    <w:rsid w:val="00DB6129"/>
    <w:rsid w:val="00DB6CFF"/>
    <w:rsid w:val="00DB77B0"/>
    <w:rsid w:val="00DC0122"/>
    <w:rsid w:val="00DC12A9"/>
    <w:rsid w:val="00DC3517"/>
    <w:rsid w:val="00DC4BD9"/>
    <w:rsid w:val="00DD2C7C"/>
    <w:rsid w:val="00DD7318"/>
    <w:rsid w:val="00DE1268"/>
    <w:rsid w:val="00DE1623"/>
    <w:rsid w:val="00DE20C0"/>
    <w:rsid w:val="00DE3431"/>
    <w:rsid w:val="00DE345D"/>
    <w:rsid w:val="00DE7A87"/>
    <w:rsid w:val="00DF3A20"/>
    <w:rsid w:val="00DF6BFB"/>
    <w:rsid w:val="00E00CF2"/>
    <w:rsid w:val="00E022F5"/>
    <w:rsid w:val="00E03E41"/>
    <w:rsid w:val="00E03F15"/>
    <w:rsid w:val="00E043DC"/>
    <w:rsid w:val="00E05654"/>
    <w:rsid w:val="00E05B9C"/>
    <w:rsid w:val="00E0779F"/>
    <w:rsid w:val="00E10B81"/>
    <w:rsid w:val="00E111A0"/>
    <w:rsid w:val="00E20B88"/>
    <w:rsid w:val="00E2301E"/>
    <w:rsid w:val="00E25333"/>
    <w:rsid w:val="00E261CD"/>
    <w:rsid w:val="00E26E2F"/>
    <w:rsid w:val="00E31BF1"/>
    <w:rsid w:val="00E34139"/>
    <w:rsid w:val="00E37B2C"/>
    <w:rsid w:val="00E41875"/>
    <w:rsid w:val="00E42C81"/>
    <w:rsid w:val="00E438D6"/>
    <w:rsid w:val="00E43A42"/>
    <w:rsid w:val="00E4475B"/>
    <w:rsid w:val="00E449C1"/>
    <w:rsid w:val="00E471DC"/>
    <w:rsid w:val="00E47FAE"/>
    <w:rsid w:val="00E50264"/>
    <w:rsid w:val="00E51ACB"/>
    <w:rsid w:val="00E53190"/>
    <w:rsid w:val="00E56EA6"/>
    <w:rsid w:val="00E61870"/>
    <w:rsid w:val="00E62C3D"/>
    <w:rsid w:val="00E63BDB"/>
    <w:rsid w:val="00E65471"/>
    <w:rsid w:val="00E66350"/>
    <w:rsid w:val="00E66CA7"/>
    <w:rsid w:val="00E67CC1"/>
    <w:rsid w:val="00E7023E"/>
    <w:rsid w:val="00E70E10"/>
    <w:rsid w:val="00E73B6B"/>
    <w:rsid w:val="00E75F59"/>
    <w:rsid w:val="00E80B40"/>
    <w:rsid w:val="00E82F07"/>
    <w:rsid w:val="00E8347F"/>
    <w:rsid w:val="00E84DC3"/>
    <w:rsid w:val="00E862DF"/>
    <w:rsid w:val="00E869D3"/>
    <w:rsid w:val="00E90CFC"/>
    <w:rsid w:val="00E9215B"/>
    <w:rsid w:val="00EA108B"/>
    <w:rsid w:val="00EA1098"/>
    <w:rsid w:val="00EA1A65"/>
    <w:rsid w:val="00EA2DB3"/>
    <w:rsid w:val="00EA4B71"/>
    <w:rsid w:val="00EA5201"/>
    <w:rsid w:val="00EA7E12"/>
    <w:rsid w:val="00EB0FB2"/>
    <w:rsid w:val="00EB1513"/>
    <w:rsid w:val="00EB3222"/>
    <w:rsid w:val="00EB6F43"/>
    <w:rsid w:val="00EC34C2"/>
    <w:rsid w:val="00ED2B12"/>
    <w:rsid w:val="00ED329E"/>
    <w:rsid w:val="00ED5293"/>
    <w:rsid w:val="00EE0531"/>
    <w:rsid w:val="00EE099E"/>
    <w:rsid w:val="00EE2478"/>
    <w:rsid w:val="00EE3C76"/>
    <w:rsid w:val="00EE446A"/>
    <w:rsid w:val="00EE6279"/>
    <w:rsid w:val="00EE7357"/>
    <w:rsid w:val="00EE762F"/>
    <w:rsid w:val="00EF188A"/>
    <w:rsid w:val="00EF5985"/>
    <w:rsid w:val="00EF625F"/>
    <w:rsid w:val="00EF6459"/>
    <w:rsid w:val="00EF6A54"/>
    <w:rsid w:val="00F00CE1"/>
    <w:rsid w:val="00F02AE9"/>
    <w:rsid w:val="00F03CB0"/>
    <w:rsid w:val="00F07639"/>
    <w:rsid w:val="00F11890"/>
    <w:rsid w:val="00F122C4"/>
    <w:rsid w:val="00F128A4"/>
    <w:rsid w:val="00F156C7"/>
    <w:rsid w:val="00F16586"/>
    <w:rsid w:val="00F169DB"/>
    <w:rsid w:val="00F17A45"/>
    <w:rsid w:val="00F20A73"/>
    <w:rsid w:val="00F20F62"/>
    <w:rsid w:val="00F22273"/>
    <w:rsid w:val="00F226D8"/>
    <w:rsid w:val="00F22D0D"/>
    <w:rsid w:val="00F23C07"/>
    <w:rsid w:val="00F247E3"/>
    <w:rsid w:val="00F25FA6"/>
    <w:rsid w:val="00F26A6D"/>
    <w:rsid w:val="00F26EAB"/>
    <w:rsid w:val="00F27938"/>
    <w:rsid w:val="00F300DC"/>
    <w:rsid w:val="00F3153F"/>
    <w:rsid w:val="00F338AE"/>
    <w:rsid w:val="00F361DB"/>
    <w:rsid w:val="00F37B29"/>
    <w:rsid w:val="00F37E3F"/>
    <w:rsid w:val="00F514C8"/>
    <w:rsid w:val="00F54D59"/>
    <w:rsid w:val="00F54D97"/>
    <w:rsid w:val="00F55A08"/>
    <w:rsid w:val="00F561F9"/>
    <w:rsid w:val="00F61EE3"/>
    <w:rsid w:val="00F62727"/>
    <w:rsid w:val="00F634AF"/>
    <w:rsid w:val="00F63687"/>
    <w:rsid w:val="00F64176"/>
    <w:rsid w:val="00F65F90"/>
    <w:rsid w:val="00F7042A"/>
    <w:rsid w:val="00F719B0"/>
    <w:rsid w:val="00F71A91"/>
    <w:rsid w:val="00F7226D"/>
    <w:rsid w:val="00F7464E"/>
    <w:rsid w:val="00F74D12"/>
    <w:rsid w:val="00F75E81"/>
    <w:rsid w:val="00F7642E"/>
    <w:rsid w:val="00F76DA0"/>
    <w:rsid w:val="00F773DE"/>
    <w:rsid w:val="00F802B2"/>
    <w:rsid w:val="00F80BAD"/>
    <w:rsid w:val="00F82E80"/>
    <w:rsid w:val="00F83849"/>
    <w:rsid w:val="00F84D60"/>
    <w:rsid w:val="00F9633A"/>
    <w:rsid w:val="00FA0D51"/>
    <w:rsid w:val="00FA1639"/>
    <w:rsid w:val="00FA1B7F"/>
    <w:rsid w:val="00FA2908"/>
    <w:rsid w:val="00FA6EF1"/>
    <w:rsid w:val="00FB0558"/>
    <w:rsid w:val="00FB069B"/>
    <w:rsid w:val="00FB1D1E"/>
    <w:rsid w:val="00FB54A8"/>
    <w:rsid w:val="00FB6F78"/>
    <w:rsid w:val="00FB7F1B"/>
    <w:rsid w:val="00FC0A1D"/>
    <w:rsid w:val="00FC17B0"/>
    <w:rsid w:val="00FC32F3"/>
    <w:rsid w:val="00FC36BF"/>
    <w:rsid w:val="00FC416D"/>
    <w:rsid w:val="00FC472F"/>
    <w:rsid w:val="00FC590A"/>
    <w:rsid w:val="00FC5AB9"/>
    <w:rsid w:val="00FC7E00"/>
    <w:rsid w:val="00FD03FA"/>
    <w:rsid w:val="00FD124D"/>
    <w:rsid w:val="00FD17DA"/>
    <w:rsid w:val="00FD1FCD"/>
    <w:rsid w:val="00FD2969"/>
    <w:rsid w:val="00FD3D71"/>
    <w:rsid w:val="00FD54CF"/>
    <w:rsid w:val="00FD5591"/>
    <w:rsid w:val="00FE0CEF"/>
    <w:rsid w:val="00FE2296"/>
    <w:rsid w:val="00FE2E1E"/>
    <w:rsid w:val="00FE3DAD"/>
    <w:rsid w:val="00FE4705"/>
    <w:rsid w:val="00FE4803"/>
    <w:rsid w:val="00FE5C5A"/>
    <w:rsid w:val="00FE7CAE"/>
    <w:rsid w:val="00FF1334"/>
    <w:rsid w:val="00FF29EB"/>
    <w:rsid w:val="00FF3791"/>
    <w:rsid w:val="00FF620A"/>
    <w:rsid w:val="00FF6297"/>
    <w:rsid w:val="00FF6A6F"/>
    <w:rsid w:val="00FF6BFF"/>
    <w:rsid w:val="00FF6DFB"/>
    <w:rsid w:val="00FF765E"/>
    <w:rsid w:val="00FF7EE3"/>
    <w:rsid w:val="01813C1E"/>
    <w:rsid w:val="02B41F9E"/>
    <w:rsid w:val="02B51847"/>
    <w:rsid w:val="035005D1"/>
    <w:rsid w:val="043E03A2"/>
    <w:rsid w:val="047541FA"/>
    <w:rsid w:val="05150E00"/>
    <w:rsid w:val="05177A13"/>
    <w:rsid w:val="05374287"/>
    <w:rsid w:val="05F74C77"/>
    <w:rsid w:val="067B3F03"/>
    <w:rsid w:val="072A7274"/>
    <w:rsid w:val="07DB6B7D"/>
    <w:rsid w:val="0851632E"/>
    <w:rsid w:val="090D069E"/>
    <w:rsid w:val="0926473F"/>
    <w:rsid w:val="093C40AC"/>
    <w:rsid w:val="0AB466C6"/>
    <w:rsid w:val="0AC014C5"/>
    <w:rsid w:val="0BFF241F"/>
    <w:rsid w:val="0C247805"/>
    <w:rsid w:val="0C8E798B"/>
    <w:rsid w:val="0D1A0C33"/>
    <w:rsid w:val="0E291529"/>
    <w:rsid w:val="0F31312D"/>
    <w:rsid w:val="0F852BA1"/>
    <w:rsid w:val="100955D9"/>
    <w:rsid w:val="11BD5757"/>
    <w:rsid w:val="145070A9"/>
    <w:rsid w:val="149B2CFE"/>
    <w:rsid w:val="14A27416"/>
    <w:rsid w:val="14E81644"/>
    <w:rsid w:val="14FF0258"/>
    <w:rsid w:val="1520387F"/>
    <w:rsid w:val="152F5E3C"/>
    <w:rsid w:val="158B7253"/>
    <w:rsid w:val="158D317A"/>
    <w:rsid w:val="16B02DA4"/>
    <w:rsid w:val="17877B5C"/>
    <w:rsid w:val="18E41B50"/>
    <w:rsid w:val="18F142FF"/>
    <w:rsid w:val="195C51D8"/>
    <w:rsid w:val="198A2469"/>
    <w:rsid w:val="1A2E5701"/>
    <w:rsid w:val="1B45598B"/>
    <w:rsid w:val="1BFA3188"/>
    <w:rsid w:val="1CA93AB3"/>
    <w:rsid w:val="1CCC29D8"/>
    <w:rsid w:val="1CF85FB8"/>
    <w:rsid w:val="1D1645CC"/>
    <w:rsid w:val="1D4260FE"/>
    <w:rsid w:val="1ECF486D"/>
    <w:rsid w:val="1F2B4AD6"/>
    <w:rsid w:val="1F437374"/>
    <w:rsid w:val="20F92A33"/>
    <w:rsid w:val="211C5646"/>
    <w:rsid w:val="216D44C6"/>
    <w:rsid w:val="23C417DC"/>
    <w:rsid w:val="24804377"/>
    <w:rsid w:val="253357AE"/>
    <w:rsid w:val="263A5741"/>
    <w:rsid w:val="26B14012"/>
    <w:rsid w:val="26FA2369"/>
    <w:rsid w:val="272229E6"/>
    <w:rsid w:val="272F22C6"/>
    <w:rsid w:val="27301B05"/>
    <w:rsid w:val="275866FF"/>
    <w:rsid w:val="279A25BF"/>
    <w:rsid w:val="28406933"/>
    <w:rsid w:val="28C301DA"/>
    <w:rsid w:val="292D0A48"/>
    <w:rsid w:val="29AE0266"/>
    <w:rsid w:val="2A866396"/>
    <w:rsid w:val="2ADE3FEA"/>
    <w:rsid w:val="2CDB70A6"/>
    <w:rsid w:val="2CE95CAD"/>
    <w:rsid w:val="2D8D4B4F"/>
    <w:rsid w:val="2DE00650"/>
    <w:rsid w:val="2DEF7BB0"/>
    <w:rsid w:val="2E24561E"/>
    <w:rsid w:val="2EBA44F1"/>
    <w:rsid w:val="2FA26E0F"/>
    <w:rsid w:val="306F7E83"/>
    <w:rsid w:val="30C60086"/>
    <w:rsid w:val="30E663DE"/>
    <w:rsid w:val="31071CEB"/>
    <w:rsid w:val="312077B1"/>
    <w:rsid w:val="31E00A82"/>
    <w:rsid w:val="32607DFF"/>
    <w:rsid w:val="32E27652"/>
    <w:rsid w:val="338525E6"/>
    <w:rsid w:val="35D66821"/>
    <w:rsid w:val="376B5B89"/>
    <w:rsid w:val="3ABE45C3"/>
    <w:rsid w:val="3AE921DC"/>
    <w:rsid w:val="3C6A4281"/>
    <w:rsid w:val="3CF5377D"/>
    <w:rsid w:val="3DF81D2A"/>
    <w:rsid w:val="3EFB4FB1"/>
    <w:rsid w:val="3F8068CF"/>
    <w:rsid w:val="3FF445A9"/>
    <w:rsid w:val="405A3C10"/>
    <w:rsid w:val="41DD0CA1"/>
    <w:rsid w:val="41DD2073"/>
    <w:rsid w:val="429949D1"/>
    <w:rsid w:val="429A6694"/>
    <w:rsid w:val="42E47D18"/>
    <w:rsid w:val="43D322F8"/>
    <w:rsid w:val="442218DC"/>
    <w:rsid w:val="442B6F0D"/>
    <w:rsid w:val="45360AB0"/>
    <w:rsid w:val="457C7DBE"/>
    <w:rsid w:val="45A31F8D"/>
    <w:rsid w:val="46542087"/>
    <w:rsid w:val="4708232C"/>
    <w:rsid w:val="471C4A9D"/>
    <w:rsid w:val="48270794"/>
    <w:rsid w:val="48771E1D"/>
    <w:rsid w:val="48E52647"/>
    <w:rsid w:val="497C6219"/>
    <w:rsid w:val="49AA0252"/>
    <w:rsid w:val="49FF69DD"/>
    <w:rsid w:val="4ACE3FAC"/>
    <w:rsid w:val="4B2B4C01"/>
    <w:rsid w:val="4CE57C6E"/>
    <w:rsid w:val="4D2D7132"/>
    <w:rsid w:val="4D732253"/>
    <w:rsid w:val="4FF0236A"/>
    <w:rsid w:val="50FD3B54"/>
    <w:rsid w:val="51275030"/>
    <w:rsid w:val="5159511E"/>
    <w:rsid w:val="51A3776F"/>
    <w:rsid w:val="526669FA"/>
    <w:rsid w:val="526F45EA"/>
    <w:rsid w:val="54FB6F56"/>
    <w:rsid w:val="552D40CE"/>
    <w:rsid w:val="55852C93"/>
    <w:rsid w:val="55C0481C"/>
    <w:rsid w:val="56D458F4"/>
    <w:rsid w:val="58D25C1C"/>
    <w:rsid w:val="59DE3063"/>
    <w:rsid w:val="59F9238B"/>
    <w:rsid w:val="5A726DF1"/>
    <w:rsid w:val="5BE17A95"/>
    <w:rsid w:val="5C570F6B"/>
    <w:rsid w:val="5C8F76C4"/>
    <w:rsid w:val="5E314E87"/>
    <w:rsid w:val="5E932D07"/>
    <w:rsid w:val="5EBA098C"/>
    <w:rsid w:val="5F1C5B9B"/>
    <w:rsid w:val="5F2147AF"/>
    <w:rsid w:val="5F3B5C79"/>
    <w:rsid w:val="5F7B3B60"/>
    <w:rsid w:val="5FC357AF"/>
    <w:rsid w:val="616A131A"/>
    <w:rsid w:val="61A82E5E"/>
    <w:rsid w:val="62BE48F4"/>
    <w:rsid w:val="62FF4E01"/>
    <w:rsid w:val="64234922"/>
    <w:rsid w:val="64756075"/>
    <w:rsid w:val="6487644A"/>
    <w:rsid w:val="64A12B25"/>
    <w:rsid w:val="64B57E33"/>
    <w:rsid w:val="64C1540A"/>
    <w:rsid w:val="657D51CC"/>
    <w:rsid w:val="659A4A50"/>
    <w:rsid w:val="65C01C20"/>
    <w:rsid w:val="66B60919"/>
    <w:rsid w:val="67AF42DE"/>
    <w:rsid w:val="67BA1578"/>
    <w:rsid w:val="69086737"/>
    <w:rsid w:val="69AA0934"/>
    <w:rsid w:val="6B381495"/>
    <w:rsid w:val="6BB53122"/>
    <w:rsid w:val="6BF77E66"/>
    <w:rsid w:val="6C541539"/>
    <w:rsid w:val="6CA5589A"/>
    <w:rsid w:val="6D205E04"/>
    <w:rsid w:val="6D362951"/>
    <w:rsid w:val="6DCF05A0"/>
    <w:rsid w:val="6E6321BA"/>
    <w:rsid w:val="704D6232"/>
    <w:rsid w:val="70E7268E"/>
    <w:rsid w:val="712E3E4F"/>
    <w:rsid w:val="72400D73"/>
    <w:rsid w:val="7255115A"/>
    <w:rsid w:val="73F36E1A"/>
    <w:rsid w:val="74126266"/>
    <w:rsid w:val="743C0AF2"/>
    <w:rsid w:val="74985512"/>
    <w:rsid w:val="75BB4088"/>
    <w:rsid w:val="767C4C3E"/>
    <w:rsid w:val="77DE2DD3"/>
    <w:rsid w:val="7971702E"/>
    <w:rsid w:val="79925CEF"/>
    <w:rsid w:val="79BE254A"/>
    <w:rsid w:val="7A7559AB"/>
    <w:rsid w:val="7B1D1A8A"/>
    <w:rsid w:val="7B222AA4"/>
    <w:rsid w:val="7BDC1AB9"/>
    <w:rsid w:val="7D8C77EC"/>
    <w:rsid w:val="7E255CE9"/>
    <w:rsid w:val="7FE5745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99"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paragraph" w:styleId="2">
    <w:name w:val="heading 2"/>
    <w:basedOn w:val="1"/>
    <w:next w:val="1"/>
    <w:link w:val="2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5"/>
    <w:link w:val="26"/>
    <w:qFormat/>
    <w:uiPriority w:val="0"/>
    <w:pPr>
      <w:keepNext/>
      <w:keepLines/>
      <w:spacing w:before="260" w:after="260" w:line="416" w:lineRule="auto"/>
      <w:outlineLvl w:val="2"/>
    </w:pPr>
    <w:rPr>
      <w:b/>
      <w:sz w:val="32"/>
      <w:szCs w:val="20"/>
    </w:rPr>
  </w:style>
  <w:style w:type="paragraph" w:styleId="6">
    <w:name w:val="heading 4"/>
    <w:basedOn w:val="1"/>
    <w:next w:val="1"/>
    <w:link w:val="28"/>
    <w:qFormat/>
    <w:uiPriority w:val="0"/>
    <w:pPr>
      <w:keepNext/>
      <w:keepLines/>
      <w:spacing w:before="280" w:after="290" w:line="376" w:lineRule="auto"/>
      <w:outlineLvl w:val="3"/>
    </w:pPr>
    <w:rPr>
      <w:rFonts w:ascii="Arial" w:hAnsi="Arial" w:eastAsia="黑体"/>
      <w:b/>
      <w:bCs/>
      <w:sz w:val="28"/>
      <w:szCs w:val="28"/>
    </w:rPr>
  </w:style>
  <w:style w:type="character" w:default="1" w:styleId="23">
    <w:name w:val="Default Paragraph Font"/>
    <w:semiHidden/>
    <w:qFormat/>
    <w:uiPriority w:val="0"/>
  </w:style>
  <w:style w:type="table" w:default="1" w:styleId="21">
    <w:name w:val="Normal Table"/>
    <w:semiHidden/>
    <w:qFormat/>
    <w:uiPriority w:val="0"/>
    <w:tblPr>
      <w:tblCellMar>
        <w:top w:w="0" w:type="dxa"/>
        <w:left w:w="108" w:type="dxa"/>
        <w:bottom w:w="0" w:type="dxa"/>
        <w:right w:w="108" w:type="dxa"/>
      </w:tblCellMar>
    </w:tblPr>
  </w:style>
  <w:style w:type="paragraph" w:styleId="5">
    <w:name w:val="Normal Indent"/>
    <w:basedOn w:val="1"/>
    <w:link w:val="27"/>
    <w:qFormat/>
    <w:uiPriority w:val="0"/>
    <w:pPr>
      <w:ind w:firstLine="420" w:firstLineChars="200"/>
    </w:pPr>
  </w:style>
  <w:style w:type="paragraph" w:styleId="7">
    <w:name w:val="index 5"/>
    <w:basedOn w:val="1"/>
    <w:next w:val="1"/>
    <w:qFormat/>
    <w:uiPriority w:val="0"/>
    <w:pPr>
      <w:ind w:left="800" w:leftChars="800"/>
    </w:pPr>
  </w:style>
  <w:style w:type="paragraph" w:styleId="8">
    <w:name w:val="Document Map"/>
    <w:basedOn w:val="1"/>
    <w:semiHidden/>
    <w:qFormat/>
    <w:uiPriority w:val="0"/>
    <w:pPr>
      <w:shd w:val="clear" w:color="auto" w:fill="000080"/>
    </w:pPr>
  </w:style>
  <w:style w:type="paragraph" w:styleId="9">
    <w:name w:val="Body Text"/>
    <w:basedOn w:val="1"/>
    <w:next w:val="1"/>
    <w:qFormat/>
    <w:uiPriority w:val="0"/>
    <w:rPr>
      <w:rFonts w:ascii="宋体"/>
      <w:sz w:val="28"/>
      <w:szCs w:val="20"/>
    </w:rPr>
  </w:style>
  <w:style w:type="paragraph" w:styleId="10">
    <w:name w:val="Body Text Indent"/>
    <w:basedOn w:val="1"/>
    <w:qFormat/>
    <w:uiPriority w:val="0"/>
    <w:pPr>
      <w:spacing w:after="120"/>
      <w:ind w:left="420" w:leftChars="200"/>
    </w:pPr>
  </w:style>
  <w:style w:type="paragraph" w:styleId="11">
    <w:name w:val="Plain Text"/>
    <w:basedOn w:val="1"/>
    <w:link w:val="29"/>
    <w:qFormat/>
    <w:uiPriority w:val="99"/>
    <w:pPr>
      <w:widowControl/>
      <w:spacing w:after="200" w:line="252" w:lineRule="auto"/>
      <w:jc w:val="left"/>
    </w:pPr>
    <w:rPr>
      <w:rFonts w:ascii="宋体" w:hAnsi="Courier New"/>
      <w:szCs w:val="20"/>
    </w:rPr>
  </w:style>
  <w:style w:type="paragraph" w:styleId="12">
    <w:name w:val="Date"/>
    <w:basedOn w:val="1"/>
    <w:next w:val="1"/>
    <w:link w:val="30"/>
    <w:qFormat/>
    <w:uiPriority w:val="0"/>
    <w:rPr>
      <w:sz w:val="24"/>
      <w:szCs w:val="20"/>
    </w:rPr>
  </w:style>
  <w:style w:type="paragraph" w:styleId="13">
    <w:name w:val="Balloon Text"/>
    <w:basedOn w:val="1"/>
    <w:link w:val="31"/>
    <w:qFormat/>
    <w:uiPriority w:val="0"/>
    <w:rPr>
      <w:sz w:val="18"/>
      <w:szCs w:val="18"/>
    </w:rPr>
  </w:style>
  <w:style w:type="paragraph" w:styleId="14">
    <w:name w:val="footer"/>
    <w:basedOn w:val="1"/>
    <w:qFormat/>
    <w:uiPriority w:val="0"/>
    <w:pPr>
      <w:tabs>
        <w:tab w:val="center" w:pos="4153"/>
        <w:tab w:val="right" w:pos="8306"/>
      </w:tabs>
      <w:snapToGrid w:val="0"/>
      <w:jc w:val="left"/>
    </w:pPr>
    <w:rPr>
      <w:sz w:val="18"/>
      <w:szCs w:val="18"/>
    </w:rPr>
  </w:style>
  <w:style w:type="paragraph" w:styleId="15">
    <w:name w:val="header"/>
    <w:basedOn w:val="1"/>
    <w:link w:val="32"/>
    <w:qFormat/>
    <w:uiPriority w:val="99"/>
    <w:pPr>
      <w:pBdr>
        <w:bottom w:val="single" w:color="auto" w:sz="6" w:space="1"/>
      </w:pBdr>
      <w:tabs>
        <w:tab w:val="center" w:pos="4153"/>
        <w:tab w:val="right" w:pos="8306"/>
      </w:tabs>
      <w:snapToGrid w:val="0"/>
      <w:jc w:val="center"/>
    </w:pPr>
    <w:rPr>
      <w:sz w:val="18"/>
      <w:szCs w:val="18"/>
    </w:rPr>
  </w:style>
  <w:style w:type="paragraph" w:styleId="16">
    <w:name w:val="toc 1"/>
    <w:basedOn w:val="1"/>
    <w:next w:val="1"/>
    <w:qFormat/>
    <w:uiPriority w:val="0"/>
  </w:style>
  <w:style w:type="paragraph" w:styleId="17">
    <w:name w:val="footnote text"/>
    <w:basedOn w:val="1"/>
    <w:next w:val="7"/>
    <w:qFormat/>
    <w:uiPriority w:val="0"/>
    <w:pPr>
      <w:adjustRightInd w:val="0"/>
      <w:spacing w:line="312" w:lineRule="atLeast"/>
      <w:jc w:val="left"/>
      <w:textAlignment w:val="baseline"/>
    </w:pPr>
    <w:rPr>
      <w:sz w:val="18"/>
      <w:szCs w:val="22"/>
    </w:rPr>
  </w:style>
  <w:style w:type="paragraph" w:styleId="18">
    <w:name w:val="Body Text Indent 3"/>
    <w:basedOn w:val="1"/>
    <w:link w:val="33"/>
    <w:qFormat/>
    <w:uiPriority w:val="0"/>
    <w:pPr>
      <w:spacing w:after="120"/>
      <w:ind w:left="420" w:leftChars="200"/>
    </w:pPr>
    <w:rPr>
      <w:sz w:val="16"/>
      <w:szCs w:val="16"/>
    </w:rPr>
  </w:style>
  <w:style w:type="paragraph" w:styleId="19">
    <w:name w:val="toc 2"/>
    <w:basedOn w:val="1"/>
    <w:next w:val="1"/>
    <w:qFormat/>
    <w:uiPriority w:val="0"/>
    <w:pPr>
      <w:ind w:left="420" w:leftChars="200"/>
    </w:pPr>
  </w:style>
  <w:style w:type="paragraph" w:styleId="20">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22">
    <w:name w:val="Table Grid"/>
    <w:basedOn w:val="2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page number"/>
    <w:basedOn w:val="23"/>
    <w:qFormat/>
    <w:uiPriority w:val="0"/>
  </w:style>
  <w:style w:type="character" w:customStyle="1" w:styleId="25">
    <w:name w:val="标题 2 Char"/>
    <w:link w:val="2"/>
    <w:qFormat/>
    <w:uiPriority w:val="0"/>
    <w:rPr>
      <w:rFonts w:ascii="Arial" w:hAnsi="Arial" w:eastAsia="黑体"/>
      <w:b/>
      <w:bCs/>
      <w:kern w:val="2"/>
      <w:sz w:val="32"/>
      <w:szCs w:val="32"/>
    </w:rPr>
  </w:style>
  <w:style w:type="character" w:customStyle="1" w:styleId="26">
    <w:name w:val="标题 3 Char"/>
    <w:basedOn w:val="23"/>
    <w:link w:val="4"/>
    <w:qFormat/>
    <w:uiPriority w:val="0"/>
    <w:rPr>
      <w:b/>
      <w:kern w:val="2"/>
      <w:sz w:val="32"/>
    </w:rPr>
  </w:style>
  <w:style w:type="character" w:customStyle="1" w:styleId="27">
    <w:name w:val="正文缩进 Char"/>
    <w:link w:val="5"/>
    <w:qFormat/>
    <w:uiPriority w:val="0"/>
    <w:rPr>
      <w:rFonts w:eastAsia="宋体"/>
      <w:kern w:val="2"/>
      <w:sz w:val="21"/>
      <w:szCs w:val="24"/>
      <w:lang w:val="en-US" w:eastAsia="zh-CN" w:bidi="ar-SA"/>
    </w:rPr>
  </w:style>
  <w:style w:type="character" w:customStyle="1" w:styleId="28">
    <w:name w:val="标题 4 Char"/>
    <w:basedOn w:val="23"/>
    <w:link w:val="6"/>
    <w:qFormat/>
    <w:uiPriority w:val="0"/>
    <w:rPr>
      <w:rFonts w:ascii="Arial" w:hAnsi="Arial" w:eastAsia="黑体"/>
      <w:b/>
      <w:bCs/>
      <w:kern w:val="2"/>
      <w:sz w:val="28"/>
      <w:szCs w:val="28"/>
    </w:rPr>
  </w:style>
  <w:style w:type="character" w:customStyle="1" w:styleId="29">
    <w:name w:val="纯文本 Char"/>
    <w:link w:val="11"/>
    <w:qFormat/>
    <w:uiPriority w:val="99"/>
    <w:rPr>
      <w:rFonts w:ascii="宋体" w:hAnsi="Courier New"/>
      <w:kern w:val="2"/>
      <w:sz w:val="21"/>
    </w:rPr>
  </w:style>
  <w:style w:type="character" w:customStyle="1" w:styleId="30">
    <w:name w:val="日期 Char"/>
    <w:basedOn w:val="23"/>
    <w:link w:val="12"/>
    <w:qFormat/>
    <w:uiPriority w:val="0"/>
    <w:rPr>
      <w:kern w:val="2"/>
      <w:sz w:val="24"/>
    </w:rPr>
  </w:style>
  <w:style w:type="character" w:customStyle="1" w:styleId="31">
    <w:name w:val="批注框文本 Char"/>
    <w:basedOn w:val="23"/>
    <w:link w:val="13"/>
    <w:qFormat/>
    <w:uiPriority w:val="0"/>
    <w:rPr>
      <w:kern w:val="2"/>
      <w:sz w:val="18"/>
      <w:szCs w:val="18"/>
    </w:rPr>
  </w:style>
  <w:style w:type="character" w:customStyle="1" w:styleId="32">
    <w:name w:val="页眉 Char"/>
    <w:link w:val="15"/>
    <w:qFormat/>
    <w:uiPriority w:val="99"/>
    <w:rPr>
      <w:kern w:val="2"/>
      <w:sz w:val="18"/>
      <w:szCs w:val="18"/>
    </w:rPr>
  </w:style>
  <w:style w:type="character" w:customStyle="1" w:styleId="33">
    <w:name w:val="正文文本缩进 3 Char"/>
    <w:basedOn w:val="23"/>
    <w:link w:val="18"/>
    <w:qFormat/>
    <w:uiPriority w:val="0"/>
    <w:rPr>
      <w:kern w:val="2"/>
      <w:sz w:val="16"/>
      <w:szCs w:val="16"/>
    </w:rPr>
  </w:style>
  <w:style w:type="character" w:customStyle="1" w:styleId="34">
    <w:name w:val="正文缩进2格 Char"/>
    <w:link w:val="35"/>
    <w:qFormat/>
    <w:uiPriority w:val="0"/>
    <w:rPr>
      <w:rFonts w:ascii="仿宋_GB2312" w:hAnsi="宋体" w:eastAsia="仿宋_GB2312"/>
      <w:sz w:val="31"/>
      <w:szCs w:val="28"/>
      <w:lang w:bidi="ar-SA"/>
    </w:rPr>
  </w:style>
  <w:style w:type="paragraph" w:customStyle="1" w:styleId="35">
    <w:name w:val="正文缩进2格"/>
    <w:basedOn w:val="1"/>
    <w:link w:val="34"/>
    <w:qFormat/>
    <w:uiPriority w:val="0"/>
    <w:pPr>
      <w:spacing w:line="600" w:lineRule="exact"/>
      <w:ind w:firstLine="639" w:firstLineChars="206"/>
    </w:pPr>
    <w:rPr>
      <w:rFonts w:ascii="仿宋_GB2312" w:hAnsi="宋体" w:eastAsia="仿宋_GB2312"/>
      <w:kern w:val="0"/>
      <w:sz w:val="31"/>
      <w:szCs w:val="28"/>
    </w:rPr>
  </w:style>
  <w:style w:type="character" w:customStyle="1" w:styleId="36">
    <w:name w:val="纯文本 Char2"/>
    <w:basedOn w:val="23"/>
    <w:qFormat/>
    <w:uiPriority w:val="0"/>
    <w:rPr>
      <w:rFonts w:ascii="宋体" w:hAnsi="Courier New" w:eastAsia="宋体"/>
      <w:kern w:val="2"/>
      <w:sz w:val="24"/>
      <w:lang w:val="en-US" w:eastAsia="zh-CN" w:bidi="ar-SA"/>
    </w:rPr>
  </w:style>
  <w:style w:type="character" w:customStyle="1" w:styleId="37">
    <w:name w:val="p0 Char"/>
    <w:link w:val="38"/>
    <w:qFormat/>
    <w:uiPriority w:val="0"/>
    <w:rPr>
      <w:sz w:val="21"/>
      <w:szCs w:val="21"/>
    </w:rPr>
  </w:style>
  <w:style w:type="paragraph" w:customStyle="1" w:styleId="38">
    <w:name w:val="p0"/>
    <w:basedOn w:val="1"/>
    <w:link w:val="37"/>
    <w:qFormat/>
    <w:uiPriority w:val="0"/>
    <w:pPr>
      <w:widowControl/>
    </w:pPr>
    <w:rPr>
      <w:kern w:val="0"/>
      <w:szCs w:val="21"/>
    </w:rPr>
  </w:style>
  <w:style w:type="character" w:customStyle="1" w:styleId="39">
    <w:name w:val="纯文本 Char1"/>
    <w:basedOn w:val="23"/>
    <w:qFormat/>
    <w:uiPriority w:val="0"/>
    <w:rPr>
      <w:rFonts w:ascii="宋体" w:hAnsi="Courier New" w:cs="Courier New"/>
      <w:kern w:val="2"/>
      <w:sz w:val="21"/>
      <w:szCs w:val="21"/>
    </w:rPr>
  </w:style>
  <w:style w:type="paragraph" w:customStyle="1" w:styleId="40">
    <w:name w:val="Char Char Char Char"/>
    <w:basedOn w:val="8"/>
    <w:qFormat/>
    <w:uiPriority w:val="0"/>
    <w:pPr>
      <w:adjustRightInd w:val="0"/>
      <w:snapToGrid w:val="0"/>
      <w:spacing w:line="360" w:lineRule="auto"/>
    </w:pPr>
    <w:rPr>
      <w:szCs w:val="20"/>
    </w:rPr>
  </w:style>
  <w:style w:type="paragraph" w:customStyle="1" w:styleId="41">
    <w:name w:val=" Char"/>
    <w:basedOn w:val="8"/>
    <w:qFormat/>
    <w:uiPriority w:val="0"/>
    <w:rPr>
      <w:rFonts w:ascii="Tahoma" w:hAnsi="Tahoma"/>
      <w:sz w:val="24"/>
    </w:rPr>
  </w:style>
  <w:style w:type="paragraph" w:customStyle="1" w:styleId="42">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43">
    <w:name w:val="Char"/>
    <w:basedOn w:val="1"/>
    <w:qFormat/>
    <w:uiPriority w:val="0"/>
    <w:pPr>
      <w:tabs>
        <w:tab w:val="left" w:pos="360"/>
      </w:tabs>
    </w:pPr>
    <w:rPr>
      <w:color w:val="000000"/>
      <w:sz w:val="24"/>
    </w:rPr>
  </w:style>
  <w:style w:type="paragraph" w:customStyle="1" w:styleId="44">
    <w:name w:val="列出段落1"/>
    <w:basedOn w:val="1"/>
    <w:qFormat/>
    <w:uiPriority w:val="0"/>
    <w:pPr>
      <w:widowControl/>
      <w:ind w:left="720"/>
      <w:contextualSpacing/>
      <w:jc w:val="left"/>
    </w:pPr>
    <w:rPr>
      <w:rFonts w:ascii="Calibri" w:hAnsi="Calibri"/>
      <w:kern w:val="0"/>
      <w:sz w:val="24"/>
      <w:lang w:eastAsia="en-US" w:bidi="en-US"/>
    </w:rPr>
  </w:style>
  <w:style w:type="paragraph" w:customStyle="1" w:styleId="45">
    <w:name w:val="msonormalcxspmiddle"/>
    <w:basedOn w:val="1"/>
    <w:qFormat/>
    <w:uiPriority w:val="0"/>
    <w:pPr>
      <w:widowControl/>
      <w:spacing w:before="100" w:beforeAutospacing="1" w:after="100" w:afterAutospacing="1"/>
      <w:jc w:val="left"/>
    </w:pPr>
    <w:rPr>
      <w:rFonts w:ascii="宋体" w:hAnsi="宋体" w:cs="宋体"/>
      <w:kern w:val="0"/>
      <w:sz w:val="24"/>
    </w:rPr>
  </w:style>
  <w:style w:type="paragraph" w:customStyle="1" w:styleId="46">
    <w:name w:val="列表段落"/>
    <w:basedOn w:val="1"/>
    <w:qFormat/>
    <w:uiPriority w:val="0"/>
    <w:pPr>
      <w:ind w:firstLine="420" w:firstLineChars="200"/>
    </w:pPr>
    <w:rPr>
      <w:szCs w:val="21"/>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microsoft.com/office/2011/relationships/people" Target="people.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8195"/>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kdc</Company>
  <Pages>51</Pages>
  <Words>4382</Words>
  <Characters>24984</Characters>
  <Lines>208</Lines>
  <Paragraphs>58</Paragraphs>
  <TotalTime>1</TotalTime>
  <ScaleCrop>false</ScaleCrop>
  <LinksUpToDate>false</LinksUpToDate>
  <CharactersWithSpaces>29308</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2019-04-16T04:01:00Z</dcterms:created>
  <dc:creator>chencd</dc:creator>
  <cp:lastModifiedBy>经天纬地 公司账号</cp:lastModifiedBy>
  <cp:lastPrinted>2019-04-16T01:48:00Z</cp:lastPrinted>
  <dcterms:modified xsi:type="dcterms:W3CDTF">2021-12-31T01:05:28Z</dcterms:modified>
  <dc:title>招标技术规格及要求</dc:title>
  <cp:revision>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0C44789F6FC542159346A6F5906D36FB</vt:lpwstr>
  </property>
</Properties>
</file>