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heme="majorEastAsia" w:hAnsiTheme="majorEastAsia" w:eastAsiaTheme="majorEastAsia"/>
          <w:bCs/>
          <w:color w:val="0C0C0C" w:themeColor="text1" w:themeTint="F2"/>
          <w:sz w:val="44"/>
          <w:szCs w:val="44"/>
        </w:rPr>
      </w:pPr>
    </w:p>
    <w:p>
      <w:pPr>
        <w:spacing w:line="360" w:lineRule="auto"/>
        <w:jc w:val="center"/>
        <w:rPr>
          <w:rFonts w:asciiTheme="majorEastAsia" w:hAnsiTheme="majorEastAsia" w:eastAsiaTheme="majorEastAsia"/>
          <w:color w:val="0C0C0C" w:themeColor="text1" w:themeTint="F2"/>
          <w:sz w:val="44"/>
          <w:szCs w:val="44"/>
        </w:rPr>
      </w:pPr>
    </w:p>
    <w:p>
      <w:pPr>
        <w:spacing w:line="360" w:lineRule="auto"/>
        <w:jc w:val="center"/>
        <w:rPr>
          <w:rFonts w:asciiTheme="majorEastAsia" w:hAnsiTheme="majorEastAsia" w:eastAsiaTheme="majorEastAsia"/>
          <w:color w:val="0C0C0C" w:themeColor="text1" w:themeTint="F2"/>
          <w:sz w:val="44"/>
          <w:szCs w:val="44"/>
        </w:rPr>
      </w:pPr>
      <w:r>
        <w:rPr>
          <w:rFonts w:hint="eastAsia" w:asciiTheme="majorEastAsia" w:hAnsiTheme="majorEastAsia" w:eastAsiaTheme="majorEastAsia"/>
          <w:color w:val="0C0C0C" w:themeColor="text1" w:themeTint="F2"/>
          <w:sz w:val="44"/>
          <w:szCs w:val="44"/>
        </w:rPr>
        <w:t>南通市通州区区管河道保洁服务</w:t>
      </w:r>
    </w:p>
    <w:p>
      <w:pPr>
        <w:spacing w:line="360" w:lineRule="auto"/>
        <w:jc w:val="center"/>
        <w:rPr>
          <w:rFonts w:asciiTheme="majorEastAsia" w:hAnsiTheme="majorEastAsia" w:eastAsiaTheme="majorEastAsia"/>
          <w:color w:val="0C0C0C" w:themeColor="text1" w:themeTint="F2"/>
          <w:sz w:val="44"/>
          <w:szCs w:val="44"/>
        </w:rPr>
      </w:pPr>
      <w:r>
        <w:rPr>
          <w:rFonts w:hint="eastAsia" w:asciiTheme="majorEastAsia" w:hAnsiTheme="majorEastAsia" w:eastAsiaTheme="majorEastAsia"/>
          <w:color w:val="0C0C0C" w:themeColor="text1" w:themeTint="F2"/>
          <w:sz w:val="44"/>
          <w:szCs w:val="44"/>
        </w:rPr>
        <w:t>（2022-2025年）</w:t>
      </w:r>
    </w:p>
    <w:p>
      <w:pPr>
        <w:rPr>
          <w:rFonts w:asciiTheme="majorEastAsia" w:hAnsiTheme="majorEastAsia" w:eastAsiaTheme="majorEastAsia"/>
          <w:color w:val="0C0C0C" w:themeColor="text1" w:themeTint="F2"/>
        </w:rPr>
      </w:pPr>
    </w:p>
    <w:p>
      <w:pPr>
        <w:jc w:val="center"/>
        <w:rPr>
          <w:rFonts w:asciiTheme="majorEastAsia" w:hAnsiTheme="majorEastAsia" w:eastAsiaTheme="majorEastAsia"/>
          <w:color w:val="0C0C0C" w:themeColor="text1" w:themeTint="F2"/>
          <w:sz w:val="84"/>
        </w:rPr>
      </w:pPr>
    </w:p>
    <w:p>
      <w:pPr>
        <w:jc w:val="center"/>
        <w:rPr>
          <w:rFonts w:asciiTheme="majorEastAsia" w:hAnsiTheme="majorEastAsia" w:eastAsiaTheme="majorEastAsia"/>
          <w:color w:val="0C0C0C" w:themeColor="text1" w:themeTint="F2"/>
          <w:sz w:val="84"/>
        </w:rPr>
      </w:pPr>
    </w:p>
    <w:p>
      <w:pPr>
        <w:jc w:val="center"/>
        <w:rPr>
          <w:rFonts w:asciiTheme="majorEastAsia" w:hAnsiTheme="majorEastAsia" w:eastAsiaTheme="majorEastAsia"/>
          <w:color w:val="0C0C0C" w:themeColor="text1" w:themeTint="F2"/>
          <w:sz w:val="84"/>
        </w:rPr>
      </w:pPr>
    </w:p>
    <w:p>
      <w:pPr>
        <w:jc w:val="center"/>
        <w:rPr>
          <w:rFonts w:asciiTheme="majorEastAsia" w:hAnsiTheme="majorEastAsia" w:eastAsiaTheme="majorEastAsia"/>
          <w:color w:val="0C0C0C" w:themeColor="text1" w:themeTint="F2"/>
          <w:sz w:val="84"/>
        </w:rPr>
      </w:pPr>
      <w:r>
        <w:rPr>
          <w:rFonts w:hint="eastAsia" w:asciiTheme="majorEastAsia" w:hAnsiTheme="majorEastAsia" w:eastAsiaTheme="majorEastAsia"/>
          <w:color w:val="0C0C0C" w:themeColor="text1" w:themeTint="F2"/>
          <w:sz w:val="84"/>
        </w:rPr>
        <w:t>招标文件</w:t>
      </w:r>
    </w:p>
    <w:p>
      <w:pPr>
        <w:jc w:val="center"/>
        <w:rPr>
          <w:rFonts w:asciiTheme="majorEastAsia" w:hAnsiTheme="majorEastAsia" w:eastAsiaTheme="majorEastAsia"/>
          <w:color w:val="0C0C0C" w:themeColor="text1" w:themeTint="F2"/>
          <w:sz w:val="32"/>
        </w:rPr>
      </w:pPr>
      <w:r>
        <w:rPr>
          <w:rFonts w:hint="eastAsia" w:asciiTheme="majorEastAsia" w:hAnsiTheme="majorEastAsia" w:eastAsiaTheme="majorEastAsia"/>
          <w:color w:val="0C0C0C" w:themeColor="text1" w:themeTint="F2"/>
          <w:sz w:val="32"/>
        </w:rPr>
        <w:t>（资格后审）</w:t>
      </w:r>
    </w:p>
    <w:p>
      <w:pPr>
        <w:jc w:val="center"/>
        <w:rPr>
          <w:rFonts w:asciiTheme="majorEastAsia" w:hAnsiTheme="majorEastAsia" w:eastAsiaTheme="majorEastAsia"/>
          <w:color w:val="0C0C0C" w:themeColor="text1" w:themeTint="F2"/>
          <w:sz w:val="32"/>
        </w:rPr>
      </w:pPr>
    </w:p>
    <w:p>
      <w:pPr>
        <w:jc w:val="center"/>
        <w:rPr>
          <w:rFonts w:asciiTheme="majorEastAsia" w:hAnsiTheme="majorEastAsia" w:eastAsiaTheme="majorEastAsia"/>
          <w:color w:val="0C0C0C" w:themeColor="text1" w:themeTint="F2"/>
          <w:sz w:val="32"/>
        </w:rPr>
      </w:pPr>
    </w:p>
    <w:p>
      <w:pPr>
        <w:jc w:val="center"/>
        <w:rPr>
          <w:rFonts w:asciiTheme="majorEastAsia" w:hAnsiTheme="majorEastAsia" w:eastAsiaTheme="majorEastAsia"/>
          <w:color w:val="0C0C0C" w:themeColor="text1" w:themeTint="F2"/>
          <w:sz w:val="32"/>
        </w:rPr>
      </w:pPr>
    </w:p>
    <w:p>
      <w:pPr>
        <w:rPr>
          <w:rFonts w:asciiTheme="majorEastAsia" w:hAnsiTheme="majorEastAsia" w:eastAsiaTheme="majorEastAsia"/>
          <w:color w:val="0C0C0C" w:themeColor="text1" w:themeTint="F2"/>
          <w:sz w:val="32"/>
        </w:rPr>
      </w:pPr>
    </w:p>
    <w:p>
      <w:pPr>
        <w:rPr>
          <w:rFonts w:asciiTheme="majorEastAsia" w:hAnsiTheme="majorEastAsia" w:eastAsiaTheme="majorEastAsia"/>
          <w:color w:val="0C0C0C" w:themeColor="text1" w:themeTint="F2"/>
          <w:sz w:val="32"/>
        </w:rPr>
      </w:pPr>
    </w:p>
    <w:p>
      <w:pPr>
        <w:spacing w:line="500" w:lineRule="exact"/>
        <w:jc w:val="center"/>
        <w:outlineLvl w:val="0"/>
        <w:rPr>
          <w:rFonts w:ascii="宋体" w:hAnsi="宋体" w:cs="宋体"/>
          <w:bCs/>
          <w:color w:val="0C0C0C" w:themeColor="text1" w:themeTint="F2"/>
          <w:sz w:val="32"/>
          <w:szCs w:val="32"/>
        </w:rPr>
      </w:pPr>
      <w:r>
        <w:rPr>
          <w:rFonts w:hint="eastAsia" w:asciiTheme="majorEastAsia" w:hAnsiTheme="majorEastAsia" w:eastAsiaTheme="majorEastAsia"/>
          <w:color w:val="0C0C0C" w:themeColor="text1" w:themeTint="F2"/>
          <w:sz w:val="32"/>
          <w:szCs w:val="32"/>
        </w:rPr>
        <w:t>采购人：</w:t>
      </w:r>
      <w:r>
        <w:rPr>
          <w:rFonts w:hint="eastAsia" w:ascii="宋体" w:hAnsi="宋体" w:cs="宋体"/>
          <w:bCs/>
          <w:color w:val="0C0C0C" w:themeColor="text1" w:themeTint="F2"/>
          <w:sz w:val="32"/>
          <w:szCs w:val="32"/>
        </w:rPr>
        <w:t>南通市通州区水利局</w:t>
      </w:r>
    </w:p>
    <w:p>
      <w:pPr>
        <w:spacing w:line="500" w:lineRule="exact"/>
        <w:jc w:val="center"/>
        <w:outlineLvl w:val="0"/>
        <w:rPr>
          <w:rFonts w:asciiTheme="majorEastAsia" w:hAnsiTheme="majorEastAsia" w:eastAsiaTheme="majorEastAsia"/>
          <w:color w:val="0C0C0C" w:themeColor="text1" w:themeTint="F2"/>
          <w:sz w:val="32"/>
          <w:szCs w:val="32"/>
        </w:rPr>
      </w:pPr>
      <w:r>
        <w:rPr>
          <w:rFonts w:hint="eastAsia" w:asciiTheme="majorEastAsia" w:hAnsiTheme="majorEastAsia" w:eastAsiaTheme="majorEastAsia"/>
          <w:color w:val="0C0C0C" w:themeColor="text1" w:themeTint="F2"/>
          <w:sz w:val="32"/>
          <w:szCs w:val="32"/>
        </w:rPr>
        <w:t>采购代理：南通市通州天元建设监理咨询有限公司</w:t>
      </w:r>
    </w:p>
    <w:p>
      <w:pPr>
        <w:spacing w:line="500" w:lineRule="exact"/>
        <w:jc w:val="center"/>
        <w:rPr>
          <w:rFonts w:asciiTheme="majorEastAsia" w:hAnsiTheme="majorEastAsia" w:eastAsiaTheme="majorEastAsia"/>
          <w:color w:val="0C0C0C" w:themeColor="text1" w:themeTint="F2"/>
          <w:sz w:val="32"/>
          <w:szCs w:val="32"/>
        </w:rPr>
      </w:pPr>
      <w:r>
        <w:rPr>
          <w:rFonts w:hint="eastAsia" w:asciiTheme="majorEastAsia" w:hAnsiTheme="majorEastAsia" w:eastAsiaTheme="majorEastAsia"/>
          <w:color w:val="0C0C0C" w:themeColor="text1" w:themeTint="F2"/>
          <w:sz w:val="32"/>
          <w:szCs w:val="32"/>
        </w:rPr>
        <w:t>2022年2月10日</w:t>
      </w:r>
    </w:p>
    <w:p>
      <w:pPr>
        <w:spacing w:line="600" w:lineRule="exact"/>
        <w:jc w:val="center"/>
        <w:rPr>
          <w:rFonts w:asciiTheme="majorEastAsia" w:hAnsiTheme="majorEastAsia" w:eastAsiaTheme="majorEastAsia"/>
          <w:color w:val="0C0C0C" w:themeColor="text1" w:themeTint="F2"/>
          <w:sz w:val="44"/>
          <w:szCs w:val="44"/>
        </w:rPr>
      </w:pPr>
      <w:r>
        <w:rPr>
          <w:rFonts w:asciiTheme="majorEastAsia" w:hAnsiTheme="majorEastAsia" w:eastAsiaTheme="majorEastAsia"/>
          <w:color w:val="0C0C0C" w:themeColor="text1" w:themeTint="F2"/>
        </w:rPr>
        <w:pict>
          <v:rect id="_x0000_s1026" o:spid="_x0000_s1026" o:spt="1" style="position:absolute;left:0pt;margin-left:185.3pt;margin-top:97.2pt;height:30.75pt;width:45.75pt;z-index:251659264;mso-width-relative:page;mso-height-relative:page;" stroked="f" coordsize="21600,21600" o:gfxdata="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Gl4utbZAAAACwEAAA8AAAAAAAAAAQAgAAAAIgAAAGRycy9kb3ducmV2LnhtbFBLAQIUABQAAAAI&#10;AIdO4kCKr/QbswEAAGwDAAAOAAAAAAAAAAEAIAAAACgBAABkcnMvZTJvRG9jLnhtbFBLBQYAAAAA&#10;BgAGAFkBAABNBQAAAAA=&#10;">
            <v:path/>
            <v:fill focussize="0,0"/>
            <v:stroke on="f"/>
            <v:imagedata o:title=""/>
            <o:lock v:ext="edit"/>
          </v:rect>
        </w:pict>
      </w:r>
      <w:r>
        <w:rPr>
          <w:rFonts w:asciiTheme="majorEastAsia" w:hAnsiTheme="majorEastAsia" w:eastAsiaTheme="majorEastAsia"/>
          <w:color w:val="0C0C0C" w:themeColor="text1" w:themeTint="F2"/>
        </w:rPr>
        <w:br w:type="page"/>
      </w:r>
      <w:r>
        <w:rPr>
          <w:rFonts w:hint="eastAsia" w:asciiTheme="majorEastAsia" w:hAnsiTheme="majorEastAsia" w:eastAsiaTheme="majorEastAsia"/>
          <w:color w:val="0C0C0C" w:themeColor="text1" w:themeTint="F2"/>
          <w:sz w:val="44"/>
          <w:szCs w:val="44"/>
        </w:rPr>
        <w:t>招标文件备案表</w:t>
      </w:r>
    </w:p>
    <w:tbl>
      <w:tblPr>
        <w:tblStyle w:val="53"/>
        <w:tblpPr w:leftFromText="180" w:rightFromText="180" w:vertAnchor="page" w:horzAnchor="page" w:tblpXSpec="center" w:tblpY="2619"/>
        <w:tblOverlap w:val="never"/>
        <w:tblW w:w="90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18"/>
        <w:gridCol w:w="60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51" w:hRule="atLeast"/>
          <w:jc w:val="center"/>
        </w:trPr>
        <w:tc>
          <w:tcPr>
            <w:tcW w:w="3018" w:type="dxa"/>
            <w:vAlign w:val="center"/>
          </w:tcPr>
          <w:p>
            <w:pPr>
              <w:jc w:val="center"/>
              <w:rPr>
                <w:rFonts w:cs="仿宋" w:asciiTheme="minorEastAsia" w:hAnsiTheme="minorEastAsia" w:eastAsiaTheme="minorEastAsia"/>
                <w:sz w:val="32"/>
                <w:szCs w:val="32"/>
              </w:rPr>
            </w:pPr>
            <w:bookmarkStart w:id="0" w:name="_Toc120614210"/>
            <w:bookmarkStart w:id="1" w:name="_Toc16938516"/>
            <w:bookmarkStart w:id="2" w:name="_Toc479757206"/>
            <w:bookmarkStart w:id="3" w:name="_Toc513029200"/>
            <w:bookmarkStart w:id="4" w:name="_Toc523127445"/>
            <w:bookmarkStart w:id="5" w:name="_Toc20823272"/>
            <w:r>
              <w:rPr>
                <w:rFonts w:hint="eastAsia" w:cs="仿宋" w:asciiTheme="minorEastAsia" w:hAnsiTheme="minorEastAsia" w:eastAsiaTheme="minorEastAsia"/>
                <w:sz w:val="32"/>
                <w:szCs w:val="32"/>
              </w:rPr>
              <w:t>采购代理</w:t>
            </w:r>
          </w:p>
        </w:tc>
        <w:tc>
          <w:tcPr>
            <w:tcW w:w="6040" w:type="dxa"/>
          </w:tcPr>
          <w:p>
            <w:pPr>
              <w:rPr>
                <w:rFonts w:cs="仿宋" w:asciiTheme="minorEastAsia" w:hAnsiTheme="minorEastAsia" w:eastAsiaTheme="minorEastAsia"/>
                <w:sz w:val="32"/>
                <w:szCs w:val="32"/>
              </w:rPr>
            </w:pPr>
          </w:p>
          <w:p>
            <w:pPr>
              <w:rPr>
                <w:rFonts w:cs="仿宋" w:asciiTheme="minorEastAsia" w:hAnsiTheme="minorEastAsia" w:eastAsiaTheme="minorEastAsia"/>
                <w:sz w:val="32"/>
                <w:szCs w:val="32"/>
              </w:rPr>
            </w:pPr>
          </w:p>
          <w:p>
            <w:pPr>
              <w:rPr>
                <w:rFonts w:cs="仿宋" w:asciiTheme="minorEastAsia" w:hAnsiTheme="minorEastAsia" w:eastAsiaTheme="minorEastAsia"/>
                <w:sz w:val="30"/>
                <w:szCs w:val="30"/>
              </w:rPr>
            </w:pPr>
            <w:r>
              <w:rPr>
                <w:rFonts w:hint="eastAsia" w:cs="仿宋" w:asciiTheme="minorEastAsia" w:hAnsiTheme="minorEastAsia" w:eastAsiaTheme="minorEastAsia"/>
                <w:sz w:val="30"/>
                <w:szCs w:val="30"/>
              </w:rPr>
              <w:t>编制人：</w:t>
            </w:r>
          </w:p>
          <w:p>
            <w:pPr>
              <w:rPr>
                <w:rFonts w:cs="仿宋" w:asciiTheme="minorEastAsia" w:hAnsiTheme="minorEastAsia" w:eastAsiaTheme="minorEastAsia"/>
                <w:sz w:val="30"/>
                <w:szCs w:val="30"/>
              </w:rPr>
            </w:pPr>
            <w:r>
              <w:rPr>
                <w:rFonts w:hint="eastAsia" w:cs="仿宋" w:asciiTheme="minorEastAsia" w:hAnsiTheme="minorEastAsia" w:eastAsiaTheme="minorEastAsia"/>
                <w:sz w:val="30"/>
                <w:szCs w:val="30"/>
              </w:rPr>
              <w:t>招标代理：  （公章）</w:t>
            </w:r>
          </w:p>
          <w:p>
            <w:pPr>
              <w:rPr>
                <w:rFonts w:cs="仿宋" w:asciiTheme="minorEastAsia" w:hAnsiTheme="minorEastAsia" w:eastAsiaTheme="minorEastAsia"/>
                <w:sz w:val="30"/>
                <w:szCs w:val="30"/>
              </w:rPr>
            </w:pPr>
          </w:p>
          <w:p>
            <w:pPr>
              <w:ind w:firstLine="3150" w:firstLineChars="1050"/>
              <w:rPr>
                <w:rFonts w:cs="仿宋" w:asciiTheme="minorEastAsia" w:hAnsiTheme="minorEastAsia" w:eastAsiaTheme="minorEastAsia"/>
                <w:sz w:val="30"/>
                <w:szCs w:val="30"/>
              </w:rPr>
            </w:pPr>
            <w:r>
              <w:rPr>
                <w:rFonts w:hint="eastAsia" w:cs="仿宋" w:asciiTheme="minorEastAsia" w:hAnsiTheme="minorEastAsia" w:eastAsiaTheme="minorEastAsia"/>
                <w:sz w:val="30"/>
                <w:szCs w:val="30"/>
              </w:rPr>
              <w:t>年  月  日</w:t>
            </w:r>
          </w:p>
          <w:p>
            <w:pPr>
              <w:rPr>
                <w:rFonts w:cs="仿宋" w:asciiTheme="minorEastAsia" w:hAnsiTheme="minorEastAsia" w:eastAsiaTheme="minorEastAsia"/>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2" w:hRule="atLeast"/>
          <w:jc w:val="center"/>
        </w:trPr>
        <w:tc>
          <w:tcPr>
            <w:tcW w:w="3018" w:type="dxa"/>
            <w:vAlign w:val="center"/>
          </w:tcPr>
          <w:p>
            <w:pPr>
              <w:jc w:val="center"/>
              <w:rPr>
                <w:rFonts w:cs="仿宋" w:asciiTheme="minorEastAsia" w:hAnsiTheme="minorEastAsia" w:eastAsiaTheme="minorEastAsia"/>
                <w:sz w:val="32"/>
                <w:szCs w:val="32"/>
              </w:rPr>
            </w:pPr>
            <w:r>
              <w:rPr>
                <w:rFonts w:hint="eastAsia" w:cs="仿宋" w:asciiTheme="minorEastAsia" w:hAnsiTheme="minorEastAsia" w:eastAsiaTheme="minorEastAsia"/>
                <w:sz w:val="32"/>
                <w:szCs w:val="32"/>
              </w:rPr>
              <w:t>采购人</w:t>
            </w:r>
          </w:p>
          <w:p>
            <w:pPr>
              <w:jc w:val="center"/>
              <w:rPr>
                <w:rFonts w:cs="仿宋" w:asciiTheme="minorEastAsia" w:hAnsiTheme="minorEastAsia" w:eastAsiaTheme="minorEastAsia"/>
                <w:szCs w:val="24"/>
              </w:rPr>
            </w:pPr>
          </w:p>
        </w:tc>
        <w:tc>
          <w:tcPr>
            <w:tcW w:w="6040" w:type="dxa"/>
          </w:tcPr>
          <w:p>
            <w:pPr>
              <w:rPr>
                <w:rFonts w:cs="仿宋" w:asciiTheme="minorEastAsia" w:hAnsiTheme="minorEastAsia" w:eastAsiaTheme="minorEastAsia"/>
                <w:sz w:val="30"/>
                <w:szCs w:val="30"/>
              </w:rPr>
            </w:pPr>
          </w:p>
          <w:p>
            <w:pPr>
              <w:rPr>
                <w:rFonts w:cs="仿宋" w:asciiTheme="minorEastAsia" w:hAnsiTheme="minorEastAsia" w:eastAsiaTheme="minorEastAsia"/>
                <w:sz w:val="30"/>
                <w:szCs w:val="30"/>
              </w:rPr>
            </w:pPr>
          </w:p>
          <w:p>
            <w:pPr>
              <w:rPr>
                <w:rFonts w:cs="仿宋" w:asciiTheme="minorEastAsia" w:hAnsiTheme="minorEastAsia" w:eastAsiaTheme="minorEastAsia"/>
                <w:sz w:val="30"/>
                <w:szCs w:val="30"/>
              </w:rPr>
            </w:pPr>
          </w:p>
          <w:p>
            <w:pPr>
              <w:rPr>
                <w:rFonts w:cs="仿宋" w:asciiTheme="minorEastAsia" w:hAnsiTheme="minorEastAsia" w:eastAsiaTheme="minorEastAsia"/>
                <w:sz w:val="30"/>
                <w:szCs w:val="30"/>
              </w:rPr>
            </w:pPr>
            <w:r>
              <w:rPr>
                <w:rFonts w:hint="eastAsia" w:cs="仿宋" w:asciiTheme="minorEastAsia" w:hAnsiTheme="minorEastAsia" w:eastAsiaTheme="minorEastAsia"/>
                <w:sz w:val="30"/>
                <w:szCs w:val="30"/>
              </w:rPr>
              <w:t>审阅人：</w:t>
            </w:r>
          </w:p>
          <w:p>
            <w:pPr>
              <w:rPr>
                <w:rFonts w:cs="仿宋" w:asciiTheme="minorEastAsia" w:hAnsiTheme="minorEastAsia" w:eastAsiaTheme="minorEastAsia"/>
                <w:sz w:val="30"/>
                <w:szCs w:val="30"/>
              </w:rPr>
            </w:pPr>
          </w:p>
          <w:p>
            <w:pPr>
              <w:rPr>
                <w:rFonts w:cs="仿宋" w:asciiTheme="minorEastAsia" w:hAnsiTheme="minorEastAsia" w:eastAsiaTheme="minorEastAsia"/>
                <w:sz w:val="30"/>
                <w:szCs w:val="30"/>
              </w:rPr>
            </w:pPr>
          </w:p>
          <w:p>
            <w:pPr>
              <w:rPr>
                <w:rFonts w:cs="仿宋" w:asciiTheme="minorEastAsia" w:hAnsiTheme="minorEastAsia" w:eastAsiaTheme="minorEastAsia"/>
                <w:sz w:val="30"/>
                <w:szCs w:val="30"/>
              </w:rPr>
            </w:pPr>
          </w:p>
          <w:p>
            <w:pPr>
              <w:rPr>
                <w:rFonts w:cs="仿宋" w:asciiTheme="minorEastAsia" w:hAnsiTheme="minorEastAsia" w:eastAsiaTheme="minorEastAsia"/>
                <w:sz w:val="30"/>
                <w:szCs w:val="30"/>
              </w:rPr>
            </w:pPr>
            <w:r>
              <w:rPr>
                <w:rFonts w:hint="eastAsia" w:cs="仿宋" w:asciiTheme="minorEastAsia" w:hAnsiTheme="minorEastAsia" w:eastAsiaTheme="minorEastAsia"/>
                <w:sz w:val="30"/>
                <w:szCs w:val="30"/>
              </w:rPr>
              <w:t>采购人（盖章）：</w:t>
            </w:r>
          </w:p>
          <w:p>
            <w:pPr>
              <w:rPr>
                <w:rFonts w:cs="仿宋" w:asciiTheme="minorEastAsia" w:hAnsiTheme="minorEastAsia" w:eastAsiaTheme="minorEastAsia"/>
                <w:szCs w:val="24"/>
              </w:rPr>
            </w:pPr>
          </w:p>
          <w:p>
            <w:pPr>
              <w:rPr>
                <w:rFonts w:cs="仿宋" w:asciiTheme="minorEastAsia" w:hAnsiTheme="minorEastAsia" w:eastAsiaTheme="minorEastAsia"/>
                <w:szCs w:val="24"/>
              </w:rPr>
            </w:pPr>
          </w:p>
          <w:p>
            <w:pPr>
              <w:rPr>
                <w:rFonts w:cs="仿宋" w:asciiTheme="minorEastAsia" w:hAnsiTheme="minorEastAsia" w:eastAsiaTheme="minorEastAsia"/>
                <w:szCs w:val="24"/>
              </w:rPr>
            </w:pPr>
          </w:p>
          <w:p>
            <w:pPr>
              <w:rPr>
                <w:rFonts w:cs="仿宋" w:asciiTheme="minorEastAsia" w:hAnsiTheme="minorEastAsia" w:eastAsiaTheme="minorEastAsia"/>
                <w:szCs w:val="24"/>
              </w:rPr>
            </w:pPr>
          </w:p>
          <w:p>
            <w:pPr>
              <w:rPr>
                <w:rFonts w:cs="仿宋" w:asciiTheme="minorEastAsia" w:hAnsiTheme="minorEastAsia" w:eastAsiaTheme="minorEastAsia"/>
                <w:szCs w:val="24"/>
              </w:rPr>
            </w:pPr>
          </w:p>
          <w:p>
            <w:pPr>
              <w:rPr>
                <w:rFonts w:cs="仿宋" w:asciiTheme="minorEastAsia" w:hAnsiTheme="minorEastAsia" w:eastAsiaTheme="minorEastAsia"/>
                <w:szCs w:val="24"/>
              </w:rPr>
            </w:pPr>
          </w:p>
          <w:p>
            <w:pPr>
              <w:rPr>
                <w:rFonts w:cs="仿宋" w:asciiTheme="minorEastAsia" w:hAnsiTheme="minorEastAsia" w:eastAsiaTheme="minorEastAsia"/>
                <w:szCs w:val="24"/>
              </w:rPr>
            </w:pPr>
          </w:p>
          <w:p>
            <w:pPr>
              <w:rPr>
                <w:rFonts w:cs="仿宋" w:asciiTheme="minorEastAsia" w:hAnsiTheme="minorEastAsia" w:eastAsiaTheme="minorEastAsia"/>
                <w:szCs w:val="24"/>
              </w:rPr>
            </w:pPr>
          </w:p>
          <w:p>
            <w:pPr>
              <w:ind w:firstLine="3300" w:firstLineChars="1100"/>
              <w:rPr>
                <w:rFonts w:cs="仿宋" w:asciiTheme="minorEastAsia" w:hAnsiTheme="minorEastAsia" w:eastAsiaTheme="minorEastAsia"/>
                <w:szCs w:val="24"/>
              </w:rPr>
            </w:pPr>
            <w:r>
              <w:rPr>
                <w:rFonts w:hint="eastAsia" w:cs="仿宋" w:asciiTheme="minorEastAsia" w:hAnsiTheme="minorEastAsia" w:eastAsiaTheme="minorEastAsia"/>
                <w:sz w:val="30"/>
                <w:szCs w:val="30"/>
              </w:rPr>
              <w:t>年  月  日</w:t>
            </w:r>
          </w:p>
        </w:tc>
      </w:tr>
    </w:tbl>
    <w:p>
      <w:pPr>
        <w:jc w:val="center"/>
        <w:rPr>
          <w:rFonts w:asciiTheme="majorEastAsia" w:hAnsiTheme="majorEastAsia" w:eastAsiaTheme="majorEastAsia"/>
          <w:color w:val="0C0C0C" w:themeColor="text1" w:themeTint="F2"/>
          <w:sz w:val="44"/>
          <w:szCs w:val="44"/>
        </w:rPr>
      </w:pPr>
    </w:p>
    <w:p>
      <w:pPr>
        <w:jc w:val="center"/>
        <w:rPr>
          <w:rFonts w:asciiTheme="majorEastAsia" w:hAnsiTheme="majorEastAsia" w:eastAsiaTheme="majorEastAsia"/>
          <w:color w:val="0C0C0C" w:themeColor="text1" w:themeTint="F2"/>
          <w:sz w:val="36"/>
          <w:szCs w:val="36"/>
        </w:rPr>
      </w:pPr>
      <w:r>
        <w:rPr>
          <w:rFonts w:hint="eastAsia" w:asciiTheme="majorEastAsia" w:hAnsiTheme="majorEastAsia" w:eastAsiaTheme="majorEastAsia"/>
          <w:color w:val="0C0C0C" w:themeColor="text1" w:themeTint="F2"/>
          <w:sz w:val="36"/>
          <w:szCs w:val="36"/>
        </w:rPr>
        <w:t>第一章  投标邀请（招标公告）</w:t>
      </w:r>
    </w:p>
    <w:bookmarkEnd w:id="0"/>
    <w:p>
      <w:pPr>
        <w:widowControl/>
        <w:adjustRightInd w:val="0"/>
        <w:snapToGrid w:val="0"/>
        <w:spacing w:line="440" w:lineRule="exact"/>
        <w:contextualSpacing/>
        <w:jc w:val="center"/>
        <w:rPr>
          <w:rFonts w:hAnsi="宋体" w:cs="宋体"/>
          <w:b/>
          <w:bCs/>
          <w:sz w:val="32"/>
          <w:szCs w:val="32"/>
        </w:rPr>
      </w:pPr>
      <w:bookmarkStart w:id="6" w:name="OLE_LINK1"/>
      <w:bookmarkStart w:id="7" w:name="_Toc120614211"/>
      <w:r>
        <w:rPr>
          <w:rFonts w:hint="eastAsia" w:hAnsi="宋体" w:cs="宋体"/>
          <w:b/>
          <w:bCs/>
          <w:sz w:val="32"/>
          <w:szCs w:val="32"/>
        </w:rPr>
        <w:t>南通市通州区区管河道保洁服务（2022-2025年）</w:t>
      </w:r>
    </w:p>
    <w:p>
      <w:pPr>
        <w:widowControl/>
        <w:adjustRightInd w:val="0"/>
        <w:snapToGrid w:val="0"/>
        <w:spacing w:line="440" w:lineRule="exact"/>
        <w:contextualSpacing/>
        <w:jc w:val="center"/>
        <w:rPr>
          <w:rFonts w:ascii="Cambria" w:hAnsi="Cambria"/>
          <w:b/>
          <w:bCs/>
          <w:kern w:val="0"/>
          <w:sz w:val="36"/>
          <w:szCs w:val="36"/>
          <w:lang w:bidi="en-US"/>
        </w:rPr>
      </w:pPr>
      <w:r>
        <w:rPr>
          <w:rFonts w:hint="eastAsia" w:hAnsi="宋体" w:cs="宋体"/>
          <w:b/>
          <w:bCs/>
          <w:sz w:val="32"/>
          <w:szCs w:val="32"/>
        </w:rPr>
        <w:t>招标公告（资格后审）</w:t>
      </w:r>
    </w:p>
    <w:p>
      <w:pPr>
        <w:spacing w:line="44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u w:val="single"/>
        </w:rPr>
        <w:t>南通市通州区区管河道保洁服务（2022-2025年）项目</w:t>
      </w:r>
      <w:r>
        <w:rPr>
          <w:rFonts w:hint="eastAsia" w:asciiTheme="minorEastAsia" w:hAnsiTheme="minorEastAsia" w:eastAsiaTheme="minorEastAsia"/>
          <w:sz w:val="24"/>
          <w:szCs w:val="24"/>
        </w:rPr>
        <w:t>,受南通市通州区水利局的委托，南通市通州天元建设监理咨询有限公司就</w:t>
      </w:r>
      <w:r>
        <w:rPr>
          <w:rFonts w:hint="eastAsia" w:asciiTheme="minorEastAsia" w:hAnsiTheme="minorEastAsia" w:eastAsiaTheme="minorEastAsia"/>
          <w:sz w:val="24"/>
          <w:szCs w:val="24"/>
          <w:u w:val="single"/>
        </w:rPr>
        <w:t>南通市通州区区管河道保洁服务（2022-2025年）</w:t>
      </w:r>
      <w:r>
        <w:rPr>
          <w:rFonts w:hint="eastAsia" w:asciiTheme="minorEastAsia" w:hAnsiTheme="minorEastAsia" w:eastAsiaTheme="minorEastAsia"/>
          <w:sz w:val="24"/>
          <w:szCs w:val="24"/>
        </w:rPr>
        <w:t xml:space="preserve"> ([项目编号:JSZC-320612-TZTY-G2022-000</w:t>
      </w:r>
      <w:r>
        <w:rPr>
          <w:rFonts w:hint="eastAsia" w:asciiTheme="minorEastAsia" w:hAnsiTheme="minorEastAsia" w:eastAsiaTheme="minorEastAsia"/>
          <w:sz w:val="24"/>
          <w:szCs w:val="24"/>
          <w:lang w:val="en-US" w:eastAsia="zh-CN"/>
        </w:rPr>
        <w:t>4</w:t>
      </w:r>
      <w:r>
        <w:rPr>
          <w:rFonts w:hint="eastAsia" w:asciiTheme="minorEastAsia" w:hAnsiTheme="minorEastAsia" w:eastAsiaTheme="minorEastAsia"/>
          <w:sz w:val="24"/>
          <w:szCs w:val="24"/>
        </w:rPr>
        <w:t>])项目进行公开招标采购，欢迎符合条件的投标人投标。</w:t>
      </w:r>
    </w:p>
    <w:p>
      <w:pPr>
        <w:pBdr>
          <w:top w:val="single" w:color="auto" w:sz="4" w:space="0"/>
          <w:left w:val="single" w:color="auto" w:sz="4" w:space="4"/>
          <w:bottom w:val="single" w:color="auto" w:sz="4" w:space="0"/>
          <w:right w:val="single" w:color="auto" w:sz="4" w:space="4"/>
        </w:pBdr>
        <w:spacing w:line="44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说明：</w:t>
      </w:r>
    </w:p>
    <w:p>
      <w:pPr>
        <w:pBdr>
          <w:top w:val="single" w:color="auto" w:sz="4" w:space="0"/>
          <w:left w:val="single" w:color="auto" w:sz="4" w:space="4"/>
          <w:bottom w:val="single" w:color="auto" w:sz="4" w:space="0"/>
          <w:right w:val="single" w:color="auto" w:sz="4" w:space="4"/>
        </w:pBdr>
        <w:spacing w:line="44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u w:val="single"/>
        </w:rPr>
        <w:t>1、南通市通州区区管河道保洁服务（2022-2025年）</w:t>
      </w:r>
      <w:r>
        <w:rPr>
          <w:rFonts w:hint="eastAsia" w:asciiTheme="minorEastAsia" w:hAnsiTheme="minorEastAsia" w:eastAsiaTheme="minorEastAsia"/>
          <w:sz w:val="24"/>
          <w:szCs w:val="24"/>
        </w:rPr>
        <w:t>的潜在投标人可在</w:t>
      </w:r>
      <w:r>
        <w:rPr>
          <w:rFonts w:hint="eastAsia" w:asciiTheme="minorEastAsia" w:hAnsiTheme="minorEastAsia" w:eastAsiaTheme="minorEastAsia"/>
          <w:sz w:val="24"/>
          <w:szCs w:val="24"/>
          <w:u w:val="single"/>
        </w:rPr>
        <w:t>“江苏省政府采购网”自行免费下载</w:t>
      </w:r>
      <w:r>
        <w:rPr>
          <w:rFonts w:hint="eastAsia" w:asciiTheme="minorEastAsia" w:hAnsiTheme="minorEastAsia" w:eastAsiaTheme="minorEastAsia"/>
          <w:sz w:val="24"/>
          <w:szCs w:val="24"/>
        </w:rPr>
        <w:t>招标文件，并于2022</w:t>
      </w:r>
      <w:r>
        <w:rPr>
          <w:rFonts w:hint="eastAsia" w:asciiTheme="minorEastAsia" w:hAnsiTheme="minorEastAsia" w:eastAsiaTheme="minorEastAsia"/>
          <w:bCs/>
          <w:sz w:val="24"/>
          <w:szCs w:val="24"/>
          <w:u w:val="single"/>
        </w:rPr>
        <w:t>年</w:t>
      </w:r>
      <w:r>
        <w:rPr>
          <w:rFonts w:hint="eastAsia" w:asciiTheme="minorEastAsia" w:hAnsiTheme="minorEastAsia" w:eastAsiaTheme="minorEastAsia"/>
          <w:bCs/>
          <w:sz w:val="24"/>
          <w:szCs w:val="24"/>
          <w:u w:val="single"/>
          <w:lang w:val="en-US" w:eastAsia="zh-CN"/>
        </w:rPr>
        <w:t>3</w:t>
      </w:r>
      <w:r>
        <w:rPr>
          <w:rFonts w:hint="eastAsia" w:asciiTheme="minorEastAsia" w:hAnsiTheme="minorEastAsia" w:eastAsiaTheme="minorEastAsia"/>
          <w:bCs/>
          <w:sz w:val="24"/>
          <w:szCs w:val="24"/>
          <w:u w:val="single"/>
        </w:rPr>
        <w:t>月</w:t>
      </w:r>
      <w:r>
        <w:rPr>
          <w:rFonts w:hint="eastAsia" w:asciiTheme="minorEastAsia" w:hAnsiTheme="minorEastAsia" w:eastAsiaTheme="minorEastAsia"/>
          <w:bCs/>
          <w:sz w:val="24"/>
          <w:szCs w:val="24"/>
          <w:u w:val="single"/>
          <w:lang w:val="en-US" w:eastAsia="zh-CN"/>
        </w:rPr>
        <w:t>16</w:t>
      </w:r>
      <w:r>
        <w:rPr>
          <w:rFonts w:hint="eastAsia" w:asciiTheme="minorEastAsia" w:hAnsiTheme="minorEastAsia" w:eastAsiaTheme="minorEastAsia"/>
          <w:bCs/>
          <w:sz w:val="24"/>
          <w:szCs w:val="24"/>
          <w:u w:val="single"/>
        </w:rPr>
        <w:t>日 9点30分（</w:t>
      </w:r>
      <w:r>
        <w:rPr>
          <w:rFonts w:hint="eastAsia" w:asciiTheme="minorEastAsia" w:hAnsiTheme="minorEastAsia" w:eastAsiaTheme="minorEastAsia"/>
          <w:bCs/>
          <w:sz w:val="24"/>
          <w:szCs w:val="24"/>
        </w:rPr>
        <w:t>北京时间）前递交投标</w:t>
      </w:r>
      <w:r>
        <w:rPr>
          <w:rFonts w:asciiTheme="minorEastAsia" w:hAnsiTheme="minorEastAsia" w:eastAsiaTheme="minorEastAsia"/>
          <w:bCs/>
          <w:sz w:val="24"/>
          <w:szCs w:val="24"/>
        </w:rPr>
        <w:t>文件</w:t>
      </w:r>
      <w:r>
        <w:rPr>
          <w:rFonts w:hint="eastAsia" w:asciiTheme="minorEastAsia" w:hAnsiTheme="minorEastAsia" w:eastAsiaTheme="minorEastAsia"/>
          <w:sz w:val="24"/>
          <w:szCs w:val="24"/>
        </w:rPr>
        <w:t>。</w:t>
      </w:r>
    </w:p>
    <w:p>
      <w:pPr>
        <w:pBdr>
          <w:top w:val="single" w:color="auto" w:sz="4" w:space="0"/>
          <w:left w:val="single" w:color="auto" w:sz="4" w:space="4"/>
          <w:bottom w:val="single" w:color="auto" w:sz="4" w:space="0"/>
          <w:right w:val="single" w:color="auto" w:sz="4" w:space="4"/>
        </w:pBdr>
        <w:spacing w:line="44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2、该项目中标单位依法确定后，由采购人与中标人签订采购合同并支付相应的款项。</w:t>
      </w:r>
    </w:p>
    <w:p>
      <w:pPr>
        <w:pStyle w:val="4"/>
        <w:overflowPunct/>
        <w:adjustRightInd/>
        <w:spacing w:line="420" w:lineRule="exact"/>
        <w:ind w:firstLine="360" w:firstLineChars="150"/>
        <w:textAlignment w:val="auto"/>
        <w:rPr>
          <w:rFonts w:cs="宋体" w:asciiTheme="minorEastAsia" w:hAnsiTheme="minorEastAsia" w:eastAsiaTheme="minorEastAsia"/>
          <w:b w:val="0"/>
          <w:sz w:val="24"/>
          <w:szCs w:val="24"/>
        </w:rPr>
      </w:pPr>
      <w:bookmarkStart w:id="8" w:name="_Toc28359079"/>
      <w:bookmarkStart w:id="9" w:name="_Toc35393790"/>
      <w:bookmarkStart w:id="10" w:name="_Toc35393621"/>
      <w:bookmarkStart w:id="11" w:name="_Toc28359002"/>
      <w:bookmarkStart w:id="12" w:name="_Toc38985263"/>
      <w:bookmarkStart w:id="13" w:name="_Hlk24379207"/>
      <w:r>
        <w:rPr>
          <w:rFonts w:hint="eastAsia" w:cs="宋体" w:asciiTheme="minorEastAsia" w:hAnsiTheme="minorEastAsia" w:eastAsiaTheme="minorEastAsia"/>
          <w:b w:val="0"/>
          <w:sz w:val="24"/>
          <w:szCs w:val="24"/>
        </w:rPr>
        <w:t>一、项目基本情况</w:t>
      </w:r>
      <w:bookmarkEnd w:id="8"/>
      <w:bookmarkEnd w:id="9"/>
      <w:bookmarkEnd w:id="10"/>
      <w:bookmarkEnd w:id="11"/>
      <w:bookmarkEnd w:id="12"/>
    </w:p>
    <w:p>
      <w:pPr>
        <w:spacing w:line="42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1.项目名称：</w:t>
      </w:r>
      <w:bookmarkEnd w:id="13"/>
      <w:r>
        <w:rPr>
          <w:rFonts w:hint="eastAsia" w:asciiTheme="minorEastAsia" w:hAnsiTheme="minorEastAsia" w:eastAsiaTheme="minorEastAsia"/>
          <w:sz w:val="24"/>
          <w:szCs w:val="24"/>
        </w:rPr>
        <w:t>南通市通州区区管河道保洁服务（2022-2025年）。</w:t>
      </w:r>
    </w:p>
    <w:p>
      <w:pPr>
        <w:spacing w:line="420" w:lineRule="exact"/>
        <w:ind w:firstLine="480" w:firstLineChars="200"/>
        <w:rPr>
          <w:rFonts w:asciiTheme="minorEastAsia" w:hAnsiTheme="minorEastAsia" w:eastAsiaTheme="minorEastAsia"/>
          <w:sz w:val="24"/>
          <w:szCs w:val="24"/>
          <w:u w:val="single"/>
        </w:rPr>
      </w:pPr>
      <w:r>
        <w:rPr>
          <w:rFonts w:hint="eastAsia" w:asciiTheme="minorEastAsia" w:hAnsiTheme="minorEastAsia" w:eastAsiaTheme="minorEastAsia"/>
          <w:sz w:val="24"/>
          <w:szCs w:val="24"/>
        </w:rPr>
        <w:t>2.项目编码：</w:t>
      </w:r>
      <w:r>
        <w:rPr>
          <w:rFonts w:hint="eastAsia" w:asciiTheme="minorEastAsia" w:hAnsiTheme="minorEastAsia" w:eastAsiaTheme="minorEastAsia"/>
          <w:sz w:val="24"/>
          <w:szCs w:val="24"/>
          <w:u w:val="single"/>
        </w:rPr>
        <w:t>JSZC-320612-TZTY-G2022-000</w:t>
      </w:r>
      <w:r>
        <w:rPr>
          <w:rFonts w:hint="eastAsia" w:asciiTheme="minorEastAsia" w:hAnsiTheme="minorEastAsia" w:eastAsiaTheme="minorEastAsia"/>
          <w:sz w:val="24"/>
          <w:szCs w:val="24"/>
          <w:u w:val="single"/>
          <w:lang w:val="en-US" w:eastAsia="zh-CN"/>
        </w:rPr>
        <w:t>4</w:t>
      </w:r>
      <w:r>
        <w:rPr>
          <w:rFonts w:hint="eastAsia" w:asciiTheme="minorEastAsia" w:hAnsiTheme="minorEastAsia" w:eastAsiaTheme="minorEastAsia"/>
          <w:sz w:val="24"/>
          <w:szCs w:val="24"/>
          <w:u w:val="single"/>
        </w:rPr>
        <w:t xml:space="preserve"> </w:t>
      </w:r>
      <w:r>
        <w:rPr>
          <w:rFonts w:hint="eastAsia" w:asciiTheme="minorEastAsia" w:hAnsiTheme="minorEastAsia" w:eastAsiaTheme="minorEastAsia"/>
          <w:sz w:val="24"/>
          <w:szCs w:val="24"/>
        </w:rPr>
        <w:t>。</w:t>
      </w:r>
    </w:p>
    <w:p>
      <w:pPr>
        <w:spacing w:line="42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3.预算金额：人民币</w:t>
      </w:r>
      <w:r>
        <w:rPr>
          <w:rFonts w:hint="eastAsia" w:asciiTheme="minorEastAsia" w:hAnsiTheme="minorEastAsia" w:eastAsiaTheme="minorEastAsia"/>
          <w:sz w:val="24"/>
          <w:szCs w:val="24"/>
          <w:u w:val="single"/>
        </w:rPr>
        <w:t xml:space="preserve">  604.5 </w:t>
      </w:r>
      <w:r>
        <w:rPr>
          <w:rFonts w:hint="eastAsia" w:asciiTheme="minorEastAsia" w:hAnsiTheme="minorEastAsia" w:eastAsiaTheme="minorEastAsia"/>
          <w:sz w:val="24"/>
          <w:szCs w:val="24"/>
        </w:rPr>
        <w:t>万元。</w:t>
      </w:r>
    </w:p>
    <w:p>
      <w:pPr>
        <w:spacing w:line="42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4.本项目</w:t>
      </w:r>
      <w:r>
        <w:rPr>
          <w:rFonts w:hint="eastAsia" w:asciiTheme="minorEastAsia" w:hAnsiTheme="minorEastAsia" w:eastAsiaTheme="minorEastAsia"/>
          <w:sz w:val="24"/>
          <w:szCs w:val="24"/>
          <w:u w:val="single"/>
        </w:rPr>
        <w:t>设定</w:t>
      </w:r>
      <w:r>
        <w:rPr>
          <w:rFonts w:hint="eastAsia" w:asciiTheme="minorEastAsia" w:hAnsiTheme="minorEastAsia" w:eastAsiaTheme="minorEastAsia"/>
          <w:sz w:val="24"/>
          <w:szCs w:val="24"/>
        </w:rPr>
        <w:t>（设定/不设定）最高限价，一标段：人民币</w:t>
      </w:r>
      <w:r>
        <w:rPr>
          <w:rFonts w:hint="eastAsia" w:asciiTheme="minorEastAsia" w:hAnsiTheme="minorEastAsia" w:eastAsiaTheme="minorEastAsia"/>
          <w:sz w:val="24"/>
          <w:szCs w:val="24"/>
          <w:u w:val="single"/>
        </w:rPr>
        <w:t>202.8</w:t>
      </w:r>
      <w:r>
        <w:rPr>
          <w:rFonts w:hint="eastAsia" w:asciiTheme="minorEastAsia" w:hAnsiTheme="minorEastAsia" w:eastAsiaTheme="minorEastAsia"/>
          <w:sz w:val="24"/>
          <w:szCs w:val="24"/>
        </w:rPr>
        <w:t>万元；二标段：人民币</w:t>
      </w:r>
      <w:r>
        <w:rPr>
          <w:rFonts w:hint="eastAsia" w:asciiTheme="minorEastAsia" w:hAnsiTheme="minorEastAsia" w:eastAsiaTheme="minorEastAsia"/>
          <w:sz w:val="24"/>
          <w:szCs w:val="24"/>
          <w:u w:val="single"/>
        </w:rPr>
        <w:t>197.08</w:t>
      </w:r>
      <w:r>
        <w:rPr>
          <w:rFonts w:hint="eastAsia" w:asciiTheme="minorEastAsia" w:hAnsiTheme="minorEastAsia" w:eastAsiaTheme="minorEastAsia"/>
          <w:sz w:val="24"/>
          <w:szCs w:val="24"/>
        </w:rPr>
        <w:t>万元；三标段：人民币</w:t>
      </w:r>
      <w:r>
        <w:rPr>
          <w:rFonts w:hint="eastAsia" w:asciiTheme="minorEastAsia" w:hAnsiTheme="minorEastAsia" w:eastAsiaTheme="minorEastAsia"/>
          <w:sz w:val="24"/>
          <w:szCs w:val="24"/>
          <w:u w:val="single"/>
        </w:rPr>
        <w:t xml:space="preserve"> 204.62 </w:t>
      </w:r>
      <w:r>
        <w:rPr>
          <w:rFonts w:hint="eastAsia" w:asciiTheme="minorEastAsia" w:hAnsiTheme="minorEastAsia" w:eastAsiaTheme="minorEastAsia"/>
          <w:sz w:val="24"/>
          <w:szCs w:val="24"/>
        </w:rPr>
        <w:t>万元。</w:t>
      </w:r>
    </w:p>
    <w:p>
      <w:pPr>
        <w:spacing w:line="44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5.采购需求：</w:t>
      </w:r>
      <w:bookmarkStart w:id="14" w:name="_Toc35393791"/>
      <w:bookmarkStart w:id="15" w:name="_Toc28359080"/>
      <w:bookmarkStart w:id="16" w:name="_Toc35393622"/>
      <w:bookmarkStart w:id="17" w:name="_Toc28359003"/>
      <w:bookmarkStart w:id="18" w:name="_Toc38985264"/>
    </w:p>
    <w:p>
      <w:pPr>
        <w:spacing w:line="44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（1）项目概况：我区河道保洁实行分级负责。其中，6条一级河道、22条二级河道及17条重要三级河道由区级负责（统称区管保洁河道），本轮保洁服务共计45条河道，总长465</w:t>
      </w:r>
      <w:r>
        <w:rPr>
          <w:rFonts w:asciiTheme="minorEastAsia" w:hAnsiTheme="minorEastAsia" w:eastAsiaTheme="minorEastAsia"/>
          <w:sz w:val="24"/>
          <w:szCs w:val="24"/>
        </w:rPr>
        <w:t>公里</w:t>
      </w:r>
      <w:r>
        <w:rPr>
          <w:rFonts w:hint="eastAsia" w:asciiTheme="minorEastAsia" w:hAnsiTheme="minorEastAsia" w:eastAsiaTheme="minorEastAsia"/>
          <w:sz w:val="24"/>
          <w:szCs w:val="24"/>
        </w:rPr>
        <w:t>；</w:t>
      </w:r>
      <w:r>
        <w:rPr>
          <w:rFonts w:asciiTheme="minorEastAsia" w:hAnsiTheme="minorEastAsia" w:eastAsiaTheme="minorEastAsia"/>
          <w:sz w:val="24"/>
          <w:szCs w:val="24"/>
        </w:rPr>
        <w:t>共分3个标段，</w:t>
      </w:r>
      <w:r>
        <w:rPr>
          <w:rFonts w:hint="eastAsia" w:asciiTheme="minorEastAsia" w:hAnsiTheme="minorEastAsia" w:eastAsiaTheme="minorEastAsia"/>
          <w:sz w:val="24"/>
          <w:szCs w:val="24"/>
        </w:rPr>
        <w:t>具体如下：</w:t>
      </w:r>
    </w:p>
    <w:p>
      <w:pPr>
        <w:spacing w:line="44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一标段：通启运河、新江海河、团结河、竖石河、余丰河、海门河、运盐河、通甲河、庙桥竖河、余西竖河、袁灶竖河、忠义竖河、十总竖河、圩亭河、向阳河、东社闸河、翻身河、西一河共18条河道，共计约156公里。</w:t>
      </w:r>
    </w:p>
    <w:p>
      <w:pPr>
        <w:spacing w:line="42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二标段：通吕运河、遥望港、团结河、亭石河、余丰河、团遥河、西二河、滥港河、五甲港、五甲河、爱儿竖河、爱东竖河、望江河、十总横河共13条河道，共计约151.6公里。</w:t>
      </w:r>
    </w:p>
    <w:p>
      <w:pPr>
        <w:spacing w:line="42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三标段：通扬运河、九圩港、团结河、兴石河、九洋河、江海河、刘新河、英雄竖河、幸福竖河、新生竖河、小李港、新捕河、平五河、五爻中心横河、北新捕河、四安横河、平南河共17条河道，共计约157.4公里。</w:t>
      </w:r>
    </w:p>
    <w:p>
      <w:pPr>
        <w:spacing w:line="44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潜在投标人可三个标段同时投标，但只能按开、评标顺序中其中1个标段，开标、评标按一标段→二标段→三标段的顺序进行。</w:t>
      </w:r>
    </w:p>
    <w:p>
      <w:pPr>
        <w:spacing w:line="440" w:lineRule="exact"/>
        <w:ind w:firstLine="360" w:firstLineChars="150"/>
        <w:rPr>
          <w:rFonts w:asciiTheme="minorEastAsia" w:hAnsiTheme="minorEastAsia" w:eastAsiaTheme="minorEastAsia"/>
          <w:sz w:val="24"/>
          <w:szCs w:val="24"/>
        </w:rPr>
      </w:pPr>
      <w:r>
        <w:rPr>
          <w:rFonts w:hint="eastAsia" w:asciiTheme="minorEastAsia" w:hAnsiTheme="minorEastAsia" w:eastAsiaTheme="minorEastAsia"/>
          <w:sz w:val="24"/>
          <w:szCs w:val="24"/>
        </w:rPr>
        <w:t>（2）质量要求：符合《南通市通州区农村河道长效管理办法》、《南通市通州区区管河道长效管理考核细则》及合同专用条款要求。</w:t>
      </w:r>
    </w:p>
    <w:p>
      <w:pPr>
        <w:spacing w:line="44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（3）服务期限：三年（2022年4月1日—2025年3月31日），每年度进行一次综合考核评估，达标后续签合同，一年一签。</w:t>
      </w:r>
    </w:p>
    <w:p>
      <w:pPr>
        <w:pStyle w:val="4"/>
        <w:overflowPunct/>
        <w:adjustRightInd/>
        <w:spacing w:line="420" w:lineRule="exact"/>
        <w:textAlignment w:val="auto"/>
        <w:rPr>
          <w:rFonts w:cs="宋体" w:asciiTheme="minorEastAsia" w:hAnsiTheme="minorEastAsia" w:eastAsiaTheme="minorEastAsia"/>
          <w:b w:val="0"/>
          <w:sz w:val="24"/>
          <w:szCs w:val="24"/>
        </w:rPr>
      </w:pPr>
      <w:r>
        <w:rPr>
          <w:rFonts w:hint="eastAsia" w:cs="宋体" w:asciiTheme="minorEastAsia" w:hAnsiTheme="minorEastAsia" w:eastAsiaTheme="minorEastAsia"/>
          <w:b w:val="0"/>
          <w:sz w:val="24"/>
          <w:szCs w:val="24"/>
        </w:rPr>
        <w:t>二、申请人的资格要求：</w:t>
      </w:r>
      <w:bookmarkEnd w:id="14"/>
      <w:bookmarkEnd w:id="15"/>
      <w:bookmarkEnd w:id="16"/>
      <w:bookmarkEnd w:id="17"/>
      <w:bookmarkEnd w:id="18"/>
    </w:p>
    <w:p>
      <w:pPr>
        <w:spacing w:line="420" w:lineRule="exact"/>
        <w:ind w:firstLine="480" w:firstLineChars="200"/>
        <w:rPr>
          <w:rFonts w:asciiTheme="minorEastAsia" w:hAnsiTheme="minorEastAsia" w:eastAsiaTheme="minorEastAsia"/>
          <w:sz w:val="24"/>
          <w:szCs w:val="24"/>
        </w:rPr>
      </w:pPr>
      <w:bookmarkStart w:id="19" w:name="_Toc35393623"/>
      <w:bookmarkStart w:id="20" w:name="_Toc35393792"/>
      <w:bookmarkStart w:id="21" w:name="_Toc28359004"/>
      <w:bookmarkStart w:id="22" w:name="_Toc38985265"/>
      <w:bookmarkStart w:id="23" w:name="_Toc28359081"/>
      <w:r>
        <w:rPr>
          <w:rFonts w:hint="eastAsia" w:asciiTheme="minorEastAsia" w:hAnsiTheme="minorEastAsia" w:eastAsiaTheme="minorEastAsia"/>
          <w:sz w:val="24"/>
          <w:szCs w:val="24"/>
        </w:rPr>
        <w:t>1.满足《中华人民共和国政府采购法》第二十二条规定，并提供下列材料：</w:t>
      </w:r>
    </w:p>
    <w:p>
      <w:pPr>
        <w:spacing w:line="44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1.1 企业法人营业执照；</w:t>
      </w:r>
    </w:p>
    <w:p>
      <w:pPr>
        <w:spacing w:line="44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1.2上一年度的财务状况报告或开户银行资信证明；</w:t>
      </w:r>
    </w:p>
    <w:p>
      <w:pPr>
        <w:spacing w:line="440" w:lineRule="exact"/>
        <w:ind w:firstLine="480" w:firstLineChars="200"/>
        <w:rPr>
          <w:rFonts w:asciiTheme="minorEastAsia" w:hAnsiTheme="minorEastAsia" w:eastAsiaTheme="minorEastAsia"/>
          <w:color w:val="0C0C0C" w:themeColor="text1" w:themeTint="F2"/>
          <w:sz w:val="24"/>
          <w:szCs w:val="24"/>
        </w:rPr>
      </w:pPr>
      <w:r>
        <w:rPr>
          <w:rFonts w:hint="eastAsia" w:asciiTheme="minorEastAsia" w:hAnsiTheme="minorEastAsia" w:eastAsiaTheme="minorEastAsia"/>
          <w:color w:val="0C0C0C" w:themeColor="text1" w:themeTint="F2"/>
          <w:sz w:val="24"/>
          <w:szCs w:val="24"/>
        </w:rPr>
        <w:t>1.3依法缴纳税收和社会保障资金的相关材料（提供提交投标文件截止时间前一年内至少一个月依法缴纳税收及缴纳社会保障资金的证明材料，投标人依法享受缓缴、免缴税收、社会保障资金的提供证明材料）；</w:t>
      </w:r>
    </w:p>
    <w:p>
      <w:pPr>
        <w:spacing w:line="44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1.4具备履行合同所必需的设备和专业技术能力的证明材料 ；</w:t>
      </w:r>
    </w:p>
    <w:p>
      <w:pPr>
        <w:spacing w:line="44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1.5参加政府采购活动前3年内在经营活动中没有重大违法记录的书面声明；</w:t>
      </w:r>
    </w:p>
    <w:p>
      <w:pPr>
        <w:spacing w:line="44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1.6未被“信用中国”网站（www.creditchina.gov.cn）列入失信被执行人、重大税收违法案件当事人名单、政府采购严重失信行为记录名单。</w:t>
      </w:r>
    </w:p>
    <w:p>
      <w:pPr>
        <w:spacing w:line="440" w:lineRule="exact"/>
        <w:ind w:firstLine="480" w:firstLineChars="200"/>
        <w:rPr>
          <w:rFonts w:asciiTheme="minorEastAsia" w:hAnsiTheme="minorEastAsia" w:eastAsiaTheme="minorEastAsia"/>
          <w:sz w:val="24"/>
          <w:szCs w:val="24"/>
        </w:rPr>
      </w:pPr>
      <w:r>
        <w:rPr>
          <w:rFonts w:asciiTheme="minorEastAsia" w:hAnsiTheme="minorEastAsia" w:eastAsiaTheme="minorEastAsia"/>
          <w:sz w:val="24"/>
          <w:szCs w:val="24"/>
        </w:rPr>
        <w:t>2</w:t>
      </w:r>
      <w:r>
        <w:rPr>
          <w:rFonts w:hint="eastAsia" w:asciiTheme="minorEastAsia" w:hAnsiTheme="minorEastAsia" w:eastAsiaTheme="minorEastAsia"/>
          <w:sz w:val="24"/>
          <w:szCs w:val="24"/>
        </w:rPr>
        <w:t>.落实政府采购政策需满足的资格要求：无。</w:t>
      </w:r>
    </w:p>
    <w:p>
      <w:pPr>
        <w:spacing w:line="44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3.本项目的特定资格要求：</w:t>
      </w:r>
    </w:p>
    <w:p>
      <w:pPr>
        <w:spacing w:line="44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3.1拟派项目负责人资格：投标单位正式员工，年龄60周岁以下，高中及以上学历或有保洁、物业等相关管理工作经验，限男性；</w:t>
      </w:r>
    </w:p>
    <w:p>
      <w:pPr>
        <w:spacing w:line="44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3.2本项目不接受联合体投标；</w:t>
      </w:r>
    </w:p>
    <w:p>
      <w:pPr>
        <w:spacing w:line="440" w:lineRule="exact"/>
        <w:ind w:firstLine="480"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3.3本项目不接受进口产品投标。</w:t>
      </w:r>
    </w:p>
    <w:p>
      <w:pPr>
        <w:pStyle w:val="4"/>
        <w:overflowPunct/>
        <w:adjustRightInd/>
        <w:spacing w:line="440" w:lineRule="exact"/>
        <w:textAlignment w:val="auto"/>
        <w:rPr>
          <w:rFonts w:asciiTheme="minorEastAsia" w:hAnsiTheme="minorEastAsia" w:eastAsiaTheme="minorEastAsia"/>
          <w:b w:val="0"/>
          <w:sz w:val="24"/>
          <w:szCs w:val="24"/>
        </w:rPr>
      </w:pPr>
      <w:r>
        <w:rPr>
          <w:rFonts w:hint="eastAsia" w:cs="宋体" w:asciiTheme="minorEastAsia" w:hAnsiTheme="minorEastAsia" w:eastAsiaTheme="minorEastAsia"/>
          <w:b w:val="0"/>
          <w:sz w:val="24"/>
          <w:szCs w:val="24"/>
        </w:rPr>
        <w:t>三、获取招标文件</w:t>
      </w:r>
      <w:bookmarkEnd w:id="19"/>
      <w:bookmarkEnd w:id="20"/>
      <w:bookmarkEnd w:id="21"/>
      <w:bookmarkEnd w:id="22"/>
      <w:bookmarkEnd w:id="23"/>
    </w:p>
    <w:p>
      <w:pPr>
        <w:spacing w:line="440" w:lineRule="exact"/>
        <w:ind w:firstLine="540"/>
        <w:rPr>
          <w:rFonts w:cs="宋体" w:asciiTheme="minorEastAsia" w:hAnsiTheme="minorEastAsia" w:eastAsiaTheme="minorEastAsia"/>
          <w:sz w:val="24"/>
          <w:szCs w:val="24"/>
        </w:rPr>
      </w:pPr>
      <w:bookmarkStart w:id="24" w:name="_Toc28359005"/>
      <w:bookmarkStart w:id="25" w:name="_Toc28359082"/>
      <w:bookmarkStart w:id="26" w:name="_Toc35393793"/>
      <w:bookmarkStart w:id="27" w:name="_Toc35393624"/>
      <w:bookmarkStart w:id="28" w:name="_Toc38985266"/>
      <w:r>
        <w:rPr>
          <w:rFonts w:hint="eastAsia" w:cs="宋体" w:asciiTheme="minorEastAsia" w:hAnsiTheme="minorEastAsia" w:eastAsiaTheme="minorEastAsia"/>
          <w:sz w:val="24"/>
          <w:szCs w:val="24"/>
        </w:rPr>
        <w:t>1.时间：</w:t>
      </w:r>
      <w:r>
        <w:rPr>
          <w:rFonts w:hint="eastAsia" w:cs="宋体" w:asciiTheme="minorEastAsia" w:hAnsiTheme="minorEastAsia" w:eastAsiaTheme="minorEastAsia"/>
          <w:sz w:val="24"/>
          <w:szCs w:val="24"/>
          <w:u w:val="single"/>
        </w:rPr>
        <w:t>自招标公告发布之日起20日。</w:t>
      </w:r>
    </w:p>
    <w:p>
      <w:pPr>
        <w:spacing w:line="440" w:lineRule="exact"/>
        <w:ind w:firstLine="540"/>
        <w:rPr>
          <w:rFonts w:cs="宋体" w:asciiTheme="minorEastAsia" w:hAnsiTheme="minorEastAsia" w:eastAsiaTheme="minorEastAsia"/>
          <w:sz w:val="24"/>
          <w:szCs w:val="24"/>
          <w:u w:val="single"/>
        </w:rPr>
      </w:pPr>
      <w:r>
        <w:rPr>
          <w:rFonts w:hint="eastAsia" w:cs="宋体" w:asciiTheme="minorEastAsia" w:hAnsiTheme="minorEastAsia" w:eastAsiaTheme="minorEastAsia"/>
          <w:sz w:val="24"/>
          <w:szCs w:val="24"/>
        </w:rPr>
        <w:t>2.方式：在“江苏省政府采购网”自行免费下载招标文件。</w:t>
      </w:r>
    </w:p>
    <w:p>
      <w:pPr>
        <w:pStyle w:val="4"/>
        <w:overflowPunct/>
        <w:adjustRightInd/>
        <w:spacing w:line="440" w:lineRule="exact"/>
        <w:textAlignment w:val="auto"/>
        <w:rPr>
          <w:rFonts w:cs="宋体" w:asciiTheme="minorEastAsia" w:hAnsiTheme="minorEastAsia" w:eastAsiaTheme="minorEastAsia"/>
          <w:b w:val="0"/>
          <w:sz w:val="24"/>
          <w:szCs w:val="24"/>
        </w:rPr>
      </w:pPr>
      <w:r>
        <w:rPr>
          <w:rFonts w:hint="eastAsia" w:cs="宋体" w:asciiTheme="minorEastAsia" w:hAnsiTheme="minorEastAsia" w:eastAsiaTheme="minorEastAsia"/>
          <w:b w:val="0"/>
          <w:sz w:val="24"/>
          <w:szCs w:val="24"/>
        </w:rPr>
        <w:t>四、提交投标文件</w:t>
      </w:r>
      <w:bookmarkEnd w:id="24"/>
      <w:bookmarkEnd w:id="25"/>
      <w:r>
        <w:rPr>
          <w:rFonts w:hint="eastAsia" w:cs="宋体" w:asciiTheme="minorEastAsia" w:hAnsiTheme="minorEastAsia" w:eastAsiaTheme="minorEastAsia"/>
          <w:b w:val="0"/>
          <w:sz w:val="24"/>
          <w:szCs w:val="24"/>
        </w:rPr>
        <w:t>截止时间、开标时间和地点</w:t>
      </w:r>
      <w:bookmarkEnd w:id="26"/>
      <w:bookmarkEnd w:id="27"/>
      <w:bookmarkEnd w:id="28"/>
    </w:p>
    <w:p>
      <w:pPr>
        <w:spacing w:line="440" w:lineRule="exact"/>
        <w:ind w:firstLine="480" w:firstLineChars="200"/>
        <w:rPr>
          <w:rFonts w:asciiTheme="minorEastAsia" w:hAnsiTheme="minorEastAsia" w:eastAsiaTheme="minorEastAsia"/>
          <w:bCs/>
          <w:sz w:val="24"/>
          <w:szCs w:val="24"/>
        </w:rPr>
      </w:pPr>
      <w:r>
        <w:rPr>
          <w:rFonts w:hint="eastAsia" w:asciiTheme="minorEastAsia" w:hAnsiTheme="minorEastAsia" w:eastAsiaTheme="minorEastAsia"/>
          <w:bCs/>
          <w:sz w:val="24"/>
          <w:szCs w:val="24"/>
          <w:u w:val="single"/>
        </w:rPr>
        <w:t>1.</w:t>
      </w:r>
      <w:r>
        <w:rPr>
          <w:rFonts w:hint="eastAsia" w:asciiTheme="minorEastAsia" w:hAnsiTheme="minorEastAsia" w:eastAsiaTheme="minorEastAsia"/>
          <w:b/>
          <w:bCs/>
          <w:sz w:val="24"/>
          <w:szCs w:val="24"/>
          <w:u w:val="single"/>
        </w:rPr>
        <w:t>2022年</w:t>
      </w:r>
      <w:r>
        <w:rPr>
          <w:rFonts w:hint="eastAsia" w:asciiTheme="minorEastAsia" w:hAnsiTheme="minorEastAsia" w:eastAsiaTheme="minorEastAsia"/>
          <w:b/>
          <w:bCs/>
          <w:sz w:val="24"/>
          <w:szCs w:val="24"/>
          <w:u w:val="single"/>
          <w:lang w:val="en-US" w:eastAsia="zh-CN"/>
        </w:rPr>
        <w:t>3</w:t>
      </w:r>
      <w:r>
        <w:rPr>
          <w:rFonts w:hint="eastAsia" w:asciiTheme="minorEastAsia" w:hAnsiTheme="minorEastAsia" w:eastAsiaTheme="minorEastAsia"/>
          <w:b/>
          <w:bCs/>
          <w:sz w:val="24"/>
          <w:szCs w:val="24"/>
          <w:u w:val="single"/>
        </w:rPr>
        <w:t>月</w:t>
      </w:r>
      <w:r>
        <w:rPr>
          <w:rFonts w:hint="eastAsia" w:asciiTheme="minorEastAsia" w:hAnsiTheme="minorEastAsia" w:eastAsiaTheme="minorEastAsia"/>
          <w:b/>
          <w:bCs/>
          <w:sz w:val="24"/>
          <w:szCs w:val="24"/>
          <w:u w:val="single"/>
          <w:lang w:val="en-US" w:eastAsia="zh-CN"/>
        </w:rPr>
        <w:t>16</w:t>
      </w:r>
      <w:r>
        <w:rPr>
          <w:rFonts w:hint="eastAsia" w:asciiTheme="minorEastAsia" w:hAnsiTheme="minorEastAsia" w:eastAsiaTheme="minorEastAsia"/>
          <w:b/>
          <w:bCs/>
          <w:sz w:val="24"/>
          <w:szCs w:val="24"/>
          <w:u w:val="single"/>
        </w:rPr>
        <w:t>日 9点 30分</w:t>
      </w:r>
      <w:r>
        <w:rPr>
          <w:rFonts w:hint="eastAsia" w:asciiTheme="minorEastAsia" w:hAnsiTheme="minorEastAsia" w:eastAsiaTheme="minorEastAsia"/>
          <w:b/>
          <w:bCs/>
          <w:sz w:val="24"/>
          <w:szCs w:val="24"/>
        </w:rPr>
        <w:t>（北京时间）</w:t>
      </w:r>
    </w:p>
    <w:p>
      <w:pPr>
        <w:spacing w:line="440" w:lineRule="exact"/>
        <w:ind w:firstLine="480" w:firstLineChars="200"/>
        <w:rPr>
          <w:rFonts w:asciiTheme="minorEastAsia" w:hAnsiTheme="minorEastAsia" w:eastAsiaTheme="minorEastAsia"/>
          <w:bCs/>
          <w:sz w:val="24"/>
          <w:szCs w:val="24"/>
          <w:u w:val="single"/>
        </w:rPr>
      </w:pPr>
      <w:r>
        <w:rPr>
          <w:rFonts w:hint="eastAsia" w:asciiTheme="minorEastAsia" w:hAnsiTheme="minorEastAsia" w:eastAsiaTheme="minorEastAsia"/>
          <w:sz w:val="24"/>
          <w:szCs w:val="24"/>
          <w:u w:val="single"/>
        </w:rPr>
        <w:t>2.地点：南通市通州区公共资源交易中心</w:t>
      </w:r>
      <w:r>
        <w:rPr>
          <w:rFonts w:hint="eastAsia" w:asciiTheme="minorEastAsia" w:hAnsiTheme="minorEastAsia" w:eastAsiaTheme="minorEastAsia"/>
          <w:sz w:val="24"/>
          <w:szCs w:val="24"/>
          <w:u w:val="single"/>
          <w:lang w:val="en-US" w:eastAsia="zh-CN"/>
        </w:rPr>
        <w:t>3050</w:t>
      </w:r>
      <w:r>
        <w:rPr>
          <w:rFonts w:hint="eastAsia" w:asciiTheme="minorEastAsia" w:hAnsiTheme="minorEastAsia" w:eastAsiaTheme="minorEastAsia"/>
          <w:sz w:val="24"/>
          <w:szCs w:val="24"/>
          <w:u w:val="single"/>
        </w:rPr>
        <w:t>开标室(具体标室见交易中心开标大屏)（地址：南通市通州区碧华路197号、区政府服务中心三楼东侧）。</w:t>
      </w:r>
    </w:p>
    <w:p>
      <w:pPr>
        <w:pStyle w:val="4"/>
        <w:overflowPunct/>
        <w:adjustRightInd/>
        <w:spacing w:line="440" w:lineRule="exact"/>
        <w:textAlignment w:val="auto"/>
        <w:rPr>
          <w:rFonts w:cs="宋体" w:asciiTheme="minorEastAsia" w:hAnsiTheme="minorEastAsia" w:eastAsiaTheme="minorEastAsia"/>
          <w:b w:val="0"/>
          <w:sz w:val="24"/>
          <w:szCs w:val="24"/>
        </w:rPr>
      </w:pPr>
      <w:bookmarkStart w:id="29" w:name="_Toc38985267"/>
      <w:bookmarkStart w:id="30" w:name="_Toc28359084"/>
      <w:bookmarkStart w:id="31" w:name="_Toc35393794"/>
      <w:bookmarkStart w:id="32" w:name="_Toc28359007"/>
      <w:bookmarkStart w:id="33" w:name="_Toc35393625"/>
      <w:r>
        <w:rPr>
          <w:rFonts w:hint="eastAsia" w:cs="宋体" w:asciiTheme="minorEastAsia" w:hAnsiTheme="minorEastAsia" w:eastAsiaTheme="minorEastAsia"/>
          <w:b w:val="0"/>
          <w:sz w:val="24"/>
          <w:szCs w:val="24"/>
        </w:rPr>
        <w:t>五、公告期限</w:t>
      </w:r>
      <w:bookmarkEnd w:id="29"/>
      <w:bookmarkEnd w:id="30"/>
      <w:bookmarkEnd w:id="31"/>
      <w:bookmarkEnd w:id="32"/>
      <w:bookmarkEnd w:id="33"/>
    </w:p>
    <w:p>
      <w:pPr>
        <w:spacing w:line="440" w:lineRule="exact"/>
        <w:ind w:firstLine="480" w:firstLineChars="200"/>
        <w:rPr>
          <w:rFonts w:cs="宋体" w:asciiTheme="minorEastAsia" w:hAnsiTheme="minorEastAsia" w:eastAsiaTheme="minorEastAsia"/>
          <w:b/>
          <w:kern w:val="0"/>
          <w:sz w:val="24"/>
          <w:szCs w:val="24"/>
        </w:rPr>
      </w:pPr>
      <w:r>
        <w:rPr>
          <w:rFonts w:hint="eastAsia" w:cs="宋体" w:asciiTheme="minorEastAsia" w:hAnsiTheme="minorEastAsia" w:eastAsiaTheme="minorEastAsia"/>
          <w:kern w:val="0"/>
          <w:sz w:val="24"/>
          <w:szCs w:val="24"/>
        </w:rPr>
        <w:t>招标公告及招标文件公告期限为</w:t>
      </w:r>
      <w:r>
        <w:rPr>
          <w:rFonts w:hint="eastAsia" w:cs="宋体" w:asciiTheme="minorEastAsia" w:hAnsiTheme="minorEastAsia" w:eastAsiaTheme="minorEastAsia"/>
          <w:b/>
          <w:kern w:val="0"/>
          <w:sz w:val="24"/>
          <w:szCs w:val="24"/>
        </w:rPr>
        <w:t>2022年</w:t>
      </w:r>
      <w:r>
        <w:rPr>
          <w:rFonts w:hint="eastAsia" w:cs="宋体" w:asciiTheme="minorEastAsia" w:hAnsiTheme="minorEastAsia" w:eastAsiaTheme="minorEastAsia"/>
          <w:b/>
          <w:kern w:val="0"/>
          <w:sz w:val="24"/>
          <w:szCs w:val="24"/>
          <w:lang w:val="en-US" w:eastAsia="zh-CN"/>
        </w:rPr>
        <w:t>2</w:t>
      </w:r>
      <w:r>
        <w:rPr>
          <w:rFonts w:hint="eastAsia" w:cs="宋体" w:asciiTheme="minorEastAsia" w:hAnsiTheme="minorEastAsia" w:eastAsiaTheme="minorEastAsia"/>
          <w:b/>
          <w:kern w:val="0"/>
          <w:sz w:val="24"/>
          <w:szCs w:val="24"/>
        </w:rPr>
        <w:t>月</w:t>
      </w:r>
      <w:r>
        <w:rPr>
          <w:rFonts w:hint="eastAsia" w:cs="宋体" w:asciiTheme="minorEastAsia" w:hAnsiTheme="minorEastAsia" w:eastAsiaTheme="minorEastAsia"/>
          <w:b/>
          <w:kern w:val="0"/>
          <w:sz w:val="24"/>
          <w:szCs w:val="24"/>
          <w:u w:val="single"/>
          <w:lang w:val="en-US" w:eastAsia="zh-CN"/>
        </w:rPr>
        <w:t>21</w:t>
      </w:r>
      <w:r>
        <w:rPr>
          <w:rFonts w:hint="eastAsia" w:cs="宋体" w:asciiTheme="minorEastAsia" w:hAnsiTheme="minorEastAsia" w:eastAsiaTheme="minorEastAsia"/>
          <w:b/>
          <w:kern w:val="0"/>
          <w:sz w:val="24"/>
          <w:szCs w:val="24"/>
        </w:rPr>
        <w:t>日—2022年</w:t>
      </w:r>
      <w:r>
        <w:rPr>
          <w:rFonts w:hint="eastAsia" w:cs="宋体" w:asciiTheme="minorEastAsia" w:hAnsiTheme="minorEastAsia" w:eastAsiaTheme="minorEastAsia"/>
          <w:b/>
          <w:kern w:val="0"/>
          <w:sz w:val="24"/>
          <w:szCs w:val="24"/>
          <w:lang w:val="en-US" w:eastAsia="zh-CN"/>
        </w:rPr>
        <w:t>3</w:t>
      </w:r>
      <w:r>
        <w:rPr>
          <w:rFonts w:hint="eastAsia" w:cs="宋体" w:asciiTheme="minorEastAsia" w:hAnsiTheme="minorEastAsia" w:eastAsiaTheme="minorEastAsia"/>
          <w:b/>
          <w:kern w:val="0"/>
          <w:sz w:val="24"/>
          <w:szCs w:val="24"/>
        </w:rPr>
        <w:t>月</w:t>
      </w:r>
      <w:r>
        <w:rPr>
          <w:rFonts w:hint="eastAsia" w:cs="宋体" w:asciiTheme="minorEastAsia" w:hAnsiTheme="minorEastAsia" w:eastAsiaTheme="minorEastAsia"/>
          <w:b/>
          <w:kern w:val="0"/>
          <w:sz w:val="24"/>
          <w:szCs w:val="24"/>
          <w:u w:val="single"/>
          <w:lang w:val="en-US" w:eastAsia="zh-CN"/>
        </w:rPr>
        <w:t>16</w:t>
      </w:r>
      <w:r>
        <w:rPr>
          <w:rFonts w:hint="eastAsia" w:cs="宋体" w:asciiTheme="minorEastAsia" w:hAnsiTheme="minorEastAsia" w:eastAsiaTheme="minorEastAsia"/>
          <w:b/>
          <w:kern w:val="0"/>
          <w:sz w:val="24"/>
          <w:szCs w:val="24"/>
        </w:rPr>
        <w:t>日9时30分。</w:t>
      </w:r>
    </w:p>
    <w:p>
      <w:pPr>
        <w:pStyle w:val="4"/>
        <w:overflowPunct/>
        <w:adjustRightInd/>
        <w:spacing w:line="440" w:lineRule="exact"/>
        <w:textAlignment w:val="auto"/>
        <w:rPr>
          <w:rFonts w:cs="宋体" w:asciiTheme="minorEastAsia" w:hAnsiTheme="minorEastAsia" w:eastAsiaTheme="minorEastAsia"/>
          <w:b w:val="0"/>
          <w:sz w:val="24"/>
          <w:szCs w:val="24"/>
        </w:rPr>
      </w:pPr>
      <w:bookmarkStart w:id="34" w:name="_Toc35393795"/>
      <w:bookmarkStart w:id="35" w:name="_Toc38985268"/>
      <w:bookmarkStart w:id="36" w:name="_Toc35393626"/>
      <w:r>
        <w:rPr>
          <w:rFonts w:hint="eastAsia" w:cs="宋体" w:asciiTheme="minorEastAsia" w:hAnsiTheme="minorEastAsia" w:eastAsiaTheme="minorEastAsia"/>
          <w:b w:val="0"/>
          <w:sz w:val="24"/>
          <w:szCs w:val="24"/>
        </w:rPr>
        <w:t>六、其他补充事宜</w:t>
      </w:r>
      <w:bookmarkEnd w:id="34"/>
      <w:bookmarkEnd w:id="35"/>
      <w:bookmarkEnd w:id="36"/>
      <w:bookmarkStart w:id="37" w:name="_Toc28359008"/>
      <w:bookmarkStart w:id="38" w:name="_Toc35393796"/>
      <w:bookmarkStart w:id="39" w:name="_Toc38985269"/>
      <w:bookmarkStart w:id="40" w:name="_Toc35393627"/>
      <w:bookmarkStart w:id="41" w:name="_Toc28359085"/>
    </w:p>
    <w:p>
      <w:pPr>
        <w:spacing w:line="440" w:lineRule="exact"/>
        <w:ind w:firstLine="480" w:firstLineChars="200"/>
        <w:rPr>
          <w:rFonts w:cs="宋体" w:asciiTheme="minorEastAsia" w:hAnsiTheme="minorEastAsia" w:eastAsiaTheme="minorEastAsia"/>
          <w:b/>
          <w:kern w:val="0"/>
          <w:sz w:val="24"/>
          <w:szCs w:val="24"/>
          <w:u w:val="single"/>
        </w:rPr>
      </w:pPr>
      <w:r>
        <w:rPr>
          <w:rFonts w:hint="eastAsia" w:cs="宋体" w:asciiTheme="minorEastAsia" w:hAnsiTheme="minorEastAsia" w:eastAsiaTheme="minorEastAsia"/>
          <w:b/>
          <w:kern w:val="0"/>
          <w:sz w:val="24"/>
          <w:szCs w:val="24"/>
          <w:u w:val="single"/>
        </w:rPr>
        <w:t>参加开标会的投标人自行考虑新冠肺炎疫情不确定性风险，不得以新冠肺炎疫情原因提出异议或投诉。</w:t>
      </w:r>
    </w:p>
    <w:p>
      <w:pPr>
        <w:pStyle w:val="4"/>
        <w:overflowPunct/>
        <w:adjustRightInd/>
        <w:spacing w:line="440" w:lineRule="exact"/>
        <w:textAlignment w:val="auto"/>
        <w:rPr>
          <w:rFonts w:cs="宋体" w:asciiTheme="minorEastAsia" w:hAnsiTheme="minorEastAsia" w:eastAsiaTheme="minorEastAsia"/>
          <w:b w:val="0"/>
          <w:sz w:val="24"/>
          <w:szCs w:val="24"/>
        </w:rPr>
      </w:pPr>
      <w:r>
        <w:rPr>
          <w:rFonts w:hint="eastAsia" w:cs="宋体" w:asciiTheme="minorEastAsia" w:hAnsiTheme="minorEastAsia" w:eastAsiaTheme="minorEastAsia"/>
          <w:b w:val="0"/>
          <w:sz w:val="24"/>
          <w:szCs w:val="24"/>
        </w:rPr>
        <w:t>七、本次招标联系方式</w:t>
      </w:r>
      <w:bookmarkEnd w:id="37"/>
      <w:bookmarkEnd w:id="38"/>
      <w:bookmarkEnd w:id="39"/>
      <w:bookmarkEnd w:id="40"/>
      <w:bookmarkEnd w:id="41"/>
    </w:p>
    <w:p>
      <w:pPr>
        <w:widowControl/>
        <w:spacing w:line="440" w:lineRule="exact"/>
        <w:jc w:val="left"/>
        <w:rPr>
          <w:rFonts w:asciiTheme="minorEastAsia" w:hAnsiTheme="minorEastAsia" w:eastAsiaTheme="minorEastAsia"/>
          <w:sz w:val="24"/>
          <w:szCs w:val="24"/>
        </w:rPr>
      </w:pPr>
      <w:r>
        <w:rPr>
          <w:rFonts w:hint="eastAsia" w:cs="宋体" w:asciiTheme="minorEastAsia" w:hAnsiTheme="minorEastAsia" w:eastAsiaTheme="minorEastAsia"/>
          <w:sz w:val="24"/>
          <w:szCs w:val="24"/>
        </w:rPr>
        <w:t>　　　1.采购人信息</w:t>
      </w:r>
    </w:p>
    <w:p>
      <w:pPr>
        <w:spacing w:line="440" w:lineRule="exact"/>
        <w:ind w:left="298" w:leftChars="142" w:firstLine="240" w:firstLineChars="100"/>
        <w:jc w:val="left"/>
        <w:rPr>
          <w:rFonts w:asciiTheme="minorEastAsia" w:hAnsiTheme="minorEastAsia" w:eastAsiaTheme="minorEastAsia"/>
          <w:sz w:val="24"/>
          <w:szCs w:val="24"/>
          <w:u w:val="single"/>
        </w:rPr>
      </w:pPr>
      <w:r>
        <w:rPr>
          <w:rFonts w:hint="eastAsia" w:asciiTheme="minorEastAsia" w:hAnsiTheme="minorEastAsia" w:eastAsiaTheme="minorEastAsia"/>
          <w:sz w:val="24"/>
          <w:szCs w:val="24"/>
        </w:rPr>
        <w:t xml:space="preserve"> 名　称：</w:t>
      </w:r>
      <w:bookmarkStart w:id="42" w:name="_Toc28359009"/>
      <w:bookmarkStart w:id="43" w:name="_Toc28359086"/>
      <w:r>
        <w:rPr>
          <w:rFonts w:hint="eastAsia" w:asciiTheme="minorEastAsia" w:hAnsiTheme="minorEastAsia" w:eastAsiaTheme="minorEastAsia"/>
          <w:sz w:val="24"/>
          <w:szCs w:val="24"/>
          <w:u w:val="single"/>
        </w:rPr>
        <w:t>南通市通州区水利局</w:t>
      </w:r>
    </w:p>
    <w:p>
      <w:pPr>
        <w:spacing w:line="440" w:lineRule="exact"/>
        <w:ind w:firstLine="720" w:firstLineChars="300"/>
        <w:jc w:val="left"/>
        <w:rPr>
          <w:rFonts w:asciiTheme="minorEastAsia" w:hAnsiTheme="minorEastAsia" w:eastAsiaTheme="minorEastAsia"/>
          <w:sz w:val="24"/>
          <w:szCs w:val="24"/>
          <w:u w:val="single"/>
        </w:rPr>
      </w:pPr>
      <w:r>
        <w:rPr>
          <w:rFonts w:hint="eastAsia" w:asciiTheme="minorEastAsia" w:hAnsiTheme="minorEastAsia" w:eastAsiaTheme="minorEastAsia"/>
          <w:sz w:val="24"/>
          <w:szCs w:val="24"/>
        </w:rPr>
        <w:t>地  址：</w:t>
      </w:r>
      <w:r>
        <w:rPr>
          <w:rFonts w:hint="eastAsia" w:asciiTheme="minorEastAsia" w:hAnsiTheme="minorEastAsia" w:eastAsiaTheme="minorEastAsia"/>
          <w:sz w:val="24"/>
          <w:szCs w:val="24"/>
          <w:u w:val="single"/>
        </w:rPr>
        <w:t>南通市通州区行政中心12楼</w:t>
      </w:r>
    </w:p>
    <w:p>
      <w:pPr>
        <w:spacing w:line="440" w:lineRule="exact"/>
        <w:ind w:firstLine="720" w:firstLineChars="300"/>
        <w:jc w:val="left"/>
        <w:rPr>
          <w:rFonts w:asciiTheme="minorEastAsia" w:hAnsiTheme="minorEastAsia" w:eastAsiaTheme="minorEastAsia"/>
          <w:sz w:val="24"/>
          <w:szCs w:val="24"/>
          <w:u w:val="single"/>
        </w:rPr>
      </w:pPr>
      <w:r>
        <w:rPr>
          <w:rFonts w:hint="eastAsia" w:asciiTheme="minorEastAsia" w:hAnsiTheme="minorEastAsia" w:eastAsiaTheme="minorEastAsia"/>
          <w:sz w:val="24"/>
          <w:szCs w:val="24"/>
        </w:rPr>
        <w:t>联系人：贺女士</w:t>
      </w:r>
    </w:p>
    <w:p>
      <w:pPr>
        <w:spacing w:line="440" w:lineRule="exact"/>
        <w:ind w:firstLine="720" w:firstLineChars="300"/>
        <w:jc w:val="left"/>
        <w:rPr>
          <w:rFonts w:asciiTheme="minorEastAsia" w:hAnsiTheme="minorEastAsia" w:eastAsiaTheme="minorEastAsia"/>
          <w:sz w:val="24"/>
          <w:szCs w:val="24"/>
          <w:u w:val="single"/>
        </w:rPr>
      </w:pPr>
      <w:r>
        <w:rPr>
          <w:rFonts w:hint="eastAsia" w:asciiTheme="minorEastAsia" w:hAnsiTheme="minorEastAsia" w:eastAsiaTheme="minorEastAsia"/>
          <w:sz w:val="24"/>
          <w:szCs w:val="24"/>
        </w:rPr>
        <w:t>电  话：</w:t>
      </w:r>
      <w:r>
        <w:rPr>
          <w:rFonts w:hint="eastAsia" w:asciiTheme="minorEastAsia" w:hAnsiTheme="minorEastAsia" w:eastAsiaTheme="minorEastAsia"/>
          <w:sz w:val="24"/>
          <w:szCs w:val="24"/>
          <w:u w:val="single"/>
        </w:rPr>
        <w:t>0513-86108226</w:t>
      </w:r>
    </w:p>
    <w:p>
      <w:pPr>
        <w:spacing w:line="440" w:lineRule="exact"/>
        <w:ind w:firstLine="720" w:firstLineChars="30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2.</w:t>
      </w:r>
      <w:bookmarkEnd w:id="42"/>
      <w:bookmarkEnd w:id="43"/>
      <w:bookmarkStart w:id="44" w:name="_Toc28359010"/>
      <w:bookmarkStart w:id="45" w:name="_Toc28359087"/>
      <w:r>
        <w:rPr>
          <w:rFonts w:hint="eastAsia" w:cs="宋体" w:asciiTheme="minorEastAsia" w:hAnsiTheme="minorEastAsia" w:eastAsiaTheme="minorEastAsia"/>
          <w:sz w:val="24"/>
          <w:szCs w:val="24"/>
        </w:rPr>
        <w:t>代理机构信息</w:t>
      </w:r>
    </w:p>
    <w:p>
      <w:pPr>
        <w:spacing w:line="440" w:lineRule="exact"/>
        <w:ind w:firstLine="720" w:firstLineChars="30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 xml:space="preserve">名　称: </w:t>
      </w:r>
      <w:r>
        <w:rPr>
          <w:rFonts w:hint="eastAsia" w:asciiTheme="minorEastAsia" w:hAnsiTheme="minorEastAsia" w:eastAsiaTheme="minorEastAsia"/>
          <w:sz w:val="24"/>
          <w:szCs w:val="24"/>
          <w:u w:val="single"/>
        </w:rPr>
        <w:t>南通市通州天元建设监理咨询有限公司</w:t>
      </w:r>
    </w:p>
    <w:p>
      <w:pPr>
        <w:spacing w:line="440" w:lineRule="exact"/>
        <w:ind w:firstLine="720" w:firstLineChars="30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地 址：</w:t>
      </w:r>
      <w:r>
        <w:rPr>
          <w:rFonts w:hint="eastAsia" w:asciiTheme="minorEastAsia" w:hAnsiTheme="minorEastAsia" w:eastAsiaTheme="minorEastAsia"/>
          <w:sz w:val="24"/>
          <w:szCs w:val="24"/>
          <w:u w:val="single"/>
        </w:rPr>
        <w:t>南通市通州区润和大厦8楼</w:t>
      </w:r>
    </w:p>
    <w:p>
      <w:pPr>
        <w:spacing w:line="440" w:lineRule="exact"/>
        <w:ind w:firstLine="720" w:firstLineChars="30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联系人：</w:t>
      </w:r>
      <w:r>
        <w:rPr>
          <w:rFonts w:hint="eastAsia" w:asciiTheme="minorEastAsia" w:hAnsiTheme="minorEastAsia" w:eastAsiaTheme="minorEastAsia"/>
          <w:sz w:val="24"/>
          <w:szCs w:val="24"/>
          <w:u w:val="single"/>
        </w:rPr>
        <w:t>俞先生</w:t>
      </w:r>
    </w:p>
    <w:p>
      <w:pPr>
        <w:spacing w:line="440" w:lineRule="exact"/>
        <w:ind w:firstLine="720" w:firstLineChars="300"/>
        <w:rPr>
          <w:rFonts w:cs="宋体" w:asciiTheme="minorEastAsia" w:hAnsiTheme="minorEastAsia" w:eastAsiaTheme="minorEastAsia"/>
          <w:sz w:val="24"/>
          <w:szCs w:val="24"/>
        </w:rPr>
      </w:pPr>
      <w:r>
        <w:rPr>
          <w:rFonts w:hint="eastAsia" w:cs="宋体" w:asciiTheme="minorEastAsia" w:hAnsiTheme="minorEastAsia" w:eastAsiaTheme="minorEastAsia"/>
          <w:sz w:val="24"/>
          <w:szCs w:val="24"/>
        </w:rPr>
        <w:t>电 话：</w:t>
      </w:r>
      <w:r>
        <w:rPr>
          <w:rFonts w:hint="eastAsia" w:asciiTheme="minorEastAsia" w:hAnsiTheme="minorEastAsia" w:eastAsiaTheme="minorEastAsia"/>
          <w:sz w:val="24"/>
          <w:szCs w:val="24"/>
          <w:u w:val="single"/>
        </w:rPr>
        <w:t>0513-86516066</w:t>
      </w:r>
    </w:p>
    <w:bookmarkEnd w:id="44"/>
    <w:bookmarkEnd w:id="45"/>
    <w:p>
      <w:pPr>
        <w:pStyle w:val="4"/>
        <w:overflowPunct/>
        <w:adjustRightInd/>
        <w:spacing w:line="440" w:lineRule="exact"/>
        <w:textAlignment w:val="auto"/>
        <w:rPr>
          <w:rFonts w:cs="宋体" w:asciiTheme="minorEastAsia" w:hAnsiTheme="minorEastAsia" w:eastAsiaTheme="minorEastAsia"/>
          <w:b w:val="0"/>
          <w:sz w:val="24"/>
          <w:szCs w:val="24"/>
        </w:rPr>
      </w:pPr>
      <w:r>
        <w:rPr>
          <w:rFonts w:hint="eastAsia" w:cs="宋体" w:asciiTheme="minorEastAsia" w:hAnsiTheme="minorEastAsia" w:eastAsiaTheme="minorEastAsia"/>
          <w:b w:val="0"/>
          <w:sz w:val="24"/>
          <w:szCs w:val="24"/>
        </w:rPr>
        <w:t>八、其他</w:t>
      </w:r>
    </w:p>
    <w:p>
      <w:pPr>
        <w:widowControl/>
        <w:spacing w:line="440" w:lineRule="exact"/>
        <w:ind w:firstLine="600" w:firstLineChars="250"/>
        <w:jc w:val="left"/>
        <w:rPr>
          <w:rFonts w:asciiTheme="minorEastAsia" w:hAnsiTheme="minorEastAsia" w:eastAsiaTheme="minorEastAsia"/>
          <w:bCs/>
          <w:sz w:val="24"/>
          <w:szCs w:val="24"/>
        </w:rPr>
      </w:pPr>
      <w:r>
        <w:rPr>
          <w:rFonts w:hint="eastAsia" w:asciiTheme="minorEastAsia" w:hAnsiTheme="minorEastAsia" w:eastAsiaTheme="minorEastAsia"/>
          <w:bCs/>
          <w:sz w:val="24"/>
          <w:szCs w:val="24"/>
        </w:rPr>
        <w:t>1.潜在投标人对招标文件项目需求部分的询问、质疑请向采购人提出，由采购人负责答复。潜在投标人对招标文件的询问、质疑请向采购人提出，由采购人负责答复。</w:t>
      </w:r>
    </w:p>
    <w:p>
      <w:pPr>
        <w:widowControl/>
        <w:spacing w:line="440" w:lineRule="exact"/>
        <w:ind w:firstLine="600" w:firstLineChars="250"/>
        <w:jc w:val="left"/>
        <w:rPr>
          <w:rFonts w:asciiTheme="minorEastAsia" w:hAnsiTheme="minorEastAsia" w:eastAsiaTheme="minorEastAsia"/>
          <w:bCs/>
          <w:sz w:val="24"/>
          <w:szCs w:val="24"/>
        </w:rPr>
      </w:pPr>
      <w:r>
        <w:rPr>
          <w:rFonts w:hint="eastAsia" w:asciiTheme="minorEastAsia" w:hAnsiTheme="minorEastAsia" w:eastAsiaTheme="minorEastAsia"/>
          <w:bCs/>
          <w:sz w:val="24"/>
          <w:szCs w:val="24"/>
        </w:rPr>
        <w:t>2.投标文件制作份数要求：</w:t>
      </w:r>
    </w:p>
    <w:p>
      <w:pPr>
        <w:widowControl/>
        <w:spacing w:line="440" w:lineRule="exact"/>
        <w:ind w:firstLine="600" w:firstLineChars="250"/>
        <w:jc w:val="left"/>
        <w:rPr>
          <w:rFonts w:asciiTheme="minorEastAsia" w:hAnsiTheme="minorEastAsia" w:eastAsiaTheme="minorEastAsia"/>
          <w:bCs/>
          <w:sz w:val="24"/>
          <w:szCs w:val="24"/>
        </w:rPr>
      </w:pPr>
      <w:r>
        <w:rPr>
          <w:rFonts w:hint="eastAsia" w:asciiTheme="minorEastAsia" w:hAnsiTheme="minorEastAsia" w:eastAsiaTheme="minorEastAsia"/>
          <w:bCs/>
          <w:sz w:val="24"/>
          <w:szCs w:val="24"/>
        </w:rPr>
        <w:t>正本份数：</w:t>
      </w:r>
      <w:r>
        <w:rPr>
          <w:rFonts w:hint="eastAsia" w:asciiTheme="minorEastAsia" w:hAnsiTheme="minorEastAsia" w:eastAsiaTheme="minorEastAsia"/>
          <w:bCs/>
          <w:sz w:val="24"/>
          <w:szCs w:val="24"/>
          <w:u w:val="single"/>
        </w:rPr>
        <w:t>1</w:t>
      </w:r>
      <w:r>
        <w:rPr>
          <w:rFonts w:hint="eastAsia" w:asciiTheme="minorEastAsia" w:hAnsiTheme="minorEastAsia" w:eastAsiaTheme="minorEastAsia"/>
          <w:bCs/>
          <w:sz w:val="24"/>
          <w:szCs w:val="24"/>
        </w:rPr>
        <w:t>份   副本份数：</w:t>
      </w:r>
      <w:r>
        <w:rPr>
          <w:rFonts w:hint="eastAsia" w:asciiTheme="minorEastAsia" w:hAnsiTheme="minorEastAsia" w:eastAsiaTheme="minorEastAsia"/>
          <w:bCs/>
          <w:sz w:val="24"/>
          <w:szCs w:val="24"/>
          <w:u w:val="single"/>
        </w:rPr>
        <w:t>2</w:t>
      </w:r>
      <w:r>
        <w:rPr>
          <w:rFonts w:hint="eastAsia" w:asciiTheme="minorEastAsia" w:hAnsiTheme="minorEastAsia" w:eastAsiaTheme="minorEastAsia"/>
          <w:bCs/>
          <w:sz w:val="24"/>
          <w:szCs w:val="24"/>
        </w:rPr>
        <w:t>份</w:t>
      </w:r>
    </w:p>
    <w:p>
      <w:pPr>
        <w:widowControl/>
        <w:spacing w:line="440" w:lineRule="exact"/>
        <w:ind w:firstLine="600" w:firstLineChars="250"/>
        <w:jc w:val="left"/>
        <w:rPr>
          <w:rFonts w:asciiTheme="minorEastAsia" w:hAnsiTheme="minorEastAsia" w:eastAsiaTheme="minorEastAsia"/>
          <w:bCs/>
          <w:sz w:val="24"/>
          <w:szCs w:val="24"/>
        </w:rPr>
      </w:pPr>
      <w:r>
        <w:rPr>
          <w:rFonts w:hint="eastAsia" w:asciiTheme="minorEastAsia" w:hAnsiTheme="minorEastAsia" w:eastAsiaTheme="minorEastAsia"/>
          <w:bCs/>
          <w:sz w:val="24"/>
          <w:szCs w:val="24"/>
        </w:rPr>
        <w:t>3.有关本次招标的事项若存在变动或修改，敬请及时关注“江苏省政府采购网”发布的更正公告。</w:t>
      </w:r>
    </w:p>
    <w:p>
      <w:pPr>
        <w:widowControl/>
        <w:spacing w:line="440" w:lineRule="exact"/>
        <w:ind w:firstLine="600" w:firstLineChars="250"/>
        <w:jc w:val="left"/>
        <w:rPr>
          <w:rFonts w:asciiTheme="minorEastAsia" w:hAnsiTheme="minorEastAsia" w:eastAsiaTheme="minorEastAsia"/>
          <w:bCs/>
          <w:sz w:val="24"/>
          <w:szCs w:val="24"/>
        </w:rPr>
      </w:pPr>
      <w:r>
        <w:rPr>
          <w:rFonts w:hint="eastAsia" w:asciiTheme="minorEastAsia" w:hAnsiTheme="minorEastAsia" w:eastAsiaTheme="minorEastAsia"/>
          <w:bCs/>
          <w:sz w:val="24"/>
          <w:szCs w:val="24"/>
        </w:rPr>
        <w:t>4.本次招标不收投标保证金。</w:t>
      </w:r>
    </w:p>
    <w:p>
      <w:pPr>
        <w:widowControl/>
        <w:spacing w:line="440" w:lineRule="exact"/>
        <w:ind w:firstLine="600" w:firstLineChars="250"/>
        <w:jc w:val="left"/>
        <w:rPr>
          <w:rFonts w:asciiTheme="minorEastAsia" w:hAnsiTheme="minorEastAsia" w:eastAsiaTheme="minorEastAsia"/>
          <w:bCs/>
          <w:sz w:val="24"/>
          <w:szCs w:val="24"/>
        </w:rPr>
      </w:pPr>
      <w:r>
        <w:rPr>
          <w:rFonts w:hint="eastAsia" w:asciiTheme="minorEastAsia" w:hAnsiTheme="minorEastAsia" w:eastAsiaTheme="minorEastAsia"/>
          <w:bCs/>
          <w:sz w:val="24"/>
          <w:szCs w:val="24"/>
        </w:rPr>
        <w:t>5.本项目属于政府采购，交易中心不收取中标服务费。</w:t>
      </w:r>
    </w:p>
    <w:p>
      <w:pPr>
        <w:widowControl/>
        <w:spacing w:line="440" w:lineRule="exact"/>
        <w:ind w:firstLine="600" w:firstLineChars="250"/>
        <w:jc w:val="left"/>
        <w:rPr>
          <w:rFonts w:asciiTheme="minorEastAsia" w:hAnsiTheme="minorEastAsia" w:eastAsiaTheme="minorEastAsia"/>
          <w:bCs/>
          <w:sz w:val="24"/>
          <w:szCs w:val="24"/>
        </w:rPr>
      </w:pPr>
      <w:r>
        <w:rPr>
          <w:rFonts w:hint="eastAsia" w:asciiTheme="minorEastAsia" w:hAnsiTheme="minorEastAsia" w:eastAsiaTheme="minorEastAsia"/>
          <w:bCs/>
          <w:sz w:val="24"/>
          <w:szCs w:val="24"/>
        </w:rPr>
        <w:t>6.本项目招标</w:t>
      </w:r>
      <w:r>
        <w:rPr>
          <w:rFonts w:hint="eastAsia" w:asciiTheme="majorEastAsia" w:hAnsiTheme="majorEastAsia" w:eastAsiaTheme="majorEastAsia"/>
          <w:color w:val="0C0C0C" w:themeColor="text1" w:themeTint="F2"/>
          <w:sz w:val="24"/>
          <w:szCs w:val="24"/>
        </w:rPr>
        <w:t>代理费5080元</w:t>
      </w:r>
      <w:r>
        <w:rPr>
          <w:rFonts w:hint="eastAsia" w:asciiTheme="minorEastAsia" w:hAnsiTheme="minorEastAsia" w:eastAsiaTheme="minorEastAsia"/>
          <w:bCs/>
          <w:sz w:val="24"/>
          <w:szCs w:val="24"/>
        </w:rPr>
        <w:t>，由采购人支付。</w:t>
      </w:r>
    </w:p>
    <w:p>
      <w:pPr>
        <w:widowControl/>
        <w:spacing w:line="440" w:lineRule="exact"/>
        <w:ind w:firstLine="600" w:firstLineChars="250"/>
        <w:jc w:val="left"/>
        <w:rPr>
          <w:rFonts w:asciiTheme="minorEastAsia" w:hAnsiTheme="minorEastAsia" w:eastAsiaTheme="minorEastAsia"/>
          <w:bCs/>
          <w:sz w:val="24"/>
          <w:szCs w:val="24"/>
        </w:rPr>
      </w:pPr>
      <w:r>
        <w:rPr>
          <w:rFonts w:hint="eastAsia" w:asciiTheme="minorEastAsia" w:hAnsiTheme="minorEastAsia" w:eastAsiaTheme="minorEastAsia"/>
          <w:bCs/>
          <w:sz w:val="24"/>
          <w:szCs w:val="24"/>
        </w:rPr>
        <w:t>7.本次采购代理机构和采购人不收取标书工本费。</w:t>
      </w:r>
    </w:p>
    <w:bookmarkEnd w:id="6"/>
    <w:p>
      <w:pPr>
        <w:pStyle w:val="4"/>
        <w:rPr>
          <w:rFonts w:asciiTheme="majorEastAsia" w:hAnsiTheme="majorEastAsia" w:eastAsiaTheme="majorEastAsia"/>
          <w:b w:val="0"/>
          <w:color w:val="0C0C0C" w:themeColor="text1" w:themeTint="F2"/>
          <w:sz w:val="36"/>
          <w:szCs w:val="36"/>
        </w:rPr>
      </w:pPr>
    </w:p>
    <w:p/>
    <w:p/>
    <w:p/>
    <w:p/>
    <w:p/>
    <w:p>
      <w:pPr>
        <w:pStyle w:val="4"/>
        <w:spacing w:line="400" w:lineRule="exact"/>
        <w:ind w:firstLine="3240" w:firstLineChars="900"/>
        <w:rPr>
          <w:rFonts w:asciiTheme="majorEastAsia" w:hAnsiTheme="majorEastAsia" w:eastAsiaTheme="majorEastAsia"/>
          <w:b w:val="0"/>
          <w:bCs/>
          <w:color w:val="0C0C0C" w:themeColor="text1" w:themeTint="F2"/>
          <w:sz w:val="36"/>
          <w:szCs w:val="36"/>
        </w:rPr>
      </w:pPr>
      <w:r>
        <w:rPr>
          <w:rFonts w:hint="eastAsia" w:asciiTheme="majorEastAsia" w:hAnsiTheme="majorEastAsia" w:eastAsiaTheme="majorEastAsia"/>
          <w:b w:val="0"/>
          <w:color w:val="0C0C0C" w:themeColor="text1" w:themeTint="F2"/>
          <w:sz w:val="36"/>
          <w:szCs w:val="36"/>
        </w:rPr>
        <w:t xml:space="preserve">第二章  </w:t>
      </w:r>
      <w:bookmarkEnd w:id="1"/>
      <w:bookmarkEnd w:id="2"/>
      <w:bookmarkEnd w:id="3"/>
      <w:bookmarkEnd w:id="4"/>
      <w:bookmarkEnd w:id="5"/>
      <w:bookmarkEnd w:id="7"/>
      <w:bookmarkStart w:id="46" w:name="_Toc513029202"/>
      <w:bookmarkStart w:id="47" w:name="_Toc16938518"/>
      <w:bookmarkStart w:id="48" w:name="_Toc20823274"/>
      <w:bookmarkStart w:id="49" w:name="_Toc120614213"/>
      <w:r>
        <w:rPr>
          <w:rFonts w:hint="eastAsia" w:asciiTheme="majorEastAsia" w:hAnsiTheme="majorEastAsia" w:eastAsiaTheme="majorEastAsia"/>
          <w:b w:val="0"/>
          <w:color w:val="0C0C0C" w:themeColor="text1" w:themeTint="F2"/>
          <w:sz w:val="36"/>
          <w:szCs w:val="36"/>
        </w:rPr>
        <w:t>投标人须知</w:t>
      </w:r>
      <w:bookmarkEnd w:id="46"/>
      <w:bookmarkEnd w:id="47"/>
      <w:bookmarkEnd w:id="48"/>
      <w:bookmarkEnd w:id="49"/>
    </w:p>
    <w:p>
      <w:pPr>
        <w:pStyle w:val="5"/>
        <w:spacing w:line="400" w:lineRule="exact"/>
        <w:ind w:firstLine="434" w:firstLineChars="155"/>
        <w:jc w:val="center"/>
        <w:rPr>
          <w:rFonts w:asciiTheme="majorEastAsia" w:hAnsiTheme="majorEastAsia" w:eastAsiaTheme="majorEastAsia"/>
          <w:color w:val="0C0C0C" w:themeColor="text1" w:themeTint="F2"/>
          <w:sz w:val="28"/>
          <w:szCs w:val="28"/>
        </w:rPr>
      </w:pPr>
      <w:bookmarkStart w:id="50" w:name="_Toc120614214"/>
      <w:bookmarkStart w:id="51" w:name="_Toc16938519"/>
      <w:bookmarkStart w:id="52" w:name="_Toc20823275"/>
      <w:bookmarkStart w:id="53" w:name="_Toc513029203"/>
      <w:r>
        <w:rPr>
          <w:rFonts w:hint="eastAsia" w:asciiTheme="majorEastAsia" w:hAnsiTheme="majorEastAsia" w:eastAsiaTheme="majorEastAsia"/>
          <w:color w:val="0C0C0C" w:themeColor="text1" w:themeTint="F2"/>
          <w:sz w:val="28"/>
          <w:szCs w:val="28"/>
        </w:rPr>
        <w:t>一、总则</w:t>
      </w:r>
      <w:bookmarkEnd w:id="50"/>
      <w:bookmarkEnd w:id="51"/>
      <w:bookmarkEnd w:id="52"/>
      <w:bookmarkEnd w:id="53"/>
    </w:p>
    <w:p>
      <w:pPr>
        <w:pStyle w:val="6"/>
        <w:spacing w:before="0" w:after="0" w:line="400" w:lineRule="exact"/>
        <w:ind w:firstLine="480" w:firstLineChars="200"/>
        <w:rPr>
          <w:rFonts w:asciiTheme="majorEastAsia" w:hAnsiTheme="majorEastAsia" w:eastAsiaTheme="majorEastAsia"/>
          <w:b w:val="0"/>
          <w:bCs w:val="0"/>
          <w:color w:val="0C0C0C" w:themeColor="text1" w:themeTint="F2"/>
          <w:sz w:val="24"/>
          <w:szCs w:val="24"/>
        </w:rPr>
      </w:pPr>
      <w:bookmarkStart w:id="54" w:name="_Hlt16619475"/>
      <w:bookmarkEnd w:id="54"/>
      <w:bookmarkStart w:id="55" w:name="_Toc458694821"/>
      <w:bookmarkStart w:id="56" w:name="_Toc513029204"/>
      <w:bookmarkStart w:id="57" w:name="_Toc16938520"/>
      <w:bookmarkStart w:id="58" w:name="_Toc20823276"/>
      <w:r>
        <w:rPr>
          <w:rFonts w:hint="eastAsia" w:asciiTheme="majorEastAsia" w:hAnsiTheme="majorEastAsia" w:eastAsiaTheme="majorEastAsia"/>
          <w:b w:val="0"/>
          <w:bCs w:val="0"/>
          <w:color w:val="0C0C0C" w:themeColor="text1" w:themeTint="F2"/>
          <w:sz w:val="24"/>
          <w:szCs w:val="24"/>
        </w:rPr>
        <w:t>1</w:t>
      </w:r>
      <w:bookmarkEnd w:id="55"/>
      <w:r>
        <w:rPr>
          <w:rFonts w:hint="eastAsia" w:asciiTheme="majorEastAsia" w:hAnsiTheme="majorEastAsia" w:eastAsiaTheme="majorEastAsia"/>
          <w:b w:val="0"/>
          <w:bCs w:val="0"/>
          <w:color w:val="0C0C0C" w:themeColor="text1" w:themeTint="F2"/>
          <w:sz w:val="24"/>
          <w:szCs w:val="24"/>
        </w:rPr>
        <w:t>、招标方式</w:t>
      </w:r>
      <w:bookmarkEnd w:id="56"/>
      <w:bookmarkEnd w:id="57"/>
      <w:bookmarkEnd w:id="58"/>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1.1 本次招标采取公开招标方式，本招标文件仅适用于招标公告中所述项目。</w:t>
      </w:r>
    </w:p>
    <w:p>
      <w:pPr>
        <w:pStyle w:val="6"/>
        <w:spacing w:before="0" w:after="0" w:line="400" w:lineRule="exact"/>
        <w:ind w:firstLine="480" w:firstLineChars="200"/>
        <w:rPr>
          <w:rFonts w:asciiTheme="majorEastAsia" w:hAnsiTheme="majorEastAsia" w:eastAsiaTheme="majorEastAsia"/>
          <w:b w:val="0"/>
          <w:bCs w:val="0"/>
          <w:color w:val="0C0C0C" w:themeColor="text1" w:themeTint="F2"/>
          <w:sz w:val="24"/>
          <w:szCs w:val="24"/>
        </w:rPr>
      </w:pPr>
      <w:bookmarkStart w:id="59" w:name="_Toc513029205"/>
      <w:bookmarkStart w:id="60" w:name="_Toc20823277"/>
      <w:bookmarkStart w:id="61" w:name="_Toc16938521"/>
      <w:r>
        <w:rPr>
          <w:rFonts w:hint="eastAsia" w:asciiTheme="majorEastAsia" w:hAnsiTheme="majorEastAsia" w:eastAsiaTheme="majorEastAsia"/>
          <w:b w:val="0"/>
          <w:bCs w:val="0"/>
          <w:color w:val="0C0C0C" w:themeColor="text1" w:themeTint="F2"/>
          <w:sz w:val="24"/>
          <w:szCs w:val="24"/>
        </w:rPr>
        <w:t>2、合格的投标人</w:t>
      </w:r>
      <w:bookmarkEnd w:id="59"/>
      <w:bookmarkEnd w:id="60"/>
      <w:bookmarkEnd w:id="61"/>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2.1满足招标公告中供应商的资格要求的规定。</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 满足本文件实质性条款的规定。</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2.3至投标截止时间节点</w:t>
      </w:r>
      <w:bookmarkStart w:id="62" w:name="_Toc513029206"/>
      <w:bookmarkStart w:id="63" w:name="_Toc20823278"/>
      <w:bookmarkStart w:id="64" w:name="_Toc16938522"/>
      <w:r>
        <w:rPr>
          <w:rFonts w:hint="eastAsia" w:asciiTheme="majorEastAsia" w:hAnsiTheme="majorEastAsia" w:eastAsiaTheme="majorEastAsia"/>
          <w:color w:val="0C0C0C" w:themeColor="text1" w:themeTint="F2"/>
          <w:sz w:val="24"/>
          <w:szCs w:val="24"/>
        </w:rPr>
        <w:t>未被“信用中国”网站(</w:t>
      </w:r>
      <w:r>
        <w:fldChar w:fldCharType="begin"/>
      </w:r>
      <w:r>
        <w:instrText xml:space="preserve"> HYPERLINK "http://www.creditchina.gov.cn" </w:instrText>
      </w:r>
      <w:r>
        <w:fldChar w:fldCharType="separate"/>
      </w:r>
      <w:r>
        <w:rPr>
          <w:rStyle w:val="60"/>
          <w:rFonts w:hint="eastAsia" w:asciiTheme="majorEastAsia" w:hAnsiTheme="majorEastAsia" w:eastAsiaTheme="majorEastAsia"/>
          <w:color w:val="0C0C0C" w:themeColor="text1" w:themeTint="F2"/>
          <w:sz w:val="24"/>
          <w:szCs w:val="24"/>
        </w:rPr>
        <w:t>www.creditchina.gov.cn</w:t>
      </w:r>
      <w:r>
        <w:rPr>
          <w:rStyle w:val="60"/>
          <w:rFonts w:hint="eastAsia" w:asciiTheme="majorEastAsia" w:hAnsiTheme="majorEastAsia" w:eastAsiaTheme="majorEastAsia"/>
          <w:color w:val="0C0C0C" w:themeColor="text1" w:themeTint="F2"/>
          <w:sz w:val="24"/>
          <w:szCs w:val="24"/>
        </w:rPr>
        <w:fldChar w:fldCharType="end"/>
      </w:r>
      <w:r>
        <w:rPr>
          <w:rFonts w:hint="eastAsia" w:asciiTheme="majorEastAsia" w:hAnsiTheme="majorEastAsia" w:eastAsiaTheme="majorEastAsia"/>
          <w:color w:val="0C0C0C" w:themeColor="text1" w:themeTint="F2"/>
          <w:sz w:val="24"/>
          <w:szCs w:val="24"/>
        </w:rPr>
        <w:t>)、中华人民</w:t>
      </w:r>
      <w:r>
        <w:rPr>
          <w:rFonts w:asciiTheme="majorEastAsia" w:hAnsiTheme="majorEastAsia" w:eastAsiaTheme="majorEastAsia"/>
          <w:color w:val="0C0C0C" w:themeColor="text1" w:themeTint="F2"/>
          <w:sz w:val="24"/>
          <w:szCs w:val="24"/>
        </w:rPr>
        <w:t>共和国</w:t>
      </w:r>
      <w:r>
        <w:rPr>
          <w:rFonts w:hint="eastAsia" w:asciiTheme="majorEastAsia" w:hAnsiTheme="majorEastAsia" w:eastAsiaTheme="majorEastAsia"/>
          <w:color w:val="0C0C0C" w:themeColor="text1" w:themeTint="F2"/>
          <w:sz w:val="24"/>
          <w:szCs w:val="24"/>
        </w:rPr>
        <w:t>最高人民法院网站</w:t>
      </w:r>
      <w:r>
        <w:rPr>
          <w:rFonts w:asciiTheme="majorEastAsia" w:hAnsiTheme="majorEastAsia" w:eastAsiaTheme="majorEastAsia"/>
          <w:color w:val="0C0C0C" w:themeColor="text1" w:themeTint="F2"/>
          <w:sz w:val="24"/>
          <w:szCs w:val="24"/>
        </w:rPr>
        <w:t>（</w:t>
      </w:r>
      <w:r>
        <w:fldChar w:fldCharType="begin"/>
      </w:r>
      <w:r>
        <w:instrText xml:space="preserve"> HYPERLINK "http://www.court.gov.cn/" </w:instrText>
      </w:r>
      <w:r>
        <w:fldChar w:fldCharType="separate"/>
      </w:r>
      <w:r>
        <w:rPr>
          <w:rStyle w:val="60"/>
          <w:rFonts w:asciiTheme="majorEastAsia" w:hAnsiTheme="majorEastAsia" w:eastAsiaTheme="majorEastAsia"/>
          <w:color w:val="0C0C0C" w:themeColor="text1" w:themeTint="F2"/>
          <w:sz w:val="24"/>
          <w:szCs w:val="24"/>
        </w:rPr>
        <w:t>http://www.court.gov.cn</w:t>
      </w:r>
      <w:r>
        <w:rPr>
          <w:rStyle w:val="60"/>
          <w:rFonts w:asciiTheme="majorEastAsia" w:hAnsiTheme="majorEastAsia" w:eastAsiaTheme="majorEastAsia"/>
          <w:color w:val="0C0C0C" w:themeColor="text1" w:themeTint="F2"/>
          <w:sz w:val="24"/>
          <w:szCs w:val="24"/>
        </w:rPr>
        <w:fldChar w:fldCharType="end"/>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等渠道列入信用记录失信被执行人，未被中国政府采购网(</w:t>
      </w:r>
      <w:r>
        <w:fldChar w:fldCharType="begin"/>
      </w:r>
      <w:r>
        <w:instrText xml:space="preserve"> HYPERLINK "http://www.ccgp.gov.cn" </w:instrText>
      </w:r>
      <w:r>
        <w:fldChar w:fldCharType="separate"/>
      </w:r>
      <w:r>
        <w:rPr>
          <w:rStyle w:val="60"/>
          <w:rFonts w:hint="eastAsia" w:asciiTheme="majorEastAsia" w:hAnsiTheme="majorEastAsia" w:eastAsiaTheme="majorEastAsia"/>
          <w:color w:val="0C0C0C" w:themeColor="text1" w:themeTint="F2"/>
          <w:sz w:val="24"/>
          <w:szCs w:val="24"/>
        </w:rPr>
        <w:t>www.ccgp.gov.cn</w:t>
      </w:r>
      <w:r>
        <w:rPr>
          <w:rStyle w:val="60"/>
          <w:rFonts w:hint="eastAsia" w:asciiTheme="majorEastAsia" w:hAnsiTheme="majorEastAsia" w:eastAsiaTheme="majorEastAsia"/>
          <w:color w:val="0C0C0C" w:themeColor="text1" w:themeTint="F2"/>
          <w:sz w:val="24"/>
          <w:szCs w:val="24"/>
        </w:rPr>
        <w:fldChar w:fldCharType="end"/>
      </w:r>
      <w:r>
        <w:rPr>
          <w:rFonts w:hint="eastAsia" w:asciiTheme="majorEastAsia" w:hAnsiTheme="majorEastAsia" w:eastAsiaTheme="majorEastAsia"/>
          <w:color w:val="0C0C0C" w:themeColor="text1" w:themeTint="F2"/>
          <w:sz w:val="24"/>
          <w:szCs w:val="24"/>
        </w:rPr>
        <w:t>)等渠道列入政府采购严重违法失信行为记录名单，未被中华人民共和国应急管理部网站</w:t>
      </w:r>
      <w:r>
        <w:rPr>
          <w:rFonts w:asciiTheme="majorEastAsia" w:hAnsiTheme="majorEastAsia" w:eastAsiaTheme="majorEastAsia"/>
          <w:color w:val="0C0C0C" w:themeColor="text1" w:themeTint="F2"/>
          <w:sz w:val="24"/>
          <w:szCs w:val="24"/>
        </w:rPr>
        <w:t>（</w:t>
      </w:r>
      <w:r>
        <w:fldChar w:fldCharType="begin"/>
      </w:r>
      <w:r>
        <w:instrText xml:space="preserve"> HYPERLINK "http://www.chinasafety.gov.cn/" </w:instrText>
      </w:r>
      <w:r>
        <w:fldChar w:fldCharType="separate"/>
      </w:r>
      <w:r>
        <w:rPr>
          <w:rStyle w:val="60"/>
          <w:rFonts w:asciiTheme="majorEastAsia" w:hAnsiTheme="majorEastAsia" w:eastAsiaTheme="majorEastAsia"/>
          <w:color w:val="0C0C0C" w:themeColor="text1" w:themeTint="F2"/>
          <w:sz w:val="24"/>
          <w:szCs w:val="24"/>
        </w:rPr>
        <w:t>http://www.chinasafety.gov.cn</w:t>
      </w:r>
      <w:r>
        <w:rPr>
          <w:rStyle w:val="60"/>
          <w:rFonts w:asciiTheme="majorEastAsia" w:hAnsiTheme="majorEastAsia" w:eastAsiaTheme="majorEastAsia"/>
          <w:color w:val="0C0C0C" w:themeColor="text1" w:themeTint="F2"/>
          <w:sz w:val="24"/>
          <w:szCs w:val="24"/>
        </w:rPr>
        <w:fldChar w:fldCharType="end"/>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等渠道列入</w:t>
      </w:r>
      <w:r>
        <w:rPr>
          <w:rFonts w:asciiTheme="majorEastAsia" w:hAnsiTheme="majorEastAsia" w:eastAsiaTheme="majorEastAsia"/>
          <w:color w:val="0C0C0C" w:themeColor="text1" w:themeTint="F2"/>
          <w:sz w:val="24"/>
          <w:szCs w:val="24"/>
        </w:rPr>
        <w:t>安全生产失信联合惩戒“</w:t>
      </w:r>
      <w:r>
        <w:rPr>
          <w:rFonts w:hint="eastAsia" w:asciiTheme="majorEastAsia" w:hAnsiTheme="majorEastAsia" w:eastAsiaTheme="majorEastAsia"/>
          <w:color w:val="0C0C0C" w:themeColor="text1" w:themeTint="F2"/>
          <w:sz w:val="24"/>
          <w:szCs w:val="24"/>
        </w:rPr>
        <w:t>黑名单</w:t>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 未被国家税务总局</w:t>
      </w:r>
      <w:r>
        <w:rPr>
          <w:rFonts w:asciiTheme="majorEastAsia" w:hAnsiTheme="majorEastAsia" w:eastAsiaTheme="majorEastAsia"/>
          <w:color w:val="0C0C0C" w:themeColor="text1" w:themeTint="F2"/>
          <w:sz w:val="24"/>
          <w:szCs w:val="24"/>
        </w:rPr>
        <w:t>网站（</w:t>
      </w:r>
      <w:r>
        <w:fldChar w:fldCharType="begin"/>
      </w:r>
      <w:r>
        <w:instrText xml:space="preserve"> HYPERLINK "http://hd.chinatax.gov.cn/xxk/" </w:instrText>
      </w:r>
      <w:r>
        <w:fldChar w:fldCharType="separate"/>
      </w:r>
      <w:r>
        <w:rPr>
          <w:rStyle w:val="60"/>
          <w:rFonts w:asciiTheme="majorEastAsia" w:hAnsiTheme="majorEastAsia" w:eastAsiaTheme="majorEastAsia"/>
          <w:color w:val="0C0C0C" w:themeColor="text1" w:themeTint="F2"/>
          <w:sz w:val="24"/>
          <w:szCs w:val="24"/>
        </w:rPr>
        <w:t>http://hd.chinatax.gov.cn/xxk</w:t>
      </w:r>
      <w:r>
        <w:rPr>
          <w:rStyle w:val="60"/>
          <w:rFonts w:asciiTheme="majorEastAsia" w:hAnsiTheme="majorEastAsia" w:eastAsiaTheme="majorEastAsia"/>
          <w:color w:val="0C0C0C" w:themeColor="text1" w:themeTint="F2"/>
          <w:sz w:val="24"/>
          <w:szCs w:val="24"/>
        </w:rPr>
        <w:fldChar w:fldCharType="end"/>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等渠道</w:t>
      </w:r>
      <w:r>
        <w:rPr>
          <w:rFonts w:asciiTheme="majorEastAsia" w:hAnsiTheme="majorEastAsia" w:eastAsiaTheme="majorEastAsia"/>
          <w:color w:val="0C0C0C" w:themeColor="text1" w:themeTint="F2"/>
          <w:sz w:val="24"/>
          <w:szCs w:val="24"/>
        </w:rPr>
        <w:t>列入</w:t>
      </w:r>
      <w:r>
        <w:rPr>
          <w:rFonts w:hint="eastAsia" w:asciiTheme="majorEastAsia" w:hAnsiTheme="majorEastAsia" w:eastAsiaTheme="majorEastAsia"/>
          <w:color w:val="0C0C0C" w:themeColor="text1" w:themeTint="F2"/>
          <w:sz w:val="24"/>
          <w:szCs w:val="24"/>
        </w:rPr>
        <w:t>重大税收违法案件当事人名单，未被国家企业</w:t>
      </w:r>
      <w:r>
        <w:rPr>
          <w:rFonts w:asciiTheme="majorEastAsia" w:hAnsiTheme="majorEastAsia" w:eastAsiaTheme="majorEastAsia"/>
          <w:color w:val="0C0C0C" w:themeColor="text1" w:themeTint="F2"/>
          <w:sz w:val="24"/>
          <w:szCs w:val="24"/>
        </w:rPr>
        <w:t>信用信息公示系统（</w:t>
      </w:r>
      <w:r>
        <w:fldChar w:fldCharType="begin"/>
      </w:r>
      <w:r>
        <w:instrText xml:space="preserve"> HYPERLINK "http://www.gsxt.gov.cn" </w:instrText>
      </w:r>
      <w:r>
        <w:fldChar w:fldCharType="separate"/>
      </w:r>
      <w:r>
        <w:rPr>
          <w:rStyle w:val="60"/>
          <w:rFonts w:asciiTheme="majorEastAsia" w:hAnsiTheme="majorEastAsia" w:eastAsiaTheme="majorEastAsia"/>
          <w:color w:val="0C0C0C" w:themeColor="text1" w:themeTint="F2"/>
          <w:sz w:val="24"/>
          <w:szCs w:val="24"/>
        </w:rPr>
        <w:t>http://www.gsxt.gov.cn</w:t>
      </w:r>
      <w:r>
        <w:rPr>
          <w:rStyle w:val="60"/>
          <w:rFonts w:asciiTheme="majorEastAsia" w:hAnsiTheme="majorEastAsia" w:eastAsiaTheme="majorEastAsia"/>
          <w:color w:val="0C0C0C" w:themeColor="text1" w:themeTint="F2"/>
          <w:sz w:val="24"/>
          <w:szCs w:val="24"/>
        </w:rPr>
        <w:fldChar w:fldCharType="end"/>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等渠道</w:t>
      </w:r>
      <w:r>
        <w:rPr>
          <w:rFonts w:asciiTheme="majorEastAsia" w:hAnsiTheme="majorEastAsia" w:eastAsiaTheme="majorEastAsia"/>
          <w:color w:val="0C0C0C" w:themeColor="text1" w:themeTint="F2"/>
          <w:sz w:val="24"/>
          <w:szCs w:val="24"/>
        </w:rPr>
        <w:t>列入</w:t>
      </w:r>
      <w:r>
        <w:rPr>
          <w:rFonts w:hint="eastAsia" w:asciiTheme="majorEastAsia" w:hAnsiTheme="majorEastAsia" w:eastAsiaTheme="majorEastAsia"/>
          <w:color w:val="0C0C0C" w:themeColor="text1" w:themeTint="F2"/>
          <w:sz w:val="24"/>
          <w:szCs w:val="24"/>
        </w:rPr>
        <w:t>经营异常名录、严重违法</w:t>
      </w:r>
      <w:r>
        <w:rPr>
          <w:rFonts w:asciiTheme="majorEastAsia" w:hAnsiTheme="majorEastAsia" w:eastAsiaTheme="majorEastAsia"/>
          <w:color w:val="0C0C0C" w:themeColor="text1" w:themeTint="F2"/>
          <w:sz w:val="24"/>
          <w:szCs w:val="24"/>
        </w:rPr>
        <w:t>失信企业名单</w:t>
      </w:r>
      <w:r>
        <w:rPr>
          <w:rFonts w:hint="eastAsia" w:asciiTheme="majorEastAsia" w:hAnsiTheme="majorEastAsia" w:eastAsiaTheme="majorEastAsia"/>
          <w:color w:val="0C0C0C" w:themeColor="text1" w:themeTint="F2"/>
          <w:sz w:val="24"/>
          <w:szCs w:val="24"/>
        </w:rPr>
        <w:t>，未被</w:t>
      </w:r>
      <w:r>
        <w:rPr>
          <w:rFonts w:asciiTheme="majorEastAsia" w:hAnsiTheme="majorEastAsia" w:eastAsiaTheme="majorEastAsia"/>
          <w:color w:val="0C0C0C" w:themeColor="text1" w:themeTint="F2"/>
          <w:sz w:val="24"/>
          <w:szCs w:val="24"/>
        </w:rPr>
        <w:t>全国公共资源交易平台（</w:t>
      </w:r>
      <w:r>
        <w:fldChar w:fldCharType="begin"/>
      </w:r>
      <w:r>
        <w:instrText xml:space="preserve"> HYPERLINK "http://www.ggzy.gov.cn" </w:instrText>
      </w:r>
      <w:r>
        <w:fldChar w:fldCharType="separate"/>
      </w:r>
      <w:r>
        <w:rPr>
          <w:rStyle w:val="60"/>
          <w:rFonts w:asciiTheme="majorEastAsia" w:hAnsiTheme="majorEastAsia" w:eastAsiaTheme="majorEastAsia"/>
          <w:color w:val="0C0C0C" w:themeColor="text1" w:themeTint="F2"/>
          <w:sz w:val="24"/>
          <w:szCs w:val="24"/>
        </w:rPr>
        <w:t>http://www.ggzy.gov.cn</w:t>
      </w:r>
      <w:r>
        <w:rPr>
          <w:rStyle w:val="60"/>
          <w:rFonts w:asciiTheme="majorEastAsia" w:hAnsiTheme="majorEastAsia" w:eastAsiaTheme="majorEastAsia"/>
          <w:color w:val="0C0C0C" w:themeColor="text1" w:themeTint="F2"/>
          <w:sz w:val="24"/>
          <w:szCs w:val="24"/>
        </w:rPr>
        <w:fldChar w:fldCharType="end"/>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等渠道</w:t>
      </w:r>
      <w:r>
        <w:rPr>
          <w:rFonts w:asciiTheme="majorEastAsia" w:hAnsiTheme="majorEastAsia" w:eastAsiaTheme="majorEastAsia"/>
          <w:color w:val="0C0C0C" w:themeColor="text1" w:themeTint="F2"/>
          <w:sz w:val="24"/>
          <w:szCs w:val="24"/>
        </w:rPr>
        <w:t>列入</w:t>
      </w:r>
      <w:r>
        <w:rPr>
          <w:rFonts w:hint="eastAsia" w:asciiTheme="majorEastAsia" w:hAnsiTheme="majorEastAsia" w:eastAsiaTheme="majorEastAsia"/>
          <w:color w:val="0C0C0C" w:themeColor="text1" w:themeTint="F2"/>
          <w:sz w:val="24"/>
          <w:szCs w:val="24"/>
        </w:rPr>
        <w:t>黑名单。</w:t>
      </w:r>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3、适用法律</w:t>
      </w:r>
      <w:bookmarkEnd w:id="62"/>
      <w:bookmarkEnd w:id="63"/>
      <w:bookmarkEnd w:id="64"/>
    </w:p>
    <w:p>
      <w:pPr>
        <w:spacing w:line="400" w:lineRule="exact"/>
        <w:ind w:firstLine="420" w:firstLineChars="17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3.1 本次招标及由此产生的合同受中华人民共和国有关的法律法规制约和保护</w:t>
      </w:r>
      <w:r>
        <w:rPr>
          <w:rFonts w:asciiTheme="majorEastAsia" w:hAnsiTheme="majorEastAsia" w:eastAsiaTheme="majorEastAsia"/>
          <w:color w:val="0C0C0C" w:themeColor="text1" w:themeTint="F2"/>
          <w:sz w:val="24"/>
          <w:szCs w:val="24"/>
        </w:rPr>
        <w:t>。</w:t>
      </w:r>
    </w:p>
    <w:p>
      <w:pPr>
        <w:pStyle w:val="6"/>
        <w:spacing w:before="0" w:after="0" w:line="400" w:lineRule="exact"/>
        <w:ind w:firstLine="480" w:firstLineChars="200"/>
        <w:rPr>
          <w:rFonts w:asciiTheme="majorEastAsia" w:hAnsiTheme="majorEastAsia" w:eastAsiaTheme="majorEastAsia"/>
          <w:b w:val="0"/>
          <w:bCs w:val="0"/>
          <w:color w:val="0C0C0C" w:themeColor="text1" w:themeTint="F2"/>
          <w:sz w:val="24"/>
          <w:szCs w:val="24"/>
        </w:rPr>
      </w:pPr>
      <w:bookmarkStart w:id="65" w:name="_Toc20823279"/>
      <w:bookmarkStart w:id="66" w:name="_Toc513029207"/>
      <w:bookmarkStart w:id="67" w:name="_Toc16938523"/>
      <w:bookmarkStart w:id="68" w:name="_Toc462564067"/>
      <w:r>
        <w:rPr>
          <w:rFonts w:hint="eastAsia" w:asciiTheme="majorEastAsia" w:hAnsiTheme="majorEastAsia" w:eastAsiaTheme="majorEastAsia"/>
          <w:b w:val="0"/>
          <w:bCs w:val="0"/>
          <w:color w:val="0C0C0C" w:themeColor="text1" w:themeTint="F2"/>
          <w:sz w:val="24"/>
          <w:szCs w:val="24"/>
        </w:rPr>
        <w:t>4、投标费用</w:t>
      </w:r>
      <w:bookmarkEnd w:id="65"/>
      <w:bookmarkEnd w:id="66"/>
      <w:bookmarkEnd w:id="67"/>
      <w:bookmarkEnd w:id="68"/>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4.1</w:t>
      </w:r>
      <w:r>
        <w:rPr>
          <w:rFonts w:hint="eastAsia" w:asciiTheme="majorEastAsia" w:hAnsiTheme="majorEastAsia" w:eastAsiaTheme="majorEastAsia"/>
          <w:color w:val="0C0C0C" w:themeColor="text1" w:themeTint="F2"/>
          <w:sz w:val="24"/>
          <w:szCs w:val="24"/>
        </w:rPr>
        <w:t xml:space="preserve"> 投标人应自行承担所有与参加投标有关的费用，无论投标过程中的做法和结果如何，本采购人在任何情况下均无义务和责任承担这些费用。</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4.2本项目不收取招标文件费用；本项目属于政府采购项目，交易中心不收取中标服务费；本项目招标代理费5080元由采购人支付。</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5、招标文件的约束力</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5.1</w:t>
      </w:r>
      <w:r>
        <w:rPr>
          <w:rFonts w:hint="eastAsia" w:asciiTheme="majorEastAsia" w:hAnsiTheme="majorEastAsia" w:eastAsiaTheme="majorEastAsia"/>
          <w:color w:val="0C0C0C" w:themeColor="text1" w:themeTint="F2"/>
          <w:sz w:val="24"/>
          <w:szCs w:val="24"/>
        </w:rPr>
        <w:t xml:space="preserve"> 投标人一旦参加本项目采购活动，即被认为接受了本招标文件的规定和约束并且视为自招标公告期限届满之日起知道或应当知道自身权益是否收到了损害。</w:t>
      </w:r>
    </w:p>
    <w:p>
      <w:pPr>
        <w:pStyle w:val="5"/>
        <w:spacing w:line="400" w:lineRule="exact"/>
        <w:ind w:firstLine="280" w:firstLineChars="100"/>
        <w:jc w:val="center"/>
        <w:rPr>
          <w:rFonts w:asciiTheme="majorEastAsia" w:hAnsiTheme="majorEastAsia" w:eastAsiaTheme="majorEastAsia"/>
          <w:color w:val="0C0C0C" w:themeColor="text1" w:themeTint="F2"/>
          <w:sz w:val="28"/>
          <w:szCs w:val="28"/>
        </w:rPr>
      </w:pPr>
      <w:bookmarkStart w:id="69" w:name="_Toc16938525"/>
      <w:bookmarkStart w:id="70" w:name="_Toc20823281"/>
      <w:bookmarkStart w:id="71" w:name="_Toc513029209"/>
      <w:bookmarkStart w:id="72" w:name="_Toc120614215"/>
      <w:r>
        <w:rPr>
          <w:rFonts w:hint="eastAsia" w:asciiTheme="majorEastAsia" w:hAnsiTheme="majorEastAsia" w:eastAsiaTheme="majorEastAsia"/>
          <w:color w:val="0C0C0C" w:themeColor="text1" w:themeTint="F2"/>
          <w:sz w:val="28"/>
          <w:szCs w:val="28"/>
        </w:rPr>
        <w:t>二、招标文件</w:t>
      </w:r>
      <w:bookmarkEnd w:id="69"/>
      <w:bookmarkEnd w:id="70"/>
      <w:bookmarkEnd w:id="71"/>
      <w:bookmarkEnd w:id="72"/>
    </w:p>
    <w:p>
      <w:pPr>
        <w:pStyle w:val="6"/>
        <w:spacing w:before="0" w:after="0" w:line="400" w:lineRule="exact"/>
        <w:ind w:firstLine="480" w:firstLineChars="200"/>
        <w:rPr>
          <w:rFonts w:asciiTheme="majorEastAsia" w:hAnsiTheme="majorEastAsia" w:eastAsiaTheme="majorEastAsia"/>
          <w:b w:val="0"/>
          <w:bCs w:val="0"/>
          <w:color w:val="0C0C0C" w:themeColor="text1" w:themeTint="F2"/>
          <w:sz w:val="24"/>
          <w:szCs w:val="24"/>
        </w:rPr>
      </w:pPr>
      <w:bookmarkStart w:id="73" w:name="_Toc513029210"/>
      <w:bookmarkStart w:id="74" w:name="_Toc20823282"/>
      <w:bookmarkStart w:id="75" w:name="_Toc16938526"/>
      <w:r>
        <w:rPr>
          <w:rFonts w:hint="eastAsia" w:asciiTheme="majorEastAsia" w:hAnsiTheme="majorEastAsia" w:eastAsiaTheme="majorEastAsia"/>
          <w:b w:val="0"/>
          <w:bCs w:val="0"/>
          <w:color w:val="0C0C0C" w:themeColor="text1" w:themeTint="F2"/>
          <w:sz w:val="24"/>
          <w:szCs w:val="24"/>
        </w:rPr>
        <w:t>6、招标文件构成</w:t>
      </w:r>
      <w:bookmarkEnd w:id="73"/>
      <w:bookmarkEnd w:id="74"/>
      <w:bookmarkEnd w:id="75"/>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6.1</w:t>
      </w:r>
      <w:r>
        <w:rPr>
          <w:rFonts w:hint="eastAsia" w:asciiTheme="majorEastAsia" w:hAnsiTheme="majorEastAsia" w:eastAsiaTheme="majorEastAsia"/>
          <w:color w:val="0C0C0C" w:themeColor="text1" w:themeTint="F2"/>
          <w:sz w:val="24"/>
          <w:szCs w:val="24"/>
        </w:rPr>
        <w:t xml:space="preserve"> 招标文件由以下部分组成：</w:t>
      </w:r>
    </w:p>
    <w:p>
      <w:pPr>
        <w:spacing w:line="400" w:lineRule="exact"/>
        <w:ind w:firstLine="360" w:firstLineChars="1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（1）投标邀请</w:t>
      </w:r>
    </w:p>
    <w:p>
      <w:pPr>
        <w:spacing w:line="400" w:lineRule="exact"/>
        <w:ind w:firstLine="360" w:firstLineChars="1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（2）投标人须知</w:t>
      </w:r>
    </w:p>
    <w:p>
      <w:pPr>
        <w:spacing w:line="400" w:lineRule="exact"/>
        <w:ind w:firstLine="360" w:firstLineChars="1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（3）合同条款及格式</w:t>
      </w:r>
    </w:p>
    <w:p>
      <w:pPr>
        <w:spacing w:line="400" w:lineRule="exact"/>
        <w:ind w:firstLine="360" w:firstLineChars="1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（4）项目需求</w:t>
      </w:r>
    </w:p>
    <w:p>
      <w:pPr>
        <w:spacing w:line="400" w:lineRule="exact"/>
        <w:ind w:firstLine="360" w:firstLineChars="1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（5）评标方法与评标标准</w:t>
      </w:r>
    </w:p>
    <w:p>
      <w:pPr>
        <w:spacing w:line="400" w:lineRule="exact"/>
        <w:ind w:firstLine="360" w:firstLineChars="1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（6）投标文件格式</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投标人下载招标文件后，应仔细检查招标文件的所有内容，如对采购活动事项有疑问的，应以书面形式提出询问或疑问，未在规定时间内提出询问或疑问的，视同供应商理解并接受本招标文件所有内容，并由此引起的投标损失自负。</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6.2</w:t>
      </w:r>
      <w:r>
        <w:rPr>
          <w:rFonts w:hint="eastAsia" w:asciiTheme="majorEastAsia" w:hAnsiTheme="majorEastAsia" w:eastAsiaTheme="majorEastAsia"/>
          <w:color w:val="0C0C0C" w:themeColor="text1" w:themeTint="F2"/>
          <w:sz w:val="24"/>
          <w:szCs w:val="24"/>
        </w:rPr>
        <w:t xml:space="preserve"> 投标人应认真阅读招标文件中所有的事项、格式、条款和规范等要求。按招标文件要求和规定编制投标文件，并保证所提供的全部资料的真实性，以使其投标文件对招标文件作出实质性响应，否则其风险由投标人自行承担。</w:t>
      </w:r>
    </w:p>
    <w:p>
      <w:pPr>
        <w:pStyle w:val="6"/>
        <w:spacing w:before="0" w:after="0" w:line="400" w:lineRule="exact"/>
        <w:ind w:firstLine="480" w:firstLineChars="200"/>
        <w:rPr>
          <w:rFonts w:asciiTheme="majorEastAsia" w:hAnsiTheme="majorEastAsia" w:eastAsiaTheme="majorEastAsia"/>
          <w:b w:val="0"/>
          <w:bCs w:val="0"/>
          <w:color w:val="0C0C0C" w:themeColor="text1" w:themeTint="F2"/>
          <w:sz w:val="24"/>
          <w:szCs w:val="24"/>
        </w:rPr>
      </w:pPr>
      <w:bookmarkStart w:id="76" w:name="_Toc20823283"/>
      <w:bookmarkStart w:id="77" w:name="_Toc513029211"/>
      <w:bookmarkStart w:id="78" w:name="_Toc16938527"/>
      <w:bookmarkStart w:id="79" w:name="_Toc462564070"/>
      <w:r>
        <w:rPr>
          <w:rFonts w:hint="eastAsia" w:asciiTheme="majorEastAsia" w:hAnsiTheme="majorEastAsia" w:eastAsiaTheme="majorEastAsia"/>
          <w:b w:val="0"/>
          <w:bCs w:val="0"/>
          <w:color w:val="0C0C0C" w:themeColor="text1" w:themeTint="F2"/>
          <w:sz w:val="24"/>
          <w:szCs w:val="24"/>
        </w:rPr>
        <w:t>7、招标文件的</w:t>
      </w:r>
      <w:bookmarkEnd w:id="76"/>
      <w:bookmarkEnd w:id="77"/>
      <w:bookmarkEnd w:id="78"/>
      <w:bookmarkEnd w:id="79"/>
      <w:r>
        <w:rPr>
          <w:rFonts w:hint="eastAsia" w:asciiTheme="majorEastAsia" w:hAnsiTheme="majorEastAsia" w:eastAsiaTheme="majorEastAsia"/>
          <w:b w:val="0"/>
          <w:bCs w:val="0"/>
          <w:color w:val="0C0C0C" w:themeColor="text1" w:themeTint="F2"/>
          <w:sz w:val="24"/>
          <w:szCs w:val="24"/>
        </w:rPr>
        <w:t>疑问</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7.1</w:t>
      </w:r>
      <w:bookmarkStart w:id="80" w:name="_Toc20823284"/>
      <w:bookmarkStart w:id="81" w:name="_Toc16938528"/>
      <w:bookmarkStart w:id="82" w:name="_Toc513029212"/>
      <w:bookmarkStart w:id="83" w:name="_Toc462564071"/>
      <w:r>
        <w:rPr>
          <w:rFonts w:hint="eastAsia" w:asciiTheme="majorEastAsia" w:hAnsiTheme="majorEastAsia" w:eastAsiaTheme="majorEastAsia"/>
          <w:color w:val="0C0C0C" w:themeColor="text1" w:themeTint="F2"/>
          <w:sz w:val="24"/>
          <w:szCs w:val="24"/>
        </w:rPr>
        <w:t>投标人对采购活动事项有疑问的，应当在2022年</w:t>
      </w:r>
      <w:r>
        <w:rPr>
          <w:rFonts w:hint="eastAsia" w:asciiTheme="majorEastAsia" w:hAnsiTheme="majorEastAsia" w:eastAsiaTheme="majorEastAsia"/>
          <w:color w:val="0C0C0C" w:themeColor="text1" w:themeTint="F2"/>
          <w:sz w:val="24"/>
          <w:szCs w:val="24"/>
          <w:u w:val="single"/>
          <w:lang w:val="en-US" w:eastAsia="zh-CN"/>
        </w:rPr>
        <w:t>2</w:t>
      </w:r>
      <w:r>
        <w:rPr>
          <w:rFonts w:hint="eastAsia" w:asciiTheme="majorEastAsia" w:hAnsiTheme="majorEastAsia" w:eastAsiaTheme="majorEastAsia"/>
          <w:color w:val="0C0C0C" w:themeColor="text1" w:themeTint="F2"/>
          <w:sz w:val="24"/>
          <w:szCs w:val="24"/>
        </w:rPr>
        <w:t>月</w:t>
      </w:r>
      <w:r>
        <w:rPr>
          <w:rFonts w:hint="eastAsia" w:asciiTheme="majorEastAsia" w:hAnsiTheme="majorEastAsia" w:eastAsiaTheme="majorEastAsia"/>
          <w:color w:val="0C0C0C" w:themeColor="text1" w:themeTint="F2"/>
          <w:sz w:val="24"/>
          <w:szCs w:val="24"/>
          <w:u w:val="single"/>
          <w:lang w:val="en-US" w:eastAsia="zh-CN"/>
        </w:rPr>
        <w:t>24</w:t>
      </w:r>
      <w:r>
        <w:rPr>
          <w:rFonts w:hint="eastAsia" w:asciiTheme="majorEastAsia" w:hAnsiTheme="majorEastAsia" w:eastAsiaTheme="majorEastAsia"/>
          <w:color w:val="0C0C0C" w:themeColor="text1" w:themeTint="F2"/>
          <w:sz w:val="24"/>
          <w:szCs w:val="24"/>
        </w:rPr>
        <w:t>日前向采购人提出询问，采购人将在2022年</w:t>
      </w:r>
      <w:r>
        <w:rPr>
          <w:rFonts w:hint="eastAsia" w:asciiTheme="majorEastAsia" w:hAnsiTheme="majorEastAsia" w:eastAsiaTheme="majorEastAsia"/>
          <w:color w:val="0C0C0C" w:themeColor="text1" w:themeTint="F2"/>
          <w:sz w:val="24"/>
          <w:szCs w:val="24"/>
          <w:lang w:val="en-US" w:eastAsia="zh-CN"/>
        </w:rPr>
        <w:t>2</w:t>
      </w:r>
      <w:r>
        <w:rPr>
          <w:rFonts w:hint="eastAsia" w:asciiTheme="majorEastAsia" w:hAnsiTheme="majorEastAsia" w:eastAsiaTheme="majorEastAsia"/>
          <w:color w:val="0C0C0C" w:themeColor="text1" w:themeTint="F2"/>
          <w:sz w:val="24"/>
          <w:szCs w:val="24"/>
        </w:rPr>
        <w:t>月</w:t>
      </w:r>
      <w:r>
        <w:rPr>
          <w:rFonts w:hint="eastAsia" w:asciiTheme="majorEastAsia" w:hAnsiTheme="majorEastAsia" w:eastAsiaTheme="majorEastAsia"/>
          <w:color w:val="0C0C0C" w:themeColor="text1" w:themeTint="F2"/>
          <w:sz w:val="24"/>
          <w:szCs w:val="24"/>
          <w:u w:val="single"/>
          <w:lang w:val="en-US" w:eastAsia="zh-CN"/>
        </w:rPr>
        <w:t>24</w:t>
      </w:r>
      <w:r>
        <w:rPr>
          <w:rFonts w:hint="eastAsia" w:asciiTheme="majorEastAsia" w:hAnsiTheme="majorEastAsia" w:eastAsiaTheme="majorEastAsia"/>
          <w:color w:val="0C0C0C" w:themeColor="text1" w:themeTint="F2"/>
          <w:sz w:val="24"/>
          <w:szCs w:val="24"/>
        </w:rPr>
        <w:t>日前对投标人依法提出的询问作出答复。</w:t>
      </w:r>
    </w:p>
    <w:p>
      <w:pPr>
        <w:spacing w:line="400" w:lineRule="exact"/>
        <w:ind w:left="119" w:leftChars="57" w:firstLine="360" w:firstLineChars="1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7.2投标人认为采购文件使自己的权益受到损害的，可以在2022年</w:t>
      </w:r>
      <w:r>
        <w:rPr>
          <w:rFonts w:hint="eastAsia" w:asciiTheme="majorEastAsia" w:hAnsiTheme="majorEastAsia" w:eastAsiaTheme="majorEastAsia"/>
          <w:color w:val="0C0C0C" w:themeColor="text1" w:themeTint="F2"/>
          <w:sz w:val="24"/>
          <w:szCs w:val="24"/>
          <w:lang w:val="en-US" w:eastAsia="zh-CN"/>
        </w:rPr>
        <w:t>2</w:t>
      </w:r>
      <w:r>
        <w:rPr>
          <w:rFonts w:hint="eastAsia" w:asciiTheme="majorEastAsia" w:hAnsiTheme="majorEastAsia" w:eastAsiaTheme="majorEastAsia"/>
          <w:color w:val="0C0C0C" w:themeColor="text1" w:themeTint="F2"/>
          <w:sz w:val="24"/>
          <w:szCs w:val="24"/>
        </w:rPr>
        <w:t>月</w:t>
      </w:r>
      <w:r>
        <w:rPr>
          <w:rFonts w:hint="eastAsia" w:asciiTheme="majorEastAsia" w:hAnsiTheme="majorEastAsia" w:eastAsiaTheme="majorEastAsia"/>
          <w:color w:val="0C0C0C" w:themeColor="text1" w:themeTint="F2"/>
          <w:sz w:val="24"/>
          <w:szCs w:val="24"/>
          <w:u w:val="single"/>
          <w:lang w:val="en-US" w:eastAsia="zh-CN"/>
        </w:rPr>
        <w:t>24</w:t>
      </w:r>
      <w:r>
        <w:rPr>
          <w:rFonts w:hint="eastAsia" w:asciiTheme="majorEastAsia" w:hAnsiTheme="majorEastAsia" w:eastAsiaTheme="majorEastAsia"/>
          <w:color w:val="0C0C0C" w:themeColor="text1" w:themeTint="F2"/>
          <w:sz w:val="24"/>
          <w:szCs w:val="24"/>
        </w:rPr>
        <w:t>日前，以书面形式向采购人提出质疑。采购人将在收到投标人的书面质疑后7个工作日内对投标人依法提出的质疑作出答复，并将通知质疑投标人和其他有关投标人，但答复内容涉及商业秘密的除外。</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7.3采购人委托采购代理机构采购的，投标人可以向采购代理机构提出质疑，代理机构依照《中华人民共和国政府采购法》有关规定就采购人委托授权范围内的事项作出答复。</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7.4采购人可能在2022年</w:t>
      </w:r>
      <w:r>
        <w:rPr>
          <w:rFonts w:hint="eastAsia" w:asciiTheme="majorEastAsia" w:hAnsiTheme="majorEastAsia" w:eastAsiaTheme="majorEastAsia"/>
          <w:color w:val="0C0C0C" w:themeColor="text1" w:themeTint="F2"/>
          <w:sz w:val="24"/>
          <w:szCs w:val="24"/>
          <w:lang w:val="en-US" w:eastAsia="zh-CN"/>
        </w:rPr>
        <w:t>2</w:t>
      </w:r>
      <w:r>
        <w:rPr>
          <w:rFonts w:hint="eastAsia" w:asciiTheme="majorEastAsia" w:hAnsiTheme="majorEastAsia" w:eastAsiaTheme="majorEastAsia"/>
          <w:color w:val="0C0C0C" w:themeColor="text1" w:themeTint="F2"/>
          <w:sz w:val="24"/>
          <w:szCs w:val="24"/>
        </w:rPr>
        <w:t>月</w:t>
      </w:r>
      <w:r>
        <w:rPr>
          <w:rFonts w:hint="eastAsia" w:asciiTheme="majorEastAsia" w:hAnsiTheme="majorEastAsia" w:eastAsiaTheme="majorEastAsia"/>
          <w:color w:val="0C0C0C" w:themeColor="text1" w:themeTint="F2"/>
          <w:sz w:val="24"/>
          <w:szCs w:val="24"/>
          <w:u w:val="single"/>
          <w:lang w:val="en-US" w:eastAsia="zh-CN"/>
        </w:rPr>
        <w:t>28</w:t>
      </w:r>
      <w:bookmarkStart w:id="200" w:name="_GoBack"/>
      <w:bookmarkEnd w:id="200"/>
      <w:r>
        <w:rPr>
          <w:rFonts w:hint="eastAsia" w:asciiTheme="majorEastAsia" w:hAnsiTheme="majorEastAsia" w:eastAsiaTheme="majorEastAsia"/>
          <w:color w:val="0C0C0C" w:themeColor="text1" w:themeTint="F2"/>
          <w:sz w:val="24"/>
          <w:szCs w:val="24"/>
        </w:rPr>
        <w:t>日前对已发出的招标文件进行必要的澄清或者修改，如澄清或修改时间晚于国家有关法律法规规定的，采购人将顺延提交投标文件的截止时间，并以书面形式通知所有获取招标文件的潜在投标人。</w:t>
      </w:r>
    </w:p>
    <w:p>
      <w:pPr>
        <w:spacing w:line="400" w:lineRule="exact"/>
        <w:ind w:firstLine="480" w:firstLineChars="200"/>
        <w:rPr>
          <w:rFonts w:cs="Arial" w:asciiTheme="majorEastAsia" w:hAnsiTheme="majorEastAsia" w:eastAsiaTheme="majorEastAsia"/>
          <w:color w:val="0C0C0C" w:themeColor="text1" w:themeTint="F2"/>
          <w:sz w:val="24"/>
          <w:szCs w:val="24"/>
        </w:rPr>
      </w:pPr>
      <w:r>
        <w:rPr>
          <w:rFonts w:hint="eastAsia" w:cs="Arial" w:asciiTheme="majorEastAsia" w:hAnsiTheme="majorEastAsia" w:eastAsiaTheme="majorEastAsia"/>
          <w:color w:val="0C0C0C" w:themeColor="text1" w:themeTint="F2"/>
          <w:sz w:val="24"/>
          <w:szCs w:val="24"/>
        </w:rPr>
        <w:t>8、招标文件的修改</w:t>
      </w:r>
      <w:bookmarkEnd w:id="80"/>
      <w:bookmarkEnd w:id="81"/>
      <w:bookmarkEnd w:id="82"/>
      <w:bookmarkEnd w:id="83"/>
      <w:r>
        <w:rPr>
          <w:rFonts w:hint="eastAsia" w:cs="Arial" w:asciiTheme="majorEastAsia" w:hAnsiTheme="majorEastAsia" w:eastAsiaTheme="majorEastAsia"/>
          <w:color w:val="0C0C0C" w:themeColor="text1" w:themeTint="F2"/>
          <w:sz w:val="24"/>
          <w:szCs w:val="24"/>
        </w:rPr>
        <w:t>及澄清</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8.1</w:t>
      </w:r>
      <w:r>
        <w:rPr>
          <w:rFonts w:hint="eastAsia" w:asciiTheme="majorEastAsia" w:hAnsiTheme="majorEastAsia" w:eastAsiaTheme="majorEastAsia"/>
          <w:color w:val="0C0C0C" w:themeColor="text1" w:themeTint="F2"/>
          <w:sz w:val="24"/>
          <w:szCs w:val="24"/>
        </w:rPr>
        <w:t xml:space="preserve"> 在投标截止时间十五日前，采购人可以对招标文件进行修改。</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8.2</w:t>
      </w:r>
      <w:r>
        <w:rPr>
          <w:rFonts w:hint="eastAsia" w:asciiTheme="majorEastAsia" w:hAnsiTheme="majorEastAsia" w:eastAsiaTheme="majorEastAsia"/>
          <w:color w:val="0C0C0C" w:themeColor="text1" w:themeTint="F2"/>
          <w:sz w:val="24"/>
          <w:szCs w:val="24"/>
        </w:rPr>
        <w:t>采购人有权按照法定的要求推迟投标截止日期和开标日期。</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8.3</w:t>
      </w:r>
      <w:bookmarkStart w:id="84" w:name="_Toc16938529"/>
      <w:bookmarkStart w:id="85" w:name="_Toc20823285"/>
      <w:bookmarkStart w:id="86" w:name="_Toc462564072"/>
      <w:bookmarkStart w:id="87" w:name="_Toc120614216"/>
      <w:bookmarkStart w:id="88" w:name="_Toc513029213"/>
      <w:r>
        <w:rPr>
          <w:rFonts w:hint="eastAsia" w:asciiTheme="majorEastAsia" w:hAnsiTheme="majorEastAsia" w:eastAsiaTheme="majorEastAsia"/>
          <w:color w:val="0C0C0C" w:themeColor="text1" w:themeTint="F2"/>
          <w:sz w:val="24"/>
          <w:szCs w:val="24"/>
        </w:rPr>
        <w:t>招标文件的修改将在江苏省政府采购网公布，补充文件将作为招标文件的组成部分，并对投标人具有约束力。</w:t>
      </w:r>
    </w:p>
    <w:p>
      <w:pPr>
        <w:spacing w:line="400" w:lineRule="exact"/>
        <w:ind w:firstLine="560" w:firstLineChars="200"/>
        <w:jc w:val="center"/>
        <w:rPr>
          <w:rFonts w:asciiTheme="majorEastAsia" w:hAnsiTheme="majorEastAsia" w:eastAsiaTheme="majorEastAsia"/>
          <w:b/>
          <w:color w:val="0C0C0C" w:themeColor="text1" w:themeTint="F2"/>
          <w:sz w:val="28"/>
          <w:szCs w:val="28"/>
        </w:rPr>
      </w:pPr>
      <w:r>
        <w:rPr>
          <w:rFonts w:hint="eastAsia" w:asciiTheme="majorEastAsia" w:hAnsiTheme="majorEastAsia" w:eastAsiaTheme="majorEastAsia"/>
          <w:b/>
          <w:color w:val="0C0C0C" w:themeColor="text1" w:themeTint="F2"/>
          <w:sz w:val="28"/>
          <w:szCs w:val="28"/>
        </w:rPr>
        <w:t>三、投标文件的编制</w:t>
      </w:r>
      <w:bookmarkEnd w:id="84"/>
      <w:bookmarkEnd w:id="85"/>
      <w:bookmarkEnd w:id="86"/>
      <w:bookmarkEnd w:id="87"/>
      <w:bookmarkEnd w:id="88"/>
    </w:p>
    <w:p>
      <w:pPr>
        <w:pStyle w:val="6"/>
        <w:spacing w:before="0" w:after="0" w:line="400" w:lineRule="exact"/>
        <w:ind w:firstLine="480" w:firstLineChars="200"/>
        <w:rPr>
          <w:rFonts w:asciiTheme="majorEastAsia" w:hAnsiTheme="majorEastAsia" w:eastAsiaTheme="majorEastAsia"/>
          <w:b w:val="0"/>
          <w:bCs w:val="0"/>
          <w:color w:val="0C0C0C" w:themeColor="text1" w:themeTint="F2"/>
          <w:sz w:val="24"/>
          <w:szCs w:val="24"/>
        </w:rPr>
      </w:pPr>
      <w:bookmarkStart w:id="89" w:name="_Toc513029214"/>
      <w:bookmarkStart w:id="90" w:name="_Toc16938530"/>
      <w:bookmarkStart w:id="91" w:name="_Toc462564073"/>
      <w:bookmarkStart w:id="92" w:name="_Toc20823286"/>
      <w:r>
        <w:rPr>
          <w:rFonts w:hint="eastAsia" w:asciiTheme="majorEastAsia" w:hAnsiTheme="majorEastAsia" w:eastAsiaTheme="majorEastAsia"/>
          <w:b w:val="0"/>
          <w:bCs w:val="0"/>
          <w:color w:val="0C0C0C" w:themeColor="text1" w:themeTint="F2"/>
          <w:sz w:val="24"/>
          <w:szCs w:val="24"/>
        </w:rPr>
        <w:t>9、投标文件的语言及度量衡单位</w:t>
      </w:r>
      <w:bookmarkEnd w:id="89"/>
      <w:bookmarkEnd w:id="90"/>
      <w:bookmarkEnd w:id="91"/>
      <w:bookmarkEnd w:id="92"/>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9.1</w:t>
      </w:r>
      <w:r>
        <w:rPr>
          <w:rFonts w:hint="eastAsia" w:asciiTheme="majorEastAsia" w:hAnsiTheme="majorEastAsia" w:eastAsiaTheme="majorEastAsia"/>
          <w:color w:val="0C0C0C" w:themeColor="text1" w:themeTint="F2"/>
          <w:sz w:val="24"/>
          <w:szCs w:val="24"/>
        </w:rPr>
        <w:t xml:space="preserve"> 投标人提交的投标文件以及投标人与采购人就有关投标的所有来往通知、函件和文件均应使用简体中文。</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9.2</w:t>
      </w:r>
      <w:r>
        <w:rPr>
          <w:rFonts w:hint="eastAsia" w:asciiTheme="majorEastAsia" w:hAnsiTheme="majorEastAsia" w:eastAsiaTheme="majorEastAsia"/>
          <w:color w:val="0C0C0C" w:themeColor="text1" w:themeTint="F2"/>
          <w:sz w:val="24"/>
          <w:szCs w:val="24"/>
        </w:rPr>
        <w:t xml:space="preserve"> 除技术性能另有规定外，投标文件所使用的度量衡单位，均须采用国家法定计量单位。</w:t>
      </w:r>
    </w:p>
    <w:p>
      <w:pPr>
        <w:pStyle w:val="6"/>
        <w:spacing w:before="0" w:after="0" w:line="400" w:lineRule="exact"/>
        <w:ind w:firstLine="360" w:firstLineChars="150"/>
        <w:rPr>
          <w:rFonts w:asciiTheme="majorEastAsia" w:hAnsiTheme="majorEastAsia" w:eastAsiaTheme="majorEastAsia"/>
          <w:b w:val="0"/>
          <w:bCs w:val="0"/>
          <w:color w:val="0C0C0C" w:themeColor="text1" w:themeTint="F2"/>
          <w:sz w:val="24"/>
          <w:szCs w:val="24"/>
        </w:rPr>
      </w:pPr>
      <w:bookmarkStart w:id="93" w:name="_Toc513029215"/>
      <w:bookmarkStart w:id="94" w:name="_Toc16938531"/>
      <w:bookmarkStart w:id="95" w:name="_Toc20823287"/>
      <w:bookmarkStart w:id="96" w:name="_Toc462564074"/>
      <w:r>
        <w:rPr>
          <w:rFonts w:hint="eastAsia" w:asciiTheme="majorEastAsia" w:hAnsiTheme="majorEastAsia" w:eastAsiaTheme="majorEastAsia"/>
          <w:b w:val="0"/>
          <w:bCs w:val="0"/>
          <w:color w:val="0C0C0C" w:themeColor="text1" w:themeTint="F2"/>
          <w:sz w:val="24"/>
          <w:szCs w:val="24"/>
        </w:rPr>
        <w:t>10、投标文件构成</w:t>
      </w:r>
      <w:bookmarkEnd w:id="93"/>
      <w:bookmarkEnd w:id="94"/>
      <w:bookmarkEnd w:id="95"/>
      <w:bookmarkEnd w:id="96"/>
    </w:p>
    <w:p>
      <w:pPr>
        <w:pStyle w:val="16"/>
        <w:spacing w:line="400" w:lineRule="exact"/>
        <w:rPr>
          <w:rFonts w:asciiTheme="majorEastAsia" w:hAnsiTheme="majorEastAsia" w:eastAsiaTheme="majorEastAsia"/>
          <w:b/>
          <w:color w:val="0C0C0C" w:themeColor="text1" w:themeTint="F2"/>
          <w:szCs w:val="24"/>
        </w:rPr>
      </w:pPr>
      <w:r>
        <w:rPr>
          <w:rFonts w:hint="eastAsia" w:asciiTheme="majorEastAsia" w:hAnsiTheme="majorEastAsia" w:eastAsiaTheme="majorEastAsia"/>
          <w:b/>
          <w:color w:val="0C0C0C" w:themeColor="text1" w:themeTint="F2"/>
          <w:szCs w:val="24"/>
        </w:rPr>
        <w:t>10.1资格审查文件：</w:t>
      </w:r>
    </w:p>
    <w:p>
      <w:pPr>
        <w:spacing w:line="400" w:lineRule="exact"/>
        <w:ind w:firstLine="480" w:firstLineChars="200"/>
        <w:rPr>
          <w:rFonts w:asciiTheme="majorEastAsia" w:hAnsiTheme="majorEastAsia" w:eastAsiaTheme="majorEastAsia"/>
          <w:color w:val="0C0C0C" w:themeColor="text1" w:themeTint="F2"/>
          <w:sz w:val="24"/>
          <w:szCs w:val="24"/>
          <w:u w:val="single"/>
        </w:rPr>
      </w:pPr>
      <w:r>
        <w:rPr>
          <w:rFonts w:hint="eastAsia" w:asciiTheme="majorEastAsia" w:hAnsiTheme="majorEastAsia" w:eastAsiaTheme="majorEastAsia"/>
          <w:color w:val="0C0C0C" w:themeColor="text1" w:themeTint="F2"/>
          <w:sz w:val="24"/>
          <w:szCs w:val="24"/>
          <w:u w:val="single"/>
        </w:rPr>
        <w:t>10.1.1法定代表人身份证明书及法定代表人身份证；</w:t>
      </w:r>
    </w:p>
    <w:p>
      <w:pPr>
        <w:spacing w:line="400" w:lineRule="exact"/>
        <w:ind w:firstLine="480" w:firstLineChars="200"/>
        <w:rPr>
          <w:rFonts w:asciiTheme="majorEastAsia" w:hAnsiTheme="majorEastAsia" w:eastAsiaTheme="majorEastAsia"/>
          <w:color w:val="0C0C0C" w:themeColor="text1" w:themeTint="F2"/>
          <w:sz w:val="24"/>
          <w:szCs w:val="24"/>
          <w:u w:val="single"/>
        </w:rPr>
      </w:pPr>
      <w:r>
        <w:rPr>
          <w:rFonts w:hint="eastAsia" w:asciiTheme="majorEastAsia" w:hAnsiTheme="majorEastAsia" w:eastAsiaTheme="majorEastAsia"/>
          <w:color w:val="0C0C0C" w:themeColor="text1" w:themeTint="F2"/>
          <w:sz w:val="24"/>
          <w:szCs w:val="24"/>
          <w:u w:val="single"/>
        </w:rPr>
        <w:t>10.1.2法定代表人授权委托书及委托代理人身份证（如有授权）；</w:t>
      </w:r>
    </w:p>
    <w:p>
      <w:pPr>
        <w:spacing w:line="400" w:lineRule="exact"/>
        <w:ind w:firstLine="480" w:firstLineChars="200"/>
        <w:rPr>
          <w:rFonts w:asciiTheme="majorEastAsia" w:hAnsiTheme="majorEastAsia" w:eastAsiaTheme="majorEastAsia"/>
          <w:color w:val="0C0C0C" w:themeColor="text1" w:themeTint="F2"/>
          <w:sz w:val="24"/>
          <w:szCs w:val="24"/>
          <w:u w:val="single"/>
        </w:rPr>
      </w:pPr>
      <w:r>
        <w:rPr>
          <w:rFonts w:hint="eastAsia" w:asciiTheme="majorEastAsia" w:hAnsiTheme="majorEastAsia" w:eastAsiaTheme="majorEastAsia"/>
          <w:color w:val="0C0C0C" w:themeColor="text1" w:themeTint="F2"/>
          <w:sz w:val="24"/>
          <w:szCs w:val="24"/>
          <w:u w:val="single"/>
        </w:rPr>
        <w:t>10.1.3投标人企业法人营业执照；</w:t>
      </w:r>
    </w:p>
    <w:p>
      <w:pPr>
        <w:spacing w:line="400" w:lineRule="exact"/>
        <w:ind w:firstLine="480" w:firstLineChars="200"/>
        <w:rPr>
          <w:rFonts w:asciiTheme="majorEastAsia" w:hAnsiTheme="majorEastAsia" w:eastAsiaTheme="majorEastAsia"/>
          <w:color w:val="0C0C0C" w:themeColor="text1" w:themeTint="F2"/>
          <w:sz w:val="24"/>
          <w:szCs w:val="24"/>
          <w:u w:val="single"/>
        </w:rPr>
      </w:pPr>
      <w:r>
        <w:rPr>
          <w:rFonts w:hint="eastAsia" w:asciiTheme="majorEastAsia" w:hAnsiTheme="majorEastAsia" w:eastAsiaTheme="majorEastAsia"/>
          <w:color w:val="0C0C0C" w:themeColor="text1" w:themeTint="F2"/>
          <w:sz w:val="24"/>
          <w:szCs w:val="24"/>
          <w:u w:val="single"/>
        </w:rPr>
        <w:t>10.1.4拟派项目负责人身份证、学历证明或管理工作证明；</w:t>
      </w:r>
    </w:p>
    <w:p>
      <w:pPr>
        <w:spacing w:line="400" w:lineRule="exact"/>
        <w:ind w:firstLine="480" w:firstLineChars="200"/>
        <w:rPr>
          <w:rFonts w:asciiTheme="majorEastAsia" w:hAnsiTheme="majorEastAsia" w:eastAsiaTheme="majorEastAsia"/>
          <w:color w:val="0C0C0C" w:themeColor="text1" w:themeTint="F2"/>
          <w:sz w:val="24"/>
          <w:szCs w:val="24"/>
          <w:u w:val="single"/>
        </w:rPr>
      </w:pPr>
      <w:r>
        <w:rPr>
          <w:rFonts w:hint="eastAsia" w:asciiTheme="majorEastAsia" w:hAnsiTheme="majorEastAsia" w:eastAsiaTheme="majorEastAsia"/>
          <w:color w:val="0C0C0C" w:themeColor="text1" w:themeTint="F2"/>
          <w:sz w:val="24"/>
          <w:szCs w:val="24"/>
          <w:u w:val="single"/>
        </w:rPr>
        <w:t>10.1.5投标人与拟派项目负责人签订的有效劳动合同书及投标人所在地社保机构出具的由企业为项目负责人缴纳的 2021年6月至2021年12月的养老保险缴费证明；</w:t>
      </w:r>
    </w:p>
    <w:p>
      <w:pPr>
        <w:spacing w:line="400" w:lineRule="exact"/>
        <w:ind w:firstLine="480" w:firstLineChars="200"/>
        <w:rPr>
          <w:rFonts w:asciiTheme="majorEastAsia" w:hAnsiTheme="majorEastAsia" w:eastAsiaTheme="majorEastAsia"/>
          <w:color w:val="0C0C0C" w:themeColor="text1" w:themeTint="F2"/>
          <w:sz w:val="24"/>
          <w:szCs w:val="24"/>
          <w:u w:val="single"/>
        </w:rPr>
      </w:pPr>
      <w:r>
        <w:rPr>
          <w:rFonts w:hint="eastAsia" w:asciiTheme="majorEastAsia" w:hAnsiTheme="majorEastAsia" w:eastAsiaTheme="majorEastAsia"/>
          <w:color w:val="0C0C0C" w:themeColor="text1" w:themeTint="F2"/>
          <w:sz w:val="24"/>
          <w:szCs w:val="24"/>
          <w:u w:val="single"/>
        </w:rPr>
        <w:t>10.1.6有依法缴纳税收和社会保障资金的良好记录：投标人依法缴纳近一年内任意一个月税收的相关凭证的复印件，及投标人依法缴纳近一年内任意一个月社会保险的相关凭证（社会保险的凭据（专用收据或社会保险缴纳清单）），依法免税或不需要缴纳社会保障资金的投标人，应提供相应文件证明其依法免税或不需要缴纳社会保障资金；</w:t>
      </w:r>
    </w:p>
    <w:p>
      <w:pPr>
        <w:spacing w:line="400" w:lineRule="exact"/>
        <w:ind w:firstLine="480" w:firstLineChars="200"/>
        <w:rPr>
          <w:rFonts w:asciiTheme="majorEastAsia" w:hAnsiTheme="majorEastAsia" w:eastAsiaTheme="majorEastAsia"/>
          <w:color w:val="0C0C0C" w:themeColor="text1" w:themeTint="F2"/>
          <w:sz w:val="24"/>
          <w:szCs w:val="24"/>
          <w:u w:val="single"/>
        </w:rPr>
      </w:pPr>
      <w:r>
        <w:rPr>
          <w:rFonts w:hint="eastAsia" w:asciiTheme="majorEastAsia" w:hAnsiTheme="majorEastAsia" w:eastAsiaTheme="majorEastAsia"/>
          <w:color w:val="0C0C0C" w:themeColor="text1" w:themeTint="F2"/>
          <w:sz w:val="24"/>
          <w:szCs w:val="24"/>
          <w:u w:val="single"/>
        </w:rPr>
        <w:t>10.1.7提供2020年度经会计师事务所审计的财务报告或开户银行资信证明；</w:t>
      </w:r>
    </w:p>
    <w:p>
      <w:pPr>
        <w:spacing w:line="400" w:lineRule="exact"/>
        <w:ind w:firstLine="480" w:firstLineChars="200"/>
        <w:rPr>
          <w:rFonts w:asciiTheme="majorEastAsia" w:hAnsiTheme="majorEastAsia" w:eastAsiaTheme="majorEastAsia"/>
          <w:color w:val="0C0C0C" w:themeColor="text1" w:themeTint="F2"/>
          <w:sz w:val="24"/>
          <w:szCs w:val="24"/>
          <w:u w:val="single"/>
        </w:rPr>
      </w:pPr>
      <w:r>
        <w:rPr>
          <w:rFonts w:hint="eastAsia" w:asciiTheme="majorEastAsia" w:hAnsiTheme="majorEastAsia" w:eastAsiaTheme="majorEastAsia"/>
          <w:color w:val="0C0C0C" w:themeColor="text1" w:themeTint="F2"/>
          <w:sz w:val="24"/>
          <w:szCs w:val="24"/>
          <w:u w:val="single"/>
        </w:rPr>
        <w:t>10.1.8投标声明函。</w:t>
      </w:r>
    </w:p>
    <w:p>
      <w:pPr>
        <w:spacing w:line="400" w:lineRule="exact"/>
        <w:ind w:firstLine="480" w:firstLineChars="200"/>
        <w:rPr>
          <w:rFonts w:asciiTheme="majorEastAsia" w:hAnsiTheme="majorEastAsia" w:eastAsiaTheme="majorEastAsia"/>
          <w:b/>
          <w:color w:val="0C0C0C" w:themeColor="text1" w:themeTint="F2"/>
          <w:sz w:val="24"/>
          <w:szCs w:val="24"/>
        </w:rPr>
      </w:pPr>
      <w:r>
        <w:rPr>
          <w:rFonts w:asciiTheme="majorEastAsia" w:hAnsiTheme="majorEastAsia" w:eastAsiaTheme="majorEastAsia"/>
          <w:b/>
          <w:color w:val="0C0C0C" w:themeColor="text1" w:themeTint="F2"/>
          <w:sz w:val="24"/>
          <w:szCs w:val="24"/>
        </w:rPr>
        <w:t>10.2</w:t>
      </w:r>
      <w:r>
        <w:rPr>
          <w:rFonts w:hint="eastAsia" w:asciiTheme="majorEastAsia" w:hAnsiTheme="majorEastAsia" w:eastAsiaTheme="majorEastAsia"/>
          <w:b/>
          <w:color w:val="0C0C0C" w:themeColor="text1" w:themeTint="F2"/>
          <w:sz w:val="24"/>
          <w:szCs w:val="24"/>
        </w:rPr>
        <w:t>商务技术标文件：编制要求具体详见招标文件第五章商务技术标评审标准所含全部内容。</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10.3价格标文件：</w:t>
      </w:r>
    </w:p>
    <w:p>
      <w:pPr>
        <w:spacing w:line="400" w:lineRule="exact"/>
        <w:ind w:firstLine="480" w:firstLineChars="200"/>
        <w:rPr>
          <w:rFonts w:asciiTheme="majorEastAsia" w:hAnsiTheme="majorEastAsia" w:eastAsiaTheme="majorEastAsia"/>
          <w:color w:val="0C0C0C" w:themeColor="text1" w:themeTint="F2"/>
          <w:sz w:val="24"/>
          <w:szCs w:val="24"/>
          <w:u w:val="single"/>
        </w:rPr>
      </w:pPr>
      <w:r>
        <w:rPr>
          <w:rFonts w:hint="eastAsia" w:asciiTheme="majorEastAsia" w:hAnsiTheme="majorEastAsia" w:eastAsiaTheme="majorEastAsia"/>
          <w:color w:val="0C0C0C" w:themeColor="text1" w:themeTint="F2"/>
          <w:sz w:val="24"/>
          <w:szCs w:val="24"/>
          <w:u w:val="single"/>
        </w:rPr>
        <w:t>10.3.1报价函（详见投标文件格式）；</w:t>
      </w:r>
    </w:p>
    <w:p>
      <w:pPr>
        <w:spacing w:line="400" w:lineRule="exact"/>
        <w:ind w:firstLine="480" w:firstLineChars="200"/>
        <w:rPr>
          <w:rFonts w:asciiTheme="majorEastAsia" w:hAnsiTheme="majorEastAsia" w:eastAsiaTheme="majorEastAsia"/>
          <w:color w:val="0C0C0C" w:themeColor="text1" w:themeTint="F2"/>
          <w:sz w:val="24"/>
          <w:szCs w:val="24"/>
          <w:u w:val="single"/>
        </w:rPr>
      </w:pPr>
      <w:r>
        <w:rPr>
          <w:rFonts w:hint="eastAsia" w:asciiTheme="majorEastAsia" w:hAnsiTheme="majorEastAsia" w:eastAsiaTheme="majorEastAsia"/>
          <w:color w:val="0C0C0C" w:themeColor="text1" w:themeTint="F2"/>
          <w:sz w:val="24"/>
          <w:szCs w:val="24"/>
          <w:u w:val="single"/>
        </w:rPr>
        <w:t>10.3.2报价明细表；</w:t>
      </w:r>
    </w:p>
    <w:p>
      <w:pPr>
        <w:spacing w:line="400" w:lineRule="exact"/>
        <w:ind w:firstLine="480" w:firstLineChars="200"/>
        <w:rPr>
          <w:rFonts w:asciiTheme="majorEastAsia" w:hAnsiTheme="majorEastAsia" w:eastAsiaTheme="majorEastAsia"/>
          <w:bCs/>
          <w:color w:val="0C0C0C" w:themeColor="text1" w:themeTint="F2"/>
          <w:sz w:val="24"/>
          <w:szCs w:val="24"/>
          <w:u w:val="single"/>
        </w:rPr>
      </w:pPr>
      <w:r>
        <w:rPr>
          <w:rFonts w:hint="eastAsia" w:asciiTheme="majorEastAsia" w:hAnsiTheme="majorEastAsia" w:eastAsiaTheme="majorEastAsia"/>
          <w:bCs/>
          <w:color w:val="0C0C0C" w:themeColor="text1" w:themeTint="F2"/>
          <w:sz w:val="24"/>
          <w:szCs w:val="24"/>
          <w:u w:val="single"/>
        </w:rPr>
        <w:t>10.3.3中小企业声明函（如符合</w:t>
      </w:r>
      <w:r>
        <w:rPr>
          <w:rFonts w:asciiTheme="majorEastAsia" w:hAnsiTheme="majorEastAsia" w:eastAsiaTheme="majorEastAsia"/>
          <w:bCs/>
          <w:color w:val="0C0C0C" w:themeColor="text1" w:themeTint="F2"/>
          <w:sz w:val="24"/>
          <w:szCs w:val="24"/>
          <w:u w:val="single"/>
        </w:rPr>
        <w:t>小型和微型企业</w:t>
      </w:r>
      <w:r>
        <w:rPr>
          <w:rFonts w:hint="eastAsia" w:asciiTheme="majorEastAsia" w:hAnsiTheme="majorEastAsia" w:eastAsiaTheme="majorEastAsia"/>
          <w:bCs/>
          <w:color w:val="0C0C0C" w:themeColor="text1" w:themeTint="F2"/>
          <w:sz w:val="24"/>
          <w:szCs w:val="24"/>
          <w:u w:val="single"/>
        </w:rPr>
        <w:t>的需提供）；</w:t>
      </w:r>
    </w:p>
    <w:p>
      <w:pPr>
        <w:spacing w:line="400" w:lineRule="exact"/>
        <w:ind w:firstLine="480" w:firstLineChars="200"/>
        <w:rPr>
          <w:rFonts w:asciiTheme="majorEastAsia" w:hAnsiTheme="majorEastAsia" w:eastAsiaTheme="majorEastAsia"/>
          <w:bCs/>
          <w:color w:val="0C0C0C" w:themeColor="text1" w:themeTint="F2"/>
          <w:sz w:val="24"/>
          <w:szCs w:val="24"/>
          <w:u w:val="single"/>
        </w:rPr>
      </w:pPr>
      <w:r>
        <w:rPr>
          <w:rFonts w:hint="eastAsia" w:asciiTheme="majorEastAsia" w:hAnsiTheme="majorEastAsia" w:eastAsiaTheme="majorEastAsia"/>
          <w:bCs/>
          <w:color w:val="0C0C0C" w:themeColor="text1" w:themeTint="F2"/>
          <w:sz w:val="24"/>
          <w:szCs w:val="24"/>
          <w:u w:val="single"/>
        </w:rPr>
        <w:t>10.3.4监狱企业证明函（如符合</w:t>
      </w:r>
      <w:r>
        <w:rPr>
          <w:rFonts w:asciiTheme="majorEastAsia" w:hAnsiTheme="majorEastAsia" w:eastAsiaTheme="majorEastAsia"/>
          <w:bCs/>
          <w:color w:val="0C0C0C" w:themeColor="text1" w:themeTint="F2"/>
          <w:sz w:val="24"/>
          <w:szCs w:val="24"/>
          <w:u w:val="single"/>
        </w:rPr>
        <w:t>监狱企业</w:t>
      </w:r>
      <w:r>
        <w:rPr>
          <w:rFonts w:hint="eastAsia" w:asciiTheme="majorEastAsia" w:hAnsiTheme="majorEastAsia" w:eastAsiaTheme="majorEastAsia"/>
          <w:bCs/>
          <w:color w:val="0C0C0C" w:themeColor="text1" w:themeTint="F2"/>
          <w:sz w:val="24"/>
          <w:szCs w:val="24"/>
          <w:u w:val="single"/>
        </w:rPr>
        <w:t>的需提供）；</w:t>
      </w:r>
    </w:p>
    <w:p>
      <w:pPr>
        <w:spacing w:line="400" w:lineRule="exact"/>
        <w:ind w:firstLine="480" w:firstLineChars="200"/>
        <w:rPr>
          <w:rFonts w:asciiTheme="majorEastAsia" w:hAnsiTheme="majorEastAsia" w:eastAsiaTheme="majorEastAsia"/>
          <w:bCs/>
          <w:color w:val="0C0C0C" w:themeColor="text1" w:themeTint="F2"/>
          <w:sz w:val="24"/>
          <w:szCs w:val="24"/>
          <w:u w:val="single"/>
        </w:rPr>
      </w:pPr>
      <w:r>
        <w:rPr>
          <w:rFonts w:hint="eastAsia" w:asciiTheme="majorEastAsia" w:hAnsiTheme="majorEastAsia" w:eastAsiaTheme="majorEastAsia"/>
          <w:bCs/>
          <w:color w:val="0C0C0C" w:themeColor="text1" w:themeTint="F2"/>
          <w:sz w:val="24"/>
          <w:szCs w:val="24"/>
          <w:u w:val="single"/>
        </w:rPr>
        <w:t>10.3.5残疾人福利性单位声明函（如符合</w:t>
      </w:r>
      <w:r>
        <w:rPr>
          <w:rFonts w:asciiTheme="majorEastAsia" w:hAnsiTheme="majorEastAsia" w:eastAsiaTheme="majorEastAsia"/>
          <w:bCs/>
          <w:color w:val="0C0C0C" w:themeColor="text1" w:themeTint="F2"/>
          <w:sz w:val="24"/>
          <w:szCs w:val="24"/>
          <w:u w:val="single"/>
        </w:rPr>
        <w:t>残疾人福利性单位</w:t>
      </w:r>
      <w:r>
        <w:rPr>
          <w:rFonts w:hint="eastAsia" w:asciiTheme="majorEastAsia" w:hAnsiTheme="majorEastAsia" w:eastAsiaTheme="majorEastAsia"/>
          <w:bCs/>
          <w:color w:val="0C0C0C" w:themeColor="text1" w:themeTint="F2"/>
          <w:sz w:val="24"/>
          <w:szCs w:val="24"/>
          <w:u w:val="single"/>
        </w:rPr>
        <w:t>的需提供）。</w:t>
      </w:r>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 xml:space="preserve"> 注：（3）-（5）如</w:t>
      </w:r>
      <w:r>
        <w:rPr>
          <w:rFonts w:asciiTheme="majorEastAsia" w:hAnsiTheme="majorEastAsia" w:eastAsiaTheme="majorEastAsia"/>
          <w:bCs/>
          <w:color w:val="0C0C0C" w:themeColor="text1" w:themeTint="F2"/>
          <w:sz w:val="24"/>
          <w:szCs w:val="24"/>
        </w:rPr>
        <w:t>未提供</w:t>
      </w:r>
      <w:r>
        <w:rPr>
          <w:rFonts w:hint="eastAsia" w:asciiTheme="majorEastAsia" w:hAnsiTheme="majorEastAsia" w:eastAsiaTheme="majorEastAsia"/>
          <w:bCs/>
          <w:color w:val="0C0C0C" w:themeColor="text1" w:themeTint="F2"/>
          <w:sz w:val="24"/>
          <w:szCs w:val="24"/>
        </w:rPr>
        <w:t>则不能享受</w:t>
      </w:r>
      <w:r>
        <w:rPr>
          <w:rFonts w:asciiTheme="majorEastAsia" w:hAnsiTheme="majorEastAsia" w:eastAsiaTheme="majorEastAsia"/>
          <w:bCs/>
          <w:color w:val="0C0C0C" w:themeColor="text1" w:themeTint="F2"/>
          <w:sz w:val="24"/>
          <w:szCs w:val="24"/>
        </w:rPr>
        <w:t>小型和微型企业产品的价格给予</w:t>
      </w:r>
      <w:r>
        <w:rPr>
          <w:rFonts w:hint="eastAsia" w:asciiTheme="majorEastAsia" w:hAnsiTheme="majorEastAsia" w:eastAsiaTheme="majorEastAsia"/>
          <w:bCs/>
          <w:color w:val="0C0C0C" w:themeColor="text1" w:themeTint="F2"/>
          <w:sz w:val="24"/>
          <w:szCs w:val="24"/>
        </w:rPr>
        <w:t>10</w:t>
      </w:r>
      <w:r>
        <w:rPr>
          <w:rFonts w:asciiTheme="majorEastAsia" w:hAnsiTheme="majorEastAsia" w:eastAsiaTheme="majorEastAsia"/>
          <w:bCs/>
          <w:color w:val="0C0C0C" w:themeColor="text1" w:themeTint="F2"/>
          <w:sz w:val="24"/>
          <w:szCs w:val="24"/>
        </w:rPr>
        <w:t>%的扣除和残疾人福利性单位及监狱企业产品的价格给予6%的扣除；用扣除后的价格作为有效报价参与评审</w:t>
      </w:r>
      <w:r>
        <w:rPr>
          <w:rFonts w:hint="eastAsia" w:asciiTheme="majorEastAsia" w:hAnsiTheme="majorEastAsia" w:eastAsiaTheme="majorEastAsia"/>
          <w:bCs/>
          <w:color w:val="0C0C0C" w:themeColor="text1" w:themeTint="F2"/>
          <w:sz w:val="24"/>
          <w:szCs w:val="24"/>
        </w:rPr>
        <w:t>的优惠政策。</w:t>
      </w:r>
    </w:p>
    <w:p>
      <w:pPr>
        <w:spacing w:line="400" w:lineRule="exact"/>
        <w:ind w:firstLine="480" w:firstLineChars="200"/>
        <w:rPr>
          <w:rFonts w:asciiTheme="majorEastAsia" w:hAnsiTheme="majorEastAsia" w:eastAsiaTheme="majorEastAsia"/>
          <w:b/>
          <w:color w:val="0C0C0C" w:themeColor="text1" w:themeTint="F2"/>
          <w:sz w:val="24"/>
          <w:szCs w:val="24"/>
        </w:rPr>
      </w:pPr>
      <w:r>
        <w:rPr>
          <w:rFonts w:hint="eastAsia" w:asciiTheme="majorEastAsia" w:hAnsiTheme="majorEastAsia" w:eastAsiaTheme="majorEastAsia"/>
          <w:b/>
          <w:color w:val="0C0C0C" w:themeColor="text1" w:themeTint="F2"/>
          <w:sz w:val="24"/>
          <w:szCs w:val="24"/>
        </w:rPr>
        <w:t>资格审查文件和商务技术标文件不分标段编制，均为一正二副，商务技术标得分延续至每个标段。</w:t>
      </w:r>
      <w:r>
        <w:rPr>
          <w:rFonts w:hint="eastAsia" w:ascii="宋体" w:hAnsi="宋体"/>
          <w:b/>
          <w:color w:val="0D0D0D"/>
          <w:sz w:val="24"/>
          <w:szCs w:val="24"/>
        </w:rPr>
        <w:t>价格标文件分三个标段分别编制，每个标段价格标文件均为一正</w:t>
      </w:r>
      <w:r>
        <w:rPr>
          <w:rFonts w:hint="eastAsia" w:asciiTheme="majorEastAsia" w:hAnsiTheme="majorEastAsia" w:eastAsiaTheme="majorEastAsia"/>
          <w:b/>
          <w:color w:val="0C0C0C" w:themeColor="text1" w:themeTint="F2"/>
          <w:sz w:val="24"/>
          <w:szCs w:val="24"/>
        </w:rPr>
        <w:t>二副。</w:t>
      </w:r>
    </w:p>
    <w:p>
      <w:pPr>
        <w:numPr>
          <w:ilvl w:val="0"/>
          <w:numId w:val="12"/>
        </w:numPr>
        <w:spacing w:line="400" w:lineRule="exact"/>
        <w:ind w:firstLine="480" w:firstLineChars="200"/>
        <w:rPr>
          <w:rFonts w:ascii="宋体" w:hAnsi="宋体" w:cs="宋体"/>
          <w:color w:val="0C0C0C" w:themeColor="text1" w:themeTint="F2"/>
          <w:sz w:val="24"/>
          <w:szCs w:val="24"/>
        </w:rPr>
      </w:pPr>
      <w:bookmarkStart w:id="97" w:name="_Hlt26668975"/>
      <w:bookmarkEnd w:id="97"/>
      <w:bookmarkStart w:id="98" w:name="_Hlt26670360"/>
      <w:bookmarkEnd w:id="98"/>
      <w:bookmarkStart w:id="99" w:name="_Hlt26954838"/>
      <w:bookmarkEnd w:id="99"/>
      <w:bookmarkStart w:id="100" w:name="_Toc14577355"/>
      <w:bookmarkStart w:id="101" w:name="_Toc49090508"/>
      <w:r>
        <w:rPr>
          <w:rFonts w:hint="eastAsia" w:ascii="宋体" w:hAnsi="宋体" w:cs="Arial"/>
          <w:color w:val="0C0C0C" w:themeColor="text1" w:themeTint="F2"/>
          <w:sz w:val="24"/>
          <w:szCs w:val="24"/>
        </w:rPr>
        <w:t>投标文件的编写、份数和签署</w:t>
      </w:r>
    </w:p>
    <w:p>
      <w:pPr>
        <w:adjustRightInd w:val="0"/>
        <w:snapToGrid w:val="0"/>
        <w:spacing w:line="400" w:lineRule="exact"/>
        <w:ind w:firstLine="480" w:firstLineChars="200"/>
        <w:rPr>
          <w:rFonts w:ascii="宋体" w:hAnsi="宋体" w:cs="宋体"/>
          <w:color w:val="0C0C0C" w:themeColor="text1" w:themeTint="F2"/>
          <w:sz w:val="24"/>
          <w:szCs w:val="24"/>
        </w:rPr>
      </w:pPr>
      <w:r>
        <w:rPr>
          <w:rFonts w:hint="eastAsia" w:ascii="宋体" w:hAnsi="宋体" w:cs="宋体"/>
          <w:color w:val="0C0C0C" w:themeColor="text1" w:themeTint="F2"/>
          <w:sz w:val="24"/>
          <w:szCs w:val="24"/>
        </w:rPr>
        <w:t>11.1投标人应按本招标文件规定的要求编写。应递交的有关文件如未特别注明为原件的，可提交复印件。未按招标文件规定的格式填写、编制、制作、装订、提交投标文件，或投标文件字迹模糊不清的，该投标文件将被拒收或拒评。</w:t>
      </w:r>
    </w:p>
    <w:p>
      <w:pPr>
        <w:adjustRightInd w:val="0"/>
        <w:snapToGrid w:val="0"/>
        <w:spacing w:line="400" w:lineRule="exact"/>
        <w:ind w:firstLine="480" w:firstLineChars="200"/>
        <w:rPr>
          <w:rFonts w:ascii="宋体" w:hAnsi="宋体" w:cs="宋体"/>
          <w:color w:val="0C0C0C" w:themeColor="text1" w:themeTint="F2"/>
          <w:sz w:val="24"/>
          <w:szCs w:val="24"/>
        </w:rPr>
      </w:pPr>
      <w:r>
        <w:rPr>
          <w:rFonts w:hint="eastAsia" w:ascii="宋体" w:hAnsi="宋体" w:cs="宋体"/>
          <w:color w:val="0C0C0C" w:themeColor="text1" w:themeTint="F2"/>
          <w:sz w:val="24"/>
          <w:szCs w:val="24"/>
        </w:rPr>
        <w:t>11.2投标文件的正本和全部副本均应使用不能擦去的墨料或墨水打印、书写或复印。正本必须用A4幅面纸张打印（图纸、彩页等非A4幅面的材料在每页加盖公章后可另册装订），应编制封面、目录、页码。副本可以用正本的完整复印件，否则，该投标文件将被拒收或拒评。</w:t>
      </w:r>
    </w:p>
    <w:p>
      <w:pPr>
        <w:adjustRightInd w:val="0"/>
        <w:snapToGrid w:val="0"/>
        <w:spacing w:line="400" w:lineRule="exact"/>
        <w:ind w:firstLine="480" w:firstLineChars="200"/>
        <w:rPr>
          <w:rFonts w:ascii="宋体" w:hAnsi="宋体" w:cs="宋体"/>
          <w:color w:val="0C0C0C" w:themeColor="text1" w:themeTint="F2"/>
          <w:sz w:val="24"/>
          <w:szCs w:val="24"/>
        </w:rPr>
      </w:pPr>
      <w:r>
        <w:rPr>
          <w:rFonts w:hint="eastAsia" w:ascii="宋体" w:hAnsi="宋体" w:cs="宋体"/>
          <w:color w:val="0C0C0C" w:themeColor="text1" w:themeTint="F2"/>
          <w:sz w:val="24"/>
          <w:szCs w:val="24"/>
        </w:rPr>
        <w:t>11.3全套投标文件应无涂改和行间插字，有改动时，修改处应由法定代表人或授权代表签名并加盖公章。否则，该投标文件将被拒收或拒评。</w:t>
      </w:r>
    </w:p>
    <w:p>
      <w:pPr>
        <w:adjustRightInd w:val="0"/>
        <w:snapToGrid w:val="0"/>
        <w:spacing w:line="400" w:lineRule="exact"/>
        <w:ind w:firstLine="480" w:firstLineChars="200"/>
        <w:rPr>
          <w:rFonts w:ascii="宋体" w:hAnsi="宋体" w:cs="宋体"/>
          <w:color w:val="0C0C0C" w:themeColor="text1" w:themeTint="F2"/>
          <w:sz w:val="24"/>
          <w:szCs w:val="24"/>
        </w:rPr>
      </w:pPr>
      <w:r>
        <w:rPr>
          <w:rFonts w:hint="eastAsia" w:ascii="宋体" w:hAnsi="宋体" w:cs="宋体"/>
          <w:color w:val="0C0C0C" w:themeColor="text1" w:themeTint="F2"/>
          <w:sz w:val="24"/>
          <w:szCs w:val="24"/>
        </w:rPr>
        <w:t>11.4投标文件应由投标人的法定代表人或者其授权委托人签字并加盖公章（合同章，投标专用章等其它类型章无效）。一个授权委托人在同一个项目中只能接受一个投标人的委托参加投标，否则该授权委托人被委托的所有投标将被拒绝。</w:t>
      </w:r>
    </w:p>
    <w:p>
      <w:pPr>
        <w:adjustRightInd w:val="0"/>
        <w:snapToGrid w:val="0"/>
        <w:spacing w:line="400" w:lineRule="exact"/>
        <w:ind w:firstLine="480" w:firstLineChars="200"/>
        <w:rPr>
          <w:rFonts w:ascii="宋体" w:hAnsi="宋体" w:cs="宋体"/>
          <w:color w:val="0C0C0C" w:themeColor="text1" w:themeTint="F2"/>
          <w:sz w:val="24"/>
          <w:szCs w:val="24"/>
        </w:rPr>
      </w:pPr>
      <w:r>
        <w:rPr>
          <w:rFonts w:hint="eastAsia" w:ascii="宋体" w:hAnsi="宋体" w:cs="宋体"/>
          <w:color w:val="0C0C0C" w:themeColor="text1" w:themeTint="F2"/>
          <w:sz w:val="24"/>
          <w:szCs w:val="24"/>
        </w:rPr>
        <w:t>11.5投标人提交的投标文件应由资格审查文件、商务技术标文件及价格标文件三部分组成，投标人必须将资格审查文件、商务技术标文件、价格标文件分别装订成册。投标文件封面应标明“正本”或“副本”、“招标项目名称”、“投标人名称”、“资格审查文件”或“商务技术标文件”或“价格标文件”。正本与副本如有不一致，则以正本为准。正本壹份，副本贰份。</w:t>
      </w:r>
    </w:p>
    <w:p>
      <w:pPr>
        <w:adjustRightInd w:val="0"/>
        <w:snapToGrid w:val="0"/>
        <w:spacing w:line="400" w:lineRule="exact"/>
        <w:ind w:firstLine="480" w:firstLineChars="200"/>
        <w:rPr>
          <w:rFonts w:ascii="宋体" w:hAnsi="宋体" w:cs="宋体"/>
          <w:color w:val="0C0C0C" w:themeColor="text1" w:themeTint="F2"/>
          <w:sz w:val="24"/>
          <w:szCs w:val="24"/>
        </w:rPr>
      </w:pPr>
      <w:r>
        <w:rPr>
          <w:rFonts w:hint="eastAsia" w:ascii="宋体" w:hAnsi="宋体" w:cs="宋体"/>
          <w:color w:val="0C0C0C" w:themeColor="text1" w:themeTint="F2"/>
          <w:sz w:val="24"/>
          <w:szCs w:val="24"/>
        </w:rPr>
        <w:t>11.6资格审查文件中不得包含报价文件的内容或投标报价信息，否则被视为无效的投标文件。</w:t>
      </w:r>
    </w:p>
    <w:p>
      <w:pPr>
        <w:pStyle w:val="6"/>
        <w:spacing w:before="0" w:after="0" w:line="400" w:lineRule="exact"/>
        <w:ind w:firstLine="360" w:firstLineChars="150"/>
        <w:rPr>
          <w:rFonts w:asciiTheme="majorEastAsia" w:hAnsiTheme="majorEastAsia" w:eastAsiaTheme="majorEastAsia"/>
          <w:b w:val="0"/>
          <w:color w:val="0C0C0C" w:themeColor="text1" w:themeTint="F2"/>
          <w:sz w:val="24"/>
          <w:szCs w:val="24"/>
        </w:rPr>
      </w:pPr>
      <w:r>
        <w:rPr>
          <w:rFonts w:hint="eastAsia" w:asciiTheme="majorEastAsia" w:hAnsiTheme="majorEastAsia" w:eastAsiaTheme="majorEastAsia"/>
          <w:b w:val="0"/>
          <w:color w:val="0C0C0C" w:themeColor="text1" w:themeTint="F2"/>
          <w:sz w:val="24"/>
          <w:szCs w:val="24"/>
        </w:rPr>
        <w:t>12、</w:t>
      </w:r>
      <w:bookmarkEnd w:id="100"/>
      <w:bookmarkEnd w:id="101"/>
      <w:bookmarkStart w:id="102" w:name="_Hlt26954731"/>
      <w:bookmarkEnd w:id="102"/>
      <w:bookmarkStart w:id="103" w:name="_Hlt26670482"/>
      <w:bookmarkEnd w:id="103"/>
      <w:bookmarkStart w:id="104" w:name="_Hlt26670486"/>
      <w:bookmarkEnd w:id="104"/>
      <w:bookmarkStart w:id="105" w:name="_Hlt26954848"/>
      <w:bookmarkEnd w:id="105"/>
      <w:bookmarkStart w:id="106" w:name="_Hlt26954846"/>
      <w:bookmarkEnd w:id="106"/>
      <w:r>
        <w:rPr>
          <w:rFonts w:hint="eastAsia" w:asciiTheme="majorEastAsia" w:hAnsiTheme="majorEastAsia" w:eastAsiaTheme="majorEastAsia"/>
          <w:b w:val="0"/>
          <w:color w:val="0C0C0C" w:themeColor="text1" w:themeTint="F2"/>
          <w:sz w:val="24"/>
          <w:szCs w:val="24"/>
        </w:rPr>
        <w:t>投标报价</w:t>
      </w:r>
    </w:p>
    <w:p>
      <w:pPr>
        <w:spacing w:line="400" w:lineRule="exact"/>
        <w:ind w:firstLine="480" w:firstLineChars="200"/>
        <w:rPr>
          <w:rFonts w:hAnsi="宋体"/>
          <w:sz w:val="24"/>
        </w:rPr>
      </w:pPr>
      <w:bookmarkStart w:id="107" w:name="_Toc49090510"/>
      <w:bookmarkStart w:id="108" w:name="_Toc14577359"/>
      <w:r>
        <w:rPr>
          <w:rFonts w:hint="eastAsia" w:ascii="宋体" w:hAnsi="宋体"/>
          <w:snapToGrid w:val="0"/>
          <w:color w:val="000000"/>
          <w:kern w:val="0"/>
          <w:sz w:val="24"/>
          <w:szCs w:val="24"/>
        </w:rPr>
        <w:t>12.1</w:t>
      </w:r>
      <w:r>
        <w:rPr>
          <w:rFonts w:hint="eastAsia" w:hAnsi="宋体"/>
          <w:sz w:val="24"/>
        </w:rPr>
        <w:t>招标文件所列的招标范围有要求是投标人投标报价的基础。投标人对招标文件所列的工程内容应结合投标人须知、合同条款技术标准和要求一起阅读理解。</w:t>
      </w:r>
    </w:p>
    <w:p>
      <w:pPr>
        <w:spacing w:line="400" w:lineRule="exact"/>
        <w:ind w:firstLine="480" w:firstLineChars="200"/>
        <w:rPr>
          <w:rFonts w:hAnsi="宋体"/>
          <w:sz w:val="24"/>
        </w:rPr>
      </w:pPr>
      <w:r>
        <w:rPr>
          <w:rFonts w:hint="eastAsia" w:ascii="宋体" w:hAnsi="宋体"/>
          <w:snapToGrid w:val="0"/>
          <w:color w:val="000000"/>
          <w:kern w:val="0"/>
          <w:sz w:val="24"/>
          <w:szCs w:val="24"/>
        </w:rPr>
        <w:t>12.2</w:t>
      </w:r>
      <w:r>
        <w:rPr>
          <w:rFonts w:hint="eastAsia" w:hAnsi="宋体"/>
          <w:sz w:val="24"/>
        </w:rPr>
        <w:t>投标报价方式</w:t>
      </w:r>
    </w:p>
    <w:p>
      <w:pPr>
        <w:adjustRightInd w:val="0"/>
        <w:snapToGrid w:val="0"/>
        <w:spacing w:line="400" w:lineRule="exact"/>
        <w:ind w:firstLine="600" w:firstLineChars="250"/>
        <w:rPr>
          <w:rFonts w:ascii="宋体" w:hAnsi="宋体" w:cs="宋体"/>
          <w:color w:val="0C0C0C" w:themeColor="text1" w:themeTint="F2"/>
          <w:sz w:val="24"/>
          <w:szCs w:val="24"/>
        </w:rPr>
      </w:pPr>
      <w:r>
        <w:rPr>
          <w:rFonts w:hint="eastAsia" w:ascii="宋体" w:hAnsi="宋体" w:cs="宋体"/>
          <w:color w:val="0C0C0C" w:themeColor="text1" w:themeTint="F2"/>
          <w:sz w:val="24"/>
          <w:szCs w:val="24"/>
        </w:rPr>
        <w:t>投标人应根据采购人提供的技术需求，结合企业实际情况，提出报价。投标人任何漏项、漏报、少报、错报所产生的后果，均由投标人承担责任。在合同实施期间不因市场价格浮动因素或其他政策性因素调整，投标人报价时充分考虑风险因素。投标单位的报价应含人员工资、保险费（人员装备险和人员职工的(人身)事故险）、利润、税金、保险、环保、安全生产、售后服务、应交规费等各种费用等，一旦中标，无采购人要求变更的，价格一次包定。</w:t>
      </w:r>
    </w:p>
    <w:p>
      <w:pPr>
        <w:snapToGrid w:val="0"/>
        <w:spacing w:line="400" w:lineRule="exact"/>
        <w:ind w:firstLine="480" w:firstLineChars="200"/>
        <w:rPr>
          <w:rFonts w:ascii="宋体" w:hAnsi="宋体"/>
          <w:snapToGrid w:val="0"/>
          <w:color w:val="000000"/>
          <w:kern w:val="0"/>
          <w:sz w:val="24"/>
          <w:szCs w:val="24"/>
        </w:rPr>
      </w:pPr>
      <w:r>
        <w:rPr>
          <w:rFonts w:hint="eastAsia" w:ascii="宋体" w:hAnsi="宋体"/>
          <w:snapToGrid w:val="0"/>
          <w:color w:val="000000"/>
          <w:kern w:val="0"/>
          <w:sz w:val="24"/>
          <w:szCs w:val="24"/>
        </w:rPr>
        <w:t>12.8本项目不接受任何有选择的报价。</w:t>
      </w:r>
    </w:p>
    <w:p>
      <w:pPr>
        <w:widowControl/>
        <w:spacing w:line="400" w:lineRule="exact"/>
        <w:ind w:firstLine="480" w:firstLineChars="200"/>
        <w:jc w:val="left"/>
        <w:rPr>
          <w:rFonts w:ascii="宋体" w:hAnsi="宋体"/>
          <w:snapToGrid w:val="0"/>
          <w:color w:val="000000"/>
          <w:kern w:val="0"/>
          <w:sz w:val="24"/>
        </w:rPr>
      </w:pPr>
      <w:r>
        <w:rPr>
          <w:rFonts w:hint="eastAsia" w:ascii="宋体" w:hAnsi="宋体"/>
          <w:snapToGrid w:val="0"/>
          <w:color w:val="000000"/>
          <w:kern w:val="0"/>
          <w:sz w:val="24"/>
        </w:rPr>
        <w:t>12.9本次投标仅一次报价（最终报价）。</w:t>
      </w:r>
    </w:p>
    <w:p>
      <w:pPr>
        <w:spacing w:line="400" w:lineRule="exact"/>
        <w:ind w:firstLine="352" w:firstLineChars="147"/>
        <w:rPr>
          <w:rFonts w:cs="Arial" w:asciiTheme="majorEastAsia" w:hAnsiTheme="majorEastAsia" w:eastAsiaTheme="majorEastAsia"/>
          <w:bCs/>
          <w:color w:val="0C0C0C" w:themeColor="text1" w:themeTint="F2"/>
          <w:sz w:val="24"/>
          <w:szCs w:val="24"/>
        </w:rPr>
      </w:pPr>
      <w:r>
        <w:rPr>
          <w:rFonts w:hint="eastAsia" w:cs="Arial" w:asciiTheme="majorEastAsia" w:hAnsiTheme="majorEastAsia" w:eastAsiaTheme="majorEastAsia"/>
          <w:bCs/>
          <w:color w:val="0C0C0C" w:themeColor="text1" w:themeTint="F2"/>
          <w:sz w:val="24"/>
          <w:szCs w:val="24"/>
        </w:rPr>
        <w:t>13、投标文件的密封和递交</w:t>
      </w:r>
    </w:p>
    <w:p>
      <w:pPr>
        <w:spacing w:line="400" w:lineRule="exact"/>
        <w:ind w:firstLine="360" w:firstLineChars="150"/>
        <w:rPr>
          <w:rFonts w:ascii="宋体" w:hAnsi="宋体"/>
          <w:color w:val="0C0C0C" w:themeColor="text1" w:themeTint="F2"/>
          <w:sz w:val="24"/>
          <w:szCs w:val="24"/>
        </w:rPr>
      </w:pPr>
      <w:r>
        <w:rPr>
          <w:rFonts w:hint="eastAsia" w:ascii="宋体" w:hAnsi="宋体"/>
          <w:color w:val="0C0C0C" w:themeColor="text1" w:themeTint="F2"/>
          <w:sz w:val="24"/>
          <w:szCs w:val="24"/>
        </w:rPr>
        <w:t>13.1投标人应将资格审查文件、商务技术标文件、价格标文件分别密封，即：资格审查文件（正本及副本）、商务技术标文件（正本及副本）、价格标文件（正本及副本）分别封装在不同的密封袋中。密封袋封面需标明“招标项目名称”、 “投标人名称”、“资格审查文件”或“商务技术标文件”或“价格标文件”。</w:t>
      </w:r>
    </w:p>
    <w:p>
      <w:pPr>
        <w:spacing w:line="420" w:lineRule="exact"/>
        <w:ind w:firstLine="420" w:firstLineChars="200"/>
        <w:rPr>
          <w:rFonts w:ascii="宋体"/>
          <w:color w:val="000000"/>
          <w:szCs w:val="24"/>
          <w:u w:val="single"/>
        </w:rPr>
      </w:pPr>
      <w:r>
        <w:rPr>
          <w:rFonts w:hint="eastAsia" w:ascii="宋体" w:hAnsi="宋体"/>
          <w:b/>
          <w:color w:val="000000"/>
          <w:szCs w:val="24"/>
          <w:u w:val="single"/>
        </w:rPr>
        <w:t>资格审查文件和商务技术标文件不分标段，均为一正二副；价格标文件分三个标段分别编制、分别密封，每个标段价格标文件均为一正二副；投标文件的正本与副本可分开密封，也可统一密封。</w:t>
      </w:r>
    </w:p>
    <w:p>
      <w:pPr>
        <w:spacing w:line="400" w:lineRule="exact"/>
        <w:ind w:firstLine="360" w:firstLineChars="150"/>
        <w:rPr>
          <w:rFonts w:ascii="宋体" w:hAnsi="宋体"/>
          <w:color w:val="0C0C0C" w:themeColor="text1" w:themeTint="F2"/>
          <w:sz w:val="24"/>
          <w:szCs w:val="24"/>
        </w:rPr>
      </w:pPr>
      <w:r>
        <w:rPr>
          <w:rFonts w:hint="eastAsia" w:ascii="宋体" w:hAnsi="宋体"/>
          <w:color w:val="0C0C0C" w:themeColor="text1" w:themeTint="F2"/>
          <w:sz w:val="24"/>
          <w:szCs w:val="24"/>
        </w:rPr>
        <w:t>13.2投标文件密封袋封面加盖单位公章，法定代表人或授权委托人签字或盖章。</w:t>
      </w:r>
    </w:p>
    <w:p>
      <w:pPr>
        <w:spacing w:line="400" w:lineRule="exact"/>
        <w:ind w:firstLine="360" w:firstLineChars="150"/>
        <w:rPr>
          <w:rFonts w:ascii="宋体" w:hAnsi="宋体"/>
          <w:color w:val="0C0C0C" w:themeColor="text1" w:themeTint="F2"/>
          <w:sz w:val="24"/>
          <w:szCs w:val="24"/>
        </w:rPr>
      </w:pPr>
      <w:r>
        <w:rPr>
          <w:rFonts w:hint="eastAsia" w:ascii="宋体" w:hAnsi="宋体"/>
          <w:color w:val="0C0C0C" w:themeColor="text1" w:themeTint="F2"/>
          <w:sz w:val="24"/>
          <w:szCs w:val="24"/>
        </w:rPr>
        <w:t>13.3投标文件的密封袋由投标人自行准备，当一个投标袋不能满足投标文件的封装要求时，招标人允许投标人使用同规格的其他密封袋进行封装，并编号。投标文件的密封袋的封口处应加盖单位公章。</w:t>
      </w:r>
    </w:p>
    <w:p>
      <w:pPr>
        <w:spacing w:line="400" w:lineRule="exact"/>
        <w:ind w:firstLine="360" w:firstLineChars="150"/>
        <w:rPr>
          <w:rFonts w:ascii="宋体" w:hAnsi="宋体"/>
          <w:color w:val="0C0C0C" w:themeColor="text1" w:themeTint="F2"/>
          <w:sz w:val="24"/>
          <w:szCs w:val="24"/>
        </w:rPr>
      </w:pPr>
      <w:r>
        <w:rPr>
          <w:rFonts w:hint="eastAsia" w:ascii="宋体" w:hAnsi="宋体"/>
          <w:color w:val="0C0C0C" w:themeColor="text1" w:themeTint="F2"/>
          <w:sz w:val="24"/>
          <w:szCs w:val="24"/>
        </w:rPr>
        <w:t>13.4投标人未按上述要求密封，采购人将不承担由此造成的对投标文件的误投或提前拆封的责任。</w:t>
      </w:r>
    </w:p>
    <w:p>
      <w:pPr>
        <w:spacing w:line="400" w:lineRule="exact"/>
        <w:ind w:firstLine="360" w:firstLineChars="150"/>
        <w:rPr>
          <w:rFonts w:ascii="宋体" w:hAnsi="宋体"/>
          <w:color w:val="0C0C0C" w:themeColor="text1" w:themeTint="F2"/>
          <w:sz w:val="24"/>
          <w:szCs w:val="24"/>
        </w:rPr>
      </w:pPr>
      <w:r>
        <w:rPr>
          <w:rFonts w:hint="eastAsia" w:ascii="宋体" w:hAnsi="宋体"/>
          <w:color w:val="0C0C0C" w:themeColor="text1" w:themeTint="F2"/>
          <w:sz w:val="24"/>
          <w:szCs w:val="24"/>
        </w:rPr>
        <w:t>13.5投标人应将投标文件按本招标文件要求的时间和地址送至开标地点，否则，投标将被拒绝。不接收邮寄或快递的投标。</w:t>
      </w:r>
    </w:p>
    <w:p>
      <w:pPr>
        <w:spacing w:line="400" w:lineRule="exact"/>
        <w:ind w:firstLine="360" w:firstLineChars="150"/>
        <w:rPr>
          <w:rFonts w:ascii="宋体" w:hAnsi="宋体"/>
          <w:color w:val="0C0C0C" w:themeColor="text1" w:themeTint="F2"/>
          <w:sz w:val="24"/>
          <w:szCs w:val="24"/>
        </w:rPr>
      </w:pPr>
      <w:r>
        <w:rPr>
          <w:rFonts w:hint="eastAsia" w:ascii="宋体" w:hAnsi="宋体"/>
          <w:color w:val="0C0C0C" w:themeColor="text1" w:themeTint="F2"/>
          <w:sz w:val="24"/>
          <w:szCs w:val="24"/>
        </w:rPr>
        <w:t>13.6</w:t>
      </w:r>
      <w:r>
        <w:rPr>
          <w:rFonts w:hint="eastAsia" w:ascii="宋体" w:hAnsi="宋体"/>
          <w:b/>
          <w:color w:val="0C0C0C" w:themeColor="text1" w:themeTint="F2"/>
          <w:sz w:val="24"/>
          <w:szCs w:val="24"/>
        </w:rPr>
        <w:t>法人代表或授权委托人须在本招标文件规定的时间、地点准时到会并出示身份证原件以示出席，否则，其投标将被拒绝。</w:t>
      </w:r>
    </w:p>
    <w:p>
      <w:pPr>
        <w:spacing w:line="400" w:lineRule="exact"/>
        <w:ind w:firstLine="360" w:firstLineChars="150"/>
        <w:rPr>
          <w:rFonts w:ascii="宋体" w:hAnsi="宋体"/>
          <w:color w:val="0C0C0C" w:themeColor="text1" w:themeTint="F2"/>
          <w:sz w:val="24"/>
          <w:szCs w:val="24"/>
        </w:rPr>
      </w:pPr>
      <w:r>
        <w:rPr>
          <w:rFonts w:hint="eastAsia" w:ascii="宋体" w:hAnsi="宋体"/>
          <w:color w:val="0C0C0C" w:themeColor="text1" w:themeTint="F2"/>
          <w:sz w:val="24"/>
          <w:szCs w:val="24"/>
        </w:rPr>
        <w:t>13.7投标人一旦递交投标文件，就意味着投标人全面接受招标文件的约束。</w:t>
      </w:r>
    </w:p>
    <w:p>
      <w:pPr>
        <w:spacing w:line="400" w:lineRule="exact"/>
        <w:ind w:firstLine="360" w:firstLineChars="150"/>
        <w:rPr>
          <w:rFonts w:ascii="宋体" w:hAnsi="宋体"/>
          <w:color w:val="0C0C0C" w:themeColor="text1" w:themeTint="F2"/>
          <w:sz w:val="24"/>
          <w:szCs w:val="24"/>
        </w:rPr>
      </w:pPr>
      <w:r>
        <w:rPr>
          <w:rFonts w:hint="eastAsia" w:ascii="宋体" w:hAnsi="宋体"/>
          <w:color w:val="0C0C0C" w:themeColor="text1" w:themeTint="F2"/>
          <w:sz w:val="24"/>
          <w:szCs w:val="24"/>
        </w:rPr>
        <w:t>13.8投标文件的修改与撤回</w:t>
      </w:r>
    </w:p>
    <w:p>
      <w:pPr>
        <w:spacing w:line="400" w:lineRule="exact"/>
        <w:ind w:firstLine="360" w:firstLineChars="150"/>
        <w:rPr>
          <w:rFonts w:ascii="宋体" w:hAnsi="宋体"/>
          <w:color w:val="0C0C0C" w:themeColor="text1" w:themeTint="F2"/>
          <w:sz w:val="24"/>
          <w:szCs w:val="24"/>
        </w:rPr>
      </w:pPr>
      <w:r>
        <w:rPr>
          <w:rFonts w:hint="eastAsia" w:ascii="宋体" w:hAnsi="宋体"/>
          <w:color w:val="0C0C0C" w:themeColor="text1" w:themeTint="F2"/>
          <w:sz w:val="24"/>
          <w:szCs w:val="24"/>
        </w:rPr>
        <w:t>（1）投标人在投标截止时间前，可以对所提交的投标文件进行修改或者撤回，并书面通知招标人，否则视为未修改或未撤回。修改的内容应为非实质性的，并按本须知要求签署、盖章、密封，并应在封套上加注“修改”或“撤回”字样，该修改作为投标文件的组成部分。</w:t>
      </w:r>
    </w:p>
    <w:p>
      <w:pPr>
        <w:spacing w:line="400" w:lineRule="exact"/>
        <w:ind w:firstLine="360" w:firstLineChars="150"/>
        <w:rPr>
          <w:rFonts w:ascii="宋体" w:hAnsi="宋体"/>
          <w:color w:val="0C0C0C" w:themeColor="text1" w:themeTint="F2"/>
          <w:sz w:val="24"/>
          <w:szCs w:val="24"/>
        </w:rPr>
      </w:pPr>
      <w:r>
        <w:rPr>
          <w:rFonts w:hint="eastAsia" w:ascii="宋体" w:hAnsi="宋体"/>
          <w:color w:val="0C0C0C" w:themeColor="text1" w:themeTint="F2"/>
          <w:sz w:val="24"/>
          <w:szCs w:val="24"/>
        </w:rPr>
        <w:t>（2）投标人在投标截止期后不得修改、撤回投标文件。</w:t>
      </w:r>
    </w:p>
    <w:p>
      <w:pPr>
        <w:spacing w:line="400" w:lineRule="exact"/>
        <w:ind w:firstLine="360" w:firstLineChars="150"/>
        <w:rPr>
          <w:rFonts w:ascii="宋体" w:hAnsi="宋体"/>
          <w:color w:val="0C0C0C" w:themeColor="text1" w:themeTint="F2"/>
          <w:sz w:val="24"/>
          <w:szCs w:val="24"/>
        </w:rPr>
      </w:pPr>
      <w:r>
        <w:rPr>
          <w:rFonts w:hint="eastAsia" w:ascii="宋体" w:hAnsi="宋体"/>
          <w:color w:val="0C0C0C" w:themeColor="text1" w:themeTint="F2"/>
          <w:sz w:val="24"/>
          <w:szCs w:val="24"/>
        </w:rPr>
        <w:t>（3）投标人撤回投标文件的，自收到投标人书面撤回通知之日起五日内退还已收取的投标保证金。投标人在投标截止期后修改投标文件的，其投标被拒绝并不予退还投标保证金。</w:t>
      </w:r>
    </w:p>
    <w:p>
      <w:pPr>
        <w:pStyle w:val="6"/>
        <w:spacing w:before="0" w:after="0" w:line="400" w:lineRule="exact"/>
        <w:ind w:firstLine="360" w:firstLineChars="150"/>
        <w:rPr>
          <w:rFonts w:asciiTheme="majorEastAsia" w:hAnsiTheme="majorEastAsia" w:eastAsiaTheme="majorEastAsia"/>
          <w:b w:val="0"/>
          <w:bCs w:val="0"/>
          <w:color w:val="0C0C0C" w:themeColor="text1" w:themeTint="F2"/>
          <w:sz w:val="24"/>
          <w:szCs w:val="24"/>
        </w:rPr>
      </w:pPr>
      <w:r>
        <w:rPr>
          <w:rFonts w:hint="eastAsia" w:asciiTheme="majorEastAsia" w:hAnsiTheme="majorEastAsia" w:eastAsiaTheme="majorEastAsia"/>
          <w:b w:val="0"/>
          <w:bCs w:val="0"/>
          <w:color w:val="0C0C0C" w:themeColor="text1" w:themeTint="F2"/>
          <w:sz w:val="24"/>
          <w:szCs w:val="24"/>
        </w:rPr>
        <w:t>14、投标保证金</w:t>
      </w:r>
      <w:bookmarkEnd w:id="107"/>
      <w:bookmarkEnd w:id="108"/>
      <w:r>
        <w:rPr>
          <w:rFonts w:hint="eastAsia" w:asciiTheme="majorEastAsia" w:hAnsiTheme="majorEastAsia" w:eastAsiaTheme="majorEastAsia"/>
          <w:b w:val="0"/>
          <w:bCs w:val="0"/>
          <w:color w:val="0C0C0C" w:themeColor="text1" w:themeTint="F2"/>
          <w:sz w:val="24"/>
          <w:szCs w:val="24"/>
        </w:rPr>
        <w:t>（本项目不收取投标保证金）</w:t>
      </w:r>
    </w:p>
    <w:p>
      <w:pPr>
        <w:pStyle w:val="6"/>
        <w:spacing w:before="0" w:after="0" w:line="400" w:lineRule="exact"/>
        <w:ind w:firstLine="360" w:firstLineChars="150"/>
        <w:rPr>
          <w:rFonts w:asciiTheme="majorEastAsia" w:hAnsiTheme="majorEastAsia" w:eastAsiaTheme="majorEastAsia"/>
          <w:b w:val="0"/>
          <w:bCs w:val="0"/>
          <w:color w:val="0C0C0C" w:themeColor="text1" w:themeTint="F2"/>
          <w:sz w:val="24"/>
          <w:szCs w:val="24"/>
        </w:rPr>
      </w:pPr>
      <w:bookmarkStart w:id="109" w:name="_Hlt26954850"/>
      <w:bookmarkEnd w:id="109"/>
      <w:bookmarkStart w:id="110" w:name="_Hlt26670489"/>
      <w:bookmarkEnd w:id="110"/>
      <w:bookmarkStart w:id="111" w:name="_Hlt26954734"/>
      <w:bookmarkEnd w:id="111"/>
      <w:bookmarkStart w:id="112" w:name="_Toc49090511"/>
      <w:bookmarkStart w:id="113" w:name="_Toc14577360"/>
      <w:r>
        <w:rPr>
          <w:rFonts w:hint="eastAsia" w:asciiTheme="majorEastAsia" w:hAnsiTheme="majorEastAsia" w:eastAsiaTheme="majorEastAsia"/>
          <w:b w:val="0"/>
          <w:bCs w:val="0"/>
          <w:color w:val="0C0C0C" w:themeColor="text1" w:themeTint="F2"/>
          <w:sz w:val="24"/>
          <w:szCs w:val="24"/>
        </w:rPr>
        <w:t>15、投标有效期</w:t>
      </w:r>
      <w:bookmarkEnd w:id="112"/>
      <w:bookmarkEnd w:id="113"/>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color w:val="0C0C0C" w:themeColor="text1" w:themeTint="F2"/>
          <w:sz w:val="24"/>
          <w:szCs w:val="24"/>
        </w:rPr>
        <w:t>15.1</w:t>
      </w:r>
      <w:r>
        <w:rPr>
          <w:rFonts w:hint="eastAsia" w:asciiTheme="majorEastAsia" w:hAnsiTheme="majorEastAsia" w:eastAsiaTheme="majorEastAsia"/>
          <w:bCs/>
          <w:color w:val="0C0C0C" w:themeColor="text1" w:themeTint="F2"/>
          <w:sz w:val="24"/>
          <w:szCs w:val="24"/>
        </w:rPr>
        <w:t xml:space="preserve"> 投标有效期为采购人规定的开标之日后六十天，投标有效期比规定短的将被视为非响应性投标而予以拒绝。</w:t>
      </w:r>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color w:val="0C0C0C" w:themeColor="text1" w:themeTint="F2"/>
          <w:sz w:val="24"/>
          <w:szCs w:val="24"/>
        </w:rPr>
        <w:t>15.2</w:t>
      </w:r>
      <w:r>
        <w:rPr>
          <w:rFonts w:hint="eastAsia" w:asciiTheme="majorEastAsia" w:hAnsiTheme="majorEastAsia" w:eastAsiaTheme="majorEastAsia"/>
          <w:bCs/>
          <w:color w:val="0C0C0C" w:themeColor="text1" w:themeTint="F2"/>
          <w:sz w:val="24"/>
          <w:szCs w:val="24"/>
        </w:rPr>
        <w:t xml:space="preserve"> 在特殊情况下，采购人于原投标有效期满之前，可向投标人提出延长投标有效期的要求。这种要求与答复均应采用书面形式。投标人可以拒绝采购人的这一要求而放弃投标，</w:t>
      </w:r>
      <w:r>
        <w:rPr>
          <w:rFonts w:hint="eastAsia" w:asciiTheme="majorEastAsia" w:hAnsiTheme="majorEastAsia" w:eastAsiaTheme="majorEastAsia"/>
          <w:color w:val="0C0C0C" w:themeColor="text1" w:themeTint="F2"/>
          <w:sz w:val="24"/>
          <w:szCs w:val="24"/>
        </w:rPr>
        <w:t>采购人在接到投标人书面答复后，将在原投标有效期满后五日内</w:t>
      </w:r>
      <w:r>
        <w:rPr>
          <w:rFonts w:hint="eastAsia" w:asciiTheme="majorEastAsia" w:hAnsiTheme="majorEastAsia" w:eastAsiaTheme="majorEastAsia"/>
          <w:bCs/>
          <w:color w:val="0C0C0C" w:themeColor="text1" w:themeTint="F2"/>
          <w:sz w:val="24"/>
          <w:szCs w:val="24"/>
        </w:rPr>
        <w:t>无息退还其投标保证金</w:t>
      </w:r>
      <w:r>
        <w:rPr>
          <w:rFonts w:hint="eastAsia" w:asciiTheme="majorEastAsia" w:hAnsiTheme="majorEastAsia" w:eastAsiaTheme="majorEastAsia"/>
          <w:color w:val="0C0C0C" w:themeColor="text1" w:themeTint="F2"/>
          <w:sz w:val="24"/>
          <w:szCs w:val="24"/>
        </w:rPr>
        <w:t>。</w:t>
      </w:r>
      <w:r>
        <w:rPr>
          <w:rFonts w:hint="eastAsia" w:asciiTheme="majorEastAsia" w:hAnsiTheme="majorEastAsia" w:eastAsiaTheme="majorEastAsia"/>
          <w:bCs/>
          <w:color w:val="0C0C0C" w:themeColor="text1" w:themeTint="F2"/>
          <w:sz w:val="24"/>
          <w:szCs w:val="24"/>
        </w:rPr>
        <w:t>同意延长投标有效期的投标人既不能要求也不允许修改其投标文件。第14条有关投标保证金的规定在延长期内继续有效</w:t>
      </w:r>
      <w:r>
        <w:rPr>
          <w:rFonts w:hint="eastAsia" w:asciiTheme="majorEastAsia" w:hAnsiTheme="majorEastAsia" w:eastAsiaTheme="majorEastAsia"/>
          <w:color w:val="0C0C0C" w:themeColor="text1" w:themeTint="F2"/>
          <w:sz w:val="24"/>
          <w:szCs w:val="24"/>
        </w:rPr>
        <w:t>，同时受投标有效期约束的所有权利与义务均延长至新的有效期</w:t>
      </w:r>
      <w:r>
        <w:rPr>
          <w:rFonts w:hint="eastAsia" w:asciiTheme="majorEastAsia" w:hAnsiTheme="majorEastAsia" w:eastAsiaTheme="majorEastAsia"/>
          <w:bCs/>
          <w:color w:val="0C0C0C" w:themeColor="text1" w:themeTint="F2"/>
          <w:sz w:val="24"/>
          <w:szCs w:val="24"/>
        </w:rPr>
        <w:t>。</w:t>
      </w:r>
      <w:bookmarkStart w:id="114" w:name="_Hlt26954739"/>
      <w:bookmarkEnd w:id="114"/>
      <w:bookmarkStart w:id="115" w:name="_Hlt26954852"/>
      <w:bookmarkEnd w:id="115"/>
      <w:bookmarkStart w:id="116" w:name="_Toc513029229"/>
      <w:bookmarkStart w:id="117" w:name="_Toc16938545"/>
      <w:bookmarkStart w:id="118" w:name="_Toc20823301"/>
      <w:bookmarkStart w:id="119" w:name="_Toc120614218"/>
    </w:p>
    <w:p>
      <w:pPr>
        <w:spacing w:line="400" w:lineRule="exact"/>
        <w:ind w:firstLine="560" w:firstLineChars="200"/>
        <w:jc w:val="center"/>
        <w:rPr>
          <w:rFonts w:asciiTheme="majorEastAsia" w:hAnsiTheme="majorEastAsia" w:eastAsiaTheme="majorEastAsia"/>
          <w:b/>
          <w:color w:val="0C0C0C" w:themeColor="text1" w:themeTint="F2"/>
          <w:sz w:val="28"/>
          <w:szCs w:val="28"/>
        </w:rPr>
      </w:pPr>
      <w:r>
        <w:rPr>
          <w:rFonts w:hint="eastAsia" w:asciiTheme="majorEastAsia" w:hAnsiTheme="majorEastAsia" w:eastAsiaTheme="majorEastAsia"/>
          <w:b/>
          <w:color w:val="0C0C0C" w:themeColor="text1" w:themeTint="F2"/>
          <w:sz w:val="28"/>
          <w:szCs w:val="28"/>
        </w:rPr>
        <w:t>四、开标与评标</w:t>
      </w:r>
      <w:bookmarkEnd w:id="116"/>
      <w:bookmarkEnd w:id="117"/>
      <w:bookmarkEnd w:id="118"/>
      <w:bookmarkEnd w:id="119"/>
      <w:bookmarkStart w:id="120" w:name="_Toc513029230"/>
      <w:bookmarkStart w:id="121" w:name="_Toc20823302"/>
      <w:bookmarkStart w:id="122" w:name="_Toc16938546"/>
      <w:bookmarkStart w:id="123" w:name="_Toc20823303"/>
      <w:bookmarkStart w:id="124" w:name="_Toc16938547"/>
      <w:bookmarkStart w:id="125" w:name="_Toc513029231"/>
    </w:p>
    <w:p>
      <w:pPr>
        <w:spacing w:line="400" w:lineRule="exact"/>
        <w:ind w:firstLine="352" w:firstLineChars="147"/>
        <w:rPr>
          <w:rFonts w:cs="Arial" w:asciiTheme="majorEastAsia" w:hAnsiTheme="majorEastAsia" w:eastAsiaTheme="majorEastAsia"/>
          <w:bCs/>
          <w:color w:val="0C0C0C" w:themeColor="text1" w:themeTint="F2"/>
          <w:sz w:val="24"/>
          <w:szCs w:val="24"/>
        </w:rPr>
      </w:pPr>
      <w:r>
        <w:rPr>
          <w:rFonts w:hint="eastAsia" w:cs="Arial" w:asciiTheme="majorEastAsia" w:hAnsiTheme="majorEastAsia" w:eastAsiaTheme="majorEastAsia"/>
          <w:bCs/>
          <w:color w:val="0C0C0C" w:themeColor="text1" w:themeTint="F2"/>
          <w:sz w:val="24"/>
          <w:szCs w:val="24"/>
        </w:rPr>
        <w:t>16、开标</w:t>
      </w:r>
      <w:bookmarkEnd w:id="120"/>
      <w:bookmarkEnd w:id="121"/>
      <w:bookmarkEnd w:id="122"/>
    </w:p>
    <w:p>
      <w:pPr>
        <w:spacing w:line="400" w:lineRule="exact"/>
        <w:ind w:firstLine="352" w:firstLineChars="147"/>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（1）开标时投标人可派授权代表参加开标会。投标人参加开标的代表应出示个人身份证原件，并应签名报到以证明其出席。</w:t>
      </w:r>
    </w:p>
    <w:p>
      <w:pPr>
        <w:spacing w:line="400" w:lineRule="exact"/>
        <w:ind w:firstLine="352" w:firstLineChars="147"/>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（2）开标时，由采购人代表或投标人代表查验投标文件密封情况，确认无误后，采购人当众宣读投标人名称、修改和撤回投标的通知，以及采购人认为合适的其他内容。</w:t>
      </w:r>
    </w:p>
    <w:p>
      <w:pPr>
        <w:spacing w:line="400" w:lineRule="exact"/>
        <w:ind w:firstLine="352" w:firstLineChars="147"/>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（3）在开标时没有启封和读出的投标文件，在评标时将不予考虑。没有启封和读出的投标文件将原封退回给投标人。</w:t>
      </w:r>
    </w:p>
    <w:p>
      <w:pPr>
        <w:spacing w:line="400" w:lineRule="exact"/>
        <w:ind w:firstLine="352" w:firstLineChars="147"/>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（4）招标人将做开标记录。</w:t>
      </w:r>
    </w:p>
    <w:p>
      <w:pPr>
        <w:spacing w:line="400" w:lineRule="exact"/>
        <w:ind w:firstLine="352" w:firstLineChars="147"/>
        <w:rPr>
          <w:rFonts w:cs="Arial" w:asciiTheme="majorEastAsia" w:hAnsiTheme="majorEastAsia" w:eastAsiaTheme="majorEastAsia"/>
          <w:bCs/>
          <w:color w:val="0C0C0C" w:themeColor="text1" w:themeTint="F2"/>
          <w:sz w:val="24"/>
          <w:szCs w:val="24"/>
        </w:rPr>
      </w:pPr>
      <w:r>
        <w:rPr>
          <w:rFonts w:hint="eastAsia" w:asciiTheme="majorEastAsia" w:hAnsiTheme="majorEastAsia" w:eastAsiaTheme="majorEastAsia"/>
          <w:color w:val="0C0C0C" w:themeColor="text1" w:themeTint="F2"/>
          <w:sz w:val="24"/>
          <w:szCs w:val="24"/>
        </w:rPr>
        <w:t>17、评标委员会</w:t>
      </w:r>
    </w:p>
    <w:p>
      <w:pPr>
        <w:spacing w:line="400" w:lineRule="exact"/>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   17.1开标后，采购人将立即组织评标委员会（以下简称评委会）进行评标。</w:t>
      </w:r>
    </w:p>
    <w:p>
      <w:pPr>
        <w:spacing w:line="400" w:lineRule="exact"/>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   17.2 评委会由有关技术、经济等方面的专家组成，且人员构成符合采购有关规定。</w:t>
      </w:r>
    </w:p>
    <w:p>
      <w:pPr>
        <w:spacing w:line="400" w:lineRule="exact"/>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   17.3评委会独立工作，负责评审所有投标文件并确定中标人。</w:t>
      </w:r>
    </w:p>
    <w:p>
      <w:pPr>
        <w:pStyle w:val="6"/>
        <w:spacing w:before="0" w:after="0" w:line="400" w:lineRule="exact"/>
        <w:ind w:firstLine="360" w:firstLineChars="150"/>
        <w:rPr>
          <w:rFonts w:asciiTheme="majorEastAsia" w:hAnsiTheme="majorEastAsia" w:eastAsiaTheme="majorEastAsia"/>
          <w:b w:val="0"/>
          <w:bCs w:val="0"/>
          <w:color w:val="0C0C0C" w:themeColor="text1" w:themeTint="F2"/>
          <w:sz w:val="24"/>
          <w:szCs w:val="24"/>
        </w:rPr>
      </w:pPr>
      <w:r>
        <w:rPr>
          <w:rFonts w:hint="eastAsia" w:asciiTheme="majorEastAsia" w:hAnsiTheme="majorEastAsia" w:eastAsiaTheme="majorEastAsia"/>
          <w:b w:val="0"/>
          <w:bCs w:val="0"/>
          <w:color w:val="0C0C0C" w:themeColor="text1" w:themeTint="F2"/>
          <w:sz w:val="24"/>
          <w:szCs w:val="24"/>
        </w:rPr>
        <w:t>18、评标过程的保密与公正</w:t>
      </w:r>
    </w:p>
    <w:bookmarkEnd w:id="123"/>
    <w:bookmarkEnd w:id="124"/>
    <w:bookmarkEnd w:id="125"/>
    <w:p>
      <w:pPr>
        <w:spacing w:line="400" w:lineRule="exact"/>
        <w:ind w:firstLine="360" w:firstLineChars="15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color w:val="0C0C0C" w:themeColor="text1" w:themeTint="F2"/>
          <w:sz w:val="24"/>
          <w:szCs w:val="24"/>
        </w:rPr>
        <w:t>18.1</w:t>
      </w:r>
      <w:r>
        <w:rPr>
          <w:rFonts w:hint="eastAsia" w:asciiTheme="majorEastAsia" w:hAnsiTheme="majorEastAsia" w:eastAsiaTheme="majorEastAsia"/>
          <w:bCs/>
          <w:color w:val="0C0C0C" w:themeColor="text1" w:themeTint="F2"/>
          <w:sz w:val="24"/>
          <w:szCs w:val="24"/>
        </w:rPr>
        <w:t>公开开标后，直至向中标的投标人授予合同时止，凡是与审查、澄清、评价和比较投标的有关资料以及授标建议等，采购人、评委、采购代理机构均不得向投标人或与评标无关的其他人员透露。</w:t>
      </w:r>
    </w:p>
    <w:p>
      <w:pPr>
        <w:spacing w:line="400" w:lineRule="exact"/>
        <w:ind w:firstLine="360" w:firstLineChars="15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color w:val="0C0C0C" w:themeColor="text1" w:themeTint="F2"/>
          <w:sz w:val="24"/>
          <w:szCs w:val="24"/>
        </w:rPr>
        <w:t>18.2</w:t>
      </w:r>
      <w:r>
        <w:rPr>
          <w:rFonts w:hint="eastAsia" w:asciiTheme="majorEastAsia" w:hAnsiTheme="majorEastAsia" w:eastAsiaTheme="majorEastAsia"/>
          <w:bCs/>
          <w:color w:val="0C0C0C" w:themeColor="text1" w:themeTint="F2"/>
          <w:sz w:val="24"/>
          <w:szCs w:val="24"/>
        </w:rPr>
        <w:t>由采购人代表对投标人资格性、符合性审查，对未通过审查的供应商，应现场告知原因。</w:t>
      </w:r>
    </w:p>
    <w:p>
      <w:pPr>
        <w:spacing w:line="400" w:lineRule="exact"/>
        <w:ind w:firstLine="360" w:firstLineChars="1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18.3在评标过程中，投标人不得以任何行为影响评标过程，否则其投标文件将被作为无效投标文件。</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18.4在评标期间，采购人或采购代理机构将设专门人员与投标人联系。</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18.5采购人代表现场宣布评标结果。</w:t>
      </w:r>
    </w:p>
    <w:p>
      <w:pPr>
        <w:pStyle w:val="6"/>
        <w:spacing w:before="0" w:after="0" w:line="400" w:lineRule="exact"/>
        <w:ind w:firstLine="360" w:firstLineChars="150"/>
        <w:rPr>
          <w:rFonts w:asciiTheme="majorEastAsia" w:hAnsiTheme="majorEastAsia" w:eastAsiaTheme="majorEastAsia"/>
          <w:b w:val="0"/>
          <w:bCs w:val="0"/>
          <w:color w:val="0C0C0C" w:themeColor="text1" w:themeTint="F2"/>
          <w:sz w:val="24"/>
          <w:szCs w:val="24"/>
        </w:rPr>
      </w:pPr>
      <w:bookmarkStart w:id="126" w:name="_Toc20823304"/>
      <w:bookmarkStart w:id="127" w:name="_Toc513029232"/>
      <w:bookmarkStart w:id="128" w:name="_Toc16938548"/>
      <w:r>
        <w:rPr>
          <w:rFonts w:hint="eastAsia" w:asciiTheme="majorEastAsia" w:hAnsiTheme="majorEastAsia" w:eastAsiaTheme="majorEastAsia"/>
          <w:b w:val="0"/>
          <w:bCs w:val="0"/>
          <w:color w:val="0C0C0C" w:themeColor="text1" w:themeTint="F2"/>
          <w:sz w:val="24"/>
          <w:szCs w:val="24"/>
        </w:rPr>
        <w:t>19、投标的澄清</w:t>
      </w:r>
      <w:bookmarkEnd w:id="126"/>
      <w:bookmarkEnd w:id="127"/>
      <w:bookmarkEnd w:id="128"/>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19.</w:t>
      </w:r>
      <w:r>
        <w:rPr>
          <w:rFonts w:asciiTheme="majorEastAsia" w:hAnsiTheme="majorEastAsia" w:eastAsiaTheme="majorEastAsia"/>
          <w:color w:val="0C0C0C" w:themeColor="text1" w:themeTint="F2"/>
          <w:sz w:val="24"/>
          <w:szCs w:val="24"/>
        </w:rPr>
        <w:t>1</w:t>
      </w:r>
      <w:r>
        <w:rPr>
          <w:rFonts w:hint="eastAsia" w:asciiTheme="majorEastAsia" w:hAnsiTheme="majorEastAsia" w:eastAsiaTheme="majorEastAsia"/>
          <w:color w:val="0C0C0C" w:themeColor="text1" w:themeTint="F2"/>
          <w:sz w:val="24"/>
          <w:szCs w:val="24"/>
        </w:rPr>
        <w:t>评标期间，为有助于对投标文件的审查、评价和比较，评委会有权以书面形式要求投标人对其投标文件进行澄清，但并非对每个投标人都作澄清要求。</w:t>
      </w:r>
    </w:p>
    <w:p>
      <w:pPr>
        <w:spacing w:line="400" w:lineRule="exact"/>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    19.2接到评委会澄清要求的投标人应派人按评委会通知的时间和地点做出书面澄清，书面澄清的内容须由投标人法人或授权代表签署，并作为投标文件的补充部分，但投标的价格和实质性的内容不得做任何更改。</w:t>
      </w:r>
    </w:p>
    <w:p>
      <w:pPr>
        <w:spacing w:line="400" w:lineRule="exact"/>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    19.3 接到评委会澄清要求的投标人如未按规定做出澄清，其风险由投标人自行承担。</w:t>
      </w:r>
    </w:p>
    <w:p>
      <w:pPr>
        <w:pStyle w:val="6"/>
        <w:spacing w:before="0" w:after="0" w:line="400" w:lineRule="exact"/>
        <w:ind w:firstLine="360" w:firstLineChars="150"/>
        <w:rPr>
          <w:rFonts w:asciiTheme="majorEastAsia" w:hAnsiTheme="majorEastAsia" w:eastAsiaTheme="majorEastAsia"/>
          <w:b w:val="0"/>
          <w:bCs w:val="0"/>
          <w:color w:val="0C0C0C" w:themeColor="text1" w:themeTint="F2"/>
          <w:sz w:val="24"/>
          <w:szCs w:val="24"/>
        </w:rPr>
      </w:pPr>
      <w:bookmarkStart w:id="129" w:name="_Toc513029233"/>
      <w:bookmarkStart w:id="130" w:name="_Toc20823305"/>
      <w:bookmarkStart w:id="131" w:name="_Toc16938549"/>
      <w:r>
        <w:rPr>
          <w:rFonts w:hint="eastAsia" w:asciiTheme="majorEastAsia" w:hAnsiTheme="majorEastAsia" w:eastAsiaTheme="majorEastAsia"/>
          <w:b w:val="0"/>
          <w:bCs w:val="0"/>
          <w:color w:val="0C0C0C" w:themeColor="text1" w:themeTint="F2"/>
          <w:sz w:val="24"/>
          <w:szCs w:val="24"/>
        </w:rPr>
        <w:t>20、对投标文件的初审</w:t>
      </w:r>
      <w:bookmarkEnd w:id="129"/>
      <w:bookmarkEnd w:id="130"/>
      <w:bookmarkEnd w:id="131"/>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color w:val="0C0C0C" w:themeColor="text1" w:themeTint="F2"/>
          <w:sz w:val="24"/>
          <w:szCs w:val="24"/>
        </w:rPr>
        <w:t>20.1</w:t>
      </w:r>
      <w:r>
        <w:rPr>
          <w:rFonts w:hint="eastAsia" w:asciiTheme="majorEastAsia" w:hAnsiTheme="majorEastAsia" w:eastAsiaTheme="majorEastAsia"/>
          <w:bCs/>
          <w:color w:val="0C0C0C" w:themeColor="text1" w:themeTint="F2"/>
          <w:sz w:val="24"/>
          <w:szCs w:val="24"/>
        </w:rPr>
        <w:t>投标文件初审为资格性检查及符合性检查。由评委会负责实施。</w:t>
      </w:r>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资格性检查：依据法律法规和招标文件的规定，对投标文件中的资格证明文件、投标保证金等进行审查，以确定投标供应商是否具备投标资格。</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凡在</w:t>
      </w:r>
      <w:r>
        <w:rPr>
          <w:rFonts w:hint="eastAsia" w:asciiTheme="majorEastAsia" w:hAnsiTheme="majorEastAsia" w:eastAsiaTheme="majorEastAsia"/>
          <w:color w:val="0C0C0C" w:themeColor="text1" w:themeTint="F2"/>
          <w:sz w:val="24"/>
          <w:szCs w:val="24"/>
        </w:rPr>
        <w:t>投标截止时间节点，已被 “信用中国”网站(</w:t>
      </w:r>
      <w:r>
        <w:fldChar w:fldCharType="begin"/>
      </w:r>
      <w:r>
        <w:instrText xml:space="preserve"> HYPERLINK "http://www.creditchina.gov.cn" </w:instrText>
      </w:r>
      <w:r>
        <w:fldChar w:fldCharType="separate"/>
      </w:r>
      <w:r>
        <w:rPr>
          <w:rStyle w:val="60"/>
          <w:rFonts w:hint="eastAsia" w:asciiTheme="majorEastAsia" w:hAnsiTheme="majorEastAsia" w:eastAsiaTheme="majorEastAsia"/>
          <w:color w:val="0C0C0C" w:themeColor="text1" w:themeTint="F2"/>
          <w:sz w:val="24"/>
          <w:szCs w:val="24"/>
        </w:rPr>
        <w:t>www.creditchina.gov.cn</w:t>
      </w:r>
      <w:r>
        <w:rPr>
          <w:rStyle w:val="60"/>
          <w:rFonts w:hint="eastAsia" w:asciiTheme="majorEastAsia" w:hAnsiTheme="majorEastAsia" w:eastAsiaTheme="majorEastAsia"/>
          <w:color w:val="0C0C0C" w:themeColor="text1" w:themeTint="F2"/>
          <w:sz w:val="24"/>
          <w:szCs w:val="24"/>
        </w:rPr>
        <w:fldChar w:fldCharType="end"/>
      </w:r>
      <w:r>
        <w:rPr>
          <w:rFonts w:hint="eastAsia" w:asciiTheme="majorEastAsia" w:hAnsiTheme="majorEastAsia" w:eastAsiaTheme="majorEastAsia"/>
          <w:color w:val="0C0C0C" w:themeColor="text1" w:themeTint="F2"/>
          <w:sz w:val="24"/>
          <w:szCs w:val="24"/>
        </w:rPr>
        <w:t>)、中华人民</w:t>
      </w:r>
      <w:r>
        <w:rPr>
          <w:rFonts w:asciiTheme="majorEastAsia" w:hAnsiTheme="majorEastAsia" w:eastAsiaTheme="majorEastAsia"/>
          <w:color w:val="0C0C0C" w:themeColor="text1" w:themeTint="F2"/>
          <w:sz w:val="24"/>
          <w:szCs w:val="24"/>
        </w:rPr>
        <w:t>共和国</w:t>
      </w:r>
      <w:r>
        <w:rPr>
          <w:rFonts w:hint="eastAsia" w:asciiTheme="majorEastAsia" w:hAnsiTheme="majorEastAsia" w:eastAsiaTheme="majorEastAsia"/>
          <w:color w:val="0C0C0C" w:themeColor="text1" w:themeTint="F2"/>
          <w:sz w:val="24"/>
          <w:szCs w:val="24"/>
        </w:rPr>
        <w:t>最高人民法院网站</w:t>
      </w:r>
      <w:r>
        <w:rPr>
          <w:rFonts w:asciiTheme="majorEastAsia" w:hAnsiTheme="majorEastAsia" w:eastAsiaTheme="majorEastAsia"/>
          <w:color w:val="0C0C0C" w:themeColor="text1" w:themeTint="F2"/>
          <w:sz w:val="24"/>
          <w:szCs w:val="24"/>
        </w:rPr>
        <w:t>（</w:t>
      </w:r>
      <w:r>
        <w:fldChar w:fldCharType="begin"/>
      </w:r>
      <w:r>
        <w:instrText xml:space="preserve"> HYPERLINK "http://www.court.gov.cn/" </w:instrText>
      </w:r>
      <w:r>
        <w:fldChar w:fldCharType="separate"/>
      </w:r>
      <w:r>
        <w:rPr>
          <w:rStyle w:val="60"/>
          <w:rFonts w:asciiTheme="majorEastAsia" w:hAnsiTheme="majorEastAsia" w:eastAsiaTheme="majorEastAsia"/>
          <w:color w:val="0C0C0C" w:themeColor="text1" w:themeTint="F2"/>
          <w:sz w:val="24"/>
          <w:szCs w:val="24"/>
        </w:rPr>
        <w:t>http://www.court.gov.cn</w:t>
      </w:r>
      <w:r>
        <w:rPr>
          <w:rStyle w:val="60"/>
          <w:rFonts w:asciiTheme="majorEastAsia" w:hAnsiTheme="majorEastAsia" w:eastAsiaTheme="majorEastAsia"/>
          <w:color w:val="0C0C0C" w:themeColor="text1" w:themeTint="F2"/>
          <w:sz w:val="24"/>
          <w:szCs w:val="24"/>
        </w:rPr>
        <w:fldChar w:fldCharType="end"/>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等渠道列入信用记录失信被执行人，被中国政府采购网(</w:t>
      </w:r>
      <w:r>
        <w:fldChar w:fldCharType="begin"/>
      </w:r>
      <w:r>
        <w:instrText xml:space="preserve"> HYPERLINK "http://www.ccgp.gov.cn" </w:instrText>
      </w:r>
      <w:r>
        <w:fldChar w:fldCharType="separate"/>
      </w:r>
      <w:r>
        <w:rPr>
          <w:rStyle w:val="60"/>
          <w:rFonts w:hint="eastAsia" w:asciiTheme="majorEastAsia" w:hAnsiTheme="majorEastAsia" w:eastAsiaTheme="majorEastAsia"/>
          <w:color w:val="0C0C0C" w:themeColor="text1" w:themeTint="F2"/>
          <w:sz w:val="24"/>
          <w:szCs w:val="24"/>
        </w:rPr>
        <w:t>www.ccgp.gov.cn</w:t>
      </w:r>
      <w:r>
        <w:rPr>
          <w:rStyle w:val="60"/>
          <w:rFonts w:hint="eastAsia" w:asciiTheme="majorEastAsia" w:hAnsiTheme="majorEastAsia" w:eastAsiaTheme="majorEastAsia"/>
          <w:color w:val="0C0C0C" w:themeColor="text1" w:themeTint="F2"/>
          <w:sz w:val="24"/>
          <w:szCs w:val="24"/>
        </w:rPr>
        <w:fldChar w:fldCharType="end"/>
      </w:r>
      <w:r>
        <w:rPr>
          <w:rFonts w:hint="eastAsia" w:asciiTheme="majorEastAsia" w:hAnsiTheme="majorEastAsia" w:eastAsiaTheme="majorEastAsia"/>
          <w:color w:val="0C0C0C" w:themeColor="text1" w:themeTint="F2"/>
          <w:sz w:val="24"/>
          <w:szCs w:val="24"/>
        </w:rPr>
        <w:t>)等渠道列入政府采购严重违法失信行为记录名单，被中华人民共和国应急管理部网站</w:t>
      </w:r>
      <w:r>
        <w:rPr>
          <w:rFonts w:asciiTheme="majorEastAsia" w:hAnsiTheme="majorEastAsia" w:eastAsiaTheme="majorEastAsia"/>
          <w:color w:val="0C0C0C" w:themeColor="text1" w:themeTint="F2"/>
          <w:sz w:val="24"/>
          <w:szCs w:val="24"/>
        </w:rPr>
        <w:t>（</w:t>
      </w:r>
      <w:r>
        <w:fldChar w:fldCharType="begin"/>
      </w:r>
      <w:r>
        <w:instrText xml:space="preserve"> HYPERLINK "http://www.chinasafety.gov.cn/" </w:instrText>
      </w:r>
      <w:r>
        <w:fldChar w:fldCharType="separate"/>
      </w:r>
      <w:r>
        <w:rPr>
          <w:rStyle w:val="60"/>
          <w:rFonts w:asciiTheme="majorEastAsia" w:hAnsiTheme="majorEastAsia" w:eastAsiaTheme="majorEastAsia"/>
          <w:color w:val="0C0C0C" w:themeColor="text1" w:themeTint="F2"/>
          <w:sz w:val="24"/>
          <w:szCs w:val="24"/>
        </w:rPr>
        <w:t>http://www.chinasafety.gov.cn</w:t>
      </w:r>
      <w:r>
        <w:rPr>
          <w:rStyle w:val="60"/>
          <w:rFonts w:asciiTheme="majorEastAsia" w:hAnsiTheme="majorEastAsia" w:eastAsiaTheme="majorEastAsia"/>
          <w:color w:val="0C0C0C" w:themeColor="text1" w:themeTint="F2"/>
          <w:sz w:val="24"/>
          <w:szCs w:val="24"/>
        </w:rPr>
        <w:fldChar w:fldCharType="end"/>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等渠道列入</w:t>
      </w:r>
      <w:r>
        <w:rPr>
          <w:rFonts w:asciiTheme="majorEastAsia" w:hAnsiTheme="majorEastAsia" w:eastAsiaTheme="majorEastAsia"/>
          <w:color w:val="0C0C0C" w:themeColor="text1" w:themeTint="F2"/>
          <w:sz w:val="24"/>
          <w:szCs w:val="24"/>
        </w:rPr>
        <w:t>安全生产失信联合惩戒“</w:t>
      </w:r>
      <w:r>
        <w:rPr>
          <w:rFonts w:hint="eastAsia" w:asciiTheme="majorEastAsia" w:hAnsiTheme="majorEastAsia" w:eastAsiaTheme="majorEastAsia"/>
          <w:color w:val="0C0C0C" w:themeColor="text1" w:themeTint="F2"/>
          <w:sz w:val="24"/>
          <w:szCs w:val="24"/>
        </w:rPr>
        <w:t>黑名单</w:t>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，被国家税务总局</w:t>
      </w:r>
      <w:r>
        <w:rPr>
          <w:rFonts w:asciiTheme="majorEastAsia" w:hAnsiTheme="majorEastAsia" w:eastAsiaTheme="majorEastAsia"/>
          <w:color w:val="0C0C0C" w:themeColor="text1" w:themeTint="F2"/>
          <w:sz w:val="24"/>
          <w:szCs w:val="24"/>
        </w:rPr>
        <w:t>网站（</w:t>
      </w:r>
      <w:r>
        <w:fldChar w:fldCharType="begin"/>
      </w:r>
      <w:r>
        <w:instrText xml:space="preserve"> HYPERLINK "http://hd.chinatax.gov.cn/xxk/" </w:instrText>
      </w:r>
      <w:r>
        <w:fldChar w:fldCharType="separate"/>
      </w:r>
      <w:r>
        <w:rPr>
          <w:rStyle w:val="60"/>
          <w:rFonts w:asciiTheme="majorEastAsia" w:hAnsiTheme="majorEastAsia" w:eastAsiaTheme="majorEastAsia"/>
          <w:color w:val="0C0C0C" w:themeColor="text1" w:themeTint="F2"/>
          <w:sz w:val="24"/>
          <w:szCs w:val="24"/>
        </w:rPr>
        <w:t>http://hd.chinatax.gov.cn/xxk</w:t>
      </w:r>
      <w:r>
        <w:rPr>
          <w:rStyle w:val="60"/>
          <w:rFonts w:asciiTheme="majorEastAsia" w:hAnsiTheme="majorEastAsia" w:eastAsiaTheme="majorEastAsia"/>
          <w:color w:val="0C0C0C" w:themeColor="text1" w:themeTint="F2"/>
          <w:sz w:val="24"/>
          <w:szCs w:val="24"/>
        </w:rPr>
        <w:fldChar w:fldCharType="end"/>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等渠道</w:t>
      </w:r>
      <w:r>
        <w:rPr>
          <w:rFonts w:asciiTheme="majorEastAsia" w:hAnsiTheme="majorEastAsia" w:eastAsiaTheme="majorEastAsia"/>
          <w:color w:val="0C0C0C" w:themeColor="text1" w:themeTint="F2"/>
          <w:sz w:val="24"/>
          <w:szCs w:val="24"/>
        </w:rPr>
        <w:t>列入</w:t>
      </w:r>
      <w:r>
        <w:rPr>
          <w:rFonts w:hint="eastAsia" w:asciiTheme="majorEastAsia" w:hAnsiTheme="majorEastAsia" w:eastAsiaTheme="majorEastAsia"/>
          <w:color w:val="0C0C0C" w:themeColor="text1" w:themeTint="F2"/>
          <w:sz w:val="24"/>
          <w:szCs w:val="24"/>
        </w:rPr>
        <w:t>重大税收违法案件当事人名单，被国家企业</w:t>
      </w:r>
      <w:r>
        <w:rPr>
          <w:rFonts w:asciiTheme="majorEastAsia" w:hAnsiTheme="majorEastAsia" w:eastAsiaTheme="majorEastAsia"/>
          <w:color w:val="0C0C0C" w:themeColor="text1" w:themeTint="F2"/>
          <w:sz w:val="24"/>
          <w:szCs w:val="24"/>
        </w:rPr>
        <w:t>信用信息公示系统（</w:t>
      </w:r>
      <w:r>
        <w:fldChar w:fldCharType="begin"/>
      </w:r>
      <w:r>
        <w:instrText xml:space="preserve"> HYPERLINK "http://www.gsxt.gov.cn" </w:instrText>
      </w:r>
      <w:r>
        <w:fldChar w:fldCharType="separate"/>
      </w:r>
      <w:r>
        <w:rPr>
          <w:rStyle w:val="60"/>
          <w:rFonts w:asciiTheme="majorEastAsia" w:hAnsiTheme="majorEastAsia" w:eastAsiaTheme="majorEastAsia"/>
          <w:color w:val="0C0C0C" w:themeColor="text1" w:themeTint="F2"/>
          <w:sz w:val="24"/>
          <w:szCs w:val="24"/>
        </w:rPr>
        <w:t>http://www.gsxt.gov.cn</w:t>
      </w:r>
      <w:r>
        <w:rPr>
          <w:rStyle w:val="60"/>
          <w:rFonts w:asciiTheme="majorEastAsia" w:hAnsiTheme="majorEastAsia" w:eastAsiaTheme="majorEastAsia"/>
          <w:color w:val="0C0C0C" w:themeColor="text1" w:themeTint="F2"/>
          <w:sz w:val="24"/>
          <w:szCs w:val="24"/>
        </w:rPr>
        <w:fldChar w:fldCharType="end"/>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等渠道</w:t>
      </w:r>
      <w:r>
        <w:rPr>
          <w:rFonts w:asciiTheme="majorEastAsia" w:hAnsiTheme="majorEastAsia" w:eastAsiaTheme="majorEastAsia"/>
          <w:color w:val="0C0C0C" w:themeColor="text1" w:themeTint="F2"/>
          <w:sz w:val="24"/>
          <w:szCs w:val="24"/>
        </w:rPr>
        <w:t>列入</w:t>
      </w:r>
      <w:r>
        <w:rPr>
          <w:rFonts w:hint="eastAsia" w:asciiTheme="majorEastAsia" w:hAnsiTheme="majorEastAsia" w:eastAsiaTheme="majorEastAsia"/>
          <w:color w:val="0C0C0C" w:themeColor="text1" w:themeTint="F2"/>
          <w:sz w:val="24"/>
          <w:szCs w:val="24"/>
        </w:rPr>
        <w:t>经营异常名录、严重违法</w:t>
      </w:r>
      <w:r>
        <w:rPr>
          <w:rFonts w:asciiTheme="majorEastAsia" w:hAnsiTheme="majorEastAsia" w:eastAsiaTheme="majorEastAsia"/>
          <w:color w:val="0C0C0C" w:themeColor="text1" w:themeTint="F2"/>
          <w:sz w:val="24"/>
          <w:szCs w:val="24"/>
        </w:rPr>
        <w:t>失信企业名单</w:t>
      </w:r>
      <w:r>
        <w:rPr>
          <w:rFonts w:hint="eastAsia" w:asciiTheme="majorEastAsia" w:hAnsiTheme="majorEastAsia" w:eastAsiaTheme="majorEastAsia"/>
          <w:color w:val="0C0C0C" w:themeColor="text1" w:themeTint="F2"/>
          <w:sz w:val="24"/>
          <w:szCs w:val="24"/>
        </w:rPr>
        <w:t>，被</w:t>
      </w:r>
      <w:r>
        <w:rPr>
          <w:rFonts w:asciiTheme="majorEastAsia" w:hAnsiTheme="majorEastAsia" w:eastAsiaTheme="majorEastAsia"/>
          <w:color w:val="0C0C0C" w:themeColor="text1" w:themeTint="F2"/>
          <w:sz w:val="24"/>
          <w:szCs w:val="24"/>
        </w:rPr>
        <w:t>全国公共资源交易平台（</w:t>
      </w:r>
      <w:r>
        <w:fldChar w:fldCharType="begin"/>
      </w:r>
      <w:r>
        <w:instrText xml:space="preserve"> HYPERLINK "http://www.ggzy.gov.cn" </w:instrText>
      </w:r>
      <w:r>
        <w:fldChar w:fldCharType="separate"/>
      </w:r>
      <w:r>
        <w:rPr>
          <w:rStyle w:val="60"/>
          <w:rFonts w:asciiTheme="majorEastAsia" w:hAnsiTheme="majorEastAsia" w:eastAsiaTheme="majorEastAsia"/>
          <w:color w:val="0C0C0C" w:themeColor="text1" w:themeTint="F2"/>
          <w:sz w:val="24"/>
          <w:szCs w:val="24"/>
        </w:rPr>
        <w:t>http://www.ggzy.gov.cn</w:t>
      </w:r>
      <w:r>
        <w:rPr>
          <w:rStyle w:val="60"/>
          <w:rFonts w:asciiTheme="majorEastAsia" w:hAnsiTheme="majorEastAsia" w:eastAsiaTheme="majorEastAsia"/>
          <w:color w:val="0C0C0C" w:themeColor="text1" w:themeTint="F2"/>
          <w:sz w:val="24"/>
          <w:szCs w:val="24"/>
        </w:rPr>
        <w:fldChar w:fldCharType="end"/>
      </w:r>
      <w:r>
        <w:rPr>
          <w:rFonts w:asciiTheme="majorEastAsia" w:hAnsiTheme="majorEastAsia" w:eastAsiaTheme="majorEastAsia"/>
          <w:color w:val="0C0C0C" w:themeColor="text1" w:themeTint="F2"/>
          <w:sz w:val="24"/>
          <w:szCs w:val="24"/>
        </w:rPr>
        <w:t>）</w:t>
      </w:r>
      <w:r>
        <w:rPr>
          <w:rFonts w:hint="eastAsia" w:asciiTheme="majorEastAsia" w:hAnsiTheme="majorEastAsia" w:eastAsiaTheme="majorEastAsia"/>
          <w:color w:val="0C0C0C" w:themeColor="text1" w:themeTint="F2"/>
          <w:sz w:val="24"/>
          <w:szCs w:val="24"/>
        </w:rPr>
        <w:t>等渠道</w:t>
      </w:r>
      <w:r>
        <w:rPr>
          <w:rFonts w:asciiTheme="majorEastAsia" w:hAnsiTheme="majorEastAsia" w:eastAsiaTheme="majorEastAsia"/>
          <w:color w:val="0C0C0C" w:themeColor="text1" w:themeTint="F2"/>
          <w:sz w:val="24"/>
          <w:szCs w:val="24"/>
        </w:rPr>
        <w:t>列入</w:t>
      </w:r>
      <w:r>
        <w:rPr>
          <w:rFonts w:hint="eastAsia" w:asciiTheme="majorEastAsia" w:hAnsiTheme="majorEastAsia" w:eastAsiaTheme="majorEastAsia"/>
          <w:color w:val="0C0C0C" w:themeColor="text1" w:themeTint="F2"/>
          <w:sz w:val="24"/>
          <w:szCs w:val="24"/>
        </w:rPr>
        <w:t>黑名单的投标人，将拒绝其参加采购活动。</w:t>
      </w:r>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符合性检查：依据招标文件的规定，从投标文件的有效性、完整性和对招标文件的响应程度进行审查，以确定是否对招标文件的实质性要求作出响应。</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20.2在详细评标之前，评委会将首先审查每份投标文件是否实质性响应了招标文件的要求。实质性响应的投标应该是与招标文件要求的全部条款、条件和规格相符，没有重大偏离或保留的投标。</w:t>
      </w:r>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color w:val="0C0C0C" w:themeColor="text1" w:themeTint="F2"/>
          <w:sz w:val="24"/>
          <w:szCs w:val="24"/>
        </w:rPr>
        <w:t>所谓重大偏离或保留是指与招标文件规定的实质性要求存在负偏离，或者在实质上与招标文件不一致，而且限制了合同中买方和见证方的权利或投标人的义务，纠正这些偏离或保留将会对其他实质性响应要求的投标人的竞争地位产生不公正的影响。是否属于重大偏离由评委会按照少数服从多数的原则作出结论。认定</w:t>
      </w:r>
      <w:r>
        <w:rPr>
          <w:rFonts w:hint="eastAsia" w:asciiTheme="majorEastAsia" w:hAnsiTheme="majorEastAsia" w:eastAsiaTheme="majorEastAsia"/>
          <w:bCs/>
          <w:color w:val="0C0C0C" w:themeColor="text1" w:themeTint="F2"/>
          <w:sz w:val="24"/>
          <w:szCs w:val="24"/>
        </w:rPr>
        <w:t>评委决定投标文件的响应性只根据投标文件本身的内容，而不寻求外部的证据。</w:t>
      </w:r>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color w:val="0C0C0C" w:themeColor="text1" w:themeTint="F2"/>
          <w:sz w:val="24"/>
          <w:szCs w:val="24"/>
        </w:rPr>
        <w:t>20.3</w:t>
      </w:r>
      <w:r>
        <w:rPr>
          <w:rFonts w:hint="eastAsia" w:asciiTheme="majorEastAsia" w:hAnsiTheme="majorEastAsia" w:eastAsiaTheme="majorEastAsia"/>
          <w:bCs/>
          <w:color w:val="0C0C0C" w:themeColor="text1" w:themeTint="F2"/>
          <w:sz w:val="24"/>
          <w:szCs w:val="24"/>
        </w:rPr>
        <w:t>如果投标文件实质上没有响应招标文件的要求，评委会将予以拒绝，投标人不得通过修改或撤销不合要求的偏离或保留而使其投标成为实质性响应的投标。</w:t>
      </w:r>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color w:val="0C0C0C" w:themeColor="text1" w:themeTint="F2"/>
          <w:sz w:val="24"/>
          <w:szCs w:val="24"/>
        </w:rPr>
        <w:t>20.4</w:t>
      </w:r>
      <w:r>
        <w:rPr>
          <w:rFonts w:hint="eastAsia" w:asciiTheme="majorEastAsia" w:hAnsiTheme="majorEastAsia" w:eastAsiaTheme="majorEastAsia"/>
          <w:bCs/>
          <w:color w:val="0C0C0C" w:themeColor="text1" w:themeTint="F2"/>
          <w:sz w:val="24"/>
          <w:szCs w:val="24"/>
        </w:rPr>
        <w:t>评委会将对确定为实质性响应的投标进行进一步审核，对投标文件中大小写金额不一致等问题的评审原则如下：</w:t>
      </w:r>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投标文件的大写金额和小写金额不一致的，以大写金额为准；总价金额与按单价汇总金额不一致的，以单价金额计算结果为准；单价金额小数点有明显错位的，应以总价为准，并修改单价；对不同文字文本投标文件的解释发生质疑的，以中文文本为准。</w:t>
      </w:r>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color w:val="0C0C0C" w:themeColor="text1" w:themeTint="F2"/>
          <w:sz w:val="24"/>
          <w:szCs w:val="24"/>
        </w:rPr>
        <w:t>20.5</w:t>
      </w:r>
      <w:r>
        <w:rPr>
          <w:rFonts w:hint="eastAsia" w:asciiTheme="majorEastAsia" w:hAnsiTheme="majorEastAsia" w:eastAsiaTheme="majorEastAsia"/>
          <w:bCs/>
          <w:color w:val="0C0C0C" w:themeColor="text1" w:themeTint="F2"/>
          <w:sz w:val="24"/>
          <w:szCs w:val="24"/>
        </w:rPr>
        <w:t>评委会将按上述修正错误的方法修正投标文件中的投标报价，修正后的价格经投标人确认后具有约束力。如果投标人不确认的，则其投标将被拒绝，其投标保证金不予退还。</w:t>
      </w:r>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color w:val="0C0C0C" w:themeColor="text1" w:themeTint="F2"/>
          <w:sz w:val="24"/>
          <w:szCs w:val="24"/>
        </w:rPr>
        <w:t>20.6</w:t>
      </w:r>
      <w:r>
        <w:rPr>
          <w:rFonts w:hint="eastAsia" w:asciiTheme="majorEastAsia" w:hAnsiTheme="majorEastAsia" w:eastAsiaTheme="majorEastAsia"/>
          <w:bCs/>
          <w:color w:val="0C0C0C" w:themeColor="text1" w:themeTint="F2"/>
          <w:sz w:val="24"/>
          <w:szCs w:val="24"/>
        </w:rPr>
        <w:t xml:space="preserve"> 对投标文件中含义不明确、同类问题表述不一致或者有明显文字和计算错误的内容，评标委员会可以书面形式（应当由评标委员会专家签字）要求投标人做出必要的澄清、说明或者纠正。投标人的澄清、说明或者补正应当采用书面形式，由其授权的代表签字，并不得超出投标文件的范围或者改变投标文件的实质性内容。</w:t>
      </w:r>
    </w:p>
    <w:p>
      <w:pPr>
        <w:pStyle w:val="6"/>
        <w:spacing w:before="0" w:after="0" w:line="400" w:lineRule="exact"/>
        <w:ind w:firstLine="360" w:firstLineChars="150"/>
        <w:rPr>
          <w:rFonts w:asciiTheme="majorEastAsia" w:hAnsiTheme="majorEastAsia" w:eastAsiaTheme="majorEastAsia"/>
          <w:b w:val="0"/>
          <w:bCs w:val="0"/>
          <w:color w:val="0C0C0C" w:themeColor="text1" w:themeTint="F2"/>
          <w:sz w:val="24"/>
          <w:szCs w:val="24"/>
        </w:rPr>
      </w:pPr>
      <w:bookmarkStart w:id="132" w:name="_Toc20823306"/>
      <w:bookmarkStart w:id="133" w:name="_Toc513029234"/>
      <w:bookmarkStart w:id="134" w:name="_Toc16938550"/>
      <w:r>
        <w:rPr>
          <w:rFonts w:hint="eastAsia" w:asciiTheme="majorEastAsia" w:hAnsiTheme="majorEastAsia" w:eastAsiaTheme="majorEastAsia"/>
          <w:b w:val="0"/>
          <w:bCs w:val="0"/>
          <w:color w:val="0C0C0C" w:themeColor="text1" w:themeTint="F2"/>
          <w:sz w:val="24"/>
          <w:szCs w:val="24"/>
        </w:rPr>
        <w:t>21、</w:t>
      </w:r>
      <w:bookmarkEnd w:id="132"/>
      <w:bookmarkEnd w:id="133"/>
      <w:bookmarkEnd w:id="134"/>
      <w:r>
        <w:rPr>
          <w:rFonts w:hint="eastAsia" w:asciiTheme="majorEastAsia" w:hAnsiTheme="majorEastAsia" w:eastAsiaTheme="majorEastAsia"/>
          <w:b w:val="0"/>
          <w:bCs w:val="0"/>
          <w:color w:val="0C0C0C" w:themeColor="text1" w:themeTint="F2"/>
          <w:sz w:val="24"/>
          <w:szCs w:val="24"/>
        </w:rPr>
        <w:t>无效投标条款和废标条款</w:t>
      </w:r>
    </w:p>
    <w:p>
      <w:pPr>
        <w:spacing w:line="400" w:lineRule="exact"/>
        <w:ind w:left="478" w:leftChars="228"/>
        <w:rPr>
          <w:rFonts w:asciiTheme="majorEastAsia" w:hAnsiTheme="majorEastAsia" w:eastAsiaTheme="majorEastAsia"/>
          <w:bCs/>
          <w:color w:val="0C0C0C" w:themeColor="text1" w:themeTint="F2"/>
          <w:sz w:val="24"/>
          <w:szCs w:val="24"/>
        </w:rPr>
      </w:pPr>
      <w:bookmarkStart w:id="135" w:name="_Toc16938551"/>
      <w:bookmarkStart w:id="136" w:name="_Toc20823307"/>
      <w:bookmarkStart w:id="137" w:name="_Toc513029235"/>
      <w:r>
        <w:rPr>
          <w:rFonts w:hint="eastAsia" w:asciiTheme="majorEastAsia" w:hAnsiTheme="majorEastAsia" w:eastAsiaTheme="majorEastAsia"/>
          <w:bCs/>
          <w:color w:val="0C0C0C" w:themeColor="text1" w:themeTint="F2"/>
          <w:sz w:val="24"/>
          <w:szCs w:val="24"/>
        </w:rPr>
        <w:t>21.1无效投标条款</w:t>
      </w:r>
    </w:p>
    <w:p>
      <w:pPr>
        <w:spacing w:line="400" w:lineRule="exact"/>
        <w:ind w:left="478" w:leftChars="228"/>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21.1.1未按照招标文件的规定提交投标保证金的；</w:t>
      </w:r>
    </w:p>
    <w:p>
      <w:pPr>
        <w:spacing w:line="400" w:lineRule="exact"/>
        <w:ind w:left="478" w:leftChars="228"/>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21.1.2投标文件未按招标文件要求签署、盖章的；</w:t>
      </w:r>
    </w:p>
    <w:p>
      <w:pPr>
        <w:spacing w:line="400" w:lineRule="exact"/>
        <w:ind w:left="478" w:leftChars="228"/>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21.1.3投标人在报价时采用选择性报价；</w:t>
      </w:r>
    </w:p>
    <w:p>
      <w:pPr>
        <w:spacing w:line="400" w:lineRule="exact"/>
        <w:ind w:left="478" w:leftChars="228"/>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21.1.4不具备招标文件中规定的资格要求的；</w:t>
      </w:r>
    </w:p>
    <w:p>
      <w:pPr>
        <w:spacing w:line="400" w:lineRule="exact"/>
        <w:ind w:left="478" w:leftChars="228"/>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21.1.5报价超过招标文件中规定的预算金额或者最高限价的；</w:t>
      </w:r>
    </w:p>
    <w:p>
      <w:pPr>
        <w:spacing w:line="400" w:lineRule="exact"/>
        <w:ind w:left="478" w:leftChars="228"/>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21.1.6投标文件含有采购人不能接受的附加条件的;</w:t>
      </w:r>
    </w:p>
    <w:p>
      <w:pPr>
        <w:spacing w:line="400" w:lineRule="exact"/>
        <w:ind w:left="478" w:leftChars="228"/>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21.1.7法律、法规和招标文件规定的其他无效情形；</w:t>
      </w:r>
    </w:p>
    <w:p>
      <w:pPr>
        <w:spacing w:line="400" w:lineRule="exact"/>
        <w:ind w:firstLine="480" w:firstLineChars="200"/>
        <w:rPr>
          <w:rFonts w:asciiTheme="majorEastAsia" w:hAnsiTheme="majorEastAsia" w:eastAsiaTheme="majorEastAsia"/>
          <w:bCs/>
          <w:i/>
          <w:color w:val="0C0C0C" w:themeColor="text1" w:themeTint="F2"/>
          <w:sz w:val="24"/>
          <w:szCs w:val="24"/>
          <w:u w:val="single"/>
        </w:rPr>
      </w:pPr>
      <w:r>
        <w:rPr>
          <w:rFonts w:hint="eastAsia" w:asciiTheme="majorEastAsia" w:hAnsiTheme="majorEastAsia" w:eastAsiaTheme="majorEastAsia"/>
          <w:bCs/>
          <w:color w:val="0C0C0C" w:themeColor="text1" w:themeTint="F2"/>
          <w:sz w:val="24"/>
          <w:szCs w:val="24"/>
        </w:rPr>
        <w:t>21.1.8未通过符合性检查的；</w:t>
      </w:r>
    </w:p>
    <w:p>
      <w:pPr>
        <w:spacing w:line="400" w:lineRule="exact"/>
        <w:ind w:firstLine="360" w:firstLineChars="150"/>
        <w:rPr>
          <w:rFonts w:asciiTheme="majorEastAsia" w:hAnsiTheme="majorEastAsia" w:eastAsiaTheme="majorEastAsia"/>
          <w:bCs/>
          <w:i/>
          <w:color w:val="0C0C0C" w:themeColor="text1" w:themeTint="F2"/>
          <w:sz w:val="24"/>
          <w:szCs w:val="24"/>
        </w:rPr>
      </w:pPr>
      <w:r>
        <w:rPr>
          <w:rFonts w:hint="eastAsia" w:asciiTheme="majorEastAsia" w:hAnsiTheme="majorEastAsia" w:eastAsiaTheme="majorEastAsia"/>
          <w:bCs/>
          <w:color w:val="0C0C0C" w:themeColor="text1" w:themeTint="F2"/>
          <w:sz w:val="24"/>
          <w:szCs w:val="24"/>
        </w:rPr>
        <w:t xml:space="preserve"> 21.1.9不符合招标文件中规定的其他实质性要求和条件的</w:t>
      </w:r>
      <w:r>
        <w:rPr>
          <w:rFonts w:hint="eastAsia" w:asciiTheme="majorEastAsia" w:hAnsiTheme="majorEastAsia" w:eastAsiaTheme="majorEastAsia"/>
          <w:bCs/>
          <w:i/>
          <w:color w:val="0C0C0C" w:themeColor="text1" w:themeTint="F2"/>
          <w:sz w:val="24"/>
          <w:szCs w:val="24"/>
        </w:rPr>
        <w:t>；</w:t>
      </w:r>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21.1.10其他法律、法规及本招标文件规定的属无效投标的情形。</w:t>
      </w:r>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21.1.11资格审查文件或商务技术标文件</w:t>
      </w:r>
      <w:r>
        <w:rPr>
          <w:rFonts w:asciiTheme="majorEastAsia" w:hAnsiTheme="majorEastAsia" w:eastAsiaTheme="majorEastAsia"/>
          <w:bCs/>
          <w:color w:val="0C0C0C" w:themeColor="text1" w:themeTint="F2"/>
          <w:sz w:val="24"/>
          <w:szCs w:val="24"/>
        </w:rPr>
        <w:t>出现</w:t>
      </w:r>
      <w:r>
        <w:rPr>
          <w:rFonts w:hint="eastAsia" w:asciiTheme="majorEastAsia" w:hAnsiTheme="majorEastAsia" w:eastAsiaTheme="majorEastAsia"/>
          <w:bCs/>
          <w:color w:val="0C0C0C" w:themeColor="text1" w:themeTint="F2"/>
          <w:sz w:val="24"/>
          <w:szCs w:val="24"/>
        </w:rPr>
        <w:t>报价</w:t>
      </w:r>
      <w:r>
        <w:rPr>
          <w:rFonts w:asciiTheme="majorEastAsia" w:hAnsiTheme="majorEastAsia" w:eastAsiaTheme="majorEastAsia"/>
          <w:bCs/>
          <w:color w:val="0C0C0C" w:themeColor="text1" w:themeTint="F2"/>
          <w:sz w:val="24"/>
          <w:szCs w:val="24"/>
        </w:rPr>
        <w:t>的</w:t>
      </w:r>
      <w:r>
        <w:rPr>
          <w:rFonts w:hint="eastAsia" w:asciiTheme="majorEastAsia" w:hAnsiTheme="majorEastAsia" w:eastAsiaTheme="majorEastAsia"/>
          <w:bCs/>
          <w:color w:val="0C0C0C" w:themeColor="text1" w:themeTint="F2"/>
          <w:sz w:val="24"/>
          <w:szCs w:val="24"/>
        </w:rPr>
        <w:t>。</w:t>
      </w:r>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21.1.12未按招标文件要求提供投标文件；</w:t>
      </w:r>
    </w:p>
    <w:p>
      <w:pPr>
        <w:spacing w:line="400" w:lineRule="exact"/>
        <w:ind w:left="478" w:leftChars="228"/>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 xml:space="preserve">21.2废标条款：                                                                                                                                                                                                                                                                                                                                                                                                                                                                                                                                                                                                                                                                                                                                                                                                                                                                                                                                                                                                                                                                                                                                                                                                                                                                                                                                                                                                                                                                         </w:t>
      </w:r>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21.2.1符合专业条件的供应商或者对招标文件作实质响应的供应商不足三家的；</w:t>
      </w:r>
    </w:p>
    <w:p>
      <w:pPr>
        <w:spacing w:line="400" w:lineRule="exact"/>
        <w:ind w:left="478" w:leftChars="228"/>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21.2.2出现影响采购公正的违法、违规行为的；</w:t>
      </w:r>
    </w:p>
    <w:p>
      <w:pPr>
        <w:spacing w:line="400" w:lineRule="exact"/>
        <w:ind w:left="478" w:leftChars="228"/>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21.2.3投标人的报价均超过预算，采购人不能支付的；</w:t>
      </w:r>
    </w:p>
    <w:p>
      <w:pPr>
        <w:spacing w:line="400" w:lineRule="exact"/>
        <w:ind w:left="478" w:leftChars="228"/>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21.2.4因重大变故，采购任务取消的；</w:t>
      </w:r>
    </w:p>
    <w:p>
      <w:pPr>
        <w:spacing w:line="400" w:lineRule="exact"/>
        <w:ind w:left="478" w:leftChars="228"/>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21.2.5评标委员会认定招标文件存在歧义、 重大缺陷导致评审工作无法进行。</w:t>
      </w:r>
    </w:p>
    <w:p>
      <w:pPr>
        <w:spacing w:line="400" w:lineRule="exact"/>
        <w:ind w:left="478" w:leftChars="228"/>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21.3 投标截止时间结束后参加投标的供应商不足三家的处理：</w:t>
      </w:r>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21.3.1投标截止后投标人不足3家或者通过资格审查或符合性审查的投标人不足3家的，除采购任务取消情形外，按照以下方式处理：</w:t>
      </w:r>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（一）招标文件存在不合理条款或者招标程序不符合规定的，采购人、采购代理机构改正后依法重新招标；</w:t>
      </w:r>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（二）招标文件没有不合理条款、招标程序符合规定，需要采用其他采购方式采购的，采购人应当依法报有关部门批准。</w:t>
      </w:r>
    </w:p>
    <w:p>
      <w:pPr>
        <w:pStyle w:val="5"/>
        <w:spacing w:line="400" w:lineRule="exact"/>
        <w:ind w:firstLine="420" w:firstLineChars="150"/>
        <w:jc w:val="center"/>
        <w:rPr>
          <w:rFonts w:asciiTheme="majorEastAsia" w:hAnsiTheme="majorEastAsia" w:eastAsiaTheme="majorEastAsia"/>
          <w:color w:val="0C0C0C" w:themeColor="text1" w:themeTint="F2"/>
          <w:sz w:val="28"/>
          <w:szCs w:val="28"/>
        </w:rPr>
      </w:pPr>
      <w:bookmarkStart w:id="138" w:name="_Toc120614219"/>
      <w:r>
        <w:rPr>
          <w:rFonts w:hint="eastAsia" w:asciiTheme="majorEastAsia" w:hAnsiTheme="majorEastAsia" w:eastAsiaTheme="majorEastAsia"/>
          <w:color w:val="0C0C0C" w:themeColor="text1" w:themeTint="F2"/>
          <w:sz w:val="28"/>
          <w:szCs w:val="28"/>
        </w:rPr>
        <w:t>五、</w:t>
      </w:r>
      <w:bookmarkEnd w:id="135"/>
      <w:bookmarkEnd w:id="136"/>
      <w:bookmarkEnd w:id="137"/>
      <w:r>
        <w:rPr>
          <w:rFonts w:hint="eastAsia" w:asciiTheme="majorEastAsia" w:hAnsiTheme="majorEastAsia" w:eastAsiaTheme="majorEastAsia"/>
          <w:color w:val="0C0C0C" w:themeColor="text1" w:themeTint="F2"/>
          <w:sz w:val="28"/>
          <w:szCs w:val="28"/>
        </w:rPr>
        <w:t>定标</w:t>
      </w:r>
      <w:bookmarkEnd w:id="138"/>
    </w:p>
    <w:p>
      <w:pPr>
        <w:pStyle w:val="6"/>
        <w:spacing w:before="0" w:after="0" w:line="400" w:lineRule="exact"/>
        <w:ind w:firstLine="480" w:firstLineChars="200"/>
        <w:rPr>
          <w:rFonts w:asciiTheme="majorEastAsia" w:hAnsiTheme="majorEastAsia" w:eastAsiaTheme="majorEastAsia"/>
          <w:b w:val="0"/>
          <w:color w:val="0C0C0C" w:themeColor="text1" w:themeTint="F2"/>
          <w:sz w:val="24"/>
          <w:szCs w:val="24"/>
        </w:rPr>
      </w:pPr>
      <w:bookmarkStart w:id="139" w:name="_Toc513029238"/>
      <w:bookmarkStart w:id="140" w:name="_Toc20823310"/>
      <w:bookmarkStart w:id="141" w:name="_Toc16938554"/>
      <w:r>
        <w:rPr>
          <w:rFonts w:hint="eastAsia" w:asciiTheme="majorEastAsia" w:hAnsiTheme="majorEastAsia" w:eastAsiaTheme="majorEastAsia"/>
          <w:b w:val="0"/>
          <w:color w:val="0C0C0C" w:themeColor="text1" w:themeTint="F2"/>
          <w:sz w:val="24"/>
          <w:szCs w:val="24"/>
        </w:rPr>
        <w:t>22、</w:t>
      </w:r>
      <w:bookmarkEnd w:id="139"/>
      <w:r>
        <w:rPr>
          <w:rFonts w:hint="eastAsia" w:asciiTheme="majorEastAsia" w:hAnsiTheme="majorEastAsia" w:eastAsiaTheme="majorEastAsia"/>
          <w:b w:val="0"/>
          <w:color w:val="0C0C0C" w:themeColor="text1" w:themeTint="F2"/>
          <w:sz w:val="24"/>
          <w:szCs w:val="24"/>
        </w:rPr>
        <w:t>确定</w:t>
      </w:r>
      <w:bookmarkEnd w:id="140"/>
      <w:bookmarkEnd w:id="141"/>
      <w:r>
        <w:rPr>
          <w:rFonts w:hint="eastAsia" w:asciiTheme="majorEastAsia" w:hAnsiTheme="majorEastAsia" w:eastAsiaTheme="majorEastAsia"/>
          <w:b w:val="0"/>
          <w:color w:val="0C0C0C" w:themeColor="text1" w:themeTint="F2"/>
          <w:sz w:val="24"/>
          <w:szCs w:val="24"/>
        </w:rPr>
        <w:t>中标单位</w:t>
      </w:r>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22.1评委会根据本招标文件规定评分办法与评分标准评出中标人。</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22.2</w:t>
      </w:r>
      <w:r>
        <w:rPr>
          <w:rFonts w:hint="eastAsia" w:asciiTheme="majorEastAsia" w:hAnsiTheme="majorEastAsia" w:eastAsiaTheme="majorEastAsia"/>
          <w:color w:val="0C0C0C" w:themeColor="text1" w:themeTint="F2"/>
          <w:sz w:val="24"/>
          <w:szCs w:val="24"/>
        </w:rPr>
        <w:t>采购人将在“南通市公共资源交易网”发布中标公告，公告期限为1个工作日。</w:t>
      </w:r>
    </w:p>
    <w:p>
      <w:pPr>
        <w:snapToGrid w:val="0"/>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22.3若有充分证据证明，中标人出现下列情况之一的，一经查实，将被取消中标资格：</w:t>
      </w:r>
    </w:p>
    <w:p>
      <w:pPr>
        <w:snapToGrid w:val="0"/>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22.3.1提供虚假材料谋取中标的；</w:t>
      </w:r>
    </w:p>
    <w:p>
      <w:pPr>
        <w:snapToGrid w:val="0"/>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22.3.2向采购人行贿或者提供其他不正当利益的；</w:t>
      </w:r>
    </w:p>
    <w:p>
      <w:pPr>
        <w:snapToGrid w:val="0"/>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22.3.3恶意竞争，投标总报价明显低于其自身合理成本且又无法提供证明的；</w:t>
      </w:r>
    </w:p>
    <w:p>
      <w:pPr>
        <w:snapToGrid w:val="0"/>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22.3.4属于本文件规定的无效条件，但在评标过程中又未被评委会发现的；</w:t>
      </w:r>
    </w:p>
    <w:p>
      <w:pPr>
        <w:snapToGrid w:val="0"/>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22.3.5与采购人或者其他供应商恶意串通的；</w:t>
      </w:r>
    </w:p>
    <w:p>
      <w:pPr>
        <w:snapToGrid w:val="0"/>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22.3.6采取不正当手段诋毁、排挤其他供应商的；</w:t>
      </w:r>
    </w:p>
    <w:p>
      <w:pPr>
        <w:snapToGrid w:val="0"/>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22.3.7不符合法律、法规的规定的。</w:t>
      </w:r>
      <w:bookmarkStart w:id="142" w:name="_Toc200451960"/>
    </w:p>
    <w:p>
      <w:pPr>
        <w:snapToGrid w:val="0"/>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22.4. 有下列情形之一的，视为投标人串通投标，其投标无效：</w:t>
      </w:r>
    </w:p>
    <w:p>
      <w:pPr>
        <w:snapToGrid w:val="0"/>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22.4.1不同投标人的投标文件由同一单位或者个人编制；</w:t>
      </w:r>
    </w:p>
    <w:p>
      <w:pPr>
        <w:snapToGrid w:val="0"/>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22.4.2不同投标人委托同一单位或者个人办理投标事宜；</w:t>
      </w:r>
    </w:p>
    <w:p>
      <w:pPr>
        <w:snapToGrid w:val="0"/>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22.4.3不同投标人的投标文件载明的项目管理成员或者联系人员为同一人；</w:t>
      </w:r>
    </w:p>
    <w:p>
      <w:pPr>
        <w:snapToGrid w:val="0"/>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22.4.4不同投标人的投标文件异常一致或者投标报价呈规律性差异；</w:t>
      </w:r>
    </w:p>
    <w:p>
      <w:pPr>
        <w:snapToGrid w:val="0"/>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22.4.5不同投标人的投标文件相互混装；</w:t>
      </w:r>
    </w:p>
    <w:p>
      <w:pPr>
        <w:snapToGrid w:val="0"/>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22.4.6不同投标人的投标保证金从同一单位或者个人的账户转出。</w:t>
      </w:r>
    </w:p>
    <w:p>
      <w:pPr>
        <w:pStyle w:val="6"/>
        <w:spacing w:before="0" w:after="0" w:line="400" w:lineRule="exact"/>
        <w:ind w:firstLine="480" w:firstLineChars="200"/>
        <w:rPr>
          <w:rFonts w:asciiTheme="majorEastAsia" w:hAnsiTheme="majorEastAsia" w:eastAsiaTheme="majorEastAsia"/>
          <w:b w:val="0"/>
          <w:color w:val="0C0C0C" w:themeColor="text1" w:themeTint="F2"/>
          <w:sz w:val="24"/>
          <w:szCs w:val="24"/>
        </w:rPr>
      </w:pPr>
      <w:r>
        <w:rPr>
          <w:rFonts w:hint="eastAsia" w:asciiTheme="majorEastAsia" w:hAnsiTheme="majorEastAsia" w:eastAsiaTheme="majorEastAsia"/>
          <w:b w:val="0"/>
          <w:color w:val="0C0C0C" w:themeColor="text1" w:themeTint="F2"/>
          <w:sz w:val="24"/>
          <w:szCs w:val="24"/>
        </w:rPr>
        <w:t>23、质疑处理</w:t>
      </w:r>
      <w:bookmarkEnd w:id="142"/>
    </w:p>
    <w:p>
      <w:pPr>
        <w:snapToGrid w:val="0"/>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23.1供应商对采购活动事项有疑问的，应当按照7.1条规定的时间前向采购人提出询问，采购人将按照7.1条规定的时间前对供应商依法提出的询问作出答复。</w:t>
      </w:r>
    </w:p>
    <w:p>
      <w:pPr>
        <w:snapToGrid w:val="0"/>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23.2</w:t>
      </w:r>
      <w:r>
        <w:rPr>
          <w:rFonts w:hint="eastAsia" w:asciiTheme="majorEastAsia" w:hAnsiTheme="majorEastAsia" w:eastAsiaTheme="majorEastAsia"/>
          <w:color w:val="0C0C0C" w:themeColor="text1" w:themeTint="F2"/>
          <w:sz w:val="24"/>
          <w:szCs w:val="24"/>
        </w:rPr>
        <w:t>投标人认为采购文件使自己的权益受到损害的，可以</w:t>
      </w:r>
      <w:r>
        <w:rPr>
          <w:rFonts w:hint="eastAsia" w:asciiTheme="majorEastAsia" w:hAnsiTheme="majorEastAsia" w:eastAsiaTheme="majorEastAsia"/>
          <w:bCs/>
          <w:color w:val="0C0C0C" w:themeColor="text1" w:themeTint="F2"/>
          <w:sz w:val="24"/>
          <w:szCs w:val="24"/>
        </w:rPr>
        <w:t>按照7.2条规定的时间</w:t>
      </w:r>
      <w:r>
        <w:rPr>
          <w:rFonts w:hint="eastAsia" w:asciiTheme="majorEastAsia" w:hAnsiTheme="majorEastAsia" w:eastAsiaTheme="majorEastAsia"/>
          <w:color w:val="0C0C0C" w:themeColor="text1" w:themeTint="F2"/>
          <w:sz w:val="24"/>
          <w:szCs w:val="24"/>
        </w:rPr>
        <w:t>前，以书面形式向采购人提出质疑。采购人将在收到投标人的书面质疑后3日内对投标人依法提出的质疑作出答复，并将通知质疑投标人和其他有关投标人，但答复内容涉及商业秘密的除外。</w:t>
      </w:r>
    </w:p>
    <w:p>
      <w:pPr>
        <w:snapToGrid w:val="0"/>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23.3采购人委托招标代理机构采购的，投标人可以向招标代理机构提出质疑，招标代理机构依照《中华人民共和国政府采购法》有关规定就采购人委托授权范围内的事项作出答复。</w:t>
      </w:r>
    </w:p>
    <w:p>
      <w:pPr>
        <w:snapToGrid w:val="0"/>
        <w:spacing w:line="400" w:lineRule="exact"/>
        <w:ind w:firstLine="480" w:firstLineChars="200"/>
        <w:rPr>
          <w:rFonts w:cs="宋体" w:asciiTheme="majorEastAsia" w:hAnsiTheme="majorEastAsia" w:eastAsiaTheme="majorEastAsia"/>
          <w:color w:val="0C0C0C" w:themeColor="text1" w:themeTint="F2"/>
          <w:kern w:val="0"/>
          <w:sz w:val="24"/>
          <w:szCs w:val="24"/>
        </w:rPr>
      </w:pPr>
      <w:r>
        <w:rPr>
          <w:rFonts w:hint="eastAsia" w:asciiTheme="majorEastAsia" w:hAnsiTheme="majorEastAsia" w:eastAsiaTheme="majorEastAsia"/>
          <w:color w:val="0C0C0C" w:themeColor="text1" w:themeTint="F2"/>
          <w:sz w:val="24"/>
          <w:szCs w:val="24"/>
        </w:rPr>
        <w:t>23.4</w:t>
      </w:r>
      <w:r>
        <w:rPr>
          <w:rFonts w:cs="宋体" w:asciiTheme="majorEastAsia" w:hAnsiTheme="majorEastAsia" w:eastAsiaTheme="majorEastAsia"/>
          <w:color w:val="0C0C0C" w:themeColor="text1" w:themeTint="F2"/>
          <w:kern w:val="0"/>
          <w:sz w:val="24"/>
          <w:szCs w:val="24"/>
        </w:rPr>
        <w:t>对采购过程提出质疑的，为各采购程序环节结束之日；</w:t>
      </w:r>
      <w:r>
        <w:rPr>
          <w:rFonts w:cs="宋体" w:asciiTheme="majorEastAsia" w:hAnsiTheme="majorEastAsia" w:eastAsiaTheme="majorEastAsia"/>
          <w:color w:val="0C0C0C" w:themeColor="text1" w:themeTint="F2"/>
          <w:kern w:val="0"/>
          <w:sz w:val="24"/>
          <w:szCs w:val="24"/>
        </w:rPr>
        <w:br w:type="textWrapping"/>
      </w:r>
      <w:r>
        <w:rPr>
          <w:rFonts w:cs="宋体" w:asciiTheme="majorEastAsia" w:hAnsiTheme="majorEastAsia" w:eastAsiaTheme="majorEastAsia"/>
          <w:color w:val="0C0C0C" w:themeColor="text1" w:themeTint="F2"/>
          <w:kern w:val="0"/>
          <w:sz w:val="24"/>
          <w:szCs w:val="24"/>
        </w:rPr>
        <w:t>　　</w:t>
      </w:r>
      <w:r>
        <w:rPr>
          <w:rFonts w:hint="eastAsia" w:asciiTheme="majorEastAsia" w:hAnsiTheme="majorEastAsia" w:eastAsiaTheme="majorEastAsia"/>
          <w:color w:val="0C0C0C" w:themeColor="text1" w:themeTint="F2"/>
          <w:sz w:val="24"/>
          <w:szCs w:val="24"/>
        </w:rPr>
        <w:t>23.5</w:t>
      </w:r>
      <w:r>
        <w:rPr>
          <w:rFonts w:cs="宋体" w:asciiTheme="majorEastAsia" w:hAnsiTheme="majorEastAsia" w:eastAsiaTheme="majorEastAsia"/>
          <w:color w:val="0C0C0C" w:themeColor="text1" w:themeTint="F2"/>
          <w:kern w:val="0"/>
          <w:sz w:val="24"/>
          <w:szCs w:val="24"/>
        </w:rPr>
        <w:t>对中标或者成交结果提出质疑的，为中标或者成交结果公告期限届满之日。</w:t>
      </w:r>
    </w:p>
    <w:p>
      <w:pPr>
        <w:snapToGrid w:val="0"/>
        <w:spacing w:line="400" w:lineRule="exact"/>
        <w:ind w:firstLine="472" w:firstLineChars="197"/>
        <w:rPr>
          <w:rFonts w:cs="宋体" w:asciiTheme="majorEastAsia" w:hAnsiTheme="majorEastAsia" w:eastAsiaTheme="majorEastAsia"/>
          <w:color w:val="0C0C0C" w:themeColor="text1" w:themeTint="F2"/>
          <w:kern w:val="0"/>
          <w:sz w:val="24"/>
          <w:szCs w:val="24"/>
        </w:rPr>
      </w:pPr>
      <w:r>
        <w:rPr>
          <w:rFonts w:hint="eastAsia" w:cs="宋体" w:asciiTheme="majorEastAsia" w:hAnsiTheme="majorEastAsia" w:eastAsiaTheme="majorEastAsia"/>
          <w:color w:val="0C0C0C" w:themeColor="text1" w:themeTint="F2"/>
          <w:kern w:val="0"/>
          <w:sz w:val="24"/>
          <w:szCs w:val="24"/>
        </w:rPr>
        <w:t>23.6质疑必须以参加投标供应商法定代表人或授权代表（投标文件中所确定的）原件送达的方式提交，未按上述要求提交的质疑函（含传真、电子邮件等）采购人有权不予受理。</w:t>
      </w:r>
    </w:p>
    <w:p>
      <w:pPr>
        <w:snapToGrid w:val="0"/>
        <w:spacing w:line="400" w:lineRule="exact"/>
        <w:ind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23.7未参加投标活动的供应商或在投标活动中自身权益未受到损害的供应商所提出的质疑不予受理。</w:t>
      </w:r>
    </w:p>
    <w:p>
      <w:pPr>
        <w:snapToGrid w:val="0"/>
        <w:spacing w:line="400" w:lineRule="exact"/>
        <w:ind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23.8质疑函应当包括下列内容：</w:t>
      </w:r>
    </w:p>
    <w:p>
      <w:pPr>
        <w:snapToGrid w:val="0"/>
        <w:spacing w:line="400" w:lineRule="exact"/>
        <w:ind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23.4.1质疑投标人的名称、地址、邮编、联系人、联系电话；</w:t>
      </w:r>
    </w:p>
    <w:p>
      <w:pPr>
        <w:snapToGrid w:val="0"/>
        <w:spacing w:line="400" w:lineRule="exact"/>
        <w:ind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23.4.2具体的质疑事项及明确的请求；</w:t>
      </w:r>
    </w:p>
    <w:p>
      <w:pPr>
        <w:snapToGrid w:val="0"/>
        <w:spacing w:line="400" w:lineRule="exact"/>
        <w:ind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23.4.3认为自己合法权益受到损害或可能受到损害的相关证据材料；</w:t>
      </w:r>
    </w:p>
    <w:p>
      <w:pPr>
        <w:snapToGrid w:val="0"/>
        <w:spacing w:line="400" w:lineRule="exact"/>
        <w:ind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23.4.4提起质疑的日期；</w:t>
      </w:r>
    </w:p>
    <w:p>
      <w:pPr>
        <w:snapToGrid w:val="0"/>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23.4.5质疑函应当署名：质疑人为自然人的，应当由本人签字并附有效身份证</w:t>
      </w:r>
    </w:p>
    <w:p>
      <w:pPr>
        <w:snapToGrid w:val="0"/>
        <w:spacing w:line="400" w:lineRule="exact"/>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明；质疑人为法人或其他组织的，应当由法定代表人签字并加盖单位公章。质疑人委托代理质疑的，应当向采购人提交授权委托书，并载明委托代理的具体权限和事项。</w:t>
      </w:r>
    </w:p>
    <w:p>
      <w:pPr>
        <w:snapToGrid w:val="0"/>
        <w:spacing w:line="400" w:lineRule="exact"/>
        <w:ind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23.9采购人收到质疑函后，将对质疑的形式和内容进行审查，如质疑函内容、格式不符合规定，采购人将告知质疑人进行补正。</w:t>
      </w:r>
    </w:p>
    <w:p>
      <w:pPr>
        <w:snapToGrid w:val="0"/>
        <w:spacing w:line="400" w:lineRule="exact"/>
        <w:ind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23.10质疑人应当在法定质疑期限内进行补正并重新提交质疑函，拒不补正或者在法定期限内未重新提交质疑函的，为无效质疑，采购人有权不予受理。</w:t>
      </w:r>
    </w:p>
    <w:p>
      <w:pPr>
        <w:snapToGrid w:val="0"/>
        <w:spacing w:line="400" w:lineRule="exact"/>
        <w:ind w:firstLine="468" w:firstLineChars="195"/>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23.11对于内容、格式符合规定的质疑函，采购人应当在收到投标供应商的书面质疑后七个工作日内作出答复，并以书面形式通知质疑供应商和其他有关供应商，但答复的内容不得涉及商业秘密。</w:t>
      </w:r>
    </w:p>
    <w:p>
      <w:pPr>
        <w:snapToGrid w:val="0"/>
        <w:spacing w:line="400" w:lineRule="exact"/>
        <w:ind w:firstLine="468" w:firstLineChars="195"/>
        <w:rPr>
          <w:rFonts w:asciiTheme="majorEastAsia" w:hAnsiTheme="majorEastAsia" w:eastAsiaTheme="majorEastAsia"/>
          <w:color w:val="0C0C0C" w:themeColor="text1" w:themeTint="F2"/>
          <w:sz w:val="24"/>
          <w:szCs w:val="24"/>
          <w:u w:val="single"/>
        </w:rPr>
      </w:pPr>
      <w:r>
        <w:rPr>
          <w:rFonts w:hint="eastAsia" w:asciiTheme="majorEastAsia" w:hAnsiTheme="majorEastAsia" w:eastAsiaTheme="majorEastAsia"/>
          <w:color w:val="0C0C0C" w:themeColor="text1" w:themeTint="F2"/>
          <w:sz w:val="24"/>
          <w:szCs w:val="24"/>
        </w:rPr>
        <w:t>23.12投标人提出书面质疑必须有理、有据，不得恶意质疑或提交虚假质疑。否则，一经查实，采购人有权依据《江苏省政府采购供应商监督管理暂行办法》的规定，扣减其诚信记录分，并报请政府采购监管部门对该投标人进行相应的行政处罚。</w:t>
      </w:r>
    </w:p>
    <w:p>
      <w:pPr>
        <w:pStyle w:val="6"/>
        <w:spacing w:before="0" w:after="0" w:line="400" w:lineRule="exact"/>
        <w:ind w:firstLine="480" w:firstLineChars="200"/>
        <w:rPr>
          <w:rFonts w:asciiTheme="majorEastAsia" w:hAnsiTheme="majorEastAsia" w:eastAsiaTheme="majorEastAsia"/>
          <w:b w:val="0"/>
          <w:color w:val="0C0C0C" w:themeColor="text1" w:themeTint="F2"/>
          <w:sz w:val="24"/>
          <w:szCs w:val="24"/>
        </w:rPr>
      </w:pPr>
      <w:r>
        <w:rPr>
          <w:rFonts w:hint="eastAsia" w:asciiTheme="majorEastAsia" w:hAnsiTheme="majorEastAsia" w:eastAsiaTheme="majorEastAsia"/>
          <w:b w:val="0"/>
          <w:color w:val="0C0C0C" w:themeColor="text1" w:themeTint="F2"/>
          <w:sz w:val="24"/>
          <w:szCs w:val="24"/>
        </w:rPr>
        <w:t>24、中标通知书</w:t>
      </w:r>
    </w:p>
    <w:p>
      <w:pPr>
        <w:snapToGrid w:val="0"/>
        <w:spacing w:line="400" w:lineRule="exact"/>
        <w:ind w:firstLine="360" w:firstLineChars="1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 24.l中标结果确定后，采购人将向中标人发出中标通知书。</w:t>
      </w:r>
    </w:p>
    <w:p>
      <w:pPr>
        <w:snapToGrid w:val="0"/>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24.2 中标人法定代表人或授权代表（投标文件中所确定的）须到南通市通州区公共资源交易中心采购科现场签收中标通知书。</w:t>
      </w:r>
    </w:p>
    <w:p>
      <w:pPr>
        <w:snapToGrid w:val="0"/>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24.3中标通知书将是合同的一个组成部分。对采购人和中标人均具有法律效力。中标通知书发出后，采购人改变中标结果的，或者中标人放弃中标项目的，应当依法承担法律责任。</w:t>
      </w:r>
    </w:p>
    <w:p>
      <w:pPr>
        <w:pStyle w:val="5"/>
        <w:spacing w:line="400" w:lineRule="exact"/>
        <w:jc w:val="center"/>
        <w:rPr>
          <w:rFonts w:asciiTheme="majorEastAsia" w:hAnsiTheme="majorEastAsia" w:eastAsiaTheme="majorEastAsia"/>
          <w:color w:val="0C0C0C" w:themeColor="text1" w:themeTint="F2"/>
          <w:sz w:val="28"/>
          <w:szCs w:val="28"/>
        </w:rPr>
      </w:pPr>
      <w:bookmarkStart w:id="143" w:name="_Toc120614220"/>
      <w:bookmarkStart w:id="144" w:name="_Toc16938552"/>
      <w:bookmarkStart w:id="145" w:name="_Toc513029236"/>
      <w:bookmarkStart w:id="146" w:name="_Toc20823308"/>
      <w:r>
        <w:rPr>
          <w:rFonts w:hint="eastAsia" w:asciiTheme="majorEastAsia" w:hAnsiTheme="majorEastAsia" w:eastAsiaTheme="majorEastAsia"/>
          <w:color w:val="0C0C0C" w:themeColor="text1" w:themeTint="F2"/>
          <w:sz w:val="28"/>
          <w:szCs w:val="28"/>
        </w:rPr>
        <w:t>六、合同</w:t>
      </w:r>
      <w:bookmarkEnd w:id="143"/>
      <w:r>
        <w:rPr>
          <w:rFonts w:hint="eastAsia" w:asciiTheme="majorEastAsia" w:hAnsiTheme="majorEastAsia" w:eastAsiaTheme="majorEastAsia"/>
          <w:color w:val="0C0C0C" w:themeColor="text1" w:themeTint="F2"/>
          <w:sz w:val="28"/>
          <w:szCs w:val="28"/>
        </w:rPr>
        <w:t>签订相关事项</w:t>
      </w:r>
    </w:p>
    <w:bookmarkEnd w:id="144"/>
    <w:bookmarkEnd w:id="145"/>
    <w:bookmarkEnd w:id="146"/>
    <w:p>
      <w:pPr>
        <w:pStyle w:val="6"/>
        <w:spacing w:before="0" w:after="0" w:line="400" w:lineRule="exact"/>
        <w:ind w:firstLine="480" w:firstLineChars="200"/>
        <w:rPr>
          <w:rFonts w:asciiTheme="majorEastAsia" w:hAnsiTheme="majorEastAsia" w:eastAsiaTheme="majorEastAsia"/>
          <w:b w:val="0"/>
          <w:color w:val="0C0C0C" w:themeColor="text1" w:themeTint="F2"/>
          <w:sz w:val="24"/>
          <w:szCs w:val="24"/>
        </w:rPr>
      </w:pPr>
      <w:bookmarkStart w:id="147" w:name="_Toc16938553"/>
      <w:bookmarkStart w:id="148" w:name="_Toc513029237"/>
      <w:bookmarkStart w:id="149" w:name="_Toc20823309"/>
      <w:r>
        <w:rPr>
          <w:rFonts w:hint="eastAsia" w:asciiTheme="majorEastAsia" w:hAnsiTheme="majorEastAsia" w:eastAsiaTheme="majorEastAsia"/>
          <w:b w:val="0"/>
          <w:color w:val="0C0C0C" w:themeColor="text1" w:themeTint="F2"/>
          <w:sz w:val="24"/>
          <w:szCs w:val="24"/>
        </w:rPr>
        <w:t>25、 签订合同</w:t>
      </w:r>
    </w:p>
    <w:p>
      <w:pPr>
        <w:snapToGrid w:val="0"/>
        <w:spacing w:line="400" w:lineRule="exact"/>
        <w:ind w:firstLine="600" w:firstLineChars="2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bCs/>
          <w:color w:val="0C0C0C" w:themeColor="text1" w:themeTint="F2"/>
          <w:sz w:val="24"/>
          <w:szCs w:val="24"/>
        </w:rPr>
        <w:t>25</w:t>
      </w:r>
      <w:r>
        <w:rPr>
          <w:rFonts w:hint="eastAsia" w:asciiTheme="majorEastAsia" w:hAnsiTheme="majorEastAsia" w:eastAsiaTheme="majorEastAsia"/>
          <w:color w:val="0C0C0C" w:themeColor="text1" w:themeTint="F2"/>
          <w:sz w:val="24"/>
          <w:szCs w:val="24"/>
        </w:rPr>
        <w:t>.l中标人应按中标通知书规定的时间、地点,按照招标文件确定的事项与采购人签订政府采购合同，且不得迟于中标通知书发出之日起三十日内，由此给采购人造成损失的，中标人还应承担赔偿责任。</w:t>
      </w:r>
    </w:p>
    <w:p>
      <w:pPr>
        <w:snapToGrid w:val="0"/>
        <w:spacing w:line="400" w:lineRule="exact"/>
        <w:ind w:firstLine="600" w:firstLineChars="2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25.2招标文件、中标人的投标文件及招标过程中有关澄清、承诺文件均应作为合同附件。</w:t>
      </w:r>
    </w:p>
    <w:p>
      <w:pPr>
        <w:snapToGrid w:val="0"/>
        <w:spacing w:line="400" w:lineRule="exact"/>
        <w:ind w:firstLine="600" w:firstLineChars="25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25.3 签订合同后，</w:t>
      </w:r>
      <w:r>
        <w:rPr>
          <w:rFonts w:hint="eastAsia" w:asciiTheme="majorEastAsia" w:hAnsiTheme="majorEastAsia" w:eastAsiaTheme="majorEastAsia"/>
          <w:color w:val="0C0C0C" w:themeColor="text1" w:themeTint="F2"/>
          <w:sz w:val="24"/>
          <w:szCs w:val="24"/>
          <w:u w:val="single"/>
        </w:rPr>
        <w:t>中标人不得将货物、服务及其他相关服务进行转包</w:t>
      </w:r>
      <w:r>
        <w:rPr>
          <w:rFonts w:hint="eastAsia" w:asciiTheme="majorEastAsia" w:hAnsiTheme="majorEastAsia" w:eastAsiaTheme="majorEastAsia"/>
          <w:color w:val="0C0C0C" w:themeColor="text1" w:themeTint="F2"/>
          <w:sz w:val="24"/>
          <w:szCs w:val="24"/>
        </w:rPr>
        <w:t>。未经采购人同意，中标人也不得采用分包的形式履行合同，否则采购人有权终止合同，中标人的履约保证金将不予退还。转包或分包造成采购人损失的，中标人应承担相应赔偿责任。</w:t>
      </w:r>
    </w:p>
    <w:p>
      <w:pPr>
        <w:pStyle w:val="6"/>
        <w:spacing w:before="0" w:after="0" w:line="400" w:lineRule="exact"/>
        <w:ind w:firstLine="480" w:firstLineChars="200"/>
        <w:rPr>
          <w:rFonts w:asciiTheme="majorEastAsia" w:hAnsiTheme="majorEastAsia" w:eastAsiaTheme="majorEastAsia"/>
          <w:b w:val="0"/>
          <w:color w:val="0C0C0C" w:themeColor="text1" w:themeTint="F2"/>
          <w:sz w:val="24"/>
          <w:szCs w:val="24"/>
        </w:rPr>
      </w:pPr>
      <w:r>
        <w:rPr>
          <w:rFonts w:hint="eastAsia" w:asciiTheme="majorEastAsia" w:hAnsiTheme="majorEastAsia" w:eastAsiaTheme="majorEastAsia"/>
          <w:b w:val="0"/>
          <w:color w:val="0C0C0C" w:themeColor="text1" w:themeTint="F2"/>
          <w:sz w:val="24"/>
          <w:szCs w:val="24"/>
        </w:rPr>
        <w:t>26、履约保证金</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26.1</w:t>
      </w:r>
      <w:r>
        <w:rPr>
          <w:rFonts w:hint="eastAsia" w:asciiTheme="majorEastAsia" w:hAnsiTheme="majorEastAsia" w:eastAsiaTheme="majorEastAsia"/>
          <w:bCs/>
          <w:color w:val="0C0C0C" w:themeColor="text1" w:themeTint="F2"/>
          <w:sz w:val="24"/>
          <w:szCs w:val="24"/>
        </w:rPr>
        <w:t>中标人在收到中标通知书后，中标人应在签订合同前向采购人缴纳中标价的10%的履约保证金</w:t>
      </w:r>
      <w:r>
        <w:rPr>
          <w:rFonts w:hint="eastAsia" w:asciiTheme="majorEastAsia" w:hAnsiTheme="majorEastAsia" w:eastAsiaTheme="majorEastAsia"/>
          <w:color w:val="0C0C0C" w:themeColor="text1" w:themeTint="F2"/>
          <w:sz w:val="24"/>
          <w:szCs w:val="24"/>
        </w:rPr>
        <w:t>，</w:t>
      </w:r>
      <w:r>
        <w:rPr>
          <w:rFonts w:hint="eastAsia" w:asciiTheme="majorEastAsia" w:hAnsiTheme="majorEastAsia" w:eastAsiaTheme="majorEastAsia"/>
          <w:bCs/>
          <w:color w:val="0C0C0C" w:themeColor="text1" w:themeTint="F2"/>
          <w:sz w:val="24"/>
          <w:szCs w:val="24"/>
        </w:rPr>
        <w:t>履约保证金</w:t>
      </w:r>
      <w:r>
        <w:rPr>
          <w:rFonts w:hint="eastAsia" w:asciiTheme="majorEastAsia" w:hAnsiTheme="majorEastAsia" w:eastAsiaTheme="majorEastAsia"/>
          <w:color w:val="0C0C0C" w:themeColor="text1" w:themeTint="F2"/>
          <w:sz w:val="24"/>
          <w:szCs w:val="24"/>
        </w:rPr>
        <w:t>用以约束供应商在合同履行中的行为，弥补合同执行中由于自身行为可能给采购人带来的各种损失。如果中标人不同意按照规定去做，采购人有权取消本次采购中标决定，其投标保证金不予退还。</w:t>
      </w:r>
      <w:bookmarkStart w:id="150" w:name="_Toc200451963"/>
    </w:p>
    <w:p>
      <w:pPr>
        <w:spacing w:line="400" w:lineRule="exact"/>
        <w:ind w:firstLine="480" w:firstLineChars="200"/>
        <w:rPr>
          <w:rFonts w:asciiTheme="majorEastAsia" w:hAnsiTheme="majorEastAsia" w:eastAsiaTheme="majorEastAsia"/>
          <w:bCs/>
          <w:color w:val="0C0C0C" w:themeColor="text1" w:themeTint="F2"/>
          <w:sz w:val="24"/>
        </w:rPr>
      </w:pPr>
      <w:r>
        <w:rPr>
          <w:rFonts w:hint="eastAsia" w:asciiTheme="majorEastAsia" w:hAnsiTheme="majorEastAsia" w:eastAsiaTheme="majorEastAsia"/>
          <w:color w:val="0C0C0C" w:themeColor="text1" w:themeTint="F2"/>
          <w:sz w:val="24"/>
          <w:szCs w:val="24"/>
        </w:rPr>
        <w:t>26.</w:t>
      </w:r>
      <w:bookmarkEnd w:id="150"/>
      <w:r>
        <w:rPr>
          <w:rFonts w:hint="eastAsia" w:asciiTheme="majorEastAsia" w:hAnsiTheme="majorEastAsia" w:eastAsiaTheme="majorEastAsia"/>
          <w:color w:val="0C0C0C" w:themeColor="text1" w:themeTint="F2"/>
          <w:sz w:val="24"/>
          <w:szCs w:val="24"/>
        </w:rPr>
        <w:t>2</w:t>
      </w:r>
      <w:r>
        <w:rPr>
          <w:rFonts w:hint="eastAsia" w:asciiTheme="majorEastAsia" w:hAnsiTheme="majorEastAsia" w:eastAsiaTheme="majorEastAsia"/>
          <w:bCs/>
          <w:color w:val="0C0C0C" w:themeColor="text1" w:themeTint="F2"/>
          <w:sz w:val="24"/>
          <w:szCs w:val="24"/>
        </w:rPr>
        <w:t>履约保证金的退还：</w:t>
      </w:r>
      <w:bookmarkEnd w:id="147"/>
      <w:bookmarkEnd w:id="148"/>
      <w:bookmarkEnd w:id="149"/>
      <w:bookmarkStart w:id="151" w:name="_Toc20823314"/>
      <w:bookmarkStart w:id="152" w:name="_Toc120614221"/>
      <w:bookmarkStart w:id="153" w:name="_Toc16938558"/>
      <w:bookmarkStart w:id="154" w:name="_Toc479757207"/>
      <w:bookmarkStart w:id="155" w:name="_Toc513029242"/>
      <w:r>
        <w:rPr>
          <w:rFonts w:hint="eastAsia" w:asciiTheme="majorEastAsia" w:hAnsiTheme="majorEastAsia" w:eastAsiaTheme="majorEastAsia"/>
          <w:bCs/>
          <w:color w:val="0C0C0C" w:themeColor="text1" w:themeTint="F2"/>
          <w:sz w:val="24"/>
          <w:szCs w:val="24"/>
        </w:rPr>
        <w:t>在发包人验收合格后一个月内退还。</w:t>
      </w:r>
    </w:p>
    <w:p>
      <w:pPr>
        <w:pStyle w:val="3"/>
        <w:spacing w:before="0" w:after="0"/>
        <w:jc w:val="center"/>
        <w:rPr>
          <w:rFonts w:asciiTheme="majorEastAsia" w:hAnsiTheme="majorEastAsia" w:eastAsiaTheme="majorEastAsia"/>
          <w:b w:val="0"/>
          <w:bCs/>
          <w:color w:val="0C0C0C" w:themeColor="text1" w:themeTint="F2"/>
          <w:sz w:val="36"/>
          <w:szCs w:val="36"/>
        </w:rPr>
      </w:pPr>
      <w:r>
        <w:rPr>
          <w:rFonts w:asciiTheme="majorEastAsia" w:hAnsiTheme="majorEastAsia" w:eastAsiaTheme="majorEastAsia"/>
          <w:b w:val="0"/>
          <w:bCs/>
          <w:color w:val="0C0C0C" w:themeColor="text1" w:themeTint="F2"/>
        </w:rPr>
        <w:br w:type="page"/>
      </w:r>
      <w:bookmarkEnd w:id="151"/>
      <w:bookmarkEnd w:id="152"/>
      <w:bookmarkEnd w:id="153"/>
      <w:bookmarkEnd w:id="154"/>
      <w:bookmarkEnd w:id="155"/>
      <w:bookmarkStart w:id="156" w:name="_Hlt16619350"/>
      <w:bookmarkStart w:id="157" w:name="_Toc20823346"/>
      <w:bookmarkStart w:id="158" w:name="_Toc120614244"/>
      <w:bookmarkStart w:id="159" w:name="_Toc16938590"/>
      <w:bookmarkStart w:id="160" w:name="_Toc479757211"/>
      <w:bookmarkStart w:id="161" w:name="_Toc462564139"/>
      <w:r>
        <w:rPr>
          <w:rFonts w:hint="eastAsia" w:asciiTheme="majorEastAsia" w:hAnsiTheme="majorEastAsia" w:eastAsiaTheme="majorEastAsia"/>
          <w:b w:val="0"/>
          <w:bCs/>
          <w:color w:val="0C0C0C" w:themeColor="text1" w:themeTint="F2"/>
          <w:sz w:val="36"/>
          <w:szCs w:val="36"/>
        </w:rPr>
        <w:t>第三章  合同条款及格式</w:t>
      </w:r>
    </w:p>
    <w:bookmarkEnd w:id="156"/>
    <w:bookmarkEnd w:id="157"/>
    <w:bookmarkEnd w:id="158"/>
    <w:bookmarkEnd w:id="159"/>
    <w:p>
      <w:pPr>
        <w:snapToGrid w:val="0"/>
        <w:spacing w:line="400" w:lineRule="exact"/>
        <w:jc w:val="center"/>
        <w:rPr>
          <w:rFonts w:ascii="宋体" w:hAnsi="宋体"/>
          <w:b/>
          <w:bCs/>
          <w:color w:val="000000"/>
          <w:spacing w:val="60"/>
          <w:sz w:val="36"/>
          <w:szCs w:val="24"/>
        </w:rPr>
      </w:pPr>
      <w:bookmarkStart w:id="162" w:name="_Toc193265308"/>
      <w:bookmarkStart w:id="163" w:name="_Toc120614281"/>
      <w:bookmarkStart w:id="164" w:name="_Toc26554093"/>
      <w:bookmarkStart w:id="165" w:name="_Toc49090575"/>
      <w:r>
        <w:rPr>
          <w:rFonts w:hint="eastAsia" w:ascii="宋体" w:hAnsi="宋体"/>
          <w:b/>
          <w:bCs/>
          <w:color w:val="000000"/>
          <w:spacing w:val="60"/>
          <w:sz w:val="36"/>
          <w:szCs w:val="24"/>
        </w:rPr>
        <w:t>区管河道保洁（X标段）</w:t>
      </w:r>
    </w:p>
    <w:p>
      <w:pPr>
        <w:spacing w:line="400" w:lineRule="exact"/>
        <w:jc w:val="center"/>
        <w:rPr>
          <w:rFonts w:ascii="宋体" w:hAnsi="宋体"/>
          <w:b/>
          <w:bCs/>
          <w:color w:val="000000"/>
          <w:sz w:val="30"/>
          <w:szCs w:val="30"/>
        </w:rPr>
      </w:pPr>
      <w:r>
        <w:rPr>
          <w:rFonts w:hint="eastAsia" w:ascii="宋体" w:hAnsi="宋体"/>
          <w:b/>
          <w:bCs/>
          <w:color w:val="000000"/>
          <w:sz w:val="30"/>
          <w:szCs w:val="30"/>
        </w:rPr>
        <w:t>第一节  协议书</w:t>
      </w:r>
    </w:p>
    <w:p>
      <w:pPr>
        <w:spacing w:line="400" w:lineRule="exact"/>
        <w:ind w:firstLine="460"/>
        <w:rPr>
          <w:rFonts w:ascii="宋体" w:hAnsi="宋体" w:cs="宋体"/>
          <w:color w:val="000000"/>
          <w:kern w:val="0"/>
          <w:u w:val="single"/>
        </w:rPr>
      </w:pPr>
      <w:r>
        <w:rPr>
          <w:rFonts w:hint="eastAsia" w:ascii="宋体" w:hAnsi="宋体" w:cs="宋体"/>
          <w:color w:val="000000"/>
          <w:kern w:val="0"/>
        </w:rPr>
        <w:t xml:space="preserve">发包人(全称)： </w:t>
      </w:r>
      <w:r>
        <w:rPr>
          <w:rFonts w:hint="eastAsia" w:ascii="宋体" w:hAnsi="宋体" w:cs="宋体"/>
          <w:color w:val="000000"/>
          <w:kern w:val="0"/>
          <w:u w:val="single"/>
        </w:rPr>
        <w:t xml:space="preserve">   南通市通州区水利局      </w:t>
      </w:r>
    </w:p>
    <w:p>
      <w:pPr>
        <w:spacing w:line="400" w:lineRule="exact"/>
        <w:ind w:firstLine="460"/>
        <w:rPr>
          <w:rFonts w:ascii="宋体" w:hAnsi="宋体" w:cs="宋体"/>
          <w:color w:val="000000"/>
          <w:kern w:val="0"/>
        </w:rPr>
      </w:pPr>
      <w:r>
        <w:rPr>
          <w:rFonts w:hint="eastAsia" w:ascii="宋体" w:hAnsi="宋体" w:cs="宋体"/>
          <w:color w:val="000000"/>
          <w:kern w:val="0"/>
        </w:rPr>
        <w:t xml:space="preserve">承包人(全称)： </w:t>
      </w:r>
      <w:r>
        <w:rPr>
          <w:rFonts w:hint="eastAsia" w:ascii="宋体" w:hAnsi="宋体" w:cs="宋体"/>
          <w:color w:val="000000"/>
          <w:kern w:val="0"/>
          <w:u w:val="single"/>
        </w:rPr>
        <w:t xml:space="preserve">     （中标人名称）        </w:t>
      </w:r>
    </w:p>
    <w:p>
      <w:pPr>
        <w:spacing w:line="400" w:lineRule="exact"/>
        <w:ind w:firstLine="459"/>
        <w:rPr>
          <w:rFonts w:ascii="宋体" w:hAnsi="宋体" w:cs="宋体"/>
          <w:color w:val="000000"/>
          <w:kern w:val="0"/>
        </w:rPr>
      </w:pPr>
      <w:r>
        <w:rPr>
          <w:rFonts w:hint="eastAsia" w:ascii="宋体" w:hAnsi="宋体" w:cs="宋体"/>
          <w:color w:val="000000"/>
          <w:kern w:val="0"/>
        </w:rPr>
        <w:t>依照《中华人民共和国合同法》及其他有关法律、行政法规，遵循平等、自愿、公平和诚实信用的原则，双方就南通市通州区区管河道保洁服务（2022-2025年）完成事项协商一致，订立本合同。</w:t>
      </w:r>
    </w:p>
    <w:p>
      <w:pPr>
        <w:spacing w:line="400" w:lineRule="exact"/>
        <w:ind w:firstLine="460"/>
        <w:rPr>
          <w:rFonts w:ascii="宋体" w:hAnsi="宋体" w:cs="宋体"/>
          <w:b/>
          <w:color w:val="000000"/>
          <w:kern w:val="0"/>
        </w:rPr>
      </w:pPr>
      <w:r>
        <w:rPr>
          <w:rFonts w:hint="eastAsia" w:ascii="宋体" w:hAnsi="宋体" w:cs="宋体"/>
          <w:b/>
          <w:color w:val="000000"/>
          <w:kern w:val="0"/>
        </w:rPr>
        <w:t>一、工程概况</w:t>
      </w:r>
    </w:p>
    <w:p>
      <w:pPr>
        <w:spacing w:line="400" w:lineRule="exact"/>
        <w:ind w:firstLine="420" w:firstLineChars="200"/>
        <w:rPr>
          <w:rFonts w:ascii="宋体" w:hAnsi="宋体" w:cs="宋体"/>
          <w:color w:val="000000"/>
          <w:kern w:val="0"/>
        </w:rPr>
      </w:pPr>
      <w:r>
        <w:rPr>
          <w:rFonts w:hint="eastAsia" w:ascii="宋体" w:hAnsi="宋体" w:cs="宋体"/>
          <w:color w:val="000000"/>
          <w:kern w:val="0"/>
        </w:rPr>
        <w:t>工程名称：南通市通州区区管河道保洁服务（2022-2025年）（X标段）</w:t>
      </w:r>
    </w:p>
    <w:p>
      <w:pPr>
        <w:spacing w:line="400" w:lineRule="exact"/>
        <w:ind w:firstLine="420" w:firstLineChars="200"/>
        <w:rPr>
          <w:rFonts w:ascii="宋体" w:hAnsi="宋体" w:cs="宋体"/>
          <w:color w:val="000000"/>
          <w:kern w:val="0"/>
        </w:rPr>
      </w:pPr>
      <w:r>
        <w:rPr>
          <w:rFonts w:hint="eastAsia" w:ascii="宋体" w:hAnsi="宋体" w:cs="宋体"/>
          <w:color w:val="000000"/>
          <w:kern w:val="0"/>
        </w:rPr>
        <w:t xml:space="preserve">工程地点：通州区境内                    </w:t>
      </w:r>
    </w:p>
    <w:p>
      <w:pPr>
        <w:spacing w:line="400" w:lineRule="exact"/>
        <w:ind w:firstLine="460"/>
        <w:rPr>
          <w:rFonts w:ascii="宋体" w:hAnsi="宋体" w:cs="宋体"/>
          <w:color w:val="000000"/>
          <w:kern w:val="0"/>
        </w:rPr>
      </w:pPr>
      <w:r>
        <w:rPr>
          <w:rFonts w:hint="eastAsia" w:ascii="宋体" w:hAnsi="宋体" w:cs="宋体"/>
          <w:color w:val="000000"/>
          <w:kern w:val="0"/>
        </w:rPr>
        <w:t>工程内容：</w:t>
      </w:r>
    </w:p>
    <w:p>
      <w:pPr>
        <w:spacing w:line="400" w:lineRule="exact"/>
        <w:ind w:firstLine="460"/>
        <w:rPr>
          <w:rFonts w:ascii="宋体" w:hAnsi="宋体" w:cs="宋体"/>
          <w:color w:val="000000"/>
          <w:kern w:val="0"/>
        </w:rPr>
      </w:pPr>
      <w:r>
        <w:rPr>
          <w:rFonts w:hint="eastAsia" w:ascii="宋体" w:hAnsi="宋体" w:cs="宋体"/>
          <w:color w:val="000000"/>
          <w:kern w:val="0"/>
        </w:rPr>
        <w:t>资金来源：</w:t>
      </w:r>
      <w:r>
        <w:rPr>
          <w:rFonts w:hint="eastAsia" w:ascii="宋体" w:hAnsi="宋体" w:cs="宋体"/>
          <w:color w:val="000000"/>
          <w:kern w:val="0"/>
          <w:u w:val="single"/>
        </w:rPr>
        <w:t>财政</w:t>
      </w:r>
      <w:r>
        <w:rPr>
          <w:rFonts w:hint="eastAsia" w:ascii="宋体" w:hAnsi="宋体" w:cs="宋体"/>
          <w:color w:val="000000"/>
          <w:kern w:val="0"/>
        </w:rPr>
        <w:t>。</w:t>
      </w:r>
    </w:p>
    <w:p>
      <w:pPr>
        <w:spacing w:line="400" w:lineRule="exact"/>
        <w:ind w:firstLine="460"/>
        <w:rPr>
          <w:rFonts w:ascii="宋体" w:hAnsi="宋体" w:cs="宋体"/>
          <w:b/>
          <w:color w:val="000000"/>
          <w:kern w:val="0"/>
        </w:rPr>
      </w:pPr>
      <w:r>
        <w:rPr>
          <w:rFonts w:hint="eastAsia" w:ascii="宋体" w:hAnsi="宋体" w:cs="宋体"/>
          <w:b/>
          <w:color w:val="000000"/>
          <w:kern w:val="0"/>
        </w:rPr>
        <w:t>二、工程承包范围</w:t>
      </w:r>
    </w:p>
    <w:p>
      <w:pPr>
        <w:spacing w:line="400" w:lineRule="exact"/>
        <w:ind w:left="737" w:leftChars="201" w:hanging="315" w:hangingChars="150"/>
        <w:rPr>
          <w:rFonts w:ascii="宋体" w:hAnsi="宋体" w:cs="宋体"/>
          <w:color w:val="000000"/>
          <w:kern w:val="0"/>
        </w:rPr>
      </w:pPr>
      <w:r>
        <w:rPr>
          <w:rFonts w:hint="eastAsia" w:ascii="宋体" w:hAnsi="宋体" w:cs="宋体"/>
          <w:color w:val="000000"/>
          <w:kern w:val="0"/>
        </w:rPr>
        <w:t>承包范围：</w:t>
      </w:r>
    </w:p>
    <w:p>
      <w:pPr>
        <w:spacing w:line="400" w:lineRule="exact"/>
        <w:ind w:firstLine="480"/>
        <w:rPr>
          <w:rFonts w:ascii="宋体" w:hAnsi="宋体" w:cs="宋体"/>
          <w:b/>
          <w:color w:val="000000"/>
          <w:kern w:val="0"/>
        </w:rPr>
      </w:pPr>
      <w:r>
        <w:rPr>
          <w:rFonts w:hint="eastAsia" w:ascii="宋体" w:hAnsi="宋体" w:cs="宋体"/>
          <w:b/>
          <w:color w:val="000000"/>
          <w:kern w:val="0"/>
        </w:rPr>
        <w:t>三、合同工期</w:t>
      </w:r>
    </w:p>
    <w:p>
      <w:pPr>
        <w:spacing w:line="400" w:lineRule="exact"/>
        <w:ind w:firstLine="460"/>
        <w:rPr>
          <w:rFonts w:ascii="宋体" w:hAnsi="宋体" w:cs="宋体"/>
          <w:color w:val="000000"/>
          <w:kern w:val="0"/>
        </w:rPr>
      </w:pPr>
      <w:r>
        <w:rPr>
          <w:rFonts w:hint="eastAsia" w:ascii="宋体" w:hAnsi="宋体" w:cs="宋体"/>
          <w:color w:val="000000"/>
          <w:kern w:val="0"/>
        </w:rPr>
        <w:t>开始日期：年月 日</w:t>
      </w:r>
    </w:p>
    <w:p>
      <w:pPr>
        <w:spacing w:line="400" w:lineRule="exact"/>
        <w:ind w:firstLine="460"/>
        <w:rPr>
          <w:rFonts w:ascii="宋体" w:hAnsi="宋体" w:cs="宋体"/>
          <w:color w:val="000000"/>
          <w:kern w:val="0"/>
        </w:rPr>
      </w:pPr>
      <w:r>
        <w:rPr>
          <w:rFonts w:hint="eastAsia" w:ascii="宋体" w:hAnsi="宋体" w:cs="宋体"/>
          <w:color w:val="000000"/>
          <w:kern w:val="0"/>
        </w:rPr>
        <w:t>终止日期： 年月 日</w:t>
      </w:r>
    </w:p>
    <w:p>
      <w:pPr>
        <w:spacing w:line="400" w:lineRule="exact"/>
        <w:ind w:firstLine="460"/>
        <w:rPr>
          <w:rFonts w:ascii="宋体" w:hAnsi="宋体" w:cs="宋体"/>
          <w:b/>
          <w:color w:val="000000"/>
          <w:kern w:val="0"/>
        </w:rPr>
      </w:pPr>
      <w:r>
        <w:rPr>
          <w:rFonts w:hint="eastAsia" w:ascii="宋体" w:hAnsi="宋体" w:cs="宋体"/>
          <w:b/>
          <w:color w:val="000000"/>
          <w:kern w:val="0"/>
        </w:rPr>
        <w:t>四、质量标准</w:t>
      </w:r>
    </w:p>
    <w:p>
      <w:pPr>
        <w:spacing w:line="400" w:lineRule="exact"/>
        <w:ind w:left="737" w:leftChars="201" w:hanging="315" w:hangingChars="150"/>
        <w:rPr>
          <w:rFonts w:ascii="宋体" w:hAnsi="宋体" w:cs="宋体"/>
          <w:color w:val="000000"/>
          <w:kern w:val="0"/>
          <w:u w:val="single"/>
        </w:rPr>
      </w:pPr>
      <w:r>
        <w:rPr>
          <w:rFonts w:hint="eastAsia" w:ascii="宋体" w:hAnsi="宋体" w:cs="宋体"/>
          <w:color w:val="000000"/>
          <w:kern w:val="0"/>
        </w:rPr>
        <w:t>工程质量标准：</w:t>
      </w:r>
      <w:r>
        <w:rPr>
          <w:rFonts w:hint="eastAsia" w:ascii="宋体" w:hAnsi="宋体" w:cs="宋体"/>
          <w:color w:val="000000"/>
          <w:kern w:val="0"/>
          <w:u w:val="single"/>
        </w:rPr>
        <w:t xml:space="preserve">  符合《通州区农村河道长效管理考核办法》《通州区区管河道长效管理</w:t>
      </w:r>
    </w:p>
    <w:p>
      <w:pPr>
        <w:spacing w:line="400" w:lineRule="exact"/>
        <w:ind w:left="737" w:leftChars="201" w:hanging="315" w:hangingChars="150"/>
        <w:rPr>
          <w:rFonts w:ascii="宋体" w:hAnsi="宋体" w:cs="宋体"/>
          <w:color w:val="000000"/>
          <w:kern w:val="0"/>
        </w:rPr>
      </w:pPr>
      <w:r>
        <w:rPr>
          <w:rFonts w:hint="eastAsia" w:ascii="宋体" w:hAnsi="宋体" w:cs="宋体"/>
          <w:color w:val="000000"/>
          <w:kern w:val="0"/>
          <w:u w:val="single"/>
        </w:rPr>
        <w:t xml:space="preserve">考核细则》、合同专用条款要求  </w:t>
      </w:r>
      <w:r>
        <w:rPr>
          <w:rFonts w:hint="eastAsia" w:ascii="宋体" w:hAnsi="宋体" w:cs="宋体"/>
          <w:color w:val="000000"/>
          <w:kern w:val="0"/>
        </w:rPr>
        <w:t>。</w:t>
      </w:r>
    </w:p>
    <w:p>
      <w:pPr>
        <w:spacing w:line="400" w:lineRule="exact"/>
        <w:ind w:firstLine="460"/>
        <w:rPr>
          <w:rFonts w:ascii="宋体" w:hAnsi="宋体" w:cs="宋体"/>
          <w:b/>
          <w:color w:val="000000"/>
          <w:kern w:val="0"/>
        </w:rPr>
      </w:pPr>
      <w:r>
        <w:rPr>
          <w:rFonts w:hint="eastAsia" w:ascii="宋体" w:hAnsi="宋体" w:cs="宋体"/>
          <w:b/>
          <w:color w:val="000000"/>
          <w:kern w:val="0"/>
        </w:rPr>
        <w:t xml:space="preserve">五、合同价款 </w:t>
      </w:r>
    </w:p>
    <w:p>
      <w:pPr>
        <w:spacing w:line="400" w:lineRule="exact"/>
        <w:ind w:firstLine="460"/>
        <w:rPr>
          <w:rFonts w:ascii="宋体" w:hAnsi="宋体" w:cs="宋体"/>
          <w:color w:val="000000"/>
          <w:kern w:val="0"/>
        </w:rPr>
      </w:pPr>
      <w:r>
        <w:rPr>
          <w:rFonts w:hint="eastAsia" w:ascii="宋体" w:hAnsi="宋体" w:cs="宋体"/>
          <w:color w:val="000000"/>
          <w:kern w:val="0"/>
        </w:rPr>
        <w:t>金额(大写)：（人民币）</w:t>
      </w:r>
    </w:p>
    <w:p>
      <w:pPr>
        <w:spacing w:line="400" w:lineRule="exact"/>
        <w:rPr>
          <w:rFonts w:ascii="宋体" w:hAnsi="宋体" w:cs="宋体"/>
          <w:color w:val="000000"/>
          <w:kern w:val="0"/>
        </w:rPr>
      </w:pPr>
      <w:r>
        <w:rPr>
          <w:rFonts w:hint="eastAsia" w:ascii="宋体" w:hAnsi="宋体" w:cs="宋体"/>
          <w:color w:val="000000"/>
          <w:kern w:val="0"/>
        </w:rPr>
        <w:t xml:space="preserve">      （小写）：    （元）</w:t>
      </w:r>
    </w:p>
    <w:p>
      <w:pPr>
        <w:spacing w:line="400" w:lineRule="exact"/>
        <w:ind w:firstLine="420" w:firstLineChars="200"/>
        <w:rPr>
          <w:rFonts w:ascii="宋体" w:hAnsi="宋体" w:cs="宋体"/>
          <w:color w:val="000000"/>
          <w:kern w:val="0"/>
        </w:rPr>
      </w:pPr>
      <w:r>
        <w:rPr>
          <w:rFonts w:hint="eastAsia" w:ascii="宋体" w:hAnsi="宋体" w:cs="宋体"/>
          <w:color w:val="000000"/>
          <w:kern w:val="0"/>
        </w:rPr>
        <w:t>合同价中已包含购置的上一轮机械保洁船以奖代补：元。</w:t>
      </w:r>
    </w:p>
    <w:p>
      <w:pPr>
        <w:spacing w:line="400" w:lineRule="exact"/>
        <w:ind w:firstLine="420" w:firstLineChars="200"/>
        <w:rPr>
          <w:rFonts w:ascii="宋体" w:hAnsi="宋体" w:cs="宋体"/>
          <w:b/>
          <w:color w:val="000000"/>
          <w:kern w:val="0"/>
        </w:rPr>
      </w:pPr>
      <w:r>
        <w:rPr>
          <w:rFonts w:hint="eastAsia" w:ascii="宋体" w:hAnsi="宋体" w:cs="宋体"/>
          <w:b/>
          <w:color w:val="000000"/>
          <w:kern w:val="0"/>
        </w:rPr>
        <w:t>六、组成合同的文件</w:t>
      </w:r>
    </w:p>
    <w:p>
      <w:pPr>
        <w:spacing w:line="400" w:lineRule="exact"/>
        <w:ind w:firstLine="460"/>
        <w:rPr>
          <w:rFonts w:ascii="宋体" w:hAnsi="宋体" w:cs="宋体"/>
          <w:color w:val="000000"/>
          <w:kern w:val="0"/>
        </w:rPr>
      </w:pPr>
      <w:r>
        <w:rPr>
          <w:rFonts w:hint="eastAsia" w:ascii="宋体" w:hAnsi="宋体" w:cs="宋体"/>
          <w:color w:val="000000"/>
          <w:kern w:val="0"/>
        </w:rPr>
        <w:t>6.1组成本合同的文件包括：</w:t>
      </w:r>
    </w:p>
    <w:p>
      <w:pPr>
        <w:spacing w:line="400" w:lineRule="exact"/>
        <w:ind w:firstLine="420" w:firstLineChars="200"/>
        <w:rPr>
          <w:rFonts w:ascii="宋体" w:hAnsi="宋体" w:cs="宋体"/>
          <w:color w:val="000000"/>
          <w:kern w:val="0"/>
        </w:rPr>
      </w:pPr>
      <w:r>
        <w:rPr>
          <w:rFonts w:hint="eastAsia" w:ascii="宋体" w:hAnsi="宋体" w:cs="宋体"/>
          <w:color w:val="000000"/>
          <w:kern w:val="0"/>
        </w:rPr>
        <w:t>(1)本合同协议书</w:t>
      </w:r>
    </w:p>
    <w:p>
      <w:pPr>
        <w:spacing w:line="400" w:lineRule="exact"/>
        <w:ind w:firstLine="460"/>
        <w:rPr>
          <w:rFonts w:ascii="宋体" w:hAnsi="宋体" w:cs="宋体"/>
          <w:color w:val="000000"/>
          <w:kern w:val="0"/>
        </w:rPr>
      </w:pPr>
      <w:r>
        <w:rPr>
          <w:rFonts w:hint="eastAsia" w:ascii="宋体" w:hAnsi="宋体" w:cs="宋体"/>
          <w:color w:val="000000"/>
          <w:kern w:val="0"/>
        </w:rPr>
        <w:t>(2)中标通知书</w:t>
      </w:r>
    </w:p>
    <w:p>
      <w:pPr>
        <w:spacing w:line="400" w:lineRule="exact"/>
        <w:ind w:firstLine="460"/>
        <w:rPr>
          <w:rFonts w:ascii="宋体" w:hAnsi="宋体" w:cs="宋体"/>
          <w:color w:val="000000"/>
          <w:kern w:val="0"/>
        </w:rPr>
      </w:pPr>
      <w:r>
        <w:rPr>
          <w:rFonts w:hint="eastAsia" w:ascii="宋体" w:hAnsi="宋体" w:cs="宋体"/>
          <w:color w:val="000000"/>
          <w:kern w:val="0"/>
        </w:rPr>
        <w:t>(3)投标书及其附件</w:t>
      </w:r>
    </w:p>
    <w:p>
      <w:pPr>
        <w:spacing w:line="400" w:lineRule="exact"/>
        <w:ind w:firstLine="460"/>
        <w:rPr>
          <w:rFonts w:ascii="宋体" w:hAnsi="宋体" w:cs="宋体"/>
          <w:color w:val="000000"/>
          <w:kern w:val="0"/>
        </w:rPr>
      </w:pPr>
      <w:r>
        <w:rPr>
          <w:rFonts w:hint="eastAsia" w:ascii="宋体" w:hAnsi="宋体" w:cs="宋体"/>
          <w:color w:val="000000"/>
          <w:kern w:val="0"/>
        </w:rPr>
        <w:t>(4)本合同专用条款</w:t>
      </w:r>
    </w:p>
    <w:p>
      <w:pPr>
        <w:spacing w:line="400" w:lineRule="exact"/>
        <w:ind w:firstLine="460"/>
        <w:rPr>
          <w:rFonts w:ascii="宋体" w:hAnsi="宋体" w:cs="宋体"/>
          <w:color w:val="000000"/>
          <w:kern w:val="0"/>
        </w:rPr>
      </w:pPr>
      <w:r>
        <w:rPr>
          <w:rFonts w:hint="eastAsia" w:ascii="宋体" w:hAnsi="宋体" w:cs="宋体"/>
          <w:color w:val="000000"/>
          <w:kern w:val="0"/>
        </w:rPr>
        <w:t>(5)标准、规范及有关技术文件（</w:t>
      </w:r>
      <w:r>
        <w:rPr>
          <w:rFonts w:hint="eastAsia" w:ascii="宋体" w:hAnsi="宋体" w:cs="宋体"/>
          <w:color w:val="000000"/>
          <w:kern w:val="0"/>
          <w:u w:val="single"/>
        </w:rPr>
        <w:t>《通州区农村河道长效管理办法》《通州区区管河道长效管理考核细则》</w:t>
      </w:r>
      <w:r>
        <w:rPr>
          <w:rFonts w:hint="eastAsia" w:ascii="宋体" w:hAnsi="宋体" w:cs="宋体"/>
          <w:color w:val="000000"/>
          <w:kern w:val="0"/>
        </w:rPr>
        <w:t>）</w:t>
      </w:r>
    </w:p>
    <w:p>
      <w:pPr>
        <w:spacing w:line="400" w:lineRule="exact"/>
        <w:ind w:firstLine="460"/>
        <w:rPr>
          <w:rFonts w:ascii="宋体" w:hAnsi="宋体" w:cs="宋体"/>
          <w:color w:val="000000"/>
          <w:kern w:val="0"/>
        </w:rPr>
      </w:pPr>
      <w:r>
        <w:rPr>
          <w:rFonts w:hint="eastAsia" w:ascii="宋体" w:hAnsi="宋体" w:cs="宋体"/>
          <w:color w:val="000000"/>
          <w:kern w:val="0"/>
        </w:rPr>
        <w:t>6.2双方有关工程的洽商、变更等书面协议或文件视为本合同的组成部分。</w:t>
      </w:r>
    </w:p>
    <w:p>
      <w:pPr>
        <w:spacing w:line="400" w:lineRule="exact"/>
        <w:ind w:firstLine="460"/>
        <w:rPr>
          <w:rFonts w:ascii="宋体" w:hAnsi="宋体" w:cs="宋体"/>
          <w:color w:val="000000"/>
          <w:kern w:val="0"/>
        </w:rPr>
      </w:pPr>
      <w:r>
        <w:rPr>
          <w:rFonts w:hint="eastAsia" w:ascii="宋体" w:hAnsi="宋体" w:cs="宋体"/>
          <w:color w:val="000000"/>
          <w:kern w:val="0"/>
        </w:rPr>
        <w:t>七、承包人向发包人承诺按照合同的约定进行河面河坡保洁。</w:t>
      </w:r>
    </w:p>
    <w:p>
      <w:pPr>
        <w:spacing w:line="400" w:lineRule="exact"/>
        <w:ind w:firstLine="460"/>
        <w:rPr>
          <w:rFonts w:ascii="宋体" w:hAnsi="宋体" w:cs="宋体"/>
          <w:color w:val="000000"/>
          <w:kern w:val="0"/>
        </w:rPr>
      </w:pPr>
      <w:r>
        <w:rPr>
          <w:rFonts w:hint="eastAsia" w:ascii="宋体" w:hAnsi="宋体" w:cs="宋体"/>
          <w:color w:val="000000"/>
          <w:kern w:val="0"/>
        </w:rPr>
        <w:t>八、发包人向承包人承诺按照考核得分，结合合同约定的期限和方式支付合同价款及其他应当支付的款项。</w:t>
      </w:r>
    </w:p>
    <w:p>
      <w:pPr>
        <w:spacing w:line="400" w:lineRule="exact"/>
        <w:ind w:firstLine="460"/>
        <w:rPr>
          <w:rFonts w:ascii="宋体" w:hAnsi="宋体" w:cs="宋体"/>
          <w:color w:val="000000"/>
          <w:kern w:val="0"/>
        </w:rPr>
      </w:pPr>
      <w:r>
        <w:rPr>
          <w:rFonts w:hint="eastAsia" w:ascii="宋体" w:hAnsi="宋体" w:cs="宋体"/>
          <w:color w:val="000000"/>
          <w:kern w:val="0"/>
        </w:rPr>
        <w:t>九、中标人弃标或终止合同后，其所购买的符合水利局、财政局等指定的规格动力的且仍可使用的保洁船，经依法评估，转让给继任的保洁公司。</w:t>
      </w:r>
    </w:p>
    <w:p>
      <w:pPr>
        <w:spacing w:line="400" w:lineRule="exact"/>
        <w:ind w:firstLine="460"/>
        <w:rPr>
          <w:rFonts w:ascii="宋体" w:hAnsi="宋体" w:cs="宋体"/>
          <w:color w:val="000000"/>
          <w:kern w:val="0"/>
        </w:rPr>
      </w:pPr>
      <w:r>
        <w:rPr>
          <w:rFonts w:hint="eastAsia" w:ascii="宋体" w:hAnsi="宋体" w:cs="宋体"/>
          <w:color w:val="000000"/>
          <w:kern w:val="0"/>
        </w:rPr>
        <w:t>十、履约保证金。合同签订前中标人需缴纳中标价10%的履约保证金（质量5%、工期3%、安全2%）。</w:t>
      </w:r>
    </w:p>
    <w:p>
      <w:pPr>
        <w:spacing w:line="400" w:lineRule="exact"/>
        <w:ind w:firstLine="460"/>
        <w:rPr>
          <w:rFonts w:ascii="宋体" w:hAnsi="宋体" w:cs="宋体"/>
          <w:color w:val="000000"/>
          <w:kern w:val="0"/>
        </w:rPr>
      </w:pPr>
      <w:r>
        <w:rPr>
          <w:rFonts w:hint="eastAsia" w:ascii="宋体" w:hAnsi="宋体" w:cs="宋体"/>
          <w:color w:val="000000"/>
          <w:kern w:val="0"/>
        </w:rPr>
        <w:t>十一、</w:t>
      </w:r>
      <w:r>
        <w:rPr>
          <w:rFonts w:hint="eastAsia" w:ascii="宋体" w:hAnsi="宋体" w:cs="Arial"/>
          <w:color w:val="000000"/>
        </w:rPr>
        <w:t>本协议未尽事宜，经双方协商确认后补订协议，具有同等法律效力。</w:t>
      </w:r>
    </w:p>
    <w:p>
      <w:pPr>
        <w:spacing w:line="400" w:lineRule="exact"/>
        <w:ind w:firstLine="460"/>
        <w:rPr>
          <w:rFonts w:ascii="宋体" w:hAnsi="宋体" w:cs="宋体"/>
          <w:b/>
          <w:color w:val="000000"/>
          <w:kern w:val="0"/>
        </w:rPr>
      </w:pPr>
      <w:r>
        <w:rPr>
          <w:rFonts w:hint="eastAsia" w:ascii="宋体" w:hAnsi="宋体" w:cs="宋体"/>
          <w:b/>
          <w:color w:val="000000"/>
          <w:kern w:val="0"/>
        </w:rPr>
        <w:t>十二、合同生效</w:t>
      </w:r>
    </w:p>
    <w:p>
      <w:pPr>
        <w:spacing w:line="400" w:lineRule="exact"/>
        <w:ind w:firstLine="459"/>
        <w:rPr>
          <w:rFonts w:ascii="宋体" w:hAnsi="宋体" w:cs="宋体"/>
          <w:color w:val="000000"/>
          <w:kern w:val="0"/>
        </w:rPr>
      </w:pPr>
      <w:r>
        <w:rPr>
          <w:rFonts w:hint="eastAsia" w:ascii="宋体" w:hAnsi="宋体" w:cs="宋体"/>
          <w:color w:val="000000"/>
          <w:kern w:val="0"/>
        </w:rPr>
        <w:t>合同订立时间：   年 月 日</w:t>
      </w:r>
    </w:p>
    <w:p>
      <w:pPr>
        <w:spacing w:line="400" w:lineRule="exact"/>
        <w:ind w:firstLine="459"/>
        <w:rPr>
          <w:rFonts w:ascii="宋体" w:hAnsi="宋体" w:cs="宋体"/>
          <w:color w:val="000000"/>
          <w:kern w:val="0"/>
        </w:rPr>
      </w:pPr>
      <w:r>
        <w:rPr>
          <w:rFonts w:hint="eastAsia" w:ascii="宋体" w:hAnsi="宋体" w:cs="宋体"/>
          <w:color w:val="000000"/>
          <w:kern w:val="0"/>
        </w:rPr>
        <w:t>合同订立地点：</w:t>
      </w:r>
      <w:r>
        <w:rPr>
          <w:rFonts w:hint="eastAsia" w:ascii="宋体" w:hAnsi="宋体" w:cs="宋体"/>
          <w:color w:val="000000"/>
          <w:kern w:val="0"/>
          <w:u w:val="single"/>
        </w:rPr>
        <w:t xml:space="preserve">   南通市通州区水利局    </w:t>
      </w:r>
    </w:p>
    <w:p>
      <w:pPr>
        <w:spacing w:line="400" w:lineRule="exact"/>
        <w:ind w:firstLine="459"/>
        <w:rPr>
          <w:rFonts w:ascii="宋体" w:hAnsi="宋体" w:cs="宋体"/>
          <w:color w:val="000000"/>
          <w:kern w:val="0"/>
        </w:rPr>
      </w:pPr>
      <w:r>
        <w:rPr>
          <w:rFonts w:hint="eastAsia" w:ascii="宋体" w:hAnsi="宋体" w:cs="宋体"/>
          <w:color w:val="000000"/>
          <w:kern w:val="0"/>
        </w:rPr>
        <w:t>本合同双方约定：</w:t>
      </w:r>
      <w:r>
        <w:rPr>
          <w:rFonts w:hint="eastAsia" w:ascii="宋体" w:hAnsi="宋体" w:cs="宋体"/>
          <w:b/>
          <w:color w:val="000000"/>
          <w:kern w:val="0"/>
          <w:u w:val="single"/>
        </w:rPr>
        <w:t>经发包人和承包人双方签章与备案且承包人机械保洁船等保洁设备、保洁人员落实、缴纳履约保证金后合同生效</w:t>
      </w:r>
      <w:r>
        <w:rPr>
          <w:rFonts w:hint="eastAsia" w:ascii="宋体" w:hAnsi="宋体" w:cs="宋体"/>
          <w:color w:val="000000"/>
          <w:kern w:val="0"/>
        </w:rPr>
        <w:t>。</w:t>
      </w:r>
    </w:p>
    <w:p>
      <w:pPr>
        <w:spacing w:line="400" w:lineRule="exact"/>
        <w:ind w:firstLine="459"/>
        <w:rPr>
          <w:rFonts w:ascii="宋体" w:hAnsi="宋体" w:cs="宋体"/>
          <w:color w:val="000000"/>
          <w:kern w:val="0"/>
        </w:rPr>
      </w:pPr>
    </w:p>
    <w:p>
      <w:pPr>
        <w:spacing w:line="400" w:lineRule="exact"/>
        <w:ind w:firstLine="459"/>
        <w:rPr>
          <w:rFonts w:ascii="宋体" w:hAnsi="宋体" w:cs="宋体"/>
          <w:color w:val="000000"/>
          <w:kern w:val="0"/>
        </w:rPr>
      </w:pPr>
      <w:r>
        <w:rPr>
          <w:rFonts w:hint="eastAsia" w:ascii="宋体" w:hAnsi="宋体" w:cs="宋体"/>
          <w:color w:val="000000"/>
          <w:kern w:val="0"/>
        </w:rPr>
        <w:t>发包人：(公章)                       承包人：(公章)</w:t>
      </w:r>
    </w:p>
    <w:p>
      <w:pPr>
        <w:spacing w:line="400" w:lineRule="exact"/>
        <w:ind w:firstLine="420" w:firstLineChars="200"/>
        <w:rPr>
          <w:rFonts w:ascii="宋体" w:hAnsi="宋体" w:cs="宋体"/>
          <w:color w:val="000000"/>
          <w:kern w:val="0"/>
        </w:rPr>
      </w:pPr>
      <w:r>
        <w:rPr>
          <w:rFonts w:hint="eastAsia" w:ascii="宋体" w:hAnsi="宋体" w:cs="宋体"/>
          <w:color w:val="000000"/>
          <w:kern w:val="0"/>
        </w:rPr>
        <w:t>地址：                               地址：</w:t>
      </w:r>
    </w:p>
    <w:p>
      <w:pPr>
        <w:spacing w:line="400" w:lineRule="exact"/>
        <w:ind w:firstLine="459"/>
        <w:rPr>
          <w:rFonts w:ascii="宋体" w:hAnsi="宋体" w:cs="宋体"/>
          <w:color w:val="000000"/>
          <w:kern w:val="0"/>
        </w:rPr>
      </w:pPr>
      <w:r>
        <w:rPr>
          <w:rFonts w:hint="eastAsia" w:ascii="宋体" w:hAnsi="宋体" w:cs="宋体"/>
          <w:color w:val="000000"/>
          <w:kern w:val="0"/>
        </w:rPr>
        <w:t>法定代表人：（签字）                  法定代表人：（签字）</w:t>
      </w:r>
    </w:p>
    <w:p>
      <w:pPr>
        <w:spacing w:line="400" w:lineRule="exact"/>
        <w:ind w:firstLine="459"/>
        <w:rPr>
          <w:rFonts w:ascii="宋体" w:hAnsi="宋体" w:cs="宋体"/>
          <w:color w:val="000000"/>
          <w:kern w:val="0"/>
        </w:rPr>
      </w:pPr>
      <w:r>
        <w:rPr>
          <w:rFonts w:hint="eastAsia" w:ascii="宋体" w:hAnsi="宋体" w:cs="宋体"/>
          <w:color w:val="000000"/>
          <w:kern w:val="0"/>
        </w:rPr>
        <w:t xml:space="preserve">委托代表人：                         委托代表人： </w:t>
      </w:r>
    </w:p>
    <w:p>
      <w:pPr>
        <w:spacing w:line="400" w:lineRule="exact"/>
        <w:ind w:firstLine="459"/>
        <w:rPr>
          <w:rFonts w:ascii="宋体" w:hAnsi="宋体" w:cs="宋体"/>
          <w:color w:val="000000"/>
          <w:kern w:val="0"/>
        </w:rPr>
      </w:pPr>
      <w:r>
        <w:rPr>
          <w:rFonts w:hint="eastAsia" w:ascii="宋体" w:hAnsi="宋体" w:cs="宋体"/>
          <w:color w:val="000000"/>
          <w:kern w:val="0"/>
        </w:rPr>
        <w:t>电  话：                             电  话：</w:t>
      </w:r>
    </w:p>
    <w:p>
      <w:pPr>
        <w:spacing w:line="400" w:lineRule="exact"/>
        <w:ind w:firstLine="459"/>
        <w:rPr>
          <w:rFonts w:ascii="宋体" w:hAnsi="宋体" w:cs="宋体"/>
          <w:color w:val="000000"/>
          <w:kern w:val="0"/>
        </w:rPr>
      </w:pPr>
      <w:r>
        <w:rPr>
          <w:rFonts w:hint="eastAsia" w:ascii="宋体" w:hAnsi="宋体" w:cs="宋体"/>
          <w:color w:val="000000"/>
          <w:kern w:val="0"/>
        </w:rPr>
        <w:t>传  真：                             传  真：</w:t>
      </w:r>
    </w:p>
    <w:p>
      <w:pPr>
        <w:spacing w:line="400" w:lineRule="exact"/>
        <w:ind w:firstLine="459"/>
        <w:rPr>
          <w:rFonts w:ascii="宋体" w:hAnsi="宋体" w:cs="宋体"/>
          <w:color w:val="000000"/>
          <w:kern w:val="0"/>
        </w:rPr>
      </w:pPr>
      <w:r>
        <w:rPr>
          <w:rFonts w:hint="eastAsia" w:ascii="宋体" w:hAnsi="宋体" w:cs="宋体"/>
          <w:color w:val="000000"/>
          <w:kern w:val="0"/>
        </w:rPr>
        <w:t>开户银行：                           开户银行：</w:t>
      </w:r>
    </w:p>
    <w:p>
      <w:pPr>
        <w:spacing w:line="400" w:lineRule="exact"/>
        <w:ind w:firstLine="459"/>
        <w:rPr>
          <w:rFonts w:ascii="宋体" w:hAnsi="宋体" w:cs="宋体"/>
          <w:color w:val="000000"/>
          <w:kern w:val="0"/>
        </w:rPr>
      </w:pPr>
      <w:r>
        <w:rPr>
          <w:rFonts w:hint="eastAsia" w:ascii="宋体" w:hAnsi="宋体" w:cs="宋体"/>
          <w:color w:val="000000"/>
          <w:kern w:val="0"/>
        </w:rPr>
        <w:t>账  号：                             账  号</w:t>
      </w:r>
    </w:p>
    <w:p>
      <w:pPr>
        <w:tabs>
          <w:tab w:val="left" w:pos="500"/>
        </w:tabs>
        <w:spacing w:line="400" w:lineRule="exact"/>
        <w:jc w:val="left"/>
        <w:rPr>
          <w:rFonts w:ascii="宋体" w:hAnsi="宋体" w:cs="宋体"/>
          <w:color w:val="000000"/>
          <w:kern w:val="0"/>
        </w:rPr>
      </w:pPr>
      <w:r>
        <w:rPr>
          <w:rFonts w:hint="eastAsia" w:ascii="宋体" w:hAnsi="宋体" w:cs="宋体"/>
          <w:color w:val="000000"/>
          <w:kern w:val="0"/>
        </w:rPr>
        <w:tab/>
      </w:r>
      <w:r>
        <w:rPr>
          <w:rFonts w:hint="eastAsia" w:ascii="宋体" w:hAnsi="宋体" w:cs="宋体"/>
          <w:color w:val="000000"/>
          <w:kern w:val="0"/>
        </w:rPr>
        <w:t>邮政编码：                           邮政编码：</w:t>
      </w:r>
    </w:p>
    <w:p>
      <w:pPr>
        <w:numPr>
          <w:ilvl w:val="0"/>
          <w:numId w:val="13"/>
        </w:numPr>
        <w:spacing w:line="400" w:lineRule="exact"/>
        <w:ind w:firstLine="3438" w:firstLineChars="1146"/>
        <w:rPr>
          <w:rFonts w:ascii="宋体" w:hAnsi="宋体"/>
          <w:b/>
          <w:bCs/>
          <w:color w:val="000000"/>
          <w:sz w:val="30"/>
          <w:szCs w:val="24"/>
        </w:rPr>
      </w:pPr>
      <w:r>
        <w:rPr>
          <w:rFonts w:hint="eastAsia" w:ascii="宋体" w:hAnsi="宋体"/>
          <w:b/>
          <w:bCs/>
          <w:color w:val="000000"/>
          <w:sz w:val="30"/>
          <w:szCs w:val="24"/>
        </w:rPr>
        <w:br w:type="page"/>
      </w:r>
      <w:r>
        <w:rPr>
          <w:rFonts w:hint="eastAsia" w:ascii="宋体" w:hAnsi="宋体"/>
          <w:b/>
          <w:bCs/>
          <w:color w:val="000000"/>
          <w:sz w:val="30"/>
          <w:szCs w:val="24"/>
        </w:rPr>
        <w:t>专用条款</w:t>
      </w:r>
    </w:p>
    <w:p>
      <w:pPr>
        <w:spacing w:line="400" w:lineRule="exact"/>
        <w:jc w:val="center"/>
        <w:rPr>
          <w:rFonts w:ascii="宋体" w:hAnsi="宋体"/>
          <w:b/>
          <w:bCs/>
          <w:color w:val="000000"/>
        </w:rPr>
      </w:pPr>
      <w:r>
        <w:rPr>
          <w:rFonts w:hint="eastAsia" w:ascii="宋体" w:hAnsi="宋体"/>
          <w:b/>
          <w:bCs/>
          <w:color w:val="000000"/>
        </w:rPr>
        <w:t>1、考核办法</w:t>
      </w:r>
    </w:p>
    <w:p>
      <w:pPr>
        <w:autoSpaceDE w:val="0"/>
        <w:autoSpaceDN w:val="0"/>
        <w:adjustRightInd w:val="0"/>
        <w:spacing w:line="400" w:lineRule="exact"/>
        <w:jc w:val="left"/>
        <w:rPr>
          <w:rFonts w:ascii="宋体" w:hAnsi="宋体"/>
          <w:b/>
          <w:color w:val="000000"/>
        </w:rPr>
      </w:pPr>
      <w:r>
        <w:rPr>
          <w:rFonts w:hint="eastAsia" w:ascii="宋体" w:hAnsi="宋体"/>
          <w:b/>
          <w:color w:val="000000"/>
        </w:rPr>
        <w:t>1.1 考核范围</w:t>
      </w:r>
    </w:p>
    <w:p>
      <w:pPr>
        <w:autoSpaceDE w:val="0"/>
        <w:autoSpaceDN w:val="0"/>
        <w:adjustRightInd w:val="0"/>
        <w:spacing w:line="400" w:lineRule="exact"/>
        <w:ind w:firstLine="315" w:firstLineChars="150"/>
        <w:jc w:val="left"/>
        <w:rPr>
          <w:rFonts w:ascii="宋体" w:hAnsi="宋体"/>
          <w:color w:val="000000"/>
        </w:rPr>
      </w:pPr>
      <w:r>
        <w:rPr>
          <w:rFonts w:hint="eastAsia" w:ascii="宋体" w:hAnsi="宋体"/>
          <w:color w:val="000000"/>
        </w:rPr>
        <w:t>本区行政区域内市管河道、区管河道及部分镇管河道（详见区管河道保洁标段划分表）河坡范围、支河口漂浮物拦截设施以内（无拦截设施的向支河内延伸10米）及桥梁周边（河道管理范围）。</w:t>
      </w:r>
    </w:p>
    <w:p>
      <w:pPr>
        <w:autoSpaceDE w:val="0"/>
        <w:autoSpaceDN w:val="0"/>
        <w:adjustRightInd w:val="0"/>
        <w:spacing w:line="400" w:lineRule="exact"/>
        <w:jc w:val="left"/>
        <w:rPr>
          <w:rFonts w:ascii="宋体" w:hAnsi="宋体"/>
          <w:b/>
          <w:color w:val="000000"/>
        </w:rPr>
      </w:pPr>
      <w:r>
        <w:rPr>
          <w:rFonts w:hint="eastAsia" w:ascii="宋体" w:hAnsi="宋体"/>
          <w:b/>
          <w:color w:val="000000"/>
        </w:rPr>
        <w:t>1.2 考核内容</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长效管护的台账资料、保洁效果、垃圾清运、整改效果及人员装备、安全保障等。</w:t>
      </w:r>
    </w:p>
    <w:p>
      <w:pPr>
        <w:autoSpaceDE w:val="0"/>
        <w:autoSpaceDN w:val="0"/>
        <w:adjustRightInd w:val="0"/>
        <w:spacing w:line="400" w:lineRule="exact"/>
        <w:jc w:val="left"/>
        <w:rPr>
          <w:rFonts w:ascii="宋体" w:hAnsi="宋体"/>
          <w:b/>
          <w:color w:val="000000"/>
        </w:rPr>
      </w:pPr>
      <w:r>
        <w:rPr>
          <w:rFonts w:hint="eastAsia" w:ascii="宋体" w:hAnsi="宋体"/>
          <w:b/>
          <w:color w:val="000000"/>
        </w:rPr>
        <w:t>1.3 考核标准</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河道长效管护考核满分100分，考核标准详见附件《通州区区管河道长效管理考核表》。</w:t>
      </w:r>
    </w:p>
    <w:p>
      <w:pPr>
        <w:autoSpaceDE w:val="0"/>
        <w:autoSpaceDN w:val="0"/>
        <w:adjustRightInd w:val="0"/>
        <w:spacing w:line="400" w:lineRule="exact"/>
        <w:jc w:val="left"/>
        <w:rPr>
          <w:rFonts w:ascii="宋体" w:hAnsi="宋体"/>
          <w:b/>
          <w:color w:val="000000"/>
        </w:rPr>
      </w:pPr>
      <w:r>
        <w:rPr>
          <w:rFonts w:hint="eastAsia" w:ascii="宋体" w:hAnsi="宋体"/>
          <w:b/>
          <w:color w:val="000000"/>
        </w:rPr>
        <w:t>1.4 考核方式</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rPr>
        <w:t>实行定期与不定期相结合的考核方式。定期考核每月不少于2次，由</w:t>
      </w:r>
      <w:r>
        <w:rPr>
          <w:rFonts w:hint="eastAsia" w:ascii="宋体" w:hAnsi="宋体"/>
          <w:color w:val="000000"/>
        </w:rPr>
        <w:t>区水利局组织，考核对象派员参加；不定期考核若干次，由区水利局视情安排。</w:t>
      </w:r>
    </w:p>
    <w:p>
      <w:pPr>
        <w:autoSpaceDE w:val="0"/>
        <w:autoSpaceDN w:val="0"/>
        <w:adjustRightInd w:val="0"/>
        <w:spacing w:line="400" w:lineRule="exact"/>
        <w:jc w:val="left"/>
        <w:rPr>
          <w:rFonts w:ascii="宋体" w:hAnsi="宋体"/>
          <w:b/>
          <w:color w:val="000000"/>
        </w:rPr>
      </w:pPr>
      <w:r>
        <w:rPr>
          <w:rFonts w:hint="eastAsia" w:ascii="宋体" w:hAnsi="宋体"/>
          <w:b/>
          <w:color w:val="000000"/>
        </w:rPr>
        <w:t>1.5 考核等次</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(一)考核等次</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1.河道长效管理考核分好、中、差三个等次。</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2.月得分达到90分（含）以上为好；80分（含）以上为中；80分（不含）以下为差。</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3.考核结果为差的，给予警告1次，1个年度内累计警告达到3次的终止合同，同时返还保洁船“以奖代补”费用。</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4.考核结果为差的，除给予警告外，必须按要求进行整改，直至通过验收。</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(二)月度考评得分</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月度考评得分=定期考评得分×40%+不定期考评得分×60%。</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(三)季度考评得分</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季度考评得分=月度考评得分平均分+加（减）分。</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(四)年度考评得分</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年度考评得分=季度考评得分平均分</w:t>
      </w:r>
    </w:p>
    <w:p>
      <w:pPr>
        <w:autoSpaceDE w:val="0"/>
        <w:autoSpaceDN w:val="0"/>
        <w:adjustRightInd w:val="0"/>
        <w:spacing w:line="400" w:lineRule="exact"/>
        <w:jc w:val="left"/>
        <w:rPr>
          <w:rFonts w:ascii="宋体" w:hAnsi="宋体"/>
          <w:b/>
          <w:color w:val="000000"/>
        </w:rPr>
      </w:pPr>
      <w:r>
        <w:rPr>
          <w:rFonts w:hint="eastAsia" w:ascii="宋体" w:hAnsi="宋体"/>
          <w:b/>
          <w:color w:val="000000"/>
        </w:rPr>
        <w:t>1.6 加（减）分</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有下列情形之一的，每季在月度考核平均分的基础上予以加分或减分：</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1、被省、市、区通报表彰或评为先进单位的，每季分别加4、2、1分；</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2、区及区以上重大活动提供现场且服务保障到位的，当季考核加5分；不服从调度指挥或保障不到位的，当季考核扣5分</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3、保洁不力被群众举报查实，每次扣2分。被媒体曝光或被南通市领导批评的，每次扣5分；被区领导批评的每次扣4分。被局主要领导批评的，每次扣3分；被局分管领导批评的，每次扣2分。</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4、保洁作业过程中，发生事故造成人员伤害的，每起扣5分。造成人员死亡一次扣10分。</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当季加（减）分累计不超过10分；同一内容的加（减）分，以最高等级计分，不重复累计。</w:t>
      </w:r>
    </w:p>
    <w:p>
      <w:pPr>
        <w:autoSpaceDE w:val="0"/>
        <w:autoSpaceDN w:val="0"/>
        <w:adjustRightInd w:val="0"/>
        <w:spacing w:line="400" w:lineRule="exact"/>
        <w:jc w:val="left"/>
        <w:rPr>
          <w:rFonts w:ascii="宋体" w:hAnsi="宋体"/>
          <w:b/>
          <w:color w:val="000000"/>
        </w:rPr>
      </w:pPr>
      <w:r>
        <w:rPr>
          <w:rFonts w:hint="eastAsia" w:ascii="宋体" w:hAnsi="宋体"/>
          <w:b/>
          <w:color w:val="000000"/>
        </w:rPr>
        <w:t>1.7 资金拨付</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区管河道长效管护经费由区财政局依据考评结果按季拨付。</w:t>
      </w:r>
      <w:r>
        <w:rPr>
          <w:rFonts w:hint="eastAsia" w:ascii="宋体" w:hAnsi="宋体"/>
          <w:b/>
          <w:bCs/>
          <w:color w:val="000000"/>
        </w:rPr>
        <w:t>季度长效管理经费=三个月度长效管理经费之和+竞赛奖励-扣款。</w:t>
      </w:r>
      <w:r>
        <w:rPr>
          <w:rFonts w:hint="eastAsia" w:ascii="宋体" w:hAnsi="宋体"/>
          <w:color w:val="000000"/>
        </w:rPr>
        <w:t>每标段每季度各2万元作为考核对象的竞赛奖励。</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(一)月度长效管护经费</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1.月度得分为好等次:月度长效管护经费=(合同价-8)/12</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2.月度得分为中等次:月度长效管护经费=(合同价-8)/12×〔1-（90-月度得分）×2%〕</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3.月度得分为差等次:月度长效管护经费=(合同价-8)/12×〔80%-（80-月度得分）×5%〕</w:t>
      </w:r>
    </w:p>
    <w:p>
      <w:pPr>
        <w:spacing w:line="400" w:lineRule="exact"/>
        <w:ind w:firstLine="420" w:firstLineChars="200"/>
        <w:rPr>
          <w:rFonts w:ascii="宋体" w:hAnsi="宋体"/>
          <w:color w:val="000000"/>
        </w:rPr>
      </w:pPr>
      <w:r>
        <w:rPr>
          <w:rFonts w:hint="eastAsia" w:ascii="宋体" w:hAnsi="宋体"/>
          <w:color w:val="000000"/>
        </w:rPr>
        <w:t>当月实际考核得分90分以上（含90分）的不扣保洁经费，低于90分高于80分的（含80分），每低1分相应从该公司月度保洁经费中扣除2%的金额（当月扣费总数在20%以内）；月度考核得分低于80分的为不合格，在前述扣除经费的基础上，每低1分相应再从该公司月度保洁经费中扣除5%的金额（当月扣费在25%以上），并对该保洁公司给予警告一次，一个年度内累计警告三次终止合同。合同终止同时追回购船“以奖代补”费。</w:t>
      </w:r>
    </w:p>
    <w:p>
      <w:pPr>
        <w:autoSpaceDE w:val="0"/>
        <w:autoSpaceDN w:val="0"/>
        <w:adjustRightInd w:val="0"/>
        <w:spacing w:line="400" w:lineRule="exact"/>
        <w:jc w:val="left"/>
        <w:rPr>
          <w:rFonts w:ascii="宋体" w:hAnsi="宋体"/>
          <w:color w:val="000000"/>
        </w:rPr>
      </w:pPr>
      <w:r>
        <w:rPr>
          <w:rFonts w:hint="eastAsia" w:ascii="宋体" w:hAnsi="宋体"/>
          <w:color w:val="000000"/>
        </w:rPr>
        <w:t xml:space="preserve">   （二）竞赛奖励</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每标段每季度抽出2万元作为考核对象的竞赛奖励。每季度对考核对象按季度得分由高到低进行排名，并根据名次分别按照60%、30%、10%比例奖励，连同季度长效管护经费一并拨付。</w:t>
      </w:r>
    </w:p>
    <w:p>
      <w:pPr>
        <w:autoSpaceDE w:val="0"/>
        <w:autoSpaceDN w:val="0"/>
        <w:adjustRightInd w:val="0"/>
        <w:spacing w:line="400" w:lineRule="exact"/>
        <w:ind w:firstLine="420" w:firstLineChars="200"/>
        <w:jc w:val="left"/>
        <w:rPr>
          <w:rFonts w:ascii="宋体" w:hAnsi="宋体"/>
          <w:color w:val="000000"/>
        </w:rPr>
      </w:pPr>
      <w:r>
        <w:rPr>
          <w:rFonts w:hint="eastAsia"/>
        </w:rPr>
        <w:t>（三）扣款</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1.被河长巡河发现问题的，一次扣除保洁费500元；2.利用保洁船进行电捕鱼的，一次扣除保洁费500元；3.打捞的漂浮物、生活垃圾乱堆乱放的，一次扣除保洁费500元；4.就地处理动物尸体的，一次扣除保洁费200元；5.保洁不力被群众举报查实的，一次扣除保洁费200元。</w:t>
      </w:r>
    </w:p>
    <w:p>
      <w:pPr>
        <w:autoSpaceDE w:val="0"/>
        <w:autoSpaceDN w:val="0"/>
        <w:adjustRightInd w:val="0"/>
        <w:spacing w:line="400" w:lineRule="exact"/>
        <w:jc w:val="left"/>
        <w:rPr>
          <w:rFonts w:ascii="宋体" w:hAnsi="宋体"/>
          <w:b/>
          <w:color w:val="000000"/>
        </w:rPr>
      </w:pPr>
      <w:r>
        <w:rPr>
          <w:rFonts w:hint="eastAsia" w:ascii="宋体" w:hAnsi="宋体"/>
          <w:b/>
          <w:color w:val="000000"/>
        </w:rPr>
        <w:t>1.8 其他</w:t>
      </w:r>
    </w:p>
    <w:p>
      <w:pPr>
        <w:autoSpaceDE w:val="0"/>
        <w:autoSpaceDN w:val="0"/>
        <w:adjustRightInd w:val="0"/>
        <w:spacing w:line="400" w:lineRule="exact"/>
        <w:ind w:firstLine="420" w:firstLineChars="200"/>
        <w:jc w:val="left"/>
        <w:rPr>
          <w:rFonts w:ascii="宋体" w:hAnsi="宋体"/>
          <w:color w:val="000000"/>
        </w:rPr>
      </w:pPr>
      <w:r>
        <w:rPr>
          <w:rFonts w:hint="eastAsia" w:ascii="宋体" w:hAnsi="宋体"/>
          <w:color w:val="000000"/>
        </w:rPr>
        <w:t>区管河道长效管理工作接受社会监督，被群众举报，经查实对第一举报人给予适当奖励，奖励经费从被举报考核对象长效管护经费中扣除。</w:t>
      </w:r>
    </w:p>
    <w:p>
      <w:pPr>
        <w:autoSpaceDE w:val="0"/>
        <w:autoSpaceDN w:val="0"/>
        <w:adjustRightInd w:val="0"/>
        <w:spacing w:line="500" w:lineRule="exact"/>
        <w:jc w:val="left"/>
        <w:rPr>
          <w:rFonts w:ascii="宋体" w:hAnsi="宋体"/>
          <w:color w:val="000000"/>
          <w:sz w:val="25"/>
          <w:szCs w:val="25"/>
        </w:rPr>
      </w:pPr>
    </w:p>
    <w:p>
      <w:pPr>
        <w:autoSpaceDE w:val="0"/>
        <w:autoSpaceDN w:val="0"/>
        <w:adjustRightInd w:val="0"/>
        <w:spacing w:line="500" w:lineRule="exact"/>
        <w:jc w:val="left"/>
        <w:rPr>
          <w:rFonts w:ascii="宋体" w:hAnsi="宋体"/>
          <w:color w:val="000000"/>
          <w:sz w:val="25"/>
          <w:szCs w:val="25"/>
        </w:rPr>
      </w:pPr>
    </w:p>
    <w:p>
      <w:pPr>
        <w:autoSpaceDE w:val="0"/>
        <w:autoSpaceDN w:val="0"/>
        <w:adjustRightInd w:val="0"/>
        <w:spacing w:line="500" w:lineRule="exact"/>
        <w:jc w:val="left"/>
        <w:rPr>
          <w:rFonts w:ascii="宋体" w:hAnsi="宋体"/>
          <w:color w:val="000000"/>
          <w:sz w:val="25"/>
          <w:szCs w:val="25"/>
        </w:rPr>
        <w:sectPr>
          <w:footerReference r:id="rId4" w:type="first"/>
          <w:footerReference r:id="rId3" w:type="default"/>
          <w:pgSz w:w="11906" w:h="16838"/>
          <w:pgMar w:top="1361" w:right="1531" w:bottom="1134" w:left="1588" w:header="851" w:footer="992" w:gutter="0"/>
          <w:pgNumType w:start="1"/>
          <w:cols w:space="720" w:num="1"/>
          <w:docGrid w:type="linesAndChars" w:linePitch="312" w:charSpace="0"/>
        </w:sectPr>
      </w:pPr>
    </w:p>
    <w:p>
      <w:pPr>
        <w:autoSpaceDE w:val="0"/>
        <w:autoSpaceDN w:val="0"/>
        <w:adjustRightInd w:val="0"/>
        <w:spacing w:line="500" w:lineRule="exact"/>
        <w:jc w:val="left"/>
        <w:rPr>
          <w:rFonts w:ascii="宋体" w:hAnsi="宋体"/>
          <w:color w:val="000000"/>
          <w:sz w:val="25"/>
          <w:szCs w:val="25"/>
        </w:rPr>
      </w:pPr>
    </w:p>
    <w:p>
      <w:pPr>
        <w:spacing w:line="480" w:lineRule="exact"/>
        <w:jc w:val="center"/>
        <w:rPr>
          <w:rFonts w:ascii="宋体" w:hAnsi="宋体" w:cs="宋体"/>
          <w:b/>
          <w:bCs/>
          <w:kern w:val="0"/>
          <w:sz w:val="36"/>
          <w:szCs w:val="36"/>
        </w:rPr>
      </w:pPr>
      <w:r>
        <w:rPr>
          <w:rFonts w:hint="eastAsia" w:ascii="宋体" w:hAnsi="宋体" w:cs="宋体"/>
          <w:b/>
          <w:bCs/>
          <w:kern w:val="0"/>
          <w:sz w:val="36"/>
          <w:szCs w:val="36"/>
        </w:rPr>
        <w:t>通州区区管河道长效管理考核表</w:t>
      </w:r>
    </w:p>
    <w:p>
      <w:pPr>
        <w:spacing w:line="480" w:lineRule="exact"/>
        <w:jc w:val="center"/>
        <w:rPr>
          <w:rFonts w:ascii="宋体" w:hAnsi="宋体" w:cs="宋体"/>
          <w:b/>
          <w:bCs/>
          <w:kern w:val="0"/>
          <w:sz w:val="36"/>
          <w:szCs w:val="36"/>
        </w:rPr>
      </w:pPr>
      <w:r>
        <w:rPr>
          <w:rFonts w:hint="eastAsia" w:ascii="宋体" w:hAnsi="宋体" w:cs="宋体"/>
          <w:b/>
          <w:kern w:val="0"/>
          <w:sz w:val="24"/>
          <w:szCs w:val="24"/>
        </w:rPr>
        <w:t xml:space="preserve">公司                </w:t>
      </w:r>
      <w:r>
        <w:rPr>
          <w:rFonts w:hint="eastAsia" w:ascii="宋体" w:hAnsi="宋体" w:cs="宋体"/>
          <w:b/>
          <w:color w:val="000000"/>
          <w:kern w:val="0"/>
          <w:sz w:val="24"/>
          <w:szCs w:val="24"/>
        </w:rPr>
        <w:t>考核方式：定期</w:t>
      </w:r>
      <w:r>
        <w:rPr>
          <w:rFonts w:hint="eastAsia" w:ascii="宋体" w:hAnsi="宋体" w:cs="宋体"/>
          <w:b/>
          <w:color w:val="000000"/>
          <w:kern w:val="0"/>
          <w:sz w:val="36"/>
          <w:szCs w:val="36"/>
        </w:rPr>
        <w:t>□</w:t>
      </w:r>
      <w:r>
        <w:rPr>
          <w:rFonts w:hint="eastAsia" w:ascii="宋体" w:hAnsi="宋体" w:cs="宋体"/>
          <w:b/>
          <w:color w:val="000000"/>
          <w:kern w:val="0"/>
          <w:sz w:val="24"/>
          <w:szCs w:val="24"/>
        </w:rPr>
        <w:t>不定期</w:t>
      </w:r>
      <w:r>
        <w:rPr>
          <w:rFonts w:hint="eastAsia" w:ascii="宋体" w:hAnsi="宋体" w:cs="宋体"/>
          <w:b/>
          <w:color w:val="000000"/>
          <w:kern w:val="0"/>
          <w:sz w:val="36"/>
          <w:szCs w:val="36"/>
        </w:rPr>
        <w:t>□</w:t>
      </w:r>
      <w:r>
        <w:rPr>
          <w:rFonts w:hint="eastAsia" w:ascii="宋体" w:hAnsi="宋体" w:cs="宋体"/>
          <w:b/>
          <w:kern w:val="0"/>
          <w:sz w:val="24"/>
          <w:szCs w:val="24"/>
        </w:rPr>
        <w:t>考核日期：      年    月    日</w:t>
      </w:r>
    </w:p>
    <w:tbl>
      <w:tblPr>
        <w:tblStyle w:val="53"/>
        <w:tblW w:w="0" w:type="auto"/>
        <w:tblInd w:w="-33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30" w:type="dxa"/>
          <w:bottom w:w="0" w:type="dxa"/>
          <w:right w:w="30" w:type="dxa"/>
        </w:tblCellMar>
      </w:tblPr>
      <w:tblGrid>
        <w:gridCol w:w="540"/>
        <w:gridCol w:w="2700"/>
        <w:gridCol w:w="540"/>
        <w:gridCol w:w="8280"/>
        <w:gridCol w:w="1800"/>
        <w:gridCol w:w="72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520" w:hRule="atLeast"/>
        </w:trPr>
        <w:tc>
          <w:tcPr>
            <w:tcW w:w="540" w:type="dxa"/>
            <w:vAlign w:val="center"/>
          </w:tcPr>
          <w:p>
            <w:pPr>
              <w:autoSpaceDE w:val="0"/>
              <w:autoSpaceDN w:val="0"/>
              <w:adjustRightInd w:val="0"/>
              <w:spacing w:line="240" w:lineRule="exact"/>
              <w:jc w:val="center"/>
              <w:rPr>
                <w:rFonts w:ascii="宋体" w:hAnsi="宋体" w:cs="宋体"/>
                <w:b/>
                <w:color w:val="000000"/>
                <w:kern w:val="0"/>
              </w:rPr>
            </w:pPr>
            <w:r>
              <w:rPr>
                <w:rFonts w:hint="eastAsia" w:ascii="宋体" w:hAnsi="宋体" w:cs="宋体"/>
                <w:b/>
                <w:color w:val="000000"/>
                <w:kern w:val="0"/>
              </w:rPr>
              <w:t>考核内容</w:t>
            </w:r>
          </w:p>
        </w:tc>
        <w:tc>
          <w:tcPr>
            <w:tcW w:w="2700" w:type="dxa"/>
            <w:vAlign w:val="center"/>
          </w:tcPr>
          <w:p>
            <w:pPr>
              <w:autoSpaceDE w:val="0"/>
              <w:autoSpaceDN w:val="0"/>
              <w:adjustRightInd w:val="0"/>
              <w:spacing w:line="240" w:lineRule="exact"/>
              <w:jc w:val="center"/>
              <w:rPr>
                <w:rFonts w:ascii="宋体" w:hAnsi="宋体" w:cs="宋体"/>
                <w:b/>
                <w:color w:val="000000"/>
                <w:kern w:val="0"/>
              </w:rPr>
            </w:pPr>
            <w:r>
              <w:rPr>
                <w:rFonts w:hint="eastAsia" w:ascii="宋体" w:hAnsi="宋体" w:cs="宋体"/>
                <w:b/>
                <w:color w:val="000000"/>
                <w:kern w:val="0"/>
              </w:rPr>
              <w:t>工作标准</w:t>
            </w:r>
          </w:p>
        </w:tc>
        <w:tc>
          <w:tcPr>
            <w:tcW w:w="540" w:type="dxa"/>
            <w:vAlign w:val="center"/>
          </w:tcPr>
          <w:p>
            <w:pPr>
              <w:autoSpaceDE w:val="0"/>
              <w:autoSpaceDN w:val="0"/>
              <w:adjustRightInd w:val="0"/>
              <w:spacing w:line="240" w:lineRule="exact"/>
              <w:jc w:val="center"/>
              <w:rPr>
                <w:rFonts w:ascii="宋体" w:hAnsi="宋体" w:cs="宋体"/>
                <w:b/>
                <w:color w:val="000000"/>
                <w:kern w:val="0"/>
              </w:rPr>
            </w:pPr>
            <w:r>
              <w:rPr>
                <w:rFonts w:hint="eastAsia" w:ascii="宋体" w:hAnsi="宋体" w:cs="宋体"/>
                <w:b/>
                <w:color w:val="000000"/>
                <w:kern w:val="0"/>
              </w:rPr>
              <w:t>分值</w:t>
            </w:r>
          </w:p>
        </w:tc>
        <w:tc>
          <w:tcPr>
            <w:tcW w:w="10080" w:type="dxa"/>
            <w:gridSpan w:val="2"/>
            <w:vAlign w:val="center"/>
          </w:tcPr>
          <w:p>
            <w:pPr>
              <w:autoSpaceDE w:val="0"/>
              <w:autoSpaceDN w:val="0"/>
              <w:adjustRightInd w:val="0"/>
              <w:spacing w:line="240" w:lineRule="exact"/>
              <w:jc w:val="center"/>
              <w:rPr>
                <w:rFonts w:ascii="宋体" w:hAnsi="宋体" w:cs="宋体"/>
                <w:b/>
                <w:color w:val="000000"/>
                <w:kern w:val="0"/>
              </w:rPr>
            </w:pPr>
            <w:r>
              <w:rPr>
                <w:rFonts w:hint="eastAsia" w:ascii="宋体" w:hAnsi="宋体" w:cs="宋体"/>
                <w:b/>
                <w:color w:val="000000"/>
                <w:kern w:val="0"/>
              </w:rPr>
              <w:t>评分细则</w:t>
            </w:r>
          </w:p>
        </w:tc>
        <w:tc>
          <w:tcPr>
            <w:tcW w:w="720" w:type="dxa"/>
            <w:vAlign w:val="center"/>
          </w:tcPr>
          <w:p>
            <w:pPr>
              <w:autoSpaceDE w:val="0"/>
              <w:autoSpaceDN w:val="0"/>
              <w:adjustRightInd w:val="0"/>
              <w:spacing w:line="240" w:lineRule="exact"/>
              <w:jc w:val="center"/>
              <w:rPr>
                <w:rFonts w:ascii="宋体" w:hAnsi="宋体" w:cs="宋体"/>
                <w:b/>
                <w:color w:val="000000"/>
                <w:kern w:val="0"/>
              </w:rPr>
            </w:pPr>
            <w:r>
              <w:rPr>
                <w:rFonts w:hint="eastAsia" w:ascii="宋体" w:hAnsi="宋体" w:cs="宋体"/>
                <w:b/>
                <w:color w:val="000000"/>
                <w:kern w:val="0"/>
              </w:rPr>
              <w:t>得分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315" w:hRule="atLeast"/>
        </w:trPr>
        <w:tc>
          <w:tcPr>
            <w:tcW w:w="540" w:type="dxa"/>
            <w:vAlign w:val="center"/>
          </w:tcPr>
          <w:p>
            <w:pPr>
              <w:autoSpaceDE w:val="0"/>
              <w:autoSpaceDN w:val="0"/>
              <w:adjustRightInd w:val="0"/>
              <w:spacing w:line="240" w:lineRule="exact"/>
              <w:jc w:val="center"/>
              <w:rPr>
                <w:rFonts w:ascii="宋体" w:hAnsi="宋体" w:cs="宋体"/>
                <w:b/>
                <w:color w:val="000000"/>
                <w:kern w:val="0"/>
              </w:rPr>
            </w:pPr>
            <w:r>
              <w:rPr>
                <w:rFonts w:hint="eastAsia" w:ascii="宋体" w:hAnsi="宋体" w:cs="宋体"/>
                <w:b/>
                <w:color w:val="000000"/>
                <w:kern w:val="0"/>
              </w:rPr>
              <w:t>台账管理</w:t>
            </w:r>
          </w:p>
        </w:tc>
        <w:tc>
          <w:tcPr>
            <w:tcW w:w="2700" w:type="dxa"/>
            <w:vAlign w:val="center"/>
          </w:tcPr>
          <w:p>
            <w:pPr>
              <w:autoSpaceDE w:val="0"/>
              <w:autoSpaceDN w:val="0"/>
              <w:adjustRightInd w:val="0"/>
              <w:spacing w:line="240" w:lineRule="exact"/>
              <w:rPr>
                <w:rFonts w:ascii="宋体" w:hAnsi="宋体" w:cs="宋体"/>
                <w:color w:val="000000"/>
                <w:kern w:val="0"/>
              </w:rPr>
            </w:pPr>
            <w:r>
              <w:rPr>
                <w:rFonts w:hint="eastAsia" w:ascii="宋体" w:hAnsi="宋体"/>
                <w:color w:val="000000"/>
              </w:rPr>
              <w:t>每天上报保洁工作计划</w:t>
            </w:r>
          </w:p>
        </w:tc>
        <w:tc>
          <w:tcPr>
            <w:tcW w:w="540" w:type="dxa"/>
            <w:vAlign w:val="center"/>
          </w:tcPr>
          <w:p>
            <w:pPr>
              <w:autoSpaceDE w:val="0"/>
              <w:autoSpaceDN w:val="0"/>
              <w:adjustRightInd w:val="0"/>
              <w:spacing w:line="240" w:lineRule="exact"/>
              <w:jc w:val="center"/>
              <w:rPr>
                <w:rFonts w:ascii="宋体" w:hAnsi="宋体" w:cs="宋体"/>
                <w:color w:val="000000"/>
                <w:kern w:val="0"/>
              </w:rPr>
            </w:pPr>
            <w:r>
              <w:rPr>
                <w:rFonts w:hint="eastAsia" w:ascii="宋体" w:hAnsi="宋体" w:cs="宋体"/>
                <w:color w:val="000000"/>
                <w:kern w:val="0"/>
              </w:rPr>
              <w:t>5分</w:t>
            </w:r>
          </w:p>
        </w:tc>
        <w:tc>
          <w:tcPr>
            <w:tcW w:w="10080" w:type="dxa"/>
            <w:gridSpan w:val="2"/>
            <w:vAlign w:val="center"/>
          </w:tcPr>
          <w:p>
            <w:pPr>
              <w:autoSpaceDE w:val="0"/>
              <w:autoSpaceDN w:val="0"/>
              <w:adjustRightInd w:val="0"/>
              <w:spacing w:line="240" w:lineRule="exact"/>
              <w:rPr>
                <w:rFonts w:ascii="宋体" w:hAnsi="宋体" w:cs="宋体"/>
                <w:color w:val="000000"/>
                <w:kern w:val="0"/>
              </w:rPr>
            </w:pPr>
            <w:r>
              <w:rPr>
                <w:rFonts w:hint="eastAsia" w:ascii="宋体" w:hAnsi="宋体"/>
                <w:color w:val="000000"/>
              </w:rPr>
              <w:t>未上报保洁记录或工作计划一次扣1分，发现保洁记录弄虚作假的一次扣5分。</w:t>
            </w:r>
          </w:p>
        </w:tc>
        <w:tc>
          <w:tcPr>
            <w:tcW w:w="720" w:type="dxa"/>
            <w:vAlign w:val="center"/>
          </w:tcPr>
          <w:p>
            <w:pPr>
              <w:autoSpaceDE w:val="0"/>
              <w:autoSpaceDN w:val="0"/>
              <w:adjustRightInd w:val="0"/>
              <w:spacing w:line="240" w:lineRule="exact"/>
              <w:jc w:val="center"/>
              <w:rPr>
                <w:rFonts w:ascii="宋体" w:hAnsi="宋体" w:cs="宋体"/>
                <w:color w:val="000000"/>
                <w:kern w:val="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315" w:hRule="atLeast"/>
        </w:trPr>
        <w:tc>
          <w:tcPr>
            <w:tcW w:w="540" w:type="dxa"/>
            <w:vAlign w:val="center"/>
          </w:tcPr>
          <w:p>
            <w:pPr>
              <w:autoSpaceDE w:val="0"/>
              <w:autoSpaceDN w:val="0"/>
              <w:adjustRightInd w:val="0"/>
              <w:spacing w:line="240" w:lineRule="exact"/>
              <w:jc w:val="center"/>
              <w:rPr>
                <w:rFonts w:ascii="宋体" w:hAnsi="宋体" w:cs="宋体"/>
                <w:b/>
                <w:color w:val="000000"/>
                <w:kern w:val="0"/>
              </w:rPr>
            </w:pPr>
            <w:r>
              <w:rPr>
                <w:rFonts w:hint="eastAsia" w:ascii="宋体" w:hAnsi="宋体" w:cs="宋体"/>
                <w:b/>
                <w:color w:val="000000"/>
                <w:kern w:val="0"/>
              </w:rPr>
              <w:t>保洁效果</w:t>
            </w:r>
          </w:p>
        </w:tc>
        <w:tc>
          <w:tcPr>
            <w:tcW w:w="2700" w:type="dxa"/>
            <w:vAlign w:val="center"/>
          </w:tcPr>
          <w:p>
            <w:pPr>
              <w:spacing w:line="240" w:lineRule="exact"/>
              <w:rPr>
                <w:rFonts w:ascii="宋体" w:hAnsi="宋体"/>
                <w:color w:val="000000"/>
              </w:rPr>
            </w:pPr>
            <w:r>
              <w:rPr>
                <w:rFonts w:hint="eastAsia" w:ascii="宋体" w:hAnsi="宋体"/>
                <w:color w:val="000000"/>
              </w:rPr>
              <w:t>1、河道内无动物尸体；</w:t>
            </w:r>
          </w:p>
          <w:p>
            <w:pPr>
              <w:spacing w:line="240" w:lineRule="exact"/>
              <w:rPr>
                <w:rFonts w:ascii="宋体" w:hAnsi="宋体"/>
                <w:color w:val="000000"/>
              </w:rPr>
            </w:pPr>
            <w:r>
              <w:rPr>
                <w:rFonts w:hint="eastAsia" w:ascii="宋体" w:hAnsi="宋体"/>
                <w:color w:val="000000"/>
              </w:rPr>
              <w:t>2、无成块、成片恶性水生植物；3、无各类农作物秸秆（河槽内无野生皎白、枯死树（树枝）、枯芦苇）等；</w:t>
            </w:r>
          </w:p>
          <w:p>
            <w:pPr>
              <w:spacing w:line="240" w:lineRule="exact"/>
              <w:rPr>
                <w:rFonts w:ascii="宋体" w:hAnsi="宋体"/>
                <w:color w:val="000000"/>
              </w:rPr>
            </w:pPr>
            <w:r>
              <w:rPr>
                <w:rFonts w:hint="eastAsia" w:ascii="宋体" w:hAnsi="宋体"/>
                <w:color w:val="000000"/>
              </w:rPr>
              <w:t>4、无生活垃圾漂浮物。</w:t>
            </w:r>
          </w:p>
        </w:tc>
        <w:tc>
          <w:tcPr>
            <w:tcW w:w="540" w:type="dxa"/>
            <w:vAlign w:val="center"/>
          </w:tcPr>
          <w:p>
            <w:pPr>
              <w:autoSpaceDE w:val="0"/>
              <w:autoSpaceDN w:val="0"/>
              <w:adjustRightInd w:val="0"/>
              <w:spacing w:line="240" w:lineRule="exact"/>
              <w:jc w:val="center"/>
              <w:rPr>
                <w:rFonts w:ascii="宋体" w:hAnsi="宋体" w:cs="宋体"/>
                <w:color w:val="000000"/>
                <w:kern w:val="0"/>
              </w:rPr>
            </w:pPr>
            <w:r>
              <w:rPr>
                <w:rFonts w:hint="eastAsia" w:ascii="宋体" w:hAnsi="宋体" w:cs="宋体"/>
                <w:color w:val="000000"/>
                <w:kern w:val="0"/>
              </w:rPr>
              <w:t>80分</w:t>
            </w:r>
          </w:p>
        </w:tc>
        <w:tc>
          <w:tcPr>
            <w:tcW w:w="10080" w:type="dxa"/>
            <w:gridSpan w:val="2"/>
            <w:vAlign w:val="center"/>
          </w:tcPr>
          <w:p>
            <w:pPr>
              <w:autoSpaceDE w:val="0"/>
              <w:autoSpaceDN w:val="0"/>
              <w:adjustRightInd w:val="0"/>
              <w:spacing w:line="240" w:lineRule="exact"/>
              <w:rPr>
                <w:rFonts w:ascii="宋体" w:hAnsi="宋体"/>
                <w:color w:val="000000"/>
              </w:rPr>
            </w:pPr>
            <w:r>
              <w:rPr>
                <w:rFonts w:hint="eastAsia" w:ascii="宋体" w:hAnsi="宋体"/>
                <w:color w:val="000000"/>
              </w:rPr>
              <w:t>1、发现河面有动物尸体，每只扣2分；发现就地处理的每只扣5分，并扣除保洁费</w:t>
            </w:r>
            <w:r>
              <w:rPr>
                <w:rFonts w:hint="eastAsia" w:ascii="宋体" w:hAnsi="宋体"/>
              </w:rPr>
              <w:t>200元。</w:t>
            </w:r>
          </w:p>
          <w:p>
            <w:pPr>
              <w:autoSpaceDE w:val="0"/>
              <w:autoSpaceDN w:val="0"/>
              <w:adjustRightInd w:val="0"/>
              <w:spacing w:line="240" w:lineRule="exact"/>
              <w:rPr>
                <w:rFonts w:ascii="宋体" w:hAnsi="宋体"/>
                <w:color w:val="000000"/>
              </w:rPr>
            </w:pPr>
            <w:r>
              <w:rPr>
                <w:rFonts w:hint="eastAsia" w:ascii="宋体" w:hAnsi="宋体"/>
                <w:color w:val="000000"/>
              </w:rPr>
              <w:t>2、水花生等水生植物1平方米以下（含）每处扣1分，1平方米以上5平方米以下（包括4平方米）每处扣3分，5平方米以上每处扣5分，浮萍、水草等水生植物连片长度达100米扣2分，100-500米扣4分，500米以上扣6分，满河扣10分。</w:t>
            </w:r>
          </w:p>
          <w:p>
            <w:pPr>
              <w:autoSpaceDE w:val="0"/>
              <w:autoSpaceDN w:val="0"/>
              <w:adjustRightInd w:val="0"/>
              <w:spacing w:line="240" w:lineRule="exact"/>
              <w:rPr>
                <w:rFonts w:ascii="宋体" w:hAnsi="宋体"/>
                <w:color w:val="000000"/>
              </w:rPr>
            </w:pPr>
            <w:r>
              <w:rPr>
                <w:rFonts w:hint="eastAsia" w:ascii="宋体" w:hAnsi="宋体"/>
                <w:color w:val="000000"/>
              </w:rPr>
              <w:t>3、有各类农作物秸秆（野生皎白，枯死树、枝，枯芦苇）1平方米以下每处扣1分，1-5平方米每处扣3分，5平方米以上每处扣5分。</w:t>
            </w:r>
          </w:p>
          <w:p>
            <w:pPr>
              <w:autoSpaceDE w:val="0"/>
              <w:autoSpaceDN w:val="0"/>
              <w:adjustRightInd w:val="0"/>
              <w:spacing w:line="240" w:lineRule="exact"/>
              <w:rPr>
                <w:rFonts w:ascii="宋体" w:hAnsi="宋体" w:cs="宋体"/>
                <w:color w:val="000000"/>
                <w:kern w:val="0"/>
              </w:rPr>
            </w:pPr>
            <w:r>
              <w:rPr>
                <w:rFonts w:hint="eastAsia" w:ascii="宋体" w:hAnsi="宋体"/>
                <w:color w:val="000000"/>
              </w:rPr>
              <w:t>4、河道可视范围内有纸屑、饮料瓶、塑料袋、塑料薄膜等各色生活垃圾漂浮物5个以下扣0.5分；5个以上，每增加一个增扣0.2分。</w:t>
            </w:r>
          </w:p>
        </w:tc>
        <w:tc>
          <w:tcPr>
            <w:tcW w:w="720" w:type="dxa"/>
            <w:vAlign w:val="center"/>
          </w:tcPr>
          <w:p>
            <w:pPr>
              <w:autoSpaceDE w:val="0"/>
              <w:autoSpaceDN w:val="0"/>
              <w:adjustRightInd w:val="0"/>
              <w:spacing w:line="240" w:lineRule="exact"/>
              <w:jc w:val="center"/>
              <w:rPr>
                <w:rFonts w:ascii="宋体" w:hAnsi="宋体" w:cs="宋体"/>
                <w:color w:val="000000"/>
                <w:kern w:val="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315" w:hRule="atLeast"/>
        </w:trPr>
        <w:tc>
          <w:tcPr>
            <w:tcW w:w="540" w:type="dxa"/>
            <w:vAlign w:val="center"/>
          </w:tcPr>
          <w:p>
            <w:pPr>
              <w:autoSpaceDE w:val="0"/>
              <w:autoSpaceDN w:val="0"/>
              <w:adjustRightInd w:val="0"/>
              <w:spacing w:line="240" w:lineRule="exact"/>
              <w:jc w:val="center"/>
              <w:rPr>
                <w:rFonts w:ascii="宋体" w:hAnsi="宋体" w:cs="宋体"/>
                <w:b/>
                <w:color w:val="000000"/>
                <w:kern w:val="0"/>
              </w:rPr>
            </w:pPr>
            <w:r>
              <w:rPr>
                <w:rFonts w:hint="eastAsia" w:ascii="宋体" w:hAnsi="宋体" w:cs="宋体"/>
                <w:b/>
                <w:color w:val="000000"/>
                <w:kern w:val="0"/>
              </w:rPr>
              <w:t>保洁过程</w:t>
            </w:r>
          </w:p>
        </w:tc>
        <w:tc>
          <w:tcPr>
            <w:tcW w:w="2700" w:type="dxa"/>
            <w:vAlign w:val="center"/>
          </w:tcPr>
          <w:p>
            <w:pPr>
              <w:autoSpaceDE w:val="0"/>
              <w:autoSpaceDN w:val="0"/>
              <w:adjustRightInd w:val="0"/>
              <w:spacing w:line="240" w:lineRule="exact"/>
              <w:rPr>
                <w:rFonts w:ascii="宋体" w:hAnsi="宋体"/>
                <w:color w:val="000000"/>
              </w:rPr>
            </w:pPr>
            <w:r>
              <w:rPr>
                <w:rFonts w:hint="eastAsia" w:ascii="宋体" w:hAnsi="宋体"/>
                <w:color w:val="000000"/>
              </w:rPr>
              <w:t>1、按照规定保证船只和人员出勤率；</w:t>
            </w:r>
          </w:p>
          <w:p>
            <w:pPr>
              <w:autoSpaceDE w:val="0"/>
              <w:autoSpaceDN w:val="0"/>
              <w:adjustRightInd w:val="0"/>
              <w:spacing w:line="240" w:lineRule="exact"/>
              <w:rPr>
                <w:rFonts w:ascii="宋体" w:hAnsi="宋体" w:cs="宋体"/>
                <w:color w:val="000000"/>
                <w:kern w:val="0"/>
              </w:rPr>
            </w:pPr>
            <w:r>
              <w:rPr>
                <w:rFonts w:hint="eastAsia" w:ascii="宋体" w:hAnsi="宋体"/>
                <w:color w:val="000000"/>
              </w:rPr>
              <w:t>2、打捞的漂浮物、生活垃圾按序分类堆放。</w:t>
            </w:r>
          </w:p>
        </w:tc>
        <w:tc>
          <w:tcPr>
            <w:tcW w:w="540" w:type="dxa"/>
            <w:vAlign w:val="center"/>
          </w:tcPr>
          <w:p>
            <w:pPr>
              <w:autoSpaceDE w:val="0"/>
              <w:autoSpaceDN w:val="0"/>
              <w:adjustRightInd w:val="0"/>
              <w:spacing w:line="240" w:lineRule="exact"/>
              <w:jc w:val="center"/>
              <w:rPr>
                <w:rFonts w:ascii="宋体" w:hAnsi="宋体" w:cs="宋体"/>
                <w:color w:val="000000"/>
                <w:kern w:val="0"/>
              </w:rPr>
            </w:pPr>
            <w:r>
              <w:rPr>
                <w:rFonts w:hint="eastAsia" w:ascii="宋体" w:hAnsi="宋体" w:cs="宋体"/>
                <w:color w:val="000000"/>
                <w:kern w:val="0"/>
              </w:rPr>
              <w:t>15分</w:t>
            </w:r>
          </w:p>
        </w:tc>
        <w:tc>
          <w:tcPr>
            <w:tcW w:w="10080" w:type="dxa"/>
            <w:gridSpan w:val="2"/>
            <w:vAlign w:val="center"/>
          </w:tcPr>
          <w:p>
            <w:pPr>
              <w:spacing w:line="240" w:lineRule="exact"/>
              <w:rPr>
                <w:rFonts w:ascii="宋体" w:hAnsi="宋体"/>
                <w:color w:val="000000"/>
              </w:rPr>
            </w:pPr>
            <w:r>
              <w:rPr>
                <w:rFonts w:hint="eastAsia" w:ascii="宋体" w:hAnsi="宋体"/>
                <w:color w:val="000000"/>
              </w:rPr>
              <w:t>1、抽查发现每少1条船扣5分，每少1人扣2分。</w:t>
            </w:r>
          </w:p>
          <w:p>
            <w:pPr>
              <w:spacing w:line="240" w:lineRule="exact"/>
              <w:rPr>
                <w:rFonts w:ascii="宋体" w:hAnsi="宋体"/>
                <w:color w:val="000000"/>
              </w:rPr>
            </w:pPr>
            <w:r>
              <w:rPr>
                <w:rFonts w:hint="eastAsia" w:ascii="宋体" w:hAnsi="宋体"/>
                <w:color w:val="000000"/>
              </w:rPr>
              <w:t>2、打捞的漂浮物、生活垃圾乱堆乱放的，每发现一次扣5分，并扣除保洁费</w:t>
            </w:r>
            <w:r>
              <w:rPr>
                <w:rFonts w:hint="eastAsia" w:ascii="宋体" w:hAnsi="宋体"/>
              </w:rPr>
              <w:t>500元。</w:t>
            </w:r>
          </w:p>
          <w:p>
            <w:pPr>
              <w:spacing w:line="240" w:lineRule="exact"/>
              <w:rPr>
                <w:rFonts w:ascii="宋体" w:hAnsi="宋体"/>
                <w:color w:val="000000"/>
              </w:rPr>
            </w:pPr>
            <w:r>
              <w:rPr>
                <w:rFonts w:hint="eastAsia" w:ascii="宋体" w:hAnsi="宋体"/>
                <w:color w:val="000000"/>
              </w:rPr>
              <w:t>3、打捞的漂浮物、生活垃圾未分类到位，每发现1次扣1分；</w:t>
            </w:r>
          </w:p>
          <w:p>
            <w:pPr>
              <w:spacing w:line="240" w:lineRule="exact"/>
              <w:rPr>
                <w:rFonts w:ascii="宋体" w:hAnsi="宋体"/>
                <w:color w:val="000000"/>
              </w:rPr>
            </w:pPr>
            <w:r>
              <w:rPr>
                <w:rFonts w:hint="eastAsia" w:ascii="宋体" w:hAnsi="宋体"/>
                <w:color w:val="000000"/>
              </w:rPr>
              <w:t>4、检查组发现指出存在的问题未在规定时限内整改到位的，在原扣分的基础上加倍扣分；</w:t>
            </w:r>
          </w:p>
          <w:p>
            <w:pPr>
              <w:spacing w:line="240" w:lineRule="exact"/>
              <w:rPr>
                <w:rFonts w:ascii="宋体" w:hAnsi="宋体"/>
                <w:color w:val="000000"/>
              </w:rPr>
            </w:pPr>
            <w:r>
              <w:rPr>
                <w:rFonts w:hint="eastAsia" w:ascii="宋体" w:hAnsi="宋体"/>
                <w:color w:val="000000"/>
              </w:rPr>
              <w:t>5、保洁人员未按规定穿着保洁工作服的，有一人扣2分。</w:t>
            </w:r>
          </w:p>
          <w:p>
            <w:pPr>
              <w:spacing w:line="240" w:lineRule="exact"/>
              <w:rPr>
                <w:rFonts w:ascii="宋体" w:hAnsi="宋体"/>
                <w:color w:val="000000"/>
              </w:rPr>
            </w:pPr>
            <w:r>
              <w:rPr>
                <w:rFonts w:hint="eastAsia" w:ascii="宋体" w:hAnsi="宋体"/>
                <w:color w:val="000000"/>
              </w:rPr>
              <w:t>6、严禁利用保洁船从事与河道保洁无关的非法活动。利用保洁船进行电捕鱼的，一次扣10分，并扣除保洁费500元。</w:t>
            </w:r>
          </w:p>
          <w:p>
            <w:pPr>
              <w:autoSpaceDE w:val="0"/>
              <w:autoSpaceDN w:val="0"/>
              <w:adjustRightInd w:val="0"/>
              <w:spacing w:line="240" w:lineRule="exact"/>
              <w:rPr>
                <w:rFonts w:ascii="宋体" w:hAnsi="宋体" w:cs="宋体"/>
                <w:color w:val="000000"/>
                <w:kern w:val="0"/>
              </w:rPr>
            </w:pPr>
            <w:r>
              <w:rPr>
                <w:rFonts w:hint="eastAsia" w:ascii="宋体" w:hAnsi="宋体"/>
                <w:color w:val="000000"/>
              </w:rPr>
              <w:t>7、保洁过程中，发现有沉船、增设“三网”、向河岸倾倒建筑（生活垃圾）、建房（码头、排污口）、</w:t>
            </w:r>
            <w:r>
              <w:rPr>
                <w:rFonts w:hint="eastAsia" w:ascii="宋体" w:hAnsi="宋体"/>
                <w:bCs/>
                <w:color w:val="000000"/>
              </w:rPr>
              <w:t>工厂排污、畜禽粪便直排、</w:t>
            </w:r>
            <w:r>
              <w:rPr>
                <w:rFonts w:hint="eastAsia" w:ascii="宋体" w:hAnsi="宋体"/>
                <w:color w:val="000000"/>
              </w:rPr>
              <w:t>取土</w:t>
            </w:r>
            <w:r>
              <w:rPr>
                <w:rFonts w:hint="eastAsia" w:ascii="宋体" w:hAnsi="宋体"/>
                <w:bCs/>
                <w:color w:val="000000"/>
              </w:rPr>
              <w:t>等问题</w:t>
            </w:r>
            <w:r>
              <w:rPr>
                <w:rFonts w:hint="eastAsia" w:ascii="宋体" w:hAnsi="宋体"/>
                <w:color w:val="000000"/>
              </w:rPr>
              <w:t>未及时报告的，每发现一次扣5分。</w:t>
            </w:r>
          </w:p>
        </w:tc>
        <w:tc>
          <w:tcPr>
            <w:tcW w:w="720" w:type="dxa"/>
            <w:vAlign w:val="center"/>
          </w:tcPr>
          <w:p>
            <w:pPr>
              <w:autoSpaceDE w:val="0"/>
              <w:autoSpaceDN w:val="0"/>
              <w:adjustRightInd w:val="0"/>
              <w:spacing w:line="240" w:lineRule="exact"/>
              <w:jc w:val="center"/>
              <w:rPr>
                <w:rFonts w:ascii="宋体" w:hAnsi="宋体" w:cs="宋体"/>
                <w:color w:val="000000"/>
                <w:kern w:val="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315" w:hRule="atLeast"/>
        </w:trPr>
        <w:tc>
          <w:tcPr>
            <w:tcW w:w="3240" w:type="dxa"/>
            <w:gridSpan w:val="2"/>
            <w:vAlign w:val="center"/>
          </w:tcPr>
          <w:p>
            <w:pPr>
              <w:autoSpaceDE w:val="0"/>
              <w:autoSpaceDN w:val="0"/>
              <w:adjustRightInd w:val="0"/>
              <w:spacing w:line="240" w:lineRule="exact"/>
              <w:jc w:val="center"/>
              <w:rPr>
                <w:rFonts w:ascii="宋体" w:hAnsi="宋体" w:cs="宋体"/>
                <w:b/>
                <w:color w:val="000000"/>
                <w:kern w:val="0"/>
              </w:rPr>
            </w:pPr>
            <w:r>
              <w:rPr>
                <w:rFonts w:hint="eastAsia" w:ascii="宋体" w:hAnsi="宋体" w:cs="宋体"/>
                <w:b/>
                <w:color w:val="000000"/>
                <w:kern w:val="0"/>
              </w:rPr>
              <w:t>合计</w:t>
            </w:r>
          </w:p>
        </w:tc>
        <w:tc>
          <w:tcPr>
            <w:tcW w:w="540" w:type="dxa"/>
            <w:vAlign w:val="center"/>
          </w:tcPr>
          <w:p>
            <w:pPr>
              <w:autoSpaceDE w:val="0"/>
              <w:autoSpaceDN w:val="0"/>
              <w:adjustRightInd w:val="0"/>
              <w:spacing w:line="240" w:lineRule="exact"/>
              <w:jc w:val="center"/>
              <w:rPr>
                <w:rFonts w:ascii="宋体" w:hAnsi="宋体" w:cs="宋体"/>
                <w:b/>
                <w:color w:val="000000"/>
                <w:kern w:val="0"/>
              </w:rPr>
            </w:pPr>
            <w:r>
              <w:rPr>
                <w:rFonts w:hint="eastAsia" w:ascii="宋体" w:hAnsi="宋体" w:cs="宋体"/>
                <w:b/>
                <w:color w:val="000000"/>
                <w:kern w:val="0"/>
              </w:rPr>
              <w:t>100</w:t>
            </w:r>
          </w:p>
        </w:tc>
        <w:tc>
          <w:tcPr>
            <w:tcW w:w="10080" w:type="dxa"/>
            <w:gridSpan w:val="2"/>
            <w:vAlign w:val="center"/>
          </w:tcPr>
          <w:p>
            <w:pPr>
              <w:autoSpaceDE w:val="0"/>
              <w:autoSpaceDN w:val="0"/>
              <w:adjustRightInd w:val="0"/>
              <w:spacing w:line="240" w:lineRule="exact"/>
              <w:jc w:val="left"/>
              <w:rPr>
                <w:rFonts w:ascii="宋体" w:hAnsi="宋体" w:cs="宋体"/>
                <w:color w:val="000000"/>
                <w:kern w:val="0"/>
              </w:rPr>
            </w:pPr>
          </w:p>
        </w:tc>
        <w:tc>
          <w:tcPr>
            <w:tcW w:w="720" w:type="dxa"/>
            <w:vAlign w:val="center"/>
          </w:tcPr>
          <w:p>
            <w:pPr>
              <w:autoSpaceDE w:val="0"/>
              <w:autoSpaceDN w:val="0"/>
              <w:adjustRightInd w:val="0"/>
              <w:spacing w:line="240" w:lineRule="exact"/>
              <w:jc w:val="center"/>
              <w:rPr>
                <w:rFonts w:ascii="宋体" w:hAnsi="宋体" w:cs="宋体"/>
                <w:color w:val="000000"/>
                <w:kern w:val="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315" w:hRule="atLeast"/>
        </w:trPr>
        <w:tc>
          <w:tcPr>
            <w:tcW w:w="540" w:type="dxa"/>
            <w:vMerge w:val="restart"/>
            <w:vAlign w:val="center"/>
          </w:tcPr>
          <w:p>
            <w:pPr>
              <w:autoSpaceDE w:val="0"/>
              <w:autoSpaceDN w:val="0"/>
              <w:adjustRightInd w:val="0"/>
              <w:spacing w:line="240" w:lineRule="exact"/>
              <w:jc w:val="center"/>
              <w:rPr>
                <w:rFonts w:ascii="宋体" w:hAnsi="宋体" w:cs="宋体"/>
                <w:b/>
                <w:color w:val="000000"/>
                <w:kern w:val="0"/>
              </w:rPr>
            </w:pPr>
            <w:r>
              <w:rPr>
                <w:rFonts w:hint="eastAsia" w:ascii="宋体" w:hAnsi="宋体" w:cs="宋体"/>
                <w:b/>
                <w:color w:val="000000"/>
                <w:kern w:val="0"/>
              </w:rPr>
              <w:t>加分或</w:t>
            </w:r>
          </w:p>
          <w:p>
            <w:pPr>
              <w:autoSpaceDE w:val="0"/>
              <w:autoSpaceDN w:val="0"/>
              <w:adjustRightInd w:val="0"/>
              <w:spacing w:line="240" w:lineRule="exact"/>
              <w:jc w:val="center"/>
              <w:rPr>
                <w:rFonts w:ascii="宋体" w:hAnsi="宋体" w:cs="宋体"/>
                <w:b/>
                <w:color w:val="000000"/>
                <w:kern w:val="0"/>
              </w:rPr>
            </w:pPr>
            <w:r>
              <w:rPr>
                <w:rFonts w:hint="eastAsia" w:ascii="宋体" w:hAnsi="宋体" w:cs="宋体"/>
                <w:b/>
                <w:color w:val="000000"/>
                <w:kern w:val="0"/>
              </w:rPr>
              <w:t>减分</w:t>
            </w:r>
          </w:p>
        </w:tc>
        <w:tc>
          <w:tcPr>
            <w:tcW w:w="2700" w:type="dxa"/>
            <w:vAlign w:val="center"/>
          </w:tcPr>
          <w:p>
            <w:pPr>
              <w:spacing w:line="240" w:lineRule="exact"/>
              <w:jc w:val="center"/>
              <w:rPr>
                <w:rFonts w:ascii="宋体" w:hAnsi="宋体"/>
                <w:b/>
              </w:rPr>
            </w:pPr>
            <w:r>
              <w:rPr>
                <w:rFonts w:hint="eastAsia" w:ascii="宋体" w:hAnsi="宋体"/>
                <w:b/>
              </w:rPr>
              <w:t>加分</w:t>
            </w:r>
          </w:p>
        </w:tc>
        <w:tc>
          <w:tcPr>
            <w:tcW w:w="540" w:type="dxa"/>
            <w:vMerge w:val="restart"/>
            <w:vAlign w:val="center"/>
          </w:tcPr>
          <w:p>
            <w:pPr>
              <w:autoSpaceDE w:val="0"/>
              <w:autoSpaceDN w:val="0"/>
              <w:adjustRightInd w:val="0"/>
              <w:spacing w:line="240" w:lineRule="exact"/>
              <w:jc w:val="center"/>
              <w:rPr>
                <w:rFonts w:ascii="宋体" w:hAnsi="宋体" w:cs="宋体"/>
                <w:b/>
                <w:color w:val="000000"/>
                <w:kern w:val="0"/>
              </w:rPr>
            </w:pPr>
            <w:r>
              <w:rPr>
                <w:rFonts w:hint="eastAsia" w:ascii="宋体" w:hAnsi="宋体" w:cs="宋体"/>
                <w:b/>
                <w:color w:val="000000"/>
                <w:kern w:val="0"/>
              </w:rPr>
              <w:t>10</w:t>
            </w:r>
          </w:p>
        </w:tc>
        <w:tc>
          <w:tcPr>
            <w:tcW w:w="10080" w:type="dxa"/>
            <w:gridSpan w:val="2"/>
            <w:vAlign w:val="center"/>
          </w:tcPr>
          <w:p>
            <w:pPr>
              <w:autoSpaceDE w:val="0"/>
              <w:autoSpaceDN w:val="0"/>
              <w:adjustRightInd w:val="0"/>
              <w:spacing w:line="240" w:lineRule="exact"/>
              <w:jc w:val="left"/>
              <w:rPr>
                <w:rFonts w:ascii="宋体" w:hAnsi="宋体"/>
                <w:color w:val="000000"/>
              </w:rPr>
            </w:pPr>
            <w:r>
              <w:rPr>
                <w:rFonts w:hint="eastAsia" w:ascii="宋体" w:hAnsi="宋体"/>
                <w:color w:val="000000"/>
              </w:rPr>
              <w:t>1、被省、市、区通报表彰或评为先进单位的，每季分别加4、2、1分；</w:t>
            </w:r>
          </w:p>
          <w:p>
            <w:pPr>
              <w:autoSpaceDE w:val="0"/>
              <w:autoSpaceDN w:val="0"/>
              <w:adjustRightInd w:val="0"/>
              <w:spacing w:line="240" w:lineRule="exact"/>
              <w:jc w:val="left"/>
              <w:rPr>
                <w:rFonts w:ascii="宋体" w:hAnsi="宋体" w:cs="宋体"/>
                <w:color w:val="000000"/>
                <w:kern w:val="0"/>
              </w:rPr>
            </w:pPr>
            <w:r>
              <w:rPr>
                <w:rFonts w:hint="eastAsia" w:ascii="宋体" w:hAnsi="宋体" w:cs="宋体"/>
                <w:color w:val="000000"/>
                <w:kern w:val="0"/>
              </w:rPr>
              <w:t>2、</w:t>
            </w:r>
            <w:r>
              <w:rPr>
                <w:rFonts w:hint="eastAsia" w:ascii="宋体" w:hAnsi="宋体"/>
                <w:color w:val="000000"/>
              </w:rPr>
              <w:t>为区重大活动提供现场的保洁公司，当月考核加5分。</w:t>
            </w:r>
          </w:p>
        </w:tc>
        <w:tc>
          <w:tcPr>
            <w:tcW w:w="720" w:type="dxa"/>
            <w:vAlign w:val="center"/>
          </w:tcPr>
          <w:p>
            <w:pPr>
              <w:autoSpaceDE w:val="0"/>
              <w:autoSpaceDN w:val="0"/>
              <w:adjustRightInd w:val="0"/>
              <w:spacing w:line="240" w:lineRule="exact"/>
              <w:jc w:val="center"/>
              <w:rPr>
                <w:rFonts w:ascii="宋体" w:hAnsi="宋体" w:cs="宋体"/>
                <w:color w:val="000000"/>
                <w:kern w:val="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446" w:hRule="atLeast"/>
        </w:trPr>
        <w:tc>
          <w:tcPr>
            <w:tcW w:w="540" w:type="dxa"/>
            <w:vMerge w:val="continue"/>
            <w:vAlign w:val="center"/>
          </w:tcPr>
          <w:p>
            <w:pPr>
              <w:widowControl/>
              <w:spacing w:line="240" w:lineRule="exact"/>
              <w:jc w:val="left"/>
              <w:rPr>
                <w:rFonts w:ascii="宋体" w:hAnsi="宋体" w:cs="宋体"/>
                <w:b/>
                <w:color w:val="000000"/>
                <w:kern w:val="0"/>
              </w:rPr>
            </w:pPr>
          </w:p>
        </w:tc>
        <w:tc>
          <w:tcPr>
            <w:tcW w:w="2700" w:type="dxa"/>
            <w:vAlign w:val="center"/>
          </w:tcPr>
          <w:p>
            <w:pPr>
              <w:autoSpaceDE w:val="0"/>
              <w:autoSpaceDN w:val="0"/>
              <w:adjustRightInd w:val="0"/>
              <w:spacing w:line="240" w:lineRule="exact"/>
              <w:jc w:val="center"/>
              <w:rPr>
                <w:rFonts w:ascii="宋体" w:hAnsi="宋体" w:cs="宋体"/>
                <w:b/>
                <w:color w:val="000000"/>
                <w:kern w:val="0"/>
              </w:rPr>
            </w:pPr>
            <w:r>
              <w:rPr>
                <w:rFonts w:hint="eastAsia" w:ascii="宋体" w:hAnsi="宋体" w:cs="宋体"/>
                <w:b/>
                <w:color w:val="000000"/>
                <w:kern w:val="0"/>
              </w:rPr>
              <w:t>减分</w:t>
            </w:r>
          </w:p>
        </w:tc>
        <w:tc>
          <w:tcPr>
            <w:tcW w:w="540" w:type="dxa"/>
            <w:vMerge w:val="continue"/>
            <w:vAlign w:val="center"/>
          </w:tcPr>
          <w:p>
            <w:pPr>
              <w:autoSpaceDE w:val="0"/>
              <w:autoSpaceDN w:val="0"/>
              <w:adjustRightInd w:val="0"/>
              <w:spacing w:line="240" w:lineRule="exact"/>
              <w:jc w:val="center"/>
              <w:rPr>
                <w:rFonts w:ascii="宋体" w:hAnsi="宋体" w:cs="宋体"/>
                <w:b/>
                <w:color w:val="000000"/>
                <w:kern w:val="0"/>
              </w:rPr>
            </w:pPr>
          </w:p>
        </w:tc>
        <w:tc>
          <w:tcPr>
            <w:tcW w:w="10080" w:type="dxa"/>
            <w:gridSpan w:val="2"/>
            <w:vAlign w:val="center"/>
          </w:tcPr>
          <w:p>
            <w:pPr>
              <w:spacing w:line="240" w:lineRule="exact"/>
              <w:rPr>
                <w:rFonts w:ascii="宋体" w:hAnsi="宋体"/>
                <w:color w:val="000000"/>
              </w:rPr>
            </w:pPr>
            <w:r>
              <w:rPr>
                <w:rFonts w:hint="eastAsia" w:ascii="宋体" w:hAnsi="宋体"/>
                <w:color w:val="000000"/>
              </w:rPr>
              <w:t>1、被群众举报查实，每次扣2分，</w:t>
            </w:r>
            <w:r>
              <w:rPr>
                <w:rFonts w:hint="eastAsia" w:ascii="宋体" w:hAnsi="宋体"/>
              </w:rPr>
              <w:t>并扣除保洁费200元。</w:t>
            </w:r>
            <w:r>
              <w:rPr>
                <w:rFonts w:hint="eastAsia" w:ascii="宋体" w:hAnsi="宋体"/>
                <w:color w:val="000000"/>
              </w:rPr>
              <w:t>被媒体曝光或被南通市领导批评的，每次扣5分；被区领导批评的每次扣4分。被局主要领导批评的，每次扣3分；被局分管领导批评的，每次扣2分。被河长巡河发现的，每次扣2分，并扣除保洁费500元。</w:t>
            </w:r>
          </w:p>
          <w:p>
            <w:pPr>
              <w:spacing w:line="240" w:lineRule="exact"/>
              <w:rPr>
                <w:rFonts w:ascii="宋体" w:hAnsi="宋体"/>
                <w:color w:val="000000"/>
              </w:rPr>
            </w:pPr>
            <w:r>
              <w:rPr>
                <w:rFonts w:hint="eastAsia" w:ascii="宋体" w:hAnsi="宋体"/>
                <w:color w:val="000000"/>
              </w:rPr>
              <w:t>2、保洁作业过程中，发生事故造成人员伤害的，每起扣5分。造成人员死亡一次扣10分。</w:t>
            </w:r>
          </w:p>
          <w:p>
            <w:pPr>
              <w:autoSpaceDE w:val="0"/>
              <w:autoSpaceDN w:val="0"/>
              <w:adjustRightInd w:val="0"/>
              <w:spacing w:line="240" w:lineRule="exact"/>
              <w:jc w:val="left"/>
              <w:rPr>
                <w:rFonts w:ascii="宋体" w:hAnsi="宋体" w:cs="宋体"/>
                <w:color w:val="000000"/>
                <w:kern w:val="0"/>
              </w:rPr>
            </w:pPr>
            <w:r>
              <w:rPr>
                <w:rFonts w:hint="eastAsia" w:ascii="宋体" w:hAnsi="宋体"/>
                <w:color w:val="000000"/>
              </w:rPr>
              <w:t>3、区重大活动不服从调度指挥，或保障不到位的，当月考核扣5分。</w:t>
            </w:r>
          </w:p>
        </w:tc>
        <w:tc>
          <w:tcPr>
            <w:tcW w:w="720" w:type="dxa"/>
            <w:vAlign w:val="center"/>
          </w:tcPr>
          <w:p>
            <w:pPr>
              <w:autoSpaceDE w:val="0"/>
              <w:autoSpaceDN w:val="0"/>
              <w:adjustRightInd w:val="0"/>
              <w:spacing w:line="240" w:lineRule="exact"/>
              <w:jc w:val="center"/>
              <w:rPr>
                <w:rFonts w:ascii="宋体" w:hAnsi="宋体" w:cs="宋体"/>
                <w:color w:val="000000"/>
                <w:kern w:val="0"/>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30" w:type="dxa"/>
            <w:bottom w:w="0" w:type="dxa"/>
            <w:right w:w="30" w:type="dxa"/>
          </w:tblCellMar>
        </w:tblPrEx>
        <w:trPr>
          <w:trHeight w:val="436" w:hRule="atLeast"/>
        </w:trPr>
        <w:tc>
          <w:tcPr>
            <w:tcW w:w="3240" w:type="dxa"/>
            <w:gridSpan w:val="2"/>
            <w:vAlign w:val="center"/>
          </w:tcPr>
          <w:p>
            <w:pPr>
              <w:autoSpaceDE w:val="0"/>
              <w:autoSpaceDN w:val="0"/>
              <w:adjustRightInd w:val="0"/>
              <w:spacing w:line="240" w:lineRule="exact"/>
              <w:jc w:val="center"/>
              <w:rPr>
                <w:rFonts w:ascii="宋体" w:hAnsi="宋体" w:cs="宋体"/>
                <w:b/>
                <w:color w:val="000000"/>
                <w:kern w:val="0"/>
              </w:rPr>
            </w:pPr>
            <w:r>
              <w:rPr>
                <w:rFonts w:hint="eastAsia" w:ascii="宋体" w:hAnsi="宋体" w:cs="宋体"/>
                <w:b/>
                <w:color w:val="000000"/>
                <w:kern w:val="0"/>
              </w:rPr>
              <w:t>考核人员</w:t>
            </w:r>
          </w:p>
        </w:tc>
        <w:tc>
          <w:tcPr>
            <w:tcW w:w="8820" w:type="dxa"/>
            <w:gridSpan w:val="2"/>
            <w:tcBorders>
              <w:right w:val="single" w:color="auto" w:sz="12" w:space="0"/>
            </w:tcBorders>
            <w:vAlign w:val="center"/>
          </w:tcPr>
          <w:p>
            <w:pPr>
              <w:autoSpaceDE w:val="0"/>
              <w:autoSpaceDN w:val="0"/>
              <w:adjustRightInd w:val="0"/>
              <w:spacing w:line="240" w:lineRule="exact"/>
              <w:jc w:val="left"/>
              <w:rPr>
                <w:rFonts w:ascii="宋体" w:hAnsi="宋体" w:cs="宋体"/>
                <w:color w:val="000000"/>
                <w:kern w:val="0"/>
              </w:rPr>
            </w:pPr>
          </w:p>
        </w:tc>
        <w:tc>
          <w:tcPr>
            <w:tcW w:w="1800" w:type="dxa"/>
            <w:tcBorders>
              <w:left w:val="single" w:color="auto" w:sz="12" w:space="0"/>
            </w:tcBorders>
            <w:vAlign w:val="center"/>
          </w:tcPr>
          <w:p>
            <w:pPr>
              <w:autoSpaceDE w:val="0"/>
              <w:autoSpaceDN w:val="0"/>
              <w:adjustRightInd w:val="0"/>
              <w:spacing w:line="240" w:lineRule="exact"/>
              <w:jc w:val="center"/>
              <w:rPr>
                <w:rFonts w:ascii="宋体" w:hAnsi="宋体" w:cs="宋体"/>
                <w:color w:val="000000"/>
                <w:kern w:val="0"/>
              </w:rPr>
            </w:pPr>
            <w:r>
              <w:rPr>
                <w:rFonts w:hint="eastAsia" w:ascii="宋体" w:hAnsi="宋体"/>
                <w:b/>
                <w:color w:val="000000"/>
              </w:rPr>
              <w:t>综合得分</w:t>
            </w:r>
          </w:p>
        </w:tc>
        <w:tc>
          <w:tcPr>
            <w:tcW w:w="720" w:type="dxa"/>
            <w:vAlign w:val="center"/>
          </w:tcPr>
          <w:p>
            <w:pPr>
              <w:autoSpaceDE w:val="0"/>
              <w:autoSpaceDN w:val="0"/>
              <w:adjustRightInd w:val="0"/>
              <w:spacing w:line="240" w:lineRule="exact"/>
              <w:jc w:val="center"/>
              <w:rPr>
                <w:rFonts w:ascii="宋体" w:hAnsi="宋体" w:cs="宋体"/>
                <w:color w:val="000000"/>
                <w:kern w:val="0"/>
              </w:rPr>
            </w:pPr>
          </w:p>
        </w:tc>
      </w:tr>
    </w:tbl>
    <w:p>
      <w:pPr>
        <w:widowControl/>
        <w:spacing w:line="360" w:lineRule="auto"/>
        <w:jc w:val="left"/>
        <w:rPr>
          <w:rFonts w:ascii="宋体" w:hAnsi="宋体"/>
          <w:color w:val="000000"/>
          <w:sz w:val="25"/>
          <w:szCs w:val="25"/>
        </w:rPr>
        <w:sectPr>
          <w:pgSz w:w="16838" w:h="11906" w:orient="landscape"/>
          <w:pgMar w:top="1134" w:right="1361" w:bottom="1134" w:left="1134" w:header="851" w:footer="992" w:gutter="0"/>
          <w:pgNumType w:start="20"/>
          <w:cols w:space="720" w:num="1"/>
          <w:docGrid w:type="linesAndChars" w:linePitch="312" w:charSpace="0"/>
        </w:sectPr>
      </w:pPr>
    </w:p>
    <w:p>
      <w:pPr>
        <w:spacing w:line="400" w:lineRule="exact"/>
        <w:ind w:firstLine="460"/>
        <w:jc w:val="center"/>
        <w:rPr>
          <w:rFonts w:ascii="宋体" w:hAnsi="宋体"/>
          <w:b/>
          <w:bCs/>
          <w:color w:val="000000"/>
          <w:sz w:val="25"/>
          <w:szCs w:val="24"/>
        </w:rPr>
      </w:pPr>
      <w:r>
        <w:rPr>
          <w:rFonts w:hint="eastAsia" w:ascii="宋体" w:hAnsi="宋体"/>
          <w:b/>
          <w:bCs/>
          <w:color w:val="000000"/>
          <w:sz w:val="28"/>
          <w:szCs w:val="28"/>
        </w:rPr>
        <w:t>2、合同价款与支付</w:t>
      </w:r>
    </w:p>
    <w:p>
      <w:pPr>
        <w:spacing w:line="400" w:lineRule="exact"/>
        <w:rPr>
          <w:rFonts w:ascii="宋体" w:hAnsi="宋体"/>
          <w:b/>
          <w:bCs/>
          <w:color w:val="000000"/>
        </w:rPr>
      </w:pPr>
      <w:r>
        <w:rPr>
          <w:rFonts w:hint="eastAsia" w:ascii="宋体" w:hAnsi="宋体"/>
          <w:b/>
          <w:bCs/>
          <w:color w:val="000000"/>
        </w:rPr>
        <w:t>2.1 合同价款</w:t>
      </w:r>
    </w:p>
    <w:p>
      <w:pPr>
        <w:spacing w:line="400" w:lineRule="exact"/>
        <w:ind w:firstLine="420" w:firstLineChars="200"/>
        <w:rPr>
          <w:rFonts w:ascii="宋体" w:hAnsi="宋体"/>
          <w:color w:val="000000"/>
        </w:rPr>
      </w:pPr>
      <w:r>
        <w:rPr>
          <w:rFonts w:hint="eastAsia" w:ascii="宋体" w:hAnsi="宋体"/>
          <w:color w:val="000000"/>
        </w:rPr>
        <w:t>本合同价款采用</w:t>
      </w:r>
      <w:r>
        <w:rPr>
          <w:rFonts w:hint="eastAsia" w:ascii="宋体" w:hAnsi="宋体"/>
          <w:b/>
          <w:color w:val="000000"/>
          <w:u w:val="single"/>
        </w:rPr>
        <w:t>固定总价</w:t>
      </w:r>
      <w:r>
        <w:rPr>
          <w:rFonts w:hint="eastAsia" w:ascii="宋体" w:hAnsi="宋体"/>
          <w:color w:val="000000"/>
        </w:rPr>
        <w:t>方式确定，</w:t>
      </w:r>
      <w:r>
        <w:rPr>
          <w:rFonts w:hint="eastAsia" w:ascii="宋体" w:hAnsi="宋体"/>
        </w:rPr>
        <w:t>机械保洁船以奖代补款列入合同总价。</w:t>
      </w:r>
    </w:p>
    <w:p>
      <w:pPr>
        <w:spacing w:line="400" w:lineRule="exact"/>
        <w:rPr>
          <w:rFonts w:ascii="宋体" w:hAnsi="宋体"/>
          <w:b/>
          <w:bCs/>
          <w:color w:val="000000"/>
        </w:rPr>
      </w:pPr>
      <w:r>
        <w:rPr>
          <w:rFonts w:hint="eastAsia" w:ascii="宋体" w:hAnsi="宋体"/>
          <w:b/>
          <w:bCs/>
          <w:color w:val="000000"/>
        </w:rPr>
        <w:t>2.2 合同款支付</w:t>
      </w:r>
    </w:p>
    <w:p>
      <w:pPr>
        <w:spacing w:line="400" w:lineRule="exact"/>
        <w:ind w:firstLine="420" w:firstLineChars="200"/>
        <w:rPr>
          <w:rFonts w:ascii="宋体" w:hAnsi="宋体"/>
          <w:color w:val="000000"/>
        </w:rPr>
      </w:pPr>
      <w:r>
        <w:rPr>
          <w:rFonts w:hint="eastAsia" w:ascii="宋体" w:hAnsi="宋体"/>
          <w:color w:val="000000"/>
        </w:rPr>
        <w:t>1.保洁经费根据每月考核结果按季度拨付。应付保洁费于下一季度头一个月15日前向承包人支付。应付季度保洁经费=三个月度长效管理经费之和+竞赛奖励经费-每季考核扣款。</w:t>
      </w:r>
    </w:p>
    <w:p>
      <w:pPr>
        <w:spacing w:line="400" w:lineRule="exact"/>
        <w:ind w:firstLine="420" w:firstLineChars="200"/>
        <w:rPr>
          <w:rFonts w:ascii="宋体" w:hAnsi="宋体"/>
          <w:color w:val="000000"/>
        </w:rPr>
      </w:pPr>
      <w:r>
        <w:rPr>
          <w:rFonts w:hint="eastAsia" w:ascii="宋体" w:hAnsi="宋体"/>
          <w:color w:val="000000"/>
        </w:rPr>
        <w:t>2.每标段每季度2万元用于三个标段之间的竞赛奖励，按季评比，按季随同保洁经费一并拨付。</w:t>
      </w:r>
    </w:p>
    <w:p>
      <w:pPr>
        <w:spacing w:line="400" w:lineRule="exact"/>
        <w:ind w:firstLine="420" w:firstLineChars="200"/>
        <w:rPr>
          <w:rFonts w:ascii="宋体" w:hAnsi="宋体"/>
          <w:color w:val="000000"/>
        </w:rPr>
      </w:pPr>
      <w:r>
        <w:rPr>
          <w:rFonts w:hint="eastAsia" w:ascii="宋体" w:hAnsi="宋体"/>
          <w:color w:val="000000"/>
        </w:rPr>
        <w:t>3.上述分期付款的款项，承包人必须开具正式税票。</w:t>
      </w:r>
    </w:p>
    <w:p>
      <w:pPr>
        <w:spacing w:line="400" w:lineRule="exact"/>
        <w:ind w:firstLine="460"/>
        <w:jc w:val="center"/>
        <w:rPr>
          <w:rFonts w:ascii="宋体" w:hAnsi="宋体"/>
          <w:b/>
          <w:bCs/>
          <w:color w:val="000000"/>
          <w:sz w:val="28"/>
          <w:szCs w:val="28"/>
        </w:rPr>
      </w:pPr>
      <w:r>
        <w:rPr>
          <w:rFonts w:hint="eastAsia" w:ascii="宋体" w:hAnsi="宋体"/>
          <w:b/>
          <w:bCs/>
          <w:color w:val="000000"/>
          <w:sz w:val="28"/>
          <w:szCs w:val="28"/>
        </w:rPr>
        <w:t>3、职责、违约、索赔和争议</w:t>
      </w:r>
    </w:p>
    <w:p>
      <w:pPr>
        <w:widowControl/>
        <w:shd w:val="clear" w:color="auto" w:fill="FCFCFC"/>
        <w:spacing w:line="400" w:lineRule="exact"/>
        <w:jc w:val="left"/>
        <w:rPr>
          <w:rFonts w:ascii="宋体" w:hAnsi="宋体" w:cs="Arial"/>
          <w:color w:val="000000"/>
        </w:rPr>
      </w:pPr>
      <w:r>
        <w:rPr>
          <w:rFonts w:hint="eastAsia" w:ascii="宋体" w:hAnsi="宋体"/>
          <w:b/>
          <w:bCs/>
          <w:color w:val="000000"/>
        </w:rPr>
        <w:t>3.1 发包人职责：</w:t>
      </w:r>
    </w:p>
    <w:p>
      <w:pPr>
        <w:autoSpaceDE w:val="0"/>
        <w:autoSpaceDN w:val="0"/>
        <w:spacing w:line="400" w:lineRule="exact"/>
        <w:ind w:firstLine="420" w:firstLineChars="200"/>
        <w:rPr>
          <w:rFonts w:ascii="宋体" w:hAnsi="宋体"/>
          <w:color w:val="000000"/>
        </w:rPr>
      </w:pPr>
      <w:r>
        <w:rPr>
          <w:rFonts w:hint="eastAsia" w:ascii="宋体" w:hAnsi="宋体"/>
          <w:color w:val="000000"/>
        </w:rPr>
        <w:t>1、提供给承包人本合同所述河道保洁范围及数据资料；</w:t>
      </w:r>
    </w:p>
    <w:p>
      <w:pPr>
        <w:autoSpaceDE w:val="0"/>
        <w:autoSpaceDN w:val="0"/>
        <w:spacing w:line="400" w:lineRule="exact"/>
        <w:ind w:firstLine="420" w:firstLineChars="200"/>
        <w:rPr>
          <w:rFonts w:ascii="宋体" w:hAnsi="宋体"/>
          <w:color w:val="000000"/>
        </w:rPr>
      </w:pPr>
      <w:r>
        <w:rPr>
          <w:rFonts w:hint="eastAsia" w:ascii="宋体" w:hAnsi="宋体"/>
          <w:color w:val="000000"/>
        </w:rPr>
        <w:t>2、</w:t>
      </w:r>
      <w:r>
        <w:rPr>
          <w:rFonts w:hint="eastAsia" w:ascii="宋体" w:hAnsi="宋体" w:cs="Arial"/>
          <w:color w:val="000000"/>
        </w:rPr>
        <w:t>对承包人进行工作指导，</w:t>
      </w:r>
      <w:r>
        <w:rPr>
          <w:rFonts w:hint="eastAsia" w:ascii="宋体" w:hAnsi="宋体"/>
          <w:color w:val="000000"/>
        </w:rPr>
        <w:t>定期或不定期对承包人管护保洁成果进行监督和考核检查；</w:t>
      </w:r>
    </w:p>
    <w:p>
      <w:pPr>
        <w:autoSpaceDE w:val="0"/>
        <w:autoSpaceDN w:val="0"/>
        <w:spacing w:line="400" w:lineRule="exact"/>
        <w:ind w:firstLine="420" w:firstLineChars="200"/>
        <w:rPr>
          <w:rFonts w:ascii="宋体" w:hAnsi="宋体"/>
          <w:color w:val="000000"/>
        </w:rPr>
      </w:pPr>
      <w:r>
        <w:rPr>
          <w:rFonts w:hint="eastAsia" w:ascii="宋体" w:hAnsi="宋体"/>
          <w:color w:val="000000"/>
        </w:rPr>
        <w:t>3、按合同约定付款方式、时限支付承包款项。承包期满后，承包人向发包人办理移交相关资料；</w:t>
      </w:r>
    </w:p>
    <w:p>
      <w:pPr>
        <w:autoSpaceDE w:val="0"/>
        <w:autoSpaceDN w:val="0"/>
        <w:spacing w:line="400" w:lineRule="exact"/>
        <w:ind w:firstLine="420" w:firstLineChars="200"/>
        <w:rPr>
          <w:rFonts w:ascii="宋体" w:hAnsi="宋体"/>
          <w:color w:val="000000"/>
        </w:rPr>
      </w:pPr>
      <w:r>
        <w:rPr>
          <w:rFonts w:hint="eastAsia" w:ascii="宋体" w:hAnsi="宋体"/>
          <w:color w:val="000000"/>
        </w:rPr>
        <w:t>4、若有城市建设或规划区域调整，发包人有权对保洁范围（长度）进行调整，调整后新增加工程部分的保洁费用应作相应调整。</w:t>
      </w:r>
    </w:p>
    <w:p>
      <w:pPr>
        <w:autoSpaceDE w:val="0"/>
        <w:autoSpaceDN w:val="0"/>
        <w:spacing w:line="400" w:lineRule="exact"/>
        <w:ind w:firstLine="420" w:firstLineChars="200"/>
        <w:rPr>
          <w:rFonts w:ascii="宋体" w:hAnsi="宋体"/>
          <w:color w:val="000000"/>
        </w:rPr>
      </w:pPr>
      <w:r>
        <w:rPr>
          <w:rFonts w:hint="eastAsia" w:ascii="宋体" w:hAnsi="宋体"/>
          <w:color w:val="000000"/>
        </w:rPr>
        <w:t>5、承包人河道保洁工作如遇人为原因阻碍等，无法自行解决，发包人应配合解决。</w:t>
      </w:r>
    </w:p>
    <w:p>
      <w:pPr>
        <w:autoSpaceDE w:val="0"/>
        <w:autoSpaceDN w:val="0"/>
        <w:spacing w:line="400" w:lineRule="exact"/>
        <w:ind w:firstLine="420" w:firstLineChars="200"/>
        <w:rPr>
          <w:rFonts w:ascii="宋体" w:hAnsi="宋体"/>
        </w:rPr>
      </w:pPr>
      <w:r>
        <w:rPr>
          <w:rFonts w:hint="eastAsia" w:ascii="宋体" w:hAnsi="宋体"/>
        </w:rPr>
        <w:t>6、承包人购置上一轮保洁中可使用的保洁船的，发包人按评估价的30%以奖代补,每年奖补10%。</w:t>
      </w:r>
    </w:p>
    <w:p>
      <w:pPr>
        <w:autoSpaceDE w:val="0"/>
        <w:autoSpaceDN w:val="0"/>
        <w:spacing w:line="400" w:lineRule="exact"/>
        <w:rPr>
          <w:rFonts w:ascii="宋体" w:hAnsi="宋体"/>
          <w:b/>
          <w:color w:val="000000"/>
        </w:rPr>
      </w:pPr>
      <w:r>
        <w:rPr>
          <w:rFonts w:hint="eastAsia" w:ascii="宋体" w:hAnsi="宋体"/>
          <w:b/>
          <w:color w:val="000000"/>
        </w:rPr>
        <w:t>3.2 承包人职责：</w:t>
      </w:r>
    </w:p>
    <w:p>
      <w:pPr>
        <w:widowControl/>
        <w:shd w:val="clear" w:color="auto" w:fill="FCFCFC"/>
        <w:spacing w:line="400" w:lineRule="exact"/>
        <w:ind w:firstLine="420" w:firstLineChars="200"/>
        <w:jc w:val="left"/>
        <w:rPr>
          <w:rFonts w:ascii="宋体" w:hAnsi="宋体" w:cs="Arial"/>
          <w:color w:val="000000"/>
        </w:rPr>
      </w:pPr>
      <w:r>
        <w:rPr>
          <w:rFonts w:hint="eastAsia" w:ascii="宋体" w:hAnsi="宋体"/>
          <w:color w:val="000000"/>
        </w:rPr>
        <w:t>1、承包人必须按照“定时段、定河段、定人员、定船只、定责任、定措施”六定原则进行保洁作业。</w:t>
      </w:r>
      <w:r>
        <w:rPr>
          <w:rFonts w:hint="eastAsia" w:ascii="宋体" w:hAnsi="宋体" w:cs="Arial"/>
          <w:color w:val="000000"/>
        </w:rPr>
        <w:t>依法用工，按时发放工资。</w:t>
      </w:r>
    </w:p>
    <w:p>
      <w:pPr>
        <w:autoSpaceDE w:val="0"/>
        <w:autoSpaceDN w:val="0"/>
        <w:spacing w:line="400" w:lineRule="exact"/>
        <w:ind w:firstLine="420" w:firstLineChars="200"/>
        <w:rPr>
          <w:rFonts w:ascii="宋体" w:hAnsi="宋体"/>
          <w:color w:val="000000"/>
        </w:rPr>
      </w:pPr>
      <w:r>
        <w:rPr>
          <w:rFonts w:hint="eastAsia" w:ascii="宋体" w:hAnsi="宋体"/>
          <w:color w:val="000000"/>
        </w:rPr>
        <w:t>2、承包人需对保洁设备、保洁船进行统一编号，确保每条保洁船负责人通讯畅通，将人员通讯信息及保洁设备、船只编号情况报发包人备案。</w:t>
      </w:r>
    </w:p>
    <w:p>
      <w:pPr>
        <w:autoSpaceDE w:val="0"/>
        <w:autoSpaceDN w:val="0"/>
        <w:spacing w:line="400" w:lineRule="exact"/>
        <w:ind w:firstLine="420" w:firstLineChars="200"/>
        <w:rPr>
          <w:rFonts w:ascii="宋体" w:hAnsi="宋体"/>
          <w:color w:val="000000"/>
        </w:rPr>
      </w:pPr>
      <w:r>
        <w:rPr>
          <w:rFonts w:hint="eastAsia" w:ascii="宋体" w:hAnsi="宋体"/>
          <w:color w:val="000000"/>
        </w:rPr>
        <w:t>3、承包人如有人员请假或保洁设备、船只损坏无法出勤，调休人员及设备、船只必须及时进行补缺，保证发包人所规定的保洁力量标准数额的配备；如有人员变更的，必须符合发包人规定的要求，变更人员信息及通讯资料报发包人备案。</w:t>
      </w:r>
    </w:p>
    <w:p>
      <w:pPr>
        <w:autoSpaceDE w:val="0"/>
        <w:autoSpaceDN w:val="0"/>
        <w:spacing w:line="400" w:lineRule="exact"/>
        <w:ind w:firstLine="420" w:firstLineChars="200"/>
        <w:rPr>
          <w:rFonts w:ascii="宋体" w:hAnsi="宋体"/>
          <w:color w:val="000000"/>
        </w:rPr>
      </w:pPr>
      <w:r>
        <w:rPr>
          <w:rFonts w:hint="eastAsia" w:ascii="宋体" w:hAnsi="宋体"/>
          <w:color w:val="000000"/>
        </w:rPr>
        <w:t>4、承包人必须向发包人提交依据发包人规定要求所制定的保洁工作计划，承包人要精心组织，按照保洁要求完成保洁工作。发现有人在河道取土、河道两岸建房、建码头及时报告。</w:t>
      </w:r>
    </w:p>
    <w:p>
      <w:pPr>
        <w:autoSpaceDE w:val="0"/>
        <w:autoSpaceDN w:val="0"/>
        <w:spacing w:line="400" w:lineRule="exact"/>
        <w:ind w:firstLine="420" w:firstLineChars="200"/>
        <w:rPr>
          <w:rFonts w:ascii="宋体" w:hAnsi="宋体"/>
          <w:color w:val="000000"/>
        </w:rPr>
      </w:pPr>
      <w:r>
        <w:rPr>
          <w:rFonts w:hint="eastAsia" w:ascii="宋体" w:hAnsi="宋体"/>
          <w:color w:val="000000"/>
        </w:rPr>
        <w:t>5、对本合同保洁项目所需要的一切劳动力，设备和保洁工具、救生及安全防护器材和保洁方式由承包人自行组织安排配备，由此产生的一切费用由承包人承担。</w:t>
      </w:r>
    </w:p>
    <w:p>
      <w:pPr>
        <w:autoSpaceDE w:val="0"/>
        <w:autoSpaceDN w:val="0"/>
        <w:spacing w:line="400" w:lineRule="exact"/>
        <w:ind w:firstLine="420" w:firstLineChars="200"/>
        <w:rPr>
          <w:rFonts w:ascii="宋体" w:hAnsi="宋体"/>
          <w:color w:val="000000"/>
        </w:rPr>
      </w:pPr>
      <w:r>
        <w:rPr>
          <w:rFonts w:hint="eastAsia" w:ascii="宋体" w:hAnsi="宋体"/>
          <w:color w:val="000000"/>
        </w:rPr>
        <w:t>6、承包人应自觉接受发包人的管理指导和考核，并在搞好日常保洁工作的同时，必须配合发包人做好参加上级（或部门）检查及各项重大节日和活动的临时突击任务，如遇特殊情况，发包人根据需要提出保洁时间临时调整的，承包人必须无条件接受并积极配合。</w:t>
      </w:r>
    </w:p>
    <w:p>
      <w:pPr>
        <w:widowControl/>
        <w:shd w:val="clear" w:color="auto" w:fill="FCFCFC"/>
        <w:spacing w:line="400" w:lineRule="exact"/>
        <w:ind w:firstLine="420" w:firstLineChars="200"/>
        <w:jc w:val="left"/>
        <w:rPr>
          <w:rFonts w:ascii="宋体" w:hAnsi="宋体" w:cs="Arial"/>
          <w:color w:val="000000"/>
        </w:rPr>
      </w:pPr>
      <w:r>
        <w:rPr>
          <w:rFonts w:hint="eastAsia" w:ascii="宋体" w:hAnsi="宋体"/>
          <w:color w:val="000000"/>
        </w:rPr>
        <w:t>7、</w:t>
      </w:r>
      <w:r>
        <w:rPr>
          <w:rFonts w:hint="eastAsia" w:ascii="宋体" w:hAnsi="宋体" w:cs="Arial"/>
          <w:color w:val="000000"/>
        </w:rPr>
        <w:t>建立健全安全责任制，建立安全生产管理系统，创建安全生产、文明生产的氛围，定期进行安全教育和检查。必须严格遵守相关的法律法规及规范，督促现场施工人员规范操作，所有工作人员必须按规定穿戴防护及水上救生用品，并持证上岗。每月召开保洁人员例会，做好安全保洁培训，及时布置、点评和指导保洁工作。若发生人身、财产安全事故的，由承包人负责处理并承担由此产生的一切责任。</w:t>
      </w:r>
    </w:p>
    <w:p>
      <w:pPr>
        <w:autoSpaceDE w:val="0"/>
        <w:autoSpaceDN w:val="0"/>
        <w:spacing w:line="400" w:lineRule="exact"/>
        <w:ind w:firstLine="420" w:firstLineChars="200"/>
        <w:rPr>
          <w:rFonts w:ascii="宋体" w:hAnsi="宋体"/>
          <w:color w:val="000000"/>
        </w:rPr>
      </w:pPr>
      <w:r>
        <w:rPr>
          <w:rFonts w:hint="eastAsia" w:ascii="宋体" w:hAnsi="宋体"/>
          <w:color w:val="000000"/>
        </w:rPr>
        <w:t>8、承包人必须给所聘用的保洁人员在保险部门办理意外伤害险、医疗保险等。意外人身伤害保险保额不低于50万，医疗保险保额不低于1万。保险落实情况报发包人备案。</w:t>
      </w:r>
    </w:p>
    <w:p>
      <w:pPr>
        <w:autoSpaceDE w:val="0"/>
        <w:autoSpaceDN w:val="0"/>
        <w:spacing w:line="400" w:lineRule="exact"/>
        <w:ind w:firstLine="420" w:firstLineChars="200"/>
        <w:rPr>
          <w:rFonts w:ascii="宋体" w:hAnsi="宋体"/>
          <w:color w:val="000000"/>
        </w:rPr>
      </w:pPr>
      <w:r>
        <w:rPr>
          <w:rFonts w:hint="eastAsia" w:ascii="宋体" w:hAnsi="宋体"/>
          <w:color w:val="000000"/>
        </w:rPr>
        <w:t>9、在合同签订前按招标文件规定，承包人应交纳中标价10%履约保证金；落实好保洁人员；提供购买机械保洁船合同。</w:t>
      </w:r>
    </w:p>
    <w:p>
      <w:pPr>
        <w:autoSpaceDE w:val="0"/>
        <w:autoSpaceDN w:val="0"/>
        <w:spacing w:line="400" w:lineRule="exact"/>
        <w:ind w:firstLine="420" w:firstLineChars="200"/>
        <w:rPr>
          <w:rFonts w:ascii="宋体" w:hAnsi="宋体"/>
        </w:rPr>
      </w:pPr>
      <w:r>
        <w:rPr>
          <w:rFonts w:hint="eastAsia" w:ascii="宋体" w:hAnsi="宋体"/>
        </w:rPr>
        <w:t>10．上一轮区管河道保洁中标单位共36条机械保洁船（每标段1条全自动、2条半自动、9条简易，经南通市通州区价格认定中心评估约60万元）（不含补偿款），承包人须接受和购入。终止合同时，保洁船经依法评估后转售接任公司。</w:t>
      </w:r>
    </w:p>
    <w:p>
      <w:pPr>
        <w:autoSpaceDE w:val="0"/>
        <w:autoSpaceDN w:val="0"/>
        <w:spacing w:line="400" w:lineRule="exact"/>
        <w:rPr>
          <w:rFonts w:ascii="宋体" w:hAnsi="宋体"/>
          <w:b/>
          <w:color w:val="000000"/>
        </w:rPr>
      </w:pPr>
      <w:r>
        <w:rPr>
          <w:rFonts w:hint="eastAsia" w:ascii="宋体" w:hAnsi="宋体"/>
          <w:b/>
          <w:color w:val="000000"/>
        </w:rPr>
        <w:t>3.3 违约责任</w:t>
      </w:r>
    </w:p>
    <w:p>
      <w:pPr>
        <w:widowControl/>
        <w:shd w:val="clear" w:color="auto" w:fill="FCFCFC"/>
        <w:spacing w:line="400" w:lineRule="exact"/>
        <w:ind w:firstLine="420" w:firstLineChars="200"/>
        <w:jc w:val="left"/>
        <w:rPr>
          <w:rFonts w:ascii="宋体" w:hAnsi="宋体"/>
          <w:color w:val="000000"/>
        </w:rPr>
      </w:pPr>
      <w:r>
        <w:rPr>
          <w:rFonts w:hint="eastAsia" w:ascii="宋体" w:hAnsi="宋体"/>
          <w:color w:val="000000"/>
        </w:rPr>
        <w:t>承包人需按照“定时段、定河段、定人员、定船只、定责任、定措施”六定原则认真开展保洁工作。发包人给予承包人10天保洁试运行期，期满后，发包人将依据考核标准开展正常性的考核检查。</w:t>
      </w:r>
    </w:p>
    <w:p>
      <w:pPr>
        <w:widowControl/>
        <w:shd w:val="clear" w:color="auto" w:fill="FCFCFC"/>
        <w:spacing w:line="400" w:lineRule="exact"/>
        <w:ind w:firstLine="420" w:firstLineChars="200"/>
        <w:jc w:val="left"/>
        <w:rPr>
          <w:rFonts w:ascii="宋体" w:hAnsi="宋体" w:cs="Arial"/>
          <w:color w:val="000000"/>
        </w:rPr>
      </w:pPr>
      <w:r>
        <w:rPr>
          <w:rFonts w:ascii="宋体" w:hAnsi="宋体" w:cs="Arial"/>
          <w:color w:val="000000"/>
        </w:rPr>
        <w:t>1</w:t>
      </w:r>
      <w:r>
        <w:rPr>
          <w:rFonts w:hint="eastAsia" w:ascii="宋体" w:hAnsi="宋体" w:cs="Arial"/>
          <w:color w:val="000000"/>
        </w:rPr>
        <w:t>、承包人不得超过自己履约能力接受该项任务，该工作不允许转包或分包，若发现有转包或分包的行为，发包人有权无条件解除协议，承包人应支付合同价款的</w:t>
      </w:r>
      <w:r>
        <w:rPr>
          <w:rFonts w:ascii="宋体" w:hAnsi="宋体" w:cs="Arial"/>
          <w:color w:val="000000"/>
        </w:rPr>
        <w:t>5%</w:t>
      </w:r>
      <w:r>
        <w:rPr>
          <w:rFonts w:hint="eastAsia" w:ascii="宋体" w:hAnsi="宋体" w:cs="Arial"/>
          <w:color w:val="000000"/>
        </w:rPr>
        <w:t>作为违约金。</w:t>
      </w:r>
    </w:p>
    <w:p>
      <w:pPr>
        <w:widowControl/>
        <w:shd w:val="clear" w:color="auto" w:fill="FCFCFC"/>
        <w:spacing w:line="400" w:lineRule="exact"/>
        <w:ind w:firstLine="420" w:firstLineChars="200"/>
        <w:jc w:val="left"/>
        <w:rPr>
          <w:rFonts w:ascii="宋体" w:hAnsi="宋体" w:cs="Arial"/>
          <w:color w:val="000000"/>
        </w:rPr>
      </w:pPr>
      <w:r>
        <w:rPr>
          <w:rFonts w:ascii="宋体" w:hAnsi="宋体" w:cs="Arial"/>
          <w:color w:val="000000"/>
        </w:rPr>
        <w:t>2</w:t>
      </w:r>
      <w:r>
        <w:rPr>
          <w:rFonts w:hint="eastAsia" w:ascii="宋体" w:hAnsi="宋体" w:cs="Arial"/>
          <w:color w:val="000000"/>
        </w:rPr>
        <w:t>、承包人不履行合同，不按规定完成任务或未按投标书承诺投入人力、物力和设备，发包人有权要求承包人限期整改，逾期未整改且严重违约的，发包人有权根据终止合同，承包人应支付合同价款的</w:t>
      </w:r>
      <w:r>
        <w:rPr>
          <w:rFonts w:ascii="宋体" w:hAnsi="宋体" w:cs="Arial"/>
          <w:color w:val="000000"/>
        </w:rPr>
        <w:t>5%</w:t>
      </w:r>
      <w:r>
        <w:rPr>
          <w:rFonts w:hint="eastAsia" w:ascii="宋体" w:hAnsi="宋体" w:cs="Arial"/>
          <w:color w:val="000000"/>
        </w:rPr>
        <w:t>作为违约金。</w:t>
      </w:r>
    </w:p>
    <w:p>
      <w:pPr>
        <w:autoSpaceDE w:val="0"/>
        <w:autoSpaceDN w:val="0"/>
        <w:spacing w:line="400" w:lineRule="exact"/>
        <w:ind w:firstLine="420" w:firstLineChars="200"/>
        <w:rPr>
          <w:rFonts w:ascii="宋体" w:hAnsi="宋体"/>
          <w:color w:val="000000"/>
        </w:rPr>
      </w:pPr>
      <w:r>
        <w:rPr>
          <w:rFonts w:ascii="宋体" w:hAnsi="宋体" w:cs="Arial"/>
          <w:color w:val="000000"/>
        </w:rPr>
        <w:t>3</w:t>
      </w:r>
      <w:r>
        <w:rPr>
          <w:rFonts w:hint="eastAsia" w:ascii="宋体" w:hAnsi="宋体" w:cs="Arial"/>
          <w:color w:val="000000"/>
        </w:rPr>
        <w:t>、因承包人管理不善或操作不当等原因发生的事故并对发包方或第三方造成人身、财产等损害的，由承包人承担责任并负责善后处理，造成经济损失的，承包人应予赔偿。</w:t>
      </w:r>
    </w:p>
    <w:p>
      <w:pPr>
        <w:autoSpaceDE w:val="0"/>
        <w:autoSpaceDN w:val="0"/>
        <w:spacing w:line="400" w:lineRule="exact"/>
        <w:ind w:firstLine="420" w:firstLineChars="200"/>
        <w:rPr>
          <w:rFonts w:ascii="宋体" w:hAnsi="宋体"/>
          <w:color w:val="000000"/>
        </w:rPr>
      </w:pPr>
      <w:r>
        <w:rPr>
          <w:rFonts w:hint="eastAsia" w:ascii="宋体" w:hAnsi="宋体"/>
          <w:color w:val="000000"/>
        </w:rPr>
        <w:t>4.中标期限为3年。保洁合同一年度一签，承包人保洁工作经考核不合格，下一年度发包人有权终止合同不续签，但一年内承包人累计三次被警告即终止合同，终止合同日期为一年内第三次警告开出的日期为准。终止合同所造成的一切损失由承包人负责。</w:t>
      </w:r>
    </w:p>
    <w:p>
      <w:pPr>
        <w:autoSpaceDE w:val="0"/>
        <w:autoSpaceDN w:val="0"/>
        <w:spacing w:line="400" w:lineRule="exact"/>
        <w:ind w:firstLine="420" w:firstLineChars="200"/>
        <w:rPr>
          <w:rFonts w:ascii="宋体" w:hAnsi="宋体"/>
          <w:color w:val="000000"/>
        </w:rPr>
      </w:pPr>
      <w:r>
        <w:rPr>
          <w:rFonts w:hint="eastAsia" w:ascii="宋体" w:hAnsi="宋体"/>
          <w:color w:val="000000"/>
        </w:rPr>
        <w:t>5、承包人在承包期内，无充分理由单方终止承包合同履行，发包人有权没收承包人工程余款、履约保证金。承包人同时赔偿由此给发包人造成的损失。</w:t>
      </w:r>
    </w:p>
    <w:p>
      <w:pPr>
        <w:autoSpaceDE w:val="0"/>
        <w:autoSpaceDN w:val="0"/>
        <w:spacing w:line="400" w:lineRule="exact"/>
        <w:ind w:firstLine="420" w:firstLineChars="200"/>
        <w:rPr>
          <w:rFonts w:ascii="宋体" w:hAnsi="宋体"/>
          <w:color w:val="000000"/>
        </w:rPr>
      </w:pPr>
      <w:r>
        <w:rPr>
          <w:rFonts w:hint="eastAsia" w:ascii="宋体" w:hAnsi="宋体"/>
          <w:color w:val="000000"/>
        </w:rPr>
        <w:t>6、承包人保洁不到位，在接到发包人通知后，承包人应无条件在12小时内整改完毕，承包人如处置不力，造成恶劣影响的，发包人有权没收履约保证金并终止承包合同。</w:t>
      </w:r>
    </w:p>
    <w:p>
      <w:pPr>
        <w:autoSpaceDE w:val="0"/>
        <w:autoSpaceDN w:val="0"/>
        <w:spacing w:line="400" w:lineRule="exact"/>
        <w:ind w:firstLine="420" w:firstLineChars="200"/>
        <w:rPr>
          <w:rFonts w:ascii="宋体" w:hAnsi="宋体"/>
          <w:color w:val="000000"/>
        </w:rPr>
      </w:pPr>
      <w:r>
        <w:rPr>
          <w:rFonts w:hint="eastAsia" w:ascii="宋体" w:hAnsi="宋体"/>
          <w:color w:val="000000"/>
        </w:rPr>
        <w:t>7、承包人与聘用人员必须签订聘用合同，按期支付保洁工人的工资，为其交纳社会保险，办理意外伤害险、医疗保险等，如无故拖欠保洁工人工资，发包人有权从承包人应得的合同价款中预支付。如连续3个月或以上无故拖欠保洁工人工资的，或未保洁人员交纳社会保险，办理意外伤害险、医疗保险的，发包人有权终止承包合同。</w:t>
      </w:r>
    </w:p>
    <w:p>
      <w:pPr>
        <w:autoSpaceDE w:val="0"/>
        <w:autoSpaceDN w:val="0"/>
        <w:spacing w:line="400" w:lineRule="exact"/>
        <w:ind w:firstLine="420" w:firstLineChars="200"/>
        <w:rPr>
          <w:rFonts w:ascii="宋体" w:hAnsi="宋体"/>
          <w:color w:val="000000"/>
        </w:rPr>
      </w:pPr>
      <w:r>
        <w:rPr>
          <w:rFonts w:hint="eastAsia" w:ascii="宋体" w:hAnsi="宋体"/>
          <w:color w:val="000000"/>
        </w:rPr>
        <w:t>8、承包人在临近承包期满之前，必须对因其自身保洁不当所造成的遗留问题进行一次性的清理解决落实，并经发包人验收合格后方可退还履约保证金。如承包人在承包期满后还未对遗留问题落实解决的，发包人有权按照清理估算费用从承包人应得的合同价款中进行扣除。</w:t>
      </w:r>
    </w:p>
    <w:p>
      <w:pPr>
        <w:autoSpaceDE w:val="0"/>
        <w:autoSpaceDN w:val="0"/>
        <w:spacing w:line="400" w:lineRule="exact"/>
        <w:rPr>
          <w:rFonts w:ascii="宋体" w:hAnsi="宋体"/>
          <w:color w:val="000000"/>
        </w:rPr>
      </w:pPr>
      <w:r>
        <w:rPr>
          <w:rFonts w:hint="eastAsia" w:ascii="宋体" w:hAnsi="宋体"/>
          <w:b/>
          <w:bCs/>
          <w:color w:val="000000"/>
        </w:rPr>
        <w:t>3.4 争议</w:t>
      </w:r>
    </w:p>
    <w:p>
      <w:pPr>
        <w:autoSpaceDE w:val="0"/>
        <w:autoSpaceDN w:val="0"/>
        <w:spacing w:line="400" w:lineRule="exact"/>
        <w:ind w:firstLine="420" w:firstLineChars="200"/>
        <w:rPr>
          <w:rFonts w:ascii="宋体" w:hAnsi="宋体"/>
          <w:color w:val="000000"/>
        </w:rPr>
      </w:pPr>
      <w:r>
        <w:rPr>
          <w:rFonts w:hint="eastAsia" w:ascii="宋体" w:hAnsi="宋体"/>
          <w:color w:val="000000"/>
        </w:rPr>
        <w:t>双方约定，在履行合同过程中产生争议时：</w:t>
      </w:r>
    </w:p>
    <w:p>
      <w:pPr>
        <w:spacing w:line="400" w:lineRule="exact"/>
        <w:ind w:firstLine="460"/>
        <w:rPr>
          <w:rFonts w:ascii="宋体" w:hAnsi="宋体"/>
          <w:color w:val="000000"/>
        </w:rPr>
      </w:pPr>
      <w:r>
        <w:rPr>
          <w:rFonts w:hint="eastAsia" w:ascii="宋体" w:hAnsi="宋体"/>
          <w:color w:val="000000"/>
        </w:rPr>
        <w:t>(1)由</w:t>
      </w:r>
      <w:r>
        <w:rPr>
          <w:rFonts w:hint="eastAsia" w:ascii="宋体" w:hAnsi="宋体"/>
          <w:b/>
          <w:color w:val="000000"/>
          <w:u w:val="single"/>
        </w:rPr>
        <w:t xml:space="preserve"> 双方当事人协商  </w:t>
      </w:r>
      <w:r>
        <w:rPr>
          <w:rFonts w:hint="eastAsia" w:ascii="宋体" w:hAnsi="宋体"/>
          <w:color w:val="000000"/>
        </w:rPr>
        <w:t xml:space="preserve">解决； </w:t>
      </w:r>
    </w:p>
    <w:p>
      <w:pPr>
        <w:spacing w:line="400" w:lineRule="exact"/>
        <w:ind w:firstLine="460"/>
        <w:rPr>
          <w:rFonts w:ascii="宋体" w:hAnsi="宋体"/>
          <w:color w:val="000000"/>
        </w:rPr>
      </w:pPr>
      <w:r>
        <w:rPr>
          <w:rFonts w:hint="eastAsia" w:ascii="宋体" w:hAnsi="宋体"/>
          <w:color w:val="000000"/>
        </w:rPr>
        <w:t>(2)或向</w:t>
      </w:r>
      <w:r>
        <w:rPr>
          <w:rFonts w:hint="eastAsia" w:ascii="宋体" w:hAnsi="宋体"/>
          <w:b/>
          <w:color w:val="000000"/>
          <w:u w:val="single"/>
        </w:rPr>
        <w:t>通州区</w:t>
      </w:r>
      <w:r>
        <w:rPr>
          <w:rFonts w:hint="eastAsia" w:ascii="宋体" w:hAnsi="宋体"/>
          <w:color w:val="000000"/>
        </w:rPr>
        <w:t xml:space="preserve">人民法院提起诉讼。 </w:t>
      </w:r>
    </w:p>
    <w:p>
      <w:pPr>
        <w:spacing w:line="400" w:lineRule="exact"/>
        <w:rPr>
          <w:rFonts w:ascii="宋体" w:hAnsi="宋体"/>
          <w:b/>
          <w:bCs/>
          <w:color w:val="000000"/>
        </w:rPr>
      </w:pPr>
      <w:r>
        <w:rPr>
          <w:rFonts w:hint="eastAsia" w:ascii="宋体" w:hAnsi="宋体"/>
          <w:b/>
          <w:bCs/>
          <w:color w:val="000000"/>
        </w:rPr>
        <w:t>3.5 其他：</w:t>
      </w:r>
    </w:p>
    <w:p>
      <w:pPr>
        <w:spacing w:line="400" w:lineRule="exact"/>
        <w:rPr>
          <w:rFonts w:ascii="宋体" w:hAnsi="宋体"/>
          <w:b/>
          <w:bCs/>
          <w:color w:val="000000"/>
        </w:rPr>
      </w:pPr>
      <w:r>
        <w:rPr>
          <w:rFonts w:hint="eastAsia" w:ascii="宋体" w:hAnsi="宋体"/>
          <w:b/>
          <w:bCs/>
          <w:color w:val="000000"/>
        </w:rPr>
        <w:t>3.5.1 保险</w:t>
      </w:r>
    </w:p>
    <w:p>
      <w:pPr>
        <w:autoSpaceDE w:val="0"/>
        <w:autoSpaceDN w:val="0"/>
        <w:spacing w:line="400" w:lineRule="exact"/>
        <w:ind w:firstLine="420" w:firstLineChars="200"/>
        <w:rPr>
          <w:rFonts w:ascii="宋体" w:hAnsi="宋体"/>
          <w:color w:val="000000"/>
        </w:rPr>
      </w:pPr>
      <w:r>
        <w:rPr>
          <w:rFonts w:hint="eastAsia" w:ascii="宋体" w:hAnsi="宋体"/>
          <w:color w:val="000000"/>
        </w:rPr>
        <w:t>本工程双方约定投保内容如下：</w:t>
      </w:r>
    </w:p>
    <w:p>
      <w:pPr>
        <w:autoSpaceDE w:val="0"/>
        <w:autoSpaceDN w:val="0"/>
        <w:spacing w:line="400" w:lineRule="exact"/>
        <w:ind w:firstLine="420" w:firstLineChars="200"/>
        <w:rPr>
          <w:rFonts w:ascii="宋体" w:hAnsi="宋体"/>
          <w:color w:val="000000"/>
          <w:highlight w:val="yellow"/>
          <w:u w:val="single"/>
        </w:rPr>
      </w:pPr>
      <w:r>
        <w:rPr>
          <w:rFonts w:hint="eastAsia" w:ascii="宋体" w:hAnsi="宋体"/>
          <w:color w:val="000000"/>
        </w:rPr>
        <w:t>承包人投保内容：</w:t>
      </w:r>
      <w:r>
        <w:rPr>
          <w:rFonts w:hint="eastAsia" w:ascii="宋体" w:hAnsi="宋体"/>
          <w:b/>
          <w:color w:val="000000"/>
          <w:u w:val="single"/>
        </w:rPr>
        <w:t>按规定承包人必须为该工程所有人员投保意外人身伤害保险、医疗保险等（注：意外人身伤害保险保额不低于50万，医疗保险保额不低于1万）。</w:t>
      </w:r>
    </w:p>
    <w:p>
      <w:pPr>
        <w:autoSpaceDE w:val="0"/>
        <w:autoSpaceDN w:val="0"/>
        <w:spacing w:line="400" w:lineRule="exact"/>
        <w:rPr>
          <w:rFonts w:ascii="宋体" w:hAnsi="宋体"/>
          <w:b/>
          <w:color w:val="000000"/>
          <w:u w:val="single"/>
        </w:rPr>
      </w:pPr>
      <w:r>
        <w:rPr>
          <w:rFonts w:hint="eastAsia" w:ascii="宋体" w:hAnsi="宋体"/>
          <w:b/>
          <w:bCs/>
          <w:color w:val="000000"/>
        </w:rPr>
        <w:t>3.5.2 合同份数</w:t>
      </w:r>
    </w:p>
    <w:p>
      <w:pPr>
        <w:autoSpaceDE w:val="0"/>
        <w:autoSpaceDN w:val="0"/>
        <w:spacing w:line="400" w:lineRule="exact"/>
        <w:ind w:firstLine="420" w:firstLineChars="200"/>
        <w:rPr>
          <w:rFonts w:ascii="宋体" w:hAnsi="宋体"/>
          <w:color w:val="000000"/>
        </w:rPr>
      </w:pPr>
      <w:r>
        <w:rPr>
          <w:rFonts w:hint="eastAsia" w:ascii="宋体" w:hAnsi="宋体"/>
          <w:color w:val="000000"/>
        </w:rPr>
        <w:t>双方约定合同正副本份数：共4份，正本2份、副本2份，具有同等效力。</w:t>
      </w:r>
    </w:p>
    <w:p>
      <w:pPr>
        <w:autoSpaceDE w:val="0"/>
        <w:autoSpaceDN w:val="0"/>
        <w:spacing w:line="400" w:lineRule="exact"/>
        <w:rPr>
          <w:rFonts w:ascii="宋体" w:hAnsi="宋体"/>
          <w:color w:val="000000"/>
          <w:u w:val="single"/>
        </w:rPr>
      </w:pPr>
      <w:r>
        <w:rPr>
          <w:rFonts w:hint="eastAsia" w:ascii="宋体" w:hAnsi="宋体"/>
          <w:b/>
          <w:bCs/>
          <w:color w:val="000000"/>
        </w:rPr>
        <w:t>3.5.3 特别约定条款</w:t>
      </w:r>
    </w:p>
    <w:p>
      <w:pPr>
        <w:autoSpaceDE w:val="0"/>
        <w:autoSpaceDN w:val="0"/>
        <w:spacing w:line="400" w:lineRule="exact"/>
        <w:ind w:firstLine="420" w:firstLineChars="200"/>
        <w:rPr>
          <w:rFonts w:ascii="宋体" w:hAnsi="宋体"/>
          <w:color w:val="000000"/>
        </w:rPr>
      </w:pPr>
      <w:r>
        <w:rPr>
          <w:rFonts w:hint="eastAsia" w:ascii="宋体" w:hAnsi="宋体"/>
          <w:color w:val="000000"/>
        </w:rPr>
        <w:t>（1）承包人必须购买上一轮保洁过程中仍可使用的机械保洁船，按评估价购入（</w:t>
      </w:r>
      <w:r>
        <w:rPr>
          <w:rFonts w:hint="eastAsia" w:ascii="宋体" w:hAnsi="宋体"/>
        </w:rPr>
        <w:t>每标段1条全自动、2条半自动、9条简易机械保洁船</w:t>
      </w:r>
      <w:r>
        <w:rPr>
          <w:rFonts w:hint="eastAsia" w:ascii="宋体" w:hAnsi="宋体"/>
          <w:color w:val="000000"/>
        </w:rPr>
        <w:t>）；其他保洁所需的船只、清运设备由承包人自行组织、自备安排。所有保洁船只（设备）使用费纳入承包价款。</w:t>
      </w:r>
    </w:p>
    <w:p>
      <w:pPr>
        <w:autoSpaceDE w:val="0"/>
        <w:autoSpaceDN w:val="0"/>
        <w:spacing w:line="400" w:lineRule="exact"/>
        <w:ind w:firstLine="420" w:firstLineChars="200"/>
        <w:rPr>
          <w:rFonts w:ascii="宋体" w:hAnsi="宋体"/>
          <w:color w:val="000000"/>
        </w:rPr>
      </w:pPr>
      <w:r>
        <w:rPr>
          <w:rFonts w:hint="eastAsia" w:ascii="宋体" w:hAnsi="宋体"/>
          <w:color w:val="000000"/>
        </w:rPr>
        <w:t>（2）承包人的总报价为本工程所包含的一切费用，双方在本合同中已确认，不再调整。</w:t>
      </w:r>
    </w:p>
    <w:p>
      <w:pPr>
        <w:autoSpaceDE w:val="0"/>
        <w:autoSpaceDN w:val="0"/>
        <w:spacing w:line="400" w:lineRule="exact"/>
        <w:ind w:firstLine="420" w:firstLineChars="200"/>
        <w:rPr>
          <w:rFonts w:ascii="宋体" w:hAnsi="宋体"/>
          <w:color w:val="000000"/>
        </w:rPr>
      </w:pPr>
      <w:r>
        <w:rPr>
          <w:rFonts w:hint="eastAsia" w:ascii="宋体" w:hAnsi="宋体"/>
          <w:color w:val="000000"/>
        </w:rPr>
        <w:t>（3）发包人对承包人保洁工程的工作质量评定考核，每次考核情况发包人以书面形式（可用照片或录像）进行备案记录。保洁合同一年一签，承包人保洁工作经考核不合格，下一年度发包人有权终止合同不续签，但一年内承包人累计三次被警告即终止合同，终止合同日期为一年内第三次警告开出的日期为准。</w:t>
      </w:r>
    </w:p>
    <w:p>
      <w:pPr>
        <w:autoSpaceDE w:val="0"/>
        <w:autoSpaceDN w:val="0"/>
        <w:spacing w:line="400" w:lineRule="exact"/>
        <w:ind w:firstLine="420" w:firstLineChars="200"/>
        <w:rPr>
          <w:rFonts w:ascii="宋体" w:hAnsi="宋体"/>
          <w:color w:val="000000"/>
        </w:rPr>
      </w:pPr>
      <w:r>
        <w:rPr>
          <w:rFonts w:hint="eastAsia" w:ascii="宋体" w:hAnsi="宋体"/>
          <w:color w:val="000000"/>
        </w:rPr>
        <w:t>（4）保洁人员在工作时间内，必须按作业要求着工作服穿救生衣，并严格遵守水上作业的安全保障规定，采取切实的保护措施。</w:t>
      </w:r>
    </w:p>
    <w:p>
      <w:pPr>
        <w:autoSpaceDE w:val="0"/>
        <w:autoSpaceDN w:val="0"/>
        <w:spacing w:line="400" w:lineRule="exact"/>
        <w:ind w:firstLine="420" w:firstLineChars="200"/>
        <w:rPr>
          <w:rFonts w:ascii="宋体" w:hAnsi="宋体"/>
          <w:color w:val="000000"/>
        </w:rPr>
      </w:pPr>
      <w:r>
        <w:rPr>
          <w:rFonts w:hint="eastAsia" w:ascii="宋体" w:hAnsi="宋体"/>
          <w:color w:val="000000"/>
        </w:rPr>
        <w:t>（5）承包人在通州区内必须有固定的办公地点。</w:t>
      </w:r>
    </w:p>
    <w:p>
      <w:pPr>
        <w:autoSpaceDE w:val="0"/>
        <w:autoSpaceDN w:val="0"/>
        <w:spacing w:line="400" w:lineRule="exact"/>
        <w:ind w:firstLine="420" w:firstLineChars="200"/>
        <w:rPr>
          <w:rFonts w:ascii="宋体" w:hAnsi="宋体"/>
          <w:color w:val="000000"/>
        </w:rPr>
      </w:pPr>
      <w:r>
        <w:rPr>
          <w:rFonts w:hint="eastAsia" w:ascii="宋体" w:hAnsi="宋体"/>
          <w:color w:val="000000"/>
        </w:rPr>
        <w:t>（6）承包人在承包合同期满后，因发包人特别原因需延续保洁期，承包人应配合完成，此期间保洁经费按当年保洁费金额折天计算，按实结算或签订延续合同。</w:t>
      </w:r>
    </w:p>
    <w:p>
      <w:pPr>
        <w:spacing w:line="400" w:lineRule="exact"/>
        <w:ind w:firstLine="420" w:firstLineChars="200"/>
        <w:rPr>
          <w:rFonts w:ascii="宋体" w:hAnsi="宋体"/>
          <w:color w:val="000000"/>
        </w:rPr>
      </w:pPr>
      <w:r>
        <w:rPr>
          <w:rFonts w:hint="eastAsia" w:ascii="宋体" w:hAnsi="宋体"/>
          <w:color w:val="000000"/>
        </w:rPr>
        <w:t>（7）每个标段需购置50马力以上全自动机械保洁船</w:t>
      </w:r>
      <w:r>
        <w:rPr>
          <w:rFonts w:ascii="宋体" w:hAnsi="宋体"/>
          <w:color w:val="000000"/>
        </w:rPr>
        <w:t>1</w:t>
      </w:r>
      <w:r>
        <w:rPr>
          <w:rFonts w:hint="eastAsia" w:ascii="宋体" w:hAnsi="宋体"/>
          <w:color w:val="000000"/>
        </w:rPr>
        <w:t>条，</w:t>
      </w:r>
      <w:r>
        <w:rPr>
          <w:rFonts w:ascii="宋体" w:hAnsi="宋体"/>
          <w:color w:val="000000"/>
        </w:rPr>
        <w:t>30</w:t>
      </w:r>
      <w:r>
        <w:rPr>
          <w:rFonts w:hint="eastAsia" w:ascii="宋体" w:hAnsi="宋体"/>
          <w:color w:val="000000"/>
        </w:rPr>
        <w:t>马力以上半自动机械保洁船</w:t>
      </w:r>
      <w:r>
        <w:rPr>
          <w:rFonts w:ascii="宋体" w:hAnsi="宋体"/>
          <w:color w:val="000000"/>
        </w:rPr>
        <w:t>2</w:t>
      </w:r>
      <w:r>
        <w:rPr>
          <w:rFonts w:hint="eastAsia" w:ascii="宋体" w:hAnsi="宋体"/>
          <w:color w:val="000000"/>
        </w:rPr>
        <w:t>条，20马力以上动力机械保洁船9条。</w:t>
      </w:r>
    </w:p>
    <w:p>
      <w:pPr>
        <w:autoSpaceDE w:val="0"/>
        <w:autoSpaceDN w:val="0"/>
        <w:spacing w:line="400" w:lineRule="exact"/>
        <w:ind w:firstLine="420" w:firstLineChars="200"/>
        <w:rPr>
          <w:rFonts w:ascii="宋体" w:hAnsi="宋体"/>
          <w:color w:val="000000"/>
        </w:rPr>
      </w:pPr>
      <w:r>
        <w:rPr>
          <w:rFonts w:hint="eastAsia" w:ascii="宋体" w:hAnsi="宋体"/>
          <w:color w:val="000000"/>
        </w:rPr>
        <w:t>（8）每个标段河道保洁人员不少于25人。作业时，每条全自动机械保洁船配保洁人员不少于3人，每条半自动机械保洁船、动力机械保洁船配保洁人员不于2人。</w:t>
      </w:r>
    </w:p>
    <w:p>
      <w:pPr>
        <w:autoSpaceDE w:val="0"/>
        <w:autoSpaceDN w:val="0"/>
        <w:spacing w:line="400" w:lineRule="exact"/>
        <w:ind w:firstLine="420" w:firstLineChars="200"/>
        <w:rPr>
          <w:rFonts w:ascii="宋体" w:hAnsi="宋体"/>
          <w:color w:val="000000"/>
        </w:rPr>
      </w:pPr>
      <w:r>
        <w:rPr>
          <w:rFonts w:hint="eastAsia" w:ascii="宋体" w:hAnsi="宋体"/>
          <w:color w:val="000000"/>
        </w:rPr>
        <w:t>（9）购置的保洁船须申领船检证，保洁船驾驶员须持船舶驾驶证。未办理、申领船检证、驾驶证的，所造成的一切责任、后果由承包人负责。办理、申领船检证、驾驶证及驾驶员培训等一切费用纳入承包价款。</w:t>
      </w:r>
    </w:p>
    <w:p>
      <w:pPr>
        <w:autoSpaceDE w:val="0"/>
        <w:autoSpaceDN w:val="0"/>
        <w:spacing w:line="400" w:lineRule="exact"/>
        <w:ind w:firstLine="420" w:firstLineChars="200"/>
        <w:rPr>
          <w:rFonts w:ascii="宋体" w:hAnsi="宋体"/>
          <w:color w:val="000000"/>
          <w:spacing w:val="-4"/>
        </w:rPr>
      </w:pPr>
      <w:r>
        <w:rPr>
          <w:rFonts w:hint="eastAsia" w:ascii="宋体" w:hAnsi="宋体"/>
          <w:color w:val="000000"/>
        </w:rPr>
        <w:t>（10）</w:t>
      </w:r>
      <w:r>
        <w:rPr>
          <w:rFonts w:hint="eastAsia" w:ascii="宋体" w:hAnsi="宋体"/>
          <w:color w:val="000000"/>
          <w:spacing w:val="-4"/>
        </w:rPr>
        <w:t>对拖欠保洁人员工资和社会保险的保洁公司，报通州区公管办给予记不良行为，予以网上公示，并将其列入该公司相关领域诚信体系建设“黑名单”，暂停其在通州区投标准入资格。</w:t>
      </w:r>
    </w:p>
    <w:p>
      <w:pPr>
        <w:widowControl/>
        <w:shd w:val="clear" w:color="auto" w:fill="FCFCFC"/>
        <w:spacing w:line="400" w:lineRule="exact"/>
        <w:ind w:firstLine="494" w:firstLineChars="245"/>
        <w:jc w:val="left"/>
        <w:rPr>
          <w:rFonts w:ascii="宋体" w:hAnsi="宋体" w:cs="宋体"/>
          <w:color w:val="000000"/>
          <w:kern w:val="0"/>
        </w:rPr>
      </w:pPr>
      <w:r>
        <w:rPr>
          <w:rFonts w:hint="eastAsia" w:ascii="宋体" w:hAnsi="宋体"/>
          <w:color w:val="000000"/>
          <w:spacing w:val="-4"/>
        </w:rPr>
        <w:t>（11）</w:t>
      </w:r>
      <w:r>
        <w:rPr>
          <w:rFonts w:hint="eastAsia" w:ascii="宋体" w:hAnsi="宋体" w:cs="宋体"/>
          <w:color w:val="000000"/>
          <w:kern w:val="0"/>
        </w:rPr>
        <w:t>履约保证金的退还。合同履行完毕，发包人无息退还承包人履约保证金。承包人在履约过程第一次被警告的，扣1%的履约保证金；第二次被警告，再扣2%履约保证金；第三次被警告，再扣2%履约保证金，终止合同。未达保洁服务期的，扣3%的工期履约保证金；发生安全事故的，扣2%的履约保证金。</w:t>
      </w:r>
    </w:p>
    <w:p>
      <w:pPr>
        <w:spacing w:line="400" w:lineRule="exact"/>
        <w:ind w:firstLine="404" w:firstLineChars="200"/>
        <w:rPr>
          <w:rFonts w:ascii="宋体" w:hAnsi="宋体" w:cs="Arial"/>
          <w:bCs/>
          <w:color w:val="000000"/>
        </w:rPr>
      </w:pPr>
      <w:r>
        <w:rPr>
          <w:rFonts w:hint="eastAsia" w:ascii="宋体" w:hAnsi="宋体"/>
          <w:color w:val="000000"/>
          <w:spacing w:val="-4"/>
        </w:rPr>
        <w:t>（12）</w:t>
      </w:r>
      <w:r>
        <w:rPr>
          <w:rFonts w:hint="eastAsia" w:ascii="宋体" w:hAnsi="宋体" w:cs="Arial"/>
          <w:bCs/>
          <w:color w:val="000000"/>
        </w:rPr>
        <w:t>发包人保留对本合同进行修订和完善的权利</w:t>
      </w:r>
    </w:p>
    <w:p>
      <w:pPr>
        <w:spacing w:line="280" w:lineRule="exact"/>
        <w:ind w:firstLine="912" w:firstLineChars="285"/>
        <w:jc w:val="center"/>
        <w:rPr>
          <w:sz w:val="32"/>
          <w:szCs w:val="32"/>
        </w:rPr>
      </w:pPr>
    </w:p>
    <w:p>
      <w:pPr>
        <w:spacing w:line="280" w:lineRule="exact"/>
        <w:ind w:firstLine="912" w:firstLineChars="285"/>
        <w:jc w:val="center"/>
        <w:rPr>
          <w:sz w:val="32"/>
          <w:szCs w:val="32"/>
        </w:rPr>
      </w:pPr>
    </w:p>
    <w:p>
      <w:pPr>
        <w:spacing w:line="280" w:lineRule="exact"/>
        <w:ind w:firstLine="912" w:firstLineChars="285"/>
        <w:jc w:val="center"/>
        <w:rPr>
          <w:sz w:val="32"/>
          <w:szCs w:val="32"/>
        </w:rPr>
      </w:pPr>
    </w:p>
    <w:p>
      <w:pPr>
        <w:spacing w:line="280" w:lineRule="exact"/>
        <w:ind w:firstLine="912" w:firstLineChars="285"/>
        <w:jc w:val="center"/>
        <w:rPr>
          <w:sz w:val="32"/>
          <w:szCs w:val="32"/>
        </w:rPr>
      </w:pPr>
    </w:p>
    <w:p>
      <w:pPr>
        <w:spacing w:line="280" w:lineRule="exact"/>
        <w:ind w:firstLine="912" w:firstLineChars="285"/>
        <w:jc w:val="center"/>
        <w:rPr>
          <w:sz w:val="32"/>
          <w:szCs w:val="32"/>
        </w:rPr>
      </w:pPr>
    </w:p>
    <w:p>
      <w:pPr>
        <w:spacing w:line="280" w:lineRule="exact"/>
        <w:ind w:firstLine="912" w:firstLineChars="285"/>
        <w:jc w:val="center"/>
        <w:rPr>
          <w:sz w:val="32"/>
          <w:szCs w:val="32"/>
        </w:rPr>
      </w:pPr>
    </w:p>
    <w:p>
      <w:pPr>
        <w:spacing w:line="280" w:lineRule="exact"/>
        <w:ind w:firstLine="912" w:firstLineChars="285"/>
        <w:jc w:val="center"/>
        <w:rPr>
          <w:sz w:val="32"/>
          <w:szCs w:val="32"/>
        </w:rPr>
      </w:pPr>
    </w:p>
    <w:p>
      <w:pPr>
        <w:spacing w:line="280" w:lineRule="exact"/>
        <w:ind w:firstLine="912" w:firstLineChars="285"/>
        <w:jc w:val="center"/>
        <w:rPr>
          <w:sz w:val="32"/>
          <w:szCs w:val="32"/>
        </w:rPr>
      </w:pPr>
    </w:p>
    <w:p>
      <w:pPr>
        <w:spacing w:line="280" w:lineRule="exact"/>
        <w:ind w:firstLine="912" w:firstLineChars="285"/>
        <w:jc w:val="center"/>
        <w:rPr>
          <w:sz w:val="32"/>
          <w:szCs w:val="32"/>
        </w:rPr>
      </w:pPr>
    </w:p>
    <w:p>
      <w:pPr>
        <w:spacing w:line="280" w:lineRule="exact"/>
        <w:ind w:firstLine="912" w:firstLineChars="285"/>
        <w:jc w:val="center"/>
        <w:rPr>
          <w:sz w:val="32"/>
          <w:szCs w:val="32"/>
        </w:rPr>
      </w:pPr>
    </w:p>
    <w:p>
      <w:pPr>
        <w:spacing w:line="280" w:lineRule="exact"/>
        <w:ind w:firstLine="912" w:firstLineChars="285"/>
        <w:jc w:val="center"/>
        <w:rPr>
          <w:sz w:val="32"/>
          <w:szCs w:val="32"/>
        </w:rPr>
      </w:pPr>
    </w:p>
    <w:p>
      <w:pPr>
        <w:spacing w:line="280" w:lineRule="exact"/>
        <w:ind w:firstLine="912" w:firstLineChars="285"/>
        <w:jc w:val="center"/>
        <w:rPr>
          <w:sz w:val="32"/>
          <w:szCs w:val="32"/>
        </w:rPr>
      </w:pPr>
    </w:p>
    <w:p>
      <w:pPr>
        <w:spacing w:line="280" w:lineRule="exact"/>
        <w:ind w:firstLine="912" w:firstLineChars="285"/>
        <w:jc w:val="center"/>
        <w:rPr>
          <w:sz w:val="32"/>
          <w:szCs w:val="32"/>
        </w:rPr>
      </w:pPr>
    </w:p>
    <w:p>
      <w:pPr>
        <w:spacing w:line="280" w:lineRule="exact"/>
        <w:ind w:firstLine="912" w:firstLineChars="285"/>
        <w:jc w:val="center"/>
        <w:rPr>
          <w:sz w:val="32"/>
          <w:szCs w:val="32"/>
        </w:rPr>
      </w:pPr>
    </w:p>
    <w:p>
      <w:pPr>
        <w:spacing w:line="280" w:lineRule="exact"/>
        <w:rPr>
          <w:sz w:val="32"/>
          <w:szCs w:val="32"/>
        </w:rPr>
      </w:pPr>
    </w:p>
    <w:p>
      <w:pPr>
        <w:spacing w:line="280" w:lineRule="exact"/>
        <w:ind w:firstLine="912" w:firstLineChars="285"/>
        <w:jc w:val="center"/>
        <w:rPr>
          <w:sz w:val="32"/>
          <w:szCs w:val="32"/>
        </w:rPr>
      </w:pPr>
    </w:p>
    <w:p>
      <w:pPr>
        <w:spacing w:before="120" w:after="120" w:line="360" w:lineRule="auto"/>
        <w:rPr>
          <w:rFonts w:ascii="黑体" w:hAnsi="宋体" w:eastAsia="黑体"/>
          <w:b/>
          <w:sz w:val="28"/>
          <w:szCs w:val="28"/>
        </w:rPr>
      </w:pPr>
      <w:r>
        <w:rPr>
          <w:rFonts w:hint="eastAsia" w:ascii="黑体" w:hAnsi="宋体" w:eastAsia="黑体"/>
          <w:b/>
          <w:sz w:val="28"/>
          <w:szCs w:val="28"/>
        </w:rPr>
        <w:br w:type="page"/>
      </w:r>
      <w:r>
        <w:rPr>
          <w:rFonts w:hint="eastAsia" w:ascii="黑体" w:hAnsi="宋体" w:eastAsia="黑体"/>
          <w:b/>
          <w:sz w:val="28"/>
          <w:szCs w:val="28"/>
        </w:rPr>
        <w:t>附件一：                廉政合同（格式）</w:t>
      </w:r>
    </w:p>
    <w:p>
      <w:pPr>
        <w:spacing w:line="360" w:lineRule="auto"/>
        <w:ind w:firstLine="420" w:firstLineChars="200"/>
        <w:rPr>
          <w:rFonts w:ascii="宋体" w:hAnsi="宋体"/>
        </w:rPr>
      </w:pPr>
      <w:r>
        <w:rPr>
          <w:rFonts w:hint="eastAsia" w:ascii="宋体" w:hAnsi="宋体"/>
        </w:rPr>
        <w:t>根据《关于在基础设施建设中加强廉政建设的若干意见》以及有关工程建设、廉政建设的规定，为做好工程建设中的党风廉政建设，保证工程建设高效优质，保证建设资金的安全和有效使用以及投资效益，（项目名称）项目法人 （项目法人名称，以下简称“甲方”）与该项目的承包人（承包人名称，以下简称“乙方”），特订立如下合同。</w:t>
      </w:r>
    </w:p>
    <w:p>
      <w:pPr>
        <w:spacing w:line="360" w:lineRule="auto"/>
        <w:ind w:firstLine="420" w:firstLineChars="200"/>
        <w:rPr>
          <w:rFonts w:ascii="宋体" w:hAnsi="宋体"/>
        </w:rPr>
      </w:pPr>
      <w:r>
        <w:rPr>
          <w:rFonts w:hint="eastAsia" w:ascii="宋体" w:hAnsi="宋体"/>
        </w:rPr>
        <w:t>1．甲方和乙方双方的权利和义务</w:t>
      </w:r>
    </w:p>
    <w:p>
      <w:pPr>
        <w:spacing w:line="360" w:lineRule="auto"/>
        <w:ind w:firstLine="420" w:firstLineChars="200"/>
        <w:rPr>
          <w:rFonts w:ascii="宋体" w:hAnsi="宋体"/>
        </w:rPr>
      </w:pPr>
      <w:r>
        <w:rPr>
          <w:rFonts w:hint="eastAsia" w:ascii="宋体" w:hAnsi="宋体"/>
        </w:rPr>
        <w:t>（1）严格遵守党的政策规定和国家有关法律法规及水利部的有关规定。</w:t>
      </w:r>
    </w:p>
    <w:p>
      <w:pPr>
        <w:spacing w:line="360" w:lineRule="auto"/>
        <w:ind w:firstLine="420" w:firstLineChars="200"/>
        <w:rPr>
          <w:rFonts w:ascii="宋体" w:hAnsi="宋体"/>
        </w:rPr>
      </w:pPr>
      <w:r>
        <w:rPr>
          <w:rFonts w:hint="eastAsia" w:ascii="宋体" w:hAnsi="宋体"/>
        </w:rPr>
        <w:t>（2）严格执行（项目名称）合同文件，自觉按合同办事。</w:t>
      </w:r>
    </w:p>
    <w:p>
      <w:pPr>
        <w:spacing w:line="360" w:lineRule="auto"/>
        <w:ind w:firstLine="420" w:firstLineChars="200"/>
        <w:rPr>
          <w:rFonts w:ascii="宋体" w:hAnsi="宋体"/>
        </w:rPr>
      </w:pPr>
      <w:r>
        <w:rPr>
          <w:rFonts w:hint="eastAsia" w:ascii="宋体" w:hAnsi="宋体"/>
        </w:rPr>
        <w:t>（3）双方的业务活动坚持公开、公正、诚信、透明的原则（法律认定的商业秘密和合同文件另有规定除外），不得损害国家和集体利益，不得违反工程建设管理规章制度。</w:t>
      </w:r>
    </w:p>
    <w:p>
      <w:pPr>
        <w:spacing w:line="360" w:lineRule="auto"/>
        <w:ind w:firstLine="420" w:firstLineChars="200"/>
        <w:rPr>
          <w:rFonts w:ascii="宋体" w:hAnsi="宋体"/>
        </w:rPr>
      </w:pPr>
      <w:r>
        <w:rPr>
          <w:rFonts w:hint="eastAsia" w:ascii="宋体" w:hAnsi="宋体"/>
        </w:rPr>
        <w:t>（4）建立健全廉政制度，开展廉政教育，设立廉政告示牌，公布举报电话，监督并认真查处违法违纪行为。</w:t>
      </w:r>
    </w:p>
    <w:p>
      <w:pPr>
        <w:spacing w:line="360" w:lineRule="auto"/>
        <w:ind w:firstLine="420" w:firstLineChars="200"/>
        <w:rPr>
          <w:rFonts w:ascii="宋体" w:hAnsi="宋体"/>
        </w:rPr>
      </w:pPr>
      <w:r>
        <w:rPr>
          <w:rFonts w:hint="eastAsia" w:ascii="宋体" w:hAnsi="宋体"/>
        </w:rPr>
        <w:t>（5）发现对方在业务活动中有违反廉政规定的行为，有及时提醒对方纠正的权利和义务。</w:t>
      </w:r>
    </w:p>
    <w:p>
      <w:pPr>
        <w:spacing w:line="360" w:lineRule="auto"/>
        <w:ind w:firstLine="420" w:firstLineChars="200"/>
        <w:rPr>
          <w:rFonts w:ascii="宋体" w:hAnsi="宋体"/>
        </w:rPr>
      </w:pPr>
      <w:r>
        <w:rPr>
          <w:rFonts w:hint="eastAsia" w:ascii="宋体" w:hAnsi="宋体"/>
        </w:rPr>
        <w:t>（6）发现对方严重违反本合同义务条款的行为，有向其上级有关部门举报、建议给予处理并要求告知处理结果的权利。</w:t>
      </w:r>
    </w:p>
    <w:p>
      <w:pPr>
        <w:spacing w:line="360" w:lineRule="auto"/>
        <w:ind w:firstLine="420" w:firstLineChars="200"/>
        <w:rPr>
          <w:rFonts w:ascii="宋体" w:hAnsi="宋体"/>
        </w:rPr>
      </w:pPr>
      <w:r>
        <w:rPr>
          <w:rFonts w:hint="eastAsia" w:ascii="宋体" w:hAnsi="宋体"/>
        </w:rPr>
        <w:t>2．甲方的义务</w:t>
      </w:r>
    </w:p>
    <w:p>
      <w:pPr>
        <w:spacing w:line="360" w:lineRule="auto"/>
        <w:ind w:firstLine="420" w:firstLineChars="200"/>
        <w:rPr>
          <w:rFonts w:ascii="宋体" w:hAnsi="宋体"/>
        </w:rPr>
      </w:pPr>
      <w:r>
        <w:rPr>
          <w:rFonts w:hint="eastAsia" w:ascii="宋体" w:hAnsi="宋体"/>
        </w:rPr>
        <w:t>（1）甲方及其工作人员不得索要或接受乙方的礼金、有价证券和贵重物品，不得让乙方报销任何应由甲方或甲方工作人员个人支付的费用等。</w:t>
      </w:r>
    </w:p>
    <w:p>
      <w:pPr>
        <w:spacing w:line="360" w:lineRule="auto"/>
        <w:ind w:firstLine="420" w:firstLineChars="200"/>
        <w:rPr>
          <w:rFonts w:ascii="宋体" w:hAnsi="宋体"/>
        </w:rPr>
      </w:pPr>
      <w:r>
        <w:rPr>
          <w:rFonts w:hint="eastAsia" w:ascii="宋体" w:hAnsi="宋体"/>
        </w:rPr>
        <w:t>（2）甲方工作人员不得参加乙方安排的超标准宴请和娱乐活动；不得接受乙方提供的通讯工具、交通工具和高档办公用品等。</w:t>
      </w:r>
    </w:p>
    <w:p>
      <w:pPr>
        <w:spacing w:line="360" w:lineRule="auto"/>
        <w:ind w:firstLine="420" w:firstLineChars="200"/>
        <w:rPr>
          <w:rFonts w:ascii="宋体" w:hAnsi="宋体"/>
        </w:rPr>
      </w:pPr>
      <w:r>
        <w:rPr>
          <w:rFonts w:hint="eastAsia" w:ascii="宋体" w:hAnsi="宋体"/>
        </w:rPr>
        <w:t>（3）甲方及其工作人员不利要求或者接受乙方为其住房装修、婚丧嫁娶活动、配偶子女的工作安排以及出国出境、旅游等提供方便等。</w:t>
      </w:r>
    </w:p>
    <w:p>
      <w:pPr>
        <w:spacing w:line="360" w:lineRule="auto"/>
        <w:ind w:firstLine="420" w:firstLineChars="200"/>
        <w:rPr>
          <w:rFonts w:ascii="宋体" w:hAnsi="宋体"/>
        </w:rPr>
      </w:pPr>
      <w:r>
        <w:rPr>
          <w:rFonts w:hint="eastAsia" w:ascii="宋体" w:hAnsi="宋体"/>
        </w:rPr>
        <w:t>（4）甲方工作人员及其配偶、子女不得从事与甲方工作有关的材料设备供应、工程分包、劳务等经济活动等。</w:t>
      </w:r>
    </w:p>
    <w:p>
      <w:pPr>
        <w:spacing w:line="360" w:lineRule="auto"/>
        <w:ind w:firstLine="420" w:firstLineChars="200"/>
        <w:rPr>
          <w:rFonts w:ascii="宋体" w:hAnsi="宋体"/>
        </w:rPr>
      </w:pPr>
      <w:r>
        <w:rPr>
          <w:rFonts w:hint="eastAsia" w:ascii="宋体" w:hAnsi="宋体"/>
        </w:rPr>
        <w:t>（5）甲方及期工作人员不得以任何理由向乙方推荐分包单位或推销材料，不得要求乙方购买合同规定外的材料和设备。</w:t>
      </w:r>
    </w:p>
    <w:p>
      <w:pPr>
        <w:spacing w:line="360" w:lineRule="auto"/>
        <w:ind w:firstLine="420" w:firstLineChars="200"/>
        <w:rPr>
          <w:rFonts w:ascii="宋体" w:hAnsi="宋体"/>
        </w:rPr>
      </w:pPr>
      <w:r>
        <w:rPr>
          <w:rFonts w:hint="eastAsia" w:ascii="宋体" w:hAnsi="宋体"/>
        </w:rPr>
        <w:t>（6）甲方工作人员要秉公办事，不准营私舞弊，不准利用职权从事各种个人有偿中介活动和安排个人施工队伍。</w:t>
      </w:r>
    </w:p>
    <w:p>
      <w:pPr>
        <w:spacing w:line="360" w:lineRule="auto"/>
        <w:ind w:firstLine="420" w:firstLineChars="200"/>
        <w:rPr>
          <w:rFonts w:ascii="宋体" w:hAnsi="宋体"/>
        </w:rPr>
      </w:pPr>
      <w:r>
        <w:rPr>
          <w:rFonts w:hint="eastAsia" w:ascii="宋体" w:hAnsi="宋体"/>
        </w:rPr>
        <w:t>3．乙方的义务</w:t>
      </w:r>
    </w:p>
    <w:p>
      <w:pPr>
        <w:spacing w:line="360" w:lineRule="auto"/>
        <w:ind w:firstLine="420" w:firstLineChars="200"/>
        <w:rPr>
          <w:rFonts w:ascii="宋体" w:hAnsi="宋体"/>
        </w:rPr>
      </w:pPr>
      <w:r>
        <w:rPr>
          <w:rFonts w:hint="eastAsia" w:ascii="宋体" w:hAnsi="宋体"/>
        </w:rPr>
        <w:t>（1）乙方不得以任何理由向甲方及其工作人员行贿或馈赠礼金、有价证券、贵重礼品。</w:t>
      </w:r>
    </w:p>
    <w:p>
      <w:pPr>
        <w:spacing w:line="360" w:lineRule="auto"/>
        <w:ind w:firstLine="420" w:firstLineChars="200"/>
        <w:rPr>
          <w:rFonts w:ascii="宋体" w:hAnsi="宋体"/>
        </w:rPr>
      </w:pPr>
      <w:r>
        <w:rPr>
          <w:rFonts w:hint="eastAsia" w:ascii="宋体" w:hAnsi="宋体"/>
        </w:rPr>
        <w:t>（2）乙方不得以任何名义为甲方及其工作人员报销应由发包人单位或个人支付的任何费用。</w:t>
      </w:r>
    </w:p>
    <w:p>
      <w:pPr>
        <w:spacing w:line="360" w:lineRule="auto"/>
        <w:ind w:firstLine="420" w:firstLineChars="200"/>
        <w:rPr>
          <w:rFonts w:ascii="宋体" w:hAnsi="宋体"/>
        </w:rPr>
      </w:pPr>
      <w:r>
        <w:rPr>
          <w:rFonts w:hint="eastAsia" w:ascii="宋体" w:hAnsi="宋体"/>
        </w:rPr>
        <w:t>（3）承包人不得以任何理由安排甲方工作人员参加超标准宴请及娱乐活动。</w:t>
      </w:r>
    </w:p>
    <w:p>
      <w:pPr>
        <w:spacing w:line="360" w:lineRule="auto"/>
        <w:ind w:firstLine="420" w:firstLineChars="200"/>
        <w:rPr>
          <w:rFonts w:ascii="宋体" w:hAnsi="宋体"/>
        </w:rPr>
      </w:pPr>
      <w:r>
        <w:rPr>
          <w:rFonts w:hint="eastAsia" w:ascii="宋体" w:hAnsi="宋体"/>
        </w:rPr>
        <w:t>（4）承包人不得为甲方单位和个人购置或提供通讯工具、交通工具和高档办公用品等。</w:t>
      </w:r>
    </w:p>
    <w:p>
      <w:pPr>
        <w:spacing w:line="360" w:lineRule="auto"/>
        <w:ind w:firstLine="420" w:firstLineChars="200"/>
        <w:rPr>
          <w:rFonts w:ascii="宋体" w:hAnsi="宋体"/>
        </w:rPr>
      </w:pPr>
      <w:r>
        <w:rPr>
          <w:rFonts w:hint="eastAsia" w:ascii="宋体" w:hAnsi="宋体"/>
        </w:rPr>
        <w:t>4．违约责任</w:t>
      </w:r>
    </w:p>
    <w:p>
      <w:pPr>
        <w:spacing w:line="360" w:lineRule="auto"/>
        <w:ind w:firstLine="420" w:firstLineChars="200"/>
        <w:rPr>
          <w:rFonts w:ascii="宋体" w:hAnsi="宋体"/>
        </w:rPr>
      </w:pPr>
      <w:r>
        <w:rPr>
          <w:rFonts w:hint="eastAsia" w:ascii="宋体" w:hAnsi="宋体"/>
        </w:rPr>
        <w:t>（1）甲方及其工作人员违反本合同第1、2条，按管理权限，依据有关规定给予党纪、政纪或组织处理；涉嫌犯罪的，移交司法机关追究刑事责任；给乙方单位造成经济损失的，应予以赔偿。</w:t>
      </w:r>
    </w:p>
    <w:p>
      <w:pPr>
        <w:spacing w:line="360" w:lineRule="auto"/>
        <w:ind w:firstLine="420" w:firstLineChars="200"/>
        <w:rPr>
          <w:rFonts w:ascii="宋体" w:hAnsi="宋体"/>
        </w:rPr>
      </w:pPr>
      <w:r>
        <w:rPr>
          <w:rFonts w:hint="eastAsia" w:ascii="宋体" w:hAnsi="宋体"/>
        </w:rPr>
        <w:t>（2）乙方及其工作人员违反本合同第1、3条，按管理权限，依据有关规定给予党纪、政纪或组织处理；给甲方单位造成经济损失的，应予以赔偿；情节严重的，甲方建议水利主管部门给予乙方一至三年内不得进入其主管的水利建设市场的处罚。</w:t>
      </w:r>
    </w:p>
    <w:p>
      <w:pPr>
        <w:spacing w:line="360" w:lineRule="auto"/>
        <w:ind w:firstLine="420" w:firstLineChars="200"/>
        <w:rPr>
          <w:rFonts w:ascii="宋体" w:hAnsi="宋体"/>
        </w:rPr>
      </w:pPr>
      <w:r>
        <w:rPr>
          <w:rFonts w:hint="eastAsia" w:ascii="宋体" w:hAnsi="宋体"/>
        </w:rPr>
        <w:t>5.双方约定：本合同由双方或双方上级单位的纪检监察部门负责监督执行。由甲方或甲方上级单位的纪检监察部门约请乙方或乙方上级单位纪检监察部门对本合同执行情况进行检查，提出在本合同规定范围内的裁定意见。</w:t>
      </w:r>
    </w:p>
    <w:p>
      <w:pPr>
        <w:spacing w:line="360" w:lineRule="auto"/>
        <w:ind w:firstLine="420" w:firstLineChars="200"/>
        <w:rPr>
          <w:rFonts w:ascii="宋体" w:hAnsi="宋体"/>
        </w:rPr>
      </w:pPr>
      <w:r>
        <w:rPr>
          <w:rFonts w:hint="eastAsia" w:ascii="宋体" w:hAnsi="宋体"/>
        </w:rPr>
        <w:t>6.本合同有效期为甲方和乙方签署之日起至该工程项目竣工验收后止。</w:t>
      </w:r>
    </w:p>
    <w:p>
      <w:pPr>
        <w:spacing w:line="360" w:lineRule="auto"/>
        <w:ind w:firstLine="420" w:firstLineChars="200"/>
        <w:rPr>
          <w:rFonts w:ascii="宋体" w:hAnsi="宋体"/>
        </w:rPr>
      </w:pPr>
      <w:r>
        <w:rPr>
          <w:rFonts w:hint="eastAsia" w:ascii="宋体" w:hAnsi="宋体"/>
        </w:rPr>
        <w:t>7．本合同作为（项目名称）合同的附件，与合同具有同等的法律效力，经合同双方签署后立即生效。</w:t>
      </w:r>
    </w:p>
    <w:p>
      <w:pPr>
        <w:spacing w:line="360" w:lineRule="auto"/>
        <w:ind w:firstLine="420" w:firstLineChars="200"/>
        <w:rPr>
          <w:rFonts w:ascii="宋体" w:hAnsi="宋体"/>
        </w:rPr>
      </w:pPr>
      <w:r>
        <w:rPr>
          <w:rFonts w:hint="eastAsia" w:ascii="宋体" w:hAnsi="宋体"/>
        </w:rPr>
        <w:t>8．本合同一式四份，由甲方和乙方各执—份，送交甲方和乙方的监督单位各一份</w:t>
      </w:r>
    </w:p>
    <w:p>
      <w:pPr>
        <w:spacing w:line="360" w:lineRule="auto"/>
        <w:rPr>
          <w:rFonts w:ascii="宋体" w:hAnsi="宋体"/>
        </w:rPr>
      </w:pPr>
    </w:p>
    <w:p>
      <w:pPr>
        <w:spacing w:line="360" w:lineRule="auto"/>
        <w:ind w:firstLine="210" w:firstLineChars="100"/>
      </w:pPr>
      <w:r>
        <w:rPr>
          <w:rFonts w:hint="eastAsia"/>
        </w:rPr>
        <w:t>甲方：  （公章）                      乙方：   （公章）</w:t>
      </w:r>
    </w:p>
    <w:p>
      <w:pPr>
        <w:spacing w:line="360" w:lineRule="auto"/>
        <w:ind w:firstLine="210" w:firstLineChars="100"/>
      </w:pPr>
      <w:r>
        <w:rPr>
          <w:rFonts w:hint="eastAsia" w:ascii="宋体" w:hAnsi="宋体"/>
        </w:rPr>
        <w:t>南通市通州区水利局</w:t>
      </w:r>
    </w:p>
    <w:p>
      <w:pPr>
        <w:spacing w:line="360" w:lineRule="auto"/>
        <w:ind w:firstLine="210" w:firstLineChars="100"/>
      </w:pPr>
      <w:r>
        <w:rPr>
          <w:rFonts w:hint="eastAsia"/>
        </w:rPr>
        <w:t xml:space="preserve">法定代表人或委托人：（签字）           法定代表人或委托人：（签字） </w:t>
      </w:r>
    </w:p>
    <w:p>
      <w:pPr>
        <w:spacing w:line="360" w:lineRule="auto"/>
      </w:pPr>
    </w:p>
    <w:p>
      <w:pPr>
        <w:spacing w:line="360" w:lineRule="auto"/>
        <w:ind w:firstLine="210" w:firstLineChars="100"/>
      </w:pPr>
      <w:r>
        <w:rPr>
          <w:rFonts w:hint="eastAsia"/>
        </w:rPr>
        <w:t>地址：                                地址：</w:t>
      </w:r>
    </w:p>
    <w:p>
      <w:pPr>
        <w:spacing w:line="360" w:lineRule="auto"/>
        <w:ind w:firstLine="210" w:firstLineChars="100"/>
      </w:pPr>
    </w:p>
    <w:p>
      <w:pPr>
        <w:spacing w:line="360" w:lineRule="auto"/>
        <w:ind w:firstLine="210" w:firstLineChars="100"/>
      </w:pPr>
      <w:r>
        <w:rPr>
          <w:rFonts w:hint="eastAsia"/>
        </w:rPr>
        <w:t>邮编：                                邮编：</w:t>
      </w:r>
    </w:p>
    <w:p>
      <w:pPr>
        <w:spacing w:line="360" w:lineRule="auto"/>
        <w:ind w:firstLine="210" w:firstLineChars="100"/>
      </w:pPr>
      <w:r>
        <w:rPr>
          <w:rFonts w:hint="eastAsia"/>
        </w:rPr>
        <w:t>电话：                                电话：</w:t>
      </w:r>
    </w:p>
    <w:p>
      <w:pPr>
        <w:spacing w:line="360" w:lineRule="auto"/>
        <w:ind w:firstLine="210" w:firstLineChars="100"/>
        <w:jc w:val="left"/>
        <w:rPr>
          <w:rFonts w:ascii="宋体" w:hAnsi="宋体"/>
        </w:rPr>
      </w:pPr>
      <w:r>
        <w:rPr>
          <w:rFonts w:hint="eastAsia"/>
        </w:rPr>
        <w:t>日期：  年   月  日                   日期：  年  月  日</w:t>
      </w:r>
    </w:p>
    <w:p>
      <w:pPr>
        <w:pStyle w:val="2"/>
      </w:pPr>
    </w:p>
    <w:bookmarkEnd w:id="162"/>
    <w:p>
      <w:pPr>
        <w:snapToGrid w:val="0"/>
        <w:spacing w:line="360" w:lineRule="auto"/>
        <w:ind w:firstLine="482" w:firstLineChars="200"/>
        <w:rPr>
          <w:b/>
          <w:sz w:val="24"/>
          <w:szCs w:val="24"/>
        </w:rPr>
      </w:pPr>
      <w:r>
        <w:rPr>
          <w:rFonts w:hint="eastAsia"/>
          <w:b/>
          <w:sz w:val="24"/>
          <w:szCs w:val="24"/>
        </w:rPr>
        <w:t>采购人有权对本合同进行修改的权利。</w:t>
      </w:r>
    </w:p>
    <w:p>
      <w:pPr>
        <w:spacing w:line="400" w:lineRule="exact"/>
        <w:ind w:firstLine="480" w:firstLineChars="200"/>
        <w:rPr>
          <w:kern w:val="0"/>
          <w:sz w:val="24"/>
          <w:szCs w:val="24"/>
        </w:rPr>
      </w:pPr>
    </w:p>
    <w:p>
      <w:pPr>
        <w:pStyle w:val="2"/>
      </w:pPr>
    </w:p>
    <w:p>
      <w:pPr>
        <w:pStyle w:val="2"/>
      </w:pPr>
    </w:p>
    <w:p>
      <w:pPr>
        <w:pStyle w:val="3"/>
        <w:spacing w:before="0" w:after="0" w:line="440" w:lineRule="exact"/>
        <w:jc w:val="center"/>
        <w:rPr>
          <w:rFonts w:asciiTheme="majorEastAsia" w:hAnsiTheme="majorEastAsia" w:eastAsiaTheme="majorEastAsia"/>
          <w:b w:val="0"/>
          <w:bCs/>
          <w:color w:val="000000" w:themeColor="text1"/>
          <w:sz w:val="36"/>
          <w:szCs w:val="36"/>
        </w:rPr>
      </w:pPr>
      <w:r>
        <w:rPr>
          <w:rFonts w:hint="eastAsia" w:asciiTheme="majorEastAsia" w:hAnsiTheme="majorEastAsia" w:eastAsiaTheme="majorEastAsia"/>
          <w:b w:val="0"/>
          <w:bCs/>
          <w:color w:val="0C0C0C" w:themeColor="text1" w:themeTint="F2"/>
          <w:sz w:val="36"/>
          <w:szCs w:val="36"/>
        </w:rPr>
        <w:t>第四章 项目需求</w:t>
      </w:r>
    </w:p>
    <w:p>
      <w:pPr>
        <w:spacing w:line="500" w:lineRule="exact"/>
        <w:rPr>
          <w:rFonts w:ascii="宋体" w:hAnsi="宋体"/>
          <w:bCs/>
          <w:color w:val="000000"/>
          <w:sz w:val="24"/>
          <w:szCs w:val="24"/>
        </w:rPr>
      </w:pPr>
      <w:r>
        <w:rPr>
          <w:rFonts w:hint="eastAsia" w:ascii="宋体" w:hAnsi="宋体"/>
          <w:b/>
          <w:color w:val="000000"/>
          <w:sz w:val="24"/>
          <w:szCs w:val="24"/>
        </w:rPr>
        <w:t>一、保洁服务方案要求</w:t>
      </w:r>
      <w:r>
        <w:rPr>
          <w:rFonts w:hint="eastAsia" w:ascii="宋体" w:hAnsi="宋体"/>
          <w:bCs/>
          <w:color w:val="000000"/>
          <w:sz w:val="24"/>
          <w:szCs w:val="24"/>
        </w:rPr>
        <w:t>：</w:t>
      </w:r>
    </w:p>
    <w:p>
      <w:pPr>
        <w:spacing w:line="500" w:lineRule="exact"/>
        <w:ind w:firstLine="435"/>
        <w:rPr>
          <w:rFonts w:ascii="宋体" w:hAnsi="宋体"/>
          <w:bCs/>
          <w:color w:val="000000"/>
          <w:sz w:val="24"/>
          <w:szCs w:val="24"/>
        </w:rPr>
      </w:pPr>
      <w:r>
        <w:rPr>
          <w:rFonts w:hint="eastAsia" w:ascii="宋体" w:hAnsi="宋体"/>
          <w:bCs/>
          <w:color w:val="000000"/>
          <w:sz w:val="24"/>
          <w:szCs w:val="24"/>
        </w:rPr>
        <w:t>（1）至少配备1名项目负责人和1名现场负责人，负责对保洁机械、人员的管理和督促检查；</w:t>
      </w:r>
    </w:p>
    <w:p>
      <w:pPr>
        <w:autoSpaceDE w:val="0"/>
        <w:autoSpaceDN w:val="0"/>
        <w:adjustRightInd w:val="0"/>
        <w:spacing w:line="500" w:lineRule="exact"/>
        <w:ind w:firstLine="480" w:firstLineChars="200"/>
        <w:jc w:val="left"/>
        <w:rPr>
          <w:rFonts w:ascii="宋体" w:hAnsi="宋体" w:cs="宋体"/>
          <w:color w:val="000000"/>
          <w:kern w:val="0"/>
          <w:sz w:val="24"/>
          <w:szCs w:val="24"/>
        </w:rPr>
      </w:pPr>
      <w:r>
        <w:rPr>
          <w:rFonts w:hint="eastAsia" w:ascii="宋体" w:hAnsi="宋体" w:cs="宋体"/>
          <w:color w:val="000000"/>
          <w:kern w:val="0"/>
          <w:sz w:val="24"/>
          <w:szCs w:val="24"/>
        </w:rPr>
        <w:t>（2）保洁船按顺序编号，划定保洁区域并在划定区域内作业或停靠，无特殊情况不得跨区域作业；</w:t>
      </w:r>
    </w:p>
    <w:p>
      <w:pPr>
        <w:spacing w:line="500" w:lineRule="exact"/>
        <w:ind w:firstLine="435"/>
        <w:rPr>
          <w:rFonts w:ascii="宋体" w:hAnsi="宋体" w:cs="宋体"/>
          <w:color w:val="000000"/>
          <w:kern w:val="0"/>
          <w:sz w:val="24"/>
          <w:szCs w:val="24"/>
        </w:rPr>
      </w:pPr>
      <w:r>
        <w:rPr>
          <w:rFonts w:hint="eastAsia" w:ascii="宋体" w:hAnsi="宋体" w:cs="宋体"/>
          <w:color w:val="000000"/>
          <w:kern w:val="0"/>
          <w:sz w:val="24"/>
          <w:szCs w:val="24"/>
        </w:rPr>
        <w:t>（3）保洁船作业时间：旺季（5月至10月）一般每月不得少于22天，淡季（除旺季外）一般每月不得少于15天；遇重大活动或特殊情况时，应保证所有保洁船能参加作业并配备足够保洁人员；</w:t>
      </w:r>
    </w:p>
    <w:p>
      <w:pPr>
        <w:spacing w:line="500" w:lineRule="exact"/>
        <w:ind w:firstLine="435"/>
        <w:rPr>
          <w:rFonts w:ascii="宋体" w:hAnsi="宋体"/>
          <w:bCs/>
          <w:color w:val="000000"/>
          <w:sz w:val="24"/>
          <w:szCs w:val="24"/>
        </w:rPr>
      </w:pPr>
      <w:r>
        <w:rPr>
          <w:rFonts w:hint="eastAsia" w:ascii="宋体" w:hAnsi="宋体"/>
          <w:bCs/>
          <w:color w:val="000000"/>
          <w:sz w:val="24"/>
          <w:szCs w:val="24"/>
        </w:rPr>
        <w:t>（4）制定各季节巡航保洁的工作重点及处置办法，尤其针对恶性水生作物爆发的处置办法；</w:t>
      </w:r>
    </w:p>
    <w:p>
      <w:pPr>
        <w:spacing w:line="500" w:lineRule="exact"/>
        <w:ind w:firstLine="435"/>
        <w:rPr>
          <w:rFonts w:ascii="宋体" w:hAnsi="宋体"/>
          <w:bCs/>
          <w:color w:val="000000"/>
          <w:sz w:val="24"/>
          <w:szCs w:val="24"/>
        </w:rPr>
      </w:pPr>
      <w:r>
        <w:rPr>
          <w:rFonts w:hint="eastAsia" w:ascii="宋体" w:hAnsi="宋体"/>
          <w:bCs/>
          <w:color w:val="000000"/>
          <w:sz w:val="24"/>
          <w:szCs w:val="24"/>
        </w:rPr>
        <w:t>（5）制定重点河段保洁方案，如针对集镇地段、主要河道下游及河水流动时段的处置办法；</w:t>
      </w:r>
    </w:p>
    <w:p>
      <w:pPr>
        <w:spacing w:line="500" w:lineRule="exact"/>
        <w:ind w:firstLine="435"/>
        <w:rPr>
          <w:rFonts w:ascii="宋体" w:hAnsi="宋体"/>
          <w:bCs/>
          <w:color w:val="000000"/>
          <w:sz w:val="24"/>
          <w:szCs w:val="24"/>
        </w:rPr>
      </w:pPr>
      <w:r>
        <w:rPr>
          <w:rFonts w:hint="eastAsia" w:ascii="宋体" w:hAnsi="宋体"/>
          <w:bCs/>
          <w:color w:val="000000"/>
          <w:sz w:val="24"/>
          <w:szCs w:val="24"/>
        </w:rPr>
        <w:t>（6）制定收集恶性水生作物和水面漂浮物打捞后上岸后清运处置办法；</w:t>
      </w:r>
    </w:p>
    <w:p>
      <w:pPr>
        <w:spacing w:line="500" w:lineRule="exact"/>
        <w:ind w:firstLine="450"/>
        <w:rPr>
          <w:rFonts w:ascii="宋体" w:hAnsi="宋体"/>
          <w:bCs/>
          <w:color w:val="000000"/>
          <w:sz w:val="24"/>
          <w:szCs w:val="24"/>
        </w:rPr>
      </w:pPr>
      <w:r>
        <w:rPr>
          <w:rFonts w:hint="eastAsia" w:ascii="宋体" w:hAnsi="宋体"/>
          <w:bCs/>
          <w:color w:val="000000"/>
          <w:sz w:val="24"/>
          <w:szCs w:val="24"/>
        </w:rPr>
        <w:t>（7）制定巡航中发现河道取土、沉船、“三网”及两侧河坡河岸违章行为、沿河两岸桥头暴露垃圾、河道隐患、工厂排污、畜禽粪便直排等问题处置办法；</w:t>
      </w:r>
    </w:p>
    <w:p>
      <w:pPr>
        <w:spacing w:line="500" w:lineRule="exact"/>
        <w:rPr>
          <w:rFonts w:ascii="宋体" w:hAnsi="宋体"/>
          <w:bCs/>
          <w:color w:val="000000"/>
          <w:sz w:val="24"/>
          <w:szCs w:val="24"/>
        </w:rPr>
      </w:pPr>
      <w:r>
        <w:rPr>
          <w:rFonts w:hint="eastAsia" w:ascii="宋体" w:hAnsi="宋体"/>
          <w:b/>
          <w:color w:val="000000"/>
          <w:sz w:val="24"/>
          <w:szCs w:val="24"/>
        </w:rPr>
        <w:t>二、安全管理方案要求</w:t>
      </w:r>
      <w:r>
        <w:rPr>
          <w:rFonts w:hint="eastAsia" w:ascii="宋体" w:hAnsi="宋体"/>
          <w:bCs/>
          <w:color w:val="000000"/>
          <w:sz w:val="24"/>
          <w:szCs w:val="24"/>
        </w:rPr>
        <w:t>：</w:t>
      </w:r>
    </w:p>
    <w:p>
      <w:pPr>
        <w:spacing w:line="500" w:lineRule="exact"/>
        <w:rPr>
          <w:rFonts w:ascii="宋体" w:hAnsi="宋体"/>
          <w:bCs/>
          <w:color w:val="000000"/>
          <w:sz w:val="24"/>
          <w:szCs w:val="24"/>
        </w:rPr>
      </w:pPr>
      <w:r>
        <w:rPr>
          <w:rFonts w:hint="eastAsia" w:ascii="宋体" w:hAnsi="宋体"/>
          <w:bCs/>
          <w:color w:val="000000"/>
          <w:sz w:val="24"/>
          <w:szCs w:val="24"/>
        </w:rPr>
        <w:t>主要包括正常巡航保洁作业时和发生事故时的组织和安全防护措施，以及各项紧急预案；中标人在日常工作中必须严格遵守相关的法律法规及规范，督促现场工作人员规范操作，采取严格有力的安全防护措施，做好安全防护工作，确保工作人员的人身安全，相关岗位人员必须持证上岗。中标人在工作中还要进行必要的安全防护，确保工作人员的安全。本项目一切安全责任由中标人自负。</w:t>
      </w:r>
    </w:p>
    <w:p>
      <w:pPr>
        <w:pStyle w:val="2"/>
        <w:rPr>
          <w:rFonts w:ascii="宋体" w:hAnsi="宋体" w:eastAsia="宋体"/>
          <w:b/>
          <w:color w:val="000000"/>
          <w:sz w:val="24"/>
          <w:szCs w:val="24"/>
        </w:rPr>
      </w:pPr>
      <w:r>
        <w:rPr>
          <w:rFonts w:hint="eastAsia" w:ascii="宋体" w:hAnsi="宋体" w:eastAsia="宋体"/>
          <w:b/>
          <w:color w:val="000000"/>
          <w:sz w:val="24"/>
          <w:szCs w:val="24"/>
        </w:rPr>
        <w:t>三、标段划分表：</w:t>
      </w:r>
    </w:p>
    <w:p>
      <w:pPr>
        <w:spacing w:line="400" w:lineRule="exact"/>
        <w:rPr>
          <w:rFonts w:ascii="宋体" w:hAnsi="宋体"/>
          <w:b/>
          <w:color w:val="000000"/>
          <w:sz w:val="24"/>
          <w:szCs w:val="24"/>
        </w:rPr>
      </w:pPr>
    </w:p>
    <w:p>
      <w:pPr>
        <w:pStyle w:val="2"/>
      </w:pPr>
    </w:p>
    <w:p>
      <w:pPr>
        <w:pStyle w:val="2"/>
      </w:pPr>
    </w:p>
    <w:tbl>
      <w:tblPr>
        <w:tblStyle w:val="53"/>
        <w:tblW w:w="8804" w:type="dxa"/>
        <w:tblInd w:w="93" w:type="dxa"/>
        <w:tblLayout w:type="fixed"/>
        <w:tblCellMar>
          <w:top w:w="0" w:type="dxa"/>
          <w:left w:w="108" w:type="dxa"/>
          <w:bottom w:w="0" w:type="dxa"/>
          <w:right w:w="108" w:type="dxa"/>
        </w:tblCellMar>
      </w:tblPr>
      <w:tblGrid>
        <w:gridCol w:w="700"/>
        <w:gridCol w:w="24"/>
        <w:gridCol w:w="1134"/>
        <w:gridCol w:w="851"/>
        <w:gridCol w:w="311"/>
        <w:gridCol w:w="1248"/>
        <w:gridCol w:w="283"/>
        <w:gridCol w:w="567"/>
        <w:gridCol w:w="202"/>
        <w:gridCol w:w="2066"/>
        <w:gridCol w:w="1418"/>
      </w:tblGrid>
      <w:tr>
        <w:tblPrEx>
          <w:tblCellMar>
            <w:top w:w="0" w:type="dxa"/>
            <w:left w:w="108" w:type="dxa"/>
            <w:bottom w:w="0" w:type="dxa"/>
            <w:right w:w="108" w:type="dxa"/>
          </w:tblCellMar>
        </w:tblPrEx>
        <w:trPr>
          <w:trHeight w:val="945" w:hRule="atLeast"/>
        </w:trPr>
        <w:tc>
          <w:tcPr>
            <w:tcW w:w="8804" w:type="dxa"/>
            <w:gridSpan w:val="11"/>
            <w:tcBorders>
              <w:top w:val="nil"/>
              <w:left w:val="nil"/>
              <w:bottom w:val="single" w:color="auto" w:sz="4" w:space="0"/>
              <w:right w:val="nil"/>
            </w:tcBorders>
            <w:vAlign w:val="center"/>
          </w:tcPr>
          <w:p>
            <w:pPr>
              <w:widowControl/>
              <w:jc w:val="center"/>
              <w:rPr>
                <w:rFonts w:ascii="宋体" w:hAnsi="宋体" w:cs="宋体"/>
                <w:b/>
                <w:bCs/>
                <w:color w:val="000000"/>
                <w:kern w:val="0"/>
                <w:sz w:val="36"/>
                <w:szCs w:val="36"/>
              </w:rPr>
            </w:pPr>
            <w:r>
              <w:rPr>
                <w:rFonts w:hint="eastAsia" w:ascii="宋体" w:hAnsi="宋体" w:cs="宋体"/>
                <w:b/>
                <w:bCs/>
                <w:color w:val="000000"/>
                <w:kern w:val="0"/>
                <w:sz w:val="36"/>
                <w:szCs w:val="36"/>
              </w:rPr>
              <w:t>一标段</w:t>
            </w:r>
          </w:p>
        </w:tc>
      </w:tr>
      <w:tr>
        <w:tblPrEx>
          <w:tblCellMar>
            <w:top w:w="0" w:type="dxa"/>
            <w:left w:w="108" w:type="dxa"/>
            <w:bottom w:w="0" w:type="dxa"/>
            <w:right w:w="108" w:type="dxa"/>
          </w:tblCellMar>
        </w:tblPrEx>
        <w:trPr>
          <w:trHeight w:val="619"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color w:val="000000"/>
                <w:kern w:val="0"/>
                <w:sz w:val="24"/>
              </w:rPr>
            </w:pPr>
            <w:r>
              <w:rPr>
                <w:rFonts w:hint="eastAsia" w:ascii="宋体" w:hAnsi="宋体" w:cs="宋体"/>
                <w:b/>
                <w:bCs/>
                <w:color w:val="000000"/>
                <w:kern w:val="0"/>
                <w:sz w:val="24"/>
              </w:rPr>
              <w:t>序号</w:t>
            </w:r>
          </w:p>
        </w:tc>
        <w:tc>
          <w:tcPr>
            <w:tcW w:w="115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kern w:val="0"/>
                <w:sz w:val="24"/>
              </w:rPr>
            </w:pPr>
            <w:r>
              <w:rPr>
                <w:rFonts w:hint="eastAsia" w:ascii="宋体" w:hAnsi="宋体" w:cs="宋体"/>
                <w:b/>
                <w:bCs/>
                <w:color w:val="000000"/>
                <w:kern w:val="0"/>
                <w:sz w:val="24"/>
              </w:rPr>
              <w:t>河道名称</w:t>
            </w:r>
          </w:p>
        </w:tc>
        <w:tc>
          <w:tcPr>
            <w:tcW w:w="1162"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kern w:val="0"/>
                <w:sz w:val="24"/>
              </w:rPr>
            </w:pPr>
            <w:r>
              <w:rPr>
                <w:rFonts w:hint="eastAsia" w:ascii="宋体" w:hAnsi="宋体" w:cs="宋体"/>
                <w:b/>
                <w:bCs/>
                <w:color w:val="000000"/>
                <w:kern w:val="0"/>
                <w:sz w:val="24"/>
              </w:rPr>
              <w:t>等级</w:t>
            </w:r>
          </w:p>
        </w:tc>
        <w:tc>
          <w:tcPr>
            <w:tcW w:w="1531"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kern w:val="0"/>
                <w:sz w:val="24"/>
              </w:rPr>
            </w:pPr>
            <w:r>
              <w:rPr>
                <w:rFonts w:hint="eastAsia" w:ascii="宋体" w:hAnsi="宋体" w:cs="宋体"/>
                <w:b/>
                <w:bCs/>
                <w:color w:val="000000"/>
                <w:kern w:val="0"/>
                <w:sz w:val="24"/>
              </w:rPr>
              <w:t>长度（公里）</w:t>
            </w:r>
          </w:p>
        </w:tc>
        <w:tc>
          <w:tcPr>
            <w:tcW w:w="769"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kern w:val="0"/>
                <w:sz w:val="24"/>
              </w:rPr>
            </w:pPr>
            <w:r>
              <w:rPr>
                <w:rFonts w:hint="eastAsia" w:ascii="宋体" w:hAnsi="宋体" w:cs="宋体"/>
                <w:b/>
                <w:bCs/>
                <w:color w:val="000000"/>
                <w:kern w:val="0"/>
                <w:sz w:val="24"/>
              </w:rPr>
              <w:t>小计</w:t>
            </w:r>
          </w:p>
        </w:tc>
        <w:tc>
          <w:tcPr>
            <w:tcW w:w="206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kern w:val="0"/>
                <w:sz w:val="24"/>
              </w:rPr>
            </w:pPr>
            <w:r>
              <w:rPr>
                <w:rFonts w:hint="eastAsia" w:ascii="宋体" w:hAnsi="宋体" w:cs="宋体"/>
                <w:b/>
                <w:bCs/>
                <w:color w:val="000000"/>
                <w:kern w:val="0"/>
                <w:sz w:val="24"/>
              </w:rPr>
              <w:t>起讫点</w:t>
            </w:r>
          </w:p>
        </w:tc>
        <w:tc>
          <w:tcPr>
            <w:tcW w:w="1418"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kern w:val="0"/>
                <w:sz w:val="24"/>
              </w:rPr>
            </w:pPr>
            <w:r>
              <w:rPr>
                <w:rFonts w:hint="eastAsia" w:ascii="宋体" w:hAnsi="宋体" w:cs="宋体"/>
                <w:b/>
                <w:bCs/>
                <w:color w:val="000000"/>
                <w:kern w:val="0"/>
                <w:sz w:val="24"/>
              </w:rPr>
              <w:t>备注</w:t>
            </w: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w:t>
            </w:r>
          </w:p>
        </w:tc>
        <w:tc>
          <w:tcPr>
            <w:tcW w:w="115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通启运河</w:t>
            </w:r>
          </w:p>
        </w:tc>
        <w:tc>
          <w:tcPr>
            <w:tcW w:w="1162"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一级</w:t>
            </w:r>
          </w:p>
        </w:tc>
        <w:tc>
          <w:tcPr>
            <w:tcW w:w="1531"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5.4</w:t>
            </w:r>
          </w:p>
        </w:tc>
        <w:tc>
          <w:tcPr>
            <w:tcW w:w="769"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21.9</w:t>
            </w:r>
          </w:p>
        </w:tc>
        <w:tc>
          <w:tcPr>
            <w:tcW w:w="206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张芝山界～海门市界</w:t>
            </w:r>
          </w:p>
        </w:tc>
        <w:tc>
          <w:tcPr>
            <w:tcW w:w="1418"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2</w:t>
            </w:r>
          </w:p>
        </w:tc>
        <w:tc>
          <w:tcPr>
            <w:tcW w:w="1158"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新江海河</w:t>
            </w:r>
          </w:p>
        </w:tc>
        <w:tc>
          <w:tcPr>
            <w:tcW w:w="1162"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531"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16.5</w:t>
            </w:r>
          </w:p>
        </w:tc>
        <w:tc>
          <w:tcPr>
            <w:tcW w:w="769"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2066"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通吕运河～张芝山</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3</w:t>
            </w:r>
          </w:p>
        </w:tc>
        <w:tc>
          <w:tcPr>
            <w:tcW w:w="1158"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团结河</w:t>
            </w:r>
          </w:p>
        </w:tc>
        <w:tc>
          <w:tcPr>
            <w:tcW w:w="1162" w:type="dxa"/>
            <w:gridSpan w:val="2"/>
            <w:vMerge w:val="restart"/>
            <w:tcBorders>
              <w:top w:val="nil"/>
              <w:left w:val="single" w:color="auto" w:sz="4" w:space="0"/>
              <w:right w:val="single" w:color="auto" w:sz="4" w:space="0"/>
            </w:tcBorders>
            <w:vAlign w:val="center"/>
          </w:tcPr>
          <w:p>
            <w:pPr>
              <w:jc w:val="center"/>
              <w:rPr>
                <w:rFonts w:ascii="宋体" w:hAnsi="宋体" w:cs="宋体"/>
                <w:color w:val="000000"/>
                <w:kern w:val="0"/>
                <w:sz w:val="20"/>
                <w:szCs w:val="20"/>
              </w:rPr>
            </w:pPr>
            <w:r>
              <w:rPr>
                <w:rFonts w:hint="eastAsia" w:ascii="宋体" w:hAnsi="宋体" w:cs="宋体"/>
                <w:color w:val="000000"/>
                <w:kern w:val="0"/>
                <w:sz w:val="20"/>
                <w:szCs w:val="20"/>
              </w:rPr>
              <w:t>二级</w:t>
            </w:r>
          </w:p>
        </w:tc>
        <w:tc>
          <w:tcPr>
            <w:tcW w:w="1531"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7.2</w:t>
            </w:r>
          </w:p>
        </w:tc>
        <w:tc>
          <w:tcPr>
            <w:tcW w:w="769" w:type="dxa"/>
            <w:gridSpan w:val="2"/>
            <w:vMerge w:val="restart"/>
            <w:tcBorders>
              <w:top w:val="nil"/>
              <w:left w:val="single" w:color="auto" w:sz="4" w:space="0"/>
              <w:right w:val="single" w:color="auto" w:sz="4" w:space="0"/>
            </w:tcBorders>
            <w:vAlign w:val="center"/>
          </w:tcPr>
          <w:p>
            <w:pPr>
              <w:jc w:val="center"/>
              <w:rPr>
                <w:rFonts w:ascii="宋体" w:hAnsi="宋体" w:cs="宋体"/>
                <w:kern w:val="0"/>
                <w:sz w:val="20"/>
                <w:szCs w:val="20"/>
              </w:rPr>
            </w:pPr>
            <w:r>
              <w:rPr>
                <w:rFonts w:hint="eastAsia" w:ascii="宋体" w:hAnsi="宋体" w:cs="宋体"/>
                <w:kern w:val="0"/>
                <w:sz w:val="20"/>
                <w:szCs w:val="20"/>
              </w:rPr>
              <w:t>99.2</w:t>
            </w:r>
          </w:p>
        </w:tc>
        <w:tc>
          <w:tcPr>
            <w:tcW w:w="2066"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兴石河～亭石河</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4</w:t>
            </w:r>
          </w:p>
        </w:tc>
        <w:tc>
          <w:tcPr>
            <w:tcW w:w="1158"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竖石河</w:t>
            </w:r>
          </w:p>
        </w:tc>
        <w:tc>
          <w:tcPr>
            <w:tcW w:w="1162" w:type="dxa"/>
            <w:gridSpan w:val="2"/>
            <w:vMerge w:val="continue"/>
            <w:tcBorders>
              <w:left w:val="single" w:color="auto" w:sz="4" w:space="0"/>
              <w:right w:val="single" w:color="auto" w:sz="4" w:space="0"/>
            </w:tcBorders>
            <w:vAlign w:val="center"/>
          </w:tcPr>
          <w:p>
            <w:pPr>
              <w:widowControl/>
              <w:jc w:val="center"/>
              <w:rPr>
                <w:rFonts w:ascii="宋体" w:hAnsi="宋体" w:cs="宋体"/>
                <w:color w:val="000000"/>
                <w:kern w:val="0"/>
                <w:sz w:val="20"/>
                <w:szCs w:val="20"/>
              </w:rPr>
            </w:pPr>
          </w:p>
        </w:tc>
        <w:tc>
          <w:tcPr>
            <w:tcW w:w="1531"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5.6</w:t>
            </w:r>
          </w:p>
        </w:tc>
        <w:tc>
          <w:tcPr>
            <w:tcW w:w="769" w:type="dxa"/>
            <w:gridSpan w:val="2"/>
            <w:vMerge w:val="continue"/>
            <w:tcBorders>
              <w:left w:val="single" w:color="auto" w:sz="4" w:space="0"/>
              <w:right w:val="single" w:color="auto" w:sz="4" w:space="0"/>
            </w:tcBorders>
            <w:vAlign w:val="center"/>
          </w:tcPr>
          <w:p>
            <w:pPr>
              <w:widowControl/>
              <w:jc w:val="center"/>
              <w:rPr>
                <w:rFonts w:ascii="宋体" w:hAnsi="宋体" w:cs="宋体"/>
                <w:kern w:val="0"/>
                <w:sz w:val="20"/>
                <w:szCs w:val="20"/>
              </w:rPr>
            </w:pPr>
          </w:p>
        </w:tc>
        <w:tc>
          <w:tcPr>
            <w:tcW w:w="2066"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运盐河～通吕运河</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5</w:t>
            </w:r>
          </w:p>
        </w:tc>
        <w:tc>
          <w:tcPr>
            <w:tcW w:w="11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余丰河</w:t>
            </w:r>
          </w:p>
        </w:tc>
        <w:tc>
          <w:tcPr>
            <w:tcW w:w="1162" w:type="dxa"/>
            <w:gridSpan w:val="2"/>
            <w:vMerge w:val="continue"/>
            <w:tcBorders>
              <w:left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531"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14.5</w:t>
            </w:r>
          </w:p>
        </w:tc>
        <w:tc>
          <w:tcPr>
            <w:tcW w:w="769" w:type="dxa"/>
            <w:gridSpan w:val="2"/>
            <w:vMerge w:val="continue"/>
            <w:tcBorders>
              <w:left w:val="single" w:color="auto" w:sz="4" w:space="0"/>
              <w:right w:val="single" w:color="auto" w:sz="4" w:space="0"/>
            </w:tcBorders>
            <w:vAlign w:val="center"/>
          </w:tcPr>
          <w:p>
            <w:pPr>
              <w:widowControl/>
              <w:jc w:val="left"/>
              <w:rPr>
                <w:rFonts w:ascii="宋体" w:hAnsi="宋体" w:cs="宋体"/>
                <w:kern w:val="0"/>
                <w:sz w:val="20"/>
                <w:szCs w:val="20"/>
              </w:rPr>
            </w:pPr>
          </w:p>
        </w:tc>
        <w:tc>
          <w:tcPr>
            <w:tcW w:w="2066" w:type="dxa"/>
            <w:tcBorders>
              <w:top w:val="nil"/>
              <w:left w:val="nil"/>
              <w:bottom w:val="single" w:color="auto" w:sz="4" w:space="0"/>
              <w:right w:val="single" w:color="auto" w:sz="4" w:space="0"/>
            </w:tcBorders>
            <w:vAlign w:val="center"/>
          </w:tcPr>
          <w:p>
            <w:pPr>
              <w:widowControl/>
              <w:ind w:firstLine="200" w:firstLineChars="100"/>
              <w:rPr>
                <w:rFonts w:ascii="宋体" w:hAnsi="宋体" w:cs="宋体"/>
                <w:color w:val="000000"/>
                <w:kern w:val="0"/>
                <w:sz w:val="20"/>
                <w:szCs w:val="20"/>
              </w:rPr>
            </w:pPr>
            <w:r>
              <w:rPr>
                <w:rFonts w:hint="eastAsia" w:ascii="宋体" w:hAnsi="宋体" w:cs="宋体"/>
                <w:color w:val="000000"/>
                <w:kern w:val="0"/>
                <w:sz w:val="20"/>
                <w:szCs w:val="20"/>
              </w:rPr>
              <w:t>滥港河～通吕运河</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6</w:t>
            </w:r>
          </w:p>
        </w:tc>
        <w:tc>
          <w:tcPr>
            <w:tcW w:w="11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海门河</w:t>
            </w:r>
          </w:p>
        </w:tc>
        <w:tc>
          <w:tcPr>
            <w:tcW w:w="1162" w:type="dxa"/>
            <w:gridSpan w:val="2"/>
            <w:vMerge w:val="continue"/>
            <w:tcBorders>
              <w:left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531"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2.3</w:t>
            </w:r>
          </w:p>
        </w:tc>
        <w:tc>
          <w:tcPr>
            <w:tcW w:w="769" w:type="dxa"/>
            <w:gridSpan w:val="2"/>
            <w:vMerge w:val="continue"/>
            <w:tcBorders>
              <w:left w:val="single" w:color="auto" w:sz="4" w:space="0"/>
              <w:right w:val="single" w:color="auto" w:sz="4" w:space="0"/>
            </w:tcBorders>
            <w:vAlign w:val="center"/>
          </w:tcPr>
          <w:p>
            <w:pPr>
              <w:widowControl/>
              <w:jc w:val="left"/>
              <w:rPr>
                <w:rFonts w:ascii="宋体" w:hAnsi="宋体" w:cs="宋体"/>
                <w:kern w:val="0"/>
                <w:sz w:val="20"/>
                <w:szCs w:val="20"/>
              </w:rPr>
            </w:pPr>
          </w:p>
        </w:tc>
        <w:tc>
          <w:tcPr>
            <w:tcW w:w="2066"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新江海河～海门市界</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7</w:t>
            </w:r>
          </w:p>
        </w:tc>
        <w:tc>
          <w:tcPr>
            <w:tcW w:w="11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运盐河</w:t>
            </w:r>
          </w:p>
        </w:tc>
        <w:tc>
          <w:tcPr>
            <w:tcW w:w="1162" w:type="dxa"/>
            <w:gridSpan w:val="2"/>
            <w:vMerge w:val="continue"/>
            <w:tcBorders>
              <w:left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531"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17.3</w:t>
            </w:r>
          </w:p>
        </w:tc>
        <w:tc>
          <w:tcPr>
            <w:tcW w:w="769" w:type="dxa"/>
            <w:gridSpan w:val="2"/>
            <w:vMerge w:val="continue"/>
            <w:tcBorders>
              <w:left w:val="single" w:color="auto" w:sz="4" w:space="0"/>
              <w:right w:val="single" w:color="auto" w:sz="4" w:space="0"/>
            </w:tcBorders>
            <w:vAlign w:val="center"/>
          </w:tcPr>
          <w:p>
            <w:pPr>
              <w:widowControl/>
              <w:jc w:val="left"/>
              <w:rPr>
                <w:rFonts w:ascii="宋体" w:hAnsi="宋体" w:cs="宋体"/>
                <w:kern w:val="0"/>
                <w:sz w:val="20"/>
                <w:szCs w:val="20"/>
              </w:rPr>
            </w:pPr>
          </w:p>
        </w:tc>
        <w:tc>
          <w:tcPr>
            <w:tcW w:w="2066"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团结河～海门市界</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r>
              <w:rPr>
                <w:rFonts w:hint="eastAsia" w:ascii="宋体" w:hAnsi="宋体" w:cs="宋体"/>
                <w:kern w:val="0"/>
                <w:sz w:val="20"/>
                <w:szCs w:val="20"/>
              </w:rPr>
              <w:t>希望路</w:t>
            </w:r>
            <w:r>
              <w:rPr>
                <w:rFonts w:hint="eastAsia" w:ascii="宋体" w:hAnsi="宋体" w:cs="宋体"/>
                <w:color w:val="000000"/>
                <w:kern w:val="0"/>
                <w:sz w:val="20"/>
                <w:szCs w:val="20"/>
              </w:rPr>
              <w:t>～金霞路除外</w:t>
            </w:r>
          </w:p>
        </w:tc>
      </w:tr>
      <w:tr>
        <w:tblPrEx>
          <w:tblCellMar>
            <w:top w:w="0" w:type="dxa"/>
            <w:left w:w="108" w:type="dxa"/>
            <w:bottom w:w="0" w:type="dxa"/>
            <w:right w:w="108" w:type="dxa"/>
          </w:tblCellMar>
        </w:tblPrEx>
        <w:trPr>
          <w:trHeight w:val="600" w:hRule="atLeast"/>
        </w:trPr>
        <w:tc>
          <w:tcPr>
            <w:tcW w:w="7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8</w:t>
            </w:r>
          </w:p>
        </w:tc>
        <w:tc>
          <w:tcPr>
            <w:tcW w:w="11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通甲河</w:t>
            </w:r>
          </w:p>
        </w:tc>
        <w:tc>
          <w:tcPr>
            <w:tcW w:w="1162" w:type="dxa"/>
            <w:gridSpan w:val="2"/>
            <w:vMerge w:val="continue"/>
            <w:tcBorders>
              <w:left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531"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14.2</w:t>
            </w:r>
          </w:p>
        </w:tc>
        <w:tc>
          <w:tcPr>
            <w:tcW w:w="769" w:type="dxa"/>
            <w:gridSpan w:val="2"/>
            <w:vMerge w:val="continue"/>
            <w:tcBorders>
              <w:left w:val="single" w:color="auto" w:sz="4" w:space="0"/>
              <w:right w:val="single" w:color="auto" w:sz="4" w:space="0"/>
            </w:tcBorders>
            <w:vAlign w:val="center"/>
          </w:tcPr>
          <w:p>
            <w:pPr>
              <w:widowControl/>
              <w:jc w:val="left"/>
              <w:rPr>
                <w:rFonts w:ascii="宋体" w:hAnsi="宋体" w:cs="宋体"/>
                <w:kern w:val="0"/>
                <w:sz w:val="20"/>
                <w:szCs w:val="20"/>
              </w:rPr>
            </w:pPr>
          </w:p>
        </w:tc>
        <w:tc>
          <w:tcPr>
            <w:tcW w:w="2066"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二甲～先锋</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9</w:t>
            </w:r>
          </w:p>
        </w:tc>
        <w:tc>
          <w:tcPr>
            <w:tcW w:w="11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庙桥竖河</w:t>
            </w:r>
          </w:p>
        </w:tc>
        <w:tc>
          <w:tcPr>
            <w:tcW w:w="1162" w:type="dxa"/>
            <w:gridSpan w:val="2"/>
            <w:vMerge w:val="continue"/>
            <w:tcBorders>
              <w:left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531"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7.4</w:t>
            </w:r>
          </w:p>
        </w:tc>
        <w:tc>
          <w:tcPr>
            <w:tcW w:w="769" w:type="dxa"/>
            <w:gridSpan w:val="2"/>
            <w:vMerge w:val="continue"/>
            <w:tcBorders>
              <w:left w:val="single" w:color="auto" w:sz="4" w:space="0"/>
              <w:right w:val="single" w:color="auto" w:sz="4" w:space="0"/>
            </w:tcBorders>
            <w:vAlign w:val="center"/>
          </w:tcPr>
          <w:p>
            <w:pPr>
              <w:widowControl/>
              <w:jc w:val="left"/>
              <w:rPr>
                <w:rFonts w:ascii="宋体" w:hAnsi="宋体" w:cs="宋体"/>
                <w:kern w:val="0"/>
                <w:sz w:val="20"/>
                <w:szCs w:val="20"/>
              </w:rPr>
            </w:pPr>
          </w:p>
        </w:tc>
        <w:tc>
          <w:tcPr>
            <w:tcW w:w="2066"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通甲河～通启运河</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10</w:t>
            </w:r>
          </w:p>
        </w:tc>
        <w:tc>
          <w:tcPr>
            <w:tcW w:w="11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余西竖河</w:t>
            </w:r>
          </w:p>
        </w:tc>
        <w:tc>
          <w:tcPr>
            <w:tcW w:w="1162" w:type="dxa"/>
            <w:gridSpan w:val="2"/>
            <w:vMerge w:val="continue"/>
            <w:tcBorders>
              <w:left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531"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6.6</w:t>
            </w:r>
          </w:p>
        </w:tc>
        <w:tc>
          <w:tcPr>
            <w:tcW w:w="769" w:type="dxa"/>
            <w:gridSpan w:val="2"/>
            <w:vMerge w:val="continue"/>
            <w:tcBorders>
              <w:left w:val="single" w:color="auto" w:sz="4" w:space="0"/>
              <w:right w:val="single" w:color="auto" w:sz="4" w:space="0"/>
            </w:tcBorders>
            <w:vAlign w:val="center"/>
          </w:tcPr>
          <w:p>
            <w:pPr>
              <w:widowControl/>
              <w:jc w:val="left"/>
              <w:rPr>
                <w:rFonts w:ascii="宋体" w:hAnsi="宋体" w:cs="宋体"/>
                <w:kern w:val="0"/>
                <w:sz w:val="20"/>
                <w:szCs w:val="20"/>
              </w:rPr>
            </w:pPr>
          </w:p>
        </w:tc>
        <w:tc>
          <w:tcPr>
            <w:tcW w:w="2066"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通吕运河～海门市界</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11</w:t>
            </w:r>
          </w:p>
        </w:tc>
        <w:tc>
          <w:tcPr>
            <w:tcW w:w="11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袁灶竖河</w:t>
            </w:r>
          </w:p>
        </w:tc>
        <w:tc>
          <w:tcPr>
            <w:tcW w:w="1162" w:type="dxa"/>
            <w:gridSpan w:val="2"/>
            <w:vMerge w:val="continue"/>
            <w:tcBorders>
              <w:left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531"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6</w:t>
            </w:r>
          </w:p>
        </w:tc>
        <w:tc>
          <w:tcPr>
            <w:tcW w:w="769" w:type="dxa"/>
            <w:gridSpan w:val="2"/>
            <w:vMerge w:val="continue"/>
            <w:tcBorders>
              <w:left w:val="single" w:color="auto" w:sz="4" w:space="0"/>
              <w:right w:val="single" w:color="auto" w:sz="4" w:space="0"/>
            </w:tcBorders>
            <w:vAlign w:val="center"/>
          </w:tcPr>
          <w:p>
            <w:pPr>
              <w:widowControl/>
              <w:jc w:val="left"/>
              <w:rPr>
                <w:rFonts w:ascii="宋体" w:hAnsi="宋体" w:cs="宋体"/>
                <w:kern w:val="0"/>
                <w:sz w:val="20"/>
                <w:szCs w:val="20"/>
              </w:rPr>
            </w:pPr>
          </w:p>
        </w:tc>
        <w:tc>
          <w:tcPr>
            <w:tcW w:w="2066"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通吕运河～海门市界</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12</w:t>
            </w:r>
          </w:p>
        </w:tc>
        <w:tc>
          <w:tcPr>
            <w:tcW w:w="11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忠义竖河</w:t>
            </w:r>
          </w:p>
        </w:tc>
        <w:tc>
          <w:tcPr>
            <w:tcW w:w="1162" w:type="dxa"/>
            <w:gridSpan w:val="2"/>
            <w:vMerge w:val="continue"/>
            <w:tcBorders>
              <w:left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531"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5.9</w:t>
            </w:r>
          </w:p>
        </w:tc>
        <w:tc>
          <w:tcPr>
            <w:tcW w:w="769" w:type="dxa"/>
            <w:gridSpan w:val="2"/>
            <w:vMerge w:val="continue"/>
            <w:tcBorders>
              <w:left w:val="single" w:color="auto" w:sz="4" w:space="0"/>
              <w:right w:val="single" w:color="auto" w:sz="4" w:space="0"/>
            </w:tcBorders>
            <w:vAlign w:val="center"/>
          </w:tcPr>
          <w:p>
            <w:pPr>
              <w:widowControl/>
              <w:jc w:val="left"/>
              <w:rPr>
                <w:rFonts w:ascii="宋体" w:hAnsi="宋体" w:cs="宋体"/>
                <w:kern w:val="0"/>
                <w:sz w:val="20"/>
                <w:szCs w:val="20"/>
              </w:rPr>
            </w:pPr>
          </w:p>
        </w:tc>
        <w:tc>
          <w:tcPr>
            <w:tcW w:w="2066"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团结河～通吕运河</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13</w:t>
            </w:r>
          </w:p>
        </w:tc>
        <w:tc>
          <w:tcPr>
            <w:tcW w:w="1158" w:type="dxa"/>
            <w:gridSpan w:val="2"/>
            <w:tcBorders>
              <w:top w:val="nil"/>
              <w:left w:val="nil"/>
              <w:bottom w:val="single" w:color="auto" w:sz="4" w:space="0"/>
              <w:right w:val="single" w:color="auto" w:sz="4" w:space="0"/>
            </w:tcBorders>
            <w:shd w:val="clear" w:color="000000" w:fill="FFFFFF"/>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十总竖河</w:t>
            </w:r>
          </w:p>
        </w:tc>
        <w:tc>
          <w:tcPr>
            <w:tcW w:w="1162" w:type="dxa"/>
            <w:gridSpan w:val="2"/>
            <w:vMerge w:val="continue"/>
            <w:tcBorders>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531"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14.8</w:t>
            </w:r>
          </w:p>
        </w:tc>
        <w:tc>
          <w:tcPr>
            <w:tcW w:w="769" w:type="dxa"/>
            <w:gridSpan w:val="2"/>
            <w:vMerge w:val="continue"/>
            <w:tcBorders>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2066"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遥望港～运盐河</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14</w:t>
            </w:r>
          </w:p>
        </w:tc>
        <w:tc>
          <w:tcPr>
            <w:tcW w:w="115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圩亭河</w:t>
            </w:r>
          </w:p>
        </w:tc>
        <w:tc>
          <w:tcPr>
            <w:tcW w:w="1162" w:type="dxa"/>
            <w:gridSpan w:val="2"/>
            <w:vMerge w:val="restart"/>
            <w:tcBorders>
              <w:top w:val="single" w:color="auto" w:sz="4" w:space="0"/>
              <w:left w:val="single" w:color="auto" w:sz="4" w:space="0"/>
              <w:bottom w:val="single" w:color="000000"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三级</w:t>
            </w:r>
          </w:p>
        </w:tc>
        <w:tc>
          <w:tcPr>
            <w:tcW w:w="1531"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2.4</w:t>
            </w:r>
          </w:p>
        </w:tc>
        <w:tc>
          <w:tcPr>
            <w:tcW w:w="769" w:type="dxa"/>
            <w:gridSpan w:val="2"/>
            <w:vMerge w:val="restart"/>
            <w:tcBorders>
              <w:top w:val="single" w:color="auto" w:sz="4" w:space="0"/>
              <w:left w:val="single" w:color="auto" w:sz="4" w:space="0"/>
              <w:right w:val="single" w:color="auto" w:sz="4" w:space="0"/>
            </w:tcBorders>
            <w:vAlign w:val="center"/>
          </w:tcPr>
          <w:p>
            <w:pPr>
              <w:jc w:val="center"/>
              <w:rPr>
                <w:rFonts w:ascii="宋体" w:hAnsi="宋体" w:cs="宋体"/>
                <w:color w:val="000000"/>
                <w:kern w:val="0"/>
                <w:sz w:val="20"/>
                <w:szCs w:val="20"/>
              </w:rPr>
            </w:pPr>
            <w:r>
              <w:rPr>
                <w:rFonts w:hint="eastAsia" w:ascii="宋体" w:hAnsi="宋体" w:cs="宋体"/>
                <w:color w:val="000000"/>
                <w:kern w:val="0"/>
                <w:sz w:val="20"/>
                <w:szCs w:val="20"/>
              </w:rPr>
              <w:t>34.9</w:t>
            </w:r>
          </w:p>
        </w:tc>
        <w:tc>
          <w:tcPr>
            <w:tcW w:w="206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通吕运河～金新</w:t>
            </w:r>
          </w:p>
        </w:tc>
        <w:tc>
          <w:tcPr>
            <w:tcW w:w="1418"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15</w:t>
            </w:r>
          </w:p>
        </w:tc>
        <w:tc>
          <w:tcPr>
            <w:tcW w:w="115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向阳河</w:t>
            </w:r>
          </w:p>
        </w:tc>
        <w:tc>
          <w:tcPr>
            <w:tcW w:w="1162"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20"/>
                <w:szCs w:val="20"/>
              </w:rPr>
            </w:pPr>
          </w:p>
        </w:tc>
        <w:tc>
          <w:tcPr>
            <w:tcW w:w="1531"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6.9</w:t>
            </w:r>
          </w:p>
        </w:tc>
        <w:tc>
          <w:tcPr>
            <w:tcW w:w="769" w:type="dxa"/>
            <w:gridSpan w:val="2"/>
            <w:vMerge w:val="continue"/>
            <w:tcBorders>
              <w:left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2066"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团结河～通吕运河</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16</w:t>
            </w:r>
          </w:p>
        </w:tc>
        <w:tc>
          <w:tcPr>
            <w:tcW w:w="115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东社闸河</w:t>
            </w:r>
          </w:p>
        </w:tc>
        <w:tc>
          <w:tcPr>
            <w:tcW w:w="1162"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20"/>
                <w:szCs w:val="20"/>
              </w:rPr>
            </w:pPr>
          </w:p>
        </w:tc>
        <w:tc>
          <w:tcPr>
            <w:tcW w:w="1531"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8.4</w:t>
            </w:r>
          </w:p>
        </w:tc>
        <w:tc>
          <w:tcPr>
            <w:tcW w:w="769" w:type="dxa"/>
            <w:gridSpan w:val="2"/>
            <w:vMerge w:val="continue"/>
            <w:tcBorders>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20"/>
                <w:szCs w:val="20"/>
              </w:rPr>
            </w:pPr>
          </w:p>
        </w:tc>
        <w:tc>
          <w:tcPr>
            <w:tcW w:w="2066"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17</w:t>
            </w:r>
          </w:p>
        </w:tc>
        <w:tc>
          <w:tcPr>
            <w:tcW w:w="115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翻身河</w:t>
            </w:r>
          </w:p>
        </w:tc>
        <w:tc>
          <w:tcPr>
            <w:tcW w:w="1162"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20"/>
                <w:szCs w:val="20"/>
              </w:rPr>
            </w:pPr>
          </w:p>
        </w:tc>
        <w:tc>
          <w:tcPr>
            <w:tcW w:w="1531"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14</w:t>
            </w:r>
          </w:p>
        </w:tc>
        <w:tc>
          <w:tcPr>
            <w:tcW w:w="769" w:type="dxa"/>
            <w:gridSpan w:val="2"/>
            <w:vMerge w:val="continue"/>
            <w:tcBorders>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20"/>
                <w:szCs w:val="20"/>
              </w:rPr>
            </w:pPr>
          </w:p>
        </w:tc>
        <w:tc>
          <w:tcPr>
            <w:tcW w:w="2066"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18</w:t>
            </w:r>
          </w:p>
        </w:tc>
        <w:tc>
          <w:tcPr>
            <w:tcW w:w="115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西一河</w:t>
            </w:r>
          </w:p>
        </w:tc>
        <w:tc>
          <w:tcPr>
            <w:tcW w:w="1162"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20"/>
                <w:szCs w:val="20"/>
              </w:rPr>
            </w:pPr>
          </w:p>
        </w:tc>
        <w:tc>
          <w:tcPr>
            <w:tcW w:w="1531"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3.2</w:t>
            </w:r>
          </w:p>
        </w:tc>
        <w:tc>
          <w:tcPr>
            <w:tcW w:w="769" w:type="dxa"/>
            <w:gridSpan w:val="2"/>
            <w:vMerge w:val="continue"/>
            <w:tcBorders>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20"/>
                <w:szCs w:val="20"/>
              </w:rPr>
            </w:pPr>
          </w:p>
        </w:tc>
        <w:tc>
          <w:tcPr>
            <w:tcW w:w="2066"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余丰河～滨海</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p>
        </w:tc>
        <w:tc>
          <w:tcPr>
            <w:tcW w:w="1158"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合计</w:t>
            </w:r>
          </w:p>
        </w:tc>
        <w:tc>
          <w:tcPr>
            <w:tcW w:w="1162"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p>
        </w:tc>
        <w:tc>
          <w:tcPr>
            <w:tcW w:w="1531"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156</w:t>
            </w:r>
          </w:p>
        </w:tc>
        <w:tc>
          <w:tcPr>
            <w:tcW w:w="769"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156</w:t>
            </w:r>
          </w:p>
        </w:tc>
        <w:tc>
          <w:tcPr>
            <w:tcW w:w="2066"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4"/>
              </w:rPr>
            </w:pPr>
          </w:p>
        </w:tc>
      </w:tr>
      <w:tr>
        <w:tblPrEx>
          <w:tblCellMar>
            <w:top w:w="0" w:type="dxa"/>
            <w:left w:w="108" w:type="dxa"/>
            <w:bottom w:w="0" w:type="dxa"/>
            <w:right w:w="108" w:type="dxa"/>
          </w:tblCellMar>
        </w:tblPrEx>
        <w:trPr>
          <w:trHeight w:val="990" w:hRule="atLeast"/>
        </w:trPr>
        <w:tc>
          <w:tcPr>
            <w:tcW w:w="8804" w:type="dxa"/>
            <w:gridSpan w:val="11"/>
            <w:tcBorders>
              <w:top w:val="nil"/>
              <w:left w:val="nil"/>
              <w:bottom w:val="single" w:color="auto" w:sz="4" w:space="0"/>
              <w:right w:val="nil"/>
            </w:tcBorders>
            <w:vAlign w:val="center"/>
          </w:tcPr>
          <w:p>
            <w:pPr>
              <w:widowControl/>
              <w:jc w:val="center"/>
              <w:rPr>
                <w:rFonts w:ascii="宋体" w:hAnsi="宋体" w:cs="宋体"/>
                <w:b/>
                <w:bCs/>
                <w:color w:val="000000"/>
                <w:kern w:val="0"/>
                <w:sz w:val="36"/>
                <w:szCs w:val="36"/>
              </w:rPr>
            </w:pPr>
            <w:r>
              <w:rPr>
                <w:rFonts w:hint="eastAsia" w:ascii="宋体" w:hAnsi="宋体" w:cs="宋体"/>
                <w:b/>
                <w:bCs/>
                <w:color w:val="000000"/>
                <w:kern w:val="0"/>
                <w:sz w:val="36"/>
                <w:szCs w:val="36"/>
              </w:rPr>
              <w:t>二标段</w:t>
            </w:r>
          </w:p>
        </w:tc>
      </w:tr>
      <w:tr>
        <w:tblPrEx>
          <w:tblCellMar>
            <w:top w:w="0" w:type="dxa"/>
            <w:left w:w="108" w:type="dxa"/>
            <w:bottom w:w="0" w:type="dxa"/>
            <w:right w:w="108" w:type="dxa"/>
          </w:tblCellMar>
        </w:tblPrEx>
        <w:trPr>
          <w:trHeight w:val="915" w:hRule="atLeast"/>
        </w:trPr>
        <w:tc>
          <w:tcPr>
            <w:tcW w:w="724"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color w:val="000000"/>
                <w:kern w:val="0"/>
                <w:sz w:val="24"/>
              </w:rPr>
            </w:pPr>
            <w:r>
              <w:rPr>
                <w:rFonts w:hint="eastAsia" w:ascii="宋体" w:hAnsi="宋体" w:cs="宋体"/>
                <w:b/>
                <w:bCs/>
                <w:color w:val="000000"/>
                <w:kern w:val="0"/>
                <w:sz w:val="24"/>
              </w:rPr>
              <w:t>序号</w:t>
            </w:r>
          </w:p>
        </w:tc>
        <w:tc>
          <w:tcPr>
            <w:tcW w:w="1134"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kern w:val="0"/>
                <w:sz w:val="24"/>
              </w:rPr>
            </w:pPr>
            <w:r>
              <w:rPr>
                <w:rFonts w:hint="eastAsia" w:ascii="宋体" w:hAnsi="宋体" w:cs="宋体"/>
                <w:b/>
                <w:bCs/>
                <w:color w:val="000000"/>
                <w:kern w:val="0"/>
                <w:sz w:val="24"/>
              </w:rPr>
              <w:t>河道名称</w:t>
            </w:r>
          </w:p>
        </w:tc>
        <w:tc>
          <w:tcPr>
            <w:tcW w:w="851"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kern w:val="0"/>
                <w:sz w:val="24"/>
              </w:rPr>
            </w:pPr>
            <w:r>
              <w:rPr>
                <w:rFonts w:hint="eastAsia" w:ascii="宋体" w:hAnsi="宋体" w:cs="宋体"/>
                <w:b/>
                <w:bCs/>
                <w:color w:val="000000"/>
                <w:kern w:val="0"/>
                <w:sz w:val="24"/>
              </w:rPr>
              <w:t>等级</w:t>
            </w:r>
          </w:p>
        </w:tc>
        <w:tc>
          <w:tcPr>
            <w:tcW w:w="1559"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4"/>
              </w:rPr>
            </w:pPr>
            <w:r>
              <w:rPr>
                <w:rFonts w:hint="eastAsia" w:ascii="宋体" w:hAnsi="宋体" w:cs="宋体"/>
                <w:b/>
                <w:bCs/>
                <w:kern w:val="0"/>
                <w:sz w:val="24"/>
              </w:rPr>
              <w:t>长度（公里）</w:t>
            </w:r>
          </w:p>
        </w:tc>
        <w:tc>
          <w:tcPr>
            <w:tcW w:w="850"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4"/>
              </w:rPr>
            </w:pPr>
            <w:r>
              <w:rPr>
                <w:rFonts w:hint="eastAsia" w:ascii="宋体" w:hAnsi="宋体" w:cs="宋体"/>
                <w:b/>
                <w:bCs/>
                <w:kern w:val="0"/>
                <w:sz w:val="24"/>
              </w:rPr>
              <w:t>小计</w:t>
            </w:r>
          </w:p>
        </w:tc>
        <w:tc>
          <w:tcPr>
            <w:tcW w:w="226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kern w:val="0"/>
                <w:sz w:val="24"/>
              </w:rPr>
            </w:pPr>
            <w:r>
              <w:rPr>
                <w:rFonts w:hint="eastAsia" w:ascii="宋体" w:hAnsi="宋体" w:cs="宋体"/>
                <w:b/>
                <w:bCs/>
                <w:color w:val="000000"/>
                <w:kern w:val="0"/>
                <w:sz w:val="24"/>
              </w:rPr>
              <w:t>起讫点</w:t>
            </w:r>
          </w:p>
        </w:tc>
        <w:tc>
          <w:tcPr>
            <w:tcW w:w="1418"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kern w:val="0"/>
                <w:sz w:val="24"/>
              </w:rPr>
            </w:pPr>
            <w:r>
              <w:rPr>
                <w:rFonts w:hint="eastAsia" w:ascii="宋体" w:hAnsi="宋体" w:cs="宋体"/>
                <w:b/>
                <w:bCs/>
                <w:color w:val="000000"/>
                <w:kern w:val="0"/>
                <w:sz w:val="24"/>
              </w:rPr>
              <w:t>备注</w:t>
            </w:r>
          </w:p>
        </w:tc>
      </w:tr>
      <w:tr>
        <w:tblPrEx>
          <w:tblCellMar>
            <w:top w:w="0" w:type="dxa"/>
            <w:left w:w="108" w:type="dxa"/>
            <w:bottom w:w="0" w:type="dxa"/>
            <w:right w:w="108" w:type="dxa"/>
          </w:tblCellMar>
        </w:tblPrEx>
        <w:trPr>
          <w:trHeight w:val="600" w:hRule="atLeast"/>
        </w:trPr>
        <w:tc>
          <w:tcPr>
            <w:tcW w:w="724"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w:t>
            </w:r>
          </w:p>
        </w:tc>
        <w:tc>
          <w:tcPr>
            <w:tcW w:w="1134"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通吕运河</w:t>
            </w:r>
          </w:p>
        </w:tc>
        <w:tc>
          <w:tcPr>
            <w:tcW w:w="851"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一级</w:t>
            </w:r>
          </w:p>
        </w:tc>
        <w:tc>
          <w:tcPr>
            <w:tcW w:w="1559"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31.6</w:t>
            </w:r>
          </w:p>
        </w:tc>
        <w:tc>
          <w:tcPr>
            <w:tcW w:w="850"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54.5</w:t>
            </w:r>
          </w:p>
        </w:tc>
        <w:tc>
          <w:tcPr>
            <w:tcW w:w="226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南通市界～海门市界</w:t>
            </w:r>
          </w:p>
        </w:tc>
        <w:tc>
          <w:tcPr>
            <w:tcW w:w="1418"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24" w:type="dxa"/>
            <w:gridSpan w:val="2"/>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2</w:t>
            </w:r>
          </w:p>
        </w:tc>
        <w:tc>
          <w:tcPr>
            <w:tcW w:w="1134"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遥望港</w:t>
            </w:r>
          </w:p>
        </w:tc>
        <w:tc>
          <w:tcPr>
            <w:tcW w:w="85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559"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22.9</w:t>
            </w:r>
          </w:p>
        </w:tc>
        <w:tc>
          <w:tcPr>
            <w:tcW w:w="850" w:type="dxa"/>
            <w:gridSpan w:val="2"/>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2268"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九圩港～遥望港闸</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24" w:type="dxa"/>
            <w:gridSpan w:val="2"/>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3</w:t>
            </w:r>
          </w:p>
        </w:tc>
        <w:tc>
          <w:tcPr>
            <w:tcW w:w="1134"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团结河</w:t>
            </w:r>
          </w:p>
        </w:tc>
        <w:tc>
          <w:tcPr>
            <w:tcW w:w="851" w:type="dxa"/>
            <w:vMerge w:val="restart"/>
            <w:tcBorders>
              <w:top w:val="nil"/>
              <w:left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二级</w:t>
            </w:r>
          </w:p>
        </w:tc>
        <w:tc>
          <w:tcPr>
            <w:tcW w:w="1559"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22.3</w:t>
            </w:r>
          </w:p>
        </w:tc>
        <w:tc>
          <w:tcPr>
            <w:tcW w:w="850" w:type="dxa"/>
            <w:gridSpan w:val="2"/>
            <w:vMerge w:val="restart"/>
            <w:tcBorders>
              <w:top w:val="nil"/>
              <w:left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39.6</w:t>
            </w:r>
          </w:p>
        </w:tc>
        <w:tc>
          <w:tcPr>
            <w:tcW w:w="2268"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亭石河～滨海</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587" w:hRule="atLeast"/>
        </w:trPr>
        <w:tc>
          <w:tcPr>
            <w:tcW w:w="724" w:type="dxa"/>
            <w:gridSpan w:val="2"/>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4</w:t>
            </w:r>
          </w:p>
        </w:tc>
        <w:tc>
          <w:tcPr>
            <w:tcW w:w="1134"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亭石河</w:t>
            </w:r>
          </w:p>
        </w:tc>
        <w:tc>
          <w:tcPr>
            <w:tcW w:w="851" w:type="dxa"/>
            <w:vMerge w:val="continue"/>
            <w:tcBorders>
              <w:left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559"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13.5</w:t>
            </w:r>
          </w:p>
        </w:tc>
        <w:tc>
          <w:tcPr>
            <w:tcW w:w="850" w:type="dxa"/>
            <w:gridSpan w:val="2"/>
            <w:vMerge w:val="continue"/>
            <w:tcBorders>
              <w:left w:val="single" w:color="auto" w:sz="4" w:space="0"/>
              <w:right w:val="single" w:color="auto" w:sz="4" w:space="0"/>
            </w:tcBorders>
            <w:vAlign w:val="center"/>
          </w:tcPr>
          <w:p>
            <w:pPr>
              <w:widowControl/>
              <w:jc w:val="left"/>
              <w:rPr>
                <w:rFonts w:ascii="宋体" w:hAnsi="宋体" w:cs="宋体"/>
                <w:kern w:val="0"/>
                <w:sz w:val="20"/>
                <w:szCs w:val="20"/>
              </w:rPr>
            </w:pPr>
          </w:p>
        </w:tc>
        <w:tc>
          <w:tcPr>
            <w:tcW w:w="2268"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九圩港～团结河</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24" w:type="dxa"/>
            <w:gridSpan w:val="2"/>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5</w:t>
            </w:r>
          </w:p>
        </w:tc>
        <w:tc>
          <w:tcPr>
            <w:tcW w:w="1134"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余丰河</w:t>
            </w:r>
          </w:p>
        </w:tc>
        <w:tc>
          <w:tcPr>
            <w:tcW w:w="851" w:type="dxa"/>
            <w:vMerge w:val="continue"/>
            <w:tcBorders>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20"/>
                <w:szCs w:val="20"/>
              </w:rPr>
            </w:pPr>
          </w:p>
        </w:tc>
        <w:tc>
          <w:tcPr>
            <w:tcW w:w="1559"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3.8</w:t>
            </w:r>
          </w:p>
        </w:tc>
        <w:tc>
          <w:tcPr>
            <w:tcW w:w="850" w:type="dxa"/>
            <w:gridSpan w:val="2"/>
            <w:vMerge w:val="continue"/>
            <w:tcBorders>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2268"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滥港河～遥望港</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24" w:type="dxa"/>
            <w:gridSpan w:val="2"/>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6</w:t>
            </w:r>
          </w:p>
        </w:tc>
        <w:tc>
          <w:tcPr>
            <w:tcW w:w="1134"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团遥河</w:t>
            </w:r>
          </w:p>
        </w:tc>
        <w:tc>
          <w:tcPr>
            <w:tcW w:w="851"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三级</w:t>
            </w:r>
          </w:p>
        </w:tc>
        <w:tc>
          <w:tcPr>
            <w:tcW w:w="1559"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3.5</w:t>
            </w:r>
          </w:p>
        </w:tc>
        <w:tc>
          <w:tcPr>
            <w:tcW w:w="850" w:type="dxa"/>
            <w:gridSpan w:val="2"/>
            <w:vMerge w:val="restart"/>
            <w:tcBorders>
              <w:top w:val="single" w:color="auto" w:sz="4" w:space="0"/>
              <w:left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57.5</w:t>
            </w:r>
          </w:p>
        </w:tc>
        <w:tc>
          <w:tcPr>
            <w:tcW w:w="2268"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团结河～十总岸西村</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24" w:type="dxa"/>
            <w:gridSpan w:val="2"/>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7</w:t>
            </w:r>
          </w:p>
        </w:tc>
        <w:tc>
          <w:tcPr>
            <w:tcW w:w="1134"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西二河</w:t>
            </w:r>
          </w:p>
        </w:tc>
        <w:tc>
          <w:tcPr>
            <w:tcW w:w="85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559"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3.2</w:t>
            </w:r>
          </w:p>
        </w:tc>
        <w:tc>
          <w:tcPr>
            <w:tcW w:w="850" w:type="dxa"/>
            <w:gridSpan w:val="2"/>
            <w:vMerge w:val="continue"/>
            <w:tcBorders>
              <w:left w:val="single" w:color="auto" w:sz="4" w:space="0"/>
              <w:right w:val="single" w:color="auto" w:sz="4" w:space="0"/>
            </w:tcBorders>
            <w:vAlign w:val="center"/>
          </w:tcPr>
          <w:p>
            <w:pPr>
              <w:widowControl/>
              <w:jc w:val="left"/>
              <w:rPr>
                <w:rFonts w:ascii="宋体" w:hAnsi="宋体" w:cs="宋体"/>
                <w:kern w:val="0"/>
                <w:sz w:val="20"/>
                <w:szCs w:val="20"/>
              </w:rPr>
            </w:pPr>
          </w:p>
        </w:tc>
        <w:tc>
          <w:tcPr>
            <w:tcW w:w="2268"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东社闸河～忠义竖河</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24" w:type="dxa"/>
            <w:gridSpan w:val="2"/>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8</w:t>
            </w:r>
          </w:p>
        </w:tc>
        <w:tc>
          <w:tcPr>
            <w:tcW w:w="1134"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滥港河</w:t>
            </w:r>
          </w:p>
        </w:tc>
        <w:tc>
          <w:tcPr>
            <w:tcW w:w="85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559"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15</w:t>
            </w:r>
          </w:p>
        </w:tc>
        <w:tc>
          <w:tcPr>
            <w:tcW w:w="850" w:type="dxa"/>
            <w:gridSpan w:val="2"/>
            <w:vMerge w:val="continue"/>
            <w:tcBorders>
              <w:left w:val="single" w:color="auto" w:sz="4" w:space="0"/>
              <w:right w:val="single" w:color="auto" w:sz="4" w:space="0"/>
            </w:tcBorders>
            <w:vAlign w:val="center"/>
          </w:tcPr>
          <w:p>
            <w:pPr>
              <w:widowControl/>
              <w:jc w:val="left"/>
              <w:rPr>
                <w:rFonts w:ascii="宋体" w:hAnsi="宋体" w:cs="宋体"/>
                <w:kern w:val="0"/>
                <w:sz w:val="20"/>
                <w:szCs w:val="20"/>
              </w:rPr>
            </w:pPr>
          </w:p>
        </w:tc>
        <w:tc>
          <w:tcPr>
            <w:tcW w:w="2268"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东社闸河～十总竖河</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24" w:type="dxa"/>
            <w:gridSpan w:val="2"/>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9</w:t>
            </w:r>
          </w:p>
        </w:tc>
        <w:tc>
          <w:tcPr>
            <w:tcW w:w="1134"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五甲港</w:t>
            </w:r>
          </w:p>
        </w:tc>
        <w:tc>
          <w:tcPr>
            <w:tcW w:w="85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559"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7.1</w:t>
            </w:r>
          </w:p>
        </w:tc>
        <w:tc>
          <w:tcPr>
            <w:tcW w:w="850" w:type="dxa"/>
            <w:gridSpan w:val="2"/>
            <w:vMerge w:val="continue"/>
            <w:tcBorders>
              <w:left w:val="single" w:color="auto" w:sz="4" w:space="0"/>
              <w:right w:val="single" w:color="auto" w:sz="4" w:space="0"/>
            </w:tcBorders>
            <w:vAlign w:val="center"/>
          </w:tcPr>
          <w:p>
            <w:pPr>
              <w:widowControl/>
              <w:jc w:val="left"/>
              <w:rPr>
                <w:rFonts w:ascii="宋体" w:hAnsi="宋体" w:cs="宋体"/>
                <w:kern w:val="0"/>
                <w:sz w:val="20"/>
                <w:szCs w:val="20"/>
              </w:rPr>
            </w:pPr>
          </w:p>
        </w:tc>
        <w:tc>
          <w:tcPr>
            <w:tcW w:w="2268"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团结河～滥港河</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24" w:type="dxa"/>
            <w:gridSpan w:val="2"/>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10</w:t>
            </w:r>
          </w:p>
        </w:tc>
        <w:tc>
          <w:tcPr>
            <w:tcW w:w="1134"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五甲河</w:t>
            </w:r>
          </w:p>
        </w:tc>
        <w:tc>
          <w:tcPr>
            <w:tcW w:w="85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559"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2.2</w:t>
            </w:r>
          </w:p>
        </w:tc>
        <w:tc>
          <w:tcPr>
            <w:tcW w:w="850" w:type="dxa"/>
            <w:gridSpan w:val="2"/>
            <w:vMerge w:val="continue"/>
            <w:tcBorders>
              <w:left w:val="single" w:color="auto" w:sz="4" w:space="0"/>
              <w:right w:val="single" w:color="auto" w:sz="4" w:space="0"/>
            </w:tcBorders>
            <w:vAlign w:val="center"/>
          </w:tcPr>
          <w:p>
            <w:pPr>
              <w:widowControl/>
              <w:jc w:val="left"/>
              <w:rPr>
                <w:rFonts w:ascii="宋体" w:hAnsi="宋体" w:cs="宋体"/>
                <w:kern w:val="0"/>
                <w:sz w:val="20"/>
                <w:szCs w:val="20"/>
              </w:rPr>
            </w:pPr>
          </w:p>
        </w:tc>
        <w:tc>
          <w:tcPr>
            <w:tcW w:w="2268"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翻身河～团结河</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24" w:type="dxa"/>
            <w:gridSpan w:val="2"/>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11</w:t>
            </w:r>
          </w:p>
        </w:tc>
        <w:tc>
          <w:tcPr>
            <w:tcW w:w="1134"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爱儿竖河</w:t>
            </w:r>
          </w:p>
        </w:tc>
        <w:tc>
          <w:tcPr>
            <w:tcW w:w="85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559"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4.1</w:t>
            </w:r>
          </w:p>
        </w:tc>
        <w:tc>
          <w:tcPr>
            <w:tcW w:w="850" w:type="dxa"/>
            <w:gridSpan w:val="2"/>
            <w:vMerge w:val="continue"/>
            <w:tcBorders>
              <w:left w:val="single" w:color="auto" w:sz="4" w:space="0"/>
              <w:right w:val="single" w:color="auto" w:sz="4" w:space="0"/>
            </w:tcBorders>
            <w:vAlign w:val="center"/>
          </w:tcPr>
          <w:p>
            <w:pPr>
              <w:widowControl/>
              <w:jc w:val="left"/>
              <w:rPr>
                <w:rFonts w:ascii="宋体" w:hAnsi="宋体" w:cs="宋体"/>
                <w:kern w:val="0"/>
                <w:sz w:val="20"/>
                <w:szCs w:val="20"/>
              </w:rPr>
            </w:pPr>
          </w:p>
        </w:tc>
        <w:tc>
          <w:tcPr>
            <w:tcW w:w="2268"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遥望港～滥港河</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24" w:type="dxa"/>
            <w:gridSpan w:val="2"/>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12</w:t>
            </w:r>
          </w:p>
        </w:tc>
        <w:tc>
          <w:tcPr>
            <w:tcW w:w="1134"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爱东竖河</w:t>
            </w:r>
          </w:p>
        </w:tc>
        <w:tc>
          <w:tcPr>
            <w:tcW w:w="85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559"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3.9</w:t>
            </w:r>
          </w:p>
        </w:tc>
        <w:tc>
          <w:tcPr>
            <w:tcW w:w="850" w:type="dxa"/>
            <w:gridSpan w:val="2"/>
            <w:vMerge w:val="continue"/>
            <w:tcBorders>
              <w:left w:val="single" w:color="auto" w:sz="4" w:space="0"/>
              <w:right w:val="single" w:color="auto" w:sz="4" w:space="0"/>
            </w:tcBorders>
            <w:vAlign w:val="center"/>
          </w:tcPr>
          <w:p>
            <w:pPr>
              <w:widowControl/>
              <w:jc w:val="left"/>
              <w:rPr>
                <w:rFonts w:ascii="宋体" w:hAnsi="宋体" w:cs="宋体"/>
                <w:kern w:val="0"/>
                <w:sz w:val="20"/>
                <w:szCs w:val="20"/>
              </w:rPr>
            </w:pPr>
          </w:p>
        </w:tc>
        <w:tc>
          <w:tcPr>
            <w:tcW w:w="2268"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遥望港～滥港河</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24" w:type="dxa"/>
            <w:gridSpan w:val="2"/>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13</w:t>
            </w:r>
          </w:p>
        </w:tc>
        <w:tc>
          <w:tcPr>
            <w:tcW w:w="1134"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望江河</w:t>
            </w:r>
          </w:p>
        </w:tc>
        <w:tc>
          <w:tcPr>
            <w:tcW w:w="85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559"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7.5</w:t>
            </w:r>
          </w:p>
        </w:tc>
        <w:tc>
          <w:tcPr>
            <w:tcW w:w="850" w:type="dxa"/>
            <w:gridSpan w:val="2"/>
            <w:vMerge w:val="continue"/>
            <w:tcBorders>
              <w:left w:val="single" w:color="auto" w:sz="4" w:space="0"/>
              <w:right w:val="single" w:color="auto" w:sz="4" w:space="0"/>
            </w:tcBorders>
            <w:vAlign w:val="center"/>
          </w:tcPr>
          <w:p>
            <w:pPr>
              <w:widowControl/>
              <w:jc w:val="left"/>
              <w:rPr>
                <w:rFonts w:ascii="宋体" w:hAnsi="宋体" w:cs="宋体"/>
                <w:kern w:val="0"/>
                <w:sz w:val="20"/>
                <w:szCs w:val="20"/>
              </w:rPr>
            </w:pPr>
          </w:p>
        </w:tc>
        <w:tc>
          <w:tcPr>
            <w:tcW w:w="2268"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遥望港～团结河</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24" w:type="dxa"/>
            <w:gridSpan w:val="2"/>
            <w:tcBorders>
              <w:top w:val="nil"/>
              <w:left w:val="single" w:color="auto" w:sz="4" w:space="0"/>
              <w:bottom w:val="single" w:color="auto" w:sz="4" w:space="0"/>
              <w:right w:val="single" w:color="auto" w:sz="4" w:space="0"/>
            </w:tcBorders>
            <w:shd w:val="clear" w:color="000000" w:fill="FFFFFF"/>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14</w:t>
            </w:r>
          </w:p>
        </w:tc>
        <w:tc>
          <w:tcPr>
            <w:tcW w:w="1134"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十总横河</w:t>
            </w:r>
          </w:p>
        </w:tc>
        <w:tc>
          <w:tcPr>
            <w:tcW w:w="85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559"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11</w:t>
            </w:r>
          </w:p>
        </w:tc>
        <w:tc>
          <w:tcPr>
            <w:tcW w:w="850" w:type="dxa"/>
            <w:gridSpan w:val="2"/>
            <w:vMerge w:val="continue"/>
            <w:tcBorders>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2268"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亭石河～十总竖河</w:t>
            </w:r>
          </w:p>
        </w:tc>
        <w:tc>
          <w:tcPr>
            <w:tcW w:w="1418" w:type="dxa"/>
            <w:tcBorders>
              <w:top w:val="nil"/>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24" w:type="dxa"/>
            <w:gridSpan w:val="2"/>
            <w:tcBorders>
              <w:top w:val="nil"/>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p>
        </w:tc>
        <w:tc>
          <w:tcPr>
            <w:tcW w:w="1134"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合计</w:t>
            </w:r>
          </w:p>
        </w:tc>
        <w:tc>
          <w:tcPr>
            <w:tcW w:w="851"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p>
        </w:tc>
        <w:tc>
          <w:tcPr>
            <w:tcW w:w="1559" w:type="dxa"/>
            <w:gridSpan w:val="2"/>
            <w:tcBorders>
              <w:top w:val="nil"/>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151.6</w:t>
            </w:r>
          </w:p>
        </w:tc>
        <w:tc>
          <w:tcPr>
            <w:tcW w:w="850"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151.6</w:t>
            </w:r>
          </w:p>
        </w:tc>
        <w:tc>
          <w:tcPr>
            <w:tcW w:w="2268"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p>
        </w:tc>
        <w:tc>
          <w:tcPr>
            <w:tcW w:w="1418" w:type="dxa"/>
            <w:tcBorders>
              <w:top w:val="nil"/>
              <w:left w:val="nil"/>
              <w:bottom w:val="single" w:color="auto" w:sz="4" w:space="0"/>
              <w:right w:val="single" w:color="auto" w:sz="4" w:space="0"/>
            </w:tcBorders>
            <w:noWrap/>
            <w:vAlign w:val="center"/>
          </w:tcPr>
          <w:p>
            <w:pPr>
              <w:widowControl/>
              <w:jc w:val="left"/>
              <w:rPr>
                <w:rFonts w:ascii="宋体" w:hAnsi="宋体" w:cs="宋体"/>
                <w:kern w:val="0"/>
                <w:sz w:val="24"/>
              </w:rPr>
            </w:pPr>
          </w:p>
        </w:tc>
      </w:tr>
    </w:tbl>
    <w:p>
      <w:pPr>
        <w:pStyle w:val="2"/>
      </w:pPr>
    </w:p>
    <w:p>
      <w:pPr>
        <w:pStyle w:val="2"/>
      </w:pPr>
    </w:p>
    <w:p>
      <w:pPr>
        <w:pStyle w:val="2"/>
      </w:pPr>
    </w:p>
    <w:p>
      <w:pPr>
        <w:pStyle w:val="2"/>
      </w:pPr>
    </w:p>
    <w:tbl>
      <w:tblPr>
        <w:tblStyle w:val="53"/>
        <w:tblW w:w="8946" w:type="dxa"/>
        <w:tblInd w:w="93" w:type="dxa"/>
        <w:tblLayout w:type="fixed"/>
        <w:tblCellMar>
          <w:top w:w="0" w:type="dxa"/>
          <w:left w:w="108" w:type="dxa"/>
          <w:bottom w:w="0" w:type="dxa"/>
          <w:right w:w="108" w:type="dxa"/>
        </w:tblCellMar>
      </w:tblPr>
      <w:tblGrid>
        <w:gridCol w:w="700"/>
        <w:gridCol w:w="1080"/>
        <w:gridCol w:w="1080"/>
        <w:gridCol w:w="1320"/>
        <w:gridCol w:w="797"/>
        <w:gridCol w:w="2126"/>
        <w:gridCol w:w="1843"/>
      </w:tblGrid>
      <w:tr>
        <w:tblPrEx>
          <w:tblCellMar>
            <w:top w:w="0" w:type="dxa"/>
            <w:left w:w="108" w:type="dxa"/>
            <w:bottom w:w="0" w:type="dxa"/>
            <w:right w:w="108" w:type="dxa"/>
          </w:tblCellMar>
        </w:tblPrEx>
        <w:trPr>
          <w:trHeight w:val="900" w:hRule="atLeast"/>
        </w:trPr>
        <w:tc>
          <w:tcPr>
            <w:tcW w:w="8946" w:type="dxa"/>
            <w:gridSpan w:val="7"/>
            <w:tcBorders>
              <w:top w:val="nil"/>
              <w:left w:val="nil"/>
              <w:bottom w:val="nil"/>
              <w:right w:val="nil"/>
            </w:tcBorders>
            <w:vAlign w:val="center"/>
          </w:tcPr>
          <w:p>
            <w:pPr>
              <w:widowControl/>
              <w:jc w:val="center"/>
              <w:rPr>
                <w:rFonts w:ascii="宋体" w:hAnsi="宋体" w:cs="宋体"/>
                <w:b/>
                <w:bCs/>
                <w:color w:val="000000"/>
                <w:kern w:val="0"/>
                <w:sz w:val="36"/>
                <w:szCs w:val="36"/>
              </w:rPr>
            </w:pPr>
            <w:r>
              <w:rPr>
                <w:rFonts w:hint="eastAsia" w:ascii="宋体" w:hAnsi="宋体" w:cs="宋体"/>
                <w:b/>
                <w:bCs/>
                <w:color w:val="000000"/>
                <w:kern w:val="0"/>
                <w:sz w:val="36"/>
                <w:szCs w:val="36"/>
              </w:rPr>
              <w:t>三标段</w:t>
            </w: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序号</w:t>
            </w:r>
          </w:p>
        </w:tc>
        <w:tc>
          <w:tcPr>
            <w:tcW w:w="108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河道名称</w:t>
            </w:r>
          </w:p>
        </w:tc>
        <w:tc>
          <w:tcPr>
            <w:tcW w:w="108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等级</w:t>
            </w:r>
          </w:p>
        </w:tc>
        <w:tc>
          <w:tcPr>
            <w:tcW w:w="132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长度（公里）</w:t>
            </w:r>
          </w:p>
        </w:tc>
        <w:tc>
          <w:tcPr>
            <w:tcW w:w="797"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kern w:val="0"/>
                <w:sz w:val="24"/>
              </w:rPr>
            </w:pPr>
            <w:r>
              <w:rPr>
                <w:rFonts w:hint="eastAsia" w:ascii="宋体" w:hAnsi="宋体" w:cs="宋体"/>
                <w:b/>
                <w:bCs/>
                <w:color w:val="000000"/>
                <w:kern w:val="0"/>
                <w:sz w:val="24"/>
              </w:rPr>
              <w:t>小计</w:t>
            </w:r>
          </w:p>
        </w:tc>
        <w:tc>
          <w:tcPr>
            <w:tcW w:w="212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kern w:val="0"/>
                <w:sz w:val="24"/>
              </w:rPr>
            </w:pPr>
            <w:r>
              <w:rPr>
                <w:rFonts w:hint="eastAsia" w:ascii="宋体" w:hAnsi="宋体" w:cs="宋体"/>
                <w:b/>
                <w:bCs/>
                <w:color w:val="000000"/>
                <w:kern w:val="0"/>
                <w:sz w:val="24"/>
              </w:rPr>
              <w:t>起讫点</w:t>
            </w:r>
          </w:p>
        </w:tc>
        <w:tc>
          <w:tcPr>
            <w:tcW w:w="184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color w:val="000000"/>
                <w:kern w:val="0"/>
                <w:sz w:val="22"/>
                <w:szCs w:val="22"/>
              </w:rPr>
            </w:pPr>
            <w:r>
              <w:rPr>
                <w:rFonts w:hint="eastAsia" w:ascii="宋体" w:hAnsi="宋体" w:cs="宋体"/>
                <w:b/>
                <w:bCs/>
                <w:color w:val="000000"/>
                <w:kern w:val="0"/>
                <w:sz w:val="22"/>
                <w:szCs w:val="22"/>
              </w:rPr>
              <w:t>备注</w:t>
            </w:r>
          </w:p>
        </w:tc>
      </w:tr>
      <w:tr>
        <w:tblPrEx>
          <w:tblCellMar>
            <w:top w:w="0" w:type="dxa"/>
            <w:left w:w="108" w:type="dxa"/>
            <w:bottom w:w="0" w:type="dxa"/>
            <w:right w:w="108" w:type="dxa"/>
          </w:tblCellMar>
        </w:tblPrEx>
        <w:trPr>
          <w:trHeight w:val="46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w:t>
            </w:r>
          </w:p>
        </w:tc>
        <w:tc>
          <w:tcPr>
            <w:tcW w:w="108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通扬运河</w:t>
            </w:r>
          </w:p>
        </w:tc>
        <w:tc>
          <w:tcPr>
            <w:tcW w:w="1080" w:type="dxa"/>
            <w:vMerge w:val="restart"/>
            <w:tcBorders>
              <w:top w:val="single" w:color="auto" w:sz="4" w:space="0"/>
              <w:left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一级</w:t>
            </w:r>
          </w:p>
        </w:tc>
        <w:tc>
          <w:tcPr>
            <w:tcW w:w="132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13</w:t>
            </w:r>
          </w:p>
        </w:tc>
        <w:tc>
          <w:tcPr>
            <w:tcW w:w="797" w:type="dxa"/>
            <w:vMerge w:val="restart"/>
            <w:tcBorders>
              <w:top w:val="single" w:color="auto" w:sz="4" w:space="0"/>
              <w:left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49</w:t>
            </w:r>
          </w:p>
        </w:tc>
        <w:tc>
          <w:tcPr>
            <w:tcW w:w="212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如皋市界～九圩港</w:t>
            </w:r>
          </w:p>
        </w:tc>
        <w:tc>
          <w:tcPr>
            <w:tcW w:w="1843"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412"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2</w:t>
            </w:r>
          </w:p>
        </w:tc>
        <w:tc>
          <w:tcPr>
            <w:tcW w:w="108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九圩港</w:t>
            </w:r>
          </w:p>
        </w:tc>
        <w:tc>
          <w:tcPr>
            <w:tcW w:w="1080" w:type="dxa"/>
            <w:vMerge w:val="continue"/>
            <w:tcBorders>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32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36</w:t>
            </w:r>
          </w:p>
        </w:tc>
        <w:tc>
          <w:tcPr>
            <w:tcW w:w="797" w:type="dxa"/>
            <w:vMerge w:val="continue"/>
            <w:tcBorders>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212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九圩港闸～如东县界</w:t>
            </w:r>
          </w:p>
        </w:tc>
        <w:tc>
          <w:tcPr>
            <w:tcW w:w="1843"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3</w:t>
            </w:r>
          </w:p>
        </w:tc>
        <w:tc>
          <w:tcPr>
            <w:tcW w:w="108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团结河</w:t>
            </w:r>
          </w:p>
        </w:tc>
        <w:tc>
          <w:tcPr>
            <w:tcW w:w="108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二级</w:t>
            </w:r>
          </w:p>
        </w:tc>
        <w:tc>
          <w:tcPr>
            <w:tcW w:w="132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5.5</w:t>
            </w:r>
          </w:p>
        </w:tc>
        <w:tc>
          <w:tcPr>
            <w:tcW w:w="797"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88.5</w:t>
            </w:r>
          </w:p>
        </w:tc>
        <w:tc>
          <w:tcPr>
            <w:tcW w:w="212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南通市界～兴石河</w:t>
            </w:r>
          </w:p>
        </w:tc>
        <w:tc>
          <w:tcPr>
            <w:tcW w:w="1843"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4</w:t>
            </w:r>
          </w:p>
        </w:tc>
        <w:tc>
          <w:tcPr>
            <w:tcW w:w="108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兴石河</w:t>
            </w:r>
          </w:p>
        </w:tc>
        <w:tc>
          <w:tcPr>
            <w:tcW w:w="10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32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19</w:t>
            </w:r>
          </w:p>
        </w:tc>
        <w:tc>
          <w:tcPr>
            <w:tcW w:w="79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212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九圩港～通吕运河</w:t>
            </w:r>
          </w:p>
        </w:tc>
        <w:tc>
          <w:tcPr>
            <w:tcW w:w="1843"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5</w:t>
            </w:r>
          </w:p>
        </w:tc>
        <w:tc>
          <w:tcPr>
            <w:tcW w:w="108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九洋河</w:t>
            </w:r>
          </w:p>
        </w:tc>
        <w:tc>
          <w:tcPr>
            <w:tcW w:w="10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32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4.4</w:t>
            </w:r>
          </w:p>
        </w:tc>
        <w:tc>
          <w:tcPr>
            <w:tcW w:w="79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212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如东县界～九圩港</w:t>
            </w:r>
          </w:p>
        </w:tc>
        <w:tc>
          <w:tcPr>
            <w:tcW w:w="1843"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6</w:t>
            </w:r>
          </w:p>
        </w:tc>
        <w:tc>
          <w:tcPr>
            <w:tcW w:w="108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江海河</w:t>
            </w:r>
          </w:p>
        </w:tc>
        <w:tc>
          <w:tcPr>
            <w:tcW w:w="10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32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6.1</w:t>
            </w:r>
          </w:p>
        </w:tc>
        <w:tc>
          <w:tcPr>
            <w:tcW w:w="79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212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如东县界～九圩港</w:t>
            </w:r>
          </w:p>
        </w:tc>
        <w:tc>
          <w:tcPr>
            <w:tcW w:w="1843"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7</w:t>
            </w:r>
          </w:p>
        </w:tc>
        <w:tc>
          <w:tcPr>
            <w:tcW w:w="108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刘新河</w:t>
            </w:r>
          </w:p>
        </w:tc>
        <w:tc>
          <w:tcPr>
            <w:tcW w:w="10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32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7.4</w:t>
            </w:r>
          </w:p>
        </w:tc>
        <w:tc>
          <w:tcPr>
            <w:tcW w:w="79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212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如皋县界～九圩港</w:t>
            </w:r>
          </w:p>
        </w:tc>
        <w:tc>
          <w:tcPr>
            <w:tcW w:w="1843"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8</w:t>
            </w:r>
          </w:p>
        </w:tc>
        <w:tc>
          <w:tcPr>
            <w:tcW w:w="108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英雄竖河</w:t>
            </w:r>
          </w:p>
        </w:tc>
        <w:tc>
          <w:tcPr>
            <w:tcW w:w="10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32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11.3</w:t>
            </w:r>
          </w:p>
        </w:tc>
        <w:tc>
          <w:tcPr>
            <w:tcW w:w="79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212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九圩港～南通市界</w:t>
            </w:r>
          </w:p>
        </w:tc>
        <w:tc>
          <w:tcPr>
            <w:tcW w:w="1843"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9</w:t>
            </w:r>
          </w:p>
        </w:tc>
        <w:tc>
          <w:tcPr>
            <w:tcW w:w="108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幸福竖河</w:t>
            </w:r>
          </w:p>
        </w:tc>
        <w:tc>
          <w:tcPr>
            <w:tcW w:w="10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32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5.8</w:t>
            </w:r>
          </w:p>
        </w:tc>
        <w:tc>
          <w:tcPr>
            <w:tcW w:w="79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212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九圩港～南通市界</w:t>
            </w:r>
          </w:p>
        </w:tc>
        <w:tc>
          <w:tcPr>
            <w:tcW w:w="1843"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10</w:t>
            </w:r>
          </w:p>
        </w:tc>
        <w:tc>
          <w:tcPr>
            <w:tcW w:w="108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新生竖河</w:t>
            </w:r>
          </w:p>
        </w:tc>
        <w:tc>
          <w:tcPr>
            <w:tcW w:w="10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32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11.6</w:t>
            </w:r>
          </w:p>
        </w:tc>
        <w:tc>
          <w:tcPr>
            <w:tcW w:w="79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212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腰沟桥港～九圩港</w:t>
            </w:r>
          </w:p>
        </w:tc>
        <w:tc>
          <w:tcPr>
            <w:tcW w:w="1843"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11</w:t>
            </w:r>
          </w:p>
        </w:tc>
        <w:tc>
          <w:tcPr>
            <w:tcW w:w="108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小李港</w:t>
            </w:r>
          </w:p>
        </w:tc>
        <w:tc>
          <w:tcPr>
            <w:tcW w:w="10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32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3.9</w:t>
            </w:r>
          </w:p>
        </w:tc>
        <w:tc>
          <w:tcPr>
            <w:tcW w:w="79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212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如皋市界～小李港闸</w:t>
            </w:r>
          </w:p>
        </w:tc>
        <w:tc>
          <w:tcPr>
            <w:tcW w:w="1843"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12</w:t>
            </w:r>
          </w:p>
        </w:tc>
        <w:tc>
          <w:tcPr>
            <w:tcW w:w="108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新捕河</w:t>
            </w:r>
          </w:p>
        </w:tc>
        <w:tc>
          <w:tcPr>
            <w:tcW w:w="10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32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6.2</w:t>
            </w:r>
          </w:p>
        </w:tc>
        <w:tc>
          <w:tcPr>
            <w:tcW w:w="79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212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平五河～新捕河闸</w:t>
            </w:r>
          </w:p>
        </w:tc>
        <w:tc>
          <w:tcPr>
            <w:tcW w:w="1843"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13</w:t>
            </w:r>
          </w:p>
        </w:tc>
        <w:tc>
          <w:tcPr>
            <w:tcW w:w="108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平五河</w:t>
            </w:r>
          </w:p>
        </w:tc>
        <w:tc>
          <w:tcPr>
            <w:tcW w:w="1080"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32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7.3</w:t>
            </w:r>
          </w:p>
        </w:tc>
        <w:tc>
          <w:tcPr>
            <w:tcW w:w="79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212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小李港～通扬运河</w:t>
            </w:r>
          </w:p>
        </w:tc>
        <w:tc>
          <w:tcPr>
            <w:tcW w:w="1843"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14</w:t>
            </w:r>
          </w:p>
        </w:tc>
        <w:tc>
          <w:tcPr>
            <w:tcW w:w="108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五爻中心横河</w:t>
            </w:r>
          </w:p>
        </w:tc>
        <w:tc>
          <w:tcPr>
            <w:tcW w:w="1080" w:type="dxa"/>
            <w:vMerge w:val="restart"/>
            <w:tcBorders>
              <w:top w:val="single" w:color="auto" w:sz="4" w:space="0"/>
              <w:left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三级</w:t>
            </w:r>
          </w:p>
        </w:tc>
        <w:tc>
          <w:tcPr>
            <w:tcW w:w="132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4.8</w:t>
            </w:r>
          </w:p>
        </w:tc>
        <w:tc>
          <w:tcPr>
            <w:tcW w:w="797" w:type="dxa"/>
            <w:vMerge w:val="restart"/>
            <w:tcBorders>
              <w:top w:val="single" w:color="auto" w:sz="4" w:space="0"/>
              <w:left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19.9</w:t>
            </w:r>
          </w:p>
        </w:tc>
        <w:tc>
          <w:tcPr>
            <w:tcW w:w="212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兴石河～亭石河</w:t>
            </w:r>
          </w:p>
        </w:tc>
        <w:tc>
          <w:tcPr>
            <w:tcW w:w="1843"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15</w:t>
            </w:r>
          </w:p>
        </w:tc>
        <w:tc>
          <w:tcPr>
            <w:tcW w:w="108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北新捕河</w:t>
            </w:r>
          </w:p>
        </w:tc>
        <w:tc>
          <w:tcPr>
            <w:tcW w:w="1080" w:type="dxa"/>
            <w:vMerge w:val="continue"/>
            <w:tcBorders>
              <w:left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32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6.7</w:t>
            </w:r>
          </w:p>
        </w:tc>
        <w:tc>
          <w:tcPr>
            <w:tcW w:w="797" w:type="dxa"/>
            <w:vMerge w:val="continue"/>
            <w:tcBorders>
              <w:left w:val="single" w:color="auto" w:sz="4" w:space="0"/>
              <w:right w:val="single" w:color="auto" w:sz="4" w:space="0"/>
            </w:tcBorders>
            <w:vAlign w:val="center"/>
          </w:tcPr>
          <w:p>
            <w:pPr>
              <w:widowControl/>
              <w:jc w:val="left"/>
              <w:rPr>
                <w:rFonts w:ascii="宋体" w:hAnsi="宋体" w:cs="宋体"/>
                <w:kern w:val="0"/>
                <w:sz w:val="20"/>
                <w:szCs w:val="20"/>
              </w:rPr>
            </w:pPr>
          </w:p>
        </w:tc>
        <w:tc>
          <w:tcPr>
            <w:tcW w:w="212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如皋市界～平五河</w:t>
            </w:r>
          </w:p>
        </w:tc>
        <w:tc>
          <w:tcPr>
            <w:tcW w:w="1843"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16</w:t>
            </w:r>
          </w:p>
        </w:tc>
        <w:tc>
          <w:tcPr>
            <w:tcW w:w="108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四安横河</w:t>
            </w:r>
          </w:p>
        </w:tc>
        <w:tc>
          <w:tcPr>
            <w:tcW w:w="1080" w:type="dxa"/>
            <w:vMerge w:val="continue"/>
            <w:tcBorders>
              <w:left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32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5</w:t>
            </w:r>
          </w:p>
        </w:tc>
        <w:tc>
          <w:tcPr>
            <w:tcW w:w="797" w:type="dxa"/>
            <w:vMerge w:val="continue"/>
            <w:tcBorders>
              <w:left w:val="single" w:color="auto" w:sz="4" w:space="0"/>
              <w:right w:val="single" w:color="auto" w:sz="4" w:space="0"/>
            </w:tcBorders>
            <w:vAlign w:val="center"/>
          </w:tcPr>
          <w:p>
            <w:pPr>
              <w:widowControl/>
              <w:jc w:val="left"/>
              <w:rPr>
                <w:rFonts w:ascii="宋体" w:hAnsi="宋体" w:cs="宋体"/>
                <w:kern w:val="0"/>
                <w:sz w:val="20"/>
                <w:szCs w:val="20"/>
              </w:rPr>
            </w:pPr>
          </w:p>
        </w:tc>
        <w:tc>
          <w:tcPr>
            <w:tcW w:w="212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英雄竖河～兴石河</w:t>
            </w:r>
          </w:p>
        </w:tc>
        <w:tc>
          <w:tcPr>
            <w:tcW w:w="1843"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17</w:t>
            </w:r>
          </w:p>
        </w:tc>
        <w:tc>
          <w:tcPr>
            <w:tcW w:w="108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平南河</w:t>
            </w:r>
          </w:p>
        </w:tc>
        <w:tc>
          <w:tcPr>
            <w:tcW w:w="1080" w:type="dxa"/>
            <w:vMerge w:val="continue"/>
            <w:tcBorders>
              <w:left w:val="single" w:color="auto" w:sz="4" w:space="0"/>
              <w:bottom w:val="single" w:color="auto" w:sz="4" w:space="0"/>
              <w:right w:val="single" w:color="auto" w:sz="4" w:space="0"/>
            </w:tcBorders>
            <w:vAlign w:val="center"/>
          </w:tcPr>
          <w:p>
            <w:pPr>
              <w:widowControl/>
              <w:jc w:val="left"/>
              <w:rPr>
                <w:rFonts w:ascii="宋体" w:hAnsi="宋体" w:cs="宋体"/>
                <w:color w:val="000000"/>
                <w:kern w:val="0"/>
                <w:sz w:val="20"/>
                <w:szCs w:val="20"/>
              </w:rPr>
            </w:pPr>
          </w:p>
        </w:tc>
        <w:tc>
          <w:tcPr>
            <w:tcW w:w="132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3.4</w:t>
            </w:r>
          </w:p>
        </w:tc>
        <w:tc>
          <w:tcPr>
            <w:tcW w:w="797" w:type="dxa"/>
            <w:vMerge w:val="continue"/>
            <w:tcBorders>
              <w:left w:val="single" w:color="auto" w:sz="4" w:space="0"/>
              <w:bottom w:val="single" w:color="auto" w:sz="4" w:space="0"/>
              <w:right w:val="single" w:color="auto" w:sz="4" w:space="0"/>
            </w:tcBorders>
            <w:vAlign w:val="center"/>
          </w:tcPr>
          <w:p>
            <w:pPr>
              <w:widowControl/>
              <w:jc w:val="left"/>
              <w:rPr>
                <w:rFonts w:ascii="宋体" w:hAnsi="宋体" w:cs="宋体"/>
                <w:kern w:val="0"/>
                <w:sz w:val="20"/>
                <w:szCs w:val="20"/>
              </w:rPr>
            </w:pPr>
          </w:p>
        </w:tc>
        <w:tc>
          <w:tcPr>
            <w:tcW w:w="212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通扬运河～新捕河</w:t>
            </w:r>
          </w:p>
        </w:tc>
        <w:tc>
          <w:tcPr>
            <w:tcW w:w="1843"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kern w:val="0"/>
                <w:sz w:val="20"/>
                <w:szCs w:val="20"/>
              </w:rPr>
            </w:pPr>
          </w:p>
        </w:tc>
      </w:tr>
      <w:tr>
        <w:tblPrEx>
          <w:tblCellMar>
            <w:top w:w="0" w:type="dxa"/>
            <w:left w:w="108" w:type="dxa"/>
            <w:bottom w:w="0" w:type="dxa"/>
            <w:right w:w="108" w:type="dxa"/>
          </w:tblCellMar>
        </w:tblPrEx>
        <w:trPr>
          <w:trHeight w:val="600" w:hRule="atLeast"/>
        </w:trPr>
        <w:tc>
          <w:tcPr>
            <w:tcW w:w="7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 w:val="20"/>
                <w:szCs w:val="20"/>
              </w:rPr>
            </w:pPr>
          </w:p>
        </w:tc>
        <w:tc>
          <w:tcPr>
            <w:tcW w:w="108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r>
              <w:rPr>
                <w:rFonts w:hint="eastAsia" w:ascii="宋体" w:hAnsi="宋体" w:cs="宋体"/>
                <w:color w:val="000000"/>
                <w:kern w:val="0"/>
                <w:sz w:val="20"/>
                <w:szCs w:val="20"/>
              </w:rPr>
              <w:t>合计</w:t>
            </w:r>
          </w:p>
        </w:tc>
        <w:tc>
          <w:tcPr>
            <w:tcW w:w="1080" w:type="dxa"/>
            <w:tcBorders>
              <w:top w:val="single" w:color="auto" w:sz="4" w:space="0"/>
              <w:left w:val="nil"/>
              <w:bottom w:val="single" w:color="auto" w:sz="4" w:space="0"/>
              <w:right w:val="single" w:color="auto" w:sz="4" w:space="0"/>
            </w:tcBorders>
            <w:vAlign w:val="center"/>
          </w:tcPr>
          <w:p>
            <w:pPr>
              <w:widowControl/>
              <w:rPr>
                <w:rFonts w:ascii="宋体" w:hAnsi="宋体" w:cs="宋体"/>
                <w:color w:val="000000"/>
                <w:kern w:val="0"/>
                <w:sz w:val="20"/>
                <w:szCs w:val="20"/>
              </w:rPr>
            </w:pPr>
          </w:p>
        </w:tc>
        <w:tc>
          <w:tcPr>
            <w:tcW w:w="132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157.4</w:t>
            </w:r>
          </w:p>
        </w:tc>
        <w:tc>
          <w:tcPr>
            <w:tcW w:w="797"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0"/>
                <w:szCs w:val="20"/>
              </w:rPr>
            </w:pPr>
            <w:r>
              <w:rPr>
                <w:rFonts w:hint="eastAsia" w:ascii="宋体" w:hAnsi="宋体" w:cs="宋体"/>
                <w:kern w:val="0"/>
                <w:sz w:val="20"/>
                <w:szCs w:val="20"/>
              </w:rPr>
              <w:t>157.4</w:t>
            </w:r>
          </w:p>
        </w:tc>
        <w:tc>
          <w:tcPr>
            <w:tcW w:w="212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20"/>
                <w:szCs w:val="20"/>
              </w:rPr>
            </w:pPr>
          </w:p>
        </w:tc>
        <w:tc>
          <w:tcPr>
            <w:tcW w:w="1843" w:type="dxa"/>
            <w:tcBorders>
              <w:top w:val="single" w:color="auto" w:sz="4" w:space="0"/>
              <w:left w:val="nil"/>
              <w:bottom w:val="single" w:color="auto" w:sz="4" w:space="0"/>
              <w:right w:val="single" w:color="auto" w:sz="4" w:space="0"/>
            </w:tcBorders>
            <w:noWrap/>
            <w:vAlign w:val="center"/>
          </w:tcPr>
          <w:p>
            <w:pPr>
              <w:widowControl/>
              <w:jc w:val="left"/>
              <w:rPr>
                <w:rFonts w:ascii="宋体" w:hAnsi="宋体" w:cs="宋体"/>
                <w:kern w:val="0"/>
                <w:sz w:val="24"/>
              </w:rPr>
            </w:pPr>
          </w:p>
        </w:tc>
      </w:tr>
    </w:tbl>
    <w:p>
      <w:pPr>
        <w:pStyle w:val="2"/>
      </w:pPr>
    </w:p>
    <w:p>
      <w:pPr>
        <w:pStyle w:val="2"/>
      </w:pPr>
    </w:p>
    <w:p>
      <w:pPr>
        <w:pStyle w:val="2"/>
      </w:pPr>
    </w:p>
    <w:p>
      <w:pPr>
        <w:spacing w:line="400" w:lineRule="exact"/>
        <w:rPr>
          <w:rFonts w:ascii="宋体" w:hAnsi="宋体"/>
          <w:b/>
          <w:color w:val="000000"/>
          <w:sz w:val="24"/>
          <w:szCs w:val="24"/>
        </w:rPr>
      </w:pPr>
      <w:r>
        <w:rPr>
          <w:rFonts w:hint="eastAsia" w:ascii="宋体" w:hAnsi="宋体"/>
          <w:b/>
          <w:color w:val="000000"/>
          <w:sz w:val="24"/>
          <w:szCs w:val="24"/>
        </w:rPr>
        <w:t>四、设备、人员配备表：</w:t>
      </w:r>
    </w:p>
    <w:tbl>
      <w:tblPr>
        <w:tblStyle w:val="53"/>
        <w:tblpPr w:leftFromText="180" w:rightFromText="180" w:vertAnchor="text" w:horzAnchor="margin" w:tblpY="4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8"/>
        <w:gridCol w:w="1360"/>
        <w:gridCol w:w="1559"/>
        <w:gridCol w:w="1418"/>
        <w:gridCol w:w="35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trPr>
        <w:tc>
          <w:tcPr>
            <w:tcW w:w="1158" w:type="dxa"/>
            <w:vAlign w:val="center"/>
          </w:tcPr>
          <w:p>
            <w:pPr>
              <w:spacing w:line="300" w:lineRule="exact"/>
              <w:jc w:val="center"/>
              <w:rPr>
                <w:rFonts w:ascii="宋体" w:hAnsi="宋体"/>
                <w:color w:val="000000"/>
                <w:sz w:val="24"/>
                <w:szCs w:val="24"/>
              </w:rPr>
            </w:pPr>
            <w:r>
              <w:rPr>
                <w:rFonts w:hint="eastAsia" w:ascii="宋体" w:hAnsi="宋体"/>
                <w:color w:val="000000"/>
                <w:sz w:val="24"/>
                <w:szCs w:val="24"/>
              </w:rPr>
              <w:t>标段</w:t>
            </w:r>
          </w:p>
        </w:tc>
        <w:tc>
          <w:tcPr>
            <w:tcW w:w="1360" w:type="dxa"/>
            <w:vAlign w:val="center"/>
          </w:tcPr>
          <w:p>
            <w:pPr>
              <w:spacing w:line="300" w:lineRule="exact"/>
              <w:jc w:val="center"/>
              <w:rPr>
                <w:rFonts w:ascii="宋体" w:hAnsi="宋体"/>
                <w:color w:val="000000"/>
                <w:sz w:val="24"/>
                <w:szCs w:val="24"/>
              </w:rPr>
            </w:pPr>
            <w:r>
              <w:rPr>
                <w:rFonts w:hint="eastAsia" w:ascii="宋体" w:hAnsi="宋体"/>
                <w:color w:val="000000"/>
                <w:sz w:val="24"/>
                <w:szCs w:val="24"/>
              </w:rPr>
              <w:t>全自动机械保洁船（条）</w:t>
            </w:r>
          </w:p>
        </w:tc>
        <w:tc>
          <w:tcPr>
            <w:tcW w:w="1559" w:type="dxa"/>
            <w:vAlign w:val="center"/>
          </w:tcPr>
          <w:p>
            <w:pPr>
              <w:spacing w:line="300" w:lineRule="exact"/>
              <w:jc w:val="center"/>
              <w:rPr>
                <w:rFonts w:ascii="宋体" w:hAnsi="宋体"/>
                <w:color w:val="000000"/>
                <w:w w:val="80"/>
                <w:sz w:val="24"/>
                <w:szCs w:val="24"/>
              </w:rPr>
            </w:pPr>
            <w:r>
              <w:rPr>
                <w:rFonts w:hint="eastAsia" w:ascii="宋体" w:hAnsi="宋体"/>
                <w:color w:val="000000"/>
                <w:sz w:val="24"/>
                <w:szCs w:val="24"/>
              </w:rPr>
              <w:t>半自动机械保洁船（条）</w:t>
            </w:r>
          </w:p>
        </w:tc>
        <w:tc>
          <w:tcPr>
            <w:tcW w:w="1418" w:type="dxa"/>
            <w:vAlign w:val="center"/>
          </w:tcPr>
          <w:p>
            <w:pPr>
              <w:spacing w:line="300" w:lineRule="exact"/>
              <w:jc w:val="center"/>
              <w:rPr>
                <w:rFonts w:ascii="宋体" w:hAnsi="宋体"/>
                <w:color w:val="000000"/>
                <w:sz w:val="24"/>
                <w:szCs w:val="24"/>
              </w:rPr>
            </w:pPr>
            <w:r>
              <w:rPr>
                <w:rFonts w:hint="eastAsia" w:ascii="宋体" w:hAnsi="宋体"/>
                <w:color w:val="000000"/>
                <w:sz w:val="24"/>
                <w:szCs w:val="24"/>
              </w:rPr>
              <w:t>动力机械保洁船（条）</w:t>
            </w:r>
          </w:p>
        </w:tc>
        <w:tc>
          <w:tcPr>
            <w:tcW w:w="3537" w:type="dxa"/>
            <w:vAlign w:val="center"/>
          </w:tcPr>
          <w:p>
            <w:pPr>
              <w:spacing w:line="300" w:lineRule="exact"/>
              <w:jc w:val="center"/>
              <w:rPr>
                <w:rFonts w:ascii="宋体" w:hAnsi="宋体"/>
                <w:color w:val="000000"/>
                <w:sz w:val="24"/>
                <w:szCs w:val="24"/>
              </w:rPr>
            </w:pPr>
            <w:r>
              <w:rPr>
                <w:rFonts w:hint="eastAsia" w:ascii="宋体" w:hAnsi="宋体"/>
                <w:color w:val="000000"/>
                <w:sz w:val="24"/>
                <w:szCs w:val="24"/>
              </w:rPr>
              <w:t>保洁人员要求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trPr>
        <w:tc>
          <w:tcPr>
            <w:tcW w:w="1158" w:type="dxa"/>
            <w:vAlign w:val="center"/>
          </w:tcPr>
          <w:p>
            <w:pPr>
              <w:spacing w:line="480" w:lineRule="exact"/>
              <w:jc w:val="center"/>
              <w:rPr>
                <w:rFonts w:ascii="宋体" w:hAnsi="宋体"/>
                <w:color w:val="000000"/>
                <w:sz w:val="24"/>
                <w:szCs w:val="24"/>
              </w:rPr>
            </w:pPr>
            <w:r>
              <w:rPr>
                <w:rFonts w:hint="eastAsia" w:ascii="宋体" w:hAnsi="宋体"/>
                <w:color w:val="000000"/>
                <w:sz w:val="24"/>
                <w:szCs w:val="24"/>
              </w:rPr>
              <w:t>一</w:t>
            </w:r>
          </w:p>
        </w:tc>
        <w:tc>
          <w:tcPr>
            <w:tcW w:w="1360" w:type="dxa"/>
            <w:vAlign w:val="center"/>
          </w:tcPr>
          <w:p>
            <w:pPr>
              <w:spacing w:line="480" w:lineRule="exact"/>
              <w:jc w:val="center"/>
              <w:rPr>
                <w:rFonts w:ascii="宋体" w:hAnsi="宋体"/>
                <w:color w:val="000000"/>
                <w:sz w:val="24"/>
                <w:szCs w:val="24"/>
              </w:rPr>
            </w:pPr>
            <w:r>
              <w:rPr>
                <w:rFonts w:hint="eastAsia" w:ascii="宋体" w:hAnsi="宋体"/>
                <w:color w:val="000000"/>
                <w:sz w:val="24"/>
                <w:szCs w:val="24"/>
              </w:rPr>
              <w:t>1</w:t>
            </w:r>
          </w:p>
        </w:tc>
        <w:tc>
          <w:tcPr>
            <w:tcW w:w="1559" w:type="dxa"/>
            <w:vAlign w:val="center"/>
          </w:tcPr>
          <w:p>
            <w:pPr>
              <w:spacing w:line="480" w:lineRule="exact"/>
              <w:jc w:val="center"/>
              <w:rPr>
                <w:rFonts w:ascii="宋体" w:hAnsi="宋体"/>
                <w:color w:val="000000"/>
                <w:sz w:val="24"/>
                <w:szCs w:val="24"/>
              </w:rPr>
            </w:pPr>
            <w:r>
              <w:rPr>
                <w:rFonts w:hint="eastAsia" w:ascii="宋体" w:hAnsi="宋体"/>
                <w:color w:val="000000"/>
                <w:sz w:val="24"/>
                <w:szCs w:val="24"/>
              </w:rPr>
              <w:t>2</w:t>
            </w:r>
          </w:p>
        </w:tc>
        <w:tc>
          <w:tcPr>
            <w:tcW w:w="1418" w:type="dxa"/>
            <w:vAlign w:val="center"/>
          </w:tcPr>
          <w:p>
            <w:pPr>
              <w:spacing w:line="480" w:lineRule="exact"/>
              <w:jc w:val="center"/>
              <w:rPr>
                <w:rFonts w:ascii="宋体" w:hAnsi="宋体"/>
                <w:color w:val="000000"/>
                <w:sz w:val="24"/>
                <w:szCs w:val="24"/>
              </w:rPr>
            </w:pPr>
            <w:r>
              <w:rPr>
                <w:rFonts w:hint="eastAsia" w:ascii="宋体" w:hAnsi="宋体"/>
                <w:color w:val="000000"/>
                <w:sz w:val="24"/>
                <w:szCs w:val="24"/>
              </w:rPr>
              <w:t>9</w:t>
            </w:r>
          </w:p>
        </w:tc>
        <w:tc>
          <w:tcPr>
            <w:tcW w:w="3537" w:type="dxa"/>
            <w:vMerge w:val="restart"/>
            <w:vAlign w:val="center"/>
          </w:tcPr>
          <w:p>
            <w:pPr>
              <w:spacing w:line="320" w:lineRule="exact"/>
              <w:jc w:val="center"/>
              <w:rPr>
                <w:rFonts w:ascii="宋体" w:hAnsi="宋体"/>
                <w:color w:val="000000"/>
              </w:rPr>
            </w:pPr>
            <w:r>
              <w:rPr>
                <w:rFonts w:hint="eastAsia" w:ascii="宋体" w:hAnsi="宋体"/>
                <w:color w:val="000000"/>
              </w:rPr>
              <w:t>每标段不得少于25人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trPr>
        <w:tc>
          <w:tcPr>
            <w:tcW w:w="1158" w:type="dxa"/>
            <w:tcBorders>
              <w:bottom w:val="single" w:color="auto" w:sz="4" w:space="0"/>
            </w:tcBorders>
            <w:vAlign w:val="center"/>
          </w:tcPr>
          <w:p>
            <w:pPr>
              <w:spacing w:line="480" w:lineRule="exact"/>
              <w:jc w:val="center"/>
              <w:rPr>
                <w:rFonts w:ascii="宋体" w:hAnsi="宋体"/>
                <w:color w:val="000000"/>
                <w:sz w:val="24"/>
                <w:szCs w:val="24"/>
              </w:rPr>
            </w:pPr>
            <w:r>
              <w:rPr>
                <w:rFonts w:hint="eastAsia" w:ascii="宋体" w:hAnsi="宋体"/>
                <w:color w:val="000000"/>
                <w:sz w:val="24"/>
                <w:szCs w:val="24"/>
              </w:rPr>
              <w:t>二</w:t>
            </w:r>
          </w:p>
        </w:tc>
        <w:tc>
          <w:tcPr>
            <w:tcW w:w="1360" w:type="dxa"/>
            <w:tcBorders>
              <w:bottom w:val="single" w:color="auto" w:sz="4" w:space="0"/>
            </w:tcBorders>
            <w:vAlign w:val="center"/>
          </w:tcPr>
          <w:p>
            <w:pPr>
              <w:spacing w:line="480" w:lineRule="exact"/>
              <w:jc w:val="center"/>
              <w:rPr>
                <w:rFonts w:ascii="宋体" w:hAnsi="宋体"/>
                <w:color w:val="000000"/>
                <w:sz w:val="24"/>
                <w:szCs w:val="24"/>
              </w:rPr>
            </w:pPr>
            <w:r>
              <w:rPr>
                <w:rFonts w:hint="eastAsia" w:ascii="宋体" w:hAnsi="宋体"/>
                <w:color w:val="000000"/>
                <w:sz w:val="24"/>
                <w:szCs w:val="24"/>
              </w:rPr>
              <w:t>1</w:t>
            </w:r>
          </w:p>
        </w:tc>
        <w:tc>
          <w:tcPr>
            <w:tcW w:w="1559" w:type="dxa"/>
            <w:tcBorders>
              <w:bottom w:val="single" w:color="auto" w:sz="4" w:space="0"/>
            </w:tcBorders>
            <w:vAlign w:val="center"/>
          </w:tcPr>
          <w:p>
            <w:pPr>
              <w:spacing w:line="480" w:lineRule="exact"/>
              <w:jc w:val="center"/>
              <w:rPr>
                <w:rFonts w:ascii="宋体" w:hAnsi="宋体"/>
                <w:color w:val="000000"/>
                <w:sz w:val="24"/>
                <w:szCs w:val="24"/>
              </w:rPr>
            </w:pPr>
            <w:r>
              <w:rPr>
                <w:rFonts w:hint="eastAsia" w:ascii="宋体" w:hAnsi="宋体"/>
                <w:color w:val="000000"/>
                <w:sz w:val="24"/>
                <w:szCs w:val="24"/>
              </w:rPr>
              <w:t>2</w:t>
            </w:r>
          </w:p>
        </w:tc>
        <w:tc>
          <w:tcPr>
            <w:tcW w:w="1418" w:type="dxa"/>
            <w:tcBorders>
              <w:bottom w:val="single" w:color="auto" w:sz="4" w:space="0"/>
            </w:tcBorders>
            <w:vAlign w:val="center"/>
          </w:tcPr>
          <w:p>
            <w:pPr>
              <w:spacing w:line="480" w:lineRule="exact"/>
              <w:jc w:val="center"/>
              <w:rPr>
                <w:rFonts w:ascii="宋体" w:hAnsi="宋体"/>
                <w:color w:val="000000"/>
                <w:sz w:val="24"/>
                <w:szCs w:val="24"/>
              </w:rPr>
            </w:pPr>
            <w:r>
              <w:rPr>
                <w:rFonts w:hint="eastAsia" w:ascii="宋体" w:hAnsi="宋体"/>
                <w:color w:val="000000"/>
                <w:sz w:val="24"/>
                <w:szCs w:val="24"/>
              </w:rPr>
              <w:t>9</w:t>
            </w:r>
          </w:p>
        </w:tc>
        <w:tc>
          <w:tcPr>
            <w:tcW w:w="3537" w:type="dxa"/>
            <w:vMerge w:val="continue"/>
            <w:tcBorders>
              <w:bottom w:val="single" w:color="auto" w:sz="4" w:space="0"/>
            </w:tcBorders>
            <w:vAlign w:val="center"/>
          </w:tcPr>
          <w:p>
            <w:pPr>
              <w:spacing w:line="320" w:lineRule="exact"/>
              <w:rPr>
                <w:rFonts w:ascii="宋体" w:hAnsi="宋体"/>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trPr>
        <w:tc>
          <w:tcPr>
            <w:tcW w:w="1158" w:type="dxa"/>
            <w:vAlign w:val="center"/>
          </w:tcPr>
          <w:p>
            <w:pPr>
              <w:spacing w:line="480" w:lineRule="exact"/>
              <w:jc w:val="center"/>
              <w:rPr>
                <w:rFonts w:ascii="宋体" w:hAnsi="宋体"/>
                <w:color w:val="000000"/>
                <w:sz w:val="24"/>
                <w:szCs w:val="24"/>
              </w:rPr>
            </w:pPr>
            <w:r>
              <w:rPr>
                <w:rFonts w:hint="eastAsia" w:ascii="宋体" w:hAnsi="宋体"/>
                <w:color w:val="000000"/>
                <w:sz w:val="24"/>
                <w:szCs w:val="24"/>
              </w:rPr>
              <w:t>三</w:t>
            </w:r>
          </w:p>
        </w:tc>
        <w:tc>
          <w:tcPr>
            <w:tcW w:w="1360" w:type="dxa"/>
            <w:vAlign w:val="center"/>
          </w:tcPr>
          <w:p>
            <w:pPr>
              <w:spacing w:line="480" w:lineRule="exact"/>
              <w:jc w:val="center"/>
              <w:rPr>
                <w:rFonts w:ascii="宋体" w:hAnsi="宋体"/>
                <w:color w:val="000000"/>
                <w:sz w:val="24"/>
                <w:szCs w:val="24"/>
              </w:rPr>
            </w:pPr>
            <w:r>
              <w:rPr>
                <w:rFonts w:hint="eastAsia" w:ascii="宋体" w:hAnsi="宋体"/>
                <w:color w:val="000000"/>
                <w:sz w:val="24"/>
                <w:szCs w:val="24"/>
              </w:rPr>
              <w:t>1</w:t>
            </w:r>
          </w:p>
        </w:tc>
        <w:tc>
          <w:tcPr>
            <w:tcW w:w="1559" w:type="dxa"/>
            <w:vAlign w:val="center"/>
          </w:tcPr>
          <w:p>
            <w:pPr>
              <w:widowControl/>
              <w:jc w:val="center"/>
              <w:rPr>
                <w:rFonts w:ascii="宋体" w:hAnsi="宋体" w:cs="宋体"/>
                <w:color w:val="000000"/>
                <w:kern w:val="0"/>
                <w:sz w:val="24"/>
                <w:szCs w:val="24"/>
              </w:rPr>
            </w:pPr>
            <w:r>
              <w:rPr>
                <w:rFonts w:hint="eastAsia" w:ascii="宋体" w:hAnsi="宋体" w:cs="宋体"/>
                <w:color w:val="000000"/>
                <w:kern w:val="0"/>
                <w:sz w:val="24"/>
                <w:szCs w:val="24"/>
              </w:rPr>
              <w:t>2</w:t>
            </w:r>
          </w:p>
        </w:tc>
        <w:tc>
          <w:tcPr>
            <w:tcW w:w="1418" w:type="dxa"/>
            <w:vAlign w:val="center"/>
          </w:tcPr>
          <w:p>
            <w:pPr>
              <w:widowControl/>
              <w:jc w:val="center"/>
              <w:rPr>
                <w:rFonts w:ascii="宋体" w:hAnsi="宋体" w:cs="宋体"/>
                <w:color w:val="000000"/>
                <w:kern w:val="0"/>
                <w:sz w:val="24"/>
                <w:szCs w:val="24"/>
              </w:rPr>
            </w:pPr>
            <w:r>
              <w:rPr>
                <w:rFonts w:hint="eastAsia" w:ascii="宋体" w:hAnsi="宋体" w:cs="宋体"/>
                <w:color w:val="000000"/>
                <w:kern w:val="0"/>
                <w:sz w:val="24"/>
                <w:szCs w:val="24"/>
              </w:rPr>
              <w:t>9</w:t>
            </w:r>
          </w:p>
        </w:tc>
        <w:tc>
          <w:tcPr>
            <w:tcW w:w="3537" w:type="dxa"/>
            <w:vMerge w:val="continue"/>
            <w:vAlign w:val="center"/>
          </w:tcPr>
          <w:p>
            <w:pPr>
              <w:widowControl/>
              <w:spacing w:line="320" w:lineRule="exact"/>
              <w:rPr>
                <w:rFonts w:ascii="宋体" w:hAnsi="宋体" w:cs="宋体"/>
                <w:color w:val="000000"/>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trPr>
        <w:tc>
          <w:tcPr>
            <w:tcW w:w="1158" w:type="dxa"/>
            <w:vAlign w:val="center"/>
          </w:tcPr>
          <w:p>
            <w:pPr>
              <w:spacing w:line="480" w:lineRule="exact"/>
              <w:jc w:val="center"/>
              <w:rPr>
                <w:rFonts w:ascii="宋体" w:hAnsi="宋体"/>
                <w:color w:val="000000"/>
                <w:sz w:val="24"/>
                <w:szCs w:val="24"/>
              </w:rPr>
            </w:pPr>
            <w:r>
              <w:rPr>
                <w:rFonts w:hint="eastAsia" w:ascii="宋体" w:hAnsi="宋体"/>
                <w:color w:val="000000"/>
                <w:sz w:val="24"/>
                <w:szCs w:val="24"/>
              </w:rPr>
              <w:t>合计</w:t>
            </w:r>
          </w:p>
        </w:tc>
        <w:tc>
          <w:tcPr>
            <w:tcW w:w="1360" w:type="dxa"/>
            <w:vAlign w:val="center"/>
          </w:tcPr>
          <w:p>
            <w:pPr>
              <w:spacing w:line="480" w:lineRule="exact"/>
              <w:jc w:val="center"/>
              <w:rPr>
                <w:rFonts w:ascii="宋体" w:hAnsi="宋体"/>
                <w:color w:val="000000"/>
                <w:sz w:val="24"/>
                <w:szCs w:val="24"/>
              </w:rPr>
            </w:pPr>
            <w:r>
              <w:rPr>
                <w:rFonts w:hint="eastAsia" w:ascii="宋体" w:hAnsi="宋体"/>
                <w:color w:val="000000"/>
                <w:sz w:val="24"/>
                <w:szCs w:val="24"/>
              </w:rPr>
              <w:t>3</w:t>
            </w:r>
          </w:p>
        </w:tc>
        <w:tc>
          <w:tcPr>
            <w:tcW w:w="1559" w:type="dxa"/>
            <w:vAlign w:val="center"/>
          </w:tcPr>
          <w:p>
            <w:pPr>
              <w:spacing w:line="480" w:lineRule="exact"/>
              <w:jc w:val="center"/>
              <w:rPr>
                <w:rFonts w:ascii="宋体" w:hAnsi="宋体"/>
                <w:color w:val="000000"/>
                <w:sz w:val="24"/>
                <w:szCs w:val="24"/>
              </w:rPr>
            </w:pPr>
            <w:r>
              <w:rPr>
                <w:rFonts w:hint="eastAsia" w:ascii="宋体" w:hAnsi="宋体"/>
                <w:color w:val="000000"/>
                <w:sz w:val="24"/>
                <w:szCs w:val="24"/>
              </w:rPr>
              <w:t>6</w:t>
            </w:r>
          </w:p>
        </w:tc>
        <w:tc>
          <w:tcPr>
            <w:tcW w:w="1418" w:type="dxa"/>
            <w:vAlign w:val="center"/>
          </w:tcPr>
          <w:p>
            <w:pPr>
              <w:spacing w:line="480" w:lineRule="exact"/>
              <w:jc w:val="center"/>
              <w:rPr>
                <w:rFonts w:ascii="宋体" w:hAnsi="宋体"/>
                <w:color w:val="000000"/>
                <w:sz w:val="24"/>
                <w:szCs w:val="24"/>
              </w:rPr>
            </w:pPr>
            <w:r>
              <w:rPr>
                <w:rFonts w:hint="eastAsia" w:ascii="宋体" w:hAnsi="宋体"/>
                <w:color w:val="000000"/>
                <w:sz w:val="24"/>
                <w:szCs w:val="24"/>
              </w:rPr>
              <w:t>27</w:t>
            </w:r>
          </w:p>
        </w:tc>
        <w:tc>
          <w:tcPr>
            <w:tcW w:w="3537" w:type="dxa"/>
            <w:vAlign w:val="center"/>
          </w:tcPr>
          <w:p>
            <w:pPr>
              <w:spacing w:line="480" w:lineRule="exact"/>
              <w:jc w:val="center"/>
              <w:rPr>
                <w:rFonts w:ascii="宋体" w:hAnsi="宋体"/>
                <w:color w:val="000000"/>
                <w:sz w:val="24"/>
                <w:szCs w:val="24"/>
              </w:rPr>
            </w:pPr>
            <w:r>
              <w:rPr>
                <w:rFonts w:hint="eastAsia" w:ascii="宋体" w:hAnsi="宋体"/>
                <w:color w:val="000000"/>
                <w:sz w:val="24"/>
                <w:szCs w:val="24"/>
              </w:rPr>
              <w:t>75</w:t>
            </w:r>
          </w:p>
        </w:tc>
      </w:tr>
    </w:tbl>
    <w:p>
      <w:pPr>
        <w:spacing w:line="440" w:lineRule="exact"/>
        <w:rPr>
          <w:rFonts w:ascii="宋体" w:hAnsi="宋体"/>
          <w:color w:val="000000"/>
          <w:sz w:val="24"/>
          <w:szCs w:val="24"/>
        </w:rPr>
      </w:pPr>
      <w:r>
        <w:rPr>
          <w:rFonts w:hint="eastAsia" w:ascii="宋体" w:hAnsi="宋体"/>
          <w:color w:val="000000"/>
          <w:sz w:val="24"/>
          <w:szCs w:val="24"/>
        </w:rPr>
        <w:t>备注：</w:t>
      </w:r>
    </w:p>
    <w:p>
      <w:pPr>
        <w:spacing w:line="440" w:lineRule="exact"/>
        <w:ind w:firstLine="480" w:firstLineChars="200"/>
        <w:rPr>
          <w:rFonts w:ascii="宋体" w:hAnsi="宋体"/>
          <w:color w:val="000000"/>
          <w:sz w:val="24"/>
          <w:szCs w:val="24"/>
        </w:rPr>
      </w:pPr>
      <w:r>
        <w:rPr>
          <w:rFonts w:hint="eastAsia" w:ascii="宋体" w:hAnsi="宋体"/>
          <w:color w:val="000000"/>
          <w:sz w:val="24"/>
          <w:szCs w:val="24"/>
        </w:rPr>
        <w:t>1、中标人在中标通知书发出20天内须满足本表中各项要求，到期无法满足的，视为自动放弃中标资格，并没收其投标保证金。由得分第二的投标单位递补为中标人，依此类推。</w:t>
      </w:r>
    </w:p>
    <w:p>
      <w:pPr>
        <w:spacing w:line="440" w:lineRule="exact"/>
        <w:ind w:firstLine="480" w:firstLineChars="200"/>
        <w:rPr>
          <w:rFonts w:ascii="宋体" w:hAnsi="宋体"/>
          <w:color w:val="000000"/>
          <w:sz w:val="24"/>
          <w:szCs w:val="24"/>
        </w:rPr>
      </w:pPr>
      <w:r>
        <w:rPr>
          <w:rFonts w:hint="eastAsia" w:ascii="宋体" w:hAnsi="宋体"/>
          <w:color w:val="000000"/>
          <w:sz w:val="24"/>
          <w:szCs w:val="24"/>
        </w:rPr>
        <w:t>2、本工程上一轮承包人已购买的机械保洁船评估价由招标人申请有权部门进行评估鉴定，各投标单位在中标后须按评估价无条件购买船只。招标人按评估价的30%以奖代补，在每年签订合同后分别支付10%。</w:t>
      </w:r>
    </w:p>
    <w:p>
      <w:pPr>
        <w:spacing w:line="440" w:lineRule="exact"/>
        <w:ind w:firstLine="480" w:firstLineChars="200"/>
        <w:rPr>
          <w:color w:val="0C0C0C" w:themeColor="text1" w:themeTint="F2"/>
          <w:kern w:val="0"/>
          <w:sz w:val="24"/>
          <w:szCs w:val="20"/>
        </w:rPr>
      </w:pPr>
    </w:p>
    <w:p>
      <w:pPr>
        <w:spacing w:line="360" w:lineRule="auto"/>
        <w:ind w:firstLine="480" w:firstLineChars="200"/>
        <w:rPr>
          <w:color w:val="0C0C0C" w:themeColor="text1" w:themeTint="F2"/>
          <w:kern w:val="0"/>
          <w:sz w:val="24"/>
          <w:szCs w:val="20"/>
        </w:rPr>
      </w:pPr>
    </w:p>
    <w:p>
      <w:pPr>
        <w:spacing w:line="360" w:lineRule="auto"/>
        <w:ind w:firstLine="480" w:firstLineChars="200"/>
        <w:rPr>
          <w:color w:val="0C0C0C" w:themeColor="text1" w:themeTint="F2"/>
          <w:kern w:val="0"/>
          <w:sz w:val="24"/>
          <w:szCs w:val="20"/>
        </w:rPr>
      </w:pPr>
    </w:p>
    <w:p>
      <w:pPr>
        <w:spacing w:line="360" w:lineRule="auto"/>
        <w:ind w:firstLine="480" w:firstLineChars="200"/>
        <w:rPr>
          <w:color w:val="0C0C0C" w:themeColor="text1" w:themeTint="F2"/>
          <w:kern w:val="0"/>
          <w:sz w:val="24"/>
          <w:szCs w:val="20"/>
        </w:rPr>
      </w:pPr>
    </w:p>
    <w:p>
      <w:pPr>
        <w:spacing w:line="360" w:lineRule="auto"/>
        <w:ind w:firstLine="480" w:firstLineChars="200"/>
        <w:rPr>
          <w:color w:val="0C0C0C" w:themeColor="text1" w:themeTint="F2"/>
          <w:kern w:val="0"/>
          <w:sz w:val="24"/>
          <w:szCs w:val="20"/>
        </w:rPr>
      </w:pPr>
    </w:p>
    <w:p>
      <w:pPr>
        <w:spacing w:line="360" w:lineRule="auto"/>
        <w:ind w:firstLine="480" w:firstLineChars="200"/>
        <w:rPr>
          <w:color w:val="0C0C0C" w:themeColor="text1" w:themeTint="F2"/>
          <w:kern w:val="0"/>
          <w:sz w:val="24"/>
          <w:szCs w:val="20"/>
        </w:rPr>
      </w:pPr>
    </w:p>
    <w:p>
      <w:pPr>
        <w:spacing w:line="360" w:lineRule="auto"/>
        <w:ind w:firstLine="480" w:firstLineChars="200"/>
        <w:rPr>
          <w:color w:val="0C0C0C" w:themeColor="text1" w:themeTint="F2"/>
          <w:kern w:val="0"/>
          <w:sz w:val="24"/>
          <w:szCs w:val="20"/>
        </w:rPr>
      </w:pPr>
    </w:p>
    <w:p>
      <w:pPr>
        <w:pStyle w:val="2"/>
      </w:pPr>
    </w:p>
    <w:p>
      <w:pPr>
        <w:pStyle w:val="2"/>
      </w:pPr>
    </w:p>
    <w:p>
      <w:pPr>
        <w:pStyle w:val="2"/>
      </w:pPr>
    </w:p>
    <w:p>
      <w:pPr>
        <w:pStyle w:val="2"/>
      </w:pPr>
    </w:p>
    <w:p>
      <w:pPr>
        <w:pStyle w:val="2"/>
      </w:pPr>
    </w:p>
    <w:p>
      <w:pPr>
        <w:pStyle w:val="3"/>
        <w:numPr>
          <w:ilvl w:val="0"/>
          <w:numId w:val="14"/>
        </w:numPr>
        <w:spacing w:before="0" w:after="0" w:line="240" w:lineRule="auto"/>
        <w:jc w:val="center"/>
        <w:rPr>
          <w:rFonts w:asciiTheme="majorEastAsia" w:hAnsiTheme="majorEastAsia" w:eastAsiaTheme="majorEastAsia"/>
          <w:b w:val="0"/>
          <w:bCs/>
          <w:color w:val="0C0C0C" w:themeColor="text1" w:themeTint="F2"/>
          <w:sz w:val="36"/>
          <w:szCs w:val="36"/>
        </w:rPr>
      </w:pPr>
      <w:r>
        <w:rPr>
          <w:rFonts w:hint="eastAsia" w:asciiTheme="majorEastAsia" w:hAnsiTheme="majorEastAsia" w:eastAsiaTheme="majorEastAsia"/>
          <w:b w:val="0"/>
          <w:bCs/>
          <w:color w:val="0C0C0C" w:themeColor="text1" w:themeTint="F2"/>
          <w:sz w:val="36"/>
          <w:szCs w:val="36"/>
        </w:rPr>
        <w:t>评标方法与评标标准</w:t>
      </w:r>
      <w:bookmarkStart w:id="166" w:name="_Toc396833722"/>
      <w:bookmarkStart w:id="167" w:name="_Toc358633669"/>
      <w:bookmarkStart w:id="168" w:name="_Toc393207967"/>
      <w:bookmarkStart w:id="169" w:name="_Toc358637059"/>
      <w:bookmarkStart w:id="170" w:name="_Toc392498221"/>
    </w:p>
    <w:p>
      <w:pPr>
        <w:spacing w:line="400" w:lineRule="exact"/>
        <w:ind w:firstLine="640" w:firstLineChars="200"/>
        <w:jc w:val="center"/>
        <w:rPr>
          <w:rFonts w:asciiTheme="minorEastAsia" w:hAnsiTheme="minorEastAsia" w:eastAsiaTheme="minorEastAsia"/>
          <w:color w:val="000000"/>
          <w:sz w:val="32"/>
          <w:szCs w:val="32"/>
        </w:rPr>
      </w:pPr>
      <w:r>
        <w:rPr>
          <w:rFonts w:hint="eastAsia" w:cs="宋体" w:asciiTheme="minorEastAsia" w:hAnsiTheme="minorEastAsia" w:eastAsiaTheme="minorEastAsia"/>
          <w:color w:val="000000"/>
          <w:sz w:val="32"/>
          <w:szCs w:val="32"/>
        </w:rPr>
        <w:t>（评标方法：综合评分法）</w:t>
      </w:r>
    </w:p>
    <w:p>
      <w:pPr>
        <w:keepNext/>
        <w:keepLines/>
        <w:overflowPunct w:val="0"/>
        <w:adjustRightInd w:val="0"/>
        <w:spacing w:line="400" w:lineRule="exact"/>
        <w:jc w:val="left"/>
        <w:textAlignment w:val="baseline"/>
        <w:outlineLvl w:val="1"/>
        <w:rPr>
          <w:rFonts w:ascii="宋体" w:hAnsi="宋体"/>
          <w:sz w:val="24"/>
          <w:szCs w:val="24"/>
        </w:rPr>
      </w:pPr>
      <w:r>
        <w:rPr>
          <w:rFonts w:hint="eastAsia" w:ascii="宋体" w:hAnsi="宋体" w:cs="宋体"/>
          <w:sz w:val="24"/>
          <w:szCs w:val="24"/>
        </w:rPr>
        <w:t>一、评标定标原则</w:t>
      </w:r>
    </w:p>
    <w:p>
      <w:pPr>
        <w:adjustRightInd w:val="0"/>
        <w:spacing w:line="400" w:lineRule="exact"/>
        <w:ind w:firstLine="482"/>
        <w:rPr>
          <w:rFonts w:ascii="宋体"/>
          <w:bCs/>
          <w:sz w:val="24"/>
          <w:szCs w:val="24"/>
        </w:rPr>
      </w:pPr>
      <w:r>
        <w:rPr>
          <w:rFonts w:hint="eastAsia" w:ascii="宋体" w:hAnsi="宋体" w:cs="宋体"/>
          <w:bCs/>
          <w:sz w:val="24"/>
          <w:szCs w:val="24"/>
        </w:rPr>
        <w:t>根据有关法律、法规及相关规定，坚持公平、公正、科学、择优的原则，反对不正当竞争。</w:t>
      </w:r>
    </w:p>
    <w:p>
      <w:pPr>
        <w:keepNext/>
        <w:keepLines/>
        <w:overflowPunct w:val="0"/>
        <w:adjustRightInd w:val="0"/>
        <w:spacing w:line="400" w:lineRule="exact"/>
        <w:jc w:val="left"/>
        <w:textAlignment w:val="baseline"/>
        <w:outlineLvl w:val="1"/>
        <w:rPr>
          <w:rFonts w:ascii="宋体" w:hAnsi="宋体"/>
          <w:sz w:val="24"/>
          <w:szCs w:val="24"/>
        </w:rPr>
      </w:pPr>
      <w:bookmarkStart w:id="171" w:name="_Toc396833723"/>
      <w:bookmarkStart w:id="172" w:name="_Toc392498222"/>
      <w:bookmarkStart w:id="173" w:name="_Toc358633670"/>
      <w:bookmarkStart w:id="174" w:name="_Toc358637060"/>
      <w:bookmarkStart w:id="175" w:name="_Toc393207968"/>
      <w:bookmarkStart w:id="176" w:name="_Toc341880207"/>
      <w:r>
        <w:rPr>
          <w:rFonts w:hint="eastAsia" w:ascii="宋体" w:hAnsi="宋体" w:cs="宋体"/>
          <w:sz w:val="24"/>
          <w:szCs w:val="24"/>
        </w:rPr>
        <w:t>二、评标组织</w:t>
      </w:r>
      <w:bookmarkEnd w:id="171"/>
      <w:bookmarkEnd w:id="172"/>
      <w:bookmarkEnd w:id="173"/>
      <w:bookmarkEnd w:id="174"/>
      <w:bookmarkEnd w:id="175"/>
      <w:bookmarkEnd w:id="176"/>
    </w:p>
    <w:p>
      <w:pPr>
        <w:adjustRightInd w:val="0"/>
        <w:spacing w:line="400" w:lineRule="exact"/>
        <w:ind w:firstLine="480"/>
        <w:rPr>
          <w:rFonts w:ascii="宋体"/>
          <w:bCs/>
          <w:sz w:val="24"/>
          <w:szCs w:val="24"/>
        </w:rPr>
      </w:pPr>
      <w:r>
        <w:rPr>
          <w:rFonts w:hint="eastAsia" w:ascii="宋体" w:hAnsi="宋体" w:cs="宋体"/>
          <w:bCs/>
          <w:sz w:val="24"/>
          <w:szCs w:val="24"/>
        </w:rPr>
        <w:t>评标专家由依法组建的评标委员会负责，评标委员会从评标专家库中随机抽取的有关技术、经济等方面的专家组成，与投标单位有利害关系的专家不能担任评委。</w:t>
      </w:r>
    </w:p>
    <w:p>
      <w:pPr>
        <w:widowControl/>
        <w:tabs>
          <w:tab w:val="left" w:pos="0"/>
          <w:tab w:val="left" w:pos="993"/>
          <w:tab w:val="left" w:pos="1134"/>
        </w:tabs>
        <w:adjustRightInd w:val="0"/>
        <w:snapToGrid w:val="0"/>
        <w:spacing w:line="400" w:lineRule="exact"/>
        <w:ind w:firstLine="360" w:firstLineChars="150"/>
        <w:rPr>
          <w:rFonts w:ascii="宋体"/>
          <w:bCs/>
          <w:sz w:val="24"/>
          <w:szCs w:val="24"/>
        </w:rPr>
      </w:pPr>
      <w:r>
        <w:rPr>
          <w:rFonts w:hint="eastAsia" w:ascii="宋体" w:hAnsi="宋体" w:cs="宋体"/>
          <w:bCs/>
          <w:sz w:val="24"/>
          <w:szCs w:val="24"/>
        </w:rPr>
        <w:t>（一）评标程序</w:t>
      </w:r>
    </w:p>
    <w:p>
      <w:pPr>
        <w:spacing w:line="400" w:lineRule="exact"/>
        <w:ind w:firstLine="480" w:firstLineChars="200"/>
        <w:rPr>
          <w:rFonts w:asciiTheme="minorEastAsia" w:hAnsiTheme="minorEastAsia" w:eastAsiaTheme="minorEastAsia"/>
          <w:color w:val="000000"/>
          <w:sz w:val="24"/>
          <w:szCs w:val="24"/>
        </w:rPr>
      </w:pPr>
      <w:r>
        <w:rPr>
          <w:rFonts w:asciiTheme="minorEastAsia" w:hAnsiTheme="minorEastAsia" w:eastAsiaTheme="minorEastAsia"/>
          <w:color w:val="000000"/>
          <w:sz w:val="24"/>
          <w:szCs w:val="24"/>
        </w:rPr>
        <w:t>1</w:t>
      </w:r>
      <w:r>
        <w:rPr>
          <w:rFonts w:hint="eastAsia" w:cs="宋体" w:asciiTheme="minorEastAsia" w:hAnsiTheme="minorEastAsia" w:eastAsiaTheme="minorEastAsia"/>
          <w:color w:val="000000"/>
          <w:sz w:val="24"/>
          <w:szCs w:val="24"/>
        </w:rPr>
        <w:t>资格性审查评审</w:t>
      </w:r>
      <w:r>
        <w:rPr>
          <w:rFonts w:asciiTheme="minorEastAsia" w:hAnsiTheme="minorEastAsia" w:eastAsiaTheme="minorEastAsia"/>
          <w:color w:val="000000"/>
          <w:sz w:val="24"/>
          <w:szCs w:val="24"/>
        </w:rPr>
        <w:t>——2</w:t>
      </w:r>
      <w:r>
        <w:rPr>
          <w:rFonts w:hint="eastAsia" w:cs="宋体" w:asciiTheme="minorEastAsia" w:hAnsiTheme="minorEastAsia" w:eastAsiaTheme="minorEastAsia"/>
          <w:color w:val="000000"/>
          <w:sz w:val="24"/>
          <w:szCs w:val="24"/>
        </w:rPr>
        <w:t>商务技术标评审</w:t>
      </w:r>
      <w:r>
        <w:rPr>
          <w:rFonts w:asciiTheme="minorEastAsia" w:hAnsiTheme="minorEastAsia" w:eastAsiaTheme="minorEastAsia"/>
          <w:color w:val="000000"/>
          <w:sz w:val="24"/>
          <w:szCs w:val="24"/>
        </w:rPr>
        <w:t>——3</w:t>
      </w:r>
      <w:r>
        <w:rPr>
          <w:rFonts w:hint="eastAsia" w:cs="宋体" w:asciiTheme="minorEastAsia" w:hAnsiTheme="minorEastAsia" w:eastAsiaTheme="minorEastAsia"/>
          <w:color w:val="000000"/>
          <w:sz w:val="24"/>
          <w:szCs w:val="24"/>
        </w:rPr>
        <w:t>价格标评审</w:t>
      </w:r>
      <w:r>
        <w:rPr>
          <w:rFonts w:asciiTheme="minorEastAsia" w:hAnsiTheme="minorEastAsia" w:eastAsiaTheme="minorEastAsia"/>
          <w:color w:val="000000"/>
          <w:sz w:val="24"/>
          <w:szCs w:val="24"/>
        </w:rPr>
        <w:t>——4</w:t>
      </w:r>
      <w:r>
        <w:rPr>
          <w:rFonts w:hint="eastAsia" w:cs="宋体" w:asciiTheme="minorEastAsia" w:hAnsiTheme="minorEastAsia" w:eastAsiaTheme="minorEastAsia"/>
          <w:color w:val="000000"/>
          <w:sz w:val="24"/>
          <w:szCs w:val="24"/>
        </w:rPr>
        <w:t>确定中标候选人。</w:t>
      </w:r>
    </w:p>
    <w:p>
      <w:pPr>
        <w:widowControl/>
        <w:tabs>
          <w:tab w:val="left" w:pos="0"/>
          <w:tab w:val="left" w:pos="993"/>
          <w:tab w:val="left" w:pos="1134"/>
        </w:tabs>
        <w:adjustRightInd w:val="0"/>
        <w:snapToGrid w:val="0"/>
        <w:spacing w:line="400" w:lineRule="exact"/>
        <w:ind w:firstLine="360" w:firstLineChars="150"/>
        <w:rPr>
          <w:rFonts w:ascii="宋体"/>
          <w:bCs/>
          <w:sz w:val="24"/>
          <w:szCs w:val="24"/>
        </w:rPr>
      </w:pPr>
      <w:r>
        <w:rPr>
          <w:rFonts w:hint="eastAsia" w:ascii="宋体" w:hAnsi="宋体" w:cs="宋体"/>
          <w:bCs/>
          <w:sz w:val="24"/>
          <w:szCs w:val="24"/>
        </w:rPr>
        <w:t>（二）资格审查程序及办法</w:t>
      </w:r>
    </w:p>
    <w:p>
      <w:pPr>
        <w:widowControl/>
        <w:tabs>
          <w:tab w:val="left" w:pos="0"/>
          <w:tab w:val="left" w:pos="993"/>
          <w:tab w:val="left" w:pos="1134"/>
        </w:tabs>
        <w:adjustRightInd w:val="0"/>
        <w:snapToGrid w:val="0"/>
        <w:spacing w:line="400" w:lineRule="exact"/>
        <w:ind w:firstLine="480" w:firstLineChars="200"/>
        <w:rPr>
          <w:rFonts w:ascii="宋体"/>
          <w:bCs/>
          <w:sz w:val="24"/>
          <w:szCs w:val="24"/>
        </w:rPr>
      </w:pPr>
      <w:r>
        <w:rPr>
          <w:rFonts w:hint="eastAsia" w:ascii="宋体" w:hAnsi="宋体" w:cs="宋体"/>
          <w:bCs/>
          <w:sz w:val="24"/>
          <w:szCs w:val="24"/>
        </w:rPr>
        <w:t>本次资格审查采用合格制，各投标人资格审查通过后方能进入商务技术标及价格标评审。</w:t>
      </w:r>
    </w:p>
    <w:p>
      <w:pPr>
        <w:widowControl/>
        <w:tabs>
          <w:tab w:val="left" w:pos="0"/>
          <w:tab w:val="left" w:pos="993"/>
          <w:tab w:val="left" w:pos="1134"/>
        </w:tabs>
        <w:adjustRightInd w:val="0"/>
        <w:snapToGrid w:val="0"/>
        <w:spacing w:line="400" w:lineRule="exact"/>
        <w:ind w:firstLine="480" w:firstLineChars="200"/>
        <w:rPr>
          <w:rFonts w:ascii="宋体"/>
          <w:bCs/>
          <w:sz w:val="24"/>
          <w:szCs w:val="24"/>
        </w:rPr>
      </w:pPr>
      <w:r>
        <w:rPr>
          <w:rFonts w:hint="eastAsia" w:ascii="宋体" w:hAnsi="宋体" w:cs="宋体"/>
          <w:bCs/>
          <w:sz w:val="24"/>
          <w:szCs w:val="24"/>
        </w:rPr>
        <w:t>资格审查必要合格条件标准如下：</w:t>
      </w:r>
    </w:p>
    <w:tbl>
      <w:tblPr>
        <w:tblStyle w:val="53"/>
        <w:tblW w:w="8948"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49"/>
        <w:gridCol w:w="1701"/>
        <w:gridCol w:w="4678"/>
        <w:gridCol w:w="172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74" w:hRule="atLeast"/>
          <w:jc w:val="center"/>
        </w:trPr>
        <w:tc>
          <w:tcPr>
            <w:tcW w:w="849" w:type="dxa"/>
            <w:tcBorders>
              <w:top w:val="single" w:color="auto" w:sz="12" w:space="0"/>
            </w:tcBorders>
            <w:noWrap/>
            <w:vAlign w:val="center"/>
          </w:tcPr>
          <w:p>
            <w:pPr>
              <w:widowControl/>
              <w:spacing w:line="400" w:lineRule="exact"/>
              <w:jc w:val="center"/>
              <w:rPr>
                <w:rFonts w:ascii="宋体"/>
                <w:bCs/>
              </w:rPr>
            </w:pPr>
            <w:r>
              <w:rPr>
                <w:rFonts w:hint="eastAsia" w:ascii="宋体" w:hAnsi="宋体" w:cs="宋体"/>
                <w:bCs/>
              </w:rPr>
              <w:t>序号</w:t>
            </w:r>
          </w:p>
        </w:tc>
        <w:tc>
          <w:tcPr>
            <w:tcW w:w="1701" w:type="dxa"/>
            <w:tcBorders>
              <w:top w:val="single" w:color="auto" w:sz="12" w:space="0"/>
            </w:tcBorders>
            <w:noWrap/>
            <w:vAlign w:val="center"/>
          </w:tcPr>
          <w:p>
            <w:pPr>
              <w:widowControl/>
              <w:spacing w:line="400" w:lineRule="exact"/>
              <w:jc w:val="center"/>
              <w:rPr>
                <w:rFonts w:ascii="宋体"/>
                <w:bCs/>
              </w:rPr>
            </w:pPr>
            <w:r>
              <w:rPr>
                <w:rFonts w:hint="eastAsia" w:ascii="宋体" w:hAnsi="宋体" w:cs="宋体"/>
                <w:bCs/>
              </w:rPr>
              <w:t>项目内容</w:t>
            </w:r>
          </w:p>
        </w:tc>
        <w:tc>
          <w:tcPr>
            <w:tcW w:w="4678" w:type="dxa"/>
            <w:tcBorders>
              <w:top w:val="single" w:color="auto" w:sz="12" w:space="0"/>
            </w:tcBorders>
            <w:noWrap/>
            <w:vAlign w:val="center"/>
          </w:tcPr>
          <w:p>
            <w:pPr>
              <w:widowControl/>
              <w:spacing w:line="400" w:lineRule="exact"/>
              <w:jc w:val="center"/>
              <w:rPr>
                <w:rFonts w:ascii="宋体"/>
                <w:bCs/>
              </w:rPr>
            </w:pPr>
            <w:r>
              <w:rPr>
                <w:rFonts w:hint="eastAsia" w:ascii="宋体" w:hAnsi="宋体" w:cs="宋体"/>
                <w:bCs/>
              </w:rPr>
              <w:t>合格条件</w:t>
            </w:r>
          </w:p>
        </w:tc>
        <w:tc>
          <w:tcPr>
            <w:tcW w:w="1720" w:type="dxa"/>
            <w:tcBorders>
              <w:top w:val="single" w:color="auto" w:sz="12" w:space="0"/>
            </w:tcBorders>
            <w:noWrap/>
            <w:vAlign w:val="center"/>
          </w:tcPr>
          <w:p>
            <w:pPr>
              <w:widowControl/>
              <w:spacing w:line="400" w:lineRule="exact"/>
              <w:jc w:val="center"/>
              <w:rPr>
                <w:rFonts w:ascii="宋体"/>
                <w:bCs/>
              </w:rPr>
            </w:pPr>
            <w:r>
              <w:rPr>
                <w:rFonts w:hint="eastAsia" w:ascii="宋体" w:hAnsi="宋体" w:cs="宋体"/>
                <w:bCs/>
              </w:rPr>
              <w:t>投标申请人具备</w:t>
            </w:r>
          </w:p>
          <w:p>
            <w:pPr>
              <w:widowControl/>
              <w:spacing w:line="400" w:lineRule="exact"/>
              <w:jc w:val="center"/>
              <w:rPr>
                <w:rFonts w:ascii="宋体"/>
                <w:bCs/>
              </w:rPr>
            </w:pPr>
            <w:r>
              <w:rPr>
                <w:rFonts w:hint="eastAsia" w:ascii="宋体" w:hAnsi="宋体" w:cs="宋体"/>
                <w:bCs/>
              </w:rPr>
              <w:t>的条件或说明</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74" w:hRule="atLeast"/>
          <w:jc w:val="center"/>
        </w:trPr>
        <w:tc>
          <w:tcPr>
            <w:tcW w:w="849" w:type="dxa"/>
            <w:tcBorders>
              <w:top w:val="single" w:color="auto" w:sz="12" w:space="0"/>
            </w:tcBorders>
            <w:noWrap/>
            <w:vAlign w:val="center"/>
          </w:tcPr>
          <w:p>
            <w:pPr>
              <w:widowControl/>
              <w:spacing w:line="400" w:lineRule="exact"/>
              <w:jc w:val="center"/>
              <w:rPr>
                <w:rFonts w:ascii="宋体"/>
                <w:bCs/>
              </w:rPr>
            </w:pPr>
            <w:r>
              <w:rPr>
                <w:rFonts w:ascii="宋体" w:hAnsi="宋体" w:cs="宋体"/>
                <w:bCs/>
              </w:rPr>
              <w:t>1</w:t>
            </w:r>
          </w:p>
        </w:tc>
        <w:tc>
          <w:tcPr>
            <w:tcW w:w="1701" w:type="dxa"/>
            <w:tcBorders>
              <w:top w:val="single" w:color="auto" w:sz="12" w:space="0"/>
            </w:tcBorders>
            <w:noWrap/>
            <w:vAlign w:val="center"/>
          </w:tcPr>
          <w:p>
            <w:pPr>
              <w:widowControl/>
              <w:spacing w:line="400" w:lineRule="exact"/>
              <w:rPr>
                <w:rFonts w:ascii="宋体"/>
                <w:bCs/>
              </w:rPr>
            </w:pPr>
            <w:bookmarkStart w:id="177" w:name="OLE_LINK11"/>
            <w:r>
              <w:rPr>
                <w:rFonts w:hint="eastAsia" w:ascii="宋体" w:hAnsi="宋体" w:cs="宋体"/>
                <w:bCs/>
              </w:rPr>
              <w:t>法定代表人身份证明书</w:t>
            </w:r>
            <w:bookmarkEnd w:id="177"/>
            <w:r>
              <w:rPr>
                <w:rFonts w:hint="eastAsia" w:ascii="宋体" w:hAnsi="宋体" w:cs="宋体"/>
                <w:bCs/>
              </w:rPr>
              <w:t>、授权委托书（如有）</w:t>
            </w:r>
          </w:p>
        </w:tc>
        <w:tc>
          <w:tcPr>
            <w:tcW w:w="4678" w:type="dxa"/>
            <w:tcBorders>
              <w:top w:val="single" w:color="auto" w:sz="12" w:space="0"/>
            </w:tcBorders>
            <w:noWrap/>
            <w:vAlign w:val="center"/>
          </w:tcPr>
          <w:p>
            <w:pPr>
              <w:widowControl/>
              <w:spacing w:line="400" w:lineRule="exact"/>
              <w:rPr>
                <w:rFonts w:ascii="宋体" w:hAnsi="宋体" w:cs="宋体"/>
                <w:bCs/>
              </w:rPr>
            </w:pPr>
            <w:r>
              <w:rPr>
                <w:rFonts w:hint="eastAsia" w:ascii="宋体" w:hAnsi="宋体" w:cs="宋体"/>
                <w:bCs/>
              </w:rPr>
              <w:t>（1）法人身份证明书、法定代表人身份证复印件加盖单位公章；</w:t>
            </w:r>
          </w:p>
          <w:p>
            <w:pPr>
              <w:widowControl/>
              <w:spacing w:line="400" w:lineRule="exact"/>
              <w:rPr>
                <w:rFonts w:ascii="宋体" w:hAnsi="宋体" w:cs="宋体"/>
                <w:bCs/>
              </w:rPr>
            </w:pPr>
            <w:r>
              <w:rPr>
                <w:rFonts w:hint="eastAsia" w:ascii="宋体" w:hAnsi="宋体" w:cs="宋体"/>
                <w:bCs/>
              </w:rPr>
              <w:t>（2）授权委托书、授权委托人身份证复印件加盖单位公章。</w:t>
            </w:r>
          </w:p>
          <w:p>
            <w:pPr>
              <w:widowControl/>
              <w:spacing w:line="400" w:lineRule="exact"/>
              <w:rPr>
                <w:rFonts w:ascii="宋体"/>
                <w:b/>
                <w:bCs/>
              </w:rPr>
            </w:pPr>
            <w:r>
              <w:rPr>
                <w:rFonts w:hint="eastAsia" w:ascii="宋体" w:hAnsi="宋体" w:cs="宋体"/>
                <w:b/>
                <w:bCs/>
              </w:rPr>
              <w:t>注：如法定代表人参加投标，无需授权委托书，提供法人身份证明书、法定代表人身份证复印件加盖单位公章</w:t>
            </w:r>
          </w:p>
        </w:tc>
        <w:tc>
          <w:tcPr>
            <w:tcW w:w="1720" w:type="dxa"/>
            <w:tcBorders>
              <w:top w:val="single" w:color="auto" w:sz="12" w:space="0"/>
            </w:tcBorders>
            <w:noWrap/>
            <w:vAlign w:val="center"/>
          </w:tcPr>
          <w:p>
            <w:pPr>
              <w:widowControl/>
              <w:spacing w:line="400" w:lineRule="exact"/>
              <w:rPr>
                <w:rFonts w:ascii="宋体"/>
                <w:bCs/>
              </w:rPr>
            </w:pPr>
            <w:r>
              <w:rPr>
                <w:rFonts w:hint="eastAsia" w:ascii="宋体"/>
                <w:bCs/>
              </w:rPr>
              <w:t>真实有效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49" w:type="dxa"/>
            <w:noWrap/>
            <w:vAlign w:val="center"/>
          </w:tcPr>
          <w:p>
            <w:pPr>
              <w:widowControl/>
              <w:spacing w:line="400" w:lineRule="exact"/>
              <w:jc w:val="center"/>
              <w:rPr>
                <w:rFonts w:ascii="宋体"/>
                <w:bCs/>
              </w:rPr>
            </w:pPr>
            <w:r>
              <w:rPr>
                <w:rFonts w:ascii="宋体" w:hAnsi="宋体" w:cs="宋体"/>
                <w:bCs/>
              </w:rPr>
              <w:t>2</w:t>
            </w:r>
          </w:p>
        </w:tc>
        <w:tc>
          <w:tcPr>
            <w:tcW w:w="1701" w:type="dxa"/>
            <w:noWrap/>
            <w:vAlign w:val="center"/>
          </w:tcPr>
          <w:p>
            <w:pPr>
              <w:widowControl/>
              <w:spacing w:line="400" w:lineRule="exact"/>
              <w:rPr>
                <w:rFonts w:ascii="宋体"/>
                <w:bCs/>
              </w:rPr>
            </w:pPr>
            <w:r>
              <w:rPr>
                <w:rFonts w:hint="eastAsia" w:ascii="宋体" w:hAnsi="宋体" w:cs="宋体"/>
                <w:bCs/>
              </w:rPr>
              <w:t>营业执照</w:t>
            </w:r>
          </w:p>
        </w:tc>
        <w:tc>
          <w:tcPr>
            <w:tcW w:w="4678" w:type="dxa"/>
            <w:noWrap/>
            <w:vAlign w:val="center"/>
          </w:tcPr>
          <w:p>
            <w:pPr>
              <w:widowControl/>
              <w:spacing w:line="400" w:lineRule="exact"/>
              <w:rPr>
                <w:rFonts w:ascii="宋体"/>
                <w:bCs/>
              </w:rPr>
            </w:pPr>
            <w:r>
              <w:rPr>
                <w:rFonts w:hint="eastAsia" w:ascii="宋体" w:hAnsi="宋体" w:cs="宋体"/>
                <w:bCs/>
              </w:rPr>
              <w:t>有效企业法人营业执照复印件加盖单位公章</w:t>
            </w:r>
          </w:p>
        </w:tc>
        <w:tc>
          <w:tcPr>
            <w:tcW w:w="1720" w:type="dxa"/>
            <w:noWrap/>
            <w:vAlign w:val="center"/>
          </w:tcPr>
          <w:p>
            <w:pPr>
              <w:widowControl/>
              <w:spacing w:line="400" w:lineRule="exact"/>
              <w:rPr>
                <w:rFonts w:ascii="宋体"/>
                <w:bCs/>
              </w:rPr>
            </w:pPr>
            <w:r>
              <w:rPr>
                <w:rFonts w:hint="eastAsia" w:ascii="宋体" w:hAnsi="宋体" w:cs="宋体"/>
                <w:bCs/>
              </w:rPr>
              <w:t>真实有效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49" w:type="dxa"/>
            <w:noWrap/>
            <w:vAlign w:val="center"/>
          </w:tcPr>
          <w:p>
            <w:pPr>
              <w:widowControl/>
              <w:spacing w:line="400" w:lineRule="exact"/>
              <w:jc w:val="center"/>
              <w:rPr>
                <w:rFonts w:ascii="宋体" w:hAnsi="宋体" w:cs="宋体"/>
                <w:bCs/>
              </w:rPr>
            </w:pPr>
            <w:r>
              <w:rPr>
                <w:rFonts w:hint="eastAsia" w:ascii="宋体" w:hAnsi="宋体" w:cs="宋体"/>
                <w:bCs/>
              </w:rPr>
              <w:t>3</w:t>
            </w:r>
          </w:p>
        </w:tc>
        <w:tc>
          <w:tcPr>
            <w:tcW w:w="1701" w:type="dxa"/>
            <w:noWrap/>
            <w:vAlign w:val="center"/>
          </w:tcPr>
          <w:p>
            <w:pPr>
              <w:widowControl/>
              <w:spacing w:line="400" w:lineRule="exact"/>
              <w:rPr>
                <w:rFonts w:ascii="宋体" w:hAnsi="宋体" w:cs="宋体"/>
                <w:bCs/>
              </w:rPr>
            </w:pPr>
            <w:r>
              <w:rPr>
                <w:rFonts w:hint="eastAsia" w:ascii="宋体" w:hAnsi="宋体" w:cs="宋体"/>
                <w:bCs/>
              </w:rPr>
              <w:t>项目负责人资格</w:t>
            </w:r>
          </w:p>
        </w:tc>
        <w:tc>
          <w:tcPr>
            <w:tcW w:w="4678" w:type="dxa"/>
            <w:noWrap/>
            <w:vAlign w:val="center"/>
          </w:tcPr>
          <w:p>
            <w:pPr>
              <w:widowControl/>
              <w:spacing w:line="400" w:lineRule="exact"/>
              <w:rPr>
                <w:rFonts w:ascii="宋体" w:hAnsi="宋体" w:cs="宋体"/>
                <w:bCs/>
              </w:rPr>
            </w:pPr>
            <w:r>
              <w:rPr>
                <w:rFonts w:hint="eastAsia" w:ascii="宋体" w:hAnsi="宋体" w:cs="宋体"/>
                <w:bCs/>
              </w:rPr>
              <w:t>男性，年龄60周岁以下，高中及以上学历或有相关管理工作经验，提供身份证、学历证明或管理工作证明复印件加盖单位公章</w:t>
            </w:r>
          </w:p>
        </w:tc>
        <w:tc>
          <w:tcPr>
            <w:tcW w:w="1720" w:type="dxa"/>
            <w:noWrap/>
            <w:vAlign w:val="center"/>
          </w:tcPr>
          <w:p>
            <w:pPr>
              <w:widowControl/>
              <w:spacing w:line="400" w:lineRule="exact"/>
              <w:rPr>
                <w:rFonts w:ascii="宋体" w:hAnsi="宋体" w:cs="宋体"/>
                <w:bCs/>
              </w:rPr>
            </w:pPr>
            <w:r>
              <w:rPr>
                <w:rFonts w:hint="eastAsia" w:ascii="宋体" w:hAnsi="宋体" w:cs="宋体"/>
                <w:bCs/>
              </w:rPr>
              <w:t>真实有效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49" w:type="dxa"/>
            <w:noWrap/>
            <w:vAlign w:val="center"/>
          </w:tcPr>
          <w:p>
            <w:pPr>
              <w:widowControl/>
              <w:spacing w:line="400" w:lineRule="exact"/>
              <w:jc w:val="center"/>
              <w:rPr>
                <w:rFonts w:ascii="宋体" w:hAnsi="宋体" w:cs="宋体"/>
                <w:bCs/>
              </w:rPr>
            </w:pPr>
            <w:r>
              <w:rPr>
                <w:rFonts w:hint="eastAsia" w:ascii="宋体" w:hAnsi="宋体" w:cs="宋体"/>
                <w:bCs/>
              </w:rPr>
              <w:t>4</w:t>
            </w:r>
          </w:p>
        </w:tc>
        <w:tc>
          <w:tcPr>
            <w:tcW w:w="1701" w:type="dxa"/>
            <w:noWrap/>
            <w:vAlign w:val="center"/>
          </w:tcPr>
          <w:p>
            <w:pPr>
              <w:widowControl/>
              <w:spacing w:line="400" w:lineRule="exact"/>
              <w:rPr>
                <w:rFonts w:ascii="宋体" w:hAnsi="宋体" w:cs="宋体"/>
                <w:bCs/>
              </w:rPr>
            </w:pPr>
            <w:r>
              <w:rPr>
                <w:rFonts w:hint="eastAsia" w:ascii="宋体" w:hAnsi="宋体" w:cs="宋体"/>
                <w:bCs/>
              </w:rPr>
              <w:t>劳动合同及社会保险</w:t>
            </w:r>
          </w:p>
        </w:tc>
        <w:tc>
          <w:tcPr>
            <w:tcW w:w="4678" w:type="dxa"/>
            <w:noWrap/>
            <w:vAlign w:val="center"/>
          </w:tcPr>
          <w:p>
            <w:pPr>
              <w:widowControl/>
              <w:spacing w:line="400" w:lineRule="exact"/>
              <w:rPr>
                <w:rFonts w:ascii="宋体" w:hAnsi="宋体" w:cs="宋体"/>
                <w:bCs/>
              </w:rPr>
            </w:pPr>
            <w:r>
              <w:rPr>
                <w:rFonts w:hint="eastAsia" w:ascii="宋体" w:hAnsi="宋体" w:cs="宋体"/>
                <w:bCs/>
              </w:rPr>
              <w:t>项目负责人与投标人签订的有效劳动合同及</w:t>
            </w:r>
            <w:r>
              <w:rPr>
                <w:rFonts w:ascii="宋体" w:hAnsi="宋体" w:cs="宋体"/>
                <w:bCs/>
              </w:rPr>
              <w:t>20</w:t>
            </w:r>
            <w:r>
              <w:rPr>
                <w:rFonts w:hint="eastAsia" w:ascii="宋体" w:hAnsi="宋体" w:cs="宋体"/>
                <w:bCs/>
              </w:rPr>
              <w:t>21年6月至</w:t>
            </w:r>
            <w:r>
              <w:rPr>
                <w:rFonts w:ascii="宋体" w:hAnsi="宋体" w:cs="宋体"/>
                <w:bCs/>
              </w:rPr>
              <w:t>20</w:t>
            </w:r>
            <w:r>
              <w:rPr>
                <w:rFonts w:hint="eastAsia" w:ascii="宋体" w:hAnsi="宋体" w:cs="宋体"/>
                <w:bCs/>
              </w:rPr>
              <w:t>21年12月养老保险缴费证明</w:t>
            </w:r>
          </w:p>
        </w:tc>
        <w:tc>
          <w:tcPr>
            <w:tcW w:w="1720" w:type="dxa"/>
            <w:noWrap/>
            <w:vAlign w:val="center"/>
          </w:tcPr>
          <w:p>
            <w:pPr>
              <w:widowControl/>
              <w:spacing w:line="400" w:lineRule="exact"/>
              <w:rPr>
                <w:rFonts w:ascii="宋体" w:hAnsi="宋体" w:cs="宋体"/>
                <w:bCs/>
              </w:rPr>
            </w:pPr>
            <w:r>
              <w:rPr>
                <w:rFonts w:hint="eastAsia" w:ascii="宋体" w:hAnsi="宋体" w:cs="宋体"/>
                <w:bCs/>
              </w:rPr>
              <w:t>真实有效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849" w:type="dxa"/>
            <w:noWrap/>
            <w:vAlign w:val="center"/>
          </w:tcPr>
          <w:p>
            <w:pPr>
              <w:widowControl/>
              <w:spacing w:line="400" w:lineRule="exact"/>
              <w:jc w:val="center"/>
              <w:rPr>
                <w:rFonts w:ascii="宋体"/>
                <w:bCs/>
              </w:rPr>
            </w:pPr>
            <w:r>
              <w:rPr>
                <w:rFonts w:hint="eastAsia" w:ascii="宋体" w:hAnsi="宋体" w:cs="宋体"/>
                <w:bCs/>
              </w:rPr>
              <w:t>5</w:t>
            </w:r>
          </w:p>
        </w:tc>
        <w:tc>
          <w:tcPr>
            <w:tcW w:w="1701" w:type="dxa"/>
            <w:noWrap/>
            <w:vAlign w:val="center"/>
          </w:tcPr>
          <w:p>
            <w:pPr>
              <w:spacing w:line="400" w:lineRule="exact"/>
              <w:rPr>
                <w:rFonts w:ascii="宋体"/>
                <w:bCs/>
              </w:rPr>
            </w:pPr>
            <w:r>
              <w:rPr>
                <w:rFonts w:hint="eastAsia" w:ascii="宋体" w:hAnsi="宋体" w:cs="宋体"/>
                <w:bCs/>
              </w:rPr>
              <w:t>依法缴纳税收和社会保障资金的相关材料</w:t>
            </w:r>
          </w:p>
        </w:tc>
        <w:tc>
          <w:tcPr>
            <w:tcW w:w="4678" w:type="dxa"/>
            <w:noWrap/>
            <w:vAlign w:val="center"/>
          </w:tcPr>
          <w:p>
            <w:pPr>
              <w:widowControl/>
              <w:spacing w:line="400" w:lineRule="exact"/>
              <w:rPr>
                <w:rFonts w:ascii="宋体"/>
                <w:bCs/>
              </w:rPr>
            </w:pPr>
            <w:r>
              <w:rPr>
                <w:rFonts w:hint="eastAsia" w:ascii="宋体" w:hAnsi="宋体" w:cs="宋体"/>
                <w:bCs/>
              </w:rPr>
              <w:t>投标人依法缴纳近一年内任意一个月税收的相关凭证，及投标人依法缴纳近一年内任意一个月社会保险的相关凭证</w:t>
            </w:r>
            <w:r>
              <w:rPr>
                <w:rFonts w:ascii="宋体" w:hAnsi="宋体" w:cs="宋体"/>
                <w:bCs/>
              </w:rPr>
              <w:t>[</w:t>
            </w:r>
            <w:r>
              <w:rPr>
                <w:rFonts w:hint="eastAsia" w:ascii="宋体" w:hAnsi="宋体" w:cs="宋体"/>
                <w:bCs/>
              </w:rPr>
              <w:t>包括社会保险的凭据（专用收据或社会保险缴纳清单）</w:t>
            </w:r>
            <w:r>
              <w:rPr>
                <w:rFonts w:ascii="宋体" w:hAnsi="宋体" w:cs="宋体"/>
                <w:bCs/>
              </w:rPr>
              <w:t>]</w:t>
            </w:r>
            <w:r>
              <w:rPr>
                <w:rFonts w:hint="eastAsia" w:ascii="宋体" w:hAnsi="宋体" w:cs="宋体"/>
                <w:bCs/>
              </w:rPr>
              <w:t>，依法免税或不需要缴纳社会保障资金的投标人，应提供相应文件证明其依法免税或不需要缴纳社会保障资金）</w:t>
            </w:r>
          </w:p>
        </w:tc>
        <w:tc>
          <w:tcPr>
            <w:tcW w:w="1720" w:type="dxa"/>
            <w:noWrap/>
            <w:vAlign w:val="center"/>
          </w:tcPr>
          <w:p>
            <w:pPr>
              <w:widowControl/>
              <w:spacing w:line="400" w:lineRule="exact"/>
              <w:rPr>
                <w:rFonts w:ascii="宋体"/>
                <w:bCs/>
              </w:rPr>
            </w:pPr>
            <w:r>
              <w:rPr>
                <w:rFonts w:hint="eastAsia" w:ascii="宋体" w:hAnsi="宋体" w:cs="宋体"/>
                <w:bCs/>
              </w:rPr>
              <w:t>真实有效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615" w:hRule="atLeast"/>
          <w:jc w:val="center"/>
        </w:trPr>
        <w:tc>
          <w:tcPr>
            <w:tcW w:w="849" w:type="dxa"/>
            <w:noWrap/>
            <w:vAlign w:val="center"/>
          </w:tcPr>
          <w:p>
            <w:pPr>
              <w:widowControl/>
              <w:spacing w:line="400" w:lineRule="exact"/>
              <w:jc w:val="center"/>
              <w:rPr>
                <w:rFonts w:ascii="宋体"/>
                <w:bCs/>
              </w:rPr>
            </w:pPr>
            <w:r>
              <w:rPr>
                <w:rFonts w:hint="eastAsia" w:ascii="宋体" w:hAnsi="宋体" w:cs="宋体"/>
                <w:bCs/>
              </w:rPr>
              <w:t>6</w:t>
            </w:r>
          </w:p>
        </w:tc>
        <w:tc>
          <w:tcPr>
            <w:tcW w:w="1701" w:type="dxa"/>
            <w:noWrap/>
            <w:vAlign w:val="center"/>
          </w:tcPr>
          <w:p>
            <w:pPr>
              <w:widowControl/>
              <w:spacing w:line="400" w:lineRule="exact"/>
              <w:rPr>
                <w:rFonts w:ascii="宋体"/>
                <w:bCs/>
              </w:rPr>
            </w:pPr>
            <w:r>
              <w:rPr>
                <w:rFonts w:hint="eastAsia" w:ascii="宋体" w:hAnsi="宋体" w:cs="宋体"/>
                <w:bCs/>
              </w:rPr>
              <w:t>财务状况报告</w:t>
            </w:r>
          </w:p>
        </w:tc>
        <w:tc>
          <w:tcPr>
            <w:tcW w:w="4678" w:type="dxa"/>
            <w:noWrap/>
            <w:vAlign w:val="center"/>
          </w:tcPr>
          <w:p>
            <w:pPr>
              <w:widowControl/>
              <w:spacing w:line="400" w:lineRule="exact"/>
              <w:rPr>
                <w:rFonts w:ascii="宋体"/>
                <w:bCs/>
              </w:rPr>
            </w:pPr>
            <w:r>
              <w:rPr>
                <w:rFonts w:hint="eastAsia" w:ascii="宋体" w:hAnsi="宋体" w:cs="宋体"/>
                <w:bCs/>
              </w:rPr>
              <w:t>2020年度经会计师事务所审计的财务报告或开户银行资信证明</w:t>
            </w:r>
          </w:p>
        </w:tc>
        <w:tc>
          <w:tcPr>
            <w:tcW w:w="1720" w:type="dxa"/>
            <w:noWrap/>
            <w:vAlign w:val="center"/>
          </w:tcPr>
          <w:p>
            <w:pPr>
              <w:widowControl/>
              <w:spacing w:line="400" w:lineRule="exact"/>
              <w:rPr>
                <w:rFonts w:ascii="宋体"/>
                <w:bCs/>
              </w:rPr>
            </w:pPr>
            <w:r>
              <w:rPr>
                <w:rFonts w:hint="eastAsia" w:ascii="宋体" w:hAnsi="宋体" w:cs="宋体"/>
                <w:bCs/>
              </w:rPr>
              <w:t>真实有效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667" w:hRule="atLeast"/>
          <w:jc w:val="center"/>
        </w:trPr>
        <w:tc>
          <w:tcPr>
            <w:tcW w:w="849" w:type="dxa"/>
            <w:noWrap/>
            <w:vAlign w:val="center"/>
          </w:tcPr>
          <w:p>
            <w:pPr>
              <w:widowControl/>
              <w:spacing w:line="400" w:lineRule="exact"/>
              <w:jc w:val="center"/>
              <w:rPr>
                <w:rFonts w:ascii="宋体"/>
                <w:bCs/>
                <w:kern w:val="0"/>
              </w:rPr>
            </w:pPr>
            <w:r>
              <w:rPr>
                <w:rFonts w:hint="eastAsia" w:ascii="宋体" w:hAnsi="宋体" w:cs="宋体"/>
                <w:bCs/>
                <w:kern w:val="0"/>
              </w:rPr>
              <w:t>7</w:t>
            </w:r>
          </w:p>
        </w:tc>
        <w:tc>
          <w:tcPr>
            <w:tcW w:w="1701" w:type="dxa"/>
            <w:noWrap/>
            <w:vAlign w:val="center"/>
          </w:tcPr>
          <w:p>
            <w:pPr>
              <w:widowControl/>
              <w:spacing w:line="400" w:lineRule="exact"/>
              <w:rPr>
                <w:rFonts w:ascii="宋体"/>
                <w:bCs/>
                <w:color w:val="000000"/>
              </w:rPr>
            </w:pPr>
            <w:r>
              <w:rPr>
                <w:rFonts w:hint="eastAsia" w:ascii="宋体" w:hAnsi="宋体" w:cs="宋体"/>
                <w:bCs/>
              </w:rPr>
              <w:t>投标声明函</w:t>
            </w:r>
          </w:p>
        </w:tc>
        <w:tc>
          <w:tcPr>
            <w:tcW w:w="4678" w:type="dxa"/>
            <w:noWrap/>
            <w:vAlign w:val="center"/>
          </w:tcPr>
          <w:p>
            <w:pPr>
              <w:widowControl/>
              <w:spacing w:line="400" w:lineRule="exact"/>
              <w:rPr>
                <w:rFonts w:ascii="宋体"/>
                <w:bCs/>
              </w:rPr>
            </w:pPr>
            <w:r>
              <w:rPr>
                <w:rFonts w:hint="eastAsia" w:ascii="宋体" w:hAnsi="宋体" w:cs="宋体"/>
                <w:bCs/>
              </w:rPr>
              <w:t>格式详见招标文件第六章</w:t>
            </w:r>
          </w:p>
        </w:tc>
        <w:tc>
          <w:tcPr>
            <w:tcW w:w="1720" w:type="dxa"/>
            <w:noWrap/>
            <w:vAlign w:val="center"/>
          </w:tcPr>
          <w:p>
            <w:pPr>
              <w:widowControl/>
              <w:spacing w:line="400" w:lineRule="exact"/>
              <w:rPr>
                <w:rFonts w:ascii="宋体"/>
                <w:bCs/>
              </w:rPr>
            </w:pPr>
            <w:r>
              <w:rPr>
                <w:rFonts w:hint="eastAsia" w:ascii="宋体" w:hAnsi="宋体" w:cs="宋体"/>
                <w:bCs/>
              </w:rPr>
              <w:t>真实有效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49" w:type="dxa"/>
            <w:tcBorders>
              <w:bottom w:val="single" w:color="auto" w:sz="12" w:space="0"/>
            </w:tcBorders>
            <w:noWrap/>
            <w:vAlign w:val="center"/>
          </w:tcPr>
          <w:p>
            <w:pPr>
              <w:widowControl/>
              <w:spacing w:line="400" w:lineRule="exact"/>
              <w:jc w:val="center"/>
              <w:rPr>
                <w:rFonts w:ascii="宋体"/>
                <w:bCs/>
              </w:rPr>
            </w:pPr>
            <w:r>
              <w:rPr>
                <w:rFonts w:hint="eastAsia" w:ascii="宋体" w:hAnsi="宋体" w:cs="宋体"/>
                <w:bCs/>
              </w:rPr>
              <w:t>8</w:t>
            </w:r>
          </w:p>
        </w:tc>
        <w:tc>
          <w:tcPr>
            <w:tcW w:w="8099" w:type="dxa"/>
            <w:gridSpan w:val="3"/>
            <w:tcBorders>
              <w:bottom w:val="single" w:color="auto" w:sz="12" w:space="0"/>
            </w:tcBorders>
            <w:noWrap/>
            <w:vAlign w:val="center"/>
          </w:tcPr>
          <w:p>
            <w:pPr>
              <w:widowControl/>
              <w:spacing w:line="400" w:lineRule="exact"/>
              <w:rPr>
                <w:rFonts w:ascii="宋体"/>
                <w:bCs/>
              </w:rPr>
            </w:pPr>
            <w:r>
              <w:rPr>
                <w:rFonts w:hint="eastAsia" w:ascii="宋体" w:hAnsi="宋体" w:cs="宋体"/>
                <w:bCs/>
              </w:rPr>
              <w:t>备注：上述（</w:t>
            </w:r>
            <w:r>
              <w:rPr>
                <w:rFonts w:ascii="宋体" w:hAnsi="宋体" w:cs="宋体"/>
                <w:bCs/>
              </w:rPr>
              <w:t>1</w:t>
            </w:r>
            <w:r>
              <w:rPr>
                <w:rFonts w:hint="eastAsia" w:ascii="宋体" w:hAnsi="宋体" w:cs="宋体"/>
                <w:bCs/>
              </w:rPr>
              <w:t>）</w:t>
            </w:r>
            <w:r>
              <w:rPr>
                <w:rFonts w:ascii="宋体" w:hAnsi="宋体" w:cs="宋体"/>
                <w:bCs/>
              </w:rPr>
              <w:t>—</w:t>
            </w:r>
            <w:r>
              <w:rPr>
                <w:rFonts w:hint="eastAsia" w:ascii="宋体" w:hAnsi="宋体" w:cs="宋体"/>
                <w:bCs/>
              </w:rPr>
              <w:t>（7）中任何一条不符合要求，则资格审查不通过。</w:t>
            </w:r>
          </w:p>
        </w:tc>
      </w:tr>
    </w:tbl>
    <w:p>
      <w:pPr>
        <w:spacing w:line="440" w:lineRule="exact"/>
        <w:ind w:right="-420" w:rightChars="-200" w:firstLine="470" w:firstLineChars="196"/>
        <w:rPr>
          <w:rFonts w:hAnsi="宋体"/>
          <w:sz w:val="24"/>
        </w:rPr>
      </w:pPr>
      <w:r>
        <w:rPr>
          <w:rFonts w:hint="eastAsia" w:hAnsi="宋体"/>
          <w:sz w:val="24"/>
        </w:rPr>
        <w:t>（三）详细评审标准</w:t>
      </w:r>
    </w:p>
    <w:p>
      <w:pPr>
        <w:spacing w:line="440" w:lineRule="exact"/>
        <w:ind w:right="174" w:rightChars="83" w:firstLine="480" w:firstLineChars="200"/>
        <w:rPr>
          <w:rFonts w:hAnsi="宋体"/>
          <w:sz w:val="24"/>
        </w:rPr>
      </w:pPr>
      <w:r>
        <w:rPr>
          <w:rFonts w:hint="eastAsia" w:hAnsi="宋体"/>
          <w:sz w:val="24"/>
        </w:rPr>
        <w:t>经资格审查合格的投标文件，评标委员会根据招标文件确定的评标标准和方法，对其商务技术标及价格标部分作进一步评审。</w:t>
      </w:r>
    </w:p>
    <w:p>
      <w:pPr>
        <w:spacing w:line="440" w:lineRule="exact"/>
        <w:ind w:firstLine="482" w:firstLineChars="200"/>
        <w:rPr>
          <w:rFonts w:cs="宋体"/>
          <w:b/>
          <w:color w:val="000000"/>
          <w:sz w:val="24"/>
          <w:szCs w:val="24"/>
        </w:rPr>
      </w:pPr>
      <w:r>
        <w:rPr>
          <w:rFonts w:hint="eastAsia" w:hAnsi="宋体"/>
          <w:b/>
          <w:sz w:val="24"/>
        </w:rPr>
        <w:t>3.1</w:t>
      </w:r>
      <w:r>
        <w:rPr>
          <w:rFonts w:hint="eastAsia" w:cs="宋体"/>
          <w:b/>
          <w:color w:val="000000"/>
          <w:sz w:val="24"/>
          <w:szCs w:val="24"/>
        </w:rPr>
        <w:t>商务技术标评审标准（</w:t>
      </w:r>
      <w:r>
        <w:rPr>
          <w:rFonts w:hint="eastAsia"/>
          <w:b/>
          <w:color w:val="000000"/>
          <w:sz w:val="24"/>
          <w:szCs w:val="24"/>
        </w:rPr>
        <w:t>80</w:t>
      </w:r>
      <w:r>
        <w:rPr>
          <w:rFonts w:hint="eastAsia" w:cs="宋体"/>
          <w:b/>
          <w:color w:val="000000"/>
          <w:sz w:val="24"/>
          <w:szCs w:val="24"/>
        </w:rPr>
        <w:t>分，商务技术标得分延续至每个标段）</w:t>
      </w:r>
    </w:p>
    <w:p>
      <w:pPr>
        <w:spacing w:line="440" w:lineRule="exact"/>
        <w:ind w:firstLine="480" w:firstLineChars="200"/>
        <w:rPr>
          <w:rFonts w:hAnsi="宋体"/>
          <w:sz w:val="24"/>
        </w:rPr>
      </w:pPr>
      <w:r>
        <w:rPr>
          <w:rFonts w:hint="eastAsia" w:hAnsi="宋体"/>
          <w:sz w:val="24"/>
        </w:rPr>
        <w:t>1、责任区域保洁服务方案（78分）</w:t>
      </w:r>
    </w:p>
    <w:p>
      <w:pPr>
        <w:autoSpaceDE w:val="0"/>
        <w:autoSpaceDN w:val="0"/>
        <w:adjustRightInd w:val="0"/>
        <w:spacing w:line="440" w:lineRule="exact"/>
        <w:ind w:firstLine="480" w:firstLineChars="200"/>
        <w:jc w:val="left"/>
        <w:rPr>
          <w:rFonts w:hAnsi="宋体"/>
          <w:sz w:val="24"/>
        </w:rPr>
      </w:pPr>
      <w:r>
        <w:rPr>
          <w:rFonts w:hint="eastAsia" w:hAnsi="宋体"/>
          <w:sz w:val="24"/>
        </w:rPr>
        <w:t>（1）力量配置（28分）</w:t>
      </w:r>
    </w:p>
    <w:p>
      <w:pPr>
        <w:autoSpaceDE w:val="0"/>
        <w:autoSpaceDN w:val="0"/>
        <w:adjustRightInd w:val="0"/>
        <w:spacing w:line="440" w:lineRule="exact"/>
        <w:ind w:firstLine="480" w:firstLineChars="200"/>
        <w:jc w:val="left"/>
        <w:rPr>
          <w:rFonts w:hAnsi="宋体"/>
          <w:sz w:val="24"/>
        </w:rPr>
      </w:pPr>
      <w:r>
        <w:rPr>
          <w:rFonts w:hint="eastAsia" w:hAnsi="宋体"/>
          <w:sz w:val="24"/>
        </w:rPr>
        <w:t>至少配备1名项目负责人和1名现场负责人员，负责对河道日常巡河、每日工作计划排定、保洁人员的管理（2分）。提供2021年6月至2021年12月养老保险缴费证明，满足人员配置的得2分，低于基本要求的，不得分。</w:t>
      </w:r>
    </w:p>
    <w:p>
      <w:pPr>
        <w:spacing w:line="440" w:lineRule="exact"/>
        <w:ind w:firstLine="480" w:firstLineChars="200"/>
        <w:rPr>
          <w:rFonts w:hAnsi="宋体"/>
          <w:sz w:val="24"/>
        </w:rPr>
      </w:pPr>
      <w:r>
        <w:rPr>
          <w:rFonts w:hint="eastAsia" w:hAnsi="宋体"/>
          <w:sz w:val="24"/>
        </w:rPr>
        <w:t>至少配备25名保洁人员，负责对河道日常保洁（12分）。满足人员配置的得5分，低于基本要求的，每少1人扣1分，提供人员名录；其中，每有1名船舶驾驶员得1分，最多可得7分，船舶驾驶员需提供有效的船舶驾驶证。</w:t>
      </w:r>
    </w:p>
    <w:p>
      <w:pPr>
        <w:spacing w:line="440" w:lineRule="exact"/>
        <w:ind w:firstLine="480" w:firstLineChars="200"/>
        <w:rPr>
          <w:rFonts w:hAnsi="宋体"/>
          <w:sz w:val="24"/>
        </w:rPr>
      </w:pPr>
      <w:r>
        <w:rPr>
          <w:rFonts w:hint="eastAsia" w:hAnsi="宋体"/>
          <w:sz w:val="24"/>
        </w:rPr>
        <w:t>针对本项目的现场管理方案（4分）、保洁人员考勤措施（4分）等；管理方案或考勤措施不合理的酌情扣分。</w:t>
      </w:r>
    </w:p>
    <w:p>
      <w:pPr>
        <w:spacing w:line="440" w:lineRule="exact"/>
        <w:ind w:firstLine="480" w:firstLineChars="200"/>
        <w:rPr>
          <w:rFonts w:hAnsi="宋体"/>
          <w:sz w:val="24"/>
        </w:rPr>
      </w:pPr>
      <w:r>
        <w:rPr>
          <w:rFonts w:hint="eastAsia" w:hAnsi="宋体"/>
          <w:sz w:val="24"/>
        </w:rPr>
        <w:t>投入本项目的保洁船（6分）。投标单位承诺购买经依法评估定价的上一轮保洁过程中使用的机械保洁船的得2分，提供承诺书，否则不得分。在此基础上，投标单位每增加投入一条自有机械保洁船得1分，每增加投入一条租赁机械保洁船得0.5分，最多可得4分。自有船只提供船舶登记证书，租赁船只提供有效租赁合同。</w:t>
      </w:r>
    </w:p>
    <w:p>
      <w:pPr>
        <w:spacing w:line="440" w:lineRule="exact"/>
        <w:ind w:firstLine="480" w:firstLineChars="200"/>
        <w:rPr>
          <w:rFonts w:hAnsi="宋体"/>
          <w:sz w:val="24"/>
        </w:rPr>
      </w:pPr>
      <w:r>
        <w:rPr>
          <w:rFonts w:hint="eastAsia" w:hAnsi="宋体"/>
          <w:sz w:val="24"/>
        </w:rPr>
        <w:t>（2）区域划分（5分）</w:t>
      </w:r>
    </w:p>
    <w:p>
      <w:pPr>
        <w:spacing w:line="440" w:lineRule="exact"/>
        <w:ind w:firstLine="480" w:firstLineChars="200"/>
        <w:rPr>
          <w:rFonts w:hAnsi="宋体"/>
          <w:sz w:val="24"/>
        </w:rPr>
      </w:pPr>
      <w:r>
        <w:rPr>
          <w:rFonts w:hint="eastAsia" w:hAnsi="宋体"/>
          <w:sz w:val="24"/>
        </w:rPr>
        <w:t>划分具体的河道保洁区域（3分），各区域责任到人到班组（2分）。保洁区域划分不合理或责任任务不明确的酌情扣分；</w:t>
      </w:r>
    </w:p>
    <w:p>
      <w:pPr>
        <w:spacing w:line="440" w:lineRule="exact"/>
        <w:ind w:firstLine="480" w:firstLineChars="200"/>
        <w:rPr>
          <w:rFonts w:hAnsi="宋体"/>
          <w:sz w:val="24"/>
        </w:rPr>
      </w:pPr>
      <w:r>
        <w:rPr>
          <w:rFonts w:hint="eastAsia" w:hAnsi="宋体"/>
          <w:sz w:val="24"/>
        </w:rPr>
        <w:t>（3）作业时间（5分）</w:t>
      </w:r>
    </w:p>
    <w:p>
      <w:pPr>
        <w:spacing w:line="440" w:lineRule="exact"/>
        <w:ind w:firstLine="480" w:firstLineChars="200"/>
        <w:rPr>
          <w:rFonts w:hAnsi="宋体"/>
          <w:sz w:val="24"/>
        </w:rPr>
      </w:pPr>
      <w:r>
        <w:rPr>
          <w:rFonts w:hint="eastAsia" w:hAnsi="宋体"/>
          <w:sz w:val="24"/>
        </w:rPr>
        <w:t>旺季（5月至10月、春节前后）一般每月不得少于22天，淡季（除旺季外）一般每月不得少于15天；每周河道保洁不少于一个轮回得5分，不能满足的酌情扣分；</w:t>
      </w:r>
    </w:p>
    <w:p>
      <w:pPr>
        <w:spacing w:line="440" w:lineRule="exact"/>
        <w:ind w:firstLine="480" w:firstLineChars="200"/>
        <w:rPr>
          <w:rFonts w:hAnsi="宋体"/>
          <w:sz w:val="24"/>
        </w:rPr>
      </w:pPr>
      <w:r>
        <w:rPr>
          <w:rFonts w:hint="eastAsia" w:hAnsi="宋体"/>
          <w:sz w:val="24"/>
        </w:rPr>
        <w:t>（4）重点河段、时段保洁方案（25分）</w:t>
      </w:r>
    </w:p>
    <w:p>
      <w:pPr>
        <w:spacing w:line="440" w:lineRule="exact"/>
        <w:ind w:firstLine="480" w:firstLineChars="200"/>
        <w:rPr>
          <w:rFonts w:hAnsi="宋体"/>
          <w:sz w:val="24"/>
        </w:rPr>
      </w:pPr>
      <w:r>
        <w:rPr>
          <w:rFonts w:hint="eastAsia" w:hAnsi="宋体"/>
          <w:sz w:val="24"/>
        </w:rPr>
        <w:t>针对区域治水临时控导建筑周边、集镇地段、水闸上下游河段、主要河道下游及河水流动时段等重点河段的处置机械、措施等合理的得10分，欠缺酌情扣分；</w:t>
      </w:r>
    </w:p>
    <w:p>
      <w:pPr>
        <w:spacing w:line="440" w:lineRule="exact"/>
        <w:ind w:firstLine="480" w:firstLineChars="200"/>
        <w:rPr>
          <w:rFonts w:hAnsi="宋体"/>
          <w:sz w:val="24"/>
        </w:rPr>
      </w:pPr>
      <w:r>
        <w:rPr>
          <w:rFonts w:hint="eastAsia" w:hAnsi="宋体"/>
          <w:sz w:val="24"/>
        </w:rPr>
        <w:t>各季节河道保洁的工作重点内容及处置办法，尤其针对恶性水生作物爆发（水葫芦、浮萍、水花生、槐叶萍等）的处置机械、措施等合理的得10分，欠缺酌情扣分；</w:t>
      </w:r>
    </w:p>
    <w:p>
      <w:pPr>
        <w:spacing w:line="440" w:lineRule="exact"/>
        <w:ind w:firstLine="480" w:firstLineChars="200"/>
        <w:rPr>
          <w:rFonts w:hAnsi="宋体"/>
          <w:sz w:val="24"/>
        </w:rPr>
      </w:pPr>
      <w:r>
        <w:rPr>
          <w:rFonts w:hint="eastAsia" w:hAnsi="宋体"/>
          <w:sz w:val="24"/>
        </w:rPr>
        <w:t>垃圾打捞上岸后分类、清运处置办法满足要求得5分，欠缺酌情扣分。</w:t>
      </w:r>
    </w:p>
    <w:p>
      <w:pPr>
        <w:spacing w:line="440" w:lineRule="exact"/>
        <w:ind w:firstLine="480" w:firstLineChars="200"/>
        <w:rPr>
          <w:rFonts w:hAnsi="宋体"/>
          <w:sz w:val="24"/>
        </w:rPr>
      </w:pPr>
      <w:r>
        <w:rPr>
          <w:rFonts w:hint="eastAsia" w:hAnsi="宋体"/>
          <w:sz w:val="24"/>
        </w:rPr>
        <w:t>（5）综合协调方案（7分）</w:t>
      </w:r>
    </w:p>
    <w:p>
      <w:pPr>
        <w:spacing w:line="440" w:lineRule="exact"/>
        <w:ind w:firstLine="480" w:firstLineChars="200"/>
        <w:rPr>
          <w:rFonts w:hAnsi="宋体"/>
          <w:sz w:val="24"/>
        </w:rPr>
      </w:pPr>
      <w:r>
        <w:rPr>
          <w:rFonts w:hint="eastAsia" w:hAnsi="宋体"/>
          <w:sz w:val="24"/>
        </w:rPr>
        <w:t>保洁过程中发现河道及两侧取土、沉船、“三网”及河坡河岸违章行为、河坡大量垃圾、河道隐患、工厂排污、畜禽粪便直排等涉河问题处置、上报方案3分。方案合理的得3分，欠缺酌情扣分。</w:t>
      </w:r>
    </w:p>
    <w:p>
      <w:pPr>
        <w:ind w:firstLine="480" w:firstLineChars="200"/>
        <w:rPr>
          <w:rFonts w:hAnsi="宋体"/>
          <w:sz w:val="24"/>
        </w:rPr>
      </w:pPr>
      <w:r>
        <w:rPr>
          <w:rFonts w:hint="eastAsia" w:hAnsi="宋体"/>
          <w:sz w:val="24"/>
        </w:rPr>
        <w:t>服务期间与其他标段和沿线镇（街道）协调配合方案4分。方案合理的得4分，欠缺酌情扣分。</w:t>
      </w:r>
    </w:p>
    <w:p>
      <w:pPr>
        <w:spacing w:line="440" w:lineRule="exact"/>
        <w:ind w:firstLine="480" w:firstLineChars="200"/>
        <w:rPr>
          <w:rFonts w:hAnsi="宋体"/>
          <w:sz w:val="24"/>
        </w:rPr>
      </w:pPr>
      <w:r>
        <w:rPr>
          <w:rFonts w:hint="eastAsia" w:hAnsi="宋体"/>
          <w:sz w:val="24"/>
        </w:rPr>
        <w:t>（6）安全管理措施方案（8分）</w:t>
      </w:r>
    </w:p>
    <w:p>
      <w:pPr>
        <w:ind w:firstLine="480" w:firstLineChars="200"/>
        <w:rPr>
          <w:rFonts w:hAnsi="宋体"/>
          <w:sz w:val="24"/>
        </w:rPr>
      </w:pPr>
      <w:r>
        <w:rPr>
          <w:rFonts w:hint="eastAsia" w:hAnsi="宋体"/>
          <w:sz w:val="24"/>
        </w:rPr>
        <w:t>投入本项目的船只、设备等保养、维修、年检等方案3分。方案合理的得3分，欠缺酌情扣分；正常河道保洁作业时和发生事故时的组织和安全防护措施，以及各项紧急预案、方案5分。方案合理的得5分，欠缺酌情扣分。</w:t>
      </w:r>
    </w:p>
    <w:p>
      <w:pPr>
        <w:spacing w:line="440" w:lineRule="exact"/>
        <w:ind w:firstLine="480" w:firstLineChars="200"/>
        <w:rPr>
          <w:rFonts w:hAnsi="宋体"/>
          <w:sz w:val="24"/>
        </w:rPr>
      </w:pPr>
      <w:r>
        <w:rPr>
          <w:rFonts w:hint="eastAsia" w:hAnsi="宋体"/>
          <w:sz w:val="24"/>
        </w:rPr>
        <w:t>2、类似案例（2分）</w:t>
      </w:r>
    </w:p>
    <w:p>
      <w:pPr>
        <w:spacing w:line="440" w:lineRule="exact"/>
        <w:ind w:firstLine="480" w:firstLineChars="200"/>
        <w:rPr>
          <w:rFonts w:hAnsi="宋体"/>
          <w:sz w:val="24"/>
        </w:rPr>
      </w:pPr>
      <w:r>
        <w:rPr>
          <w:rFonts w:hint="eastAsia" w:hAnsi="宋体"/>
          <w:sz w:val="24"/>
        </w:rPr>
        <w:t>投标人具有达到12个月或以上服务期的类似案例的得2分。提供服务合同证明（补充合同不计入总服务期）。</w:t>
      </w:r>
    </w:p>
    <w:p>
      <w:pPr>
        <w:spacing w:line="400" w:lineRule="exact"/>
        <w:ind w:firstLine="482" w:firstLineChars="200"/>
        <w:rPr>
          <w:rFonts w:asciiTheme="minorEastAsia" w:hAnsiTheme="minorEastAsia" w:eastAsiaTheme="minorEastAsia"/>
          <w:b/>
          <w:color w:val="000000"/>
          <w:sz w:val="24"/>
          <w:szCs w:val="24"/>
        </w:rPr>
      </w:pPr>
      <w:r>
        <w:rPr>
          <w:rFonts w:hint="eastAsia" w:cs="宋体" w:asciiTheme="minorEastAsia" w:hAnsiTheme="minorEastAsia" w:eastAsiaTheme="minorEastAsia"/>
          <w:b/>
          <w:color w:val="000000"/>
          <w:sz w:val="24"/>
          <w:szCs w:val="24"/>
        </w:rPr>
        <w:t>3.2价格标评审标准（</w:t>
      </w:r>
      <w:r>
        <w:rPr>
          <w:rFonts w:hint="eastAsia" w:asciiTheme="minorEastAsia" w:hAnsiTheme="minorEastAsia" w:eastAsiaTheme="minorEastAsia"/>
          <w:b/>
          <w:color w:val="000000"/>
          <w:sz w:val="24"/>
          <w:szCs w:val="24"/>
        </w:rPr>
        <w:t>20</w:t>
      </w:r>
      <w:r>
        <w:rPr>
          <w:rFonts w:hint="eastAsia" w:cs="宋体" w:asciiTheme="minorEastAsia" w:hAnsiTheme="minorEastAsia" w:eastAsiaTheme="minorEastAsia"/>
          <w:b/>
          <w:color w:val="000000"/>
          <w:sz w:val="24"/>
          <w:szCs w:val="24"/>
        </w:rPr>
        <w:t>分）</w:t>
      </w:r>
    </w:p>
    <w:p>
      <w:pPr>
        <w:spacing w:line="400" w:lineRule="exact"/>
        <w:ind w:firstLine="480" w:firstLineChars="200"/>
        <w:rPr>
          <w:rFonts w:cs="宋体" w:asciiTheme="minorEastAsia" w:hAnsiTheme="minorEastAsia" w:eastAsiaTheme="minorEastAsia"/>
          <w:color w:val="000000"/>
          <w:sz w:val="24"/>
          <w:szCs w:val="24"/>
        </w:rPr>
      </w:pPr>
      <w:r>
        <w:rPr>
          <w:rFonts w:hint="eastAsia" w:cs="宋体" w:asciiTheme="minorEastAsia" w:hAnsiTheme="minorEastAsia" w:eastAsiaTheme="minorEastAsia"/>
          <w:color w:val="000000"/>
          <w:sz w:val="24"/>
          <w:szCs w:val="24"/>
        </w:rPr>
        <w:t>评审标准：即满足招标文件要求且投标价格最低的投标报价为评标基准价，其价格分（即报价标分）为满分</w:t>
      </w:r>
      <w:r>
        <w:rPr>
          <w:rFonts w:hint="eastAsia" w:asciiTheme="minorEastAsia" w:hAnsiTheme="minorEastAsia" w:eastAsiaTheme="minorEastAsia"/>
          <w:color w:val="000000"/>
          <w:sz w:val="24"/>
          <w:szCs w:val="24"/>
        </w:rPr>
        <w:t>20</w:t>
      </w:r>
      <w:r>
        <w:rPr>
          <w:rFonts w:hint="eastAsia" w:cs="宋体" w:asciiTheme="minorEastAsia" w:hAnsiTheme="minorEastAsia" w:eastAsiaTheme="minorEastAsia"/>
          <w:color w:val="000000"/>
          <w:sz w:val="24"/>
          <w:szCs w:val="24"/>
        </w:rPr>
        <w:t>分。其他投标人的价格分统一按照下列公式计算：</w:t>
      </w:r>
    </w:p>
    <w:p>
      <w:pPr>
        <w:spacing w:line="400" w:lineRule="exact"/>
        <w:ind w:firstLine="480" w:firstLineChars="200"/>
        <w:rPr>
          <w:rFonts w:asciiTheme="minorEastAsia" w:hAnsiTheme="minorEastAsia" w:eastAsiaTheme="minorEastAsia"/>
          <w:color w:val="000000"/>
          <w:sz w:val="24"/>
          <w:szCs w:val="24"/>
        </w:rPr>
      </w:pPr>
      <w:r>
        <w:rPr>
          <w:rFonts w:hint="eastAsia" w:cs="宋体" w:asciiTheme="minorEastAsia" w:hAnsiTheme="minorEastAsia" w:eastAsiaTheme="minorEastAsia"/>
          <w:color w:val="000000"/>
          <w:sz w:val="24"/>
          <w:szCs w:val="24"/>
        </w:rPr>
        <w:t>投标报价得分</w:t>
      </w:r>
      <w:r>
        <w:rPr>
          <w:rFonts w:asciiTheme="minorEastAsia" w:hAnsiTheme="minorEastAsia" w:eastAsiaTheme="minorEastAsia"/>
          <w:color w:val="000000"/>
          <w:sz w:val="24"/>
          <w:szCs w:val="24"/>
        </w:rPr>
        <w:t>=</w:t>
      </w:r>
      <w:r>
        <w:rPr>
          <w:rFonts w:hint="eastAsia" w:cs="宋体" w:asciiTheme="minorEastAsia" w:hAnsiTheme="minorEastAsia" w:eastAsiaTheme="minorEastAsia"/>
          <w:color w:val="000000"/>
          <w:sz w:val="24"/>
          <w:szCs w:val="24"/>
        </w:rPr>
        <w:t>（评标基准价</w:t>
      </w:r>
      <w:r>
        <w:rPr>
          <w:rFonts w:asciiTheme="minorEastAsia" w:hAnsiTheme="minorEastAsia" w:eastAsiaTheme="minorEastAsia"/>
          <w:color w:val="000000"/>
          <w:sz w:val="24"/>
          <w:szCs w:val="24"/>
        </w:rPr>
        <w:t>/</w:t>
      </w:r>
      <w:r>
        <w:rPr>
          <w:rFonts w:hint="eastAsia" w:cs="宋体" w:asciiTheme="minorEastAsia" w:hAnsiTheme="minorEastAsia" w:eastAsiaTheme="minorEastAsia"/>
          <w:color w:val="000000"/>
          <w:sz w:val="24"/>
          <w:szCs w:val="24"/>
        </w:rPr>
        <w:t>投标报价）</w:t>
      </w:r>
      <w:r>
        <w:rPr>
          <w:rFonts w:asciiTheme="minorEastAsia" w:hAnsiTheme="minorEastAsia" w:eastAsiaTheme="minorEastAsia"/>
          <w:color w:val="000000"/>
          <w:sz w:val="24"/>
          <w:szCs w:val="24"/>
        </w:rPr>
        <w:t>*</w:t>
      </w:r>
      <w:r>
        <w:rPr>
          <w:rFonts w:hint="eastAsia" w:cs="宋体" w:asciiTheme="minorEastAsia" w:hAnsiTheme="minorEastAsia" w:eastAsiaTheme="minorEastAsia"/>
          <w:color w:val="000000"/>
          <w:sz w:val="24"/>
          <w:szCs w:val="24"/>
        </w:rPr>
        <w:t>20</w:t>
      </w:r>
    </w:p>
    <w:p>
      <w:pPr>
        <w:spacing w:line="340" w:lineRule="exact"/>
        <w:ind w:firstLine="482" w:firstLineChars="200"/>
        <w:rPr>
          <w:rFonts w:asciiTheme="minorEastAsia" w:hAnsiTheme="minorEastAsia" w:eastAsiaTheme="minorEastAsia"/>
          <w:b/>
          <w:color w:val="000000"/>
          <w:sz w:val="24"/>
          <w:szCs w:val="24"/>
        </w:rPr>
      </w:pPr>
      <w:r>
        <w:rPr>
          <w:rFonts w:hint="eastAsia" w:cs="宋体" w:asciiTheme="minorEastAsia" w:hAnsiTheme="minorEastAsia" w:eastAsiaTheme="minorEastAsia"/>
          <w:b/>
          <w:color w:val="000000"/>
          <w:sz w:val="24"/>
          <w:szCs w:val="24"/>
        </w:rPr>
        <w:t>3.3定标：报价标得分与商务技术标得分之和为各投标人的综合得分，综合得分最高者的中标第一中标候选人；如综合得分相等，以投标报价低的优先；如投标报价也相等，则抽签确定第一中标候选人。</w:t>
      </w:r>
    </w:p>
    <w:p>
      <w:pPr>
        <w:spacing w:line="340" w:lineRule="exact"/>
        <w:ind w:firstLine="482" w:firstLineChars="200"/>
        <w:rPr>
          <w:rFonts w:asciiTheme="minorEastAsia" w:hAnsiTheme="minorEastAsia" w:eastAsiaTheme="minorEastAsia"/>
          <w:b/>
          <w:bCs/>
          <w:color w:val="000000"/>
          <w:sz w:val="24"/>
          <w:szCs w:val="24"/>
        </w:rPr>
      </w:pPr>
      <w:r>
        <w:rPr>
          <w:rFonts w:hint="eastAsia" w:cs="宋体" w:asciiTheme="minorEastAsia" w:hAnsiTheme="minorEastAsia" w:eastAsiaTheme="minorEastAsia"/>
          <w:b/>
          <w:bCs/>
          <w:color w:val="000000"/>
          <w:sz w:val="24"/>
          <w:szCs w:val="24"/>
        </w:rPr>
        <w:t>注：中小企业声明函（如符合小型和微型企业的需提供）；监狱企业证明函（如符合监狱企业的需提供）；残疾人福利性单位声明函（如符合残疾人福利性单位的需提供）。</w:t>
      </w:r>
    </w:p>
    <w:p>
      <w:pPr>
        <w:spacing w:line="340" w:lineRule="exact"/>
        <w:ind w:firstLine="482" w:firstLineChars="200"/>
        <w:rPr>
          <w:rFonts w:asciiTheme="minorEastAsia" w:hAnsiTheme="minorEastAsia" w:eastAsiaTheme="minorEastAsia"/>
          <w:b/>
          <w:bCs/>
          <w:color w:val="000000"/>
          <w:sz w:val="24"/>
          <w:szCs w:val="24"/>
        </w:rPr>
      </w:pPr>
      <w:r>
        <w:rPr>
          <w:rFonts w:asciiTheme="minorEastAsia" w:hAnsiTheme="minorEastAsia" w:eastAsiaTheme="minorEastAsia"/>
          <w:b/>
          <w:bCs/>
          <w:color w:val="000000"/>
          <w:sz w:val="24"/>
          <w:szCs w:val="24"/>
        </w:rPr>
        <w:t>1</w:t>
      </w:r>
      <w:r>
        <w:rPr>
          <w:rFonts w:hint="eastAsia" w:cs="宋体" w:asciiTheme="minorEastAsia" w:hAnsiTheme="minorEastAsia" w:eastAsiaTheme="minorEastAsia"/>
          <w:b/>
          <w:bCs/>
          <w:color w:val="000000"/>
          <w:sz w:val="24"/>
          <w:szCs w:val="24"/>
        </w:rPr>
        <w:t>、中小企业声明函如未提供则不能享受小型和微型企业的价格给予</w:t>
      </w:r>
      <w:r>
        <w:rPr>
          <w:rFonts w:asciiTheme="minorEastAsia" w:hAnsiTheme="minorEastAsia" w:eastAsiaTheme="minorEastAsia"/>
          <w:b/>
          <w:bCs/>
          <w:color w:val="000000"/>
          <w:sz w:val="24"/>
          <w:szCs w:val="24"/>
        </w:rPr>
        <w:t>10%</w:t>
      </w:r>
      <w:r>
        <w:rPr>
          <w:rFonts w:hint="eastAsia" w:cs="宋体" w:asciiTheme="minorEastAsia" w:hAnsiTheme="minorEastAsia" w:eastAsiaTheme="minorEastAsia"/>
          <w:b/>
          <w:bCs/>
          <w:color w:val="000000"/>
          <w:sz w:val="24"/>
          <w:szCs w:val="24"/>
        </w:rPr>
        <w:t>的扣除；用扣除后的价格作为有效报价参与评审的优惠政策。</w:t>
      </w:r>
    </w:p>
    <w:p>
      <w:pPr>
        <w:spacing w:line="340" w:lineRule="exact"/>
        <w:ind w:firstLine="482" w:firstLineChars="200"/>
        <w:rPr>
          <w:rFonts w:asciiTheme="minorEastAsia" w:hAnsiTheme="minorEastAsia" w:eastAsiaTheme="minorEastAsia"/>
          <w:b/>
          <w:bCs/>
          <w:color w:val="000000"/>
          <w:sz w:val="24"/>
          <w:szCs w:val="24"/>
        </w:rPr>
      </w:pPr>
      <w:r>
        <w:rPr>
          <w:rFonts w:asciiTheme="minorEastAsia" w:hAnsiTheme="minorEastAsia" w:eastAsiaTheme="minorEastAsia"/>
          <w:b/>
          <w:bCs/>
          <w:color w:val="000000"/>
          <w:sz w:val="24"/>
          <w:szCs w:val="24"/>
        </w:rPr>
        <w:t>2</w:t>
      </w:r>
      <w:r>
        <w:rPr>
          <w:rFonts w:hint="eastAsia" w:cs="宋体" w:asciiTheme="minorEastAsia" w:hAnsiTheme="minorEastAsia" w:eastAsiaTheme="minorEastAsia"/>
          <w:b/>
          <w:bCs/>
          <w:color w:val="000000"/>
          <w:sz w:val="24"/>
          <w:szCs w:val="24"/>
        </w:rPr>
        <w:t>、监狱企业证明函及残疾人福利性单位声明函如未提供则不能享受残疾人福利性单位及监狱企业产品的价格给予</w:t>
      </w:r>
      <w:r>
        <w:rPr>
          <w:rFonts w:asciiTheme="minorEastAsia" w:hAnsiTheme="minorEastAsia" w:eastAsiaTheme="minorEastAsia"/>
          <w:b/>
          <w:bCs/>
          <w:color w:val="000000"/>
          <w:sz w:val="24"/>
          <w:szCs w:val="24"/>
        </w:rPr>
        <w:t>6%</w:t>
      </w:r>
      <w:r>
        <w:rPr>
          <w:rFonts w:hint="eastAsia" w:cs="宋体" w:asciiTheme="minorEastAsia" w:hAnsiTheme="minorEastAsia" w:eastAsiaTheme="minorEastAsia"/>
          <w:b/>
          <w:bCs/>
          <w:color w:val="000000"/>
          <w:sz w:val="24"/>
          <w:szCs w:val="24"/>
        </w:rPr>
        <w:t>的扣除；用扣除后的价格作为有效报价参与评审的优惠政策。</w:t>
      </w:r>
    </w:p>
    <w:bookmarkEnd w:id="166"/>
    <w:bookmarkEnd w:id="167"/>
    <w:bookmarkEnd w:id="168"/>
    <w:bookmarkEnd w:id="169"/>
    <w:bookmarkEnd w:id="170"/>
    <w:p>
      <w:pPr>
        <w:pStyle w:val="3"/>
        <w:jc w:val="center"/>
        <w:rPr>
          <w:rFonts w:asciiTheme="majorEastAsia" w:hAnsiTheme="majorEastAsia" w:eastAsiaTheme="majorEastAsia"/>
          <w:b w:val="0"/>
          <w:bCs/>
          <w:color w:val="0C0C0C" w:themeColor="text1" w:themeTint="F2"/>
          <w:sz w:val="36"/>
          <w:szCs w:val="36"/>
        </w:rPr>
      </w:pPr>
      <w:r>
        <w:rPr>
          <w:rFonts w:hint="eastAsia" w:asciiTheme="majorEastAsia" w:hAnsiTheme="majorEastAsia" w:eastAsiaTheme="majorEastAsia"/>
          <w:b w:val="0"/>
          <w:bCs/>
          <w:color w:val="0C0C0C" w:themeColor="text1" w:themeTint="F2"/>
          <w:sz w:val="36"/>
          <w:szCs w:val="36"/>
        </w:rPr>
        <w:t>第六章  投标</w:t>
      </w:r>
      <w:bookmarkEnd w:id="163"/>
      <w:bookmarkEnd w:id="164"/>
      <w:bookmarkEnd w:id="165"/>
      <w:r>
        <w:rPr>
          <w:rFonts w:hint="eastAsia" w:asciiTheme="majorEastAsia" w:hAnsiTheme="majorEastAsia" w:eastAsiaTheme="majorEastAsia"/>
          <w:b w:val="0"/>
          <w:bCs/>
          <w:color w:val="0C0C0C" w:themeColor="text1" w:themeTint="F2"/>
          <w:sz w:val="36"/>
          <w:szCs w:val="36"/>
        </w:rPr>
        <w:t>文件格式</w:t>
      </w:r>
    </w:p>
    <w:p>
      <w:pPr>
        <w:spacing w:line="360" w:lineRule="auto"/>
        <w:jc w:val="center"/>
        <w:rPr>
          <w:rFonts w:asciiTheme="majorEastAsia" w:hAnsiTheme="majorEastAsia" w:eastAsiaTheme="majorEastAsia"/>
          <w:color w:val="0C0C0C" w:themeColor="text1" w:themeTint="F2"/>
          <w:sz w:val="44"/>
          <w:szCs w:val="44"/>
        </w:rPr>
      </w:pPr>
      <w:bookmarkStart w:id="178" w:name="_Hlt26955039"/>
      <w:bookmarkEnd w:id="178"/>
      <w:bookmarkStart w:id="179" w:name="_Hlt26671244"/>
      <w:bookmarkEnd w:id="179"/>
      <w:bookmarkStart w:id="180" w:name="_Toc26554094"/>
      <w:bookmarkStart w:id="181" w:name="_Toc120614282"/>
      <w:bookmarkStart w:id="182" w:name="_Toc49090576"/>
    </w:p>
    <w:p>
      <w:pPr>
        <w:spacing w:line="360" w:lineRule="auto"/>
        <w:jc w:val="center"/>
        <w:rPr>
          <w:rFonts w:asciiTheme="minorEastAsia" w:hAnsiTheme="minorEastAsia" w:eastAsiaTheme="minorEastAsia"/>
          <w:color w:val="0C0C0C" w:themeColor="text1" w:themeTint="F2"/>
          <w:sz w:val="44"/>
          <w:szCs w:val="44"/>
        </w:rPr>
      </w:pPr>
    </w:p>
    <w:p>
      <w:pPr>
        <w:spacing w:line="360" w:lineRule="auto"/>
        <w:jc w:val="center"/>
        <w:rPr>
          <w:rFonts w:asciiTheme="majorEastAsia" w:hAnsiTheme="majorEastAsia" w:eastAsiaTheme="majorEastAsia"/>
          <w:color w:val="0C0C0C" w:themeColor="text1" w:themeTint="F2"/>
          <w:sz w:val="44"/>
          <w:szCs w:val="44"/>
        </w:rPr>
      </w:pPr>
      <w:r>
        <w:rPr>
          <w:rFonts w:hint="eastAsia" w:asciiTheme="majorEastAsia" w:hAnsiTheme="majorEastAsia" w:eastAsiaTheme="majorEastAsia"/>
          <w:color w:val="0C0C0C" w:themeColor="text1" w:themeTint="F2"/>
          <w:sz w:val="44"/>
          <w:szCs w:val="44"/>
        </w:rPr>
        <w:t>南通市通州区区管河道保洁服务</w:t>
      </w:r>
    </w:p>
    <w:p>
      <w:pPr>
        <w:spacing w:line="360" w:lineRule="auto"/>
        <w:jc w:val="center"/>
        <w:rPr>
          <w:rFonts w:asciiTheme="majorEastAsia" w:hAnsiTheme="majorEastAsia" w:eastAsiaTheme="majorEastAsia"/>
          <w:color w:val="0C0C0C" w:themeColor="text1" w:themeTint="F2"/>
          <w:sz w:val="44"/>
          <w:szCs w:val="44"/>
        </w:rPr>
      </w:pPr>
      <w:r>
        <w:rPr>
          <w:rFonts w:hint="eastAsia" w:asciiTheme="majorEastAsia" w:hAnsiTheme="majorEastAsia" w:eastAsiaTheme="majorEastAsia"/>
          <w:color w:val="0C0C0C" w:themeColor="text1" w:themeTint="F2"/>
          <w:sz w:val="44"/>
          <w:szCs w:val="44"/>
        </w:rPr>
        <w:t>（2022-2025年）</w:t>
      </w:r>
    </w:p>
    <w:p>
      <w:pPr>
        <w:jc w:val="center"/>
        <w:rPr>
          <w:rFonts w:asciiTheme="majorEastAsia" w:hAnsiTheme="majorEastAsia" w:eastAsiaTheme="majorEastAsia"/>
          <w:color w:val="0C0C0C" w:themeColor="text1" w:themeTint="F2"/>
          <w:sz w:val="52"/>
          <w:szCs w:val="52"/>
        </w:rPr>
      </w:pPr>
    </w:p>
    <w:p>
      <w:pPr>
        <w:jc w:val="center"/>
        <w:rPr>
          <w:rFonts w:asciiTheme="majorEastAsia" w:hAnsiTheme="majorEastAsia" w:eastAsiaTheme="majorEastAsia"/>
          <w:color w:val="0C0C0C" w:themeColor="text1" w:themeTint="F2"/>
          <w:sz w:val="52"/>
          <w:szCs w:val="52"/>
        </w:rPr>
      </w:pPr>
    </w:p>
    <w:p>
      <w:pPr>
        <w:jc w:val="center"/>
        <w:rPr>
          <w:rFonts w:asciiTheme="majorEastAsia" w:hAnsiTheme="majorEastAsia" w:eastAsiaTheme="majorEastAsia"/>
          <w:color w:val="0C0C0C" w:themeColor="text1" w:themeTint="F2"/>
          <w:sz w:val="52"/>
          <w:szCs w:val="52"/>
        </w:rPr>
      </w:pPr>
      <w:r>
        <w:rPr>
          <w:rFonts w:hint="eastAsia" w:asciiTheme="majorEastAsia" w:hAnsiTheme="majorEastAsia" w:eastAsiaTheme="majorEastAsia"/>
          <w:color w:val="0C0C0C" w:themeColor="text1" w:themeTint="F2"/>
          <w:sz w:val="52"/>
          <w:szCs w:val="52"/>
        </w:rPr>
        <w:t>投标文件</w:t>
      </w:r>
    </w:p>
    <w:p>
      <w:pPr>
        <w:overflowPunct w:val="0"/>
        <w:autoSpaceDE w:val="0"/>
        <w:autoSpaceDN w:val="0"/>
        <w:adjustRightInd w:val="0"/>
        <w:ind w:left="-794" w:right="-794"/>
        <w:jc w:val="center"/>
        <w:rPr>
          <w:rFonts w:asciiTheme="majorEastAsia" w:hAnsiTheme="majorEastAsia" w:eastAsiaTheme="majorEastAsia"/>
          <w:color w:val="0C0C0C" w:themeColor="text1" w:themeTint="F2"/>
          <w:kern w:val="0"/>
          <w:sz w:val="36"/>
          <w:szCs w:val="36"/>
        </w:rPr>
      </w:pPr>
      <w:r>
        <w:rPr>
          <w:rFonts w:hint="eastAsia" w:asciiTheme="majorEastAsia" w:hAnsiTheme="majorEastAsia" w:eastAsiaTheme="majorEastAsia"/>
          <w:color w:val="0C0C0C" w:themeColor="text1" w:themeTint="F2"/>
          <w:kern w:val="0"/>
          <w:sz w:val="36"/>
          <w:szCs w:val="36"/>
        </w:rPr>
        <w:t>（资格审查文件）</w:t>
      </w:r>
    </w:p>
    <w:p>
      <w:pPr>
        <w:jc w:val="center"/>
        <w:rPr>
          <w:rFonts w:asciiTheme="majorEastAsia" w:hAnsiTheme="majorEastAsia" w:eastAsiaTheme="majorEastAsia"/>
          <w:color w:val="0C0C0C" w:themeColor="text1" w:themeTint="F2"/>
          <w:sz w:val="72"/>
        </w:rPr>
      </w:pPr>
    </w:p>
    <w:p>
      <w:pPr>
        <w:jc w:val="center"/>
        <w:rPr>
          <w:rFonts w:asciiTheme="majorEastAsia" w:hAnsiTheme="majorEastAsia" w:eastAsiaTheme="majorEastAsia"/>
          <w:color w:val="0C0C0C" w:themeColor="text1" w:themeTint="F2"/>
          <w:sz w:val="72"/>
        </w:rPr>
      </w:pPr>
    </w:p>
    <w:p>
      <w:pPr>
        <w:jc w:val="center"/>
        <w:rPr>
          <w:rFonts w:asciiTheme="majorEastAsia" w:hAnsiTheme="majorEastAsia" w:eastAsiaTheme="majorEastAsia"/>
          <w:color w:val="0C0C0C" w:themeColor="text1" w:themeTint="F2"/>
          <w:sz w:val="36"/>
        </w:rPr>
      </w:pPr>
    </w:p>
    <w:p>
      <w:pPr>
        <w:jc w:val="center"/>
        <w:rPr>
          <w:rFonts w:asciiTheme="majorEastAsia" w:hAnsiTheme="majorEastAsia" w:eastAsiaTheme="majorEastAsia"/>
          <w:color w:val="0C0C0C" w:themeColor="text1" w:themeTint="F2"/>
          <w:sz w:val="36"/>
        </w:rPr>
      </w:pPr>
    </w:p>
    <w:p>
      <w:pPr>
        <w:ind w:firstLine="1080" w:firstLineChars="300"/>
        <w:rPr>
          <w:rFonts w:asciiTheme="majorEastAsia" w:hAnsiTheme="majorEastAsia" w:eastAsiaTheme="majorEastAsia"/>
          <w:color w:val="0C0C0C" w:themeColor="text1" w:themeTint="F2"/>
          <w:sz w:val="36"/>
        </w:rPr>
      </w:pPr>
      <w:r>
        <w:rPr>
          <w:rFonts w:hint="eastAsia" w:asciiTheme="majorEastAsia" w:hAnsiTheme="majorEastAsia" w:eastAsiaTheme="majorEastAsia"/>
          <w:color w:val="0C0C0C" w:themeColor="text1" w:themeTint="F2"/>
          <w:sz w:val="36"/>
        </w:rPr>
        <w:t>项目名称：</w:t>
      </w:r>
    </w:p>
    <w:p>
      <w:pPr>
        <w:ind w:firstLine="1080" w:firstLineChars="300"/>
        <w:rPr>
          <w:rFonts w:asciiTheme="majorEastAsia" w:hAnsiTheme="majorEastAsia" w:eastAsiaTheme="majorEastAsia"/>
          <w:color w:val="0C0C0C" w:themeColor="text1" w:themeTint="F2"/>
          <w:sz w:val="36"/>
          <w:u w:val="single"/>
        </w:rPr>
      </w:pPr>
      <w:r>
        <w:rPr>
          <w:rFonts w:hint="eastAsia" w:asciiTheme="majorEastAsia" w:hAnsiTheme="majorEastAsia" w:eastAsiaTheme="majorEastAsia"/>
          <w:color w:val="0C0C0C" w:themeColor="text1" w:themeTint="F2"/>
          <w:sz w:val="36"/>
        </w:rPr>
        <w:t>采购人名称：</w:t>
      </w:r>
    </w:p>
    <w:p>
      <w:pPr>
        <w:rPr>
          <w:rFonts w:asciiTheme="majorEastAsia" w:hAnsiTheme="majorEastAsia" w:eastAsiaTheme="majorEastAsia"/>
          <w:color w:val="0C0C0C" w:themeColor="text1" w:themeTint="F2"/>
          <w:sz w:val="36"/>
          <w:u w:val="single"/>
        </w:rPr>
      </w:pPr>
      <w:r>
        <w:rPr>
          <w:rFonts w:hint="eastAsia" w:asciiTheme="majorEastAsia" w:hAnsiTheme="majorEastAsia" w:eastAsiaTheme="majorEastAsia"/>
          <w:color w:val="0C0C0C" w:themeColor="text1" w:themeTint="F2"/>
          <w:sz w:val="36"/>
        </w:rPr>
        <w:t xml:space="preserve">      投标人名称 ：</w:t>
      </w:r>
    </w:p>
    <w:p>
      <w:pPr>
        <w:rPr>
          <w:rFonts w:asciiTheme="majorEastAsia" w:hAnsiTheme="majorEastAsia" w:eastAsiaTheme="majorEastAsia"/>
          <w:color w:val="0C0C0C" w:themeColor="text1" w:themeTint="F2"/>
          <w:sz w:val="36"/>
        </w:rPr>
      </w:pPr>
      <w:r>
        <w:rPr>
          <w:rFonts w:hint="eastAsia" w:asciiTheme="majorEastAsia" w:hAnsiTheme="majorEastAsia" w:eastAsiaTheme="majorEastAsia"/>
          <w:color w:val="0C0C0C" w:themeColor="text1" w:themeTint="F2"/>
          <w:sz w:val="36"/>
        </w:rPr>
        <w:t xml:space="preserve">      日      期 ：</w:t>
      </w:r>
    </w:p>
    <w:p>
      <w:pPr>
        <w:spacing w:line="440" w:lineRule="exact"/>
        <w:jc w:val="center"/>
        <w:rPr>
          <w:rFonts w:asciiTheme="majorEastAsia" w:hAnsiTheme="majorEastAsia" w:eastAsiaTheme="majorEastAsia"/>
          <w:bCs/>
          <w:color w:val="0C0C0C" w:themeColor="text1" w:themeTint="F2"/>
          <w:sz w:val="32"/>
          <w:szCs w:val="32"/>
        </w:rPr>
      </w:pPr>
    </w:p>
    <w:bookmarkEnd w:id="180"/>
    <w:bookmarkEnd w:id="181"/>
    <w:bookmarkEnd w:id="182"/>
    <w:p>
      <w:pPr>
        <w:keepNext/>
        <w:keepLines/>
        <w:spacing w:before="100" w:line="400" w:lineRule="exact"/>
        <w:jc w:val="center"/>
        <w:outlineLvl w:val="1"/>
        <w:rPr>
          <w:rFonts w:asciiTheme="majorEastAsia" w:hAnsiTheme="majorEastAsia" w:eastAsiaTheme="majorEastAsia"/>
          <w:color w:val="0C0C0C" w:themeColor="text1" w:themeTint="F2"/>
        </w:rPr>
      </w:pPr>
      <w:bookmarkStart w:id="183" w:name="_Toc120614284"/>
      <w:r>
        <w:rPr>
          <w:rFonts w:asciiTheme="majorEastAsia" w:hAnsiTheme="majorEastAsia" w:eastAsiaTheme="majorEastAsia"/>
          <w:color w:val="0C0C0C" w:themeColor="text1" w:themeTint="F2"/>
        </w:rPr>
        <w:br w:type="page"/>
      </w:r>
    </w:p>
    <w:p>
      <w:pPr>
        <w:keepNext/>
        <w:keepLines/>
        <w:jc w:val="center"/>
        <w:outlineLvl w:val="1"/>
        <w:rPr>
          <w:rFonts w:asciiTheme="majorEastAsia" w:hAnsiTheme="majorEastAsia" w:eastAsiaTheme="majorEastAsia"/>
          <w:b/>
          <w:bCs/>
          <w:color w:val="0C0C0C" w:themeColor="text1" w:themeTint="F2"/>
          <w:sz w:val="44"/>
          <w:szCs w:val="44"/>
        </w:rPr>
      </w:pPr>
      <w:r>
        <w:rPr>
          <w:rFonts w:hint="eastAsia" w:asciiTheme="majorEastAsia" w:hAnsiTheme="majorEastAsia" w:eastAsiaTheme="majorEastAsia"/>
          <w:b/>
          <w:bCs/>
          <w:color w:val="0C0C0C" w:themeColor="text1" w:themeTint="F2"/>
          <w:sz w:val="44"/>
          <w:szCs w:val="44"/>
        </w:rPr>
        <w:t>目录</w:t>
      </w:r>
    </w:p>
    <w:p>
      <w:pPr>
        <w:keepNext/>
        <w:keepLines/>
        <w:spacing w:before="100" w:line="400" w:lineRule="exact"/>
        <w:jc w:val="center"/>
        <w:outlineLvl w:val="1"/>
        <w:rPr>
          <w:rFonts w:asciiTheme="majorEastAsia" w:hAnsiTheme="majorEastAsia" w:eastAsiaTheme="majorEastAsia"/>
          <w:color w:val="0C0C0C" w:themeColor="text1" w:themeTint="F2"/>
        </w:rPr>
      </w:pP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一、法定代表人身份证明书及法定代表人身份证</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二、法定代表人授权委托书及委托代理人身份证（如有授权）</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三、投标人企业法人营业执照</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四、拟派项目负责人身份证、学历证明或管理工作证明</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五、拟派项目负责人劳动合同书、养老保险缴费证明</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六、依法缴纳税收和社会保障资金的相关材料</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七、财务报告或开户银行资信证明</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八、投标声明函</w:t>
      </w:r>
    </w:p>
    <w:p>
      <w:pPr>
        <w:spacing w:line="400" w:lineRule="exact"/>
        <w:ind w:firstLine="482" w:firstLineChars="200"/>
        <w:rPr>
          <w:rFonts w:asciiTheme="majorEastAsia" w:hAnsiTheme="majorEastAsia" w:eastAsiaTheme="majorEastAsia"/>
          <w:b/>
          <w:color w:val="0C0C0C" w:themeColor="text1" w:themeTint="F2"/>
          <w:sz w:val="24"/>
          <w:szCs w:val="24"/>
        </w:rPr>
      </w:pPr>
    </w:p>
    <w:p>
      <w:pPr>
        <w:spacing w:line="400" w:lineRule="exact"/>
        <w:ind w:firstLine="482" w:firstLineChars="200"/>
        <w:rPr>
          <w:rFonts w:asciiTheme="majorEastAsia" w:hAnsiTheme="majorEastAsia" w:eastAsiaTheme="majorEastAsia"/>
          <w:b/>
          <w:color w:val="0C0C0C" w:themeColor="text1" w:themeTint="F2"/>
          <w:sz w:val="24"/>
          <w:szCs w:val="24"/>
        </w:rPr>
      </w:pPr>
    </w:p>
    <w:p>
      <w:pPr>
        <w:spacing w:line="400" w:lineRule="exact"/>
        <w:ind w:firstLine="482" w:firstLineChars="200"/>
        <w:rPr>
          <w:rFonts w:asciiTheme="majorEastAsia" w:hAnsiTheme="majorEastAsia" w:eastAsiaTheme="majorEastAsia"/>
          <w:b/>
          <w:color w:val="0C0C0C" w:themeColor="text1" w:themeTint="F2"/>
          <w:sz w:val="24"/>
          <w:szCs w:val="24"/>
        </w:rPr>
      </w:pPr>
    </w:p>
    <w:p>
      <w:pPr>
        <w:spacing w:line="400" w:lineRule="exact"/>
        <w:ind w:firstLine="482" w:firstLineChars="200"/>
        <w:rPr>
          <w:rFonts w:asciiTheme="majorEastAsia" w:hAnsiTheme="majorEastAsia" w:eastAsiaTheme="majorEastAsia"/>
          <w:b/>
          <w:color w:val="0C0C0C" w:themeColor="text1" w:themeTint="F2"/>
          <w:sz w:val="24"/>
          <w:szCs w:val="24"/>
        </w:rPr>
      </w:pPr>
    </w:p>
    <w:p>
      <w:pPr>
        <w:keepNext/>
        <w:keepLines/>
        <w:spacing w:before="100" w:line="400" w:lineRule="exact"/>
        <w:jc w:val="center"/>
        <w:outlineLvl w:val="1"/>
        <w:rPr>
          <w:rFonts w:asciiTheme="majorEastAsia" w:hAnsiTheme="majorEastAsia" w:eastAsiaTheme="majorEastAsia"/>
          <w:color w:val="0C0C0C" w:themeColor="text1" w:themeTint="F2"/>
        </w:rPr>
      </w:pPr>
    </w:p>
    <w:p>
      <w:pPr>
        <w:keepNext/>
        <w:keepLines/>
        <w:spacing w:before="100" w:line="400" w:lineRule="exact"/>
        <w:jc w:val="center"/>
        <w:outlineLvl w:val="1"/>
        <w:rPr>
          <w:rFonts w:asciiTheme="majorEastAsia" w:hAnsiTheme="majorEastAsia" w:eastAsiaTheme="majorEastAsia"/>
          <w:color w:val="0C0C0C" w:themeColor="text1" w:themeTint="F2"/>
        </w:rPr>
      </w:pPr>
    </w:p>
    <w:p>
      <w:pPr>
        <w:pStyle w:val="2"/>
      </w:pPr>
    </w:p>
    <w:p>
      <w:pPr>
        <w:keepNext/>
        <w:keepLines/>
        <w:spacing w:before="100" w:line="400" w:lineRule="exact"/>
        <w:jc w:val="center"/>
        <w:outlineLvl w:val="1"/>
        <w:rPr>
          <w:rFonts w:asciiTheme="majorEastAsia" w:hAnsiTheme="majorEastAsia" w:eastAsiaTheme="majorEastAsia"/>
          <w:color w:val="0C0C0C" w:themeColor="text1" w:themeTint="F2"/>
        </w:rPr>
      </w:pPr>
    </w:p>
    <w:p>
      <w:pPr>
        <w:pStyle w:val="2"/>
        <w:rPr>
          <w:rFonts w:asciiTheme="majorEastAsia" w:hAnsiTheme="majorEastAsia" w:eastAsiaTheme="majorEastAsia"/>
          <w:color w:val="0C0C0C" w:themeColor="text1" w:themeTint="F2"/>
        </w:rPr>
      </w:pPr>
    </w:p>
    <w:p>
      <w:pPr>
        <w:pStyle w:val="2"/>
        <w:rPr>
          <w:rFonts w:asciiTheme="majorEastAsia" w:hAnsiTheme="majorEastAsia" w:eastAsiaTheme="majorEastAsia"/>
          <w:color w:val="0C0C0C" w:themeColor="text1" w:themeTint="F2"/>
        </w:rPr>
      </w:pPr>
    </w:p>
    <w:p>
      <w:pPr>
        <w:pStyle w:val="2"/>
        <w:rPr>
          <w:rFonts w:asciiTheme="majorEastAsia" w:hAnsiTheme="majorEastAsia" w:eastAsiaTheme="majorEastAsia"/>
          <w:color w:val="0C0C0C" w:themeColor="text1" w:themeTint="F2"/>
        </w:rPr>
      </w:pPr>
    </w:p>
    <w:p>
      <w:pPr>
        <w:pStyle w:val="2"/>
        <w:rPr>
          <w:rFonts w:asciiTheme="majorEastAsia" w:hAnsiTheme="majorEastAsia" w:eastAsiaTheme="majorEastAsia"/>
          <w:color w:val="0C0C0C" w:themeColor="text1" w:themeTint="F2"/>
        </w:rPr>
      </w:pPr>
    </w:p>
    <w:p>
      <w:pPr>
        <w:pStyle w:val="2"/>
        <w:rPr>
          <w:rFonts w:asciiTheme="majorEastAsia" w:hAnsiTheme="majorEastAsia" w:eastAsiaTheme="majorEastAsia"/>
          <w:color w:val="0C0C0C" w:themeColor="text1" w:themeTint="F2"/>
        </w:rPr>
      </w:pPr>
    </w:p>
    <w:p>
      <w:pPr>
        <w:pStyle w:val="2"/>
        <w:rPr>
          <w:rFonts w:asciiTheme="majorEastAsia" w:hAnsiTheme="majorEastAsia" w:eastAsiaTheme="majorEastAsia"/>
          <w:color w:val="0C0C0C" w:themeColor="text1" w:themeTint="F2"/>
        </w:rPr>
      </w:pPr>
    </w:p>
    <w:p>
      <w:pPr>
        <w:pStyle w:val="2"/>
        <w:rPr>
          <w:rFonts w:asciiTheme="majorEastAsia" w:hAnsiTheme="majorEastAsia" w:eastAsiaTheme="majorEastAsia"/>
          <w:color w:val="0C0C0C" w:themeColor="text1" w:themeTint="F2"/>
        </w:rPr>
      </w:pPr>
    </w:p>
    <w:p>
      <w:pPr>
        <w:pStyle w:val="2"/>
        <w:rPr>
          <w:rFonts w:asciiTheme="majorEastAsia" w:hAnsiTheme="majorEastAsia" w:eastAsiaTheme="majorEastAsia"/>
          <w:color w:val="0C0C0C" w:themeColor="text1" w:themeTint="F2"/>
        </w:rPr>
      </w:pPr>
    </w:p>
    <w:p>
      <w:pPr>
        <w:pStyle w:val="2"/>
        <w:rPr>
          <w:rFonts w:asciiTheme="majorEastAsia" w:hAnsiTheme="majorEastAsia" w:eastAsiaTheme="majorEastAsia"/>
          <w:color w:val="0C0C0C" w:themeColor="text1" w:themeTint="F2"/>
        </w:rPr>
      </w:pPr>
    </w:p>
    <w:p>
      <w:pPr>
        <w:keepNext/>
        <w:keepLines/>
        <w:spacing w:before="100" w:line="400" w:lineRule="exact"/>
        <w:outlineLvl w:val="1"/>
        <w:rPr>
          <w:rFonts w:asciiTheme="majorEastAsia" w:hAnsiTheme="majorEastAsia" w:eastAsiaTheme="majorEastAsia"/>
          <w:color w:val="0C0C0C" w:themeColor="text1" w:themeTint="F2"/>
        </w:rPr>
      </w:pPr>
    </w:p>
    <w:p>
      <w:pPr>
        <w:spacing w:line="360" w:lineRule="auto"/>
        <w:jc w:val="center"/>
        <w:rPr>
          <w:rFonts w:asciiTheme="majorEastAsia" w:hAnsiTheme="majorEastAsia" w:eastAsiaTheme="majorEastAsia"/>
          <w:color w:val="0C0C0C" w:themeColor="text1" w:themeTint="F2"/>
          <w:sz w:val="44"/>
          <w:szCs w:val="44"/>
        </w:rPr>
      </w:pPr>
      <w:r>
        <w:rPr>
          <w:rFonts w:hint="eastAsia" w:asciiTheme="majorEastAsia" w:hAnsiTheme="majorEastAsia" w:eastAsiaTheme="majorEastAsia"/>
          <w:color w:val="0C0C0C" w:themeColor="text1" w:themeTint="F2"/>
          <w:sz w:val="44"/>
          <w:szCs w:val="44"/>
        </w:rPr>
        <w:t>南通市通州区区管河道保洁服务</w:t>
      </w:r>
    </w:p>
    <w:p>
      <w:pPr>
        <w:spacing w:line="360" w:lineRule="auto"/>
        <w:jc w:val="center"/>
        <w:rPr>
          <w:rFonts w:asciiTheme="majorEastAsia" w:hAnsiTheme="majorEastAsia" w:eastAsiaTheme="majorEastAsia"/>
          <w:color w:val="0C0C0C" w:themeColor="text1" w:themeTint="F2"/>
          <w:sz w:val="44"/>
          <w:szCs w:val="44"/>
        </w:rPr>
      </w:pPr>
      <w:r>
        <w:rPr>
          <w:rFonts w:hint="eastAsia" w:asciiTheme="majorEastAsia" w:hAnsiTheme="majorEastAsia" w:eastAsiaTheme="majorEastAsia"/>
          <w:color w:val="0C0C0C" w:themeColor="text1" w:themeTint="F2"/>
          <w:sz w:val="44"/>
          <w:szCs w:val="44"/>
        </w:rPr>
        <w:t>（2022-2025年）</w:t>
      </w:r>
    </w:p>
    <w:p>
      <w:pPr>
        <w:jc w:val="center"/>
        <w:rPr>
          <w:rFonts w:asciiTheme="majorEastAsia" w:hAnsiTheme="majorEastAsia" w:eastAsiaTheme="majorEastAsia"/>
          <w:color w:val="0C0C0C" w:themeColor="text1" w:themeTint="F2"/>
          <w:sz w:val="52"/>
          <w:szCs w:val="52"/>
        </w:rPr>
      </w:pPr>
    </w:p>
    <w:p>
      <w:pPr>
        <w:jc w:val="center"/>
        <w:rPr>
          <w:rFonts w:asciiTheme="majorEastAsia" w:hAnsiTheme="majorEastAsia" w:eastAsiaTheme="majorEastAsia"/>
          <w:color w:val="0C0C0C" w:themeColor="text1" w:themeTint="F2"/>
          <w:sz w:val="52"/>
          <w:szCs w:val="52"/>
        </w:rPr>
      </w:pPr>
    </w:p>
    <w:p>
      <w:pPr>
        <w:jc w:val="center"/>
        <w:rPr>
          <w:rFonts w:asciiTheme="majorEastAsia" w:hAnsiTheme="majorEastAsia" w:eastAsiaTheme="majorEastAsia"/>
          <w:color w:val="0C0C0C" w:themeColor="text1" w:themeTint="F2"/>
          <w:sz w:val="52"/>
          <w:szCs w:val="52"/>
        </w:rPr>
      </w:pPr>
      <w:r>
        <w:rPr>
          <w:rFonts w:hint="eastAsia" w:asciiTheme="majorEastAsia" w:hAnsiTheme="majorEastAsia" w:eastAsiaTheme="majorEastAsia"/>
          <w:color w:val="0C0C0C" w:themeColor="text1" w:themeTint="F2"/>
          <w:sz w:val="52"/>
          <w:szCs w:val="52"/>
        </w:rPr>
        <w:t>投标文件</w:t>
      </w:r>
    </w:p>
    <w:p>
      <w:pPr>
        <w:overflowPunct w:val="0"/>
        <w:autoSpaceDE w:val="0"/>
        <w:autoSpaceDN w:val="0"/>
        <w:adjustRightInd w:val="0"/>
        <w:ind w:left="-794" w:right="-794"/>
        <w:jc w:val="center"/>
        <w:rPr>
          <w:rFonts w:asciiTheme="majorEastAsia" w:hAnsiTheme="majorEastAsia" w:eastAsiaTheme="majorEastAsia"/>
          <w:color w:val="0C0C0C" w:themeColor="text1" w:themeTint="F2"/>
          <w:kern w:val="0"/>
          <w:sz w:val="36"/>
          <w:szCs w:val="36"/>
        </w:rPr>
      </w:pPr>
      <w:r>
        <w:rPr>
          <w:rFonts w:hint="eastAsia" w:asciiTheme="majorEastAsia" w:hAnsiTheme="majorEastAsia" w:eastAsiaTheme="majorEastAsia"/>
          <w:color w:val="0C0C0C" w:themeColor="text1" w:themeTint="F2"/>
          <w:kern w:val="0"/>
          <w:sz w:val="36"/>
          <w:szCs w:val="36"/>
        </w:rPr>
        <w:t>（商务技术标文件）</w:t>
      </w:r>
    </w:p>
    <w:p>
      <w:pPr>
        <w:jc w:val="center"/>
        <w:rPr>
          <w:rFonts w:asciiTheme="majorEastAsia" w:hAnsiTheme="majorEastAsia" w:eastAsiaTheme="majorEastAsia"/>
          <w:color w:val="0C0C0C" w:themeColor="text1" w:themeTint="F2"/>
          <w:sz w:val="72"/>
        </w:rPr>
      </w:pPr>
    </w:p>
    <w:p>
      <w:pPr>
        <w:jc w:val="center"/>
        <w:rPr>
          <w:rFonts w:asciiTheme="majorEastAsia" w:hAnsiTheme="majorEastAsia" w:eastAsiaTheme="majorEastAsia"/>
          <w:color w:val="0C0C0C" w:themeColor="text1" w:themeTint="F2"/>
          <w:sz w:val="72"/>
        </w:rPr>
      </w:pPr>
    </w:p>
    <w:p>
      <w:pPr>
        <w:jc w:val="center"/>
        <w:rPr>
          <w:rFonts w:asciiTheme="majorEastAsia" w:hAnsiTheme="majorEastAsia" w:eastAsiaTheme="majorEastAsia"/>
          <w:color w:val="0C0C0C" w:themeColor="text1" w:themeTint="F2"/>
          <w:sz w:val="36"/>
        </w:rPr>
      </w:pPr>
    </w:p>
    <w:p>
      <w:pPr>
        <w:jc w:val="center"/>
        <w:rPr>
          <w:rFonts w:asciiTheme="majorEastAsia" w:hAnsiTheme="majorEastAsia" w:eastAsiaTheme="majorEastAsia"/>
          <w:color w:val="0C0C0C" w:themeColor="text1" w:themeTint="F2"/>
          <w:sz w:val="36"/>
        </w:rPr>
      </w:pPr>
    </w:p>
    <w:p>
      <w:pPr>
        <w:ind w:firstLine="1080" w:firstLineChars="300"/>
        <w:rPr>
          <w:rFonts w:asciiTheme="majorEastAsia" w:hAnsiTheme="majorEastAsia" w:eastAsiaTheme="majorEastAsia"/>
          <w:color w:val="0C0C0C" w:themeColor="text1" w:themeTint="F2"/>
          <w:sz w:val="36"/>
        </w:rPr>
      </w:pPr>
      <w:r>
        <w:rPr>
          <w:rFonts w:hint="eastAsia" w:asciiTheme="majorEastAsia" w:hAnsiTheme="majorEastAsia" w:eastAsiaTheme="majorEastAsia"/>
          <w:color w:val="0C0C0C" w:themeColor="text1" w:themeTint="F2"/>
          <w:sz w:val="36"/>
        </w:rPr>
        <w:t>项目名称：</w:t>
      </w:r>
    </w:p>
    <w:p>
      <w:pPr>
        <w:ind w:firstLine="1080" w:firstLineChars="300"/>
        <w:rPr>
          <w:rFonts w:asciiTheme="majorEastAsia" w:hAnsiTheme="majorEastAsia" w:eastAsiaTheme="majorEastAsia"/>
          <w:color w:val="0C0C0C" w:themeColor="text1" w:themeTint="F2"/>
          <w:sz w:val="36"/>
          <w:u w:val="single"/>
        </w:rPr>
      </w:pPr>
      <w:r>
        <w:rPr>
          <w:rFonts w:hint="eastAsia" w:asciiTheme="majorEastAsia" w:hAnsiTheme="majorEastAsia" w:eastAsiaTheme="majorEastAsia"/>
          <w:color w:val="0C0C0C" w:themeColor="text1" w:themeTint="F2"/>
          <w:sz w:val="36"/>
        </w:rPr>
        <w:t>采购人名称：</w:t>
      </w:r>
    </w:p>
    <w:p>
      <w:pPr>
        <w:rPr>
          <w:rFonts w:asciiTheme="majorEastAsia" w:hAnsiTheme="majorEastAsia" w:eastAsiaTheme="majorEastAsia"/>
          <w:color w:val="0C0C0C" w:themeColor="text1" w:themeTint="F2"/>
          <w:sz w:val="36"/>
          <w:u w:val="single"/>
        </w:rPr>
      </w:pPr>
      <w:r>
        <w:rPr>
          <w:rFonts w:hint="eastAsia" w:asciiTheme="majorEastAsia" w:hAnsiTheme="majorEastAsia" w:eastAsiaTheme="majorEastAsia"/>
          <w:color w:val="0C0C0C" w:themeColor="text1" w:themeTint="F2"/>
          <w:sz w:val="36"/>
        </w:rPr>
        <w:t xml:space="preserve">      投标人名称 ：</w:t>
      </w:r>
    </w:p>
    <w:p>
      <w:pPr>
        <w:rPr>
          <w:rFonts w:asciiTheme="majorEastAsia" w:hAnsiTheme="majorEastAsia" w:eastAsiaTheme="majorEastAsia"/>
          <w:color w:val="0C0C0C" w:themeColor="text1" w:themeTint="F2"/>
          <w:sz w:val="36"/>
        </w:rPr>
      </w:pPr>
      <w:r>
        <w:rPr>
          <w:rFonts w:hint="eastAsia" w:asciiTheme="majorEastAsia" w:hAnsiTheme="majorEastAsia" w:eastAsiaTheme="majorEastAsia"/>
          <w:color w:val="0C0C0C" w:themeColor="text1" w:themeTint="F2"/>
          <w:sz w:val="36"/>
        </w:rPr>
        <w:t xml:space="preserve">      日      期 ：</w:t>
      </w:r>
    </w:p>
    <w:p>
      <w:pPr>
        <w:keepNext/>
        <w:keepLines/>
        <w:spacing w:before="100" w:line="400" w:lineRule="exact"/>
        <w:outlineLvl w:val="1"/>
        <w:rPr>
          <w:rFonts w:ascii="方正黑体_GBK" w:hAnsi="方正黑体_GBK" w:eastAsia="方正黑体_GBK" w:cs="方正黑体_GBK"/>
          <w:color w:val="0C0C0C" w:themeColor="text1" w:themeTint="F2"/>
          <w:sz w:val="28"/>
          <w:szCs w:val="28"/>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keepNext/>
        <w:keepLines/>
        <w:jc w:val="center"/>
        <w:outlineLvl w:val="1"/>
        <w:rPr>
          <w:rFonts w:asciiTheme="majorEastAsia" w:hAnsiTheme="majorEastAsia" w:eastAsiaTheme="majorEastAsia"/>
          <w:b/>
          <w:bCs/>
          <w:color w:val="0C0C0C" w:themeColor="text1" w:themeTint="F2"/>
          <w:sz w:val="44"/>
          <w:szCs w:val="44"/>
        </w:rPr>
      </w:pPr>
    </w:p>
    <w:p>
      <w:pPr>
        <w:keepNext/>
        <w:keepLines/>
        <w:jc w:val="center"/>
        <w:outlineLvl w:val="1"/>
        <w:rPr>
          <w:rFonts w:asciiTheme="majorEastAsia" w:hAnsiTheme="majorEastAsia" w:eastAsiaTheme="majorEastAsia"/>
          <w:b/>
          <w:bCs/>
          <w:color w:val="0C0C0C" w:themeColor="text1" w:themeTint="F2"/>
          <w:sz w:val="44"/>
          <w:szCs w:val="44"/>
        </w:rPr>
      </w:pPr>
      <w:r>
        <w:rPr>
          <w:rFonts w:hint="eastAsia" w:asciiTheme="majorEastAsia" w:hAnsiTheme="majorEastAsia" w:eastAsiaTheme="majorEastAsia"/>
          <w:b/>
          <w:bCs/>
          <w:color w:val="0C0C0C" w:themeColor="text1" w:themeTint="F2"/>
          <w:sz w:val="44"/>
          <w:szCs w:val="44"/>
        </w:rPr>
        <w:t>目录</w:t>
      </w:r>
    </w:p>
    <w:p>
      <w:pPr>
        <w:keepNext/>
        <w:keepLines/>
        <w:spacing w:before="100" w:line="400" w:lineRule="exact"/>
        <w:jc w:val="center"/>
        <w:outlineLvl w:val="1"/>
        <w:rPr>
          <w:rFonts w:asciiTheme="majorEastAsia" w:hAnsiTheme="majorEastAsia" w:eastAsiaTheme="majorEastAsia"/>
          <w:color w:val="0C0C0C" w:themeColor="text1" w:themeTint="F2"/>
        </w:rPr>
      </w:pP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一、保洁力量配置</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二、保洁区域划分</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三、作业时间</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四、重点河段、时段保洁方案</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五、综合协调方案</w:t>
      </w: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六、安全管理方案</w:t>
      </w:r>
    </w:p>
    <w:p>
      <w:pPr>
        <w:spacing w:line="400" w:lineRule="exact"/>
        <w:ind w:firstLine="480" w:firstLineChars="200"/>
        <w:rPr>
          <w:rFonts w:ascii="方正黑体_GBK" w:hAnsi="方正黑体_GBK" w:eastAsia="方正黑体_GBK" w:cs="方正黑体_GBK"/>
          <w:color w:val="0C0C0C" w:themeColor="text1" w:themeTint="F2"/>
          <w:sz w:val="28"/>
          <w:szCs w:val="28"/>
        </w:rPr>
      </w:pPr>
      <w:r>
        <w:rPr>
          <w:rFonts w:hint="eastAsia" w:asciiTheme="majorEastAsia" w:hAnsiTheme="majorEastAsia" w:eastAsiaTheme="majorEastAsia"/>
          <w:color w:val="0C0C0C" w:themeColor="text1" w:themeTint="F2"/>
          <w:sz w:val="24"/>
          <w:szCs w:val="24"/>
        </w:rPr>
        <w:t>七、类似服务案例</w:t>
      </w: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spacing w:line="360" w:lineRule="auto"/>
        <w:jc w:val="center"/>
        <w:rPr>
          <w:rFonts w:asciiTheme="majorEastAsia" w:hAnsiTheme="majorEastAsia" w:eastAsiaTheme="majorEastAsia"/>
          <w:color w:val="0C0C0C" w:themeColor="text1" w:themeTint="F2"/>
          <w:sz w:val="44"/>
          <w:szCs w:val="44"/>
        </w:rPr>
      </w:pPr>
      <w:r>
        <w:rPr>
          <w:rFonts w:hint="eastAsia" w:asciiTheme="majorEastAsia" w:hAnsiTheme="majorEastAsia" w:eastAsiaTheme="majorEastAsia"/>
          <w:color w:val="0C0C0C" w:themeColor="text1" w:themeTint="F2"/>
          <w:sz w:val="44"/>
          <w:szCs w:val="44"/>
        </w:rPr>
        <w:t>南通市通州区区管河道保洁服务</w:t>
      </w:r>
    </w:p>
    <w:p>
      <w:pPr>
        <w:spacing w:line="360" w:lineRule="auto"/>
        <w:jc w:val="center"/>
        <w:rPr>
          <w:rFonts w:asciiTheme="majorEastAsia" w:hAnsiTheme="majorEastAsia" w:eastAsiaTheme="majorEastAsia"/>
          <w:color w:val="0C0C0C" w:themeColor="text1" w:themeTint="F2"/>
          <w:sz w:val="44"/>
          <w:szCs w:val="44"/>
        </w:rPr>
      </w:pPr>
      <w:r>
        <w:rPr>
          <w:rFonts w:hint="eastAsia" w:asciiTheme="majorEastAsia" w:hAnsiTheme="majorEastAsia" w:eastAsiaTheme="majorEastAsia"/>
          <w:color w:val="0C0C0C" w:themeColor="text1" w:themeTint="F2"/>
          <w:sz w:val="44"/>
          <w:szCs w:val="44"/>
        </w:rPr>
        <w:t>（2022-2025年）</w:t>
      </w:r>
    </w:p>
    <w:p>
      <w:pPr>
        <w:jc w:val="center"/>
        <w:rPr>
          <w:rFonts w:asciiTheme="majorEastAsia" w:hAnsiTheme="majorEastAsia" w:eastAsiaTheme="majorEastAsia"/>
          <w:color w:val="0C0C0C" w:themeColor="text1" w:themeTint="F2"/>
          <w:sz w:val="52"/>
          <w:szCs w:val="52"/>
        </w:rPr>
      </w:pPr>
    </w:p>
    <w:p>
      <w:pPr>
        <w:jc w:val="center"/>
        <w:rPr>
          <w:rFonts w:asciiTheme="majorEastAsia" w:hAnsiTheme="majorEastAsia" w:eastAsiaTheme="majorEastAsia"/>
          <w:color w:val="0C0C0C" w:themeColor="text1" w:themeTint="F2"/>
          <w:sz w:val="52"/>
          <w:szCs w:val="52"/>
        </w:rPr>
      </w:pPr>
    </w:p>
    <w:p>
      <w:pPr>
        <w:jc w:val="center"/>
        <w:rPr>
          <w:rFonts w:asciiTheme="majorEastAsia" w:hAnsiTheme="majorEastAsia" w:eastAsiaTheme="majorEastAsia"/>
          <w:color w:val="0C0C0C" w:themeColor="text1" w:themeTint="F2"/>
          <w:sz w:val="52"/>
          <w:szCs w:val="52"/>
        </w:rPr>
      </w:pPr>
      <w:r>
        <w:rPr>
          <w:rFonts w:hint="eastAsia" w:asciiTheme="majorEastAsia" w:hAnsiTheme="majorEastAsia" w:eastAsiaTheme="majorEastAsia"/>
          <w:color w:val="0C0C0C" w:themeColor="text1" w:themeTint="F2"/>
          <w:sz w:val="52"/>
          <w:szCs w:val="52"/>
        </w:rPr>
        <w:t>投标文件</w:t>
      </w:r>
    </w:p>
    <w:p>
      <w:pPr>
        <w:overflowPunct w:val="0"/>
        <w:autoSpaceDE w:val="0"/>
        <w:autoSpaceDN w:val="0"/>
        <w:adjustRightInd w:val="0"/>
        <w:ind w:left="-794" w:right="-794"/>
        <w:jc w:val="center"/>
        <w:rPr>
          <w:rFonts w:asciiTheme="majorEastAsia" w:hAnsiTheme="majorEastAsia" w:eastAsiaTheme="majorEastAsia"/>
          <w:color w:val="0C0C0C" w:themeColor="text1" w:themeTint="F2"/>
          <w:kern w:val="0"/>
          <w:sz w:val="36"/>
          <w:szCs w:val="36"/>
        </w:rPr>
      </w:pPr>
      <w:r>
        <w:rPr>
          <w:rFonts w:hint="eastAsia" w:asciiTheme="majorEastAsia" w:hAnsiTheme="majorEastAsia" w:eastAsiaTheme="majorEastAsia"/>
          <w:color w:val="0C0C0C" w:themeColor="text1" w:themeTint="F2"/>
          <w:kern w:val="0"/>
          <w:sz w:val="36"/>
          <w:szCs w:val="36"/>
        </w:rPr>
        <w:t>（X标段价格标文件）</w:t>
      </w:r>
    </w:p>
    <w:p>
      <w:pPr>
        <w:jc w:val="center"/>
        <w:rPr>
          <w:rFonts w:asciiTheme="majorEastAsia" w:hAnsiTheme="majorEastAsia" w:eastAsiaTheme="majorEastAsia"/>
          <w:color w:val="0C0C0C" w:themeColor="text1" w:themeTint="F2"/>
          <w:sz w:val="72"/>
        </w:rPr>
      </w:pPr>
    </w:p>
    <w:p>
      <w:pPr>
        <w:jc w:val="center"/>
        <w:rPr>
          <w:rFonts w:asciiTheme="majorEastAsia" w:hAnsiTheme="majorEastAsia" w:eastAsiaTheme="majorEastAsia"/>
          <w:color w:val="0C0C0C" w:themeColor="text1" w:themeTint="F2"/>
          <w:sz w:val="72"/>
        </w:rPr>
      </w:pPr>
    </w:p>
    <w:p>
      <w:pPr>
        <w:jc w:val="center"/>
        <w:rPr>
          <w:rFonts w:asciiTheme="majorEastAsia" w:hAnsiTheme="majorEastAsia" w:eastAsiaTheme="majorEastAsia"/>
          <w:color w:val="0C0C0C" w:themeColor="text1" w:themeTint="F2"/>
          <w:sz w:val="36"/>
        </w:rPr>
      </w:pPr>
    </w:p>
    <w:p>
      <w:pPr>
        <w:jc w:val="center"/>
        <w:rPr>
          <w:rFonts w:asciiTheme="majorEastAsia" w:hAnsiTheme="majorEastAsia" w:eastAsiaTheme="majorEastAsia"/>
          <w:color w:val="0C0C0C" w:themeColor="text1" w:themeTint="F2"/>
          <w:sz w:val="36"/>
        </w:rPr>
      </w:pPr>
    </w:p>
    <w:p>
      <w:pPr>
        <w:ind w:firstLine="1080" w:firstLineChars="300"/>
        <w:rPr>
          <w:rFonts w:asciiTheme="majorEastAsia" w:hAnsiTheme="majorEastAsia" w:eastAsiaTheme="majorEastAsia"/>
          <w:color w:val="0C0C0C" w:themeColor="text1" w:themeTint="F2"/>
          <w:sz w:val="36"/>
        </w:rPr>
      </w:pPr>
      <w:r>
        <w:rPr>
          <w:rFonts w:hint="eastAsia" w:asciiTheme="majorEastAsia" w:hAnsiTheme="majorEastAsia" w:eastAsiaTheme="majorEastAsia"/>
          <w:color w:val="0C0C0C" w:themeColor="text1" w:themeTint="F2"/>
          <w:sz w:val="36"/>
        </w:rPr>
        <w:t>项目名称：</w:t>
      </w:r>
    </w:p>
    <w:p>
      <w:pPr>
        <w:ind w:firstLine="1080" w:firstLineChars="300"/>
        <w:rPr>
          <w:rFonts w:asciiTheme="majorEastAsia" w:hAnsiTheme="majorEastAsia" w:eastAsiaTheme="majorEastAsia"/>
          <w:color w:val="0C0C0C" w:themeColor="text1" w:themeTint="F2"/>
          <w:sz w:val="36"/>
          <w:u w:val="single"/>
        </w:rPr>
      </w:pPr>
      <w:r>
        <w:rPr>
          <w:rFonts w:hint="eastAsia" w:asciiTheme="majorEastAsia" w:hAnsiTheme="majorEastAsia" w:eastAsiaTheme="majorEastAsia"/>
          <w:color w:val="0C0C0C" w:themeColor="text1" w:themeTint="F2"/>
          <w:sz w:val="36"/>
        </w:rPr>
        <w:t>采购人名称：</w:t>
      </w:r>
    </w:p>
    <w:p>
      <w:pPr>
        <w:rPr>
          <w:rFonts w:asciiTheme="majorEastAsia" w:hAnsiTheme="majorEastAsia" w:eastAsiaTheme="majorEastAsia"/>
          <w:color w:val="0C0C0C" w:themeColor="text1" w:themeTint="F2"/>
          <w:sz w:val="36"/>
          <w:u w:val="single"/>
        </w:rPr>
      </w:pPr>
      <w:r>
        <w:rPr>
          <w:rFonts w:hint="eastAsia" w:asciiTheme="majorEastAsia" w:hAnsiTheme="majorEastAsia" w:eastAsiaTheme="majorEastAsia"/>
          <w:color w:val="0C0C0C" w:themeColor="text1" w:themeTint="F2"/>
          <w:sz w:val="36"/>
        </w:rPr>
        <w:t xml:space="preserve">      投标人名称 ：</w:t>
      </w:r>
    </w:p>
    <w:p>
      <w:pPr>
        <w:rPr>
          <w:rFonts w:asciiTheme="majorEastAsia" w:hAnsiTheme="majorEastAsia" w:eastAsiaTheme="majorEastAsia"/>
          <w:color w:val="0C0C0C" w:themeColor="text1" w:themeTint="F2"/>
          <w:sz w:val="36"/>
        </w:rPr>
      </w:pPr>
      <w:r>
        <w:rPr>
          <w:rFonts w:hint="eastAsia" w:asciiTheme="majorEastAsia" w:hAnsiTheme="majorEastAsia" w:eastAsiaTheme="majorEastAsia"/>
          <w:color w:val="0C0C0C" w:themeColor="text1" w:themeTint="F2"/>
          <w:sz w:val="36"/>
        </w:rPr>
        <w:t xml:space="preserve">      日      期 ：</w:t>
      </w:r>
    </w:p>
    <w:p>
      <w:pPr>
        <w:keepNext/>
        <w:keepLines/>
        <w:spacing w:before="100" w:line="400" w:lineRule="exact"/>
        <w:outlineLvl w:val="1"/>
        <w:rPr>
          <w:rFonts w:ascii="方正黑体_GBK" w:hAnsi="方正黑体_GBK" w:eastAsia="方正黑体_GBK" w:cs="方正黑体_GBK"/>
          <w:color w:val="0C0C0C" w:themeColor="text1" w:themeTint="F2"/>
          <w:sz w:val="28"/>
          <w:szCs w:val="28"/>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keepNext/>
        <w:keepLines/>
        <w:jc w:val="center"/>
        <w:outlineLvl w:val="1"/>
        <w:rPr>
          <w:rFonts w:asciiTheme="majorEastAsia" w:hAnsiTheme="majorEastAsia" w:eastAsiaTheme="majorEastAsia"/>
          <w:b/>
          <w:bCs/>
          <w:color w:val="0C0C0C" w:themeColor="text1" w:themeTint="F2"/>
          <w:sz w:val="44"/>
          <w:szCs w:val="44"/>
        </w:rPr>
      </w:pPr>
    </w:p>
    <w:p>
      <w:pPr>
        <w:keepNext/>
        <w:keepLines/>
        <w:jc w:val="center"/>
        <w:outlineLvl w:val="1"/>
        <w:rPr>
          <w:rFonts w:asciiTheme="majorEastAsia" w:hAnsiTheme="majorEastAsia" w:eastAsiaTheme="majorEastAsia"/>
          <w:b/>
          <w:bCs/>
          <w:color w:val="0C0C0C" w:themeColor="text1" w:themeTint="F2"/>
          <w:sz w:val="44"/>
          <w:szCs w:val="44"/>
        </w:rPr>
      </w:pPr>
      <w:r>
        <w:rPr>
          <w:rFonts w:hint="eastAsia" w:asciiTheme="majorEastAsia" w:hAnsiTheme="majorEastAsia" w:eastAsiaTheme="majorEastAsia"/>
          <w:b/>
          <w:bCs/>
          <w:color w:val="0C0C0C" w:themeColor="text1" w:themeTint="F2"/>
          <w:sz w:val="44"/>
          <w:szCs w:val="44"/>
        </w:rPr>
        <w:t>目录</w:t>
      </w:r>
    </w:p>
    <w:p>
      <w:pPr>
        <w:keepNext/>
        <w:keepLines/>
        <w:spacing w:before="100" w:line="400" w:lineRule="exact"/>
        <w:jc w:val="center"/>
        <w:outlineLvl w:val="1"/>
        <w:rPr>
          <w:rFonts w:asciiTheme="majorEastAsia" w:hAnsiTheme="majorEastAsia" w:eastAsiaTheme="majorEastAsia"/>
          <w:color w:val="0C0C0C" w:themeColor="text1" w:themeTint="F2"/>
        </w:rPr>
      </w:pPr>
    </w:p>
    <w:p>
      <w:pPr>
        <w:spacing w:line="400" w:lineRule="exact"/>
        <w:ind w:firstLine="480" w:firstLineChars="2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一、报价函</w:t>
      </w:r>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二、中小企业声明函（如符合</w:t>
      </w:r>
      <w:r>
        <w:rPr>
          <w:rFonts w:asciiTheme="majorEastAsia" w:hAnsiTheme="majorEastAsia" w:eastAsiaTheme="majorEastAsia"/>
          <w:bCs/>
          <w:color w:val="0C0C0C" w:themeColor="text1" w:themeTint="F2"/>
          <w:sz w:val="24"/>
          <w:szCs w:val="24"/>
        </w:rPr>
        <w:t>小型和微型企业</w:t>
      </w:r>
      <w:r>
        <w:rPr>
          <w:rFonts w:hint="eastAsia" w:asciiTheme="majorEastAsia" w:hAnsiTheme="majorEastAsia" w:eastAsiaTheme="majorEastAsia"/>
          <w:bCs/>
          <w:color w:val="0C0C0C" w:themeColor="text1" w:themeTint="F2"/>
          <w:sz w:val="24"/>
          <w:szCs w:val="24"/>
        </w:rPr>
        <w:t>的需提供）</w:t>
      </w:r>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三、监狱企业证明函（如符合</w:t>
      </w:r>
      <w:r>
        <w:rPr>
          <w:rFonts w:asciiTheme="majorEastAsia" w:hAnsiTheme="majorEastAsia" w:eastAsiaTheme="majorEastAsia"/>
          <w:bCs/>
          <w:color w:val="0C0C0C" w:themeColor="text1" w:themeTint="F2"/>
          <w:sz w:val="24"/>
          <w:szCs w:val="24"/>
        </w:rPr>
        <w:t>监狱企业</w:t>
      </w:r>
      <w:r>
        <w:rPr>
          <w:rFonts w:hint="eastAsia" w:asciiTheme="majorEastAsia" w:hAnsiTheme="majorEastAsia" w:eastAsiaTheme="majorEastAsia"/>
          <w:bCs/>
          <w:color w:val="0C0C0C" w:themeColor="text1" w:themeTint="F2"/>
          <w:sz w:val="24"/>
          <w:szCs w:val="24"/>
        </w:rPr>
        <w:t>的需提供）</w:t>
      </w:r>
    </w:p>
    <w:p>
      <w:pPr>
        <w:spacing w:line="400" w:lineRule="exact"/>
        <w:ind w:firstLine="480" w:firstLineChars="200"/>
        <w:rPr>
          <w:rFonts w:asciiTheme="majorEastAsia" w:hAnsiTheme="majorEastAsia" w:eastAsiaTheme="majorEastAsia"/>
          <w:bCs/>
          <w:color w:val="0C0C0C" w:themeColor="text1" w:themeTint="F2"/>
          <w:sz w:val="24"/>
          <w:szCs w:val="24"/>
        </w:rPr>
      </w:pPr>
      <w:r>
        <w:rPr>
          <w:rFonts w:hint="eastAsia" w:asciiTheme="majorEastAsia" w:hAnsiTheme="majorEastAsia" w:eastAsiaTheme="majorEastAsia"/>
          <w:bCs/>
          <w:color w:val="0C0C0C" w:themeColor="text1" w:themeTint="F2"/>
          <w:sz w:val="24"/>
          <w:szCs w:val="24"/>
        </w:rPr>
        <w:t>四、残疾人福利性单位声明函（如符合</w:t>
      </w:r>
      <w:r>
        <w:rPr>
          <w:rFonts w:asciiTheme="majorEastAsia" w:hAnsiTheme="majorEastAsia" w:eastAsiaTheme="majorEastAsia"/>
          <w:bCs/>
          <w:color w:val="0C0C0C" w:themeColor="text1" w:themeTint="F2"/>
          <w:sz w:val="24"/>
          <w:szCs w:val="24"/>
        </w:rPr>
        <w:t>残疾人福利性单位</w:t>
      </w:r>
      <w:r>
        <w:rPr>
          <w:rFonts w:hint="eastAsia" w:asciiTheme="majorEastAsia" w:hAnsiTheme="majorEastAsia" w:eastAsiaTheme="majorEastAsia"/>
          <w:bCs/>
          <w:color w:val="0C0C0C" w:themeColor="text1" w:themeTint="F2"/>
          <w:sz w:val="24"/>
          <w:szCs w:val="24"/>
        </w:rPr>
        <w:t>的需提供）</w:t>
      </w: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pStyle w:val="2"/>
        <w:rPr>
          <w:rFonts w:ascii="方正黑体_GBK" w:hAnsi="方正黑体_GBK" w:eastAsia="方正黑体_GBK" w:cs="方正黑体_GBK"/>
          <w:color w:val="0C0C0C" w:themeColor="text1" w:themeTint="F2"/>
        </w:rPr>
      </w:pPr>
    </w:p>
    <w:p>
      <w:pPr>
        <w:keepNext/>
        <w:keepLines/>
        <w:spacing w:before="100" w:line="400" w:lineRule="exact"/>
        <w:outlineLvl w:val="1"/>
        <w:rPr>
          <w:rFonts w:ascii="方正黑体_GBK" w:hAnsi="方正黑体_GBK" w:eastAsia="方正黑体_GBK" w:cs="方正黑体_GBK"/>
          <w:color w:val="0C0C0C" w:themeColor="text1" w:themeTint="F2"/>
          <w:sz w:val="28"/>
          <w:szCs w:val="28"/>
        </w:rPr>
      </w:pPr>
      <w:r>
        <w:rPr>
          <w:rFonts w:hint="eastAsia" w:ascii="方正黑体_GBK" w:hAnsi="方正黑体_GBK" w:eastAsia="方正黑体_GBK" w:cs="方正黑体_GBK"/>
          <w:color w:val="0C0C0C" w:themeColor="text1" w:themeTint="F2"/>
          <w:sz w:val="28"/>
          <w:szCs w:val="28"/>
        </w:rPr>
        <w:t>相关材料格式</w:t>
      </w:r>
    </w:p>
    <w:p>
      <w:pPr>
        <w:keepNext/>
        <w:keepLines/>
        <w:spacing w:before="100" w:line="400" w:lineRule="exact"/>
        <w:jc w:val="center"/>
        <w:outlineLvl w:val="1"/>
        <w:rPr>
          <w:rFonts w:asciiTheme="majorEastAsia" w:hAnsiTheme="majorEastAsia" w:eastAsiaTheme="majorEastAsia"/>
          <w:color w:val="0C0C0C" w:themeColor="text1" w:themeTint="F2"/>
        </w:rPr>
      </w:pPr>
    </w:p>
    <w:p>
      <w:pPr>
        <w:keepNext/>
        <w:keepLines/>
        <w:spacing w:before="100" w:line="400" w:lineRule="exact"/>
        <w:jc w:val="center"/>
        <w:outlineLvl w:val="1"/>
        <w:rPr>
          <w:rFonts w:cs="宋体" w:asciiTheme="majorEastAsia" w:hAnsiTheme="majorEastAsia" w:eastAsiaTheme="majorEastAsia"/>
          <w:color w:val="0C0C0C" w:themeColor="text1" w:themeTint="F2"/>
          <w:sz w:val="28"/>
          <w:szCs w:val="20"/>
        </w:rPr>
      </w:pPr>
      <w:r>
        <w:rPr>
          <w:rFonts w:hint="eastAsia" w:asciiTheme="majorEastAsia" w:hAnsiTheme="majorEastAsia" w:eastAsiaTheme="majorEastAsia"/>
          <w:color w:val="0C0C0C" w:themeColor="text1" w:themeTint="F2"/>
        </w:rPr>
        <w:t>一、</w:t>
      </w:r>
      <w:r>
        <w:rPr>
          <w:rFonts w:hint="eastAsia" w:cs="宋体" w:asciiTheme="majorEastAsia" w:hAnsiTheme="majorEastAsia" w:eastAsiaTheme="majorEastAsia"/>
          <w:color w:val="0C0C0C" w:themeColor="text1" w:themeTint="F2"/>
          <w:sz w:val="28"/>
          <w:szCs w:val="20"/>
        </w:rPr>
        <w:t>法定代表人身份证明书</w:t>
      </w:r>
    </w:p>
    <w:p>
      <w:pPr>
        <w:spacing w:line="400" w:lineRule="exact"/>
        <w:ind w:firstLine="600" w:firstLineChars="250"/>
        <w:rPr>
          <w:rFonts w:asciiTheme="majorEastAsia" w:hAnsiTheme="majorEastAsia" w:eastAsiaTheme="majorEastAsia"/>
          <w:color w:val="0C0C0C" w:themeColor="text1" w:themeTint="F2"/>
          <w:sz w:val="24"/>
          <w:szCs w:val="24"/>
        </w:rPr>
      </w:pPr>
      <w:r>
        <w:rPr>
          <w:rFonts w:asciiTheme="majorEastAsia" w:hAnsiTheme="majorEastAsia" w:eastAsiaTheme="majorEastAsia"/>
          <w:color w:val="0C0C0C" w:themeColor="text1" w:themeTint="F2"/>
          <w:sz w:val="24"/>
          <w:szCs w:val="24"/>
        </w:rPr>
        <w:t>投 标 人：</w:t>
      </w:r>
    </w:p>
    <w:p>
      <w:pPr>
        <w:spacing w:line="400" w:lineRule="exact"/>
        <w:ind w:firstLine="600" w:firstLineChars="250"/>
        <w:rPr>
          <w:rFonts w:asciiTheme="majorEastAsia" w:hAnsiTheme="majorEastAsia" w:eastAsiaTheme="majorEastAsia"/>
          <w:color w:val="0C0C0C" w:themeColor="text1" w:themeTint="F2"/>
          <w:sz w:val="24"/>
          <w:szCs w:val="24"/>
        </w:rPr>
      </w:pPr>
      <w:r>
        <w:rPr>
          <w:rFonts w:asciiTheme="majorEastAsia" w:hAnsiTheme="majorEastAsia" w:eastAsiaTheme="majorEastAsia"/>
          <w:color w:val="0C0C0C" w:themeColor="text1" w:themeTint="F2"/>
          <w:sz w:val="24"/>
          <w:szCs w:val="24"/>
        </w:rPr>
        <w:t>单位性质：</w:t>
      </w:r>
    </w:p>
    <w:p>
      <w:pPr>
        <w:spacing w:line="400" w:lineRule="exact"/>
        <w:ind w:firstLine="600" w:firstLineChars="250"/>
        <w:rPr>
          <w:rFonts w:asciiTheme="majorEastAsia" w:hAnsiTheme="majorEastAsia" w:eastAsiaTheme="majorEastAsia"/>
          <w:color w:val="0C0C0C" w:themeColor="text1" w:themeTint="F2"/>
          <w:sz w:val="24"/>
          <w:szCs w:val="24"/>
        </w:rPr>
      </w:pPr>
      <w:r>
        <w:rPr>
          <w:rFonts w:asciiTheme="majorEastAsia" w:hAnsiTheme="majorEastAsia" w:eastAsiaTheme="majorEastAsia"/>
          <w:color w:val="0C0C0C" w:themeColor="text1" w:themeTint="F2"/>
          <w:sz w:val="24"/>
          <w:szCs w:val="24"/>
        </w:rPr>
        <w:t>地    址：</w:t>
      </w:r>
    </w:p>
    <w:p>
      <w:pPr>
        <w:spacing w:line="400" w:lineRule="exact"/>
        <w:ind w:firstLine="600" w:firstLineChars="250"/>
        <w:rPr>
          <w:rFonts w:asciiTheme="majorEastAsia" w:hAnsiTheme="majorEastAsia" w:eastAsiaTheme="majorEastAsia"/>
          <w:color w:val="0C0C0C" w:themeColor="text1" w:themeTint="F2"/>
          <w:sz w:val="24"/>
          <w:szCs w:val="24"/>
        </w:rPr>
      </w:pPr>
      <w:r>
        <w:rPr>
          <w:rFonts w:asciiTheme="majorEastAsia" w:hAnsiTheme="majorEastAsia" w:eastAsiaTheme="majorEastAsia"/>
          <w:color w:val="0C0C0C" w:themeColor="text1" w:themeTint="F2"/>
          <w:sz w:val="24"/>
          <w:szCs w:val="24"/>
        </w:rPr>
        <w:t>成立时间：</w:t>
      </w:r>
      <w:r>
        <w:rPr>
          <w:rFonts w:hint="eastAsia" w:asciiTheme="majorEastAsia" w:hAnsiTheme="majorEastAsia" w:eastAsiaTheme="majorEastAsia"/>
          <w:color w:val="0C0C0C" w:themeColor="text1" w:themeTint="F2"/>
          <w:sz w:val="24"/>
          <w:szCs w:val="24"/>
        </w:rPr>
        <w:t>　　　　　　　　　　　　　</w:t>
      </w:r>
      <w:r>
        <w:rPr>
          <w:rFonts w:asciiTheme="majorEastAsia" w:hAnsiTheme="majorEastAsia" w:eastAsiaTheme="majorEastAsia"/>
          <w:color w:val="0C0C0C" w:themeColor="text1" w:themeTint="F2"/>
          <w:sz w:val="24"/>
          <w:szCs w:val="24"/>
        </w:rPr>
        <w:t>年月日</w:t>
      </w:r>
    </w:p>
    <w:p>
      <w:pPr>
        <w:spacing w:line="400" w:lineRule="exact"/>
        <w:ind w:firstLine="600" w:firstLineChars="250"/>
        <w:rPr>
          <w:rFonts w:asciiTheme="majorEastAsia" w:hAnsiTheme="majorEastAsia" w:eastAsiaTheme="majorEastAsia"/>
          <w:color w:val="0C0C0C" w:themeColor="text1" w:themeTint="F2"/>
          <w:sz w:val="24"/>
          <w:szCs w:val="24"/>
        </w:rPr>
      </w:pPr>
      <w:r>
        <w:rPr>
          <w:rFonts w:asciiTheme="majorEastAsia" w:hAnsiTheme="majorEastAsia" w:eastAsiaTheme="majorEastAsia"/>
          <w:color w:val="0C0C0C" w:themeColor="text1" w:themeTint="F2"/>
          <w:sz w:val="24"/>
          <w:szCs w:val="24"/>
        </w:rPr>
        <w:t>经营期限：</w:t>
      </w:r>
    </w:p>
    <w:p>
      <w:pPr>
        <w:spacing w:line="400" w:lineRule="exact"/>
        <w:ind w:firstLine="600" w:firstLineChars="250"/>
        <w:rPr>
          <w:rFonts w:asciiTheme="majorEastAsia" w:hAnsiTheme="majorEastAsia" w:eastAsiaTheme="majorEastAsia"/>
          <w:color w:val="0C0C0C" w:themeColor="text1" w:themeTint="F2"/>
          <w:sz w:val="24"/>
          <w:szCs w:val="24"/>
        </w:rPr>
      </w:pPr>
      <w:r>
        <w:rPr>
          <w:rFonts w:asciiTheme="majorEastAsia" w:hAnsiTheme="majorEastAsia" w:eastAsiaTheme="majorEastAsia"/>
          <w:color w:val="0C0C0C" w:themeColor="text1" w:themeTint="F2"/>
          <w:sz w:val="24"/>
          <w:szCs w:val="24"/>
        </w:rPr>
        <w:t>姓    名：</w:t>
      </w:r>
      <w:r>
        <w:rPr>
          <w:rFonts w:hint="eastAsia" w:asciiTheme="majorEastAsia" w:hAnsiTheme="majorEastAsia" w:eastAsiaTheme="majorEastAsia"/>
          <w:color w:val="0C0C0C" w:themeColor="text1" w:themeTint="F2"/>
          <w:sz w:val="24"/>
          <w:szCs w:val="24"/>
        </w:rPr>
        <w:t>　　　　　　　　　　　　　</w:t>
      </w:r>
      <w:r>
        <w:rPr>
          <w:rFonts w:asciiTheme="majorEastAsia" w:hAnsiTheme="majorEastAsia" w:eastAsiaTheme="majorEastAsia"/>
          <w:color w:val="0C0C0C" w:themeColor="text1" w:themeTint="F2"/>
          <w:sz w:val="24"/>
          <w:szCs w:val="24"/>
        </w:rPr>
        <w:t>性     别：</w:t>
      </w:r>
    </w:p>
    <w:p>
      <w:pPr>
        <w:spacing w:line="400" w:lineRule="exact"/>
        <w:ind w:firstLine="600" w:firstLineChars="250"/>
        <w:rPr>
          <w:rFonts w:asciiTheme="majorEastAsia" w:hAnsiTheme="majorEastAsia" w:eastAsiaTheme="majorEastAsia"/>
          <w:color w:val="0C0C0C" w:themeColor="text1" w:themeTint="F2"/>
          <w:sz w:val="24"/>
          <w:szCs w:val="24"/>
        </w:rPr>
      </w:pPr>
      <w:r>
        <w:rPr>
          <w:rFonts w:asciiTheme="majorEastAsia" w:hAnsiTheme="majorEastAsia" w:eastAsiaTheme="majorEastAsia"/>
          <w:color w:val="0C0C0C" w:themeColor="text1" w:themeTint="F2"/>
          <w:sz w:val="24"/>
          <w:szCs w:val="24"/>
        </w:rPr>
        <w:t>年    龄：</w:t>
      </w:r>
      <w:r>
        <w:rPr>
          <w:rFonts w:hint="eastAsia" w:asciiTheme="majorEastAsia" w:hAnsiTheme="majorEastAsia" w:eastAsiaTheme="majorEastAsia"/>
          <w:color w:val="0C0C0C" w:themeColor="text1" w:themeTint="F2"/>
          <w:sz w:val="24"/>
          <w:szCs w:val="24"/>
        </w:rPr>
        <w:t>　　　　　　　　　　　　　</w:t>
      </w:r>
      <w:r>
        <w:rPr>
          <w:rFonts w:asciiTheme="majorEastAsia" w:hAnsiTheme="majorEastAsia" w:eastAsiaTheme="majorEastAsia"/>
          <w:color w:val="0C0C0C" w:themeColor="text1" w:themeTint="F2"/>
          <w:sz w:val="24"/>
          <w:szCs w:val="24"/>
        </w:rPr>
        <w:t>职     务：</w:t>
      </w:r>
    </w:p>
    <w:p>
      <w:pPr>
        <w:spacing w:line="400" w:lineRule="exact"/>
        <w:ind w:firstLine="600" w:firstLineChars="250"/>
        <w:rPr>
          <w:rFonts w:asciiTheme="majorEastAsia" w:hAnsiTheme="majorEastAsia" w:eastAsiaTheme="majorEastAsia"/>
          <w:color w:val="0C0C0C" w:themeColor="text1" w:themeTint="F2"/>
          <w:sz w:val="24"/>
          <w:szCs w:val="24"/>
        </w:rPr>
      </w:pPr>
      <w:r>
        <w:rPr>
          <w:rFonts w:asciiTheme="majorEastAsia" w:hAnsiTheme="majorEastAsia" w:eastAsiaTheme="majorEastAsia"/>
          <w:color w:val="0C0C0C" w:themeColor="text1" w:themeTint="F2"/>
          <w:sz w:val="24"/>
          <w:szCs w:val="24"/>
        </w:rPr>
        <w:t>系（投标人名称）的法定代表人。</w:t>
      </w:r>
    </w:p>
    <w:p>
      <w:pPr>
        <w:spacing w:line="400" w:lineRule="exact"/>
        <w:ind w:firstLine="600" w:firstLineChars="250"/>
        <w:rPr>
          <w:rFonts w:asciiTheme="majorEastAsia" w:hAnsiTheme="majorEastAsia" w:eastAsiaTheme="majorEastAsia"/>
          <w:color w:val="0C0C0C" w:themeColor="text1" w:themeTint="F2"/>
          <w:sz w:val="24"/>
          <w:szCs w:val="24"/>
        </w:rPr>
      </w:pPr>
      <w:r>
        <w:rPr>
          <w:rFonts w:asciiTheme="majorEastAsia" w:hAnsiTheme="majorEastAsia" w:eastAsiaTheme="majorEastAsia"/>
          <w:color w:val="0C0C0C" w:themeColor="text1" w:themeTint="F2"/>
          <w:sz w:val="24"/>
          <w:szCs w:val="24"/>
        </w:rPr>
        <w:t>特此证明。</w:t>
      </w:r>
    </w:p>
    <w:p>
      <w:pPr>
        <w:spacing w:line="400" w:lineRule="exact"/>
        <w:jc w:val="right"/>
        <w:rPr>
          <w:rFonts w:asciiTheme="majorEastAsia" w:hAnsiTheme="majorEastAsia" w:eastAsiaTheme="majorEastAsia"/>
          <w:color w:val="0C0C0C" w:themeColor="text1" w:themeTint="F2"/>
          <w:sz w:val="24"/>
          <w:szCs w:val="24"/>
        </w:rPr>
      </w:pPr>
      <w:r>
        <w:rPr>
          <w:rFonts w:asciiTheme="majorEastAsia" w:hAnsiTheme="majorEastAsia" w:eastAsiaTheme="majorEastAsia"/>
          <w:color w:val="0C0C0C" w:themeColor="text1" w:themeTint="F2"/>
          <w:sz w:val="24"/>
          <w:szCs w:val="24"/>
        </w:rPr>
        <w:t>投标人：（盖单位章）</w:t>
      </w:r>
    </w:p>
    <w:p>
      <w:pPr>
        <w:spacing w:line="400" w:lineRule="exact"/>
        <w:ind w:right="420"/>
        <w:jc w:val="right"/>
        <w:rPr>
          <w:rFonts w:asciiTheme="majorEastAsia" w:hAnsiTheme="majorEastAsia" w:eastAsiaTheme="majorEastAsia"/>
          <w:color w:val="0C0C0C" w:themeColor="text1" w:themeTint="F2"/>
          <w:sz w:val="24"/>
          <w:szCs w:val="24"/>
        </w:rPr>
      </w:pPr>
      <w:r>
        <w:rPr>
          <w:rFonts w:asciiTheme="majorEastAsia" w:hAnsiTheme="majorEastAsia" w:eastAsiaTheme="majorEastAsia"/>
          <w:color w:val="0C0C0C" w:themeColor="text1" w:themeTint="F2"/>
          <w:sz w:val="24"/>
          <w:szCs w:val="24"/>
        </w:rPr>
        <w:t>年</w:t>
      </w:r>
      <w:r>
        <w:rPr>
          <w:rFonts w:hint="eastAsia" w:asciiTheme="majorEastAsia" w:hAnsiTheme="majorEastAsia" w:eastAsiaTheme="majorEastAsia"/>
          <w:color w:val="0C0C0C" w:themeColor="text1" w:themeTint="F2"/>
          <w:sz w:val="24"/>
          <w:szCs w:val="24"/>
        </w:rPr>
        <w:t>　</w:t>
      </w:r>
      <w:r>
        <w:rPr>
          <w:rFonts w:asciiTheme="majorEastAsia" w:hAnsiTheme="majorEastAsia" w:eastAsiaTheme="majorEastAsia"/>
          <w:color w:val="0C0C0C" w:themeColor="text1" w:themeTint="F2"/>
          <w:sz w:val="24"/>
          <w:szCs w:val="24"/>
        </w:rPr>
        <w:t>月</w:t>
      </w:r>
      <w:r>
        <w:rPr>
          <w:rFonts w:hint="eastAsia" w:asciiTheme="majorEastAsia" w:hAnsiTheme="majorEastAsia" w:eastAsiaTheme="majorEastAsia"/>
          <w:color w:val="0C0C0C" w:themeColor="text1" w:themeTint="F2"/>
          <w:sz w:val="24"/>
          <w:szCs w:val="24"/>
        </w:rPr>
        <w:t>　</w:t>
      </w:r>
      <w:r>
        <w:rPr>
          <w:rFonts w:asciiTheme="majorEastAsia" w:hAnsiTheme="majorEastAsia" w:eastAsiaTheme="majorEastAsia"/>
          <w:color w:val="0C0C0C" w:themeColor="text1" w:themeTint="F2"/>
          <w:sz w:val="24"/>
          <w:szCs w:val="24"/>
        </w:rPr>
        <w:t>日</w:t>
      </w:r>
    </w:p>
    <w:p>
      <w:pPr>
        <w:pStyle w:val="381"/>
        <w:spacing w:line="400" w:lineRule="exact"/>
        <w:ind w:left="281" w:leftChars="134" w:firstLine="240" w:firstLineChars="100"/>
        <w:jc w:val="center"/>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附法定代表人身份证复印件</w:t>
      </w:r>
    </w:p>
    <w:p>
      <w:pPr>
        <w:pStyle w:val="381"/>
        <w:spacing w:line="400" w:lineRule="exact"/>
        <w:ind w:left="281" w:leftChars="134" w:firstLine="280" w:firstLineChars="100"/>
        <w:jc w:val="center"/>
        <w:rPr>
          <w:rFonts w:asciiTheme="majorEastAsia" w:hAnsiTheme="majorEastAsia" w:eastAsiaTheme="majorEastAsia"/>
          <w:color w:val="0C0C0C" w:themeColor="text1" w:themeTint="F2"/>
        </w:rPr>
      </w:pPr>
    </w:p>
    <w:p>
      <w:pPr>
        <w:pStyle w:val="381"/>
        <w:spacing w:line="400" w:lineRule="exact"/>
        <w:ind w:left="281" w:leftChars="134" w:firstLine="280" w:firstLineChars="100"/>
        <w:jc w:val="center"/>
        <w:rPr>
          <w:rFonts w:asciiTheme="majorEastAsia" w:hAnsiTheme="majorEastAsia" w:eastAsiaTheme="majorEastAsia"/>
          <w:color w:val="0C0C0C" w:themeColor="text1" w:themeTint="F2"/>
        </w:rPr>
      </w:pPr>
      <w:r>
        <w:rPr>
          <w:rFonts w:hint="eastAsia" w:asciiTheme="majorEastAsia" w:hAnsiTheme="majorEastAsia" w:eastAsiaTheme="majorEastAsia"/>
          <w:color w:val="0C0C0C" w:themeColor="text1" w:themeTint="F2"/>
        </w:rPr>
        <w:t>二、法定代表人授权委托书</w:t>
      </w:r>
    </w:p>
    <w:p>
      <w:pPr>
        <w:pStyle w:val="381"/>
        <w:ind w:firstLine="48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本授权书声明：____________（供应商名称）授权________________（被授权人的姓名）为我方就  项目采购活动的合法代理人，以本公司名义全权处理一切与该项目采购有关的事务。</w:t>
      </w:r>
    </w:p>
    <w:p>
      <w:pPr>
        <w:pStyle w:val="381"/>
        <w:ind w:firstLine="48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本授权书于______年____月____日起生效，特此声明。</w:t>
      </w:r>
    </w:p>
    <w:p>
      <w:pPr>
        <w:pStyle w:val="381"/>
        <w:ind w:firstLine="480"/>
        <w:rPr>
          <w:rFonts w:asciiTheme="majorEastAsia" w:hAnsiTheme="majorEastAsia" w:eastAsiaTheme="majorEastAsia"/>
          <w:color w:val="0C0C0C" w:themeColor="text1" w:themeTint="F2"/>
          <w:sz w:val="24"/>
          <w:szCs w:val="24"/>
        </w:rPr>
      </w:pPr>
    </w:p>
    <w:p>
      <w:pPr>
        <w:pStyle w:val="381"/>
        <w:ind w:firstLine="0" w:firstLineChars="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          代理人（被授权人）：_______________________</w:t>
      </w:r>
    </w:p>
    <w:p>
      <w:pPr>
        <w:pStyle w:val="381"/>
        <w:ind w:firstLine="0" w:firstLineChars="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          单位名称：_____________________________________</w:t>
      </w:r>
    </w:p>
    <w:p>
      <w:pPr>
        <w:pStyle w:val="381"/>
        <w:ind w:firstLine="0" w:firstLineChars="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          授权单位盖章：_________________________________</w:t>
      </w:r>
    </w:p>
    <w:p>
      <w:pPr>
        <w:pStyle w:val="381"/>
        <w:ind w:firstLine="1200" w:firstLineChars="50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rPr>
        <w:t>法定代表人签字</w:t>
      </w:r>
      <w:r>
        <w:rPr>
          <w:rFonts w:hint="eastAsia" w:asciiTheme="majorEastAsia" w:hAnsiTheme="majorEastAsia" w:eastAsiaTheme="majorEastAsia"/>
          <w:color w:val="0C0C0C" w:themeColor="text1" w:themeTint="F2"/>
          <w:sz w:val="24"/>
          <w:szCs w:val="24"/>
        </w:rPr>
        <w:t>：_____________________________________</w:t>
      </w:r>
    </w:p>
    <w:p>
      <w:pPr>
        <w:pStyle w:val="381"/>
        <w:ind w:firstLine="480"/>
        <w:rPr>
          <w:rFonts w:asciiTheme="majorEastAsia" w:hAnsiTheme="majorEastAsia" w:eastAsiaTheme="majorEastAsia"/>
          <w:color w:val="0C0C0C" w:themeColor="text1" w:themeTint="F2"/>
          <w:sz w:val="24"/>
          <w:szCs w:val="24"/>
        </w:rPr>
      </w:pPr>
      <w:r>
        <w:rPr>
          <w:rFonts w:hint="eastAsia" w:asciiTheme="majorEastAsia" w:hAnsiTheme="majorEastAsia" w:eastAsiaTheme="majorEastAsia"/>
          <w:color w:val="0C0C0C" w:themeColor="text1" w:themeTint="F2"/>
          <w:sz w:val="24"/>
          <w:szCs w:val="24"/>
        </w:rPr>
        <w:t xml:space="preserve">      日期： </w:t>
      </w:r>
    </w:p>
    <w:p>
      <w:pPr>
        <w:pStyle w:val="5"/>
        <w:rPr>
          <w:rFonts w:asciiTheme="majorEastAsia" w:hAnsiTheme="majorEastAsia" w:eastAsiaTheme="majorEastAsia"/>
          <w:b w:val="0"/>
          <w:color w:val="0C0C0C" w:themeColor="text1" w:themeTint="F2"/>
          <w:sz w:val="24"/>
          <w:szCs w:val="24"/>
        </w:rPr>
      </w:pPr>
      <w:bookmarkStart w:id="184" w:name="_Hlt26671380"/>
      <w:bookmarkEnd w:id="184"/>
      <w:bookmarkStart w:id="185" w:name="_格式3__银行出具的资信证明"/>
      <w:bookmarkEnd w:id="185"/>
      <w:bookmarkStart w:id="186" w:name="_Hlt26955070"/>
      <w:bookmarkEnd w:id="186"/>
      <w:r>
        <w:rPr>
          <w:rFonts w:hint="eastAsia" w:asciiTheme="majorEastAsia" w:hAnsiTheme="majorEastAsia" w:eastAsiaTheme="majorEastAsia"/>
          <w:b w:val="0"/>
          <w:color w:val="0C0C0C" w:themeColor="text1" w:themeTint="F2"/>
          <w:sz w:val="24"/>
          <w:szCs w:val="24"/>
        </w:rPr>
        <w:t>附委托代理人身份证复印件</w:t>
      </w:r>
    </w:p>
    <w:p>
      <w:pPr>
        <w:spacing w:line="360" w:lineRule="auto"/>
        <w:ind w:right="566"/>
        <w:rPr>
          <w:rFonts w:asciiTheme="majorEastAsia" w:hAnsiTheme="majorEastAsia" w:eastAsiaTheme="majorEastAsia"/>
          <w:color w:val="0C0C0C" w:themeColor="text1" w:themeTint="F2"/>
          <w:sz w:val="24"/>
        </w:rPr>
      </w:pPr>
    </w:p>
    <w:p>
      <w:pPr>
        <w:jc w:val="center"/>
        <w:rPr>
          <w:rFonts w:asciiTheme="majorEastAsia" w:hAnsiTheme="majorEastAsia" w:eastAsiaTheme="majorEastAsia"/>
          <w:color w:val="0C0C0C" w:themeColor="text1" w:themeTint="F2"/>
          <w:sz w:val="28"/>
        </w:rPr>
      </w:pPr>
      <w:r>
        <w:rPr>
          <w:rFonts w:asciiTheme="majorEastAsia" w:hAnsiTheme="majorEastAsia" w:eastAsiaTheme="majorEastAsia"/>
          <w:color w:val="0C0C0C" w:themeColor="text1" w:themeTint="F2"/>
          <w:sz w:val="28"/>
        </w:rPr>
        <w:br w:type="page"/>
      </w:r>
      <w:r>
        <w:rPr>
          <w:rFonts w:hint="eastAsia" w:asciiTheme="majorEastAsia" w:hAnsiTheme="majorEastAsia" w:eastAsiaTheme="majorEastAsia"/>
          <w:color w:val="0C0C0C" w:themeColor="text1" w:themeTint="F2"/>
          <w:sz w:val="28"/>
        </w:rPr>
        <w:t>三、投标声明函</w:t>
      </w:r>
    </w:p>
    <w:p>
      <w:pPr>
        <w:adjustRightInd w:val="0"/>
        <w:snapToGrid w:val="0"/>
        <w:spacing w:line="360" w:lineRule="auto"/>
        <w:rPr>
          <w:rFonts w:asciiTheme="majorEastAsia" w:hAnsiTheme="majorEastAsia" w:eastAsiaTheme="majorEastAsia"/>
          <w:bCs/>
          <w:color w:val="0C0C0C" w:themeColor="text1" w:themeTint="F2"/>
          <w:sz w:val="24"/>
        </w:rPr>
      </w:pPr>
      <w:r>
        <w:rPr>
          <w:rFonts w:hint="eastAsia" w:asciiTheme="majorEastAsia" w:hAnsiTheme="majorEastAsia" w:eastAsiaTheme="majorEastAsia"/>
          <w:bCs/>
          <w:color w:val="0C0C0C" w:themeColor="text1" w:themeTint="F2"/>
          <w:sz w:val="24"/>
        </w:rPr>
        <w:t>致：</w:t>
      </w:r>
      <w:r>
        <w:rPr>
          <w:rFonts w:hint="eastAsia" w:cs="宋体" w:asciiTheme="majorEastAsia" w:hAnsiTheme="majorEastAsia" w:eastAsiaTheme="majorEastAsia"/>
          <w:color w:val="0C0C0C" w:themeColor="text1" w:themeTint="F2"/>
          <w:kern w:val="0"/>
          <w:sz w:val="24"/>
          <w:szCs w:val="20"/>
          <w:u w:val="single"/>
          <w:shd w:val="clear" w:color="auto" w:fill="FFFFFF"/>
        </w:rPr>
        <w:t xml:space="preserve">     （采购人）      </w:t>
      </w:r>
      <w:r>
        <w:rPr>
          <w:rFonts w:hint="eastAsia" w:asciiTheme="majorEastAsia" w:hAnsiTheme="majorEastAsia" w:eastAsiaTheme="majorEastAsia"/>
          <w:bCs/>
          <w:color w:val="0C0C0C" w:themeColor="text1" w:themeTint="F2"/>
          <w:sz w:val="24"/>
        </w:rPr>
        <w:t xml:space="preserve">：   </w:t>
      </w:r>
    </w:p>
    <w:p>
      <w:pPr>
        <w:numPr>
          <w:ilvl w:val="1"/>
          <w:numId w:val="15"/>
        </w:numPr>
        <w:tabs>
          <w:tab w:val="left" w:pos="420"/>
          <w:tab w:val="left" w:pos="945"/>
          <w:tab w:val="left" w:pos="5382"/>
          <w:tab w:val="left" w:pos="7560"/>
          <w:tab w:val="clear" w:pos="562"/>
        </w:tabs>
        <w:adjustRightInd w:val="0"/>
        <w:snapToGrid w:val="0"/>
        <w:spacing w:line="360" w:lineRule="auto"/>
        <w:ind w:left="0" w:firstLine="0"/>
        <w:rPr>
          <w:rFonts w:asciiTheme="majorEastAsia" w:hAnsiTheme="majorEastAsia" w:eastAsiaTheme="majorEastAsia"/>
          <w:color w:val="0C0C0C" w:themeColor="text1" w:themeTint="F2"/>
          <w:sz w:val="24"/>
        </w:rPr>
      </w:pPr>
      <w:bookmarkStart w:id="187" w:name="_Toc396833717"/>
      <w:r>
        <w:rPr>
          <w:rFonts w:hint="eastAsia" w:asciiTheme="majorEastAsia" w:hAnsiTheme="majorEastAsia" w:eastAsiaTheme="majorEastAsia"/>
          <w:color w:val="0C0C0C" w:themeColor="text1" w:themeTint="F2"/>
          <w:sz w:val="24"/>
        </w:rPr>
        <w:t>我方承诺完全具备</w:t>
      </w:r>
      <w:r>
        <w:rPr>
          <w:rFonts w:hint="eastAsia" w:asciiTheme="majorEastAsia" w:hAnsiTheme="majorEastAsia" w:eastAsiaTheme="majorEastAsia"/>
          <w:color w:val="0C0C0C" w:themeColor="text1" w:themeTint="F2"/>
          <w:sz w:val="24"/>
          <w:szCs w:val="24"/>
        </w:rPr>
        <w:t>《中华人民共和国政府采购法》第二十二条规定的条件</w:t>
      </w:r>
      <w:r>
        <w:rPr>
          <w:rFonts w:hint="eastAsia" w:asciiTheme="majorEastAsia" w:hAnsiTheme="majorEastAsia" w:eastAsiaTheme="majorEastAsia"/>
          <w:color w:val="0C0C0C" w:themeColor="text1" w:themeTint="F2"/>
          <w:sz w:val="24"/>
        </w:rPr>
        <w:t>：</w:t>
      </w:r>
      <w:r>
        <w:rPr>
          <w:rFonts w:asciiTheme="majorEastAsia" w:hAnsiTheme="majorEastAsia" w:eastAsiaTheme="majorEastAsia"/>
          <w:color w:val="0C0C0C" w:themeColor="text1" w:themeTint="F2"/>
          <w:sz w:val="24"/>
        </w:rPr>
        <w:t>（一）具有独立承担民事责任的能力；（二）具有良好的商业信誉和健全的财务会计制度；（三）具有履行合同所必需的设备和专业技术能力；（四）有依法缴纳税收和社会保障资金的良好记录；（五）参加政府采购活动前三年内，在经营活动中没有重大违法记录；（六）法律、行政法规规定的其他条件。</w:t>
      </w:r>
      <w:r>
        <w:rPr>
          <w:rFonts w:hint="eastAsia" w:asciiTheme="majorEastAsia" w:hAnsiTheme="majorEastAsia" w:eastAsiaTheme="majorEastAsia"/>
          <w:color w:val="0C0C0C" w:themeColor="text1" w:themeTint="F2"/>
          <w:sz w:val="24"/>
        </w:rPr>
        <w:t>且符合、承认并承诺履行招标文件各项规定的国内法人、其他组织（不包括在港澳台地区注册成立的法人、其它组织）以及本项目招标文件规定的投标人须满足的特定条件。</w:t>
      </w:r>
    </w:p>
    <w:p>
      <w:pPr>
        <w:numPr>
          <w:ilvl w:val="1"/>
          <w:numId w:val="15"/>
        </w:numPr>
        <w:tabs>
          <w:tab w:val="left" w:pos="420"/>
          <w:tab w:val="left" w:pos="945"/>
          <w:tab w:val="left" w:pos="5382"/>
          <w:tab w:val="left" w:pos="7560"/>
          <w:tab w:val="clear" w:pos="562"/>
        </w:tabs>
        <w:adjustRightInd w:val="0"/>
        <w:snapToGrid w:val="0"/>
        <w:spacing w:line="360" w:lineRule="auto"/>
        <w:ind w:left="0" w:firstLine="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我方承诺信用记录中未被“信用中国”网站(</w:t>
      </w:r>
      <w:r>
        <w:fldChar w:fldCharType="begin"/>
      </w:r>
      <w:r>
        <w:instrText xml:space="preserve"> HYPERLINK "http://www.creditchina.gov.cn" </w:instrText>
      </w:r>
      <w:r>
        <w:fldChar w:fldCharType="separate"/>
      </w:r>
      <w:r>
        <w:rPr>
          <w:rStyle w:val="60"/>
          <w:rFonts w:hint="eastAsia" w:asciiTheme="majorEastAsia" w:hAnsiTheme="majorEastAsia" w:eastAsiaTheme="majorEastAsia"/>
          <w:color w:val="0C0C0C" w:themeColor="text1" w:themeTint="F2"/>
          <w:sz w:val="24"/>
        </w:rPr>
        <w:t>www.creditchina.gov.cn</w:t>
      </w:r>
      <w:r>
        <w:rPr>
          <w:rStyle w:val="60"/>
          <w:rFonts w:hint="eastAsia" w:asciiTheme="majorEastAsia" w:hAnsiTheme="majorEastAsia" w:eastAsiaTheme="majorEastAsia"/>
          <w:color w:val="0C0C0C" w:themeColor="text1" w:themeTint="F2"/>
          <w:sz w:val="24"/>
        </w:rPr>
        <w:fldChar w:fldCharType="end"/>
      </w:r>
      <w:r>
        <w:rPr>
          <w:rFonts w:hint="eastAsia" w:asciiTheme="majorEastAsia" w:hAnsiTheme="majorEastAsia" w:eastAsiaTheme="majorEastAsia"/>
          <w:color w:val="0C0C0C" w:themeColor="text1" w:themeTint="F2"/>
          <w:sz w:val="24"/>
        </w:rPr>
        <w:t>)、中华人民</w:t>
      </w:r>
      <w:r>
        <w:rPr>
          <w:rFonts w:asciiTheme="majorEastAsia" w:hAnsiTheme="majorEastAsia" w:eastAsiaTheme="majorEastAsia"/>
          <w:color w:val="0C0C0C" w:themeColor="text1" w:themeTint="F2"/>
          <w:sz w:val="24"/>
        </w:rPr>
        <w:t>共和国</w:t>
      </w:r>
      <w:r>
        <w:rPr>
          <w:rFonts w:hint="eastAsia" w:asciiTheme="majorEastAsia" w:hAnsiTheme="majorEastAsia" w:eastAsiaTheme="majorEastAsia"/>
          <w:color w:val="0C0C0C" w:themeColor="text1" w:themeTint="F2"/>
          <w:sz w:val="24"/>
        </w:rPr>
        <w:t>最高人民法院网站</w:t>
      </w:r>
      <w:r>
        <w:rPr>
          <w:rFonts w:asciiTheme="majorEastAsia" w:hAnsiTheme="majorEastAsia" w:eastAsiaTheme="majorEastAsia"/>
          <w:color w:val="0C0C0C" w:themeColor="text1" w:themeTint="F2"/>
          <w:sz w:val="24"/>
        </w:rPr>
        <w:t>（</w:t>
      </w:r>
      <w:r>
        <w:fldChar w:fldCharType="begin"/>
      </w:r>
      <w:r>
        <w:instrText xml:space="preserve"> HYPERLINK "http://www.court.gov.cn/" </w:instrText>
      </w:r>
      <w:r>
        <w:fldChar w:fldCharType="separate"/>
      </w:r>
      <w:r>
        <w:rPr>
          <w:rStyle w:val="60"/>
          <w:rFonts w:asciiTheme="majorEastAsia" w:hAnsiTheme="majorEastAsia" w:eastAsiaTheme="majorEastAsia"/>
          <w:color w:val="0C0C0C" w:themeColor="text1" w:themeTint="F2"/>
          <w:sz w:val="24"/>
        </w:rPr>
        <w:t>http://www.court.gov.cn</w:t>
      </w:r>
      <w:r>
        <w:rPr>
          <w:rStyle w:val="60"/>
          <w:rFonts w:asciiTheme="majorEastAsia" w:hAnsiTheme="majorEastAsia" w:eastAsiaTheme="majorEastAsia"/>
          <w:color w:val="0C0C0C" w:themeColor="text1" w:themeTint="F2"/>
          <w:sz w:val="24"/>
        </w:rPr>
        <w:fldChar w:fldCharType="end"/>
      </w:r>
      <w:r>
        <w:rPr>
          <w:rFonts w:asciiTheme="majorEastAsia" w:hAnsiTheme="majorEastAsia" w:eastAsiaTheme="majorEastAsia"/>
          <w:color w:val="0C0C0C" w:themeColor="text1" w:themeTint="F2"/>
          <w:sz w:val="24"/>
        </w:rPr>
        <w:t>）</w:t>
      </w:r>
      <w:r>
        <w:rPr>
          <w:rFonts w:hint="eastAsia" w:asciiTheme="majorEastAsia" w:hAnsiTheme="majorEastAsia" w:eastAsiaTheme="majorEastAsia"/>
          <w:color w:val="0C0C0C" w:themeColor="text1" w:themeTint="F2"/>
          <w:sz w:val="24"/>
        </w:rPr>
        <w:t>等渠道列入信用记录失信被执行人，未被中国政府采购网(</w:t>
      </w:r>
      <w:r>
        <w:fldChar w:fldCharType="begin"/>
      </w:r>
      <w:r>
        <w:instrText xml:space="preserve"> HYPERLINK "http://www.ccgp.gov.cn" </w:instrText>
      </w:r>
      <w:r>
        <w:fldChar w:fldCharType="separate"/>
      </w:r>
      <w:r>
        <w:rPr>
          <w:rStyle w:val="60"/>
          <w:rFonts w:hint="eastAsia" w:asciiTheme="majorEastAsia" w:hAnsiTheme="majorEastAsia" w:eastAsiaTheme="majorEastAsia"/>
          <w:color w:val="0C0C0C" w:themeColor="text1" w:themeTint="F2"/>
          <w:sz w:val="24"/>
        </w:rPr>
        <w:t>www.ccgp.gov.cn</w:t>
      </w:r>
      <w:r>
        <w:rPr>
          <w:rStyle w:val="60"/>
          <w:rFonts w:hint="eastAsia" w:asciiTheme="majorEastAsia" w:hAnsiTheme="majorEastAsia" w:eastAsiaTheme="majorEastAsia"/>
          <w:color w:val="0C0C0C" w:themeColor="text1" w:themeTint="F2"/>
          <w:sz w:val="24"/>
        </w:rPr>
        <w:fldChar w:fldCharType="end"/>
      </w:r>
      <w:r>
        <w:rPr>
          <w:rFonts w:hint="eastAsia" w:asciiTheme="majorEastAsia" w:hAnsiTheme="majorEastAsia" w:eastAsiaTheme="majorEastAsia"/>
          <w:color w:val="0C0C0C" w:themeColor="text1" w:themeTint="F2"/>
          <w:sz w:val="24"/>
        </w:rPr>
        <w:t>)等渠道列入政府采购严重违法失信行为记录名单，未被中华人民共和国应急管理部网站</w:t>
      </w:r>
      <w:r>
        <w:rPr>
          <w:rFonts w:asciiTheme="majorEastAsia" w:hAnsiTheme="majorEastAsia" w:eastAsiaTheme="majorEastAsia"/>
          <w:color w:val="0C0C0C" w:themeColor="text1" w:themeTint="F2"/>
          <w:sz w:val="24"/>
        </w:rPr>
        <w:t>（</w:t>
      </w:r>
      <w:r>
        <w:fldChar w:fldCharType="begin"/>
      </w:r>
      <w:r>
        <w:instrText xml:space="preserve"> HYPERLINK "http://www.chinasafety.gov.cn/" </w:instrText>
      </w:r>
      <w:r>
        <w:fldChar w:fldCharType="separate"/>
      </w:r>
      <w:r>
        <w:rPr>
          <w:rStyle w:val="60"/>
          <w:rFonts w:asciiTheme="majorEastAsia" w:hAnsiTheme="majorEastAsia" w:eastAsiaTheme="majorEastAsia"/>
          <w:color w:val="0C0C0C" w:themeColor="text1" w:themeTint="F2"/>
          <w:sz w:val="24"/>
        </w:rPr>
        <w:t>http://www.chinasafety.gov.cn</w:t>
      </w:r>
      <w:r>
        <w:rPr>
          <w:rStyle w:val="60"/>
          <w:rFonts w:asciiTheme="majorEastAsia" w:hAnsiTheme="majorEastAsia" w:eastAsiaTheme="majorEastAsia"/>
          <w:color w:val="0C0C0C" w:themeColor="text1" w:themeTint="F2"/>
          <w:sz w:val="24"/>
        </w:rPr>
        <w:fldChar w:fldCharType="end"/>
      </w:r>
      <w:r>
        <w:rPr>
          <w:rFonts w:asciiTheme="majorEastAsia" w:hAnsiTheme="majorEastAsia" w:eastAsiaTheme="majorEastAsia"/>
          <w:color w:val="0C0C0C" w:themeColor="text1" w:themeTint="F2"/>
          <w:sz w:val="24"/>
        </w:rPr>
        <w:t>）</w:t>
      </w:r>
      <w:r>
        <w:rPr>
          <w:rFonts w:hint="eastAsia" w:asciiTheme="majorEastAsia" w:hAnsiTheme="majorEastAsia" w:eastAsiaTheme="majorEastAsia"/>
          <w:color w:val="0C0C0C" w:themeColor="text1" w:themeTint="F2"/>
          <w:sz w:val="24"/>
        </w:rPr>
        <w:t>等渠道列入</w:t>
      </w:r>
      <w:r>
        <w:rPr>
          <w:rFonts w:asciiTheme="majorEastAsia" w:hAnsiTheme="majorEastAsia" w:eastAsiaTheme="majorEastAsia"/>
          <w:color w:val="0C0C0C" w:themeColor="text1" w:themeTint="F2"/>
          <w:sz w:val="24"/>
        </w:rPr>
        <w:t>安全生产失信联合惩戒“</w:t>
      </w:r>
      <w:r>
        <w:rPr>
          <w:rFonts w:hint="eastAsia" w:asciiTheme="majorEastAsia" w:hAnsiTheme="majorEastAsia" w:eastAsiaTheme="majorEastAsia"/>
          <w:color w:val="0C0C0C" w:themeColor="text1" w:themeTint="F2"/>
          <w:sz w:val="24"/>
        </w:rPr>
        <w:t>黑名单</w:t>
      </w:r>
      <w:r>
        <w:rPr>
          <w:rFonts w:asciiTheme="majorEastAsia" w:hAnsiTheme="majorEastAsia" w:eastAsiaTheme="majorEastAsia"/>
          <w:color w:val="0C0C0C" w:themeColor="text1" w:themeTint="F2"/>
          <w:sz w:val="24"/>
        </w:rPr>
        <w:t>”</w:t>
      </w:r>
      <w:r>
        <w:rPr>
          <w:rFonts w:hint="eastAsia" w:asciiTheme="majorEastAsia" w:hAnsiTheme="majorEastAsia" w:eastAsiaTheme="majorEastAsia"/>
          <w:color w:val="0C0C0C" w:themeColor="text1" w:themeTint="F2"/>
          <w:sz w:val="24"/>
        </w:rPr>
        <w:t>， 未被国家税务总局</w:t>
      </w:r>
      <w:r>
        <w:rPr>
          <w:rFonts w:asciiTheme="majorEastAsia" w:hAnsiTheme="majorEastAsia" w:eastAsiaTheme="majorEastAsia"/>
          <w:color w:val="0C0C0C" w:themeColor="text1" w:themeTint="F2"/>
          <w:sz w:val="24"/>
        </w:rPr>
        <w:t>网站（</w:t>
      </w:r>
      <w:r>
        <w:fldChar w:fldCharType="begin"/>
      </w:r>
      <w:r>
        <w:instrText xml:space="preserve"> HYPERLINK "http://hd.chinatax.gov.cn/xxk/" </w:instrText>
      </w:r>
      <w:r>
        <w:fldChar w:fldCharType="separate"/>
      </w:r>
      <w:r>
        <w:rPr>
          <w:rStyle w:val="60"/>
          <w:rFonts w:asciiTheme="majorEastAsia" w:hAnsiTheme="majorEastAsia" w:eastAsiaTheme="majorEastAsia"/>
          <w:color w:val="0C0C0C" w:themeColor="text1" w:themeTint="F2"/>
          <w:sz w:val="24"/>
        </w:rPr>
        <w:t>http://hd.chinatax.gov.cn/xxk</w:t>
      </w:r>
      <w:r>
        <w:rPr>
          <w:rStyle w:val="60"/>
          <w:rFonts w:asciiTheme="majorEastAsia" w:hAnsiTheme="majorEastAsia" w:eastAsiaTheme="majorEastAsia"/>
          <w:color w:val="0C0C0C" w:themeColor="text1" w:themeTint="F2"/>
          <w:sz w:val="24"/>
        </w:rPr>
        <w:fldChar w:fldCharType="end"/>
      </w:r>
      <w:r>
        <w:rPr>
          <w:rFonts w:asciiTheme="majorEastAsia" w:hAnsiTheme="majorEastAsia" w:eastAsiaTheme="majorEastAsia"/>
          <w:color w:val="0C0C0C" w:themeColor="text1" w:themeTint="F2"/>
          <w:sz w:val="24"/>
        </w:rPr>
        <w:t>）</w:t>
      </w:r>
      <w:r>
        <w:rPr>
          <w:rFonts w:hint="eastAsia" w:asciiTheme="majorEastAsia" w:hAnsiTheme="majorEastAsia" w:eastAsiaTheme="majorEastAsia"/>
          <w:color w:val="0C0C0C" w:themeColor="text1" w:themeTint="F2"/>
          <w:sz w:val="24"/>
        </w:rPr>
        <w:t>等渠道</w:t>
      </w:r>
      <w:r>
        <w:rPr>
          <w:rFonts w:asciiTheme="majorEastAsia" w:hAnsiTheme="majorEastAsia" w:eastAsiaTheme="majorEastAsia"/>
          <w:color w:val="0C0C0C" w:themeColor="text1" w:themeTint="F2"/>
          <w:sz w:val="24"/>
        </w:rPr>
        <w:t>列入</w:t>
      </w:r>
      <w:r>
        <w:rPr>
          <w:rFonts w:hint="eastAsia" w:asciiTheme="majorEastAsia" w:hAnsiTheme="majorEastAsia" w:eastAsiaTheme="majorEastAsia"/>
          <w:color w:val="0C0C0C" w:themeColor="text1" w:themeTint="F2"/>
          <w:sz w:val="24"/>
        </w:rPr>
        <w:t>重大税收违法案件当事人名单，未被国家企业</w:t>
      </w:r>
      <w:r>
        <w:rPr>
          <w:rFonts w:asciiTheme="majorEastAsia" w:hAnsiTheme="majorEastAsia" w:eastAsiaTheme="majorEastAsia"/>
          <w:color w:val="0C0C0C" w:themeColor="text1" w:themeTint="F2"/>
          <w:sz w:val="24"/>
        </w:rPr>
        <w:t>信用信息公示系统（</w:t>
      </w:r>
      <w:r>
        <w:fldChar w:fldCharType="begin"/>
      </w:r>
      <w:r>
        <w:instrText xml:space="preserve"> HYPERLINK "http://www.gsxt.gov.cn" </w:instrText>
      </w:r>
      <w:r>
        <w:fldChar w:fldCharType="separate"/>
      </w:r>
      <w:r>
        <w:rPr>
          <w:rStyle w:val="60"/>
          <w:rFonts w:asciiTheme="majorEastAsia" w:hAnsiTheme="majorEastAsia" w:eastAsiaTheme="majorEastAsia"/>
          <w:color w:val="0C0C0C" w:themeColor="text1" w:themeTint="F2"/>
          <w:sz w:val="24"/>
        </w:rPr>
        <w:t>http://www.gsxt.gov.cn</w:t>
      </w:r>
      <w:r>
        <w:rPr>
          <w:rStyle w:val="60"/>
          <w:rFonts w:asciiTheme="majorEastAsia" w:hAnsiTheme="majorEastAsia" w:eastAsiaTheme="majorEastAsia"/>
          <w:color w:val="0C0C0C" w:themeColor="text1" w:themeTint="F2"/>
          <w:sz w:val="24"/>
        </w:rPr>
        <w:fldChar w:fldCharType="end"/>
      </w:r>
      <w:r>
        <w:rPr>
          <w:rFonts w:asciiTheme="majorEastAsia" w:hAnsiTheme="majorEastAsia" w:eastAsiaTheme="majorEastAsia"/>
          <w:color w:val="0C0C0C" w:themeColor="text1" w:themeTint="F2"/>
          <w:sz w:val="24"/>
        </w:rPr>
        <w:t>）</w:t>
      </w:r>
      <w:r>
        <w:rPr>
          <w:rFonts w:hint="eastAsia" w:asciiTheme="majorEastAsia" w:hAnsiTheme="majorEastAsia" w:eastAsiaTheme="majorEastAsia"/>
          <w:color w:val="0C0C0C" w:themeColor="text1" w:themeTint="F2"/>
          <w:sz w:val="24"/>
        </w:rPr>
        <w:t>等渠道</w:t>
      </w:r>
      <w:r>
        <w:rPr>
          <w:rFonts w:asciiTheme="majorEastAsia" w:hAnsiTheme="majorEastAsia" w:eastAsiaTheme="majorEastAsia"/>
          <w:color w:val="0C0C0C" w:themeColor="text1" w:themeTint="F2"/>
          <w:sz w:val="24"/>
        </w:rPr>
        <w:t>列入</w:t>
      </w:r>
      <w:r>
        <w:rPr>
          <w:rFonts w:hint="eastAsia" w:asciiTheme="majorEastAsia" w:hAnsiTheme="majorEastAsia" w:eastAsiaTheme="majorEastAsia"/>
          <w:color w:val="0C0C0C" w:themeColor="text1" w:themeTint="F2"/>
          <w:sz w:val="24"/>
        </w:rPr>
        <w:t>经营异常名录、严重违法</w:t>
      </w:r>
      <w:r>
        <w:rPr>
          <w:rFonts w:asciiTheme="majorEastAsia" w:hAnsiTheme="majorEastAsia" w:eastAsiaTheme="majorEastAsia"/>
          <w:color w:val="0C0C0C" w:themeColor="text1" w:themeTint="F2"/>
          <w:sz w:val="24"/>
        </w:rPr>
        <w:t>失信企业名单</w:t>
      </w:r>
      <w:r>
        <w:rPr>
          <w:rFonts w:hint="eastAsia" w:asciiTheme="majorEastAsia" w:hAnsiTheme="majorEastAsia" w:eastAsiaTheme="majorEastAsia"/>
          <w:color w:val="0C0C0C" w:themeColor="text1" w:themeTint="F2"/>
          <w:sz w:val="24"/>
        </w:rPr>
        <w:t>，未被</w:t>
      </w:r>
      <w:r>
        <w:rPr>
          <w:rFonts w:asciiTheme="majorEastAsia" w:hAnsiTheme="majorEastAsia" w:eastAsiaTheme="majorEastAsia"/>
          <w:color w:val="0C0C0C" w:themeColor="text1" w:themeTint="F2"/>
          <w:sz w:val="24"/>
        </w:rPr>
        <w:t>全国公共资源交易平台（</w:t>
      </w:r>
      <w:r>
        <w:fldChar w:fldCharType="begin"/>
      </w:r>
      <w:r>
        <w:instrText xml:space="preserve"> HYPERLINK "http://www.ggzy.gov.cn" </w:instrText>
      </w:r>
      <w:r>
        <w:fldChar w:fldCharType="separate"/>
      </w:r>
      <w:r>
        <w:rPr>
          <w:rStyle w:val="60"/>
          <w:rFonts w:asciiTheme="majorEastAsia" w:hAnsiTheme="majorEastAsia" w:eastAsiaTheme="majorEastAsia"/>
          <w:color w:val="0C0C0C" w:themeColor="text1" w:themeTint="F2"/>
          <w:sz w:val="24"/>
        </w:rPr>
        <w:t>http://www.ggzy.gov.cn</w:t>
      </w:r>
      <w:r>
        <w:rPr>
          <w:rStyle w:val="60"/>
          <w:rFonts w:asciiTheme="majorEastAsia" w:hAnsiTheme="majorEastAsia" w:eastAsiaTheme="majorEastAsia"/>
          <w:color w:val="0C0C0C" w:themeColor="text1" w:themeTint="F2"/>
          <w:sz w:val="24"/>
        </w:rPr>
        <w:fldChar w:fldCharType="end"/>
      </w:r>
      <w:r>
        <w:rPr>
          <w:rFonts w:asciiTheme="majorEastAsia" w:hAnsiTheme="majorEastAsia" w:eastAsiaTheme="majorEastAsia"/>
          <w:color w:val="0C0C0C" w:themeColor="text1" w:themeTint="F2"/>
          <w:sz w:val="24"/>
        </w:rPr>
        <w:t>）</w:t>
      </w:r>
      <w:r>
        <w:rPr>
          <w:rFonts w:hint="eastAsia" w:asciiTheme="majorEastAsia" w:hAnsiTheme="majorEastAsia" w:eastAsiaTheme="majorEastAsia"/>
          <w:color w:val="0C0C0C" w:themeColor="text1" w:themeTint="F2"/>
          <w:sz w:val="24"/>
        </w:rPr>
        <w:t>等渠道</w:t>
      </w:r>
      <w:r>
        <w:rPr>
          <w:rFonts w:asciiTheme="majorEastAsia" w:hAnsiTheme="majorEastAsia" w:eastAsiaTheme="majorEastAsia"/>
          <w:color w:val="0C0C0C" w:themeColor="text1" w:themeTint="F2"/>
          <w:sz w:val="24"/>
        </w:rPr>
        <w:t>列入</w:t>
      </w:r>
      <w:r>
        <w:rPr>
          <w:rFonts w:hint="eastAsia" w:asciiTheme="majorEastAsia" w:hAnsiTheme="majorEastAsia" w:eastAsiaTheme="majorEastAsia"/>
          <w:color w:val="0C0C0C" w:themeColor="text1" w:themeTint="F2"/>
          <w:sz w:val="24"/>
        </w:rPr>
        <w:t>黑名单，否则，可将我方的投标文件按照无效投标文件处理。</w:t>
      </w:r>
    </w:p>
    <w:p>
      <w:pPr>
        <w:numPr>
          <w:ilvl w:val="1"/>
          <w:numId w:val="15"/>
        </w:numPr>
        <w:tabs>
          <w:tab w:val="left" w:pos="420"/>
          <w:tab w:val="left" w:pos="945"/>
          <w:tab w:val="left" w:pos="5382"/>
          <w:tab w:val="left" w:pos="7560"/>
          <w:tab w:val="clear" w:pos="562"/>
        </w:tabs>
        <w:adjustRightInd w:val="0"/>
        <w:snapToGrid w:val="0"/>
        <w:spacing w:line="360" w:lineRule="auto"/>
        <w:ind w:left="0" w:firstLine="0"/>
        <w:rPr>
          <w:rFonts w:asciiTheme="majorEastAsia" w:hAnsiTheme="majorEastAsia" w:eastAsiaTheme="majorEastAsia"/>
          <w:color w:val="0C0C0C" w:themeColor="text1" w:themeTint="F2"/>
          <w:kern w:val="0"/>
          <w:sz w:val="24"/>
        </w:rPr>
      </w:pPr>
      <w:r>
        <w:rPr>
          <w:rFonts w:hint="eastAsia" w:asciiTheme="majorEastAsia" w:hAnsiTheme="majorEastAsia" w:eastAsiaTheme="majorEastAsia"/>
          <w:color w:val="0C0C0C" w:themeColor="text1" w:themeTint="F2"/>
          <w:kern w:val="0"/>
          <w:sz w:val="24"/>
        </w:rPr>
        <w:t>我方承诺参加本次采购活动前三年内，在经营活动中没有重大违法记录，否则，可将我方的投标文件按照无效投标文件处理。</w:t>
      </w:r>
    </w:p>
    <w:p>
      <w:pPr>
        <w:numPr>
          <w:ilvl w:val="1"/>
          <w:numId w:val="15"/>
        </w:numPr>
        <w:tabs>
          <w:tab w:val="left" w:pos="420"/>
          <w:tab w:val="left" w:pos="945"/>
          <w:tab w:val="left" w:pos="5382"/>
          <w:tab w:val="left" w:pos="7560"/>
          <w:tab w:val="clear" w:pos="562"/>
        </w:tabs>
        <w:adjustRightInd w:val="0"/>
        <w:snapToGrid w:val="0"/>
        <w:spacing w:line="360" w:lineRule="auto"/>
        <w:ind w:left="0" w:firstLine="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我方承诺按照本项目招标文件和相关技术标准的条件，提供货物及相关服务，并承担因货物质量或服务等引起的一切责任。</w:t>
      </w:r>
    </w:p>
    <w:p>
      <w:pPr>
        <w:numPr>
          <w:ilvl w:val="1"/>
          <w:numId w:val="15"/>
        </w:numPr>
        <w:tabs>
          <w:tab w:val="left" w:pos="525"/>
          <w:tab w:val="left" w:pos="945"/>
          <w:tab w:val="left" w:pos="5382"/>
          <w:tab w:val="clear" w:pos="562"/>
        </w:tabs>
        <w:adjustRightInd w:val="0"/>
        <w:snapToGrid w:val="0"/>
        <w:spacing w:line="360" w:lineRule="auto"/>
        <w:ind w:left="0" w:firstLine="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我方对本项目招标文件（包括修改文件及有关附件）完全理解，并承诺在发生争议时，不会以对招标文件存在误解、不明为由，向你方行使任何法律上的抗辩权。</w:t>
      </w:r>
    </w:p>
    <w:p>
      <w:pPr>
        <w:numPr>
          <w:ilvl w:val="1"/>
          <w:numId w:val="15"/>
        </w:numPr>
        <w:tabs>
          <w:tab w:val="left" w:pos="525"/>
          <w:tab w:val="left" w:pos="945"/>
          <w:tab w:val="left" w:pos="5382"/>
          <w:tab w:val="clear" w:pos="562"/>
        </w:tabs>
        <w:adjustRightInd w:val="0"/>
        <w:snapToGrid w:val="0"/>
        <w:spacing w:line="360" w:lineRule="auto"/>
        <w:ind w:left="0" w:firstLine="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我方投标文件有效期为自开标日起</w:t>
      </w:r>
      <w:r>
        <w:rPr>
          <w:rFonts w:hint="eastAsia" w:asciiTheme="majorEastAsia" w:hAnsiTheme="majorEastAsia" w:eastAsiaTheme="majorEastAsia"/>
          <w:color w:val="0C0C0C" w:themeColor="text1" w:themeTint="F2"/>
          <w:sz w:val="24"/>
          <w:u w:val="single"/>
        </w:rPr>
        <w:t>60</w:t>
      </w:r>
      <w:r>
        <w:rPr>
          <w:rFonts w:hint="eastAsia" w:asciiTheme="majorEastAsia" w:hAnsiTheme="majorEastAsia" w:eastAsiaTheme="majorEastAsia"/>
          <w:color w:val="0C0C0C" w:themeColor="text1" w:themeTint="F2"/>
          <w:sz w:val="24"/>
        </w:rPr>
        <w:t>天，若中标，则投标有效期自动延续至合同履行完毕。</w:t>
      </w:r>
    </w:p>
    <w:p>
      <w:pPr>
        <w:numPr>
          <w:ilvl w:val="1"/>
          <w:numId w:val="15"/>
        </w:numPr>
        <w:tabs>
          <w:tab w:val="left" w:pos="525"/>
          <w:tab w:val="left" w:pos="945"/>
          <w:tab w:val="left" w:pos="5382"/>
          <w:tab w:val="clear" w:pos="562"/>
        </w:tabs>
        <w:adjustRightInd w:val="0"/>
        <w:snapToGrid w:val="0"/>
        <w:spacing w:line="360" w:lineRule="auto"/>
        <w:ind w:left="0" w:firstLine="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我方承诺接受招标文件规定的付款方式。</w:t>
      </w:r>
    </w:p>
    <w:p>
      <w:pPr>
        <w:numPr>
          <w:ilvl w:val="1"/>
          <w:numId w:val="15"/>
        </w:numPr>
        <w:tabs>
          <w:tab w:val="left" w:pos="525"/>
          <w:tab w:val="left" w:pos="945"/>
          <w:tab w:val="left" w:pos="5382"/>
          <w:tab w:val="clear" w:pos="562"/>
        </w:tabs>
        <w:adjustRightInd w:val="0"/>
        <w:snapToGrid w:val="0"/>
        <w:spacing w:line="360" w:lineRule="auto"/>
        <w:ind w:left="0" w:firstLine="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我方投标文件和你方的中标通知书、招标文件将成为约束双方的合同文件组成部分，若招标文件存在要求，而本投标文件没有拒绝亦没有涉及的情形下，我方接受招标文件的有关约束，并同意将招标文件对投标人的要求作为投标人合同义务的组成部分。</w:t>
      </w:r>
    </w:p>
    <w:p>
      <w:pPr>
        <w:numPr>
          <w:ilvl w:val="1"/>
          <w:numId w:val="15"/>
        </w:numPr>
        <w:tabs>
          <w:tab w:val="left" w:pos="525"/>
          <w:tab w:val="left" w:pos="945"/>
          <w:tab w:val="left" w:pos="5382"/>
          <w:tab w:val="clear" w:pos="562"/>
        </w:tabs>
        <w:adjustRightInd w:val="0"/>
        <w:snapToGrid w:val="0"/>
        <w:spacing w:line="360" w:lineRule="auto"/>
        <w:ind w:left="0" w:firstLine="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我方承诺投标文件中所有的资料及所作各项承诺均真实准确，所提交的营业执照/《事业单位法人证书》已依法向登记管理机关报送相应的年度报告并予以公示（或所提交的《社会团体法人登记证书》/《民办非企业单位登记证书》已通过登记管理机关的年度检查），不存在任何虚假之处，否则，可将我方的投标文件按照无效投标文件处理，即使我方中标，中标结果无效，对于因此给其他投标人及你方造成的全部损失，我方同意无条件予以赔偿。</w:t>
      </w:r>
    </w:p>
    <w:p>
      <w:pPr>
        <w:numPr>
          <w:ilvl w:val="1"/>
          <w:numId w:val="15"/>
        </w:numPr>
        <w:tabs>
          <w:tab w:val="left" w:pos="525"/>
          <w:tab w:val="left" w:pos="945"/>
          <w:tab w:val="left" w:pos="5382"/>
          <w:tab w:val="clear" w:pos="562"/>
        </w:tabs>
        <w:adjustRightInd w:val="0"/>
        <w:snapToGrid w:val="0"/>
        <w:spacing w:line="360" w:lineRule="auto"/>
        <w:ind w:left="0" w:firstLine="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我方委托授权(姓名：身份证号:_________，联系电话________：)作为我方的代理人参加本项目投标，负责提交投标文件以及其它相关资料，参加开标，接受质询并予以澄清，签署、接受招投标过程中的各种法律文件，办理投标过程中的其他相关事务。</w:t>
      </w:r>
    </w:p>
    <w:p>
      <w:pPr>
        <w:numPr>
          <w:ilvl w:val="1"/>
          <w:numId w:val="15"/>
        </w:numPr>
        <w:tabs>
          <w:tab w:val="left" w:pos="525"/>
          <w:tab w:val="left" w:pos="945"/>
          <w:tab w:val="left" w:pos="5382"/>
          <w:tab w:val="clear" w:pos="562"/>
        </w:tabs>
        <w:adjustRightInd w:val="0"/>
        <w:snapToGrid w:val="0"/>
        <w:spacing w:line="360" w:lineRule="auto"/>
        <w:ind w:left="0" w:firstLine="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我方承诺将严格遵守相关法律法规，若存在违法违规行为，将承担相应的法律后果。</w:t>
      </w:r>
    </w:p>
    <w:p>
      <w:pPr>
        <w:tabs>
          <w:tab w:val="left" w:pos="945"/>
        </w:tabs>
        <w:adjustRightInd w:val="0"/>
        <w:snapToGrid w:val="0"/>
        <w:spacing w:line="360" w:lineRule="auto"/>
        <w:ind w:firstLine="4320" w:firstLineChars="180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法定代表人签字或盖章：</w:t>
      </w:r>
    </w:p>
    <w:p>
      <w:pPr>
        <w:tabs>
          <w:tab w:val="left" w:pos="945"/>
        </w:tabs>
        <w:adjustRightInd w:val="0"/>
        <w:snapToGrid w:val="0"/>
        <w:spacing w:line="360" w:lineRule="auto"/>
        <w:ind w:firstLine="4320" w:firstLineChars="180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投标人公章：</w:t>
      </w:r>
    </w:p>
    <w:p>
      <w:pPr>
        <w:adjustRightInd w:val="0"/>
        <w:snapToGrid w:val="0"/>
        <w:spacing w:line="360" w:lineRule="auto"/>
        <w:ind w:firstLine="4776" w:firstLineChars="1990"/>
        <w:rPr>
          <w:rFonts w:asciiTheme="majorEastAsia" w:hAnsiTheme="majorEastAsia" w:eastAsiaTheme="majorEastAsia"/>
          <w:color w:val="0C0C0C" w:themeColor="text1" w:themeTint="F2"/>
          <w:sz w:val="24"/>
        </w:rPr>
      </w:pPr>
      <w:r>
        <w:rPr>
          <w:rFonts w:hint="eastAsia" w:asciiTheme="majorEastAsia" w:hAnsiTheme="majorEastAsia" w:eastAsiaTheme="majorEastAsia"/>
          <w:color w:val="0C0C0C" w:themeColor="text1" w:themeTint="F2"/>
          <w:sz w:val="24"/>
        </w:rPr>
        <w:t>日期：</w:t>
      </w:r>
    </w:p>
    <w:p>
      <w:pPr>
        <w:adjustRightInd w:val="0"/>
        <w:snapToGrid w:val="0"/>
        <w:spacing w:line="360" w:lineRule="auto"/>
        <w:ind w:right="84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right="84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right="84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right="84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right="84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right="84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right="84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right="84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right="84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right="84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right="84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right="840" w:firstLine="4776" w:firstLineChars="1990"/>
        <w:rPr>
          <w:rFonts w:asciiTheme="majorEastAsia" w:hAnsiTheme="majorEastAsia" w:eastAsiaTheme="majorEastAsia"/>
          <w:color w:val="0C0C0C" w:themeColor="text1" w:themeTint="F2"/>
          <w:sz w:val="24"/>
        </w:rPr>
      </w:pPr>
    </w:p>
    <w:p>
      <w:pPr>
        <w:adjustRightInd w:val="0"/>
        <w:snapToGrid w:val="0"/>
        <w:spacing w:line="360" w:lineRule="auto"/>
        <w:ind w:right="840" w:firstLine="4776" w:firstLineChars="1990"/>
        <w:rPr>
          <w:rFonts w:asciiTheme="majorEastAsia" w:hAnsiTheme="majorEastAsia" w:eastAsiaTheme="majorEastAsia"/>
          <w:color w:val="0C0C0C" w:themeColor="text1" w:themeTint="F2"/>
          <w:sz w:val="24"/>
        </w:rPr>
      </w:pPr>
    </w:p>
    <w:bookmarkEnd w:id="187"/>
    <w:p>
      <w:pPr>
        <w:jc w:val="center"/>
        <w:rPr>
          <w:rFonts w:asciiTheme="majorEastAsia" w:hAnsiTheme="majorEastAsia" w:eastAsiaTheme="majorEastAsia"/>
          <w:b/>
          <w:bCs/>
          <w:color w:val="0C0C0C" w:themeColor="text1" w:themeTint="F2"/>
          <w:sz w:val="28"/>
          <w:szCs w:val="28"/>
        </w:rPr>
      </w:pPr>
      <w:r>
        <w:rPr>
          <w:rFonts w:asciiTheme="majorEastAsia" w:hAnsiTheme="majorEastAsia" w:eastAsiaTheme="majorEastAsia"/>
          <w:color w:val="0C0C0C" w:themeColor="text1" w:themeTint="F2"/>
          <w:sz w:val="24"/>
        </w:rPr>
        <w:br w:type="page"/>
      </w:r>
      <w:r>
        <w:rPr>
          <w:rFonts w:hint="eastAsia" w:asciiTheme="majorEastAsia" w:hAnsiTheme="majorEastAsia" w:eastAsiaTheme="majorEastAsia"/>
          <w:color w:val="0C0C0C" w:themeColor="text1" w:themeTint="F2"/>
          <w:sz w:val="28"/>
          <w:szCs w:val="28"/>
        </w:rPr>
        <w:t>四、</w:t>
      </w:r>
      <w:r>
        <w:rPr>
          <w:rFonts w:hint="eastAsia" w:asciiTheme="majorEastAsia" w:hAnsiTheme="majorEastAsia" w:eastAsiaTheme="majorEastAsia"/>
          <w:bCs/>
          <w:color w:val="0C0C0C" w:themeColor="text1" w:themeTint="F2"/>
          <w:sz w:val="28"/>
          <w:szCs w:val="28"/>
        </w:rPr>
        <w:t>报价函格式</w:t>
      </w:r>
    </w:p>
    <w:bookmarkEnd w:id="160"/>
    <w:bookmarkEnd w:id="161"/>
    <w:bookmarkEnd w:id="183"/>
    <w:p>
      <w:pPr>
        <w:pStyle w:val="262"/>
        <w:spacing w:before="0" w:after="0" w:line="420" w:lineRule="exact"/>
        <w:ind w:firstLineChars="200"/>
        <w:rPr>
          <w:rFonts w:asciiTheme="majorEastAsia" w:hAnsiTheme="majorEastAsia" w:eastAsiaTheme="majorEastAsia"/>
          <w:color w:val="000000" w:themeColor="text1"/>
          <w:kern w:val="2"/>
          <w:szCs w:val="21"/>
          <w:u w:val="single"/>
        </w:rPr>
      </w:pPr>
      <w:r>
        <w:rPr>
          <w:rFonts w:hint="eastAsia" w:asciiTheme="majorEastAsia" w:hAnsiTheme="majorEastAsia" w:eastAsiaTheme="majorEastAsia"/>
          <w:color w:val="000000" w:themeColor="text1"/>
          <w:kern w:val="2"/>
          <w:szCs w:val="21"/>
        </w:rPr>
        <w:t>致：</w:t>
      </w:r>
      <w:r>
        <w:rPr>
          <w:rFonts w:hint="eastAsia" w:asciiTheme="majorEastAsia" w:hAnsiTheme="majorEastAsia" w:eastAsiaTheme="majorEastAsia"/>
          <w:color w:val="000000" w:themeColor="text1"/>
          <w:kern w:val="2"/>
          <w:szCs w:val="21"/>
          <w:u w:val="single"/>
        </w:rPr>
        <w:t xml:space="preserve"> （采购人）   </w:t>
      </w:r>
    </w:p>
    <w:p>
      <w:pPr>
        <w:adjustRightInd w:val="0"/>
        <w:spacing w:line="440" w:lineRule="exact"/>
        <w:ind w:firstLine="480" w:firstLineChars="200"/>
        <w:textAlignment w:val="baseline"/>
        <w:rPr>
          <w:rFonts w:ascii="宋体" w:hAnsi="宋体"/>
          <w:color w:val="000000"/>
          <w:sz w:val="24"/>
        </w:rPr>
      </w:pPr>
      <w:bookmarkStart w:id="188" w:name="_Hlt26580838"/>
      <w:bookmarkEnd w:id="188"/>
      <w:bookmarkStart w:id="189" w:name="_Hlt26609389"/>
      <w:bookmarkEnd w:id="189"/>
      <w:bookmarkStart w:id="190" w:name="_Hlt26955064"/>
      <w:bookmarkEnd w:id="190"/>
      <w:bookmarkStart w:id="191" w:name="_格式2__法定代表人授权书"/>
      <w:bookmarkEnd w:id="191"/>
      <w:bookmarkStart w:id="192" w:name="_Hlt26955056"/>
      <w:bookmarkEnd w:id="192"/>
      <w:bookmarkStart w:id="193" w:name="_Hlt26782999"/>
      <w:bookmarkEnd w:id="193"/>
      <w:bookmarkStart w:id="194" w:name="_Hlt26671343"/>
      <w:bookmarkEnd w:id="194"/>
      <w:bookmarkStart w:id="195" w:name="_Hlt26955066"/>
      <w:bookmarkEnd w:id="195"/>
      <w:bookmarkStart w:id="196" w:name="_Hlt26671372"/>
      <w:bookmarkEnd w:id="196"/>
      <w:bookmarkStart w:id="197" w:name="_Hlt26671374"/>
      <w:bookmarkEnd w:id="197"/>
      <w:bookmarkStart w:id="198" w:name="_Hlt24879081"/>
      <w:bookmarkEnd w:id="198"/>
      <w:bookmarkStart w:id="199" w:name="_Hlt26609391"/>
      <w:bookmarkEnd w:id="199"/>
      <w:r>
        <w:rPr>
          <w:rFonts w:hint="eastAsia" w:ascii="宋体" w:hAnsi="宋体"/>
          <w:color w:val="000000"/>
          <w:sz w:val="24"/>
        </w:rPr>
        <w:t>我们收到贵单位</w:t>
      </w:r>
      <w:r>
        <w:rPr>
          <w:rFonts w:hint="eastAsia" w:ascii="宋体" w:hAnsi="宋体"/>
          <w:color w:val="000000"/>
          <w:sz w:val="24"/>
          <w:u w:val="single"/>
        </w:rPr>
        <w:t xml:space="preserve"> 　　　　　　　　　　　</w:t>
      </w:r>
      <w:r>
        <w:rPr>
          <w:rFonts w:hint="eastAsia" w:ascii="宋体" w:hAnsi="宋体"/>
          <w:color w:val="000000"/>
          <w:sz w:val="24"/>
        </w:rPr>
        <w:t>项目招标文件，经仔细阅读和研究，我们决定参加投标。</w:t>
      </w:r>
    </w:p>
    <w:p>
      <w:pPr>
        <w:spacing w:line="460" w:lineRule="exact"/>
        <w:ind w:firstLine="480"/>
        <w:rPr>
          <w:rFonts w:asciiTheme="minorEastAsia" w:hAnsiTheme="minorEastAsia" w:eastAsiaTheme="minorEastAsia"/>
          <w:color w:val="252525" w:themeColor="text1" w:themeTint="D9"/>
          <w:sz w:val="24"/>
          <w:u w:val="single"/>
        </w:rPr>
      </w:pPr>
      <w:r>
        <w:rPr>
          <w:rFonts w:hint="eastAsia" w:asciiTheme="minorEastAsia" w:hAnsiTheme="minorEastAsia" w:eastAsiaTheme="minorEastAsia"/>
          <w:color w:val="252525" w:themeColor="text1" w:themeTint="D9"/>
          <w:sz w:val="24"/>
        </w:rPr>
        <w:t>1、根据已收到的：</w:t>
      </w:r>
      <w:r>
        <w:rPr>
          <w:rFonts w:hint="eastAsia" w:asciiTheme="minorEastAsia" w:hAnsiTheme="minorEastAsia" w:eastAsiaTheme="minorEastAsia"/>
          <w:color w:val="252525" w:themeColor="text1" w:themeTint="D9"/>
          <w:sz w:val="24"/>
          <w:u w:val="single"/>
        </w:rPr>
        <w:t>　　　　　　</w:t>
      </w:r>
      <w:r>
        <w:rPr>
          <w:rFonts w:hint="eastAsia" w:asciiTheme="minorEastAsia" w:hAnsiTheme="minorEastAsia" w:eastAsiaTheme="minorEastAsia"/>
          <w:color w:val="252525" w:themeColor="text1" w:themeTint="D9"/>
          <w:sz w:val="24"/>
        </w:rPr>
        <w:t>招标文件（含答疑），我单位经考察工程现场和研究招标文件后，愿意以</w:t>
      </w:r>
      <w:r>
        <w:rPr>
          <w:rFonts w:hint="eastAsia" w:hAnsi="宋体"/>
          <w:color w:val="252525" w:themeColor="text1" w:themeTint="D9"/>
          <w:sz w:val="24"/>
          <w:u w:val="single"/>
        </w:rPr>
        <w:t>　　　　　</w:t>
      </w:r>
      <w:r>
        <w:rPr>
          <w:rFonts w:hint="eastAsia" w:hAnsi="宋体"/>
          <w:color w:val="252525" w:themeColor="text1" w:themeTint="D9"/>
          <w:sz w:val="24"/>
        </w:rPr>
        <w:t>元的投标报价（X标段）</w:t>
      </w:r>
      <w:r>
        <w:rPr>
          <w:rFonts w:hint="eastAsia" w:asciiTheme="minorEastAsia" w:hAnsiTheme="minorEastAsia" w:eastAsiaTheme="minorEastAsia"/>
          <w:color w:val="252525" w:themeColor="text1" w:themeTint="D9"/>
          <w:sz w:val="24"/>
        </w:rPr>
        <w:t>，按招标文件的要求承接该项目。</w:t>
      </w:r>
    </w:p>
    <w:p>
      <w:pPr>
        <w:adjustRightInd w:val="0"/>
        <w:spacing w:line="440" w:lineRule="exact"/>
        <w:textAlignment w:val="baseline"/>
        <w:rPr>
          <w:rFonts w:ascii="宋体" w:hAnsi="宋体"/>
          <w:color w:val="000000"/>
          <w:sz w:val="24"/>
        </w:rPr>
      </w:pPr>
      <w:r>
        <w:rPr>
          <w:rFonts w:ascii="宋体" w:hAnsi="宋体"/>
          <w:color w:val="000000"/>
          <w:sz w:val="24"/>
        </w:rPr>
        <w:t xml:space="preserve">    2</w:t>
      </w:r>
      <w:r>
        <w:rPr>
          <w:rFonts w:hint="eastAsia" w:ascii="宋体" w:hAnsi="宋体"/>
          <w:color w:val="000000"/>
          <w:sz w:val="24"/>
        </w:rPr>
        <w:t>、如果我们的投标书被接受，我们将严格履行招标文件中规定的每一项要求，按期、按质、按量履行合同的义务。</w:t>
      </w:r>
    </w:p>
    <w:p>
      <w:pPr>
        <w:adjustRightInd w:val="0"/>
        <w:spacing w:line="440" w:lineRule="exact"/>
        <w:textAlignment w:val="baseline"/>
        <w:rPr>
          <w:rFonts w:ascii="宋体" w:hAnsi="宋体"/>
          <w:color w:val="000000"/>
          <w:sz w:val="24"/>
        </w:rPr>
      </w:pPr>
      <w:r>
        <w:rPr>
          <w:rFonts w:ascii="宋体" w:hAnsi="宋体"/>
          <w:color w:val="000000"/>
          <w:sz w:val="24"/>
        </w:rPr>
        <w:t xml:space="preserve">    3</w:t>
      </w:r>
      <w:r>
        <w:rPr>
          <w:rFonts w:hint="eastAsia" w:ascii="宋体" w:hAnsi="宋体"/>
          <w:color w:val="000000"/>
          <w:sz w:val="24"/>
        </w:rPr>
        <w:t>、我们同意按招标文件中的规定，本投标书的有效期限为开标后</w:t>
      </w:r>
      <w:r>
        <w:rPr>
          <w:rFonts w:hint="eastAsia" w:ascii="宋体" w:hAnsi="宋体"/>
          <w:color w:val="000000"/>
          <w:sz w:val="24"/>
          <w:u w:val="single"/>
        </w:rPr>
        <w:t xml:space="preserve"> 60 </w:t>
      </w:r>
      <w:r>
        <w:rPr>
          <w:rFonts w:hint="eastAsia" w:ascii="宋体" w:hAnsi="宋体"/>
          <w:color w:val="000000"/>
          <w:sz w:val="24"/>
        </w:rPr>
        <w:t>天。</w:t>
      </w:r>
    </w:p>
    <w:p>
      <w:pPr>
        <w:adjustRightInd w:val="0"/>
        <w:spacing w:line="440" w:lineRule="exact"/>
        <w:textAlignment w:val="baseline"/>
        <w:rPr>
          <w:rFonts w:ascii="宋体" w:hAnsi="宋体"/>
          <w:color w:val="000000"/>
          <w:sz w:val="24"/>
        </w:rPr>
      </w:pPr>
      <w:r>
        <w:rPr>
          <w:rFonts w:ascii="宋体" w:hAnsi="宋体"/>
          <w:color w:val="000000"/>
          <w:sz w:val="24"/>
        </w:rPr>
        <w:t xml:space="preserve">    4</w:t>
      </w:r>
      <w:r>
        <w:rPr>
          <w:rFonts w:hint="eastAsia" w:ascii="宋体" w:hAnsi="宋体"/>
          <w:color w:val="000000"/>
          <w:sz w:val="24"/>
        </w:rPr>
        <w:t>、我们愿意提供招标方在招标文件中要求的所有资料。</w:t>
      </w:r>
    </w:p>
    <w:p>
      <w:pPr>
        <w:adjustRightInd w:val="0"/>
        <w:spacing w:line="440" w:lineRule="exact"/>
        <w:textAlignment w:val="baseline"/>
        <w:rPr>
          <w:rFonts w:ascii="宋体" w:hAnsi="宋体"/>
          <w:color w:val="000000"/>
          <w:sz w:val="24"/>
        </w:rPr>
      </w:pPr>
      <w:r>
        <w:rPr>
          <w:rFonts w:ascii="宋体" w:hAnsi="宋体"/>
          <w:color w:val="000000"/>
          <w:sz w:val="24"/>
        </w:rPr>
        <w:t xml:space="preserve">    5</w:t>
      </w:r>
      <w:r>
        <w:rPr>
          <w:rFonts w:hint="eastAsia" w:ascii="宋体" w:hAnsi="宋体"/>
          <w:color w:val="000000"/>
          <w:sz w:val="24"/>
        </w:rPr>
        <w:t>、我们认为你们有权决定中标者，还认为你们有权接受或拒绝所有的投标者。</w:t>
      </w:r>
    </w:p>
    <w:p>
      <w:pPr>
        <w:adjustRightInd w:val="0"/>
        <w:spacing w:line="440" w:lineRule="exact"/>
        <w:textAlignment w:val="baseline"/>
        <w:rPr>
          <w:rFonts w:ascii="宋体" w:hAnsi="宋体"/>
          <w:color w:val="000000"/>
          <w:sz w:val="24"/>
        </w:rPr>
      </w:pPr>
      <w:r>
        <w:rPr>
          <w:rFonts w:ascii="宋体" w:hAnsi="宋体"/>
          <w:color w:val="000000"/>
          <w:sz w:val="24"/>
        </w:rPr>
        <w:t xml:space="preserve">    6</w:t>
      </w:r>
      <w:r>
        <w:rPr>
          <w:rFonts w:hint="eastAsia" w:ascii="宋体" w:hAnsi="宋体"/>
          <w:color w:val="000000"/>
          <w:sz w:val="24"/>
        </w:rPr>
        <w:t>、</w:t>
      </w:r>
      <w:r>
        <w:rPr>
          <w:color w:val="000000"/>
          <w:sz w:val="24"/>
          <w:szCs w:val="24"/>
        </w:rPr>
        <w:t>我们完全理解贵方不一定要接受最低报价的投标或收到的任何投标。</w:t>
      </w:r>
    </w:p>
    <w:p>
      <w:pPr>
        <w:adjustRightInd w:val="0"/>
        <w:spacing w:line="440" w:lineRule="exact"/>
        <w:textAlignment w:val="baseline"/>
        <w:rPr>
          <w:rFonts w:ascii="宋体" w:hAnsi="宋体"/>
          <w:color w:val="000000"/>
          <w:sz w:val="24"/>
        </w:rPr>
      </w:pPr>
      <w:r>
        <w:rPr>
          <w:rFonts w:ascii="宋体" w:hAnsi="宋体"/>
          <w:color w:val="000000"/>
          <w:sz w:val="24"/>
        </w:rPr>
        <w:t xml:space="preserve">    7</w:t>
      </w:r>
      <w:r>
        <w:rPr>
          <w:rFonts w:hint="eastAsia" w:ascii="宋体" w:hAnsi="宋体"/>
          <w:color w:val="000000"/>
          <w:sz w:val="24"/>
        </w:rPr>
        <w:t>、我们承诺该项投标在开标后的全过程中保持有效，不作任何更改和变动。</w:t>
      </w:r>
    </w:p>
    <w:p>
      <w:pPr>
        <w:adjustRightInd w:val="0"/>
        <w:spacing w:line="440" w:lineRule="exact"/>
        <w:ind w:firstLine="480"/>
        <w:textAlignment w:val="baseline"/>
        <w:rPr>
          <w:rFonts w:ascii="宋体" w:hAnsi="宋体"/>
          <w:color w:val="000000"/>
          <w:sz w:val="24"/>
        </w:rPr>
      </w:pPr>
      <w:r>
        <w:rPr>
          <w:rFonts w:ascii="宋体" w:hAnsi="宋体"/>
          <w:color w:val="000000"/>
          <w:sz w:val="24"/>
        </w:rPr>
        <w:t>8</w:t>
      </w:r>
      <w:r>
        <w:rPr>
          <w:rFonts w:hint="eastAsia" w:ascii="宋体" w:hAnsi="宋体"/>
          <w:color w:val="000000"/>
          <w:sz w:val="24"/>
        </w:rPr>
        <w:t>、我们愿意按招标文件的规定交纳</w:t>
      </w:r>
      <w:r>
        <w:rPr>
          <w:rFonts w:hint="eastAsia" w:ascii="宋体" w:hAnsi="宋体"/>
          <w:color w:val="000000"/>
          <w:sz w:val="24"/>
          <w:u w:val="single"/>
        </w:rPr>
        <w:t xml:space="preserve"> / </w:t>
      </w:r>
      <w:r>
        <w:rPr>
          <w:rFonts w:hint="eastAsia" w:ascii="宋体" w:hAnsi="宋体"/>
          <w:color w:val="000000"/>
          <w:sz w:val="24"/>
        </w:rPr>
        <w:t>元的投标保证金；</w:t>
      </w:r>
    </w:p>
    <w:p>
      <w:pPr>
        <w:adjustRightInd w:val="0"/>
        <w:spacing w:line="440" w:lineRule="exact"/>
        <w:ind w:firstLine="480"/>
        <w:textAlignment w:val="baseline"/>
        <w:rPr>
          <w:rFonts w:ascii="宋体" w:hAnsi="宋体"/>
          <w:color w:val="000000"/>
          <w:sz w:val="24"/>
        </w:rPr>
      </w:pPr>
      <w:r>
        <w:rPr>
          <w:rFonts w:hint="eastAsia" w:ascii="宋体" w:hAnsi="宋体"/>
          <w:color w:val="000000"/>
          <w:sz w:val="24"/>
        </w:rPr>
        <w:t>9、如果我们中标，我们愿意在签订合同时按</w:t>
      </w:r>
      <w:r>
        <w:rPr>
          <w:rFonts w:hint="eastAsia" w:ascii="宋体" w:hAnsi="宋体"/>
          <w:color w:val="000000"/>
          <w:sz w:val="24"/>
          <w:u w:val="single"/>
        </w:rPr>
        <w:t>合同金额的10</w:t>
      </w:r>
      <w:r>
        <w:rPr>
          <w:rFonts w:ascii="宋体" w:hAnsi="宋体"/>
          <w:color w:val="000000"/>
          <w:sz w:val="24"/>
          <w:u w:val="single"/>
        </w:rPr>
        <w:t>%</w:t>
      </w:r>
      <w:r>
        <w:rPr>
          <w:rFonts w:hint="eastAsia" w:ascii="宋体" w:hAnsi="宋体"/>
          <w:color w:val="000000"/>
          <w:sz w:val="24"/>
        </w:rPr>
        <w:t>支付履约保证金；</w:t>
      </w:r>
    </w:p>
    <w:p>
      <w:pPr>
        <w:adjustRightInd w:val="0"/>
        <w:spacing w:line="440" w:lineRule="exact"/>
        <w:ind w:firstLine="420"/>
        <w:textAlignment w:val="baseline"/>
        <w:rPr>
          <w:rFonts w:ascii="宋体" w:hAnsi="宋体"/>
          <w:color w:val="000000"/>
          <w:sz w:val="24"/>
        </w:rPr>
      </w:pPr>
      <w:r>
        <w:rPr>
          <w:rFonts w:ascii="宋体" w:hAnsi="宋体"/>
          <w:color w:val="000000"/>
          <w:sz w:val="24"/>
        </w:rPr>
        <w:t>1</w:t>
      </w:r>
      <w:r>
        <w:rPr>
          <w:rFonts w:hint="eastAsia" w:ascii="宋体" w:hAnsi="宋体"/>
          <w:color w:val="000000"/>
          <w:sz w:val="24"/>
        </w:rPr>
        <w:t>0、综合说明：</w:t>
      </w:r>
    </w:p>
    <w:p>
      <w:pPr>
        <w:adjustRightInd w:val="0"/>
        <w:spacing w:line="440" w:lineRule="exact"/>
        <w:ind w:firstLine="420"/>
        <w:textAlignment w:val="baseline"/>
        <w:rPr>
          <w:rFonts w:ascii="宋体" w:hAnsi="宋体"/>
          <w:color w:val="000000"/>
          <w:sz w:val="24"/>
        </w:rPr>
      </w:pPr>
      <w:r>
        <w:rPr>
          <w:rFonts w:hint="eastAsia" w:ascii="宋体" w:hAnsi="宋体"/>
          <w:color w:val="000000"/>
          <w:sz w:val="24"/>
        </w:rPr>
        <w:t>（</w:t>
      </w:r>
      <w:r>
        <w:rPr>
          <w:rFonts w:ascii="宋体" w:hAnsi="宋体"/>
          <w:color w:val="000000"/>
          <w:sz w:val="24"/>
        </w:rPr>
        <w:t>1</w:t>
      </w:r>
      <w:r>
        <w:rPr>
          <w:rFonts w:hint="eastAsia" w:ascii="宋体" w:hAnsi="宋体"/>
          <w:color w:val="000000"/>
          <w:sz w:val="24"/>
        </w:rPr>
        <w:t>）伴随服务及配合措施；</w:t>
      </w:r>
    </w:p>
    <w:p>
      <w:pPr>
        <w:adjustRightInd w:val="0"/>
        <w:spacing w:line="440" w:lineRule="exact"/>
        <w:ind w:firstLine="420"/>
        <w:textAlignment w:val="baseline"/>
        <w:rPr>
          <w:rFonts w:ascii="宋体" w:hAnsi="宋体"/>
          <w:color w:val="000000"/>
          <w:sz w:val="24"/>
        </w:rPr>
      </w:pPr>
      <w:r>
        <w:rPr>
          <w:rFonts w:hint="eastAsia" w:ascii="宋体" w:hAnsi="宋体"/>
          <w:color w:val="000000"/>
          <w:sz w:val="24"/>
        </w:rPr>
        <w:t>（</w:t>
      </w:r>
      <w:r>
        <w:rPr>
          <w:rFonts w:ascii="宋体" w:hAnsi="宋体"/>
          <w:color w:val="000000"/>
          <w:sz w:val="24"/>
        </w:rPr>
        <w:t>2</w:t>
      </w:r>
      <w:r>
        <w:rPr>
          <w:rFonts w:hint="eastAsia" w:ascii="宋体" w:hAnsi="宋体"/>
          <w:color w:val="000000"/>
          <w:sz w:val="24"/>
        </w:rPr>
        <w:t>）要求发包人提供的配合；</w:t>
      </w:r>
    </w:p>
    <w:p>
      <w:pPr>
        <w:adjustRightInd w:val="0"/>
        <w:spacing w:line="440" w:lineRule="exact"/>
        <w:ind w:firstLine="420"/>
        <w:textAlignment w:val="baseline"/>
        <w:rPr>
          <w:rFonts w:ascii="宋体" w:hAnsi="宋体"/>
          <w:color w:val="000000"/>
          <w:sz w:val="24"/>
        </w:rPr>
      </w:pPr>
      <w:r>
        <w:rPr>
          <w:rFonts w:hint="eastAsia" w:ascii="宋体" w:hAnsi="宋体"/>
          <w:color w:val="000000"/>
          <w:sz w:val="24"/>
        </w:rPr>
        <w:t>（</w:t>
      </w:r>
      <w:r>
        <w:rPr>
          <w:rFonts w:ascii="宋体" w:hAnsi="宋体"/>
          <w:color w:val="000000"/>
          <w:sz w:val="24"/>
        </w:rPr>
        <w:t>3</w:t>
      </w:r>
      <w:r>
        <w:rPr>
          <w:rFonts w:hint="eastAsia" w:ascii="宋体" w:hAnsi="宋体"/>
          <w:color w:val="000000"/>
          <w:sz w:val="24"/>
        </w:rPr>
        <w:t>）对招标文件有不同意见的偏离说明；</w:t>
      </w:r>
    </w:p>
    <w:p>
      <w:pPr>
        <w:adjustRightInd w:val="0"/>
        <w:spacing w:line="440" w:lineRule="exact"/>
        <w:ind w:firstLine="420"/>
        <w:textAlignment w:val="baseline"/>
        <w:rPr>
          <w:rFonts w:ascii="宋体" w:hAnsi="宋体"/>
          <w:color w:val="000000"/>
          <w:sz w:val="24"/>
        </w:rPr>
      </w:pPr>
      <w:r>
        <w:rPr>
          <w:rFonts w:hint="eastAsia" w:ascii="宋体" w:hAnsi="宋体"/>
          <w:color w:val="000000"/>
          <w:sz w:val="24"/>
        </w:rPr>
        <w:t>（</w:t>
      </w:r>
      <w:r>
        <w:rPr>
          <w:rFonts w:ascii="宋体" w:hAnsi="宋体"/>
          <w:color w:val="000000"/>
          <w:sz w:val="24"/>
        </w:rPr>
        <w:t>4</w:t>
      </w:r>
      <w:r>
        <w:rPr>
          <w:rFonts w:hint="eastAsia" w:ascii="宋体" w:hAnsi="宋体"/>
          <w:color w:val="000000"/>
          <w:sz w:val="24"/>
        </w:rPr>
        <w:t>）其它说明。</w:t>
      </w:r>
    </w:p>
    <w:p>
      <w:pPr>
        <w:adjustRightInd w:val="0"/>
        <w:spacing w:line="440" w:lineRule="exact"/>
        <w:ind w:firstLine="480" w:firstLineChars="200"/>
        <w:textAlignment w:val="baseline"/>
        <w:rPr>
          <w:rFonts w:ascii="宋体" w:hAnsi="宋体"/>
          <w:color w:val="000000"/>
          <w:sz w:val="24"/>
        </w:rPr>
      </w:pPr>
      <w:r>
        <w:rPr>
          <w:rFonts w:hint="eastAsia" w:ascii="宋体" w:hAnsi="宋体"/>
          <w:color w:val="000000"/>
          <w:sz w:val="24"/>
        </w:rPr>
        <w:t>所有有关标书的函电，请按下列地址联系：</w:t>
      </w:r>
    </w:p>
    <w:p>
      <w:pPr>
        <w:adjustRightInd w:val="0"/>
        <w:spacing w:line="440" w:lineRule="exact"/>
        <w:ind w:firstLine="480" w:firstLineChars="200"/>
        <w:textAlignment w:val="baseline"/>
        <w:rPr>
          <w:rFonts w:ascii="宋体" w:hAnsi="宋体"/>
          <w:color w:val="000000"/>
          <w:sz w:val="24"/>
        </w:rPr>
      </w:pPr>
      <w:r>
        <w:rPr>
          <w:rFonts w:hint="eastAsia" w:ascii="宋体" w:hAnsi="宋体"/>
          <w:color w:val="000000"/>
          <w:sz w:val="24"/>
        </w:rPr>
        <w:t>单位：                         联系人：</w:t>
      </w:r>
    </w:p>
    <w:p>
      <w:pPr>
        <w:adjustRightInd w:val="0"/>
        <w:spacing w:line="440" w:lineRule="exact"/>
        <w:ind w:firstLine="480" w:firstLineChars="200"/>
        <w:textAlignment w:val="baseline"/>
        <w:rPr>
          <w:rFonts w:ascii="宋体" w:hAnsi="宋体"/>
          <w:color w:val="000000"/>
          <w:sz w:val="24"/>
        </w:rPr>
      </w:pPr>
      <w:r>
        <w:rPr>
          <w:rFonts w:hint="eastAsia" w:ascii="宋体" w:hAnsi="宋体"/>
          <w:color w:val="000000"/>
          <w:sz w:val="24"/>
        </w:rPr>
        <w:t>地址：                         邮政编码：</w:t>
      </w:r>
    </w:p>
    <w:p>
      <w:pPr>
        <w:adjustRightInd w:val="0"/>
        <w:spacing w:line="440" w:lineRule="exact"/>
        <w:ind w:firstLine="480" w:firstLineChars="200"/>
        <w:textAlignment w:val="baseline"/>
        <w:rPr>
          <w:rFonts w:ascii="宋体" w:hAnsi="宋体"/>
          <w:color w:val="000000"/>
          <w:sz w:val="24"/>
        </w:rPr>
      </w:pPr>
      <w:r>
        <w:rPr>
          <w:rFonts w:hint="eastAsia" w:ascii="宋体" w:hAnsi="宋体"/>
          <w:color w:val="000000"/>
          <w:sz w:val="24"/>
        </w:rPr>
        <w:t>联系电话：                     传真：</w:t>
      </w:r>
    </w:p>
    <w:p>
      <w:pPr>
        <w:adjustRightInd w:val="0"/>
        <w:spacing w:line="360" w:lineRule="exact"/>
        <w:textAlignment w:val="baseline"/>
        <w:rPr>
          <w:rFonts w:ascii="宋体" w:hAnsi="宋体"/>
          <w:color w:val="000000"/>
          <w:sz w:val="24"/>
        </w:rPr>
      </w:pPr>
    </w:p>
    <w:p>
      <w:pPr>
        <w:adjustRightInd w:val="0"/>
        <w:spacing w:line="360" w:lineRule="exact"/>
        <w:ind w:firstLine="480" w:firstLineChars="200"/>
        <w:textAlignment w:val="baseline"/>
        <w:rPr>
          <w:rFonts w:ascii="宋体" w:hAnsi="宋体"/>
          <w:color w:val="000000"/>
          <w:sz w:val="24"/>
        </w:rPr>
      </w:pPr>
      <w:r>
        <w:rPr>
          <w:rFonts w:hint="eastAsia" w:ascii="宋体" w:hAnsi="宋体"/>
          <w:color w:val="000000"/>
          <w:sz w:val="24"/>
        </w:rPr>
        <w:t>投标单位：（单位盖章）</w:t>
      </w:r>
    </w:p>
    <w:p>
      <w:pPr>
        <w:adjustRightInd w:val="0"/>
        <w:spacing w:line="360" w:lineRule="exact"/>
        <w:ind w:firstLine="480" w:firstLineChars="200"/>
        <w:textAlignment w:val="baseline"/>
        <w:rPr>
          <w:rFonts w:ascii="宋体" w:hAnsi="宋体"/>
          <w:color w:val="000000"/>
          <w:sz w:val="24"/>
        </w:rPr>
      </w:pPr>
    </w:p>
    <w:p>
      <w:pPr>
        <w:adjustRightInd w:val="0"/>
        <w:spacing w:line="360" w:lineRule="exact"/>
        <w:ind w:firstLine="480" w:firstLineChars="200"/>
        <w:textAlignment w:val="baseline"/>
        <w:rPr>
          <w:rFonts w:ascii="宋体" w:hAnsi="宋体"/>
          <w:color w:val="000000"/>
          <w:sz w:val="24"/>
        </w:rPr>
      </w:pPr>
      <w:r>
        <w:rPr>
          <w:rFonts w:hint="eastAsia" w:ascii="宋体" w:hAnsi="宋体"/>
          <w:color w:val="000000"/>
          <w:sz w:val="24"/>
        </w:rPr>
        <w:t>法定代表人或授权代理人（签字或盖章）：</w:t>
      </w:r>
    </w:p>
    <w:p>
      <w:pPr>
        <w:adjustRightInd w:val="0"/>
        <w:spacing w:line="360" w:lineRule="exact"/>
        <w:ind w:firstLine="5220" w:firstLineChars="2175"/>
        <w:textAlignment w:val="baseline"/>
        <w:rPr>
          <w:rFonts w:ascii="宋体" w:hAnsi="宋体"/>
          <w:color w:val="000000"/>
          <w:sz w:val="24"/>
        </w:rPr>
      </w:pPr>
    </w:p>
    <w:p>
      <w:pPr>
        <w:adjustRightInd w:val="0"/>
        <w:spacing w:line="360" w:lineRule="exact"/>
        <w:ind w:firstLine="5220" w:firstLineChars="2175"/>
        <w:textAlignment w:val="baseline"/>
        <w:rPr>
          <w:rFonts w:ascii="宋体" w:hAnsi="宋体"/>
          <w:color w:val="000000"/>
          <w:sz w:val="24"/>
        </w:rPr>
      </w:pPr>
      <w:r>
        <w:rPr>
          <w:rFonts w:hint="eastAsia" w:ascii="宋体" w:hAnsi="宋体"/>
          <w:color w:val="000000"/>
          <w:sz w:val="24"/>
        </w:rPr>
        <w:t>年月日</w:t>
      </w:r>
    </w:p>
    <w:p>
      <w:pPr>
        <w:adjustRightInd w:val="0"/>
        <w:textAlignment w:val="baseline"/>
        <w:rPr>
          <w:rFonts w:ascii="宋体" w:hAnsi="宋体"/>
          <w:color w:val="0C0C0C" w:themeColor="text1" w:themeTint="F2"/>
          <w:sz w:val="32"/>
          <w:szCs w:val="32"/>
        </w:rPr>
      </w:pPr>
    </w:p>
    <w:p>
      <w:pPr>
        <w:jc w:val="center"/>
        <w:rPr>
          <w:rFonts w:asciiTheme="majorEastAsia" w:hAnsiTheme="majorEastAsia" w:eastAsiaTheme="majorEastAsia"/>
          <w:color w:val="0C0C0C" w:themeColor="text1" w:themeTint="F2"/>
          <w:sz w:val="28"/>
          <w:szCs w:val="28"/>
        </w:rPr>
      </w:pPr>
      <w:r>
        <w:rPr>
          <w:rFonts w:hint="eastAsia" w:asciiTheme="majorEastAsia" w:hAnsiTheme="majorEastAsia" w:eastAsiaTheme="majorEastAsia"/>
          <w:color w:val="0C0C0C" w:themeColor="text1" w:themeTint="F2"/>
          <w:sz w:val="28"/>
          <w:szCs w:val="28"/>
        </w:rPr>
        <w:t>五、中小企业声明函</w:t>
      </w:r>
    </w:p>
    <w:p>
      <w:pPr>
        <w:widowControl/>
        <w:adjustRightInd w:val="0"/>
        <w:snapToGrid w:val="0"/>
        <w:spacing w:line="360" w:lineRule="auto"/>
        <w:ind w:left="142" w:firstLine="480" w:firstLineChars="20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本公司郑重声明，根据《政府采购促进中小企业发展暂行办法》（财库[2011]181号）的规定，本公司为_________（请填写：中型、小型、微型）企业。即，本公司同时满足以下条件：</w:t>
      </w:r>
    </w:p>
    <w:p>
      <w:pPr>
        <w:widowControl/>
        <w:adjustRightInd w:val="0"/>
        <w:snapToGrid w:val="0"/>
        <w:spacing w:line="360" w:lineRule="auto"/>
        <w:ind w:left="141" w:leftChars="67"/>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1.根据《工业和信息化部、国家统计局、国家发展和改革委员会、财政部关于印发中小企业划型标准规定的通知》（工信部联企业[2011]300号）规定的划分标准，本公司为__________（请填写：中型、小型、微型）企业。</w:t>
      </w:r>
    </w:p>
    <w:p>
      <w:pPr>
        <w:widowControl/>
        <w:adjustRightInd w:val="0"/>
        <w:snapToGrid w:val="0"/>
        <w:spacing w:line="360" w:lineRule="auto"/>
        <w:ind w:left="141" w:leftChars="67"/>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2.本公司参加单位的项目采购活动提供本企业制造的货物，由本企业承担工程、提供服务，或者提供其他_________（请填写：中型、小型、微型）企业制造的货物。本条所称货物不包括使用大型企业注册商标的货物。</w:t>
      </w:r>
    </w:p>
    <w:p>
      <w:pPr>
        <w:widowControl/>
        <w:adjustRightInd w:val="0"/>
        <w:snapToGrid w:val="0"/>
        <w:spacing w:line="360" w:lineRule="auto"/>
        <w:ind w:left="141" w:leftChars="67"/>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本公司对上述声明的真实性负责。如有虚假，将依法承担相应责任。</w:t>
      </w:r>
    </w:p>
    <w:p>
      <w:pPr>
        <w:widowControl/>
        <w:adjustRightInd w:val="0"/>
        <w:snapToGrid w:val="0"/>
        <w:spacing w:line="360" w:lineRule="auto"/>
        <w:ind w:left="141" w:leftChars="67" w:right="480"/>
        <w:jc w:val="center"/>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xml:space="preserve">                                   投标人</w:t>
      </w:r>
      <w:r>
        <w:rPr>
          <w:rFonts w:cs="宋体" w:asciiTheme="majorEastAsia" w:hAnsiTheme="majorEastAsia" w:eastAsiaTheme="majorEastAsia"/>
          <w:color w:val="0C0C0C" w:themeColor="text1" w:themeTint="F2"/>
          <w:kern w:val="0"/>
          <w:sz w:val="24"/>
        </w:rPr>
        <w:t>公章：</w:t>
      </w:r>
    </w:p>
    <w:p>
      <w:pPr>
        <w:widowControl/>
        <w:adjustRightInd w:val="0"/>
        <w:snapToGrid w:val="0"/>
        <w:spacing w:line="360" w:lineRule="auto"/>
        <w:ind w:left="141" w:leftChars="67" w:firstLine="6000" w:firstLineChars="250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日期：</w:t>
      </w:r>
    </w:p>
    <w:p>
      <w:pPr>
        <w:widowControl/>
        <w:adjustRightInd w:val="0"/>
        <w:snapToGrid w:val="0"/>
        <w:spacing w:line="360" w:lineRule="auto"/>
        <w:ind w:left="141" w:leftChars="67"/>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备注：1、投标人若不提供本声明函的，将不能享受政府采购扶持中小微型企业的政策。</w:t>
      </w:r>
    </w:p>
    <w:p>
      <w:pPr>
        <w:widowControl/>
        <w:adjustRightInd w:val="0"/>
        <w:snapToGrid w:val="0"/>
        <w:spacing w:line="360" w:lineRule="auto"/>
        <w:ind w:left="141" w:leftChars="67"/>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xml:space="preserve">     2、中小企业（含中型、小型、微型企业，下同）应当同时符合以下条件：</w:t>
      </w:r>
    </w:p>
    <w:p>
      <w:pPr>
        <w:widowControl/>
        <w:adjustRightInd w:val="0"/>
        <w:snapToGrid w:val="0"/>
        <w:spacing w:line="360" w:lineRule="auto"/>
        <w:ind w:left="141" w:leftChars="67" w:firstLine="840" w:firstLineChars="3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（一）符合中小企业划分标准；</w:t>
      </w:r>
    </w:p>
    <w:p>
      <w:pPr>
        <w:widowControl/>
        <w:adjustRightInd w:val="0"/>
        <w:snapToGrid w:val="0"/>
        <w:spacing w:line="360" w:lineRule="auto"/>
        <w:ind w:left="141" w:leftChars="67" w:firstLine="840" w:firstLineChars="35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（二）提供本企业制造的货物、承担的工程或者服务，或者提供其他中小企业制造的货物。本项所称货物不包括使用大型企业注册商标的货物。</w:t>
      </w:r>
    </w:p>
    <w:p>
      <w:pPr>
        <w:widowControl/>
        <w:adjustRightInd w:val="0"/>
        <w:snapToGrid w:val="0"/>
        <w:spacing w:line="360" w:lineRule="auto"/>
        <w:ind w:left="141" w:leftChars="67" w:firstLine="480" w:firstLineChars="20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3、小型、微型企业提供中型企业制造的货物的，视同为中型企业。</w:t>
      </w:r>
    </w:p>
    <w:p>
      <w:pPr>
        <w:jc w:val="center"/>
        <w:rPr>
          <w:rFonts w:cs="宋体" w:asciiTheme="majorEastAsia" w:hAnsiTheme="majorEastAsia" w:eastAsiaTheme="majorEastAsia"/>
          <w:color w:val="0C0C0C" w:themeColor="text1" w:themeTint="F2"/>
          <w:kern w:val="0"/>
          <w:sz w:val="24"/>
        </w:rPr>
      </w:pPr>
    </w:p>
    <w:p>
      <w:pPr>
        <w:jc w:val="center"/>
        <w:rPr>
          <w:rFonts w:cs="宋体" w:asciiTheme="majorEastAsia" w:hAnsiTheme="majorEastAsia" w:eastAsiaTheme="majorEastAsia"/>
          <w:color w:val="0C0C0C" w:themeColor="text1" w:themeTint="F2"/>
          <w:kern w:val="0"/>
          <w:sz w:val="24"/>
        </w:rPr>
      </w:pPr>
    </w:p>
    <w:p>
      <w:pPr>
        <w:jc w:val="center"/>
        <w:rPr>
          <w:rFonts w:cs="宋体" w:asciiTheme="majorEastAsia" w:hAnsiTheme="majorEastAsia" w:eastAsiaTheme="majorEastAsia"/>
          <w:color w:val="0C0C0C" w:themeColor="text1" w:themeTint="F2"/>
          <w:kern w:val="0"/>
          <w:sz w:val="24"/>
        </w:rPr>
      </w:pPr>
    </w:p>
    <w:p>
      <w:pPr>
        <w:jc w:val="center"/>
        <w:rPr>
          <w:rFonts w:cs="宋体" w:asciiTheme="majorEastAsia" w:hAnsiTheme="majorEastAsia" w:eastAsiaTheme="majorEastAsia"/>
          <w:color w:val="0C0C0C" w:themeColor="text1" w:themeTint="F2"/>
          <w:kern w:val="0"/>
          <w:sz w:val="24"/>
        </w:rPr>
      </w:pPr>
    </w:p>
    <w:p>
      <w:pPr>
        <w:jc w:val="center"/>
        <w:rPr>
          <w:rFonts w:cs="宋体" w:asciiTheme="majorEastAsia" w:hAnsiTheme="majorEastAsia" w:eastAsiaTheme="majorEastAsia"/>
          <w:color w:val="0C0C0C" w:themeColor="text1" w:themeTint="F2"/>
          <w:kern w:val="0"/>
          <w:sz w:val="24"/>
        </w:rPr>
      </w:pPr>
    </w:p>
    <w:p>
      <w:pPr>
        <w:jc w:val="center"/>
        <w:rPr>
          <w:rFonts w:cs="宋体" w:asciiTheme="majorEastAsia" w:hAnsiTheme="majorEastAsia" w:eastAsiaTheme="majorEastAsia"/>
          <w:color w:val="0C0C0C" w:themeColor="text1" w:themeTint="F2"/>
          <w:kern w:val="0"/>
          <w:sz w:val="24"/>
        </w:rPr>
      </w:pPr>
    </w:p>
    <w:p>
      <w:pPr>
        <w:jc w:val="center"/>
        <w:rPr>
          <w:rFonts w:cs="宋体" w:asciiTheme="majorEastAsia" w:hAnsiTheme="majorEastAsia" w:eastAsiaTheme="majorEastAsia"/>
          <w:color w:val="0C0C0C" w:themeColor="text1" w:themeTint="F2"/>
          <w:kern w:val="0"/>
          <w:sz w:val="24"/>
        </w:rPr>
      </w:pPr>
    </w:p>
    <w:p>
      <w:pPr>
        <w:jc w:val="center"/>
        <w:rPr>
          <w:rFonts w:cs="宋体" w:asciiTheme="majorEastAsia" w:hAnsiTheme="majorEastAsia" w:eastAsiaTheme="majorEastAsia"/>
          <w:color w:val="0C0C0C" w:themeColor="text1" w:themeTint="F2"/>
          <w:kern w:val="0"/>
          <w:sz w:val="24"/>
        </w:rPr>
      </w:pPr>
    </w:p>
    <w:p>
      <w:pPr>
        <w:jc w:val="center"/>
        <w:rPr>
          <w:rFonts w:asciiTheme="majorEastAsia" w:hAnsiTheme="majorEastAsia" w:eastAsiaTheme="majorEastAsia"/>
          <w:color w:val="0C0C0C" w:themeColor="text1" w:themeTint="F2"/>
          <w:sz w:val="28"/>
          <w:szCs w:val="28"/>
        </w:rPr>
      </w:pPr>
      <w:r>
        <w:rPr>
          <w:rFonts w:hint="eastAsia" w:asciiTheme="majorEastAsia" w:hAnsiTheme="majorEastAsia" w:eastAsiaTheme="majorEastAsia"/>
          <w:color w:val="0C0C0C" w:themeColor="text1" w:themeTint="F2"/>
          <w:sz w:val="28"/>
          <w:szCs w:val="28"/>
        </w:rPr>
        <w:t>六、残疾人福利性单位声明函</w:t>
      </w:r>
    </w:p>
    <w:p>
      <w:pPr>
        <w:widowControl/>
        <w:adjustRightInd w:val="0"/>
        <w:snapToGrid w:val="0"/>
        <w:spacing w:line="360" w:lineRule="auto"/>
        <w:ind w:left="142" w:firstLine="480" w:firstLineChars="20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本单位郑重声明，根据《财政部 民政部 中国残疾人联合会关于促进残疾人就业政府采购政策的通知》（财库〔2017〕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widowControl/>
        <w:adjustRightInd w:val="0"/>
        <w:snapToGrid w:val="0"/>
        <w:spacing w:line="360" w:lineRule="auto"/>
        <w:ind w:left="142" w:firstLine="480" w:firstLineChars="200"/>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本单位对上述声明的真实性负责。如有虚假，将依法承担相应责任。</w:t>
      </w:r>
    </w:p>
    <w:p>
      <w:pPr>
        <w:widowControl/>
        <w:adjustRightInd w:val="0"/>
        <w:snapToGrid w:val="0"/>
        <w:spacing w:line="360" w:lineRule="auto"/>
        <w:ind w:left="142" w:firstLine="480" w:firstLineChars="200"/>
        <w:rPr>
          <w:rFonts w:cs="宋体" w:asciiTheme="majorEastAsia" w:hAnsiTheme="majorEastAsia" w:eastAsiaTheme="majorEastAsia"/>
          <w:color w:val="0C0C0C" w:themeColor="text1" w:themeTint="F2"/>
          <w:kern w:val="0"/>
          <w:sz w:val="24"/>
        </w:rPr>
      </w:pPr>
    </w:p>
    <w:p>
      <w:pPr>
        <w:widowControl/>
        <w:adjustRightInd w:val="0"/>
        <w:snapToGrid w:val="0"/>
        <w:spacing w:line="360" w:lineRule="auto"/>
        <w:ind w:left="142" w:firstLine="480" w:firstLineChars="200"/>
        <w:rPr>
          <w:rFonts w:cs="宋体" w:asciiTheme="majorEastAsia" w:hAnsiTheme="majorEastAsia" w:eastAsiaTheme="majorEastAsia"/>
          <w:color w:val="0C0C0C" w:themeColor="text1" w:themeTint="F2"/>
          <w:kern w:val="0"/>
          <w:sz w:val="24"/>
        </w:rPr>
      </w:pPr>
    </w:p>
    <w:p>
      <w:pPr>
        <w:jc w:val="center"/>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xml:space="preserve">                   投标人公章：</w:t>
      </w:r>
    </w:p>
    <w:p>
      <w:pPr>
        <w:jc w:val="center"/>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　　　　　　日期：</w:t>
      </w:r>
    </w:p>
    <w:p>
      <w:pPr>
        <w:pStyle w:val="47"/>
        <w:shd w:val="clear" w:color="auto" w:fill="FFFFFF"/>
        <w:spacing w:before="0" w:beforeAutospacing="0" w:after="0" w:afterAutospacing="0" w:line="440" w:lineRule="exact"/>
        <w:textAlignment w:val="baseline"/>
        <w:rPr>
          <w:rFonts w:asciiTheme="majorEastAsia" w:hAnsiTheme="majorEastAsia" w:eastAsiaTheme="majorEastAsia"/>
          <w:color w:val="0C0C0C" w:themeColor="text1" w:themeTint="F2"/>
        </w:rPr>
      </w:pPr>
      <w:r>
        <w:rPr>
          <w:rFonts w:hint="eastAsia" w:asciiTheme="majorEastAsia" w:hAnsiTheme="majorEastAsia" w:eastAsiaTheme="majorEastAsia"/>
          <w:color w:val="0C0C0C" w:themeColor="text1" w:themeTint="F2"/>
        </w:rPr>
        <w:t>享受政府采购支持政策的残疾人福利性单位应当同时满足以下条件：</w:t>
      </w:r>
    </w:p>
    <w:p>
      <w:pPr>
        <w:pStyle w:val="47"/>
        <w:shd w:val="clear" w:color="auto" w:fill="FFFFFF"/>
        <w:spacing w:before="0" w:beforeAutospacing="0" w:after="0" w:afterAutospacing="0" w:line="440" w:lineRule="exact"/>
        <w:textAlignment w:val="baseline"/>
        <w:rPr>
          <w:rFonts w:asciiTheme="majorEastAsia" w:hAnsiTheme="majorEastAsia" w:eastAsiaTheme="majorEastAsia"/>
          <w:color w:val="0C0C0C" w:themeColor="text1" w:themeTint="F2"/>
        </w:rPr>
      </w:pPr>
      <w:r>
        <w:rPr>
          <w:rFonts w:hint="eastAsia" w:asciiTheme="majorEastAsia" w:hAnsiTheme="majorEastAsia" w:eastAsiaTheme="majorEastAsia"/>
          <w:color w:val="0C0C0C" w:themeColor="text1" w:themeTint="F2"/>
        </w:rPr>
        <w:t>　　（一）安置的残疾人占本单位在职职工人数的比例不低于25%（含25%），并且安置的残疾人人数不少于10人（含10人）；</w:t>
      </w:r>
    </w:p>
    <w:p>
      <w:pPr>
        <w:pStyle w:val="47"/>
        <w:shd w:val="clear" w:color="auto" w:fill="FFFFFF"/>
        <w:spacing w:before="0" w:beforeAutospacing="0" w:after="0" w:afterAutospacing="0" w:line="440" w:lineRule="exact"/>
        <w:textAlignment w:val="baseline"/>
        <w:rPr>
          <w:rFonts w:asciiTheme="majorEastAsia" w:hAnsiTheme="majorEastAsia" w:eastAsiaTheme="majorEastAsia"/>
          <w:color w:val="0C0C0C" w:themeColor="text1" w:themeTint="F2"/>
        </w:rPr>
      </w:pPr>
      <w:r>
        <w:rPr>
          <w:rFonts w:hint="eastAsia" w:asciiTheme="majorEastAsia" w:hAnsiTheme="majorEastAsia" w:eastAsiaTheme="majorEastAsia"/>
          <w:color w:val="0C0C0C" w:themeColor="text1" w:themeTint="F2"/>
        </w:rPr>
        <w:t>　　（二）依法与安置的每位残疾人签订了一年以上（含一年）的劳动合同或服务协议；</w:t>
      </w:r>
    </w:p>
    <w:p>
      <w:pPr>
        <w:pStyle w:val="47"/>
        <w:shd w:val="clear" w:color="auto" w:fill="FFFFFF"/>
        <w:spacing w:before="0" w:beforeAutospacing="0" w:after="0" w:afterAutospacing="0" w:line="440" w:lineRule="exact"/>
        <w:textAlignment w:val="baseline"/>
        <w:rPr>
          <w:rFonts w:asciiTheme="majorEastAsia" w:hAnsiTheme="majorEastAsia" w:eastAsiaTheme="majorEastAsia"/>
          <w:color w:val="0C0C0C" w:themeColor="text1" w:themeTint="F2"/>
        </w:rPr>
      </w:pPr>
      <w:r>
        <w:rPr>
          <w:rFonts w:hint="eastAsia" w:asciiTheme="majorEastAsia" w:hAnsiTheme="majorEastAsia" w:eastAsiaTheme="majorEastAsia"/>
          <w:color w:val="0C0C0C" w:themeColor="text1" w:themeTint="F2"/>
        </w:rPr>
        <w:t>　　（三）为安置的每位残疾人按月足额缴纳了基本养老保险、基本医疗保险、失业保险、工伤保险和生育保险等社会保险费；</w:t>
      </w:r>
    </w:p>
    <w:p>
      <w:pPr>
        <w:pStyle w:val="47"/>
        <w:shd w:val="clear" w:color="auto" w:fill="FFFFFF"/>
        <w:spacing w:before="0" w:beforeAutospacing="0" w:after="0" w:afterAutospacing="0" w:line="440" w:lineRule="exact"/>
        <w:textAlignment w:val="baseline"/>
        <w:rPr>
          <w:rFonts w:asciiTheme="majorEastAsia" w:hAnsiTheme="majorEastAsia" w:eastAsiaTheme="majorEastAsia"/>
          <w:color w:val="0C0C0C" w:themeColor="text1" w:themeTint="F2"/>
        </w:rPr>
      </w:pPr>
      <w:r>
        <w:rPr>
          <w:rFonts w:hint="eastAsia" w:asciiTheme="majorEastAsia" w:hAnsiTheme="majorEastAsia" w:eastAsiaTheme="majorEastAsia"/>
          <w:color w:val="0C0C0C" w:themeColor="text1" w:themeTint="F2"/>
        </w:rPr>
        <w:t>　　（四）通过银行等金融机构向安置的每位残疾人，按月支付了不低于单位所在区县适用的经省级人民政府批准的月最低工资标准的工资；</w:t>
      </w:r>
    </w:p>
    <w:p>
      <w:pPr>
        <w:pStyle w:val="47"/>
        <w:shd w:val="clear" w:color="auto" w:fill="FFFFFF"/>
        <w:spacing w:before="0" w:beforeAutospacing="0" w:after="0" w:afterAutospacing="0" w:line="440" w:lineRule="exact"/>
        <w:textAlignment w:val="baseline"/>
        <w:rPr>
          <w:rFonts w:asciiTheme="majorEastAsia" w:hAnsiTheme="majorEastAsia" w:eastAsiaTheme="majorEastAsia"/>
          <w:color w:val="0C0C0C" w:themeColor="text1" w:themeTint="F2"/>
        </w:rPr>
      </w:pPr>
      <w:r>
        <w:rPr>
          <w:rFonts w:hint="eastAsia" w:asciiTheme="majorEastAsia" w:hAnsiTheme="majorEastAsia" w:eastAsiaTheme="majorEastAsia"/>
          <w:color w:val="0C0C0C" w:themeColor="text1" w:themeTint="F2"/>
        </w:rPr>
        <w:t>　　（五）提供本单位制造的货物、承担的工程或者服务（以下简称产品），或者提供其他残疾人福利性单位制造的货物（不包括使用非残疾人福利性单位注册商标的货物）。</w:t>
      </w:r>
    </w:p>
    <w:p>
      <w:pPr>
        <w:pStyle w:val="47"/>
        <w:shd w:val="clear" w:color="auto" w:fill="FFFFFF"/>
        <w:spacing w:before="0" w:beforeAutospacing="0" w:after="0" w:afterAutospacing="0" w:line="440" w:lineRule="exact"/>
        <w:ind w:firstLine="480"/>
        <w:textAlignment w:val="baseline"/>
        <w:rPr>
          <w:rFonts w:asciiTheme="majorEastAsia" w:hAnsiTheme="majorEastAsia" w:eastAsiaTheme="majorEastAsia"/>
          <w:color w:val="0C0C0C" w:themeColor="text1" w:themeTint="F2"/>
        </w:rPr>
      </w:pPr>
      <w:r>
        <w:rPr>
          <w:rFonts w:hint="eastAsia" w:asciiTheme="majorEastAsia" w:hAnsiTheme="majorEastAsia" w:eastAsiaTheme="majorEastAsia"/>
          <w:color w:val="0C0C0C" w:themeColor="text1" w:themeTint="F2"/>
        </w:rPr>
        <w:t>前款所称残疾人是指法定劳动年龄内，持有《中华人民共和国残疾人证》或者《中华人民共和国残疾军人证（1至8级）》的自然人，包括具有劳动条件和劳动意愿的精神残疾人。在职职工人数是指与残疾人福利性单位建立劳动关系并依法签订劳动合同或者服务协议的雇员人数。</w:t>
      </w:r>
    </w:p>
    <w:p>
      <w:pPr>
        <w:widowControl/>
        <w:adjustRightInd w:val="0"/>
        <w:snapToGrid w:val="0"/>
        <w:spacing w:line="360" w:lineRule="auto"/>
        <w:jc w:val="center"/>
        <w:rPr>
          <w:rFonts w:cs="宋体" w:asciiTheme="majorEastAsia" w:hAnsiTheme="majorEastAsia" w:eastAsiaTheme="majorEastAsia"/>
          <w:color w:val="0C0C0C" w:themeColor="text1" w:themeTint="F2"/>
          <w:kern w:val="0"/>
          <w:sz w:val="24"/>
        </w:rPr>
      </w:pPr>
      <w:r>
        <w:rPr>
          <w:rFonts w:cs="宋体" w:asciiTheme="majorEastAsia" w:hAnsiTheme="majorEastAsia" w:eastAsiaTheme="majorEastAsia"/>
          <w:color w:val="0C0C0C" w:themeColor="text1" w:themeTint="F2"/>
          <w:kern w:val="0"/>
          <w:sz w:val="24"/>
        </w:rPr>
        <w:br w:type="page"/>
      </w:r>
    </w:p>
    <w:p>
      <w:pPr>
        <w:jc w:val="center"/>
        <w:rPr>
          <w:rFonts w:cs="宋体" w:asciiTheme="majorEastAsia" w:hAnsiTheme="majorEastAsia" w:eastAsiaTheme="majorEastAsia"/>
          <w:color w:val="0C0C0C" w:themeColor="text1" w:themeTint="F2"/>
          <w:sz w:val="28"/>
          <w:szCs w:val="28"/>
        </w:rPr>
      </w:pPr>
      <w:r>
        <w:rPr>
          <w:rFonts w:hint="eastAsia" w:cs="宋体" w:asciiTheme="majorEastAsia" w:hAnsiTheme="majorEastAsia" w:eastAsiaTheme="majorEastAsia"/>
          <w:color w:val="0C0C0C" w:themeColor="text1" w:themeTint="F2"/>
          <w:sz w:val="28"/>
          <w:szCs w:val="28"/>
        </w:rPr>
        <w:t>七、监狱企业证明函</w:t>
      </w:r>
    </w:p>
    <w:p>
      <w:pPr>
        <w:widowControl/>
        <w:spacing w:beforeLines="50" w:afterLines="50" w:line="480" w:lineRule="exact"/>
        <w:ind w:firstLine="645"/>
        <w:jc w:val="left"/>
        <w:outlineLvl w:val="2"/>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根据《财政部 司法部关于政府采购支持监狱企业发展有关问题的通知》（财库[2014]68号）的规定，（填写供应商法定全称）为监狱企业。</w:t>
      </w:r>
    </w:p>
    <w:p>
      <w:pPr>
        <w:widowControl/>
        <w:spacing w:beforeLines="50" w:afterLines="50" w:line="480" w:lineRule="exact"/>
        <w:ind w:firstLine="645"/>
        <w:jc w:val="left"/>
        <w:outlineLvl w:val="2"/>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特此声明。</w:t>
      </w:r>
    </w:p>
    <w:p>
      <w:pPr>
        <w:widowControl/>
        <w:spacing w:beforeLines="50" w:afterLines="50" w:line="480" w:lineRule="exact"/>
        <w:ind w:firstLine="1440" w:firstLineChars="600"/>
        <w:jc w:val="left"/>
        <w:outlineLvl w:val="2"/>
        <w:rPr>
          <w:rFonts w:cs="宋体" w:asciiTheme="majorEastAsia" w:hAnsiTheme="majorEastAsia" w:eastAsiaTheme="majorEastAsia"/>
          <w:color w:val="0C0C0C" w:themeColor="text1" w:themeTint="F2"/>
          <w:kern w:val="0"/>
          <w:sz w:val="24"/>
        </w:rPr>
      </w:pPr>
    </w:p>
    <w:p>
      <w:pPr>
        <w:widowControl/>
        <w:spacing w:beforeLines="50" w:afterLines="50" w:line="480" w:lineRule="exact"/>
        <w:ind w:firstLine="1440" w:firstLineChars="600"/>
        <w:jc w:val="left"/>
        <w:outlineLvl w:val="2"/>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省级以上监狱管理局、戒毒管理局（含新疆生产建设兵团）（盖章）：</w:t>
      </w:r>
    </w:p>
    <w:p>
      <w:pPr>
        <w:widowControl/>
        <w:adjustRightInd w:val="0"/>
        <w:snapToGrid w:val="0"/>
        <w:spacing w:line="360" w:lineRule="auto"/>
        <w:jc w:val="center"/>
        <w:rPr>
          <w:rFonts w:cs="宋体" w:asciiTheme="majorEastAsia" w:hAnsiTheme="majorEastAsia" w:eastAsiaTheme="majorEastAsia"/>
          <w:color w:val="0C0C0C" w:themeColor="text1" w:themeTint="F2"/>
          <w:kern w:val="0"/>
          <w:sz w:val="24"/>
        </w:rPr>
      </w:pPr>
    </w:p>
    <w:p>
      <w:pPr>
        <w:widowControl/>
        <w:adjustRightInd w:val="0"/>
        <w:snapToGrid w:val="0"/>
        <w:spacing w:line="360" w:lineRule="auto"/>
        <w:jc w:val="center"/>
        <w:rPr>
          <w:rFonts w:cs="宋体" w:asciiTheme="majorEastAsia" w:hAnsiTheme="majorEastAsia" w:eastAsiaTheme="majorEastAsia"/>
          <w:color w:val="0C0C0C" w:themeColor="text1" w:themeTint="F2"/>
          <w:kern w:val="0"/>
          <w:sz w:val="24"/>
        </w:rPr>
      </w:pPr>
    </w:p>
    <w:p>
      <w:pPr>
        <w:widowControl/>
        <w:adjustRightInd w:val="0"/>
        <w:snapToGrid w:val="0"/>
        <w:spacing w:line="360" w:lineRule="auto"/>
        <w:jc w:val="center"/>
        <w:rPr>
          <w:rFonts w:cs="宋体" w:asciiTheme="majorEastAsia" w:hAnsiTheme="majorEastAsia" w:eastAsiaTheme="majorEastAsia"/>
          <w:color w:val="0C0C0C" w:themeColor="text1" w:themeTint="F2"/>
          <w:kern w:val="0"/>
          <w:sz w:val="24"/>
        </w:rPr>
      </w:pPr>
    </w:p>
    <w:p>
      <w:pPr>
        <w:widowControl/>
        <w:adjustRightInd w:val="0"/>
        <w:snapToGrid w:val="0"/>
        <w:spacing w:line="360" w:lineRule="auto"/>
        <w:jc w:val="center"/>
        <w:rPr>
          <w:rFonts w:cs="宋体" w:asciiTheme="majorEastAsia" w:hAnsiTheme="majorEastAsia" w:eastAsiaTheme="majorEastAsia"/>
          <w:color w:val="0C0C0C" w:themeColor="text1" w:themeTint="F2"/>
          <w:kern w:val="0"/>
          <w:sz w:val="28"/>
          <w:szCs w:val="28"/>
        </w:rPr>
      </w:pPr>
      <w:r>
        <w:rPr>
          <w:rFonts w:hint="eastAsia" w:cs="宋体" w:asciiTheme="majorEastAsia" w:hAnsiTheme="majorEastAsia" w:eastAsiaTheme="majorEastAsia"/>
          <w:color w:val="0C0C0C" w:themeColor="text1" w:themeTint="F2"/>
          <w:kern w:val="0"/>
          <w:sz w:val="28"/>
          <w:szCs w:val="28"/>
        </w:rPr>
        <w:t>八、中小企业划型标准规定</w:t>
      </w:r>
    </w:p>
    <w:p>
      <w:pPr>
        <w:widowControl/>
        <w:adjustRightInd w:val="0"/>
        <w:snapToGrid w:val="0"/>
        <w:spacing w:line="360" w:lineRule="auto"/>
        <w:ind w:left="141" w:leftChars="67"/>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本规定适用的行业包括：农、林、牧、渔业，工业（包括采矿业，制造业，电力、热力、燃气及水生产和供应业），建筑业，批发业，零售业，交通运输业（不含铁路运输业），仓储业，邮政业，住宿业，餐饮业，信息传输业（包括电信、互联网和相关服务），软件和信息技术服务业，房地产开发经营，物业管理，租赁和商务服务业，其他未列明行业（包括科学研究和技术服务业，水利、环境和公共设施管理业，居民服务、修理和其他服务业，社会工作，文化、体育和娱乐业等）。</w:t>
      </w:r>
    </w:p>
    <w:p>
      <w:pPr>
        <w:widowControl/>
        <w:adjustRightInd w:val="0"/>
        <w:snapToGrid w:val="0"/>
        <w:spacing w:line="360" w:lineRule="auto"/>
        <w:ind w:left="141" w:leftChars="67"/>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各行业划型标准为：</w:t>
      </w:r>
    </w:p>
    <w:p>
      <w:pPr>
        <w:widowControl/>
        <w:adjustRightInd w:val="0"/>
        <w:snapToGrid w:val="0"/>
        <w:spacing w:line="360" w:lineRule="auto"/>
        <w:ind w:left="141" w:leftChars="67"/>
        <w:rPr>
          <w:rFonts w:cs="宋体" w:asciiTheme="majorEastAsia" w:hAnsiTheme="majorEastAsia" w:eastAsiaTheme="majorEastAsia"/>
          <w:color w:val="0C0C0C" w:themeColor="text1" w:themeTint="F2"/>
          <w:kern w:val="0"/>
          <w:sz w:val="24"/>
        </w:rPr>
      </w:pPr>
      <w:r>
        <w:rPr>
          <w:rFonts w:hint="eastAsia" w:cs="宋体" w:asciiTheme="majorEastAsia" w:hAnsiTheme="majorEastAsia" w:eastAsiaTheme="majorEastAsia"/>
          <w:color w:val="0C0C0C" w:themeColor="text1" w:themeTint="F2"/>
          <w:kern w:val="0"/>
          <w:sz w:val="24"/>
        </w:rPr>
        <w:t>（一）农、林、牧、渔业。营业收入20000万元以下的为中小微型企业。其中，营业收入500万元及以上的为中型企业，营业收入50万元及以上的为小型企业，营业收入50万元以下的为微型企业。</w:t>
      </w:r>
      <w:r>
        <w:rPr>
          <w:rFonts w:hint="eastAsia" w:cs="宋体" w:asciiTheme="majorEastAsia" w:hAnsiTheme="majorEastAsia" w:eastAsiaTheme="majorEastAsia"/>
          <w:color w:val="0C0C0C" w:themeColor="text1" w:themeTint="F2"/>
          <w:kern w:val="0"/>
          <w:sz w:val="24"/>
        </w:rPr>
        <w:br w:type="textWrapping"/>
      </w:r>
      <w:r>
        <w:rPr>
          <w:rFonts w:hint="eastAsia" w:cs="宋体" w:asciiTheme="majorEastAsia" w:hAnsiTheme="majorEastAsia" w:eastAsiaTheme="majorEastAsia"/>
          <w:color w:val="0C0C0C" w:themeColor="text1" w:themeTint="F2"/>
          <w:kern w:val="0"/>
          <w:sz w:val="24"/>
        </w:rPr>
        <w:t>　　（二）工业。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r>
        <w:rPr>
          <w:rFonts w:hint="eastAsia" w:cs="宋体" w:asciiTheme="majorEastAsia" w:hAnsiTheme="majorEastAsia" w:eastAsiaTheme="majorEastAsia"/>
          <w:color w:val="0C0C0C" w:themeColor="text1" w:themeTint="F2"/>
          <w:kern w:val="0"/>
          <w:sz w:val="24"/>
        </w:rPr>
        <w:br w:type="textWrapping"/>
      </w:r>
      <w:r>
        <w:rPr>
          <w:rFonts w:hint="eastAsia" w:cs="宋体" w:asciiTheme="majorEastAsia" w:hAnsiTheme="majorEastAsia" w:eastAsiaTheme="majorEastAsia"/>
          <w:color w:val="0C0C0C" w:themeColor="text1" w:themeTint="F2"/>
          <w:kern w:val="0"/>
          <w:sz w:val="24"/>
        </w:rPr>
        <w:t>　　（三）建筑业。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r>
        <w:rPr>
          <w:rFonts w:hint="eastAsia" w:cs="宋体" w:asciiTheme="majorEastAsia" w:hAnsiTheme="majorEastAsia" w:eastAsiaTheme="majorEastAsia"/>
          <w:color w:val="0C0C0C" w:themeColor="text1" w:themeTint="F2"/>
          <w:kern w:val="0"/>
          <w:sz w:val="24"/>
        </w:rPr>
        <w:br w:type="textWrapping"/>
      </w:r>
      <w:r>
        <w:rPr>
          <w:rFonts w:hint="eastAsia" w:cs="宋体" w:asciiTheme="majorEastAsia" w:hAnsiTheme="majorEastAsia" w:eastAsiaTheme="majorEastAsia"/>
          <w:color w:val="0C0C0C" w:themeColor="text1" w:themeTint="F2"/>
          <w:kern w:val="0"/>
          <w:sz w:val="24"/>
        </w:rPr>
        <w:t>　　（四）批发业。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r>
        <w:rPr>
          <w:rFonts w:hint="eastAsia" w:cs="宋体" w:asciiTheme="majorEastAsia" w:hAnsiTheme="majorEastAsia" w:eastAsiaTheme="majorEastAsia"/>
          <w:color w:val="0C0C0C" w:themeColor="text1" w:themeTint="F2"/>
          <w:kern w:val="0"/>
          <w:sz w:val="24"/>
        </w:rPr>
        <w:br w:type="textWrapping"/>
      </w:r>
      <w:r>
        <w:rPr>
          <w:rFonts w:hint="eastAsia" w:cs="宋体" w:asciiTheme="majorEastAsia" w:hAnsiTheme="majorEastAsia" w:eastAsiaTheme="majorEastAsia"/>
          <w:color w:val="0C0C0C" w:themeColor="text1" w:themeTint="F2"/>
          <w:kern w:val="0"/>
          <w:sz w:val="24"/>
        </w:rPr>
        <w:t>　　（五）零售业。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r>
        <w:rPr>
          <w:rFonts w:hint="eastAsia" w:cs="宋体" w:asciiTheme="majorEastAsia" w:hAnsiTheme="majorEastAsia" w:eastAsiaTheme="majorEastAsia"/>
          <w:color w:val="0C0C0C" w:themeColor="text1" w:themeTint="F2"/>
          <w:kern w:val="0"/>
          <w:sz w:val="24"/>
        </w:rPr>
        <w:br w:type="textWrapping"/>
      </w:r>
      <w:r>
        <w:rPr>
          <w:rFonts w:hint="eastAsia" w:cs="宋体" w:asciiTheme="majorEastAsia" w:hAnsiTheme="majorEastAsia" w:eastAsiaTheme="majorEastAsia"/>
          <w:color w:val="0C0C0C" w:themeColor="text1" w:themeTint="F2"/>
          <w:kern w:val="0"/>
          <w:sz w:val="24"/>
        </w:rPr>
        <w:t>　　（六）交通运输业。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r>
        <w:rPr>
          <w:rFonts w:hint="eastAsia" w:cs="宋体" w:asciiTheme="majorEastAsia" w:hAnsiTheme="majorEastAsia" w:eastAsiaTheme="majorEastAsia"/>
          <w:color w:val="0C0C0C" w:themeColor="text1" w:themeTint="F2"/>
          <w:kern w:val="0"/>
          <w:sz w:val="24"/>
        </w:rPr>
        <w:br w:type="textWrapping"/>
      </w:r>
      <w:r>
        <w:rPr>
          <w:rFonts w:hint="eastAsia" w:cs="宋体" w:asciiTheme="majorEastAsia" w:hAnsiTheme="majorEastAsia" w:eastAsiaTheme="majorEastAsia"/>
          <w:color w:val="0C0C0C" w:themeColor="text1" w:themeTint="F2"/>
          <w:kern w:val="0"/>
          <w:sz w:val="24"/>
        </w:rPr>
        <w:t>　　（七）仓储业。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r>
        <w:rPr>
          <w:rFonts w:hint="eastAsia" w:cs="宋体" w:asciiTheme="majorEastAsia" w:hAnsiTheme="majorEastAsia" w:eastAsiaTheme="majorEastAsia"/>
          <w:color w:val="0C0C0C" w:themeColor="text1" w:themeTint="F2"/>
          <w:kern w:val="0"/>
          <w:sz w:val="24"/>
        </w:rPr>
        <w:br w:type="textWrapping"/>
      </w:r>
      <w:r>
        <w:rPr>
          <w:rFonts w:hint="eastAsia" w:cs="宋体" w:asciiTheme="majorEastAsia" w:hAnsiTheme="majorEastAsia" w:eastAsiaTheme="majorEastAsia"/>
          <w:color w:val="0C0C0C" w:themeColor="text1" w:themeTint="F2"/>
          <w:kern w:val="0"/>
          <w:sz w:val="24"/>
        </w:rPr>
        <w:t>　　（八）邮政业。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r>
        <w:rPr>
          <w:rFonts w:hint="eastAsia" w:cs="宋体" w:asciiTheme="majorEastAsia" w:hAnsiTheme="majorEastAsia" w:eastAsiaTheme="majorEastAsia"/>
          <w:color w:val="0C0C0C" w:themeColor="text1" w:themeTint="F2"/>
          <w:kern w:val="0"/>
          <w:sz w:val="24"/>
        </w:rPr>
        <w:br w:type="textWrapping"/>
      </w:r>
      <w:r>
        <w:rPr>
          <w:rFonts w:hint="eastAsia" w:cs="宋体" w:asciiTheme="majorEastAsia" w:hAnsiTheme="majorEastAsia" w:eastAsiaTheme="majorEastAsia"/>
          <w:color w:val="0C0C0C" w:themeColor="text1" w:themeTint="F2"/>
          <w:kern w:val="0"/>
          <w:sz w:val="24"/>
        </w:rPr>
        <w:t>　　（九）住宿业。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r>
        <w:rPr>
          <w:rFonts w:hint="eastAsia" w:cs="宋体" w:asciiTheme="majorEastAsia" w:hAnsiTheme="majorEastAsia" w:eastAsiaTheme="majorEastAsia"/>
          <w:color w:val="0C0C0C" w:themeColor="text1" w:themeTint="F2"/>
          <w:kern w:val="0"/>
          <w:sz w:val="24"/>
        </w:rPr>
        <w:br w:type="textWrapping"/>
      </w:r>
      <w:r>
        <w:rPr>
          <w:rFonts w:hint="eastAsia" w:cs="宋体" w:asciiTheme="majorEastAsia" w:hAnsiTheme="majorEastAsia" w:eastAsiaTheme="majorEastAsia"/>
          <w:color w:val="0C0C0C" w:themeColor="text1" w:themeTint="F2"/>
          <w:kern w:val="0"/>
          <w:sz w:val="24"/>
        </w:rPr>
        <w:t>　　（十）餐饮业。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r>
        <w:rPr>
          <w:rFonts w:hint="eastAsia" w:cs="宋体" w:asciiTheme="majorEastAsia" w:hAnsiTheme="majorEastAsia" w:eastAsiaTheme="majorEastAsia"/>
          <w:color w:val="0C0C0C" w:themeColor="text1" w:themeTint="F2"/>
          <w:kern w:val="0"/>
          <w:sz w:val="24"/>
        </w:rPr>
        <w:br w:type="textWrapping"/>
      </w:r>
      <w:r>
        <w:rPr>
          <w:rFonts w:hint="eastAsia" w:cs="宋体" w:asciiTheme="majorEastAsia" w:hAnsiTheme="majorEastAsia" w:eastAsiaTheme="majorEastAsia"/>
          <w:color w:val="0C0C0C" w:themeColor="text1" w:themeTint="F2"/>
          <w:kern w:val="0"/>
          <w:sz w:val="24"/>
        </w:rPr>
        <w:t>　　（十一）信息传输业。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r>
        <w:rPr>
          <w:rFonts w:hint="eastAsia" w:cs="宋体" w:asciiTheme="majorEastAsia" w:hAnsiTheme="majorEastAsia" w:eastAsiaTheme="majorEastAsia"/>
          <w:color w:val="0C0C0C" w:themeColor="text1" w:themeTint="F2"/>
          <w:kern w:val="0"/>
          <w:sz w:val="24"/>
        </w:rPr>
        <w:br w:type="textWrapping"/>
      </w:r>
      <w:r>
        <w:rPr>
          <w:rFonts w:hint="eastAsia" w:cs="宋体" w:asciiTheme="majorEastAsia" w:hAnsiTheme="majorEastAsia" w:eastAsiaTheme="majorEastAsia"/>
          <w:color w:val="0C0C0C" w:themeColor="text1" w:themeTint="F2"/>
          <w:kern w:val="0"/>
          <w:sz w:val="24"/>
        </w:rPr>
        <w:t>　　（十二）软件和信息技术服务业。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r>
        <w:rPr>
          <w:rFonts w:hint="eastAsia" w:cs="宋体" w:asciiTheme="majorEastAsia" w:hAnsiTheme="majorEastAsia" w:eastAsiaTheme="majorEastAsia"/>
          <w:color w:val="0C0C0C" w:themeColor="text1" w:themeTint="F2"/>
          <w:kern w:val="0"/>
          <w:sz w:val="24"/>
        </w:rPr>
        <w:br w:type="textWrapping"/>
      </w:r>
      <w:r>
        <w:rPr>
          <w:rFonts w:hint="eastAsia" w:cs="宋体" w:asciiTheme="majorEastAsia" w:hAnsiTheme="majorEastAsia" w:eastAsiaTheme="majorEastAsia"/>
          <w:color w:val="0C0C0C" w:themeColor="text1" w:themeTint="F2"/>
          <w:kern w:val="0"/>
          <w:sz w:val="24"/>
        </w:rPr>
        <w:t>　　（十三）房地产开发经营。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r>
        <w:rPr>
          <w:rFonts w:hint="eastAsia" w:cs="宋体" w:asciiTheme="majorEastAsia" w:hAnsiTheme="majorEastAsia" w:eastAsiaTheme="majorEastAsia"/>
          <w:color w:val="0C0C0C" w:themeColor="text1" w:themeTint="F2"/>
          <w:kern w:val="0"/>
          <w:sz w:val="24"/>
        </w:rPr>
        <w:br w:type="textWrapping"/>
      </w:r>
      <w:r>
        <w:rPr>
          <w:rFonts w:hint="eastAsia" w:cs="宋体" w:asciiTheme="majorEastAsia" w:hAnsiTheme="majorEastAsia" w:eastAsiaTheme="majorEastAsia"/>
          <w:color w:val="0C0C0C" w:themeColor="text1" w:themeTint="F2"/>
          <w:kern w:val="0"/>
          <w:sz w:val="24"/>
        </w:rPr>
        <w:t>　　（十四）物业管理。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r>
        <w:rPr>
          <w:rFonts w:hint="eastAsia" w:cs="宋体" w:asciiTheme="majorEastAsia" w:hAnsiTheme="majorEastAsia" w:eastAsiaTheme="majorEastAsia"/>
          <w:color w:val="0C0C0C" w:themeColor="text1" w:themeTint="F2"/>
          <w:kern w:val="0"/>
          <w:sz w:val="24"/>
        </w:rPr>
        <w:br w:type="textWrapping"/>
      </w:r>
      <w:r>
        <w:rPr>
          <w:rFonts w:hint="eastAsia" w:cs="宋体" w:asciiTheme="majorEastAsia" w:hAnsiTheme="majorEastAsia" w:eastAsiaTheme="majorEastAsia"/>
          <w:color w:val="0C0C0C" w:themeColor="text1" w:themeTint="F2"/>
          <w:kern w:val="0"/>
          <w:sz w:val="24"/>
        </w:rPr>
        <w:t>　　（十五）租赁和商务服务业。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r>
        <w:rPr>
          <w:rFonts w:hint="eastAsia" w:cs="宋体" w:asciiTheme="majorEastAsia" w:hAnsiTheme="majorEastAsia" w:eastAsiaTheme="majorEastAsia"/>
          <w:color w:val="0C0C0C" w:themeColor="text1" w:themeTint="F2"/>
          <w:kern w:val="0"/>
          <w:sz w:val="24"/>
        </w:rPr>
        <w:br w:type="textWrapping"/>
      </w:r>
      <w:r>
        <w:rPr>
          <w:rFonts w:hint="eastAsia" w:cs="宋体" w:asciiTheme="majorEastAsia" w:hAnsiTheme="majorEastAsia" w:eastAsiaTheme="majorEastAsia"/>
          <w:color w:val="0C0C0C" w:themeColor="text1" w:themeTint="F2"/>
          <w:kern w:val="0"/>
          <w:sz w:val="24"/>
        </w:rPr>
        <w:t>　　（十六）其他未列明行业。从业人员300人以下的为中小微型企业。其中，从业人员100人及以上的为中型企业；从业人员10人及以上的为小型企业；从业人员10人以下的为微型企业。</w:t>
      </w:r>
    </w:p>
    <w:p>
      <w:pPr>
        <w:rPr>
          <w:rFonts w:cs="宋体" w:asciiTheme="majorEastAsia" w:hAnsiTheme="majorEastAsia" w:eastAsiaTheme="majorEastAsia"/>
          <w:color w:val="0C0C0C" w:themeColor="text1" w:themeTint="F2"/>
          <w:kern w:val="0"/>
          <w:sz w:val="24"/>
        </w:rPr>
      </w:pPr>
    </w:p>
    <w:sectPr>
      <w:headerReference r:id="rId5" w:type="default"/>
      <w:footerReference r:id="rId6" w:type="default"/>
      <w:footerReference r:id="rId7" w:type="even"/>
      <w:pgSz w:w="11906" w:h="16838"/>
      <w:pgMar w:top="1418" w:right="1588" w:bottom="1418" w:left="1365" w:header="851" w:footer="907" w:gutter="0"/>
      <w:pgNumType w:fmt="decimalFullWidth" w:start="21"/>
      <w:cols w:space="720" w:num="1"/>
      <w:titlePg/>
      <w:docGrid w:type="lines" w:linePitch="29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0000000000000000000"/>
    <w:charset w:val="86"/>
    <w:family w:val="modern"/>
    <w:pitch w:val="default"/>
    <w:sig w:usb0="00000000" w:usb1="00000000" w:usb2="0000001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 w:name="Museo Sans For Dell">
    <w:altName w:val="宋体"/>
    <w:panose1 w:val="00000000000000000000"/>
    <w:charset w:val="86"/>
    <w:family w:val="roman"/>
    <w:pitch w:val="default"/>
    <w:sig w:usb0="00000000" w:usb1="00000000" w:usb2="00000010" w:usb3="00000000" w:csb0="00040000" w:csb1="00000000"/>
  </w:font>
  <w:font w:name="方正小标宋_GBK">
    <w:altName w:val="Arial Unicode MS"/>
    <w:panose1 w:val="00000000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Tahoma">
    <w:panose1 w:val="020B0604030504040204"/>
    <w:charset w:val="00"/>
    <w:family w:val="swiss"/>
    <w:pitch w:val="default"/>
    <w:sig w:usb0="E1002EFF" w:usb1="C000605B" w:usb2="00000029" w:usb3="00000000" w:csb0="200101FF" w:csb1="20280000"/>
  </w:font>
  <w:font w:name="Helvetica">
    <w:altName w:val="Arial"/>
    <w:panose1 w:val="020B0604020202020204"/>
    <w:charset w:val="00"/>
    <w:family w:val="swiss"/>
    <w:pitch w:val="default"/>
    <w:sig w:usb0="00000000" w:usb1="00000000" w:usb2="00000000" w:usb3="00000000" w:csb0="00000001" w:csb1="00000000"/>
  </w:font>
  <w:font w:name="方正黑体_GBK">
    <w:altName w:val="Arial Unicode MS"/>
    <w:panose1 w:val="00000000000000000000"/>
    <w:charset w:val="86"/>
    <w:family w:val="script"/>
    <w:pitch w:val="default"/>
    <w:sig w:usb0="00000000" w:usb1="00000000" w:usb2="00000000" w:usb3="00000000" w:csb0="00040000" w:csb1="00000000"/>
  </w:font>
  <w:font w:name="Verdana">
    <w:panose1 w:val="020B0604030504040204"/>
    <w:charset w:val="00"/>
    <w:family w:val="swiss"/>
    <w:pitch w:val="default"/>
    <w:sig w:usb0="A00006FF" w:usb1="4000205B" w:usb2="00000010" w:usb3="00000000" w:csb0="2000019F" w:csb1="00000000"/>
  </w:font>
  <w:font w:name="新宋体">
    <w:panose1 w:val="02010609030101010101"/>
    <w:charset w:val="86"/>
    <w:family w:val="modern"/>
    <w:pitch w:val="default"/>
    <w:sig w:usb0="00000283" w:usb1="288F0000" w:usb2="00000006" w:usb3="00000000" w:csb0="00040001" w:csb1="00000000"/>
  </w:font>
  <w:font w:name="方正仿宋简体">
    <w:altName w:val="Arial Unicode MS"/>
    <w:panose1 w:val="00000000000000000000"/>
    <w:charset w:val="86"/>
    <w:family w:val="auto"/>
    <w:pitch w:val="default"/>
    <w:sig w:usb0="00000000" w:usb1="00000000" w:usb2="00000000" w:usb3="00000000" w:csb0="00040000" w:csb1="00000000"/>
  </w:font>
  <w:font w:name="长城仿宋">
    <w:altName w:val="宋体"/>
    <w:panose1 w:val="00000000000000000000"/>
    <w:charset w:val="86"/>
    <w:family w:val="auto"/>
    <w:pitch w:val="default"/>
    <w:sig w:usb0="00000000" w:usb1="00000000" w:usb2="00000010" w:usb3="00000000" w:csb0="00040000" w:csb1="00000000"/>
  </w:font>
  <w:font w:name="文鼎粗黑">
    <w:altName w:val="黑体"/>
    <w:panose1 w:val="00000000000000000000"/>
    <w:charset w:val="86"/>
    <w:family w:val="modern"/>
    <w:pitch w:val="default"/>
    <w:sig w:usb0="00000000" w:usb1="00000000" w:usb2="00000010" w:usb3="00000000" w:csb0="00040000" w:csb1="00000000"/>
  </w:font>
  <w:font w:name="华文黑体 Light">
    <w:altName w:val="宋体"/>
    <w:panose1 w:val="00000000000000000000"/>
    <w:charset w:val="86"/>
    <w:family w:val="auto"/>
    <w:pitch w:val="default"/>
    <w:sig w:usb0="00000000" w:usb1="00000000" w:usb2="00000010" w:usb3="00000000" w:csb0="00040000" w:csb1="00000000"/>
  </w:font>
  <w:font w:name="华文仿宋">
    <w:panose1 w:val="02010600040101010101"/>
    <w:charset w:val="86"/>
    <w:family w:val="auto"/>
    <w:pitch w:val="default"/>
    <w:sig w:usb0="00000287" w:usb1="080F0000" w:usb2="00000000" w:usb3="00000000" w:csb0="0004009F" w:csb1="DFD70000"/>
  </w:font>
  <w:font w:name="Beijing">
    <w:altName w:val="Arial"/>
    <w:panose1 w:val="00000000000000000000"/>
    <w:charset w:val="5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924102"/>
    </w:sdtPr>
    <w:sdtContent>
      <w:p>
        <w:pPr>
          <w:pStyle w:val="35"/>
          <w:jc w:val="center"/>
        </w:pPr>
        <w:r>
          <w:fldChar w:fldCharType="begin"/>
        </w:r>
        <w:r>
          <w:instrText xml:space="preserve"> PAGE   \* MERGEFORMAT </w:instrText>
        </w:r>
        <w:r>
          <w:fldChar w:fldCharType="separate"/>
        </w:r>
        <w:r>
          <w:rPr>
            <w:lang w:val="zh-CN"/>
          </w:rPr>
          <w:t>7</w:t>
        </w:r>
        <w:r>
          <w:rPr>
            <w:lang w:val="zh-CN"/>
          </w:rPr>
          <w:fldChar w:fldCharType="end"/>
        </w:r>
      </w:p>
    </w:sdtContent>
  </w:sdt>
  <w:p>
    <w:pPr>
      <w:pStyle w:val="3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924105"/>
    </w:sdtPr>
    <w:sdtContent>
      <w:p>
        <w:pPr>
          <w:pStyle w:val="35"/>
          <w:jc w:val="center"/>
        </w:pPr>
        <w:r>
          <w:rPr>
            <w:rFonts w:hint="eastAsia"/>
          </w:rPr>
          <w:fldChar w:fldCharType="begin"/>
        </w:r>
        <w:r>
          <w:instrText xml:space="preserve"> PAGE   \* MERGEFORMAT </w:instrText>
        </w:r>
        <w:r>
          <w:rPr>
            <w:rFonts w:hint="eastAsia"/>
          </w:rPr>
          <w:fldChar w:fldCharType="separate"/>
        </w:r>
        <w:r>
          <w:rPr>
            <w:rFonts w:hint="eastAsia"/>
            <w:lang w:val="zh-CN"/>
          </w:rPr>
          <w:t>２１</w:t>
        </w:r>
        <w:r>
          <w:rPr>
            <w:rFonts w:hint="eastAsia"/>
            <w:lang w:val="zh-CN"/>
          </w:rPr>
          <w:fldChar w:fldCharType="end"/>
        </w:r>
      </w:p>
    </w:sdtContent>
  </w:sdt>
  <w:p>
    <w:pPr>
      <w:pStyle w:val="35"/>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5"/>
      <w:jc w:val="center"/>
    </w:pPr>
    <w:r>
      <w:rPr>
        <w:rFonts w:hint="eastAsia"/>
      </w:rPr>
      <w:fldChar w:fldCharType="begin"/>
    </w:r>
    <w:r>
      <w:instrText xml:space="preserve"> PAGE   \* MERGEFORMAT </w:instrText>
    </w:r>
    <w:r>
      <w:rPr>
        <w:rFonts w:hint="eastAsia"/>
      </w:rPr>
      <w:fldChar w:fldCharType="separate"/>
    </w:r>
    <w:r>
      <w:rPr>
        <w:rFonts w:hint="eastAsia"/>
        <w:lang w:val="zh-CN"/>
      </w:rPr>
      <w:t>４９</w:t>
    </w:r>
    <w:r>
      <w:rPr>
        <w:rFonts w:hint="eastAsia"/>
        <w:lang w:val="zh-CN"/>
      </w:rPr>
      <w:fldChar w:fldCharType="end"/>
    </w:r>
  </w:p>
  <w:p>
    <w:pPr>
      <w:pStyle w:val="3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5"/>
      <w:framePr w:wrap="around" w:vAnchor="text" w:hAnchor="margin" w:xAlign="center" w:y="1"/>
      <w:rPr>
        <w:rStyle w:val="57"/>
      </w:rPr>
    </w:pPr>
    <w:r>
      <w:fldChar w:fldCharType="begin"/>
    </w:r>
    <w:r>
      <w:rPr>
        <w:rStyle w:val="57"/>
      </w:rPr>
      <w:instrText xml:space="preserve">PAGE  </w:instrText>
    </w:r>
    <w:r>
      <w:fldChar w:fldCharType="separate"/>
    </w:r>
    <w:r>
      <w:rPr>
        <w:rStyle w:val="57"/>
      </w:rPr>
      <w:t>1</w:t>
    </w:r>
    <w:r>
      <w:fldChar w:fldCharType="end"/>
    </w:r>
  </w:p>
  <w:p>
    <w:pPr>
      <w:pStyle w:val="3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784D56"/>
    <w:multiLevelType w:val="singleLevel"/>
    <w:tmpl w:val="06784D56"/>
    <w:lvl w:ilvl="0" w:tentative="0">
      <w:start w:val="1"/>
      <w:numFmt w:val="upperLetter"/>
      <w:pStyle w:val="241"/>
      <w:lvlText w:val="附录%1."/>
      <w:lvlJc w:val="left"/>
      <w:pPr>
        <w:tabs>
          <w:tab w:val="left" w:pos="907"/>
        </w:tabs>
        <w:ind w:left="907" w:hanging="907"/>
      </w:pPr>
      <w:rPr>
        <w:rFonts w:hint="eastAsia"/>
      </w:rPr>
    </w:lvl>
  </w:abstractNum>
  <w:abstractNum w:abstractNumId="1">
    <w:nsid w:val="174453F0"/>
    <w:multiLevelType w:val="multilevel"/>
    <w:tmpl w:val="174453F0"/>
    <w:lvl w:ilvl="0" w:tentative="0">
      <w:start w:val="1"/>
      <w:numFmt w:val="japaneseCounting"/>
      <w:lvlText w:val="%1、"/>
      <w:lvlJc w:val="left"/>
      <w:pPr>
        <w:tabs>
          <w:tab w:val="left" w:pos="720"/>
        </w:tabs>
        <w:ind w:left="720" w:hanging="720"/>
      </w:pPr>
      <w:rPr>
        <w:rFonts w:hint="eastAsia"/>
      </w:rPr>
    </w:lvl>
    <w:lvl w:ilvl="1" w:tentative="0">
      <w:start w:val="1"/>
      <w:numFmt w:val="lowerLetter"/>
      <w:pStyle w:val="259"/>
      <w:lvlText w:val="%2)"/>
      <w:lvlJc w:val="left"/>
      <w:pPr>
        <w:tabs>
          <w:tab w:val="left" w:pos="1260"/>
        </w:tabs>
        <w:ind w:left="1260" w:hanging="420"/>
      </w:pPr>
    </w:lvl>
    <w:lvl w:ilvl="2" w:tentative="0">
      <w:start w:val="1"/>
      <w:numFmt w:val="lowerRoman"/>
      <w:pStyle w:val="258"/>
      <w:lvlText w:val="%3."/>
      <w:lvlJc w:val="right"/>
      <w:pPr>
        <w:tabs>
          <w:tab w:val="left" w:pos="1680"/>
        </w:tabs>
        <w:ind w:left="1680" w:hanging="420"/>
      </w:pPr>
    </w:lvl>
    <w:lvl w:ilvl="3" w:tentative="0">
      <w:start w:val="1"/>
      <w:numFmt w:val="decimal"/>
      <w:pStyle w:val="257"/>
      <w:lvlText w:val="%4."/>
      <w:lvlJc w:val="left"/>
      <w:pPr>
        <w:tabs>
          <w:tab w:val="left" w:pos="2100"/>
        </w:tabs>
        <w:ind w:left="2100" w:hanging="420"/>
      </w:pPr>
    </w:lvl>
    <w:lvl w:ilvl="4" w:tentative="0">
      <w:start w:val="1"/>
      <w:numFmt w:val="lowerLetter"/>
      <w:pStyle w:val="256"/>
      <w:lvlText w:val="%5)"/>
      <w:lvlJc w:val="left"/>
      <w:pPr>
        <w:tabs>
          <w:tab w:val="left" w:pos="2520"/>
        </w:tabs>
        <w:ind w:left="2520" w:hanging="420"/>
      </w:pPr>
    </w:lvl>
    <w:lvl w:ilvl="5" w:tentative="0">
      <w:start w:val="1"/>
      <w:numFmt w:val="lowerRoman"/>
      <w:pStyle w:val="255"/>
      <w:lvlText w:val="%6."/>
      <w:lvlJc w:val="right"/>
      <w:pPr>
        <w:tabs>
          <w:tab w:val="left" w:pos="2940"/>
        </w:tabs>
        <w:ind w:left="2940" w:hanging="420"/>
      </w:pPr>
    </w:lvl>
    <w:lvl w:ilvl="6" w:tentative="0">
      <w:start w:val="1"/>
      <w:numFmt w:val="decimal"/>
      <w:pStyle w:val="254"/>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2">
    <w:nsid w:val="30E20D84"/>
    <w:multiLevelType w:val="singleLevel"/>
    <w:tmpl w:val="30E20D84"/>
    <w:lvl w:ilvl="0" w:tentative="0">
      <w:start w:val="1"/>
      <w:numFmt w:val="decimal"/>
      <w:pStyle w:val="344"/>
      <w:lvlText w:val="(%1)"/>
      <w:lvlJc w:val="left"/>
      <w:pPr>
        <w:tabs>
          <w:tab w:val="left" w:pos="960"/>
        </w:tabs>
        <w:ind w:left="960" w:hanging="465"/>
      </w:pPr>
      <w:rPr>
        <w:rFonts w:hint="default"/>
      </w:rPr>
    </w:lvl>
  </w:abstractNum>
  <w:abstractNum w:abstractNumId="3">
    <w:nsid w:val="32DE3AB4"/>
    <w:multiLevelType w:val="multilevel"/>
    <w:tmpl w:val="32DE3AB4"/>
    <w:lvl w:ilvl="0" w:tentative="0">
      <w:start w:val="1"/>
      <w:numFmt w:val="chineseCountingThousand"/>
      <w:lvlText w:val="（%1）"/>
      <w:lvlJc w:val="left"/>
      <w:pPr>
        <w:tabs>
          <w:tab w:val="left" w:pos="1325"/>
        </w:tabs>
        <w:ind w:left="1325" w:hanging="425"/>
      </w:pPr>
      <w:rPr>
        <w:rFonts w:hint="default" w:ascii="Times New Roman" w:hAnsi="Times New Roman" w:cs="Times New Roman"/>
        <w:color w:val="auto"/>
      </w:rPr>
    </w:lvl>
    <w:lvl w:ilvl="1" w:tentative="0">
      <w:start w:val="1"/>
      <w:numFmt w:val="decimal"/>
      <w:lvlText w:val="%2、"/>
      <w:lvlJc w:val="left"/>
      <w:pPr>
        <w:tabs>
          <w:tab w:val="left" w:pos="562"/>
        </w:tabs>
        <w:ind w:left="562" w:hanging="420"/>
      </w:pPr>
    </w:lvl>
    <w:lvl w:ilvl="2" w:tentative="0">
      <w:start w:val="1"/>
      <w:numFmt w:val="ideographEnclosedCircle"/>
      <w:lvlText w:val="%3"/>
      <w:lvlJc w:val="left"/>
      <w:pPr>
        <w:ind w:left="168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4">
    <w:nsid w:val="420C153B"/>
    <w:multiLevelType w:val="multilevel"/>
    <w:tmpl w:val="420C153B"/>
    <w:lvl w:ilvl="0" w:tentative="0">
      <w:start w:val="1"/>
      <w:numFmt w:val="decimal"/>
      <w:pStyle w:val="169"/>
      <w:lvlText w:val="%1."/>
      <w:lvlJc w:val="left"/>
      <w:pPr>
        <w:tabs>
          <w:tab w:val="left" w:pos="709"/>
        </w:tabs>
        <w:ind w:left="709" w:hanging="709"/>
      </w:pPr>
      <w:rPr>
        <w:rFonts w:hint="eastAsia"/>
      </w:rPr>
    </w:lvl>
    <w:lvl w:ilvl="1" w:tentative="0">
      <w:start w:val="1"/>
      <w:numFmt w:val="decimal"/>
      <w:lvlText w:val="%1.%2"/>
      <w:lvlJc w:val="left"/>
      <w:pPr>
        <w:tabs>
          <w:tab w:val="left" w:pos="709"/>
        </w:tabs>
        <w:ind w:left="709" w:hanging="709"/>
      </w:pPr>
      <w:rPr>
        <w:rFonts w:hint="eastAsia"/>
      </w:rPr>
    </w:lvl>
    <w:lvl w:ilvl="2" w:tentative="0">
      <w:start w:val="1"/>
      <w:numFmt w:val="decimal"/>
      <w:lvlText w:val="%1.%2.%3."/>
      <w:lvlJc w:val="left"/>
      <w:pPr>
        <w:tabs>
          <w:tab w:val="left" w:pos="425"/>
        </w:tabs>
        <w:ind w:left="425" w:hanging="425"/>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5">
    <w:nsid w:val="4C0C1BFB"/>
    <w:multiLevelType w:val="singleLevel"/>
    <w:tmpl w:val="4C0C1BFB"/>
    <w:lvl w:ilvl="0" w:tentative="0">
      <w:start w:val="1"/>
      <w:numFmt w:val="decimal"/>
      <w:pStyle w:val="27"/>
      <w:lvlText w:val="（%1）"/>
      <w:lvlJc w:val="left"/>
      <w:pPr>
        <w:tabs>
          <w:tab w:val="left" w:pos="810"/>
        </w:tabs>
        <w:ind w:left="810" w:hanging="810"/>
      </w:pPr>
      <w:rPr>
        <w:rFonts w:hint="eastAsia"/>
      </w:rPr>
    </w:lvl>
  </w:abstractNum>
  <w:abstractNum w:abstractNumId="6">
    <w:nsid w:val="52584875"/>
    <w:multiLevelType w:val="multilevel"/>
    <w:tmpl w:val="52584875"/>
    <w:lvl w:ilvl="0" w:tentative="0">
      <w:start w:val="1"/>
      <w:numFmt w:val="japaneseCounting"/>
      <w:pStyle w:val="122"/>
      <w:lvlText w:val="%1、"/>
      <w:lvlJc w:val="left"/>
      <w:pPr>
        <w:tabs>
          <w:tab w:val="left" w:pos="420"/>
        </w:tabs>
        <w:ind w:left="420" w:hanging="42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545ECAF6"/>
    <w:multiLevelType w:val="singleLevel"/>
    <w:tmpl w:val="545ECAF6"/>
    <w:lvl w:ilvl="0" w:tentative="0">
      <w:start w:val="11"/>
      <w:numFmt w:val="decimal"/>
      <w:suff w:val="nothing"/>
      <w:lvlText w:val="%1、"/>
      <w:lvlJc w:val="left"/>
    </w:lvl>
  </w:abstractNum>
  <w:abstractNum w:abstractNumId="8">
    <w:nsid w:val="5C7E0EE5"/>
    <w:multiLevelType w:val="multilevel"/>
    <w:tmpl w:val="5C7E0EE5"/>
    <w:lvl w:ilvl="0" w:tentative="0">
      <w:start w:val="1"/>
      <w:numFmt w:val="chineseCountingThousand"/>
      <w:suff w:val="nothing"/>
      <w:lvlText w:val="第%1章 "/>
      <w:lvlJc w:val="left"/>
      <w:pPr>
        <w:ind w:left="0" w:firstLine="0"/>
      </w:pPr>
      <w:rPr>
        <w:rFonts w:hint="eastAsia"/>
      </w:rPr>
    </w:lvl>
    <w:lvl w:ilvl="1" w:tentative="0">
      <w:start w:val="1"/>
      <w:numFmt w:val="decimal"/>
      <w:suff w:val="nothing"/>
      <w:lvlText w:val="%2、"/>
      <w:lvlJc w:val="left"/>
      <w:pPr>
        <w:ind w:left="0" w:firstLine="0"/>
      </w:pPr>
      <w:rPr>
        <w:rFonts w:hint="eastAsia"/>
      </w:rPr>
    </w:lvl>
    <w:lvl w:ilvl="2" w:tentative="0">
      <w:start w:val="1"/>
      <w:numFmt w:val="decimal"/>
      <w:suff w:val="nothing"/>
      <w:lvlText w:val="%2.%3 "/>
      <w:lvlJc w:val="left"/>
      <w:pPr>
        <w:ind w:left="0" w:firstLine="0"/>
      </w:pPr>
      <w:rPr>
        <w:rFonts w:hint="eastAsia"/>
      </w:rPr>
    </w:lvl>
    <w:lvl w:ilvl="3" w:tentative="0">
      <w:start w:val="1"/>
      <w:numFmt w:val="decimal"/>
      <w:suff w:val="nothing"/>
      <w:lvlText w:val="%2.%3.%4 "/>
      <w:lvlJc w:val="left"/>
      <w:pPr>
        <w:ind w:left="0" w:firstLine="0"/>
      </w:pPr>
      <w:rPr>
        <w:rFonts w:hint="eastAsia"/>
      </w:rPr>
    </w:lvl>
    <w:lvl w:ilvl="4" w:tentative="0">
      <w:start w:val="1"/>
      <w:numFmt w:val="decimal"/>
      <w:suff w:val="nothing"/>
      <w:lvlText w:val="%2.%3.%4.%5 "/>
      <w:lvlJc w:val="left"/>
      <w:pPr>
        <w:ind w:left="0" w:firstLine="0"/>
      </w:pPr>
      <w:rPr>
        <w:rFonts w:hint="eastAsia"/>
      </w:rPr>
    </w:lvl>
    <w:lvl w:ilvl="5" w:tentative="0">
      <w:start w:val="1"/>
      <w:numFmt w:val="none"/>
      <w:suff w:val="nothing"/>
      <w:lvlText w:val=""/>
      <w:lvlJc w:val="left"/>
      <w:pPr>
        <w:ind w:left="0" w:firstLine="0"/>
      </w:pPr>
      <w:rPr>
        <w:rFonts w:hint="eastAsia"/>
      </w:rPr>
    </w:lvl>
    <w:lvl w:ilvl="6" w:tentative="0">
      <w:start w:val="1"/>
      <w:numFmt w:val="none"/>
      <w:suff w:val="nothing"/>
      <w:lvlText w:val=""/>
      <w:lvlJc w:val="left"/>
      <w:pPr>
        <w:ind w:left="0" w:firstLine="0"/>
      </w:pPr>
      <w:rPr>
        <w:rFonts w:hint="eastAsia"/>
      </w:rPr>
    </w:lvl>
    <w:lvl w:ilvl="7" w:tentative="0">
      <w:start w:val="1"/>
      <w:numFmt w:val="none"/>
      <w:pStyle w:val="434"/>
      <w:suff w:val="nothing"/>
      <w:lvlText w:val=""/>
      <w:lvlJc w:val="left"/>
      <w:pPr>
        <w:ind w:left="0" w:firstLine="0"/>
      </w:pPr>
      <w:rPr>
        <w:rFonts w:hint="eastAsia"/>
      </w:rPr>
    </w:lvl>
    <w:lvl w:ilvl="8" w:tentative="0">
      <w:start w:val="1"/>
      <w:numFmt w:val="none"/>
      <w:pStyle w:val="294"/>
      <w:suff w:val="nothing"/>
      <w:lvlText w:val=""/>
      <w:lvlJc w:val="left"/>
      <w:pPr>
        <w:ind w:left="0" w:firstLine="0"/>
      </w:pPr>
      <w:rPr>
        <w:rFonts w:hint="eastAsia"/>
      </w:rPr>
    </w:lvl>
  </w:abstractNum>
  <w:abstractNum w:abstractNumId="9">
    <w:nsid w:val="622E4B26"/>
    <w:multiLevelType w:val="multilevel"/>
    <w:tmpl w:val="622E4B26"/>
    <w:lvl w:ilvl="0" w:tentative="0">
      <w:start w:val="1"/>
      <w:numFmt w:val="japaneseCounting"/>
      <w:pStyle w:val="144"/>
      <w:lvlText w:val="%1、"/>
      <w:lvlJc w:val="left"/>
      <w:pPr>
        <w:tabs>
          <w:tab w:val="left" w:pos="420"/>
        </w:tabs>
        <w:ind w:left="420" w:hanging="42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6FBA05F3"/>
    <w:multiLevelType w:val="singleLevel"/>
    <w:tmpl w:val="6FBA05F3"/>
    <w:lvl w:ilvl="0" w:tentative="0">
      <w:start w:val="1"/>
      <w:numFmt w:val="japaneseCounting"/>
      <w:pStyle w:val="316"/>
      <w:lvlText w:val="第%1章"/>
      <w:lvlJc w:val="left"/>
      <w:pPr>
        <w:tabs>
          <w:tab w:val="left" w:pos="1440"/>
        </w:tabs>
        <w:ind w:left="1440" w:hanging="1440"/>
      </w:pPr>
      <w:rPr>
        <w:rFonts w:hint="eastAsia" w:ascii="黑体" w:eastAsia="黑体"/>
        <w:b w:val="0"/>
        <w:sz w:val="36"/>
      </w:rPr>
    </w:lvl>
  </w:abstractNum>
  <w:abstractNum w:abstractNumId="11">
    <w:nsid w:val="77DD7B76"/>
    <w:multiLevelType w:val="singleLevel"/>
    <w:tmpl w:val="77DD7B76"/>
    <w:lvl w:ilvl="0" w:tentative="0">
      <w:start w:val="5"/>
      <w:numFmt w:val="chineseCounting"/>
      <w:suff w:val="space"/>
      <w:lvlText w:val="第%1章"/>
      <w:lvlJc w:val="left"/>
      <w:rPr>
        <w:rFonts w:hint="eastAsia"/>
      </w:rPr>
    </w:lvl>
  </w:abstractNum>
  <w:abstractNum w:abstractNumId="12">
    <w:nsid w:val="798E8593"/>
    <w:multiLevelType w:val="singleLevel"/>
    <w:tmpl w:val="798E8593"/>
    <w:lvl w:ilvl="0" w:tentative="0">
      <w:start w:val="2"/>
      <w:numFmt w:val="chineseCounting"/>
      <w:suff w:val="nothing"/>
      <w:lvlText w:val="第%1节　"/>
      <w:lvlJc w:val="left"/>
      <w:rPr>
        <w:rFonts w:hint="eastAsia"/>
      </w:rPr>
    </w:lvl>
  </w:abstractNum>
  <w:abstractNum w:abstractNumId="13">
    <w:nsid w:val="7CB57642"/>
    <w:multiLevelType w:val="singleLevel"/>
    <w:tmpl w:val="7CB57642"/>
    <w:lvl w:ilvl="0" w:tentative="0">
      <w:start w:val="1"/>
      <w:numFmt w:val="decimal"/>
      <w:pStyle w:val="93"/>
      <w:lvlText w:val="%1、"/>
      <w:lvlJc w:val="left"/>
      <w:pPr>
        <w:tabs>
          <w:tab w:val="left" w:pos="1050"/>
        </w:tabs>
        <w:ind w:left="1050" w:hanging="720"/>
      </w:pPr>
      <w:rPr>
        <w:rFonts w:ascii="Times New Roman" w:hAnsi="Times New Roman" w:eastAsia="Times New Roman" w:cs="Times New Roman"/>
      </w:rPr>
    </w:lvl>
  </w:abstractNum>
  <w:abstractNum w:abstractNumId="14">
    <w:nsid w:val="7E636B3A"/>
    <w:multiLevelType w:val="multilevel"/>
    <w:tmpl w:val="7E636B3A"/>
    <w:lvl w:ilvl="0" w:tentative="0">
      <w:start w:val="1"/>
      <w:numFmt w:val="decimal"/>
      <w:lvlText w:val="(%1)"/>
      <w:lvlJc w:val="left"/>
      <w:pPr>
        <w:tabs>
          <w:tab w:val="left" w:pos="1035"/>
        </w:tabs>
        <w:ind w:left="1035" w:hanging="555"/>
      </w:pPr>
      <w:rPr>
        <w:rFonts w:hint="default"/>
      </w:rPr>
    </w:lvl>
    <w:lvl w:ilvl="1" w:tentative="0">
      <w:start w:val="1"/>
      <w:numFmt w:val="lowerLetter"/>
      <w:lvlText w:val="%2)"/>
      <w:lvlJc w:val="left"/>
      <w:pPr>
        <w:tabs>
          <w:tab w:val="left" w:pos="1320"/>
        </w:tabs>
        <w:ind w:left="1320" w:hanging="420"/>
      </w:pPr>
    </w:lvl>
    <w:lvl w:ilvl="2" w:tentative="0">
      <w:start w:val="1"/>
      <w:numFmt w:val="lowerRoman"/>
      <w:pStyle w:val="495"/>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num w:numId="1">
    <w:abstractNumId w:val="5"/>
  </w:num>
  <w:num w:numId="2">
    <w:abstractNumId w:val="13"/>
  </w:num>
  <w:num w:numId="3">
    <w:abstractNumId w:val="6"/>
  </w:num>
  <w:num w:numId="4">
    <w:abstractNumId w:val="9"/>
  </w:num>
  <w:num w:numId="5">
    <w:abstractNumId w:val="4"/>
  </w:num>
  <w:num w:numId="6">
    <w:abstractNumId w:val="0"/>
  </w:num>
  <w:num w:numId="7">
    <w:abstractNumId w:val="1"/>
  </w:num>
  <w:num w:numId="8">
    <w:abstractNumId w:val="8"/>
  </w:num>
  <w:num w:numId="9">
    <w:abstractNumId w:val="10"/>
  </w:num>
  <w:num w:numId="10">
    <w:abstractNumId w:val="2"/>
  </w:num>
  <w:num w:numId="11">
    <w:abstractNumId w:val="14"/>
  </w:num>
  <w:num w:numId="12">
    <w:abstractNumId w:val="7"/>
  </w:num>
  <w:num w:numId="13">
    <w:abstractNumId w:val="12"/>
  </w:num>
  <w:num w:numId="14">
    <w:abstractNumId w:val="11"/>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cumentProtection w:enforcement="0"/>
  <w:defaultTabStop w:val="420"/>
  <w:drawingGridHorizontalSpacing w:val="105"/>
  <w:drawingGridVerticalSpacing w:val="145"/>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2F530D"/>
    <w:rsid w:val="0000113A"/>
    <w:rsid w:val="00001740"/>
    <w:rsid w:val="00001E1D"/>
    <w:rsid w:val="00003B97"/>
    <w:rsid w:val="000041F1"/>
    <w:rsid w:val="0000588E"/>
    <w:rsid w:val="0000620D"/>
    <w:rsid w:val="000066DA"/>
    <w:rsid w:val="00006FA7"/>
    <w:rsid w:val="0000745D"/>
    <w:rsid w:val="0001028A"/>
    <w:rsid w:val="00010811"/>
    <w:rsid w:val="00010BB5"/>
    <w:rsid w:val="0001148A"/>
    <w:rsid w:val="00011A8C"/>
    <w:rsid w:val="00011B94"/>
    <w:rsid w:val="000128B1"/>
    <w:rsid w:val="000153AD"/>
    <w:rsid w:val="000156AF"/>
    <w:rsid w:val="00016895"/>
    <w:rsid w:val="000229E0"/>
    <w:rsid w:val="0003098F"/>
    <w:rsid w:val="00036731"/>
    <w:rsid w:val="000408C6"/>
    <w:rsid w:val="000423A9"/>
    <w:rsid w:val="00043F57"/>
    <w:rsid w:val="00045DA9"/>
    <w:rsid w:val="0004616A"/>
    <w:rsid w:val="00046D98"/>
    <w:rsid w:val="00047B45"/>
    <w:rsid w:val="00047B85"/>
    <w:rsid w:val="00050CF4"/>
    <w:rsid w:val="0005182D"/>
    <w:rsid w:val="00053EFF"/>
    <w:rsid w:val="000565D1"/>
    <w:rsid w:val="000575F2"/>
    <w:rsid w:val="00057FBA"/>
    <w:rsid w:val="0006062C"/>
    <w:rsid w:val="00060E78"/>
    <w:rsid w:val="0006463C"/>
    <w:rsid w:val="00064B1A"/>
    <w:rsid w:val="000659A3"/>
    <w:rsid w:val="00070366"/>
    <w:rsid w:val="000714E4"/>
    <w:rsid w:val="00071671"/>
    <w:rsid w:val="0007408C"/>
    <w:rsid w:val="00074D09"/>
    <w:rsid w:val="0007560F"/>
    <w:rsid w:val="00076444"/>
    <w:rsid w:val="000772E7"/>
    <w:rsid w:val="00077C10"/>
    <w:rsid w:val="00080F27"/>
    <w:rsid w:val="00082614"/>
    <w:rsid w:val="00083AB1"/>
    <w:rsid w:val="00085217"/>
    <w:rsid w:val="0008572C"/>
    <w:rsid w:val="00085BF4"/>
    <w:rsid w:val="00086416"/>
    <w:rsid w:val="00087E83"/>
    <w:rsid w:val="00090ACB"/>
    <w:rsid w:val="0009125E"/>
    <w:rsid w:val="000925E0"/>
    <w:rsid w:val="000941FA"/>
    <w:rsid w:val="00094CED"/>
    <w:rsid w:val="000955E5"/>
    <w:rsid w:val="0009597D"/>
    <w:rsid w:val="00095ED1"/>
    <w:rsid w:val="0009607F"/>
    <w:rsid w:val="00096BE3"/>
    <w:rsid w:val="000974C0"/>
    <w:rsid w:val="00097F03"/>
    <w:rsid w:val="000A104D"/>
    <w:rsid w:val="000A55B2"/>
    <w:rsid w:val="000A5EF1"/>
    <w:rsid w:val="000A5FB6"/>
    <w:rsid w:val="000A6CAA"/>
    <w:rsid w:val="000A6E36"/>
    <w:rsid w:val="000B17CB"/>
    <w:rsid w:val="000B1B8F"/>
    <w:rsid w:val="000B3C8B"/>
    <w:rsid w:val="000B51C1"/>
    <w:rsid w:val="000B5417"/>
    <w:rsid w:val="000B7115"/>
    <w:rsid w:val="000C0E35"/>
    <w:rsid w:val="000C2017"/>
    <w:rsid w:val="000C24BB"/>
    <w:rsid w:val="000C3268"/>
    <w:rsid w:val="000C32DB"/>
    <w:rsid w:val="000C35BD"/>
    <w:rsid w:val="000C3A20"/>
    <w:rsid w:val="000C3A23"/>
    <w:rsid w:val="000C45F3"/>
    <w:rsid w:val="000C577C"/>
    <w:rsid w:val="000C6EED"/>
    <w:rsid w:val="000C7AB0"/>
    <w:rsid w:val="000D0528"/>
    <w:rsid w:val="000D0F3D"/>
    <w:rsid w:val="000D1741"/>
    <w:rsid w:val="000D1F91"/>
    <w:rsid w:val="000D3C10"/>
    <w:rsid w:val="000D3C7E"/>
    <w:rsid w:val="000D57F6"/>
    <w:rsid w:val="000D72F2"/>
    <w:rsid w:val="000D78DF"/>
    <w:rsid w:val="000D79CA"/>
    <w:rsid w:val="000E1E23"/>
    <w:rsid w:val="000E384E"/>
    <w:rsid w:val="000E6998"/>
    <w:rsid w:val="000E6F5C"/>
    <w:rsid w:val="000F1143"/>
    <w:rsid w:val="000F3228"/>
    <w:rsid w:val="000F33CC"/>
    <w:rsid w:val="000F3AD2"/>
    <w:rsid w:val="000F3B4A"/>
    <w:rsid w:val="000F46D3"/>
    <w:rsid w:val="000F4F18"/>
    <w:rsid w:val="000F5B15"/>
    <w:rsid w:val="000F6098"/>
    <w:rsid w:val="000F659F"/>
    <w:rsid w:val="000F677B"/>
    <w:rsid w:val="001008CE"/>
    <w:rsid w:val="001017E2"/>
    <w:rsid w:val="001023A8"/>
    <w:rsid w:val="00102F3B"/>
    <w:rsid w:val="001033D9"/>
    <w:rsid w:val="001064B7"/>
    <w:rsid w:val="0011107A"/>
    <w:rsid w:val="001116B1"/>
    <w:rsid w:val="00114400"/>
    <w:rsid w:val="0011469F"/>
    <w:rsid w:val="001148FF"/>
    <w:rsid w:val="00114C3E"/>
    <w:rsid w:val="00116CEF"/>
    <w:rsid w:val="0011738F"/>
    <w:rsid w:val="00120A7A"/>
    <w:rsid w:val="00121A4E"/>
    <w:rsid w:val="00122B3B"/>
    <w:rsid w:val="001243C8"/>
    <w:rsid w:val="00131B74"/>
    <w:rsid w:val="00131BB9"/>
    <w:rsid w:val="00132101"/>
    <w:rsid w:val="00134C4A"/>
    <w:rsid w:val="00137A77"/>
    <w:rsid w:val="0014033D"/>
    <w:rsid w:val="001412CA"/>
    <w:rsid w:val="001441B2"/>
    <w:rsid w:val="00144470"/>
    <w:rsid w:val="00147545"/>
    <w:rsid w:val="001509E5"/>
    <w:rsid w:val="0015155D"/>
    <w:rsid w:val="001517F6"/>
    <w:rsid w:val="00153140"/>
    <w:rsid w:val="00153B5D"/>
    <w:rsid w:val="00153BF3"/>
    <w:rsid w:val="00155555"/>
    <w:rsid w:val="00155793"/>
    <w:rsid w:val="0015602E"/>
    <w:rsid w:val="0015666C"/>
    <w:rsid w:val="001568BA"/>
    <w:rsid w:val="00156CF1"/>
    <w:rsid w:val="00157E07"/>
    <w:rsid w:val="00160BD8"/>
    <w:rsid w:val="0016248D"/>
    <w:rsid w:val="00162C0A"/>
    <w:rsid w:val="001644F6"/>
    <w:rsid w:val="0016561D"/>
    <w:rsid w:val="00165BB8"/>
    <w:rsid w:val="00171765"/>
    <w:rsid w:val="0017272F"/>
    <w:rsid w:val="0017317D"/>
    <w:rsid w:val="00173D26"/>
    <w:rsid w:val="001765C2"/>
    <w:rsid w:val="0018198F"/>
    <w:rsid w:val="00183010"/>
    <w:rsid w:val="0018596D"/>
    <w:rsid w:val="00185D00"/>
    <w:rsid w:val="00186576"/>
    <w:rsid w:val="00187BA3"/>
    <w:rsid w:val="00187E9B"/>
    <w:rsid w:val="001917F7"/>
    <w:rsid w:val="00191C71"/>
    <w:rsid w:val="00195D60"/>
    <w:rsid w:val="001A1953"/>
    <w:rsid w:val="001A31AB"/>
    <w:rsid w:val="001A377F"/>
    <w:rsid w:val="001A47A3"/>
    <w:rsid w:val="001A5B28"/>
    <w:rsid w:val="001A6755"/>
    <w:rsid w:val="001B0A1B"/>
    <w:rsid w:val="001B1578"/>
    <w:rsid w:val="001B27EC"/>
    <w:rsid w:val="001B402B"/>
    <w:rsid w:val="001B5B4A"/>
    <w:rsid w:val="001C1707"/>
    <w:rsid w:val="001C2BBB"/>
    <w:rsid w:val="001C4FCC"/>
    <w:rsid w:val="001C5AAB"/>
    <w:rsid w:val="001C5B83"/>
    <w:rsid w:val="001C5ECB"/>
    <w:rsid w:val="001C6D0E"/>
    <w:rsid w:val="001C7200"/>
    <w:rsid w:val="001C74D7"/>
    <w:rsid w:val="001D1456"/>
    <w:rsid w:val="001D269D"/>
    <w:rsid w:val="001D2832"/>
    <w:rsid w:val="001D4701"/>
    <w:rsid w:val="001D47AB"/>
    <w:rsid w:val="001E0DD5"/>
    <w:rsid w:val="001E1D22"/>
    <w:rsid w:val="001E227F"/>
    <w:rsid w:val="001E33A8"/>
    <w:rsid w:val="001E3852"/>
    <w:rsid w:val="001E43DA"/>
    <w:rsid w:val="001E53CD"/>
    <w:rsid w:val="001E5E24"/>
    <w:rsid w:val="001E5F4E"/>
    <w:rsid w:val="001E7319"/>
    <w:rsid w:val="001F18F9"/>
    <w:rsid w:val="001F1C52"/>
    <w:rsid w:val="001F2EF5"/>
    <w:rsid w:val="001F3AF7"/>
    <w:rsid w:val="001F3B29"/>
    <w:rsid w:val="001F4C10"/>
    <w:rsid w:val="001F4C1B"/>
    <w:rsid w:val="001F578A"/>
    <w:rsid w:val="001F6022"/>
    <w:rsid w:val="001F69AA"/>
    <w:rsid w:val="00201070"/>
    <w:rsid w:val="002018C5"/>
    <w:rsid w:val="00202C3A"/>
    <w:rsid w:val="00207643"/>
    <w:rsid w:val="0021067F"/>
    <w:rsid w:val="00213952"/>
    <w:rsid w:val="0021510C"/>
    <w:rsid w:val="0021652B"/>
    <w:rsid w:val="00216F15"/>
    <w:rsid w:val="00220426"/>
    <w:rsid w:val="00220462"/>
    <w:rsid w:val="00220F8F"/>
    <w:rsid w:val="002215BE"/>
    <w:rsid w:val="00222B61"/>
    <w:rsid w:val="002230BC"/>
    <w:rsid w:val="00225AE5"/>
    <w:rsid w:val="002313BD"/>
    <w:rsid w:val="00236CC5"/>
    <w:rsid w:val="00243126"/>
    <w:rsid w:val="00243910"/>
    <w:rsid w:val="00243A34"/>
    <w:rsid w:val="002443BF"/>
    <w:rsid w:val="00246D94"/>
    <w:rsid w:val="002510BC"/>
    <w:rsid w:val="00251B51"/>
    <w:rsid w:val="0025277C"/>
    <w:rsid w:val="0025345F"/>
    <w:rsid w:val="00254DEF"/>
    <w:rsid w:val="0025670E"/>
    <w:rsid w:val="00262351"/>
    <w:rsid w:val="002629BF"/>
    <w:rsid w:val="0026301A"/>
    <w:rsid w:val="00264765"/>
    <w:rsid w:val="002652DE"/>
    <w:rsid w:val="00265AD8"/>
    <w:rsid w:val="00266715"/>
    <w:rsid w:val="00266903"/>
    <w:rsid w:val="002670B2"/>
    <w:rsid w:val="002710B8"/>
    <w:rsid w:val="00274632"/>
    <w:rsid w:val="002754B8"/>
    <w:rsid w:val="002756E7"/>
    <w:rsid w:val="00275849"/>
    <w:rsid w:val="00275B22"/>
    <w:rsid w:val="00277E68"/>
    <w:rsid w:val="00280168"/>
    <w:rsid w:val="002812D8"/>
    <w:rsid w:val="00284880"/>
    <w:rsid w:val="002864A8"/>
    <w:rsid w:val="00290335"/>
    <w:rsid w:val="002907E6"/>
    <w:rsid w:val="0029163A"/>
    <w:rsid w:val="00291706"/>
    <w:rsid w:val="00292967"/>
    <w:rsid w:val="00293D06"/>
    <w:rsid w:val="00293D1F"/>
    <w:rsid w:val="002942A1"/>
    <w:rsid w:val="002943E4"/>
    <w:rsid w:val="00295354"/>
    <w:rsid w:val="00297534"/>
    <w:rsid w:val="002A0188"/>
    <w:rsid w:val="002A08D5"/>
    <w:rsid w:val="002A0A3F"/>
    <w:rsid w:val="002A2378"/>
    <w:rsid w:val="002A34A7"/>
    <w:rsid w:val="002A58CB"/>
    <w:rsid w:val="002A5E53"/>
    <w:rsid w:val="002A6967"/>
    <w:rsid w:val="002A6E92"/>
    <w:rsid w:val="002A6FE6"/>
    <w:rsid w:val="002A7808"/>
    <w:rsid w:val="002B078F"/>
    <w:rsid w:val="002B07E5"/>
    <w:rsid w:val="002B09F3"/>
    <w:rsid w:val="002B14B3"/>
    <w:rsid w:val="002B2142"/>
    <w:rsid w:val="002B4B19"/>
    <w:rsid w:val="002B51F1"/>
    <w:rsid w:val="002B550E"/>
    <w:rsid w:val="002B6FE2"/>
    <w:rsid w:val="002C0EA9"/>
    <w:rsid w:val="002C31AD"/>
    <w:rsid w:val="002C3579"/>
    <w:rsid w:val="002C4D50"/>
    <w:rsid w:val="002C7087"/>
    <w:rsid w:val="002D024E"/>
    <w:rsid w:val="002D1A6E"/>
    <w:rsid w:val="002D2D46"/>
    <w:rsid w:val="002D3A38"/>
    <w:rsid w:val="002D3D43"/>
    <w:rsid w:val="002D4934"/>
    <w:rsid w:val="002D5CB2"/>
    <w:rsid w:val="002D5FF3"/>
    <w:rsid w:val="002D6035"/>
    <w:rsid w:val="002D7024"/>
    <w:rsid w:val="002E1D88"/>
    <w:rsid w:val="002E1ED7"/>
    <w:rsid w:val="002E2B78"/>
    <w:rsid w:val="002E35A9"/>
    <w:rsid w:val="002E3E8E"/>
    <w:rsid w:val="002E4304"/>
    <w:rsid w:val="002E579C"/>
    <w:rsid w:val="002E584A"/>
    <w:rsid w:val="002E5B2C"/>
    <w:rsid w:val="002E7272"/>
    <w:rsid w:val="002E7CC4"/>
    <w:rsid w:val="002F32FA"/>
    <w:rsid w:val="002F37A1"/>
    <w:rsid w:val="002F47C4"/>
    <w:rsid w:val="002F50BF"/>
    <w:rsid w:val="002F5154"/>
    <w:rsid w:val="002F530D"/>
    <w:rsid w:val="002F74F8"/>
    <w:rsid w:val="00300A4A"/>
    <w:rsid w:val="003022C1"/>
    <w:rsid w:val="003043E2"/>
    <w:rsid w:val="00306DBD"/>
    <w:rsid w:val="00310D23"/>
    <w:rsid w:val="003110FC"/>
    <w:rsid w:val="00311E54"/>
    <w:rsid w:val="003125BE"/>
    <w:rsid w:val="00312D18"/>
    <w:rsid w:val="00315B42"/>
    <w:rsid w:val="003161E8"/>
    <w:rsid w:val="00317D9F"/>
    <w:rsid w:val="003200BB"/>
    <w:rsid w:val="003201BC"/>
    <w:rsid w:val="00320998"/>
    <w:rsid w:val="003215B8"/>
    <w:rsid w:val="00323EF8"/>
    <w:rsid w:val="00324423"/>
    <w:rsid w:val="003264D1"/>
    <w:rsid w:val="003302DA"/>
    <w:rsid w:val="0033045F"/>
    <w:rsid w:val="00330AE9"/>
    <w:rsid w:val="0033322D"/>
    <w:rsid w:val="00333EAC"/>
    <w:rsid w:val="0033536F"/>
    <w:rsid w:val="00335E30"/>
    <w:rsid w:val="00336AD4"/>
    <w:rsid w:val="00337F64"/>
    <w:rsid w:val="00341042"/>
    <w:rsid w:val="003414F5"/>
    <w:rsid w:val="00342488"/>
    <w:rsid w:val="00344120"/>
    <w:rsid w:val="00344214"/>
    <w:rsid w:val="00344DBC"/>
    <w:rsid w:val="00345155"/>
    <w:rsid w:val="00346B53"/>
    <w:rsid w:val="00347127"/>
    <w:rsid w:val="00351A21"/>
    <w:rsid w:val="00351B01"/>
    <w:rsid w:val="00352EA2"/>
    <w:rsid w:val="00355DC8"/>
    <w:rsid w:val="00356BFD"/>
    <w:rsid w:val="00361722"/>
    <w:rsid w:val="00361C60"/>
    <w:rsid w:val="0036343D"/>
    <w:rsid w:val="00364D6E"/>
    <w:rsid w:val="00365DD8"/>
    <w:rsid w:val="00367815"/>
    <w:rsid w:val="003678AD"/>
    <w:rsid w:val="00370780"/>
    <w:rsid w:val="0037179A"/>
    <w:rsid w:val="00372BEF"/>
    <w:rsid w:val="0037358D"/>
    <w:rsid w:val="00374858"/>
    <w:rsid w:val="0037492E"/>
    <w:rsid w:val="00374A11"/>
    <w:rsid w:val="0037606B"/>
    <w:rsid w:val="003763AC"/>
    <w:rsid w:val="003765D5"/>
    <w:rsid w:val="00376D38"/>
    <w:rsid w:val="00377EAD"/>
    <w:rsid w:val="003801A0"/>
    <w:rsid w:val="003809D0"/>
    <w:rsid w:val="00381ECE"/>
    <w:rsid w:val="003820ED"/>
    <w:rsid w:val="00382187"/>
    <w:rsid w:val="00382C03"/>
    <w:rsid w:val="003837FF"/>
    <w:rsid w:val="00385733"/>
    <w:rsid w:val="0038679D"/>
    <w:rsid w:val="00390853"/>
    <w:rsid w:val="00390B22"/>
    <w:rsid w:val="00390EC5"/>
    <w:rsid w:val="00391795"/>
    <w:rsid w:val="00391DCA"/>
    <w:rsid w:val="00395829"/>
    <w:rsid w:val="00396A84"/>
    <w:rsid w:val="003A1CE5"/>
    <w:rsid w:val="003A27CD"/>
    <w:rsid w:val="003A2BEA"/>
    <w:rsid w:val="003A3082"/>
    <w:rsid w:val="003A42D8"/>
    <w:rsid w:val="003A56B8"/>
    <w:rsid w:val="003A5780"/>
    <w:rsid w:val="003A6427"/>
    <w:rsid w:val="003A7AF9"/>
    <w:rsid w:val="003B11AD"/>
    <w:rsid w:val="003B1EE6"/>
    <w:rsid w:val="003B30D6"/>
    <w:rsid w:val="003B40D1"/>
    <w:rsid w:val="003B5B24"/>
    <w:rsid w:val="003B5C02"/>
    <w:rsid w:val="003B6A24"/>
    <w:rsid w:val="003B6D6E"/>
    <w:rsid w:val="003B7E52"/>
    <w:rsid w:val="003C052C"/>
    <w:rsid w:val="003C2754"/>
    <w:rsid w:val="003C3496"/>
    <w:rsid w:val="003C3B84"/>
    <w:rsid w:val="003C4B6B"/>
    <w:rsid w:val="003C7904"/>
    <w:rsid w:val="003D0BD2"/>
    <w:rsid w:val="003D11F4"/>
    <w:rsid w:val="003D18C3"/>
    <w:rsid w:val="003D334E"/>
    <w:rsid w:val="003D3C53"/>
    <w:rsid w:val="003D51B7"/>
    <w:rsid w:val="003D53BF"/>
    <w:rsid w:val="003D5855"/>
    <w:rsid w:val="003D6D19"/>
    <w:rsid w:val="003D6F29"/>
    <w:rsid w:val="003D76E9"/>
    <w:rsid w:val="003D7CDF"/>
    <w:rsid w:val="003E0120"/>
    <w:rsid w:val="003E06F2"/>
    <w:rsid w:val="003E09A2"/>
    <w:rsid w:val="003E13D6"/>
    <w:rsid w:val="003E2581"/>
    <w:rsid w:val="003E2936"/>
    <w:rsid w:val="003E637C"/>
    <w:rsid w:val="003E6BFA"/>
    <w:rsid w:val="003E76DF"/>
    <w:rsid w:val="003F0C33"/>
    <w:rsid w:val="003F0C91"/>
    <w:rsid w:val="003F179F"/>
    <w:rsid w:val="003F26AD"/>
    <w:rsid w:val="003F3050"/>
    <w:rsid w:val="003F6629"/>
    <w:rsid w:val="003F6B0F"/>
    <w:rsid w:val="003F756A"/>
    <w:rsid w:val="004000A0"/>
    <w:rsid w:val="00400560"/>
    <w:rsid w:val="0040259D"/>
    <w:rsid w:val="00402B60"/>
    <w:rsid w:val="0040783B"/>
    <w:rsid w:val="00410037"/>
    <w:rsid w:val="004101E4"/>
    <w:rsid w:val="004115BD"/>
    <w:rsid w:val="00411906"/>
    <w:rsid w:val="0041210B"/>
    <w:rsid w:val="004129FC"/>
    <w:rsid w:val="00413D22"/>
    <w:rsid w:val="004145DB"/>
    <w:rsid w:val="004147BA"/>
    <w:rsid w:val="00414C86"/>
    <w:rsid w:val="00415267"/>
    <w:rsid w:val="004152FB"/>
    <w:rsid w:val="00416B82"/>
    <w:rsid w:val="00421077"/>
    <w:rsid w:val="0042156E"/>
    <w:rsid w:val="00421E22"/>
    <w:rsid w:val="0042232E"/>
    <w:rsid w:val="00423E71"/>
    <w:rsid w:val="00424C8A"/>
    <w:rsid w:val="00425207"/>
    <w:rsid w:val="00427533"/>
    <w:rsid w:val="00430457"/>
    <w:rsid w:val="00432D13"/>
    <w:rsid w:val="00434102"/>
    <w:rsid w:val="00434304"/>
    <w:rsid w:val="004343D9"/>
    <w:rsid w:val="004349EF"/>
    <w:rsid w:val="004352AB"/>
    <w:rsid w:val="00435EF5"/>
    <w:rsid w:val="00441CC9"/>
    <w:rsid w:val="0044275D"/>
    <w:rsid w:val="004428BD"/>
    <w:rsid w:val="00442CFA"/>
    <w:rsid w:val="00443209"/>
    <w:rsid w:val="0044571D"/>
    <w:rsid w:val="004468D1"/>
    <w:rsid w:val="00450890"/>
    <w:rsid w:val="0045146B"/>
    <w:rsid w:val="00451C38"/>
    <w:rsid w:val="00453A4D"/>
    <w:rsid w:val="004549A5"/>
    <w:rsid w:val="0045668F"/>
    <w:rsid w:val="0045720A"/>
    <w:rsid w:val="004576B1"/>
    <w:rsid w:val="00457E7E"/>
    <w:rsid w:val="00460DD8"/>
    <w:rsid w:val="004619F2"/>
    <w:rsid w:val="004620E3"/>
    <w:rsid w:val="004626E7"/>
    <w:rsid w:val="00463857"/>
    <w:rsid w:val="004647C9"/>
    <w:rsid w:val="004648AB"/>
    <w:rsid w:val="00465987"/>
    <w:rsid w:val="004663E6"/>
    <w:rsid w:val="004663EA"/>
    <w:rsid w:val="00472230"/>
    <w:rsid w:val="00472905"/>
    <w:rsid w:val="00475293"/>
    <w:rsid w:val="004753D7"/>
    <w:rsid w:val="00476CD7"/>
    <w:rsid w:val="00476D4B"/>
    <w:rsid w:val="004804F8"/>
    <w:rsid w:val="004810B5"/>
    <w:rsid w:val="004810DB"/>
    <w:rsid w:val="004830A0"/>
    <w:rsid w:val="00484752"/>
    <w:rsid w:val="00484A73"/>
    <w:rsid w:val="00485984"/>
    <w:rsid w:val="004860E8"/>
    <w:rsid w:val="00486309"/>
    <w:rsid w:val="00486D5A"/>
    <w:rsid w:val="00487781"/>
    <w:rsid w:val="004911A2"/>
    <w:rsid w:val="00492E7A"/>
    <w:rsid w:val="0049384E"/>
    <w:rsid w:val="004942FD"/>
    <w:rsid w:val="00494397"/>
    <w:rsid w:val="00496B6F"/>
    <w:rsid w:val="00497864"/>
    <w:rsid w:val="004A040E"/>
    <w:rsid w:val="004A179D"/>
    <w:rsid w:val="004A1C44"/>
    <w:rsid w:val="004A1E34"/>
    <w:rsid w:val="004A2696"/>
    <w:rsid w:val="004A275D"/>
    <w:rsid w:val="004A4587"/>
    <w:rsid w:val="004A5D9F"/>
    <w:rsid w:val="004A69BD"/>
    <w:rsid w:val="004A7C0A"/>
    <w:rsid w:val="004B02B7"/>
    <w:rsid w:val="004B06A3"/>
    <w:rsid w:val="004B1809"/>
    <w:rsid w:val="004B2483"/>
    <w:rsid w:val="004B50BD"/>
    <w:rsid w:val="004B776A"/>
    <w:rsid w:val="004C0163"/>
    <w:rsid w:val="004C05F2"/>
    <w:rsid w:val="004C17E5"/>
    <w:rsid w:val="004C3FCD"/>
    <w:rsid w:val="004C4E9F"/>
    <w:rsid w:val="004C52F8"/>
    <w:rsid w:val="004C5B7C"/>
    <w:rsid w:val="004C5DA7"/>
    <w:rsid w:val="004C6034"/>
    <w:rsid w:val="004C72D8"/>
    <w:rsid w:val="004D0451"/>
    <w:rsid w:val="004D0E7A"/>
    <w:rsid w:val="004D0FF8"/>
    <w:rsid w:val="004D242B"/>
    <w:rsid w:val="004D2BD9"/>
    <w:rsid w:val="004D3595"/>
    <w:rsid w:val="004D552E"/>
    <w:rsid w:val="004D651E"/>
    <w:rsid w:val="004E0676"/>
    <w:rsid w:val="004E3F7B"/>
    <w:rsid w:val="004E430F"/>
    <w:rsid w:val="004E4BBC"/>
    <w:rsid w:val="004F094C"/>
    <w:rsid w:val="004F38C1"/>
    <w:rsid w:val="004F4289"/>
    <w:rsid w:val="004F4BEB"/>
    <w:rsid w:val="004F4DC4"/>
    <w:rsid w:val="004F72B0"/>
    <w:rsid w:val="004F7F82"/>
    <w:rsid w:val="0050030D"/>
    <w:rsid w:val="0050453F"/>
    <w:rsid w:val="0050456F"/>
    <w:rsid w:val="00507406"/>
    <w:rsid w:val="00513878"/>
    <w:rsid w:val="00516A3A"/>
    <w:rsid w:val="005176AE"/>
    <w:rsid w:val="00517EA6"/>
    <w:rsid w:val="0052040F"/>
    <w:rsid w:val="00520EAC"/>
    <w:rsid w:val="005217C0"/>
    <w:rsid w:val="00523521"/>
    <w:rsid w:val="00523D31"/>
    <w:rsid w:val="00523D57"/>
    <w:rsid w:val="00524F0D"/>
    <w:rsid w:val="00525A29"/>
    <w:rsid w:val="0052668F"/>
    <w:rsid w:val="00527963"/>
    <w:rsid w:val="005318AA"/>
    <w:rsid w:val="00531FF4"/>
    <w:rsid w:val="0053200F"/>
    <w:rsid w:val="005320A9"/>
    <w:rsid w:val="00532145"/>
    <w:rsid w:val="0053289B"/>
    <w:rsid w:val="00535BF7"/>
    <w:rsid w:val="00535C3C"/>
    <w:rsid w:val="0053671D"/>
    <w:rsid w:val="005367B7"/>
    <w:rsid w:val="0053690B"/>
    <w:rsid w:val="00537EE8"/>
    <w:rsid w:val="00541A3A"/>
    <w:rsid w:val="00541C80"/>
    <w:rsid w:val="0054229D"/>
    <w:rsid w:val="00542587"/>
    <w:rsid w:val="00542AF4"/>
    <w:rsid w:val="005434A1"/>
    <w:rsid w:val="00544487"/>
    <w:rsid w:val="00544505"/>
    <w:rsid w:val="00545C45"/>
    <w:rsid w:val="0054630A"/>
    <w:rsid w:val="005474C8"/>
    <w:rsid w:val="00547943"/>
    <w:rsid w:val="00551303"/>
    <w:rsid w:val="00554F4B"/>
    <w:rsid w:val="005551F2"/>
    <w:rsid w:val="005552A6"/>
    <w:rsid w:val="0055601C"/>
    <w:rsid w:val="00556C8E"/>
    <w:rsid w:val="00557C89"/>
    <w:rsid w:val="00560CF3"/>
    <w:rsid w:val="0056189B"/>
    <w:rsid w:val="00563A84"/>
    <w:rsid w:val="005640AA"/>
    <w:rsid w:val="00564623"/>
    <w:rsid w:val="00564913"/>
    <w:rsid w:val="0056520E"/>
    <w:rsid w:val="0056568C"/>
    <w:rsid w:val="00566500"/>
    <w:rsid w:val="005706AC"/>
    <w:rsid w:val="00571C0F"/>
    <w:rsid w:val="00573295"/>
    <w:rsid w:val="005755B1"/>
    <w:rsid w:val="00575AA5"/>
    <w:rsid w:val="005760B7"/>
    <w:rsid w:val="00581CFF"/>
    <w:rsid w:val="00581F07"/>
    <w:rsid w:val="00583A3F"/>
    <w:rsid w:val="00583B04"/>
    <w:rsid w:val="00584D6D"/>
    <w:rsid w:val="005850FD"/>
    <w:rsid w:val="0058533B"/>
    <w:rsid w:val="005855CF"/>
    <w:rsid w:val="0058592E"/>
    <w:rsid w:val="00590051"/>
    <w:rsid w:val="00590266"/>
    <w:rsid w:val="005906E8"/>
    <w:rsid w:val="005945D6"/>
    <w:rsid w:val="00595410"/>
    <w:rsid w:val="00596708"/>
    <w:rsid w:val="0059751D"/>
    <w:rsid w:val="00597C92"/>
    <w:rsid w:val="005A298D"/>
    <w:rsid w:val="005A3DD9"/>
    <w:rsid w:val="005A4AF9"/>
    <w:rsid w:val="005B0ADB"/>
    <w:rsid w:val="005B0B14"/>
    <w:rsid w:val="005B31FB"/>
    <w:rsid w:val="005B3C27"/>
    <w:rsid w:val="005B49BB"/>
    <w:rsid w:val="005B4AA1"/>
    <w:rsid w:val="005B67A3"/>
    <w:rsid w:val="005C01CE"/>
    <w:rsid w:val="005C43AE"/>
    <w:rsid w:val="005C50C6"/>
    <w:rsid w:val="005C5748"/>
    <w:rsid w:val="005C5EDA"/>
    <w:rsid w:val="005C5F2C"/>
    <w:rsid w:val="005C747D"/>
    <w:rsid w:val="005C7B3C"/>
    <w:rsid w:val="005D0253"/>
    <w:rsid w:val="005D1F0B"/>
    <w:rsid w:val="005D2198"/>
    <w:rsid w:val="005D30B6"/>
    <w:rsid w:val="005D316D"/>
    <w:rsid w:val="005D33F6"/>
    <w:rsid w:val="005D34F7"/>
    <w:rsid w:val="005D3AFF"/>
    <w:rsid w:val="005D3B1D"/>
    <w:rsid w:val="005D4C9C"/>
    <w:rsid w:val="005E0D61"/>
    <w:rsid w:val="005E119F"/>
    <w:rsid w:val="005E1EE3"/>
    <w:rsid w:val="005E4F23"/>
    <w:rsid w:val="005E552D"/>
    <w:rsid w:val="005E5DBC"/>
    <w:rsid w:val="005E7BDE"/>
    <w:rsid w:val="005F0CFA"/>
    <w:rsid w:val="005F223B"/>
    <w:rsid w:val="005F26B4"/>
    <w:rsid w:val="005F2B9C"/>
    <w:rsid w:val="005F4DE5"/>
    <w:rsid w:val="005F5E25"/>
    <w:rsid w:val="005F7515"/>
    <w:rsid w:val="0060056A"/>
    <w:rsid w:val="006047F7"/>
    <w:rsid w:val="00606A62"/>
    <w:rsid w:val="00607872"/>
    <w:rsid w:val="0061065A"/>
    <w:rsid w:val="006144D3"/>
    <w:rsid w:val="00614E40"/>
    <w:rsid w:val="00617A6E"/>
    <w:rsid w:val="0062198B"/>
    <w:rsid w:val="00622667"/>
    <w:rsid w:val="00622F91"/>
    <w:rsid w:val="0062307F"/>
    <w:rsid w:val="0062433B"/>
    <w:rsid w:val="006259E2"/>
    <w:rsid w:val="00626AF3"/>
    <w:rsid w:val="00627601"/>
    <w:rsid w:val="00631979"/>
    <w:rsid w:val="00632A36"/>
    <w:rsid w:val="00632D1C"/>
    <w:rsid w:val="00633820"/>
    <w:rsid w:val="006344D5"/>
    <w:rsid w:val="00634FBF"/>
    <w:rsid w:val="00635AB6"/>
    <w:rsid w:val="00636060"/>
    <w:rsid w:val="006378E7"/>
    <w:rsid w:val="0064148B"/>
    <w:rsid w:val="006416FC"/>
    <w:rsid w:val="00641EAE"/>
    <w:rsid w:val="006460DF"/>
    <w:rsid w:val="00647203"/>
    <w:rsid w:val="00650B6C"/>
    <w:rsid w:val="00652274"/>
    <w:rsid w:val="00652838"/>
    <w:rsid w:val="00653047"/>
    <w:rsid w:val="00655C2A"/>
    <w:rsid w:val="0066095C"/>
    <w:rsid w:val="0066145F"/>
    <w:rsid w:val="006623E0"/>
    <w:rsid w:val="00662A03"/>
    <w:rsid w:val="006644A0"/>
    <w:rsid w:val="00666141"/>
    <w:rsid w:val="00670C83"/>
    <w:rsid w:val="00672087"/>
    <w:rsid w:val="00673B37"/>
    <w:rsid w:val="00674534"/>
    <w:rsid w:val="00674F05"/>
    <w:rsid w:val="0067622D"/>
    <w:rsid w:val="00677D61"/>
    <w:rsid w:val="0068291E"/>
    <w:rsid w:val="00684637"/>
    <w:rsid w:val="00686315"/>
    <w:rsid w:val="00687981"/>
    <w:rsid w:val="00687BD9"/>
    <w:rsid w:val="00690FA8"/>
    <w:rsid w:val="00691849"/>
    <w:rsid w:val="0069200A"/>
    <w:rsid w:val="00692AFC"/>
    <w:rsid w:val="00692B84"/>
    <w:rsid w:val="00693D3F"/>
    <w:rsid w:val="00694195"/>
    <w:rsid w:val="0069574E"/>
    <w:rsid w:val="00696492"/>
    <w:rsid w:val="00697D8A"/>
    <w:rsid w:val="006A0307"/>
    <w:rsid w:val="006A0865"/>
    <w:rsid w:val="006A2B10"/>
    <w:rsid w:val="006A5B57"/>
    <w:rsid w:val="006A5C49"/>
    <w:rsid w:val="006A5C81"/>
    <w:rsid w:val="006A6F90"/>
    <w:rsid w:val="006A7071"/>
    <w:rsid w:val="006B047E"/>
    <w:rsid w:val="006B25C8"/>
    <w:rsid w:val="006B2E94"/>
    <w:rsid w:val="006B4B0F"/>
    <w:rsid w:val="006B55F3"/>
    <w:rsid w:val="006B5E59"/>
    <w:rsid w:val="006B603D"/>
    <w:rsid w:val="006C05F4"/>
    <w:rsid w:val="006C081F"/>
    <w:rsid w:val="006C11A1"/>
    <w:rsid w:val="006C266B"/>
    <w:rsid w:val="006C4052"/>
    <w:rsid w:val="006C53D1"/>
    <w:rsid w:val="006C5A3B"/>
    <w:rsid w:val="006C6138"/>
    <w:rsid w:val="006C6334"/>
    <w:rsid w:val="006C6367"/>
    <w:rsid w:val="006C6E78"/>
    <w:rsid w:val="006D08A7"/>
    <w:rsid w:val="006D0E53"/>
    <w:rsid w:val="006D1DF3"/>
    <w:rsid w:val="006D2D27"/>
    <w:rsid w:val="006D3B6B"/>
    <w:rsid w:val="006D5BBB"/>
    <w:rsid w:val="006D6809"/>
    <w:rsid w:val="006D72B4"/>
    <w:rsid w:val="006E0449"/>
    <w:rsid w:val="006E13B8"/>
    <w:rsid w:val="006E2723"/>
    <w:rsid w:val="006E353E"/>
    <w:rsid w:val="006E3AEC"/>
    <w:rsid w:val="006E3B81"/>
    <w:rsid w:val="006E4A69"/>
    <w:rsid w:val="006E5481"/>
    <w:rsid w:val="006E55A9"/>
    <w:rsid w:val="006E6F5D"/>
    <w:rsid w:val="006E710D"/>
    <w:rsid w:val="006E7596"/>
    <w:rsid w:val="006E7EEE"/>
    <w:rsid w:val="006F1B28"/>
    <w:rsid w:val="006F2015"/>
    <w:rsid w:val="006F2A69"/>
    <w:rsid w:val="006F3E0E"/>
    <w:rsid w:val="006F72CC"/>
    <w:rsid w:val="006F78A4"/>
    <w:rsid w:val="007024F5"/>
    <w:rsid w:val="007029C2"/>
    <w:rsid w:val="00703AFB"/>
    <w:rsid w:val="007050E0"/>
    <w:rsid w:val="00706A4D"/>
    <w:rsid w:val="0070761B"/>
    <w:rsid w:val="00707915"/>
    <w:rsid w:val="00707E2C"/>
    <w:rsid w:val="00710359"/>
    <w:rsid w:val="00710EEC"/>
    <w:rsid w:val="007113B0"/>
    <w:rsid w:val="00712E00"/>
    <w:rsid w:val="00713191"/>
    <w:rsid w:val="00713462"/>
    <w:rsid w:val="00713D62"/>
    <w:rsid w:val="00713DD4"/>
    <w:rsid w:val="00714EF3"/>
    <w:rsid w:val="007161E2"/>
    <w:rsid w:val="0071661F"/>
    <w:rsid w:val="007175BC"/>
    <w:rsid w:val="00717F72"/>
    <w:rsid w:val="0072011B"/>
    <w:rsid w:val="00720BE3"/>
    <w:rsid w:val="00721AC1"/>
    <w:rsid w:val="00722FE9"/>
    <w:rsid w:val="0072374B"/>
    <w:rsid w:val="00724496"/>
    <w:rsid w:val="00725DC4"/>
    <w:rsid w:val="0072791D"/>
    <w:rsid w:val="00730551"/>
    <w:rsid w:val="007352BE"/>
    <w:rsid w:val="00735D23"/>
    <w:rsid w:val="007361A9"/>
    <w:rsid w:val="007364BD"/>
    <w:rsid w:val="007373D0"/>
    <w:rsid w:val="00737AEB"/>
    <w:rsid w:val="00737FE7"/>
    <w:rsid w:val="007420F6"/>
    <w:rsid w:val="00744919"/>
    <w:rsid w:val="00744E79"/>
    <w:rsid w:val="007453D8"/>
    <w:rsid w:val="00745DA9"/>
    <w:rsid w:val="00747374"/>
    <w:rsid w:val="007475FD"/>
    <w:rsid w:val="00747B6F"/>
    <w:rsid w:val="007516F3"/>
    <w:rsid w:val="007533C6"/>
    <w:rsid w:val="00753C73"/>
    <w:rsid w:val="00753ED1"/>
    <w:rsid w:val="00754538"/>
    <w:rsid w:val="00754955"/>
    <w:rsid w:val="00754BC3"/>
    <w:rsid w:val="00755DC3"/>
    <w:rsid w:val="00756975"/>
    <w:rsid w:val="00757705"/>
    <w:rsid w:val="00760891"/>
    <w:rsid w:val="00761278"/>
    <w:rsid w:val="007630FE"/>
    <w:rsid w:val="007631DB"/>
    <w:rsid w:val="00763ACC"/>
    <w:rsid w:val="00763D62"/>
    <w:rsid w:val="007657F8"/>
    <w:rsid w:val="0076669E"/>
    <w:rsid w:val="007667C4"/>
    <w:rsid w:val="00766A45"/>
    <w:rsid w:val="00770E3B"/>
    <w:rsid w:val="00770FDE"/>
    <w:rsid w:val="00771BA8"/>
    <w:rsid w:val="00772183"/>
    <w:rsid w:val="00772B41"/>
    <w:rsid w:val="0077380B"/>
    <w:rsid w:val="00774462"/>
    <w:rsid w:val="0077502A"/>
    <w:rsid w:val="00775695"/>
    <w:rsid w:val="00776246"/>
    <w:rsid w:val="00777EC6"/>
    <w:rsid w:val="00780690"/>
    <w:rsid w:val="00780CE6"/>
    <w:rsid w:val="00780E8C"/>
    <w:rsid w:val="00780EE6"/>
    <w:rsid w:val="00781A52"/>
    <w:rsid w:val="00781BBE"/>
    <w:rsid w:val="007822CE"/>
    <w:rsid w:val="00782DEC"/>
    <w:rsid w:val="00782FBF"/>
    <w:rsid w:val="007857CD"/>
    <w:rsid w:val="007865DC"/>
    <w:rsid w:val="0079025D"/>
    <w:rsid w:val="00791D35"/>
    <w:rsid w:val="00791D8A"/>
    <w:rsid w:val="0079338B"/>
    <w:rsid w:val="0079383F"/>
    <w:rsid w:val="00794282"/>
    <w:rsid w:val="00794BC5"/>
    <w:rsid w:val="007951CD"/>
    <w:rsid w:val="007953D4"/>
    <w:rsid w:val="0079670E"/>
    <w:rsid w:val="007968DF"/>
    <w:rsid w:val="00796AE5"/>
    <w:rsid w:val="00796EC4"/>
    <w:rsid w:val="00797947"/>
    <w:rsid w:val="007A010A"/>
    <w:rsid w:val="007A14B8"/>
    <w:rsid w:val="007A21DD"/>
    <w:rsid w:val="007A40CD"/>
    <w:rsid w:val="007A4CBC"/>
    <w:rsid w:val="007A5C36"/>
    <w:rsid w:val="007A5DAF"/>
    <w:rsid w:val="007A6E77"/>
    <w:rsid w:val="007B1910"/>
    <w:rsid w:val="007B26F5"/>
    <w:rsid w:val="007B2C4C"/>
    <w:rsid w:val="007B4CC1"/>
    <w:rsid w:val="007B6503"/>
    <w:rsid w:val="007B7F61"/>
    <w:rsid w:val="007C05CE"/>
    <w:rsid w:val="007C1BF4"/>
    <w:rsid w:val="007C2604"/>
    <w:rsid w:val="007C2B13"/>
    <w:rsid w:val="007C33E7"/>
    <w:rsid w:val="007C4E19"/>
    <w:rsid w:val="007C4E42"/>
    <w:rsid w:val="007C509A"/>
    <w:rsid w:val="007C5944"/>
    <w:rsid w:val="007C729B"/>
    <w:rsid w:val="007C78E1"/>
    <w:rsid w:val="007C799D"/>
    <w:rsid w:val="007C7CA8"/>
    <w:rsid w:val="007C7E8F"/>
    <w:rsid w:val="007D0E2C"/>
    <w:rsid w:val="007D1749"/>
    <w:rsid w:val="007D1BAA"/>
    <w:rsid w:val="007D1EF6"/>
    <w:rsid w:val="007D346B"/>
    <w:rsid w:val="007D38D0"/>
    <w:rsid w:val="007D4690"/>
    <w:rsid w:val="007D58B1"/>
    <w:rsid w:val="007D5975"/>
    <w:rsid w:val="007D6A2E"/>
    <w:rsid w:val="007D6C73"/>
    <w:rsid w:val="007E1216"/>
    <w:rsid w:val="007E166B"/>
    <w:rsid w:val="007E1728"/>
    <w:rsid w:val="007E1EA9"/>
    <w:rsid w:val="007E257D"/>
    <w:rsid w:val="007E34EF"/>
    <w:rsid w:val="007E416E"/>
    <w:rsid w:val="007E5BDA"/>
    <w:rsid w:val="007F09C1"/>
    <w:rsid w:val="007F27D7"/>
    <w:rsid w:val="007F284B"/>
    <w:rsid w:val="007F37F9"/>
    <w:rsid w:val="007F4A06"/>
    <w:rsid w:val="007F696D"/>
    <w:rsid w:val="007F6B17"/>
    <w:rsid w:val="007F6BB6"/>
    <w:rsid w:val="007F72E1"/>
    <w:rsid w:val="008022FF"/>
    <w:rsid w:val="0080230D"/>
    <w:rsid w:val="008055A3"/>
    <w:rsid w:val="00805F53"/>
    <w:rsid w:val="008065A4"/>
    <w:rsid w:val="008067EC"/>
    <w:rsid w:val="008068C7"/>
    <w:rsid w:val="0080706C"/>
    <w:rsid w:val="00810454"/>
    <w:rsid w:val="00810E81"/>
    <w:rsid w:val="00812278"/>
    <w:rsid w:val="00813450"/>
    <w:rsid w:val="00813793"/>
    <w:rsid w:val="00813822"/>
    <w:rsid w:val="008200CD"/>
    <w:rsid w:val="00824043"/>
    <w:rsid w:val="00825CA1"/>
    <w:rsid w:val="008265C3"/>
    <w:rsid w:val="00826BC3"/>
    <w:rsid w:val="00827603"/>
    <w:rsid w:val="00827836"/>
    <w:rsid w:val="008309E7"/>
    <w:rsid w:val="00830E4B"/>
    <w:rsid w:val="00831EBF"/>
    <w:rsid w:val="008332EC"/>
    <w:rsid w:val="00835099"/>
    <w:rsid w:val="00835706"/>
    <w:rsid w:val="00836609"/>
    <w:rsid w:val="0083704C"/>
    <w:rsid w:val="00840088"/>
    <w:rsid w:val="008408CA"/>
    <w:rsid w:val="00840AF2"/>
    <w:rsid w:val="0084388C"/>
    <w:rsid w:val="008458C3"/>
    <w:rsid w:val="00845B6F"/>
    <w:rsid w:val="00845F06"/>
    <w:rsid w:val="008466E6"/>
    <w:rsid w:val="0084672E"/>
    <w:rsid w:val="00847AE2"/>
    <w:rsid w:val="008503FB"/>
    <w:rsid w:val="00850629"/>
    <w:rsid w:val="00850C4B"/>
    <w:rsid w:val="008532DC"/>
    <w:rsid w:val="00854901"/>
    <w:rsid w:val="00854BBB"/>
    <w:rsid w:val="00855E07"/>
    <w:rsid w:val="00855E11"/>
    <w:rsid w:val="008564BD"/>
    <w:rsid w:val="00857C14"/>
    <w:rsid w:val="0086254F"/>
    <w:rsid w:val="00862616"/>
    <w:rsid w:val="008659BE"/>
    <w:rsid w:val="00867515"/>
    <w:rsid w:val="00867F22"/>
    <w:rsid w:val="00867F56"/>
    <w:rsid w:val="0087137C"/>
    <w:rsid w:val="00872240"/>
    <w:rsid w:val="00872904"/>
    <w:rsid w:val="00872FBD"/>
    <w:rsid w:val="00872FD2"/>
    <w:rsid w:val="00873CB6"/>
    <w:rsid w:val="00874A0C"/>
    <w:rsid w:val="008812B0"/>
    <w:rsid w:val="00882AA1"/>
    <w:rsid w:val="0088639A"/>
    <w:rsid w:val="00886993"/>
    <w:rsid w:val="0088739C"/>
    <w:rsid w:val="00887D17"/>
    <w:rsid w:val="00890E18"/>
    <w:rsid w:val="00891D06"/>
    <w:rsid w:val="00893A26"/>
    <w:rsid w:val="008967D1"/>
    <w:rsid w:val="00896E40"/>
    <w:rsid w:val="008A275E"/>
    <w:rsid w:val="008A27FA"/>
    <w:rsid w:val="008A311D"/>
    <w:rsid w:val="008A3906"/>
    <w:rsid w:val="008A7C42"/>
    <w:rsid w:val="008B0244"/>
    <w:rsid w:val="008B1603"/>
    <w:rsid w:val="008B26EB"/>
    <w:rsid w:val="008B3ACA"/>
    <w:rsid w:val="008B468B"/>
    <w:rsid w:val="008B4E42"/>
    <w:rsid w:val="008B54DD"/>
    <w:rsid w:val="008B5D77"/>
    <w:rsid w:val="008B62C3"/>
    <w:rsid w:val="008B6423"/>
    <w:rsid w:val="008B716F"/>
    <w:rsid w:val="008C0030"/>
    <w:rsid w:val="008C239E"/>
    <w:rsid w:val="008C4B1B"/>
    <w:rsid w:val="008C6083"/>
    <w:rsid w:val="008D2D72"/>
    <w:rsid w:val="008D3A86"/>
    <w:rsid w:val="008D3B3B"/>
    <w:rsid w:val="008D3C84"/>
    <w:rsid w:val="008D5B67"/>
    <w:rsid w:val="008D6139"/>
    <w:rsid w:val="008D627E"/>
    <w:rsid w:val="008D6539"/>
    <w:rsid w:val="008D72DC"/>
    <w:rsid w:val="008E0108"/>
    <w:rsid w:val="008E12F3"/>
    <w:rsid w:val="008E2CA7"/>
    <w:rsid w:val="008E6B12"/>
    <w:rsid w:val="008F1D58"/>
    <w:rsid w:val="008F3573"/>
    <w:rsid w:val="008F4443"/>
    <w:rsid w:val="008F4C3D"/>
    <w:rsid w:val="008F64A5"/>
    <w:rsid w:val="008F7DFE"/>
    <w:rsid w:val="0090028D"/>
    <w:rsid w:val="00900835"/>
    <w:rsid w:val="009010F0"/>
    <w:rsid w:val="00901434"/>
    <w:rsid w:val="00901ECF"/>
    <w:rsid w:val="009028D9"/>
    <w:rsid w:val="00907E0D"/>
    <w:rsid w:val="00907EB4"/>
    <w:rsid w:val="009103B9"/>
    <w:rsid w:val="00912EE5"/>
    <w:rsid w:val="00916266"/>
    <w:rsid w:val="00920485"/>
    <w:rsid w:val="009205DA"/>
    <w:rsid w:val="0092060B"/>
    <w:rsid w:val="00921276"/>
    <w:rsid w:val="00922358"/>
    <w:rsid w:val="009226C7"/>
    <w:rsid w:val="00923C7D"/>
    <w:rsid w:val="0092415F"/>
    <w:rsid w:val="00924C17"/>
    <w:rsid w:val="00926DFE"/>
    <w:rsid w:val="00927343"/>
    <w:rsid w:val="009331E5"/>
    <w:rsid w:val="00933DD4"/>
    <w:rsid w:val="00935E60"/>
    <w:rsid w:val="009361FA"/>
    <w:rsid w:val="00940BAB"/>
    <w:rsid w:val="0094141C"/>
    <w:rsid w:val="00941790"/>
    <w:rsid w:val="00941AD3"/>
    <w:rsid w:val="00942B51"/>
    <w:rsid w:val="00943E67"/>
    <w:rsid w:val="00943FAD"/>
    <w:rsid w:val="0094443B"/>
    <w:rsid w:val="009459B9"/>
    <w:rsid w:val="00950FEF"/>
    <w:rsid w:val="00952159"/>
    <w:rsid w:val="00953B55"/>
    <w:rsid w:val="00953D1B"/>
    <w:rsid w:val="0095435F"/>
    <w:rsid w:val="00955F8D"/>
    <w:rsid w:val="00956DD1"/>
    <w:rsid w:val="00965531"/>
    <w:rsid w:val="00965C75"/>
    <w:rsid w:val="00966C09"/>
    <w:rsid w:val="00966E84"/>
    <w:rsid w:val="009673EC"/>
    <w:rsid w:val="00971398"/>
    <w:rsid w:val="00971416"/>
    <w:rsid w:val="009719E1"/>
    <w:rsid w:val="0097263D"/>
    <w:rsid w:val="00972A0E"/>
    <w:rsid w:val="00973C12"/>
    <w:rsid w:val="00973D18"/>
    <w:rsid w:val="00975E69"/>
    <w:rsid w:val="00982D53"/>
    <w:rsid w:val="009844E4"/>
    <w:rsid w:val="009848D8"/>
    <w:rsid w:val="00985D60"/>
    <w:rsid w:val="0098799B"/>
    <w:rsid w:val="00987B46"/>
    <w:rsid w:val="00990273"/>
    <w:rsid w:val="0099161B"/>
    <w:rsid w:val="00991DA7"/>
    <w:rsid w:val="00993A76"/>
    <w:rsid w:val="00993BBC"/>
    <w:rsid w:val="009943D9"/>
    <w:rsid w:val="00996138"/>
    <w:rsid w:val="009A038C"/>
    <w:rsid w:val="009A1360"/>
    <w:rsid w:val="009A1A1F"/>
    <w:rsid w:val="009A2224"/>
    <w:rsid w:val="009A3153"/>
    <w:rsid w:val="009A327D"/>
    <w:rsid w:val="009A360A"/>
    <w:rsid w:val="009A3F28"/>
    <w:rsid w:val="009A4038"/>
    <w:rsid w:val="009A4F18"/>
    <w:rsid w:val="009A73CC"/>
    <w:rsid w:val="009B0755"/>
    <w:rsid w:val="009B0F2D"/>
    <w:rsid w:val="009B1514"/>
    <w:rsid w:val="009B37A1"/>
    <w:rsid w:val="009B5252"/>
    <w:rsid w:val="009B52A9"/>
    <w:rsid w:val="009B570C"/>
    <w:rsid w:val="009B5F70"/>
    <w:rsid w:val="009B640B"/>
    <w:rsid w:val="009B652B"/>
    <w:rsid w:val="009B65E5"/>
    <w:rsid w:val="009C1444"/>
    <w:rsid w:val="009C1771"/>
    <w:rsid w:val="009C2123"/>
    <w:rsid w:val="009C4E4D"/>
    <w:rsid w:val="009C571B"/>
    <w:rsid w:val="009C61FD"/>
    <w:rsid w:val="009C79E5"/>
    <w:rsid w:val="009D04D7"/>
    <w:rsid w:val="009D127F"/>
    <w:rsid w:val="009D16D7"/>
    <w:rsid w:val="009D36D2"/>
    <w:rsid w:val="009D53BD"/>
    <w:rsid w:val="009E05CC"/>
    <w:rsid w:val="009E0BE3"/>
    <w:rsid w:val="009E10DF"/>
    <w:rsid w:val="009E16BF"/>
    <w:rsid w:val="009E2BC8"/>
    <w:rsid w:val="009E2E63"/>
    <w:rsid w:val="009E31C0"/>
    <w:rsid w:val="009E4528"/>
    <w:rsid w:val="009E4DBE"/>
    <w:rsid w:val="009E5BDB"/>
    <w:rsid w:val="009E6A7A"/>
    <w:rsid w:val="009E771B"/>
    <w:rsid w:val="009F11D2"/>
    <w:rsid w:val="009F1F97"/>
    <w:rsid w:val="009F27C5"/>
    <w:rsid w:val="009F2C45"/>
    <w:rsid w:val="009F3222"/>
    <w:rsid w:val="009F35E7"/>
    <w:rsid w:val="009F3A74"/>
    <w:rsid w:val="009F4107"/>
    <w:rsid w:val="009F4E7A"/>
    <w:rsid w:val="009F5B19"/>
    <w:rsid w:val="009F5DBD"/>
    <w:rsid w:val="009F60E5"/>
    <w:rsid w:val="00A00F64"/>
    <w:rsid w:val="00A00FBE"/>
    <w:rsid w:val="00A0386E"/>
    <w:rsid w:val="00A038D5"/>
    <w:rsid w:val="00A03EE2"/>
    <w:rsid w:val="00A03FA7"/>
    <w:rsid w:val="00A044DF"/>
    <w:rsid w:val="00A04C63"/>
    <w:rsid w:val="00A0532B"/>
    <w:rsid w:val="00A05388"/>
    <w:rsid w:val="00A053B4"/>
    <w:rsid w:val="00A054E9"/>
    <w:rsid w:val="00A0551C"/>
    <w:rsid w:val="00A055BF"/>
    <w:rsid w:val="00A05CBB"/>
    <w:rsid w:val="00A07918"/>
    <w:rsid w:val="00A07B87"/>
    <w:rsid w:val="00A10D12"/>
    <w:rsid w:val="00A11049"/>
    <w:rsid w:val="00A11F73"/>
    <w:rsid w:val="00A124EB"/>
    <w:rsid w:val="00A12C26"/>
    <w:rsid w:val="00A14474"/>
    <w:rsid w:val="00A14EF6"/>
    <w:rsid w:val="00A15B09"/>
    <w:rsid w:val="00A204A1"/>
    <w:rsid w:val="00A2112D"/>
    <w:rsid w:val="00A21234"/>
    <w:rsid w:val="00A216B1"/>
    <w:rsid w:val="00A22461"/>
    <w:rsid w:val="00A228D3"/>
    <w:rsid w:val="00A230A6"/>
    <w:rsid w:val="00A230A9"/>
    <w:rsid w:val="00A2572C"/>
    <w:rsid w:val="00A25840"/>
    <w:rsid w:val="00A26E50"/>
    <w:rsid w:val="00A27328"/>
    <w:rsid w:val="00A27A4B"/>
    <w:rsid w:val="00A27CD7"/>
    <w:rsid w:val="00A304CD"/>
    <w:rsid w:val="00A306AF"/>
    <w:rsid w:val="00A307D7"/>
    <w:rsid w:val="00A30CA4"/>
    <w:rsid w:val="00A3157F"/>
    <w:rsid w:val="00A32DCB"/>
    <w:rsid w:val="00A35C1C"/>
    <w:rsid w:val="00A35DDB"/>
    <w:rsid w:val="00A368E5"/>
    <w:rsid w:val="00A426B7"/>
    <w:rsid w:val="00A42F53"/>
    <w:rsid w:val="00A44059"/>
    <w:rsid w:val="00A45D18"/>
    <w:rsid w:val="00A51108"/>
    <w:rsid w:val="00A51A2C"/>
    <w:rsid w:val="00A53A6A"/>
    <w:rsid w:val="00A552B0"/>
    <w:rsid w:val="00A574F2"/>
    <w:rsid w:val="00A579A7"/>
    <w:rsid w:val="00A60775"/>
    <w:rsid w:val="00A62C73"/>
    <w:rsid w:val="00A63A5C"/>
    <w:rsid w:val="00A63D04"/>
    <w:rsid w:val="00A655FD"/>
    <w:rsid w:val="00A701B8"/>
    <w:rsid w:val="00A708FD"/>
    <w:rsid w:val="00A71621"/>
    <w:rsid w:val="00A72591"/>
    <w:rsid w:val="00A7288B"/>
    <w:rsid w:val="00A72CE1"/>
    <w:rsid w:val="00A72E27"/>
    <w:rsid w:val="00A72E83"/>
    <w:rsid w:val="00A7399F"/>
    <w:rsid w:val="00A7542F"/>
    <w:rsid w:val="00A754A4"/>
    <w:rsid w:val="00A75AA1"/>
    <w:rsid w:val="00A81973"/>
    <w:rsid w:val="00A8488C"/>
    <w:rsid w:val="00A8514B"/>
    <w:rsid w:val="00A86FC8"/>
    <w:rsid w:val="00A875BD"/>
    <w:rsid w:val="00A906A5"/>
    <w:rsid w:val="00A90844"/>
    <w:rsid w:val="00A90AB7"/>
    <w:rsid w:val="00A91023"/>
    <w:rsid w:val="00A91D07"/>
    <w:rsid w:val="00A92690"/>
    <w:rsid w:val="00A92F31"/>
    <w:rsid w:val="00A9470B"/>
    <w:rsid w:val="00A954D0"/>
    <w:rsid w:val="00A96287"/>
    <w:rsid w:val="00A96412"/>
    <w:rsid w:val="00A96418"/>
    <w:rsid w:val="00A97BDC"/>
    <w:rsid w:val="00AA1B80"/>
    <w:rsid w:val="00AA2FF0"/>
    <w:rsid w:val="00AA4859"/>
    <w:rsid w:val="00AA4B1D"/>
    <w:rsid w:val="00AA4E1C"/>
    <w:rsid w:val="00AA5EFE"/>
    <w:rsid w:val="00AA6049"/>
    <w:rsid w:val="00AA6535"/>
    <w:rsid w:val="00AA668E"/>
    <w:rsid w:val="00AA6B92"/>
    <w:rsid w:val="00AA757D"/>
    <w:rsid w:val="00AB1226"/>
    <w:rsid w:val="00AB1894"/>
    <w:rsid w:val="00AB2B46"/>
    <w:rsid w:val="00AB432B"/>
    <w:rsid w:val="00AB5093"/>
    <w:rsid w:val="00AB5530"/>
    <w:rsid w:val="00AB568F"/>
    <w:rsid w:val="00AC034D"/>
    <w:rsid w:val="00AC0CC7"/>
    <w:rsid w:val="00AC0CDD"/>
    <w:rsid w:val="00AC0E6E"/>
    <w:rsid w:val="00AC3E21"/>
    <w:rsid w:val="00AC40B1"/>
    <w:rsid w:val="00AC467E"/>
    <w:rsid w:val="00AC7A1C"/>
    <w:rsid w:val="00AC7EDE"/>
    <w:rsid w:val="00AD06EB"/>
    <w:rsid w:val="00AD090B"/>
    <w:rsid w:val="00AD202F"/>
    <w:rsid w:val="00AD21FE"/>
    <w:rsid w:val="00AD4A4A"/>
    <w:rsid w:val="00AD59A7"/>
    <w:rsid w:val="00AD60D4"/>
    <w:rsid w:val="00AD67B5"/>
    <w:rsid w:val="00AE00FD"/>
    <w:rsid w:val="00AE0BDD"/>
    <w:rsid w:val="00AE10E9"/>
    <w:rsid w:val="00AE39E6"/>
    <w:rsid w:val="00AE3FC1"/>
    <w:rsid w:val="00AE50DD"/>
    <w:rsid w:val="00AE6707"/>
    <w:rsid w:val="00AF1555"/>
    <w:rsid w:val="00AF22BF"/>
    <w:rsid w:val="00AF28F1"/>
    <w:rsid w:val="00AF3298"/>
    <w:rsid w:val="00AF6192"/>
    <w:rsid w:val="00AF71CA"/>
    <w:rsid w:val="00AF7D6E"/>
    <w:rsid w:val="00AF7DD7"/>
    <w:rsid w:val="00AF7E86"/>
    <w:rsid w:val="00B007A4"/>
    <w:rsid w:val="00B01ABF"/>
    <w:rsid w:val="00B03EE2"/>
    <w:rsid w:val="00B03F2A"/>
    <w:rsid w:val="00B04024"/>
    <w:rsid w:val="00B04A09"/>
    <w:rsid w:val="00B0526D"/>
    <w:rsid w:val="00B0553A"/>
    <w:rsid w:val="00B05693"/>
    <w:rsid w:val="00B06D30"/>
    <w:rsid w:val="00B1164C"/>
    <w:rsid w:val="00B11859"/>
    <w:rsid w:val="00B11886"/>
    <w:rsid w:val="00B16F5D"/>
    <w:rsid w:val="00B200AA"/>
    <w:rsid w:val="00B22295"/>
    <w:rsid w:val="00B22B6B"/>
    <w:rsid w:val="00B233C4"/>
    <w:rsid w:val="00B23B66"/>
    <w:rsid w:val="00B23ED8"/>
    <w:rsid w:val="00B2570A"/>
    <w:rsid w:val="00B264A3"/>
    <w:rsid w:val="00B27D38"/>
    <w:rsid w:val="00B30723"/>
    <w:rsid w:val="00B30B36"/>
    <w:rsid w:val="00B31732"/>
    <w:rsid w:val="00B33044"/>
    <w:rsid w:val="00B33DC5"/>
    <w:rsid w:val="00B348CA"/>
    <w:rsid w:val="00B34A6E"/>
    <w:rsid w:val="00B36AEA"/>
    <w:rsid w:val="00B36B82"/>
    <w:rsid w:val="00B36C25"/>
    <w:rsid w:val="00B43A5D"/>
    <w:rsid w:val="00B441F7"/>
    <w:rsid w:val="00B46890"/>
    <w:rsid w:val="00B46942"/>
    <w:rsid w:val="00B4700B"/>
    <w:rsid w:val="00B510E8"/>
    <w:rsid w:val="00B51897"/>
    <w:rsid w:val="00B52965"/>
    <w:rsid w:val="00B5340B"/>
    <w:rsid w:val="00B538CD"/>
    <w:rsid w:val="00B53FE1"/>
    <w:rsid w:val="00B54DC0"/>
    <w:rsid w:val="00B56C00"/>
    <w:rsid w:val="00B57C30"/>
    <w:rsid w:val="00B602B3"/>
    <w:rsid w:val="00B6103D"/>
    <w:rsid w:val="00B616EB"/>
    <w:rsid w:val="00B65F2D"/>
    <w:rsid w:val="00B66E5F"/>
    <w:rsid w:val="00B70706"/>
    <w:rsid w:val="00B70D9C"/>
    <w:rsid w:val="00B727ED"/>
    <w:rsid w:val="00B74A4A"/>
    <w:rsid w:val="00B75007"/>
    <w:rsid w:val="00B75021"/>
    <w:rsid w:val="00B750AF"/>
    <w:rsid w:val="00B7570B"/>
    <w:rsid w:val="00B7684D"/>
    <w:rsid w:val="00B80122"/>
    <w:rsid w:val="00B84846"/>
    <w:rsid w:val="00B9188B"/>
    <w:rsid w:val="00B93D3D"/>
    <w:rsid w:val="00B93D7C"/>
    <w:rsid w:val="00B9459A"/>
    <w:rsid w:val="00BA0134"/>
    <w:rsid w:val="00BA4657"/>
    <w:rsid w:val="00BA5949"/>
    <w:rsid w:val="00BA59F4"/>
    <w:rsid w:val="00BA681E"/>
    <w:rsid w:val="00BA7701"/>
    <w:rsid w:val="00BA7FA0"/>
    <w:rsid w:val="00BB11CC"/>
    <w:rsid w:val="00BB1200"/>
    <w:rsid w:val="00BB1E64"/>
    <w:rsid w:val="00BB244E"/>
    <w:rsid w:val="00BB3273"/>
    <w:rsid w:val="00BB39EE"/>
    <w:rsid w:val="00BB411E"/>
    <w:rsid w:val="00BB6293"/>
    <w:rsid w:val="00BB63F9"/>
    <w:rsid w:val="00BB67FE"/>
    <w:rsid w:val="00BB7458"/>
    <w:rsid w:val="00BB7C92"/>
    <w:rsid w:val="00BC3853"/>
    <w:rsid w:val="00BC3B50"/>
    <w:rsid w:val="00BC4C67"/>
    <w:rsid w:val="00BC580A"/>
    <w:rsid w:val="00BC68A3"/>
    <w:rsid w:val="00BD07D1"/>
    <w:rsid w:val="00BD2138"/>
    <w:rsid w:val="00BD24C2"/>
    <w:rsid w:val="00BD256A"/>
    <w:rsid w:val="00BD55B6"/>
    <w:rsid w:val="00BD5D20"/>
    <w:rsid w:val="00BD72B6"/>
    <w:rsid w:val="00BE0498"/>
    <w:rsid w:val="00BE04A3"/>
    <w:rsid w:val="00BE06C8"/>
    <w:rsid w:val="00BE0E53"/>
    <w:rsid w:val="00BE2CCB"/>
    <w:rsid w:val="00BE3D45"/>
    <w:rsid w:val="00BE3EBF"/>
    <w:rsid w:val="00BE589E"/>
    <w:rsid w:val="00BE6558"/>
    <w:rsid w:val="00BE787B"/>
    <w:rsid w:val="00BF3278"/>
    <w:rsid w:val="00BF4813"/>
    <w:rsid w:val="00BF5584"/>
    <w:rsid w:val="00BF68FF"/>
    <w:rsid w:val="00C00180"/>
    <w:rsid w:val="00C01A22"/>
    <w:rsid w:val="00C0379A"/>
    <w:rsid w:val="00C0540F"/>
    <w:rsid w:val="00C05C89"/>
    <w:rsid w:val="00C067DC"/>
    <w:rsid w:val="00C06A5E"/>
    <w:rsid w:val="00C1146C"/>
    <w:rsid w:val="00C163AC"/>
    <w:rsid w:val="00C201BB"/>
    <w:rsid w:val="00C2146E"/>
    <w:rsid w:val="00C21B34"/>
    <w:rsid w:val="00C2384C"/>
    <w:rsid w:val="00C24237"/>
    <w:rsid w:val="00C24838"/>
    <w:rsid w:val="00C252EC"/>
    <w:rsid w:val="00C2587C"/>
    <w:rsid w:val="00C26574"/>
    <w:rsid w:val="00C26EEB"/>
    <w:rsid w:val="00C3031D"/>
    <w:rsid w:val="00C32465"/>
    <w:rsid w:val="00C32900"/>
    <w:rsid w:val="00C3320A"/>
    <w:rsid w:val="00C333C0"/>
    <w:rsid w:val="00C34FDF"/>
    <w:rsid w:val="00C3587D"/>
    <w:rsid w:val="00C35CB7"/>
    <w:rsid w:val="00C36B08"/>
    <w:rsid w:val="00C378E4"/>
    <w:rsid w:val="00C37EB6"/>
    <w:rsid w:val="00C37ED6"/>
    <w:rsid w:val="00C400BF"/>
    <w:rsid w:val="00C43464"/>
    <w:rsid w:val="00C45C1A"/>
    <w:rsid w:val="00C45CC1"/>
    <w:rsid w:val="00C4619C"/>
    <w:rsid w:val="00C47767"/>
    <w:rsid w:val="00C52C5E"/>
    <w:rsid w:val="00C54FBD"/>
    <w:rsid w:val="00C55FEC"/>
    <w:rsid w:val="00C5738E"/>
    <w:rsid w:val="00C57687"/>
    <w:rsid w:val="00C602B6"/>
    <w:rsid w:val="00C60D19"/>
    <w:rsid w:val="00C61278"/>
    <w:rsid w:val="00C62774"/>
    <w:rsid w:val="00C62AEC"/>
    <w:rsid w:val="00C63EFC"/>
    <w:rsid w:val="00C71839"/>
    <w:rsid w:val="00C75ADC"/>
    <w:rsid w:val="00C7664F"/>
    <w:rsid w:val="00C76771"/>
    <w:rsid w:val="00C76919"/>
    <w:rsid w:val="00C77410"/>
    <w:rsid w:val="00C804DF"/>
    <w:rsid w:val="00C81502"/>
    <w:rsid w:val="00C83363"/>
    <w:rsid w:val="00C85503"/>
    <w:rsid w:val="00C85586"/>
    <w:rsid w:val="00C862B9"/>
    <w:rsid w:val="00C86872"/>
    <w:rsid w:val="00C870CA"/>
    <w:rsid w:val="00C90618"/>
    <w:rsid w:val="00C94EF4"/>
    <w:rsid w:val="00C97AD0"/>
    <w:rsid w:val="00C97D56"/>
    <w:rsid w:val="00CA094C"/>
    <w:rsid w:val="00CA1633"/>
    <w:rsid w:val="00CA3352"/>
    <w:rsid w:val="00CA4688"/>
    <w:rsid w:val="00CA6407"/>
    <w:rsid w:val="00CA75EA"/>
    <w:rsid w:val="00CB05CD"/>
    <w:rsid w:val="00CB0841"/>
    <w:rsid w:val="00CB0D24"/>
    <w:rsid w:val="00CB1CC8"/>
    <w:rsid w:val="00CB26D4"/>
    <w:rsid w:val="00CB4AFD"/>
    <w:rsid w:val="00CB4BEB"/>
    <w:rsid w:val="00CB4EE3"/>
    <w:rsid w:val="00CB4F89"/>
    <w:rsid w:val="00CB7502"/>
    <w:rsid w:val="00CB7668"/>
    <w:rsid w:val="00CC16F4"/>
    <w:rsid w:val="00CC2885"/>
    <w:rsid w:val="00CC2CA7"/>
    <w:rsid w:val="00CC5DC0"/>
    <w:rsid w:val="00CC7C76"/>
    <w:rsid w:val="00CD28D1"/>
    <w:rsid w:val="00CD3925"/>
    <w:rsid w:val="00CD3A16"/>
    <w:rsid w:val="00CD4338"/>
    <w:rsid w:val="00CD585B"/>
    <w:rsid w:val="00CD5C85"/>
    <w:rsid w:val="00CD6D72"/>
    <w:rsid w:val="00CD7004"/>
    <w:rsid w:val="00CE0DDB"/>
    <w:rsid w:val="00CE1B80"/>
    <w:rsid w:val="00CE298E"/>
    <w:rsid w:val="00CE3FD6"/>
    <w:rsid w:val="00CE478D"/>
    <w:rsid w:val="00CE5860"/>
    <w:rsid w:val="00CE5A42"/>
    <w:rsid w:val="00CE65FA"/>
    <w:rsid w:val="00CE72CD"/>
    <w:rsid w:val="00CF055D"/>
    <w:rsid w:val="00CF1B69"/>
    <w:rsid w:val="00CF4A2C"/>
    <w:rsid w:val="00CF4A52"/>
    <w:rsid w:val="00CF6341"/>
    <w:rsid w:val="00D00127"/>
    <w:rsid w:val="00D02190"/>
    <w:rsid w:val="00D033B8"/>
    <w:rsid w:val="00D042E7"/>
    <w:rsid w:val="00D05562"/>
    <w:rsid w:val="00D05644"/>
    <w:rsid w:val="00D06401"/>
    <w:rsid w:val="00D06499"/>
    <w:rsid w:val="00D06A4C"/>
    <w:rsid w:val="00D07567"/>
    <w:rsid w:val="00D07603"/>
    <w:rsid w:val="00D07A66"/>
    <w:rsid w:val="00D1205D"/>
    <w:rsid w:val="00D1345A"/>
    <w:rsid w:val="00D1446C"/>
    <w:rsid w:val="00D149B2"/>
    <w:rsid w:val="00D15831"/>
    <w:rsid w:val="00D16D70"/>
    <w:rsid w:val="00D1739B"/>
    <w:rsid w:val="00D17C87"/>
    <w:rsid w:val="00D2022C"/>
    <w:rsid w:val="00D214A4"/>
    <w:rsid w:val="00D21657"/>
    <w:rsid w:val="00D21668"/>
    <w:rsid w:val="00D22F7D"/>
    <w:rsid w:val="00D24BDA"/>
    <w:rsid w:val="00D258BD"/>
    <w:rsid w:val="00D2677D"/>
    <w:rsid w:val="00D27916"/>
    <w:rsid w:val="00D30800"/>
    <w:rsid w:val="00D322AC"/>
    <w:rsid w:val="00D325D8"/>
    <w:rsid w:val="00D32C8F"/>
    <w:rsid w:val="00D32D06"/>
    <w:rsid w:val="00D342C0"/>
    <w:rsid w:val="00D35799"/>
    <w:rsid w:val="00D36487"/>
    <w:rsid w:val="00D36838"/>
    <w:rsid w:val="00D4222B"/>
    <w:rsid w:val="00D4277F"/>
    <w:rsid w:val="00D42A62"/>
    <w:rsid w:val="00D43C33"/>
    <w:rsid w:val="00D449C6"/>
    <w:rsid w:val="00D46825"/>
    <w:rsid w:val="00D479AD"/>
    <w:rsid w:val="00D50E23"/>
    <w:rsid w:val="00D51209"/>
    <w:rsid w:val="00D518C8"/>
    <w:rsid w:val="00D526FE"/>
    <w:rsid w:val="00D5398A"/>
    <w:rsid w:val="00D54FB5"/>
    <w:rsid w:val="00D5507E"/>
    <w:rsid w:val="00D55C34"/>
    <w:rsid w:val="00D56B24"/>
    <w:rsid w:val="00D60815"/>
    <w:rsid w:val="00D6154D"/>
    <w:rsid w:val="00D62DF4"/>
    <w:rsid w:val="00D6377F"/>
    <w:rsid w:val="00D6481C"/>
    <w:rsid w:val="00D65540"/>
    <w:rsid w:val="00D66D6B"/>
    <w:rsid w:val="00D67556"/>
    <w:rsid w:val="00D675FB"/>
    <w:rsid w:val="00D67C9C"/>
    <w:rsid w:val="00D70360"/>
    <w:rsid w:val="00D71299"/>
    <w:rsid w:val="00D72B7A"/>
    <w:rsid w:val="00D72D7D"/>
    <w:rsid w:val="00D76DAE"/>
    <w:rsid w:val="00D7781F"/>
    <w:rsid w:val="00D77EE4"/>
    <w:rsid w:val="00D807DF"/>
    <w:rsid w:val="00D80BC1"/>
    <w:rsid w:val="00D81EB6"/>
    <w:rsid w:val="00D828A6"/>
    <w:rsid w:val="00D8412D"/>
    <w:rsid w:val="00D8567E"/>
    <w:rsid w:val="00D862C0"/>
    <w:rsid w:val="00D86724"/>
    <w:rsid w:val="00D91694"/>
    <w:rsid w:val="00D95FD1"/>
    <w:rsid w:val="00DA06C2"/>
    <w:rsid w:val="00DA163C"/>
    <w:rsid w:val="00DA1BBB"/>
    <w:rsid w:val="00DA2DF7"/>
    <w:rsid w:val="00DA2E63"/>
    <w:rsid w:val="00DA3D08"/>
    <w:rsid w:val="00DA410B"/>
    <w:rsid w:val="00DA4B14"/>
    <w:rsid w:val="00DA509A"/>
    <w:rsid w:val="00DA5D47"/>
    <w:rsid w:val="00DA5D6A"/>
    <w:rsid w:val="00DA641E"/>
    <w:rsid w:val="00DA6919"/>
    <w:rsid w:val="00DA7ADC"/>
    <w:rsid w:val="00DB0787"/>
    <w:rsid w:val="00DB26A7"/>
    <w:rsid w:val="00DB3E1D"/>
    <w:rsid w:val="00DB4051"/>
    <w:rsid w:val="00DB5B88"/>
    <w:rsid w:val="00DC0566"/>
    <w:rsid w:val="00DC0B9B"/>
    <w:rsid w:val="00DC1F0D"/>
    <w:rsid w:val="00DC2189"/>
    <w:rsid w:val="00DC2D24"/>
    <w:rsid w:val="00DC62E7"/>
    <w:rsid w:val="00DD0262"/>
    <w:rsid w:val="00DD272F"/>
    <w:rsid w:val="00DD2BE6"/>
    <w:rsid w:val="00DD3A38"/>
    <w:rsid w:val="00DD3D25"/>
    <w:rsid w:val="00DD3D47"/>
    <w:rsid w:val="00DD4660"/>
    <w:rsid w:val="00DD7185"/>
    <w:rsid w:val="00DE30DD"/>
    <w:rsid w:val="00DE312A"/>
    <w:rsid w:val="00DE47E3"/>
    <w:rsid w:val="00DE499D"/>
    <w:rsid w:val="00DE4CAF"/>
    <w:rsid w:val="00DE4F62"/>
    <w:rsid w:val="00DE6FD5"/>
    <w:rsid w:val="00DF0129"/>
    <w:rsid w:val="00DF0B4A"/>
    <w:rsid w:val="00DF0C9F"/>
    <w:rsid w:val="00DF0E10"/>
    <w:rsid w:val="00DF45E3"/>
    <w:rsid w:val="00DF6B5F"/>
    <w:rsid w:val="00DF6BB8"/>
    <w:rsid w:val="00DF7314"/>
    <w:rsid w:val="00DF7FA9"/>
    <w:rsid w:val="00E02330"/>
    <w:rsid w:val="00E04460"/>
    <w:rsid w:val="00E04885"/>
    <w:rsid w:val="00E050AB"/>
    <w:rsid w:val="00E050EE"/>
    <w:rsid w:val="00E05E1A"/>
    <w:rsid w:val="00E0787C"/>
    <w:rsid w:val="00E07BC0"/>
    <w:rsid w:val="00E134CB"/>
    <w:rsid w:val="00E13CC1"/>
    <w:rsid w:val="00E154CF"/>
    <w:rsid w:val="00E202A8"/>
    <w:rsid w:val="00E21048"/>
    <w:rsid w:val="00E2104A"/>
    <w:rsid w:val="00E21292"/>
    <w:rsid w:val="00E216CF"/>
    <w:rsid w:val="00E22E9B"/>
    <w:rsid w:val="00E2302B"/>
    <w:rsid w:val="00E23355"/>
    <w:rsid w:val="00E23A77"/>
    <w:rsid w:val="00E24FD4"/>
    <w:rsid w:val="00E305D3"/>
    <w:rsid w:val="00E3137F"/>
    <w:rsid w:val="00E33167"/>
    <w:rsid w:val="00E33A78"/>
    <w:rsid w:val="00E33C82"/>
    <w:rsid w:val="00E34465"/>
    <w:rsid w:val="00E34B78"/>
    <w:rsid w:val="00E35190"/>
    <w:rsid w:val="00E35AD9"/>
    <w:rsid w:val="00E36563"/>
    <w:rsid w:val="00E369EA"/>
    <w:rsid w:val="00E372AA"/>
    <w:rsid w:val="00E37312"/>
    <w:rsid w:val="00E41716"/>
    <w:rsid w:val="00E41765"/>
    <w:rsid w:val="00E42C18"/>
    <w:rsid w:val="00E42CD0"/>
    <w:rsid w:val="00E46CD7"/>
    <w:rsid w:val="00E46FE6"/>
    <w:rsid w:val="00E50B17"/>
    <w:rsid w:val="00E5193E"/>
    <w:rsid w:val="00E51AC7"/>
    <w:rsid w:val="00E5221A"/>
    <w:rsid w:val="00E523D6"/>
    <w:rsid w:val="00E52FD3"/>
    <w:rsid w:val="00E57BD8"/>
    <w:rsid w:val="00E60AD9"/>
    <w:rsid w:val="00E60BFE"/>
    <w:rsid w:val="00E62EF0"/>
    <w:rsid w:val="00E63F83"/>
    <w:rsid w:val="00E643B6"/>
    <w:rsid w:val="00E6446A"/>
    <w:rsid w:val="00E64E8A"/>
    <w:rsid w:val="00E66285"/>
    <w:rsid w:val="00E66314"/>
    <w:rsid w:val="00E66574"/>
    <w:rsid w:val="00E67408"/>
    <w:rsid w:val="00E6783A"/>
    <w:rsid w:val="00E7022D"/>
    <w:rsid w:val="00E71E80"/>
    <w:rsid w:val="00E720E4"/>
    <w:rsid w:val="00E725A5"/>
    <w:rsid w:val="00E72AF5"/>
    <w:rsid w:val="00E72D95"/>
    <w:rsid w:val="00E7311E"/>
    <w:rsid w:val="00E75BF7"/>
    <w:rsid w:val="00E75D42"/>
    <w:rsid w:val="00E77020"/>
    <w:rsid w:val="00E772CC"/>
    <w:rsid w:val="00E77E29"/>
    <w:rsid w:val="00E80360"/>
    <w:rsid w:val="00E81DB9"/>
    <w:rsid w:val="00E829D1"/>
    <w:rsid w:val="00E86079"/>
    <w:rsid w:val="00E87D7E"/>
    <w:rsid w:val="00E9005E"/>
    <w:rsid w:val="00E90715"/>
    <w:rsid w:val="00E9279C"/>
    <w:rsid w:val="00E94C22"/>
    <w:rsid w:val="00E96960"/>
    <w:rsid w:val="00E972DD"/>
    <w:rsid w:val="00EA23D0"/>
    <w:rsid w:val="00EA2565"/>
    <w:rsid w:val="00EA2CF5"/>
    <w:rsid w:val="00EA436F"/>
    <w:rsid w:val="00EA6680"/>
    <w:rsid w:val="00EA7C10"/>
    <w:rsid w:val="00EB02F0"/>
    <w:rsid w:val="00EB0663"/>
    <w:rsid w:val="00EB0801"/>
    <w:rsid w:val="00EB09F7"/>
    <w:rsid w:val="00EB1288"/>
    <w:rsid w:val="00EB1806"/>
    <w:rsid w:val="00EB3361"/>
    <w:rsid w:val="00EB3C28"/>
    <w:rsid w:val="00EB46BA"/>
    <w:rsid w:val="00EB5111"/>
    <w:rsid w:val="00EB6781"/>
    <w:rsid w:val="00EB6E25"/>
    <w:rsid w:val="00EC02FF"/>
    <w:rsid w:val="00EC11D4"/>
    <w:rsid w:val="00EC1591"/>
    <w:rsid w:val="00EC2F6E"/>
    <w:rsid w:val="00EC406A"/>
    <w:rsid w:val="00EC46CA"/>
    <w:rsid w:val="00EC4FDC"/>
    <w:rsid w:val="00EC671D"/>
    <w:rsid w:val="00EC767A"/>
    <w:rsid w:val="00ED0AB0"/>
    <w:rsid w:val="00ED253E"/>
    <w:rsid w:val="00ED28B4"/>
    <w:rsid w:val="00ED2B43"/>
    <w:rsid w:val="00ED2ED1"/>
    <w:rsid w:val="00ED3265"/>
    <w:rsid w:val="00ED51CA"/>
    <w:rsid w:val="00ED5344"/>
    <w:rsid w:val="00ED5DA2"/>
    <w:rsid w:val="00ED6654"/>
    <w:rsid w:val="00ED6F65"/>
    <w:rsid w:val="00ED749C"/>
    <w:rsid w:val="00EE08F7"/>
    <w:rsid w:val="00EE180A"/>
    <w:rsid w:val="00EE2579"/>
    <w:rsid w:val="00EE2F32"/>
    <w:rsid w:val="00EE38CF"/>
    <w:rsid w:val="00EE3C64"/>
    <w:rsid w:val="00EE4DA2"/>
    <w:rsid w:val="00EE4E13"/>
    <w:rsid w:val="00EE4F83"/>
    <w:rsid w:val="00EE644D"/>
    <w:rsid w:val="00EE7F5E"/>
    <w:rsid w:val="00EF0387"/>
    <w:rsid w:val="00EF0504"/>
    <w:rsid w:val="00EF06B1"/>
    <w:rsid w:val="00EF100D"/>
    <w:rsid w:val="00EF13A3"/>
    <w:rsid w:val="00EF41C1"/>
    <w:rsid w:val="00EF4BCA"/>
    <w:rsid w:val="00EF5862"/>
    <w:rsid w:val="00EF78E8"/>
    <w:rsid w:val="00EF7EB2"/>
    <w:rsid w:val="00F0201A"/>
    <w:rsid w:val="00F02359"/>
    <w:rsid w:val="00F033E8"/>
    <w:rsid w:val="00F04902"/>
    <w:rsid w:val="00F04B14"/>
    <w:rsid w:val="00F079CB"/>
    <w:rsid w:val="00F07E9E"/>
    <w:rsid w:val="00F10718"/>
    <w:rsid w:val="00F15FFB"/>
    <w:rsid w:val="00F16580"/>
    <w:rsid w:val="00F2178E"/>
    <w:rsid w:val="00F227C3"/>
    <w:rsid w:val="00F22F3C"/>
    <w:rsid w:val="00F23536"/>
    <w:rsid w:val="00F24614"/>
    <w:rsid w:val="00F246A1"/>
    <w:rsid w:val="00F3008E"/>
    <w:rsid w:val="00F30499"/>
    <w:rsid w:val="00F32A0F"/>
    <w:rsid w:val="00F34742"/>
    <w:rsid w:val="00F361AE"/>
    <w:rsid w:val="00F41753"/>
    <w:rsid w:val="00F427B4"/>
    <w:rsid w:val="00F432D3"/>
    <w:rsid w:val="00F46AFB"/>
    <w:rsid w:val="00F5030D"/>
    <w:rsid w:val="00F508FD"/>
    <w:rsid w:val="00F512CC"/>
    <w:rsid w:val="00F5245A"/>
    <w:rsid w:val="00F52767"/>
    <w:rsid w:val="00F527B5"/>
    <w:rsid w:val="00F52C59"/>
    <w:rsid w:val="00F54857"/>
    <w:rsid w:val="00F565C8"/>
    <w:rsid w:val="00F56FFA"/>
    <w:rsid w:val="00F573B2"/>
    <w:rsid w:val="00F623FB"/>
    <w:rsid w:val="00F62C85"/>
    <w:rsid w:val="00F63360"/>
    <w:rsid w:val="00F65D03"/>
    <w:rsid w:val="00F66995"/>
    <w:rsid w:val="00F67775"/>
    <w:rsid w:val="00F67D0C"/>
    <w:rsid w:val="00F71603"/>
    <w:rsid w:val="00F71B7E"/>
    <w:rsid w:val="00F72C52"/>
    <w:rsid w:val="00F73BD0"/>
    <w:rsid w:val="00F73FBA"/>
    <w:rsid w:val="00F74157"/>
    <w:rsid w:val="00F743CD"/>
    <w:rsid w:val="00F7464E"/>
    <w:rsid w:val="00F76450"/>
    <w:rsid w:val="00F767CF"/>
    <w:rsid w:val="00F770C6"/>
    <w:rsid w:val="00F77734"/>
    <w:rsid w:val="00F77951"/>
    <w:rsid w:val="00F779A6"/>
    <w:rsid w:val="00F779B3"/>
    <w:rsid w:val="00F80DBA"/>
    <w:rsid w:val="00F84AD4"/>
    <w:rsid w:val="00F85AB5"/>
    <w:rsid w:val="00F905CC"/>
    <w:rsid w:val="00F90D98"/>
    <w:rsid w:val="00F912CD"/>
    <w:rsid w:val="00F916E5"/>
    <w:rsid w:val="00F92237"/>
    <w:rsid w:val="00F93144"/>
    <w:rsid w:val="00F93E24"/>
    <w:rsid w:val="00F94FB7"/>
    <w:rsid w:val="00F95633"/>
    <w:rsid w:val="00F95648"/>
    <w:rsid w:val="00F95DE2"/>
    <w:rsid w:val="00F95F07"/>
    <w:rsid w:val="00F96DB1"/>
    <w:rsid w:val="00FA0053"/>
    <w:rsid w:val="00FA08FD"/>
    <w:rsid w:val="00FA1F3A"/>
    <w:rsid w:val="00FA4CAA"/>
    <w:rsid w:val="00FA6565"/>
    <w:rsid w:val="00FB15C4"/>
    <w:rsid w:val="00FB4437"/>
    <w:rsid w:val="00FB4957"/>
    <w:rsid w:val="00FB4CE2"/>
    <w:rsid w:val="00FB5707"/>
    <w:rsid w:val="00FB6E96"/>
    <w:rsid w:val="00FC272B"/>
    <w:rsid w:val="00FC423F"/>
    <w:rsid w:val="00FC5493"/>
    <w:rsid w:val="00FC6089"/>
    <w:rsid w:val="00FD0197"/>
    <w:rsid w:val="00FD038F"/>
    <w:rsid w:val="00FD2397"/>
    <w:rsid w:val="00FD3A2E"/>
    <w:rsid w:val="00FD571E"/>
    <w:rsid w:val="00FD5A5A"/>
    <w:rsid w:val="00FD6C49"/>
    <w:rsid w:val="00FD79E8"/>
    <w:rsid w:val="00FE0AF3"/>
    <w:rsid w:val="00FE1850"/>
    <w:rsid w:val="00FE1BE5"/>
    <w:rsid w:val="00FE2BAF"/>
    <w:rsid w:val="00FE5AF9"/>
    <w:rsid w:val="00FE5C07"/>
    <w:rsid w:val="00FE66DE"/>
    <w:rsid w:val="00FE6B8E"/>
    <w:rsid w:val="00FF0399"/>
    <w:rsid w:val="00FF13F9"/>
    <w:rsid w:val="00FF27CC"/>
    <w:rsid w:val="00FF2C54"/>
    <w:rsid w:val="00FF3294"/>
    <w:rsid w:val="00FF3C9D"/>
    <w:rsid w:val="00FF3CA6"/>
    <w:rsid w:val="00FF4B1F"/>
    <w:rsid w:val="00FF76E3"/>
    <w:rsid w:val="02515BFB"/>
    <w:rsid w:val="04746B4F"/>
    <w:rsid w:val="04BF358A"/>
    <w:rsid w:val="06484D30"/>
    <w:rsid w:val="06F40102"/>
    <w:rsid w:val="08274BDD"/>
    <w:rsid w:val="09AD044A"/>
    <w:rsid w:val="09CC2ADE"/>
    <w:rsid w:val="0A0454E4"/>
    <w:rsid w:val="0C03291F"/>
    <w:rsid w:val="0D8C71C3"/>
    <w:rsid w:val="0E2A5230"/>
    <w:rsid w:val="10FD39C4"/>
    <w:rsid w:val="12C20C34"/>
    <w:rsid w:val="1381012B"/>
    <w:rsid w:val="18486691"/>
    <w:rsid w:val="18DD0B8B"/>
    <w:rsid w:val="18FC28D5"/>
    <w:rsid w:val="1B8A5F6D"/>
    <w:rsid w:val="1CF26BD8"/>
    <w:rsid w:val="1D5C67E0"/>
    <w:rsid w:val="1DD503D8"/>
    <w:rsid w:val="1E1361D3"/>
    <w:rsid w:val="1E627BEB"/>
    <w:rsid w:val="1EC342BC"/>
    <w:rsid w:val="2059206C"/>
    <w:rsid w:val="20EA172D"/>
    <w:rsid w:val="233412D9"/>
    <w:rsid w:val="249A133B"/>
    <w:rsid w:val="2598180B"/>
    <w:rsid w:val="28A1280D"/>
    <w:rsid w:val="28C1080F"/>
    <w:rsid w:val="28CE3BDE"/>
    <w:rsid w:val="2CFC0198"/>
    <w:rsid w:val="2DCA4B60"/>
    <w:rsid w:val="2F6807B7"/>
    <w:rsid w:val="3084323D"/>
    <w:rsid w:val="32B970D8"/>
    <w:rsid w:val="32C52039"/>
    <w:rsid w:val="351F6237"/>
    <w:rsid w:val="3599419E"/>
    <w:rsid w:val="381C404E"/>
    <w:rsid w:val="383C4C76"/>
    <w:rsid w:val="389E2A7B"/>
    <w:rsid w:val="38AC1087"/>
    <w:rsid w:val="39E27C38"/>
    <w:rsid w:val="40493C80"/>
    <w:rsid w:val="40957496"/>
    <w:rsid w:val="40C8463D"/>
    <w:rsid w:val="417A043D"/>
    <w:rsid w:val="42434ED9"/>
    <w:rsid w:val="42607843"/>
    <w:rsid w:val="427013AF"/>
    <w:rsid w:val="42AD55F7"/>
    <w:rsid w:val="42C33C42"/>
    <w:rsid w:val="463E4781"/>
    <w:rsid w:val="4734568A"/>
    <w:rsid w:val="47EA429F"/>
    <w:rsid w:val="48A82638"/>
    <w:rsid w:val="49177766"/>
    <w:rsid w:val="495913D8"/>
    <w:rsid w:val="49B00543"/>
    <w:rsid w:val="4B282FF6"/>
    <w:rsid w:val="4BE92450"/>
    <w:rsid w:val="4C6E37DF"/>
    <w:rsid w:val="4CB12D9A"/>
    <w:rsid w:val="4DA609CA"/>
    <w:rsid w:val="4FFB34C0"/>
    <w:rsid w:val="51036FC5"/>
    <w:rsid w:val="519662AC"/>
    <w:rsid w:val="51E11F6A"/>
    <w:rsid w:val="530E7CAB"/>
    <w:rsid w:val="53B31AE1"/>
    <w:rsid w:val="57802226"/>
    <w:rsid w:val="59684158"/>
    <w:rsid w:val="5BA91C41"/>
    <w:rsid w:val="5DFF529C"/>
    <w:rsid w:val="5EE25574"/>
    <w:rsid w:val="5F191C4B"/>
    <w:rsid w:val="5FDA624B"/>
    <w:rsid w:val="64013CBD"/>
    <w:rsid w:val="66270CF6"/>
    <w:rsid w:val="66276940"/>
    <w:rsid w:val="66835487"/>
    <w:rsid w:val="684D3A5E"/>
    <w:rsid w:val="69A35766"/>
    <w:rsid w:val="6B4A1E3C"/>
    <w:rsid w:val="6CBC39A9"/>
    <w:rsid w:val="6D664E58"/>
    <w:rsid w:val="70100A5C"/>
    <w:rsid w:val="706202C3"/>
    <w:rsid w:val="708003C8"/>
    <w:rsid w:val="70F06AF5"/>
    <w:rsid w:val="72D066F8"/>
    <w:rsid w:val="74422B2C"/>
    <w:rsid w:val="74A90366"/>
    <w:rsid w:val="76EE1E42"/>
    <w:rsid w:val="787C4A86"/>
    <w:rsid w:val="79AA715C"/>
    <w:rsid w:val="79EE71EC"/>
    <w:rsid w:val="7A3D3E5A"/>
    <w:rsid w:val="7AF56F0F"/>
    <w:rsid w:val="7B4231CA"/>
    <w:rsid w:val="7B7E6C01"/>
    <w:rsid w:val="7C071BFE"/>
    <w:rsid w:val="7C7E1F3D"/>
    <w:rsid w:val="7F161B3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iPriority="0"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iPriority="0" w:semiHidden="0" w:name="annotation text"/>
    <w:lsdException w:qFormat="1" w:uiPriority="99" w:semiHidden="0" w:name="header"/>
    <w:lsdException w:qFormat="1" w:uiPriority="99" w:semiHidden="0" w:name="footer"/>
    <w:lsdException w:uiPriority="99" w:name="index heading"/>
    <w:lsdException w:qFormat="1" w:unhideWhenUsed="0" w:uiPriority="0" w:semiHidden="0" w:name="caption"/>
    <w:lsdException w:qFormat="1" w:unhideWhenUsed="0" w:uiPriority="0"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uiPriority="99" w:name="List 4"/>
    <w:lsdException w:uiPriority="99" w:name="List 5"/>
    <w:lsdException w:qFormat="1" w:unhideWhenUsed="0" w:uiPriority="0" w:semiHidden="0" w:name="List Bullet 2"/>
    <w:lsdException w:uiPriority="99" w:name="List Bullet 3"/>
    <w:lsdException w:uiPriority="99" w:name="List Bullet 4"/>
    <w:lsdException w:uiPriority="99" w:name="List Bullet 5"/>
    <w:lsdException w:qFormat="1" w:unhideWhenUsed="0" w:uiPriority="0" w:semiHidden="0" w:name="List Number 2"/>
    <w:lsdException w:qFormat="1" w:unhideWhenUsed="0" w:uiPriority="0" w:semiHidden="0"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3">
    <w:name w:val="heading 1"/>
    <w:basedOn w:val="1"/>
    <w:next w:val="1"/>
    <w:link w:val="62"/>
    <w:qFormat/>
    <w:uiPriority w:val="9"/>
    <w:pPr>
      <w:keepNext/>
      <w:keepLines/>
      <w:spacing w:before="340" w:after="330" w:line="578" w:lineRule="auto"/>
      <w:outlineLvl w:val="0"/>
    </w:pPr>
    <w:rPr>
      <w:rFonts w:eastAsia="楷体_GB2312"/>
      <w:b/>
      <w:kern w:val="44"/>
      <w:sz w:val="44"/>
      <w:szCs w:val="20"/>
    </w:rPr>
  </w:style>
  <w:style w:type="paragraph" w:styleId="4">
    <w:name w:val="heading 2"/>
    <w:basedOn w:val="1"/>
    <w:next w:val="1"/>
    <w:link w:val="63"/>
    <w:qFormat/>
    <w:uiPriority w:val="0"/>
    <w:pPr>
      <w:keepNext/>
      <w:keepLines/>
      <w:overflowPunct w:val="0"/>
      <w:adjustRightInd w:val="0"/>
      <w:jc w:val="left"/>
      <w:textAlignment w:val="baseline"/>
      <w:outlineLvl w:val="1"/>
    </w:pPr>
    <w:rPr>
      <w:rFonts w:ascii="宋体" w:hAnsi="宋体" w:eastAsia="楷体_GB2312"/>
      <w:b/>
      <w:sz w:val="26"/>
      <w:szCs w:val="20"/>
    </w:rPr>
  </w:style>
  <w:style w:type="paragraph" w:styleId="5">
    <w:name w:val="heading 3"/>
    <w:basedOn w:val="1"/>
    <w:next w:val="1"/>
    <w:link w:val="64"/>
    <w:qFormat/>
    <w:uiPriority w:val="0"/>
    <w:pPr>
      <w:keepNext/>
      <w:keepLines/>
      <w:adjustRightInd w:val="0"/>
      <w:jc w:val="left"/>
      <w:textAlignment w:val="baseline"/>
      <w:outlineLvl w:val="2"/>
    </w:pPr>
    <w:rPr>
      <w:rFonts w:eastAsia="楷体_GB2312"/>
      <w:b/>
      <w:sz w:val="26"/>
      <w:szCs w:val="20"/>
    </w:rPr>
  </w:style>
  <w:style w:type="paragraph" w:styleId="6">
    <w:name w:val="heading 4"/>
    <w:basedOn w:val="1"/>
    <w:next w:val="1"/>
    <w:link w:val="65"/>
    <w:qFormat/>
    <w:uiPriority w:val="0"/>
    <w:pPr>
      <w:keepNext/>
      <w:keepLines/>
      <w:spacing w:before="280" w:after="290" w:line="376" w:lineRule="auto"/>
      <w:outlineLvl w:val="3"/>
    </w:pPr>
    <w:rPr>
      <w:rFonts w:ascii="Arial" w:hAnsi="Arial" w:eastAsia="黑体"/>
      <w:b/>
      <w:bCs/>
      <w:sz w:val="28"/>
      <w:szCs w:val="28"/>
    </w:rPr>
  </w:style>
  <w:style w:type="paragraph" w:styleId="7">
    <w:name w:val="heading 5"/>
    <w:basedOn w:val="1"/>
    <w:next w:val="1"/>
    <w:link w:val="66"/>
    <w:qFormat/>
    <w:uiPriority w:val="0"/>
    <w:pPr>
      <w:keepNext/>
      <w:keepLines/>
      <w:spacing w:before="280" w:after="290" w:line="376" w:lineRule="auto"/>
      <w:outlineLvl w:val="4"/>
    </w:pPr>
    <w:rPr>
      <w:rFonts w:ascii="Calibri" w:hAnsi="Calibri" w:eastAsia="仿宋"/>
      <w:b/>
      <w:bCs/>
      <w:sz w:val="28"/>
      <w:szCs w:val="28"/>
    </w:rPr>
  </w:style>
  <w:style w:type="paragraph" w:styleId="8">
    <w:name w:val="heading 6"/>
    <w:basedOn w:val="1"/>
    <w:next w:val="1"/>
    <w:link w:val="67"/>
    <w:qFormat/>
    <w:uiPriority w:val="0"/>
    <w:pPr>
      <w:keepNext/>
      <w:keepLines/>
      <w:spacing w:before="240" w:after="64" w:line="320" w:lineRule="auto"/>
      <w:outlineLvl w:val="5"/>
    </w:pPr>
    <w:rPr>
      <w:rFonts w:ascii="Arial" w:hAnsi="Arial" w:eastAsia="黑体"/>
      <w:b/>
      <w:bCs/>
      <w:sz w:val="24"/>
    </w:rPr>
  </w:style>
  <w:style w:type="paragraph" w:styleId="9">
    <w:name w:val="heading 7"/>
    <w:basedOn w:val="1"/>
    <w:next w:val="1"/>
    <w:link w:val="68"/>
    <w:qFormat/>
    <w:uiPriority w:val="0"/>
    <w:pPr>
      <w:keepNext/>
      <w:keepLines/>
      <w:tabs>
        <w:tab w:val="left" w:pos="1296"/>
      </w:tabs>
      <w:spacing w:before="240" w:after="64" w:line="320" w:lineRule="auto"/>
      <w:ind w:left="1296" w:hanging="1296"/>
      <w:outlineLvl w:val="6"/>
    </w:pPr>
    <w:rPr>
      <w:b/>
      <w:bCs/>
      <w:sz w:val="24"/>
    </w:rPr>
  </w:style>
  <w:style w:type="paragraph" w:styleId="10">
    <w:name w:val="heading 8"/>
    <w:basedOn w:val="1"/>
    <w:next w:val="1"/>
    <w:link w:val="69"/>
    <w:qFormat/>
    <w:uiPriority w:val="0"/>
    <w:pPr>
      <w:keepNext/>
      <w:keepLines/>
      <w:tabs>
        <w:tab w:val="left" w:pos="1440"/>
      </w:tabs>
      <w:spacing w:before="240" w:after="64" w:line="320" w:lineRule="auto"/>
      <w:ind w:left="1440" w:hanging="1440"/>
      <w:outlineLvl w:val="7"/>
    </w:pPr>
    <w:rPr>
      <w:rFonts w:ascii="Arial" w:hAnsi="Arial" w:eastAsia="黑体"/>
      <w:sz w:val="24"/>
    </w:rPr>
  </w:style>
  <w:style w:type="paragraph" w:styleId="11">
    <w:name w:val="heading 9"/>
    <w:basedOn w:val="1"/>
    <w:next w:val="1"/>
    <w:link w:val="70"/>
    <w:qFormat/>
    <w:uiPriority w:val="0"/>
    <w:pPr>
      <w:keepNext/>
      <w:keepLines/>
      <w:tabs>
        <w:tab w:val="left" w:pos="1584"/>
      </w:tabs>
      <w:spacing w:before="240" w:after="64" w:line="320" w:lineRule="auto"/>
      <w:ind w:left="1584" w:hanging="1584"/>
      <w:outlineLvl w:val="8"/>
    </w:pPr>
    <w:rPr>
      <w:rFonts w:ascii="Arial" w:hAnsi="Arial" w:eastAsia="黑体"/>
    </w:rPr>
  </w:style>
  <w:style w:type="character" w:default="1" w:styleId="55">
    <w:name w:val="Default Paragraph Font"/>
    <w:semiHidden/>
    <w:unhideWhenUsed/>
    <w:qFormat/>
    <w:uiPriority w:val="1"/>
  </w:style>
  <w:style w:type="table" w:default="1" w:styleId="53">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219"/>
    <w:qFormat/>
    <w:uiPriority w:val="99"/>
    <w:rPr>
      <w:rFonts w:ascii="楷体_GB2312" w:hAnsi="Arial" w:eastAsia="楷体_GB2312"/>
      <w:sz w:val="28"/>
      <w:szCs w:val="28"/>
    </w:rPr>
  </w:style>
  <w:style w:type="paragraph" w:styleId="12">
    <w:name w:val="List 3"/>
    <w:basedOn w:val="1"/>
    <w:qFormat/>
    <w:uiPriority w:val="0"/>
    <w:pPr>
      <w:ind w:left="100" w:leftChars="400" w:hanging="200" w:hangingChars="200"/>
    </w:pPr>
  </w:style>
  <w:style w:type="paragraph" w:styleId="13">
    <w:name w:val="toc 7"/>
    <w:basedOn w:val="1"/>
    <w:next w:val="1"/>
    <w:qFormat/>
    <w:uiPriority w:val="39"/>
    <w:pPr>
      <w:ind w:left="1260"/>
      <w:jc w:val="left"/>
    </w:pPr>
  </w:style>
  <w:style w:type="paragraph" w:styleId="14">
    <w:name w:val="List Number 2"/>
    <w:basedOn w:val="1"/>
    <w:qFormat/>
    <w:uiPriority w:val="0"/>
    <w:pPr>
      <w:tabs>
        <w:tab w:val="left" w:pos="400"/>
        <w:tab w:val="left" w:pos="840"/>
      </w:tabs>
      <w:adjustRightInd w:val="0"/>
      <w:ind w:firstLine="400"/>
      <w:jc w:val="left"/>
    </w:pPr>
    <w:rPr>
      <w:kern w:val="0"/>
    </w:rPr>
  </w:style>
  <w:style w:type="paragraph" w:styleId="15">
    <w:name w:val="List Number"/>
    <w:basedOn w:val="1"/>
    <w:link w:val="161"/>
    <w:qFormat/>
    <w:uiPriority w:val="0"/>
    <w:pPr>
      <w:widowControl/>
      <w:tabs>
        <w:tab w:val="left" w:pos="400"/>
      </w:tabs>
      <w:adjustRightInd w:val="0"/>
      <w:ind w:firstLine="400"/>
      <w:jc w:val="left"/>
    </w:pPr>
    <w:rPr>
      <w:rFonts w:ascii="宋体"/>
      <w:kern w:val="0"/>
    </w:rPr>
  </w:style>
  <w:style w:type="paragraph" w:styleId="16">
    <w:name w:val="Normal Indent"/>
    <w:basedOn w:val="1"/>
    <w:link w:val="71"/>
    <w:qFormat/>
    <w:uiPriority w:val="0"/>
    <w:pPr>
      <w:adjustRightInd w:val="0"/>
      <w:spacing w:line="360" w:lineRule="atLeast"/>
      <w:ind w:firstLine="482"/>
      <w:textAlignment w:val="baseline"/>
    </w:pPr>
    <w:rPr>
      <w:kern w:val="0"/>
      <w:sz w:val="24"/>
    </w:rPr>
  </w:style>
  <w:style w:type="paragraph" w:styleId="17">
    <w:name w:val="caption"/>
    <w:basedOn w:val="1"/>
    <w:next w:val="1"/>
    <w:qFormat/>
    <w:uiPriority w:val="0"/>
    <w:rPr>
      <w:rFonts w:ascii="Cambria" w:hAnsi="Cambria" w:eastAsia="黑体"/>
      <w:sz w:val="20"/>
      <w:szCs w:val="20"/>
    </w:rPr>
  </w:style>
  <w:style w:type="paragraph" w:styleId="18">
    <w:name w:val="List Bullet"/>
    <w:basedOn w:val="1"/>
    <w:qFormat/>
    <w:uiPriority w:val="0"/>
    <w:pPr>
      <w:widowControl/>
      <w:tabs>
        <w:tab w:val="left" w:pos="480"/>
        <w:tab w:val="left" w:pos="720"/>
        <w:tab w:val="left" w:pos="900"/>
      </w:tabs>
      <w:spacing w:line="360" w:lineRule="auto"/>
      <w:ind w:left="480" w:hanging="480"/>
    </w:pPr>
    <w:rPr>
      <w:rFonts w:ascii="Arial" w:hAnsi="Arial"/>
      <w:kern w:val="0"/>
      <w:lang w:val="en-GB"/>
    </w:rPr>
  </w:style>
  <w:style w:type="paragraph" w:styleId="19">
    <w:name w:val="Document Map"/>
    <w:basedOn w:val="1"/>
    <w:link w:val="220"/>
    <w:qFormat/>
    <w:uiPriority w:val="0"/>
    <w:pPr>
      <w:shd w:val="clear" w:color="auto" w:fill="000080"/>
    </w:pPr>
  </w:style>
  <w:style w:type="paragraph" w:styleId="20">
    <w:name w:val="toa heading"/>
    <w:basedOn w:val="1"/>
    <w:next w:val="1"/>
    <w:qFormat/>
    <w:uiPriority w:val="0"/>
    <w:pPr>
      <w:adjustRightInd w:val="0"/>
      <w:spacing w:before="120" w:line="312" w:lineRule="atLeast"/>
      <w:textAlignment w:val="baseline"/>
    </w:pPr>
    <w:rPr>
      <w:rFonts w:ascii="Arial" w:hAnsi="Arial"/>
      <w:b/>
      <w:kern w:val="0"/>
      <w:sz w:val="24"/>
      <w:szCs w:val="24"/>
    </w:rPr>
  </w:style>
  <w:style w:type="paragraph" w:styleId="21">
    <w:name w:val="annotation text"/>
    <w:basedOn w:val="1"/>
    <w:link w:val="216"/>
    <w:unhideWhenUsed/>
    <w:qFormat/>
    <w:uiPriority w:val="0"/>
    <w:pPr>
      <w:jc w:val="left"/>
    </w:pPr>
  </w:style>
  <w:style w:type="paragraph" w:styleId="22">
    <w:name w:val="Body Text 3"/>
    <w:basedOn w:val="1"/>
    <w:link w:val="230"/>
    <w:qFormat/>
    <w:uiPriority w:val="0"/>
    <w:rPr>
      <w:rFonts w:ascii="仿宋_GB2312" w:hAnsi="Arial" w:eastAsia="仿宋_GB2312"/>
      <w:sz w:val="32"/>
      <w:szCs w:val="32"/>
    </w:rPr>
  </w:style>
  <w:style w:type="paragraph" w:styleId="23">
    <w:name w:val="Body Text Indent"/>
    <w:basedOn w:val="1"/>
    <w:link w:val="222"/>
    <w:unhideWhenUsed/>
    <w:qFormat/>
    <w:uiPriority w:val="0"/>
    <w:pPr>
      <w:spacing w:after="120"/>
      <w:ind w:left="420" w:leftChars="200"/>
    </w:pPr>
  </w:style>
  <w:style w:type="paragraph" w:styleId="24">
    <w:name w:val="List Number 3"/>
    <w:basedOn w:val="1"/>
    <w:qFormat/>
    <w:uiPriority w:val="0"/>
    <w:pPr>
      <w:widowControl/>
      <w:tabs>
        <w:tab w:val="left" w:pos="400"/>
        <w:tab w:val="left" w:pos="1260"/>
      </w:tabs>
      <w:ind w:firstLine="400"/>
      <w:jc w:val="left"/>
    </w:pPr>
    <w:rPr>
      <w:rFonts w:ascii="宋体"/>
      <w:kern w:val="0"/>
    </w:rPr>
  </w:style>
  <w:style w:type="paragraph" w:styleId="25">
    <w:name w:val="List 2"/>
    <w:basedOn w:val="1"/>
    <w:qFormat/>
    <w:uiPriority w:val="0"/>
    <w:pPr>
      <w:ind w:left="100" w:leftChars="200" w:hanging="200" w:hangingChars="200"/>
    </w:pPr>
  </w:style>
  <w:style w:type="paragraph" w:styleId="26">
    <w:name w:val="Block Text"/>
    <w:basedOn w:val="1"/>
    <w:qFormat/>
    <w:uiPriority w:val="0"/>
    <w:pPr>
      <w:spacing w:line="360" w:lineRule="auto"/>
      <w:ind w:right="210" w:rightChars="100" w:firstLine="560" w:firstLineChars="200"/>
    </w:pPr>
    <w:rPr>
      <w:rFonts w:ascii="宋体" w:hAnsi="宋体"/>
      <w:color w:val="000000"/>
      <w:spacing w:val="20"/>
      <w:kern w:val="24"/>
      <w:sz w:val="24"/>
      <w:szCs w:val="18"/>
    </w:rPr>
  </w:style>
  <w:style w:type="paragraph" w:styleId="27">
    <w:name w:val="List Bullet 2"/>
    <w:basedOn w:val="1"/>
    <w:qFormat/>
    <w:uiPriority w:val="0"/>
    <w:pPr>
      <w:numPr>
        <w:ilvl w:val="0"/>
        <w:numId w:val="1"/>
      </w:numPr>
      <w:tabs>
        <w:tab w:val="left" w:pos="780"/>
      </w:tabs>
      <w:contextualSpacing/>
    </w:pPr>
    <w:rPr>
      <w:szCs w:val="24"/>
    </w:rPr>
  </w:style>
  <w:style w:type="paragraph" w:styleId="28">
    <w:name w:val="toc 5"/>
    <w:basedOn w:val="1"/>
    <w:next w:val="1"/>
    <w:qFormat/>
    <w:uiPriority w:val="39"/>
    <w:pPr>
      <w:ind w:left="840"/>
      <w:jc w:val="left"/>
    </w:pPr>
  </w:style>
  <w:style w:type="paragraph" w:styleId="29">
    <w:name w:val="toc 3"/>
    <w:basedOn w:val="1"/>
    <w:next w:val="1"/>
    <w:unhideWhenUsed/>
    <w:qFormat/>
    <w:uiPriority w:val="0"/>
    <w:pPr>
      <w:widowControl/>
      <w:spacing w:after="100" w:line="276" w:lineRule="auto"/>
      <w:ind w:left="440"/>
      <w:jc w:val="left"/>
    </w:pPr>
    <w:rPr>
      <w:rFonts w:ascii="Calibri" w:hAnsi="Calibri"/>
      <w:kern w:val="0"/>
      <w:sz w:val="22"/>
      <w:szCs w:val="22"/>
    </w:rPr>
  </w:style>
  <w:style w:type="paragraph" w:styleId="30">
    <w:name w:val="Plain Text"/>
    <w:basedOn w:val="1"/>
    <w:link w:val="81"/>
    <w:qFormat/>
    <w:uiPriority w:val="0"/>
    <w:rPr>
      <w:rFonts w:ascii="宋体" w:hAnsi="Courier New" w:cs="Courier New"/>
    </w:rPr>
  </w:style>
  <w:style w:type="paragraph" w:styleId="31">
    <w:name w:val="toc 8"/>
    <w:basedOn w:val="1"/>
    <w:next w:val="1"/>
    <w:qFormat/>
    <w:uiPriority w:val="39"/>
    <w:pPr>
      <w:ind w:left="1470"/>
      <w:jc w:val="left"/>
    </w:pPr>
  </w:style>
  <w:style w:type="paragraph" w:styleId="32">
    <w:name w:val="Date"/>
    <w:basedOn w:val="1"/>
    <w:next w:val="1"/>
    <w:link w:val="221"/>
    <w:qFormat/>
    <w:uiPriority w:val="0"/>
    <w:rPr>
      <w:sz w:val="24"/>
      <w:szCs w:val="24"/>
    </w:rPr>
  </w:style>
  <w:style w:type="paragraph" w:styleId="33">
    <w:name w:val="Body Text Indent 2"/>
    <w:basedOn w:val="1"/>
    <w:link w:val="229"/>
    <w:qFormat/>
    <w:uiPriority w:val="0"/>
    <w:pPr>
      <w:ind w:left="630" w:firstLine="645"/>
    </w:pPr>
    <w:rPr>
      <w:rFonts w:ascii="Arial" w:hAnsi="Arial" w:eastAsia="仿宋_GB2312" w:cs="Arial"/>
      <w:sz w:val="32"/>
      <w:szCs w:val="32"/>
    </w:rPr>
  </w:style>
  <w:style w:type="paragraph" w:styleId="34">
    <w:name w:val="Balloon Text"/>
    <w:basedOn w:val="1"/>
    <w:link w:val="215"/>
    <w:qFormat/>
    <w:uiPriority w:val="0"/>
    <w:rPr>
      <w:sz w:val="18"/>
      <w:szCs w:val="18"/>
    </w:rPr>
  </w:style>
  <w:style w:type="paragraph" w:styleId="35">
    <w:name w:val="footer"/>
    <w:basedOn w:val="1"/>
    <w:link w:val="79"/>
    <w:unhideWhenUsed/>
    <w:qFormat/>
    <w:uiPriority w:val="99"/>
    <w:pPr>
      <w:tabs>
        <w:tab w:val="center" w:pos="4153"/>
        <w:tab w:val="right" w:pos="8306"/>
      </w:tabs>
      <w:snapToGrid w:val="0"/>
      <w:jc w:val="left"/>
    </w:pPr>
    <w:rPr>
      <w:sz w:val="18"/>
      <w:szCs w:val="18"/>
    </w:rPr>
  </w:style>
  <w:style w:type="paragraph" w:styleId="36">
    <w:name w:val="header"/>
    <w:basedOn w:val="1"/>
    <w:link w:val="78"/>
    <w:unhideWhenUsed/>
    <w:qFormat/>
    <w:uiPriority w:val="99"/>
    <w:pPr>
      <w:pBdr>
        <w:bottom w:val="single" w:color="auto" w:sz="6" w:space="1"/>
      </w:pBdr>
      <w:tabs>
        <w:tab w:val="center" w:pos="4153"/>
        <w:tab w:val="right" w:pos="8306"/>
      </w:tabs>
      <w:snapToGrid w:val="0"/>
      <w:jc w:val="center"/>
    </w:pPr>
    <w:rPr>
      <w:sz w:val="18"/>
      <w:szCs w:val="18"/>
    </w:rPr>
  </w:style>
  <w:style w:type="paragraph" w:styleId="37">
    <w:name w:val="toc 1"/>
    <w:basedOn w:val="1"/>
    <w:next w:val="1"/>
    <w:link w:val="107"/>
    <w:qFormat/>
    <w:uiPriority w:val="0"/>
    <w:pPr>
      <w:spacing w:before="360"/>
      <w:jc w:val="left"/>
    </w:pPr>
    <w:rPr>
      <w:rFonts w:ascii="Arial" w:hAnsi="Arial" w:cs="Arial"/>
      <w:b/>
      <w:bCs/>
      <w:caps/>
      <w:sz w:val="24"/>
    </w:rPr>
  </w:style>
  <w:style w:type="paragraph" w:styleId="38">
    <w:name w:val="toc 4"/>
    <w:basedOn w:val="1"/>
    <w:next w:val="1"/>
    <w:qFormat/>
    <w:uiPriority w:val="39"/>
    <w:pPr>
      <w:ind w:left="630"/>
      <w:jc w:val="left"/>
    </w:pPr>
  </w:style>
  <w:style w:type="paragraph" w:styleId="39">
    <w:name w:val="Subtitle"/>
    <w:basedOn w:val="1"/>
    <w:next w:val="1"/>
    <w:link w:val="228"/>
    <w:qFormat/>
    <w:uiPriority w:val="11"/>
    <w:pPr>
      <w:widowControl/>
      <w:spacing w:after="600" w:line="276" w:lineRule="auto"/>
      <w:jc w:val="left"/>
    </w:pPr>
    <w:rPr>
      <w:rFonts w:ascii="Cambria" w:hAnsi="Cambria"/>
      <w:i/>
      <w:iCs/>
      <w:spacing w:val="13"/>
      <w:kern w:val="0"/>
      <w:sz w:val="24"/>
      <w:szCs w:val="24"/>
      <w:lang w:eastAsia="en-US" w:bidi="en-US"/>
    </w:rPr>
  </w:style>
  <w:style w:type="paragraph" w:styleId="40">
    <w:name w:val="List"/>
    <w:basedOn w:val="1"/>
    <w:qFormat/>
    <w:uiPriority w:val="0"/>
    <w:pPr>
      <w:ind w:left="200" w:hanging="200" w:hangingChars="200"/>
    </w:pPr>
  </w:style>
  <w:style w:type="paragraph" w:styleId="41">
    <w:name w:val="toc 6"/>
    <w:basedOn w:val="1"/>
    <w:next w:val="1"/>
    <w:qFormat/>
    <w:uiPriority w:val="39"/>
    <w:pPr>
      <w:ind w:left="1050"/>
      <w:jc w:val="left"/>
    </w:pPr>
  </w:style>
  <w:style w:type="paragraph" w:styleId="42">
    <w:name w:val="Body Text Indent 3"/>
    <w:basedOn w:val="1"/>
    <w:link w:val="218"/>
    <w:qFormat/>
    <w:uiPriority w:val="0"/>
    <w:pPr>
      <w:ind w:left="645" w:firstLine="645"/>
    </w:pPr>
    <w:rPr>
      <w:rFonts w:ascii="Arial" w:hAnsi="Arial" w:eastAsia="仿宋_GB2312" w:cs="Arial"/>
      <w:color w:val="FFFF00"/>
      <w:sz w:val="32"/>
      <w:szCs w:val="32"/>
    </w:rPr>
  </w:style>
  <w:style w:type="paragraph" w:styleId="43">
    <w:name w:val="table of figures"/>
    <w:basedOn w:val="1"/>
    <w:next w:val="1"/>
    <w:semiHidden/>
    <w:qFormat/>
    <w:uiPriority w:val="0"/>
    <w:pPr>
      <w:ind w:left="840" w:hanging="420"/>
    </w:pPr>
  </w:style>
  <w:style w:type="paragraph" w:styleId="44">
    <w:name w:val="toc 2"/>
    <w:basedOn w:val="1"/>
    <w:next w:val="1"/>
    <w:qFormat/>
    <w:uiPriority w:val="0"/>
    <w:pPr>
      <w:spacing w:before="240"/>
      <w:jc w:val="left"/>
    </w:pPr>
    <w:rPr>
      <w:b/>
      <w:bCs/>
      <w:sz w:val="20"/>
      <w:szCs w:val="20"/>
    </w:rPr>
  </w:style>
  <w:style w:type="paragraph" w:styleId="45">
    <w:name w:val="toc 9"/>
    <w:basedOn w:val="1"/>
    <w:next w:val="1"/>
    <w:qFormat/>
    <w:uiPriority w:val="39"/>
    <w:pPr>
      <w:ind w:left="1680"/>
      <w:jc w:val="left"/>
    </w:pPr>
  </w:style>
  <w:style w:type="paragraph" w:styleId="46">
    <w:name w:val="Body Text 2"/>
    <w:basedOn w:val="1"/>
    <w:link w:val="227"/>
    <w:qFormat/>
    <w:uiPriority w:val="0"/>
    <w:pPr>
      <w:widowControl/>
      <w:jc w:val="center"/>
    </w:pPr>
    <w:rPr>
      <w:rFonts w:ascii="楷体_GB2312" w:eastAsia="楷体_GB2312"/>
      <w:sz w:val="28"/>
      <w:szCs w:val="28"/>
    </w:rPr>
  </w:style>
  <w:style w:type="paragraph" w:styleId="47">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48">
    <w:name w:val="index 1"/>
    <w:basedOn w:val="1"/>
    <w:next w:val="1"/>
    <w:semiHidden/>
    <w:qFormat/>
    <w:uiPriority w:val="0"/>
    <w:pPr>
      <w:spacing w:line="240" w:lineRule="atLeast"/>
    </w:pPr>
    <w:rPr>
      <w:b/>
      <w:bCs/>
    </w:rPr>
  </w:style>
  <w:style w:type="paragraph" w:styleId="49">
    <w:name w:val="Title"/>
    <w:basedOn w:val="1"/>
    <w:next w:val="1"/>
    <w:link w:val="72"/>
    <w:qFormat/>
    <w:uiPriority w:val="10"/>
    <w:pPr>
      <w:spacing w:before="240" w:after="60"/>
      <w:jc w:val="center"/>
      <w:outlineLvl w:val="0"/>
    </w:pPr>
    <w:rPr>
      <w:rFonts w:ascii="Cambria" w:hAnsi="Cambria"/>
      <w:b/>
      <w:bCs/>
      <w:sz w:val="32"/>
      <w:szCs w:val="32"/>
    </w:rPr>
  </w:style>
  <w:style w:type="paragraph" w:styleId="50">
    <w:name w:val="annotation subject"/>
    <w:basedOn w:val="21"/>
    <w:next w:val="21"/>
    <w:link w:val="217"/>
    <w:qFormat/>
    <w:uiPriority w:val="0"/>
    <w:rPr>
      <w:b/>
      <w:bCs/>
    </w:rPr>
  </w:style>
  <w:style w:type="paragraph" w:styleId="51">
    <w:name w:val="Body Text First Indent"/>
    <w:basedOn w:val="1"/>
    <w:link w:val="226"/>
    <w:qFormat/>
    <w:uiPriority w:val="0"/>
    <w:pPr>
      <w:spacing w:line="360" w:lineRule="auto"/>
      <w:ind w:firstLine="200" w:firstLineChars="200"/>
    </w:pPr>
    <w:rPr>
      <w:rFonts w:ascii="仿宋_GB2312" w:eastAsia="仿宋_GB2312"/>
      <w:sz w:val="30"/>
      <w:szCs w:val="30"/>
    </w:rPr>
  </w:style>
  <w:style w:type="paragraph" w:styleId="52">
    <w:name w:val="Body Text First Indent 2"/>
    <w:basedOn w:val="23"/>
    <w:link w:val="223"/>
    <w:qFormat/>
    <w:uiPriority w:val="0"/>
    <w:pPr>
      <w:spacing w:after="0" w:line="360" w:lineRule="auto"/>
      <w:ind w:left="0" w:leftChars="0" w:firstLine="420" w:firstLineChars="200"/>
    </w:pPr>
    <w:rPr>
      <w:rFonts w:ascii="宋体" w:hAnsi="宋体"/>
      <w:szCs w:val="20"/>
    </w:rPr>
  </w:style>
  <w:style w:type="table" w:styleId="54">
    <w:name w:val="Table Grid"/>
    <w:basedOn w:val="53"/>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56">
    <w:name w:val="Strong"/>
    <w:qFormat/>
    <w:uiPriority w:val="0"/>
    <w:rPr>
      <w:b/>
      <w:bCs/>
    </w:rPr>
  </w:style>
  <w:style w:type="character" w:styleId="57">
    <w:name w:val="page number"/>
    <w:basedOn w:val="55"/>
    <w:qFormat/>
    <w:uiPriority w:val="0"/>
  </w:style>
  <w:style w:type="character" w:styleId="58">
    <w:name w:val="FollowedHyperlink"/>
    <w:qFormat/>
    <w:uiPriority w:val="99"/>
    <w:rPr>
      <w:color w:val="800080"/>
      <w:u w:val="single"/>
    </w:rPr>
  </w:style>
  <w:style w:type="character" w:styleId="59">
    <w:name w:val="Emphasis"/>
    <w:basedOn w:val="55"/>
    <w:qFormat/>
    <w:uiPriority w:val="0"/>
    <w:rPr>
      <w:rFonts w:ascii="Arial" w:hAnsi="Arial"/>
      <w:b/>
      <w:spacing w:val="-10"/>
      <w:sz w:val="18"/>
      <w:lang w:eastAsia="zh-CN"/>
    </w:rPr>
  </w:style>
  <w:style w:type="character" w:styleId="60">
    <w:name w:val="Hyperlink"/>
    <w:qFormat/>
    <w:uiPriority w:val="99"/>
    <w:rPr>
      <w:color w:val="0000FF"/>
      <w:u w:val="single"/>
    </w:rPr>
  </w:style>
  <w:style w:type="character" w:styleId="61">
    <w:name w:val="annotation reference"/>
    <w:qFormat/>
    <w:uiPriority w:val="0"/>
    <w:rPr>
      <w:sz w:val="21"/>
      <w:szCs w:val="21"/>
    </w:rPr>
  </w:style>
  <w:style w:type="character" w:customStyle="1" w:styleId="62">
    <w:name w:val="标题 1 Char"/>
    <w:basedOn w:val="55"/>
    <w:link w:val="3"/>
    <w:qFormat/>
    <w:uiPriority w:val="9"/>
    <w:rPr>
      <w:rFonts w:eastAsia="楷体_GB2312"/>
      <w:b/>
      <w:kern w:val="44"/>
      <w:sz w:val="44"/>
    </w:rPr>
  </w:style>
  <w:style w:type="character" w:customStyle="1" w:styleId="63">
    <w:name w:val="标题 2 Char"/>
    <w:basedOn w:val="55"/>
    <w:link w:val="4"/>
    <w:qFormat/>
    <w:uiPriority w:val="0"/>
    <w:rPr>
      <w:rFonts w:ascii="宋体" w:hAnsi="宋体" w:eastAsia="楷体_GB2312"/>
      <w:b/>
      <w:kern w:val="2"/>
      <w:sz w:val="26"/>
    </w:rPr>
  </w:style>
  <w:style w:type="character" w:customStyle="1" w:styleId="64">
    <w:name w:val="标题 3 Char"/>
    <w:basedOn w:val="55"/>
    <w:link w:val="5"/>
    <w:qFormat/>
    <w:uiPriority w:val="0"/>
    <w:rPr>
      <w:rFonts w:eastAsia="楷体_GB2312"/>
      <w:b/>
      <w:kern w:val="2"/>
      <w:sz w:val="26"/>
    </w:rPr>
  </w:style>
  <w:style w:type="character" w:customStyle="1" w:styleId="65">
    <w:name w:val="标题 4 Char"/>
    <w:basedOn w:val="55"/>
    <w:link w:val="6"/>
    <w:qFormat/>
    <w:uiPriority w:val="0"/>
    <w:rPr>
      <w:rFonts w:ascii="Arial" w:hAnsi="Arial" w:eastAsia="黑体"/>
      <w:b/>
      <w:bCs/>
      <w:kern w:val="2"/>
      <w:sz w:val="28"/>
      <w:szCs w:val="28"/>
    </w:rPr>
  </w:style>
  <w:style w:type="character" w:customStyle="1" w:styleId="66">
    <w:name w:val="标题 5 Char"/>
    <w:basedOn w:val="55"/>
    <w:link w:val="7"/>
    <w:qFormat/>
    <w:uiPriority w:val="0"/>
    <w:rPr>
      <w:rFonts w:ascii="Calibri" w:hAnsi="Calibri" w:eastAsia="仿宋"/>
      <w:b/>
      <w:bCs/>
      <w:kern w:val="2"/>
      <w:sz w:val="28"/>
      <w:szCs w:val="28"/>
    </w:rPr>
  </w:style>
  <w:style w:type="character" w:customStyle="1" w:styleId="67">
    <w:name w:val="标题 6 Char"/>
    <w:basedOn w:val="55"/>
    <w:link w:val="8"/>
    <w:qFormat/>
    <w:uiPriority w:val="0"/>
    <w:rPr>
      <w:rFonts w:ascii="Arial" w:hAnsi="Arial" w:eastAsia="黑体"/>
      <w:b/>
      <w:bCs/>
      <w:kern w:val="2"/>
      <w:sz w:val="24"/>
      <w:szCs w:val="24"/>
    </w:rPr>
  </w:style>
  <w:style w:type="character" w:customStyle="1" w:styleId="68">
    <w:name w:val="标题 7 Char"/>
    <w:basedOn w:val="55"/>
    <w:link w:val="9"/>
    <w:qFormat/>
    <w:uiPriority w:val="0"/>
    <w:rPr>
      <w:b/>
      <w:bCs/>
      <w:kern w:val="2"/>
      <w:sz w:val="24"/>
      <w:szCs w:val="24"/>
    </w:rPr>
  </w:style>
  <w:style w:type="character" w:customStyle="1" w:styleId="69">
    <w:name w:val="标题 8 Char"/>
    <w:basedOn w:val="55"/>
    <w:link w:val="10"/>
    <w:qFormat/>
    <w:uiPriority w:val="0"/>
    <w:rPr>
      <w:rFonts w:ascii="Arial" w:hAnsi="Arial" w:eastAsia="黑体"/>
      <w:kern w:val="2"/>
      <w:sz w:val="24"/>
      <w:szCs w:val="24"/>
    </w:rPr>
  </w:style>
  <w:style w:type="character" w:customStyle="1" w:styleId="70">
    <w:name w:val="标题 9 Char"/>
    <w:basedOn w:val="55"/>
    <w:link w:val="11"/>
    <w:qFormat/>
    <w:uiPriority w:val="0"/>
    <w:rPr>
      <w:rFonts w:ascii="Arial" w:hAnsi="Arial" w:eastAsia="黑体"/>
      <w:kern w:val="2"/>
      <w:sz w:val="21"/>
      <w:szCs w:val="21"/>
    </w:rPr>
  </w:style>
  <w:style w:type="character" w:customStyle="1" w:styleId="71">
    <w:name w:val="正文缩进 Char"/>
    <w:link w:val="16"/>
    <w:qFormat/>
    <w:uiPriority w:val="99"/>
    <w:rPr>
      <w:sz w:val="24"/>
      <w:szCs w:val="24"/>
    </w:rPr>
  </w:style>
  <w:style w:type="character" w:customStyle="1" w:styleId="72">
    <w:name w:val="标题 Char"/>
    <w:basedOn w:val="55"/>
    <w:link w:val="49"/>
    <w:qFormat/>
    <w:uiPriority w:val="10"/>
    <w:rPr>
      <w:rFonts w:ascii="Cambria" w:hAnsi="Cambria"/>
      <w:b/>
      <w:bCs/>
      <w:kern w:val="2"/>
      <w:sz w:val="32"/>
      <w:szCs w:val="32"/>
    </w:rPr>
  </w:style>
  <w:style w:type="paragraph" w:styleId="73">
    <w:name w:val="No Spacing"/>
    <w:link w:val="74"/>
    <w:qFormat/>
    <w:uiPriority w:val="0"/>
    <w:rPr>
      <w:rFonts w:ascii="Calibri" w:hAnsi="Calibri" w:eastAsia="宋体" w:cs="Times New Roman"/>
      <w:sz w:val="22"/>
      <w:szCs w:val="22"/>
      <w:lang w:val="en-US" w:eastAsia="zh-CN" w:bidi="ar-SA"/>
    </w:rPr>
  </w:style>
  <w:style w:type="character" w:customStyle="1" w:styleId="74">
    <w:name w:val="无间隔 Char"/>
    <w:basedOn w:val="55"/>
    <w:link w:val="73"/>
    <w:qFormat/>
    <w:uiPriority w:val="0"/>
    <w:rPr>
      <w:rFonts w:ascii="Calibri" w:hAnsi="Calibri"/>
      <w:sz w:val="22"/>
      <w:szCs w:val="22"/>
    </w:rPr>
  </w:style>
  <w:style w:type="paragraph" w:styleId="75">
    <w:name w:val="List Paragraph"/>
    <w:basedOn w:val="1"/>
    <w:qFormat/>
    <w:uiPriority w:val="34"/>
    <w:pPr>
      <w:ind w:firstLine="420" w:firstLineChars="200"/>
    </w:pPr>
    <w:rPr>
      <w:rFonts w:ascii="Calibri" w:hAnsi="Calibri"/>
      <w:szCs w:val="22"/>
    </w:rPr>
  </w:style>
  <w:style w:type="paragraph" w:customStyle="1" w:styleId="76">
    <w:name w:val="TOC 标题1"/>
    <w:basedOn w:val="3"/>
    <w:next w:val="1"/>
    <w:qFormat/>
    <w:uiPriority w:val="0"/>
    <w:pPr>
      <w:widowControl/>
      <w:spacing w:before="480" w:after="0" w:line="276" w:lineRule="auto"/>
      <w:jc w:val="left"/>
      <w:outlineLvl w:val="9"/>
    </w:pPr>
    <w:rPr>
      <w:rFonts w:ascii="Cambria" w:hAnsi="Cambria" w:eastAsia="宋体"/>
      <w:bCs/>
      <w:color w:val="365F91"/>
      <w:kern w:val="0"/>
      <w:sz w:val="28"/>
      <w:szCs w:val="28"/>
    </w:rPr>
  </w:style>
  <w:style w:type="paragraph" w:customStyle="1" w:styleId="77">
    <w:name w:val="列出段落3"/>
    <w:basedOn w:val="1"/>
    <w:qFormat/>
    <w:uiPriority w:val="0"/>
    <w:pPr>
      <w:ind w:firstLine="420" w:firstLineChars="200"/>
    </w:pPr>
    <w:rPr>
      <w:rFonts w:ascii="Calibri" w:hAnsi="Calibri"/>
      <w:kern w:val="0"/>
      <w:sz w:val="20"/>
      <w:szCs w:val="20"/>
    </w:rPr>
  </w:style>
  <w:style w:type="character" w:customStyle="1" w:styleId="78">
    <w:name w:val="页眉 Char"/>
    <w:basedOn w:val="55"/>
    <w:link w:val="36"/>
    <w:qFormat/>
    <w:uiPriority w:val="99"/>
    <w:rPr>
      <w:kern w:val="2"/>
      <w:sz w:val="18"/>
      <w:szCs w:val="18"/>
    </w:rPr>
  </w:style>
  <w:style w:type="character" w:customStyle="1" w:styleId="79">
    <w:name w:val="页脚 Char"/>
    <w:basedOn w:val="55"/>
    <w:link w:val="35"/>
    <w:qFormat/>
    <w:uiPriority w:val="99"/>
    <w:rPr>
      <w:kern w:val="2"/>
      <w:sz w:val="18"/>
      <w:szCs w:val="18"/>
    </w:rPr>
  </w:style>
  <w:style w:type="character" w:customStyle="1" w:styleId="80">
    <w:name w:val="书籍标题1"/>
    <w:qFormat/>
    <w:uiPriority w:val="0"/>
    <w:rPr>
      <w:i/>
      <w:iCs/>
      <w:smallCaps/>
      <w:spacing w:val="5"/>
    </w:rPr>
  </w:style>
  <w:style w:type="character" w:customStyle="1" w:styleId="81">
    <w:name w:val="纯文本 Char"/>
    <w:link w:val="30"/>
    <w:qFormat/>
    <w:uiPriority w:val="0"/>
    <w:rPr>
      <w:rFonts w:ascii="宋体" w:hAnsi="Courier New" w:cs="Courier New"/>
      <w:kern w:val="2"/>
      <w:sz w:val="21"/>
      <w:szCs w:val="21"/>
    </w:rPr>
  </w:style>
  <w:style w:type="character" w:customStyle="1" w:styleId="82">
    <w:name w:val="日期 Char"/>
    <w:qFormat/>
    <w:uiPriority w:val="0"/>
    <w:rPr>
      <w:kern w:val="2"/>
      <w:sz w:val="24"/>
      <w:szCs w:val="24"/>
    </w:rPr>
  </w:style>
  <w:style w:type="character" w:customStyle="1" w:styleId="83">
    <w:name w:val="二级目录 Char"/>
    <w:link w:val="84"/>
    <w:qFormat/>
    <w:uiPriority w:val="0"/>
    <w:rPr>
      <w:b/>
      <w:kern w:val="2"/>
      <w:sz w:val="30"/>
      <w:szCs w:val="28"/>
    </w:rPr>
  </w:style>
  <w:style w:type="paragraph" w:customStyle="1" w:styleId="84">
    <w:name w:val="二级目录"/>
    <w:next w:val="1"/>
    <w:link w:val="83"/>
    <w:qFormat/>
    <w:uiPriority w:val="0"/>
    <w:pPr>
      <w:tabs>
        <w:tab w:val="left" w:pos="907"/>
        <w:tab w:val="left" w:pos="1145"/>
      </w:tabs>
      <w:ind w:left="907" w:hanging="907"/>
      <w:outlineLvl w:val="1"/>
    </w:pPr>
    <w:rPr>
      <w:rFonts w:ascii="Times New Roman" w:hAnsi="Times New Roman" w:eastAsia="宋体" w:cs="Times New Roman"/>
      <w:b/>
      <w:kern w:val="2"/>
      <w:sz w:val="30"/>
      <w:szCs w:val="28"/>
      <w:lang w:val="en-US" w:eastAsia="zh-CN" w:bidi="ar-SA"/>
    </w:rPr>
  </w:style>
  <w:style w:type="character" w:customStyle="1" w:styleId="85">
    <w:name w:val="Char Char"/>
    <w:qFormat/>
    <w:uiPriority w:val="0"/>
    <w:rPr>
      <w:rFonts w:ascii="Times New Roman" w:hAnsi="Times New Roman" w:eastAsia="宋体"/>
      <w:kern w:val="2"/>
      <w:sz w:val="21"/>
      <w:szCs w:val="22"/>
      <w:lang w:val="en-US" w:eastAsia="zh-CN" w:bidi="ar-SA"/>
    </w:rPr>
  </w:style>
  <w:style w:type="character" w:customStyle="1" w:styleId="86">
    <w:name w:val="rainbow_normallink"/>
    <w:qFormat/>
    <w:uiPriority w:val="0"/>
  </w:style>
  <w:style w:type="character" w:customStyle="1" w:styleId="87">
    <w:name w:val="a0031"/>
    <w:qFormat/>
    <w:uiPriority w:val="0"/>
    <w:rPr>
      <w:rFonts w:hint="default" w:ascii="ˎ̥" w:hAnsi="ˎ̥"/>
      <w:color w:val="000000"/>
      <w:sz w:val="18"/>
      <w:szCs w:val="18"/>
    </w:rPr>
  </w:style>
  <w:style w:type="character" w:customStyle="1" w:styleId="88">
    <w:name w:val="正文首行缩进 Char Char Char Char Char Char Char Char Char Char Char Char Char Char Char Char Char Char Char Char Char"/>
    <w:qFormat/>
    <w:uiPriority w:val="0"/>
    <w:rPr>
      <w:rFonts w:ascii="Arial" w:hAnsi="Arial" w:eastAsia="宋体" w:cs="Arial"/>
      <w:sz w:val="21"/>
      <w:szCs w:val="21"/>
      <w:lang w:val="en-US" w:eastAsia="zh-CN" w:bidi="ar-SA"/>
    </w:rPr>
  </w:style>
  <w:style w:type="character" w:customStyle="1" w:styleId="89">
    <w:name w:val="批注主题 Char"/>
    <w:qFormat/>
    <w:uiPriority w:val="0"/>
    <w:rPr>
      <w:b/>
      <w:bCs/>
      <w:kern w:val="2"/>
      <w:sz w:val="21"/>
      <w:szCs w:val="21"/>
    </w:rPr>
  </w:style>
  <w:style w:type="character" w:customStyle="1" w:styleId="90">
    <w:name w:val="页眉 Char1"/>
    <w:semiHidden/>
    <w:qFormat/>
    <w:uiPriority w:val="99"/>
    <w:rPr>
      <w:rFonts w:ascii="Times New Roman" w:hAnsi="Times New Roman" w:eastAsia="宋体" w:cs="Times New Roman"/>
      <w:sz w:val="18"/>
      <w:szCs w:val="18"/>
    </w:rPr>
  </w:style>
  <w:style w:type="character" w:customStyle="1" w:styleId="91">
    <w:name w:val="正文文本缩进 2 Char1"/>
    <w:semiHidden/>
    <w:qFormat/>
    <w:uiPriority w:val="99"/>
    <w:rPr>
      <w:rFonts w:ascii="Times New Roman" w:hAnsi="Times New Roman" w:eastAsia="宋体" w:cs="Times New Roman"/>
      <w:szCs w:val="24"/>
    </w:rPr>
  </w:style>
  <w:style w:type="character" w:customStyle="1" w:styleId="92">
    <w:name w:val="Item List Char"/>
    <w:link w:val="93"/>
    <w:qFormat/>
    <w:uiPriority w:val="0"/>
    <w:rPr>
      <w:rFonts w:ascii="Arial" w:hAnsi="Arial"/>
      <w:sz w:val="21"/>
      <w:szCs w:val="21"/>
    </w:rPr>
  </w:style>
  <w:style w:type="paragraph" w:customStyle="1" w:styleId="93">
    <w:name w:val="Item List"/>
    <w:link w:val="92"/>
    <w:qFormat/>
    <w:uiPriority w:val="0"/>
    <w:pPr>
      <w:numPr>
        <w:ilvl w:val="0"/>
        <w:numId w:val="2"/>
      </w:numPr>
      <w:tabs>
        <w:tab w:val="left" w:pos="360"/>
      </w:tabs>
      <w:spacing w:line="300" w:lineRule="auto"/>
      <w:ind w:left="0" w:firstLine="0"/>
      <w:jc w:val="both"/>
    </w:pPr>
    <w:rPr>
      <w:rFonts w:ascii="Arial" w:hAnsi="Arial" w:eastAsia="宋体" w:cs="Times New Roman"/>
      <w:sz w:val="21"/>
      <w:szCs w:val="21"/>
      <w:lang w:val="en-US" w:eastAsia="zh-CN" w:bidi="ar-SA"/>
    </w:rPr>
  </w:style>
  <w:style w:type="character" w:customStyle="1" w:styleId="94">
    <w:name w:val="Figure Description Char"/>
    <w:link w:val="95"/>
    <w:qFormat/>
    <w:uiPriority w:val="0"/>
    <w:rPr>
      <w:rFonts w:ascii="Arial" w:hAnsi="Arial" w:eastAsia="黑体"/>
      <w:sz w:val="18"/>
      <w:szCs w:val="18"/>
    </w:rPr>
  </w:style>
  <w:style w:type="paragraph" w:customStyle="1" w:styleId="95">
    <w:name w:val="Figure Description"/>
    <w:next w:val="1"/>
    <w:link w:val="94"/>
    <w:qFormat/>
    <w:uiPriority w:val="0"/>
    <w:pPr>
      <w:snapToGrid w:val="0"/>
      <w:spacing w:before="80" w:after="320"/>
      <w:ind w:left="1134"/>
      <w:jc w:val="center"/>
    </w:pPr>
    <w:rPr>
      <w:rFonts w:ascii="Arial" w:hAnsi="Arial" w:eastAsia="黑体" w:cs="Times New Roman"/>
      <w:sz w:val="18"/>
      <w:szCs w:val="18"/>
      <w:lang w:val="en-US" w:eastAsia="zh-CN" w:bidi="ar-SA"/>
    </w:rPr>
  </w:style>
  <w:style w:type="character" w:customStyle="1" w:styleId="96">
    <w:name w:val="五级标题 Char"/>
    <w:link w:val="97"/>
    <w:qFormat/>
    <w:uiPriority w:val="0"/>
    <w:rPr>
      <w:rFonts w:ascii="Calibri" w:hAnsi="Calibri"/>
      <w:b/>
      <w:kern w:val="2"/>
      <w:sz w:val="24"/>
      <w:szCs w:val="22"/>
    </w:rPr>
  </w:style>
  <w:style w:type="paragraph" w:customStyle="1" w:styleId="97">
    <w:name w:val="五级标题"/>
    <w:basedOn w:val="1"/>
    <w:link w:val="96"/>
    <w:qFormat/>
    <w:uiPriority w:val="0"/>
    <w:pPr>
      <w:spacing w:line="360" w:lineRule="auto"/>
    </w:pPr>
    <w:rPr>
      <w:rFonts w:ascii="Calibri" w:hAnsi="Calibri"/>
      <w:b/>
      <w:sz w:val="24"/>
      <w:szCs w:val="22"/>
    </w:rPr>
  </w:style>
  <w:style w:type="character" w:customStyle="1" w:styleId="98">
    <w:name w:val="style251"/>
    <w:qFormat/>
    <w:uiPriority w:val="0"/>
    <w:rPr>
      <w:sz w:val="20"/>
      <w:szCs w:val="20"/>
    </w:rPr>
  </w:style>
  <w:style w:type="character" w:customStyle="1" w:styleId="99">
    <w:name w:val="ssss Char1"/>
    <w:link w:val="100"/>
    <w:qFormat/>
    <w:uiPriority w:val="0"/>
    <w:rPr>
      <w:kern w:val="2"/>
      <w:sz w:val="24"/>
      <w:szCs w:val="24"/>
    </w:rPr>
  </w:style>
  <w:style w:type="paragraph" w:customStyle="1" w:styleId="100">
    <w:name w:val="ssss"/>
    <w:basedOn w:val="1"/>
    <w:link w:val="99"/>
    <w:qFormat/>
    <w:uiPriority w:val="0"/>
    <w:pPr>
      <w:spacing w:line="360" w:lineRule="auto"/>
      <w:ind w:firstLine="480" w:firstLineChars="200"/>
    </w:pPr>
    <w:rPr>
      <w:sz w:val="24"/>
      <w:szCs w:val="24"/>
    </w:rPr>
  </w:style>
  <w:style w:type="character" w:customStyle="1" w:styleId="101">
    <w:name w:val="Char Char38"/>
    <w:qFormat/>
    <w:uiPriority w:val="0"/>
    <w:rPr>
      <w:rFonts w:eastAsia="宋体"/>
      <w:b/>
      <w:bCs/>
      <w:spacing w:val="-20"/>
      <w:kern w:val="2"/>
      <w:sz w:val="21"/>
      <w:szCs w:val="24"/>
      <w:lang w:val="en-US" w:eastAsia="zh-CN" w:bidi="ar-SA"/>
    </w:rPr>
  </w:style>
  <w:style w:type="character" w:customStyle="1" w:styleId="102">
    <w:name w:val="二级标题 Char"/>
    <w:link w:val="103"/>
    <w:qFormat/>
    <w:uiPriority w:val="0"/>
    <w:rPr>
      <w:rFonts w:ascii="Calibri" w:hAnsi="Calibri"/>
      <w:b/>
      <w:kern w:val="2"/>
      <w:sz w:val="24"/>
      <w:szCs w:val="22"/>
    </w:rPr>
  </w:style>
  <w:style w:type="paragraph" w:customStyle="1" w:styleId="103">
    <w:name w:val="二级标题"/>
    <w:basedOn w:val="1"/>
    <w:link w:val="102"/>
    <w:qFormat/>
    <w:uiPriority w:val="0"/>
    <w:pPr>
      <w:spacing w:line="360" w:lineRule="auto"/>
    </w:pPr>
    <w:rPr>
      <w:rFonts w:ascii="Calibri" w:hAnsi="Calibri"/>
      <w:b/>
      <w:sz w:val="24"/>
      <w:szCs w:val="22"/>
    </w:rPr>
  </w:style>
  <w:style w:type="character" w:customStyle="1" w:styleId="104">
    <w:name w:val="titletext11"/>
    <w:qFormat/>
    <w:uiPriority w:val="0"/>
    <w:rPr>
      <w:b/>
      <w:bCs/>
      <w:color w:val="C50B1E"/>
    </w:rPr>
  </w:style>
  <w:style w:type="character" w:customStyle="1" w:styleId="105">
    <w:name w:val="titletext2s1"/>
    <w:qFormat/>
    <w:uiPriority w:val="0"/>
    <w:rPr>
      <w:b/>
      <w:bCs/>
      <w:color w:val="000000"/>
    </w:rPr>
  </w:style>
  <w:style w:type="character" w:customStyle="1" w:styleId="106">
    <w:name w:val="明显参考1"/>
    <w:qFormat/>
    <w:uiPriority w:val="0"/>
    <w:rPr>
      <w:smallCaps/>
      <w:spacing w:val="5"/>
      <w:u w:val="single"/>
    </w:rPr>
  </w:style>
  <w:style w:type="character" w:customStyle="1" w:styleId="107">
    <w:name w:val="目录 1 Char"/>
    <w:link w:val="37"/>
    <w:qFormat/>
    <w:uiPriority w:val="0"/>
    <w:rPr>
      <w:rFonts w:ascii="Arial" w:hAnsi="Arial" w:cs="Arial"/>
      <w:b/>
      <w:bCs/>
      <w:caps/>
      <w:kern w:val="2"/>
      <w:sz w:val="24"/>
      <w:szCs w:val="24"/>
    </w:rPr>
  </w:style>
  <w:style w:type="character" w:customStyle="1" w:styleId="108">
    <w:name w:val="标题 Char1"/>
    <w:qFormat/>
    <w:uiPriority w:val="10"/>
    <w:rPr>
      <w:rFonts w:ascii="Cambria" w:hAnsi="Cambria" w:eastAsia="宋体" w:cs="Times New Roman"/>
      <w:b/>
      <w:bCs/>
      <w:sz w:val="32"/>
      <w:szCs w:val="32"/>
    </w:rPr>
  </w:style>
  <w:style w:type="character" w:customStyle="1" w:styleId="109">
    <w:name w:val="Table Text Char"/>
    <w:link w:val="110"/>
    <w:qFormat/>
    <w:locked/>
    <w:uiPriority w:val="0"/>
    <w:rPr>
      <w:rFonts w:ascii="Arial" w:hAnsi="Arial"/>
      <w:color w:val="000000"/>
      <w:kern w:val="2"/>
      <w:sz w:val="18"/>
      <w:szCs w:val="21"/>
    </w:rPr>
  </w:style>
  <w:style w:type="paragraph" w:customStyle="1" w:styleId="110">
    <w:name w:val="Table Text"/>
    <w:basedOn w:val="1"/>
    <w:link w:val="109"/>
    <w:qFormat/>
    <w:uiPriority w:val="0"/>
    <w:pPr>
      <w:widowControl/>
      <w:tabs>
        <w:tab w:val="decimal" w:pos="0"/>
      </w:tabs>
      <w:autoSpaceDE w:val="0"/>
      <w:autoSpaceDN w:val="0"/>
      <w:adjustRightInd w:val="0"/>
      <w:spacing w:before="80" w:after="80"/>
    </w:pPr>
    <w:rPr>
      <w:rFonts w:ascii="Arial" w:hAnsi="Arial"/>
      <w:color w:val="000000"/>
      <w:sz w:val="18"/>
    </w:rPr>
  </w:style>
  <w:style w:type="character" w:customStyle="1" w:styleId="111">
    <w:name w:val="Table Text Char1 Char"/>
    <w:qFormat/>
    <w:uiPriority w:val="0"/>
    <w:rPr>
      <w:rFonts w:eastAsia="宋体"/>
      <w:sz w:val="21"/>
      <w:szCs w:val="24"/>
      <w:lang w:val="en-US" w:eastAsia="zh-CN" w:bidi="ar-SA"/>
    </w:rPr>
  </w:style>
  <w:style w:type="character" w:customStyle="1" w:styleId="112">
    <w:name w:val="正文缩进2格 Char"/>
    <w:link w:val="113"/>
    <w:qFormat/>
    <w:uiPriority w:val="0"/>
    <w:rPr>
      <w:rFonts w:ascii="仿宋_GB2312" w:hAnsi="宋体" w:eastAsia="仿宋_GB2312"/>
      <w:kern w:val="2"/>
      <w:sz w:val="31"/>
      <w:szCs w:val="28"/>
    </w:rPr>
  </w:style>
  <w:style w:type="paragraph" w:customStyle="1" w:styleId="113">
    <w:name w:val="正文缩进2格"/>
    <w:basedOn w:val="1"/>
    <w:link w:val="112"/>
    <w:qFormat/>
    <w:uiPriority w:val="0"/>
    <w:pPr>
      <w:spacing w:line="600" w:lineRule="exact"/>
      <w:ind w:firstLine="639" w:firstLineChars="206"/>
    </w:pPr>
    <w:rPr>
      <w:rFonts w:ascii="仿宋_GB2312" w:hAnsi="宋体" w:eastAsia="仿宋_GB2312"/>
      <w:sz w:val="31"/>
      <w:szCs w:val="28"/>
    </w:rPr>
  </w:style>
  <w:style w:type="character" w:customStyle="1" w:styleId="114">
    <w:name w:val="明显引用 Char"/>
    <w:qFormat/>
    <w:uiPriority w:val="0"/>
    <w:rPr>
      <w:rFonts w:ascii="宋体" w:hAnsi="Calibri"/>
      <w:b/>
      <w:bCs/>
      <w:i/>
      <w:iCs/>
      <w:sz w:val="24"/>
      <w:szCs w:val="24"/>
      <w:lang w:eastAsia="en-US" w:bidi="en-US"/>
    </w:rPr>
  </w:style>
  <w:style w:type="paragraph" w:styleId="115">
    <w:name w:val="Intense Quote"/>
    <w:basedOn w:val="1"/>
    <w:next w:val="1"/>
    <w:link w:val="502"/>
    <w:qFormat/>
    <w:uiPriority w:val="0"/>
    <w:pPr>
      <w:widowControl/>
      <w:pBdr>
        <w:bottom w:val="single" w:color="auto" w:sz="4" w:space="1"/>
      </w:pBdr>
      <w:spacing w:before="200" w:after="280" w:line="276" w:lineRule="auto"/>
      <w:ind w:left="1008" w:right="1152"/>
    </w:pPr>
    <w:rPr>
      <w:rFonts w:ascii="宋体" w:hAnsi="Calibri"/>
      <w:b/>
      <w:bCs/>
      <w:i/>
      <w:iCs/>
      <w:kern w:val="0"/>
      <w:sz w:val="24"/>
      <w:szCs w:val="24"/>
      <w:lang w:eastAsia="en-US" w:bidi="en-US"/>
    </w:rPr>
  </w:style>
  <w:style w:type="character" w:customStyle="1" w:styleId="116">
    <w:name w:val="question-title2"/>
    <w:qFormat/>
    <w:uiPriority w:val="0"/>
  </w:style>
  <w:style w:type="character" w:customStyle="1" w:styleId="117">
    <w:name w:val="tt21"/>
    <w:qFormat/>
    <w:uiPriority w:val="0"/>
    <w:rPr>
      <w:rFonts w:ascii="宋体" w:hAnsi="宋体"/>
      <w:b/>
      <w:bCs/>
      <w:sz w:val="32"/>
      <w:szCs w:val="18"/>
    </w:rPr>
  </w:style>
  <w:style w:type="character" w:customStyle="1" w:styleId="118">
    <w:name w:val="标题 6 字符"/>
    <w:qFormat/>
    <w:uiPriority w:val="9"/>
    <w:rPr>
      <w:rFonts w:ascii="等线 Light" w:hAnsi="等线 Light" w:eastAsia="等线 Light"/>
      <w:b/>
      <w:bCs/>
      <w:kern w:val="2"/>
      <w:sz w:val="24"/>
      <w:szCs w:val="24"/>
    </w:rPr>
  </w:style>
  <w:style w:type="character" w:customStyle="1" w:styleId="119">
    <w:name w:val="页脚 字符"/>
    <w:qFormat/>
    <w:uiPriority w:val="99"/>
    <w:rPr>
      <w:rFonts w:ascii="Times New Roman" w:hAnsi="Times New Roman"/>
      <w:kern w:val="2"/>
      <w:sz w:val="18"/>
      <w:szCs w:val="18"/>
    </w:rPr>
  </w:style>
  <w:style w:type="character" w:customStyle="1" w:styleId="120">
    <w:name w:val="样式5 Char"/>
    <w:link w:val="121"/>
    <w:qFormat/>
    <w:uiPriority w:val="0"/>
    <w:rPr>
      <w:rFonts w:ascii="Cambria" w:hAnsi="Cambria"/>
      <w:b/>
      <w:bCs/>
      <w:sz w:val="26"/>
      <w:szCs w:val="26"/>
      <w:lang w:eastAsia="en-US" w:bidi="en-US"/>
    </w:rPr>
  </w:style>
  <w:style w:type="paragraph" w:customStyle="1" w:styleId="121">
    <w:name w:val="样式5"/>
    <w:basedOn w:val="122"/>
    <w:link w:val="120"/>
    <w:qFormat/>
    <w:uiPriority w:val="0"/>
    <w:pPr>
      <w:numPr>
        <w:numId w:val="0"/>
      </w:numPr>
      <w:tabs>
        <w:tab w:val="left" w:pos="420"/>
      </w:tabs>
    </w:pPr>
  </w:style>
  <w:style w:type="paragraph" w:customStyle="1" w:styleId="122">
    <w:name w:val="样式4"/>
    <w:basedOn w:val="16"/>
    <w:link w:val="128"/>
    <w:qFormat/>
    <w:uiPriority w:val="0"/>
    <w:pPr>
      <w:widowControl/>
      <w:numPr>
        <w:ilvl w:val="0"/>
        <w:numId w:val="3"/>
      </w:numPr>
      <w:adjustRightInd/>
      <w:spacing w:before="200" w:line="276" w:lineRule="auto"/>
      <w:jc w:val="left"/>
      <w:textAlignment w:val="auto"/>
      <w:outlineLvl w:val="1"/>
    </w:pPr>
    <w:rPr>
      <w:rFonts w:ascii="Cambria" w:hAnsi="Cambria"/>
      <w:b/>
      <w:bCs/>
      <w:sz w:val="26"/>
      <w:szCs w:val="26"/>
      <w:lang w:eastAsia="en-US" w:bidi="en-US"/>
    </w:rPr>
  </w:style>
  <w:style w:type="character" w:customStyle="1" w:styleId="123">
    <w:name w:val="四级标题 Char"/>
    <w:link w:val="124"/>
    <w:qFormat/>
    <w:uiPriority w:val="0"/>
    <w:rPr>
      <w:rFonts w:ascii="Calibri" w:hAnsi="Calibri"/>
      <w:b/>
      <w:kern w:val="2"/>
      <w:sz w:val="24"/>
      <w:szCs w:val="22"/>
    </w:rPr>
  </w:style>
  <w:style w:type="paragraph" w:customStyle="1" w:styleId="124">
    <w:name w:val="四级标题"/>
    <w:basedOn w:val="1"/>
    <w:link w:val="123"/>
    <w:qFormat/>
    <w:uiPriority w:val="0"/>
    <w:pPr>
      <w:spacing w:line="360" w:lineRule="auto"/>
    </w:pPr>
    <w:rPr>
      <w:rFonts w:ascii="Calibri" w:hAnsi="Calibri"/>
      <w:b/>
      <w:sz w:val="24"/>
      <w:szCs w:val="22"/>
    </w:rPr>
  </w:style>
  <w:style w:type="character" w:customStyle="1" w:styleId="125">
    <w:name w:val="html_tag1"/>
    <w:qFormat/>
    <w:uiPriority w:val="0"/>
    <w:rPr>
      <w:color w:val="0000FF"/>
    </w:rPr>
  </w:style>
  <w:style w:type="character" w:customStyle="1" w:styleId="126">
    <w:name w:val="text4"/>
    <w:qFormat/>
    <w:uiPriority w:val="0"/>
  </w:style>
  <w:style w:type="character" w:customStyle="1" w:styleId="127">
    <w:name w:val="批注框文本 Char1"/>
    <w:qFormat/>
    <w:uiPriority w:val="99"/>
    <w:rPr>
      <w:kern w:val="2"/>
      <w:sz w:val="18"/>
      <w:szCs w:val="18"/>
    </w:rPr>
  </w:style>
  <w:style w:type="character" w:customStyle="1" w:styleId="128">
    <w:name w:val="样式4 Char"/>
    <w:link w:val="122"/>
    <w:qFormat/>
    <w:uiPriority w:val="0"/>
    <w:rPr>
      <w:rFonts w:ascii="Cambria" w:hAnsi="Cambria"/>
      <w:b/>
      <w:bCs/>
      <w:sz w:val="26"/>
      <w:szCs w:val="26"/>
      <w:lang w:eastAsia="en-US" w:bidi="en-US"/>
    </w:rPr>
  </w:style>
  <w:style w:type="character" w:customStyle="1" w:styleId="129">
    <w:name w:val="正文首行缩进 2 Char"/>
    <w:qFormat/>
    <w:uiPriority w:val="0"/>
    <w:rPr>
      <w:rFonts w:ascii="宋体" w:hAnsi="宋体"/>
      <w:kern w:val="2"/>
      <w:sz w:val="21"/>
    </w:rPr>
  </w:style>
  <w:style w:type="character" w:customStyle="1" w:styleId="130">
    <w:name w:val="正文 1 Char Char"/>
    <w:link w:val="131"/>
    <w:qFormat/>
    <w:uiPriority w:val="0"/>
    <w:rPr>
      <w:rFonts w:ascii="宋体" w:hAnsi="宋体"/>
      <w:color w:val="000000"/>
      <w:sz w:val="24"/>
      <w:szCs w:val="24"/>
    </w:rPr>
  </w:style>
  <w:style w:type="paragraph" w:customStyle="1" w:styleId="131">
    <w:name w:val="正文 1 Char"/>
    <w:basedOn w:val="1"/>
    <w:link w:val="130"/>
    <w:qFormat/>
    <w:uiPriority w:val="0"/>
    <w:pPr>
      <w:tabs>
        <w:tab w:val="left" w:pos="2540"/>
      </w:tabs>
      <w:snapToGrid w:val="0"/>
      <w:spacing w:before="80" w:after="80" w:line="360" w:lineRule="auto"/>
      <w:ind w:left="210" w:leftChars="100" w:right="210" w:rightChars="100"/>
    </w:pPr>
    <w:rPr>
      <w:rFonts w:ascii="宋体" w:hAnsi="宋体"/>
      <w:color w:val="000000"/>
      <w:kern w:val="0"/>
      <w:sz w:val="24"/>
      <w:szCs w:val="24"/>
    </w:rPr>
  </w:style>
  <w:style w:type="character" w:customStyle="1" w:styleId="132">
    <w:name w:val="明显强调1"/>
    <w:qFormat/>
    <w:uiPriority w:val="0"/>
    <w:rPr>
      <w:b/>
      <w:bCs/>
    </w:rPr>
  </w:style>
  <w:style w:type="character" w:customStyle="1" w:styleId="133">
    <w:name w:val="明显引用 Char1"/>
    <w:qFormat/>
    <w:uiPriority w:val="30"/>
    <w:rPr>
      <w:rFonts w:ascii="Times New Roman" w:hAnsi="Times New Roman" w:eastAsia="宋体" w:cs="Times New Roman"/>
      <w:b/>
      <w:bCs/>
      <w:i/>
      <w:iCs/>
      <w:color w:val="4F81BD"/>
      <w:szCs w:val="24"/>
    </w:rPr>
  </w:style>
  <w:style w:type="character" w:customStyle="1" w:styleId="134">
    <w:name w:val="title-061"/>
    <w:qFormat/>
    <w:uiPriority w:val="0"/>
    <w:rPr>
      <w:rFonts w:hint="default" w:ascii="Arial" w:hAnsi="Arial" w:cs="Arial"/>
      <w:b/>
      <w:bCs/>
      <w:color w:val="545CFF"/>
      <w:sz w:val="17"/>
      <w:szCs w:val="17"/>
    </w:rPr>
  </w:style>
  <w:style w:type="character" w:customStyle="1" w:styleId="135">
    <w:name w:val="标题 3.1 Char"/>
    <w:link w:val="136"/>
    <w:qFormat/>
    <w:locked/>
    <w:uiPriority w:val="0"/>
    <w:rPr>
      <w:rFonts w:ascii="宋体" w:hAnsi="宋体"/>
      <w:b/>
      <w:bCs/>
      <w:color w:val="000000"/>
      <w:kern w:val="2"/>
      <w:sz w:val="32"/>
      <w:szCs w:val="32"/>
    </w:rPr>
  </w:style>
  <w:style w:type="paragraph" w:customStyle="1" w:styleId="136">
    <w:name w:val="标题 3.1"/>
    <w:basedOn w:val="5"/>
    <w:link w:val="135"/>
    <w:qFormat/>
    <w:uiPriority w:val="0"/>
    <w:pPr>
      <w:tabs>
        <w:tab w:val="left" w:pos="1440"/>
        <w:tab w:val="left" w:pos="1620"/>
      </w:tabs>
      <w:adjustRightInd/>
      <w:spacing w:before="260" w:after="260" w:line="600" w:lineRule="exact"/>
      <w:jc w:val="both"/>
      <w:textAlignment w:val="auto"/>
    </w:pPr>
    <w:rPr>
      <w:rFonts w:ascii="宋体" w:hAnsi="宋体" w:eastAsia="宋体"/>
      <w:bCs/>
      <w:color w:val="000000"/>
      <w:sz w:val="32"/>
      <w:szCs w:val="32"/>
    </w:rPr>
  </w:style>
  <w:style w:type="character" w:customStyle="1" w:styleId="137">
    <w:name w:val="普通文字 Char Char1"/>
    <w:qFormat/>
    <w:uiPriority w:val="0"/>
    <w:rPr>
      <w:rFonts w:ascii="宋体" w:hAnsi="Courier New" w:cs="Courier New"/>
      <w:kern w:val="2"/>
      <w:sz w:val="21"/>
      <w:szCs w:val="21"/>
    </w:rPr>
  </w:style>
  <w:style w:type="character" w:customStyle="1" w:styleId="138">
    <w:name w:val="引用 Char"/>
    <w:qFormat/>
    <w:uiPriority w:val="29"/>
    <w:rPr>
      <w:rFonts w:ascii="宋体" w:hAnsi="Calibri"/>
      <w:i/>
      <w:iCs/>
      <w:sz w:val="24"/>
      <w:szCs w:val="24"/>
      <w:lang w:eastAsia="en-US" w:bidi="en-US"/>
    </w:rPr>
  </w:style>
  <w:style w:type="paragraph" w:styleId="139">
    <w:name w:val="Quote"/>
    <w:basedOn w:val="1"/>
    <w:next w:val="1"/>
    <w:link w:val="315"/>
    <w:qFormat/>
    <w:uiPriority w:val="29"/>
    <w:pPr>
      <w:widowControl/>
      <w:spacing w:before="200" w:line="276" w:lineRule="auto"/>
      <w:ind w:left="360" w:right="360"/>
      <w:jc w:val="left"/>
    </w:pPr>
    <w:rPr>
      <w:rFonts w:ascii="宋体" w:hAnsi="Calibri"/>
      <w:i/>
      <w:iCs/>
      <w:kern w:val="0"/>
      <w:sz w:val="24"/>
      <w:szCs w:val="24"/>
      <w:lang w:eastAsia="en-US" w:bidi="en-US"/>
    </w:rPr>
  </w:style>
  <w:style w:type="character" w:customStyle="1" w:styleId="140">
    <w:name w:val="font5 Char"/>
    <w:qFormat/>
    <w:uiPriority w:val="0"/>
    <w:rPr>
      <w:rFonts w:ascii="宋体" w:hAnsi="宋体" w:eastAsia="宋体"/>
      <w:sz w:val="28"/>
      <w:szCs w:val="28"/>
      <w:lang w:val="en-US" w:eastAsia="zh-CN" w:bidi="ar-SA"/>
    </w:rPr>
  </w:style>
  <w:style w:type="character" w:customStyle="1" w:styleId="141">
    <w:name w:val="样式 ssss + 宋体 五号1 Char"/>
    <w:link w:val="142"/>
    <w:qFormat/>
    <w:uiPriority w:val="0"/>
    <w:rPr>
      <w:rFonts w:ascii="宋体" w:hAnsi="宋体"/>
      <w:kern w:val="2"/>
      <w:sz w:val="24"/>
      <w:szCs w:val="24"/>
    </w:rPr>
  </w:style>
  <w:style w:type="paragraph" w:customStyle="1" w:styleId="142">
    <w:name w:val="样式 ssss + 宋体 五号1"/>
    <w:basedOn w:val="100"/>
    <w:link w:val="141"/>
    <w:qFormat/>
    <w:uiPriority w:val="0"/>
    <w:rPr>
      <w:rFonts w:ascii="宋体" w:hAnsi="宋体"/>
    </w:rPr>
  </w:style>
  <w:style w:type="character" w:customStyle="1" w:styleId="143">
    <w:name w:val="样式7 Char"/>
    <w:link w:val="144"/>
    <w:qFormat/>
    <w:uiPriority w:val="0"/>
    <w:rPr>
      <w:rFonts w:ascii="Cambria" w:hAnsi="Cambria"/>
      <w:b/>
      <w:bCs/>
      <w:sz w:val="24"/>
      <w:szCs w:val="24"/>
      <w:lang w:eastAsia="en-US" w:bidi="en-US"/>
    </w:rPr>
  </w:style>
  <w:style w:type="paragraph" w:customStyle="1" w:styleId="144">
    <w:name w:val="样式7"/>
    <w:basedOn w:val="5"/>
    <w:link w:val="143"/>
    <w:qFormat/>
    <w:uiPriority w:val="0"/>
    <w:pPr>
      <w:keepNext w:val="0"/>
      <w:keepLines w:val="0"/>
      <w:widowControl/>
      <w:numPr>
        <w:ilvl w:val="0"/>
        <w:numId w:val="4"/>
      </w:numPr>
      <w:adjustRightInd/>
      <w:spacing w:before="200" w:line="271" w:lineRule="auto"/>
      <w:textAlignment w:val="auto"/>
    </w:pPr>
    <w:rPr>
      <w:rFonts w:ascii="Cambria" w:hAnsi="Cambria" w:eastAsia="宋体"/>
      <w:bCs/>
      <w:kern w:val="0"/>
      <w:sz w:val="24"/>
      <w:szCs w:val="24"/>
      <w:lang w:eastAsia="en-US" w:bidi="en-US"/>
    </w:rPr>
  </w:style>
  <w:style w:type="character" w:customStyle="1" w:styleId="145">
    <w:name w:val="阴影"/>
    <w:qFormat/>
    <w:uiPriority w:val="0"/>
    <w:rPr>
      <w:color w:val="0000FF"/>
      <w:shd w:val="pct10" w:color="auto" w:fill="auto"/>
    </w:rPr>
  </w:style>
  <w:style w:type="character" w:customStyle="1" w:styleId="146">
    <w:name w:val="Char Char36"/>
    <w:qFormat/>
    <w:uiPriority w:val="0"/>
    <w:rPr>
      <w:rFonts w:eastAsia="宋体"/>
      <w:kern w:val="2"/>
      <w:sz w:val="24"/>
      <w:lang w:val="en-US" w:eastAsia="zh-CN" w:bidi="ar-SA"/>
    </w:rPr>
  </w:style>
  <w:style w:type="character" w:customStyle="1" w:styleId="147">
    <w:name w:val="nei_title1"/>
    <w:qFormat/>
    <w:uiPriority w:val="0"/>
    <w:rPr>
      <w:b/>
      <w:bCs/>
      <w:color w:val="CC0000"/>
    </w:rPr>
  </w:style>
  <w:style w:type="character" w:customStyle="1" w:styleId="148">
    <w:name w:val="apple-converted-space"/>
    <w:basedOn w:val="55"/>
    <w:qFormat/>
    <w:uiPriority w:val="0"/>
  </w:style>
  <w:style w:type="character" w:customStyle="1" w:styleId="149">
    <w:name w:val="font21"/>
    <w:qFormat/>
    <w:uiPriority w:val="0"/>
    <w:rPr>
      <w:rFonts w:hint="eastAsia" w:ascii="微软雅黑" w:hAnsi="微软雅黑" w:eastAsia="微软雅黑" w:cs="微软雅黑"/>
      <w:b/>
      <w:color w:val="FF0000"/>
      <w:sz w:val="16"/>
      <w:szCs w:val="16"/>
      <w:u w:val="none"/>
    </w:rPr>
  </w:style>
  <w:style w:type="character" w:customStyle="1" w:styleId="150">
    <w:name w:val="批注框文本 Char"/>
    <w:qFormat/>
    <w:uiPriority w:val="0"/>
    <w:rPr>
      <w:kern w:val="2"/>
      <w:sz w:val="18"/>
      <w:szCs w:val="18"/>
    </w:rPr>
  </w:style>
  <w:style w:type="character" w:customStyle="1" w:styleId="151">
    <w:name w:val="正文文本 2 Char"/>
    <w:qFormat/>
    <w:uiPriority w:val="0"/>
    <w:rPr>
      <w:rFonts w:ascii="楷体_GB2312" w:eastAsia="楷体_GB2312"/>
      <w:kern w:val="2"/>
      <w:sz w:val="28"/>
      <w:szCs w:val="28"/>
    </w:rPr>
  </w:style>
  <w:style w:type="character" w:customStyle="1" w:styleId="152">
    <w:name w:val="subheader1"/>
    <w:qFormat/>
    <w:uiPriority w:val="0"/>
    <w:rPr>
      <w:rFonts w:hint="default" w:ascii="Arial" w:hAnsi="Arial" w:cs="Arial"/>
      <w:b/>
      <w:bCs/>
      <w:color w:val="003366"/>
      <w:sz w:val="17"/>
      <w:szCs w:val="17"/>
    </w:rPr>
  </w:style>
  <w:style w:type="character" w:customStyle="1" w:styleId="153">
    <w:name w:val="正文标准 Char"/>
    <w:link w:val="154"/>
    <w:qFormat/>
    <w:uiPriority w:val="0"/>
    <w:rPr>
      <w:kern w:val="2"/>
      <w:sz w:val="24"/>
      <w:szCs w:val="21"/>
    </w:rPr>
  </w:style>
  <w:style w:type="paragraph" w:customStyle="1" w:styleId="154">
    <w:name w:val="正文标准"/>
    <w:basedOn w:val="1"/>
    <w:link w:val="153"/>
    <w:qFormat/>
    <w:uiPriority w:val="0"/>
    <w:pPr>
      <w:spacing w:line="360" w:lineRule="auto"/>
      <w:ind w:firstLine="200" w:firstLineChars="200"/>
    </w:pPr>
    <w:rPr>
      <w:sz w:val="24"/>
    </w:rPr>
  </w:style>
  <w:style w:type="character" w:customStyle="1" w:styleId="155">
    <w:name w:val="批注文字 Char"/>
    <w:qFormat/>
    <w:uiPriority w:val="0"/>
    <w:rPr>
      <w:kern w:val="2"/>
      <w:sz w:val="21"/>
      <w:szCs w:val="21"/>
    </w:rPr>
  </w:style>
  <w:style w:type="character" w:customStyle="1" w:styleId="156">
    <w:name w:val="正文文本缩进 3 Char"/>
    <w:qFormat/>
    <w:uiPriority w:val="0"/>
    <w:rPr>
      <w:rFonts w:ascii="Arial" w:hAnsi="Arial" w:eastAsia="仿宋_GB2312" w:cs="Arial"/>
      <w:color w:val="FFFF00"/>
      <w:kern w:val="2"/>
      <w:sz w:val="32"/>
      <w:szCs w:val="32"/>
    </w:rPr>
  </w:style>
  <w:style w:type="character" w:customStyle="1" w:styleId="157">
    <w:name w:val="列出段落 Char"/>
    <w:link w:val="158"/>
    <w:qFormat/>
    <w:locked/>
    <w:uiPriority w:val="34"/>
    <w:rPr>
      <w:rFonts w:ascii="Calibri" w:hAnsi="Calibri"/>
      <w:sz w:val="24"/>
      <w:szCs w:val="24"/>
      <w:lang w:eastAsia="en-US" w:bidi="en-US"/>
    </w:rPr>
  </w:style>
  <w:style w:type="paragraph" w:customStyle="1" w:styleId="158">
    <w:name w:val="列出段落11"/>
    <w:basedOn w:val="1"/>
    <w:link w:val="157"/>
    <w:qFormat/>
    <w:uiPriority w:val="34"/>
    <w:pPr>
      <w:widowControl/>
      <w:ind w:left="720"/>
      <w:contextualSpacing/>
      <w:jc w:val="left"/>
    </w:pPr>
    <w:rPr>
      <w:rFonts w:ascii="Calibri" w:hAnsi="Calibri"/>
      <w:kern w:val="0"/>
      <w:sz w:val="24"/>
      <w:szCs w:val="24"/>
      <w:lang w:eastAsia="en-US" w:bidi="en-US"/>
    </w:rPr>
  </w:style>
  <w:style w:type="character" w:customStyle="1" w:styleId="159">
    <w:name w:val="No Spacing Char"/>
    <w:link w:val="160"/>
    <w:qFormat/>
    <w:uiPriority w:val="0"/>
    <w:rPr>
      <w:rFonts w:ascii="Calibri" w:hAnsi="Calibri" w:eastAsia="Calibri"/>
      <w:sz w:val="22"/>
      <w:szCs w:val="22"/>
    </w:rPr>
  </w:style>
  <w:style w:type="paragraph" w:customStyle="1" w:styleId="160">
    <w:name w:val="No Spacing1"/>
    <w:basedOn w:val="1"/>
    <w:link w:val="159"/>
    <w:qFormat/>
    <w:uiPriority w:val="0"/>
    <w:pPr>
      <w:widowControl/>
      <w:jc w:val="left"/>
    </w:pPr>
    <w:rPr>
      <w:rFonts w:ascii="Calibri" w:hAnsi="Calibri" w:eastAsia="Calibri"/>
      <w:kern w:val="0"/>
      <w:sz w:val="22"/>
      <w:szCs w:val="22"/>
    </w:rPr>
  </w:style>
  <w:style w:type="character" w:customStyle="1" w:styleId="161">
    <w:name w:val="列表编号 Char"/>
    <w:link w:val="15"/>
    <w:qFormat/>
    <w:uiPriority w:val="0"/>
    <w:rPr>
      <w:rFonts w:ascii="宋体"/>
      <w:sz w:val="21"/>
      <w:szCs w:val="21"/>
    </w:rPr>
  </w:style>
  <w:style w:type="character" w:customStyle="1" w:styleId="162">
    <w:name w:val="样式1 Char Char"/>
    <w:qFormat/>
    <w:uiPriority w:val="0"/>
    <w:rPr>
      <w:rFonts w:ascii="宋体" w:hAnsi="宋体" w:eastAsia="宋体" w:cs="Times New Roman"/>
      <w:snapToGrid/>
      <w:kern w:val="2"/>
      <w:sz w:val="28"/>
      <w:szCs w:val="24"/>
    </w:rPr>
  </w:style>
  <w:style w:type="character" w:customStyle="1" w:styleId="163">
    <w:name w:val="Char Char34"/>
    <w:qFormat/>
    <w:uiPriority w:val="0"/>
    <w:rPr>
      <w:rFonts w:ascii="Calibri" w:eastAsia="宋体"/>
      <w:b/>
      <w:bCs/>
      <w:i/>
      <w:iCs/>
      <w:kern w:val="2"/>
      <w:sz w:val="26"/>
      <w:szCs w:val="26"/>
      <w:lang w:val="en-US" w:eastAsia="zh-CN" w:bidi="ar-SA"/>
    </w:rPr>
  </w:style>
  <w:style w:type="character" w:customStyle="1" w:styleId="164">
    <w:name w:val="不明显参考1"/>
    <w:qFormat/>
    <w:uiPriority w:val="31"/>
    <w:rPr>
      <w:smallCaps/>
    </w:rPr>
  </w:style>
  <w:style w:type="character" w:customStyle="1" w:styleId="165">
    <w:name w:val="zw1"/>
    <w:qFormat/>
    <w:uiPriority w:val="0"/>
    <w:rPr>
      <w:color w:val="000000"/>
      <w:sz w:val="20"/>
      <w:szCs w:val="20"/>
      <w:u w:val="none"/>
    </w:rPr>
  </w:style>
  <w:style w:type="character" w:customStyle="1" w:styleId="166">
    <w:name w:val="FA正文 Char"/>
    <w:link w:val="167"/>
    <w:qFormat/>
    <w:uiPriority w:val="0"/>
    <w:rPr>
      <w:rFonts w:ascii="宋体" w:hAnsi="宋体"/>
      <w:kern w:val="2"/>
      <w:sz w:val="28"/>
      <w:szCs w:val="28"/>
    </w:rPr>
  </w:style>
  <w:style w:type="paragraph" w:customStyle="1" w:styleId="167">
    <w:name w:val="FA正文"/>
    <w:basedOn w:val="1"/>
    <w:link w:val="166"/>
    <w:qFormat/>
    <w:uiPriority w:val="0"/>
    <w:pPr>
      <w:tabs>
        <w:tab w:val="left" w:pos="3375"/>
      </w:tabs>
      <w:spacing w:line="440" w:lineRule="atLeast"/>
      <w:ind w:firstLine="538" w:firstLineChars="192"/>
    </w:pPr>
    <w:rPr>
      <w:rFonts w:ascii="宋体" w:hAnsi="宋体"/>
      <w:sz w:val="28"/>
      <w:szCs w:val="28"/>
    </w:rPr>
  </w:style>
  <w:style w:type="character" w:customStyle="1" w:styleId="168">
    <w:name w:val="样式1 Char"/>
    <w:link w:val="169"/>
    <w:qFormat/>
    <w:uiPriority w:val="0"/>
    <w:rPr>
      <w:rFonts w:ascii="宋体" w:hAnsi="宋体"/>
      <w:sz w:val="21"/>
      <w:szCs w:val="21"/>
    </w:rPr>
  </w:style>
  <w:style w:type="paragraph" w:customStyle="1" w:styleId="169">
    <w:name w:val="样式1"/>
    <w:basedOn w:val="1"/>
    <w:link w:val="168"/>
    <w:qFormat/>
    <w:uiPriority w:val="0"/>
    <w:pPr>
      <w:numPr>
        <w:ilvl w:val="0"/>
        <w:numId w:val="5"/>
      </w:numPr>
      <w:adjustRightInd w:val="0"/>
      <w:textAlignment w:val="baseline"/>
    </w:pPr>
    <w:rPr>
      <w:rFonts w:ascii="宋体" w:hAnsi="宋体"/>
      <w:kern w:val="0"/>
    </w:rPr>
  </w:style>
  <w:style w:type="character" w:customStyle="1" w:styleId="170">
    <w:name w:val="Char Char35"/>
    <w:qFormat/>
    <w:uiPriority w:val="0"/>
    <w:rPr>
      <w:rFonts w:eastAsia="宋体"/>
      <w:kern w:val="2"/>
      <w:sz w:val="24"/>
      <w:lang w:val="en-US" w:eastAsia="zh-CN" w:bidi="ar-SA"/>
    </w:rPr>
  </w:style>
  <w:style w:type="character" w:customStyle="1" w:styleId="171">
    <w:name w:val="表格 Char Char"/>
    <w:link w:val="172"/>
    <w:qFormat/>
    <w:uiPriority w:val="0"/>
    <w:rPr>
      <w:rFonts w:ascii="Arial" w:hAnsi="Arial"/>
      <w:kern w:val="2"/>
      <w:sz w:val="24"/>
      <w:szCs w:val="24"/>
    </w:rPr>
  </w:style>
  <w:style w:type="paragraph" w:customStyle="1" w:styleId="172">
    <w:name w:val="表格"/>
    <w:basedOn w:val="1"/>
    <w:link w:val="171"/>
    <w:qFormat/>
    <w:uiPriority w:val="0"/>
    <w:rPr>
      <w:rFonts w:ascii="Arial" w:hAnsi="Arial"/>
      <w:sz w:val="24"/>
      <w:szCs w:val="24"/>
    </w:rPr>
  </w:style>
  <w:style w:type="character" w:customStyle="1" w:styleId="173">
    <w:name w:val="副标题 Char"/>
    <w:qFormat/>
    <w:uiPriority w:val="11"/>
    <w:rPr>
      <w:rFonts w:ascii="Cambria" w:hAnsi="Cambria"/>
      <w:i/>
      <w:iCs/>
      <w:spacing w:val="13"/>
      <w:sz w:val="24"/>
      <w:szCs w:val="24"/>
      <w:lang w:eastAsia="en-US" w:bidi="en-US"/>
    </w:rPr>
  </w:style>
  <w:style w:type="character" w:customStyle="1" w:styleId="174">
    <w:name w:val="Table Text Char2"/>
    <w:qFormat/>
    <w:uiPriority w:val="0"/>
    <w:rPr>
      <w:rFonts w:eastAsia="宋体"/>
      <w:b/>
      <w:bCs/>
      <w:sz w:val="21"/>
      <w:szCs w:val="24"/>
      <w:lang w:val="en-US" w:eastAsia="zh-CN" w:bidi="ar-SA"/>
    </w:rPr>
  </w:style>
  <w:style w:type="character" w:customStyle="1" w:styleId="175">
    <w:name w:val="不明显强调1"/>
    <w:qFormat/>
    <w:uiPriority w:val="19"/>
    <w:rPr>
      <w:i/>
      <w:iCs/>
    </w:rPr>
  </w:style>
  <w:style w:type="character" w:customStyle="1" w:styleId="176">
    <w:name w:val="标题3 Char Char"/>
    <w:link w:val="177"/>
    <w:qFormat/>
    <w:uiPriority w:val="0"/>
    <w:rPr>
      <w:rFonts w:ascii="宋体" w:hAnsi="宋体"/>
      <w:b/>
      <w:bCs/>
      <w:kern w:val="2"/>
      <w:sz w:val="28"/>
      <w:szCs w:val="28"/>
    </w:rPr>
  </w:style>
  <w:style w:type="paragraph" w:customStyle="1" w:styleId="177">
    <w:name w:val="标题3 Char"/>
    <w:basedOn w:val="5"/>
    <w:link w:val="176"/>
    <w:qFormat/>
    <w:uiPriority w:val="0"/>
    <w:pPr>
      <w:adjustRightInd/>
      <w:spacing w:before="260" w:after="260" w:line="416" w:lineRule="auto"/>
      <w:jc w:val="both"/>
      <w:textAlignment w:val="auto"/>
    </w:pPr>
    <w:rPr>
      <w:rFonts w:ascii="宋体" w:hAnsi="宋体" w:eastAsia="宋体"/>
      <w:bCs/>
      <w:sz w:val="28"/>
      <w:szCs w:val="28"/>
    </w:rPr>
  </w:style>
  <w:style w:type="character" w:customStyle="1" w:styleId="178">
    <w:name w:val="正文文本缩进 Char"/>
    <w:qFormat/>
    <w:locked/>
    <w:uiPriority w:val="0"/>
    <w:rPr>
      <w:rFonts w:ascii="楷体_GB2312" w:eastAsia="楷体_GB2312"/>
      <w:kern w:val="2"/>
      <w:sz w:val="32"/>
      <w:szCs w:val="32"/>
    </w:rPr>
  </w:style>
  <w:style w:type="character" w:customStyle="1" w:styleId="179">
    <w:name w:val="一级标题 Char"/>
    <w:link w:val="180"/>
    <w:qFormat/>
    <w:uiPriority w:val="0"/>
    <w:rPr>
      <w:b/>
      <w:bCs/>
      <w:kern w:val="44"/>
      <w:sz w:val="32"/>
      <w:szCs w:val="44"/>
    </w:rPr>
  </w:style>
  <w:style w:type="paragraph" w:customStyle="1" w:styleId="180">
    <w:name w:val="一级标题"/>
    <w:basedOn w:val="3"/>
    <w:link w:val="179"/>
    <w:qFormat/>
    <w:uiPriority w:val="0"/>
    <w:pPr>
      <w:spacing w:beforeLines="50" w:after="0" w:line="360" w:lineRule="atLeast"/>
    </w:pPr>
    <w:rPr>
      <w:rFonts w:eastAsia="宋体"/>
      <w:bCs/>
      <w:sz w:val="32"/>
      <w:szCs w:val="44"/>
    </w:rPr>
  </w:style>
  <w:style w:type="character" w:customStyle="1" w:styleId="181">
    <w:name w:val="正文文本 Char1"/>
    <w:semiHidden/>
    <w:qFormat/>
    <w:uiPriority w:val="99"/>
    <w:rPr>
      <w:rFonts w:ascii="Times New Roman" w:hAnsi="Times New Roman" w:eastAsia="宋体" w:cs="Times New Roman"/>
      <w:szCs w:val="24"/>
    </w:rPr>
  </w:style>
  <w:style w:type="character" w:customStyle="1" w:styleId="182">
    <w:name w:val="正文（绿盟科技） Char"/>
    <w:link w:val="183"/>
    <w:qFormat/>
    <w:uiPriority w:val="0"/>
    <w:rPr>
      <w:rFonts w:ascii="Arial" w:hAnsi="Arial"/>
      <w:sz w:val="21"/>
      <w:szCs w:val="21"/>
    </w:rPr>
  </w:style>
  <w:style w:type="paragraph" w:customStyle="1" w:styleId="183">
    <w:name w:val="正文（绿盟科技）"/>
    <w:link w:val="182"/>
    <w:qFormat/>
    <w:uiPriority w:val="0"/>
    <w:pPr>
      <w:spacing w:line="300" w:lineRule="auto"/>
    </w:pPr>
    <w:rPr>
      <w:rFonts w:ascii="Arial" w:hAnsi="Arial" w:eastAsia="宋体" w:cs="Times New Roman"/>
      <w:sz w:val="21"/>
      <w:szCs w:val="21"/>
      <w:lang w:val="en-US" w:eastAsia="zh-CN" w:bidi="ar-SA"/>
    </w:rPr>
  </w:style>
  <w:style w:type="character" w:customStyle="1" w:styleId="184">
    <w:name w:val="A7"/>
    <w:unhideWhenUsed/>
    <w:qFormat/>
    <w:uiPriority w:val="99"/>
    <w:rPr>
      <w:rFonts w:hint="eastAsia" w:ascii="Museo Sans For Dell" w:hAnsi="Museo Sans For Dell" w:eastAsia="Museo Sans For Dell"/>
      <w:color w:val="221E1F"/>
      <w:sz w:val="16"/>
    </w:rPr>
  </w:style>
  <w:style w:type="character" w:customStyle="1" w:styleId="185">
    <w:name w:val="html_txt1"/>
    <w:qFormat/>
    <w:uiPriority w:val="0"/>
    <w:rPr>
      <w:color w:val="000000"/>
    </w:rPr>
  </w:style>
  <w:style w:type="character" w:customStyle="1" w:styleId="186">
    <w:name w:val="word141"/>
    <w:qFormat/>
    <w:uiPriority w:val="0"/>
    <w:rPr>
      <w:color w:val="0066CC"/>
      <w:sz w:val="20"/>
      <w:szCs w:val="20"/>
    </w:rPr>
  </w:style>
  <w:style w:type="character" w:customStyle="1" w:styleId="187">
    <w:name w:val="正文首行缩进 Char"/>
    <w:qFormat/>
    <w:uiPriority w:val="0"/>
    <w:rPr>
      <w:rFonts w:ascii="仿宋_GB2312" w:eastAsia="仿宋_GB2312"/>
      <w:kern w:val="2"/>
      <w:sz w:val="30"/>
      <w:szCs w:val="30"/>
    </w:rPr>
  </w:style>
  <w:style w:type="character" w:customStyle="1" w:styleId="188">
    <w:name w:val="文档结构图 Char"/>
    <w:qFormat/>
    <w:uiPriority w:val="0"/>
    <w:rPr>
      <w:kern w:val="2"/>
      <w:sz w:val="21"/>
      <w:szCs w:val="21"/>
      <w:shd w:val="clear" w:color="auto" w:fill="000080"/>
    </w:rPr>
  </w:style>
  <w:style w:type="character" w:customStyle="1" w:styleId="189">
    <w:name w:val="walkinnet"/>
    <w:qFormat/>
    <w:uiPriority w:val="0"/>
    <w:rPr>
      <w:color w:val="000000"/>
    </w:rPr>
  </w:style>
  <w:style w:type="character" w:customStyle="1" w:styleId="190">
    <w:name w:val="正文首行缩进 Char Char Char Char Char Char Char Char Char Char Char Char Char Char Char Char Char Char Char Char Char Char Char"/>
    <w:qFormat/>
    <w:uiPriority w:val="0"/>
    <w:rPr>
      <w:rFonts w:ascii="Arial" w:hAnsi="Arial" w:eastAsia="宋体" w:cs="Arial"/>
      <w:sz w:val="21"/>
      <w:szCs w:val="21"/>
      <w:lang w:val="en-US" w:eastAsia="zh-CN" w:bidi="ar-SA"/>
    </w:rPr>
  </w:style>
  <w:style w:type="character" w:customStyle="1" w:styleId="191">
    <w:name w:val="样式6 Char"/>
    <w:link w:val="192"/>
    <w:qFormat/>
    <w:uiPriority w:val="0"/>
    <w:rPr>
      <w:rFonts w:ascii="Cambria" w:hAnsi="Cambria"/>
      <w:b/>
      <w:bCs/>
      <w:sz w:val="26"/>
      <w:szCs w:val="26"/>
      <w:lang w:eastAsia="en-US" w:bidi="en-US"/>
    </w:rPr>
  </w:style>
  <w:style w:type="paragraph" w:customStyle="1" w:styleId="192">
    <w:name w:val="样式6"/>
    <w:basedOn w:val="121"/>
    <w:link w:val="191"/>
    <w:qFormat/>
    <w:uiPriority w:val="0"/>
  </w:style>
  <w:style w:type="character" w:customStyle="1" w:styleId="193">
    <w:name w:val="正文文本 Char"/>
    <w:qFormat/>
    <w:uiPriority w:val="99"/>
    <w:rPr>
      <w:rFonts w:ascii="楷体_GB2312" w:hAnsi="Arial" w:eastAsia="楷体_GB2312"/>
      <w:kern w:val="2"/>
      <w:sz w:val="28"/>
      <w:szCs w:val="28"/>
    </w:rPr>
  </w:style>
  <w:style w:type="character" w:customStyle="1" w:styleId="194">
    <w:name w:val="文档结构图 Char1"/>
    <w:qFormat/>
    <w:uiPriority w:val="99"/>
    <w:rPr>
      <w:rFonts w:ascii="宋体"/>
      <w:kern w:val="2"/>
      <w:sz w:val="18"/>
      <w:szCs w:val="18"/>
    </w:rPr>
  </w:style>
  <w:style w:type="character" w:customStyle="1" w:styleId="195">
    <w:name w:val="页脚 Char1"/>
    <w:semiHidden/>
    <w:qFormat/>
    <w:uiPriority w:val="99"/>
    <w:rPr>
      <w:rFonts w:ascii="Times New Roman" w:hAnsi="Times New Roman" w:eastAsia="宋体" w:cs="Times New Roman"/>
      <w:sz w:val="18"/>
      <w:szCs w:val="18"/>
    </w:rPr>
  </w:style>
  <w:style w:type="character" w:customStyle="1" w:styleId="196">
    <w:name w:val="unnamed1"/>
    <w:qFormat/>
    <w:uiPriority w:val="0"/>
  </w:style>
  <w:style w:type="character" w:customStyle="1" w:styleId="197">
    <w:name w:val="style3"/>
    <w:qFormat/>
    <w:uiPriority w:val="0"/>
  </w:style>
  <w:style w:type="character" w:customStyle="1" w:styleId="198">
    <w:name w:val="Char Char12"/>
    <w:qFormat/>
    <w:uiPriority w:val="0"/>
    <w:rPr>
      <w:rFonts w:ascii="Times New Roman" w:hAnsi="Times New Roman"/>
      <w:b/>
      <w:bCs/>
      <w:iCs/>
      <w:sz w:val="24"/>
      <w:szCs w:val="28"/>
      <w:lang w:eastAsia="zh-CN"/>
    </w:rPr>
  </w:style>
  <w:style w:type="character" w:customStyle="1" w:styleId="199">
    <w:name w:val="页眉 字符"/>
    <w:qFormat/>
    <w:uiPriority w:val="99"/>
    <w:rPr>
      <w:rFonts w:ascii="Times New Roman" w:hAnsi="Times New Roman"/>
      <w:kern w:val="2"/>
      <w:sz w:val="18"/>
      <w:szCs w:val="18"/>
    </w:rPr>
  </w:style>
  <w:style w:type="character" w:customStyle="1" w:styleId="200">
    <w:name w:val="apple-style-span"/>
    <w:basedOn w:val="55"/>
    <w:qFormat/>
    <w:uiPriority w:val="0"/>
  </w:style>
  <w:style w:type="character" w:customStyle="1" w:styleId="201">
    <w:name w:val="about1"/>
    <w:qFormat/>
    <w:uiPriority w:val="0"/>
    <w:rPr>
      <w:rFonts w:hint="default" w:ascii="ˎ̥" w:hAnsi="ˎ̥"/>
      <w:sz w:val="18"/>
      <w:szCs w:val="18"/>
    </w:rPr>
  </w:style>
  <w:style w:type="character" w:customStyle="1" w:styleId="202">
    <w:name w:val="三级标题 Char"/>
    <w:link w:val="203"/>
    <w:qFormat/>
    <w:uiPriority w:val="0"/>
    <w:rPr>
      <w:rFonts w:ascii="Calibri" w:hAnsi="Calibri"/>
      <w:b/>
      <w:kern w:val="2"/>
      <w:sz w:val="24"/>
      <w:szCs w:val="22"/>
    </w:rPr>
  </w:style>
  <w:style w:type="paragraph" w:customStyle="1" w:styleId="203">
    <w:name w:val="三级标题"/>
    <w:basedOn w:val="1"/>
    <w:link w:val="202"/>
    <w:qFormat/>
    <w:uiPriority w:val="0"/>
    <w:pPr>
      <w:spacing w:line="360" w:lineRule="auto"/>
    </w:pPr>
    <w:rPr>
      <w:rFonts w:ascii="Calibri" w:hAnsi="Calibri"/>
      <w:b/>
      <w:sz w:val="24"/>
      <w:szCs w:val="22"/>
    </w:rPr>
  </w:style>
  <w:style w:type="character" w:customStyle="1" w:styleId="204">
    <w:name w:val="正文文本缩进 2 Char"/>
    <w:qFormat/>
    <w:uiPriority w:val="0"/>
    <w:rPr>
      <w:rFonts w:ascii="Arial" w:hAnsi="Arial" w:eastAsia="仿宋_GB2312" w:cs="Arial"/>
      <w:kern w:val="2"/>
      <w:sz w:val="32"/>
      <w:szCs w:val="32"/>
    </w:rPr>
  </w:style>
  <w:style w:type="character" w:customStyle="1" w:styleId="205">
    <w:name w:val="表身 Char Char"/>
    <w:link w:val="206"/>
    <w:qFormat/>
    <w:uiPriority w:val="0"/>
    <w:rPr>
      <w:sz w:val="18"/>
    </w:rPr>
  </w:style>
  <w:style w:type="paragraph" w:customStyle="1" w:styleId="206">
    <w:name w:val="表身 Char"/>
    <w:link w:val="205"/>
    <w:qFormat/>
    <w:uiPriority w:val="0"/>
    <w:pPr>
      <w:keepNext/>
      <w:spacing w:before="60" w:after="60" w:line="300" w:lineRule="auto"/>
      <w:jc w:val="both"/>
      <w:textAlignment w:val="center"/>
    </w:pPr>
    <w:rPr>
      <w:rFonts w:ascii="Times New Roman" w:hAnsi="Times New Roman" w:eastAsia="宋体" w:cs="Times New Roman"/>
      <w:sz w:val="18"/>
      <w:lang w:val="en-US" w:eastAsia="zh-CN" w:bidi="ar-SA"/>
    </w:rPr>
  </w:style>
  <w:style w:type="character" w:customStyle="1" w:styleId="207">
    <w:name w:val="style2611"/>
    <w:qFormat/>
    <w:uiPriority w:val="0"/>
    <w:rPr>
      <w:sz w:val="18"/>
      <w:szCs w:val="18"/>
    </w:rPr>
  </w:style>
  <w:style w:type="character" w:customStyle="1" w:styleId="208">
    <w:name w:val="样式2 Char"/>
    <w:link w:val="209"/>
    <w:qFormat/>
    <w:uiPriority w:val="0"/>
    <w:rPr>
      <w:rFonts w:eastAsia="楷体"/>
      <w:b/>
      <w:kern w:val="2"/>
      <w:sz w:val="28"/>
      <w:szCs w:val="28"/>
    </w:rPr>
  </w:style>
  <w:style w:type="paragraph" w:customStyle="1" w:styleId="209">
    <w:name w:val="样式2"/>
    <w:basedOn w:val="8"/>
    <w:link w:val="208"/>
    <w:qFormat/>
    <w:uiPriority w:val="0"/>
    <w:pPr>
      <w:keepLines w:val="0"/>
      <w:spacing w:after="240" w:line="240" w:lineRule="auto"/>
      <w:jc w:val="left"/>
    </w:pPr>
    <w:rPr>
      <w:rFonts w:ascii="Times New Roman" w:hAnsi="Times New Roman" w:eastAsia="楷体"/>
      <w:bCs w:val="0"/>
      <w:sz w:val="28"/>
      <w:szCs w:val="28"/>
    </w:rPr>
  </w:style>
  <w:style w:type="character" w:customStyle="1" w:styleId="210">
    <w:name w:val="v151"/>
    <w:qFormat/>
    <w:uiPriority w:val="0"/>
    <w:rPr>
      <w:sz w:val="18"/>
      <w:szCs w:val="18"/>
    </w:rPr>
  </w:style>
  <w:style w:type="character" w:customStyle="1" w:styleId="211">
    <w:name w:val="font"/>
    <w:qFormat/>
    <w:uiPriority w:val="0"/>
  </w:style>
  <w:style w:type="character" w:customStyle="1" w:styleId="212">
    <w:name w:val="副标题 Char1"/>
    <w:qFormat/>
    <w:uiPriority w:val="0"/>
    <w:rPr>
      <w:rFonts w:ascii="Cambria" w:hAnsi="Cambria" w:cs="Times New Roman"/>
      <w:b/>
      <w:bCs/>
      <w:kern w:val="28"/>
      <w:sz w:val="32"/>
      <w:szCs w:val="32"/>
    </w:rPr>
  </w:style>
  <w:style w:type="character" w:customStyle="1" w:styleId="213">
    <w:name w:val="明显引用 Char2"/>
    <w:qFormat/>
    <w:uiPriority w:val="30"/>
    <w:rPr>
      <w:b/>
      <w:bCs/>
      <w:i/>
      <w:iCs/>
      <w:color w:val="4F81BD"/>
      <w:kern w:val="2"/>
      <w:sz w:val="21"/>
      <w:szCs w:val="21"/>
    </w:rPr>
  </w:style>
  <w:style w:type="character" w:customStyle="1" w:styleId="214">
    <w:name w:val="引用 Char1"/>
    <w:qFormat/>
    <w:uiPriority w:val="29"/>
    <w:rPr>
      <w:i/>
      <w:iCs/>
      <w:color w:val="000000"/>
      <w:kern w:val="2"/>
      <w:sz w:val="21"/>
      <w:szCs w:val="21"/>
    </w:rPr>
  </w:style>
  <w:style w:type="character" w:customStyle="1" w:styleId="215">
    <w:name w:val="批注框文本 Char2"/>
    <w:basedOn w:val="55"/>
    <w:link w:val="34"/>
    <w:semiHidden/>
    <w:qFormat/>
    <w:uiPriority w:val="99"/>
    <w:rPr>
      <w:kern w:val="2"/>
      <w:sz w:val="18"/>
      <w:szCs w:val="18"/>
    </w:rPr>
  </w:style>
  <w:style w:type="character" w:customStyle="1" w:styleId="216">
    <w:name w:val="批注文字 Char1"/>
    <w:basedOn w:val="55"/>
    <w:link w:val="21"/>
    <w:semiHidden/>
    <w:qFormat/>
    <w:uiPriority w:val="99"/>
    <w:rPr>
      <w:kern w:val="2"/>
      <w:sz w:val="21"/>
      <w:szCs w:val="21"/>
    </w:rPr>
  </w:style>
  <w:style w:type="character" w:customStyle="1" w:styleId="217">
    <w:name w:val="批注主题 Char1"/>
    <w:basedOn w:val="216"/>
    <w:link w:val="50"/>
    <w:semiHidden/>
    <w:qFormat/>
    <w:uiPriority w:val="99"/>
    <w:rPr>
      <w:b/>
      <w:bCs/>
      <w:kern w:val="2"/>
      <w:sz w:val="21"/>
      <w:szCs w:val="21"/>
    </w:rPr>
  </w:style>
  <w:style w:type="character" w:customStyle="1" w:styleId="218">
    <w:name w:val="正文文本缩进 3 Char1"/>
    <w:basedOn w:val="55"/>
    <w:link w:val="42"/>
    <w:semiHidden/>
    <w:qFormat/>
    <w:uiPriority w:val="99"/>
    <w:rPr>
      <w:kern w:val="2"/>
      <w:sz w:val="16"/>
      <w:szCs w:val="16"/>
    </w:rPr>
  </w:style>
  <w:style w:type="character" w:customStyle="1" w:styleId="219">
    <w:name w:val="正文文本 Char2"/>
    <w:basedOn w:val="55"/>
    <w:link w:val="2"/>
    <w:semiHidden/>
    <w:qFormat/>
    <w:uiPriority w:val="99"/>
    <w:rPr>
      <w:kern w:val="2"/>
      <w:sz w:val="21"/>
      <w:szCs w:val="21"/>
    </w:rPr>
  </w:style>
  <w:style w:type="character" w:customStyle="1" w:styleId="220">
    <w:name w:val="文档结构图 Char2"/>
    <w:basedOn w:val="55"/>
    <w:link w:val="19"/>
    <w:semiHidden/>
    <w:qFormat/>
    <w:uiPriority w:val="99"/>
    <w:rPr>
      <w:rFonts w:ascii="宋体"/>
      <w:kern w:val="2"/>
      <w:sz w:val="18"/>
      <w:szCs w:val="18"/>
    </w:rPr>
  </w:style>
  <w:style w:type="character" w:customStyle="1" w:styleId="221">
    <w:name w:val="日期 Char1"/>
    <w:basedOn w:val="55"/>
    <w:link w:val="32"/>
    <w:semiHidden/>
    <w:qFormat/>
    <w:uiPriority w:val="99"/>
    <w:rPr>
      <w:kern w:val="2"/>
      <w:sz w:val="21"/>
      <w:szCs w:val="21"/>
    </w:rPr>
  </w:style>
  <w:style w:type="character" w:customStyle="1" w:styleId="222">
    <w:name w:val="正文文本缩进 Char1"/>
    <w:basedOn w:val="55"/>
    <w:link w:val="23"/>
    <w:semiHidden/>
    <w:qFormat/>
    <w:uiPriority w:val="99"/>
    <w:rPr>
      <w:kern w:val="2"/>
      <w:sz w:val="21"/>
      <w:szCs w:val="21"/>
    </w:rPr>
  </w:style>
  <w:style w:type="character" w:customStyle="1" w:styleId="223">
    <w:name w:val="正文首行缩进 2 Char1"/>
    <w:basedOn w:val="222"/>
    <w:link w:val="52"/>
    <w:semiHidden/>
    <w:qFormat/>
    <w:uiPriority w:val="99"/>
    <w:rPr>
      <w:kern w:val="2"/>
      <w:sz w:val="21"/>
      <w:szCs w:val="21"/>
    </w:rPr>
  </w:style>
  <w:style w:type="character" w:customStyle="1" w:styleId="224">
    <w:name w:val="纯文本 Char1"/>
    <w:basedOn w:val="55"/>
    <w:link w:val="225"/>
    <w:qFormat/>
    <w:uiPriority w:val="0"/>
    <w:rPr>
      <w:rFonts w:ascii="宋体" w:hAnsi="Courier New" w:cs="Courier New"/>
      <w:kern w:val="2"/>
      <w:sz w:val="21"/>
      <w:szCs w:val="21"/>
    </w:rPr>
  </w:style>
  <w:style w:type="paragraph" w:customStyle="1" w:styleId="225">
    <w:name w:val="纯文本1"/>
    <w:basedOn w:val="1"/>
    <w:link w:val="224"/>
    <w:qFormat/>
    <w:uiPriority w:val="0"/>
    <w:rPr>
      <w:rFonts w:ascii="宋体" w:hAnsi="Courier New" w:cs="Courier New"/>
    </w:rPr>
  </w:style>
  <w:style w:type="character" w:customStyle="1" w:styleId="226">
    <w:name w:val="正文首行缩进 Char1"/>
    <w:basedOn w:val="219"/>
    <w:link w:val="51"/>
    <w:semiHidden/>
    <w:qFormat/>
    <w:uiPriority w:val="99"/>
    <w:rPr>
      <w:kern w:val="2"/>
      <w:sz w:val="21"/>
      <w:szCs w:val="21"/>
    </w:rPr>
  </w:style>
  <w:style w:type="character" w:customStyle="1" w:styleId="227">
    <w:name w:val="正文文本 2 Char1"/>
    <w:basedOn w:val="55"/>
    <w:link w:val="46"/>
    <w:semiHidden/>
    <w:qFormat/>
    <w:uiPriority w:val="99"/>
    <w:rPr>
      <w:kern w:val="2"/>
      <w:sz w:val="21"/>
      <w:szCs w:val="21"/>
    </w:rPr>
  </w:style>
  <w:style w:type="character" w:customStyle="1" w:styleId="228">
    <w:name w:val="副标题 Char2"/>
    <w:basedOn w:val="55"/>
    <w:link w:val="39"/>
    <w:qFormat/>
    <w:uiPriority w:val="0"/>
    <w:rPr>
      <w:rFonts w:asciiTheme="majorHAnsi" w:hAnsiTheme="majorHAnsi" w:cstheme="majorBidi"/>
      <w:b/>
      <w:bCs/>
      <w:kern w:val="28"/>
      <w:sz w:val="32"/>
      <w:szCs w:val="32"/>
    </w:rPr>
  </w:style>
  <w:style w:type="character" w:customStyle="1" w:styleId="229">
    <w:name w:val="正文文本缩进 2 Char2"/>
    <w:basedOn w:val="55"/>
    <w:link w:val="33"/>
    <w:semiHidden/>
    <w:qFormat/>
    <w:uiPriority w:val="99"/>
    <w:rPr>
      <w:kern w:val="2"/>
      <w:sz w:val="21"/>
      <w:szCs w:val="21"/>
    </w:rPr>
  </w:style>
  <w:style w:type="character" w:customStyle="1" w:styleId="230">
    <w:name w:val="正文文本 3 Char"/>
    <w:basedOn w:val="55"/>
    <w:link w:val="22"/>
    <w:qFormat/>
    <w:uiPriority w:val="0"/>
    <w:rPr>
      <w:rFonts w:ascii="仿宋_GB2312" w:hAnsi="Arial" w:eastAsia="仿宋_GB2312"/>
      <w:kern w:val="2"/>
      <w:sz w:val="32"/>
      <w:szCs w:val="32"/>
    </w:rPr>
  </w:style>
  <w:style w:type="paragraph" w:customStyle="1" w:styleId="231">
    <w:name w:val="标题1"/>
    <w:basedOn w:val="1"/>
    <w:next w:val="1"/>
    <w:qFormat/>
    <w:uiPriority w:val="0"/>
    <w:pPr>
      <w:tabs>
        <w:tab w:val="left" w:pos="9193"/>
        <w:tab w:val="left" w:pos="9827"/>
      </w:tabs>
      <w:autoSpaceDE w:val="0"/>
      <w:autoSpaceDN w:val="0"/>
      <w:snapToGrid w:val="0"/>
      <w:spacing w:line="700" w:lineRule="atLeast"/>
      <w:jc w:val="center"/>
    </w:pPr>
    <w:rPr>
      <w:rFonts w:ascii="方正小标宋_GBK" w:eastAsia="方正小标宋_GBK"/>
      <w:snapToGrid w:val="0"/>
      <w:kern w:val="0"/>
      <w:sz w:val="44"/>
      <w:szCs w:val="20"/>
    </w:rPr>
  </w:style>
  <w:style w:type="paragraph" w:customStyle="1" w:styleId="232">
    <w:name w:val="xl13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233">
    <w:name w:val="列表内容"/>
    <w:basedOn w:val="1"/>
    <w:next w:val="1"/>
    <w:qFormat/>
    <w:uiPriority w:val="0"/>
    <w:pPr>
      <w:widowControl/>
      <w:tabs>
        <w:tab w:val="left" w:pos="900"/>
      </w:tabs>
      <w:ind w:left="900" w:hanging="420"/>
      <w:jc w:val="left"/>
    </w:pPr>
    <w:rPr>
      <w:kern w:val="0"/>
      <w:sz w:val="18"/>
      <w:szCs w:val="24"/>
    </w:rPr>
  </w:style>
  <w:style w:type="paragraph" w:customStyle="1" w:styleId="234">
    <w:name w:val="Char Char 字元 字元 字元 Char Char Char Char"/>
    <w:basedOn w:val="1"/>
    <w:qFormat/>
    <w:uiPriority w:val="0"/>
    <w:pPr>
      <w:adjustRightInd w:val="0"/>
      <w:spacing w:line="360" w:lineRule="auto"/>
    </w:pPr>
    <w:rPr>
      <w:kern w:val="0"/>
      <w:sz w:val="24"/>
      <w:szCs w:val="20"/>
    </w:rPr>
  </w:style>
  <w:style w:type="paragraph" w:customStyle="1" w:styleId="235">
    <w:name w:val="Char Char2 Char Char Char Char"/>
    <w:basedOn w:val="1"/>
    <w:qFormat/>
    <w:uiPriority w:val="0"/>
    <w:rPr>
      <w:rFonts w:ascii="Tahoma" w:hAnsi="Tahoma"/>
      <w:sz w:val="24"/>
      <w:szCs w:val="20"/>
    </w:rPr>
  </w:style>
  <w:style w:type="paragraph" w:customStyle="1" w:styleId="236">
    <w:name w:val="_Style 8"/>
    <w:basedOn w:val="1"/>
    <w:qFormat/>
    <w:uiPriority w:val="0"/>
    <w:rPr>
      <w:sz w:val="24"/>
      <w:szCs w:val="20"/>
    </w:rPr>
  </w:style>
  <w:style w:type="paragraph" w:customStyle="1" w:styleId="237">
    <w:name w:val="普通 (Web)"/>
    <w:basedOn w:val="1"/>
    <w:qFormat/>
    <w:uiPriority w:val="0"/>
    <w:pPr>
      <w:widowControl/>
      <w:spacing w:before="100" w:beforeAutospacing="1" w:after="100" w:afterAutospacing="1"/>
      <w:jc w:val="left"/>
    </w:pPr>
    <w:rPr>
      <w:rFonts w:ascii="宋体" w:hAnsi="宋体"/>
      <w:kern w:val="0"/>
      <w:sz w:val="24"/>
      <w:szCs w:val="24"/>
    </w:rPr>
  </w:style>
  <w:style w:type="paragraph" w:customStyle="1" w:styleId="238">
    <w:name w:val="xl10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kern w:val="0"/>
      <w:sz w:val="22"/>
      <w:szCs w:val="22"/>
    </w:rPr>
  </w:style>
  <w:style w:type="paragraph" w:customStyle="1" w:styleId="239">
    <w:name w:val="TextStyle1_Stibo_Grayed"/>
    <w:basedOn w:val="1"/>
    <w:qFormat/>
    <w:uiPriority w:val="0"/>
    <w:pPr>
      <w:widowControl/>
      <w:jc w:val="left"/>
    </w:pPr>
    <w:rPr>
      <w:rFonts w:ascii="Helvetica" w:hAnsi="Helvetica"/>
      <w:color w:val="999999"/>
      <w:kern w:val="0"/>
      <w:sz w:val="20"/>
      <w:szCs w:val="24"/>
      <w:lang w:eastAsia="en-US"/>
    </w:rPr>
  </w:style>
  <w:style w:type="paragraph" w:customStyle="1" w:styleId="240">
    <w:name w:val="标题3"/>
    <w:basedOn w:val="1"/>
    <w:next w:val="1"/>
    <w:qFormat/>
    <w:uiPriority w:val="0"/>
    <w:pPr>
      <w:autoSpaceDE w:val="0"/>
      <w:autoSpaceDN w:val="0"/>
      <w:snapToGrid w:val="0"/>
      <w:spacing w:line="590" w:lineRule="atLeast"/>
      <w:ind w:firstLine="624"/>
    </w:pPr>
    <w:rPr>
      <w:rFonts w:ascii="方正黑体_GBK" w:eastAsia="方正黑体_GBK"/>
      <w:snapToGrid w:val="0"/>
      <w:kern w:val="0"/>
      <w:sz w:val="32"/>
      <w:szCs w:val="32"/>
    </w:rPr>
  </w:style>
  <w:style w:type="paragraph" w:customStyle="1" w:styleId="241">
    <w:name w:val="附录1"/>
    <w:qFormat/>
    <w:uiPriority w:val="0"/>
    <w:pPr>
      <w:numPr>
        <w:ilvl w:val="0"/>
        <w:numId w:val="6"/>
      </w:numPr>
      <w:snapToGrid w:val="0"/>
      <w:spacing w:before="240" w:line="600" w:lineRule="atLeast"/>
    </w:pPr>
    <w:rPr>
      <w:rFonts w:ascii="Times New Roman" w:hAnsi="Times New Roman" w:eastAsia="宋体" w:cs="Times New Roman"/>
      <w:b/>
      <w:i/>
      <w:sz w:val="28"/>
      <w:lang w:val="en-US" w:eastAsia="zh-CN" w:bidi="ar-SA"/>
    </w:rPr>
  </w:style>
  <w:style w:type="paragraph" w:customStyle="1" w:styleId="242">
    <w:name w:val="Char Char Char Char Char Char"/>
    <w:basedOn w:val="1"/>
    <w:qFormat/>
    <w:uiPriority w:val="0"/>
    <w:pPr>
      <w:adjustRightInd w:val="0"/>
      <w:spacing w:line="360" w:lineRule="auto"/>
    </w:pPr>
    <w:rPr>
      <w:kern w:val="0"/>
      <w:sz w:val="24"/>
      <w:szCs w:val="20"/>
    </w:rPr>
  </w:style>
  <w:style w:type="paragraph" w:customStyle="1" w:styleId="243">
    <w:name w:val="TableENHyphenBullets_Stibo_Grayed"/>
    <w:basedOn w:val="244"/>
    <w:next w:val="1"/>
    <w:qFormat/>
    <w:uiPriority w:val="0"/>
    <w:pPr>
      <w:tabs>
        <w:tab w:val="left" w:pos="360"/>
        <w:tab w:val="left" w:pos="720"/>
      </w:tabs>
    </w:pPr>
    <w:rPr>
      <w:color w:val="999999"/>
      <w:szCs w:val="20"/>
    </w:rPr>
  </w:style>
  <w:style w:type="paragraph" w:customStyle="1" w:styleId="244">
    <w:name w:val="TableENHyphenBullets"/>
    <w:next w:val="1"/>
    <w:qFormat/>
    <w:uiPriority w:val="0"/>
    <w:pPr>
      <w:tabs>
        <w:tab w:val="left" w:pos="360"/>
        <w:tab w:val="left" w:pos="720"/>
      </w:tabs>
    </w:pPr>
    <w:rPr>
      <w:rFonts w:ascii="Helvetica" w:hAnsi="Helvetica" w:eastAsia="宋体" w:cs="Times New Roman"/>
      <w:szCs w:val="24"/>
      <w:lang w:val="en-US" w:eastAsia="en-US" w:bidi="ar-SA"/>
    </w:rPr>
  </w:style>
  <w:style w:type="paragraph" w:customStyle="1" w:styleId="245">
    <w:name w:val="xl1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246">
    <w:name w:val="4"/>
    <w:basedOn w:val="1"/>
    <w:next w:val="42"/>
    <w:qFormat/>
    <w:uiPriority w:val="0"/>
    <w:pPr>
      <w:spacing w:line="360" w:lineRule="auto"/>
      <w:ind w:firstLine="420"/>
    </w:pPr>
    <w:rPr>
      <w:color w:val="FF0000"/>
      <w:sz w:val="24"/>
      <w:szCs w:val="24"/>
    </w:rPr>
  </w:style>
  <w:style w:type="paragraph" w:customStyle="1" w:styleId="247">
    <w:name w:val="xl10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248">
    <w:name w:val="xl11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249">
    <w:name w:val="正文1"/>
    <w:basedOn w:val="1"/>
    <w:qFormat/>
    <w:uiPriority w:val="0"/>
    <w:pPr>
      <w:widowControl/>
      <w:topLinePunct/>
      <w:spacing w:beforeLines="50" w:afterLines="50" w:line="300" w:lineRule="auto"/>
      <w:ind w:left="420"/>
    </w:pPr>
    <w:rPr>
      <w:szCs w:val="24"/>
    </w:rPr>
  </w:style>
  <w:style w:type="paragraph" w:customStyle="1" w:styleId="250">
    <w:name w:val="xl8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251">
    <w:name w:val="xl1077"/>
    <w:basedOn w:val="1"/>
    <w:qFormat/>
    <w:uiPriority w:val="0"/>
    <w:pPr>
      <w:widowControl/>
      <w:pBdr>
        <w:top w:val="single" w:color="auto" w:sz="4" w:space="0"/>
        <w:bottom w:val="single" w:color="auto" w:sz="4" w:space="0"/>
      </w:pBdr>
      <w:spacing w:before="100" w:beforeAutospacing="1" w:after="100" w:afterAutospacing="1"/>
      <w:jc w:val="center"/>
    </w:pPr>
    <w:rPr>
      <w:rFonts w:ascii="Arial" w:hAnsi="Arial" w:cs="Arial"/>
      <w:b/>
      <w:bCs/>
      <w:kern w:val="0"/>
      <w:sz w:val="22"/>
      <w:szCs w:val="22"/>
    </w:rPr>
  </w:style>
  <w:style w:type="paragraph" w:customStyle="1" w:styleId="252">
    <w:name w:val="表格标题1"/>
    <w:basedOn w:val="1"/>
    <w:qFormat/>
    <w:uiPriority w:val="0"/>
    <w:pPr>
      <w:spacing w:line="400" w:lineRule="exact"/>
      <w:jc w:val="center"/>
    </w:pPr>
    <w:rPr>
      <w:rFonts w:ascii="Arial" w:hAnsi="Arial" w:cs="宋体"/>
      <w:b/>
      <w:bCs/>
    </w:rPr>
  </w:style>
  <w:style w:type="paragraph" w:customStyle="1" w:styleId="253">
    <w:name w:val="EST-List 8"/>
    <w:basedOn w:val="254"/>
    <w:qFormat/>
    <w:uiPriority w:val="0"/>
    <w:pPr>
      <w:numPr>
        <w:ilvl w:val="0"/>
        <w:numId w:val="0"/>
      </w:numPr>
      <w:tabs>
        <w:tab w:val="left" w:pos="300"/>
        <w:tab w:val="left" w:pos="360"/>
        <w:tab w:val="left" w:pos="600"/>
        <w:tab w:val="left" w:pos="1080"/>
        <w:tab w:val="left" w:pos="1260"/>
        <w:tab w:val="left" w:pos="1440"/>
        <w:tab w:val="left" w:pos="1800"/>
        <w:tab w:val="left" w:pos="1860"/>
        <w:tab w:val="left" w:pos="2100"/>
        <w:tab w:val="left" w:pos="2160"/>
        <w:tab w:val="left" w:pos="2280"/>
        <w:tab w:val="left" w:pos="2520"/>
        <w:tab w:val="left" w:pos="2700"/>
        <w:tab w:val="left" w:pos="2880"/>
        <w:tab w:val="left" w:pos="2940"/>
        <w:tab w:val="left" w:pos="3120"/>
        <w:tab w:val="left" w:pos="3360"/>
        <w:tab w:val="left" w:pos="3540"/>
        <w:tab w:val="left" w:pos="3780"/>
        <w:tab w:val="left" w:pos="3960"/>
        <w:tab w:val="left" w:pos="4200"/>
      </w:tabs>
    </w:pPr>
  </w:style>
  <w:style w:type="paragraph" w:customStyle="1" w:styleId="254">
    <w:name w:val="EST-List 7"/>
    <w:basedOn w:val="255"/>
    <w:qFormat/>
    <w:uiPriority w:val="0"/>
    <w:pPr>
      <w:numPr>
        <w:ilvl w:val="6"/>
      </w:numPr>
      <w:tabs>
        <w:tab w:val="left" w:pos="300"/>
        <w:tab w:val="left" w:pos="360"/>
        <w:tab w:val="left" w:pos="600"/>
        <w:tab w:val="left" w:pos="1080"/>
        <w:tab w:val="left" w:pos="1260"/>
        <w:tab w:val="left" w:pos="1440"/>
        <w:tab w:val="left" w:pos="1800"/>
        <w:tab w:val="left" w:pos="1860"/>
        <w:tab w:val="left" w:pos="2100"/>
        <w:tab w:val="left" w:pos="2160"/>
        <w:tab w:val="left" w:pos="2280"/>
        <w:tab w:val="left" w:pos="2520"/>
        <w:tab w:val="left" w:pos="2700"/>
        <w:tab w:val="left" w:pos="2940"/>
        <w:tab w:val="left" w:pos="3120"/>
        <w:tab w:val="left" w:pos="3360"/>
        <w:tab w:val="left" w:pos="3540"/>
        <w:tab w:val="left" w:pos="3780"/>
      </w:tabs>
    </w:pPr>
  </w:style>
  <w:style w:type="paragraph" w:customStyle="1" w:styleId="255">
    <w:name w:val="EST-List 6"/>
    <w:basedOn w:val="256"/>
    <w:qFormat/>
    <w:uiPriority w:val="0"/>
    <w:pPr>
      <w:numPr>
        <w:ilvl w:val="5"/>
      </w:numPr>
      <w:tabs>
        <w:tab w:val="left" w:pos="300"/>
        <w:tab w:val="left" w:pos="360"/>
        <w:tab w:val="left" w:pos="600"/>
        <w:tab w:val="left" w:pos="1080"/>
        <w:tab w:val="left" w:pos="1260"/>
        <w:tab w:val="left" w:pos="1440"/>
        <w:tab w:val="left" w:pos="1800"/>
        <w:tab w:val="left" w:pos="1860"/>
        <w:tab w:val="left" w:pos="2100"/>
        <w:tab w:val="left" w:pos="2160"/>
        <w:tab w:val="left" w:pos="2280"/>
        <w:tab w:val="left" w:pos="2520"/>
        <w:tab w:val="left" w:pos="2700"/>
        <w:tab w:val="left" w:pos="2940"/>
        <w:tab w:val="left" w:pos="3120"/>
        <w:tab w:val="left" w:pos="3360"/>
      </w:tabs>
    </w:pPr>
  </w:style>
  <w:style w:type="paragraph" w:customStyle="1" w:styleId="256">
    <w:name w:val="EST-List 5"/>
    <w:basedOn w:val="257"/>
    <w:qFormat/>
    <w:uiPriority w:val="0"/>
    <w:pPr>
      <w:numPr>
        <w:ilvl w:val="4"/>
      </w:numPr>
      <w:tabs>
        <w:tab w:val="left" w:pos="300"/>
        <w:tab w:val="left" w:pos="360"/>
        <w:tab w:val="left" w:pos="600"/>
        <w:tab w:val="left" w:pos="1080"/>
        <w:tab w:val="left" w:pos="1260"/>
        <w:tab w:val="left" w:pos="1440"/>
        <w:tab w:val="left" w:pos="1800"/>
        <w:tab w:val="left" w:pos="1860"/>
        <w:tab w:val="left" w:pos="2100"/>
        <w:tab w:val="left" w:pos="2280"/>
        <w:tab w:val="left" w:pos="2520"/>
        <w:tab w:val="left" w:pos="2700"/>
        <w:tab w:val="left" w:pos="2940"/>
      </w:tabs>
      <w:ind w:left="0"/>
    </w:pPr>
  </w:style>
  <w:style w:type="paragraph" w:customStyle="1" w:styleId="257">
    <w:name w:val="EST-List 4"/>
    <w:basedOn w:val="258"/>
    <w:qFormat/>
    <w:uiPriority w:val="0"/>
    <w:pPr>
      <w:numPr>
        <w:ilvl w:val="3"/>
      </w:numPr>
      <w:tabs>
        <w:tab w:val="left" w:pos="300"/>
        <w:tab w:val="left" w:pos="360"/>
        <w:tab w:val="left" w:pos="600"/>
        <w:tab w:val="left" w:pos="1080"/>
        <w:tab w:val="left" w:pos="1260"/>
        <w:tab w:val="left" w:pos="1440"/>
        <w:tab w:val="left" w:pos="1860"/>
        <w:tab w:val="left" w:pos="2100"/>
        <w:tab w:val="left" w:pos="2280"/>
        <w:tab w:val="left" w:pos="2520"/>
      </w:tabs>
      <w:ind w:left="600" w:hanging="2920"/>
    </w:pPr>
  </w:style>
  <w:style w:type="paragraph" w:customStyle="1" w:styleId="258">
    <w:name w:val="EST-List 3"/>
    <w:basedOn w:val="259"/>
    <w:qFormat/>
    <w:uiPriority w:val="0"/>
    <w:pPr>
      <w:numPr>
        <w:ilvl w:val="2"/>
      </w:numPr>
      <w:tabs>
        <w:tab w:val="left" w:pos="300"/>
        <w:tab w:val="left" w:pos="360"/>
        <w:tab w:val="left" w:pos="1080"/>
        <w:tab w:val="left" w:pos="1260"/>
        <w:tab w:val="left" w:pos="1860"/>
        <w:tab w:val="left" w:pos="2100"/>
      </w:tabs>
      <w:ind w:left="300" w:hanging="2620"/>
    </w:pPr>
  </w:style>
  <w:style w:type="paragraph" w:customStyle="1" w:styleId="259">
    <w:name w:val="EST-List 2"/>
    <w:basedOn w:val="1"/>
    <w:qFormat/>
    <w:uiPriority w:val="0"/>
    <w:pPr>
      <w:keepLines/>
      <w:widowControl/>
      <w:numPr>
        <w:ilvl w:val="1"/>
        <w:numId w:val="7"/>
      </w:numPr>
      <w:spacing w:before="60" w:after="60"/>
      <w:jc w:val="left"/>
    </w:pPr>
    <w:rPr>
      <w:kern w:val="0"/>
      <w:sz w:val="20"/>
      <w:szCs w:val="24"/>
    </w:rPr>
  </w:style>
  <w:style w:type="paragraph" w:customStyle="1" w:styleId="260">
    <w:name w:val="a3"/>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261">
    <w:name w:val="xl12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262">
    <w:name w:val="普通正文"/>
    <w:basedOn w:val="1"/>
    <w:qFormat/>
    <w:uiPriority w:val="0"/>
    <w:pPr>
      <w:adjustRightInd w:val="0"/>
      <w:spacing w:before="120" w:after="120" w:line="360" w:lineRule="auto"/>
      <w:ind w:firstLine="480"/>
      <w:jc w:val="left"/>
      <w:textAlignment w:val="baseline"/>
    </w:pPr>
    <w:rPr>
      <w:rFonts w:ascii="Arial" w:hAnsi="Arial"/>
      <w:kern w:val="0"/>
      <w:sz w:val="24"/>
      <w:szCs w:val="24"/>
    </w:rPr>
  </w:style>
  <w:style w:type="paragraph" w:customStyle="1" w:styleId="263">
    <w:name w:val="xl9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264">
    <w:name w:val="xl8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265">
    <w:name w:val="a6"/>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266">
    <w:name w:val="xl107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kern w:val="0"/>
      <w:sz w:val="22"/>
      <w:szCs w:val="22"/>
    </w:rPr>
  </w:style>
  <w:style w:type="paragraph" w:customStyle="1" w:styleId="267">
    <w:name w:val="±íÉí"/>
    <w:basedOn w:val="1"/>
    <w:qFormat/>
    <w:uiPriority w:val="0"/>
    <w:pPr>
      <w:widowControl/>
      <w:overflowPunct w:val="0"/>
      <w:autoSpaceDE w:val="0"/>
      <w:autoSpaceDN w:val="0"/>
      <w:adjustRightInd w:val="0"/>
      <w:spacing w:line="300" w:lineRule="auto"/>
      <w:jc w:val="left"/>
      <w:textAlignment w:val="baseline"/>
    </w:pPr>
    <w:rPr>
      <w:kern w:val="0"/>
      <w:sz w:val="18"/>
      <w:szCs w:val="20"/>
    </w:rPr>
  </w:style>
  <w:style w:type="paragraph" w:customStyle="1" w:styleId="268">
    <w:name w:val="xl109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color w:val="FF0000"/>
      <w:kern w:val="0"/>
      <w:sz w:val="22"/>
      <w:szCs w:val="22"/>
    </w:rPr>
  </w:style>
  <w:style w:type="paragraph" w:customStyle="1" w:styleId="269">
    <w:name w:val="Body Text(ch)"/>
    <w:basedOn w:val="1"/>
    <w:next w:val="2"/>
    <w:qFormat/>
    <w:uiPriority w:val="0"/>
    <w:pPr>
      <w:spacing w:after="120"/>
    </w:pPr>
    <w:rPr>
      <w:rFonts w:ascii="宋体" w:hAnsi="Arial"/>
      <w:bCs/>
      <w:iCs/>
      <w:szCs w:val="24"/>
    </w:rPr>
  </w:style>
  <w:style w:type="paragraph" w:customStyle="1" w:styleId="270">
    <w:name w:val="xl12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271">
    <w:name w:val="表项"/>
    <w:next w:val="1"/>
    <w:qFormat/>
    <w:uiPriority w:val="0"/>
    <w:pPr>
      <w:keepNext/>
      <w:adjustRightInd w:val="0"/>
      <w:snapToGrid w:val="0"/>
      <w:spacing w:line="300" w:lineRule="auto"/>
      <w:jc w:val="center"/>
      <w:textAlignment w:val="baseline"/>
    </w:pPr>
    <w:rPr>
      <w:rFonts w:ascii="Arial" w:hAnsi="Arial" w:eastAsia="黑体" w:cs="Times New Roman"/>
      <w:sz w:val="18"/>
      <w:lang w:val="en-US" w:eastAsia="zh-CN" w:bidi="ar-SA"/>
    </w:rPr>
  </w:style>
  <w:style w:type="paragraph" w:customStyle="1" w:styleId="272">
    <w:name w:val="Char Char1"/>
    <w:basedOn w:val="1"/>
    <w:qFormat/>
    <w:uiPriority w:val="0"/>
    <w:pPr>
      <w:widowControl/>
      <w:snapToGrid w:val="0"/>
      <w:spacing w:after="160"/>
      <w:ind w:firstLine="300"/>
      <w:jc w:val="left"/>
    </w:pPr>
    <w:rPr>
      <w:rFonts w:ascii="Calibri" w:hAnsi="宋体" w:cs="Arial"/>
      <w:sz w:val="16"/>
    </w:rPr>
  </w:style>
  <w:style w:type="paragraph" w:customStyle="1" w:styleId="273">
    <w:name w:val="Char Char1 Char Char Char Char Char 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274">
    <w:name w:val="xl11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FF0000"/>
      <w:kern w:val="0"/>
      <w:sz w:val="20"/>
      <w:szCs w:val="20"/>
    </w:rPr>
  </w:style>
  <w:style w:type="paragraph" w:customStyle="1" w:styleId="275">
    <w:name w:val="图标"/>
    <w:basedOn w:val="1"/>
    <w:next w:val="1"/>
    <w:qFormat/>
    <w:uiPriority w:val="0"/>
    <w:pPr>
      <w:tabs>
        <w:tab w:val="left" w:pos="567"/>
        <w:tab w:val="left" w:pos="840"/>
      </w:tabs>
      <w:autoSpaceDE w:val="0"/>
      <w:autoSpaceDN w:val="0"/>
      <w:adjustRightInd w:val="0"/>
      <w:snapToGrid w:val="0"/>
      <w:spacing w:before="120" w:after="120" w:line="320" w:lineRule="atLeast"/>
      <w:ind w:left="840" w:hanging="420"/>
      <w:jc w:val="center"/>
      <w:textAlignment w:val="baseline"/>
    </w:pPr>
    <w:rPr>
      <w:rFonts w:eastAsia="仿宋_GB2312"/>
      <w:kern w:val="0"/>
      <w:sz w:val="24"/>
      <w:szCs w:val="20"/>
    </w:rPr>
  </w:style>
  <w:style w:type="paragraph" w:customStyle="1" w:styleId="276">
    <w:name w:val="head1"/>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277">
    <w:name w:val="列出段落1"/>
    <w:basedOn w:val="1"/>
    <w:qFormat/>
    <w:uiPriority w:val="0"/>
    <w:pPr>
      <w:ind w:firstLine="420" w:firstLineChars="200"/>
    </w:pPr>
    <w:rPr>
      <w:rFonts w:ascii="Calibri" w:hAnsi="Calibri"/>
      <w:szCs w:val="22"/>
    </w:rPr>
  </w:style>
  <w:style w:type="paragraph" w:customStyle="1" w:styleId="278">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b/>
      <w:bCs/>
      <w:kern w:val="0"/>
      <w:sz w:val="18"/>
      <w:szCs w:val="18"/>
    </w:rPr>
  </w:style>
  <w:style w:type="paragraph" w:customStyle="1" w:styleId="279">
    <w:name w:val="xl1067"/>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Arial" w:hAnsi="Arial" w:cs="Arial"/>
      <w:kern w:val="0"/>
      <w:sz w:val="22"/>
      <w:szCs w:val="22"/>
    </w:rPr>
  </w:style>
  <w:style w:type="paragraph" w:customStyle="1" w:styleId="280">
    <w:name w:val="TableText"/>
    <w:qFormat/>
    <w:uiPriority w:val="0"/>
    <w:rPr>
      <w:rFonts w:ascii="Helvetica" w:hAnsi="Helvetica" w:eastAsia="宋体" w:cs="Times New Roman"/>
      <w:sz w:val="18"/>
      <w:szCs w:val="24"/>
      <w:lang w:val="en-US" w:eastAsia="en-US" w:bidi="ar-SA"/>
    </w:rPr>
  </w:style>
  <w:style w:type="paragraph" w:customStyle="1" w:styleId="281">
    <w:name w:val="xl10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282">
    <w:name w:val="xl25"/>
    <w:basedOn w:val="1"/>
    <w:qFormat/>
    <w:uiPriority w:val="0"/>
    <w:pPr>
      <w:widowControl/>
      <w:spacing w:before="100" w:beforeAutospacing="1" w:after="100" w:afterAutospacing="1"/>
      <w:jc w:val="center"/>
      <w:textAlignment w:val="center"/>
    </w:pPr>
    <w:rPr>
      <w:rFonts w:ascii="Arial Unicode MS" w:hAnsi="Arial Unicode MS" w:eastAsia="Arial Unicode MS" w:cs="Arial Unicode MS"/>
      <w:kern w:val="0"/>
      <w:sz w:val="24"/>
      <w:szCs w:val="24"/>
    </w:rPr>
  </w:style>
  <w:style w:type="paragraph" w:customStyle="1" w:styleId="283">
    <w:name w:val="xl9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28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18"/>
      <w:szCs w:val="18"/>
    </w:rPr>
  </w:style>
  <w:style w:type="paragraph" w:customStyle="1" w:styleId="285">
    <w:name w:val="xl9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286">
    <w:name w:val="font5"/>
    <w:basedOn w:val="1"/>
    <w:qFormat/>
    <w:uiPriority w:val="0"/>
    <w:pPr>
      <w:widowControl/>
      <w:spacing w:before="100" w:beforeAutospacing="1" w:after="100" w:afterAutospacing="1"/>
      <w:jc w:val="left"/>
    </w:pPr>
    <w:rPr>
      <w:rFonts w:hint="eastAsia" w:ascii="宋体" w:hAnsi="宋体"/>
      <w:kern w:val="0"/>
      <w:sz w:val="28"/>
      <w:szCs w:val="28"/>
    </w:rPr>
  </w:style>
  <w:style w:type="paragraph" w:customStyle="1" w:styleId="287">
    <w:name w:val="xl13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288">
    <w:name w:val="xl12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289">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18"/>
      <w:szCs w:val="18"/>
    </w:rPr>
  </w:style>
  <w:style w:type="paragraph" w:customStyle="1" w:styleId="290">
    <w:name w:val="subtitle 2"/>
    <w:basedOn w:val="1"/>
    <w:qFormat/>
    <w:uiPriority w:val="0"/>
    <w:pPr>
      <w:adjustRightInd w:val="0"/>
      <w:spacing w:before="240" w:after="240" w:line="312" w:lineRule="atLeast"/>
    </w:pPr>
    <w:rPr>
      <w:rFonts w:eastAsia="黑体"/>
      <w:kern w:val="0"/>
      <w:sz w:val="24"/>
      <w:szCs w:val="20"/>
    </w:rPr>
  </w:style>
  <w:style w:type="paragraph" w:customStyle="1" w:styleId="291">
    <w:name w:val="Char1"/>
    <w:basedOn w:val="1"/>
    <w:qFormat/>
    <w:uiPriority w:val="0"/>
    <w:pPr>
      <w:tabs>
        <w:tab w:val="left" w:pos="840"/>
      </w:tabs>
      <w:ind w:left="840" w:hanging="420"/>
    </w:pPr>
    <w:rPr>
      <w:sz w:val="24"/>
      <w:szCs w:val="24"/>
    </w:rPr>
  </w:style>
  <w:style w:type="paragraph" w:customStyle="1" w:styleId="292">
    <w:name w:val="xl84"/>
    <w:basedOn w:val="1"/>
    <w:qFormat/>
    <w:uiPriority w:val="0"/>
    <w:pPr>
      <w:widowControl/>
      <w:spacing w:before="100" w:beforeAutospacing="1" w:after="100" w:afterAutospacing="1"/>
      <w:jc w:val="center"/>
      <w:textAlignment w:val="center"/>
    </w:pPr>
    <w:rPr>
      <w:kern w:val="0"/>
      <w:sz w:val="20"/>
      <w:szCs w:val="20"/>
    </w:rPr>
  </w:style>
  <w:style w:type="paragraph" w:customStyle="1" w:styleId="293">
    <w:name w:val="tabletextchar1char"/>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294">
    <w:name w:val="表号"/>
    <w:basedOn w:val="1"/>
    <w:next w:val="51"/>
    <w:qFormat/>
    <w:uiPriority w:val="0"/>
    <w:pPr>
      <w:keepNext/>
      <w:keepLines/>
      <w:numPr>
        <w:ilvl w:val="8"/>
        <w:numId w:val="8"/>
      </w:numPr>
      <w:autoSpaceDE w:val="0"/>
      <w:autoSpaceDN w:val="0"/>
      <w:adjustRightInd w:val="0"/>
      <w:spacing w:line="360" w:lineRule="auto"/>
      <w:jc w:val="center"/>
    </w:pPr>
    <w:rPr>
      <w:rFonts w:ascii="Arial" w:hAnsi="Arial"/>
      <w:kern w:val="0"/>
      <w:sz w:val="18"/>
      <w:szCs w:val="18"/>
    </w:rPr>
  </w:style>
  <w:style w:type="paragraph" w:customStyle="1" w:styleId="295">
    <w:name w:val="font6"/>
    <w:basedOn w:val="1"/>
    <w:qFormat/>
    <w:uiPriority w:val="0"/>
    <w:pPr>
      <w:widowControl/>
      <w:spacing w:before="100" w:beforeAutospacing="1" w:after="100" w:afterAutospacing="1"/>
      <w:jc w:val="left"/>
    </w:pPr>
    <w:rPr>
      <w:rFonts w:hint="eastAsia" w:ascii="宋体" w:hAnsi="宋体"/>
      <w:kern w:val="0"/>
      <w:sz w:val="28"/>
      <w:szCs w:val="28"/>
      <w:u w:val="single"/>
    </w:rPr>
  </w:style>
  <w:style w:type="paragraph" w:customStyle="1" w:styleId="296">
    <w:name w:val="font7"/>
    <w:basedOn w:val="1"/>
    <w:qFormat/>
    <w:uiPriority w:val="0"/>
    <w:pPr>
      <w:widowControl/>
      <w:spacing w:before="100" w:beforeAutospacing="1" w:after="100" w:afterAutospacing="1"/>
      <w:jc w:val="left"/>
    </w:pPr>
    <w:rPr>
      <w:rFonts w:hint="eastAsia" w:ascii="宋体" w:hAnsi="宋体"/>
      <w:kern w:val="0"/>
      <w:sz w:val="18"/>
      <w:szCs w:val="18"/>
    </w:rPr>
  </w:style>
  <w:style w:type="paragraph" w:customStyle="1" w:styleId="297">
    <w:name w:val="proddesc1"/>
    <w:basedOn w:val="1"/>
    <w:qFormat/>
    <w:uiPriority w:val="0"/>
    <w:pPr>
      <w:widowControl/>
      <w:spacing w:before="75"/>
      <w:jc w:val="left"/>
    </w:pPr>
    <w:rPr>
      <w:rFonts w:ascii="宋体" w:hAnsi="宋体" w:cs="宋体"/>
      <w:kern w:val="0"/>
      <w:sz w:val="24"/>
      <w:szCs w:val="24"/>
    </w:rPr>
  </w:style>
  <w:style w:type="paragraph" w:customStyle="1" w:styleId="298">
    <w:name w:val="BulletStyle1_Stibo_Grayed"/>
    <w:basedOn w:val="299"/>
    <w:qFormat/>
    <w:uiPriority w:val="0"/>
    <w:pPr>
      <w:tabs>
        <w:tab w:val="left" w:pos="720"/>
      </w:tabs>
    </w:pPr>
    <w:rPr>
      <w:color w:val="999999"/>
    </w:rPr>
  </w:style>
  <w:style w:type="paragraph" w:customStyle="1" w:styleId="299">
    <w:name w:val="BulletStyle1"/>
    <w:qFormat/>
    <w:uiPriority w:val="0"/>
    <w:pPr>
      <w:tabs>
        <w:tab w:val="left" w:pos="720"/>
      </w:tabs>
      <w:ind w:left="720" w:hanging="360"/>
    </w:pPr>
    <w:rPr>
      <w:rFonts w:ascii="Helvetica" w:hAnsi="Helvetica" w:eastAsia="宋体" w:cs="Times New Roman"/>
      <w:szCs w:val="24"/>
      <w:lang w:val="en-US" w:eastAsia="en-US" w:bidi="ar-SA"/>
    </w:rPr>
  </w:style>
  <w:style w:type="paragraph" w:customStyle="1" w:styleId="300">
    <w:name w:val="标题2"/>
    <w:basedOn w:val="4"/>
    <w:qFormat/>
    <w:uiPriority w:val="0"/>
    <w:pPr>
      <w:overflowPunct/>
      <w:adjustRightInd/>
      <w:spacing w:before="260" w:after="260" w:line="416" w:lineRule="auto"/>
      <w:jc w:val="both"/>
      <w:textAlignment w:val="auto"/>
    </w:pPr>
    <w:rPr>
      <w:rFonts w:ascii="Arial" w:hAnsi="Arial" w:eastAsia="宋体"/>
      <w:b w:val="0"/>
      <w:bCs/>
      <w:snapToGrid w:val="0"/>
      <w:kern w:val="0"/>
      <w:sz w:val="32"/>
      <w:szCs w:val="32"/>
    </w:rPr>
  </w:style>
  <w:style w:type="paragraph" w:customStyle="1" w:styleId="301">
    <w:name w:val="文本框样式1"/>
    <w:basedOn w:val="1"/>
    <w:qFormat/>
    <w:uiPriority w:val="0"/>
    <w:pPr>
      <w:spacing w:before="60" w:line="180" w:lineRule="exact"/>
      <w:jc w:val="center"/>
    </w:pPr>
  </w:style>
  <w:style w:type="paragraph" w:customStyle="1" w:styleId="302">
    <w:name w:val="kimzbig"/>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03">
    <w:name w:val="标书内容"/>
    <w:basedOn w:val="1"/>
    <w:qFormat/>
    <w:uiPriority w:val="0"/>
    <w:pPr>
      <w:widowControl/>
      <w:spacing w:line="360" w:lineRule="auto"/>
      <w:ind w:firstLine="200" w:firstLineChars="200"/>
      <w:jc w:val="left"/>
    </w:pPr>
    <w:rPr>
      <w:szCs w:val="20"/>
    </w:rPr>
  </w:style>
  <w:style w:type="paragraph" w:customStyle="1" w:styleId="304">
    <w:name w:val="xl24"/>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bottom"/>
    </w:pPr>
    <w:rPr>
      <w:rFonts w:ascii="宋体" w:hAnsi="宋体"/>
      <w:kern w:val="0"/>
      <w:sz w:val="24"/>
      <w:szCs w:val="24"/>
    </w:rPr>
  </w:style>
  <w:style w:type="paragraph" w:customStyle="1" w:styleId="305">
    <w:name w:val="figuretext"/>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06">
    <w:name w:val="xl11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新宋体" w:hAnsi="新宋体" w:eastAsia="新宋体" w:cs="宋体"/>
      <w:kern w:val="0"/>
      <w:sz w:val="20"/>
      <w:szCs w:val="20"/>
    </w:rPr>
  </w:style>
  <w:style w:type="paragraph" w:customStyle="1" w:styleId="307">
    <w:name w:val="xl10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kern w:val="0"/>
      <w:sz w:val="22"/>
      <w:szCs w:val="22"/>
    </w:rPr>
  </w:style>
  <w:style w:type="paragraph" w:customStyle="1" w:styleId="308">
    <w:name w:val="xl8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309">
    <w:name w:val="正文格式"/>
    <w:basedOn w:val="1"/>
    <w:qFormat/>
    <w:uiPriority w:val="0"/>
    <w:pPr>
      <w:widowControl/>
      <w:adjustRightInd w:val="0"/>
      <w:snapToGrid w:val="0"/>
      <w:spacing w:line="360" w:lineRule="atLeast"/>
      <w:ind w:firstLine="482"/>
      <w:textAlignment w:val="baseline"/>
    </w:pPr>
    <w:rPr>
      <w:kern w:val="0"/>
      <w:sz w:val="24"/>
      <w:szCs w:val="20"/>
    </w:rPr>
  </w:style>
  <w:style w:type="paragraph" w:customStyle="1" w:styleId="310">
    <w:name w:val="xl13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0"/>
      <w:szCs w:val="20"/>
    </w:rPr>
  </w:style>
  <w:style w:type="paragraph" w:customStyle="1" w:styleId="311">
    <w:name w:val="xl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4"/>
      <w:szCs w:val="24"/>
    </w:rPr>
  </w:style>
  <w:style w:type="paragraph" w:customStyle="1" w:styleId="312">
    <w:name w:val="xl14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313">
    <w:name w:val="a"/>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14">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18"/>
      <w:szCs w:val="18"/>
    </w:rPr>
  </w:style>
  <w:style w:type="character" w:customStyle="1" w:styleId="315">
    <w:name w:val="引用 Char2"/>
    <w:basedOn w:val="55"/>
    <w:link w:val="139"/>
    <w:qFormat/>
    <w:uiPriority w:val="99"/>
    <w:rPr>
      <w:i/>
      <w:iCs/>
      <w:color w:val="000000" w:themeColor="text1"/>
      <w:kern w:val="2"/>
      <w:sz w:val="21"/>
      <w:szCs w:val="21"/>
    </w:rPr>
  </w:style>
  <w:style w:type="paragraph" w:customStyle="1" w:styleId="316">
    <w:name w:val="正文-带编号1)"/>
    <w:basedOn w:val="1"/>
    <w:qFormat/>
    <w:uiPriority w:val="0"/>
    <w:pPr>
      <w:numPr>
        <w:ilvl w:val="0"/>
        <w:numId w:val="9"/>
      </w:numPr>
      <w:spacing w:line="400" w:lineRule="exact"/>
    </w:pPr>
    <w:rPr>
      <w:rFonts w:ascii="Arial" w:hAnsi="Arial"/>
      <w:szCs w:val="24"/>
    </w:rPr>
  </w:style>
  <w:style w:type="paragraph" w:customStyle="1" w:styleId="317">
    <w:name w:val="二级1.1"/>
    <w:basedOn w:val="4"/>
    <w:next w:val="4"/>
    <w:qFormat/>
    <w:uiPriority w:val="0"/>
    <w:pPr>
      <w:overflowPunct/>
      <w:adjustRightInd/>
      <w:spacing w:beforeLines="50"/>
      <w:jc w:val="both"/>
      <w:textAlignment w:val="auto"/>
    </w:pPr>
    <w:rPr>
      <w:rFonts w:ascii="Arial" w:hAnsi="Arial" w:eastAsia="宋体"/>
      <w:bCs/>
      <w:sz w:val="28"/>
      <w:szCs w:val="32"/>
    </w:rPr>
  </w:style>
  <w:style w:type="paragraph" w:customStyle="1" w:styleId="318">
    <w:name w:val="xl27"/>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kern w:val="0"/>
      <w:sz w:val="24"/>
      <w:szCs w:val="24"/>
    </w:rPr>
  </w:style>
  <w:style w:type="paragraph" w:customStyle="1" w:styleId="319">
    <w:name w:val="xl109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color w:val="FF0000"/>
      <w:kern w:val="0"/>
      <w:sz w:val="22"/>
      <w:szCs w:val="22"/>
    </w:rPr>
  </w:style>
  <w:style w:type="paragraph" w:customStyle="1" w:styleId="320">
    <w:name w:val="font11"/>
    <w:basedOn w:val="1"/>
    <w:qFormat/>
    <w:uiPriority w:val="0"/>
    <w:pPr>
      <w:widowControl/>
      <w:spacing w:before="100" w:beforeAutospacing="1" w:after="100" w:afterAutospacing="1"/>
      <w:jc w:val="left"/>
    </w:pPr>
    <w:rPr>
      <w:kern w:val="0"/>
      <w:sz w:val="20"/>
      <w:szCs w:val="20"/>
    </w:rPr>
  </w:style>
  <w:style w:type="paragraph" w:customStyle="1" w:styleId="321">
    <w:name w:val="表格文本"/>
    <w:basedOn w:val="1"/>
    <w:qFormat/>
    <w:uiPriority w:val="0"/>
    <w:pPr>
      <w:tabs>
        <w:tab w:val="decimal" w:pos="0"/>
      </w:tabs>
      <w:autoSpaceDE w:val="0"/>
      <w:autoSpaceDN w:val="0"/>
      <w:adjustRightInd w:val="0"/>
      <w:jc w:val="left"/>
    </w:pPr>
    <w:rPr>
      <w:rFonts w:ascii="Arial" w:hAnsi="Arial"/>
      <w:kern w:val="0"/>
    </w:rPr>
  </w:style>
  <w:style w:type="paragraph" w:customStyle="1" w:styleId="322">
    <w:name w:val="font8"/>
    <w:basedOn w:val="1"/>
    <w:qFormat/>
    <w:uiPriority w:val="0"/>
    <w:pPr>
      <w:widowControl/>
      <w:spacing w:before="100" w:beforeAutospacing="1" w:after="100" w:afterAutospacing="1"/>
      <w:jc w:val="left"/>
    </w:pPr>
    <w:rPr>
      <w:rFonts w:ascii="宋体" w:hAnsi="宋体" w:cs="宋体"/>
      <w:b/>
      <w:bCs/>
      <w:kern w:val="0"/>
      <w:sz w:val="18"/>
      <w:szCs w:val="18"/>
    </w:rPr>
  </w:style>
  <w:style w:type="paragraph" w:customStyle="1" w:styleId="323">
    <w:name w:val="xl28"/>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324">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18"/>
      <w:szCs w:val="18"/>
    </w:rPr>
  </w:style>
  <w:style w:type="paragraph" w:customStyle="1" w:styleId="325">
    <w:name w:val="xl9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326">
    <w:name w:val="Char Char Char Char Char Char Char Char Char Char"/>
    <w:basedOn w:val="1"/>
    <w:qFormat/>
    <w:uiPriority w:val="0"/>
    <w:pPr>
      <w:adjustRightInd w:val="0"/>
      <w:spacing w:line="360" w:lineRule="auto"/>
    </w:pPr>
    <w:rPr>
      <w:kern w:val="0"/>
      <w:sz w:val="24"/>
      <w:szCs w:val="20"/>
    </w:rPr>
  </w:style>
  <w:style w:type="paragraph" w:customStyle="1" w:styleId="327">
    <w:name w:val="xl29"/>
    <w:basedOn w:val="1"/>
    <w:qFormat/>
    <w:uiPriority w:val="0"/>
    <w:pPr>
      <w:widowControl/>
      <w:pBdr>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328">
    <w:name w:val="xl71"/>
    <w:basedOn w:val="1"/>
    <w:qFormat/>
    <w:uiPriority w:val="0"/>
    <w:pPr>
      <w:widowControl/>
      <w:spacing w:before="100" w:beforeAutospacing="1" w:after="100" w:afterAutospacing="1"/>
      <w:jc w:val="left"/>
    </w:pPr>
    <w:rPr>
      <w:kern w:val="0"/>
      <w:sz w:val="18"/>
      <w:szCs w:val="18"/>
    </w:rPr>
  </w:style>
  <w:style w:type="paragraph" w:customStyle="1" w:styleId="329">
    <w:name w:val="xl14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330">
    <w:name w:val="xl1100"/>
    <w:basedOn w:val="1"/>
    <w:qFormat/>
    <w:uiPriority w:val="0"/>
    <w:pPr>
      <w:widowControl/>
      <w:shd w:val="clear" w:color="000000" w:fill="FFFFFF"/>
      <w:spacing w:before="100" w:beforeAutospacing="1" w:after="100" w:afterAutospacing="1"/>
      <w:jc w:val="left"/>
    </w:pPr>
    <w:rPr>
      <w:rFonts w:ascii="宋体" w:hAnsi="宋体" w:cs="宋体"/>
      <w:color w:val="FF0000"/>
      <w:kern w:val="0"/>
      <w:sz w:val="22"/>
      <w:szCs w:val="22"/>
    </w:rPr>
  </w:style>
  <w:style w:type="paragraph" w:customStyle="1" w:styleId="331">
    <w:name w:val="xl14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332">
    <w:name w:val="xl146"/>
    <w:basedOn w:val="1"/>
    <w:qFormat/>
    <w:uiPriority w:val="0"/>
    <w:pPr>
      <w:widowControl/>
      <w:pBdr>
        <w:left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333">
    <w:name w:val="xl30"/>
    <w:basedOn w:val="1"/>
    <w:qFormat/>
    <w:uiPriority w:val="0"/>
    <w:pPr>
      <w:widowControl/>
      <w:spacing w:before="100" w:beforeAutospacing="1" w:after="100" w:afterAutospacing="1"/>
      <w:jc w:val="center"/>
    </w:pPr>
    <w:rPr>
      <w:rFonts w:ascii="宋体" w:hAnsi="宋体"/>
      <w:b/>
      <w:bCs/>
      <w:kern w:val="0"/>
      <w:sz w:val="36"/>
      <w:szCs w:val="36"/>
    </w:rPr>
  </w:style>
  <w:style w:type="paragraph" w:customStyle="1" w:styleId="334">
    <w:name w:val="xl109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FF0000"/>
      <w:kern w:val="0"/>
      <w:sz w:val="22"/>
      <w:szCs w:val="22"/>
    </w:rPr>
  </w:style>
  <w:style w:type="paragraph" w:customStyle="1" w:styleId="335">
    <w:name w:val="xl1076"/>
    <w:basedOn w:val="1"/>
    <w:qFormat/>
    <w:uiPriority w:val="0"/>
    <w:pPr>
      <w:widowControl/>
      <w:pBdr>
        <w:top w:val="single" w:color="auto" w:sz="4" w:space="0"/>
        <w:bottom w:val="single" w:color="auto" w:sz="4" w:space="0"/>
      </w:pBdr>
      <w:spacing w:before="100" w:beforeAutospacing="1" w:after="100" w:afterAutospacing="1"/>
      <w:jc w:val="center"/>
    </w:pPr>
    <w:rPr>
      <w:rFonts w:ascii="Arial" w:hAnsi="Arial" w:cs="Arial"/>
      <w:b/>
      <w:bCs/>
      <w:kern w:val="0"/>
      <w:sz w:val="22"/>
      <w:szCs w:val="22"/>
    </w:rPr>
  </w:style>
  <w:style w:type="paragraph" w:customStyle="1" w:styleId="336">
    <w:name w:val="para"/>
    <w:basedOn w:val="1"/>
    <w:qFormat/>
    <w:uiPriority w:val="0"/>
    <w:pPr>
      <w:widowControl/>
      <w:spacing w:before="100" w:beforeAutospacing="1" w:after="100" w:afterAutospacing="1"/>
      <w:jc w:val="left"/>
    </w:pPr>
    <w:rPr>
      <w:rFonts w:ascii="Arial" w:hAnsi="Arial" w:cs="Arial"/>
      <w:kern w:val="0"/>
      <w:sz w:val="18"/>
      <w:szCs w:val="18"/>
    </w:rPr>
  </w:style>
  <w:style w:type="paragraph" w:customStyle="1" w:styleId="337">
    <w:name w:val="Char"/>
    <w:basedOn w:val="19"/>
    <w:qFormat/>
    <w:uiPriority w:val="0"/>
    <w:rPr>
      <w:rFonts w:ascii="Tahoma" w:hAnsi="Tahoma"/>
      <w:sz w:val="24"/>
      <w:szCs w:val="24"/>
    </w:rPr>
  </w:style>
  <w:style w:type="paragraph" w:customStyle="1" w:styleId="338">
    <w:name w:val="xl106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b/>
      <w:bCs/>
      <w:kern w:val="0"/>
      <w:sz w:val="22"/>
      <w:szCs w:val="22"/>
    </w:rPr>
  </w:style>
  <w:style w:type="paragraph" w:customStyle="1" w:styleId="339">
    <w:name w:val="xl9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340">
    <w:name w:val="样式 标题 1H1Normal + Font: HelveticaBoldSpace Before 12 ptNot ..."/>
    <w:basedOn w:val="3"/>
    <w:next w:val="3"/>
    <w:qFormat/>
    <w:uiPriority w:val="0"/>
    <w:pPr>
      <w:spacing w:before="100" w:beforeAutospacing="1" w:after="100" w:afterAutospacing="1" w:line="0" w:lineRule="atLeast"/>
    </w:pPr>
    <w:rPr>
      <w:rFonts w:ascii="黑体" w:hAnsi="黑体" w:eastAsia="黑体"/>
      <w:b w:val="0"/>
      <w:sz w:val="28"/>
      <w:szCs w:val="44"/>
    </w:rPr>
  </w:style>
  <w:style w:type="paragraph" w:customStyle="1" w:styleId="341">
    <w:name w:val="表身（左）"/>
    <w:qFormat/>
    <w:uiPriority w:val="0"/>
    <w:pPr>
      <w:adjustRightInd w:val="0"/>
      <w:snapToGrid w:val="0"/>
      <w:spacing w:line="300" w:lineRule="auto"/>
      <w:textAlignment w:val="center"/>
    </w:pPr>
    <w:rPr>
      <w:rFonts w:ascii="Times New Roman" w:hAnsi="Times New Roman" w:eastAsia="宋体" w:cs="Times New Roman"/>
      <w:sz w:val="16"/>
      <w:lang w:val="en-US" w:eastAsia="zh-CN" w:bidi="ar-SA"/>
    </w:rPr>
  </w:style>
  <w:style w:type="paragraph" w:customStyle="1" w:styleId="342">
    <w:name w:val="font1"/>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343">
    <w:name w:val="table_1stline"/>
    <w:basedOn w:val="1"/>
    <w:qFormat/>
    <w:uiPriority w:val="0"/>
    <w:pPr>
      <w:widowControl/>
      <w:spacing w:before="120"/>
      <w:jc w:val="left"/>
    </w:pPr>
    <w:rPr>
      <w:bCs/>
      <w:kern w:val="0"/>
      <w:sz w:val="20"/>
      <w:szCs w:val="20"/>
      <w:lang w:val="de-DE" w:eastAsia="de-DE"/>
    </w:rPr>
  </w:style>
  <w:style w:type="paragraph" w:customStyle="1" w:styleId="344">
    <w:name w:val="SANGFOR_6_1级编号"/>
    <w:basedOn w:val="345"/>
    <w:qFormat/>
    <w:uiPriority w:val="0"/>
    <w:pPr>
      <w:numPr>
        <w:ilvl w:val="0"/>
        <w:numId w:val="10"/>
      </w:numPr>
      <w:tabs>
        <w:tab w:val="left" w:pos="420"/>
      </w:tabs>
      <w:ind w:firstLine="0" w:firstLineChars="0"/>
    </w:pPr>
  </w:style>
  <w:style w:type="paragraph" w:customStyle="1" w:styleId="345">
    <w:name w:val="SANGFOR_6_正文"/>
    <w:basedOn w:val="1"/>
    <w:qFormat/>
    <w:uiPriority w:val="0"/>
    <w:pPr>
      <w:spacing w:line="360" w:lineRule="auto"/>
      <w:ind w:right="210" w:firstLine="420" w:firstLineChars="200"/>
    </w:pPr>
    <w:rPr>
      <w:szCs w:val="24"/>
    </w:rPr>
  </w:style>
  <w:style w:type="paragraph" w:customStyle="1" w:styleId="346">
    <w:name w:val="Char Char2 Char Char Char Char Char Char Char"/>
    <w:basedOn w:val="1"/>
    <w:qFormat/>
    <w:uiPriority w:val="0"/>
    <w:rPr>
      <w:rFonts w:ascii="Tahoma" w:hAnsi="Tahoma"/>
      <w:sz w:val="24"/>
      <w:szCs w:val="20"/>
    </w:rPr>
  </w:style>
  <w:style w:type="paragraph" w:customStyle="1" w:styleId="347">
    <w:name w:val="xl82"/>
    <w:basedOn w:val="1"/>
    <w:qFormat/>
    <w:uiPriority w:val="0"/>
    <w:pPr>
      <w:widowControl/>
      <w:spacing w:before="100" w:beforeAutospacing="1" w:after="100" w:afterAutospacing="1"/>
      <w:jc w:val="center"/>
      <w:textAlignment w:val="center"/>
    </w:pPr>
    <w:rPr>
      <w:kern w:val="0"/>
      <w:sz w:val="20"/>
      <w:szCs w:val="20"/>
    </w:rPr>
  </w:style>
  <w:style w:type="paragraph" w:customStyle="1" w:styleId="348">
    <w:name w:val="图样式"/>
    <w:basedOn w:val="1"/>
    <w:qFormat/>
    <w:uiPriority w:val="0"/>
    <w:pPr>
      <w:keepNext/>
      <w:widowControl/>
      <w:autoSpaceDE w:val="0"/>
      <w:autoSpaceDN w:val="0"/>
      <w:adjustRightInd w:val="0"/>
      <w:spacing w:before="80" w:after="80" w:line="360" w:lineRule="auto"/>
      <w:jc w:val="center"/>
    </w:pPr>
    <w:rPr>
      <w:kern w:val="0"/>
      <w:szCs w:val="20"/>
    </w:rPr>
  </w:style>
  <w:style w:type="paragraph" w:customStyle="1" w:styleId="349">
    <w:name w:val="table_lines"/>
    <w:basedOn w:val="1"/>
    <w:qFormat/>
    <w:uiPriority w:val="0"/>
    <w:pPr>
      <w:widowControl/>
      <w:jc w:val="left"/>
    </w:pPr>
    <w:rPr>
      <w:kern w:val="0"/>
      <w:sz w:val="20"/>
      <w:szCs w:val="20"/>
      <w:lang w:val="de-DE" w:eastAsia="de-DE"/>
    </w:rPr>
  </w:style>
  <w:style w:type="paragraph" w:customStyle="1" w:styleId="350">
    <w:name w:val="xl145"/>
    <w:basedOn w:val="1"/>
    <w:qFormat/>
    <w:uiPriority w:val="0"/>
    <w:pPr>
      <w:widowControl/>
      <w:pBdr>
        <w:top w:val="single" w:color="auto" w:sz="4" w:space="0"/>
        <w:left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351">
    <w:name w:val="xl9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352">
    <w:name w:val="Char Char Char Char"/>
    <w:basedOn w:val="19"/>
    <w:qFormat/>
    <w:uiPriority w:val="0"/>
    <w:pPr>
      <w:adjustRightInd w:val="0"/>
      <w:snapToGrid w:val="0"/>
      <w:spacing w:line="360" w:lineRule="auto"/>
    </w:pPr>
    <w:rPr>
      <w:rFonts w:ascii="Tahoma" w:hAnsi="Tahoma"/>
      <w:sz w:val="24"/>
      <w:szCs w:val="24"/>
    </w:rPr>
  </w:style>
  <w:style w:type="paragraph" w:customStyle="1" w:styleId="353">
    <w:name w:val="表格文字"/>
    <w:next w:val="1"/>
    <w:qFormat/>
    <w:uiPriority w:val="0"/>
    <w:rPr>
      <w:rFonts w:ascii="Times New Roman" w:hAnsi="Times New Roman" w:eastAsia="宋体" w:cs="Times New Roman"/>
      <w:sz w:val="21"/>
      <w:lang w:val="en-US" w:eastAsia="zh-CN" w:bidi="ar-SA"/>
    </w:rPr>
  </w:style>
  <w:style w:type="paragraph" w:customStyle="1" w:styleId="354">
    <w:name w:val="xl106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Arial" w:hAnsi="Arial" w:cs="Arial"/>
      <w:kern w:val="0"/>
      <w:sz w:val="22"/>
      <w:szCs w:val="22"/>
    </w:rPr>
  </w:style>
  <w:style w:type="paragraph" w:customStyle="1" w:styleId="355">
    <w:name w:val="段落"/>
    <w:basedOn w:val="1"/>
    <w:qFormat/>
    <w:uiPriority w:val="0"/>
    <w:pPr>
      <w:spacing w:before="120" w:after="120" w:line="0" w:lineRule="atLeast"/>
      <w:ind w:firstLine="567"/>
    </w:pPr>
    <w:rPr>
      <w:sz w:val="28"/>
      <w:szCs w:val="20"/>
    </w:rPr>
  </w:style>
  <w:style w:type="paragraph" w:customStyle="1" w:styleId="356">
    <w:name w:val="font14"/>
    <w:basedOn w:val="1"/>
    <w:qFormat/>
    <w:uiPriority w:val="0"/>
    <w:pPr>
      <w:widowControl/>
      <w:spacing w:before="100" w:beforeAutospacing="1" w:after="100" w:afterAutospacing="1"/>
      <w:jc w:val="left"/>
    </w:pPr>
    <w:rPr>
      <w:rFonts w:ascii="宋体" w:hAnsi="宋体" w:cs="宋体"/>
      <w:b/>
      <w:bCs/>
      <w:kern w:val="0"/>
      <w:sz w:val="20"/>
      <w:szCs w:val="20"/>
    </w:rPr>
  </w:style>
  <w:style w:type="paragraph" w:customStyle="1" w:styleId="357">
    <w:name w:val="正文内容"/>
    <w:basedOn w:val="1"/>
    <w:qFormat/>
    <w:uiPriority w:val="0"/>
    <w:pPr>
      <w:spacing w:line="520" w:lineRule="exact"/>
      <w:ind w:firstLine="200" w:firstLineChars="200"/>
    </w:pPr>
    <w:rPr>
      <w:rFonts w:ascii="方正仿宋简体" w:eastAsia="方正仿宋简体"/>
      <w:sz w:val="28"/>
      <w:szCs w:val="24"/>
    </w:rPr>
  </w:style>
  <w:style w:type="paragraph" w:customStyle="1" w:styleId="358">
    <w:name w:val="Char Char Char Char Char Char Char Char"/>
    <w:basedOn w:val="1"/>
    <w:qFormat/>
    <w:uiPriority w:val="0"/>
    <w:pPr>
      <w:widowControl/>
      <w:spacing w:after="160" w:line="240" w:lineRule="exact"/>
      <w:jc w:val="left"/>
    </w:pPr>
    <w:rPr>
      <w:rFonts w:ascii="Verdana" w:hAnsi="Verdana"/>
      <w:kern w:val="0"/>
      <w:sz w:val="20"/>
      <w:szCs w:val="20"/>
      <w:lang w:eastAsia="en-US"/>
    </w:rPr>
  </w:style>
  <w:style w:type="paragraph" w:customStyle="1" w:styleId="359">
    <w:name w:val="xl109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FF0000"/>
      <w:kern w:val="0"/>
      <w:sz w:val="22"/>
      <w:szCs w:val="22"/>
    </w:rPr>
  </w:style>
  <w:style w:type="paragraph" w:customStyle="1" w:styleId="360">
    <w:name w:val="_Style 225"/>
    <w:next w:val="1"/>
    <w:unhideWhenUsed/>
    <w:qFormat/>
    <w:uiPriority w:val="99"/>
    <w:pPr>
      <w:widowControl w:val="0"/>
      <w:jc w:val="both"/>
    </w:pPr>
    <w:rPr>
      <w:rFonts w:ascii="Times New Roman" w:hAnsi="Times New Roman" w:eastAsia="宋体" w:cs="Times New Roman"/>
      <w:kern w:val="2"/>
      <w:sz w:val="21"/>
      <w:szCs w:val="24"/>
      <w:lang w:val="en-US" w:eastAsia="zh-CN" w:bidi="ar-SA"/>
    </w:rPr>
  </w:style>
  <w:style w:type="paragraph" w:customStyle="1" w:styleId="361">
    <w:name w:val="xl8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362">
    <w:name w:val="Char Char Char Char Char Char Char Char1"/>
    <w:basedOn w:val="1"/>
    <w:qFormat/>
    <w:uiPriority w:val="0"/>
    <w:pPr>
      <w:widowControl/>
      <w:spacing w:after="160" w:line="240" w:lineRule="exact"/>
      <w:jc w:val="left"/>
    </w:pPr>
    <w:rPr>
      <w:rFonts w:ascii="Verdana" w:hAnsi="Verdana"/>
      <w:kern w:val="0"/>
      <w:sz w:val="20"/>
      <w:szCs w:val="20"/>
      <w:lang w:eastAsia="en-US"/>
    </w:rPr>
  </w:style>
  <w:style w:type="paragraph" w:customStyle="1" w:styleId="363">
    <w:name w:val="xl14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364">
    <w:name w:val="正文，首行缩进:"/>
    <w:basedOn w:val="1"/>
    <w:qFormat/>
    <w:uiPriority w:val="0"/>
    <w:pPr>
      <w:spacing w:line="360" w:lineRule="auto"/>
      <w:ind w:firstLine="480" w:firstLineChars="200"/>
      <w:jc w:val="left"/>
    </w:pPr>
    <w:rPr>
      <w:rFonts w:ascii="仿宋_GB2312" w:hAnsi="Arial" w:eastAsia="仿宋_GB2312"/>
      <w:kern w:val="0"/>
      <w:sz w:val="24"/>
      <w:szCs w:val="20"/>
    </w:rPr>
  </w:style>
  <w:style w:type="paragraph" w:customStyle="1" w:styleId="365">
    <w:name w:val="xl10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kern w:val="0"/>
      <w:sz w:val="22"/>
      <w:szCs w:val="22"/>
    </w:rPr>
  </w:style>
  <w:style w:type="paragraph" w:customStyle="1" w:styleId="366">
    <w:name w:val="Char Char Char Char1"/>
    <w:basedOn w:val="19"/>
    <w:qFormat/>
    <w:uiPriority w:val="0"/>
    <w:pPr>
      <w:adjustRightInd w:val="0"/>
      <w:snapToGrid w:val="0"/>
      <w:spacing w:line="360" w:lineRule="auto"/>
    </w:pPr>
    <w:rPr>
      <w:rFonts w:ascii="Tahoma" w:hAnsi="Tahoma"/>
      <w:sz w:val="24"/>
      <w:szCs w:val="24"/>
    </w:rPr>
  </w:style>
  <w:style w:type="paragraph" w:customStyle="1" w:styleId="367">
    <w:name w:val="font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368">
    <w:name w:val="xl12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color w:val="000000"/>
      <w:kern w:val="0"/>
      <w:sz w:val="20"/>
      <w:szCs w:val="20"/>
    </w:rPr>
  </w:style>
  <w:style w:type="paragraph" w:customStyle="1" w:styleId="369">
    <w:name w:val="duc_title"/>
    <w:basedOn w:val="1"/>
    <w:qFormat/>
    <w:uiPriority w:val="0"/>
    <w:pPr>
      <w:widowControl/>
      <w:spacing w:before="100" w:beforeAutospacing="1" w:after="100" w:afterAutospacing="1" w:line="300" w:lineRule="atLeast"/>
      <w:jc w:val="left"/>
    </w:pPr>
    <w:rPr>
      <w:rFonts w:ascii="宋体" w:hAnsi="宋体" w:cs="宋体"/>
      <w:kern w:val="0"/>
      <w:sz w:val="18"/>
      <w:szCs w:val="18"/>
    </w:rPr>
  </w:style>
  <w:style w:type="paragraph" w:customStyle="1" w:styleId="370">
    <w:name w:val="xl126"/>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71">
    <w:name w:val="xl11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372">
    <w:name w:val="figurechar"/>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73">
    <w:name w:val="xl12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374">
    <w:name w:val="xl106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宋体" w:hAnsi="宋体" w:cs="宋体"/>
      <w:kern w:val="0"/>
      <w:sz w:val="22"/>
      <w:szCs w:val="22"/>
    </w:rPr>
  </w:style>
  <w:style w:type="paragraph" w:customStyle="1" w:styleId="375">
    <w:name w:val="font16"/>
    <w:basedOn w:val="1"/>
    <w:qFormat/>
    <w:uiPriority w:val="0"/>
    <w:pPr>
      <w:widowControl/>
      <w:spacing w:before="100" w:beforeAutospacing="1" w:after="100" w:afterAutospacing="1"/>
      <w:jc w:val="left"/>
    </w:pPr>
    <w:rPr>
      <w:kern w:val="0"/>
      <w:sz w:val="20"/>
      <w:szCs w:val="20"/>
    </w:rPr>
  </w:style>
  <w:style w:type="paragraph" w:customStyle="1" w:styleId="376">
    <w:name w:val="figuredescription"/>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77">
    <w:name w:val="框下空行"/>
    <w:basedOn w:val="378"/>
    <w:next w:val="378"/>
    <w:qFormat/>
    <w:uiPriority w:val="0"/>
    <w:pPr>
      <w:spacing w:before="0" w:after="0" w:line="240" w:lineRule="exact"/>
    </w:pPr>
  </w:style>
  <w:style w:type="paragraph" w:customStyle="1" w:styleId="378">
    <w:name w:val="正文 1"/>
    <w:basedOn w:val="1"/>
    <w:qFormat/>
    <w:uiPriority w:val="0"/>
    <w:pPr>
      <w:widowControl/>
      <w:adjustRightInd w:val="0"/>
      <w:snapToGrid w:val="0"/>
      <w:spacing w:before="80" w:after="80" w:line="360" w:lineRule="auto"/>
      <w:ind w:left="1418"/>
    </w:pPr>
    <w:rPr>
      <w:szCs w:val="20"/>
    </w:rPr>
  </w:style>
  <w:style w:type="paragraph" w:customStyle="1" w:styleId="379">
    <w:name w:val="xl1074"/>
    <w:basedOn w:val="1"/>
    <w:qFormat/>
    <w:uiPriority w:val="0"/>
    <w:pPr>
      <w:widowControl/>
      <w:shd w:val="clear" w:color="000000" w:fill="FFFFFF"/>
      <w:spacing w:before="100" w:beforeAutospacing="1" w:after="100" w:afterAutospacing="1"/>
      <w:jc w:val="center"/>
    </w:pPr>
    <w:rPr>
      <w:rFonts w:ascii="Arial" w:hAnsi="Arial" w:cs="Arial"/>
      <w:kern w:val="0"/>
      <w:sz w:val="22"/>
      <w:szCs w:val="22"/>
    </w:rPr>
  </w:style>
  <w:style w:type="paragraph" w:customStyle="1" w:styleId="380">
    <w:name w:val="ColumnHead_Stibo_Grayed"/>
    <w:basedOn w:val="1"/>
    <w:qFormat/>
    <w:uiPriority w:val="0"/>
    <w:pPr>
      <w:widowControl/>
      <w:jc w:val="left"/>
    </w:pPr>
    <w:rPr>
      <w:rFonts w:ascii="Helvetica" w:hAnsi="Helvetica"/>
      <w:b/>
      <w:color w:val="999999"/>
      <w:kern w:val="0"/>
      <w:sz w:val="20"/>
      <w:szCs w:val="24"/>
      <w:lang w:eastAsia="en-US"/>
    </w:rPr>
  </w:style>
  <w:style w:type="paragraph" w:customStyle="1" w:styleId="381">
    <w:name w:val="Char2"/>
    <w:basedOn w:val="1"/>
    <w:qFormat/>
    <w:uiPriority w:val="0"/>
    <w:pPr>
      <w:tabs>
        <w:tab w:val="left" w:pos="360"/>
      </w:tabs>
      <w:ind w:firstLine="200" w:firstLineChars="200"/>
    </w:pPr>
    <w:rPr>
      <w:sz w:val="28"/>
      <w:szCs w:val="30"/>
    </w:rPr>
  </w:style>
  <w:style w:type="paragraph" w:customStyle="1" w:styleId="382">
    <w:name w:val="TextHead1_Stibo_Grayed"/>
    <w:basedOn w:val="1"/>
    <w:qFormat/>
    <w:uiPriority w:val="0"/>
    <w:pPr>
      <w:widowControl/>
      <w:jc w:val="left"/>
    </w:pPr>
    <w:rPr>
      <w:rFonts w:ascii="Helvetica" w:hAnsi="Helvetica"/>
      <w:b/>
      <w:color w:val="999999"/>
      <w:kern w:val="0"/>
      <w:sz w:val="24"/>
      <w:szCs w:val="24"/>
      <w:lang w:eastAsia="en-US"/>
    </w:rPr>
  </w:style>
  <w:style w:type="paragraph" w:customStyle="1" w:styleId="383">
    <w:name w:val="xl112"/>
    <w:basedOn w:val="1"/>
    <w:qFormat/>
    <w:uiPriority w:val="0"/>
    <w:pPr>
      <w:widowControl/>
      <w:spacing w:before="100" w:beforeAutospacing="1" w:after="100" w:afterAutospacing="1"/>
      <w:jc w:val="center"/>
      <w:textAlignment w:val="center"/>
    </w:pPr>
    <w:rPr>
      <w:rFonts w:ascii="宋体" w:hAnsi="宋体" w:cs="宋体"/>
      <w:color w:val="000000"/>
      <w:kern w:val="0"/>
      <w:sz w:val="20"/>
      <w:szCs w:val="20"/>
    </w:rPr>
  </w:style>
  <w:style w:type="paragraph" w:customStyle="1" w:styleId="384">
    <w:name w:val="修订1"/>
    <w:unhideWhenUsed/>
    <w:qFormat/>
    <w:uiPriority w:val="99"/>
    <w:rPr>
      <w:rFonts w:ascii="Times New Roman" w:hAnsi="Times New Roman" w:eastAsia="宋体" w:cs="Times New Roman"/>
      <w:kern w:val="2"/>
      <w:sz w:val="21"/>
      <w:szCs w:val="24"/>
      <w:lang w:val="en-US" w:eastAsia="zh-CN" w:bidi="ar-SA"/>
    </w:rPr>
  </w:style>
  <w:style w:type="paragraph" w:customStyle="1" w:styleId="385">
    <w:name w:val="xl11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386">
    <w:name w:val="xl10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387">
    <w:name w:val="xl10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2"/>
      <w:szCs w:val="22"/>
    </w:rPr>
  </w:style>
  <w:style w:type="paragraph" w:customStyle="1" w:styleId="388">
    <w:name w:val="bcgg"/>
    <w:basedOn w:val="1"/>
    <w:qFormat/>
    <w:uiPriority w:val="0"/>
    <w:pPr>
      <w:widowControl/>
      <w:spacing w:before="100" w:beforeAutospacing="1" w:after="100" w:afterAutospacing="1" w:line="300" w:lineRule="atLeast"/>
      <w:jc w:val="left"/>
    </w:pPr>
    <w:rPr>
      <w:rFonts w:ascii="ˎ̥" w:hAnsi="ˎ̥"/>
      <w:color w:val="323433"/>
      <w:kern w:val="0"/>
      <w:sz w:val="18"/>
      <w:szCs w:val="20"/>
    </w:rPr>
  </w:style>
  <w:style w:type="paragraph" w:customStyle="1" w:styleId="389">
    <w:name w:val="文档正文"/>
    <w:basedOn w:val="1"/>
    <w:qFormat/>
    <w:uiPriority w:val="0"/>
    <w:pPr>
      <w:adjustRightInd w:val="0"/>
      <w:spacing w:line="312" w:lineRule="atLeast"/>
      <w:ind w:firstLine="567"/>
      <w:textAlignment w:val="baseline"/>
    </w:pPr>
    <w:rPr>
      <w:rFonts w:ascii="长城仿宋" w:eastAsia="长城仿宋"/>
      <w:kern w:val="0"/>
      <w:sz w:val="28"/>
      <w:szCs w:val="20"/>
    </w:rPr>
  </w:style>
  <w:style w:type="paragraph" w:customStyle="1" w:styleId="390">
    <w:name w:val="nei"/>
    <w:basedOn w:val="1"/>
    <w:qFormat/>
    <w:uiPriority w:val="0"/>
    <w:pPr>
      <w:widowControl/>
      <w:spacing w:before="100" w:beforeAutospacing="1" w:after="100" w:afterAutospacing="1" w:line="300" w:lineRule="atLeast"/>
      <w:jc w:val="left"/>
    </w:pPr>
    <w:rPr>
      <w:rFonts w:ascii="宋体" w:hAnsi="宋体" w:cs="宋体"/>
      <w:kern w:val="0"/>
      <w:sz w:val="18"/>
      <w:szCs w:val="18"/>
    </w:rPr>
  </w:style>
  <w:style w:type="paragraph" w:customStyle="1" w:styleId="391">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18"/>
      <w:szCs w:val="18"/>
    </w:rPr>
  </w:style>
  <w:style w:type="paragraph" w:customStyle="1" w:styleId="392">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18"/>
      <w:szCs w:val="18"/>
    </w:rPr>
  </w:style>
  <w:style w:type="paragraph" w:customStyle="1" w:styleId="393">
    <w:name w:val="titletext6"/>
    <w:basedOn w:val="1"/>
    <w:qFormat/>
    <w:uiPriority w:val="0"/>
    <w:pPr>
      <w:widowControl/>
      <w:spacing w:before="120" w:after="100" w:afterAutospacing="1" w:line="450" w:lineRule="atLeast"/>
      <w:jc w:val="left"/>
    </w:pPr>
    <w:rPr>
      <w:rFonts w:ascii="宋体" w:hAnsi="宋体" w:cs="宋体"/>
      <w:color w:val="C50B1E"/>
      <w:kern w:val="0"/>
      <w:sz w:val="24"/>
      <w:szCs w:val="24"/>
    </w:rPr>
  </w:style>
  <w:style w:type="paragraph" w:customStyle="1" w:styleId="394">
    <w:name w:val="Char Char Char"/>
    <w:basedOn w:val="1"/>
    <w:qFormat/>
    <w:uiPriority w:val="0"/>
    <w:rPr>
      <w:rFonts w:ascii="Arial" w:hAnsi="Arial" w:cs="Arial"/>
      <w:szCs w:val="24"/>
    </w:rPr>
  </w:style>
  <w:style w:type="paragraph" w:customStyle="1" w:styleId="395">
    <w:name w:val="itemlistintable"/>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96">
    <w:name w:val="itemlist"/>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97">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98">
    <w:name w:val="figuredescriptionchar"/>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99">
    <w:name w:val="figuretextchar"/>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00">
    <w:name w:val="TableBulletStyle1_Stibo_Grayed"/>
    <w:basedOn w:val="401"/>
    <w:next w:val="403"/>
    <w:qFormat/>
    <w:uiPriority w:val="0"/>
    <w:pPr>
      <w:tabs>
        <w:tab w:val="left" w:pos="360"/>
        <w:tab w:val="left" w:pos="720"/>
      </w:tabs>
    </w:pPr>
    <w:rPr>
      <w:color w:val="999999"/>
      <w:szCs w:val="20"/>
    </w:rPr>
  </w:style>
  <w:style w:type="paragraph" w:customStyle="1" w:styleId="401">
    <w:name w:val="TableBulletStyle1"/>
    <w:next w:val="402"/>
    <w:qFormat/>
    <w:uiPriority w:val="0"/>
    <w:pPr>
      <w:keepNext/>
      <w:tabs>
        <w:tab w:val="left" w:pos="360"/>
        <w:tab w:val="left" w:pos="720"/>
      </w:tabs>
    </w:pPr>
    <w:rPr>
      <w:rFonts w:ascii="Helvetica" w:hAnsi="Helvetica" w:eastAsia="宋体" w:cs="Times New Roman"/>
      <w:szCs w:val="24"/>
      <w:lang w:val="en-GB" w:eastAsia="en-US" w:bidi="ar-SA"/>
    </w:rPr>
  </w:style>
  <w:style w:type="paragraph" w:customStyle="1" w:styleId="402">
    <w:name w:val="TableBulletStyle1_NoBullet"/>
    <w:next w:val="401"/>
    <w:qFormat/>
    <w:uiPriority w:val="0"/>
    <w:pPr>
      <w:tabs>
        <w:tab w:val="left" w:pos="720"/>
      </w:tabs>
      <w:ind w:left="720"/>
    </w:pPr>
    <w:rPr>
      <w:rFonts w:ascii="Helvetica" w:hAnsi="Helvetica" w:eastAsia="宋体" w:cs="Times New Roman"/>
      <w:szCs w:val="2"/>
      <w:lang w:val="en-US" w:eastAsia="en-US" w:bidi="ar-SA"/>
    </w:rPr>
  </w:style>
  <w:style w:type="paragraph" w:customStyle="1" w:styleId="403">
    <w:name w:val="TableBulletStyle1_NB_Stibo_Grayed"/>
    <w:basedOn w:val="402"/>
    <w:next w:val="400"/>
    <w:qFormat/>
    <w:uiPriority w:val="0"/>
    <w:rPr>
      <w:color w:val="999999"/>
      <w:szCs w:val="20"/>
    </w:rPr>
  </w:style>
  <w:style w:type="paragraph" w:customStyle="1" w:styleId="404">
    <w:name w:val="图形文字"/>
    <w:next w:val="1"/>
    <w:qFormat/>
    <w:uiPriority w:val="0"/>
    <w:pPr>
      <w:jc w:val="center"/>
    </w:pPr>
    <w:rPr>
      <w:rFonts w:ascii="Times New Roman" w:hAnsi="Times New Roman" w:eastAsia="宋体" w:cs="Times New Roman"/>
      <w:color w:val="000000"/>
      <w:sz w:val="24"/>
      <w:lang w:val="en-US" w:eastAsia="zh-CN" w:bidi="ar-SA"/>
    </w:rPr>
  </w:style>
  <w:style w:type="paragraph" w:customStyle="1" w:styleId="405">
    <w:name w:val="xl1060"/>
    <w:basedOn w:val="1"/>
    <w:qFormat/>
    <w:uiPriority w:val="0"/>
    <w:pPr>
      <w:widowControl/>
      <w:shd w:val="clear" w:color="000000" w:fill="FFFFFF"/>
      <w:spacing w:before="100" w:beforeAutospacing="1" w:after="100" w:afterAutospacing="1"/>
      <w:jc w:val="left"/>
    </w:pPr>
    <w:rPr>
      <w:rFonts w:ascii="宋体" w:hAnsi="宋体" w:cs="宋体"/>
      <w:kern w:val="0"/>
      <w:sz w:val="22"/>
      <w:szCs w:val="22"/>
    </w:rPr>
  </w:style>
  <w:style w:type="paragraph" w:customStyle="1" w:styleId="406">
    <w:name w:val="xl13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407">
    <w:name w:val="缺省文本"/>
    <w:basedOn w:val="1"/>
    <w:qFormat/>
    <w:uiPriority w:val="0"/>
    <w:pPr>
      <w:autoSpaceDE w:val="0"/>
      <w:autoSpaceDN w:val="0"/>
      <w:adjustRightInd w:val="0"/>
      <w:jc w:val="left"/>
    </w:pPr>
    <w:rPr>
      <w:kern w:val="0"/>
      <w:sz w:val="24"/>
      <w:szCs w:val="24"/>
    </w:rPr>
  </w:style>
  <w:style w:type="paragraph" w:customStyle="1" w:styleId="408">
    <w:name w:val="Figure"/>
    <w:basedOn w:val="1"/>
    <w:next w:val="95"/>
    <w:qFormat/>
    <w:uiPriority w:val="0"/>
    <w:pPr>
      <w:keepNext/>
      <w:widowControl/>
      <w:snapToGrid w:val="0"/>
      <w:spacing w:before="80" w:after="80" w:line="300" w:lineRule="auto"/>
      <w:ind w:left="1134"/>
      <w:jc w:val="center"/>
    </w:pPr>
    <w:rPr>
      <w:rFonts w:ascii="Arial" w:hAnsi="Arial" w:cs="Arial"/>
      <w:kern w:val="0"/>
    </w:rPr>
  </w:style>
  <w:style w:type="paragraph" w:customStyle="1" w:styleId="409">
    <w:name w:val="xl108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2"/>
      <w:szCs w:val="22"/>
    </w:rPr>
  </w:style>
  <w:style w:type="paragraph" w:customStyle="1" w:styleId="410">
    <w:name w:val="xl1103"/>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cs="宋体"/>
      <w:b/>
      <w:bCs/>
      <w:kern w:val="0"/>
      <w:sz w:val="22"/>
      <w:szCs w:val="22"/>
    </w:rPr>
  </w:style>
  <w:style w:type="paragraph" w:customStyle="1" w:styleId="411">
    <w:name w:val="文字"/>
    <w:basedOn w:val="1"/>
    <w:qFormat/>
    <w:uiPriority w:val="0"/>
    <w:pPr>
      <w:tabs>
        <w:tab w:val="left" w:pos="8520"/>
      </w:tabs>
      <w:spacing w:line="312" w:lineRule="auto"/>
      <w:ind w:right="-210" w:firstLine="556"/>
    </w:pPr>
    <w:rPr>
      <w:rFonts w:ascii="宋体" w:hAnsi="宋体"/>
      <w:sz w:val="28"/>
      <w:szCs w:val="20"/>
    </w:rPr>
  </w:style>
  <w:style w:type="paragraph" w:customStyle="1" w:styleId="412">
    <w:name w:val="xl9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413">
    <w:name w:val="xl1063"/>
    <w:basedOn w:val="1"/>
    <w:qFormat/>
    <w:uiPriority w:val="0"/>
    <w:pPr>
      <w:widowControl/>
      <w:pBdr>
        <w:top w:val="single" w:color="auto" w:sz="4" w:space="0"/>
        <w:bottom w:val="single" w:color="auto" w:sz="4" w:space="0"/>
      </w:pBdr>
      <w:shd w:val="clear" w:color="000000" w:fill="FFFFFF"/>
      <w:spacing w:before="100" w:beforeAutospacing="1" w:after="100" w:afterAutospacing="1"/>
      <w:jc w:val="center"/>
    </w:pPr>
    <w:rPr>
      <w:rFonts w:ascii="Arial" w:hAnsi="Arial" w:cs="Arial"/>
      <w:kern w:val="0"/>
      <w:sz w:val="22"/>
      <w:szCs w:val="22"/>
    </w:rPr>
  </w:style>
  <w:style w:type="paragraph" w:customStyle="1" w:styleId="414">
    <w:name w:val="xl1101"/>
    <w:basedOn w:val="1"/>
    <w:qFormat/>
    <w:uiPriority w:val="0"/>
    <w:pPr>
      <w:widowControl/>
      <w:pBdr>
        <w:bottom w:val="single" w:color="auto" w:sz="4" w:space="0"/>
      </w:pBdr>
      <w:shd w:val="clear" w:color="000000" w:fill="FFFFFF"/>
      <w:spacing w:before="100" w:beforeAutospacing="1" w:after="100" w:afterAutospacing="1"/>
      <w:jc w:val="center"/>
    </w:pPr>
    <w:rPr>
      <w:rFonts w:ascii="宋体" w:hAnsi="宋体" w:cs="宋体"/>
      <w:b/>
      <w:bCs/>
      <w:kern w:val="0"/>
      <w:sz w:val="36"/>
      <w:szCs w:val="36"/>
    </w:rPr>
  </w:style>
  <w:style w:type="paragraph" w:customStyle="1" w:styleId="415">
    <w:name w:val="xl1075"/>
    <w:basedOn w:val="1"/>
    <w:qFormat/>
    <w:uiPriority w:val="0"/>
    <w:pPr>
      <w:widowControl/>
      <w:shd w:val="clear" w:color="000000" w:fill="FFFFFF"/>
      <w:spacing w:before="100" w:beforeAutospacing="1" w:after="100" w:afterAutospacing="1"/>
      <w:jc w:val="center"/>
    </w:pPr>
    <w:rPr>
      <w:rFonts w:ascii="Arial" w:hAnsi="Arial" w:cs="Arial"/>
      <w:kern w:val="0"/>
      <w:sz w:val="22"/>
      <w:szCs w:val="22"/>
    </w:rPr>
  </w:style>
  <w:style w:type="paragraph" w:customStyle="1" w:styleId="416">
    <w:name w:val="xl1064"/>
    <w:basedOn w:val="1"/>
    <w:qFormat/>
    <w:uiPriority w:val="0"/>
    <w:pPr>
      <w:widowControl/>
      <w:pBdr>
        <w:top w:val="single" w:color="auto" w:sz="4" w:space="0"/>
        <w:bottom w:val="single" w:color="auto" w:sz="4" w:space="0"/>
      </w:pBdr>
      <w:shd w:val="clear" w:color="000000" w:fill="FFFFFF"/>
      <w:spacing w:before="100" w:beforeAutospacing="1" w:after="100" w:afterAutospacing="1"/>
      <w:jc w:val="center"/>
    </w:pPr>
    <w:rPr>
      <w:rFonts w:ascii="Arial" w:hAnsi="Arial" w:cs="Arial"/>
      <w:kern w:val="0"/>
      <w:sz w:val="22"/>
      <w:szCs w:val="22"/>
    </w:rPr>
  </w:style>
  <w:style w:type="paragraph" w:customStyle="1" w:styleId="417">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18"/>
      <w:szCs w:val="18"/>
    </w:rPr>
  </w:style>
  <w:style w:type="paragraph" w:customStyle="1" w:styleId="418">
    <w:name w:val="xl106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b/>
      <w:bCs/>
      <w:kern w:val="0"/>
      <w:sz w:val="22"/>
      <w:szCs w:val="22"/>
    </w:rPr>
  </w:style>
  <w:style w:type="paragraph" w:customStyle="1" w:styleId="419">
    <w:name w:val="xl13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420">
    <w:name w:val="样式17"/>
    <w:basedOn w:val="17"/>
    <w:qFormat/>
    <w:uiPriority w:val="0"/>
    <w:pPr>
      <w:widowControl/>
      <w:tabs>
        <w:tab w:val="left" w:pos="2000"/>
      </w:tabs>
      <w:spacing w:before="120" w:after="360"/>
      <w:ind w:left="840" w:hanging="420"/>
      <w:jc w:val="center"/>
    </w:pPr>
    <w:rPr>
      <w:rFonts w:ascii="Arial" w:hAnsi="Arial" w:eastAsia="宋体"/>
      <w:bCs/>
      <w:kern w:val="0"/>
      <w:sz w:val="18"/>
      <w:lang w:eastAsia="en-US"/>
    </w:rPr>
  </w:style>
  <w:style w:type="paragraph" w:customStyle="1" w:styleId="421">
    <w:name w:val="normal bullet"/>
    <w:basedOn w:val="1"/>
    <w:qFormat/>
    <w:uiPriority w:val="0"/>
    <w:pPr>
      <w:tabs>
        <w:tab w:val="left" w:pos="5656"/>
      </w:tabs>
      <w:spacing w:before="100" w:beforeAutospacing="1" w:after="100" w:afterAutospacing="1"/>
    </w:pPr>
    <w:rPr>
      <w:sz w:val="24"/>
      <w:szCs w:val="24"/>
    </w:rPr>
  </w:style>
  <w:style w:type="paragraph" w:customStyle="1" w:styleId="422">
    <w:name w:val="ÕýÎÄ 1"/>
    <w:basedOn w:val="1"/>
    <w:qFormat/>
    <w:uiPriority w:val="0"/>
    <w:pPr>
      <w:widowControl/>
      <w:overflowPunct w:val="0"/>
      <w:autoSpaceDE w:val="0"/>
      <w:autoSpaceDN w:val="0"/>
      <w:adjustRightInd w:val="0"/>
      <w:spacing w:before="80" w:after="80" w:line="360" w:lineRule="auto"/>
      <w:ind w:left="1417"/>
      <w:textAlignment w:val="baseline"/>
    </w:pPr>
    <w:rPr>
      <w:kern w:val="0"/>
      <w:szCs w:val="20"/>
    </w:rPr>
  </w:style>
  <w:style w:type="paragraph" w:customStyle="1" w:styleId="423">
    <w:name w:val="tabletextchar"/>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24">
    <w:name w:val="正文（首行不缩进）"/>
    <w:basedOn w:val="1"/>
    <w:qFormat/>
    <w:uiPriority w:val="0"/>
    <w:pPr>
      <w:autoSpaceDE w:val="0"/>
      <w:autoSpaceDN w:val="0"/>
      <w:adjustRightInd w:val="0"/>
      <w:spacing w:line="360" w:lineRule="auto"/>
      <w:jc w:val="left"/>
    </w:pPr>
    <w:rPr>
      <w:kern w:val="0"/>
      <w:szCs w:val="20"/>
    </w:rPr>
  </w:style>
  <w:style w:type="paragraph" w:customStyle="1" w:styleId="425">
    <w:name w:val="表格表头"/>
    <w:basedOn w:val="426"/>
    <w:next w:val="426"/>
    <w:qFormat/>
    <w:uiPriority w:val="0"/>
    <w:pPr>
      <w:tabs>
        <w:tab w:val="left" w:pos="420"/>
      </w:tabs>
    </w:pPr>
    <w:rPr>
      <w:b/>
    </w:rPr>
  </w:style>
  <w:style w:type="paragraph" w:customStyle="1" w:styleId="426">
    <w:name w:val="表格正文"/>
    <w:basedOn w:val="1"/>
    <w:qFormat/>
    <w:uiPriority w:val="0"/>
    <w:pPr>
      <w:tabs>
        <w:tab w:val="left" w:pos="420"/>
      </w:tabs>
      <w:spacing w:before="60" w:after="60"/>
    </w:pPr>
    <w:rPr>
      <w:szCs w:val="20"/>
    </w:rPr>
  </w:style>
  <w:style w:type="paragraph" w:customStyle="1" w:styleId="427">
    <w:name w:val="p0"/>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28">
    <w:name w:val="xl108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2"/>
      <w:szCs w:val="22"/>
    </w:rPr>
  </w:style>
  <w:style w:type="paragraph" w:customStyle="1" w:styleId="429">
    <w:name w:val="a4"/>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30">
    <w:name w:val="xl13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431">
    <w:name w:val="Char1 Char Char Char Char Char Char"/>
    <w:basedOn w:val="1"/>
    <w:qFormat/>
    <w:uiPriority w:val="0"/>
    <w:pPr>
      <w:spacing w:line="360" w:lineRule="auto"/>
    </w:pPr>
    <w:rPr>
      <w:rFonts w:ascii="Tahoma" w:hAnsi="Tahoma"/>
      <w:sz w:val="24"/>
      <w:szCs w:val="20"/>
    </w:rPr>
  </w:style>
  <w:style w:type="paragraph" w:customStyle="1" w:styleId="432">
    <w:name w:val="xl11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20"/>
      <w:szCs w:val="20"/>
    </w:rPr>
  </w:style>
  <w:style w:type="paragraph" w:customStyle="1" w:styleId="433">
    <w:name w:val="xl1072"/>
    <w:basedOn w:val="1"/>
    <w:qFormat/>
    <w:uiPriority w:val="0"/>
    <w:pPr>
      <w:widowControl/>
      <w:shd w:val="clear" w:color="000000" w:fill="FFFFFF"/>
      <w:spacing w:before="100" w:beforeAutospacing="1" w:after="100" w:afterAutospacing="1"/>
      <w:jc w:val="left"/>
    </w:pPr>
    <w:rPr>
      <w:rFonts w:ascii="Arial" w:hAnsi="Arial" w:cs="Arial"/>
      <w:kern w:val="0"/>
      <w:sz w:val="22"/>
      <w:szCs w:val="22"/>
    </w:rPr>
  </w:style>
  <w:style w:type="paragraph" w:customStyle="1" w:styleId="434">
    <w:name w:val="图号"/>
    <w:basedOn w:val="1"/>
    <w:qFormat/>
    <w:uiPriority w:val="0"/>
    <w:pPr>
      <w:numPr>
        <w:ilvl w:val="7"/>
        <w:numId w:val="8"/>
      </w:numPr>
      <w:autoSpaceDE w:val="0"/>
      <w:autoSpaceDN w:val="0"/>
      <w:adjustRightInd w:val="0"/>
      <w:spacing w:before="105" w:line="360" w:lineRule="auto"/>
      <w:jc w:val="center"/>
    </w:pPr>
    <w:rPr>
      <w:rFonts w:ascii="Arial" w:hAnsi="Arial"/>
      <w:kern w:val="0"/>
      <w:sz w:val="18"/>
      <w:szCs w:val="18"/>
    </w:rPr>
  </w:style>
  <w:style w:type="paragraph" w:customStyle="1" w:styleId="435">
    <w:name w:val="SFClearBullets"/>
    <w:qFormat/>
    <w:uiPriority w:val="0"/>
    <w:pPr>
      <w:tabs>
        <w:tab w:val="left" w:pos="360"/>
        <w:tab w:val="left" w:pos="480"/>
      </w:tabs>
    </w:pPr>
    <w:rPr>
      <w:rFonts w:ascii="Helvetica" w:hAnsi="Helvetica" w:eastAsia="宋体" w:cs="Times New Roman"/>
      <w:szCs w:val="24"/>
      <w:lang w:val="en-US" w:eastAsia="en-US" w:bidi="ar-SA"/>
    </w:rPr>
  </w:style>
  <w:style w:type="paragraph" w:customStyle="1" w:styleId="436">
    <w:name w:val="符号列表"/>
    <w:basedOn w:val="1"/>
    <w:qFormat/>
    <w:uiPriority w:val="0"/>
    <w:pPr>
      <w:widowControl/>
      <w:tabs>
        <w:tab w:val="left" w:pos="810"/>
        <w:tab w:val="left" w:pos="964"/>
      </w:tabs>
      <w:snapToGrid w:val="0"/>
      <w:spacing w:line="440" w:lineRule="exact"/>
      <w:ind w:left="810" w:hanging="330"/>
      <w:jc w:val="left"/>
    </w:pPr>
    <w:rPr>
      <w:color w:val="000000"/>
      <w:sz w:val="24"/>
      <w:szCs w:val="24"/>
    </w:rPr>
  </w:style>
  <w:style w:type="paragraph" w:customStyle="1" w:styleId="437">
    <w:name w:val="xl12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438">
    <w:name w:val="EST-List 9"/>
    <w:basedOn w:val="253"/>
    <w:qFormat/>
    <w:uiPriority w:val="0"/>
    <w:pPr>
      <w:tabs>
        <w:tab w:val="left" w:pos="3240"/>
        <w:tab w:val="left" w:pos="4380"/>
        <w:tab w:val="left" w:pos="4620"/>
        <w:tab w:val="clear" w:pos="2880"/>
        <w:tab w:val="clear" w:pos="3960"/>
      </w:tabs>
    </w:pPr>
  </w:style>
  <w:style w:type="paragraph" w:customStyle="1" w:styleId="439">
    <w:name w:val="xl1102"/>
    <w:basedOn w:val="1"/>
    <w:qFormat/>
    <w:uiPriority w:val="0"/>
    <w:pPr>
      <w:widowControl/>
      <w:pBdr>
        <w:bottom w:val="single" w:color="auto" w:sz="4" w:space="0"/>
      </w:pBdr>
      <w:shd w:val="clear" w:color="000000" w:fill="FFFFFF"/>
      <w:spacing w:before="100" w:beforeAutospacing="1" w:after="100" w:afterAutospacing="1"/>
      <w:jc w:val="center"/>
    </w:pPr>
    <w:rPr>
      <w:rFonts w:ascii="Arial" w:hAnsi="Arial" w:cs="Arial"/>
      <w:b/>
      <w:bCs/>
      <w:kern w:val="0"/>
      <w:sz w:val="36"/>
      <w:szCs w:val="36"/>
    </w:rPr>
  </w:style>
  <w:style w:type="paragraph" w:customStyle="1" w:styleId="440">
    <w:name w:val="xl11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FF0000"/>
      <w:kern w:val="0"/>
      <w:sz w:val="20"/>
      <w:szCs w:val="20"/>
    </w:rPr>
  </w:style>
  <w:style w:type="paragraph" w:customStyle="1" w:styleId="441">
    <w:name w:val="xl81"/>
    <w:basedOn w:val="1"/>
    <w:qFormat/>
    <w:uiPriority w:val="0"/>
    <w:pPr>
      <w:widowControl/>
      <w:spacing w:before="100" w:beforeAutospacing="1" w:after="100" w:afterAutospacing="1"/>
      <w:jc w:val="center"/>
    </w:pPr>
    <w:rPr>
      <w:kern w:val="0"/>
      <w:sz w:val="18"/>
      <w:szCs w:val="18"/>
    </w:rPr>
  </w:style>
  <w:style w:type="paragraph" w:customStyle="1" w:styleId="442">
    <w:name w:val="图片"/>
    <w:basedOn w:val="1"/>
    <w:next w:val="2"/>
    <w:qFormat/>
    <w:uiPriority w:val="0"/>
    <w:pPr>
      <w:adjustRightInd w:val="0"/>
      <w:jc w:val="center"/>
    </w:pPr>
    <w:rPr>
      <w:szCs w:val="24"/>
    </w:rPr>
  </w:style>
  <w:style w:type="paragraph" w:customStyle="1" w:styleId="443">
    <w:name w:val="Pa10"/>
    <w:basedOn w:val="1"/>
    <w:next w:val="1"/>
    <w:unhideWhenUsed/>
    <w:qFormat/>
    <w:uiPriority w:val="99"/>
    <w:pPr>
      <w:autoSpaceDE w:val="0"/>
      <w:autoSpaceDN w:val="0"/>
      <w:adjustRightInd w:val="0"/>
      <w:spacing w:line="161" w:lineRule="atLeast"/>
      <w:jc w:val="left"/>
    </w:pPr>
    <w:rPr>
      <w:rFonts w:ascii="宋体" w:cs="宋体"/>
      <w:color w:val="000000"/>
      <w:kern w:val="0"/>
      <w:sz w:val="24"/>
      <w:szCs w:val="24"/>
    </w:rPr>
  </w:style>
  <w:style w:type="paragraph" w:customStyle="1" w:styleId="444">
    <w:name w:val="zw"/>
    <w:basedOn w:val="1"/>
    <w:qFormat/>
    <w:uiPriority w:val="0"/>
    <w:pPr>
      <w:widowControl/>
      <w:spacing w:before="100" w:beforeAutospacing="1" w:after="100" w:afterAutospacing="1" w:line="360" w:lineRule="auto"/>
      <w:jc w:val="left"/>
    </w:pPr>
    <w:rPr>
      <w:rFonts w:ascii="宋体" w:hAnsi="宋体" w:cs="宋体"/>
      <w:color w:val="000000"/>
      <w:kern w:val="0"/>
      <w:sz w:val="20"/>
      <w:szCs w:val="20"/>
    </w:rPr>
  </w:style>
  <w:style w:type="paragraph" w:customStyle="1" w:styleId="445">
    <w:name w:val="xl10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446">
    <w:name w:val="xl1105"/>
    <w:basedOn w:val="1"/>
    <w:qFormat/>
    <w:uiPriority w:val="0"/>
    <w:pPr>
      <w:widowControl/>
      <w:pBdr>
        <w:top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2"/>
      <w:szCs w:val="22"/>
    </w:rPr>
  </w:style>
  <w:style w:type="paragraph" w:customStyle="1" w:styleId="447">
    <w:name w:val="xl1066"/>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pPr>
    <w:rPr>
      <w:rFonts w:ascii="Arial" w:hAnsi="Arial" w:cs="Arial"/>
      <w:kern w:val="0"/>
      <w:sz w:val="22"/>
      <w:szCs w:val="22"/>
    </w:rPr>
  </w:style>
  <w:style w:type="paragraph" w:customStyle="1" w:styleId="448">
    <w:name w:val="Item List Char Char"/>
    <w:qFormat/>
    <w:uiPriority w:val="0"/>
    <w:pPr>
      <w:spacing w:line="300" w:lineRule="auto"/>
      <w:jc w:val="both"/>
    </w:pPr>
    <w:rPr>
      <w:rFonts w:ascii="Arial" w:hAnsi="Arial" w:eastAsia="宋体" w:cs="Arial"/>
      <w:sz w:val="21"/>
      <w:szCs w:val="21"/>
      <w:lang w:val="en-US" w:eastAsia="zh-CN" w:bidi="ar-SA"/>
    </w:rPr>
  </w:style>
  <w:style w:type="paragraph" w:customStyle="1" w:styleId="449">
    <w:name w:val="xl7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18"/>
      <w:szCs w:val="18"/>
    </w:rPr>
  </w:style>
  <w:style w:type="paragraph" w:customStyle="1" w:styleId="450">
    <w:name w:val="子标题"/>
    <w:basedOn w:val="1"/>
    <w:next w:val="2"/>
    <w:qFormat/>
    <w:uiPriority w:val="0"/>
    <w:pPr>
      <w:adjustRightInd w:val="0"/>
      <w:spacing w:beforeLines="50" w:afterLines="20"/>
      <w:jc w:val="left"/>
      <w:outlineLvl w:val="5"/>
    </w:pPr>
    <w:rPr>
      <w:rFonts w:ascii="黑体" w:eastAsia="黑体"/>
      <w:kern w:val="0"/>
    </w:rPr>
  </w:style>
  <w:style w:type="paragraph" w:customStyle="1" w:styleId="45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18"/>
      <w:szCs w:val="18"/>
    </w:rPr>
  </w:style>
  <w:style w:type="paragraph" w:customStyle="1" w:styleId="452">
    <w:name w:val="tabletextcharchar"/>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53">
    <w:name w:val="xl10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454">
    <w:name w:val="小标题 1"/>
    <w:basedOn w:val="1"/>
    <w:qFormat/>
    <w:uiPriority w:val="0"/>
    <w:pPr>
      <w:autoSpaceDE w:val="0"/>
      <w:autoSpaceDN w:val="0"/>
      <w:adjustRightInd w:val="0"/>
      <w:spacing w:line="360" w:lineRule="atLeast"/>
    </w:pPr>
    <w:rPr>
      <w:rFonts w:ascii="文鼎粗黑" w:eastAsia="文鼎粗黑"/>
      <w:kern w:val="0"/>
      <w:sz w:val="22"/>
      <w:szCs w:val="20"/>
    </w:rPr>
  </w:style>
  <w:style w:type="paragraph" w:customStyle="1" w:styleId="455">
    <w:name w:val="xl108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2"/>
      <w:szCs w:val="22"/>
    </w:rPr>
  </w:style>
  <w:style w:type="paragraph" w:customStyle="1" w:styleId="456">
    <w:name w:val="a1"/>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57">
    <w:name w:val="xl10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w:hAnsi="Arial" w:cs="Arial"/>
      <w:kern w:val="0"/>
      <w:sz w:val="22"/>
      <w:szCs w:val="22"/>
    </w:rPr>
  </w:style>
  <w:style w:type="paragraph" w:customStyle="1" w:styleId="458">
    <w:name w:val="Item Step in Table"/>
    <w:qFormat/>
    <w:uiPriority w:val="0"/>
    <w:pPr>
      <w:spacing w:before="40" w:after="40"/>
      <w:ind w:left="360" w:hanging="360"/>
      <w:jc w:val="both"/>
    </w:pPr>
    <w:rPr>
      <w:rFonts w:ascii="Arial" w:hAnsi="Arial" w:eastAsia="宋体" w:cs="Arial"/>
      <w:sz w:val="18"/>
      <w:szCs w:val="18"/>
      <w:lang w:val="en-US" w:eastAsia="zh-CN" w:bidi="ar-SA"/>
    </w:rPr>
  </w:style>
  <w:style w:type="paragraph" w:customStyle="1" w:styleId="459">
    <w:name w:val="正文 2"/>
    <w:basedOn w:val="131"/>
    <w:qFormat/>
    <w:uiPriority w:val="0"/>
    <w:pPr>
      <w:ind w:left="780" w:leftChars="0" w:hanging="360"/>
    </w:pPr>
    <w:rPr>
      <w:b/>
    </w:rPr>
  </w:style>
  <w:style w:type="paragraph" w:customStyle="1" w:styleId="460">
    <w:name w:val="figurecharchar"/>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61">
    <w:name w:val="Default"/>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462">
    <w:name w:val="xl10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463">
    <w:name w:val="默认段落字体 Para Char"/>
    <w:basedOn w:val="1"/>
    <w:qFormat/>
    <w:uiPriority w:val="0"/>
    <w:rPr>
      <w:rFonts w:ascii="Arial" w:hAnsi="Arial" w:cs="Arial"/>
      <w:szCs w:val="24"/>
    </w:rPr>
  </w:style>
  <w:style w:type="paragraph" w:customStyle="1" w:styleId="464">
    <w:name w:val="a5"/>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65">
    <w:name w:val="正文缩进4格"/>
    <w:basedOn w:val="113"/>
    <w:qFormat/>
    <w:uiPriority w:val="0"/>
    <w:pPr>
      <w:ind w:left="2" w:firstLine="538" w:firstLineChars="192"/>
    </w:pPr>
    <w:rPr>
      <w:color w:val="000000"/>
      <w:sz w:val="28"/>
    </w:rPr>
  </w:style>
  <w:style w:type="paragraph" w:customStyle="1" w:styleId="466">
    <w:name w:val="xl10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467">
    <w:name w:val="figuretextcharcharchar"/>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68">
    <w:name w:val="xl8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b/>
      <w:bCs/>
      <w:kern w:val="0"/>
      <w:sz w:val="20"/>
      <w:szCs w:val="20"/>
    </w:rPr>
  </w:style>
  <w:style w:type="paragraph" w:customStyle="1" w:styleId="469">
    <w:name w:val="[无段落样式]"/>
    <w:qFormat/>
    <w:uiPriority w:val="0"/>
    <w:pPr>
      <w:widowControl w:val="0"/>
      <w:autoSpaceDE w:val="0"/>
      <w:autoSpaceDN w:val="0"/>
      <w:adjustRightInd w:val="0"/>
      <w:spacing w:line="288" w:lineRule="auto"/>
      <w:jc w:val="both"/>
      <w:textAlignment w:val="center"/>
    </w:pPr>
    <w:rPr>
      <w:rFonts w:ascii="华文黑体 Light" w:hAnsi="Times New Roman" w:eastAsia="华文黑体 Light" w:cs="华文黑体 Light"/>
      <w:color w:val="000000"/>
      <w:sz w:val="24"/>
      <w:szCs w:val="24"/>
      <w:lang w:val="zh-CN" w:eastAsia="zh-CN" w:bidi="ar-SA"/>
    </w:rPr>
  </w:style>
  <w:style w:type="paragraph" w:customStyle="1" w:styleId="470">
    <w:name w:val="xl9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471">
    <w:name w:val="TableText_Stibo_Grayed"/>
    <w:basedOn w:val="280"/>
    <w:qFormat/>
    <w:uiPriority w:val="0"/>
  </w:style>
  <w:style w:type="paragraph" w:customStyle="1" w:styleId="472">
    <w:name w:val="_Style 16"/>
    <w:basedOn w:val="1"/>
    <w:qFormat/>
    <w:uiPriority w:val="0"/>
    <w:pPr>
      <w:widowControl/>
      <w:spacing w:line="400" w:lineRule="exact"/>
      <w:jc w:val="center"/>
    </w:pPr>
    <w:rPr>
      <w:szCs w:val="20"/>
    </w:rPr>
  </w:style>
  <w:style w:type="paragraph" w:customStyle="1" w:styleId="473">
    <w:name w:val="xl109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Arial" w:hAnsi="Arial" w:cs="Arial"/>
      <w:color w:val="FF0000"/>
      <w:kern w:val="0"/>
      <w:sz w:val="22"/>
      <w:szCs w:val="22"/>
    </w:rPr>
  </w:style>
  <w:style w:type="paragraph" w:customStyle="1" w:styleId="474">
    <w:name w:val="Lb1"/>
    <w:qFormat/>
    <w:uiPriority w:val="0"/>
    <w:pPr>
      <w:tabs>
        <w:tab w:val="left" w:pos="300"/>
        <w:tab w:val="left" w:pos="360"/>
        <w:tab w:val="left" w:pos="907"/>
      </w:tabs>
      <w:spacing w:after="100"/>
    </w:pPr>
    <w:rPr>
      <w:rFonts w:ascii="Times New Roman" w:hAnsi="Times New Roman" w:eastAsia="宋体" w:cs="Times New Roman"/>
      <w:sz w:val="21"/>
      <w:lang w:val="en-US" w:eastAsia="zh-CN" w:bidi="ar-SA"/>
    </w:rPr>
  </w:style>
  <w:style w:type="paragraph" w:customStyle="1" w:styleId="475">
    <w:name w:val="±íÏî"/>
    <w:basedOn w:val="1"/>
    <w:qFormat/>
    <w:uiPriority w:val="0"/>
    <w:pPr>
      <w:widowControl/>
      <w:overflowPunct w:val="0"/>
      <w:autoSpaceDE w:val="0"/>
      <w:autoSpaceDN w:val="0"/>
      <w:adjustRightInd w:val="0"/>
      <w:spacing w:line="300" w:lineRule="auto"/>
      <w:jc w:val="center"/>
      <w:textAlignment w:val="baseline"/>
    </w:pPr>
    <w:rPr>
      <w:kern w:val="0"/>
      <w:sz w:val="18"/>
      <w:szCs w:val="20"/>
    </w:rPr>
  </w:style>
  <w:style w:type="paragraph" w:customStyle="1" w:styleId="476">
    <w:name w:val="xl13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477">
    <w:name w:val="样式 一标题 + 三号 左侧:  0 厘米 右侧:  0 厘米 段前: 6 磅 段后: 6 磅"/>
    <w:basedOn w:val="1"/>
    <w:qFormat/>
    <w:uiPriority w:val="0"/>
    <w:pPr>
      <w:autoSpaceDE w:val="0"/>
      <w:autoSpaceDN w:val="0"/>
      <w:adjustRightInd w:val="0"/>
      <w:spacing w:beforeLines="50" w:afterLines="50"/>
    </w:pPr>
    <w:rPr>
      <w:rFonts w:ascii="仿宋_GB2312" w:hAnsi="宋体" w:eastAsia="仿宋_GB2312" w:cs="宋体"/>
      <w:b/>
      <w:kern w:val="0"/>
      <w:sz w:val="24"/>
      <w:szCs w:val="24"/>
      <w:u w:val="single"/>
    </w:rPr>
  </w:style>
  <w:style w:type="paragraph" w:customStyle="1" w:styleId="478">
    <w:name w:val="xl1073"/>
    <w:basedOn w:val="1"/>
    <w:qFormat/>
    <w:uiPriority w:val="0"/>
    <w:pPr>
      <w:widowControl/>
      <w:shd w:val="clear" w:color="000000" w:fill="FFFFFF"/>
      <w:spacing w:before="100" w:beforeAutospacing="1" w:after="100" w:afterAutospacing="1"/>
      <w:jc w:val="left"/>
    </w:pPr>
    <w:rPr>
      <w:rFonts w:ascii="Arial" w:hAnsi="Arial" w:cs="Arial"/>
      <w:kern w:val="0"/>
      <w:sz w:val="22"/>
      <w:szCs w:val="22"/>
    </w:rPr>
  </w:style>
  <w:style w:type="paragraph" w:customStyle="1" w:styleId="479">
    <w:name w:val="font10"/>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80">
    <w:name w:val="xl1106"/>
    <w:basedOn w:val="1"/>
    <w:qFormat/>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left"/>
    </w:pPr>
    <w:rPr>
      <w:rFonts w:ascii="宋体" w:hAnsi="宋体" w:cs="宋体"/>
      <w:b/>
      <w:bCs/>
      <w:kern w:val="0"/>
      <w:sz w:val="22"/>
      <w:szCs w:val="22"/>
    </w:rPr>
  </w:style>
  <w:style w:type="paragraph" w:customStyle="1" w:styleId="481">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b/>
      <w:bCs/>
      <w:kern w:val="0"/>
      <w:sz w:val="18"/>
      <w:szCs w:val="18"/>
    </w:rPr>
  </w:style>
  <w:style w:type="paragraph" w:customStyle="1" w:styleId="482">
    <w:name w:val="tableheading"/>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483">
    <w:name w:val="ptitle"/>
    <w:basedOn w:val="1"/>
    <w:qFormat/>
    <w:uiPriority w:val="0"/>
    <w:pPr>
      <w:widowControl/>
      <w:spacing w:before="100" w:beforeAutospacing="1" w:after="100" w:afterAutospacing="1"/>
      <w:jc w:val="left"/>
    </w:pPr>
    <w:rPr>
      <w:rFonts w:ascii="Arial Unicode MS" w:hAnsi="Arial Unicode MS" w:eastAsia="Arial Unicode MS" w:cs="Arial Unicode MS"/>
      <w:kern w:val="0"/>
      <w:sz w:val="24"/>
      <w:szCs w:val="24"/>
    </w:rPr>
  </w:style>
  <w:style w:type="paragraph" w:customStyle="1" w:styleId="484">
    <w:name w:val="xl12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0"/>
      <w:szCs w:val="20"/>
    </w:rPr>
  </w:style>
  <w:style w:type="paragraph" w:customStyle="1" w:styleId="485">
    <w:name w:val="xl7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86">
    <w:name w:val="Lb2"/>
    <w:basedOn w:val="474"/>
    <w:qFormat/>
    <w:uiPriority w:val="0"/>
    <w:pPr>
      <w:tabs>
        <w:tab w:val="left" w:pos="425"/>
        <w:tab w:val="left" w:pos="600"/>
        <w:tab w:val="left" w:pos="1080"/>
        <w:tab w:val="left" w:pos="1440"/>
        <w:tab w:val="clear" w:pos="300"/>
      </w:tabs>
      <w:ind w:left="360"/>
    </w:pPr>
  </w:style>
  <w:style w:type="paragraph" w:customStyle="1" w:styleId="487">
    <w:name w:val="无间隔1"/>
    <w:qFormat/>
    <w:uiPriority w:val="0"/>
    <w:pPr>
      <w:widowControl w:val="0"/>
      <w:spacing w:line="300" w:lineRule="auto"/>
    </w:pPr>
    <w:rPr>
      <w:rFonts w:ascii="Times New Roman" w:hAnsi="Times New Roman" w:eastAsia="华文仿宋" w:cs="Times New Roman"/>
      <w:kern w:val="2"/>
      <w:sz w:val="24"/>
      <w:szCs w:val="21"/>
      <w:lang w:val="en-US" w:eastAsia="zh-CN" w:bidi="ar-SA"/>
    </w:rPr>
  </w:style>
  <w:style w:type="paragraph" w:customStyle="1" w:styleId="488">
    <w:name w:val="xl11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489">
    <w:name w:val="xl1087"/>
    <w:basedOn w:val="1"/>
    <w:qFormat/>
    <w:uiPriority w:val="0"/>
    <w:pPr>
      <w:widowControl/>
      <w:pBdr>
        <w:top w:val="single" w:color="auto" w:sz="4" w:space="0"/>
        <w:bottom w:val="single" w:color="auto" w:sz="4" w:space="0"/>
        <w:right w:val="single" w:color="auto" w:sz="4" w:space="0"/>
      </w:pBdr>
      <w:spacing w:before="100" w:beforeAutospacing="1" w:after="100" w:afterAutospacing="1"/>
      <w:jc w:val="center"/>
    </w:pPr>
    <w:rPr>
      <w:rFonts w:ascii="Arial" w:hAnsi="Arial" w:cs="Arial"/>
      <w:b/>
      <w:bCs/>
      <w:kern w:val="0"/>
      <w:sz w:val="22"/>
      <w:szCs w:val="22"/>
    </w:rPr>
  </w:style>
  <w:style w:type="paragraph" w:customStyle="1" w:styleId="490">
    <w:name w:val="xl1107"/>
    <w:basedOn w:val="1"/>
    <w:qFormat/>
    <w:uiPriority w:val="0"/>
    <w:pPr>
      <w:widowControl/>
      <w:pBdr>
        <w:top w:val="single" w:color="auto" w:sz="4" w:space="0"/>
        <w:bottom w:val="single" w:color="auto" w:sz="4" w:space="0"/>
      </w:pBdr>
      <w:shd w:val="clear" w:color="000000" w:fill="FFFFFF"/>
      <w:spacing w:before="100" w:beforeAutospacing="1" w:after="100" w:afterAutospacing="1"/>
      <w:jc w:val="left"/>
    </w:pPr>
    <w:rPr>
      <w:rFonts w:ascii="宋体" w:hAnsi="宋体" w:cs="宋体"/>
      <w:b/>
      <w:bCs/>
      <w:kern w:val="0"/>
      <w:sz w:val="22"/>
      <w:szCs w:val="22"/>
    </w:rPr>
  </w:style>
  <w:style w:type="paragraph" w:customStyle="1" w:styleId="491">
    <w:name w:val="xl10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新宋体" w:hAnsi="新宋体" w:eastAsia="新宋体" w:cs="宋体"/>
      <w:color w:val="000000"/>
      <w:kern w:val="0"/>
      <w:sz w:val="20"/>
      <w:szCs w:val="20"/>
    </w:rPr>
  </w:style>
  <w:style w:type="paragraph" w:customStyle="1" w:styleId="492">
    <w:name w:val="xl109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FF0000"/>
      <w:kern w:val="0"/>
      <w:sz w:val="22"/>
      <w:szCs w:val="22"/>
    </w:rPr>
  </w:style>
  <w:style w:type="paragraph" w:customStyle="1" w:styleId="493">
    <w:name w:val="无缩进正文"/>
    <w:basedOn w:val="1"/>
    <w:next w:val="1"/>
    <w:qFormat/>
    <w:uiPriority w:val="0"/>
    <w:pPr>
      <w:spacing w:line="360" w:lineRule="auto"/>
    </w:pPr>
    <w:rPr>
      <w:sz w:val="24"/>
      <w:szCs w:val="20"/>
    </w:rPr>
  </w:style>
  <w:style w:type="paragraph" w:customStyle="1" w:styleId="494">
    <w:name w:val="xl108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2"/>
      <w:szCs w:val="22"/>
    </w:rPr>
  </w:style>
  <w:style w:type="paragraph" w:customStyle="1" w:styleId="495">
    <w:name w:val="Lb3"/>
    <w:basedOn w:val="486"/>
    <w:qFormat/>
    <w:uiPriority w:val="0"/>
    <w:pPr>
      <w:numPr>
        <w:ilvl w:val="2"/>
        <w:numId w:val="11"/>
      </w:numPr>
      <w:tabs>
        <w:tab w:val="left" w:pos="900"/>
        <w:tab w:val="left" w:pos="1800"/>
        <w:tab w:val="clear" w:pos="600"/>
        <w:tab w:val="clear" w:pos="907"/>
      </w:tabs>
      <w:ind w:left="720"/>
    </w:pPr>
  </w:style>
  <w:style w:type="paragraph" w:customStyle="1" w:styleId="496">
    <w:name w:val="xl11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497">
    <w:name w:val="Pa11"/>
    <w:basedOn w:val="1"/>
    <w:next w:val="1"/>
    <w:unhideWhenUsed/>
    <w:qFormat/>
    <w:uiPriority w:val="99"/>
    <w:pPr>
      <w:autoSpaceDE w:val="0"/>
      <w:autoSpaceDN w:val="0"/>
      <w:adjustRightInd w:val="0"/>
      <w:spacing w:line="141" w:lineRule="atLeast"/>
      <w:jc w:val="left"/>
    </w:pPr>
    <w:rPr>
      <w:rFonts w:ascii="宋体" w:cs="宋体"/>
      <w:color w:val="000000"/>
      <w:kern w:val="0"/>
      <w:sz w:val="24"/>
      <w:szCs w:val="24"/>
    </w:rPr>
  </w:style>
  <w:style w:type="paragraph" w:customStyle="1" w:styleId="498">
    <w:name w:val="xl9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4"/>
      <w:szCs w:val="24"/>
    </w:rPr>
  </w:style>
  <w:style w:type="paragraph" w:customStyle="1" w:styleId="499">
    <w:name w:val="xl108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2"/>
      <w:szCs w:val="22"/>
    </w:rPr>
  </w:style>
  <w:style w:type="paragraph" w:customStyle="1" w:styleId="500">
    <w:name w:val="tabletext"/>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501">
    <w:name w:val="图题"/>
    <w:basedOn w:val="378"/>
    <w:qFormat/>
    <w:uiPriority w:val="0"/>
    <w:pPr>
      <w:spacing w:before="0" w:after="120"/>
      <w:jc w:val="center"/>
    </w:pPr>
    <w:rPr>
      <w:rFonts w:ascii="Arial" w:hAnsi="Arial" w:eastAsia="黑体"/>
      <w:sz w:val="18"/>
    </w:rPr>
  </w:style>
  <w:style w:type="character" w:customStyle="1" w:styleId="502">
    <w:name w:val="明显引用 Char3"/>
    <w:basedOn w:val="55"/>
    <w:link w:val="115"/>
    <w:qFormat/>
    <w:uiPriority w:val="99"/>
    <w:rPr>
      <w:b/>
      <w:bCs/>
      <w:i/>
      <w:iCs/>
      <w:color w:val="4F81BD" w:themeColor="accent1"/>
      <w:kern w:val="2"/>
      <w:sz w:val="21"/>
      <w:szCs w:val="21"/>
    </w:rPr>
  </w:style>
  <w:style w:type="paragraph" w:customStyle="1" w:styleId="503">
    <w:name w:val="Paragraph Text"/>
    <w:basedOn w:val="1"/>
    <w:qFormat/>
    <w:uiPriority w:val="0"/>
    <w:pPr>
      <w:widowControl/>
      <w:spacing w:line="320" w:lineRule="exact"/>
      <w:jc w:val="left"/>
    </w:pPr>
    <w:rPr>
      <w:rFonts w:ascii="Beijing" w:eastAsia="Times New Roman"/>
      <w:kern w:val="0"/>
      <w:sz w:val="18"/>
      <w:szCs w:val="18"/>
    </w:rPr>
  </w:style>
  <w:style w:type="paragraph" w:customStyle="1" w:styleId="504">
    <w:name w:val="a0"/>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505">
    <w:name w:val="xl147"/>
    <w:basedOn w:val="1"/>
    <w:qFormat/>
    <w:uiPriority w:val="0"/>
    <w:pPr>
      <w:widowControl/>
      <w:pBdr>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color w:val="000000"/>
      <w:kern w:val="0"/>
      <w:sz w:val="20"/>
      <w:szCs w:val="20"/>
    </w:rPr>
  </w:style>
  <w:style w:type="paragraph" w:customStyle="1" w:styleId="506">
    <w:name w:val="xl13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507">
    <w:name w:val="3级"/>
    <w:basedOn w:val="5"/>
    <w:qFormat/>
    <w:uiPriority w:val="0"/>
    <w:pPr>
      <w:tabs>
        <w:tab w:val="left" w:pos="480"/>
      </w:tabs>
      <w:adjustRightInd/>
      <w:spacing w:beforeLines="50" w:afterLines="50" w:line="416" w:lineRule="auto"/>
      <w:ind w:left="480" w:hanging="480"/>
      <w:jc w:val="both"/>
      <w:textAlignment w:val="auto"/>
    </w:pPr>
    <w:rPr>
      <w:rFonts w:ascii="宋体" w:hAnsi="宋体" w:eastAsia="宋体"/>
      <w:bCs/>
      <w:sz w:val="21"/>
      <w:szCs w:val="21"/>
    </w:rPr>
  </w:style>
  <w:style w:type="paragraph" w:customStyle="1" w:styleId="508">
    <w:name w:val="xl10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2"/>
      <w:szCs w:val="22"/>
    </w:rPr>
  </w:style>
  <w:style w:type="paragraph" w:customStyle="1" w:styleId="509">
    <w:name w:val="È±Ê¡ÎÄ±¾"/>
    <w:basedOn w:val="1"/>
    <w:qFormat/>
    <w:uiPriority w:val="0"/>
    <w:pPr>
      <w:widowControl/>
      <w:overflowPunct w:val="0"/>
      <w:autoSpaceDE w:val="0"/>
      <w:autoSpaceDN w:val="0"/>
      <w:adjustRightInd w:val="0"/>
      <w:spacing w:line="360" w:lineRule="auto"/>
      <w:textAlignment w:val="baseline"/>
    </w:pPr>
    <w:rPr>
      <w:kern w:val="0"/>
      <w:szCs w:val="20"/>
    </w:rPr>
  </w:style>
  <w:style w:type="paragraph" w:customStyle="1" w:styleId="510">
    <w:name w:val="xl13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511">
    <w:name w:val="xl1092"/>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center"/>
    </w:pPr>
    <w:rPr>
      <w:rFonts w:ascii="Arial" w:hAnsi="Arial" w:cs="Arial"/>
      <w:kern w:val="0"/>
      <w:sz w:val="22"/>
      <w:szCs w:val="22"/>
    </w:rPr>
  </w:style>
  <w:style w:type="paragraph" w:customStyle="1" w:styleId="512">
    <w:name w:val="xl10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513">
    <w:name w:val="xl109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2"/>
      <w:szCs w:val="22"/>
    </w:rPr>
  </w:style>
  <w:style w:type="paragraph" w:customStyle="1" w:styleId="514">
    <w:name w:val="表身（中）"/>
    <w:basedOn w:val="1"/>
    <w:qFormat/>
    <w:uiPriority w:val="0"/>
    <w:pPr>
      <w:widowControl/>
      <w:adjustRightInd w:val="0"/>
      <w:snapToGrid w:val="0"/>
      <w:spacing w:line="300" w:lineRule="auto"/>
      <w:jc w:val="center"/>
      <w:textAlignment w:val="center"/>
    </w:pPr>
    <w:rPr>
      <w:kern w:val="0"/>
      <w:sz w:val="18"/>
      <w:szCs w:val="20"/>
    </w:rPr>
  </w:style>
  <w:style w:type="paragraph" w:customStyle="1" w:styleId="515">
    <w:name w:val="Char Char Char Char Char Char1"/>
    <w:basedOn w:val="1"/>
    <w:qFormat/>
    <w:uiPriority w:val="0"/>
    <w:pPr>
      <w:adjustRightInd w:val="0"/>
      <w:spacing w:line="360" w:lineRule="auto"/>
    </w:pPr>
    <w:rPr>
      <w:kern w:val="0"/>
      <w:sz w:val="24"/>
      <w:szCs w:val="20"/>
    </w:rPr>
  </w:style>
  <w:style w:type="paragraph" w:customStyle="1" w:styleId="516">
    <w:name w:val="xl10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517">
    <w:name w:val="xl109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2"/>
      <w:szCs w:val="22"/>
    </w:rPr>
  </w:style>
  <w:style w:type="paragraph" w:customStyle="1" w:styleId="518">
    <w:name w:val="font9"/>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519">
    <w:name w:val="a7"/>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520">
    <w:name w:val="figure"/>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521">
    <w:name w:val="s01"/>
    <w:basedOn w:val="1"/>
    <w:qFormat/>
    <w:uiPriority w:val="0"/>
    <w:pPr>
      <w:widowControl/>
      <w:spacing w:before="100" w:beforeAutospacing="1" w:after="100" w:afterAutospacing="1" w:line="360" w:lineRule="auto"/>
      <w:jc w:val="left"/>
    </w:pPr>
    <w:rPr>
      <w:rFonts w:ascii="宋体" w:hAnsi="宋体" w:cs="宋体"/>
      <w:color w:val="333333"/>
      <w:kern w:val="0"/>
    </w:rPr>
  </w:style>
  <w:style w:type="paragraph" w:customStyle="1" w:styleId="522">
    <w:name w:val="xl143"/>
    <w:basedOn w:val="1"/>
    <w:qFormat/>
    <w:uiPriority w:val="0"/>
    <w:pPr>
      <w:widowControl/>
      <w:pBdr>
        <w:bottom w:val="single" w:color="auto" w:sz="4" w:space="0"/>
      </w:pBdr>
      <w:spacing w:before="100" w:beforeAutospacing="1" w:after="100" w:afterAutospacing="1"/>
      <w:jc w:val="center"/>
      <w:textAlignment w:val="center"/>
    </w:pPr>
    <w:rPr>
      <w:rFonts w:ascii="宋体" w:hAnsi="宋体" w:cs="宋体"/>
      <w:b/>
      <w:bCs/>
      <w:color w:val="000000"/>
      <w:kern w:val="0"/>
      <w:sz w:val="32"/>
      <w:szCs w:val="32"/>
    </w:rPr>
  </w:style>
  <w:style w:type="paragraph" w:customStyle="1" w:styleId="523">
    <w:name w:val="xl1104"/>
    <w:basedOn w:val="1"/>
    <w:qFormat/>
    <w:uiPriority w:val="0"/>
    <w:pPr>
      <w:widowControl/>
      <w:pBdr>
        <w:top w:val="single" w:color="auto" w:sz="4" w:space="0"/>
        <w:bottom w:val="single" w:color="auto" w:sz="4" w:space="0"/>
      </w:pBdr>
      <w:spacing w:before="100" w:beforeAutospacing="1" w:after="100" w:afterAutospacing="1"/>
      <w:jc w:val="left"/>
    </w:pPr>
    <w:rPr>
      <w:rFonts w:ascii="宋体" w:hAnsi="宋体" w:cs="宋体"/>
      <w:b/>
      <w:bCs/>
      <w:kern w:val="0"/>
      <w:sz w:val="22"/>
      <w:szCs w:val="22"/>
    </w:rPr>
  </w:style>
  <w:style w:type="paragraph" w:customStyle="1" w:styleId="524">
    <w:name w:val="xl83"/>
    <w:basedOn w:val="1"/>
    <w:qFormat/>
    <w:uiPriority w:val="0"/>
    <w:pPr>
      <w:widowControl/>
      <w:spacing w:before="100" w:beforeAutospacing="1" w:after="100" w:afterAutospacing="1"/>
      <w:jc w:val="center"/>
      <w:textAlignment w:val="center"/>
    </w:pPr>
    <w:rPr>
      <w:kern w:val="0"/>
      <w:sz w:val="20"/>
      <w:szCs w:val="20"/>
    </w:rPr>
  </w:style>
  <w:style w:type="paragraph" w:customStyle="1" w:styleId="525">
    <w:name w:val="无间隔2"/>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526">
    <w:name w:val="xl127"/>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527">
    <w:name w:val="font13"/>
    <w:basedOn w:val="1"/>
    <w:qFormat/>
    <w:uiPriority w:val="0"/>
    <w:pPr>
      <w:widowControl/>
      <w:spacing w:before="100" w:beforeAutospacing="1" w:after="100" w:afterAutospacing="1"/>
      <w:jc w:val="left"/>
    </w:pPr>
    <w:rPr>
      <w:b/>
      <w:bCs/>
      <w:kern w:val="0"/>
      <w:sz w:val="20"/>
      <w:szCs w:val="20"/>
    </w:rPr>
  </w:style>
  <w:style w:type="paragraph" w:customStyle="1" w:styleId="528">
    <w:name w:val="Char1 Char Char Char"/>
    <w:basedOn w:val="1"/>
    <w:qFormat/>
    <w:uiPriority w:val="0"/>
    <w:pPr>
      <w:spacing w:line="360" w:lineRule="auto"/>
    </w:pPr>
    <w:rPr>
      <w:sz w:val="24"/>
      <w:szCs w:val="20"/>
    </w:rPr>
  </w:style>
  <w:style w:type="paragraph" w:customStyle="1" w:styleId="529">
    <w:name w:val="xl9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530">
    <w:name w:val="图注"/>
    <w:basedOn w:val="501"/>
    <w:qFormat/>
    <w:uiPriority w:val="0"/>
    <w:pPr>
      <w:spacing w:after="0" w:line="300" w:lineRule="auto"/>
      <w:jc w:val="left"/>
    </w:pPr>
    <w:rPr>
      <w:rFonts w:ascii="Times New Roman" w:hAnsi="Times New Roman" w:eastAsia="楷体_GB2312"/>
    </w:rPr>
  </w:style>
  <w:style w:type="paragraph" w:customStyle="1" w:styleId="531">
    <w:name w:val="xl72"/>
    <w:basedOn w:val="1"/>
    <w:qFormat/>
    <w:uiPriority w:val="0"/>
    <w:pPr>
      <w:widowControl/>
      <w:spacing w:before="100" w:beforeAutospacing="1" w:after="100" w:afterAutospacing="1"/>
      <w:jc w:val="left"/>
    </w:pPr>
    <w:rPr>
      <w:kern w:val="0"/>
      <w:sz w:val="24"/>
      <w:szCs w:val="24"/>
    </w:rPr>
  </w:style>
  <w:style w:type="paragraph" w:customStyle="1" w:styleId="532">
    <w:name w:val="font15"/>
    <w:basedOn w:val="1"/>
    <w:qFormat/>
    <w:uiPriority w:val="0"/>
    <w:pPr>
      <w:widowControl/>
      <w:spacing w:before="100" w:beforeAutospacing="1" w:after="100" w:afterAutospacing="1"/>
      <w:jc w:val="left"/>
    </w:pPr>
    <w:rPr>
      <w:rFonts w:ascii="宋体" w:hAnsi="宋体" w:cs="宋体"/>
      <w:kern w:val="0"/>
      <w:sz w:val="20"/>
      <w:szCs w:val="20"/>
    </w:rPr>
  </w:style>
  <w:style w:type="paragraph" w:customStyle="1" w:styleId="533">
    <w:name w:val="xl13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534">
    <w:name w:val="xl1093"/>
    <w:basedOn w:val="1"/>
    <w:qFormat/>
    <w:uiPriority w:val="0"/>
    <w:pPr>
      <w:widowControl/>
      <w:shd w:val="clear" w:color="000000" w:fill="FFFFFF"/>
      <w:spacing w:before="100" w:beforeAutospacing="1" w:after="100" w:afterAutospacing="1"/>
      <w:jc w:val="left"/>
    </w:pPr>
    <w:rPr>
      <w:rFonts w:ascii="宋体" w:hAnsi="宋体" w:cs="宋体"/>
      <w:b/>
      <w:bCs/>
      <w:kern w:val="0"/>
      <w:sz w:val="36"/>
      <w:szCs w:val="36"/>
    </w:rPr>
  </w:style>
  <w:style w:type="paragraph" w:customStyle="1" w:styleId="535">
    <w:name w:val="xl10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2"/>
      <w:szCs w:val="22"/>
    </w:rPr>
  </w:style>
  <w:style w:type="paragraph" w:customStyle="1" w:styleId="536">
    <w:name w:val="xl106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b/>
      <w:bCs/>
      <w:kern w:val="0"/>
      <w:sz w:val="22"/>
      <w:szCs w:val="22"/>
    </w:rPr>
  </w:style>
  <w:style w:type="paragraph" w:customStyle="1" w:styleId="537">
    <w:name w:val="段"/>
    <w:qFormat/>
    <w:uiPriority w:val="0"/>
    <w:pPr>
      <w:ind w:firstLine="200" w:firstLineChars="200"/>
      <w:jc w:val="both"/>
    </w:pPr>
    <w:rPr>
      <w:rFonts w:ascii="宋体" w:hAnsi="Times New Roman" w:eastAsia="Times New Roman" w:cs="Times New Roman"/>
      <w:sz w:val="21"/>
      <w:szCs w:val="24"/>
      <w:lang w:val="en-US" w:eastAsia="zh-CN" w:bidi="ar-SA"/>
    </w:rPr>
  </w:style>
  <w:style w:type="character" w:customStyle="1" w:styleId="538">
    <w:name w:val="正文缩进 Char1"/>
    <w:link w:val="539"/>
    <w:qFormat/>
    <w:uiPriority w:val="0"/>
    <w:rPr>
      <w:rFonts w:ascii="宋体"/>
      <w:sz w:val="24"/>
    </w:rPr>
  </w:style>
  <w:style w:type="paragraph" w:customStyle="1" w:styleId="539">
    <w:name w:val="正文缩进1"/>
    <w:basedOn w:val="1"/>
    <w:link w:val="538"/>
    <w:qFormat/>
    <w:uiPriority w:val="0"/>
    <w:pPr>
      <w:autoSpaceDE w:val="0"/>
      <w:autoSpaceDN w:val="0"/>
      <w:adjustRightInd w:val="0"/>
      <w:ind w:firstLine="420"/>
      <w:jc w:val="left"/>
    </w:pPr>
    <w:rPr>
      <w:rFonts w:ascii="宋体"/>
      <w:kern w:val="0"/>
      <w:sz w:val="24"/>
      <w:szCs w:val="20"/>
    </w:rPr>
  </w:style>
  <w:style w:type="paragraph" w:customStyle="1" w:styleId="540">
    <w:name w:val="索引 11"/>
    <w:basedOn w:val="1"/>
    <w:next w:val="1"/>
    <w:qFormat/>
    <w:uiPriority w:val="0"/>
    <w:pPr>
      <w:spacing w:line="360" w:lineRule="auto"/>
    </w:pPr>
    <w:rPr>
      <w:rFonts w:ascii="仿宋_GB2312" w:eastAsia="仿宋_GB2312"/>
      <w:sz w:val="24"/>
      <w:szCs w:val="20"/>
    </w:rPr>
  </w:style>
  <w:style w:type="paragraph" w:customStyle="1" w:styleId="541">
    <w:name w:val="Char Char Char Char Char Char Char Char2"/>
    <w:basedOn w:val="1"/>
    <w:qFormat/>
    <w:uiPriority w:val="0"/>
    <w:pPr>
      <w:snapToGrid w:val="0"/>
      <w:spacing w:line="520" w:lineRule="exact"/>
      <w:ind w:firstLine="560" w:firstLineChars="200"/>
    </w:pPr>
    <w:rPr>
      <w:szCs w:val="20"/>
    </w:rPr>
  </w:style>
  <w:style w:type="paragraph" w:customStyle="1" w:styleId="542">
    <w:name w:val="reader-word-layer"/>
    <w:basedOn w:val="1"/>
    <w:qFormat/>
    <w:uiPriority w:val="0"/>
    <w:pPr>
      <w:widowControl/>
      <w:spacing w:before="100" w:beforeAutospacing="1" w:after="100" w:afterAutospacing="1"/>
      <w:jc w:val="left"/>
    </w:pPr>
    <w:rPr>
      <w:rFonts w:ascii="宋体" w:hAnsi="宋体" w:cs="宋体"/>
      <w:kern w:val="0"/>
      <w:sz w:val="24"/>
      <w:szCs w:val="24"/>
    </w:rPr>
  </w:style>
  <w:style w:type="character" w:customStyle="1" w:styleId="543">
    <w:name w:val="不明显强调2"/>
    <w:qFormat/>
    <w:uiPriority w:val="19"/>
    <w:rPr>
      <w:i/>
      <w:iCs/>
    </w:rPr>
  </w:style>
  <w:style w:type="character" w:customStyle="1" w:styleId="544">
    <w:name w:val="Char Char2"/>
    <w:qFormat/>
    <w:uiPriority w:val="0"/>
    <w:rPr>
      <w:rFonts w:ascii="Times New Roman" w:hAnsi="Times New Roman" w:eastAsia="宋体"/>
      <w:kern w:val="2"/>
      <w:sz w:val="21"/>
      <w:szCs w:val="22"/>
      <w:lang w:val="en-US" w:eastAsia="zh-CN" w:bidi="ar-SA"/>
    </w:rPr>
  </w:style>
  <w:style w:type="character" w:customStyle="1" w:styleId="545">
    <w:name w:val="书籍标题2"/>
    <w:qFormat/>
    <w:uiPriority w:val="0"/>
    <w:rPr>
      <w:i/>
      <w:iCs/>
      <w:smallCaps/>
      <w:spacing w:val="5"/>
    </w:rPr>
  </w:style>
  <w:style w:type="character" w:customStyle="1" w:styleId="546">
    <w:name w:val="不明显参考2"/>
    <w:qFormat/>
    <w:uiPriority w:val="31"/>
    <w:rPr>
      <w:smallCaps/>
    </w:rPr>
  </w:style>
  <w:style w:type="character" w:customStyle="1" w:styleId="547">
    <w:name w:val="明显参考2"/>
    <w:qFormat/>
    <w:uiPriority w:val="0"/>
    <w:rPr>
      <w:smallCaps/>
      <w:spacing w:val="5"/>
      <w:u w:val="single"/>
    </w:rPr>
  </w:style>
  <w:style w:type="character" w:customStyle="1" w:styleId="548">
    <w:name w:val="明显强调2"/>
    <w:qFormat/>
    <w:uiPriority w:val="0"/>
    <w:rPr>
      <w:b/>
      <w:bCs/>
    </w:rPr>
  </w:style>
  <w:style w:type="paragraph" w:customStyle="1" w:styleId="549">
    <w:name w:val="修订2"/>
    <w:unhideWhenUsed/>
    <w:qFormat/>
    <w:uiPriority w:val="99"/>
    <w:rPr>
      <w:rFonts w:ascii="Times New Roman" w:hAnsi="Times New Roman" w:eastAsia="宋体" w:cs="Times New Roman"/>
      <w:kern w:val="2"/>
      <w:sz w:val="21"/>
      <w:szCs w:val="24"/>
      <w:lang w:val="en-US" w:eastAsia="zh-CN" w:bidi="ar-SA"/>
    </w:rPr>
  </w:style>
  <w:style w:type="paragraph" w:customStyle="1" w:styleId="550">
    <w:name w:val="List Paragraph1"/>
    <w:basedOn w:val="1"/>
    <w:qFormat/>
    <w:uiPriority w:val="0"/>
    <w:pPr>
      <w:ind w:firstLine="420" w:firstLineChars="200"/>
    </w:pPr>
    <w:rPr>
      <w:rFonts w:ascii="Calibri" w:hAnsi="Calibri"/>
      <w:szCs w:val="22"/>
    </w:rPr>
  </w:style>
  <w:style w:type="paragraph" w:customStyle="1" w:styleId="551">
    <w:name w:val="TOC 标题2"/>
    <w:basedOn w:val="3"/>
    <w:next w:val="1"/>
    <w:qFormat/>
    <w:uiPriority w:val="0"/>
    <w:pPr>
      <w:keepNext w:val="0"/>
      <w:keepLines w:val="0"/>
      <w:widowControl/>
      <w:spacing w:before="480" w:after="0" w:line="276" w:lineRule="auto"/>
      <w:contextualSpacing/>
      <w:jc w:val="left"/>
      <w:outlineLvl w:val="9"/>
    </w:pPr>
    <w:rPr>
      <w:rFonts w:ascii="Cambria" w:hAnsi="Cambria" w:eastAsia="宋体"/>
      <w:bCs/>
      <w:kern w:val="0"/>
      <w:sz w:val="28"/>
      <w:szCs w:val="28"/>
      <w:lang w:eastAsia="en-US" w:bidi="en-US"/>
    </w:rPr>
  </w:style>
  <w:style w:type="paragraph" w:customStyle="1" w:styleId="552">
    <w:name w:val="Char Char 字元 字元 字元 Char Char Char Char1"/>
    <w:basedOn w:val="1"/>
    <w:qFormat/>
    <w:uiPriority w:val="0"/>
    <w:pPr>
      <w:adjustRightInd w:val="0"/>
      <w:spacing w:line="360" w:lineRule="auto"/>
    </w:pPr>
    <w:rPr>
      <w:kern w:val="0"/>
      <w:sz w:val="24"/>
      <w:szCs w:val="20"/>
    </w:rPr>
  </w:style>
  <w:style w:type="paragraph" w:customStyle="1" w:styleId="553">
    <w:name w:val="Char Char Char Char Char Char2"/>
    <w:basedOn w:val="1"/>
    <w:qFormat/>
    <w:uiPriority w:val="0"/>
    <w:pPr>
      <w:adjustRightInd w:val="0"/>
      <w:spacing w:line="360" w:lineRule="auto"/>
    </w:pPr>
    <w:rPr>
      <w:kern w:val="0"/>
      <w:sz w:val="24"/>
      <w:szCs w:val="20"/>
    </w:rPr>
  </w:style>
  <w:style w:type="paragraph" w:customStyle="1" w:styleId="554">
    <w:name w:val="Char Char2 Char Char Char Char Char Char Char1"/>
    <w:basedOn w:val="1"/>
    <w:qFormat/>
    <w:uiPriority w:val="0"/>
    <w:rPr>
      <w:rFonts w:ascii="Tahoma" w:hAnsi="Tahoma"/>
      <w:sz w:val="24"/>
      <w:szCs w:val="20"/>
    </w:rPr>
  </w:style>
  <w:style w:type="paragraph" w:customStyle="1" w:styleId="555">
    <w:name w:val="Char3"/>
    <w:basedOn w:val="1"/>
    <w:qFormat/>
    <w:uiPriority w:val="0"/>
    <w:rPr>
      <w:rFonts w:ascii="Tahoma" w:hAnsi="Tahoma"/>
      <w:sz w:val="24"/>
      <w:szCs w:val="20"/>
    </w:rPr>
  </w:style>
  <w:style w:type="paragraph" w:customStyle="1" w:styleId="556">
    <w:name w:val="Char Char2 Char Char Char Char1"/>
    <w:basedOn w:val="1"/>
    <w:qFormat/>
    <w:uiPriority w:val="0"/>
    <w:rPr>
      <w:rFonts w:ascii="Tahoma" w:hAnsi="Tahoma"/>
      <w:sz w:val="24"/>
      <w:szCs w:val="20"/>
    </w:rPr>
  </w:style>
  <w:style w:type="paragraph" w:customStyle="1" w:styleId="557">
    <w:name w:val="No Spacing2"/>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558">
    <w:name w:val="Char Char1 Char Char Char Char Char Char1"/>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559">
    <w:name w:val="小标题"/>
    <w:basedOn w:val="1"/>
    <w:qFormat/>
    <w:uiPriority w:val="0"/>
    <w:pPr>
      <w:spacing w:line="360" w:lineRule="auto"/>
    </w:pPr>
    <w:rPr>
      <w:rFonts w:eastAsia="黑体"/>
      <w:b/>
      <w:bCs/>
      <w:sz w:val="28"/>
      <w:szCs w:val="24"/>
      <w:bdr w:val="single" w:color="auto" w:sz="4" w:space="0"/>
    </w:rPr>
  </w:style>
  <w:style w:type="paragraph" w:customStyle="1" w:styleId="560">
    <w:name w:val="Char Char Char Char2"/>
    <w:basedOn w:val="1"/>
    <w:qFormat/>
    <w:uiPriority w:val="0"/>
    <w:rPr>
      <w:rFonts w:ascii="Tahoma" w:hAnsi="Tahoma"/>
      <w:sz w:val="24"/>
      <w:szCs w:val="20"/>
    </w:rPr>
  </w:style>
  <w:style w:type="paragraph" w:customStyle="1" w:styleId="561">
    <w:name w:val="Header2"/>
    <w:basedOn w:val="1"/>
    <w:qFormat/>
    <w:uiPriority w:val="0"/>
    <w:pPr>
      <w:tabs>
        <w:tab w:val="left" w:pos="480"/>
      </w:tabs>
      <w:ind w:left="480" w:hanging="480"/>
    </w:pPr>
    <w:rPr>
      <w:szCs w:val="24"/>
    </w:rPr>
  </w:style>
  <w:style w:type="paragraph" w:customStyle="1" w:styleId="562">
    <w:name w:val="Char Char Char1"/>
    <w:basedOn w:val="1"/>
    <w:qFormat/>
    <w:uiPriority w:val="0"/>
    <w:rPr>
      <w:rFonts w:ascii="Arial" w:hAnsi="Arial" w:cs="Arial"/>
      <w:szCs w:val="24"/>
    </w:rPr>
  </w:style>
  <w:style w:type="paragraph" w:customStyle="1" w:styleId="563">
    <w:name w:val="无间隔3"/>
    <w:qFormat/>
    <w:uiPriority w:val="99"/>
    <w:pPr>
      <w:widowControl w:val="0"/>
      <w:jc w:val="both"/>
    </w:pPr>
    <w:rPr>
      <w:rFonts w:ascii="Calibri" w:hAnsi="Calibri" w:eastAsia="宋体" w:cs="Times New Roman"/>
      <w:kern w:val="2"/>
      <w:sz w:val="21"/>
      <w:szCs w:val="22"/>
      <w:lang w:val="en-US" w:eastAsia="zh-CN" w:bidi="ar-SA"/>
    </w:rPr>
  </w:style>
  <w:style w:type="character" w:customStyle="1" w:styleId="564">
    <w:name w:val="正文缩进 字符"/>
    <w:qFormat/>
    <w:locked/>
    <w:uiPriority w:val="0"/>
    <w:rPr>
      <w:kern w:val="2"/>
      <w:sz w:val="21"/>
    </w:rPr>
  </w:style>
  <w:style w:type="character" w:customStyle="1" w:styleId="565">
    <w:name w:val="Plain Text Char Char"/>
    <w:link w:val="566"/>
    <w:qFormat/>
    <w:uiPriority w:val="0"/>
    <w:rPr>
      <w:rFonts w:ascii="宋体" w:hAnsi="Courier New" w:eastAsia="楷体_GB2312"/>
      <w:kern w:val="2"/>
      <w:sz w:val="26"/>
    </w:rPr>
  </w:style>
  <w:style w:type="paragraph" w:customStyle="1" w:styleId="566">
    <w:name w:val="纯文本2"/>
    <w:basedOn w:val="1"/>
    <w:link w:val="565"/>
    <w:qFormat/>
    <w:uiPriority w:val="0"/>
    <w:pPr>
      <w:adjustRightInd w:val="0"/>
      <w:textAlignment w:val="baseline"/>
    </w:pPr>
    <w:rPr>
      <w:rFonts w:ascii="宋体" w:hAnsi="Courier New" w:eastAsia="楷体_GB2312"/>
      <w:sz w:val="26"/>
      <w:szCs w:val="20"/>
    </w:rPr>
  </w:style>
  <w:style w:type="character" w:customStyle="1" w:styleId="567">
    <w:name w:val="纯文本 字符"/>
    <w:qFormat/>
    <w:locked/>
    <w:uiPriority w:val="0"/>
    <w:rPr>
      <w:rFonts w:ascii="宋体" w:hAnsi="Courier New" w:eastAsia="宋体"/>
      <w:kern w:val="2"/>
      <w:sz w:val="21"/>
      <w:lang w:val="en-US" w:eastAsia="zh-CN" w:bidi="ar-SA"/>
    </w:rPr>
  </w:style>
  <w:style w:type="paragraph" w:customStyle="1" w:styleId="568">
    <w:name w:val="black1"/>
    <w:basedOn w:val="1"/>
    <w:qFormat/>
    <w:uiPriority w:val="99"/>
    <w:pPr>
      <w:widowControl/>
      <w:spacing w:before="100" w:beforeAutospacing="1" w:after="100" w:afterAutospacing="1"/>
      <w:jc w:val="left"/>
    </w:pPr>
    <w:rPr>
      <w:rFonts w:ascii="宋体" w:hAnsi="宋体" w:cs="宋体"/>
      <w:kern w:val="0"/>
      <w:sz w:val="24"/>
      <w:szCs w:val="24"/>
    </w:rPr>
  </w:style>
  <w:style w:type="paragraph" w:customStyle="1" w:styleId="569">
    <w:name w:val="my正文"/>
    <w:basedOn w:val="23"/>
    <w:qFormat/>
    <w:uiPriority w:val="0"/>
    <w:pPr>
      <w:spacing w:line="360" w:lineRule="auto"/>
      <w:ind w:firstLine="540" w:firstLineChars="225"/>
    </w:pPr>
    <w:rPr>
      <w:rFonts w:ascii="宋体" w:hAnsi="宋体"/>
      <w:kern w:val="0"/>
      <w:sz w:val="24"/>
      <w:szCs w:val="20"/>
    </w:rPr>
  </w:style>
  <w:style w:type="character" w:customStyle="1" w:styleId="570">
    <w:name w:val="mini-outputtext1"/>
    <w:basedOn w:val="55"/>
    <w:qFormat/>
    <w:uiPriority w:val="0"/>
  </w:style>
  <w:style w:type="table" w:customStyle="1" w:styleId="571">
    <w:name w:val="网格型1"/>
    <w:basedOn w:val="53"/>
    <w:qFormat/>
    <w:uiPriority w:val="59"/>
    <w:pPr>
      <w:jc w:val="both"/>
    </w:pPr>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572">
    <w:name w:val="网格型2"/>
    <w:basedOn w:val="53"/>
    <w:qFormat/>
    <w:uiPriority w:val="59"/>
    <w:rPr>
      <w:rFonts w:asciiTheme="minorHAnsi" w:hAnsiTheme="minorHAnsi" w:eastAsiaTheme="minorEastAsia" w:cstheme="minorBidi"/>
      <w:kern w:val="2"/>
      <w:sz w:val="21"/>
      <w:szCs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076D7F1-BFAD-48A3-9EE0-ECF0B515D6C2}">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49</Pages>
  <Words>5268</Words>
  <Characters>30029</Characters>
  <Lines>250</Lines>
  <Paragraphs>70</Paragraphs>
  <TotalTime>57</TotalTime>
  <ScaleCrop>false</ScaleCrop>
  <LinksUpToDate>false</LinksUpToDate>
  <CharactersWithSpaces>35227</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2021-10-14T06:24:00Z</dcterms:created>
  <dc:creator>微软用户</dc:creator>
  <cp:lastModifiedBy>Z.</cp:lastModifiedBy>
  <cp:lastPrinted>2021-09-27T08:05:00Z</cp:lastPrinted>
  <dcterms:modified xsi:type="dcterms:W3CDTF">2022-02-21T05:32:49Z</dcterms:modified>
  <cp:revision>261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EBA015DFCAB046B695841CF478175FB0</vt:lpwstr>
  </property>
</Properties>
</file>