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auto"/>
        <w:jc w:val="center"/>
        <w:rPr>
          <w:rFonts w:ascii="宋体" w:hAnsi="宋体"/>
          <w:b/>
          <w:spacing w:val="20"/>
          <w:sz w:val="48"/>
          <w:szCs w:val="48"/>
          <w:highlight w:val="none"/>
        </w:rPr>
      </w:pPr>
    </w:p>
    <w:p>
      <w:pPr>
        <w:spacing w:line="600" w:lineRule="auto"/>
        <w:jc w:val="center"/>
        <w:rPr>
          <w:rFonts w:ascii="宋体" w:hAnsi="宋体"/>
          <w:b/>
          <w:spacing w:val="20"/>
          <w:sz w:val="40"/>
          <w:szCs w:val="40"/>
          <w:highlight w:val="none"/>
        </w:rPr>
      </w:pPr>
      <w:r>
        <w:rPr>
          <w:rFonts w:hint="eastAsia" w:ascii="宋体" w:hAnsi="宋体"/>
          <w:b/>
          <w:spacing w:val="20"/>
          <w:sz w:val="40"/>
          <w:szCs w:val="40"/>
          <w:highlight w:val="none"/>
        </w:rPr>
        <w:t>2022年南通市“智改数转”诊断服务项目</w:t>
      </w:r>
    </w:p>
    <w:p>
      <w:pPr>
        <w:spacing w:line="360" w:lineRule="auto"/>
        <w:ind w:firstLine="197" w:firstLineChars="49"/>
        <w:jc w:val="center"/>
        <w:rPr>
          <w:rFonts w:ascii="仿宋" w:hAnsi="仿宋" w:eastAsia="仿宋" w:cs="仿宋"/>
          <w:b/>
          <w:spacing w:val="20"/>
          <w:sz w:val="36"/>
          <w:szCs w:val="36"/>
          <w:highlight w:val="none"/>
          <w:lang w:val="zh-CN"/>
        </w:rPr>
      </w:pPr>
    </w:p>
    <w:p>
      <w:pPr>
        <w:spacing w:line="1400" w:lineRule="exact"/>
        <w:jc w:val="center"/>
        <w:rPr>
          <w:rFonts w:ascii="宋体" w:hAnsi="宋体" w:cs="宋体"/>
          <w:b/>
          <w:sz w:val="72"/>
          <w:szCs w:val="72"/>
          <w:highlight w:val="none"/>
        </w:rPr>
      </w:pPr>
    </w:p>
    <w:p>
      <w:pPr>
        <w:spacing w:line="1400" w:lineRule="exact"/>
        <w:jc w:val="center"/>
        <w:rPr>
          <w:rFonts w:ascii="宋体" w:hAnsi="宋体" w:cs="宋体"/>
          <w:b/>
          <w:sz w:val="52"/>
          <w:szCs w:val="52"/>
          <w:highlight w:val="none"/>
        </w:rPr>
      </w:pPr>
      <w:r>
        <w:rPr>
          <w:rFonts w:hint="eastAsia" w:ascii="宋体" w:hAnsi="宋体" w:cs="宋体"/>
          <w:b/>
          <w:sz w:val="52"/>
          <w:szCs w:val="52"/>
          <w:highlight w:val="none"/>
        </w:rPr>
        <w:t>公开招标文件</w:t>
      </w:r>
    </w:p>
    <w:p>
      <w:pPr>
        <w:spacing w:line="640" w:lineRule="exact"/>
        <w:jc w:val="center"/>
        <w:rPr>
          <w:rFonts w:ascii="宋体" w:hAnsi="宋体" w:cs="宋体"/>
          <w:b/>
          <w:sz w:val="44"/>
          <w:szCs w:val="44"/>
          <w:highlight w:val="none"/>
        </w:rPr>
      </w:pPr>
      <w:r>
        <w:rPr>
          <w:rFonts w:hint="eastAsia" w:ascii="宋体" w:hAnsi="宋体" w:cs="宋体"/>
          <w:b/>
          <w:sz w:val="44"/>
          <w:szCs w:val="44"/>
          <w:highlight w:val="none"/>
        </w:rPr>
        <w:t>（资格后审）</w:t>
      </w:r>
    </w:p>
    <w:p>
      <w:pPr>
        <w:pStyle w:val="2"/>
        <w:ind w:firstLine="400"/>
        <w:rPr>
          <w:highlight w:val="none"/>
        </w:rPr>
      </w:pPr>
    </w:p>
    <w:p>
      <w:pPr>
        <w:snapToGrid w:val="0"/>
        <w:spacing w:line="360" w:lineRule="auto"/>
        <w:jc w:val="center"/>
        <w:rPr>
          <w:rFonts w:ascii="宋体" w:hAnsi="宋体" w:cs="宋体"/>
          <w:b/>
          <w:bCs/>
          <w:sz w:val="36"/>
          <w:szCs w:val="36"/>
          <w:highlight w:val="none"/>
        </w:rPr>
      </w:pPr>
      <w:r>
        <w:rPr>
          <w:rFonts w:ascii="宋体" w:hAnsi="宋体" w:cs="宋体"/>
          <w:b/>
          <w:bCs/>
          <w:sz w:val="36"/>
          <w:szCs w:val="36"/>
          <w:highlight w:val="none"/>
        </w:rPr>
        <w:t>项目编号</w:t>
      </w:r>
      <w:r>
        <w:rPr>
          <w:rFonts w:hint="eastAsia" w:ascii="宋体" w:hAnsi="宋体" w:cs="宋体"/>
          <w:b/>
          <w:bCs/>
          <w:sz w:val="36"/>
          <w:szCs w:val="36"/>
          <w:highlight w:val="none"/>
        </w:rPr>
        <w:t>：NTGXJ20220401号</w:t>
      </w:r>
    </w:p>
    <w:p>
      <w:pPr>
        <w:spacing w:line="500" w:lineRule="exact"/>
        <w:ind w:firstLine="1084" w:firstLineChars="300"/>
        <w:rPr>
          <w:rFonts w:ascii="仿宋" w:hAnsi="仿宋" w:eastAsia="仿宋" w:cs="仿宋"/>
          <w:b/>
          <w:sz w:val="36"/>
          <w:highlight w:val="none"/>
        </w:rPr>
      </w:pPr>
    </w:p>
    <w:p>
      <w:pPr>
        <w:pStyle w:val="2"/>
        <w:ind w:firstLine="723"/>
        <w:rPr>
          <w:rFonts w:ascii="仿宋" w:hAnsi="仿宋" w:eastAsia="仿宋" w:cs="仿宋"/>
          <w:b/>
          <w:sz w:val="36"/>
          <w:highlight w:val="none"/>
        </w:rPr>
      </w:pPr>
    </w:p>
    <w:p>
      <w:pPr>
        <w:pStyle w:val="2"/>
        <w:ind w:firstLine="723"/>
        <w:rPr>
          <w:rFonts w:ascii="仿宋" w:hAnsi="仿宋" w:eastAsia="仿宋" w:cs="仿宋"/>
          <w:b/>
          <w:sz w:val="36"/>
          <w:highlight w:val="none"/>
        </w:rPr>
      </w:pPr>
    </w:p>
    <w:p>
      <w:pPr>
        <w:pStyle w:val="2"/>
        <w:ind w:left="0" w:leftChars="0" w:firstLine="0" w:firstLineChars="0"/>
        <w:rPr>
          <w:rFonts w:ascii="仿宋" w:hAnsi="仿宋" w:eastAsia="仿宋" w:cs="仿宋"/>
          <w:b/>
          <w:sz w:val="36"/>
          <w:highlight w:val="none"/>
        </w:rPr>
      </w:pPr>
    </w:p>
    <w:p>
      <w:pPr>
        <w:pStyle w:val="2"/>
        <w:ind w:firstLine="723"/>
        <w:rPr>
          <w:rFonts w:ascii="仿宋" w:hAnsi="仿宋" w:eastAsia="仿宋" w:cs="仿宋"/>
          <w:b/>
          <w:sz w:val="36"/>
          <w:highlight w:val="none"/>
        </w:rPr>
      </w:pPr>
    </w:p>
    <w:p>
      <w:pPr>
        <w:pStyle w:val="2"/>
        <w:ind w:firstLine="723"/>
        <w:rPr>
          <w:rFonts w:ascii="仿宋" w:hAnsi="仿宋" w:eastAsia="仿宋" w:cs="仿宋"/>
          <w:b/>
          <w:sz w:val="36"/>
          <w:highlight w:val="none"/>
        </w:rPr>
      </w:pPr>
    </w:p>
    <w:p>
      <w:pPr>
        <w:spacing w:line="500" w:lineRule="exact"/>
        <w:ind w:firstLine="1084" w:firstLineChars="300"/>
        <w:rPr>
          <w:rFonts w:ascii="仿宋" w:hAnsi="仿宋" w:eastAsia="仿宋" w:cs="仿宋"/>
          <w:b/>
          <w:sz w:val="36"/>
          <w:highlight w:val="none"/>
        </w:rPr>
      </w:pPr>
    </w:p>
    <w:p>
      <w:pPr>
        <w:spacing w:line="500" w:lineRule="exact"/>
        <w:rPr>
          <w:rFonts w:ascii="仿宋" w:hAnsi="仿宋" w:eastAsia="仿宋" w:cs="仿宋"/>
          <w:b/>
          <w:sz w:val="36"/>
          <w:szCs w:val="22"/>
          <w:highlight w:val="none"/>
        </w:rPr>
      </w:pPr>
    </w:p>
    <w:p>
      <w:pPr>
        <w:spacing w:line="500" w:lineRule="exact"/>
        <w:jc w:val="center"/>
        <w:rPr>
          <w:rFonts w:ascii="宋体" w:hAnsi="宋体" w:cs="宋体"/>
          <w:b/>
          <w:sz w:val="32"/>
          <w:szCs w:val="32"/>
          <w:highlight w:val="none"/>
        </w:rPr>
      </w:pPr>
      <w:r>
        <w:rPr>
          <w:rFonts w:hint="eastAsia" w:ascii="宋体" w:hAnsi="宋体" w:cs="宋体"/>
          <w:b/>
          <w:sz w:val="32"/>
          <w:szCs w:val="32"/>
          <w:highlight w:val="none"/>
        </w:rPr>
        <w:t>采购人：南通市工业和信息化局</w:t>
      </w:r>
    </w:p>
    <w:p>
      <w:pPr>
        <w:spacing w:line="500" w:lineRule="exact"/>
        <w:jc w:val="center"/>
        <w:rPr>
          <w:rFonts w:ascii="宋体" w:hAnsi="宋体" w:cs="宋体"/>
          <w:b/>
          <w:sz w:val="32"/>
          <w:szCs w:val="32"/>
          <w:highlight w:val="none"/>
        </w:rPr>
      </w:pPr>
      <w:r>
        <w:rPr>
          <w:rFonts w:hint="eastAsia" w:ascii="宋体" w:hAnsi="宋体" w:cs="宋体"/>
          <w:b/>
          <w:sz w:val="32"/>
          <w:szCs w:val="32"/>
          <w:highlight w:val="none"/>
        </w:rPr>
        <w:t>代理机构：江苏大成工程咨询有限公司</w:t>
      </w:r>
    </w:p>
    <w:p>
      <w:pPr>
        <w:spacing w:line="500" w:lineRule="exact"/>
        <w:jc w:val="center"/>
        <w:rPr>
          <w:rFonts w:ascii="宋体" w:hAnsi="宋体"/>
          <w:sz w:val="32"/>
          <w:szCs w:val="32"/>
          <w:highlight w:val="none"/>
        </w:rPr>
        <w:sectPr>
          <w:pgSz w:w="11906" w:h="16838"/>
          <w:pgMar w:top="1440" w:right="1797" w:bottom="1440" w:left="1797" w:header="851" w:footer="992" w:gutter="0"/>
          <w:cols w:space="720" w:num="1"/>
          <w:docGrid w:type="lines" w:linePitch="312" w:charSpace="0"/>
        </w:sectPr>
      </w:pPr>
      <w:r>
        <w:rPr>
          <w:rFonts w:hint="eastAsia" w:ascii="宋体" w:hAnsi="宋体" w:cs="宋体"/>
          <w:b/>
          <w:sz w:val="32"/>
          <w:szCs w:val="32"/>
          <w:highlight w:val="none"/>
        </w:rPr>
        <w:t>二○二二年五月</w:t>
      </w:r>
      <w:r>
        <w:rPr>
          <w:rFonts w:hint="eastAsia" w:ascii="宋体" w:hAnsi="宋体" w:cs="宋体"/>
          <w:b/>
          <w:sz w:val="32"/>
          <w:szCs w:val="32"/>
          <w:highlight w:val="none"/>
          <w:lang w:val="en-US" w:eastAsia="zh-CN"/>
        </w:rPr>
        <w:t>十</w:t>
      </w:r>
      <w:r>
        <w:rPr>
          <w:rFonts w:hint="eastAsia" w:ascii="宋体" w:hAnsi="宋体" w:cs="宋体"/>
          <w:b/>
          <w:sz w:val="32"/>
          <w:szCs w:val="32"/>
          <w:highlight w:val="none"/>
        </w:rPr>
        <w:t>日</w:t>
      </w:r>
    </w:p>
    <w:p>
      <w:pPr>
        <w:spacing w:line="500" w:lineRule="exact"/>
        <w:jc w:val="center"/>
        <w:rPr>
          <w:rFonts w:ascii="宋体" w:hAnsi="宋体"/>
          <w:sz w:val="44"/>
          <w:szCs w:val="44"/>
          <w:highlight w:val="none"/>
        </w:rPr>
      </w:pPr>
      <w:r>
        <w:rPr>
          <w:rFonts w:hint="eastAsia" w:ascii="宋体" w:hAnsi="宋体"/>
          <w:sz w:val="44"/>
          <w:szCs w:val="44"/>
          <w:highlight w:val="none"/>
        </w:rPr>
        <w:t>目      录</w:t>
      </w:r>
    </w:p>
    <w:p>
      <w:pPr>
        <w:spacing w:line="500" w:lineRule="exact"/>
        <w:jc w:val="center"/>
        <w:rPr>
          <w:rFonts w:ascii="宋体" w:hAnsi="宋体"/>
          <w:sz w:val="44"/>
          <w:highlight w:val="none"/>
        </w:rPr>
      </w:pPr>
    </w:p>
    <w:p>
      <w:pPr>
        <w:tabs>
          <w:tab w:val="left" w:pos="7740"/>
        </w:tabs>
        <w:spacing w:line="500" w:lineRule="exact"/>
        <w:rPr>
          <w:rFonts w:ascii="宋体" w:hAnsi="宋体"/>
          <w:spacing w:val="2"/>
          <w:sz w:val="32"/>
          <w:szCs w:val="32"/>
          <w:highlight w:val="none"/>
        </w:rPr>
      </w:pPr>
      <w:r>
        <w:rPr>
          <w:rFonts w:hint="eastAsia" w:ascii="宋体" w:hAnsi="宋体"/>
          <w:bCs/>
          <w:sz w:val="32"/>
          <w:szCs w:val="32"/>
          <w:highlight w:val="none"/>
        </w:rPr>
        <w:t>第一部分  招标公告</w:t>
      </w:r>
    </w:p>
    <w:p>
      <w:pPr>
        <w:tabs>
          <w:tab w:val="left" w:pos="7740"/>
        </w:tabs>
        <w:spacing w:line="500" w:lineRule="exact"/>
        <w:rPr>
          <w:rFonts w:ascii="宋体" w:hAnsi="宋体"/>
          <w:sz w:val="32"/>
          <w:szCs w:val="32"/>
          <w:highlight w:val="none"/>
        </w:rPr>
      </w:pPr>
    </w:p>
    <w:p>
      <w:pPr>
        <w:tabs>
          <w:tab w:val="left" w:pos="7740"/>
        </w:tabs>
        <w:spacing w:line="500" w:lineRule="exact"/>
        <w:rPr>
          <w:rFonts w:ascii="宋体" w:hAnsi="宋体"/>
          <w:spacing w:val="2"/>
          <w:sz w:val="32"/>
          <w:szCs w:val="32"/>
          <w:highlight w:val="none"/>
        </w:rPr>
      </w:pPr>
      <w:r>
        <w:rPr>
          <w:rFonts w:hint="eastAsia" w:ascii="宋体" w:hAnsi="宋体"/>
          <w:bCs/>
          <w:sz w:val="32"/>
          <w:szCs w:val="32"/>
          <w:highlight w:val="none"/>
        </w:rPr>
        <w:t>第二部分  投标须知</w:t>
      </w:r>
    </w:p>
    <w:p>
      <w:pPr>
        <w:spacing w:line="500" w:lineRule="exact"/>
        <w:rPr>
          <w:rFonts w:ascii="宋体" w:hAnsi="宋体"/>
          <w:sz w:val="32"/>
          <w:szCs w:val="32"/>
          <w:highlight w:val="none"/>
        </w:rPr>
      </w:pPr>
    </w:p>
    <w:p>
      <w:pPr>
        <w:tabs>
          <w:tab w:val="left" w:pos="7740"/>
        </w:tabs>
        <w:spacing w:line="500" w:lineRule="exact"/>
        <w:rPr>
          <w:rFonts w:ascii="宋体" w:hAnsi="宋体"/>
          <w:spacing w:val="2"/>
          <w:sz w:val="32"/>
          <w:szCs w:val="32"/>
          <w:highlight w:val="none"/>
        </w:rPr>
      </w:pPr>
      <w:r>
        <w:rPr>
          <w:rFonts w:hint="eastAsia" w:ascii="宋体" w:hAnsi="宋体"/>
          <w:bCs/>
          <w:sz w:val="32"/>
          <w:szCs w:val="32"/>
          <w:highlight w:val="none"/>
        </w:rPr>
        <w:t>第三部分  项目需求说明</w:t>
      </w:r>
    </w:p>
    <w:p>
      <w:pPr>
        <w:pStyle w:val="3"/>
        <w:tabs>
          <w:tab w:val="left" w:pos="7740"/>
          <w:tab w:val="left" w:pos="7920"/>
        </w:tabs>
        <w:spacing w:line="500" w:lineRule="exact"/>
        <w:ind w:left="0"/>
        <w:rPr>
          <w:rFonts w:ascii="宋体" w:hAnsi="宋体" w:eastAsia="宋体"/>
          <w:sz w:val="32"/>
          <w:szCs w:val="32"/>
          <w:highlight w:val="none"/>
        </w:rPr>
      </w:pPr>
    </w:p>
    <w:p>
      <w:pPr>
        <w:tabs>
          <w:tab w:val="left" w:pos="7740"/>
        </w:tabs>
        <w:spacing w:line="500" w:lineRule="exact"/>
        <w:rPr>
          <w:rFonts w:ascii="宋体" w:hAnsi="宋体"/>
          <w:spacing w:val="2"/>
          <w:sz w:val="32"/>
          <w:szCs w:val="32"/>
          <w:highlight w:val="none"/>
        </w:rPr>
      </w:pPr>
      <w:r>
        <w:rPr>
          <w:rFonts w:hint="eastAsia" w:ascii="宋体" w:hAnsi="宋体"/>
          <w:sz w:val="32"/>
          <w:szCs w:val="32"/>
          <w:highlight w:val="none"/>
        </w:rPr>
        <w:t xml:space="preserve">第四部分  </w:t>
      </w:r>
      <w:r>
        <w:rPr>
          <w:rFonts w:hint="eastAsia" w:ascii="宋体" w:hAnsi="宋体"/>
          <w:bCs/>
          <w:sz w:val="32"/>
          <w:szCs w:val="32"/>
          <w:highlight w:val="none"/>
        </w:rPr>
        <w:t>开标和评标</w:t>
      </w:r>
    </w:p>
    <w:p>
      <w:pPr>
        <w:spacing w:line="500" w:lineRule="exact"/>
        <w:rPr>
          <w:rFonts w:ascii="宋体" w:hAnsi="宋体"/>
          <w:sz w:val="32"/>
          <w:szCs w:val="32"/>
          <w:highlight w:val="none"/>
        </w:rPr>
      </w:pPr>
    </w:p>
    <w:p>
      <w:pPr>
        <w:tabs>
          <w:tab w:val="left" w:pos="7740"/>
        </w:tabs>
        <w:spacing w:line="500" w:lineRule="exact"/>
        <w:rPr>
          <w:rFonts w:ascii="宋体" w:hAnsi="宋体"/>
          <w:spacing w:val="2"/>
          <w:sz w:val="32"/>
          <w:szCs w:val="32"/>
          <w:highlight w:val="none"/>
        </w:rPr>
      </w:pPr>
      <w:r>
        <w:rPr>
          <w:rFonts w:hint="eastAsia" w:ascii="宋体" w:hAnsi="宋体"/>
          <w:bCs/>
          <w:sz w:val="32"/>
          <w:szCs w:val="32"/>
          <w:highlight w:val="none"/>
        </w:rPr>
        <w:t>第五部分  合同签订与验收付款</w:t>
      </w:r>
    </w:p>
    <w:p>
      <w:pPr>
        <w:spacing w:line="500" w:lineRule="exact"/>
        <w:rPr>
          <w:rFonts w:ascii="宋体" w:hAnsi="宋体"/>
          <w:sz w:val="32"/>
          <w:szCs w:val="32"/>
          <w:highlight w:val="none"/>
        </w:rPr>
      </w:pPr>
    </w:p>
    <w:p>
      <w:pPr>
        <w:tabs>
          <w:tab w:val="left" w:pos="7740"/>
        </w:tabs>
        <w:spacing w:line="500" w:lineRule="exact"/>
        <w:rPr>
          <w:rFonts w:ascii="宋体" w:hAnsi="宋体"/>
          <w:spacing w:val="2"/>
          <w:sz w:val="32"/>
          <w:szCs w:val="32"/>
          <w:highlight w:val="none"/>
        </w:rPr>
      </w:pPr>
      <w:r>
        <w:rPr>
          <w:rFonts w:hint="eastAsia" w:ascii="宋体" w:hAnsi="宋体"/>
          <w:bCs/>
          <w:sz w:val="32"/>
          <w:szCs w:val="32"/>
          <w:highlight w:val="none"/>
        </w:rPr>
        <w:t>第六部分  质疑提出和处理</w:t>
      </w:r>
    </w:p>
    <w:p>
      <w:pPr>
        <w:spacing w:line="500" w:lineRule="exact"/>
        <w:rPr>
          <w:rFonts w:ascii="宋体" w:hAnsi="宋体"/>
          <w:sz w:val="32"/>
          <w:szCs w:val="32"/>
          <w:highlight w:val="none"/>
        </w:rPr>
      </w:pPr>
    </w:p>
    <w:p>
      <w:pPr>
        <w:tabs>
          <w:tab w:val="left" w:pos="7740"/>
        </w:tabs>
        <w:spacing w:line="500" w:lineRule="exact"/>
        <w:rPr>
          <w:rFonts w:ascii="宋体" w:hAnsi="宋体"/>
          <w:spacing w:val="2"/>
          <w:sz w:val="32"/>
          <w:szCs w:val="32"/>
          <w:highlight w:val="none"/>
        </w:rPr>
      </w:pPr>
      <w:r>
        <w:rPr>
          <w:rFonts w:hint="eastAsia" w:ascii="宋体" w:hAnsi="宋体"/>
          <w:bCs/>
          <w:sz w:val="32"/>
          <w:szCs w:val="32"/>
          <w:highlight w:val="none"/>
        </w:rPr>
        <w:t>第七部分  投标文件组成</w:t>
      </w:r>
    </w:p>
    <w:p>
      <w:pPr>
        <w:spacing w:line="500" w:lineRule="exact"/>
        <w:rPr>
          <w:rFonts w:ascii="楷体_GB2312" w:eastAsia="楷体_GB2312"/>
          <w:b/>
          <w:sz w:val="32"/>
          <w:szCs w:val="32"/>
          <w:highlight w:val="none"/>
        </w:rPr>
      </w:pPr>
    </w:p>
    <w:p>
      <w:pPr>
        <w:tabs>
          <w:tab w:val="left" w:pos="7740"/>
        </w:tabs>
        <w:spacing w:line="500" w:lineRule="exact"/>
        <w:rPr>
          <w:rFonts w:ascii="楷体_GB2312" w:eastAsia="楷体_GB2312"/>
          <w:b/>
          <w:spacing w:val="2"/>
          <w:sz w:val="32"/>
          <w:szCs w:val="32"/>
          <w:highlight w:val="none"/>
        </w:rPr>
      </w:pPr>
    </w:p>
    <w:p>
      <w:pPr>
        <w:tabs>
          <w:tab w:val="left" w:pos="7740"/>
        </w:tabs>
        <w:spacing w:line="500" w:lineRule="exact"/>
        <w:rPr>
          <w:rFonts w:ascii="楷体_GB2312" w:eastAsia="楷体_GB2312"/>
          <w:b/>
          <w:spacing w:val="2"/>
          <w:sz w:val="32"/>
          <w:szCs w:val="32"/>
          <w:highlight w:val="none"/>
        </w:rPr>
      </w:pPr>
    </w:p>
    <w:p>
      <w:pPr>
        <w:tabs>
          <w:tab w:val="left" w:pos="7740"/>
        </w:tabs>
        <w:spacing w:line="500" w:lineRule="exact"/>
        <w:rPr>
          <w:rFonts w:ascii="楷体_GB2312" w:eastAsia="楷体_GB2312"/>
          <w:b/>
          <w:bCs/>
          <w:sz w:val="32"/>
          <w:szCs w:val="32"/>
          <w:highlight w:val="none"/>
        </w:rPr>
      </w:pPr>
    </w:p>
    <w:p>
      <w:pPr>
        <w:spacing w:line="500" w:lineRule="exact"/>
        <w:outlineLvl w:val="0"/>
        <w:rPr>
          <w:rFonts w:ascii="楷体_GB2312" w:hAnsi="宋体" w:eastAsia="楷体_GB2312"/>
          <w:b/>
          <w:sz w:val="44"/>
          <w:szCs w:val="44"/>
          <w:highlight w:val="none"/>
        </w:rPr>
      </w:pPr>
    </w:p>
    <w:p>
      <w:pPr>
        <w:spacing w:line="500" w:lineRule="exact"/>
        <w:outlineLvl w:val="0"/>
        <w:rPr>
          <w:rFonts w:ascii="仿宋_GB2312" w:hAnsi="宋体" w:eastAsia="仿宋_GB2312"/>
          <w:sz w:val="44"/>
          <w:szCs w:val="44"/>
          <w:highlight w:val="none"/>
        </w:rPr>
      </w:pPr>
    </w:p>
    <w:p>
      <w:pPr>
        <w:spacing w:line="500" w:lineRule="exact"/>
        <w:outlineLvl w:val="0"/>
        <w:rPr>
          <w:rFonts w:ascii="仿宋_GB2312" w:hAnsi="宋体" w:eastAsia="仿宋_GB2312"/>
          <w:sz w:val="44"/>
          <w:szCs w:val="44"/>
          <w:highlight w:val="none"/>
        </w:rPr>
      </w:pPr>
    </w:p>
    <w:p>
      <w:pPr>
        <w:pStyle w:val="11"/>
        <w:rPr>
          <w:rFonts w:ascii="仿宋_GB2312" w:hAnsi="宋体" w:eastAsia="仿宋_GB2312"/>
          <w:sz w:val="44"/>
          <w:szCs w:val="44"/>
          <w:highlight w:val="none"/>
        </w:rPr>
      </w:pPr>
    </w:p>
    <w:p>
      <w:pPr>
        <w:pStyle w:val="11"/>
        <w:rPr>
          <w:rFonts w:ascii="仿宋_GB2312" w:hAnsi="宋体" w:eastAsia="仿宋_GB2312"/>
          <w:sz w:val="44"/>
          <w:szCs w:val="44"/>
          <w:highlight w:val="none"/>
        </w:rPr>
      </w:pPr>
    </w:p>
    <w:p>
      <w:pPr>
        <w:spacing w:line="500" w:lineRule="exact"/>
        <w:outlineLvl w:val="0"/>
        <w:rPr>
          <w:rFonts w:ascii="仿宋_GB2312" w:hAnsi="宋体" w:eastAsia="仿宋_GB2312"/>
          <w:sz w:val="44"/>
          <w:szCs w:val="44"/>
          <w:highlight w:val="none"/>
        </w:rPr>
      </w:pPr>
    </w:p>
    <w:p>
      <w:pPr>
        <w:spacing w:line="500" w:lineRule="exact"/>
        <w:outlineLvl w:val="0"/>
        <w:rPr>
          <w:rFonts w:ascii="仿宋_GB2312" w:hAnsi="宋体" w:eastAsia="仿宋_GB2312"/>
          <w:sz w:val="44"/>
          <w:szCs w:val="44"/>
          <w:highlight w:val="none"/>
        </w:rPr>
      </w:pPr>
    </w:p>
    <w:p>
      <w:pPr>
        <w:spacing w:line="500" w:lineRule="exact"/>
        <w:outlineLvl w:val="0"/>
        <w:rPr>
          <w:rFonts w:ascii="仿宋_GB2312" w:hAnsi="宋体" w:eastAsia="仿宋_GB2312"/>
          <w:sz w:val="44"/>
          <w:szCs w:val="44"/>
          <w:highlight w:val="none"/>
        </w:rPr>
      </w:pPr>
    </w:p>
    <w:p>
      <w:pPr>
        <w:snapToGrid w:val="0"/>
        <w:spacing w:line="360" w:lineRule="auto"/>
        <w:jc w:val="center"/>
        <w:outlineLvl w:val="0"/>
        <w:rPr>
          <w:rFonts w:ascii="宋体" w:hAnsi="宋体"/>
          <w:b/>
          <w:sz w:val="36"/>
          <w:szCs w:val="36"/>
          <w:highlight w:val="none"/>
        </w:rPr>
        <w:sectPr>
          <w:footerReference r:id="rId3" w:type="default"/>
          <w:pgSz w:w="11906" w:h="16838"/>
          <w:pgMar w:top="1440" w:right="1797" w:bottom="1440" w:left="1797" w:header="851" w:footer="992" w:gutter="0"/>
          <w:pgNumType w:start="1"/>
          <w:cols w:space="720" w:num="1"/>
          <w:docGrid w:type="lines" w:linePitch="312" w:charSpace="0"/>
        </w:sectPr>
      </w:pPr>
      <w:bookmarkStart w:id="0" w:name="OLE_LINK9"/>
    </w:p>
    <w:p>
      <w:pPr>
        <w:snapToGrid w:val="0"/>
        <w:spacing w:line="360" w:lineRule="auto"/>
        <w:jc w:val="center"/>
        <w:outlineLvl w:val="0"/>
        <w:rPr>
          <w:rFonts w:asciiTheme="majorEastAsia" w:hAnsiTheme="majorEastAsia" w:eastAsiaTheme="majorEastAsia" w:cstheme="majorEastAsia"/>
          <w:b/>
          <w:sz w:val="36"/>
          <w:szCs w:val="36"/>
          <w:highlight w:val="none"/>
        </w:rPr>
      </w:pPr>
      <w:r>
        <w:rPr>
          <w:rFonts w:hint="eastAsia" w:asciiTheme="majorEastAsia" w:hAnsiTheme="majorEastAsia" w:eastAsiaTheme="majorEastAsia" w:cstheme="majorEastAsia"/>
          <w:b/>
          <w:sz w:val="36"/>
          <w:szCs w:val="36"/>
          <w:highlight w:val="none"/>
        </w:rPr>
        <w:t>第一部分</w:t>
      </w:r>
      <w:bookmarkStart w:id="1" w:name="OLE_LINK8"/>
      <w:bookmarkStart w:id="2" w:name="OLE_LINK7"/>
      <w:bookmarkStart w:id="3" w:name="OLE_LINK5"/>
      <w:r>
        <w:rPr>
          <w:rFonts w:hint="eastAsia" w:asciiTheme="majorEastAsia" w:hAnsiTheme="majorEastAsia" w:eastAsiaTheme="majorEastAsia" w:cstheme="majorEastAsia"/>
          <w:b/>
          <w:sz w:val="36"/>
          <w:szCs w:val="36"/>
          <w:highlight w:val="none"/>
        </w:rPr>
        <w:t xml:space="preserve"> 招标公告</w:t>
      </w:r>
    </w:p>
    <w:p>
      <w:pPr>
        <w:snapToGrid w:val="0"/>
        <w:spacing w:line="300" w:lineRule="auto"/>
        <w:ind w:firstLine="482" w:firstLineChars="200"/>
        <w:rPr>
          <w:rFonts w:ascii="宋体" w:hAnsi="宋体" w:cs="宋体"/>
          <w:b/>
          <w:sz w:val="24"/>
          <w:highlight w:val="none"/>
        </w:rPr>
      </w:pPr>
      <w:bookmarkStart w:id="4" w:name="OLE_LINK6"/>
      <w:r>
        <w:rPr>
          <w:rFonts w:hint="eastAsia" w:ascii="宋体" w:hAnsi="宋体" w:cs="宋体"/>
          <w:b/>
          <w:sz w:val="24"/>
          <w:highlight w:val="none"/>
        </w:rPr>
        <w:t>项目概况</w:t>
      </w:r>
    </w:p>
    <w:p>
      <w:pPr>
        <w:snapToGrid w:val="0"/>
        <w:spacing w:line="300" w:lineRule="auto"/>
        <w:ind w:firstLine="480" w:firstLineChars="200"/>
        <w:rPr>
          <w:rFonts w:ascii="宋体" w:hAnsi="宋体" w:cs="宋体"/>
          <w:sz w:val="24"/>
          <w:highlight w:val="none"/>
        </w:rPr>
      </w:pPr>
      <w:r>
        <w:rPr>
          <w:rFonts w:hint="eastAsia" w:ascii="宋体" w:hAnsi="宋体" w:cs="宋体"/>
          <w:sz w:val="24"/>
          <w:highlight w:val="none"/>
        </w:rPr>
        <w:t>2022年南通市“智改数转”诊断服务项目的潜在投标供应商应在江苏省政府采购网获取招标文件，并于2022年</w:t>
      </w:r>
      <w:r>
        <w:rPr>
          <w:rFonts w:hint="eastAsia" w:ascii="宋体" w:hAnsi="宋体" w:cs="宋体"/>
          <w:sz w:val="24"/>
          <w:highlight w:val="none"/>
          <w:lang w:val="en-US" w:eastAsia="zh-CN"/>
        </w:rPr>
        <w:t>05</w:t>
      </w:r>
      <w:r>
        <w:rPr>
          <w:rFonts w:hint="eastAsia" w:ascii="宋体" w:hAnsi="宋体" w:cs="宋体"/>
          <w:sz w:val="24"/>
          <w:highlight w:val="none"/>
        </w:rPr>
        <w:t>月</w:t>
      </w:r>
      <w:r>
        <w:rPr>
          <w:rFonts w:hint="eastAsia" w:ascii="宋体" w:hAnsi="宋体" w:cs="宋体"/>
          <w:sz w:val="24"/>
          <w:highlight w:val="none"/>
          <w:lang w:val="en-US" w:eastAsia="zh-CN"/>
        </w:rPr>
        <w:t>31</w:t>
      </w:r>
      <w:r>
        <w:rPr>
          <w:rFonts w:hint="eastAsia" w:ascii="宋体" w:hAnsi="宋体" w:cs="宋体"/>
          <w:sz w:val="24"/>
          <w:highlight w:val="none"/>
        </w:rPr>
        <w:t>日9点</w:t>
      </w:r>
      <w:r>
        <w:rPr>
          <w:rFonts w:hint="eastAsia" w:ascii="宋体" w:hAnsi="宋体" w:cs="宋体"/>
          <w:sz w:val="24"/>
          <w:highlight w:val="none"/>
          <w:lang w:val="en-US" w:eastAsia="zh-CN"/>
        </w:rPr>
        <w:t>3</w:t>
      </w:r>
      <w:r>
        <w:rPr>
          <w:rFonts w:hint="eastAsia" w:ascii="宋体" w:hAnsi="宋体" w:cs="宋体"/>
          <w:sz w:val="24"/>
          <w:highlight w:val="none"/>
        </w:rPr>
        <w:t>0分（北京时间）前递交投标文件。</w:t>
      </w:r>
    </w:p>
    <w:p>
      <w:pPr>
        <w:snapToGrid w:val="0"/>
        <w:spacing w:line="300" w:lineRule="auto"/>
        <w:ind w:firstLine="480" w:firstLineChars="200"/>
        <w:rPr>
          <w:rFonts w:ascii="宋体" w:hAnsi="宋体" w:cs="宋体"/>
          <w:sz w:val="24"/>
          <w:highlight w:val="none"/>
        </w:rPr>
      </w:pPr>
      <w:r>
        <w:rPr>
          <w:rFonts w:hint="eastAsia" w:ascii="宋体" w:hAnsi="宋体" w:cs="宋体"/>
          <w:sz w:val="24"/>
          <w:highlight w:val="none"/>
        </w:rPr>
        <w:t>江苏大成工程咨询有限公司（以下称代理机构）受南通市工业和信息化局（以下称采购人）的委托，就2022年南通市“智改数转”诊断服务项目组织公开招标采购，诚邀符合条件的潜在投标供应商参加投标。</w:t>
      </w:r>
    </w:p>
    <w:p>
      <w:pPr>
        <w:snapToGrid w:val="0"/>
        <w:spacing w:line="300" w:lineRule="auto"/>
        <w:ind w:firstLine="482" w:firstLineChars="200"/>
        <w:rPr>
          <w:rFonts w:ascii="宋体" w:hAnsi="宋体" w:cs="宋体"/>
          <w:b/>
          <w:sz w:val="24"/>
          <w:highlight w:val="none"/>
        </w:rPr>
      </w:pPr>
      <w:r>
        <w:rPr>
          <w:rFonts w:hint="eastAsia" w:ascii="宋体" w:hAnsi="宋体" w:cs="宋体"/>
          <w:b/>
          <w:sz w:val="24"/>
          <w:highlight w:val="none"/>
        </w:rPr>
        <w:t>一、项目基本情况</w:t>
      </w:r>
    </w:p>
    <w:p>
      <w:pPr>
        <w:snapToGrid w:val="0"/>
        <w:spacing w:line="300" w:lineRule="auto"/>
        <w:ind w:firstLine="480" w:firstLineChars="200"/>
        <w:rPr>
          <w:rFonts w:ascii="宋体" w:hAnsi="宋体" w:cs="宋体"/>
          <w:sz w:val="24"/>
          <w:highlight w:val="none"/>
        </w:rPr>
      </w:pPr>
      <w:r>
        <w:rPr>
          <w:rFonts w:hint="eastAsia" w:ascii="宋体" w:hAnsi="宋体" w:cs="宋体"/>
          <w:sz w:val="24"/>
          <w:highlight w:val="none"/>
        </w:rPr>
        <w:t>1.项目编号：NTGXJ20220401号</w:t>
      </w:r>
    </w:p>
    <w:p>
      <w:pPr>
        <w:snapToGrid w:val="0"/>
        <w:spacing w:line="300" w:lineRule="auto"/>
        <w:ind w:firstLine="480" w:firstLineChars="200"/>
        <w:rPr>
          <w:rFonts w:hint="eastAsia" w:ascii="宋体" w:hAnsi="宋体" w:cs="宋体"/>
          <w:sz w:val="24"/>
          <w:highlight w:val="none"/>
        </w:rPr>
      </w:pPr>
      <w:r>
        <w:rPr>
          <w:rFonts w:hint="eastAsia" w:ascii="宋体" w:hAnsi="宋体" w:cs="宋体"/>
          <w:sz w:val="24"/>
          <w:highlight w:val="none"/>
        </w:rPr>
        <w:t>2.项目名称：2022年南通市“智改数转”诊断服务项目</w:t>
      </w:r>
    </w:p>
    <w:p>
      <w:pPr>
        <w:snapToGrid w:val="0"/>
        <w:spacing w:line="300" w:lineRule="auto"/>
        <w:ind w:firstLine="480" w:firstLineChars="200"/>
        <w:rPr>
          <w:rFonts w:hint="eastAsia" w:ascii="宋体" w:hAnsi="宋体" w:cs="宋体"/>
          <w:color w:val="auto"/>
          <w:sz w:val="24"/>
          <w:highlight w:val="none"/>
        </w:rPr>
      </w:pPr>
      <w:r>
        <w:rPr>
          <w:rFonts w:hint="eastAsia" w:ascii="宋体" w:hAnsi="宋体" w:cs="宋体"/>
          <w:color w:val="auto"/>
          <w:sz w:val="24"/>
          <w:highlight w:val="none"/>
        </w:rPr>
        <w:t>3.</w:t>
      </w:r>
      <w:r>
        <w:rPr>
          <w:rFonts w:ascii="宋体" w:hAnsi="宋体" w:cs="宋体"/>
          <w:color w:val="auto"/>
          <w:sz w:val="24"/>
          <w:highlight w:val="none"/>
        </w:rPr>
        <w:t>项目类型：服务</w:t>
      </w:r>
    </w:p>
    <w:p>
      <w:pPr>
        <w:snapToGrid w:val="0"/>
        <w:spacing w:line="300" w:lineRule="auto"/>
        <w:ind w:firstLine="480" w:firstLineChars="200"/>
        <w:rPr>
          <w:color w:val="auto"/>
          <w:highlight w:val="none"/>
        </w:rPr>
      </w:pPr>
      <w:r>
        <w:rPr>
          <w:rFonts w:hint="eastAsia" w:ascii="宋体" w:hAnsi="宋体" w:cs="宋体"/>
          <w:color w:val="auto"/>
          <w:sz w:val="24"/>
          <w:highlight w:val="none"/>
        </w:rPr>
        <w:t>4.本项目采购标的对应的企业划型标准所属行业</w:t>
      </w:r>
      <w:r>
        <w:rPr>
          <w:rFonts w:hint="eastAsia" w:ascii="宋体" w:hAnsi="宋体" w:cs="宋体"/>
          <w:color w:val="auto"/>
          <w:sz w:val="24"/>
          <w:highlight w:val="none"/>
          <w:lang w:eastAsia="zh-CN"/>
        </w:rPr>
        <w:t>：</w:t>
      </w:r>
      <w:r>
        <w:rPr>
          <w:rFonts w:hint="eastAsia" w:ascii="宋体" w:hAnsi="宋体" w:cs="宋体"/>
          <w:color w:val="auto"/>
          <w:sz w:val="24"/>
          <w:highlight w:val="none"/>
        </w:rPr>
        <w:t>其他未列明行业</w:t>
      </w:r>
    </w:p>
    <w:p>
      <w:pPr>
        <w:snapToGrid w:val="0"/>
        <w:spacing w:line="300" w:lineRule="auto"/>
        <w:ind w:firstLine="480" w:firstLineChars="200"/>
        <w:rPr>
          <w:rFonts w:ascii="宋体" w:hAnsi="宋体" w:cs="宋体"/>
          <w:sz w:val="24"/>
          <w:highlight w:val="none"/>
        </w:rPr>
      </w:pPr>
      <w:r>
        <w:rPr>
          <w:rFonts w:hint="eastAsia" w:ascii="宋体" w:hAnsi="宋体" w:cs="宋体"/>
          <w:sz w:val="24"/>
          <w:highlight w:val="none"/>
          <w:lang w:val="en-US" w:eastAsia="zh-CN"/>
        </w:rPr>
        <w:t>5</w:t>
      </w:r>
      <w:r>
        <w:rPr>
          <w:rFonts w:hint="eastAsia" w:ascii="宋体" w:hAnsi="宋体" w:cs="宋体"/>
          <w:sz w:val="24"/>
          <w:highlight w:val="none"/>
        </w:rPr>
        <w:t>.预算金额：</w:t>
      </w:r>
    </w:p>
    <w:p>
      <w:pPr>
        <w:snapToGrid w:val="0"/>
        <w:spacing w:line="300" w:lineRule="auto"/>
        <w:ind w:firstLine="480" w:firstLineChars="200"/>
        <w:rPr>
          <w:rFonts w:ascii="宋体" w:hAnsi="宋体" w:cs="宋体"/>
          <w:sz w:val="24"/>
          <w:highlight w:val="none"/>
        </w:rPr>
      </w:pPr>
      <w:r>
        <w:rPr>
          <w:rFonts w:hint="eastAsia" w:ascii="宋体" w:hAnsi="宋体" w:cs="宋体"/>
          <w:sz w:val="24"/>
          <w:highlight w:val="none"/>
        </w:rPr>
        <w:t>共1000万元，分为八个标段。</w:t>
      </w:r>
    </w:p>
    <w:p>
      <w:pPr>
        <w:snapToGrid w:val="0"/>
        <w:spacing w:line="300" w:lineRule="auto"/>
        <w:ind w:firstLine="480" w:firstLineChars="200"/>
        <w:rPr>
          <w:rFonts w:ascii="宋体" w:hAnsi="宋体" w:cs="宋体"/>
          <w:sz w:val="24"/>
          <w:highlight w:val="none"/>
        </w:rPr>
      </w:pPr>
      <w:r>
        <w:rPr>
          <w:rFonts w:hint="eastAsia" w:ascii="宋体" w:hAnsi="宋体" w:cs="宋体"/>
          <w:sz w:val="24"/>
          <w:highlight w:val="none"/>
        </w:rPr>
        <w:t>其中标段一限价140万元、标段二限价130万元、标段三限价130万元、标段四限价110万元、标段五限价120万元、标段六限价120万元、标段七限价120万元、标段八限价130万元。</w:t>
      </w:r>
    </w:p>
    <w:p>
      <w:pPr>
        <w:snapToGrid w:val="0"/>
        <w:spacing w:line="300" w:lineRule="auto"/>
        <w:ind w:firstLine="480" w:firstLineChars="200"/>
        <w:rPr>
          <w:rFonts w:ascii="宋体" w:hAnsi="宋体" w:cs="宋体"/>
          <w:sz w:val="24"/>
          <w:highlight w:val="none"/>
        </w:rPr>
      </w:pPr>
      <w:r>
        <w:rPr>
          <w:rFonts w:hint="eastAsia" w:ascii="宋体" w:hAnsi="宋体" w:cs="宋体"/>
          <w:sz w:val="24"/>
          <w:highlight w:val="none"/>
        </w:rPr>
        <w:t>单个企业最高单价限价：5万元/家。</w:t>
      </w:r>
    </w:p>
    <w:p>
      <w:pPr>
        <w:tabs>
          <w:tab w:val="left" w:pos="1710"/>
        </w:tabs>
        <w:snapToGrid w:val="0"/>
        <w:spacing w:line="312" w:lineRule="auto"/>
        <w:ind w:firstLine="480" w:firstLineChars="200"/>
        <w:contextualSpacing/>
        <w:rPr>
          <w:rFonts w:ascii="宋体" w:hAnsi="宋体" w:cs="宋体"/>
          <w:sz w:val="24"/>
          <w:highlight w:val="none"/>
        </w:rPr>
      </w:pPr>
      <w:r>
        <w:rPr>
          <w:rFonts w:hint="eastAsia" w:ascii="宋体" w:hAnsi="宋体" w:cs="宋体"/>
          <w:sz w:val="24"/>
          <w:highlight w:val="none"/>
          <w:lang w:val="en-US" w:eastAsia="zh-CN"/>
        </w:rPr>
        <w:t>6</w:t>
      </w:r>
      <w:r>
        <w:rPr>
          <w:rFonts w:hint="eastAsia" w:ascii="宋体" w:hAnsi="宋体" w:cs="宋体"/>
          <w:sz w:val="24"/>
          <w:highlight w:val="none"/>
        </w:rPr>
        <w:t>.采购需求：</w:t>
      </w:r>
      <w:r>
        <w:rPr>
          <w:rFonts w:ascii="宋体" w:hAnsi="宋体" w:cs="宋体"/>
          <w:sz w:val="24"/>
          <w:highlight w:val="none"/>
        </w:rPr>
        <w:t>本项目为</w:t>
      </w:r>
      <w:r>
        <w:rPr>
          <w:rFonts w:hint="eastAsia" w:ascii="宋体" w:hAnsi="宋体" w:cs="宋体"/>
          <w:sz w:val="24"/>
          <w:highlight w:val="none"/>
        </w:rPr>
        <w:t>南通市“智改数转”诊断服务项目，通过深入企业现场进行实地调查研究，运用先进的智改数转理念和技术评估手段，结合所投标段行业特点和企业现状，围绕企业存在问题和建设需求，为企业提供诊断服务，并编制企业智改数转诊断报告，提出“一企一策”个性化系统解决方案和顶层规划方案，提供切实可行的实施路径，帮助企业建设智能车间（工厂），打造工业互联网标杆，提升两化融合、智能制造、数字化水平，实现降本、提质、增效。具体详见招标文件。</w:t>
      </w:r>
    </w:p>
    <w:p>
      <w:pPr>
        <w:snapToGrid w:val="0"/>
        <w:spacing w:line="300" w:lineRule="auto"/>
        <w:ind w:firstLine="480" w:firstLineChars="200"/>
        <w:rPr>
          <w:rFonts w:ascii="宋体" w:hAnsi="宋体" w:cs="宋体"/>
          <w:sz w:val="24"/>
          <w:highlight w:val="none"/>
        </w:rPr>
      </w:pPr>
      <w:r>
        <w:rPr>
          <w:rFonts w:hint="eastAsia" w:ascii="宋体" w:hAnsi="宋体" w:cs="宋体"/>
          <w:sz w:val="24"/>
          <w:highlight w:val="none"/>
        </w:rPr>
        <w:t>本项目共分八个标段，详情如下：</w:t>
      </w:r>
    </w:p>
    <w:tbl>
      <w:tblPr>
        <w:tblStyle w:val="41"/>
        <w:tblpPr w:leftFromText="180" w:rightFromText="180" w:vertAnchor="text" w:horzAnchor="page" w:tblpX="1870" w:tblpY="195"/>
        <w:tblOverlap w:val="never"/>
        <w:tblW w:w="918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90"/>
        <w:gridCol w:w="990"/>
        <w:gridCol w:w="1455"/>
        <w:gridCol w:w="1339"/>
        <w:gridCol w:w="470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5" w:hRule="atLeast"/>
        </w:trPr>
        <w:tc>
          <w:tcPr>
            <w:tcW w:w="690" w:type="dxa"/>
            <w:noWrap/>
            <w:vAlign w:val="center"/>
          </w:tcPr>
          <w:p>
            <w:pPr>
              <w:spacing w:line="400" w:lineRule="exact"/>
              <w:jc w:val="center"/>
              <w:rPr>
                <w:rFonts w:ascii="宋体" w:hAnsi="宋体" w:cs="宋体"/>
                <w:kern w:val="0"/>
                <w:szCs w:val="21"/>
                <w:highlight w:val="none"/>
              </w:rPr>
            </w:pPr>
            <w:r>
              <w:rPr>
                <w:rFonts w:hint="eastAsia" w:ascii="宋体" w:hAnsi="宋体" w:cs="宋体"/>
                <w:kern w:val="0"/>
                <w:szCs w:val="21"/>
                <w:highlight w:val="none"/>
              </w:rPr>
              <w:t>标段号</w:t>
            </w:r>
          </w:p>
        </w:tc>
        <w:tc>
          <w:tcPr>
            <w:tcW w:w="990" w:type="dxa"/>
            <w:noWrap/>
            <w:vAlign w:val="center"/>
          </w:tcPr>
          <w:p>
            <w:pPr>
              <w:widowControl/>
              <w:spacing w:line="400" w:lineRule="exact"/>
              <w:jc w:val="center"/>
              <w:rPr>
                <w:rFonts w:ascii="宋体" w:hAnsi="宋体" w:cs="宋体"/>
                <w:kern w:val="0"/>
                <w:szCs w:val="21"/>
                <w:highlight w:val="none"/>
              </w:rPr>
            </w:pPr>
            <w:r>
              <w:rPr>
                <w:rFonts w:hint="eastAsia" w:ascii="宋体" w:hAnsi="宋体" w:cs="宋体"/>
                <w:kern w:val="0"/>
                <w:szCs w:val="21"/>
                <w:highlight w:val="none"/>
              </w:rPr>
              <w:t>预算</w:t>
            </w:r>
          </w:p>
          <w:p>
            <w:pPr>
              <w:widowControl/>
              <w:spacing w:line="400" w:lineRule="exact"/>
              <w:jc w:val="center"/>
              <w:rPr>
                <w:rFonts w:ascii="宋体" w:hAnsi="宋体" w:cs="宋体"/>
                <w:kern w:val="0"/>
                <w:szCs w:val="21"/>
                <w:highlight w:val="none"/>
              </w:rPr>
            </w:pPr>
            <w:r>
              <w:rPr>
                <w:rFonts w:hint="eastAsia" w:ascii="宋体" w:hAnsi="宋体" w:cs="宋体"/>
                <w:kern w:val="0"/>
                <w:szCs w:val="21"/>
                <w:highlight w:val="none"/>
              </w:rPr>
              <w:t>（万元）</w:t>
            </w:r>
          </w:p>
        </w:tc>
        <w:tc>
          <w:tcPr>
            <w:tcW w:w="1455" w:type="dxa"/>
            <w:noWrap/>
            <w:vAlign w:val="center"/>
          </w:tcPr>
          <w:p>
            <w:pPr>
              <w:widowControl/>
              <w:spacing w:line="400" w:lineRule="exact"/>
              <w:jc w:val="center"/>
              <w:rPr>
                <w:rFonts w:ascii="宋体" w:hAnsi="宋体" w:cs="宋体"/>
                <w:kern w:val="0"/>
                <w:szCs w:val="21"/>
                <w:highlight w:val="none"/>
              </w:rPr>
            </w:pPr>
            <w:r>
              <w:rPr>
                <w:rFonts w:hint="eastAsia" w:ascii="宋体" w:hAnsi="宋体" w:cs="宋体"/>
                <w:kern w:val="0"/>
                <w:szCs w:val="21"/>
                <w:highlight w:val="none"/>
              </w:rPr>
              <w:t>最高限价单价（</w:t>
            </w:r>
            <w:r>
              <w:rPr>
                <w:rFonts w:hint="eastAsia" w:ascii="宋体" w:hAnsi="宋体"/>
                <w:szCs w:val="21"/>
                <w:highlight w:val="none"/>
              </w:rPr>
              <w:t>万元/家</w:t>
            </w:r>
            <w:r>
              <w:rPr>
                <w:rFonts w:hint="eastAsia" w:ascii="宋体" w:hAnsi="宋体" w:cs="宋体"/>
                <w:kern w:val="0"/>
                <w:szCs w:val="21"/>
                <w:highlight w:val="none"/>
              </w:rPr>
              <w:t>）</w:t>
            </w:r>
          </w:p>
        </w:tc>
        <w:tc>
          <w:tcPr>
            <w:tcW w:w="1339" w:type="dxa"/>
            <w:noWrap/>
            <w:vAlign w:val="center"/>
          </w:tcPr>
          <w:p>
            <w:pPr>
              <w:widowControl/>
              <w:spacing w:line="400" w:lineRule="exact"/>
              <w:jc w:val="center"/>
              <w:rPr>
                <w:rFonts w:ascii="宋体" w:hAnsi="宋体" w:cs="宋体"/>
                <w:kern w:val="0"/>
                <w:szCs w:val="21"/>
                <w:highlight w:val="none"/>
              </w:rPr>
            </w:pPr>
            <w:r>
              <w:rPr>
                <w:rFonts w:hint="eastAsia" w:ascii="宋体" w:hAnsi="宋体" w:cs="宋体"/>
                <w:kern w:val="0"/>
                <w:szCs w:val="21"/>
                <w:highlight w:val="none"/>
              </w:rPr>
              <w:t>诊断服务企业数量（家）</w:t>
            </w:r>
          </w:p>
        </w:tc>
        <w:tc>
          <w:tcPr>
            <w:tcW w:w="4706" w:type="dxa"/>
            <w:noWrap/>
            <w:vAlign w:val="center"/>
          </w:tcPr>
          <w:p>
            <w:pPr>
              <w:widowControl/>
              <w:spacing w:line="400" w:lineRule="exact"/>
              <w:jc w:val="center"/>
              <w:rPr>
                <w:rFonts w:ascii="宋体" w:hAnsi="宋体" w:cs="宋体"/>
                <w:kern w:val="0"/>
                <w:szCs w:val="21"/>
                <w:highlight w:val="none"/>
              </w:rPr>
            </w:pPr>
            <w:r>
              <w:rPr>
                <w:rFonts w:hint="eastAsia" w:ascii="宋体" w:hAnsi="宋体" w:cs="宋体"/>
                <w:kern w:val="0"/>
                <w:szCs w:val="21"/>
                <w:highlight w:val="none"/>
              </w:rPr>
              <w:t>诊断企业所属行业具体企业数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7" w:hRule="atLeast"/>
        </w:trPr>
        <w:tc>
          <w:tcPr>
            <w:tcW w:w="690" w:type="dxa"/>
            <w:noWrap/>
            <w:vAlign w:val="center"/>
          </w:tcPr>
          <w:p>
            <w:pPr>
              <w:widowControl/>
              <w:spacing w:line="400" w:lineRule="exact"/>
              <w:jc w:val="center"/>
              <w:rPr>
                <w:rFonts w:ascii="宋体" w:hAnsi="宋体" w:cs="宋体"/>
                <w:kern w:val="0"/>
                <w:szCs w:val="21"/>
                <w:highlight w:val="none"/>
              </w:rPr>
            </w:pPr>
            <w:r>
              <w:rPr>
                <w:rFonts w:hint="eastAsia" w:ascii="宋体" w:hAnsi="宋体" w:cs="宋体"/>
                <w:kern w:val="0"/>
                <w:szCs w:val="21"/>
                <w:highlight w:val="none"/>
              </w:rPr>
              <w:t>一</w:t>
            </w:r>
          </w:p>
        </w:tc>
        <w:tc>
          <w:tcPr>
            <w:tcW w:w="990" w:type="dxa"/>
            <w:noWrap/>
            <w:vAlign w:val="center"/>
          </w:tcPr>
          <w:p>
            <w:pPr>
              <w:spacing w:line="400" w:lineRule="exact"/>
              <w:jc w:val="center"/>
              <w:rPr>
                <w:rFonts w:ascii="宋体" w:hAnsi="宋体"/>
                <w:szCs w:val="21"/>
                <w:highlight w:val="none"/>
              </w:rPr>
            </w:pPr>
            <w:r>
              <w:rPr>
                <w:rFonts w:hint="eastAsia" w:ascii="宋体" w:hAnsi="宋体"/>
                <w:szCs w:val="21"/>
                <w:highlight w:val="none"/>
              </w:rPr>
              <w:t>140</w:t>
            </w:r>
          </w:p>
        </w:tc>
        <w:tc>
          <w:tcPr>
            <w:tcW w:w="1455" w:type="dxa"/>
            <w:noWrap/>
            <w:vAlign w:val="center"/>
          </w:tcPr>
          <w:p>
            <w:pPr>
              <w:spacing w:line="400" w:lineRule="exact"/>
              <w:jc w:val="center"/>
              <w:rPr>
                <w:rFonts w:ascii="宋体" w:hAnsi="宋体"/>
                <w:szCs w:val="21"/>
                <w:highlight w:val="none"/>
              </w:rPr>
            </w:pPr>
            <w:r>
              <w:rPr>
                <w:rFonts w:hint="eastAsia" w:ascii="宋体" w:hAnsi="宋体"/>
                <w:szCs w:val="21"/>
                <w:highlight w:val="none"/>
              </w:rPr>
              <w:t>5</w:t>
            </w:r>
          </w:p>
        </w:tc>
        <w:tc>
          <w:tcPr>
            <w:tcW w:w="1339" w:type="dxa"/>
            <w:noWrap/>
            <w:vAlign w:val="center"/>
          </w:tcPr>
          <w:p>
            <w:pPr>
              <w:spacing w:line="400" w:lineRule="exact"/>
              <w:jc w:val="center"/>
              <w:rPr>
                <w:rFonts w:ascii="宋体" w:hAnsi="宋体"/>
                <w:szCs w:val="21"/>
                <w:highlight w:val="none"/>
              </w:rPr>
            </w:pPr>
            <w:r>
              <w:rPr>
                <w:rFonts w:ascii="宋体" w:hAnsi="宋体"/>
                <w:szCs w:val="21"/>
                <w:highlight w:val="none"/>
              </w:rPr>
              <w:t>28</w:t>
            </w:r>
          </w:p>
        </w:tc>
        <w:tc>
          <w:tcPr>
            <w:tcW w:w="4706" w:type="dxa"/>
            <w:noWrap/>
            <w:vAlign w:val="center"/>
          </w:tcPr>
          <w:p>
            <w:pPr>
              <w:spacing w:line="400" w:lineRule="exact"/>
              <w:jc w:val="center"/>
              <w:rPr>
                <w:rFonts w:ascii="宋体" w:hAnsi="宋体"/>
                <w:szCs w:val="21"/>
                <w:highlight w:val="none"/>
              </w:rPr>
            </w:pPr>
            <w:r>
              <w:rPr>
                <w:rFonts w:hint="eastAsia" w:ascii="宋体" w:hAnsi="宋体"/>
                <w:szCs w:val="21"/>
                <w:highlight w:val="none"/>
              </w:rPr>
              <w:t>新一代信息技术产业28家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trPr>
        <w:tc>
          <w:tcPr>
            <w:tcW w:w="690" w:type="dxa"/>
            <w:noWrap/>
            <w:vAlign w:val="center"/>
          </w:tcPr>
          <w:p>
            <w:pPr>
              <w:widowControl/>
              <w:spacing w:line="400" w:lineRule="exact"/>
              <w:jc w:val="center"/>
              <w:rPr>
                <w:rFonts w:ascii="宋体" w:hAnsi="宋体" w:cs="宋体"/>
                <w:kern w:val="0"/>
                <w:szCs w:val="21"/>
                <w:highlight w:val="none"/>
              </w:rPr>
            </w:pPr>
            <w:r>
              <w:rPr>
                <w:rFonts w:hint="eastAsia" w:ascii="宋体" w:hAnsi="宋体" w:cs="宋体"/>
                <w:kern w:val="0"/>
                <w:szCs w:val="21"/>
                <w:highlight w:val="none"/>
              </w:rPr>
              <w:t>二</w:t>
            </w:r>
          </w:p>
        </w:tc>
        <w:tc>
          <w:tcPr>
            <w:tcW w:w="990" w:type="dxa"/>
            <w:noWrap/>
            <w:vAlign w:val="center"/>
          </w:tcPr>
          <w:p>
            <w:pPr>
              <w:spacing w:line="400" w:lineRule="exact"/>
              <w:jc w:val="center"/>
              <w:rPr>
                <w:rFonts w:ascii="宋体" w:hAnsi="宋体"/>
                <w:highlight w:val="none"/>
              </w:rPr>
            </w:pPr>
            <w:r>
              <w:rPr>
                <w:rFonts w:hint="eastAsia" w:ascii="宋体" w:hAnsi="宋体"/>
                <w:highlight w:val="none"/>
              </w:rPr>
              <w:t>130</w:t>
            </w:r>
          </w:p>
        </w:tc>
        <w:tc>
          <w:tcPr>
            <w:tcW w:w="1455" w:type="dxa"/>
            <w:noWrap/>
            <w:vAlign w:val="center"/>
          </w:tcPr>
          <w:p>
            <w:pPr>
              <w:spacing w:line="400" w:lineRule="exact"/>
              <w:jc w:val="center"/>
              <w:rPr>
                <w:highlight w:val="none"/>
              </w:rPr>
            </w:pPr>
            <w:r>
              <w:rPr>
                <w:rFonts w:hint="eastAsia"/>
                <w:highlight w:val="none"/>
              </w:rPr>
              <w:t>5</w:t>
            </w:r>
          </w:p>
        </w:tc>
        <w:tc>
          <w:tcPr>
            <w:tcW w:w="1339" w:type="dxa"/>
            <w:noWrap/>
            <w:vAlign w:val="center"/>
          </w:tcPr>
          <w:p>
            <w:pPr>
              <w:spacing w:line="400" w:lineRule="exact"/>
              <w:jc w:val="center"/>
              <w:rPr>
                <w:rFonts w:ascii="宋体" w:hAnsi="宋体"/>
                <w:szCs w:val="21"/>
                <w:highlight w:val="none"/>
              </w:rPr>
            </w:pPr>
            <w:r>
              <w:rPr>
                <w:rFonts w:hint="eastAsia" w:ascii="宋体" w:hAnsi="宋体"/>
                <w:szCs w:val="21"/>
                <w:highlight w:val="none"/>
              </w:rPr>
              <w:t>26</w:t>
            </w:r>
          </w:p>
        </w:tc>
        <w:tc>
          <w:tcPr>
            <w:tcW w:w="4706" w:type="dxa"/>
            <w:noWrap/>
            <w:vAlign w:val="center"/>
          </w:tcPr>
          <w:p>
            <w:pPr>
              <w:spacing w:line="400" w:lineRule="exact"/>
              <w:jc w:val="center"/>
              <w:rPr>
                <w:rFonts w:ascii="宋体" w:hAnsi="宋体" w:cs="宋体"/>
                <w:highlight w:val="none"/>
              </w:rPr>
            </w:pPr>
            <w:r>
              <w:rPr>
                <w:rFonts w:hint="eastAsia" w:ascii="宋体" w:hAnsi="宋体" w:cs="宋体"/>
                <w:highlight w:val="none"/>
              </w:rPr>
              <w:t>高端纺织产业26家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7" w:hRule="atLeast"/>
        </w:trPr>
        <w:tc>
          <w:tcPr>
            <w:tcW w:w="690" w:type="dxa"/>
            <w:noWrap/>
            <w:vAlign w:val="center"/>
          </w:tcPr>
          <w:p>
            <w:pPr>
              <w:widowControl/>
              <w:spacing w:line="400" w:lineRule="exact"/>
              <w:jc w:val="center"/>
              <w:rPr>
                <w:rFonts w:ascii="宋体" w:hAnsi="宋体" w:cs="宋体"/>
                <w:kern w:val="0"/>
                <w:szCs w:val="21"/>
                <w:highlight w:val="none"/>
              </w:rPr>
            </w:pPr>
            <w:r>
              <w:rPr>
                <w:rFonts w:hint="eastAsia" w:ascii="宋体" w:hAnsi="宋体" w:cs="宋体"/>
                <w:kern w:val="0"/>
                <w:szCs w:val="21"/>
                <w:highlight w:val="none"/>
              </w:rPr>
              <w:t>三</w:t>
            </w:r>
          </w:p>
        </w:tc>
        <w:tc>
          <w:tcPr>
            <w:tcW w:w="990" w:type="dxa"/>
            <w:noWrap/>
            <w:vAlign w:val="center"/>
          </w:tcPr>
          <w:p>
            <w:pPr>
              <w:spacing w:line="400" w:lineRule="exact"/>
              <w:jc w:val="center"/>
              <w:rPr>
                <w:rFonts w:ascii="宋体" w:hAnsi="宋体"/>
                <w:highlight w:val="none"/>
              </w:rPr>
            </w:pPr>
            <w:r>
              <w:rPr>
                <w:rFonts w:hint="eastAsia" w:ascii="宋体" w:hAnsi="宋体"/>
                <w:highlight w:val="none"/>
              </w:rPr>
              <w:t>130</w:t>
            </w:r>
          </w:p>
        </w:tc>
        <w:tc>
          <w:tcPr>
            <w:tcW w:w="1455" w:type="dxa"/>
            <w:noWrap/>
            <w:vAlign w:val="center"/>
          </w:tcPr>
          <w:p>
            <w:pPr>
              <w:spacing w:line="400" w:lineRule="exact"/>
              <w:jc w:val="center"/>
              <w:rPr>
                <w:highlight w:val="none"/>
              </w:rPr>
            </w:pPr>
            <w:r>
              <w:rPr>
                <w:rFonts w:hint="eastAsia"/>
                <w:highlight w:val="none"/>
              </w:rPr>
              <w:t>5</w:t>
            </w:r>
          </w:p>
        </w:tc>
        <w:tc>
          <w:tcPr>
            <w:tcW w:w="1339" w:type="dxa"/>
            <w:noWrap/>
            <w:vAlign w:val="center"/>
          </w:tcPr>
          <w:p>
            <w:pPr>
              <w:spacing w:line="400" w:lineRule="exact"/>
              <w:jc w:val="center"/>
              <w:rPr>
                <w:rFonts w:ascii="宋体" w:hAnsi="宋体"/>
                <w:szCs w:val="21"/>
                <w:highlight w:val="none"/>
              </w:rPr>
            </w:pPr>
            <w:r>
              <w:rPr>
                <w:rFonts w:hint="eastAsia" w:ascii="宋体" w:hAnsi="宋体"/>
                <w:szCs w:val="21"/>
                <w:highlight w:val="none"/>
              </w:rPr>
              <w:t>26</w:t>
            </w:r>
          </w:p>
        </w:tc>
        <w:tc>
          <w:tcPr>
            <w:tcW w:w="4706" w:type="dxa"/>
            <w:noWrap/>
            <w:vAlign w:val="center"/>
          </w:tcPr>
          <w:p>
            <w:pPr>
              <w:spacing w:line="400" w:lineRule="exact"/>
              <w:jc w:val="center"/>
              <w:rPr>
                <w:rFonts w:ascii="宋体" w:hAnsi="宋体" w:cs="宋体"/>
                <w:highlight w:val="none"/>
              </w:rPr>
            </w:pPr>
            <w:r>
              <w:rPr>
                <w:rFonts w:hint="eastAsia" w:ascii="宋体" w:hAnsi="宋体" w:cs="宋体"/>
                <w:highlight w:val="none"/>
              </w:rPr>
              <w:t>高端装备17家、关键零部件产业9家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7" w:hRule="atLeast"/>
        </w:trPr>
        <w:tc>
          <w:tcPr>
            <w:tcW w:w="690" w:type="dxa"/>
            <w:noWrap/>
            <w:vAlign w:val="center"/>
          </w:tcPr>
          <w:p>
            <w:pPr>
              <w:widowControl/>
              <w:spacing w:line="400" w:lineRule="exact"/>
              <w:jc w:val="center"/>
              <w:rPr>
                <w:rFonts w:ascii="宋体" w:hAnsi="宋体" w:cs="宋体"/>
                <w:kern w:val="0"/>
                <w:szCs w:val="21"/>
                <w:highlight w:val="none"/>
              </w:rPr>
            </w:pPr>
            <w:r>
              <w:rPr>
                <w:rFonts w:hint="eastAsia" w:ascii="宋体" w:hAnsi="宋体" w:cs="宋体"/>
                <w:kern w:val="0"/>
                <w:szCs w:val="21"/>
                <w:highlight w:val="none"/>
              </w:rPr>
              <w:t>四</w:t>
            </w:r>
          </w:p>
        </w:tc>
        <w:tc>
          <w:tcPr>
            <w:tcW w:w="990" w:type="dxa"/>
            <w:noWrap/>
            <w:vAlign w:val="center"/>
          </w:tcPr>
          <w:p>
            <w:pPr>
              <w:widowControl/>
              <w:spacing w:line="400" w:lineRule="exact"/>
              <w:jc w:val="center"/>
              <w:rPr>
                <w:rFonts w:ascii="宋体" w:hAnsi="宋体"/>
                <w:kern w:val="0"/>
                <w:szCs w:val="21"/>
                <w:highlight w:val="none"/>
              </w:rPr>
            </w:pPr>
            <w:r>
              <w:rPr>
                <w:rFonts w:hint="eastAsia" w:ascii="宋体" w:hAnsi="宋体"/>
                <w:kern w:val="0"/>
                <w:szCs w:val="21"/>
                <w:highlight w:val="none"/>
              </w:rPr>
              <w:t>110</w:t>
            </w:r>
          </w:p>
        </w:tc>
        <w:tc>
          <w:tcPr>
            <w:tcW w:w="1455" w:type="dxa"/>
            <w:noWrap/>
            <w:vAlign w:val="center"/>
          </w:tcPr>
          <w:p>
            <w:pPr>
              <w:spacing w:line="400" w:lineRule="exact"/>
              <w:jc w:val="center"/>
              <w:rPr>
                <w:rFonts w:ascii="宋体" w:hAnsi="宋体"/>
                <w:kern w:val="0"/>
                <w:szCs w:val="21"/>
                <w:highlight w:val="none"/>
              </w:rPr>
            </w:pPr>
            <w:r>
              <w:rPr>
                <w:rFonts w:hint="eastAsia" w:ascii="宋体" w:hAnsi="宋体"/>
                <w:kern w:val="0"/>
                <w:szCs w:val="21"/>
                <w:highlight w:val="none"/>
              </w:rPr>
              <w:t>5</w:t>
            </w:r>
          </w:p>
        </w:tc>
        <w:tc>
          <w:tcPr>
            <w:tcW w:w="1339" w:type="dxa"/>
            <w:noWrap/>
            <w:vAlign w:val="center"/>
          </w:tcPr>
          <w:p>
            <w:pPr>
              <w:spacing w:line="400" w:lineRule="exact"/>
              <w:jc w:val="center"/>
              <w:rPr>
                <w:rFonts w:ascii="宋体" w:hAnsi="宋体"/>
                <w:szCs w:val="21"/>
                <w:highlight w:val="none"/>
              </w:rPr>
            </w:pPr>
            <w:r>
              <w:rPr>
                <w:rFonts w:hint="eastAsia" w:ascii="宋体" w:hAnsi="宋体"/>
                <w:kern w:val="0"/>
                <w:szCs w:val="21"/>
                <w:highlight w:val="none"/>
              </w:rPr>
              <w:t>22</w:t>
            </w:r>
          </w:p>
        </w:tc>
        <w:tc>
          <w:tcPr>
            <w:tcW w:w="4706" w:type="dxa"/>
            <w:noWrap/>
            <w:vAlign w:val="center"/>
          </w:tcPr>
          <w:p>
            <w:pPr>
              <w:widowControl/>
              <w:spacing w:line="400" w:lineRule="exact"/>
              <w:jc w:val="center"/>
              <w:rPr>
                <w:rFonts w:ascii="宋体" w:hAnsi="宋体"/>
                <w:szCs w:val="21"/>
                <w:highlight w:val="none"/>
              </w:rPr>
            </w:pPr>
            <w:r>
              <w:rPr>
                <w:rFonts w:hint="eastAsia" w:ascii="宋体" w:hAnsi="宋体"/>
                <w:kern w:val="0"/>
                <w:szCs w:val="21"/>
                <w:highlight w:val="none"/>
              </w:rPr>
              <w:t>船舶海工12家、通用设备产业10家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2" w:hRule="atLeast"/>
        </w:trPr>
        <w:tc>
          <w:tcPr>
            <w:tcW w:w="690" w:type="dxa"/>
            <w:noWrap/>
            <w:vAlign w:val="center"/>
          </w:tcPr>
          <w:p>
            <w:pPr>
              <w:widowControl/>
              <w:spacing w:line="400" w:lineRule="exact"/>
              <w:jc w:val="center"/>
              <w:rPr>
                <w:rFonts w:ascii="宋体" w:hAnsi="宋体" w:cs="宋体"/>
                <w:kern w:val="0"/>
                <w:szCs w:val="21"/>
                <w:highlight w:val="none"/>
              </w:rPr>
            </w:pPr>
            <w:r>
              <w:rPr>
                <w:rFonts w:hint="eastAsia" w:ascii="宋体" w:hAnsi="宋体" w:cs="宋体"/>
                <w:kern w:val="0"/>
                <w:szCs w:val="21"/>
                <w:highlight w:val="none"/>
              </w:rPr>
              <w:t>五</w:t>
            </w:r>
          </w:p>
        </w:tc>
        <w:tc>
          <w:tcPr>
            <w:tcW w:w="990" w:type="dxa"/>
            <w:noWrap/>
            <w:vAlign w:val="center"/>
          </w:tcPr>
          <w:p>
            <w:pPr>
              <w:widowControl/>
              <w:spacing w:line="400" w:lineRule="exact"/>
              <w:jc w:val="center"/>
              <w:rPr>
                <w:rFonts w:ascii="宋体" w:hAnsi="宋体"/>
                <w:kern w:val="0"/>
                <w:szCs w:val="21"/>
                <w:highlight w:val="none"/>
              </w:rPr>
            </w:pPr>
            <w:r>
              <w:rPr>
                <w:rFonts w:hint="eastAsia" w:ascii="宋体" w:hAnsi="宋体"/>
                <w:kern w:val="0"/>
                <w:szCs w:val="21"/>
                <w:highlight w:val="none"/>
              </w:rPr>
              <w:t>120</w:t>
            </w:r>
          </w:p>
        </w:tc>
        <w:tc>
          <w:tcPr>
            <w:tcW w:w="1455" w:type="dxa"/>
            <w:noWrap/>
            <w:vAlign w:val="center"/>
          </w:tcPr>
          <w:p>
            <w:pPr>
              <w:spacing w:line="400" w:lineRule="exact"/>
              <w:jc w:val="center"/>
              <w:rPr>
                <w:rFonts w:ascii="宋体" w:hAnsi="宋体"/>
                <w:kern w:val="0"/>
                <w:szCs w:val="21"/>
                <w:highlight w:val="none"/>
              </w:rPr>
            </w:pPr>
            <w:r>
              <w:rPr>
                <w:rFonts w:hint="eastAsia" w:ascii="宋体" w:hAnsi="宋体"/>
                <w:kern w:val="0"/>
                <w:szCs w:val="21"/>
                <w:highlight w:val="none"/>
              </w:rPr>
              <w:t xml:space="preserve">5  </w:t>
            </w:r>
          </w:p>
        </w:tc>
        <w:tc>
          <w:tcPr>
            <w:tcW w:w="1339" w:type="dxa"/>
            <w:noWrap/>
            <w:vAlign w:val="center"/>
          </w:tcPr>
          <w:p>
            <w:pPr>
              <w:spacing w:line="400" w:lineRule="exact"/>
              <w:jc w:val="center"/>
              <w:rPr>
                <w:rFonts w:ascii="宋体" w:hAnsi="宋体"/>
                <w:szCs w:val="21"/>
                <w:highlight w:val="none"/>
              </w:rPr>
            </w:pPr>
            <w:r>
              <w:rPr>
                <w:rFonts w:hint="eastAsia" w:ascii="宋体" w:hAnsi="宋体"/>
                <w:szCs w:val="21"/>
                <w:highlight w:val="none"/>
              </w:rPr>
              <w:t>24</w:t>
            </w:r>
          </w:p>
        </w:tc>
        <w:tc>
          <w:tcPr>
            <w:tcW w:w="4706" w:type="dxa"/>
            <w:noWrap/>
            <w:vAlign w:val="center"/>
          </w:tcPr>
          <w:p>
            <w:pPr>
              <w:widowControl/>
              <w:spacing w:line="400" w:lineRule="exact"/>
              <w:jc w:val="center"/>
              <w:rPr>
                <w:rFonts w:ascii="宋体" w:hAnsi="宋体"/>
                <w:kern w:val="0"/>
                <w:szCs w:val="21"/>
                <w:highlight w:val="none"/>
              </w:rPr>
            </w:pPr>
            <w:r>
              <w:rPr>
                <w:rFonts w:hint="eastAsia" w:ascii="宋体" w:hAnsi="宋体"/>
                <w:szCs w:val="21"/>
                <w:highlight w:val="none"/>
              </w:rPr>
              <w:t>化工产业11家、新材料7家、生物医药6家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0" w:type="dxa"/>
            <w:noWrap/>
            <w:vAlign w:val="center"/>
          </w:tcPr>
          <w:p>
            <w:pPr>
              <w:widowControl/>
              <w:spacing w:line="400" w:lineRule="exact"/>
              <w:jc w:val="center"/>
              <w:rPr>
                <w:rFonts w:ascii="宋体" w:hAnsi="宋体" w:cs="宋体"/>
                <w:kern w:val="0"/>
                <w:szCs w:val="21"/>
                <w:highlight w:val="none"/>
              </w:rPr>
            </w:pPr>
            <w:r>
              <w:rPr>
                <w:rFonts w:hint="eastAsia" w:ascii="宋体" w:hAnsi="宋体" w:cs="宋体"/>
                <w:kern w:val="0"/>
                <w:szCs w:val="21"/>
                <w:highlight w:val="none"/>
              </w:rPr>
              <w:t>六</w:t>
            </w:r>
          </w:p>
        </w:tc>
        <w:tc>
          <w:tcPr>
            <w:tcW w:w="990" w:type="dxa"/>
            <w:noWrap/>
            <w:vAlign w:val="center"/>
          </w:tcPr>
          <w:p>
            <w:pPr>
              <w:widowControl/>
              <w:spacing w:line="400" w:lineRule="exact"/>
              <w:jc w:val="center"/>
              <w:rPr>
                <w:rFonts w:ascii="宋体" w:hAnsi="宋体"/>
                <w:kern w:val="0"/>
                <w:szCs w:val="21"/>
                <w:highlight w:val="none"/>
              </w:rPr>
            </w:pPr>
            <w:r>
              <w:rPr>
                <w:rFonts w:hint="eastAsia" w:ascii="宋体" w:hAnsi="宋体"/>
                <w:kern w:val="0"/>
                <w:szCs w:val="21"/>
                <w:highlight w:val="none"/>
              </w:rPr>
              <w:t>120</w:t>
            </w:r>
          </w:p>
        </w:tc>
        <w:tc>
          <w:tcPr>
            <w:tcW w:w="1455" w:type="dxa"/>
            <w:noWrap/>
            <w:vAlign w:val="center"/>
          </w:tcPr>
          <w:p>
            <w:pPr>
              <w:spacing w:line="400" w:lineRule="exact"/>
              <w:jc w:val="center"/>
              <w:rPr>
                <w:rFonts w:ascii="宋体" w:hAnsi="宋体"/>
                <w:kern w:val="0"/>
                <w:szCs w:val="21"/>
                <w:highlight w:val="none"/>
              </w:rPr>
            </w:pPr>
            <w:r>
              <w:rPr>
                <w:rFonts w:hint="eastAsia" w:ascii="宋体" w:hAnsi="宋体"/>
                <w:kern w:val="0"/>
                <w:szCs w:val="21"/>
                <w:highlight w:val="none"/>
              </w:rPr>
              <w:t xml:space="preserve">5 </w:t>
            </w:r>
          </w:p>
        </w:tc>
        <w:tc>
          <w:tcPr>
            <w:tcW w:w="1339" w:type="dxa"/>
            <w:noWrap/>
            <w:vAlign w:val="center"/>
          </w:tcPr>
          <w:p>
            <w:pPr>
              <w:spacing w:line="400" w:lineRule="exact"/>
              <w:jc w:val="center"/>
              <w:rPr>
                <w:rFonts w:ascii="宋体" w:hAnsi="宋体"/>
                <w:szCs w:val="21"/>
                <w:highlight w:val="none"/>
              </w:rPr>
            </w:pPr>
            <w:r>
              <w:rPr>
                <w:rFonts w:hint="eastAsia" w:ascii="宋体" w:hAnsi="宋体"/>
                <w:szCs w:val="21"/>
                <w:highlight w:val="none"/>
              </w:rPr>
              <w:t>24</w:t>
            </w:r>
          </w:p>
        </w:tc>
        <w:tc>
          <w:tcPr>
            <w:tcW w:w="4706" w:type="dxa"/>
            <w:noWrap/>
            <w:vAlign w:val="center"/>
          </w:tcPr>
          <w:p>
            <w:pPr>
              <w:widowControl/>
              <w:spacing w:line="400" w:lineRule="exact"/>
              <w:jc w:val="center"/>
              <w:rPr>
                <w:rFonts w:ascii="宋体" w:hAnsi="宋体"/>
                <w:kern w:val="0"/>
                <w:szCs w:val="21"/>
                <w:highlight w:val="none"/>
              </w:rPr>
            </w:pPr>
            <w:r>
              <w:rPr>
                <w:rFonts w:hint="eastAsia" w:ascii="宋体" w:hAnsi="宋体"/>
                <w:szCs w:val="21"/>
                <w:highlight w:val="none"/>
              </w:rPr>
              <w:t>新能源10家、汽车及零部件9家、水泥、玻璃等非金属制品5家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0" w:type="dxa"/>
            <w:noWrap/>
            <w:vAlign w:val="center"/>
          </w:tcPr>
          <w:p>
            <w:pPr>
              <w:widowControl/>
              <w:spacing w:line="400" w:lineRule="exact"/>
              <w:jc w:val="center"/>
              <w:rPr>
                <w:rFonts w:ascii="宋体" w:hAnsi="宋体" w:cs="宋体"/>
                <w:kern w:val="0"/>
                <w:szCs w:val="21"/>
                <w:highlight w:val="none"/>
              </w:rPr>
            </w:pPr>
            <w:r>
              <w:rPr>
                <w:rFonts w:hint="eastAsia" w:ascii="宋体" w:hAnsi="宋体" w:cs="宋体"/>
                <w:kern w:val="0"/>
                <w:szCs w:val="21"/>
                <w:highlight w:val="none"/>
              </w:rPr>
              <w:t>七</w:t>
            </w:r>
          </w:p>
        </w:tc>
        <w:tc>
          <w:tcPr>
            <w:tcW w:w="990" w:type="dxa"/>
            <w:noWrap/>
            <w:vAlign w:val="center"/>
          </w:tcPr>
          <w:p>
            <w:pPr>
              <w:widowControl/>
              <w:spacing w:line="400" w:lineRule="exact"/>
              <w:jc w:val="center"/>
              <w:rPr>
                <w:rFonts w:ascii="宋体" w:hAnsi="宋体"/>
                <w:kern w:val="0"/>
                <w:szCs w:val="21"/>
                <w:highlight w:val="none"/>
              </w:rPr>
            </w:pPr>
            <w:r>
              <w:rPr>
                <w:rFonts w:hint="eastAsia" w:ascii="宋体" w:hAnsi="宋体"/>
                <w:kern w:val="0"/>
                <w:szCs w:val="21"/>
                <w:highlight w:val="none"/>
              </w:rPr>
              <w:t>120</w:t>
            </w:r>
          </w:p>
        </w:tc>
        <w:tc>
          <w:tcPr>
            <w:tcW w:w="1455" w:type="dxa"/>
            <w:noWrap/>
            <w:vAlign w:val="center"/>
          </w:tcPr>
          <w:p>
            <w:pPr>
              <w:spacing w:line="400" w:lineRule="exact"/>
              <w:jc w:val="center"/>
              <w:rPr>
                <w:rFonts w:ascii="宋体" w:hAnsi="宋体"/>
                <w:kern w:val="0"/>
                <w:szCs w:val="21"/>
                <w:highlight w:val="none"/>
              </w:rPr>
            </w:pPr>
            <w:r>
              <w:rPr>
                <w:rFonts w:hint="eastAsia" w:ascii="宋体" w:hAnsi="宋体"/>
                <w:kern w:val="0"/>
                <w:szCs w:val="21"/>
                <w:highlight w:val="none"/>
              </w:rPr>
              <w:t xml:space="preserve">5 </w:t>
            </w:r>
          </w:p>
        </w:tc>
        <w:tc>
          <w:tcPr>
            <w:tcW w:w="1339" w:type="dxa"/>
            <w:noWrap/>
            <w:vAlign w:val="center"/>
          </w:tcPr>
          <w:p>
            <w:pPr>
              <w:spacing w:line="400" w:lineRule="exact"/>
              <w:jc w:val="center"/>
              <w:rPr>
                <w:rFonts w:ascii="宋体" w:hAnsi="宋体"/>
                <w:szCs w:val="21"/>
                <w:highlight w:val="none"/>
              </w:rPr>
            </w:pPr>
            <w:r>
              <w:rPr>
                <w:rFonts w:hint="eastAsia" w:ascii="宋体" w:hAnsi="宋体"/>
                <w:szCs w:val="21"/>
                <w:highlight w:val="none"/>
              </w:rPr>
              <w:t>24</w:t>
            </w:r>
          </w:p>
        </w:tc>
        <w:tc>
          <w:tcPr>
            <w:tcW w:w="4706" w:type="dxa"/>
            <w:noWrap/>
            <w:vAlign w:val="center"/>
          </w:tcPr>
          <w:p>
            <w:pPr>
              <w:widowControl/>
              <w:spacing w:line="400" w:lineRule="exact"/>
              <w:jc w:val="center"/>
              <w:rPr>
                <w:rFonts w:ascii="宋体" w:hAnsi="宋体"/>
                <w:kern w:val="0"/>
                <w:szCs w:val="21"/>
                <w:highlight w:val="none"/>
              </w:rPr>
            </w:pPr>
            <w:r>
              <w:rPr>
                <w:rFonts w:hint="eastAsia" w:ascii="宋体" w:hAnsi="宋体"/>
                <w:szCs w:val="21"/>
                <w:highlight w:val="none"/>
              </w:rPr>
              <w:t>金属制品19家、橡胶塑料制品4、家居制造1家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690" w:type="dxa"/>
            <w:noWrap/>
            <w:vAlign w:val="center"/>
          </w:tcPr>
          <w:p>
            <w:pPr>
              <w:widowControl/>
              <w:spacing w:line="400" w:lineRule="exact"/>
              <w:jc w:val="center"/>
              <w:rPr>
                <w:rFonts w:ascii="宋体" w:hAnsi="宋体" w:cs="宋体"/>
                <w:kern w:val="0"/>
                <w:szCs w:val="21"/>
                <w:highlight w:val="none"/>
              </w:rPr>
            </w:pPr>
            <w:r>
              <w:rPr>
                <w:rFonts w:hint="eastAsia" w:ascii="宋体" w:hAnsi="宋体" w:cs="宋体"/>
                <w:kern w:val="0"/>
                <w:szCs w:val="21"/>
                <w:highlight w:val="none"/>
              </w:rPr>
              <w:t>八</w:t>
            </w:r>
          </w:p>
        </w:tc>
        <w:tc>
          <w:tcPr>
            <w:tcW w:w="990" w:type="dxa"/>
            <w:noWrap/>
            <w:vAlign w:val="center"/>
          </w:tcPr>
          <w:p>
            <w:pPr>
              <w:widowControl/>
              <w:spacing w:line="400" w:lineRule="exact"/>
              <w:jc w:val="center"/>
              <w:rPr>
                <w:rFonts w:ascii="宋体" w:hAnsi="宋体"/>
                <w:kern w:val="0"/>
                <w:szCs w:val="21"/>
                <w:highlight w:val="none"/>
              </w:rPr>
            </w:pPr>
            <w:r>
              <w:rPr>
                <w:rFonts w:hint="eastAsia" w:ascii="宋体" w:hAnsi="宋体"/>
                <w:kern w:val="0"/>
                <w:szCs w:val="21"/>
                <w:highlight w:val="none"/>
              </w:rPr>
              <w:t>130</w:t>
            </w:r>
          </w:p>
        </w:tc>
        <w:tc>
          <w:tcPr>
            <w:tcW w:w="1455" w:type="dxa"/>
            <w:noWrap/>
            <w:vAlign w:val="center"/>
          </w:tcPr>
          <w:p>
            <w:pPr>
              <w:spacing w:line="400" w:lineRule="exact"/>
              <w:jc w:val="center"/>
              <w:rPr>
                <w:rFonts w:ascii="宋体" w:hAnsi="宋体"/>
                <w:kern w:val="0"/>
                <w:szCs w:val="21"/>
                <w:highlight w:val="none"/>
              </w:rPr>
            </w:pPr>
            <w:r>
              <w:rPr>
                <w:rFonts w:hint="eastAsia" w:ascii="宋体" w:hAnsi="宋体"/>
                <w:kern w:val="0"/>
                <w:szCs w:val="21"/>
                <w:highlight w:val="none"/>
              </w:rPr>
              <w:t xml:space="preserve">5 </w:t>
            </w:r>
          </w:p>
        </w:tc>
        <w:tc>
          <w:tcPr>
            <w:tcW w:w="1339" w:type="dxa"/>
            <w:noWrap/>
            <w:vAlign w:val="center"/>
          </w:tcPr>
          <w:p>
            <w:pPr>
              <w:spacing w:line="400" w:lineRule="exact"/>
              <w:jc w:val="center"/>
              <w:rPr>
                <w:rFonts w:ascii="宋体" w:hAnsi="宋体"/>
                <w:kern w:val="0"/>
                <w:szCs w:val="21"/>
                <w:highlight w:val="none"/>
              </w:rPr>
            </w:pPr>
            <w:r>
              <w:rPr>
                <w:rFonts w:hint="eastAsia" w:ascii="宋体" w:hAnsi="宋体"/>
                <w:szCs w:val="21"/>
                <w:highlight w:val="none"/>
              </w:rPr>
              <w:t>26</w:t>
            </w:r>
          </w:p>
        </w:tc>
        <w:tc>
          <w:tcPr>
            <w:tcW w:w="4706" w:type="dxa"/>
            <w:noWrap/>
            <w:vAlign w:val="center"/>
          </w:tcPr>
          <w:p>
            <w:pPr>
              <w:widowControl/>
              <w:spacing w:line="400" w:lineRule="exact"/>
              <w:jc w:val="center"/>
              <w:rPr>
                <w:rFonts w:ascii="宋体" w:hAnsi="宋体"/>
                <w:kern w:val="0"/>
                <w:szCs w:val="21"/>
                <w:highlight w:val="none"/>
              </w:rPr>
            </w:pPr>
            <w:r>
              <w:rPr>
                <w:rFonts w:hint="eastAsia" w:ascii="宋体" w:hAnsi="宋体"/>
                <w:szCs w:val="21"/>
                <w:highlight w:val="none"/>
              </w:rPr>
              <w:t>专业设备14家、食品加工9家、印染产业3家</w:t>
            </w:r>
          </w:p>
        </w:tc>
      </w:tr>
    </w:tbl>
    <w:p>
      <w:pPr>
        <w:tabs>
          <w:tab w:val="left" w:pos="1710"/>
        </w:tabs>
        <w:snapToGrid w:val="0"/>
        <w:spacing w:line="312" w:lineRule="auto"/>
        <w:ind w:firstLine="480" w:firstLineChars="200"/>
        <w:contextualSpacing/>
        <w:rPr>
          <w:rFonts w:ascii="宋体" w:hAnsi="宋体" w:cs="宋体"/>
          <w:sz w:val="24"/>
          <w:highlight w:val="none"/>
        </w:rPr>
      </w:pPr>
      <w:r>
        <w:rPr>
          <w:rFonts w:hint="eastAsia" w:ascii="宋体" w:hAnsi="宋体" w:cs="宋体"/>
          <w:sz w:val="24"/>
          <w:highlight w:val="none"/>
        </w:rPr>
        <w:t>本项目共分为8个标段（标段号为一到八），各投标供应商可以根据情况选择其中一个或全部标段进行投标（各标段在报名确认后不得变更）。</w:t>
      </w:r>
      <w:r>
        <w:rPr>
          <w:rFonts w:hint="eastAsia" w:ascii="宋体" w:hAnsi="宋体" w:cs="宋体"/>
          <w:b/>
          <w:bCs/>
          <w:sz w:val="24"/>
          <w:highlight w:val="none"/>
        </w:rPr>
        <w:t>每家投标供应商（包含联合体各成员单位）累计中标标段数不得超过一个。</w:t>
      </w:r>
      <w:r>
        <w:rPr>
          <w:rFonts w:hint="eastAsia" w:ascii="宋体" w:hAnsi="宋体" w:cs="宋体"/>
          <w:sz w:val="24"/>
          <w:highlight w:val="none"/>
        </w:rPr>
        <w:t>评标时，依开标顺序（按标段号自然顺序开标），按照先开先中的原则，确定该投标供应商</w:t>
      </w:r>
      <w:r>
        <w:rPr>
          <w:rFonts w:hint="eastAsia" w:ascii="宋体" w:hAnsi="宋体" w:cs="宋体"/>
          <w:b w:val="0"/>
          <w:bCs w:val="0"/>
          <w:sz w:val="24"/>
          <w:highlight w:val="none"/>
        </w:rPr>
        <w:t>（包含联合体各成员单位）的中标标</w:t>
      </w:r>
      <w:r>
        <w:rPr>
          <w:rFonts w:hint="eastAsia" w:ascii="宋体" w:hAnsi="宋体" w:cs="宋体"/>
          <w:sz w:val="24"/>
          <w:highlight w:val="none"/>
        </w:rPr>
        <w:t>段号，则不再具有其它标段的中标资格。在合同签订之前，若某标段因质疑、投诉等事项导致中标结果改变的，则不影响其它标段号的中标结果。</w:t>
      </w:r>
    </w:p>
    <w:p>
      <w:pPr>
        <w:snapToGrid w:val="0"/>
        <w:spacing w:line="300" w:lineRule="auto"/>
        <w:ind w:left="479" w:leftChars="228"/>
        <w:rPr>
          <w:rFonts w:ascii="宋体" w:hAnsi="宋体" w:cs="宋体"/>
          <w:sz w:val="24"/>
          <w:highlight w:val="none"/>
        </w:rPr>
      </w:pPr>
      <w:r>
        <w:rPr>
          <w:rFonts w:hint="eastAsia" w:ascii="宋体" w:hAnsi="宋体" w:cs="宋体"/>
          <w:sz w:val="24"/>
          <w:highlight w:val="none"/>
          <w:lang w:val="en-US" w:eastAsia="zh-CN"/>
        </w:rPr>
        <w:t>7</w:t>
      </w:r>
      <w:r>
        <w:rPr>
          <w:rFonts w:hint="eastAsia" w:ascii="宋体" w:hAnsi="宋体" w:cs="宋体"/>
          <w:sz w:val="24"/>
          <w:highlight w:val="none"/>
        </w:rPr>
        <w:t>.项目履行期限：诊断服务完成期限180天，方案技术服务期限3年。</w:t>
      </w:r>
    </w:p>
    <w:p>
      <w:pPr>
        <w:snapToGrid w:val="0"/>
        <w:spacing w:line="300" w:lineRule="auto"/>
        <w:ind w:left="479" w:leftChars="228"/>
        <w:rPr>
          <w:rFonts w:ascii="宋体" w:hAnsi="宋体" w:cs="宋体"/>
          <w:sz w:val="24"/>
          <w:highlight w:val="none"/>
        </w:rPr>
      </w:pPr>
      <w:r>
        <w:rPr>
          <w:rFonts w:hint="eastAsia" w:ascii="宋体" w:hAnsi="宋体" w:cs="宋体"/>
          <w:sz w:val="24"/>
          <w:highlight w:val="none"/>
          <w:lang w:val="en-US" w:eastAsia="zh-CN"/>
        </w:rPr>
        <w:t>8</w:t>
      </w:r>
      <w:r>
        <w:rPr>
          <w:rFonts w:hint="eastAsia" w:ascii="宋体" w:hAnsi="宋体" w:cs="宋体"/>
          <w:sz w:val="24"/>
          <w:highlight w:val="none"/>
        </w:rPr>
        <w:t>.本项目接受联合体投标，一个联合体只能由2家单位组成。</w:t>
      </w:r>
    </w:p>
    <w:p>
      <w:pPr>
        <w:snapToGrid w:val="0"/>
        <w:spacing w:line="300" w:lineRule="auto"/>
        <w:ind w:firstLine="480" w:firstLineChars="200"/>
        <w:rPr>
          <w:rFonts w:ascii="宋体" w:hAnsi="宋体" w:cs="宋体"/>
          <w:sz w:val="24"/>
          <w:highlight w:val="none"/>
        </w:rPr>
      </w:pPr>
      <w:r>
        <w:rPr>
          <w:rFonts w:hint="eastAsia" w:ascii="宋体" w:hAnsi="宋体" w:cs="宋体"/>
          <w:sz w:val="24"/>
          <w:highlight w:val="none"/>
        </w:rPr>
        <w:t>（1）联合体各方均应当具备承担招标项目的相应能力，且均满足申请人资格要求。</w:t>
      </w:r>
    </w:p>
    <w:p>
      <w:pPr>
        <w:snapToGrid w:val="0"/>
        <w:spacing w:line="300" w:lineRule="auto"/>
        <w:ind w:firstLine="480" w:firstLineChars="200"/>
        <w:rPr>
          <w:rFonts w:ascii="宋体" w:hAnsi="宋体" w:cs="宋体"/>
          <w:sz w:val="24"/>
          <w:highlight w:val="none"/>
        </w:rPr>
      </w:pPr>
      <w:r>
        <w:rPr>
          <w:rFonts w:hint="eastAsia" w:ascii="宋体" w:hAnsi="宋体" w:cs="宋体"/>
          <w:sz w:val="24"/>
          <w:highlight w:val="none"/>
        </w:rPr>
        <w:t>（2）联合体各方应当签订共同投标协议，明确约定各方拟承担的工作和责任，并将共同投标协议连同投标文件一并提交采购人。</w:t>
      </w:r>
    </w:p>
    <w:p>
      <w:pPr>
        <w:snapToGrid w:val="0"/>
        <w:spacing w:line="300" w:lineRule="auto"/>
        <w:ind w:firstLine="480" w:firstLineChars="200"/>
        <w:rPr>
          <w:rFonts w:ascii="宋体" w:hAnsi="宋体" w:cs="宋体"/>
          <w:sz w:val="24"/>
          <w:highlight w:val="none"/>
        </w:rPr>
      </w:pPr>
      <w:r>
        <w:rPr>
          <w:rFonts w:hint="eastAsia" w:ascii="宋体" w:hAnsi="宋体" w:cs="宋体"/>
          <w:sz w:val="24"/>
          <w:highlight w:val="none"/>
        </w:rPr>
        <w:t>（3）联合体协议中必须明确联合体牵头人及联合体成员单位名称及职责分工，所有投标文件以联合体牵头人签字盖章为准。</w:t>
      </w:r>
    </w:p>
    <w:p>
      <w:pPr>
        <w:snapToGrid w:val="0"/>
        <w:spacing w:line="300" w:lineRule="auto"/>
        <w:ind w:firstLine="480" w:firstLineChars="200"/>
        <w:rPr>
          <w:rFonts w:ascii="宋体" w:hAnsi="宋体" w:cs="宋体"/>
          <w:sz w:val="24"/>
          <w:highlight w:val="none"/>
        </w:rPr>
      </w:pPr>
      <w:r>
        <w:rPr>
          <w:rFonts w:hint="eastAsia" w:ascii="宋体" w:hAnsi="宋体" w:cs="宋体"/>
          <w:sz w:val="24"/>
          <w:highlight w:val="none"/>
        </w:rPr>
        <w:t>（4）联合体中标的，由联合体主办单位牵头与采购人签订合同。</w:t>
      </w:r>
    </w:p>
    <w:p>
      <w:pPr>
        <w:snapToGrid w:val="0"/>
        <w:spacing w:line="300" w:lineRule="auto"/>
        <w:ind w:firstLine="480" w:firstLineChars="200"/>
        <w:rPr>
          <w:rFonts w:ascii="宋体" w:hAnsi="宋体" w:cs="宋体"/>
          <w:sz w:val="24"/>
          <w:highlight w:val="none"/>
        </w:rPr>
      </w:pPr>
      <w:r>
        <w:rPr>
          <w:rFonts w:hint="eastAsia" w:ascii="宋体" w:hAnsi="宋体" w:cs="宋体"/>
          <w:sz w:val="24"/>
          <w:highlight w:val="none"/>
        </w:rPr>
        <w:t>（5）以联合体形式参加政府采购活动的，联合体各方不得再单独参加或者与其他投标人另外组成联合体参加同一合同项下的政府采购活动。</w:t>
      </w:r>
    </w:p>
    <w:p>
      <w:pPr>
        <w:snapToGrid w:val="0"/>
        <w:spacing w:line="300" w:lineRule="auto"/>
        <w:ind w:firstLine="482" w:firstLineChars="200"/>
        <w:rPr>
          <w:rFonts w:ascii="宋体" w:hAnsi="宋体" w:cs="宋体"/>
          <w:b/>
          <w:sz w:val="24"/>
          <w:highlight w:val="none"/>
        </w:rPr>
      </w:pPr>
      <w:r>
        <w:rPr>
          <w:rFonts w:hint="eastAsia" w:ascii="宋体" w:hAnsi="宋体" w:cs="宋体"/>
          <w:b/>
          <w:sz w:val="24"/>
          <w:highlight w:val="none"/>
        </w:rPr>
        <w:t>二、申请人的资格要求：</w:t>
      </w:r>
    </w:p>
    <w:p>
      <w:pPr>
        <w:snapToGrid w:val="0"/>
        <w:spacing w:line="300" w:lineRule="auto"/>
        <w:ind w:firstLine="480" w:firstLineChars="200"/>
        <w:rPr>
          <w:rFonts w:ascii="宋体" w:hAnsi="宋体" w:cs="宋体"/>
          <w:sz w:val="24"/>
          <w:highlight w:val="none"/>
        </w:rPr>
      </w:pPr>
      <w:r>
        <w:rPr>
          <w:rFonts w:hint="eastAsia" w:ascii="宋体" w:hAnsi="宋体" w:cs="宋体"/>
          <w:sz w:val="24"/>
          <w:highlight w:val="none"/>
        </w:rPr>
        <w:t>1.满足《中华人民共和国政府采购法》第二十二条规定：</w:t>
      </w:r>
    </w:p>
    <w:p>
      <w:pPr>
        <w:snapToGrid w:val="0"/>
        <w:spacing w:line="300" w:lineRule="auto"/>
        <w:ind w:firstLine="480" w:firstLineChars="200"/>
        <w:rPr>
          <w:rFonts w:ascii="宋体" w:hAnsi="宋体" w:cs="宋体"/>
          <w:sz w:val="24"/>
          <w:highlight w:val="none"/>
        </w:rPr>
      </w:pPr>
      <w:r>
        <w:rPr>
          <w:rFonts w:hint="eastAsia" w:ascii="宋体" w:hAnsi="宋体" w:cs="宋体"/>
          <w:sz w:val="24"/>
          <w:highlight w:val="none"/>
        </w:rPr>
        <w:t>（1）法人或者其他组织的营业执照等证明文件，自然人的身份证明；</w:t>
      </w:r>
    </w:p>
    <w:p>
      <w:pPr>
        <w:snapToGrid w:val="0"/>
        <w:spacing w:line="300" w:lineRule="auto"/>
        <w:ind w:firstLine="480" w:firstLineChars="200"/>
        <w:rPr>
          <w:rFonts w:ascii="宋体" w:hAnsi="宋体" w:cs="宋体"/>
          <w:sz w:val="24"/>
          <w:highlight w:val="none"/>
        </w:rPr>
      </w:pPr>
      <w:r>
        <w:rPr>
          <w:rFonts w:hint="eastAsia" w:ascii="宋体" w:hAnsi="宋体" w:cs="宋体"/>
          <w:sz w:val="24"/>
          <w:highlight w:val="none"/>
        </w:rPr>
        <w:t xml:space="preserve">（2）上一年度的财务状况报告（成立不满一年不需提供）；  </w:t>
      </w:r>
    </w:p>
    <w:p>
      <w:pPr>
        <w:snapToGrid w:val="0"/>
        <w:spacing w:line="300" w:lineRule="auto"/>
        <w:ind w:firstLine="480" w:firstLineChars="200"/>
        <w:rPr>
          <w:rFonts w:ascii="宋体" w:hAnsi="宋体" w:cs="宋体"/>
          <w:sz w:val="24"/>
          <w:highlight w:val="none"/>
        </w:rPr>
      </w:pPr>
      <w:r>
        <w:rPr>
          <w:rFonts w:hint="eastAsia" w:ascii="宋体" w:hAnsi="宋体" w:cs="宋体"/>
          <w:sz w:val="24"/>
          <w:highlight w:val="none"/>
        </w:rPr>
        <w:t>（3）依法缴纳税收和社会保障资金的相关材料；</w:t>
      </w:r>
    </w:p>
    <w:p>
      <w:pPr>
        <w:snapToGrid w:val="0"/>
        <w:spacing w:line="300" w:lineRule="auto"/>
        <w:ind w:firstLine="480" w:firstLineChars="200"/>
        <w:rPr>
          <w:rFonts w:ascii="宋体" w:hAnsi="宋体" w:cs="宋体"/>
          <w:sz w:val="24"/>
          <w:highlight w:val="none"/>
        </w:rPr>
      </w:pPr>
      <w:r>
        <w:rPr>
          <w:rFonts w:hint="eastAsia" w:ascii="宋体" w:hAnsi="宋体" w:cs="宋体"/>
          <w:sz w:val="24"/>
          <w:highlight w:val="none"/>
        </w:rPr>
        <w:t>（4）具备履行合同所必需的设备和专业技术能力的证明材料；</w:t>
      </w:r>
    </w:p>
    <w:p>
      <w:pPr>
        <w:snapToGrid w:val="0"/>
        <w:spacing w:line="300" w:lineRule="auto"/>
        <w:ind w:firstLine="480" w:firstLineChars="200"/>
        <w:rPr>
          <w:rFonts w:ascii="宋体" w:hAnsi="宋体" w:cs="宋体"/>
          <w:sz w:val="24"/>
          <w:highlight w:val="none"/>
        </w:rPr>
      </w:pPr>
      <w:r>
        <w:rPr>
          <w:rFonts w:hint="eastAsia" w:ascii="宋体" w:hAnsi="宋体" w:cs="宋体"/>
          <w:sz w:val="24"/>
          <w:highlight w:val="none"/>
        </w:rPr>
        <w:t>（5）参加政府采购活动前3年内在经营活动中没有重大违法记录的书面声明；</w:t>
      </w:r>
    </w:p>
    <w:p>
      <w:pPr>
        <w:pStyle w:val="19"/>
        <w:spacing w:line="300" w:lineRule="auto"/>
        <w:rPr>
          <w:rFonts w:ascii="宋体" w:hAnsi="宋体" w:eastAsia="宋体" w:cs="宋体"/>
          <w:kern w:val="2"/>
          <w:szCs w:val="24"/>
          <w:highlight w:val="none"/>
        </w:rPr>
      </w:pPr>
      <w:r>
        <w:rPr>
          <w:rFonts w:hint="eastAsia" w:ascii="宋体" w:hAnsi="宋体" w:eastAsia="宋体" w:cs="宋体"/>
          <w:kern w:val="2"/>
          <w:szCs w:val="24"/>
          <w:highlight w:val="none"/>
        </w:rPr>
        <w:t xml:space="preserve"> </w:t>
      </w:r>
      <w:r>
        <w:rPr>
          <w:rFonts w:hint="eastAsia" w:ascii="宋体" w:hAnsi="宋体" w:eastAsia="宋体" w:cs="宋体"/>
          <w:kern w:val="2"/>
          <w:szCs w:val="24"/>
          <w:highlight w:val="none"/>
          <w:lang w:val="en-US" w:eastAsia="zh-CN"/>
        </w:rPr>
        <w:t xml:space="preserve">   </w:t>
      </w:r>
      <w:r>
        <w:rPr>
          <w:rFonts w:hint="eastAsia" w:ascii="宋体" w:hAnsi="宋体" w:eastAsia="宋体" w:cs="宋体"/>
          <w:kern w:val="2"/>
          <w:szCs w:val="24"/>
          <w:highlight w:val="none"/>
        </w:rPr>
        <w:t>2.单位负责人为同一人或者存在直接控股、管理关系的不同投标人（包含法定代表人为同一个人的两个及两个以上法人，母公司、全资子公司及其控股公司），不得参加同一合同项下的政府采购活动。</w:t>
      </w:r>
    </w:p>
    <w:p>
      <w:pPr>
        <w:snapToGrid w:val="0"/>
        <w:spacing w:line="300" w:lineRule="auto"/>
        <w:ind w:firstLine="480" w:firstLineChars="200"/>
        <w:rPr>
          <w:rFonts w:ascii="宋体" w:hAnsi="宋体" w:cs="宋体"/>
          <w:sz w:val="24"/>
          <w:highlight w:val="none"/>
        </w:rPr>
      </w:pPr>
      <w:r>
        <w:rPr>
          <w:rFonts w:hint="eastAsia" w:ascii="宋体" w:hAnsi="宋体" w:cs="宋体"/>
          <w:sz w:val="24"/>
          <w:highlight w:val="none"/>
        </w:rPr>
        <w:t>3.未被“信用中国”网站（www.creditchina.gov.cn）列入失信被执行人、重大税收违法案件当事人名单及“中国政府采购网”网站（www.ccgp.gov.cn）政府采购严重违法失信行为记录名单；</w:t>
      </w:r>
    </w:p>
    <w:p>
      <w:pPr>
        <w:snapToGrid w:val="0"/>
        <w:spacing w:line="300" w:lineRule="auto"/>
        <w:ind w:firstLine="480" w:firstLineChars="200"/>
        <w:rPr>
          <w:rFonts w:ascii="宋体" w:hAnsi="宋体" w:cs="宋体"/>
          <w:sz w:val="24"/>
          <w:highlight w:val="none"/>
        </w:rPr>
      </w:pPr>
      <w:r>
        <w:rPr>
          <w:rFonts w:hint="eastAsia" w:ascii="宋体" w:hAnsi="宋体" w:cs="宋体"/>
          <w:sz w:val="24"/>
          <w:highlight w:val="none"/>
        </w:rPr>
        <w:t>4.本项目的特定资格要求：无</w:t>
      </w:r>
    </w:p>
    <w:p>
      <w:pPr>
        <w:snapToGrid w:val="0"/>
        <w:spacing w:line="300" w:lineRule="auto"/>
        <w:ind w:firstLine="480" w:firstLineChars="200"/>
        <w:rPr>
          <w:rFonts w:ascii="宋体" w:hAnsi="宋体" w:cs="宋体"/>
          <w:color w:val="auto"/>
          <w:sz w:val="24"/>
          <w:highlight w:val="none"/>
        </w:rPr>
      </w:pPr>
      <w:r>
        <w:rPr>
          <w:rFonts w:hint="eastAsia" w:ascii="宋体" w:hAnsi="宋体" w:cs="宋体"/>
          <w:color w:val="auto"/>
          <w:sz w:val="24"/>
          <w:highlight w:val="none"/>
        </w:rPr>
        <w:t>5.落实政府采购政策需满足的资格要求：无</w:t>
      </w:r>
    </w:p>
    <w:p>
      <w:pPr>
        <w:snapToGrid w:val="0"/>
        <w:spacing w:line="300" w:lineRule="auto"/>
        <w:ind w:firstLine="482" w:firstLineChars="200"/>
        <w:rPr>
          <w:rFonts w:ascii="宋体" w:hAnsi="宋体" w:cs="宋体"/>
          <w:b/>
          <w:sz w:val="24"/>
          <w:highlight w:val="none"/>
        </w:rPr>
      </w:pPr>
      <w:r>
        <w:rPr>
          <w:rFonts w:hint="eastAsia" w:ascii="宋体" w:hAnsi="宋体" w:cs="宋体"/>
          <w:b/>
          <w:sz w:val="24"/>
          <w:highlight w:val="none"/>
        </w:rPr>
        <w:t>三、获取招标文件</w:t>
      </w:r>
    </w:p>
    <w:p>
      <w:pPr>
        <w:snapToGrid w:val="0"/>
        <w:spacing w:line="300" w:lineRule="auto"/>
        <w:ind w:firstLine="480" w:firstLineChars="200"/>
        <w:rPr>
          <w:rFonts w:ascii="宋体" w:hAnsi="宋体" w:cs="宋体"/>
          <w:sz w:val="24"/>
          <w:highlight w:val="none"/>
        </w:rPr>
      </w:pPr>
      <w:r>
        <w:rPr>
          <w:rFonts w:hint="eastAsia" w:ascii="宋体" w:hAnsi="宋体" w:cs="宋体"/>
          <w:sz w:val="24"/>
          <w:highlight w:val="none"/>
        </w:rPr>
        <w:t>时间：2022年</w:t>
      </w:r>
      <w:r>
        <w:rPr>
          <w:rFonts w:hint="eastAsia" w:ascii="宋体" w:hAnsi="宋体" w:cs="宋体"/>
          <w:sz w:val="24"/>
          <w:highlight w:val="none"/>
          <w:lang w:val="en-US" w:eastAsia="zh-CN"/>
        </w:rPr>
        <w:t>05</w:t>
      </w:r>
      <w:r>
        <w:rPr>
          <w:rFonts w:hint="eastAsia" w:ascii="宋体" w:hAnsi="宋体" w:cs="宋体"/>
          <w:sz w:val="24"/>
          <w:highlight w:val="none"/>
        </w:rPr>
        <w:t>月</w:t>
      </w:r>
      <w:r>
        <w:rPr>
          <w:rFonts w:hint="eastAsia" w:ascii="宋体" w:hAnsi="宋体" w:cs="宋体"/>
          <w:sz w:val="24"/>
          <w:highlight w:val="none"/>
          <w:lang w:val="en-US" w:eastAsia="zh-CN"/>
        </w:rPr>
        <w:t>10</w:t>
      </w:r>
      <w:r>
        <w:rPr>
          <w:rFonts w:hint="eastAsia" w:ascii="宋体" w:hAnsi="宋体" w:cs="宋体"/>
          <w:sz w:val="24"/>
          <w:highlight w:val="none"/>
        </w:rPr>
        <w:t>日至2022年</w:t>
      </w:r>
      <w:r>
        <w:rPr>
          <w:rFonts w:hint="eastAsia" w:ascii="宋体" w:hAnsi="宋体" w:cs="宋体"/>
          <w:sz w:val="24"/>
          <w:highlight w:val="none"/>
          <w:lang w:val="en-US" w:eastAsia="zh-CN"/>
        </w:rPr>
        <w:t>05</w:t>
      </w:r>
      <w:r>
        <w:rPr>
          <w:rFonts w:hint="eastAsia" w:ascii="宋体" w:hAnsi="宋体" w:cs="宋体"/>
          <w:sz w:val="24"/>
          <w:highlight w:val="none"/>
        </w:rPr>
        <w:t>月</w:t>
      </w:r>
      <w:r>
        <w:rPr>
          <w:rFonts w:hint="eastAsia" w:ascii="宋体" w:hAnsi="宋体" w:cs="宋体"/>
          <w:sz w:val="24"/>
          <w:highlight w:val="none"/>
          <w:lang w:val="en-US" w:eastAsia="zh-CN"/>
        </w:rPr>
        <w:t>31</w:t>
      </w:r>
      <w:r>
        <w:rPr>
          <w:rFonts w:hint="eastAsia" w:ascii="宋体" w:hAnsi="宋体" w:cs="宋体"/>
          <w:sz w:val="24"/>
          <w:highlight w:val="none"/>
        </w:rPr>
        <w:t>日</w:t>
      </w:r>
    </w:p>
    <w:p>
      <w:pPr>
        <w:snapToGrid w:val="0"/>
        <w:spacing w:line="300" w:lineRule="auto"/>
        <w:ind w:firstLine="480" w:firstLineChars="200"/>
        <w:rPr>
          <w:rFonts w:ascii="宋体" w:hAnsi="宋体" w:cs="宋体"/>
          <w:sz w:val="24"/>
          <w:highlight w:val="none"/>
        </w:rPr>
      </w:pPr>
      <w:r>
        <w:rPr>
          <w:rFonts w:hint="eastAsia" w:ascii="宋体" w:hAnsi="宋体" w:cs="宋体"/>
          <w:sz w:val="24"/>
          <w:highlight w:val="none"/>
        </w:rPr>
        <w:t>地点：江苏省政府采购网站</w:t>
      </w:r>
    </w:p>
    <w:p>
      <w:pPr>
        <w:snapToGrid w:val="0"/>
        <w:spacing w:line="300" w:lineRule="auto"/>
        <w:ind w:firstLine="480" w:firstLineChars="200"/>
        <w:rPr>
          <w:rFonts w:ascii="宋体" w:hAnsi="宋体" w:cs="宋体"/>
          <w:sz w:val="24"/>
          <w:highlight w:val="none"/>
        </w:rPr>
      </w:pPr>
      <w:r>
        <w:rPr>
          <w:rFonts w:hint="eastAsia" w:ascii="宋体" w:hAnsi="宋体" w:cs="宋体"/>
          <w:sz w:val="24"/>
          <w:highlight w:val="none"/>
        </w:rPr>
        <w:t>方式：自行下载</w:t>
      </w:r>
    </w:p>
    <w:p>
      <w:pPr>
        <w:snapToGrid w:val="0"/>
        <w:spacing w:line="300" w:lineRule="auto"/>
        <w:ind w:firstLine="480" w:firstLineChars="200"/>
        <w:rPr>
          <w:rFonts w:ascii="宋体" w:hAnsi="宋体" w:cs="宋体"/>
          <w:sz w:val="24"/>
          <w:highlight w:val="none"/>
        </w:rPr>
      </w:pPr>
      <w:r>
        <w:rPr>
          <w:rFonts w:hint="eastAsia" w:ascii="宋体" w:hAnsi="宋体" w:cs="宋体"/>
          <w:sz w:val="24"/>
          <w:highlight w:val="none"/>
        </w:rPr>
        <w:t>售价：200元，在开标现场提交给代理机构</w:t>
      </w:r>
    </w:p>
    <w:p>
      <w:pPr>
        <w:snapToGrid w:val="0"/>
        <w:spacing w:line="300" w:lineRule="auto"/>
        <w:ind w:firstLine="482" w:firstLineChars="200"/>
        <w:rPr>
          <w:rFonts w:ascii="宋体" w:hAnsi="宋体" w:cs="宋体"/>
          <w:b/>
          <w:sz w:val="24"/>
          <w:highlight w:val="none"/>
        </w:rPr>
      </w:pPr>
      <w:r>
        <w:rPr>
          <w:rFonts w:hint="eastAsia" w:ascii="宋体" w:hAnsi="宋体" w:cs="宋体"/>
          <w:b/>
          <w:sz w:val="24"/>
          <w:highlight w:val="none"/>
        </w:rPr>
        <w:t>四、提交投标文件截止时间、开标时间和地点</w:t>
      </w:r>
    </w:p>
    <w:p>
      <w:pPr>
        <w:snapToGrid w:val="0"/>
        <w:spacing w:line="300" w:lineRule="auto"/>
        <w:ind w:firstLine="480" w:firstLineChars="200"/>
        <w:rPr>
          <w:rFonts w:ascii="宋体" w:hAnsi="宋体" w:cs="宋体"/>
          <w:sz w:val="24"/>
          <w:highlight w:val="none"/>
        </w:rPr>
      </w:pPr>
      <w:r>
        <w:rPr>
          <w:rFonts w:hint="eastAsia" w:ascii="宋体" w:hAnsi="宋体" w:cs="宋体"/>
          <w:sz w:val="24"/>
          <w:highlight w:val="none"/>
        </w:rPr>
        <w:t>2022年</w:t>
      </w:r>
      <w:r>
        <w:rPr>
          <w:rFonts w:hint="eastAsia" w:ascii="宋体" w:hAnsi="宋体" w:cs="宋体"/>
          <w:sz w:val="24"/>
          <w:highlight w:val="none"/>
          <w:lang w:val="en-US" w:eastAsia="zh-CN"/>
        </w:rPr>
        <w:t>05</w:t>
      </w:r>
      <w:r>
        <w:rPr>
          <w:rFonts w:hint="eastAsia" w:ascii="宋体" w:hAnsi="宋体" w:cs="宋体"/>
          <w:sz w:val="24"/>
          <w:highlight w:val="none"/>
        </w:rPr>
        <w:t>月</w:t>
      </w:r>
      <w:r>
        <w:rPr>
          <w:rFonts w:hint="eastAsia" w:ascii="宋体" w:hAnsi="宋体" w:cs="宋体"/>
          <w:sz w:val="24"/>
          <w:highlight w:val="none"/>
          <w:lang w:val="en-US" w:eastAsia="zh-CN"/>
        </w:rPr>
        <w:t>31</w:t>
      </w:r>
      <w:bookmarkStart w:id="7" w:name="_GoBack"/>
      <w:bookmarkEnd w:id="7"/>
      <w:r>
        <w:rPr>
          <w:rFonts w:hint="eastAsia" w:ascii="宋体" w:hAnsi="宋体" w:cs="宋体"/>
          <w:sz w:val="24"/>
          <w:highlight w:val="none"/>
        </w:rPr>
        <w:t>日9点</w:t>
      </w:r>
      <w:r>
        <w:rPr>
          <w:rFonts w:hint="eastAsia" w:ascii="宋体" w:hAnsi="宋体" w:cs="宋体"/>
          <w:sz w:val="24"/>
          <w:highlight w:val="none"/>
          <w:lang w:val="en-US" w:eastAsia="zh-CN"/>
        </w:rPr>
        <w:t>3</w:t>
      </w:r>
      <w:r>
        <w:rPr>
          <w:rFonts w:hint="eastAsia" w:ascii="宋体" w:hAnsi="宋体" w:cs="宋体"/>
          <w:sz w:val="24"/>
          <w:highlight w:val="none"/>
        </w:rPr>
        <w:t>0分</w:t>
      </w:r>
    </w:p>
    <w:p>
      <w:pPr>
        <w:snapToGrid w:val="0"/>
        <w:spacing w:line="300" w:lineRule="auto"/>
        <w:ind w:firstLine="480" w:firstLineChars="200"/>
        <w:rPr>
          <w:rFonts w:ascii="宋体" w:hAnsi="宋体" w:cs="宋体"/>
          <w:sz w:val="24"/>
          <w:highlight w:val="none"/>
        </w:rPr>
      </w:pPr>
      <w:r>
        <w:rPr>
          <w:rFonts w:hint="eastAsia" w:ascii="宋体" w:hAnsi="宋体" w:cs="宋体"/>
          <w:sz w:val="24"/>
          <w:highlight w:val="none"/>
        </w:rPr>
        <w:t>逾时，开标现场不再接收投标文件。</w:t>
      </w:r>
    </w:p>
    <w:p>
      <w:pPr>
        <w:snapToGrid w:val="0"/>
        <w:spacing w:line="300" w:lineRule="auto"/>
        <w:ind w:firstLine="480" w:firstLineChars="200"/>
        <w:rPr>
          <w:rFonts w:hint="eastAsia" w:ascii="宋体" w:hAnsi="宋体" w:cs="宋体"/>
          <w:sz w:val="24"/>
          <w:highlight w:val="none"/>
        </w:rPr>
      </w:pPr>
      <w:r>
        <w:rPr>
          <w:rFonts w:hint="eastAsia" w:ascii="宋体" w:hAnsi="宋体" w:cs="宋体"/>
          <w:sz w:val="24"/>
          <w:highlight w:val="none"/>
        </w:rPr>
        <w:t>地点：南通市工农南路150号政务中心裙楼</w:t>
      </w:r>
      <w:r>
        <w:rPr>
          <w:rFonts w:hint="default" w:ascii="宋体" w:hAnsi="宋体" w:cs="宋体"/>
          <w:sz w:val="24"/>
          <w:highlight w:val="none"/>
        </w:rPr>
        <w:t>4</w:t>
      </w:r>
      <w:r>
        <w:rPr>
          <w:rFonts w:hint="eastAsia" w:ascii="宋体" w:hAnsi="宋体" w:cs="宋体"/>
          <w:sz w:val="24"/>
          <w:highlight w:val="none"/>
        </w:rPr>
        <w:t>楼第</w:t>
      </w:r>
      <w:r>
        <w:rPr>
          <w:rFonts w:hint="eastAsia" w:ascii="宋体" w:hAnsi="宋体" w:cs="宋体"/>
          <w:sz w:val="24"/>
          <w:highlight w:val="none"/>
          <w:lang w:val="en-US" w:eastAsia="zh-CN"/>
        </w:rPr>
        <w:t>一</w:t>
      </w:r>
      <w:r>
        <w:rPr>
          <w:rFonts w:hint="eastAsia" w:ascii="宋体" w:hAnsi="宋体" w:cs="宋体"/>
          <w:sz w:val="24"/>
          <w:highlight w:val="none"/>
        </w:rPr>
        <w:t>开标室</w:t>
      </w:r>
    </w:p>
    <w:p>
      <w:pPr>
        <w:snapToGrid w:val="0"/>
        <w:spacing w:line="300" w:lineRule="auto"/>
        <w:ind w:firstLine="482" w:firstLineChars="200"/>
        <w:rPr>
          <w:rFonts w:ascii="宋体" w:hAnsi="宋体" w:cs="宋体"/>
          <w:b/>
          <w:sz w:val="24"/>
          <w:highlight w:val="none"/>
        </w:rPr>
      </w:pPr>
      <w:r>
        <w:rPr>
          <w:rFonts w:hint="eastAsia" w:ascii="宋体" w:hAnsi="宋体" w:cs="宋体"/>
          <w:b/>
          <w:sz w:val="24"/>
          <w:highlight w:val="none"/>
        </w:rPr>
        <w:t>五、公告期限</w:t>
      </w:r>
    </w:p>
    <w:p>
      <w:pPr>
        <w:snapToGrid w:val="0"/>
        <w:spacing w:line="300" w:lineRule="auto"/>
        <w:ind w:firstLine="480" w:firstLineChars="200"/>
        <w:rPr>
          <w:rFonts w:ascii="宋体" w:hAnsi="宋体" w:cs="宋体"/>
          <w:sz w:val="24"/>
          <w:highlight w:val="none"/>
        </w:rPr>
      </w:pPr>
      <w:r>
        <w:rPr>
          <w:rFonts w:hint="eastAsia" w:ascii="宋体" w:hAnsi="宋体" w:cs="宋体"/>
          <w:sz w:val="24"/>
          <w:highlight w:val="none"/>
        </w:rPr>
        <w:t>自本公告发布之日起5个工作日。</w:t>
      </w:r>
    </w:p>
    <w:p>
      <w:pPr>
        <w:snapToGrid w:val="0"/>
        <w:spacing w:line="300" w:lineRule="auto"/>
        <w:ind w:firstLine="482" w:firstLineChars="200"/>
        <w:rPr>
          <w:rFonts w:ascii="宋体" w:hAnsi="宋体" w:cs="宋体"/>
          <w:b/>
          <w:sz w:val="24"/>
          <w:highlight w:val="none"/>
        </w:rPr>
      </w:pPr>
      <w:r>
        <w:rPr>
          <w:rFonts w:hint="eastAsia" w:ascii="宋体" w:hAnsi="宋体" w:cs="宋体"/>
          <w:b/>
          <w:sz w:val="24"/>
          <w:highlight w:val="none"/>
        </w:rPr>
        <w:t>六、其他补充事宜</w:t>
      </w:r>
    </w:p>
    <w:p>
      <w:pPr>
        <w:snapToGrid w:val="0"/>
        <w:spacing w:line="300" w:lineRule="auto"/>
        <w:ind w:firstLine="480" w:firstLineChars="200"/>
        <w:rPr>
          <w:rFonts w:ascii="宋体" w:hAnsi="宋体" w:cs="宋体"/>
          <w:sz w:val="24"/>
          <w:highlight w:val="none"/>
        </w:rPr>
      </w:pPr>
      <w:r>
        <w:rPr>
          <w:rFonts w:hint="eastAsia" w:ascii="宋体" w:hAnsi="宋体" w:cs="宋体"/>
          <w:sz w:val="24"/>
          <w:highlight w:val="none"/>
        </w:rPr>
        <w:t>1.投标保证金：免收。</w:t>
      </w:r>
    </w:p>
    <w:p>
      <w:pPr>
        <w:snapToGrid w:val="0"/>
        <w:spacing w:line="300" w:lineRule="auto"/>
        <w:ind w:firstLine="480" w:firstLineChars="200"/>
        <w:rPr>
          <w:rFonts w:ascii="宋体" w:hAnsi="宋体" w:cs="宋体"/>
          <w:sz w:val="24"/>
          <w:highlight w:val="none"/>
        </w:rPr>
      </w:pPr>
      <w:r>
        <w:rPr>
          <w:rFonts w:hint="eastAsia" w:ascii="宋体" w:hAnsi="宋体" w:cs="宋体"/>
          <w:sz w:val="24"/>
          <w:highlight w:val="none"/>
        </w:rPr>
        <w:t>2.项目开标活动模式：现场模式，投标供应商递交纸质投标文件</w:t>
      </w:r>
      <w:r>
        <w:rPr>
          <w:rFonts w:hint="eastAsia" w:ascii="宋体" w:hAnsi="宋体" w:cs="宋体"/>
          <w:sz w:val="24"/>
          <w:highlight w:val="none"/>
          <w:lang w:eastAsia="zh-CN"/>
        </w:rPr>
        <w:t>，</w:t>
      </w:r>
      <w:r>
        <w:rPr>
          <w:rFonts w:hint="eastAsia" w:ascii="宋体" w:hAnsi="宋体" w:cs="宋体"/>
          <w:sz w:val="24"/>
          <w:highlight w:val="none"/>
        </w:rPr>
        <w:t>投标授权人需持有效身份证参加开标会。</w:t>
      </w:r>
    </w:p>
    <w:p>
      <w:pPr>
        <w:snapToGrid w:val="0"/>
        <w:spacing w:line="300" w:lineRule="auto"/>
        <w:ind w:firstLine="480" w:firstLineChars="200"/>
        <w:rPr>
          <w:rFonts w:ascii="宋体" w:hAnsi="宋体" w:cs="宋体"/>
          <w:sz w:val="24"/>
          <w:highlight w:val="none"/>
        </w:rPr>
      </w:pPr>
      <w:r>
        <w:rPr>
          <w:rFonts w:hint="eastAsia" w:ascii="宋体" w:hAnsi="宋体" w:cs="宋体"/>
          <w:sz w:val="24"/>
          <w:highlight w:val="none"/>
        </w:rPr>
        <w:t>3.项目演示、样品、答辩等：无。</w:t>
      </w:r>
    </w:p>
    <w:p>
      <w:pPr>
        <w:snapToGrid w:val="0"/>
        <w:spacing w:line="300" w:lineRule="auto"/>
        <w:ind w:firstLine="480" w:firstLineChars="200"/>
        <w:rPr>
          <w:rFonts w:ascii="宋体" w:hAnsi="宋体" w:cs="宋体"/>
          <w:sz w:val="24"/>
          <w:highlight w:val="none"/>
        </w:rPr>
      </w:pPr>
      <w:r>
        <w:rPr>
          <w:rFonts w:hint="eastAsia" w:ascii="宋体" w:hAnsi="宋体" w:cs="宋体"/>
          <w:sz w:val="24"/>
          <w:highlight w:val="none"/>
        </w:rPr>
        <w:t>4.对项目需求部分（供应商其他资格要求、项目需求、评分标准）的询问、质疑请向采购人提出，由采购人负责答复；对项目招标文件其它部分的询问请向招标代理机构提出。</w:t>
      </w:r>
    </w:p>
    <w:p>
      <w:pPr>
        <w:snapToGrid w:val="0"/>
        <w:spacing w:line="300" w:lineRule="auto"/>
        <w:ind w:firstLine="480" w:firstLineChars="200"/>
        <w:rPr>
          <w:rFonts w:ascii="宋体" w:hAnsi="宋体" w:cs="宋体"/>
          <w:sz w:val="24"/>
          <w:highlight w:val="none"/>
        </w:rPr>
      </w:pPr>
      <w:r>
        <w:rPr>
          <w:rFonts w:hint="eastAsia" w:ascii="宋体" w:hAnsi="宋体" w:cs="宋体"/>
          <w:sz w:val="24"/>
          <w:highlight w:val="none"/>
        </w:rPr>
        <w:t>5.供应商应依照规定提交各类声明函、承诺函，不再同时提供原件备查或提供有关部门出具的相关证明文件。但中标或成交供应商，应做好提交声明函、承诺函相应原件的核查准备；核查后发现虚假或违背承诺的，依照相关法律法规规定处理。</w:t>
      </w:r>
    </w:p>
    <w:p>
      <w:pPr>
        <w:snapToGrid w:val="0"/>
        <w:spacing w:line="300" w:lineRule="auto"/>
        <w:ind w:firstLine="482" w:firstLineChars="200"/>
        <w:rPr>
          <w:rFonts w:hint="eastAsia" w:ascii="宋体" w:hAnsi="宋体" w:cs="宋体"/>
          <w:b/>
          <w:bCs/>
          <w:sz w:val="24"/>
          <w:highlight w:val="none"/>
        </w:rPr>
      </w:pPr>
      <w:r>
        <w:rPr>
          <w:rFonts w:hint="eastAsia" w:ascii="宋体" w:hAnsi="宋体" w:cs="宋体"/>
          <w:b/>
          <w:bCs/>
          <w:sz w:val="24"/>
          <w:highlight w:val="none"/>
        </w:rPr>
        <w:t>特别提醒：疫情防控期间，本项目的投标供应商每家最多接受1名代表（法人代表或授权委托人）进入开标室，请各投标代表做好自身防护，全程配戴口罩，同时还须接受</w:t>
      </w:r>
      <w:r>
        <w:rPr>
          <w:rFonts w:hint="eastAsia" w:ascii="宋体" w:hAnsi="宋体" w:cs="宋体"/>
          <w:b/>
          <w:bCs/>
          <w:sz w:val="24"/>
          <w:highlight w:val="none"/>
          <w:lang w:val="en-US" w:eastAsia="zh-CN"/>
        </w:rPr>
        <w:t>南通市公共资源交易中心</w:t>
      </w:r>
      <w:r>
        <w:rPr>
          <w:rFonts w:hint="eastAsia" w:ascii="宋体" w:hAnsi="宋体" w:cs="宋体"/>
          <w:b/>
          <w:bCs/>
          <w:sz w:val="24"/>
          <w:highlight w:val="none"/>
        </w:rPr>
        <w:t>及开标现场工作人员的检查（包括但不限于信息登记、检查健康码、行程码、南通百通</w:t>
      </w:r>
      <w:r>
        <w:rPr>
          <w:rFonts w:hint="eastAsia" w:ascii="宋体" w:hAnsi="宋体" w:cs="宋体"/>
          <w:b/>
          <w:bCs/>
          <w:sz w:val="24"/>
          <w:highlight w:val="none"/>
          <w:lang w:eastAsia="zh-CN"/>
        </w:rPr>
        <w:t>、</w:t>
      </w:r>
      <w:r>
        <w:rPr>
          <w:rFonts w:hint="eastAsia" w:ascii="宋体" w:hAnsi="宋体" w:cs="宋体"/>
          <w:b/>
          <w:bCs/>
          <w:sz w:val="24"/>
          <w:highlight w:val="none"/>
          <w:lang w:val="en-US" w:eastAsia="zh-CN"/>
        </w:rPr>
        <w:t>场所码、指定期限内的核酸阴性报告</w:t>
      </w:r>
      <w:r>
        <w:rPr>
          <w:rFonts w:hint="eastAsia" w:ascii="宋体" w:hAnsi="宋体" w:cs="宋体"/>
          <w:b/>
          <w:bCs/>
          <w:sz w:val="24"/>
          <w:highlight w:val="none"/>
        </w:rPr>
        <w:t>等</w:t>
      </w:r>
      <w:r>
        <w:rPr>
          <w:rFonts w:hint="eastAsia" w:ascii="宋体" w:hAnsi="宋体" w:cs="宋体"/>
          <w:b/>
          <w:bCs/>
          <w:sz w:val="24"/>
          <w:highlight w:val="none"/>
          <w:lang w:eastAsia="zh-CN"/>
        </w:rPr>
        <w:t>）</w:t>
      </w:r>
      <w:r>
        <w:rPr>
          <w:rFonts w:hint="eastAsia" w:ascii="宋体" w:hAnsi="宋体" w:cs="宋体"/>
          <w:b/>
          <w:bCs/>
          <w:sz w:val="24"/>
          <w:highlight w:val="none"/>
        </w:rPr>
        <w:t>。若健康码为黄码和红码，则一律不得进入开标现场；若行程码带“*”，也不得进入开标现场。若开标当日，南通市防疫部门有最新规定且高于上述标准，则以开标当日南通市防疫部门的规定为准</w:t>
      </w:r>
      <w:r>
        <w:rPr>
          <w:rFonts w:hint="eastAsia" w:ascii="宋体" w:hAnsi="宋体" w:cs="宋体"/>
          <w:b/>
          <w:bCs/>
          <w:sz w:val="24"/>
          <w:highlight w:val="none"/>
          <w:lang w:eastAsia="zh-CN"/>
        </w:rPr>
        <w:t>。</w:t>
      </w:r>
      <w:r>
        <w:rPr>
          <w:rFonts w:hint="eastAsia" w:ascii="宋体" w:hAnsi="宋体" w:cs="宋体"/>
          <w:b/>
          <w:bCs/>
          <w:sz w:val="24"/>
          <w:highlight w:val="none"/>
          <w:lang w:val="en-US" w:eastAsia="zh-CN"/>
        </w:rPr>
        <w:t>请</w:t>
      </w:r>
      <w:r>
        <w:rPr>
          <w:rFonts w:hint="eastAsia" w:ascii="宋体" w:hAnsi="宋体" w:cs="宋体"/>
          <w:b/>
          <w:bCs/>
          <w:sz w:val="24"/>
          <w:highlight w:val="none"/>
        </w:rPr>
        <w:t>各投标人</w:t>
      </w:r>
      <w:r>
        <w:rPr>
          <w:rFonts w:hint="eastAsia" w:ascii="宋体" w:hAnsi="宋体" w:cs="宋体"/>
          <w:b/>
          <w:bCs/>
          <w:sz w:val="24"/>
          <w:highlight w:val="none"/>
          <w:lang w:val="en-US" w:eastAsia="zh-CN"/>
        </w:rPr>
        <w:t>自行</w:t>
      </w:r>
      <w:r>
        <w:rPr>
          <w:rFonts w:hint="eastAsia" w:ascii="宋体" w:hAnsi="宋体" w:cs="宋体"/>
          <w:b/>
          <w:bCs/>
          <w:sz w:val="24"/>
          <w:highlight w:val="none"/>
        </w:rPr>
        <w:t>关注</w:t>
      </w:r>
      <w:r>
        <w:rPr>
          <w:rFonts w:hint="eastAsia" w:ascii="宋体" w:hAnsi="宋体" w:cs="宋体"/>
          <w:b/>
          <w:bCs/>
          <w:sz w:val="24"/>
          <w:highlight w:val="none"/>
          <w:lang w:val="en-US" w:eastAsia="zh-CN"/>
        </w:rPr>
        <w:t>官方信息</w:t>
      </w:r>
      <w:r>
        <w:rPr>
          <w:rFonts w:hint="eastAsia" w:ascii="宋体" w:hAnsi="宋体" w:cs="宋体"/>
          <w:b/>
          <w:bCs/>
          <w:sz w:val="24"/>
          <w:highlight w:val="none"/>
        </w:rPr>
        <w:t>，及时查看已发布或最新发布的相关疫情防控要求，并按照最新发布的疫情防控要求</w:t>
      </w:r>
      <w:r>
        <w:rPr>
          <w:rFonts w:hint="eastAsia" w:ascii="宋体" w:hAnsi="宋体" w:cs="宋体"/>
          <w:b/>
          <w:bCs/>
          <w:sz w:val="24"/>
          <w:highlight w:val="none"/>
          <w:lang w:val="en-US" w:eastAsia="zh-CN"/>
        </w:rPr>
        <w:t>和南通市政务中心出入要求</w:t>
      </w:r>
      <w:r>
        <w:rPr>
          <w:rFonts w:hint="eastAsia" w:ascii="宋体" w:hAnsi="宋体" w:cs="宋体"/>
          <w:b/>
          <w:bCs/>
          <w:sz w:val="24"/>
          <w:highlight w:val="none"/>
        </w:rPr>
        <w:t>执行，</w:t>
      </w:r>
      <w:r>
        <w:rPr>
          <w:rFonts w:hint="eastAsia" w:ascii="宋体" w:hAnsi="宋体" w:cs="宋体"/>
          <w:b/>
          <w:bCs/>
          <w:sz w:val="24"/>
          <w:highlight w:val="none"/>
          <w:lang w:val="en-US" w:eastAsia="zh-CN"/>
        </w:rPr>
        <w:t>南通市政务中心咨询电话：0513-59001088</w:t>
      </w:r>
      <w:r>
        <w:rPr>
          <w:rFonts w:hint="eastAsia" w:ascii="宋体" w:hAnsi="宋体" w:cs="宋体"/>
          <w:b/>
          <w:bCs/>
          <w:sz w:val="24"/>
          <w:highlight w:val="none"/>
        </w:rPr>
        <w:t>。如因未达到当地疫情防控要求，而被限制进入开标场地的或被强制隔离等情况的，由当事人自行承担相关风险和责任。</w:t>
      </w:r>
    </w:p>
    <w:p>
      <w:pPr>
        <w:snapToGrid w:val="0"/>
        <w:spacing w:line="300" w:lineRule="auto"/>
        <w:ind w:firstLine="482" w:firstLineChars="200"/>
        <w:rPr>
          <w:rFonts w:ascii="宋体" w:hAnsi="宋体" w:cs="宋体"/>
          <w:b/>
          <w:bCs/>
          <w:sz w:val="24"/>
          <w:highlight w:val="none"/>
        </w:rPr>
      </w:pPr>
      <w:r>
        <w:rPr>
          <w:rFonts w:hint="eastAsia" w:ascii="宋体" w:hAnsi="宋体" w:cs="宋体"/>
          <w:b/>
          <w:bCs/>
          <w:sz w:val="24"/>
          <w:highlight w:val="none"/>
        </w:rPr>
        <w:t>七、对本次招标提出询问，请按以下方式联系</w:t>
      </w:r>
    </w:p>
    <w:p>
      <w:pPr>
        <w:snapToGrid w:val="0"/>
        <w:spacing w:line="300" w:lineRule="auto"/>
        <w:ind w:firstLine="480" w:firstLineChars="200"/>
        <w:rPr>
          <w:rFonts w:ascii="宋体" w:hAnsi="宋体" w:cs="宋体"/>
          <w:sz w:val="24"/>
          <w:highlight w:val="none"/>
        </w:rPr>
      </w:pPr>
      <w:r>
        <w:rPr>
          <w:rFonts w:hint="eastAsia" w:ascii="宋体" w:hAnsi="宋体" w:cs="宋体"/>
          <w:sz w:val="24"/>
          <w:highlight w:val="none"/>
        </w:rPr>
        <w:t>1.采购人信息</w:t>
      </w:r>
    </w:p>
    <w:p>
      <w:pPr>
        <w:snapToGrid w:val="0"/>
        <w:spacing w:line="300" w:lineRule="auto"/>
        <w:ind w:firstLine="480" w:firstLineChars="200"/>
        <w:rPr>
          <w:rFonts w:ascii="宋体" w:hAnsi="宋体" w:cs="宋体"/>
          <w:sz w:val="24"/>
          <w:highlight w:val="none"/>
        </w:rPr>
      </w:pPr>
      <w:r>
        <w:rPr>
          <w:rFonts w:hint="eastAsia" w:ascii="宋体" w:hAnsi="宋体" w:cs="宋体"/>
          <w:sz w:val="24"/>
          <w:highlight w:val="none"/>
        </w:rPr>
        <w:t>名 称：南通市工业和信息化局</w:t>
      </w:r>
    </w:p>
    <w:p>
      <w:pPr>
        <w:snapToGrid w:val="0"/>
        <w:spacing w:line="300" w:lineRule="auto"/>
        <w:ind w:firstLine="480" w:firstLineChars="200"/>
        <w:rPr>
          <w:rFonts w:ascii="宋体" w:hAnsi="宋体" w:cs="宋体"/>
          <w:sz w:val="24"/>
          <w:highlight w:val="none"/>
        </w:rPr>
      </w:pPr>
      <w:r>
        <w:rPr>
          <w:rFonts w:hint="eastAsia" w:ascii="宋体" w:hAnsi="宋体" w:cs="宋体"/>
          <w:sz w:val="24"/>
          <w:highlight w:val="none"/>
        </w:rPr>
        <w:t>联系人：周敏</w:t>
      </w:r>
    </w:p>
    <w:p>
      <w:pPr>
        <w:snapToGrid w:val="0"/>
        <w:spacing w:line="300" w:lineRule="auto"/>
        <w:ind w:firstLine="480" w:firstLineChars="200"/>
        <w:rPr>
          <w:rFonts w:hint="eastAsia" w:ascii="宋体" w:hAnsi="宋体" w:cs="宋体"/>
          <w:sz w:val="24"/>
          <w:highlight w:val="none"/>
        </w:rPr>
      </w:pPr>
      <w:r>
        <w:rPr>
          <w:rFonts w:hint="eastAsia" w:ascii="宋体" w:hAnsi="宋体" w:cs="宋体"/>
          <w:sz w:val="24"/>
          <w:highlight w:val="none"/>
        </w:rPr>
        <w:t>联系方式：0513-85215697</w:t>
      </w:r>
    </w:p>
    <w:p>
      <w:pPr>
        <w:snapToGrid w:val="0"/>
        <w:spacing w:line="300" w:lineRule="auto"/>
        <w:ind w:firstLine="480" w:firstLineChars="200"/>
        <w:rPr>
          <w:rFonts w:hint="eastAsia" w:ascii="宋体" w:hAnsi="宋体" w:cs="宋体"/>
          <w:sz w:val="24"/>
          <w:highlight w:val="none"/>
          <w:lang w:val="en-US" w:eastAsia="zh-CN"/>
        </w:rPr>
      </w:pPr>
      <w:r>
        <w:rPr>
          <w:rFonts w:hint="eastAsia" w:ascii="宋体" w:hAnsi="宋体" w:cs="宋体"/>
          <w:sz w:val="24"/>
          <w:highlight w:val="none"/>
          <w:lang w:val="en-US" w:eastAsia="zh-CN"/>
        </w:rPr>
        <w:t>地址：</w:t>
      </w:r>
      <w:r>
        <w:rPr>
          <w:rFonts w:hint="eastAsia" w:ascii="宋体" w:hAnsi="宋体" w:cs="宋体"/>
          <w:sz w:val="24"/>
          <w:highlight w:val="none"/>
        </w:rPr>
        <w:t>南通市崇川区世纪大道6号</w:t>
      </w:r>
    </w:p>
    <w:p>
      <w:pPr>
        <w:snapToGrid w:val="0"/>
        <w:spacing w:line="300" w:lineRule="auto"/>
        <w:ind w:firstLine="480" w:firstLineChars="200"/>
        <w:rPr>
          <w:rFonts w:ascii="宋体" w:hAnsi="宋体" w:cs="宋体"/>
          <w:sz w:val="24"/>
          <w:highlight w:val="none"/>
        </w:rPr>
      </w:pPr>
      <w:r>
        <w:rPr>
          <w:rFonts w:hint="eastAsia" w:ascii="宋体" w:hAnsi="宋体" w:cs="宋体"/>
          <w:sz w:val="24"/>
          <w:highlight w:val="none"/>
        </w:rPr>
        <w:t>2.招标代理机构信息</w:t>
      </w:r>
    </w:p>
    <w:p>
      <w:pPr>
        <w:snapToGrid w:val="0"/>
        <w:spacing w:line="300" w:lineRule="auto"/>
        <w:ind w:firstLine="480" w:firstLineChars="200"/>
        <w:rPr>
          <w:rFonts w:ascii="宋体" w:hAnsi="宋体" w:cs="宋体"/>
          <w:sz w:val="24"/>
          <w:highlight w:val="none"/>
        </w:rPr>
      </w:pPr>
      <w:r>
        <w:rPr>
          <w:rFonts w:hint="eastAsia" w:ascii="宋体" w:hAnsi="宋体" w:cs="宋体"/>
          <w:sz w:val="24"/>
          <w:highlight w:val="none"/>
        </w:rPr>
        <w:t>名 称：江苏大成工程咨询有限公司</w:t>
      </w:r>
    </w:p>
    <w:p>
      <w:pPr>
        <w:snapToGrid w:val="0"/>
        <w:spacing w:line="300" w:lineRule="auto"/>
        <w:ind w:firstLine="480" w:firstLineChars="200"/>
        <w:rPr>
          <w:rFonts w:hint="eastAsia" w:ascii="宋体" w:hAnsi="宋体" w:cs="宋体"/>
          <w:sz w:val="24"/>
          <w:highlight w:val="none"/>
        </w:rPr>
      </w:pPr>
      <w:r>
        <w:rPr>
          <w:rFonts w:hint="eastAsia" w:ascii="宋体" w:hAnsi="宋体" w:cs="宋体"/>
          <w:sz w:val="24"/>
          <w:highlight w:val="none"/>
        </w:rPr>
        <w:t>联系人：童女士</w:t>
      </w:r>
    </w:p>
    <w:p>
      <w:pPr>
        <w:snapToGrid w:val="0"/>
        <w:spacing w:line="300" w:lineRule="auto"/>
        <w:ind w:firstLine="480" w:firstLineChars="200"/>
        <w:rPr>
          <w:rFonts w:hint="eastAsia" w:ascii="宋体" w:hAnsi="宋体" w:cs="宋体"/>
          <w:sz w:val="24"/>
          <w:highlight w:val="none"/>
        </w:rPr>
      </w:pPr>
      <w:r>
        <w:rPr>
          <w:rFonts w:hint="eastAsia" w:ascii="宋体" w:hAnsi="宋体" w:cs="宋体"/>
          <w:sz w:val="24"/>
          <w:highlight w:val="none"/>
        </w:rPr>
        <w:t>联系方式：0513-89150018、18662908181</w:t>
      </w:r>
    </w:p>
    <w:p>
      <w:pPr>
        <w:snapToGrid w:val="0"/>
        <w:spacing w:line="300" w:lineRule="auto"/>
        <w:ind w:firstLine="480" w:firstLineChars="200"/>
        <w:rPr>
          <w:rFonts w:hint="default" w:ascii="宋体" w:hAnsi="宋体" w:cs="宋体"/>
          <w:sz w:val="24"/>
          <w:highlight w:val="none"/>
          <w:lang w:val="en-US" w:eastAsia="zh-CN"/>
        </w:rPr>
      </w:pPr>
      <w:r>
        <w:rPr>
          <w:rFonts w:hint="eastAsia" w:ascii="宋体" w:hAnsi="宋体" w:cs="宋体"/>
          <w:sz w:val="24"/>
          <w:highlight w:val="none"/>
          <w:lang w:val="en-US" w:eastAsia="zh-CN"/>
        </w:rPr>
        <w:t>地址：</w:t>
      </w:r>
      <w:r>
        <w:rPr>
          <w:rFonts w:hint="eastAsia" w:ascii="宋体" w:hAnsi="宋体" w:cs="宋体"/>
          <w:sz w:val="24"/>
          <w:highlight w:val="none"/>
        </w:rPr>
        <w:t>南通市崇川区工农南路118号汇金国际C幢21层</w:t>
      </w:r>
    </w:p>
    <w:bookmarkEnd w:id="0"/>
    <w:bookmarkEnd w:id="1"/>
    <w:bookmarkEnd w:id="2"/>
    <w:bookmarkEnd w:id="3"/>
    <w:bookmarkEnd w:id="4"/>
    <w:p>
      <w:pPr>
        <w:snapToGrid w:val="0"/>
        <w:spacing w:line="360" w:lineRule="auto"/>
        <w:outlineLvl w:val="0"/>
        <w:rPr>
          <w:rFonts w:asciiTheme="majorEastAsia" w:hAnsiTheme="majorEastAsia" w:eastAsiaTheme="majorEastAsia" w:cstheme="majorEastAsia"/>
          <w:b/>
          <w:sz w:val="36"/>
          <w:szCs w:val="36"/>
          <w:highlight w:val="none"/>
        </w:rPr>
      </w:pPr>
    </w:p>
    <w:p>
      <w:pPr>
        <w:rPr>
          <w:rFonts w:asciiTheme="majorEastAsia" w:hAnsiTheme="majorEastAsia" w:eastAsiaTheme="majorEastAsia" w:cstheme="majorEastAsia"/>
          <w:b/>
          <w:sz w:val="36"/>
          <w:szCs w:val="36"/>
          <w:highlight w:val="none"/>
        </w:rPr>
      </w:pPr>
      <w:r>
        <w:rPr>
          <w:rFonts w:hint="eastAsia" w:asciiTheme="majorEastAsia" w:hAnsiTheme="majorEastAsia" w:eastAsiaTheme="majorEastAsia" w:cstheme="majorEastAsia"/>
          <w:b/>
          <w:sz w:val="36"/>
          <w:szCs w:val="36"/>
          <w:highlight w:val="none"/>
        </w:rPr>
        <w:br w:type="page"/>
      </w:r>
    </w:p>
    <w:p>
      <w:pPr>
        <w:snapToGrid w:val="0"/>
        <w:spacing w:line="360" w:lineRule="auto"/>
        <w:jc w:val="center"/>
        <w:outlineLvl w:val="0"/>
        <w:rPr>
          <w:rFonts w:asciiTheme="majorEastAsia" w:hAnsiTheme="majorEastAsia" w:eastAsiaTheme="majorEastAsia" w:cstheme="majorEastAsia"/>
          <w:b/>
          <w:sz w:val="36"/>
          <w:szCs w:val="36"/>
          <w:highlight w:val="none"/>
        </w:rPr>
      </w:pPr>
      <w:r>
        <w:rPr>
          <w:rFonts w:hint="eastAsia" w:asciiTheme="majorEastAsia" w:hAnsiTheme="majorEastAsia" w:eastAsiaTheme="majorEastAsia" w:cstheme="majorEastAsia"/>
          <w:b/>
          <w:sz w:val="36"/>
          <w:szCs w:val="36"/>
          <w:highlight w:val="none"/>
        </w:rPr>
        <w:t>第二部分投标须知</w:t>
      </w:r>
    </w:p>
    <w:p>
      <w:pPr>
        <w:snapToGrid w:val="0"/>
        <w:spacing w:line="312" w:lineRule="auto"/>
        <w:ind w:firstLine="482" w:firstLineChars="200"/>
        <w:rPr>
          <w:rFonts w:ascii="宋体" w:hAnsi="宋体" w:cs="宋体"/>
          <w:b/>
          <w:bCs/>
          <w:sz w:val="24"/>
          <w:highlight w:val="none"/>
        </w:rPr>
      </w:pPr>
      <w:r>
        <w:rPr>
          <w:rFonts w:hint="eastAsia" w:ascii="宋体" w:hAnsi="宋体" w:cs="宋体"/>
          <w:b/>
          <w:bCs/>
          <w:sz w:val="24"/>
          <w:highlight w:val="none"/>
        </w:rPr>
        <w:t>一、招标文件由采购人解释</w:t>
      </w:r>
    </w:p>
    <w:p>
      <w:pPr>
        <w:snapToGrid w:val="0"/>
        <w:spacing w:line="312" w:lineRule="auto"/>
        <w:ind w:firstLine="480" w:firstLineChars="200"/>
        <w:rPr>
          <w:rFonts w:ascii="宋体" w:hAnsi="宋体" w:cs="宋体"/>
          <w:sz w:val="24"/>
          <w:highlight w:val="none"/>
        </w:rPr>
      </w:pPr>
      <w:r>
        <w:rPr>
          <w:rFonts w:hint="eastAsia" w:ascii="宋体" w:hAnsi="宋体" w:cs="宋体"/>
          <w:sz w:val="24"/>
          <w:highlight w:val="none"/>
        </w:rPr>
        <w:t>1.供应商下载招标文件后，应仔细检查招标文件的所有内容，如对政府采购活动事项有疑问的，应在下载招标文件开始之日起3日内以书面形式提出询问或疑问，未在规定的3日内提出询问或疑问的，视同供应商理解并接受本招标文件所有内容，并由此引起的投标损失自负。</w:t>
      </w:r>
    </w:p>
    <w:p>
      <w:pPr>
        <w:snapToGrid w:val="0"/>
        <w:spacing w:line="312" w:lineRule="auto"/>
        <w:ind w:firstLine="480" w:firstLineChars="200"/>
        <w:rPr>
          <w:rFonts w:ascii="宋体" w:hAnsi="宋体" w:cs="宋体"/>
          <w:sz w:val="24"/>
          <w:highlight w:val="none"/>
        </w:rPr>
      </w:pPr>
      <w:r>
        <w:rPr>
          <w:rFonts w:hint="eastAsia" w:ascii="宋体" w:hAnsi="宋体" w:cs="宋体"/>
          <w:sz w:val="24"/>
          <w:highlight w:val="none"/>
        </w:rPr>
        <w:t>2.投标供应商应认真审阅招标文件中所有的事项、格式、条款和规范要求等，如果投标供应商没有按照招标文件要求提交投标文件，或者投标文件没有对招标文件做出实质性响应，其投标将被拒绝，投标供应商自行承担责任。</w:t>
      </w:r>
    </w:p>
    <w:p>
      <w:pPr>
        <w:snapToGrid w:val="0"/>
        <w:spacing w:line="312" w:lineRule="auto"/>
        <w:ind w:firstLine="482" w:firstLineChars="200"/>
        <w:rPr>
          <w:rFonts w:ascii="宋体" w:hAnsi="宋体" w:cs="宋体"/>
          <w:b/>
          <w:bCs/>
          <w:sz w:val="24"/>
          <w:highlight w:val="none"/>
        </w:rPr>
      </w:pPr>
      <w:r>
        <w:rPr>
          <w:rFonts w:hint="eastAsia" w:ascii="宋体" w:hAnsi="宋体" w:cs="宋体"/>
          <w:b/>
          <w:bCs/>
          <w:sz w:val="24"/>
          <w:highlight w:val="none"/>
        </w:rPr>
        <w:t>二、招标文件的澄清、修改、答疑</w:t>
      </w:r>
    </w:p>
    <w:p>
      <w:pPr>
        <w:snapToGrid w:val="0"/>
        <w:spacing w:line="312" w:lineRule="auto"/>
        <w:ind w:firstLine="480" w:firstLineChars="200"/>
        <w:rPr>
          <w:rFonts w:ascii="宋体" w:hAnsi="宋体" w:cs="宋体"/>
          <w:sz w:val="24"/>
          <w:highlight w:val="none"/>
        </w:rPr>
      </w:pPr>
      <w:r>
        <w:rPr>
          <w:rFonts w:hint="eastAsia" w:ascii="宋体" w:hAnsi="宋体" w:cs="宋体"/>
          <w:sz w:val="24"/>
          <w:highlight w:val="none"/>
        </w:rPr>
        <w:t>1.采购人有权对发出的招标文件进行必要的澄清或修改。</w:t>
      </w:r>
    </w:p>
    <w:p>
      <w:pPr>
        <w:snapToGrid w:val="0"/>
        <w:spacing w:line="312" w:lineRule="auto"/>
        <w:ind w:firstLine="480" w:firstLineChars="200"/>
        <w:rPr>
          <w:rFonts w:ascii="宋体" w:hAnsi="宋体" w:cs="宋体"/>
          <w:sz w:val="24"/>
          <w:highlight w:val="none"/>
        </w:rPr>
      </w:pPr>
      <w:r>
        <w:rPr>
          <w:rFonts w:hint="eastAsia" w:ascii="宋体" w:hAnsi="宋体" w:cs="宋体"/>
          <w:sz w:val="24"/>
          <w:highlight w:val="none"/>
        </w:rPr>
        <w:t>2.采购人可视情取消、延长相关时间。</w:t>
      </w:r>
    </w:p>
    <w:p>
      <w:pPr>
        <w:snapToGrid w:val="0"/>
        <w:spacing w:line="312" w:lineRule="auto"/>
        <w:ind w:firstLine="480" w:firstLineChars="200"/>
        <w:rPr>
          <w:rFonts w:ascii="宋体" w:hAnsi="宋体" w:cs="宋体"/>
          <w:sz w:val="24"/>
          <w:highlight w:val="none"/>
        </w:rPr>
      </w:pPr>
      <w:r>
        <w:rPr>
          <w:rFonts w:hint="eastAsia" w:ascii="宋体" w:hAnsi="宋体" w:cs="宋体"/>
          <w:sz w:val="24"/>
          <w:highlight w:val="none"/>
        </w:rPr>
        <w:t>3.采购人对招标文件的澄清、修改将构成招标文件的一部分，对投标供应商具有约束力。</w:t>
      </w:r>
    </w:p>
    <w:p>
      <w:pPr>
        <w:snapToGrid w:val="0"/>
        <w:spacing w:line="312" w:lineRule="auto"/>
        <w:ind w:firstLine="480" w:firstLineChars="200"/>
        <w:rPr>
          <w:rFonts w:ascii="宋体" w:hAnsi="宋体" w:cs="宋体"/>
          <w:sz w:val="24"/>
          <w:highlight w:val="none"/>
        </w:rPr>
      </w:pPr>
      <w:r>
        <w:rPr>
          <w:rFonts w:hint="eastAsia" w:ascii="宋体" w:hAnsi="宋体" w:cs="宋体"/>
          <w:sz w:val="24"/>
          <w:highlight w:val="none"/>
        </w:rPr>
        <w:t>4.投标供应商由于对招标文件的任何推论和误解以及采购人对有关问题的口头解释所造成的后果，均由投标供应商自负。</w:t>
      </w:r>
    </w:p>
    <w:p>
      <w:pPr>
        <w:snapToGrid w:val="0"/>
        <w:spacing w:line="312" w:lineRule="auto"/>
        <w:ind w:firstLine="480" w:firstLineChars="200"/>
        <w:rPr>
          <w:rFonts w:ascii="宋体" w:hAnsi="宋体" w:cs="宋体"/>
          <w:sz w:val="24"/>
          <w:highlight w:val="none"/>
        </w:rPr>
      </w:pPr>
      <w:r>
        <w:rPr>
          <w:rFonts w:hint="eastAsia" w:ascii="宋体" w:hAnsi="宋体" w:cs="宋体"/>
          <w:sz w:val="24"/>
          <w:highlight w:val="none"/>
        </w:rPr>
        <w:t>5.采购人视情组织答疑会。</w:t>
      </w:r>
    </w:p>
    <w:p>
      <w:pPr>
        <w:snapToGrid w:val="0"/>
        <w:spacing w:line="300" w:lineRule="auto"/>
        <w:ind w:firstLine="482" w:firstLineChars="200"/>
        <w:rPr>
          <w:rFonts w:ascii="宋体" w:hAnsi="宋体" w:cs="宋体"/>
          <w:b/>
          <w:bCs/>
          <w:sz w:val="24"/>
          <w:highlight w:val="none"/>
        </w:rPr>
      </w:pPr>
      <w:r>
        <w:rPr>
          <w:rFonts w:hint="eastAsia" w:ascii="宋体" w:hAnsi="宋体" w:cs="宋体"/>
          <w:b/>
          <w:bCs/>
          <w:sz w:val="24"/>
          <w:highlight w:val="none"/>
          <w:lang w:val="zh-CN"/>
        </w:rPr>
        <w:t>三、投标文件的编写、递交</w:t>
      </w:r>
    </w:p>
    <w:p>
      <w:pPr>
        <w:snapToGrid w:val="0"/>
        <w:spacing w:line="312" w:lineRule="auto"/>
        <w:ind w:firstLine="482" w:firstLineChars="200"/>
        <w:rPr>
          <w:rFonts w:ascii="宋体" w:hAnsi="宋体" w:cs="宋体"/>
          <w:b/>
          <w:bCs/>
          <w:sz w:val="24"/>
          <w:highlight w:val="none"/>
        </w:rPr>
      </w:pPr>
      <w:r>
        <w:rPr>
          <w:rFonts w:hint="eastAsia" w:ascii="宋体" w:hAnsi="宋体" w:cs="宋体"/>
          <w:b/>
          <w:bCs/>
          <w:sz w:val="24"/>
          <w:highlight w:val="none"/>
        </w:rPr>
        <w:t>（一）投标文件的编写</w:t>
      </w:r>
    </w:p>
    <w:p>
      <w:pPr>
        <w:snapToGrid w:val="0"/>
        <w:spacing w:line="312" w:lineRule="auto"/>
        <w:ind w:firstLine="480" w:firstLineChars="200"/>
        <w:rPr>
          <w:rFonts w:ascii="宋体" w:hAnsi="宋体" w:cs="宋体"/>
          <w:sz w:val="24"/>
          <w:highlight w:val="none"/>
        </w:rPr>
      </w:pPr>
      <w:r>
        <w:rPr>
          <w:rFonts w:hint="eastAsia" w:ascii="宋体" w:hAnsi="宋体" w:cs="宋体"/>
          <w:sz w:val="24"/>
          <w:highlight w:val="none"/>
        </w:rPr>
        <w:t>投标供应商按投标文件组成顺序编写响应文件，并牢固装订成册。投标文件均需采用A4纸（图纸等除外），不允许使用活页夹、拉杆夹、文件夹、塑料方便式书脊（插入式或穿孔式）装订。投标文件不得行间插字、涂改、增删，如修改错漏处，须经投标文件签署人签字并加盖公章。</w:t>
      </w:r>
    </w:p>
    <w:p>
      <w:pPr>
        <w:numPr>
          <w:ilvl w:val="0"/>
          <w:numId w:val="2"/>
        </w:numPr>
        <w:snapToGrid w:val="0"/>
        <w:spacing w:line="300" w:lineRule="auto"/>
        <w:ind w:firstLine="482" w:firstLineChars="200"/>
        <w:rPr>
          <w:rFonts w:ascii="宋体" w:hAnsi="宋体" w:cs="宋体"/>
          <w:b/>
          <w:bCs/>
          <w:sz w:val="24"/>
          <w:highlight w:val="none"/>
          <w:lang w:val="zh-CN"/>
        </w:rPr>
      </w:pPr>
      <w:r>
        <w:rPr>
          <w:rFonts w:hint="eastAsia" w:ascii="宋体" w:hAnsi="宋体" w:cs="宋体"/>
          <w:b/>
          <w:bCs/>
          <w:sz w:val="24"/>
          <w:highlight w:val="none"/>
          <w:lang w:val="zh-CN"/>
        </w:rPr>
        <w:t>投标文件的递交</w:t>
      </w:r>
    </w:p>
    <w:p>
      <w:pPr>
        <w:numPr>
          <w:ilvl w:val="0"/>
          <w:numId w:val="3"/>
        </w:numPr>
        <w:snapToGrid w:val="0"/>
        <w:spacing w:line="300" w:lineRule="auto"/>
        <w:ind w:firstLine="482" w:firstLineChars="200"/>
        <w:rPr>
          <w:rFonts w:ascii="宋体" w:hAnsi="宋体" w:cs="宋体"/>
          <w:b/>
          <w:bCs/>
          <w:sz w:val="24"/>
          <w:highlight w:val="none"/>
        </w:rPr>
      </w:pPr>
      <w:r>
        <w:rPr>
          <w:rFonts w:hint="eastAsia" w:ascii="宋体" w:hAnsi="宋体" w:cs="宋体"/>
          <w:b/>
          <w:bCs/>
          <w:sz w:val="24"/>
          <w:highlight w:val="none"/>
        </w:rPr>
        <w:t>各标段投标文件组成：</w:t>
      </w:r>
    </w:p>
    <w:p>
      <w:pPr>
        <w:snapToGrid w:val="0"/>
        <w:spacing w:line="312" w:lineRule="auto"/>
        <w:ind w:firstLine="480" w:firstLineChars="200"/>
        <w:rPr>
          <w:rFonts w:ascii="宋体" w:hAnsi="宋体" w:cs="宋体"/>
          <w:sz w:val="24"/>
          <w:highlight w:val="none"/>
        </w:rPr>
      </w:pPr>
      <w:r>
        <w:rPr>
          <w:rFonts w:hint="eastAsia" w:ascii="宋体" w:hAnsi="宋体" w:cs="宋体"/>
          <w:sz w:val="24"/>
          <w:highlight w:val="none"/>
          <w:lang w:val="zh-CN"/>
        </w:rPr>
        <w:t>（</w:t>
      </w:r>
      <w:r>
        <w:rPr>
          <w:rFonts w:hint="eastAsia" w:ascii="宋体" w:hAnsi="宋体" w:cs="宋体"/>
          <w:sz w:val="24"/>
          <w:highlight w:val="none"/>
        </w:rPr>
        <w:t>1</w:t>
      </w:r>
      <w:r>
        <w:rPr>
          <w:rFonts w:hint="eastAsia" w:ascii="宋体" w:hAnsi="宋体" w:cs="宋体"/>
          <w:sz w:val="24"/>
          <w:highlight w:val="none"/>
          <w:lang w:val="zh-CN"/>
        </w:rPr>
        <w:t>）资格审查</w:t>
      </w:r>
      <w:r>
        <w:rPr>
          <w:rFonts w:hint="eastAsia" w:ascii="宋体" w:hAnsi="宋体" w:cs="宋体"/>
          <w:sz w:val="24"/>
          <w:highlight w:val="none"/>
        </w:rPr>
        <w:t>文件：</w:t>
      </w:r>
      <w:r>
        <w:rPr>
          <w:rFonts w:hint="eastAsia" w:ascii="宋体" w:hAnsi="宋体" w:cs="宋体"/>
          <w:sz w:val="24"/>
          <w:highlight w:val="none"/>
          <w:lang w:val="zh-CN"/>
        </w:rPr>
        <w:t>供应商同时对</w:t>
      </w:r>
      <w:r>
        <w:rPr>
          <w:rFonts w:hint="eastAsia" w:ascii="宋体" w:hAnsi="宋体" w:cs="宋体"/>
          <w:sz w:val="24"/>
          <w:highlight w:val="none"/>
        </w:rPr>
        <w:t>多个标段</w:t>
      </w:r>
      <w:r>
        <w:rPr>
          <w:rFonts w:hint="eastAsia" w:ascii="宋体" w:hAnsi="宋体" w:cs="宋体"/>
          <w:sz w:val="24"/>
          <w:highlight w:val="none"/>
          <w:lang w:val="zh-CN"/>
        </w:rPr>
        <w:t>进行投标</w:t>
      </w:r>
      <w:r>
        <w:rPr>
          <w:rFonts w:hint="eastAsia" w:ascii="宋体" w:hAnsi="宋体" w:cs="宋体"/>
          <w:sz w:val="24"/>
          <w:highlight w:val="none"/>
        </w:rPr>
        <w:t>的只需提供一份资格审查文件，资格审查文件内容中涉及项目名称的格式为：项目名称+全部所投标段号。</w:t>
      </w:r>
    </w:p>
    <w:p>
      <w:pPr>
        <w:snapToGrid w:val="0"/>
        <w:spacing w:line="312" w:lineRule="auto"/>
        <w:ind w:firstLine="480" w:firstLineChars="200"/>
        <w:rPr>
          <w:rFonts w:ascii="宋体" w:hAnsi="宋体" w:cs="宋体"/>
          <w:sz w:val="24"/>
          <w:highlight w:val="none"/>
        </w:rPr>
      </w:pPr>
      <w:r>
        <w:rPr>
          <w:rFonts w:hint="eastAsia" w:ascii="宋体" w:hAnsi="宋体" w:cs="宋体"/>
          <w:sz w:val="24"/>
          <w:highlight w:val="none"/>
        </w:rPr>
        <w:t>（2）</w:t>
      </w:r>
      <w:r>
        <w:rPr>
          <w:rFonts w:hint="eastAsia" w:ascii="宋体" w:hAnsi="宋体" w:cs="宋体"/>
          <w:sz w:val="24"/>
          <w:highlight w:val="none"/>
          <w:lang w:val="zh-CN"/>
        </w:rPr>
        <w:t>商务技术标</w:t>
      </w:r>
      <w:r>
        <w:rPr>
          <w:rFonts w:hint="eastAsia" w:ascii="宋体" w:hAnsi="宋体" w:cs="宋体"/>
          <w:sz w:val="24"/>
          <w:highlight w:val="none"/>
        </w:rPr>
        <w:t>分为</w:t>
      </w:r>
      <w:r>
        <w:rPr>
          <w:rFonts w:hint="eastAsia" w:ascii="宋体" w:hAnsi="宋体" w:cs="宋体"/>
          <w:sz w:val="24"/>
          <w:highlight w:val="none"/>
          <w:lang w:val="zh-CN"/>
        </w:rPr>
        <w:t>商务技术标</w:t>
      </w:r>
      <w:r>
        <w:rPr>
          <w:rFonts w:hint="eastAsia" w:ascii="宋体" w:hAnsi="宋体" w:cs="宋体"/>
          <w:sz w:val="24"/>
          <w:highlight w:val="none"/>
        </w:rPr>
        <w:t>第一册和</w:t>
      </w:r>
      <w:r>
        <w:rPr>
          <w:rFonts w:hint="eastAsia" w:ascii="宋体" w:hAnsi="宋体" w:cs="宋体"/>
          <w:sz w:val="24"/>
          <w:highlight w:val="none"/>
          <w:lang w:val="zh-CN"/>
        </w:rPr>
        <w:t>商务技术标</w:t>
      </w:r>
      <w:r>
        <w:rPr>
          <w:rFonts w:hint="eastAsia" w:ascii="宋体" w:hAnsi="宋体" w:cs="宋体"/>
          <w:sz w:val="24"/>
          <w:highlight w:val="none"/>
        </w:rPr>
        <w:t>第二册。</w:t>
      </w:r>
    </w:p>
    <w:p>
      <w:pPr>
        <w:snapToGrid w:val="0"/>
        <w:spacing w:line="312" w:lineRule="auto"/>
        <w:ind w:firstLine="480" w:firstLineChars="200"/>
        <w:rPr>
          <w:rFonts w:ascii="宋体" w:hAnsi="宋体" w:cs="宋体"/>
          <w:sz w:val="24"/>
          <w:highlight w:val="none"/>
        </w:rPr>
      </w:pPr>
      <w:r>
        <w:rPr>
          <w:rFonts w:hint="eastAsia" w:ascii="宋体" w:hAnsi="宋体" w:cs="宋体"/>
          <w:sz w:val="24"/>
          <w:highlight w:val="none"/>
          <w:lang w:val="zh-CN"/>
        </w:rPr>
        <w:t>商务技术标</w:t>
      </w:r>
      <w:r>
        <w:rPr>
          <w:rFonts w:hint="eastAsia" w:ascii="宋体" w:hAnsi="宋体" w:cs="宋体"/>
          <w:sz w:val="24"/>
          <w:highlight w:val="none"/>
        </w:rPr>
        <w:t>第一册：</w:t>
      </w:r>
      <w:r>
        <w:rPr>
          <w:rFonts w:hint="eastAsia" w:ascii="宋体" w:hAnsi="宋体" w:cs="宋体"/>
          <w:sz w:val="24"/>
          <w:highlight w:val="none"/>
          <w:lang w:val="zh-CN"/>
        </w:rPr>
        <w:t>供应商同时对</w:t>
      </w:r>
      <w:r>
        <w:rPr>
          <w:rFonts w:hint="eastAsia" w:ascii="宋体" w:hAnsi="宋体" w:cs="宋体"/>
          <w:sz w:val="24"/>
          <w:highlight w:val="none"/>
        </w:rPr>
        <w:t>多个标段</w:t>
      </w:r>
      <w:r>
        <w:rPr>
          <w:rFonts w:hint="eastAsia" w:ascii="宋体" w:hAnsi="宋体" w:cs="宋体"/>
          <w:sz w:val="24"/>
          <w:highlight w:val="none"/>
          <w:lang w:val="zh-CN"/>
        </w:rPr>
        <w:t>进行投标</w:t>
      </w:r>
      <w:r>
        <w:rPr>
          <w:rFonts w:hint="eastAsia" w:ascii="宋体" w:hAnsi="宋体" w:cs="宋体"/>
          <w:sz w:val="24"/>
          <w:highlight w:val="none"/>
        </w:rPr>
        <w:t>的只需提供一份</w:t>
      </w:r>
      <w:r>
        <w:rPr>
          <w:rFonts w:hint="eastAsia" w:ascii="宋体" w:hAnsi="宋体" w:cs="宋体"/>
          <w:sz w:val="24"/>
          <w:highlight w:val="none"/>
          <w:lang w:val="zh-CN"/>
        </w:rPr>
        <w:t>商务技术标</w:t>
      </w:r>
      <w:r>
        <w:rPr>
          <w:rFonts w:hint="eastAsia" w:ascii="宋体" w:hAnsi="宋体" w:cs="宋体"/>
          <w:sz w:val="24"/>
          <w:highlight w:val="none"/>
        </w:rPr>
        <w:t>第一册文件，</w:t>
      </w:r>
      <w:r>
        <w:rPr>
          <w:rFonts w:hint="eastAsia" w:ascii="宋体" w:hAnsi="宋体" w:cs="宋体"/>
          <w:sz w:val="24"/>
          <w:highlight w:val="none"/>
          <w:lang w:val="zh-CN"/>
        </w:rPr>
        <w:t>商务技术标</w:t>
      </w:r>
      <w:r>
        <w:rPr>
          <w:rFonts w:hint="eastAsia" w:ascii="宋体" w:hAnsi="宋体" w:cs="宋体"/>
          <w:sz w:val="24"/>
          <w:highlight w:val="none"/>
        </w:rPr>
        <w:t>第一册内容中涉及项目名称的格式为：项目名称+全部所投标段号；</w:t>
      </w:r>
    </w:p>
    <w:p>
      <w:pPr>
        <w:snapToGrid w:val="0"/>
        <w:spacing w:line="312" w:lineRule="auto"/>
        <w:ind w:firstLine="480" w:firstLineChars="200"/>
        <w:rPr>
          <w:rFonts w:ascii="宋体" w:hAnsi="宋体" w:cs="宋体"/>
          <w:sz w:val="24"/>
          <w:highlight w:val="none"/>
        </w:rPr>
      </w:pPr>
      <w:r>
        <w:rPr>
          <w:rFonts w:hint="eastAsia" w:ascii="宋体" w:hAnsi="宋体" w:cs="宋体"/>
          <w:sz w:val="24"/>
          <w:highlight w:val="none"/>
          <w:lang w:val="zh-CN"/>
        </w:rPr>
        <w:t>商务技术标</w:t>
      </w:r>
      <w:r>
        <w:rPr>
          <w:rFonts w:hint="eastAsia" w:ascii="宋体" w:hAnsi="宋体" w:cs="宋体"/>
          <w:sz w:val="24"/>
          <w:highlight w:val="none"/>
        </w:rPr>
        <w:t>第二册：商务技术标第二册按照所投标段数数量制作投标文件，</w:t>
      </w:r>
      <w:r>
        <w:rPr>
          <w:rFonts w:hint="eastAsia" w:ascii="宋体" w:hAnsi="宋体" w:cs="宋体"/>
          <w:sz w:val="24"/>
          <w:highlight w:val="none"/>
          <w:lang w:val="zh-CN"/>
        </w:rPr>
        <w:t>商务技术标</w:t>
      </w:r>
      <w:r>
        <w:rPr>
          <w:rFonts w:hint="eastAsia" w:ascii="宋体" w:hAnsi="宋体" w:cs="宋体"/>
          <w:sz w:val="24"/>
          <w:highlight w:val="none"/>
        </w:rPr>
        <w:t>第二册内容中涉及项目名称的格式为：项目名称+所投标段号。</w:t>
      </w:r>
    </w:p>
    <w:p>
      <w:pPr>
        <w:snapToGrid w:val="0"/>
        <w:spacing w:line="312" w:lineRule="auto"/>
        <w:ind w:firstLine="480" w:firstLineChars="200"/>
        <w:rPr>
          <w:rFonts w:ascii="宋体" w:hAnsi="宋体" w:cs="宋体"/>
          <w:sz w:val="24"/>
          <w:highlight w:val="none"/>
          <w:lang w:val="zh-CN"/>
        </w:rPr>
      </w:pPr>
      <w:r>
        <w:rPr>
          <w:rFonts w:hint="eastAsia" w:ascii="宋体" w:hAnsi="宋体" w:cs="宋体"/>
          <w:sz w:val="24"/>
          <w:highlight w:val="none"/>
          <w:lang w:val="zh-CN"/>
        </w:rPr>
        <w:t>（</w:t>
      </w:r>
      <w:r>
        <w:rPr>
          <w:rFonts w:hint="eastAsia" w:ascii="宋体" w:hAnsi="宋体" w:cs="宋体"/>
          <w:sz w:val="24"/>
          <w:highlight w:val="none"/>
        </w:rPr>
        <w:t>3</w:t>
      </w:r>
      <w:r>
        <w:rPr>
          <w:rFonts w:hint="eastAsia" w:ascii="宋体" w:hAnsi="宋体" w:cs="宋体"/>
          <w:sz w:val="24"/>
          <w:highlight w:val="none"/>
          <w:lang w:val="zh-CN"/>
        </w:rPr>
        <w:t>）价格标：价格标</w:t>
      </w:r>
      <w:r>
        <w:rPr>
          <w:rFonts w:hint="eastAsia" w:ascii="宋体" w:hAnsi="宋体" w:cs="宋体"/>
          <w:sz w:val="24"/>
          <w:highlight w:val="none"/>
        </w:rPr>
        <w:t>按照所投标段数数量制作投标文件，</w:t>
      </w:r>
      <w:r>
        <w:rPr>
          <w:rFonts w:hint="eastAsia" w:ascii="宋体" w:hAnsi="宋体" w:cs="宋体"/>
          <w:sz w:val="24"/>
          <w:highlight w:val="none"/>
          <w:lang w:val="zh-CN"/>
        </w:rPr>
        <w:t>价格标</w:t>
      </w:r>
      <w:r>
        <w:rPr>
          <w:rFonts w:hint="eastAsia" w:ascii="宋体" w:hAnsi="宋体" w:cs="宋体"/>
          <w:sz w:val="24"/>
          <w:highlight w:val="none"/>
        </w:rPr>
        <w:t>内容中涉及项目名称的格式为：项目名称+所投标段号。</w:t>
      </w:r>
    </w:p>
    <w:p>
      <w:pPr>
        <w:snapToGrid w:val="0"/>
        <w:spacing w:line="312" w:lineRule="auto"/>
        <w:ind w:firstLine="480" w:firstLineChars="200"/>
        <w:rPr>
          <w:rFonts w:ascii="宋体" w:hAnsi="宋体" w:cs="宋体"/>
          <w:sz w:val="24"/>
          <w:highlight w:val="none"/>
        </w:rPr>
      </w:pPr>
      <w:r>
        <w:rPr>
          <w:rFonts w:hint="eastAsia" w:ascii="宋体" w:hAnsi="宋体" w:cs="宋体"/>
          <w:sz w:val="24"/>
          <w:highlight w:val="none"/>
        </w:rPr>
        <w:t>供应商须将</w:t>
      </w:r>
      <w:r>
        <w:rPr>
          <w:rFonts w:hint="eastAsia" w:ascii="宋体" w:hAnsi="宋体" w:cs="宋体"/>
          <w:sz w:val="24"/>
          <w:highlight w:val="none"/>
          <w:lang w:val="zh-CN"/>
        </w:rPr>
        <w:t>资格审查</w:t>
      </w:r>
      <w:r>
        <w:rPr>
          <w:rFonts w:hint="eastAsia" w:ascii="宋体" w:hAnsi="宋体" w:cs="宋体"/>
          <w:sz w:val="24"/>
          <w:highlight w:val="none"/>
        </w:rPr>
        <w:t>文件、</w:t>
      </w:r>
      <w:r>
        <w:rPr>
          <w:rFonts w:hint="eastAsia" w:ascii="宋体" w:hAnsi="宋体" w:cs="宋体"/>
          <w:sz w:val="24"/>
          <w:highlight w:val="none"/>
          <w:lang w:val="zh-CN"/>
        </w:rPr>
        <w:t>商务技术标</w:t>
      </w:r>
      <w:r>
        <w:rPr>
          <w:rFonts w:hint="eastAsia" w:ascii="宋体" w:hAnsi="宋体" w:cs="宋体"/>
          <w:sz w:val="24"/>
          <w:highlight w:val="none"/>
        </w:rPr>
        <w:t>第一册、</w:t>
      </w:r>
      <w:r>
        <w:rPr>
          <w:rFonts w:hint="eastAsia" w:ascii="宋体" w:hAnsi="宋体" w:cs="宋体"/>
          <w:sz w:val="24"/>
          <w:highlight w:val="none"/>
          <w:lang w:val="zh-CN"/>
        </w:rPr>
        <w:t>商务技术标</w:t>
      </w:r>
      <w:r>
        <w:rPr>
          <w:rFonts w:hint="eastAsia" w:ascii="宋体" w:hAnsi="宋体" w:cs="宋体"/>
          <w:sz w:val="24"/>
          <w:highlight w:val="none"/>
        </w:rPr>
        <w:t>第二册、</w:t>
      </w:r>
      <w:r>
        <w:rPr>
          <w:rFonts w:hint="eastAsia" w:ascii="宋体" w:hAnsi="宋体" w:cs="宋体"/>
          <w:sz w:val="24"/>
          <w:highlight w:val="none"/>
          <w:lang w:val="zh-CN"/>
        </w:rPr>
        <w:t>价格标</w:t>
      </w:r>
      <w:r>
        <w:rPr>
          <w:rFonts w:hint="eastAsia" w:ascii="宋体" w:hAnsi="宋体" w:cs="宋体"/>
          <w:sz w:val="24"/>
          <w:highlight w:val="none"/>
        </w:rPr>
        <w:t>分别单独密封，并牢固装订成册，不得相互混淆，文件自编目录并连续标注页码，不得将内容拆开。</w:t>
      </w:r>
      <w:r>
        <w:rPr>
          <w:rFonts w:hint="eastAsia" w:ascii="宋体" w:hAnsi="宋体" w:cs="宋体"/>
          <w:sz w:val="24"/>
          <w:highlight w:val="none"/>
          <w:lang w:val="zh-CN"/>
        </w:rPr>
        <w:t>资格审查</w:t>
      </w:r>
      <w:r>
        <w:rPr>
          <w:rFonts w:hint="eastAsia" w:ascii="宋体" w:hAnsi="宋体" w:cs="宋体"/>
          <w:sz w:val="24"/>
          <w:highlight w:val="none"/>
        </w:rPr>
        <w:t>文件、</w:t>
      </w:r>
      <w:r>
        <w:rPr>
          <w:rFonts w:hint="eastAsia" w:ascii="宋体" w:hAnsi="宋体" w:cs="宋体"/>
          <w:sz w:val="24"/>
          <w:highlight w:val="none"/>
          <w:lang w:val="zh-CN"/>
        </w:rPr>
        <w:t>商务技术标</w:t>
      </w:r>
      <w:r>
        <w:rPr>
          <w:rFonts w:hint="eastAsia" w:ascii="宋体" w:hAnsi="宋体" w:cs="宋体"/>
          <w:sz w:val="24"/>
          <w:highlight w:val="none"/>
        </w:rPr>
        <w:t>第一册、</w:t>
      </w:r>
      <w:r>
        <w:rPr>
          <w:rFonts w:hint="eastAsia" w:ascii="宋体" w:hAnsi="宋体" w:cs="宋体"/>
          <w:sz w:val="24"/>
          <w:highlight w:val="none"/>
          <w:lang w:val="zh-CN"/>
        </w:rPr>
        <w:t>商务技术标</w:t>
      </w:r>
      <w:r>
        <w:rPr>
          <w:rFonts w:hint="eastAsia" w:ascii="宋体" w:hAnsi="宋体" w:cs="宋体"/>
          <w:sz w:val="24"/>
          <w:highlight w:val="none"/>
        </w:rPr>
        <w:t>第二册的“正本”或“副本”中，均不得含有价格标中报价表（报价单）内的任何项目价格，否则作废标处理。</w:t>
      </w:r>
    </w:p>
    <w:p>
      <w:pPr>
        <w:snapToGrid w:val="0"/>
        <w:spacing w:line="300" w:lineRule="auto"/>
        <w:ind w:firstLine="480" w:firstLineChars="200"/>
        <w:rPr>
          <w:rFonts w:ascii="宋体" w:hAnsi="宋体" w:cs="宋体"/>
          <w:sz w:val="24"/>
          <w:highlight w:val="none"/>
        </w:rPr>
      </w:pPr>
      <w:r>
        <w:rPr>
          <w:rFonts w:hint="eastAsia" w:ascii="宋体" w:hAnsi="宋体" w:cs="宋体"/>
          <w:sz w:val="24"/>
          <w:highlight w:val="none"/>
        </w:rPr>
        <w:t>2.投标文件每一部分内容均须提供“</w:t>
      </w:r>
      <w:r>
        <w:rPr>
          <w:rFonts w:hint="eastAsia" w:ascii="宋体" w:hAnsi="宋体" w:cs="宋体"/>
          <w:b w:val="0"/>
          <w:bCs w:val="0"/>
          <w:sz w:val="24"/>
          <w:highlight w:val="none"/>
          <w:u w:val="none" w:color="auto"/>
        </w:rPr>
        <w:t>一正、</w:t>
      </w:r>
      <w:r>
        <w:rPr>
          <w:rFonts w:hint="eastAsia" w:ascii="宋体" w:hAnsi="宋体" w:cs="宋体"/>
          <w:b w:val="0"/>
          <w:bCs w:val="0"/>
          <w:sz w:val="24"/>
          <w:highlight w:val="none"/>
          <w:u w:val="none" w:color="auto"/>
          <w:lang w:val="en-US" w:eastAsia="zh-CN"/>
        </w:rPr>
        <w:t>六</w:t>
      </w:r>
      <w:r>
        <w:rPr>
          <w:rFonts w:hint="eastAsia" w:ascii="宋体" w:hAnsi="宋体" w:cs="宋体"/>
          <w:b w:val="0"/>
          <w:bCs w:val="0"/>
          <w:sz w:val="24"/>
          <w:highlight w:val="none"/>
          <w:u w:val="none" w:color="auto"/>
        </w:rPr>
        <w:t>副</w:t>
      </w:r>
      <w:r>
        <w:rPr>
          <w:rFonts w:hint="eastAsia" w:ascii="宋体" w:hAnsi="宋体" w:cs="宋体"/>
          <w:sz w:val="24"/>
          <w:highlight w:val="none"/>
        </w:rPr>
        <w:t>”纸质投标文件，并将单一部分的正本、副本及图纸类等（如需提供图纸等其它资料的话）合并密封，统一装在一个密封袋或密封箱内（如有A3大小的图纸类，可单独密封）。</w:t>
      </w:r>
    </w:p>
    <w:p>
      <w:pPr>
        <w:snapToGrid w:val="0"/>
        <w:spacing w:line="300" w:lineRule="auto"/>
        <w:ind w:firstLine="480" w:firstLineChars="200"/>
        <w:rPr>
          <w:rFonts w:ascii="宋体" w:hAnsi="宋体" w:cs="宋体"/>
          <w:sz w:val="24"/>
          <w:highlight w:val="none"/>
        </w:rPr>
      </w:pPr>
      <w:r>
        <w:rPr>
          <w:rFonts w:hint="eastAsia" w:ascii="宋体" w:hAnsi="宋体" w:cs="宋体"/>
          <w:sz w:val="24"/>
          <w:highlight w:val="none"/>
        </w:rPr>
        <w:t>3.纸质投标文件须采用A4纸（图纸等除外），正本须打印并由法定代表人或授权人签字并加盖单位印章。副本可复印，但须加盖单位印章。文件内容中不得行间插字、涂改、增删，如修补错漏处，须由投标文件签署人签字并加盖公章。</w:t>
      </w:r>
    </w:p>
    <w:p>
      <w:pPr>
        <w:snapToGrid w:val="0"/>
        <w:spacing w:line="300" w:lineRule="auto"/>
        <w:ind w:firstLine="480" w:firstLineChars="200"/>
        <w:rPr>
          <w:rFonts w:ascii="宋体" w:hAnsi="宋体" w:cs="宋体"/>
          <w:sz w:val="24"/>
          <w:highlight w:val="none"/>
        </w:rPr>
      </w:pPr>
      <w:r>
        <w:rPr>
          <w:rFonts w:hint="eastAsia" w:ascii="宋体" w:hAnsi="宋体" w:cs="宋体"/>
          <w:sz w:val="24"/>
          <w:highlight w:val="none"/>
        </w:rPr>
        <w:t>4.投标文件密封后应在每一密封的投标文件上明确投标文件项目名称、项目编号、投标文件各自对应的名称、标段号、供应商的全称及日期，边缝处加盖单位骑缝章或骑缝签字，可注明于投标前不得启封。</w:t>
      </w:r>
    </w:p>
    <w:p>
      <w:pPr>
        <w:snapToGrid w:val="0"/>
        <w:spacing w:line="300" w:lineRule="auto"/>
        <w:ind w:firstLine="482" w:firstLineChars="200"/>
        <w:rPr>
          <w:rFonts w:ascii="宋体" w:hAnsi="宋体" w:cs="宋体"/>
          <w:sz w:val="24"/>
          <w:highlight w:val="none"/>
        </w:rPr>
      </w:pPr>
      <w:r>
        <w:rPr>
          <w:rFonts w:hint="eastAsia" w:ascii="宋体" w:hAnsi="宋体" w:cs="宋体"/>
          <w:b/>
          <w:bCs/>
          <w:sz w:val="24"/>
          <w:highlight w:val="none"/>
        </w:rPr>
        <w:t>5.</w:t>
      </w:r>
      <w:r>
        <w:rPr>
          <w:rFonts w:hint="eastAsia" w:ascii="宋体" w:hAnsi="宋体" w:cs="宋体"/>
          <w:sz w:val="24"/>
          <w:highlight w:val="none"/>
        </w:rPr>
        <w:t>递交时间：供应商须在规定的投标文件接收截止时间前送达指定地点。</w:t>
      </w:r>
    </w:p>
    <w:p>
      <w:pPr>
        <w:snapToGrid w:val="0"/>
        <w:spacing w:line="312" w:lineRule="auto"/>
        <w:ind w:firstLine="482" w:firstLineChars="200"/>
        <w:rPr>
          <w:rFonts w:ascii="宋体" w:hAnsi="宋体" w:cs="宋体"/>
          <w:b/>
          <w:bCs/>
          <w:sz w:val="24"/>
          <w:highlight w:val="none"/>
        </w:rPr>
      </w:pPr>
      <w:r>
        <w:rPr>
          <w:rFonts w:hint="eastAsia" w:ascii="宋体" w:hAnsi="宋体" w:cs="宋体"/>
          <w:b/>
          <w:bCs/>
          <w:sz w:val="24"/>
          <w:highlight w:val="none"/>
        </w:rPr>
        <w:t>四、投标报价</w:t>
      </w:r>
    </w:p>
    <w:p>
      <w:pPr>
        <w:snapToGrid w:val="0"/>
        <w:spacing w:line="300" w:lineRule="auto"/>
        <w:ind w:firstLine="480" w:firstLineChars="200"/>
        <w:rPr>
          <w:rFonts w:ascii="宋体" w:hAnsi="宋体" w:cs="宋体"/>
          <w:sz w:val="24"/>
          <w:highlight w:val="none"/>
        </w:rPr>
      </w:pPr>
      <w:r>
        <w:rPr>
          <w:rFonts w:hint="eastAsia" w:ascii="宋体" w:hAnsi="宋体" w:cs="宋体"/>
          <w:sz w:val="24"/>
          <w:highlight w:val="none"/>
        </w:rPr>
        <w:t>一个标的只允许一个报价，不接受任何有选择性的报价。</w:t>
      </w:r>
    </w:p>
    <w:p>
      <w:pPr>
        <w:snapToGrid w:val="0"/>
        <w:spacing w:line="300" w:lineRule="auto"/>
        <w:ind w:firstLine="482" w:firstLineChars="200"/>
        <w:rPr>
          <w:rFonts w:ascii="宋体" w:hAnsi="宋体" w:cs="宋体"/>
          <w:b/>
          <w:bCs/>
          <w:sz w:val="24"/>
          <w:highlight w:val="none"/>
        </w:rPr>
      </w:pPr>
      <w:r>
        <w:rPr>
          <w:rFonts w:hint="eastAsia" w:ascii="宋体" w:hAnsi="宋体" w:cs="宋体"/>
          <w:b/>
          <w:bCs/>
          <w:sz w:val="24"/>
          <w:highlight w:val="none"/>
        </w:rPr>
        <w:t>五、投标费用</w:t>
      </w:r>
    </w:p>
    <w:p>
      <w:pPr>
        <w:snapToGrid w:val="0"/>
        <w:spacing w:line="300" w:lineRule="auto"/>
        <w:ind w:firstLine="480" w:firstLineChars="200"/>
        <w:rPr>
          <w:rFonts w:ascii="宋体" w:hAnsi="宋体" w:cs="宋体"/>
          <w:sz w:val="24"/>
          <w:highlight w:val="none"/>
        </w:rPr>
      </w:pPr>
      <w:r>
        <w:rPr>
          <w:rFonts w:hint="eastAsia" w:ascii="宋体" w:hAnsi="宋体" w:cs="宋体"/>
          <w:sz w:val="24"/>
          <w:highlight w:val="none"/>
        </w:rPr>
        <w:t>1.投标供应商承担参与投标可能发生的全部费用，采购人在任何情况下均无义务和责任承担这些费用。</w:t>
      </w:r>
    </w:p>
    <w:p>
      <w:pPr>
        <w:snapToGrid w:val="0"/>
        <w:spacing w:line="300" w:lineRule="auto"/>
        <w:ind w:firstLine="480" w:firstLineChars="200"/>
        <w:rPr>
          <w:rFonts w:ascii="宋体" w:hAnsi="宋体" w:cs="宋体"/>
          <w:sz w:val="24"/>
          <w:highlight w:val="none"/>
        </w:rPr>
      </w:pPr>
      <w:r>
        <w:rPr>
          <w:rFonts w:hint="eastAsia" w:ascii="宋体" w:hAnsi="宋体" w:cs="宋体"/>
          <w:sz w:val="24"/>
          <w:highlight w:val="none"/>
        </w:rPr>
        <w:t>2.采购人不收取任何费用。</w:t>
      </w:r>
    </w:p>
    <w:p>
      <w:pPr>
        <w:snapToGrid w:val="0"/>
        <w:spacing w:line="300" w:lineRule="auto"/>
        <w:ind w:firstLine="480" w:firstLineChars="200"/>
        <w:rPr>
          <w:rFonts w:ascii="宋体" w:hAnsi="宋体" w:cs="宋体"/>
          <w:sz w:val="24"/>
          <w:highlight w:val="none"/>
        </w:rPr>
      </w:pPr>
      <w:r>
        <w:rPr>
          <w:rFonts w:hint="eastAsia" w:ascii="宋体" w:hAnsi="宋体" w:cs="宋体"/>
          <w:sz w:val="24"/>
          <w:highlight w:val="none"/>
        </w:rPr>
        <w:t>3.招标文件费用200元，在开标现场提交给代理机构，售后不退。</w:t>
      </w:r>
    </w:p>
    <w:p>
      <w:pPr>
        <w:snapToGrid w:val="0"/>
        <w:spacing w:line="300" w:lineRule="auto"/>
        <w:ind w:firstLine="480" w:firstLineChars="200"/>
        <w:rPr>
          <w:rFonts w:ascii="宋体" w:hAnsi="宋体" w:cs="宋体"/>
          <w:sz w:val="24"/>
          <w:highlight w:val="none"/>
        </w:rPr>
      </w:pPr>
      <w:r>
        <w:rPr>
          <w:rFonts w:hint="eastAsia" w:ascii="宋体" w:hAnsi="宋体" w:cs="宋体"/>
          <w:sz w:val="24"/>
          <w:highlight w:val="none"/>
        </w:rPr>
        <w:t>4.代理服务费：中标供应商须缴纳代理服务费，代理费8921元，由各标段中标供应商按照八分之一比例支付。代理服务费应在领取中标通知书时一次性付清。</w:t>
      </w:r>
    </w:p>
    <w:p>
      <w:pPr>
        <w:snapToGrid w:val="0"/>
        <w:spacing w:line="300" w:lineRule="auto"/>
        <w:ind w:firstLine="482" w:firstLineChars="200"/>
        <w:rPr>
          <w:rFonts w:ascii="宋体" w:hAnsi="宋体" w:cs="宋体"/>
          <w:b/>
          <w:bCs/>
          <w:sz w:val="24"/>
          <w:highlight w:val="none"/>
        </w:rPr>
      </w:pPr>
      <w:r>
        <w:rPr>
          <w:rFonts w:hint="eastAsia" w:ascii="宋体" w:hAnsi="宋体" w:cs="宋体"/>
          <w:b/>
          <w:bCs/>
          <w:sz w:val="24"/>
          <w:highlight w:val="none"/>
        </w:rPr>
        <w:t>六、评标流程简介</w:t>
      </w:r>
    </w:p>
    <w:p>
      <w:pPr>
        <w:snapToGrid w:val="0"/>
        <w:spacing w:line="300" w:lineRule="auto"/>
        <w:ind w:firstLine="480" w:firstLineChars="200"/>
        <w:rPr>
          <w:rFonts w:ascii="宋体" w:hAnsi="宋体" w:cs="宋体"/>
          <w:sz w:val="24"/>
          <w:highlight w:val="none"/>
        </w:rPr>
      </w:pPr>
      <w:r>
        <w:rPr>
          <w:rFonts w:hint="eastAsia" w:ascii="宋体" w:hAnsi="宋体" w:cs="宋体"/>
          <w:sz w:val="24"/>
          <w:highlight w:val="none"/>
        </w:rPr>
        <w:t>采购人对投标供应商资格性、符合性审查，对未通过审查的投标供应商告知原因。评委会对合格供应商的商务技术标评审打分，汇总并公布商务技术标得分后，采购人当众对价格标进行唱标，最后汇总两部分得出总分，总分最高的为中标供应商。</w:t>
      </w:r>
    </w:p>
    <w:p>
      <w:pPr>
        <w:snapToGrid w:val="0"/>
        <w:spacing w:line="300" w:lineRule="auto"/>
        <w:ind w:firstLine="482" w:firstLineChars="200"/>
        <w:rPr>
          <w:rFonts w:ascii="宋体" w:hAnsi="宋体" w:cs="宋体"/>
          <w:b/>
          <w:bCs/>
          <w:sz w:val="24"/>
          <w:highlight w:val="none"/>
        </w:rPr>
      </w:pPr>
      <w:r>
        <w:rPr>
          <w:rFonts w:hint="eastAsia" w:ascii="宋体" w:hAnsi="宋体" w:cs="宋体"/>
          <w:b/>
          <w:bCs/>
          <w:sz w:val="24"/>
          <w:highlight w:val="none"/>
        </w:rPr>
        <w:t>七、相关提示</w:t>
      </w:r>
    </w:p>
    <w:p>
      <w:pPr>
        <w:snapToGrid w:val="0"/>
        <w:spacing w:line="300" w:lineRule="auto"/>
        <w:ind w:firstLine="480" w:firstLineChars="200"/>
        <w:rPr>
          <w:rFonts w:ascii="宋体" w:hAnsi="宋体" w:cs="宋体"/>
          <w:sz w:val="24"/>
          <w:highlight w:val="none"/>
        </w:rPr>
      </w:pPr>
      <w:r>
        <w:rPr>
          <w:rFonts w:hint="eastAsia" w:ascii="宋体" w:hAnsi="宋体" w:cs="宋体"/>
          <w:sz w:val="24"/>
          <w:highlight w:val="none"/>
        </w:rPr>
        <w:t>1.通知书发放条件和途径：中标结果公告公示期结束后，中标供应商可联系招标代理机构办理中标通知书领取事宜。</w:t>
      </w:r>
    </w:p>
    <w:p>
      <w:pPr>
        <w:rPr>
          <w:rFonts w:asciiTheme="majorEastAsia" w:hAnsiTheme="majorEastAsia" w:eastAsiaTheme="majorEastAsia" w:cstheme="majorEastAsia"/>
          <w:b/>
          <w:sz w:val="36"/>
          <w:szCs w:val="36"/>
          <w:highlight w:val="none"/>
        </w:rPr>
      </w:pPr>
    </w:p>
    <w:p>
      <w:pPr>
        <w:pStyle w:val="19"/>
        <w:rPr>
          <w:highlight w:val="none"/>
        </w:rPr>
      </w:pPr>
    </w:p>
    <w:p>
      <w:pPr>
        <w:snapToGrid w:val="0"/>
        <w:spacing w:line="360" w:lineRule="auto"/>
        <w:jc w:val="center"/>
        <w:outlineLvl w:val="0"/>
        <w:rPr>
          <w:rFonts w:asciiTheme="majorEastAsia" w:hAnsiTheme="majorEastAsia" w:eastAsiaTheme="majorEastAsia" w:cstheme="majorEastAsia"/>
          <w:b/>
          <w:sz w:val="36"/>
          <w:szCs w:val="36"/>
          <w:highlight w:val="none"/>
        </w:rPr>
      </w:pPr>
      <w:r>
        <w:rPr>
          <w:rFonts w:hint="eastAsia" w:asciiTheme="majorEastAsia" w:hAnsiTheme="majorEastAsia" w:eastAsiaTheme="majorEastAsia" w:cstheme="majorEastAsia"/>
          <w:b/>
          <w:sz w:val="36"/>
          <w:szCs w:val="36"/>
          <w:highlight w:val="none"/>
        </w:rPr>
        <w:t>第三部分项目需求说明</w:t>
      </w:r>
      <w:bookmarkStart w:id="5" w:name="OLE_LINK4"/>
      <w:bookmarkStart w:id="6" w:name="OLE_LINK3"/>
    </w:p>
    <w:p>
      <w:pPr>
        <w:pStyle w:val="82"/>
        <w:snapToGrid w:val="0"/>
        <w:spacing w:line="312" w:lineRule="auto"/>
        <w:ind w:firstLine="482" w:firstLineChars="200"/>
        <w:contextualSpacing/>
        <w:rPr>
          <w:rFonts w:ascii="宋体" w:eastAsia="宋体" w:cs="宋体"/>
          <w:sz w:val="24"/>
          <w:szCs w:val="24"/>
          <w:highlight w:val="none"/>
        </w:rPr>
      </w:pPr>
      <w:r>
        <w:rPr>
          <w:rFonts w:hint="eastAsia" w:ascii="宋体" w:eastAsia="宋体" w:cs="宋体"/>
          <w:b/>
          <w:sz w:val="24"/>
          <w:szCs w:val="24"/>
          <w:highlight w:val="none"/>
          <w:lang w:val="zh-CN"/>
        </w:rPr>
        <w:t>请投标供应商在制作投标文件时仔细研究项目需求说明。</w:t>
      </w:r>
      <w:r>
        <w:rPr>
          <w:rFonts w:hint="eastAsia" w:ascii="宋体" w:eastAsia="宋体" w:cs="宋体"/>
          <w:sz w:val="24"/>
          <w:szCs w:val="24"/>
          <w:highlight w:val="none"/>
          <w:lang w:val="zh-CN"/>
        </w:rPr>
        <w:t>投标供应商必须</w:t>
      </w:r>
      <w:r>
        <w:rPr>
          <w:rFonts w:hint="eastAsia" w:ascii="宋体" w:eastAsia="宋体" w:cs="宋体"/>
          <w:sz w:val="24"/>
          <w:szCs w:val="24"/>
          <w:highlight w:val="none"/>
        </w:rPr>
        <w:t>对</w:t>
      </w:r>
      <w:r>
        <w:rPr>
          <w:rFonts w:hint="eastAsia" w:ascii="宋体" w:eastAsia="宋体" w:cs="宋体"/>
          <w:sz w:val="24"/>
          <w:szCs w:val="24"/>
          <w:highlight w:val="none"/>
          <w:lang w:val="zh-CN"/>
        </w:rPr>
        <w:t>采购人项目需求说明中的技术、商务要求作实事求是的响应。中标后供应商在同采购人签订合同和履约环节中不得提出异议，一切后果和损失由中标供应商承担。投标供应商提供的货物和服务</w:t>
      </w:r>
      <w:r>
        <w:rPr>
          <w:rFonts w:hint="eastAsia" w:ascii="宋体" w:eastAsia="宋体" w:cs="宋体"/>
          <w:sz w:val="24"/>
          <w:szCs w:val="24"/>
          <w:highlight w:val="none"/>
        </w:rPr>
        <w:t>必须完全响应</w:t>
      </w:r>
      <w:r>
        <w:rPr>
          <w:rFonts w:hint="eastAsia" w:ascii="宋体" w:eastAsia="宋体" w:cs="宋体"/>
          <w:sz w:val="24"/>
          <w:szCs w:val="24"/>
          <w:highlight w:val="none"/>
          <w:lang w:val="zh-CN"/>
        </w:rPr>
        <w:t>采购人提出的项目需求说明中的技术、商务要求。</w:t>
      </w:r>
      <w:r>
        <w:rPr>
          <w:rFonts w:hint="eastAsia" w:ascii="宋体" w:eastAsia="宋体" w:cs="宋体"/>
          <w:sz w:val="24"/>
          <w:szCs w:val="24"/>
          <w:highlight w:val="none"/>
        </w:rPr>
        <w:t>本项目不接受负偏离。</w:t>
      </w:r>
    </w:p>
    <w:p>
      <w:pPr>
        <w:snapToGrid w:val="0"/>
        <w:spacing w:line="312" w:lineRule="auto"/>
        <w:ind w:firstLine="482" w:firstLineChars="200"/>
        <w:contextualSpacing/>
        <w:rPr>
          <w:rFonts w:ascii="宋体" w:hAnsi="宋体" w:cs="宋体"/>
          <w:b/>
          <w:sz w:val="24"/>
          <w:highlight w:val="none"/>
        </w:rPr>
      </w:pPr>
      <w:r>
        <w:rPr>
          <w:rFonts w:hint="eastAsia" w:ascii="宋体" w:hAnsi="宋体" w:cs="宋体"/>
          <w:b/>
          <w:sz w:val="24"/>
          <w:highlight w:val="none"/>
        </w:rPr>
        <w:t>一、有关要求说明</w:t>
      </w:r>
    </w:p>
    <w:p>
      <w:pPr>
        <w:tabs>
          <w:tab w:val="left" w:pos="1710"/>
        </w:tabs>
        <w:snapToGrid w:val="0"/>
        <w:spacing w:line="300" w:lineRule="auto"/>
        <w:ind w:firstLine="475" w:firstLineChars="197"/>
        <w:contextualSpacing/>
        <w:rPr>
          <w:rFonts w:ascii="宋体" w:hAnsi="宋体" w:cs="宋体"/>
          <w:sz w:val="24"/>
          <w:highlight w:val="none"/>
          <w:lang w:val="zh-CN"/>
        </w:rPr>
      </w:pPr>
      <w:r>
        <w:rPr>
          <w:rFonts w:hint="eastAsia" w:ascii="宋体" w:hAnsi="宋体" w:cs="宋体"/>
          <w:b/>
          <w:sz w:val="24"/>
          <w:highlight w:val="none"/>
          <w:lang w:val="zh-CN"/>
        </w:rPr>
        <w:t>1</w:t>
      </w:r>
      <w:r>
        <w:rPr>
          <w:rFonts w:hint="eastAsia" w:ascii="宋体" w:hAnsi="宋体" w:cs="宋体"/>
          <w:b/>
          <w:sz w:val="24"/>
          <w:highlight w:val="none"/>
        </w:rPr>
        <w:t>.</w:t>
      </w:r>
      <w:r>
        <w:rPr>
          <w:rFonts w:hint="eastAsia" w:ascii="宋体" w:hAnsi="宋体" w:cs="宋体"/>
          <w:b/>
          <w:sz w:val="24"/>
          <w:highlight w:val="none"/>
          <w:lang w:val="zh-CN"/>
        </w:rPr>
        <w:t>主要技术参数：</w:t>
      </w:r>
      <w:r>
        <w:rPr>
          <w:rFonts w:hint="eastAsia" w:ascii="宋体" w:hAnsi="宋体" w:cs="宋体"/>
          <w:sz w:val="24"/>
          <w:highlight w:val="none"/>
          <w:lang w:val="zh-CN"/>
        </w:rPr>
        <w:t>为鼓励不同品牌的充分竞争，如某主要技术参数属于个别品牌专有，则该主要技术参数不具有限制性，供应商可对该参数进行适当调整，并说明调整的理由。</w:t>
      </w:r>
    </w:p>
    <w:p>
      <w:pPr>
        <w:pStyle w:val="82"/>
        <w:snapToGrid w:val="0"/>
        <w:spacing w:line="312" w:lineRule="auto"/>
        <w:ind w:firstLine="482" w:firstLineChars="200"/>
        <w:contextualSpacing/>
        <w:rPr>
          <w:rFonts w:ascii="宋体" w:eastAsia="宋体" w:cs="宋体"/>
          <w:sz w:val="24"/>
          <w:szCs w:val="24"/>
          <w:highlight w:val="none"/>
          <w:lang w:val="zh-CN"/>
        </w:rPr>
      </w:pPr>
      <w:r>
        <w:rPr>
          <w:rFonts w:hint="eastAsia" w:ascii="宋体" w:eastAsia="宋体" w:cs="宋体"/>
          <w:b/>
          <w:sz w:val="24"/>
          <w:szCs w:val="24"/>
          <w:highlight w:val="none"/>
          <w:lang w:val="zh-CN"/>
        </w:rPr>
        <w:t>2</w:t>
      </w:r>
      <w:r>
        <w:rPr>
          <w:rFonts w:hint="eastAsia" w:ascii="宋体" w:cs="宋体"/>
          <w:b/>
          <w:sz w:val="24"/>
          <w:szCs w:val="24"/>
          <w:highlight w:val="none"/>
        </w:rPr>
        <w:t>.</w:t>
      </w:r>
      <w:r>
        <w:rPr>
          <w:rFonts w:hint="eastAsia" w:ascii="宋体" w:eastAsia="宋体" w:cs="宋体"/>
          <w:b/>
          <w:sz w:val="24"/>
          <w:szCs w:val="24"/>
          <w:highlight w:val="none"/>
          <w:lang w:val="zh-CN"/>
        </w:rPr>
        <w:t>优先采购：</w:t>
      </w:r>
      <w:r>
        <w:rPr>
          <w:rFonts w:hint="eastAsia" w:ascii="宋体" w:eastAsia="宋体" w:cs="宋体"/>
          <w:sz w:val="24"/>
          <w:szCs w:val="24"/>
          <w:highlight w:val="none"/>
          <w:lang w:val="zh-CN"/>
        </w:rPr>
        <w:t>政府采购优先采购节能产品和环境标志产品。节能产品是指列入财政部、国家发展和改革委员会制定的《节能产品政府采购清单》。环境标志产品是指财政部、国家环保总局制定的《环境标志产品政府采购清单》。</w:t>
      </w:r>
    </w:p>
    <w:p>
      <w:pPr>
        <w:pStyle w:val="82"/>
        <w:snapToGrid w:val="0"/>
        <w:spacing w:line="312" w:lineRule="auto"/>
        <w:ind w:firstLine="482" w:firstLineChars="200"/>
        <w:contextualSpacing/>
        <w:rPr>
          <w:rFonts w:ascii="宋体" w:eastAsia="宋体" w:cs="宋体"/>
          <w:sz w:val="24"/>
          <w:szCs w:val="24"/>
          <w:highlight w:val="none"/>
        </w:rPr>
      </w:pPr>
      <w:r>
        <w:rPr>
          <w:rFonts w:hint="eastAsia" w:ascii="宋体" w:eastAsia="宋体" w:cs="宋体"/>
          <w:b/>
          <w:sz w:val="24"/>
          <w:szCs w:val="24"/>
          <w:highlight w:val="none"/>
        </w:rPr>
        <w:t>3.</w:t>
      </w:r>
      <w:r>
        <w:rPr>
          <w:rFonts w:hint="eastAsia" w:ascii="宋体" w:eastAsia="宋体" w:cs="宋体"/>
          <w:b/>
          <w:sz w:val="24"/>
          <w:szCs w:val="24"/>
          <w:highlight w:val="none"/>
          <w:lang w:val="zh-CN"/>
        </w:rPr>
        <w:t>产品要求：</w:t>
      </w:r>
      <w:r>
        <w:rPr>
          <w:rFonts w:hint="eastAsia" w:ascii="宋体" w:eastAsia="宋体" w:cs="宋体"/>
          <w:sz w:val="24"/>
          <w:szCs w:val="24"/>
          <w:highlight w:val="none"/>
          <w:lang w:val="zh-CN"/>
        </w:rPr>
        <w:t>产品必须是全新、未使用过的原装合格正品，完全符合采购文件规定的质量、规格和性能的要求，达到国家或行业规定的标准，实行生产许可证制度的，应提供生产许可证；属于国家强制认证的产品，必须通过认证。</w:t>
      </w:r>
    </w:p>
    <w:bookmarkEnd w:id="5"/>
    <w:bookmarkEnd w:id="6"/>
    <w:p>
      <w:pPr>
        <w:snapToGrid w:val="0"/>
        <w:spacing w:line="312" w:lineRule="auto"/>
        <w:ind w:firstLine="482" w:firstLineChars="200"/>
        <w:contextualSpacing/>
        <w:rPr>
          <w:rFonts w:ascii="宋体" w:hAnsi="宋体" w:cs="宋体"/>
          <w:b/>
          <w:sz w:val="24"/>
          <w:highlight w:val="none"/>
          <w:lang w:val="zh-CN"/>
        </w:rPr>
      </w:pPr>
      <w:r>
        <w:rPr>
          <w:rFonts w:hint="eastAsia" w:ascii="宋体" w:hAnsi="宋体" w:cs="宋体"/>
          <w:b/>
          <w:sz w:val="24"/>
          <w:highlight w:val="none"/>
        </w:rPr>
        <w:t>二</w:t>
      </w:r>
      <w:r>
        <w:rPr>
          <w:rFonts w:hint="eastAsia" w:ascii="宋体" w:hAnsi="宋体" w:cs="宋体"/>
          <w:b/>
          <w:sz w:val="24"/>
          <w:highlight w:val="none"/>
          <w:lang w:val="zh-CN"/>
        </w:rPr>
        <w:t>、项目具体需求说明</w:t>
      </w:r>
    </w:p>
    <w:p>
      <w:pPr>
        <w:snapToGrid w:val="0"/>
        <w:spacing w:line="312" w:lineRule="auto"/>
        <w:ind w:firstLine="482" w:firstLineChars="200"/>
        <w:rPr>
          <w:rFonts w:ascii="宋体" w:hAnsi="宋体" w:cs="宋体"/>
          <w:b/>
          <w:bCs/>
          <w:sz w:val="24"/>
          <w:highlight w:val="none"/>
        </w:rPr>
      </w:pPr>
      <w:r>
        <w:rPr>
          <w:rFonts w:hint="eastAsia" w:ascii="宋体" w:hAnsi="宋体" w:cs="宋体"/>
          <w:b/>
          <w:bCs/>
          <w:sz w:val="24"/>
          <w:highlight w:val="none"/>
        </w:rPr>
        <w:t>（一）项目背景概述</w:t>
      </w:r>
    </w:p>
    <w:p>
      <w:pPr>
        <w:snapToGrid w:val="0"/>
        <w:spacing w:line="312" w:lineRule="auto"/>
        <w:ind w:firstLine="480" w:firstLineChars="200"/>
        <w:rPr>
          <w:rFonts w:ascii="宋体" w:hAnsi="宋体" w:cs="宋体"/>
          <w:sz w:val="24"/>
          <w:highlight w:val="none"/>
        </w:rPr>
      </w:pPr>
      <w:r>
        <w:rPr>
          <w:rFonts w:hint="eastAsia" w:ascii="宋体" w:hAnsi="宋体" w:cs="宋体"/>
          <w:sz w:val="24"/>
          <w:highlight w:val="none"/>
        </w:rPr>
        <w:t>近年来，南通市制造业智能化改造和数字化转型步伐不断加快，企业智能化、网络化、数字化水平持续提升，但同时我们也看到部分企业在转型过程中，缺乏对两化融合、智能制造的全面思考，缺少智改数转的相关经验。为此，我市将进一步加大诊断服务力度，通过政府购买服务的方式，免费为企业提供“智改数转”诊断，精准匹配企业需求，帮助企业打通“智改数转”过程中的堵点、难点和痛点，助推制造业高质量发展。</w:t>
      </w:r>
    </w:p>
    <w:p>
      <w:pPr>
        <w:snapToGrid w:val="0"/>
        <w:spacing w:line="312" w:lineRule="auto"/>
        <w:ind w:firstLine="482" w:firstLineChars="200"/>
        <w:rPr>
          <w:rFonts w:ascii="宋体" w:hAnsi="宋体" w:cs="宋体"/>
          <w:b/>
          <w:bCs/>
          <w:sz w:val="24"/>
          <w:highlight w:val="none"/>
        </w:rPr>
      </w:pPr>
      <w:r>
        <w:rPr>
          <w:rFonts w:hint="eastAsia" w:ascii="宋体" w:hAnsi="宋体" w:cs="宋体"/>
          <w:b/>
          <w:bCs/>
          <w:sz w:val="24"/>
          <w:highlight w:val="none"/>
        </w:rPr>
        <w:t>（二）项目预算</w:t>
      </w:r>
    </w:p>
    <w:p>
      <w:pPr>
        <w:snapToGrid w:val="0"/>
        <w:spacing w:line="312" w:lineRule="auto"/>
        <w:ind w:firstLine="480" w:firstLineChars="200"/>
        <w:rPr>
          <w:rFonts w:ascii="宋体" w:hAnsi="宋体" w:cs="宋体"/>
          <w:sz w:val="24"/>
          <w:highlight w:val="none"/>
        </w:rPr>
      </w:pPr>
      <w:r>
        <w:rPr>
          <w:rFonts w:hint="eastAsia" w:ascii="宋体" w:hAnsi="宋体" w:cs="宋体"/>
          <w:sz w:val="24"/>
          <w:highlight w:val="none"/>
        </w:rPr>
        <w:t>1.本采购项目预算总金额为人民币1000万元，共由八个标段组成。</w:t>
      </w:r>
    </w:p>
    <w:tbl>
      <w:tblPr>
        <w:tblStyle w:val="41"/>
        <w:tblpPr w:leftFromText="180" w:rightFromText="180" w:vertAnchor="text" w:horzAnchor="page" w:tblpX="2055" w:tblpY="195"/>
        <w:tblOverlap w:val="never"/>
        <w:tblW w:w="890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1"/>
        <w:gridCol w:w="1184"/>
        <w:gridCol w:w="1574"/>
        <w:gridCol w:w="1441"/>
        <w:gridCol w:w="385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1" w:type="dxa"/>
            <w:noWrap/>
            <w:vAlign w:val="center"/>
          </w:tcPr>
          <w:p>
            <w:pPr>
              <w:spacing w:line="400" w:lineRule="exact"/>
              <w:jc w:val="center"/>
              <w:rPr>
                <w:rFonts w:ascii="宋体" w:hAnsi="宋体" w:cs="宋体"/>
                <w:kern w:val="0"/>
                <w:szCs w:val="21"/>
                <w:highlight w:val="none"/>
              </w:rPr>
            </w:pPr>
            <w:r>
              <w:rPr>
                <w:rFonts w:hint="eastAsia" w:ascii="宋体" w:hAnsi="宋体" w:cs="宋体"/>
                <w:kern w:val="0"/>
                <w:szCs w:val="21"/>
                <w:highlight w:val="none"/>
              </w:rPr>
              <w:t>标段号</w:t>
            </w:r>
          </w:p>
        </w:tc>
        <w:tc>
          <w:tcPr>
            <w:tcW w:w="1184" w:type="dxa"/>
            <w:noWrap/>
            <w:vAlign w:val="center"/>
          </w:tcPr>
          <w:p>
            <w:pPr>
              <w:widowControl/>
              <w:spacing w:line="400" w:lineRule="exact"/>
              <w:jc w:val="center"/>
              <w:rPr>
                <w:rFonts w:ascii="宋体" w:hAnsi="宋体" w:cs="宋体"/>
                <w:kern w:val="0"/>
                <w:szCs w:val="21"/>
                <w:highlight w:val="none"/>
              </w:rPr>
            </w:pPr>
            <w:r>
              <w:rPr>
                <w:rFonts w:hint="eastAsia" w:ascii="宋体" w:hAnsi="宋体" w:cs="宋体"/>
                <w:kern w:val="0"/>
                <w:szCs w:val="21"/>
                <w:highlight w:val="none"/>
              </w:rPr>
              <w:t>预算</w:t>
            </w:r>
          </w:p>
          <w:p>
            <w:pPr>
              <w:widowControl/>
              <w:spacing w:line="400" w:lineRule="exact"/>
              <w:jc w:val="center"/>
              <w:rPr>
                <w:rFonts w:ascii="宋体" w:hAnsi="宋体" w:cs="宋体"/>
                <w:kern w:val="0"/>
                <w:szCs w:val="21"/>
                <w:highlight w:val="none"/>
              </w:rPr>
            </w:pPr>
            <w:r>
              <w:rPr>
                <w:rFonts w:hint="eastAsia" w:ascii="宋体" w:hAnsi="宋体" w:cs="宋体"/>
                <w:kern w:val="0"/>
                <w:szCs w:val="21"/>
                <w:highlight w:val="none"/>
              </w:rPr>
              <w:t>（万元）</w:t>
            </w:r>
          </w:p>
        </w:tc>
        <w:tc>
          <w:tcPr>
            <w:tcW w:w="1574" w:type="dxa"/>
            <w:noWrap/>
            <w:vAlign w:val="center"/>
          </w:tcPr>
          <w:p>
            <w:pPr>
              <w:widowControl/>
              <w:spacing w:line="400" w:lineRule="exact"/>
              <w:jc w:val="center"/>
              <w:rPr>
                <w:rFonts w:ascii="宋体" w:hAnsi="宋体" w:cs="宋体"/>
                <w:kern w:val="0"/>
                <w:szCs w:val="21"/>
                <w:highlight w:val="none"/>
              </w:rPr>
            </w:pPr>
            <w:r>
              <w:rPr>
                <w:rFonts w:hint="eastAsia" w:ascii="宋体" w:hAnsi="宋体" w:cs="宋体"/>
                <w:kern w:val="0"/>
                <w:szCs w:val="21"/>
                <w:highlight w:val="none"/>
              </w:rPr>
              <w:t>最高限价单价（</w:t>
            </w:r>
            <w:r>
              <w:rPr>
                <w:rFonts w:hint="eastAsia" w:ascii="宋体" w:hAnsi="宋体"/>
                <w:szCs w:val="21"/>
                <w:highlight w:val="none"/>
              </w:rPr>
              <w:t>万元/家</w:t>
            </w:r>
            <w:r>
              <w:rPr>
                <w:rFonts w:hint="eastAsia" w:ascii="宋体" w:hAnsi="宋体" w:cs="宋体"/>
                <w:kern w:val="0"/>
                <w:szCs w:val="21"/>
                <w:highlight w:val="none"/>
              </w:rPr>
              <w:t>）</w:t>
            </w:r>
          </w:p>
        </w:tc>
        <w:tc>
          <w:tcPr>
            <w:tcW w:w="1441" w:type="dxa"/>
            <w:noWrap/>
            <w:vAlign w:val="center"/>
          </w:tcPr>
          <w:p>
            <w:pPr>
              <w:widowControl/>
              <w:spacing w:line="400" w:lineRule="exact"/>
              <w:jc w:val="center"/>
              <w:rPr>
                <w:rFonts w:ascii="宋体" w:hAnsi="宋体" w:cs="宋体"/>
                <w:kern w:val="0"/>
                <w:szCs w:val="21"/>
                <w:highlight w:val="none"/>
              </w:rPr>
            </w:pPr>
            <w:r>
              <w:rPr>
                <w:rFonts w:hint="eastAsia" w:ascii="宋体" w:hAnsi="宋体" w:cs="宋体"/>
                <w:kern w:val="0"/>
                <w:szCs w:val="21"/>
                <w:highlight w:val="none"/>
              </w:rPr>
              <w:t>诊断服务企业数量（家）</w:t>
            </w:r>
          </w:p>
        </w:tc>
        <w:tc>
          <w:tcPr>
            <w:tcW w:w="3854" w:type="dxa"/>
            <w:noWrap/>
            <w:vAlign w:val="center"/>
          </w:tcPr>
          <w:p>
            <w:pPr>
              <w:widowControl/>
              <w:spacing w:line="400" w:lineRule="exact"/>
              <w:jc w:val="center"/>
              <w:rPr>
                <w:rFonts w:ascii="宋体" w:hAnsi="宋体" w:cs="宋体"/>
                <w:kern w:val="0"/>
                <w:szCs w:val="21"/>
                <w:highlight w:val="none"/>
              </w:rPr>
            </w:pPr>
            <w:r>
              <w:rPr>
                <w:rFonts w:hint="eastAsia" w:ascii="宋体" w:hAnsi="宋体" w:cs="宋体"/>
                <w:kern w:val="0"/>
                <w:szCs w:val="21"/>
                <w:highlight w:val="none"/>
              </w:rPr>
              <w:t>诊断企业所属行业具体企业数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7" w:hRule="atLeast"/>
        </w:trPr>
        <w:tc>
          <w:tcPr>
            <w:tcW w:w="851" w:type="dxa"/>
            <w:noWrap/>
            <w:vAlign w:val="center"/>
          </w:tcPr>
          <w:p>
            <w:pPr>
              <w:widowControl/>
              <w:spacing w:line="400" w:lineRule="exact"/>
              <w:jc w:val="center"/>
              <w:rPr>
                <w:rFonts w:ascii="宋体" w:hAnsi="宋体" w:cs="宋体"/>
                <w:kern w:val="0"/>
                <w:szCs w:val="21"/>
                <w:highlight w:val="none"/>
              </w:rPr>
            </w:pPr>
            <w:r>
              <w:rPr>
                <w:rFonts w:hint="eastAsia" w:ascii="宋体" w:hAnsi="宋体" w:cs="宋体"/>
                <w:kern w:val="0"/>
                <w:szCs w:val="21"/>
                <w:highlight w:val="none"/>
              </w:rPr>
              <w:t>一</w:t>
            </w:r>
          </w:p>
        </w:tc>
        <w:tc>
          <w:tcPr>
            <w:tcW w:w="1184" w:type="dxa"/>
            <w:noWrap/>
            <w:vAlign w:val="center"/>
          </w:tcPr>
          <w:p>
            <w:pPr>
              <w:spacing w:line="400" w:lineRule="exact"/>
              <w:jc w:val="center"/>
              <w:rPr>
                <w:rFonts w:ascii="宋体" w:hAnsi="宋体"/>
                <w:szCs w:val="21"/>
                <w:highlight w:val="none"/>
              </w:rPr>
            </w:pPr>
            <w:r>
              <w:rPr>
                <w:rFonts w:hint="eastAsia" w:ascii="宋体" w:hAnsi="宋体"/>
                <w:szCs w:val="21"/>
                <w:highlight w:val="none"/>
              </w:rPr>
              <w:t>140</w:t>
            </w:r>
          </w:p>
        </w:tc>
        <w:tc>
          <w:tcPr>
            <w:tcW w:w="1574" w:type="dxa"/>
            <w:noWrap/>
            <w:vAlign w:val="center"/>
          </w:tcPr>
          <w:p>
            <w:pPr>
              <w:spacing w:line="400" w:lineRule="exact"/>
              <w:jc w:val="center"/>
              <w:rPr>
                <w:rFonts w:ascii="宋体" w:hAnsi="宋体"/>
                <w:szCs w:val="21"/>
                <w:highlight w:val="none"/>
              </w:rPr>
            </w:pPr>
            <w:r>
              <w:rPr>
                <w:rFonts w:hint="eastAsia" w:ascii="宋体" w:hAnsi="宋体"/>
                <w:szCs w:val="21"/>
                <w:highlight w:val="none"/>
              </w:rPr>
              <w:t>5</w:t>
            </w:r>
          </w:p>
        </w:tc>
        <w:tc>
          <w:tcPr>
            <w:tcW w:w="1441" w:type="dxa"/>
            <w:noWrap/>
            <w:vAlign w:val="center"/>
          </w:tcPr>
          <w:p>
            <w:pPr>
              <w:spacing w:line="400" w:lineRule="exact"/>
              <w:jc w:val="center"/>
              <w:rPr>
                <w:rFonts w:ascii="宋体" w:hAnsi="宋体"/>
                <w:szCs w:val="21"/>
                <w:highlight w:val="none"/>
              </w:rPr>
            </w:pPr>
            <w:r>
              <w:rPr>
                <w:rFonts w:ascii="宋体" w:hAnsi="宋体"/>
                <w:szCs w:val="21"/>
                <w:highlight w:val="none"/>
              </w:rPr>
              <w:t>28</w:t>
            </w:r>
          </w:p>
        </w:tc>
        <w:tc>
          <w:tcPr>
            <w:tcW w:w="3854" w:type="dxa"/>
            <w:noWrap/>
            <w:vAlign w:val="center"/>
          </w:tcPr>
          <w:p>
            <w:pPr>
              <w:spacing w:line="400" w:lineRule="exact"/>
              <w:jc w:val="center"/>
              <w:rPr>
                <w:rFonts w:ascii="宋体" w:hAnsi="宋体"/>
                <w:szCs w:val="21"/>
                <w:highlight w:val="none"/>
              </w:rPr>
            </w:pPr>
            <w:r>
              <w:rPr>
                <w:rFonts w:hint="eastAsia" w:ascii="宋体" w:hAnsi="宋体"/>
                <w:szCs w:val="21"/>
                <w:highlight w:val="none"/>
              </w:rPr>
              <w:t>新一代信息技术产业28家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trPr>
        <w:tc>
          <w:tcPr>
            <w:tcW w:w="851" w:type="dxa"/>
            <w:noWrap/>
            <w:vAlign w:val="center"/>
          </w:tcPr>
          <w:p>
            <w:pPr>
              <w:widowControl/>
              <w:spacing w:line="400" w:lineRule="exact"/>
              <w:jc w:val="center"/>
              <w:rPr>
                <w:rFonts w:ascii="宋体" w:hAnsi="宋体" w:cs="宋体"/>
                <w:kern w:val="0"/>
                <w:szCs w:val="21"/>
                <w:highlight w:val="none"/>
              </w:rPr>
            </w:pPr>
            <w:r>
              <w:rPr>
                <w:rFonts w:hint="eastAsia" w:ascii="宋体" w:hAnsi="宋体" w:cs="宋体"/>
                <w:kern w:val="0"/>
                <w:szCs w:val="21"/>
                <w:highlight w:val="none"/>
              </w:rPr>
              <w:t>二</w:t>
            </w:r>
          </w:p>
        </w:tc>
        <w:tc>
          <w:tcPr>
            <w:tcW w:w="1184" w:type="dxa"/>
            <w:noWrap/>
            <w:vAlign w:val="center"/>
          </w:tcPr>
          <w:p>
            <w:pPr>
              <w:spacing w:line="400" w:lineRule="exact"/>
              <w:jc w:val="center"/>
              <w:rPr>
                <w:rFonts w:ascii="宋体" w:hAnsi="宋体"/>
                <w:highlight w:val="none"/>
              </w:rPr>
            </w:pPr>
            <w:r>
              <w:rPr>
                <w:rFonts w:hint="eastAsia" w:ascii="宋体" w:hAnsi="宋体"/>
                <w:highlight w:val="none"/>
              </w:rPr>
              <w:t>130</w:t>
            </w:r>
          </w:p>
        </w:tc>
        <w:tc>
          <w:tcPr>
            <w:tcW w:w="1574" w:type="dxa"/>
            <w:noWrap/>
            <w:vAlign w:val="center"/>
          </w:tcPr>
          <w:p>
            <w:pPr>
              <w:spacing w:line="400" w:lineRule="exact"/>
              <w:jc w:val="center"/>
              <w:rPr>
                <w:highlight w:val="none"/>
              </w:rPr>
            </w:pPr>
            <w:r>
              <w:rPr>
                <w:rFonts w:hint="eastAsia"/>
                <w:highlight w:val="none"/>
              </w:rPr>
              <w:t>5</w:t>
            </w:r>
          </w:p>
        </w:tc>
        <w:tc>
          <w:tcPr>
            <w:tcW w:w="1441" w:type="dxa"/>
            <w:noWrap/>
            <w:vAlign w:val="center"/>
          </w:tcPr>
          <w:p>
            <w:pPr>
              <w:spacing w:line="400" w:lineRule="exact"/>
              <w:jc w:val="center"/>
              <w:rPr>
                <w:rFonts w:ascii="宋体" w:hAnsi="宋体"/>
                <w:szCs w:val="21"/>
                <w:highlight w:val="none"/>
              </w:rPr>
            </w:pPr>
            <w:r>
              <w:rPr>
                <w:rFonts w:hint="eastAsia" w:ascii="宋体" w:hAnsi="宋体"/>
                <w:szCs w:val="21"/>
                <w:highlight w:val="none"/>
              </w:rPr>
              <w:t>26</w:t>
            </w:r>
          </w:p>
        </w:tc>
        <w:tc>
          <w:tcPr>
            <w:tcW w:w="3854" w:type="dxa"/>
            <w:noWrap/>
            <w:vAlign w:val="center"/>
          </w:tcPr>
          <w:p>
            <w:pPr>
              <w:spacing w:line="400" w:lineRule="exact"/>
              <w:jc w:val="center"/>
              <w:rPr>
                <w:highlight w:val="none"/>
              </w:rPr>
            </w:pPr>
            <w:r>
              <w:rPr>
                <w:rFonts w:hint="eastAsia" w:ascii="宋体" w:hAnsi="宋体" w:cs="宋体"/>
                <w:highlight w:val="none"/>
              </w:rPr>
              <w:t>高端纺织产业26家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7" w:hRule="atLeast"/>
        </w:trPr>
        <w:tc>
          <w:tcPr>
            <w:tcW w:w="851" w:type="dxa"/>
            <w:noWrap/>
            <w:vAlign w:val="center"/>
          </w:tcPr>
          <w:p>
            <w:pPr>
              <w:widowControl/>
              <w:spacing w:line="400" w:lineRule="exact"/>
              <w:jc w:val="center"/>
              <w:rPr>
                <w:rFonts w:ascii="宋体" w:hAnsi="宋体" w:cs="宋体"/>
                <w:kern w:val="0"/>
                <w:szCs w:val="21"/>
                <w:highlight w:val="none"/>
              </w:rPr>
            </w:pPr>
            <w:r>
              <w:rPr>
                <w:rFonts w:hint="eastAsia" w:ascii="宋体" w:hAnsi="宋体" w:cs="宋体"/>
                <w:kern w:val="0"/>
                <w:szCs w:val="21"/>
                <w:highlight w:val="none"/>
              </w:rPr>
              <w:t>三</w:t>
            </w:r>
          </w:p>
        </w:tc>
        <w:tc>
          <w:tcPr>
            <w:tcW w:w="1184" w:type="dxa"/>
            <w:noWrap/>
            <w:vAlign w:val="center"/>
          </w:tcPr>
          <w:p>
            <w:pPr>
              <w:spacing w:line="400" w:lineRule="exact"/>
              <w:jc w:val="center"/>
              <w:rPr>
                <w:rFonts w:ascii="宋体" w:hAnsi="宋体"/>
                <w:highlight w:val="none"/>
              </w:rPr>
            </w:pPr>
            <w:r>
              <w:rPr>
                <w:rFonts w:hint="eastAsia" w:ascii="宋体" w:hAnsi="宋体"/>
                <w:highlight w:val="none"/>
              </w:rPr>
              <w:t>130</w:t>
            </w:r>
          </w:p>
        </w:tc>
        <w:tc>
          <w:tcPr>
            <w:tcW w:w="1574" w:type="dxa"/>
            <w:noWrap/>
            <w:vAlign w:val="center"/>
          </w:tcPr>
          <w:p>
            <w:pPr>
              <w:spacing w:line="400" w:lineRule="exact"/>
              <w:jc w:val="center"/>
              <w:rPr>
                <w:highlight w:val="none"/>
              </w:rPr>
            </w:pPr>
            <w:r>
              <w:rPr>
                <w:rFonts w:hint="eastAsia"/>
                <w:highlight w:val="none"/>
              </w:rPr>
              <w:t>5</w:t>
            </w:r>
          </w:p>
        </w:tc>
        <w:tc>
          <w:tcPr>
            <w:tcW w:w="1441" w:type="dxa"/>
            <w:noWrap/>
            <w:vAlign w:val="center"/>
          </w:tcPr>
          <w:p>
            <w:pPr>
              <w:spacing w:line="400" w:lineRule="exact"/>
              <w:jc w:val="center"/>
              <w:rPr>
                <w:rFonts w:ascii="宋体" w:hAnsi="宋体"/>
                <w:szCs w:val="21"/>
                <w:highlight w:val="none"/>
              </w:rPr>
            </w:pPr>
            <w:r>
              <w:rPr>
                <w:rFonts w:hint="eastAsia" w:ascii="宋体" w:hAnsi="宋体"/>
                <w:szCs w:val="21"/>
                <w:highlight w:val="none"/>
              </w:rPr>
              <w:t>26</w:t>
            </w:r>
          </w:p>
        </w:tc>
        <w:tc>
          <w:tcPr>
            <w:tcW w:w="3854" w:type="dxa"/>
            <w:noWrap/>
            <w:vAlign w:val="center"/>
          </w:tcPr>
          <w:p>
            <w:pPr>
              <w:spacing w:line="400" w:lineRule="exact"/>
              <w:jc w:val="center"/>
              <w:rPr>
                <w:highlight w:val="none"/>
              </w:rPr>
            </w:pPr>
            <w:r>
              <w:rPr>
                <w:rFonts w:hint="eastAsia" w:ascii="宋体" w:hAnsi="宋体" w:cs="宋体"/>
                <w:highlight w:val="none"/>
              </w:rPr>
              <w:t>高端装备17家、关键零部件产业9家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7" w:hRule="atLeast"/>
        </w:trPr>
        <w:tc>
          <w:tcPr>
            <w:tcW w:w="851" w:type="dxa"/>
            <w:noWrap/>
            <w:vAlign w:val="center"/>
          </w:tcPr>
          <w:p>
            <w:pPr>
              <w:widowControl/>
              <w:spacing w:line="400" w:lineRule="exact"/>
              <w:jc w:val="center"/>
              <w:rPr>
                <w:rFonts w:ascii="宋体" w:hAnsi="宋体" w:cs="宋体"/>
                <w:kern w:val="0"/>
                <w:szCs w:val="21"/>
                <w:highlight w:val="none"/>
              </w:rPr>
            </w:pPr>
            <w:r>
              <w:rPr>
                <w:rFonts w:hint="eastAsia" w:ascii="宋体" w:hAnsi="宋体" w:cs="宋体"/>
                <w:kern w:val="0"/>
                <w:szCs w:val="21"/>
                <w:highlight w:val="none"/>
              </w:rPr>
              <w:t>四</w:t>
            </w:r>
          </w:p>
        </w:tc>
        <w:tc>
          <w:tcPr>
            <w:tcW w:w="1184" w:type="dxa"/>
            <w:noWrap/>
            <w:vAlign w:val="center"/>
          </w:tcPr>
          <w:p>
            <w:pPr>
              <w:widowControl/>
              <w:spacing w:line="400" w:lineRule="exact"/>
              <w:jc w:val="center"/>
              <w:rPr>
                <w:rFonts w:ascii="宋体" w:hAnsi="宋体"/>
                <w:kern w:val="0"/>
                <w:szCs w:val="21"/>
                <w:highlight w:val="none"/>
              </w:rPr>
            </w:pPr>
            <w:r>
              <w:rPr>
                <w:rFonts w:hint="eastAsia" w:ascii="宋体" w:hAnsi="宋体"/>
                <w:kern w:val="0"/>
                <w:szCs w:val="21"/>
                <w:highlight w:val="none"/>
              </w:rPr>
              <w:t>110</w:t>
            </w:r>
          </w:p>
        </w:tc>
        <w:tc>
          <w:tcPr>
            <w:tcW w:w="1574" w:type="dxa"/>
            <w:noWrap/>
            <w:vAlign w:val="center"/>
          </w:tcPr>
          <w:p>
            <w:pPr>
              <w:spacing w:line="400" w:lineRule="exact"/>
              <w:jc w:val="center"/>
              <w:rPr>
                <w:rFonts w:ascii="宋体" w:hAnsi="宋体"/>
                <w:kern w:val="0"/>
                <w:szCs w:val="21"/>
                <w:highlight w:val="none"/>
              </w:rPr>
            </w:pPr>
            <w:r>
              <w:rPr>
                <w:rFonts w:hint="eastAsia" w:ascii="宋体" w:hAnsi="宋体"/>
                <w:kern w:val="0"/>
                <w:szCs w:val="21"/>
                <w:highlight w:val="none"/>
              </w:rPr>
              <w:t>5</w:t>
            </w:r>
          </w:p>
        </w:tc>
        <w:tc>
          <w:tcPr>
            <w:tcW w:w="1441" w:type="dxa"/>
            <w:noWrap/>
            <w:vAlign w:val="center"/>
          </w:tcPr>
          <w:p>
            <w:pPr>
              <w:spacing w:line="400" w:lineRule="exact"/>
              <w:jc w:val="center"/>
              <w:rPr>
                <w:rFonts w:ascii="宋体" w:hAnsi="宋体"/>
                <w:szCs w:val="21"/>
                <w:highlight w:val="none"/>
              </w:rPr>
            </w:pPr>
            <w:r>
              <w:rPr>
                <w:rFonts w:hint="eastAsia" w:ascii="宋体" w:hAnsi="宋体"/>
                <w:kern w:val="0"/>
                <w:szCs w:val="21"/>
                <w:highlight w:val="none"/>
              </w:rPr>
              <w:t>22</w:t>
            </w:r>
          </w:p>
        </w:tc>
        <w:tc>
          <w:tcPr>
            <w:tcW w:w="3854" w:type="dxa"/>
            <w:noWrap/>
            <w:vAlign w:val="center"/>
          </w:tcPr>
          <w:p>
            <w:pPr>
              <w:widowControl/>
              <w:spacing w:line="400" w:lineRule="exact"/>
              <w:jc w:val="center"/>
              <w:rPr>
                <w:rFonts w:ascii="宋体" w:hAnsi="宋体"/>
                <w:kern w:val="0"/>
                <w:szCs w:val="21"/>
                <w:highlight w:val="none"/>
              </w:rPr>
            </w:pPr>
            <w:r>
              <w:rPr>
                <w:rFonts w:hint="eastAsia" w:ascii="宋体" w:hAnsi="宋体"/>
                <w:kern w:val="0"/>
                <w:szCs w:val="21"/>
                <w:highlight w:val="none"/>
              </w:rPr>
              <w:t>船舶海工12家、通用设备产业10家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2" w:hRule="atLeast"/>
        </w:trPr>
        <w:tc>
          <w:tcPr>
            <w:tcW w:w="851" w:type="dxa"/>
            <w:noWrap/>
            <w:vAlign w:val="center"/>
          </w:tcPr>
          <w:p>
            <w:pPr>
              <w:widowControl/>
              <w:spacing w:line="400" w:lineRule="exact"/>
              <w:jc w:val="center"/>
              <w:rPr>
                <w:rFonts w:ascii="宋体" w:hAnsi="宋体" w:cs="宋体"/>
                <w:kern w:val="0"/>
                <w:szCs w:val="21"/>
                <w:highlight w:val="none"/>
              </w:rPr>
            </w:pPr>
            <w:r>
              <w:rPr>
                <w:rFonts w:hint="eastAsia" w:ascii="宋体" w:hAnsi="宋体" w:cs="宋体"/>
                <w:kern w:val="0"/>
                <w:szCs w:val="21"/>
                <w:highlight w:val="none"/>
              </w:rPr>
              <w:t>五</w:t>
            </w:r>
          </w:p>
        </w:tc>
        <w:tc>
          <w:tcPr>
            <w:tcW w:w="1184" w:type="dxa"/>
            <w:noWrap/>
            <w:vAlign w:val="center"/>
          </w:tcPr>
          <w:p>
            <w:pPr>
              <w:widowControl/>
              <w:spacing w:line="400" w:lineRule="exact"/>
              <w:jc w:val="center"/>
              <w:rPr>
                <w:rFonts w:ascii="宋体" w:hAnsi="宋体"/>
                <w:kern w:val="0"/>
                <w:szCs w:val="21"/>
                <w:highlight w:val="none"/>
              </w:rPr>
            </w:pPr>
            <w:r>
              <w:rPr>
                <w:rFonts w:hint="eastAsia" w:ascii="宋体" w:hAnsi="宋体"/>
                <w:kern w:val="0"/>
                <w:szCs w:val="21"/>
                <w:highlight w:val="none"/>
              </w:rPr>
              <w:t>120</w:t>
            </w:r>
          </w:p>
        </w:tc>
        <w:tc>
          <w:tcPr>
            <w:tcW w:w="1574" w:type="dxa"/>
            <w:noWrap/>
            <w:vAlign w:val="center"/>
          </w:tcPr>
          <w:p>
            <w:pPr>
              <w:spacing w:line="400" w:lineRule="exact"/>
              <w:jc w:val="center"/>
              <w:rPr>
                <w:rFonts w:ascii="宋体" w:hAnsi="宋体"/>
                <w:kern w:val="0"/>
                <w:szCs w:val="21"/>
                <w:highlight w:val="none"/>
              </w:rPr>
            </w:pPr>
            <w:r>
              <w:rPr>
                <w:rFonts w:hint="eastAsia" w:ascii="宋体" w:hAnsi="宋体"/>
                <w:kern w:val="0"/>
                <w:szCs w:val="21"/>
                <w:highlight w:val="none"/>
              </w:rPr>
              <w:t xml:space="preserve">5  </w:t>
            </w:r>
          </w:p>
        </w:tc>
        <w:tc>
          <w:tcPr>
            <w:tcW w:w="1441" w:type="dxa"/>
            <w:noWrap/>
            <w:vAlign w:val="center"/>
          </w:tcPr>
          <w:p>
            <w:pPr>
              <w:spacing w:line="400" w:lineRule="exact"/>
              <w:jc w:val="center"/>
              <w:rPr>
                <w:rFonts w:ascii="宋体" w:hAnsi="宋体"/>
                <w:szCs w:val="21"/>
                <w:highlight w:val="none"/>
              </w:rPr>
            </w:pPr>
            <w:r>
              <w:rPr>
                <w:rFonts w:hint="eastAsia" w:ascii="宋体" w:hAnsi="宋体"/>
                <w:szCs w:val="21"/>
                <w:highlight w:val="none"/>
              </w:rPr>
              <w:t>24</w:t>
            </w:r>
          </w:p>
        </w:tc>
        <w:tc>
          <w:tcPr>
            <w:tcW w:w="3854" w:type="dxa"/>
            <w:noWrap/>
            <w:vAlign w:val="center"/>
          </w:tcPr>
          <w:p>
            <w:pPr>
              <w:widowControl/>
              <w:spacing w:line="400" w:lineRule="exact"/>
              <w:jc w:val="center"/>
              <w:rPr>
                <w:rFonts w:ascii="宋体" w:hAnsi="宋体"/>
                <w:kern w:val="0"/>
                <w:szCs w:val="21"/>
                <w:highlight w:val="none"/>
              </w:rPr>
            </w:pPr>
            <w:r>
              <w:rPr>
                <w:rFonts w:hint="eastAsia" w:ascii="宋体" w:hAnsi="宋体"/>
                <w:szCs w:val="21"/>
                <w:highlight w:val="none"/>
              </w:rPr>
              <w:t>化工产业11家、新材料7家、生物医药6家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1" w:type="dxa"/>
            <w:noWrap/>
            <w:vAlign w:val="center"/>
          </w:tcPr>
          <w:p>
            <w:pPr>
              <w:widowControl/>
              <w:spacing w:line="400" w:lineRule="exact"/>
              <w:jc w:val="center"/>
              <w:rPr>
                <w:rFonts w:ascii="宋体" w:hAnsi="宋体" w:cs="宋体"/>
                <w:kern w:val="0"/>
                <w:szCs w:val="21"/>
                <w:highlight w:val="none"/>
              </w:rPr>
            </w:pPr>
            <w:r>
              <w:rPr>
                <w:rFonts w:hint="eastAsia" w:ascii="宋体" w:hAnsi="宋体" w:cs="宋体"/>
                <w:kern w:val="0"/>
                <w:szCs w:val="21"/>
                <w:highlight w:val="none"/>
              </w:rPr>
              <w:t>六</w:t>
            </w:r>
          </w:p>
        </w:tc>
        <w:tc>
          <w:tcPr>
            <w:tcW w:w="1184" w:type="dxa"/>
            <w:noWrap/>
            <w:vAlign w:val="center"/>
          </w:tcPr>
          <w:p>
            <w:pPr>
              <w:widowControl/>
              <w:spacing w:line="400" w:lineRule="exact"/>
              <w:jc w:val="center"/>
              <w:rPr>
                <w:rFonts w:ascii="宋体" w:hAnsi="宋体"/>
                <w:kern w:val="0"/>
                <w:szCs w:val="21"/>
                <w:highlight w:val="none"/>
              </w:rPr>
            </w:pPr>
            <w:r>
              <w:rPr>
                <w:rFonts w:hint="eastAsia" w:ascii="宋体" w:hAnsi="宋体"/>
                <w:kern w:val="0"/>
                <w:szCs w:val="21"/>
                <w:highlight w:val="none"/>
              </w:rPr>
              <w:t>120</w:t>
            </w:r>
          </w:p>
        </w:tc>
        <w:tc>
          <w:tcPr>
            <w:tcW w:w="1574" w:type="dxa"/>
            <w:noWrap/>
            <w:vAlign w:val="center"/>
          </w:tcPr>
          <w:p>
            <w:pPr>
              <w:spacing w:line="400" w:lineRule="exact"/>
              <w:jc w:val="center"/>
              <w:rPr>
                <w:rFonts w:ascii="宋体" w:hAnsi="宋体"/>
                <w:kern w:val="0"/>
                <w:szCs w:val="21"/>
                <w:highlight w:val="none"/>
              </w:rPr>
            </w:pPr>
            <w:r>
              <w:rPr>
                <w:rFonts w:hint="eastAsia" w:ascii="宋体" w:hAnsi="宋体"/>
                <w:kern w:val="0"/>
                <w:szCs w:val="21"/>
                <w:highlight w:val="none"/>
              </w:rPr>
              <w:t xml:space="preserve">5 </w:t>
            </w:r>
          </w:p>
        </w:tc>
        <w:tc>
          <w:tcPr>
            <w:tcW w:w="1441" w:type="dxa"/>
            <w:noWrap/>
            <w:vAlign w:val="center"/>
          </w:tcPr>
          <w:p>
            <w:pPr>
              <w:spacing w:line="400" w:lineRule="exact"/>
              <w:jc w:val="center"/>
              <w:rPr>
                <w:rFonts w:ascii="宋体" w:hAnsi="宋体"/>
                <w:szCs w:val="21"/>
                <w:highlight w:val="none"/>
              </w:rPr>
            </w:pPr>
            <w:r>
              <w:rPr>
                <w:rFonts w:hint="eastAsia" w:ascii="宋体" w:hAnsi="宋体"/>
                <w:szCs w:val="21"/>
                <w:highlight w:val="none"/>
              </w:rPr>
              <w:t>24</w:t>
            </w:r>
          </w:p>
        </w:tc>
        <w:tc>
          <w:tcPr>
            <w:tcW w:w="3854" w:type="dxa"/>
            <w:noWrap/>
            <w:vAlign w:val="center"/>
          </w:tcPr>
          <w:p>
            <w:pPr>
              <w:widowControl/>
              <w:spacing w:line="400" w:lineRule="exact"/>
              <w:jc w:val="center"/>
              <w:rPr>
                <w:rFonts w:ascii="宋体" w:hAnsi="宋体"/>
                <w:kern w:val="0"/>
                <w:szCs w:val="21"/>
                <w:highlight w:val="none"/>
              </w:rPr>
            </w:pPr>
            <w:r>
              <w:rPr>
                <w:rFonts w:hint="eastAsia" w:ascii="宋体" w:hAnsi="宋体"/>
                <w:szCs w:val="21"/>
                <w:highlight w:val="none"/>
              </w:rPr>
              <w:t>新能源10家、汽车及零部件9家、水泥、玻璃等非金属制品5家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1" w:type="dxa"/>
            <w:noWrap/>
            <w:vAlign w:val="center"/>
          </w:tcPr>
          <w:p>
            <w:pPr>
              <w:widowControl/>
              <w:spacing w:line="400" w:lineRule="exact"/>
              <w:jc w:val="center"/>
              <w:rPr>
                <w:rFonts w:ascii="宋体" w:hAnsi="宋体" w:cs="宋体"/>
                <w:kern w:val="0"/>
                <w:szCs w:val="21"/>
                <w:highlight w:val="none"/>
              </w:rPr>
            </w:pPr>
            <w:r>
              <w:rPr>
                <w:rFonts w:hint="eastAsia" w:ascii="宋体" w:hAnsi="宋体" w:cs="宋体"/>
                <w:kern w:val="0"/>
                <w:szCs w:val="21"/>
                <w:highlight w:val="none"/>
              </w:rPr>
              <w:t>七</w:t>
            </w:r>
          </w:p>
        </w:tc>
        <w:tc>
          <w:tcPr>
            <w:tcW w:w="1184" w:type="dxa"/>
            <w:noWrap/>
            <w:vAlign w:val="center"/>
          </w:tcPr>
          <w:p>
            <w:pPr>
              <w:widowControl/>
              <w:spacing w:line="400" w:lineRule="exact"/>
              <w:jc w:val="center"/>
              <w:rPr>
                <w:rFonts w:ascii="宋体" w:hAnsi="宋体"/>
                <w:kern w:val="0"/>
                <w:szCs w:val="21"/>
                <w:highlight w:val="none"/>
              </w:rPr>
            </w:pPr>
            <w:r>
              <w:rPr>
                <w:rFonts w:hint="eastAsia" w:ascii="宋体" w:hAnsi="宋体"/>
                <w:kern w:val="0"/>
                <w:szCs w:val="21"/>
                <w:highlight w:val="none"/>
              </w:rPr>
              <w:t>120</w:t>
            </w:r>
          </w:p>
        </w:tc>
        <w:tc>
          <w:tcPr>
            <w:tcW w:w="1574" w:type="dxa"/>
            <w:noWrap/>
            <w:vAlign w:val="center"/>
          </w:tcPr>
          <w:p>
            <w:pPr>
              <w:spacing w:line="400" w:lineRule="exact"/>
              <w:jc w:val="center"/>
              <w:rPr>
                <w:rFonts w:ascii="宋体" w:hAnsi="宋体"/>
                <w:kern w:val="0"/>
                <w:szCs w:val="21"/>
                <w:highlight w:val="none"/>
              </w:rPr>
            </w:pPr>
            <w:r>
              <w:rPr>
                <w:rFonts w:hint="eastAsia" w:ascii="宋体" w:hAnsi="宋体"/>
                <w:kern w:val="0"/>
                <w:szCs w:val="21"/>
                <w:highlight w:val="none"/>
              </w:rPr>
              <w:t xml:space="preserve">5 </w:t>
            </w:r>
          </w:p>
        </w:tc>
        <w:tc>
          <w:tcPr>
            <w:tcW w:w="1441" w:type="dxa"/>
            <w:noWrap/>
            <w:vAlign w:val="center"/>
          </w:tcPr>
          <w:p>
            <w:pPr>
              <w:spacing w:line="400" w:lineRule="exact"/>
              <w:jc w:val="center"/>
              <w:rPr>
                <w:rFonts w:ascii="宋体" w:hAnsi="宋体"/>
                <w:szCs w:val="21"/>
                <w:highlight w:val="none"/>
              </w:rPr>
            </w:pPr>
            <w:r>
              <w:rPr>
                <w:rFonts w:hint="eastAsia" w:ascii="宋体" w:hAnsi="宋体"/>
                <w:szCs w:val="21"/>
                <w:highlight w:val="none"/>
              </w:rPr>
              <w:t>24</w:t>
            </w:r>
          </w:p>
        </w:tc>
        <w:tc>
          <w:tcPr>
            <w:tcW w:w="3854" w:type="dxa"/>
            <w:noWrap/>
            <w:vAlign w:val="center"/>
          </w:tcPr>
          <w:p>
            <w:pPr>
              <w:widowControl/>
              <w:spacing w:line="400" w:lineRule="exact"/>
              <w:jc w:val="center"/>
              <w:rPr>
                <w:rFonts w:ascii="宋体" w:hAnsi="宋体"/>
                <w:kern w:val="0"/>
                <w:szCs w:val="21"/>
                <w:highlight w:val="none"/>
              </w:rPr>
            </w:pPr>
            <w:r>
              <w:rPr>
                <w:rFonts w:hint="eastAsia" w:ascii="宋体" w:hAnsi="宋体"/>
                <w:szCs w:val="21"/>
                <w:highlight w:val="none"/>
              </w:rPr>
              <w:t>金属制品19家、橡胶塑料制品4、家居制造1家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851" w:type="dxa"/>
            <w:noWrap/>
            <w:vAlign w:val="center"/>
          </w:tcPr>
          <w:p>
            <w:pPr>
              <w:widowControl/>
              <w:spacing w:line="400" w:lineRule="exact"/>
              <w:jc w:val="center"/>
              <w:rPr>
                <w:rFonts w:ascii="宋体" w:hAnsi="宋体" w:cs="宋体"/>
                <w:kern w:val="0"/>
                <w:szCs w:val="21"/>
                <w:highlight w:val="none"/>
              </w:rPr>
            </w:pPr>
            <w:r>
              <w:rPr>
                <w:rFonts w:hint="eastAsia" w:ascii="宋体" w:hAnsi="宋体" w:cs="宋体"/>
                <w:kern w:val="0"/>
                <w:szCs w:val="21"/>
                <w:highlight w:val="none"/>
              </w:rPr>
              <w:t>八</w:t>
            </w:r>
          </w:p>
        </w:tc>
        <w:tc>
          <w:tcPr>
            <w:tcW w:w="1184" w:type="dxa"/>
            <w:noWrap/>
            <w:vAlign w:val="center"/>
          </w:tcPr>
          <w:p>
            <w:pPr>
              <w:widowControl/>
              <w:spacing w:line="400" w:lineRule="exact"/>
              <w:jc w:val="center"/>
              <w:rPr>
                <w:rFonts w:ascii="宋体" w:hAnsi="宋体"/>
                <w:kern w:val="0"/>
                <w:szCs w:val="21"/>
                <w:highlight w:val="none"/>
              </w:rPr>
            </w:pPr>
            <w:r>
              <w:rPr>
                <w:rFonts w:hint="eastAsia" w:ascii="宋体" w:hAnsi="宋体"/>
                <w:kern w:val="0"/>
                <w:szCs w:val="21"/>
                <w:highlight w:val="none"/>
              </w:rPr>
              <w:t>130</w:t>
            </w:r>
          </w:p>
        </w:tc>
        <w:tc>
          <w:tcPr>
            <w:tcW w:w="1574" w:type="dxa"/>
            <w:noWrap/>
            <w:vAlign w:val="center"/>
          </w:tcPr>
          <w:p>
            <w:pPr>
              <w:spacing w:line="400" w:lineRule="exact"/>
              <w:jc w:val="center"/>
              <w:rPr>
                <w:rFonts w:ascii="宋体" w:hAnsi="宋体"/>
                <w:kern w:val="0"/>
                <w:szCs w:val="21"/>
                <w:highlight w:val="none"/>
              </w:rPr>
            </w:pPr>
            <w:r>
              <w:rPr>
                <w:rFonts w:hint="eastAsia" w:ascii="宋体" w:hAnsi="宋体"/>
                <w:kern w:val="0"/>
                <w:szCs w:val="21"/>
                <w:highlight w:val="none"/>
              </w:rPr>
              <w:t xml:space="preserve">5 </w:t>
            </w:r>
          </w:p>
        </w:tc>
        <w:tc>
          <w:tcPr>
            <w:tcW w:w="1441" w:type="dxa"/>
            <w:noWrap/>
            <w:vAlign w:val="center"/>
          </w:tcPr>
          <w:p>
            <w:pPr>
              <w:spacing w:line="400" w:lineRule="exact"/>
              <w:jc w:val="center"/>
              <w:rPr>
                <w:rFonts w:ascii="宋体" w:hAnsi="宋体"/>
                <w:kern w:val="0"/>
                <w:szCs w:val="21"/>
                <w:highlight w:val="none"/>
              </w:rPr>
            </w:pPr>
            <w:r>
              <w:rPr>
                <w:rFonts w:hint="eastAsia" w:ascii="宋体" w:hAnsi="宋体"/>
                <w:szCs w:val="21"/>
                <w:highlight w:val="none"/>
              </w:rPr>
              <w:t>26</w:t>
            </w:r>
          </w:p>
        </w:tc>
        <w:tc>
          <w:tcPr>
            <w:tcW w:w="3854" w:type="dxa"/>
            <w:noWrap/>
            <w:vAlign w:val="center"/>
          </w:tcPr>
          <w:p>
            <w:pPr>
              <w:widowControl/>
              <w:spacing w:line="400" w:lineRule="exact"/>
              <w:jc w:val="center"/>
              <w:rPr>
                <w:rFonts w:ascii="宋体" w:hAnsi="宋体"/>
                <w:kern w:val="0"/>
                <w:szCs w:val="21"/>
                <w:highlight w:val="none"/>
              </w:rPr>
            </w:pPr>
            <w:r>
              <w:rPr>
                <w:rFonts w:hint="eastAsia" w:ascii="宋体" w:hAnsi="宋体"/>
                <w:szCs w:val="21"/>
                <w:highlight w:val="none"/>
              </w:rPr>
              <w:t>专业设备14家、食品加工9家、印染产业3家</w:t>
            </w:r>
          </w:p>
        </w:tc>
      </w:tr>
    </w:tbl>
    <w:p>
      <w:pPr>
        <w:tabs>
          <w:tab w:val="left" w:pos="1710"/>
        </w:tabs>
        <w:snapToGrid w:val="0"/>
        <w:spacing w:line="312" w:lineRule="auto"/>
        <w:ind w:firstLine="480" w:firstLineChars="200"/>
        <w:contextualSpacing/>
        <w:rPr>
          <w:rFonts w:ascii="宋体" w:hAnsi="宋体" w:cs="宋体"/>
          <w:sz w:val="24"/>
          <w:highlight w:val="none"/>
        </w:rPr>
      </w:pPr>
    </w:p>
    <w:p>
      <w:pPr>
        <w:tabs>
          <w:tab w:val="left" w:pos="1710"/>
        </w:tabs>
        <w:snapToGrid w:val="0"/>
        <w:spacing w:line="312" w:lineRule="auto"/>
        <w:ind w:firstLine="480" w:firstLineChars="200"/>
        <w:contextualSpacing/>
        <w:rPr>
          <w:rFonts w:ascii="宋体" w:hAnsi="宋体" w:cs="宋体"/>
          <w:sz w:val="24"/>
          <w:highlight w:val="none"/>
        </w:rPr>
      </w:pPr>
      <w:r>
        <w:rPr>
          <w:rFonts w:hint="eastAsia" w:ascii="宋体" w:hAnsi="宋体" w:cs="宋体"/>
          <w:sz w:val="24"/>
          <w:highlight w:val="none"/>
        </w:rPr>
        <w:t>2.本项目预算包括：社会调查、前期现场勘察、方案设计、方案优化为完成上述设计内容所必须的设施、材料、技术、劳务、交通、差旅、咨询、会务、报告编制、研究、管理、利润、税金、专家评审、行政主管部门咨询、评审手续等为完成本项目所需的全部费用；相关伴随服务以及质保期、售后服务等一切费用，同时还包含为完成本项目所必须的其他辅助工作的相关费用及响应招标文件要求的所有费用。</w:t>
      </w:r>
    </w:p>
    <w:p>
      <w:pPr>
        <w:tabs>
          <w:tab w:val="left" w:pos="1710"/>
        </w:tabs>
        <w:snapToGrid w:val="0"/>
        <w:spacing w:line="312" w:lineRule="auto"/>
        <w:ind w:firstLine="482" w:firstLineChars="200"/>
        <w:contextualSpacing/>
        <w:rPr>
          <w:rFonts w:ascii="宋体" w:hAnsi="宋体" w:cs="宋体"/>
          <w:b/>
          <w:bCs/>
          <w:sz w:val="24"/>
          <w:highlight w:val="none"/>
          <w:lang w:val="zh-CN"/>
        </w:rPr>
      </w:pPr>
      <w:r>
        <w:rPr>
          <w:rFonts w:hint="eastAsia" w:ascii="宋体" w:hAnsi="宋体" w:cs="宋体"/>
          <w:b/>
          <w:bCs/>
          <w:sz w:val="24"/>
          <w:highlight w:val="none"/>
        </w:rPr>
        <w:t>（三）项目内容及目标</w:t>
      </w:r>
    </w:p>
    <w:p>
      <w:pPr>
        <w:tabs>
          <w:tab w:val="left" w:pos="1710"/>
        </w:tabs>
        <w:snapToGrid w:val="0"/>
        <w:spacing w:line="312" w:lineRule="auto"/>
        <w:ind w:firstLine="480" w:firstLineChars="200"/>
        <w:contextualSpacing/>
        <w:rPr>
          <w:rFonts w:ascii="宋体" w:hAnsi="宋体" w:cs="宋体"/>
          <w:sz w:val="24"/>
          <w:highlight w:val="none"/>
        </w:rPr>
      </w:pPr>
      <w:r>
        <w:rPr>
          <w:rFonts w:hint="eastAsia" w:ascii="宋体" w:hAnsi="宋体" w:cs="宋体"/>
          <w:sz w:val="24"/>
          <w:highlight w:val="none"/>
        </w:rPr>
        <w:t>深入企业现场进行实地调查研究，运用先进的智改数转理念和技术评估手段，结合所投标段号行业特点和企业现状，围绕企业存在问题和建设需求，为企业提供诊断服务，并编制企业智改数转诊断报告，提出“一企一策”个性化系统解决方案和顶层规划方案，提供切实可行的实施路径，帮助企业建设智能车间（工厂），打造工业互联网标杆，提升两化融合、智能制造、数字化水平，实现降本、提质、增效。</w:t>
      </w:r>
    </w:p>
    <w:p>
      <w:pPr>
        <w:tabs>
          <w:tab w:val="left" w:pos="1710"/>
        </w:tabs>
        <w:snapToGrid w:val="0"/>
        <w:spacing w:line="312" w:lineRule="auto"/>
        <w:ind w:firstLine="482" w:firstLineChars="200"/>
        <w:contextualSpacing/>
        <w:rPr>
          <w:rFonts w:ascii="宋体" w:hAnsi="宋体" w:cs="宋体"/>
          <w:b/>
          <w:bCs/>
          <w:sz w:val="24"/>
          <w:highlight w:val="none"/>
        </w:rPr>
      </w:pPr>
      <w:r>
        <w:rPr>
          <w:rFonts w:hint="eastAsia" w:ascii="宋体" w:hAnsi="宋体" w:cs="宋体"/>
          <w:b/>
          <w:bCs/>
          <w:sz w:val="24"/>
          <w:highlight w:val="none"/>
        </w:rPr>
        <w:t>（四）服务要求</w:t>
      </w:r>
    </w:p>
    <w:p>
      <w:pPr>
        <w:tabs>
          <w:tab w:val="left" w:pos="1710"/>
        </w:tabs>
        <w:snapToGrid w:val="0"/>
        <w:spacing w:line="312" w:lineRule="auto"/>
        <w:ind w:firstLine="480" w:firstLineChars="200"/>
        <w:contextualSpacing/>
        <w:rPr>
          <w:rFonts w:ascii="宋体" w:hAnsi="宋体" w:cs="宋体"/>
          <w:sz w:val="24"/>
          <w:highlight w:val="none"/>
        </w:rPr>
      </w:pPr>
      <w:r>
        <w:rPr>
          <w:rFonts w:hint="eastAsia" w:ascii="宋体" w:hAnsi="宋体" w:cs="宋体"/>
          <w:sz w:val="24"/>
          <w:highlight w:val="none"/>
        </w:rPr>
        <w:t>1.重点从企业研发设计、质量检测、供应链管理、系统集成应用，关键设备和关键流程的数据采集和应用、产供销环节数据流通和集成应用、工业互联网创新应用、智能装备应用、设备互联互通、生产过程实时调度、产品信息追溯、车间环境和资源能源消耗监控、智能物流仓储、模式创新等方面，帮助企业开展智能化改造和数字化转型，针对企业智改数转建设过程中存在的问题，给出可行可操作的解决方案。</w:t>
      </w:r>
    </w:p>
    <w:p>
      <w:pPr>
        <w:tabs>
          <w:tab w:val="left" w:pos="1710"/>
        </w:tabs>
        <w:snapToGrid w:val="0"/>
        <w:spacing w:line="312" w:lineRule="auto"/>
        <w:ind w:firstLine="480" w:firstLineChars="200"/>
        <w:contextualSpacing/>
        <w:rPr>
          <w:rFonts w:ascii="宋体" w:hAnsi="宋体" w:cs="宋体"/>
          <w:sz w:val="24"/>
          <w:highlight w:val="none"/>
        </w:rPr>
      </w:pPr>
      <w:r>
        <w:rPr>
          <w:rFonts w:hint="eastAsia" w:ascii="宋体" w:hAnsi="宋体" w:cs="宋体"/>
          <w:sz w:val="24"/>
          <w:highlight w:val="none"/>
        </w:rPr>
        <w:t>2.投标供应商应深入每家被服务企业开展现场尽职调查、咨询诊断，充分了解企业意见和需求，全方位掌握企业发展现状，具体包括：</w:t>
      </w:r>
    </w:p>
    <w:p>
      <w:pPr>
        <w:tabs>
          <w:tab w:val="left" w:pos="1710"/>
        </w:tabs>
        <w:snapToGrid w:val="0"/>
        <w:spacing w:line="312" w:lineRule="auto"/>
        <w:ind w:firstLine="480" w:firstLineChars="200"/>
        <w:contextualSpacing/>
        <w:rPr>
          <w:rFonts w:ascii="宋体" w:hAnsi="宋体" w:cs="宋体"/>
          <w:sz w:val="24"/>
          <w:highlight w:val="none"/>
        </w:rPr>
      </w:pPr>
      <w:r>
        <w:rPr>
          <w:rFonts w:hint="eastAsia" w:ascii="宋体" w:hAnsi="宋体" w:cs="宋体"/>
          <w:sz w:val="24"/>
          <w:highlight w:val="none"/>
        </w:rPr>
        <w:t>（1）每家企业现场诊断服务应不少于8次，每次不少于3小时，累计工作量不少于20人天。现场服务内容包括但不限于情况调研、主题培训、访谈交流、技术诊断、方案沟通、诊断结果汇报等。</w:t>
      </w:r>
    </w:p>
    <w:p>
      <w:pPr>
        <w:tabs>
          <w:tab w:val="left" w:pos="1710"/>
        </w:tabs>
        <w:snapToGrid w:val="0"/>
        <w:spacing w:line="312" w:lineRule="auto"/>
        <w:ind w:firstLine="480" w:firstLineChars="200"/>
        <w:contextualSpacing/>
        <w:rPr>
          <w:rFonts w:ascii="宋体" w:hAnsi="宋体" w:cs="宋体"/>
          <w:sz w:val="24"/>
          <w:highlight w:val="none"/>
        </w:rPr>
      </w:pPr>
      <w:r>
        <w:rPr>
          <w:rFonts w:hint="eastAsia" w:ascii="宋体" w:hAnsi="宋体" w:cs="宋体"/>
          <w:sz w:val="24"/>
          <w:highlight w:val="none"/>
        </w:rPr>
        <w:t>（2）现场诊断中进场专家组，应指派实践经验丰富、相关领域中级以上职称专家担任组长，诊断成员数量不少于5人，中级以上职称专家每次赴现场不少于1人，每次间隔时间不超过15个工作日，专家重点帮助企业解决生产运营过程中遇到的技术、管理等难题，切实做好释疑解惑工作，给出专业的意见建议。</w:t>
      </w:r>
    </w:p>
    <w:p>
      <w:pPr>
        <w:tabs>
          <w:tab w:val="left" w:pos="1710"/>
        </w:tabs>
        <w:snapToGrid w:val="0"/>
        <w:spacing w:line="312" w:lineRule="auto"/>
        <w:ind w:firstLine="480" w:firstLineChars="200"/>
        <w:contextualSpacing/>
        <w:rPr>
          <w:rFonts w:ascii="宋体" w:hAnsi="宋体" w:cs="宋体"/>
          <w:sz w:val="24"/>
          <w:highlight w:val="none"/>
        </w:rPr>
      </w:pPr>
      <w:r>
        <w:rPr>
          <w:rFonts w:hint="eastAsia" w:ascii="宋体" w:hAnsi="宋体" w:cs="宋体"/>
          <w:sz w:val="24"/>
          <w:highlight w:val="none"/>
        </w:rPr>
        <w:t>（3）为被诊断企业提供智改数转相关培训，提升企业对智能化改造、数字化转型的认识水平、强化诊断方案落地实施，场次不少于2次，每次不低于2小时。</w:t>
      </w:r>
    </w:p>
    <w:p>
      <w:pPr>
        <w:tabs>
          <w:tab w:val="left" w:pos="1710"/>
        </w:tabs>
        <w:snapToGrid w:val="0"/>
        <w:spacing w:line="312" w:lineRule="auto"/>
        <w:ind w:firstLine="480" w:firstLineChars="200"/>
        <w:contextualSpacing/>
        <w:rPr>
          <w:rFonts w:ascii="宋体" w:hAnsi="宋体" w:cs="宋体"/>
          <w:sz w:val="24"/>
          <w:highlight w:val="none"/>
        </w:rPr>
      </w:pPr>
      <w:r>
        <w:rPr>
          <w:rFonts w:hint="eastAsia" w:ascii="宋体" w:hAnsi="宋体" w:cs="宋体"/>
          <w:sz w:val="24"/>
          <w:highlight w:val="none"/>
        </w:rPr>
        <w:t>（4）为被诊断企业高层领导提供不少于2次的智改数转诊断服务情况汇报。汇报内容包括尽职调查的情况、 诊断报告详解等。</w:t>
      </w:r>
    </w:p>
    <w:p>
      <w:pPr>
        <w:tabs>
          <w:tab w:val="left" w:pos="1710"/>
        </w:tabs>
        <w:snapToGrid w:val="0"/>
        <w:spacing w:line="312" w:lineRule="auto"/>
        <w:ind w:firstLine="480" w:firstLineChars="200"/>
        <w:contextualSpacing/>
        <w:rPr>
          <w:rFonts w:ascii="宋体" w:hAnsi="宋体" w:cs="宋体"/>
          <w:sz w:val="24"/>
          <w:highlight w:val="none"/>
        </w:rPr>
      </w:pPr>
      <w:r>
        <w:rPr>
          <w:rFonts w:hint="eastAsia" w:ascii="宋体" w:hAnsi="宋体" w:cs="宋体"/>
          <w:sz w:val="24"/>
          <w:highlight w:val="none"/>
        </w:rPr>
        <w:t>（5）每次服务后要将诊断服务图片及文字材料上传至所在地工信部门，并定期汇报诊断进度。向被诊断企业所在地工信部门负责智改数转诊断工作的主管科室交流、报告诊断情况，不少于2次。</w:t>
      </w:r>
    </w:p>
    <w:p>
      <w:pPr>
        <w:tabs>
          <w:tab w:val="left" w:pos="1710"/>
        </w:tabs>
        <w:snapToGrid w:val="0"/>
        <w:spacing w:line="312" w:lineRule="auto"/>
        <w:ind w:firstLine="480" w:firstLineChars="200"/>
        <w:contextualSpacing/>
        <w:rPr>
          <w:rFonts w:ascii="宋体" w:hAnsi="宋体" w:cs="宋体"/>
          <w:sz w:val="24"/>
          <w:highlight w:val="none"/>
        </w:rPr>
      </w:pPr>
      <w:r>
        <w:rPr>
          <w:rFonts w:hint="eastAsia" w:ascii="宋体" w:hAnsi="宋体" w:cs="宋体"/>
          <w:sz w:val="24"/>
          <w:highlight w:val="none"/>
        </w:rPr>
        <w:t>（6）配合接受诊断监理机构开展的各项诊断监理要求，积极主动汇报诊断计划、进度情况。</w:t>
      </w:r>
    </w:p>
    <w:p>
      <w:pPr>
        <w:tabs>
          <w:tab w:val="left" w:pos="1710"/>
        </w:tabs>
        <w:snapToGrid w:val="0"/>
        <w:spacing w:line="312" w:lineRule="auto"/>
        <w:ind w:firstLine="480" w:firstLineChars="200"/>
        <w:contextualSpacing/>
        <w:rPr>
          <w:rFonts w:ascii="宋体" w:hAnsi="宋体" w:cs="宋体"/>
          <w:sz w:val="24"/>
          <w:highlight w:val="none"/>
        </w:rPr>
      </w:pPr>
      <w:r>
        <w:rPr>
          <w:rFonts w:hint="eastAsia" w:ascii="宋体" w:hAnsi="宋体" w:cs="宋体"/>
          <w:sz w:val="24"/>
          <w:highlight w:val="none"/>
        </w:rPr>
        <w:t>（7）化工行业严格按照本质安全、节能环保与运维保障等标准规范体系进行。其他省级以上行业“智改数转”有专项标准或指导意见的按具体要求开展诊断工作。</w:t>
      </w:r>
    </w:p>
    <w:p>
      <w:pPr>
        <w:tabs>
          <w:tab w:val="left" w:pos="1710"/>
        </w:tabs>
        <w:snapToGrid w:val="0"/>
        <w:spacing w:line="312" w:lineRule="auto"/>
        <w:ind w:firstLine="480" w:firstLineChars="200"/>
        <w:contextualSpacing/>
        <w:rPr>
          <w:rFonts w:ascii="宋体" w:hAnsi="宋体" w:cs="宋体"/>
          <w:sz w:val="24"/>
          <w:highlight w:val="none"/>
        </w:rPr>
      </w:pPr>
      <w:r>
        <w:rPr>
          <w:rFonts w:hint="eastAsia" w:ascii="宋体" w:hAnsi="宋体" w:cs="宋体"/>
          <w:sz w:val="24"/>
          <w:highlight w:val="none"/>
        </w:rPr>
        <w:t>（8）诊断服务完成后，向被诊断企业提供回访服务，跟踪诊断方案落地情况和实施效果。</w:t>
      </w:r>
    </w:p>
    <w:p>
      <w:pPr>
        <w:tabs>
          <w:tab w:val="left" w:pos="1710"/>
        </w:tabs>
        <w:snapToGrid w:val="0"/>
        <w:spacing w:line="312" w:lineRule="auto"/>
        <w:ind w:firstLine="480" w:firstLineChars="200"/>
        <w:contextualSpacing/>
        <w:rPr>
          <w:rFonts w:ascii="宋体" w:hAnsi="宋体" w:cs="宋体"/>
          <w:sz w:val="24"/>
          <w:highlight w:val="none"/>
        </w:rPr>
      </w:pPr>
      <w:r>
        <w:rPr>
          <w:rFonts w:hint="eastAsia" w:ascii="宋体" w:hAnsi="宋体" w:cs="宋体"/>
          <w:sz w:val="24"/>
          <w:highlight w:val="none"/>
        </w:rPr>
        <w:t>（9）技术方案有效期为3年。</w:t>
      </w:r>
    </w:p>
    <w:p>
      <w:pPr>
        <w:tabs>
          <w:tab w:val="left" w:pos="1710"/>
        </w:tabs>
        <w:snapToGrid w:val="0"/>
        <w:spacing w:line="312" w:lineRule="auto"/>
        <w:ind w:firstLine="480" w:firstLineChars="200"/>
        <w:contextualSpacing/>
        <w:rPr>
          <w:rFonts w:ascii="宋体" w:hAnsi="宋体" w:cs="宋体"/>
          <w:sz w:val="24"/>
          <w:highlight w:val="none"/>
        </w:rPr>
      </w:pPr>
      <w:r>
        <w:rPr>
          <w:rFonts w:hint="eastAsia" w:ascii="宋体" w:hAnsi="宋体" w:cs="宋体"/>
          <w:sz w:val="24"/>
          <w:highlight w:val="none"/>
        </w:rPr>
        <w:t>3.每家被诊断企业咨询服务结束后，提交不少于2万字的智改数转诊断报告，报告应经被诊断企业负责人确认签字并加盖企业公章。内容包括但不限于企业基本情况、企业智能化数字化短板分析、系统解决/顶层设计/项目改造方案、服务商推荐方案等方面内容，报告中应注明该企业可对标的同行业国内标杆，具体为：</w:t>
      </w:r>
    </w:p>
    <w:p>
      <w:pPr>
        <w:tabs>
          <w:tab w:val="left" w:pos="1710"/>
        </w:tabs>
        <w:snapToGrid w:val="0"/>
        <w:spacing w:line="312" w:lineRule="auto"/>
        <w:ind w:firstLine="480" w:firstLineChars="200"/>
        <w:contextualSpacing/>
        <w:rPr>
          <w:rFonts w:ascii="宋体" w:hAnsi="宋体" w:cs="宋体"/>
          <w:sz w:val="24"/>
          <w:highlight w:val="none"/>
        </w:rPr>
      </w:pPr>
      <w:r>
        <w:rPr>
          <w:rFonts w:hint="eastAsia" w:ascii="宋体" w:hAnsi="宋体" w:cs="宋体"/>
          <w:sz w:val="24"/>
          <w:highlight w:val="none"/>
        </w:rPr>
        <w:t>（1）调研被诊断企业基本现状。通过现场调研、实地问询、访谈沟通等方式，真实、准确、全面摸清企业情况，真实反映企业产品、运营管理、生产方式、工艺流程、技术水平、市场份额、行业地位等基本情况。</w:t>
      </w:r>
    </w:p>
    <w:p>
      <w:pPr>
        <w:tabs>
          <w:tab w:val="left" w:pos="1710"/>
        </w:tabs>
        <w:snapToGrid w:val="0"/>
        <w:spacing w:line="312" w:lineRule="auto"/>
        <w:ind w:firstLine="480" w:firstLineChars="200"/>
        <w:contextualSpacing/>
        <w:rPr>
          <w:rFonts w:ascii="宋体" w:hAnsi="宋体" w:cs="宋体"/>
          <w:sz w:val="24"/>
          <w:highlight w:val="none"/>
        </w:rPr>
      </w:pPr>
      <w:r>
        <w:rPr>
          <w:rFonts w:hint="eastAsia" w:ascii="宋体" w:hAnsi="宋体" w:cs="宋体"/>
          <w:sz w:val="24"/>
          <w:highlight w:val="none"/>
        </w:rPr>
        <w:t>（2）评估企业智能化、数字化水平。运用相关评估技术方法、模型，对企业智能制造和两化融合水平进行线上评估，结合现状调研情况，对照所投标段行业智能化、数字化整体情况，判断企业所处位置，给出企业智改数转相关评估结果。</w:t>
      </w:r>
    </w:p>
    <w:p>
      <w:pPr>
        <w:tabs>
          <w:tab w:val="left" w:pos="1710"/>
        </w:tabs>
        <w:snapToGrid w:val="0"/>
        <w:spacing w:line="312" w:lineRule="auto"/>
        <w:ind w:firstLine="480" w:firstLineChars="200"/>
        <w:contextualSpacing/>
        <w:rPr>
          <w:rFonts w:ascii="宋体" w:hAnsi="宋体" w:cs="宋体"/>
          <w:sz w:val="24"/>
          <w:highlight w:val="none"/>
        </w:rPr>
      </w:pPr>
      <w:r>
        <w:rPr>
          <w:rFonts w:hint="eastAsia" w:ascii="宋体" w:hAnsi="宋体" w:cs="宋体"/>
          <w:sz w:val="24"/>
          <w:highlight w:val="none"/>
        </w:rPr>
        <w:t>（3）分析企业智能化数字化的短板。通过深入企业车间、产线、工位等一线，了解掌握企业研发、生产、运营、管理、服务等过程中存在的问题和困难，对标部、省在两化融合、智能制造、工业互联网试点示范以及星级上云企业等相关标准，找准关键指标差距；提供可对标的同行业国内智改数转标杆案例，为企业“智改数转”打开视野，明晰思路。</w:t>
      </w:r>
    </w:p>
    <w:p>
      <w:pPr>
        <w:tabs>
          <w:tab w:val="left" w:pos="1710"/>
        </w:tabs>
        <w:snapToGrid w:val="0"/>
        <w:spacing w:line="312" w:lineRule="auto"/>
        <w:ind w:firstLine="480" w:firstLineChars="200"/>
        <w:contextualSpacing/>
        <w:rPr>
          <w:rFonts w:ascii="宋体" w:hAnsi="宋体" w:cs="宋体"/>
          <w:sz w:val="24"/>
          <w:highlight w:val="none"/>
        </w:rPr>
      </w:pPr>
      <w:r>
        <w:rPr>
          <w:rFonts w:hint="eastAsia" w:ascii="宋体" w:hAnsi="宋体" w:cs="宋体"/>
          <w:sz w:val="24"/>
          <w:highlight w:val="none"/>
        </w:rPr>
        <w:t>（4）提供企业智改数转诊断方案。针对企业工厂或车间的现状和建设过程中存在的问题，对标所投标段行业先进水平，提出智改数转的具体可行方案，给出可操作的措施建议和实施路线。</w:t>
      </w:r>
    </w:p>
    <w:p>
      <w:pPr>
        <w:tabs>
          <w:tab w:val="left" w:pos="1710"/>
        </w:tabs>
        <w:snapToGrid w:val="0"/>
        <w:spacing w:line="312" w:lineRule="auto"/>
        <w:ind w:firstLine="480" w:firstLineChars="200"/>
        <w:contextualSpacing/>
        <w:rPr>
          <w:rFonts w:ascii="宋体" w:hAnsi="宋体" w:cs="宋体"/>
          <w:sz w:val="24"/>
          <w:highlight w:val="none"/>
        </w:rPr>
      </w:pPr>
      <w:r>
        <w:rPr>
          <w:rFonts w:hint="eastAsia" w:ascii="宋体" w:hAnsi="宋体" w:cs="宋体"/>
          <w:sz w:val="24"/>
          <w:highlight w:val="none"/>
        </w:rPr>
        <w:t>（5）帮助企业落实诊断方案。宣贯支持政策或提供培训，协助企业落实诊断方案给出的各项技术措施和任务目标。依据被诊断企业的现状水平，结合企业生产、财务能力，向被诊断企业推荐不少于3个具有相关领域实施经验、易达成合作的优质服务商，帮助企业对接智改数转服务商，对比各自优势，供企业参考。</w:t>
      </w:r>
    </w:p>
    <w:p>
      <w:pPr>
        <w:tabs>
          <w:tab w:val="left" w:pos="1710"/>
        </w:tabs>
        <w:snapToGrid w:val="0"/>
        <w:spacing w:line="312" w:lineRule="auto"/>
        <w:ind w:firstLine="480" w:firstLineChars="200"/>
        <w:contextualSpacing/>
        <w:rPr>
          <w:rFonts w:ascii="宋体" w:hAnsi="宋体" w:cs="宋体"/>
          <w:sz w:val="24"/>
          <w:highlight w:val="none"/>
        </w:rPr>
      </w:pPr>
      <w:r>
        <w:rPr>
          <w:rFonts w:hint="eastAsia" w:ascii="宋体" w:hAnsi="宋体" w:cs="宋体"/>
          <w:sz w:val="24"/>
          <w:highlight w:val="none"/>
        </w:rPr>
        <w:t>（6）跟踪诊断服务实施效果。做好诊断后续服务工作，保证通过实施诊断方案，帮助企业解决难点，打通堵点，消除痛点，依托智能车间建设，提高生产效率和管理水平。</w:t>
      </w:r>
    </w:p>
    <w:p>
      <w:pPr>
        <w:tabs>
          <w:tab w:val="left" w:pos="1710"/>
        </w:tabs>
        <w:snapToGrid w:val="0"/>
        <w:spacing w:line="312" w:lineRule="auto"/>
        <w:ind w:firstLine="480" w:firstLineChars="200"/>
        <w:contextualSpacing/>
        <w:rPr>
          <w:rFonts w:ascii="宋体" w:hAnsi="宋体" w:cs="宋体"/>
          <w:sz w:val="24"/>
          <w:highlight w:val="none"/>
        </w:rPr>
      </w:pPr>
      <w:r>
        <w:rPr>
          <w:rFonts w:hint="eastAsia" w:ascii="宋体" w:hAnsi="宋体" w:cs="宋体"/>
          <w:sz w:val="24"/>
          <w:highlight w:val="none"/>
        </w:rPr>
        <w:t>（7）诊断报告附件。包括现场诊断服务工作的相关书面记录、日程安排、签到表（由参与方共同签字确认）、诊断图片等。</w:t>
      </w:r>
    </w:p>
    <w:p>
      <w:pPr>
        <w:tabs>
          <w:tab w:val="left" w:pos="1710"/>
        </w:tabs>
        <w:snapToGrid w:val="0"/>
        <w:spacing w:line="312" w:lineRule="auto"/>
        <w:ind w:firstLine="480" w:firstLineChars="200"/>
        <w:contextualSpacing/>
        <w:rPr>
          <w:rFonts w:ascii="宋体" w:hAnsi="宋体" w:cs="宋体"/>
          <w:sz w:val="24"/>
          <w:highlight w:val="none"/>
        </w:rPr>
      </w:pPr>
      <w:r>
        <w:rPr>
          <w:rFonts w:hint="eastAsia" w:ascii="宋体" w:hAnsi="宋体" w:cs="宋体"/>
          <w:sz w:val="24"/>
          <w:highlight w:val="none"/>
        </w:rPr>
        <w:t>4</w:t>
      </w:r>
      <w:r>
        <w:rPr>
          <w:rFonts w:ascii="宋体" w:hAnsi="宋体" w:cs="宋体"/>
          <w:sz w:val="24"/>
          <w:highlight w:val="none"/>
        </w:rPr>
        <w:t>.</w:t>
      </w:r>
      <w:r>
        <w:rPr>
          <w:rFonts w:hint="eastAsia" w:ascii="宋体" w:hAnsi="宋体" w:cs="宋体"/>
          <w:sz w:val="24"/>
          <w:highlight w:val="none"/>
        </w:rPr>
        <w:t>所有诊断咨询服务结束后，提交基于南通所投标段行业智改数转诊断总结。包括但不仅限于南通地区该行业智能化、数字化水平整体现状分析、存在的共性问题分析、企业集中关注点、实施路线分类分析、国内行业标杆案例、基于该行业的南通推动智改数转的建议。</w:t>
      </w:r>
    </w:p>
    <w:p>
      <w:pPr>
        <w:tabs>
          <w:tab w:val="left" w:pos="1710"/>
        </w:tabs>
        <w:snapToGrid w:val="0"/>
        <w:spacing w:line="312" w:lineRule="auto"/>
        <w:ind w:firstLine="480" w:firstLineChars="200"/>
        <w:contextualSpacing/>
        <w:rPr>
          <w:rFonts w:ascii="宋体" w:hAnsi="宋体" w:cs="宋体"/>
          <w:sz w:val="24"/>
          <w:highlight w:val="none"/>
        </w:rPr>
      </w:pPr>
      <w:r>
        <w:rPr>
          <w:rFonts w:hint="eastAsia" w:ascii="宋体" w:hAnsi="宋体" w:cs="宋体"/>
          <w:sz w:val="24"/>
          <w:highlight w:val="none"/>
        </w:rPr>
        <w:t>5.服务团队要求</w:t>
      </w:r>
    </w:p>
    <w:p>
      <w:pPr>
        <w:tabs>
          <w:tab w:val="left" w:pos="1710"/>
        </w:tabs>
        <w:snapToGrid w:val="0"/>
        <w:spacing w:line="312" w:lineRule="auto"/>
        <w:ind w:firstLine="480" w:firstLineChars="200"/>
        <w:contextualSpacing/>
        <w:rPr>
          <w:rFonts w:ascii="宋体" w:hAnsi="宋体" w:cs="宋体"/>
          <w:sz w:val="24"/>
          <w:highlight w:val="none"/>
        </w:rPr>
      </w:pPr>
      <w:r>
        <w:rPr>
          <w:rFonts w:hint="eastAsia" w:ascii="宋体" w:hAnsi="宋体" w:cs="宋体"/>
          <w:sz w:val="24"/>
          <w:highlight w:val="none"/>
        </w:rPr>
        <w:t>（1）项目专家要求具有项目相关专业领域、丰富经验的专家，提供技术支撑，对现场无法处置的问题进行研判分析、响应处置，并给出相应的解决方案。</w:t>
      </w:r>
    </w:p>
    <w:p>
      <w:pPr>
        <w:tabs>
          <w:tab w:val="left" w:pos="1710"/>
        </w:tabs>
        <w:snapToGrid w:val="0"/>
        <w:spacing w:line="312" w:lineRule="auto"/>
        <w:ind w:firstLine="480" w:firstLineChars="200"/>
        <w:contextualSpacing/>
        <w:rPr>
          <w:rFonts w:ascii="宋体" w:hAnsi="宋体" w:cs="宋体"/>
          <w:sz w:val="24"/>
          <w:highlight w:val="none"/>
        </w:rPr>
      </w:pPr>
      <w:r>
        <w:rPr>
          <w:rFonts w:hint="eastAsia" w:ascii="宋体" w:hAnsi="宋体" w:cs="宋体"/>
          <w:sz w:val="24"/>
          <w:highlight w:val="none"/>
        </w:rPr>
        <w:t>（2）项目负责人</w:t>
      </w:r>
      <w:r>
        <w:rPr>
          <w:rFonts w:hint="eastAsia" w:ascii="宋体" w:hAnsi="宋体" w:cs="宋体"/>
          <w:sz w:val="24"/>
          <w:highlight w:val="none"/>
          <w:lang w:val="en-US" w:eastAsia="zh-CN"/>
        </w:rPr>
        <w:t>一名，</w:t>
      </w:r>
      <w:r>
        <w:rPr>
          <w:rFonts w:hint="eastAsia" w:ascii="宋体" w:hAnsi="宋体" w:cs="宋体"/>
          <w:sz w:val="24"/>
          <w:highlight w:val="none"/>
        </w:rPr>
        <w:t>要求具有项目相关专业领域、丰富经验的专业人员，负责推进本项目工作有序开展、稳步推进，及时有效处理项目开展出现的异常状况。</w:t>
      </w:r>
    </w:p>
    <w:p>
      <w:pPr>
        <w:tabs>
          <w:tab w:val="left" w:pos="1710"/>
        </w:tabs>
        <w:snapToGrid w:val="0"/>
        <w:spacing w:line="312" w:lineRule="auto"/>
        <w:ind w:firstLine="480" w:firstLineChars="200"/>
        <w:contextualSpacing/>
        <w:rPr>
          <w:rFonts w:ascii="宋体" w:hAnsi="宋体" w:cs="宋体"/>
          <w:sz w:val="24"/>
          <w:highlight w:val="none"/>
        </w:rPr>
      </w:pPr>
      <w:r>
        <w:rPr>
          <w:rFonts w:hint="eastAsia" w:ascii="宋体" w:hAnsi="宋体" w:cs="宋体"/>
          <w:sz w:val="24"/>
          <w:highlight w:val="none"/>
        </w:rPr>
        <w:t>（3）其他服务团队成员，即除项目专家和项目负责人外的其他服务团队成员要求具有项目相关专业领域、丰富经验的团队骨干人员，配备多学科、多专业各类人员共同构成，服务团队成员充足、专业能力突出，配置合理；能有力支撑本项目工作，保障服务成果质量。</w:t>
      </w:r>
    </w:p>
    <w:p>
      <w:pPr>
        <w:tabs>
          <w:tab w:val="left" w:pos="1710"/>
        </w:tabs>
        <w:snapToGrid w:val="0"/>
        <w:spacing w:line="312" w:lineRule="auto"/>
        <w:ind w:firstLine="480" w:firstLineChars="200"/>
        <w:contextualSpacing/>
        <w:rPr>
          <w:rFonts w:ascii="宋体" w:hAnsi="宋体" w:cs="宋体"/>
          <w:sz w:val="24"/>
          <w:highlight w:val="none"/>
        </w:rPr>
      </w:pPr>
      <w:r>
        <w:rPr>
          <w:rFonts w:hint="eastAsia" w:ascii="宋体" w:hAnsi="宋体" w:cs="宋体"/>
          <w:sz w:val="24"/>
          <w:highlight w:val="none"/>
        </w:rPr>
        <w:t>（4）中标人具有快速响应服务能力。服务过程中，接到诊断服务企业或采购人通知后，在3小时内响应，并在24小时内提出解决方案。</w:t>
      </w:r>
    </w:p>
    <w:p>
      <w:pPr>
        <w:tabs>
          <w:tab w:val="left" w:pos="1710"/>
        </w:tabs>
        <w:snapToGrid w:val="0"/>
        <w:spacing w:line="312" w:lineRule="auto"/>
        <w:ind w:firstLine="480" w:firstLineChars="200"/>
        <w:contextualSpacing/>
        <w:rPr>
          <w:rFonts w:ascii="宋体" w:hAnsi="宋体" w:cs="宋体"/>
          <w:sz w:val="24"/>
          <w:highlight w:val="none"/>
        </w:rPr>
      </w:pPr>
      <w:r>
        <w:rPr>
          <w:rFonts w:hint="eastAsia" w:ascii="宋体" w:hAnsi="宋体" w:cs="宋体"/>
          <w:sz w:val="24"/>
          <w:highlight w:val="none"/>
        </w:rPr>
        <w:t>6.人员的素质要求</w:t>
      </w:r>
    </w:p>
    <w:p>
      <w:pPr>
        <w:tabs>
          <w:tab w:val="left" w:pos="1710"/>
        </w:tabs>
        <w:snapToGrid w:val="0"/>
        <w:spacing w:line="312" w:lineRule="auto"/>
        <w:ind w:firstLine="480" w:firstLineChars="200"/>
        <w:contextualSpacing/>
        <w:rPr>
          <w:rFonts w:ascii="宋体" w:hAnsi="宋体" w:cs="宋体"/>
          <w:sz w:val="24"/>
          <w:highlight w:val="none"/>
        </w:rPr>
      </w:pPr>
      <w:r>
        <w:rPr>
          <w:rFonts w:hint="eastAsia" w:ascii="宋体" w:hAnsi="宋体" w:cs="宋体"/>
          <w:sz w:val="24"/>
          <w:highlight w:val="none"/>
        </w:rPr>
        <w:t>（1）要求熟悉掌握国家、省有关两化融合、数字化转型、智能制造发展规划方面的相关标准规范、规划等政策文件，熟悉智能制造能力成熟度模型、两化融合及数字化转型重点指标，保证本次智改数转诊断服务工作符合国家、省、市、区相关要求。</w:t>
      </w:r>
    </w:p>
    <w:p>
      <w:pPr>
        <w:tabs>
          <w:tab w:val="left" w:pos="1710"/>
        </w:tabs>
        <w:snapToGrid w:val="0"/>
        <w:spacing w:line="312" w:lineRule="auto"/>
        <w:ind w:firstLine="480" w:firstLineChars="200"/>
        <w:contextualSpacing/>
        <w:rPr>
          <w:rFonts w:ascii="宋体" w:hAnsi="宋体" w:cs="宋体"/>
          <w:sz w:val="24"/>
          <w:highlight w:val="none"/>
        </w:rPr>
      </w:pPr>
      <w:r>
        <w:rPr>
          <w:rFonts w:hint="eastAsia" w:ascii="宋体" w:hAnsi="宋体" w:cs="宋体"/>
          <w:sz w:val="24"/>
          <w:highlight w:val="none"/>
        </w:rPr>
        <w:t>（2）要求广泛运用先进的信息化技术手段，提高智改数转诊断服务工作的科学性、准确性。</w:t>
      </w:r>
    </w:p>
    <w:p>
      <w:pPr>
        <w:tabs>
          <w:tab w:val="left" w:pos="1710"/>
        </w:tabs>
        <w:snapToGrid w:val="0"/>
        <w:spacing w:line="312" w:lineRule="auto"/>
        <w:ind w:firstLine="480" w:firstLineChars="200"/>
        <w:contextualSpacing/>
        <w:rPr>
          <w:rFonts w:ascii="宋体" w:hAnsi="宋体" w:cs="宋体"/>
          <w:sz w:val="24"/>
          <w:highlight w:val="none"/>
        </w:rPr>
      </w:pPr>
      <w:r>
        <w:rPr>
          <w:rFonts w:hint="eastAsia" w:ascii="宋体" w:hAnsi="宋体" w:cs="宋体"/>
          <w:sz w:val="24"/>
          <w:highlight w:val="none"/>
        </w:rPr>
        <w:t>（3）要求熟悉南通本地产业情况。</w:t>
      </w:r>
    </w:p>
    <w:p>
      <w:pPr>
        <w:tabs>
          <w:tab w:val="left" w:pos="1710"/>
        </w:tabs>
        <w:snapToGrid w:val="0"/>
        <w:spacing w:line="312" w:lineRule="auto"/>
        <w:ind w:firstLine="480" w:firstLineChars="200"/>
        <w:contextualSpacing/>
        <w:rPr>
          <w:rFonts w:ascii="宋体" w:hAnsi="宋体" w:cs="宋体"/>
          <w:sz w:val="24"/>
          <w:highlight w:val="none"/>
        </w:rPr>
      </w:pPr>
      <w:r>
        <w:rPr>
          <w:rFonts w:hint="eastAsia" w:ascii="宋体" w:hAnsi="宋体" w:cs="宋体"/>
          <w:sz w:val="24"/>
          <w:highlight w:val="none"/>
        </w:rPr>
        <w:t>（4）投标文件中列出的团队，必须参与现场诊断。</w:t>
      </w:r>
    </w:p>
    <w:p>
      <w:pPr>
        <w:tabs>
          <w:tab w:val="left" w:pos="1710"/>
        </w:tabs>
        <w:snapToGrid w:val="0"/>
        <w:spacing w:line="312" w:lineRule="auto"/>
        <w:ind w:firstLine="480" w:firstLineChars="200"/>
        <w:contextualSpacing/>
        <w:rPr>
          <w:rFonts w:ascii="宋体" w:hAnsi="宋体" w:cs="宋体"/>
          <w:sz w:val="24"/>
          <w:highlight w:val="none"/>
        </w:rPr>
      </w:pPr>
      <w:r>
        <w:rPr>
          <w:rFonts w:hint="eastAsia" w:ascii="宋体" w:hAnsi="宋体" w:cs="宋体"/>
          <w:sz w:val="24"/>
          <w:highlight w:val="none"/>
        </w:rPr>
        <w:t>7.知识产权要求</w:t>
      </w:r>
    </w:p>
    <w:p>
      <w:pPr>
        <w:tabs>
          <w:tab w:val="left" w:pos="1710"/>
        </w:tabs>
        <w:snapToGrid w:val="0"/>
        <w:spacing w:line="312" w:lineRule="auto"/>
        <w:ind w:firstLine="480" w:firstLineChars="200"/>
        <w:contextualSpacing/>
        <w:rPr>
          <w:rFonts w:ascii="宋体" w:hAnsi="宋体" w:cs="宋体"/>
          <w:sz w:val="24"/>
          <w:highlight w:val="none"/>
        </w:rPr>
      </w:pPr>
      <w:r>
        <w:rPr>
          <w:rFonts w:hint="eastAsia" w:ascii="宋体" w:hAnsi="宋体" w:cs="宋体"/>
          <w:sz w:val="24"/>
          <w:highlight w:val="none"/>
        </w:rPr>
        <w:t>中标人须保证采购人在使用、接受该预案任何一部分时不受第三方提出侵犯其专利权、版权、商标权和工业设计权等知识产权的起诉。一旦出现侵权，由中标人负责处理并负全部责任</w:t>
      </w:r>
      <w:r>
        <w:rPr>
          <w:rFonts w:hint="eastAsia" w:ascii="宋体" w:hAnsi="宋体" w:cs="宋体"/>
          <w:sz w:val="24"/>
          <w:highlight w:val="none"/>
          <w:lang w:eastAsia="zh-CN"/>
        </w:rPr>
        <w:t>。</w:t>
      </w:r>
      <w:r>
        <w:rPr>
          <w:rFonts w:hint="eastAsia" w:ascii="宋体" w:hAnsi="宋体" w:cs="宋体"/>
          <w:sz w:val="24"/>
          <w:highlight w:val="none"/>
        </w:rPr>
        <w:t>中标人所出具的“智改数转”</w:t>
      </w:r>
      <w:r>
        <w:rPr>
          <w:rFonts w:hint="eastAsia" w:ascii="宋体" w:hAnsi="宋体" w:cs="宋体"/>
          <w:sz w:val="24"/>
          <w:highlight w:val="none"/>
          <w:lang w:val="en-US" w:eastAsia="zh-CN"/>
        </w:rPr>
        <w:t>建设</w:t>
      </w:r>
      <w:r>
        <w:rPr>
          <w:rFonts w:hint="eastAsia" w:ascii="宋体" w:hAnsi="宋体" w:cs="宋体"/>
          <w:sz w:val="24"/>
          <w:highlight w:val="none"/>
        </w:rPr>
        <w:t>方案和诊断报告知识产权归属采购人所有。</w:t>
      </w:r>
    </w:p>
    <w:p>
      <w:pPr>
        <w:tabs>
          <w:tab w:val="left" w:pos="1710"/>
        </w:tabs>
        <w:snapToGrid w:val="0"/>
        <w:spacing w:line="312" w:lineRule="auto"/>
        <w:ind w:firstLine="480" w:firstLineChars="200"/>
        <w:contextualSpacing/>
        <w:rPr>
          <w:rFonts w:ascii="宋体" w:hAnsi="宋体" w:cs="宋体"/>
          <w:sz w:val="24"/>
          <w:highlight w:val="none"/>
        </w:rPr>
      </w:pPr>
      <w:r>
        <w:rPr>
          <w:rFonts w:hint="eastAsia" w:ascii="宋体" w:hAnsi="宋体" w:cs="宋体"/>
          <w:sz w:val="24"/>
          <w:highlight w:val="none"/>
        </w:rPr>
        <w:t>8.售后服务要求</w:t>
      </w:r>
    </w:p>
    <w:p>
      <w:pPr>
        <w:tabs>
          <w:tab w:val="left" w:pos="1710"/>
        </w:tabs>
        <w:snapToGrid w:val="0"/>
        <w:spacing w:line="312" w:lineRule="auto"/>
        <w:ind w:firstLine="480" w:firstLineChars="200"/>
        <w:contextualSpacing/>
        <w:rPr>
          <w:rFonts w:ascii="宋体" w:hAnsi="宋体" w:cs="宋体"/>
          <w:sz w:val="24"/>
          <w:highlight w:val="none"/>
        </w:rPr>
      </w:pPr>
      <w:r>
        <w:rPr>
          <w:rFonts w:hint="eastAsia" w:ascii="宋体" w:hAnsi="宋体" w:cs="宋体"/>
          <w:sz w:val="24"/>
          <w:highlight w:val="none"/>
        </w:rPr>
        <w:t>（1）对所提供诊断服务后的企业，持续跟踪诊断方案落地情况和实施效果，向被诊断企业提供回访服务，评估被诊断企业的智能化提升效果。</w:t>
      </w:r>
    </w:p>
    <w:p>
      <w:pPr>
        <w:tabs>
          <w:tab w:val="left" w:pos="1710"/>
        </w:tabs>
        <w:snapToGrid w:val="0"/>
        <w:spacing w:line="312" w:lineRule="auto"/>
        <w:ind w:firstLine="480" w:firstLineChars="200"/>
        <w:contextualSpacing/>
        <w:rPr>
          <w:rFonts w:ascii="宋体" w:hAnsi="宋体" w:cs="宋体"/>
          <w:sz w:val="24"/>
          <w:highlight w:val="none"/>
        </w:rPr>
      </w:pPr>
      <w:r>
        <w:rPr>
          <w:rFonts w:hint="eastAsia" w:ascii="宋体" w:hAnsi="宋体" w:cs="宋体"/>
          <w:sz w:val="24"/>
          <w:highlight w:val="none"/>
        </w:rPr>
        <w:t>（2）在项目实施工作中出现任何困难，接到诊断服务企业或采购人反馈通知后，在3小时内响应，并在24小时内提出解决方案。</w:t>
      </w:r>
    </w:p>
    <w:p>
      <w:pPr>
        <w:spacing w:line="360" w:lineRule="auto"/>
        <w:ind w:firstLine="560"/>
        <w:jc w:val="left"/>
        <w:rPr>
          <w:rFonts w:ascii="宋体" w:hAnsi="宋体" w:cs="宋体"/>
          <w:b/>
          <w:bCs/>
          <w:sz w:val="24"/>
          <w:highlight w:val="none"/>
        </w:rPr>
      </w:pPr>
      <w:r>
        <w:rPr>
          <w:rFonts w:hint="eastAsia" w:ascii="宋体" w:hAnsi="宋体" w:cs="宋体"/>
          <w:b/>
          <w:bCs/>
          <w:sz w:val="24"/>
          <w:highlight w:val="none"/>
        </w:rPr>
        <w:t>（五）进度计划</w:t>
      </w:r>
    </w:p>
    <w:p>
      <w:pPr>
        <w:spacing w:line="360" w:lineRule="auto"/>
        <w:ind w:firstLine="560"/>
        <w:jc w:val="left"/>
        <w:rPr>
          <w:rFonts w:ascii="宋体" w:hAnsi="宋体" w:cs="宋体"/>
          <w:b/>
          <w:bCs/>
          <w:sz w:val="24"/>
          <w:highlight w:val="none"/>
        </w:rPr>
      </w:pPr>
      <w:r>
        <w:rPr>
          <w:rFonts w:hint="eastAsia" w:ascii="宋体" w:hAnsi="宋体" w:cs="宋体"/>
          <w:b/>
          <w:bCs/>
          <w:sz w:val="24"/>
          <w:highlight w:val="none"/>
        </w:rPr>
        <w:t>2022年智改数转诊断服务于合同签订后180天内完成。</w:t>
      </w:r>
    </w:p>
    <w:p>
      <w:pPr>
        <w:spacing w:line="360" w:lineRule="auto"/>
        <w:ind w:firstLine="560"/>
        <w:jc w:val="left"/>
        <w:rPr>
          <w:rFonts w:ascii="宋体" w:hAnsi="宋体" w:cs="宋体"/>
          <w:b/>
          <w:bCs/>
          <w:sz w:val="24"/>
          <w:highlight w:val="none"/>
        </w:rPr>
      </w:pPr>
      <w:r>
        <w:rPr>
          <w:rFonts w:hint="eastAsia" w:ascii="宋体" w:hAnsi="宋体" w:cs="宋体"/>
          <w:b/>
          <w:bCs/>
          <w:sz w:val="24"/>
          <w:highlight w:val="none"/>
        </w:rPr>
        <w:t>（六）验收方式</w:t>
      </w:r>
    </w:p>
    <w:p>
      <w:pPr>
        <w:tabs>
          <w:tab w:val="left" w:pos="1710"/>
        </w:tabs>
        <w:snapToGrid w:val="0"/>
        <w:spacing w:line="312" w:lineRule="auto"/>
        <w:ind w:firstLine="480" w:firstLineChars="200"/>
        <w:contextualSpacing/>
        <w:rPr>
          <w:rFonts w:ascii="宋体" w:hAnsi="宋体" w:cs="宋体"/>
          <w:sz w:val="24"/>
          <w:highlight w:val="none"/>
        </w:rPr>
      </w:pPr>
      <w:r>
        <w:rPr>
          <w:rFonts w:hint="eastAsia" w:ascii="宋体" w:hAnsi="宋体" w:cs="宋体"/>
          <w:sz w:val="24"/>
          <w:highlight w:val="none"/>
        </w:rPr>
        <w:t>1.由南通市工业和信息化局组织第三方绩效评价（监理）机构对中标单位开展诊断服务过程情况、实施计划完成情况和诊断报告编制内容等进行评审验收，符合评审要求和相关标准，方能通过项目验收。</w:t>
      </w:r>
    </w:p>
    <w:p>
      <w:pPr>
        <w:tabs>
          <w:tab w:val="left" w:pos="1710"/>
        </w:tabs>
        <w:snapToGrid w:val="0"/>
        <w:spacing w:line="312" w:lineRule="auto"/>
        <w:ind w:firstLine="480" w:firstLineChars="200"/>
        <w:contextualSpacing/>
        <w:rPr>
          <w:rFonts w:ascii="宋体" w:hAnsi="宋体" w:cs="宋体"/>
          <w:sz w:val="24"/>
          <w:highlight w:val="none"/>
        </w:rPr>
      </w:pPr>
      <w:r>
        <w:rPr>
          <w:rFonts w:hint="eastAsia" w:ascii="宋体" w:hAnsi="宋体" w:cs="宋体"/>
          <w:sz w:val="24"/>
          <w:highlight w:val="none"/>
        </w:rPr>
        <w:t>2.服务机构需提供规范的服务流程及企业满意度评价。</w:t>
      </w:r>
    </w:p>
    <w:p>
      <w:pPr>
        <w:tabs>
          <w:tab w:val="left" w:pos="1710"/>
        </w:tabs>
        <w:snapToGrid w:val="0"/>
        <w:spacing w:line="312" w:lineRule="auto"/>
        <w:ind w:firstLine="480" w:firstLineChars="200"/>
        <w:contextualSpacing/>
        <w:rPr>
          <w:rFonts w:ascii="宋体" w:hAnsi="宋体" w:cs="宋体"/>
          <w:sz w:val="24"/>
          <w:highlight w:val="none"/>
        </w:rPr>
      </w:pPr>
      <w:r>
        <w:rPr>
          <w:rFonts w:hint="eastAsia" w:ascii="宋体" w:hAnsi="宋体" w:cs="宋体"/>
          <w:sz w:val="24"/>
          <w:highlight w:val="none"/>
        </w:rPr>
        <w:t>3.服务结束后出具符合要求的诊断报告书。</w:t>
      </w:r>
    </w:p>
    <w:p>
      <w:pPr>
        <w:spacing w:line="360" w:lineRule="auto"/>
        <w:ind w:firstLine="560"/>
        <w:jc w:val="left"/>
        <w:rPr>
          <w:rFonts w:ascii="宋体" w:hAnsi="宋体" w:cs="宋体"/>
          <w:b/>
          <w:bCs/>
          <w:sz w:val="24"/>
          <w:highlight w:val="none"/>
        </w:rPr>
      </w:pPr>
      <w:r>
        <w:rPr>
          <w:rFonts w:hint="eastAsia" w:ascii="宋体" w:hAnsi="宋体" w:cs="宋体"/>
          <w:b/>
          <w:bCs/>
          <w:sz w:val="24"/>
          <w:highlight w:val="none"/>
        </w:rPr>
        <w:t>（七）工作方式</w:t>
      </w:r>
    </w:p>
    <w:p>
      <w:pPr>
        <w:tabs>
          <w:tab w:val="left" w:pos="1710"/>
        </w:tabs>
        <w:snapToGrid w:val="0"/>
        <w:spacing w:line="312" w:lineRule="auto"/>
        <w:ind w:firstLine="480" w:firstLineChars="200"/>
        <w:contextualSpacing/>
        <w:rPr>
          <w:rFonts w:ascii="宋体" w:hAnsi="宋体" w:cs="宋体"/>
          <w:sz w:val="24"/>
          <w:highlight w:val="none"/>
        </w:rPr>
      </w:pPr>
      <w:r>
        <w:rPr>
          <w:rFonts w:hint="eastAsia" w:ascii="宋体" w:hAnsi="宋体" w:cs="宋体"/>
          <w:sz w:val="24"/>
          <w:highlight w:val="none"/>
        </w:rPr>
        <w:t>投标供应商对项目的技术服务、进度等负责，并接受南通市工业和信息化局委托的第三方专业监理机构监督管理，采购人及企业积极配合。</w:t>
      </w:r>
    </w:p>
    <w:p>
      <w:pPr>
        <w:tabs>
          <w:tab w:val="left" w:pos="1710"/>
        </w:tabs>
        <w:snapToGrid w:val="0"/>
        <w:spacing w:line="312" w:lineRule="auto"/>
        <w:ind w:firstLine="482" w:firstLineChars="200"/>
        <w:contextualSpacing/>
        <w:rPr>
          <w:rFonts w:ascii="宋体" w:hAnsi="宋体" w:cs="宋体"/>
          <w:b/>
          <w:bCs/>
          <w:sz w:val="24"/>
          <w:highlight w:val="none"/>
        </w:rPr>
      </w:pPr>
      <w:r>
        <w:rPr>
          <w:rFonts w:hint="eastAsia" w:ascii="宋体" w:hAnsi="宋体" w:cs="宋体"/>
          <w:b/>
          <w:bCs/>
          <w:sz w:val="24"/>
          <w:highlight w:val="none"/>
        </w:rPr>
        <w:t>（八）其他要求</w:t>
      </w:r>
    </w:p>
    <w:p>
      <w:pPr>
        <w:tabs>
          <w:tab w:val="left" w:pos="1710"/>
        </w:tabs>
        <w:snapToGrid w:val="0"/>
        <w:spacing w:line="312" w:lineRule="auto"/>
        <w:ind w:firstLine="480" w:firstLineChars="200"/>
        <w:contextualSpacing/>
        <w:rPr>
          <w:rFonts w:ascii="宋体" w:hAnsi="宋体" w:cs="宋体"/>
          <w:sz w:val="24"/>
          <w:highlight w:val="none"/>
        </w:rPr>
      </w:pPr>
      <w:r>
        <w:rPr>
          <w:rFonts w:hint="eastAsia" w:ascii="宋体" w:hAnsi="宋体" w:cs="宋体"/>
          <w:sz w:val="24"/>
          <w:highlight w:val="none"/>
        </w:rPr>
        <w:t>1.中标人须与被服务企业签订保密协议，对各类文档、资料、数据及相关信息承担保密责任，并承诺未经被服务企业书面许可，不得对外泄露。</w:t>
      </w:r>
    </w:p>
    <w:p>
      <w:pPr>
        <w:tabs>
          <w:tab w:val="left" w:pos="1710"/>
        </w:tabs>
        <w:snapToGrid w:val="0"/>
        <w:spacing w:line="312" w:lineRule="auto"/>
        <w:ind w:firstLine="480" w:firstLineChars="200"/>
        <w:contextualSpacing/>
        <w:rPr>
          <w:rFonts w:ascii="宋体" w:hAnsi="宋体" w:cs="宋体"/>
          <w:sz w:val="24"/>
          <w:highlight w:val="none"/>
        </w:rPr>
      </w:pPr>
      <w:r>
        <w:rPr>
          <w:rFonts w:hint="eastAsia" w:ascii="宋体" w:hAnsi="宋体" w:cs="宋体"/>
          <w:sz w:val="24"/>
          <w:highlight w:val="none"/>
        </w:rPr>
        <w:t>2.中标人为被服务企业相关系统和信息安全的第一责任人，承担相应的法律责任。</w:t>
      </w:r>
    </w:p>
    <w:p>
      <w:pPr>
        <w:tabs>
          <w:tab w:val="left" w:pos="1710"/>
        </w:tabs>
        <w:snapToGrid w:val="0"/>
        <w:spacing w:line="312" w:lineRule="auto"/>
        <w:ind w:firstLine="480" w:firstLineChars="200"/>
        <w:contextualSpacing/>
        <w:rPr>
          <w:rFonts w:ascii="宋体" w:hAnsi="宋体" w:cs="宋体"/>
          <w:sz w:val="24"/>
          <w:highlight w:val="none"/>
        </w:rPr>
      </w:pPr>
      <w:r>
        <w:rPr>
          <w:rFonts w:hint="eastAsia" w:ascii="宋体" w:hAnsi="宋体" w:cs="宋体"/>
          <w:sz w:val="24"/>
          <w:highlight w:val="none"/>
        </w:rPr>
        <w:t>3.制定完善、合理、规范、详细的诊断计划，配备人员数量应满足项目需要，严格按照服务实施计划进行，不得因为职责和时间交叉影响项目的完成进度。</w:t>
      </w:r>
    </w:p>
    <w:p>
      <w:pPr>
        <w:tabs>
          <w:tab w:val="left" w:pos="1710"/>
        </w:tabs>
        <w:snapToGrid w:val="0"/>
        <w:spacing w:line="312" w:lineRule="auto"/>
        <w:ind w:firstLine="480" w:firstLineChars="200"/>
        <w:contextualSpacing/>
        <w:rPr>
          <w:rFonts w:ascii="宋体" w:hAnsi="宋体" w:cs="宋体"/>
          <w:sz w:val="24"/>
          <w:highlight w:val="none"/>
        </w:rPr>
      </w:pPr>
      <w:r>
        <w:rPr>
          <w:rFonts w:hint="eastAsia" w:ascii="宋体" w:hAnsi="宋体" w:cs="宋体"/>
          <w:sz w:val="24"/>
          <w:highlight w:val="none"/>
        </w:rPr>
        <w:t>4.明确提出为完成项目需要被服务企业提供的保障条件，包括工作环境要求、配合技术人员要求等。</w:t>
      </w:r>
    </w:p>
    <w:p>
      <w:pPr>
        <w:tabs>
          <w:tab w:val="left" w:pos="1710"/>
        </w:tabs>
        <w:snapToGrid w:val="0"/>
        <w:spacing w:line="312" w:lineRule="auto"/>
        <w:ind w:firstLine="480" w:firstLineChars="200"/>
        <w:contextualSpacing/>
        <w:rPr>
          <w:rFonts w:ascii="宋体" w:hAnsi="宋体" w:cs="宋体"/>
          <w:sz w:val="24"/>
          <w:highlight w:val="none"/>
        </w:rPr>
      </w:pPr>
      <w:r>
        <w:rPr>
          <w:rFonts w:hint="eastAsia" w:ascii="宋体" w:hAnsi="宋体" w:cs="宋体"/>
          <w:sz w:val="24"/>
          <w:highlight w:val="none"/>
        </w:rPr>
        <w:t>5.化工行业诊断的服务机构，需具备相关专业服务经验，或参与过国家、省级行业专项标准编制等工作。涉及到本质安全提升、环境环保等领域具体规范要求的，可商市化治办统筹推进。</w:t>
      </w:r>
    </w:p>
    <w:p>
      <w:pPr>
        <w:tabs>
          <w:tab w:val="left" w:pos="1710"/>
        </w:tabs>
        <w:snapToGrid w:val="0"/>
        <w:spacing w:line="312" w:lineRule="auto"/>
        <w:ind w:firstLine="480" w:firstLineChars="200"/>
        <w:contextualSpacing/>
        <w:rPr>
          <w:rFonts w:ascii="宋体" w:hAnsi="宋体" w:cs="宋体"/>
          <w:sz w:val="24"/>
          <w:highlight w:val="none"/>
        </w:rPr>
      </w:pPr>
      <w:r>
        <w:rPr>
          <w:rFonts w:hint="eastAsia" w:ascii="宋体" w:hAnsi="宋体" w:cs="宋体"/>
          <w:sz w:val="24"/>
          <w:highlight w:val="none"/>
        </w:rPr>
        <w:t>6.采购人可指派一名技术专家，一起参与诊断。</w:t>
      </w:r>
    </w:p>
    <w:p>
      <w:pPr>
        <w:tabs>
          <w:tab w:val="left" w:pos="1710"/>
        </w:tabs>
        <w:snapToGrid w:val="0"/>
        <w:spacing w:line="312" w:lineRule="auto"/>
        <w:ind w:firstLine="480" w:firstLineChars="200"/>
        <w:contextualSpacing/>
        <w:rPr>
          <w:rFonts w:ascii="宋体" w:hAnsi="宋体" w:cs="宋体"/>
          <w:sz w:val="24"/>
          <w:highlight w:val="none"/>
        </w:rPr>
      </w:pPr>
      <w:r>
        <w:rPr>
          <w:rFonts w:hint="eastAsia" w:ascii="宋体" w:hAnsi="宋体" w:cs="宋体"/>
          <w:sz w:val="24"/>
          <w:highlight w:val="none"/>
        </w:rPr>
        <w:t>7.其它未尽事宜待合同签订时商定。</w:t>
      </w:r>
    </w:p>
    <w:p>
      <w:pPr>
        <w:pStyle w:val="19"/>
        <w:rPr>
          <w:rFonts w:ascii="宋体" w:hAnsi="宋体" w:eastAsia="宋体" w:cs="宋体"/>
          <w:highlight w:val="none"/>
        </w:rPr>
      </w:pPr>
    </w:p>
    <w:p>
      <w:pPr>
        <w:tabs>
          <w:tab w:val="left" w:pos="1710"/>
        </w:tabs>
        <w:snapToGrid w:val="0"/>
        <w:spacing w:line="312" w:lineRule="auto"/>
        <w:ind w:firstLine="482" w:firstLineChars="200"/>
        <w:contextualSpacing/>
        <w:rPr>
          <w:rFonts w:ascii="宋体" w:hAnsi="宋体" w:cs="宋体"/>
          <w:b/>
          <w:bCs/>
          <w:sz w:val="24"/>
          <w:highlight w:val="none"/>
        </w:rPr>
      </w:pPr>
      <w:r>
        <w:rPr>
          <w:rFonts w:hint="eastAsia" w:ascii="宋体" w:hAnsi="宋体" w:cs="宋体"/>
          <w:b/>
          <w:bCs/>
          <w:sz w:val="24"/>
          <w:highlight w:val="none"/>
        </w:rPr>
        <w:t>（九）付款方式</w:t>
      </w:r>
    </w:p>
    <w:p>
      <w:pPr>
        <w:tabs>
          <w:tab w:val="left" w:pos="1710"/>
        </w:tabs>
        <w:snapToGrid w:val="0"/>
        <w:spacing w:line="312" w:lineRule="auto"/>
        <w:ind w:firstLine="480" w:firstLineChars="200"/>
        <w:contextualSpacing/>
        <w:rPr>
          <w:rFonts w:ascii="宋体" w:hAnsi="宋体" w:cs="宋体"/>
          <w:sz w:val="24"/>
          <w:highlight w:val="none"/>
        </w:rPr>
      </w:pPr>
      <w:r>
        <w:rPr>
          <w:rFonts w:hint="eastAsia" w:ascii="宋体" w:hAnsi="宋体" w:cs="宋体"/>
          <w:sz w:val="24"/>
          <w:highlight w:val="none"/>
        </w:rPr>
        <w:t>1.以实际诊断服务企业数量乘以投标供应商报价单价进行结算。</w:t>
      </w:r>
    </w:p>
    <w:p>
      <w:pPr>
        <w:tabs>
          <w:tab w:val="left" w:pos="1710"/>
        </w:tabs>
        <w:snapToGrid w:val="0"/>
        <w:spacing w:line="312" w:lineRule="auto"/>
        <w:ind w:firstLine="480" w:firstLineChars="200"/>
        <w:contextualSpacing/>
        <w:rPr>
          <w:rFonts w:ascii="宋体" w:hAnsi="宋体" w:cs="宋体"/>
          <w:sz w:val="24"/>
          <w:highlight w:val="none"/>
        </w:rPr>
      </w:pPr>
      <w:r>
        <w:rPr>
          <w:rFonts w:hint="eastAsia" w:ascii="宋体" w:hAnsi="宋体" w:cs="宋体"/>
          <w:sz w:val="24"/>
          <w:highlight w:val="none"/>
        </w:rPr>
        <w:t>2.对于诊断报告内容雷同率较高，企业和专家评价认可度较低，综合评定不通过的，不予以支付。</w:t>
      </w:r>
    </w:p>
    <w:p>
      <w:pPr>
        <w:tabs>
          <w:tab w:val="left" w:pos="1710"/>
        </w:tabs>
        <w:snapToGrid w:val="0"/>
        <w:spacing w:line="312" w:lineRule="auto"/>
        <w:ind w:firstLine="480" w:firstLineChars="200"/>
        <w:contextualSpacing/>
        <w:rPr>
          <w:rFonts w:ascii="宋体" w:hAnsi="宋体" w:cs="宋体"/>
          <w:sz w:val="24"/>
          <w:highlight w:val="none"/>
        </w:rPr>
      </w:pPr>
      <w:r>
        <w:rPr>
          <w:rFonts w:hint="eastAsia" w:ascii="宋体" w:hAnsi="宋体" w:cs="宋体"/>
          <w:sz w:val="24"/>
          <w:highlight w:val="none"/>
        </w:rPr>
        <w:t>3.合同签订后，支付合同金额的20%，诊断服务结束且采购人验收合格后支付尾款。每次付款前，成交供应商应提前十日提供合法足额发票，否则采购人付款时间顺延。</w:t>
      </w:r>
    </w:p>
    <w:p>
      <w:pPr>
        <w:tabs>
          <w:tab w:val="left" w:pos="1710"/>
        </w:tabs>
        <w:snapToGrid w:val="0"/>
        <w:spacing w:line="312" w:lineRule="auto"/>
        <w:ind w:firstLine="480" w:firstLineChars="200"/>
        <w:contextualSpacing/>
        <w:rPr>
          <w:rFonts w:ascii="宋体" w:hAnsi="宋体" w:cs="宋体"/>
          <w:sz w:val="24"/>
          <w:highlight w:val="none"/>
        </w:rPr>
      </w:pPr>
    </w:p>
    <w:p>
      <w:pPr>
        <w:snapToGrid w:val="0"/>
        <w:spacing w:line="360" w:lineRule="auto"/>
        <w:jc w:val="center"/>
        <w:outlineLvl w:val="0"/>
        <w:rPr>
          <w:rFonts w:asciiTheme="majorEastAsia" w:hAnsiTheme="majorEastAsia" w:eastAsiaTheme="majorEastAsia" w:cstheme="majorEastAsia"/>
          <w:b/>
          <w:sz w:val="36"/>
          <w:szCs w:val="36"/>
          <w:highlight w:val="none"/>
        </w:rPr>
      </w:pPr>
    </w:p>
    <w:p>
      <w:pPr>
        <w:rPr>
          <w:highlight w:val="none"/>
        </w:rPr>
      </w:pPr>
      <w:r>
        <w:rPr>
          <w:rFonts w:hint="eastAsia" w:asciiTheme="majorEastAsia" w:hAnsiTheme="majorEastAsia" w:eastAsiaTheme="majorEastAsia" w:cstheme="majorEastAsia"/>
          <w:b/>
          <w:sz w:val="36"/>
          <w:szCs w:val="36"/>
          <w:highlight w:val="none"/>
        </w:rPr>
        <w:br w:type="page"/>
      </w:r>
    </w:p>
    <w:p>
      <w:pPr>
        <w:snapToGrid w:val="0"/>
        <w:spacing w:line="360" w:lineRule="auto"/>
        <w:jc w:val="center"/>
        <w:outlineLvl w:val="0"/>
        <w:rPr>
          <w:rFonts w:asciiTheme="majorEastAsia" w:hAnsiTheme="majorEastAsia" w:eastAsiaTheme="majorEastAsia" w:cstheme="majorEastAsia"/>
          <w:b/>
          <w:sz w:val="36"/>
          <w:szCs w:val="36"/>
          <w:highlight w:val="none"/>
        </w:rPr>
      </w:pPr>
      <w:r>
        <w:rPr>
          <w:rFonts w:hint="eastAsia" w:asciiTheme="majorEastAsia" w:hAnsiTheme="majorEastAsia" w:eastAsiaTheme="majorEastAsia" w:cstheme="majorEastAsia"/>
          <w:b/>
          <w:sz w:val="36"/>
          <w:szCs w:val="36"/>
          <w:highlight w:val="none"/>
        </w:rPr>
        <w:t>第四部分开标和评标</w:t>
      </w:r>
    </w:p>
    <w:p>
      <w:pPr>
        <w:snapToGrid w:val="0"/>
        <w:spacing w:line="312" w:lineRule="auto"/>
        <w:ind w:firstLine="482" w:firstLineChars="200"/>
        <w:contextualSpacing/>
        <w:rPr>
          <w:rFonts w:ascii="宋体" w:hAnsi="宋体" w:cs="宋体"/>
          <w:b/>
          <w:bCs/>
          <w:kern w:val="0"/>
          <w:sz w:val="24"/>
          <w:highlight w:val="none"/>
          <w:lang w:val="zh-CN"/>
        </w:rPr>
      </w:pPr>
      <w:r>
        <w:rPr>
          <w:rFonts w:hint="eastAsia" w:ascii="宋体" w:hAnsi="宋体" w:cs="宋体"/>
          <w:b/>
          <w:bCs/>
          <w:kern w:val="0"/>
          <w:sz w:val="24"/>
          <w:highlight w:val="none"/>
          <w:lang w:val="zh-CN"/>
        </w:rPr>
        <w:t>一、采购人组织开标</w:t>
      </w:r>
    </w:p>
    <w:p>
      <w:pPr>
        <w:snapToGrid w:val="0"/>
        <w:spacing w:line="312" w:lineRule="auto"/>
        <w:ind w:firstLine="482" w:firstLineChars="200"/>
        <w:contextualSpacing/>
        <w:rPr>
          <w:rFonts w:ascii="宋体" w:hAnsi="宋体" w:cs="宋体"/>
          <w:kern w:val="0"/>
          <w:sz w:val="24"/>
          <w:highlight w:val="none"/>
        </w:rPr>
      </w:pPr>
      <w:r>
        <w:rPr>
          <w:rFonts w:hint="eastAsia" w:ascii="宋体" w:hAnsi="宋体" w:cs="宋体"/>
          <w:b/>
          <w:bCs/>
          <w:kern w:val="0"/>
          <w:sz w:val="24"/>
          <w:highlight w:val="none"/>
        </w:rPr>
        <w:t>本项目采用现场模式，投标供应商递交纸质投标文件。</w:t>
      </w:r>
    </w:p>
    <w:p>
      <w:pPr>
        <w:snapToGrid w:val="0"/>
        <w:spacing w:line="312" w:lineRule="auto"/>
        <w:ind w:firstLine="482" w:firstLineChars="200"/>
        <w:contextualSpacing/>
        <w:rPr>
          <w:rFonts w:ascii="宋体" w:hAnsi="宋体" w:cs="宋体"/>
          <w:b/>
          <w:bCs/>
          <w:kern w:val="0"/>
          <w:sz w:val="24"/>
          <w:highlight w:val="none"/>
        </w:rPr>
      </w:pPr>
      <w:r>
        <w:rPr>
          <w:rFonts w:hint="eastAsia" w:ascii="宋体" w:hAnsi="宋体" w:cs="宋体"/>
          <w:b/>
          <w:bCs/>
          <w:kern w:val="0"/>
          <w:sz w:val="24"/>
          <w:highlight w:val="none"/>
          <w:lang w:val="zh-CN"/>
        </w:rPr>
        <w:t>二、评委会</w:t>
      </w:r>
      <w:r>
        <w:rPr>
          <w:rFonts w:hint="eastAsia" w:ascii="宋体" w:hAnsi="宋体" w:cs="宋体"/>
          <w:b/>
          <w:bCs/>
          <w:kern w:val="0"/>
          <w:sz w:val="24"/>
          <w:highlight w:val="none"/>
        </w:rPr>
        <w:t>实施评标工作</w:t>
      </w:r>
    </w:p>
    <w:p>
      <w:pPr>
        <w:snapToGrid w:val="0"/>
        <w:spacing w:line="312" w:lineRule="auto"/>
        <w:ind w:firstLine="480" w:firstLineChars="200"/>
        <w:contextualSpacing/>
        <w:rPr>
          <w:rFonts w:ascii="宋体" w:hAnsi="宋体" w:cs="宋体"/>
          <w:kern w:val="0"/>
          <w:sz w:val="24"/>
          <w:highlight w:val="none"/>
          <w:lang w:val="zh-CN"/>
        </w:rPr>
      </w:pPr>
      <w:r>
        <w:rPr>
          <w:rFonts w:hint="eastAsia" w:ascii="宋体" w:hAnsi="宋体" w:cs="宋体"/>
          <w:kern w:val="0"/>
          <w:sz w:val="24"/>
          <w:highlight w:val="none"/>
          <w:lang w:val="zh-CN"/>
        </w:rPr>
        <w:t>评</w:t>
      </w:r>
      <w:r>
        <w:rPr>
          <w:rFonts w:hint="eastAsia" w:ascii="宋体" w:hAnsi="宋体" w:cs="宋体"/>
          <w:kern w:val="0"/>
          <w:sz w:val="24"/>
          <w:highlight w:val="none"/>
        </w:rPr>
        <w:t>标</w:t>
      </w:r>
      <w:r>
        <w:rPr>
          <w:rFonts w:hint="eastAsia" w:ascii="宋体" w:hAnsi="宋体" w:cs="宋体"/>
          <w:kern w:val="0"/>
          <w:sz w:val="24"/>
          <w:highlight w:val="none"/>
          <w:lang w:val="zh-CN"/>
        </w:rPr>
        <w:t>委</w:t>
      </w:r>
      <w:r>
        <w:rPr>
          <w:rFonts w:hint="eastAsia" w:ascii="宋体" w:hAnsi="宋体" w:cs="宋体"/>
          <w:kern w:val="0"/>
          <w:sz w:val="24"/>
          <w:highlight w:val="none"/>
        </w:rPr>
        <w:t>员</w:t>
      </w:r>
      <w:r>
        <w:rPr>
          <w:rFonts w:hint="eastAsia" w:ascii="宋体" w:hAnsi="宋体" w:cs="宋体"/>
          <w:kern w:val="0"/>
          <w:sz w:val="24"/>
          <w:highlight w:val="none"/>
          <w:lang w:val="zh-CN"/>
        </w:rPr>
        <w:t>会由有关专家和采购人代表组成，按照公平、公正、择优的原则进行独立评标。由采购人代表对投标供应商资格性、符合性审查，对未通过审查的供应商，应现场告知原因。评委会对合格供应商的投标文件进行评审。</w:t>
      </w:r>
    </w:p>
    <w:p>
      <w:pPr>
        <w:snapToGrid w:val="0"/>
        <w:spacing w:line="312" w:lineRule="auto"/>
        <w:ind w:firstLine="482" w:firstLineChars="200"/>
        <w:contextualSpacing/>
        <w:rPr>
          <w:rFonts w:ascii="宋体" w:hAnsi="宋体" w:cs="宋体"/>
          <w:b/>
          <w:bCs/>
          <w:kern w:val="0"/>
          <w:sz w:val="24"/>
          <w:highlight w:val="none"/>
          <w:lang w:val="zh-CN"/>
        </w:rPr>
      </w:pPr>
      <w:r>
        <w:rPr>
          <w:rFonts w:hint="eastAsia" w:ascii="宋体" w:hAnsi="宋体" w:cs="宋体"/>
          <w:b/>
          <w:bCs/>
          <w:kern w:val="0"/>
          <w:sz w:val="24"/>
          <w:highlight w:val="none"/>
          <w:lang w:val="zh-CN"/>
        </w:rPr>
        <w:t>（一）评审内容</w:t>
      </w:r>
    </w:p>
    <w:p>
      <w:pPr>
        <w:snapToGrid w:val="0"/>
        <w:spacing w:line="312" w:lineRule="auto"/>
        <w:ind w:firstLine="480" w:firstLineChars="200"/>
        <w:contextualSpacing/>
        <w:rPr>
          <w:rFonts w:ascii="宋体" w:hAnsi="宋体" w:cs="宋体"/>
          <w:kern w:val="0"/>
          <w:sz w:val="24"/>
          <w:highlight w:val="none"/>
          <w:lang w:val="zh-CN"/>
        </w:rPr>
      </w:pPr>
      <w:r>
        <w:rPr>
          <w:rFonts w:hint="eastAsia" w:ascii="宋体" w:hAnsi="宋体" w:cs="宋体"/>
          <w:kern w:val="0"/>
          <w:sz w:val="24"/>
          <w:highlight w:val="none"/>
          <w:lang w:val="zh-CN"/>
        </w:rPr>
        <w:t>1.要求的保证金是否已提供；</w:t>
      </w:r>
    </w:p>
    <w:p>
      <w:pPr>
        <w:snapToGrid w:val="0"/>
        <w:spacing w:line="312" w:lineRule="auto"/>
        <w:ind w:firstLine="480" w:firstLineChars="200"/>
        <w:contextualSpacing/>
        <w:rPr>
          <w:rFonts w:ascii="宋体" w:hAnsi="宋体" w:cs="宋体"/>
          <w:kern w:val="0"/>
          <w:sz w:val="24"/>
          <w:highlight w:val="none"/>
          <w:lang w:val="zh-CN"/>
        </w:rPr>
      </w:pPr>
      <w:r>
        <w:rPr>
          <w:rFonts w:hint="eastAsia" w:ascii="宋体" w:hAnsi="宋体" w:cs="宋体"/>
          <w:kern w:val="0"/>
          <w:sz w:val="24"/>
          <w:highlight w:val="none"/>
        </w:rPr>
        <w:t>2</w:t>
      </w:r>
      <w:r>
        <w:rPr>
          <w:rFonts w:hint="eastAsia" w:ascii="宋体" w:hAnsi="宋体" w:cs="宋体"/>
          <w:kern w:val="0"/>
          <w:sz w:val="24"/>
          <w:highlight w:val="none"/>
          <w:lang w:val="zh-CN"/>
        </w:rPr>
        <w:t>.投标资格是否符合（由采购人代表审查）;</w:t>
      </w:r>
    </w:p>
    <w:p>
      <w:pPr>
        <w:snapToGrid w:val="0"/>
        <w:spacing w:line="312" w:lineRule="auto"/>
        <w:ind w:firstLine="480" w:firstLineChars="200"/>
        <w:contextualSpacing/>
        <w:rPr>
          <w:rFonts w:ascii="宋体" w:hAnsi="宋体" w:cs="宋体"/>
          <w:kern w:val="0"/>
          <w:sz w:val="24"/>
          <w:highlight w:val="none"/>
          <w:lang w:val="zh-CN"/>
        </w:rPr>
      </w:pPr>
      <w:r>
        <w:rPr>
          <w:rFonts w:hint="eastAsia" w:ascii="宋体" w:hAnsi="宋体" w:cs="宋体"/>
          <w:kern w:val="0"/>
          <w:sz w:val="24"/>
          <w:highlight w:val="none"/>
        </w:rPr>
        <w:t>3</w:t>
      </w:r>
      <w:r>
        <w:rPr>
          <w:rFonts w:hint="eastAsia" w:ascii="宋体" w:hAnsi="宋体" w:cs="宋体"/>
          <w:kern w:val="0"/>
          <w:sz w:val="24"/>
          <w:highlight w:val="none"/>
          <w:lang w:val="zh-CN"/>
        </w:rPr>
        <w:t>.投标文件是否完整；</w:t>
      </w:r>
    </w:p>
    <w:p>
      <w:pPr>
        <w:snapToGrid w:val="0"/>
        <w:spacing w:line="312" w:lineRule="auto"/>
        <w:ind w:firstLine="480" w:firstLineChars="200"/>
        <w:contextualSpacing/>
        <w:rPr>
          <w:rFonts w:ascii="宋体" w:hAnsi="宋体" w:cs="宋体"/>
          <w:kern w:val="0"/>
          <w:sz w:val="24"/>
          <w:highlight w:val="none"/>
          <w:lang w:val="zh-CN"/>
        </w:rPr>
      </w:pPr>
      <w:r>
        <w:rPr>
          <w:rFonts w:hint="eastAsia" w:ascii="宋体" w:hAnsi="宋体" w:cs="宋体"/>
          <w:kern w:val="0"/>
          <w:sz w:val="24"/>
          <w:highlight w:val="none"/>
        </w:rPr>
        <w:t>4</w:t>
      </w:r>
      <w:r>
        <w:rPr>
          <w:rFonts w:hint="eastAsia" w:ascii="宋体" w:hAnsi="宋体" w:cs="宋体"/>
          <w:kern w:val="0"/>
          <w:sz w:val="24"/>
          <w:highlight w:val="none"/>
          <w:lang w:val="zh-CN"/>
        </w:rPr>
        <w:t>.投标文件是否恰当地签署；</w:t>
      </w:r>
    </w:p>
    <w:p>
      <w:pPr>
        <w:snapToGrid w:val="0"/>
        <w:spacing w:line="312" w:lineRule="auto"/>
        <w:ind w:firstLine="480" w:firstLineChars="200"/>
        <w:contextualSpacing/>
        <w:rPr>
          <w:rFonts w:ascii="宋体" w:hAnsi="宋体" w:cs="宋体"/>
          <w:kern w:val="0"/>
          <w:sz w:val="24"/>
          <w:highlight w:val="none"/>
          <w:lang w:val="zh-CN"/>
        </w:rPr>
      </w:pPr>
      <w:r>
        <w:rPr>
          <w:rFonts w:hint="eastAsia" w:ascii="宋体" w:hAnsi="宋体" w:cs="宋体"/>
          <w:kern w:val="0"/>
          <w:sz w:val="24"/>
          <w:highlight w:val="none"/>
        </w:rPr>
        <w:t>5</w:t>
      </w:r>
      <w:r>
        <w:rPr>
          <w:rFonts w:hint="eastAsia" w:ascii="宋体" w:hAnsi="宋体" w:cs="宋体"/>
          <w:kern w:val="0"/>
          <w:sz w:val="24"/>
          <w:highlight w:val="none"/>
          <w:lang w:val="zh-CN"/>
        </w:rPr>
        <w:t>.是否作出实质性响应（是否有实质性响应，只根据投标文件本身，而不寻求外部证据）；</w:t>
      </w:r>
    </w:p>
    <w:p>
      <w:pPr>
        <w:snapToGrid w:val="0"/>
        <w:spacing w:line="312" w:lineRule="auto"/>
        <w:ind w:firstLine="480" w:firstLineChars="200"/>
        <w:contextualSpacing/>
        <w:rPr>
          <w:rFonts w:ascii="宋体" w:hAnsi="宋体" w:cs="宋体"/>
          <w:kern w:val="0"/>
          <w:sz w:val="24"/>
          <w:highlight w:val="none"/>
          <w:lang w:val="zh-CN"/>
        </w:rPr>
      </w:pPr>
      <w:r>
        <w:rPr>
          <w:rFonts w:hint="eastAsia" w:ascii="宋体" w:hAnsi="宋体" w:cs="宋体"/>
          <w:kern w:val="0"/>
          <w:sz w:val="24"/>
          <w:highlight w:val="none"/>
        </w:rPr>
        <w:t>6</w:t>
      </w:r>
      <w:r>
        <w:rPr>
          <w:rFonts w:hint="eastAsia" w:ascii="宋体" w:hAnsi="宋体" w:cs="宋体"/>
          <w:kern w:val="0"/>
          <w:sz w:val="24"/>
          <w:highlight w:val="none"/>
          <w:lang w:val="zh-CN"/>
        </w:rPr>
        <w:t>.是否有计算错误。</w:t>
      </w:r>
    </w:p>
    <w:p>
      <w:pPr>
        <w:snapToGrid w:val="0"/>
        <w:spacing w:line="312" w:lineRule="auto"/>
        <w:ind w:firstLine="482" w:firstLineChars="200"/>
        <w:contextualSpacing/>
        <w:rPr>
          <w:rFonts w:ascii="宋体" w:hAnsi="宋体" w:cs="宋体"/>
          <w:b/>
          <w:bCs/>
          <w:kern w:val="0"/>
          <w:sz w:val="24"/>
          <w:highlight w:val="none"/>
          <w:lang w:val="zh-CN"/>
        </w:rPr>
      </w:pPr>
      <w:r>
        <w:rPr>
          <w:rFonts w:hint="eastAsia" w:ascii="宋体" w:hAnsi="宋体" w:cs="宋体"/>
          <w:b/>
          <w:bCs/>
          <w:kern w:val="0"/>
          <w:sz w:val="24"/>
          <w:highlight w:val="none"/>
          <w:lang w:val="zh-CN"/>
        </w:rPr>
        <w:t>（二）相应的规定</w:t>
      </w:r>
    </w:p>
    <w:p>
      <w:pPr>
        <w:snapToGrid w:val="0"/>
        <w:spacing w:line="312" w:lineRule="auto"/>
        <w:ind w:firstLine="480" w:firstLineChars="200"/>
        <w:contextualSpacing/>
        <w:rPr>
          <w:rFonts w:ascii="宋体" w:hAnsi="宋体" w:cs="宋体"/>
          <w:kern w:val="0"/>
          <w:sz w:val="24"/>
          <w:highlight w:val="none"/>
          <w:lang w:val="zh-CN"/>
        </w:rPr>
      </w:pPr>
      <w:r>
        <w:rPr>
          <w:rFonts w:hint="eastAsia" w:ascii="宋体" w:hAnsi="宋体" w:cs="宋体"/>
          <w:kern w:val="0"/>
          <w:sz w:val="24"/>
          <w:highlight w:val="none"/>
          <w:lang w:val="zh-CN"/>
        </w:rPr>
        <w:t>1.如果单价汇总金额与总价金额有出入，以单价金额计算结果为准；</w:t>
      </w:r>
    </w:p>
    <w:p>
      <w:pPr>
        <w:snapToGrid w:val="0"/>
        <w:spacing w:line="312" w:lineRule="auto"/>
        <w:ind w:firstLine="480" w:firstLineChars="200"/>
        <w:contextualSpacing/>
        <w:rPr>
          <w:rFonts w:ascii="宋体" w:hAnsi="宋体" w:cs="宋体"/>
          <w:kern w:val="0"/>
          <w:sz w:val="24"/>
          <w:highlight w:val="none"/>
          <w:lang w:val="zh-CN"/>
        </w:rPr>
      </w:pPr>
      <w:r>
        <w:rPr>
          <w:rFonts w:hint="eastAsia" w:ascii="宋体" w:hAnsi="宋体" w:cs="宋体"/>
          <w:kern w:val="0"/>
          <w:sz w:val="24"/>
          <w:highlight w:val="none"/>
          <w:lang w:val="zh-CN"/>
        </w:rPr>
        <w:t>2.单价金额小数点有明显错位的，应以总价为准；</w:t>
      </w:r>
    </w:p>
    <w:p>
      <w:pPr>
        <w:snapToGrid w:val="0"/>
        <w:spacing w:line="312" w:lineRule="auto"/>
        <w:ind w:firstLine="480" w:firstLineChars="200"/>
        <w:contextualSpacing/>
        <w:rPr>
          <w:rFonts w:ascii="宋体" w:hAnsi="宋体" w:cs="宋体"/>
          <w:kern w:val="0"/>
          <w:sz w:val="24"/>
          <w:highlight w:val="none"/>
          <w:lang w:val="zh-CN"/>
        </w:rPr>
      </w:pPr>
      <w:r>
        <w:rPr>
          <w:rFonts w:hint="eastAsia" w:ascii="宋体" w:hAnsi="宋体" w:cs="宋体"/>
          <w:kern w:val="0"/>
          <w:sz w:val="24"/>
          <w:highlight w:val="none"/>
          <w:lang w:val="zh-CN"/>
        </w:rPr>
        <w:t>3.若文件大写表示的数据与数字表示的有差别，以大写表示的数据为准；</w:t>
      </w:r>
    </w:p>
    <w:p>
      <w:pPr>
        <w:snapToGrid w:val="0"/>
        <w:spacing w:line="312" w:lineRule="auto"/>
        <w:ind w:firstLine="480" w:firstLineChars="200"/>
        <w:contextualSpacing/>
        <w:rPr>
          <w:rFonts w:ascii="宋体" w:hAnsi="宋体" w:cs="宋体"/>
          <w:kern w:val="0"/>
          <w:sz w:val="24"/>
          <w:highlight w:val="none"/>
          <w:lang w:val="zh-CN"/>
        </w:rPr>
      </w:pPr>
      <w:r>
        <w:rPr>
          <w:rFonts w:hint="eastAsia" w:ascii="宋体" w:hAnsi="宋体" w:cs="宋体"/>
          <w:kern w:val="0"/>
          <w:sz w:val="24"/>
          <w:highlight w:val="none"/>
          <w:lang w:val="zh-CN"/>
        </w:rPr>
        <w:t>4.投标文件中开标一览表（报价表）内容与投标文件中其他内容不一致的，以开标一览表（报价表）为准。</w:t>
      </w:r>
    </w:p>
    <w:p>
      <w:pPr>
        <w:snapToGrid w:val="0"/>
        <w:spacing w:line="312" w:lineRule="auto"/>
        <w:ind w:firstLine="482" w:firstLineChars="200"/>
        <w:contextualSpacing/>
        <w:rPr>
          <w:rFonts w:ascii="宋体" w:hAnsi="宋体" w:cs="宋体"/>
          <w:b/>
          <w:bCs/>
          <w:kern w:val="0"/>
          <w:sz w:val="24"/>
          <w:highlight w:val="none"/>
          <w:lang w:val="zh-CN"/>
        </w:rPr>
      </w:pPr>
      <w:r>
        <w:rPr>
          <w:rFonts w:hint="eastAsia" w:ascii="宋体" w:hAnsi="宋体" w:cs="宋体"/>
          <w:b/>
          <w:bCs/>
          <w:kern w:val="0"/>
          <w:sz w:val="24"/>
          <w:highlight w:val="none"/>
          <w:lang w:val="zh-CN"/>
        </w:rPr>
        <w:t>三、陈述、演示、答疑、澄清</w:t>
      </w:r>
    </w:p>
    <w:p>
      <w:pPr>
        <w:snapToGrid w:val="0"/>
        <w:spacing w:line="312" w:lineRule="auto"/>
        <w:ind w:firstLine="480" w:firstLineChars="200"/>
        <w:contextualSpacing/>
        <w:rPr>
          <w:rFonts w:ascii="宋体" w:hAnsi="宋体" w:cs="宋体"/>
          <w:kern w:val="0"/>
          <w:sz w:val="24"/>
          <w:highlight w:val="none"/>
          <w:lang w:val="zh-CN"/>
        </w:rPr>
      </w:pPr>
      <w:r>
        <w:rPr>
          <w:rFonts w:hint="eastAsia" w:ascii="宋体" w:hAnsi="宋体" w:cs="宋体"/>
          <w:kern w:val="0"/>
          <w:sz w:val="24"/>
          <w:highlight w:val="none"/>
          <w:lang w:val="zh-CN"/>
        </w:rPr>
        <w:t>如评委会认为有必要，投标供应商按评委会的要求作陈述、演示、答疑及澄清其投标内容。时间由评委会掌握。</w:t>
      </w:r>
    </w:p>
    <w:p>
      <w:pPr>
        <w:snapToGrid w:val="0"/>
        <w:spacing w:line="312" w:lineRule="auto"/>
        <w:ind w:firstLine="480" w:firstLineChars="200"/>
        <w:contextualSpacing/>
        <w:rPr>
          <w:rFonts w:ascii="宋体" w:hAnsi="宋体" w:cs="宋体"/>
          <w:kern w:val="0"/>
          <w:sz w:val="24"/>
          <w:highlight w:val="none"/>
          <w:lang w:val="zh-CN"/>
        </w:rPr>
      </w:pPr>
      <w:r>
        <w:rPr>
          <w:rFonts w:hint="eastAsia" w:ascii="宋体" w:hAnsi="宋体" w:cs="宋体"/>
          <w:kern w:val="0"/>
          <w:sz w:val="24"/>
          <w:highlight w:val="none"/>
          <w:lang w:val="zh-CN"/>
        </w:rPr>
        <w:t>重要澄清答复应是书面的，但不得对投标内容进行实质性修改。</w:t>
      </w:r>
    </w:p>
    <w:p>
      <w:pPr>
        <w:snapToGrid w:val="0"/>
        <w:spacing w:line="312" w:lineRule="auto"/>
        <w:ind w:firstLine="482" w:firstLineChars="200"/>
        <w:contextualSpacing/>
        <w:rPr>
          <w:rFonts w:ascii="宋体" w:hAnsi="宋体" w:cs="宋体"/>
          <w:b/>
          <w:bCs/>
          <w:kern w:val="0"/>
          <w:sz w:val="24"/>
          <w:highlight w:val="none"/>
          <w:lang w:val="zh-CN"/>
        </w:rPr>
      </w:pPr>
      <w:r>
        <w:rPr>
          <w:rFonts w:hint="eastAsia" w:ascii="宋体" w:hAnsi="宋体" w:cs="宋体"/>
          <w:b/>
          <w:bCs/>
          <w:kern w:val="0"/>
          <w:sz w:val="24"/>
          <w:highlight w:val="none"/>
          <w:lang w:val="zh-CN"/>
        </w:rPr>
        <w:t>四、出现下列情形之一的，作无效投标处理</w:t>
      </w:r>
    </w:p>
    <w:p>
      <w:pPr>
        <w:snapToGrid w:val="0"/>
        <w:spacing w:line="312" w:lineRule="auto"/>
        <w:ind w:firstLine="480" w:firstLineChars="200"/>
        <w:contextualSpacing/>
        <w:rPr>
          <w:rFonts w:ascii="宋体" w:hAnsi="宋体" w:cs="宋体"/>
          <w:kern w:val="0"/>
          <w:sz w:val="24"/>
          <w:highlight w:val="none"/>
          <w:lang w:val="zh-CN"/>
        </w:rPr>
      </w:pPr>
      <w:r>
        <w:rPr>
          <w:rFonts w:hint="eastAsia" w:ascii="宋体" w:hAnsi="宋体" w:cs="宋体"/>
          <w:kern w:val="0"/>
          <w:sz w:val="24"/>
          <w:highlight w:val="none"/>
        </w:rPr>
        <w:t>1</w:t>
      </w:r>
      <w:r>
        <w:rPr>
          <w:rFonts w:hint="eastAsia" w:ascii="宋体" w:hAnsi="宋体" w:cs="宋体"/>
          <w:kern w:val="0"/>
          <w:sz w:val="24"/>
          <w:highlight w:val="none"/>
          <w:lang w:val="zh-CN"/>
        </w:rPr>
        <w:t>.未按照招标文件规定要求签署、签章的；</w:t>
      </w:r>
    </w:p>
    <w:p>
      <w:pPr>
        <w:snapToGrid w:val="0"/>
        <w:spacing w:line="312" w:lineRule="auto"/>
        <w:ind w:firstLine="480" w:firstLineChars="200"/>
        <w:contextualSpacing/>
        <w:rPr>
          <w:rFonts w:ascii="宋体" w:hAnsi="宋体" w:cs="宋体"/>
          <w:kern w:val="0"/>
          <w:sz w:val="24"/>
          <w:highlight w:val="none"/>
          <w:lang w:val="zh-CN"/>
        </w:rPr>
      </w:pPr>
      <w:r>
        <w:rPr>
          <w:rFonts w:hint="eastAsia" w:ascii="宋体" w:hAnsi="宋体" w:cs="宋体"/>
          <w:kern w:val="0"/>
          <w:sz w:val="24"/>
          <w:highlight w:val="none"/>
        </w:rPr>
        <w:t>2</w:t>
      </w:r>
      <w:r>
        <w:rPr>
          <w:rFonts w:hint="eastAsia" w:ascii="宋体" w:hAnsi="宋体" w:cs="宋体"/>
          <w:kern w:val="0"/>
          <w:sz w:val="24"/>
          <w:highlight w:val="none"/>
          <w:lang w:val="zh-CN"/>
        </w:rPr>
        <w:t>.不具备招标文件中规定的资格要求的；</w:t>
      </w:r>
    </w:p>
    <w:p>
      <w:pPr>
        <w:snapToGrid w:val="0"/>
        <w:spacing w:line="312" w:lineRule="auto"/>
        <w:ind w:firstLine="480" w:firstLineChars="200"/>
        <w:contextualSpacing/>
        <w:rPr>
          <w:rFonts w:ascii="宋体" w:hAnsi="宋体" w:cs="宋体"/>
          <w:kern w:val="0"/>
          <w:sz w:val="24"/>
          <w:highlight w:val="none"/>
          <w:lang w:val="zh-CN"/>
        </w:rPr>
      </w:pPr>
      <w:r>
        <w:rPr>
          <w:rFonts w:hint="eastAsia" w:ascii="宋体" w:hAnsi="宋体" w:cs="宋体"/>
          <w:kern w:val="0"/>
          <w:sz w:val="24"/>
          <w:highlight w:val="none"/>
        </w:rPr>
        <w:t>3</w:t>
      </w:r>
      <w:r>
        <w:rPr>
          <w:rFonts w:hint="eastAsia" w:ascii="宋体" w:hAnsi="宋体" w:cs="宋体"/>
          <w:kern w:val="0"/>
          <w:sz w:val="24"/>
          <w:highlight w:val="none"/>
          <w:lang w:val="zh-CN"/>
        </w:rPr>
        <w:t>.报价超过招标文件中规定的预算金额或者</w:t>
      </w:r>
      <w:r>
        <w:rPr>
          <w:rFonts w:hint="eastAsia" w:ascii="宋体" w:hAnsi="宋体" w:cs="宋体"/>
          <w:kern w:val="0"/>
          <w:sz w:val="24"/>
          <w:highlight w:val="none"/>
        </w:rPr>
        <w:t>单个企业最高</w:t>
      </w:r>
      <w:r>
        <w:rPr>
          <w:rFonts w:hint="eastAsia" w:ascii="宋体" w:hAnsi="宋体" w:cs="宋体"/>
          <w:kern w:val="0"/>
          <w:sz w:val="24"/>
          <w:highlight w:val="none"/>
          <w:lang w:val="zh-CN"/>
        </w:rPr>
        <w:t>限价的；</w:t>
      </w:r>
    </w:p>
    <w:p>
      <w:pPr>
        <w:snapToGrid w:val="0"/>
        <w:spacing w:line="312" w:lineRule="auto"/>
        <w:ind w:firstLine="482" w:firstLineChars="200"/>
        <w:contextualSpacing/>
        <w:rPr>
          <w:rFonts w:ascii="宋体" w:hAnsi="宋体" w:cs="宋体"/>
          <w:b/>
          <w:bCs/>
          <w:kern w:val="0"/>
          <w:sz w:val="24"/>
          <w:highlight w:val="none"/>
          <w:lang w:val="zh-CN"/>
        </w:rPr>
      </w:pPr>
      <w:r>
        <w:rPr>
          <w:rFonts w:hint="eastAsia" w:ascii="宋体" w:hAnsi="宋体" w:cs="宋体"/>
          <w:b/>
          <w:bCs/>
          <w:kern w:val="0"/>
          <w:sz w:val="24"/>
          <w:highlight w:val="none"/>
          <w:lang w:val="zh-CN"/>
        </w:rPr>
        <w:t>（1）</w:t>
      </w:r>
      <w:r>
        <w:rPr>
          <w:rFonts w:hint="eastAsia" w:ascii="宋体" w:hAnsi="宋体" w:cs="宋体"/>
          <w:b/>
          <w:bCs/>
          <w:kern w:val="0"/>
          <w:sz w:val="24"/>
          <w:highlight w:val="none"/>
        </w:rPr>
        <w:t>采购预算</w:t>
      </w:r>
      <w:r>
        <w:rPr>
          <w:rFonts w:hint="eastAsia" w:ascii="宋体" w:hAnsi="宋体" w:cs="宋体"/>
          <w:b/>
          <w:bCs/>
          <w:kern w:val="0"/>
          <w:sz w:val="24"/>
          <w:highlight w:val="none"/>
          <w:lang w:val="zh-CN"/>
        </w:rPr>
        <w:t>如下：</w:t>
      </w:r>
    </w:p>
    <w:p>
      <w:pPr>
        <w:pStyle w:val="11"/>
        <w:rPr>
          <w:highlight w:val="none"/>
        </w:rPr>
      </w:pPr>
      <w:r>
        <w:rPr>
          <w:rFonts w:hint="eastAsia" w:ascii="宋体" w:hAnsi="宋体" w:cs="宋体"/>
          <w:b/>
          <w:bCs/>
          <w:sz w:val="24"/>
          <w:highlight w:val="none"/>
        </w:rPr>
        <w:t>共1000万元，分为8个标段。</w:t>
      </w:r>
    </w:p>
    <w:p>
      <w:pPr>
        <w:snapToGrid w:val="0"/>
        <w:spacing w:line="300" w:lineRule="auto"/>
        <w:ind w:firstLine="482" w:firstLineChars="200"/>
        <w:rPr>
          <w:highlight w:val="none"/>
          <w:lang w:val="zh-CN"/>
        </w:rPr>
      </w:pPr>
      <w:r>
        <w:rPr>
          <w:rFonts w:hint="eastAsia" w:ascii="宋体" w:hAnsi="宋体" w:cs="宋体"/>
          <w:b/>
          <w:bCs/>
          <w:sz w:val="24"/>
          <w:highlight w:val="none"/>
        </w:rPr>
        <w:t>标段一限价140万元、标段二限价130万元、标段三限价130万元、标段四限价110万元、标段五限价120万元、标段六限价120万元、标段七限价120万元、标段八限价130万元；</w:t>
      </w:r>
    </w:p>
    <w:p>
      <w:pPr>
        <w:snapToGrid w:val="0"/>
        <w:spacing w:line="312" w:lineRule="auto"/>
        <w:ind w:firstLine="482" w:firstLineChars="200"/>
        <w:contextualSpacing/>
        <w:rPr>
          <w:rFonts w:ascii="宋体" w:hAnsi="宋体" w:cs="宋体"/>
          <w:b/>
          <w:bCs/>
          <w:kern w:val="0"/>
          <w:sz w:val="24"/>
          <w:highlight w:val="none"/>
        </w:rPr>
      </w:pPr>
      <w:r>
        <w:rPr>
          <w:rFonts w:hint="eastAsia" w:ascii="宋体" w:hAnsi="宋体" w:cs="宋体"/>
          <w:b/>
          <w:bCs/>
          <w:kern w:val="0"/>
          <w:sz w:val="24"/>
          <w:highlight w:val="none"/>
        </w:rPr>
        <w:t>单个企业最高限价：</w:t>
      </w:r>
      <w:r>
        <w:rPr>
          <w:rFonts w:hint="eastAsia" w:ascii="宋体" w:hAnsi="宋体" w:cs="宋体"/>
          <w:b/>
          <w:bCs/>
          <w:sz w:val="24"/>
          <w:highlight w:val="none"/>
        </w:rPr>
        <w:t>5万元/家。</w:t>
      </w:r>
    </w:p>
    <w:p>
      <w:pPr>
        <w:snapToGrid w:val="0"/>
        <w:spacing w:line="312" w:lineRule="auto"/>
        <w:ind w:firstLine="480" w:firstLineChars="200"/>
        <w:contextualSpacing/>
        <w:rPr>
          <w:rFonts w:ascii="宋体" w:hAnsi="宋体" w:cs="宋体"/>
          <w:kern w:val="0"/>
          <w:sz w:val="24"/>
          <w:highlight w:val="none"/>
          <w:lang w:val="zh-CN"/>
        </w:rPr>
      </w:pPr>
      <w:r>
        <w:rPr>
          <w:rFonts w:hint="eastAsia" w:ascii="宋体" w:hAnsi="宋体" w:cs="宋体"/>
          <w:kern w:val="0"/>
          <w:sz w:val="24"/>
          <w:highlight w:val="none"/>
        </w:rPr>
        <w:t>4</w:t>
      </w:r>
      <w:r>
        <w:rPr>
          <w:rFonts w:hint="eastAsia" w:ascii="宋体" w:hAnsi="宋体" w:cs="宋体"/>
          <w:kern w:val="0"/>
          <w:sz w:val="24"/>
          <w:highlight w:val="none"/>
          <w:lang w:val="zh-CN"/>
        </w:rPr>
        <w:t>.投标文件含有采购人不能接受的附加条件的；</w:t>
      </w:r>
    </w:p>
    <w:p>
      <w:pPr>
        <w:snapToGrid w:val="0"/>
        <w:spacing w:line="312" w:lineRule="auto"/>
        <w:ind w:firstLine="480" w:firstLineChars="200"/>
        <w:contextualSpacing/>
        <w:rPr>
          <w:rFonts w:ascii="宋体" w:hAnsi="宋体" w:cs="宋体"/>
          <w:kern w:val="0"/>
          <w:sz w:val="24"/>
          <w:highlight w:val="none"/>
          <w:lang w:val="zh-CN"/>
        </w:rPr>
      </w:pPr>
      <w:r>
        <w:rPr>
          <w:rFonts w:hint="eastAsia" w:ascii="宋体" w:hAnsi="宋体" w:cs="宋体"/>
          <w:kern w:val="0"/>
          <w:sz w:val="24"/>
          <w:highlight w:val="none"/>
        </w:rPr>
        <w:t>5</w:t>
      </w:r>
      <w:r>
        <w:rPr>
          <w:rFonts w:hint="eastAsia" w:ascii="宋体" w:hAnsi="宋体" w:cs="宋体"/>
          <w:kern w:val="0"/>
          <w:sz w:val="24"/>
          <w:highlight w:val="none"/>
          <w:lang w:val="zh-CN"/>
        </w:rPr>
        <w:t>.不符合法律、法规和招标文件中规定的其他实质性要求的。</w:t>
      </w:r>
    </w:p>
    <w:p>
      <w:pPr>
        <w:snapToGrid w:val="0"/>
        <w:spacing w:line="312" w:lineRule="auto"/>
        <w:ind w:firstLine="482" w:firstLineChars="200"/>
        <w:contextualSpacing/>
        <w:rPr>
          <w:rFonts w:ascii="宋体" w:hAnsi="宋体" w:cs="宋体"/>
          <w:b/>
          <w:bCs/>
          <w:kern w:val="0"/>
          <w:sz w:val="24"/>
          <w:highlight w:val="none"/>
          <w:lang w:val="zh-CN"/>
        </w:rPr>
      </w:pPr>
      <w:r>
        <w:rPr>
          <w:rFonts w:hint="eastAsia" w:ascii="宋体" w:hAnsi="宋体" w:cs="宋体"/>
          <w:b/>
          <w:bCs/>
          <w:kern w:val="0"/>
          <w:sz w:val="24"/>
          <w:highlight w:val="none"/>
          <w:lang w:val="zh-CN"/>
        </w:rPr>
        <w:t>五、出现下列情形之一的，作废标处理</w:t>
      </w:r>
    </w:p>
    <w:p>
      <w:pPr>
        <w:snapToGrid w:val="0"/>
        <w:spacing w:line="312" w:lineRule="auto"/>
        <w:ind w:firstLine="480" w:firstLineChars="200"/>
        <w:contextualSpacing/>
        <w:rPr>
          <w:rFonts w:ascii="宋体" w:hAnsi="宋体" w:cs="宋体"/>
          <w:kern w:val="0"/>
          <w:sz w:val="24"/>
          <w:highlight w:val="none"/>
          <w:lang w:val="zh-CN"/>
        </w:rPr>
      </w:pPr>
      <w:r>
        <w:rPr>
          <w:rFonts w:hint="eastAsia" w:ascii="宋体" w:hAnsi="宋体" w:cs="宋体"/>
          <w:kern w:val="0"/>
          <w:sz w:val="24"/>
          <w:highlight w:val="none"/>
          <w:lang w:val="zh-CN"/>
        </w:rPr>
        <w:t>1.符合专业条件的投标供应商或者对招标文件作实质响应的投标供应商不足3家的；</w:t>
      </w:r>
    </w:p>
    <w:p>
      <w:pPr>
        <w:snapToGrid w:val="0"/>
        <w:spacing w:line="312" w:lineRule="auto"/>
        <w:ind w:firstLine="480" w:firstLineChars="200"/>
        <w:contextualSpacing/>
        <w:rPr>
          <w:rFonts w:ascii="宋体" w:hAnsi="宋体" w:cs="宋体"/>
          <w:kern w:val="0"/>
          <w:sz w:val="24"/>
          <w:highlight w:val="none"/>
          <w:lang w:val="zh-CN"/>
        </w:rPr>
      </w:pPr>
      <w:r>
        <w:rPr>
          <w:rFonts w:hint="eastAsia" w:ascii="宋体" w:hAnsi="宋体" w:cs="宋体"/>
          <w:kern w:val="0"/>
          <w:sz w:val="24"/>
          <w:highlight w:val="none"/>
          <w:lang w:val="zh-CN"/>
        </w:rPr>
        <w:t>2.出现影响采购公正的违法违规行为的；</w:t>
      </w:r>
    </w:p>
    <w:p>
      <w:pPr>
        <w:snapToGrid w:val="0"/>
        <w:spacing w:line="312" w:lineRule="auto"/>
        <w:ind w:firstLine="480" w:firstLineChars="200"/>
        <w:contextualSpacing/>
        <w:rPr>
          <w:rFonts w:ascii="宋体" w:hAnsi="宋体" w:cs="宋体"/>
          <w:kern w:val="0"/>
          <w:sz w:val="24"/>
          <w:highlight w:val="none"/>
          <w:lang w:val="zh-CN"/>
        </w:rPr>
      </w:pPr>
      <w:r>
        <w:rPr>
          <w:rFonts w:hint="eastAsia" w:ascii="宋体" w:hAnsi="宋体" w:cs="宋体"/>
          <w:kern w:val="0"/>
          <w:sz w:val="24"/>
          <w:highlight w:val="none"/>
          <w:lang w:val="zh-CN"/>
        </w:rPr>
        <w:t>3.投标供应商的报价均超过了采购预算，采购人不能支付的；</w:t>
      </w:r>
    </w:p>
    <w:p>
      <w:pPr>
        <w:snapToGrid w:val="0"/>
        <w:spacing w:line="312" w:lineRule="auto"/>
        <w:ind w:firstLine="480" w:firstLineChars="200"/>
        <w:contextualSpacing/>
        <w:rPr>
          <w:rFonts w:ascii="宋体" w:hAnsi="宋体" w:cs="宋体"/>
          <w:kern w:val="0"/>
          <w:sz w:val="24"/>
          <w:highlight w:val="none"/>
          <w:lang w:val="zh-CN"/>
        </w:rPr>
      </w:pPr>
      <w:r>
        <w:rPr>
          <w:rFonts w:hint="eastAsia" w:ascii="宋体" w:hAnsi="宋体" w:cs="宋体"/>
          <w:kern w:val="0"/>
          <w:sz w:val="24"/>
          <w:highlight w:val="none"/>
          <w:lang w:val="zh-CN"/>
        </w:rPr>
        <w:t>4.因重大变故，采购任务取消的；</w:t>
      </w:r>
    </w:p>
    <w:p>
      <w:pPr>
        <w:snapToGrid w:val="0"/>
        <w:spacing w:line="312" w:lineRule="auto"/>
        <w:ind w:firstLine="480" w:firstLineChars="200"/>
        <w:contextualSpacing/>
        <w:rPr>
          <w:rFonts w:ascii="宋体" w:hAnsi="宋体" w:cs="宋体"/>
          <w:kern w:val="0"/>
          <w:sz w:val="24"/>
          <w:highlight w:val="none"/>
          <w:lang w:val="zh-CN"/>
        </w:rPr>
      </w:pPr>
      <w:r>
        <w:rPr>
          <w:rFonts w:hint="eastAsia" w:ascii="宋体" w:hAnsi="宋体" w:cs="宋体"/>
          <w:kern w:val="0"/>
          <w:sz w:val="24"/>
          <w:highlight w:val="none"/>
          <w:lang w:val="zh-CN"/>
        </w:rPr>
        <w:t>上述均保留评委会认定可以确定为无效投标或废标的其他情况。</w:t>
      </w:r>
    </w:p>
    <w:p>
      <w:pPr>
        <w:snapToGrid w:val="0"/>
        <w:spacing w:line="312" w:lineRule="auto"/>
        <w:ind w:firstLine="482" w:firstLineChars="200"/>
        <w:contextualSpacing/>
        <w:rPr>
          <w:rFonts w:ascii="宋体" w:hAnsi="宋体" w:cs="宋体"/>
          <w:b/>
          <w:bCs/>
          <w:kern w:val="0"/>
          <w:sz w:val="24"/>
          <w:highlight w:val="none"/>
          <w:lang w:val="zh-CN"/>
        </w:rPr>
      </w:pPr>
      <w:r>
        <w:rPr>
          <w:rFonts w:hint="eastAsia" w:ascii="宋体" w:hAnsi="宋体" w:cs="宋体"/>
          <w:b/>
          <w:bCs/>
          <w:kern w:val="0"/>
          <w:sz w:val="24"/>
          <w:highlight w:val="none"/>
          <w:lang w:val="zh-CN"/>
        </w:rPr>
        <w:t>六、变更为其他方式采购的情形</w:t>
      </w:r>
    </w:p>
    <w:p>
      <w:pPr>
        <w:snapToGrid w:val="0"/>
        <w:spacing w:line="312" w:lineRule="auto"/>
        <w:ind w:firstLine="480" w:firstLineChars="200"/>
        <w:contextualSpacing/>
        <w:rPr>
          <w:rFonts w:ascii="宋体" w:hAnsi="宋体" w:cs="宋体"/>
          <w:kern w:val="0"/>
          <w:sz w:val="24"/>
          <w:highlight w:val="none"/>
          <w:lang w:val="zh-CN"/>
        </w:rPr>
      </w:pPr>
      <w:r>
        <w:rPr>
          <w:rFonts w:hint="eastAsia" w:ascii="宋体" w:hAnsi="宋体" w:cs="宋体"/>
          <w:kern w:val="0"/>
          <w:sz w:val="24"/>
          <w:highlight w:val="none"/>
          <w:lang w:val="zh-CN"/>
        </w:rPr>
        <w:t>投标截止时间出现：参加投标的供应商不足3家的，及评标中出现符合专业条件的供应商或对招标文件作实质响应的投标供应商不足3家如下情形时，除采购任务取消外，采购人报告</w:t>
      </w:r>
      <w:r>
        <w:rPr>
          <w:rFonts w:hint="eastAsia" w:ascii="宋体" w:hAnsi="宋体" w:cs="宋体"/>
          <w:kern w:val="0"/>
          <w:sz w:val="24"/>
          <w:highlight w:val="none"/>
        </w:rPr>
        <w:t>财政部门</w:t>
      </w:r>
      <w:r>
        <w:rPr>
          <w:rFonts w:hint="eastAsia" w:ascii="宋体" w:hAnsi="宋体" w:cs="宋体"/>
          <w:kern w:val="0"/>
          <w:sz w:val="24"/>
          <w:highlight w:val="none"/>
          <w:lang w:val="zh-CN"/>
        </w:rPr>
        <w:t>，视情采取其他方式采购。本次招标文件中对供应商资质、技术等要求，将作为其他方式采购的基本要求和依据。原已经参加投标并符合要求的供应商，根据自愿原则，参加其他方式采购。</w:t>
      </w:r>
    </w:p>
    <w:p>
      <w:pPr>
        <w:snapToGrid w:val="0"/>
        <w:spacing w:line="312" w:lineRule="auto"/>
        <w:ind w:firstLine="482" w:firstLineChars="200"/>
        <w:contextualSpacing/>
        <w:rPr>
          <w:rFonts w:ascii="宋体" w:hAnsi="宋体" w:cs="宋体"/>
          <w:b/>
          <w:bCs/>
          <w:kern w:val="0"/>
          <w:sz w:val="24"/>
          <w:highlight w:val="none"/>
          <w:lang w:val="zh-CN"/>
        </w:rPr>
      </w:pPr>
      <w:r>
        <w:rPr>
          <w:rFonts w:hint="eastAsia" w:ascii="宋体" w:hAnsi="宋体" w:cs="宋体"/>
          <w:b/>
          <w:bCs/>
          <w:kern w:val="0"/>
          <w:sz w:val="24"/>
          <w:highlight w:val="none"/>
          <w:lang w:val="zh-CN"/>
        </w:rPr>
        <w:t>七、评标方法</w:t>
      </w:r>
    </w:p>
    <w:p>
      <w:pPr>
        <w:snapToGrid w:val="0"/>
        <w:spacing w:line="312" w:lineRule="auto"/>
        <w:ind w:firstLine="480" w:firstLineChars="200"/>
        <w:contextualSpacing/>
        <w:rPr>
          <w:rFonts w:ascii="宋体" w:hAnsi="宋体" w:cs="宋体"/>
          <w:kern w:val="0"/>
          <w:sz w:val="24"/>
          <w:highlight w:val="none"/>
          <w:lang w:val="zh-CN"/>
        </w:rPr>
      </w:pPr>
      <w:r>
        <w:rPr>
          <w:rFonts w:hint="eastAsia" w:ascii="宋体" w:hAnsi="宋体" w:cs="宋体"/>
          <w:kern w:val="0"/>
          <w:sz w:val="24"/>
          <w:highlight w:val="none"/>
          <w:lang w:val="zh-CN"/>
        </w:rPr>
        <w:t>采用综合评分法。分资格审查、商务技术标、价格标三部分评审，总分值为100分，加分和减分因素除外。</w:t>
      </w:r>
    </w:p>
    <w:p>
      <w:pPr>
        <w:snapToGrid w:val="0"/>
        <w:spacing w:line="312" w:lineRule="auto"/>
        <w:ind w:firstLine="480" w:firstLineChars="200"/>
        <w:contextualSpacing/>
        <w:rPr>
          <w:rFonts w:ascii="宋体" w:hAnsi="宋体" w:cs="宋体"/>
          <w:kern w:val="0"/>
          <w:sz w:val="24"/>
          <w:highlight w:val="none"/>
          <w:lang w:val="zh-CN"/>
        </w:rPr>
      </w:pPr>
      <w:r>
        <w:rPr>
          <w:rFonts w:hint="eastAsia" w:ascii="宋体" w:hAnsi="宋体" w:cs="宋体"/>
          <w:kern w:val="0"/>
          <w:sz w:val="24"/>
          <w:highlight w:val="none"/>
          <w:lang w:val="zh-CN"/>
        </w:rPr>
        <w:t>首先由采购人评审投标供应商资格性、符合性，对合格的投标供应商由评委会评审商务技术标，待商务技术标评审结束后，再开启价格标。</w:t>
      </w:r>
    </w:p>
    <w:p>
      <w:pPr>
        <w:snapToGrid w:val="0"/>
        <w:spacing w:line="312" w:lineRule="auto"/>
        <w:ind w:firstLine="480" w:firstLineChars="200"/>
        <w:contextualSpacing/>
        <w:rPr>
          <w:rFonts w:ascii="宋体" w:hAnsi="宋体" w:cs="宋体"/>
          <w:kern w:val="0"/>
          <w:sz w:val="24"/>
          <w:highlight w:val="none"/>
          <w:lang w:val="zh-CN"/>
        </w:rPr>
      </w:pPr>
      <w:r>
        <w:rPr>
          <w:rFonts w:hint="eastAsia" w:ascii="宋体" w:hAnsi="宋体" w:cs="宋体"/>
          <w:kern w:val="0"/>
          <w:sz w:val="24"/>
          <w:highlight w:val="none"/>
          <w:lang w:val="zh-CN"/>
        </w:rPr>
        <w:t>评委在认真审阅投标文件的基础上，根据各投标文件的商务、技术部分的响应情况，对各评分项目进行评分，不得统一打分。</w:t>
      </w:r>
    </w:p>
    <w:p>
      <w:pPr>
        <w:snapToGrid w:val="0"/>
        <w:spacing w:line="312" w:lineRule="auto"/>
        <w:ind w:firstLine="482" w:firstLineChars="200"/>
        <w:contextualSpacing/>
        <w:rPr>
          <w:rFonts w:ascii="宋体" w:hAnsi="宋体" w:cs="宋体"/>
          <w:b/>
          <w:bCs/>
          <w:kern w:val="0"/>
          <w:sz w:val="24"/>
          <w:highlight w:val="none"/>
          <w:lang w:val="zh-CN"/>
        </w:rPr>
      </w:pPr>
      <w:r>
        <w:rPr>
          <w:rFonts w:hint="eastAsia" w:ascii="宋体" w:hAnsi="宋体" w:cs="宋体"/>
          <w:b/>
          <w:bCs/>
          <w:kern w:val="0"/>
          <w:sz w:val="24"/>
          <w:highlight w:val="none"/>
          <w:lang w:val="zh-CN"/>
        </w:rPr>
        <w:t>（一）采购人代表对投标供应商</w:t>
      </w:r>
      <w:r>
        <w:rPr>
          <w:rFonts w:hint="eastAsia" w:ascii="宋体" w:hAnsi="宋体" w:cs="宋体"/>
          <w:b/>
          <w:bCs/>
          <w:kern w:val="0"/>
          <w:sz w:val="24"/>
          <w:highlight w:val="none"/>
        </w:rPr>
        <w:t>进行</w:t>
      </w:r>
      <w:r>
        <w:rPr>
          <w:rFonts w:hint="eastAsia" w:ascii="宋体" w:hAnsi="宋体" w:cs="宋体"/>
          <w:b/>
          <w:bCs/>
          <w:kern w:val="0"/>
          <w:sz w:val="24"/>
          <w:highlight w:val="none"/>
          <w:lang w:val="zh-CN"/>
        </w:rPr>
        <w:t>资格性、符合性审查</w:t>
      </w:r>
    </w:p>
    <w:p>
      <w:pPr>
        <w:snapToGrid w:val="0"/>
        <w:spacing w:line="312" w:lineRule="auto"/>
        <w:ind w:firstLine="480" w:firstLineChars="200"/>
        <w:contextualSpacing/>
        <w:rPr>
          <w:rFonts w:ascii="宋体" w:hAnsi="宋体" w:cs="宋体"/>
          <w:kern w:val="0"/>
          <w:sz w:val="24"/>
          <w:highlight w:val="none"/>
          <w:lang w:val="zh-CN"/>
        </w:rPr>
      </w:pPr>
      <w:r>
        <w:rPr>
          <w:rFonts w:hint="eastAsia" w:ascii="宋体" w:hAnsi="宋体" w:cs="宋体"/>
          <w:kern w:val="0"/>
          <w:sz w:val="24"/>
          <w:highlight w:val="none"/>
          <w:lang w:val="zh-CN"/>
        </w:rPr>
        <w:t>投标供应商资格性、符合性不合格的，其投标文件判定为无效投标文件。合格的，评委对其投标文件继续评审。</w:t>
      </w:r>
    </w:p>
    <w:p>
      <w:pPr>
        <w:snapToGrid w:val="0"/>
        <w:spacing w:line="312" w:lineRule="auto"/>
        <w:ind w:firstLine="482" w:firstLineChars="200"/>
        <w:contextualSpacing/>
        <w:rPr>
          <w:rFonts w:ascii="宋体" w:hAnsi="宋体" w:cs="宋体"/>
          <w:b/>
          <w:bCs/>
          <w:kern w:val="0"/>
          <w:sz w:val="24"/>
          <w:highlight w:val="none"/>
          <w:lang w:val="zh-CN"/>
        </w:rPr>
      </w:pPr>
      <w:r>
        <w:rPr>
          <w:rFonts w:hint="eastAsia" w:ascii="宋体" w:hAnsi="宋体" w:cs="宋体"/>
          <w:b/>
          <w:bCs/>
          <w:kern w:val="0"/>
          <w:sz w:val="24"/>
          <w:highlight w:val="none"/>
          <w:lang w:val="zh-CN"/>
        </w:rPr>
        <w:t>（</w:t>
      </w:r>
      <w:r>
        <w:rPr>
          <w:rFonts w:hint="eastAsia" w:ascii="宋体" w:hAnsi="宋体" w:cs="宋体"/>
          <w:b/>
          <w:bCs/>
          <w:kern w:val="0"/>
          <w:sz w:val="24"/>
          <w:highlight w:val="none"/>
        </w:rPr>
        <w:t>二</w:t>
      </w:r>
      <w:r>
        <w:rPr>
          <w:rFonts w:hint="eastAsia" w:ascii="宋体" w:hAnsi="宋体" w:cs="宋体"/>
          <w:b/>
          <w:bCs/>
          <w:kern w:val="0"/>
          <w:sz w:val="24"/>
          <w:highlight w:val="none"/>
          <w:lang w:val="zh-CN"/>
        </w:rPr>
        <w:t>）商务技术分：</w:t>
      </w:r>
      <w:r>
        <w:rPr>
          <w:rFonts w:hint="eastAsia" w:ascii="宋体" w:hAnsi="宋体" w:cs="宋体"/>
          <w:b/>
          <w:bCs/>
          <w:kern w:val="0"/>
          <w:sz w:val="24"/>
          <w:highlight w:val="none"/>
        </w:rPr>
        <w:t>9</w:t>
      </w:r>
      <w:r>
        <w:rPr>
          <w:rFonts w:hint="eastAsia" w:ascii="宋体" w:hAnsi="宋体" w:cs="宋体"/>
          <w:b/>
          <w:bCs/>
          <w:kern w:val="0"/>
          <w:sz w:val="24"/>
          <w:highlight w:val="none"/>
          <w:lang w:val="zh-CN"/>
        </w:rPr>
        <w:t>0分</w:t>
      </w:r>
    </w:p>
    <w:p>
      <w:pPr>
        <w:snapToGrid w:val="0"/>
        <w:spacing w:line="312" w:lineRule="auto"/>
        <w:ind w:firstLine="480" w:firstLineChars="200"/>
        <w:contextualSpacing/>
        <w:rPr>
          <w:rFonts w:ascii="宋体" w:hAnsi="宋体" w:cs="宋体"/>
          <w:kern w:val="0"/>
          <w:sz w:val="24"/>
          <w:highlight w:val="none"/>
          <w:lang w:val="zh-CN"/>
        </w:rPr>
      </w:pPr>
      <w:r>
        <w:rPr>
          <w:rFonts w:hint="eastAsia" w:ascii="宋体" w:hAnsi="宋体" w:cs="宋体"/>
          <w:kern w:val="0"/>
          <w:sz w:val="24"/>
          <w:highlight w:val="none"/>
          <w:lang w:val="zh-CN"/>
        </w:rPr>
        <w:t>各投标供应商得分为评委会成员评分的算术平均分，分值保留小数点后两位。以下所设分值均为各项评分最大得分值，请评委根据各条评分内容在0~所设分值之间酌情打分。</w:t>
      </w:r>
    </w:p>
    <w:p>
      <w:pPr>
        <w:snapToGrid w:val="0"/>
        <w:spacing w:line="312" w:lineRule="auto"/>
        <w:ind w:firstLine="482" w:firstLineChars="200"/>
        <w:contextualSpacing/>
        <w:rPr>
          <w:rFonts w:ascii="宋体" w:hAnsi="宋体" w:cs="宋体"/>
          <w:b/>
          <w:bCs/>
          <w:kern w:val="0"/>
          <w:sz w:val="24"/>
          <w:highlight w:val="none"/>
        </w:rPr>
      </w:pPr>
      <w:r>
        <w:rPr>
          <w:rFonts w:hint="eastAsia" w:ascii="宋体" w:hAnsi="宋体" w:cs="宋体"/>
          <w:b/>
          <w:bCs/>
          <w:kern w:val="0"/>
          <w:sz w:val="24"/>
          <w:highlight w:val="none"/>
        </w:rPr>
        <w:t>商务技术分按照项目相关和所投标段相关分为商务技术分第一部分和商务技术分第二部分。商务技术分第一部分，分值47分；商务技术分第二部分，分值43分。</w:t>
      </w:r>
    </w:p>
    <w:p>
      <w:pPr>
        <w:snapToGrid w:val="0"/>
        <w:spacing w:line="312" w:lineRule="auto"/>
        <w:ind w:firstLine="482" w:firstLineChars="200"/>
        <w:contextualSpacing/>
        <w:rPr>
          <w:rFonts w:ascii="宋体" w:hAnsi="宋体" w:cs="宋体"/>
          <w:b/>
          <w:bCs/>
          <w:kern w:val="0"/>
          <w:sz w:val="24"/>
          <w:highlight w:val="none"/>
        </w:rPr>
      </w:pPr>
      <w:r>
        <w:rPr>
          <w:rFonts w:hint="eastAsia" w:ascii="宋体" w:hAnsi="宋体" w:cs="宋体"/>
          <w:b/>
          <w:bCs/>
          <w:kern w:val="0"/>
          <w:sz w:val="24"/>
          <w:highlight w:val="none"/>
        </w:rPr>
        <w:t>投标供应商所投标段</w:t>
      </w:r>
      <w:r>
        <w:rPr>
          <w:rFonts w:hint="eastAsia" w:ascii="宋体" w:hAnsi="宋体" w:cs="宋体"/>
          <w:b/>
          <w:bCs/>
          <w:kern w:val="0"/>
          <w:sz w:val="24"/>
          <w:highlight w:val="none"/>
          <w:lang w:val="zh-CN"/>
        </w:rPr>
        <w:t>商务技术</w:t>
      </w:r>
      <w:r>
        <w:rPr>
          <w:rFonts w:hint="eastAsia" w:ascii="宋体" w:hAnsi="宋体" w:cs="宋体"/>
          <w:b/>
          <w:bCs/>
          <w:kern w:val="0"/>
          <w:sz w:val="24"/>
          <w:highlight w:val="none"/>
        </w:rPr>
        <w:t>得分=商务技术分第一部分得分+所投标段商务技术分第二部分得分。</w:t>
      </w:r>
    </w:p>
    <w:tbl>
      <w:tblPr>
        <w:tblStyle w:val="41"/>
        <w:tblW w:w="8963" w:type="dxa"/>
        <w:tblInd w:w="-23"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841"/>
        <w:gridCol w:w="1306"/>
        <w:gridCol w:w="804"/>
        <w:gridCol w:w="6012"/>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75" w:hRule="atLeast"/>
        </w:trPr>
        <w:tc>
          <w:tcPr>
            <w:tcW w:w="8963" w:type="dxa"/>
            <w:gridSpan w:val="4"/>
            <w:noWrap/>
            <w:vAlign w:val="center"/>
          </w:tcPr>
          <w:p>
            <w:pPr>
              <w:widowControl/>
              <w:spacing w:line="240" w:lineRule="atLeast"/>
              <w:jc w:val="center"/>
              <w:rPr>
                <w:rFonts w:ascii="宋体" w:hAnsi="宋体" w:cs="宋体"/>
                <w:b/>
                <w:bCs/>
                <w:kern w:val="0"/>
                <w:sz w:val="24"/>
                <w:highlight w:val="none"/>
              </w:rPr>
            </w:pPr>
            <w:r>
              <w:rPr>
                <w:rFonts w:hint="eastAsia" w:ascii="宋体" w:hAnsi="宋体" w:cs="宋体"/>
                <w:b/>
                <w:bCs/>
                <w:kern w:val="0"/>
                <w:sz w:val="24"/>
                <w:highlight w:val="none"/>
              </w:rPr>
              <w:t>商务技术分第一部分（项目相关）</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75" w:hRule="atLeast"/>
        </w:trPr>
        <w:tc>
          <w:tcPr>
            <w:tcW w:w="841" w:type="dxa"/>
            <w:noWrap/>
            <w:vAlign w:val="center"/>
          </w:tcPr>
          <w:p>
            <w:pPr>
              <w:widowControl/>
              <w:spacing w:line="240" w:lineRule="atLeast"/>
              <w:jc w:val="center"/>
              <w:rPr>
                <w:rFonts w:ascii="宋体" w:hAnsi="宋体" w:cs="宋体"/>
                <w:b/>
                <w:bCs/>
                <w:kern w:val="0"/>
                <w:sz w:val="24"/>
                <w:highlight w:val="none"/>
                <w:lang w:val="zh-CN"/>
              </w:rPr>
            </w:pPr>
            <w:r>
              <w:rPr>
                <w:rFonts w:hint="eastAsia" w:ascii="宋体" w:hAnsi="宋体" w:cs="宋体"/>
                <w:b/>
                <w:bCs/>
                <w:kern w:val="0"/>
                <w:sz w:val="24"/>
                <w:highlight w:val="none"/>
                <w:lang w:val="zh-CN"/>
              </w:rPr>
              <w:t>评审</w:t>
            </w:r>
          </w:p>
          <w:p>
            <w:pPr>
              <w:widowControl/>
              <w:spacing w:line="240" w:lineRule="atLeast"/>
              <w:jc w:val="center"/>
              <w:rPr>
                <w:rFonts w:ascii="宋体" w:hAnsi="宋体" w:cs="宋体"/>
                <w:b/>
                <w:bCs/>
                <w:kern w:val="0"/>
                <w:sz w:val="24"/>
                <w:highlight w:val="none"/>
                <w:lang w:val="zh-CN"/>
              </w:rPr>
            </w:pPr>
            <w:r>
              <w:rPr>
                <w:rFonts w:hint="eastAsia" w:ascii="宋体" w:hAnsi="宋体" w:cs="宋体"/>
                <w:b/>
                <w:bCs/>
                <w:kern w:val="0"/>
                <w:sz w:val="24"/>
                <w:highlight w:val="none"/>
                <w:lang w:val="zh-CN"/>
              </w:rPr>
              <w:t>因素</w:t>
            </w:r>
          </w:p>
        </w:tc>
        <w:tc>
          <w:tcPr>
            <w:tcW w:w="1306" w:type="dxa"/>
            <w:noWrap/>
            <w:vAlign w:val="center"/>
          </w:tcPr>
          <w:p>
            <w:pPr>
              <w:widowControl/>
              <w:spacing w:line="240" w:lineRule="atLeast"/>
              <w:jc w:val="center"/>
              <w:rPr>
                <w:rFonts w:ascii="宋体" w:hAnsi="宋体" w:cs="宋体"/>
                <w:b/>
                <w:bCs/>
                <w:kern w:val="0"/>
                <w:sz w:val="24"/>
                <w:highlight w:val="none"/>
              </w:rPr>
            </w:pPr>
            <w:r>
              <w:rPr>
                <w:rFonts w:hint="eastAsia" w:ascii="宋体" w:hAnsi="宋体" w:cs="宋体"/>
                <w:b/>
                <w:bCs/>
                <w:kern w:val="0"/>
                <w:sz w:val="24"/>
                <w:highlight w:val="none"/>
              </w:rPr>
              <w:t>评审项目</w:t>
            </w:r>
          </w:p>
        </w:tc>
        <w:tc>
          <w:tcPr>
            <w:tcW w:w="804" w:type="dxa"/>
            <w:noWrap/>
            <w:vAlign w:val="center"/>
          </w:tcPr>
          <w:p>
            <w:pPr>
              <w:widowControl/>
              <w:spacing w:line="240" w:lineRule="atLeast"/>
              <w:jc w:val="center"/>
              <w:rPr>
                <w:rFonts w:ascii="宋体" w:hAnsi="宋体" w:cs="宋体"/>
                <w:b/>
                <w:bCs/>
                <w:kern w:val="0"/>
                <w:sz w:val="24"/>
                <w:highlight w:val="none"/>
              </w:rPr>
            </w:pPr>
            <w:r>
              <w:rPr>
                <w:rFonts w:hint="eastAsia" w:ascii="宋体" w:hAnsi="宋体" w:cs="宋体"/>
                <w:b/>
                <w:bCs/>
                <w:kern w:val="0"/>
                <w:sz w:val="24"/>
                <w:highlight w:val="none"/>
              </w:rPr>
              <w:t>分值</w:t>
            </w:r>
          </w:p>
        </w:tc>
        <w:tc>
          <w:tcPr>
            <w:tcW w:w="6012" w:type="dxa"/>
            <w:noWrap/>
            <w:vAlign w:val="center"/>
          </w:tcPr>
          <w:p>
            <w:pPr>
              <w:widowControl/>
              <w:spacing w:line="240" w:lineRule="atLeast"/>
              <w:jc w:val="center"/>
              <w:rPr>
                <w:rFonts w:ascii="宋体" w:hAnsi="宋体" w:cs="宋体"/>
                <w:b/>
                <w:bCs/>
                <w:kern w:val="0"/>
                <w:sz w:val="24"/>
                <w:highlight w:val="none"/>
              </w:rPr>
            </w:pPr>
            <w:r>
              <w:rPr>
                <w:rFonts w:hint="eastAsia" w:ascii="宋体" w:hAnsi="宋体" w:cs="宋体"/>
                <w:b/>
                <w:bCs/>
                <w:kern w:val="0"/>
                <w:sz w:val="24"/>
                <w:highlight w:val="none"/>
              </w:rPr>
              <w:t>评审标准</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841" w:type="dxa"/>
            <w:vMerge w:val="restart"/>
            <w:noWrap/>
            <w:vAlign w:val="center"/>
          </w:tcPr>
          <w:p>
            <w:pPr>
              <w:widowControl/>
              <w:spacing w:line="240" w:lineRule="atLeast"/>
              <w:jc w:val="center"/>
              <w:rPr>
                <w:rFonts w:ascii="宋体" w:hAnsi="宋体" w:cs="宋体"/>
                <w:kern w:val="0"/>
                <w:szCs w:val="21"/>
                <w:highlight w:val="none"/>
                <w:lang w:val="zh-CN"/>
              </w:rPr>
            </w:pPr>
            <w:r>
              <w:rPr>
                <w:rFonts w:hint="eastAsia" w:ascii="宋体" w:hAnsi="宋体" w:cs="宋体"/>
                <w:kern w:val="0"/>
                <w:szCs w:val="21"/>
                <w:highlight w:val="none"/>
                <w:lang w:val="zh-CN"/>
              </w:rPr>
              <w:t>项目认识与理解（</w:t>
            </w:r>
            <w:r>
              <w:rPr>
                <w:rFonts w:hint="eastAsia" w:ascii="宋体" w:hAnsi="宋体" w:cs="宋体"/>
                <w:kern w:val="0"/>
                <w:szCs w:val="21"/>
                <w:highlight w:val="none"/>
              </w:rPr>
              <w:t>4分</w:t>
            </w:r>
            <w:r>
              <w:rPr>
                <w:rFonts w:hint="eastAsia" w:ascii="宋体" w:hAnsi="宋体" w:cs="宋体"/>
                <w:kern w:val="0"/>
                <w:szCs w:val="21"/>
                <w:highlight w:val="none"/>
                <w:lang w:val="zh-CN"/>
              </w:rPr>
              <w:t>）</w:t>
            </w:r>
          </w:p>
        </w:tc>
        <w:tc>
          <w:tcPr>
            <w:tcW w:w="1306" w:type="dxa"/>
            <w:noWrap/>
            <w:vAlign w:val="center"/>
          </w:tcPr>
          <w:p>
            <w:pPr>
              <w:rPr>
                <w:rFonts w:ascii="宋体" w:hAnsi="宋体" w:cs="宋体"/>
                <w:szCs w:val="21"/>
                <w:highlight w:val="none"/>
                <w:lang w:val="zh-CN"/>
              </w:rPr>
            </w:pPr>
            <w:r>
              <w:rPr>
                <w:rFonts w:hint="eastAsia" w:ascii="宋体" w:hAnsi="宋体" w:cs="宋体"/>
                <w:szCs w:val="21"/>
                <w:highlight w:val="none"/>
                <w:lang w:val="zh-CN"/>
              </w:rPr>
              <w:t>对智能化改造和数字化转型的整体认识</w:t>
            </w:r>
          </w:p>
        </w:tc>
        <w:tc>
          <w:tcPr>
            <w:tcW w:w="804" w:type="dxa"/>
            <w:noWrap/>
            <w:vAlign w:val="center"/>
          </w:tcPr>
          <w:p>
            <w:pPr>
              <w:jc w:val="center"/>
              <w:rPr>
                <w:rFonts w:ascii="宋体" w:hAnsi="宋体" w:cs="宋体"/>
                <w:szCs w:val="21"/>
                <w:highlight w:val="none"/>
              </w:rPr>
            </w:pPr>
            <w:r>
              <w:rPr>
                <w:rFonts w:hint="eastAsia" w:ascii="宋体" w:hAnsi="宋体" w:cs="宋体"/>
                <w:szCs w:val="21"/>
                <w:highlight w:val="none"/>
              </w:rPr>
              <w:t>4分</w:t>
            </w:r>
          </w:p>
        </w:tc>
        <w:tc>
          <w:tcPr>
            <w:tcW w:w="6012" w:type="dxa"/>
            <w:noWrap/>
            <w:vAlign w:val="center"/>
          </w:tcPr>
          <w:p>
            <w:pPr>
              <w:rPr>
                <w:rFonts w:ascii="宋体" w:hAnsi="宋体" w:cs="宋体"/>
                <w:szCs w:val="21"/>
                <w:highlight w:val="none"/>
              </w:rPr>
            </w:pPr>
            <w:r>
              <w:rPr>
                <w:rFonts w:hint="eastAsia" w:ascii="宋体" w:hAnsi="宋体" w:cs="宋体"/>
                <w:szCs w:val="21"/>
                <w:highlight w:val="none"/>
              </w:rPr>
              <w:t>（1）对当前智能制造发展现状、趋势等认识充分，对南通推进制造业智能化改造的存在问题、切入点和推进方式等思考全面到位，得4分。</w:t>
            </w:r>
          </w:p>
          <w:p>
            <w:pPr>
              <w:rPr>
                <w:rFonts w:ascii="宋体" w:hAnsi="宋体" w:cs="宋体"/>
                <w:szCs w:val="21"/>
                <w:highlight w:val="none"/>
              </w:rPr>
            </w:pPr>
            <w:r>
              <w:rPr>
                <w:rFonts w:hint="eastAsia" w:ascii="宋体" w:hAnsi="宋体" w:cs="宋体"/>
                <w:szCs w:val="21"/>
                <w:highlight w:val="none"/>
              </w:rPr>
              <w:t>（2）对当前智能制造发展现状、趋势及的认识一般，对南通推进制造业智能化改造的存在问题、切入点和推进方式等有一定的思考，得2.5分。</w:t>
            </w:r>
          </w:p>
          <w:p>
            <w:pPr>
              <w:rPr>
                <w:rFonts w:ascii="宋体" w:hAnsi="宋体" w:cs="宋体"/>
                <w:szCs w:val="21"/>
                <w:highlight w:val="none"/>
              </w:rPr>
            </w:pPr>
            <w:r>
              <w:rPr>
                <w:rFonts w:hint="eastAsia" w:ascii="宋体" w:hAnsi="宋体" w:cs="宋体"/>
                <w:szCs w:val="21"/>
                <w:highlight w:val="none"/>
              </w:rPr>
              <w:t>（3）对当前智能制造发展现状、趋势及的认识不全面，对南通推进制造业智能化改造的存在问题、切入点和推进方式等思考不深入，得1分。</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841" w:type="dxa"/>
            <w:vMerge w:val="restart"/>
            <w:noWrap/>
            <w:vAlign w:val="center"/>
          </w:tcPr>
          <w:p>
            <w:pPr>
              <w:widowControl/>
              <w:spacing w:line="240" w:lineRule="atLeast"/>
              <w:jc w:val="center"/>
              <w:rPr>
                <w:rFonts w:ascii="宋体" w:hAnsi="宋体" w:cs="宋体"/>
                <w:kern w:val="0"/>
                <w:szCs w:val="21"/>
                <w:highlight w:val="none"/>
                <w:lang w:val="zh-CN"/>
              </w:rPr>
            </w:pPr>
            <w:r>
              <w:rPr>
                <w:rFonts w:hint="eastAsia" w:ascii="宋体" w:hAnsi="宋体" w:cs="宋体"/>
                <w:kern w:val="0"/>
                <w:szCs w:val="21"/>
                <w:highlight w:val="none"/>
                <w:lang w:val="zh-CN"/>
              </w:rPr>
              <w:t>项目方案与实施（</w:t>
            </w:r>
            <w:r>
              <w:rPr>
                <w:rFonts w:hint="eastAsia" w:ascii="宋体" w:hAnsi="宋体" w:cs="宋体"/>
                <w:kern w:val="0"/>
                <w:szCs w:val="21"/>
                <w:highlight w:val="none"/>
              </w:rPr>
              <w:t>15分</w:t>
            </w:r>
            <w:r>
              <w:rPr>
                <w:rFonts w:hint="eastAsia" w:ascii="宋体" w:hAnsi="宋体" w:cs="宋体"/>
                <w:kern w:val="0"/>
                <w:szCs w:val="21"/>
                <w:highlight w:val="none"/>
                <w:lang w:val="zh-CN"/>
              </w:rPr>
              <w:t>）</w:t>
            </w:r>
          </w:p>
        </w:tc>
        <w:tc>
          <w:tcPr>
            <w:tcW w:w="1306" w:type="dxa"/>
            <w:noWrap/>
            <w:vAlign w:val="center"/>
          </w:tcPr>
          <w:p>
            <w:pPr>
              <w:rPr>
                <w:rFonts w:ascii="宋体" w:hAnsi="宋体" w:cs="宋体"/>
                <w:szCs w:val="21"/>
                <w:highlight w:val="none"/>
                <w:lang w:val="zh-CN"/>
              </w:rPr>
            </w:pPr>
            <w:r>
              <w:rPr>
                <w:rFonts w:hint="eastAsia" w:ascii="宋体" w:hAnsi="宋体" w:cs="宋体"/>
                <w:szCs w:val="21"/>
                <w:highlight w:val="none"/>
                <w:lang w:val="zh-CN"/>
              </w:rPr>
              <w:t>对江苏省智能制造示范车间</w:t>
            </w:r>
            <w:r>
              <w:rPr>
                <w:rFonts w:hint="eastAsia" w:ascii="宋体" w:hAnsi="宋体" w:cs="宋体"/>
                <w:szCs w:val="21"/>
                <w:highlight w:val="none"/>
              </w:rPr>
              <w:t>等</w:t>
            </w:r>
            <w:r>
              <w:rPr>
                <w:rFonts w:hint="eastAsia" w:ascii="宋体" w:hAnsi="宋体" w:cs="宋体"/>
                <w:szCs w:val="21"/>
                <w:highlight w:val="none"/>
                <w:lang w:val="zh-CN"/>
              </w:rPr>
              <w:t>创建的认识程度</w:t>
            </w:r>
          </w:p>
        </w:tc>
        <w:tc>
          <w:tcPr>
            <w:tcW w:w="804" w:type="dxa"/>
            <w:noWrap/>
            <w:vAlign w:val="center"/>
          </w:tcPr>
          <w:p>
            <w:pPr>
              <w:jc w:val="center"/>
              <w:rPr>
                <w:rFonts w:ascii="宋体" w:hAnsi="宋体" w:cs="宋体"/>
                <w:szCs w:val="21"/>
                <w:highlight w:val="none"/>
              </w:rPr>
            </w:pPr>
            <w:r>
              <w:rPr>
                <w:rFonts w:hint="eastAsia" w:ascii="宋体" w:hAnsi="宋体" w:cs="宋体"/>
                <w:szCs w:val="21"/>
                <w:highlight w:val="none"/>
              </w:rPr>
              <w:t>4分</w:t>
            </w:r>
          </w:p>
        </w:tc>
        <w:tc>
          <w:tcPr>
            <w:tcW w:w="6012" w:type="dxa"/>
            <w:noWrap/>
            <w:vAlign w:val="center"/>
          </w:tcPr>
          <w:p>
            <w:pPr>
              <w:numPr>
                <w:ilvl w:val="0"/>
                <w:numId w:val="4"/>
              </w:numPr>
              <w:rPr>
                <w:rFonts w:ascii="宋体" w:hAnsi="宋体" w:cs="宋体"/>
                <w:szCs w:val="21"/>
                <w:highlight w:val="none"/>
              </w:rPr>
            </w:pPr>
            <w:r>
              <w:rPr>
                <w:rFonts w:hint="eastAsia" w:ascii="宋体" w:hAnsi="宋体" w:cs="宋体"/>
                <w:szCs w:val="21"/>
                <w:highlight w:val="none"/>
              </w:rPr>
              <w:t>对江苏省智能制造示范车间（工厂）、工业互联网标杆工厂建设要求、规范和星级上云标准熟悉，对建设过程的普遍存在的问题剖析准确，得4分；</w:t>
            </w:r>
          </w:p>
          <w:p>
            <w:pPr>
              <w:numPr>
                <w:ilvl w:val="0"/>
                <w:numId w:val="4"/>
              </w:numPr>
              <w:rPr>
                <w:rFonts w:ascii="宋体" w:hAnsi="宋体" w:cs="宋体"/>
                <w:szCs w:val="21"/>
                <w:highlight w:val="none"/>
              </w:rPr>
            </w:pPr>
            <w:r>
              <w:rPr>
                <w:rFonts w:hint="eastAsia" w:ascii="宋体" w:hAnsi="宋体" w:cs="宋体"/>
                <w:szCs w:val="21"/>
                <w:highlight w:val="none"/>
              </w:rPr>
              <w:t>对江苏省智能制造示范车间（工厂）、工业互联网标杆工厂建设要求、规范和星级上云标准熟悉较为熟悉，对建设过程的普遍存在的问题剖析较为准确，得2分；</w:t>
            </w:r>
          </w:p>
          <w:p>
            <w:pPr>
              <w:numPr>
                <w:ilvl w:val="0"/>
                <w:numId w:val="4"/>
              </w:numPr>
              <w:rPr>
                <w:rFonts w:ascii="宋体" w:hAnsi="宋体" w:cs="宋体"/>
                <w:szCs w:val="21"/>
                <w:highlight w:val="none"/>
              </w:rPr>
            </w:pPr>
            <w:r>
              <w:rPr>
                <w:rFonts w:hint="eastAsia" w:ascii="宋体" w:hAnsi="宋体" w:cs="宋体"/>
                <w:szCs w:val="21"/>
                <w:highlight w:val="none"/>
              </w:rPr>
              <w:t>对江苏省智能制造示范车间（工厂）、工业互联网标杆工厂建设要求、规范和星级上云标准熟悉不够熟悉，对建设过程的普遍存在的问题剖析不够准确，得1分。</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41" w:type="dxa"/>
            <w:vMerge w:val="continue"/>
            <w:noWrap/>
            <w:vAlign w:val="center"/>
          </w:tcPr>
          <w:p>
            <w:pPr>
              <w:widowControl/>
              <w:spacing w:line="240" w:lineRule="atLeast"/>
              <w:jc w:val="center"/>
              <w:rPr>
                <w:rFonts w:ascii="宋体" w:hAnsi="宋体" w:cs="宋体"/>
                <w:kern w:val="0"/>
                <w:szCs w:val="21"/>
                <w:highlight w:val="none"/>
                <w:lang w:val="zh-CN"/>
              </w:rPr>
            </w:pPr>
          </w:p>
        </w:tc>
        <w:tc>
          <w:tcPr>
            <w:tcW w:w="1306" w:type="dxa"/>
            <w:noWrap/>
            <w:vAlign w:val="center"/>
          </w:tcPr>
          <w:p>
            <w:pPr>
              <w:rPr>
                <w:rFonts w:ascii="宋体" w:hAnsi="宋体" w:cs="宋体"/>
                <w:szCs w:val="21"/>
                <w:highlight w:val="none"/>
                <w:lang w:val="zh-CN"/>
              </w:rPr>
            </w:pPr>
            <w:r>
              <w:rPr>
                <w:rFonts w:hint="eastAsia" w:ascii="宋体" w:hAnsi="宋体" w:cs="宋体"/>
                <w:szCs w:val="21"/>
                <w:highlight w:val="none"/>
                <w:lang w:val="zh-CN"/>
              </w:rPr>
              <w:t>项目服务与团队</w:t>
            </w:r>
          </w:p>
        </w:tc>
        <w:tc>
          <w:tcPr>
            <w:tcW w:w="804" w:type="dxa"/>
            <w:noWrap/>
            <w:vAlign w:val="center"/>
          </w:tcPr>
          <w:p>
            <w:pPr>
              <w:jc w:val="center"/>
              <w:rPr>
                <w:rFonts w:ascii="宋体" w:hAnsi="宋体" w:cs="宋体"/>
                <w:szCs w:val="21"/>
                <w:highlight w:val="none"/>
              </w:rPr>
            </w:pPr>
            <w:r>
              <w:rPr>
                <w:rFonts w:hint="eastAsia" w:ascii="宋体" w:hAnsi="宋体" w:cs="宋体"/>
                <w:szCs w:val="21"/>
                <w:highlight w:val="none"/>
              </w:rPr>
              <w:t>7分</w:t>
            </w:r>
          </w:p>
        </w:tc>
        <w:tc>
          <w:tcPr>
            <w:tcW w:w="6012" w:type="dxa"/>
            <w:noWrap/>
            <w:vAlign w:val="center"/>
          </w:tcPr>
          <w:p>
            <w:pPr>
              <w:rPr>
                <w:rFonts w:ascii="宋体" w:hAnsi="宋体" w:cs="宋体"/>
                <w:szCs w:val="21"/>
                <w:highlight w:val="none"/>
              </w:rPr>
            </w:pPr>
            <w:r>
              <w:rPr>
                <w:rFonts w:hint="eastAsia" w:ascii="宋体" w:hAnsi="宋体" w:cs="宋体"/>
                <w:szCs w:val="21"/>
                <w:highlight w:val="none"/>
              </w:rPr>
              <w:t>（1）快速响应和售后服务保障方案完善，服务网点及技术人员能立即响应，快速服务，应急保障措施健全，人员投入时间节点合理，可执行性和用户需求贴合度高得7分。</w:t>
            </w:r>
          </w:p>
          <w:p>
            <w:pPr>
              <w:rPr>
                <w:rFonts w:ascii="宋体" w:hAnsi="宋体" w:cs="宋体"/>
                <w:szCs w:val="21"/>
                <w:highlight w:val="none"/>
              </w:rPr>
            </w:pPr>
            <w:r>
              <w:rPr>
                <w:rFonts w:hint="eastAsia" w:ascii="宋体" w:hAnsi="宋体" w:cs="宋体"/>
                <w:szCs w:val="21"/>
                <w:highlight w:val="none"/>
              </w:rPr>
              <w:t>（2）快速响应和售后服务保障方案较完善，服务网点及技术人员能按时响应、服务较快，应急保障措施较完善，人员投入时间节点较合理，可执行性和用户需求贴合度一般，得5分。</w:t>
            </w:r>
          </w:p>
          <w:p>
            <w:pPr>
              <w:rPr>
                <w:rFonts w:ascii="宋体" w:hAnsi="宋体" w:cs="宋体"/>
                <w:szCs w:val="21"/>
                <w:highlight w:val="none"/>
              </w:rPr>
            </w:pPr>
            <w:r>
              <w:rPr>
                <w:rFonts w:hint="eastAsia" w:ascii="宋体" w:hAnsi="宋体" w:cs="宋体"/>
                <w:szCs w:val="21"/>
                <w:highlight w:val="none"/>
              </w:rPr>
              <w:t>（3）快速响应和售后服务保障方案具备，服务网点及技术人员响应能力较弱，应急保障措施不全，人员投入时间节点不及时，可执行性和用户需求贴合度低，得3分。</w:t>
            </w:r>
          </w:p>
          <w:p>
            <w:pPr>
              <w:pStyle w:val="19"/>
              <w:rPr>
                <w:rFonts w:ascii="宋体" w:hAnsi="宋体" w:eastAsia="宋体" w:cs="宋体"/>
                <w:sz w:val="21"/>
                <w:szCs w:val="21"/>
                <w:highlight w:val="none"/>
              </w:rPr>
            </w:pPr>
            <w:r>
              <w:rPr>
                <w:rFonts w:hint="eastAsia" w:ascii="宋体" w:hAnsi="宋体" w:eastAsia="宋体" w:cs="宋体"/>
                <w:kern w:val="2"/>
                <w:sz w:val="21"/>
                <w:szCs w:val="21"/>
                <w:highlight w:val="none"/>
              </w:rPr>
              <w:t>提供服务网点和投标供应商关系证明加盖公章，不提供不得分。</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41" w:type="dxa"/>
            <w:vMerge w:val="continue"/>
            <w:noWrap/>
            <w:vAlign w:val="center"/>
          </w:tcPr>
          <w:p>
            <w:pPr>
              <w:snapToGrid w:val="0"/>
              <w:spacing w:line="240" w:lineRule="exact"/>
              <w:jc w:val="center"/>
              <w:rPr>
                <w:rFonts w:ascii="宋体" w:hAnsi="宋体" w:cs="宋体"/>
                <w:szCs w:val="21"/>
                <w:highlight w:val="none"/>
              </w:rPr>
            </w:pPr>
          </w:p>
        </w:tc>
        <w:tc>
          <w:tcPr>
            <w:tcW w:w="1306" w:type="dxa"/>
            <w:noWrap/>
            <w:vAlign w:val="center"/>
          </w:tcPr>
          <w:p>
            <w:pPr>
              <w:rPr>
                <w:rFonts w:ascii="宋体" w:hAnsi="宋体" w:cs="宋体"/>
                <w:szCs w:val="21"/>
                <w:highlight w:val="none"/>
                <w:lang w:val="zh-CN"/>
              </w:rPr>
            </w:pPr>
            <w:r>
              <w:rPr>
                <w:rFonts w:hint="eastAsia" w:ascii="宋体" w:hAnsi="宋体" w:cs="宋体"/>
                <w:szCs w:val="21"/>
                <w:highlight w:val="none"/>
                <w:lang w:val="zh-CN"/>
              </w:rPr>
              <w:t>项目培训方案</w:t>
            </w:r>
          </w:p>
        </w:tc>
        <w:tc>
          <w:tcPr>
            <w:tcW w:w="804" w:type="dxa"/>
            <w:noWrap/>
            <w:vAlign w:val="center"/>
          </w:tcPr>
          <w:p>
            <w:pPr>
              <w:jc w:val="center"/>
              <w:rPr>
                <w:rFonts w:ascii="宋体" w:hAnsi="宋体" w:cs="宋体"/>
                <w:szCs w:val="21"/>
                <w:highlight w:val="none"/>
              </w:rPr>
            </w:pPr>
            <w:r>
              <w:rPr>
                <w:rFonts w:hint="eastAsia" w:ascii="宋体" w:hAnsi="宋体" w:cs="宋体"/>
                <w:szCs w:val="21"/>
                <w:highlight w:val="none"/>
              </w:rPr>
              <w:t>4分</w:t>
            </w:r>
          </w:p>
        </w:tc>
        <w:tc>
          <w:tcPr>
            <w:tcW w:w="6012" w:type="dxa"/>
            <w:noWrap/>
            <w:vAlign w:val="center"/>
          </w:tcPr>
          <w:p>
            <w:pPr>
              <w:rPr>
                <w:rFonts w:ascii="宋体" w:hAnsi="宋体" w:cs="宋体"/>
                <w:szCs w:val="21"/>
                <w:highlight w:val="none"/>
              </w:rPr>
            </w:pPr>
            <w:r>
              <w:rPr>
                <w:rFonts w:hint="eastAsia" w:ascii="宋体" w:hAnsi="宋体" w:cs="宋体"/>
                <w:szCs w:val="21"/>
                <w:highlight w:val="none"/>
              </w:rPr>
              <w:t>（1）培训方案系统、完整、可操作性强，培训时间安排得当，培训内容紧贴诊断方案需求，得4分。</w:t>
            </w:r>
          </w:p>
          <w:p>
            <w:pPr>
              <w:rPr>
                <w:rFonts w:ascii="宋体" w:hAnsi="宋体" w:cs="宋体"/>
                <w:szCs w:val="21"/>
                <w:highlight w:val="none"/>
              </w:rPr>
            </w:pPr>
            <w:r>
              <w:rPr>
                <w:rFonts w:hint="eastAsia" w:ascii="宋体" w:hAnsi="宋体" w:cs="宋体"/>
                <w:szCs w:val="21"/>
                <w:highlight w:val="none"/>
              </w:rPr>
              <w:t>（2）培训内容适宜、较完整，具有一定的可操作性，培训时间安排较合理，培训内容与诊断方案需求较贴近，得2分。</w:t>
            </w:r>
          </w:p>
          <w:p>
            <w:pPr>
              <w:rPr>
                <w:rFonts w:ascii="宋体" w:hAnsi="宋体" w:cs="宋体"/>
                <w:szCs w:val="21"/>
                <w:highlight w:val="none"/>
              </w:rPr>
            </w:pPr>
            <w:r>
              <w:rPr>
                <w:rFonts w:hint="eastAsia" w:ascii="宋体" w:hAnsi="宋体" w:cs="宋体"/>
                <w:szCs w:val="21"/>
                <w:highlight w:val="none"/>
              </w:rPr>
              <w:t>（3）培训方案一般，培训时间安排不够合理，培训内容零散，与诊断方案需求有一定差距，得1分。</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41" w:type="dxa"/>
            <w:noWrap/>
            <w:vAlign w:val="center"/>
          </w:tcPr>
          <w:p>
            <w:pPr>
              <w:widowControl/>
              <w:spacing w:line="240" w:lineRule="atLeast"/>
              <w:jc w:val="center"/>
              <w:rPr>
                <w:rFonts w:ascii="宋体" w:hAnsi="宋体" w:cs="宋体"/>
                <w:kern w:val="0"/>
                <w:szCs w:val="21"/>
                <w:highlight w:val="none"/>
                <w:lang w:val="zh-CN"/>
              </w:rPr>
            </w:pPr>
            <w:r>
              <w:rPr>
                <w:rFonts w:hint="eastAsia" w:ascii="宋体" w:hAnsi="宋体" w:cs="宋体"/>
                <w:kern w:val="0"/>
                <w:szCs w:val="21"/>
                <w:highlight w:val="none"/>
                <w:lang w:val="zh-CN"/>
              </w:rPr>
              <w:t>项目技术能力水平（</w:t>
            </w:r>
            <w:r>
              <w:rPr>
                <w:rFonts w:hint="eastAsia" w:ascii="宋体" w:hAnsi="宋体" w:cs="宋体"/>
                <w:kern w:val="0"/>
                <w:szCs w:val="21"/>
                <w:highlight w:val="none"/>
              </w:rPr>
              <w:t>16分</w:t>
            </w:r>
            <w:r>
              <w:rPr>
                <w:rFonts w:hint="eastAsia" w:ascii="宋体" w:hAnsi="宋体" w:cs="宋体"/>
                <w:kern w:val="0"/>
                <w:szCs w:val="21"/>
                <w:highlight w:val="none"/>
                <w:lang w:val="zh-CN"/>
              </w:rPr>
              <w:t>）</w:t>
            </w:r>
          </w:p>
        </w:tc>
        <w:tc>
          <w:tcPr>
            <w:tcW w:w="1306" w:type="dxa"/>
            <w:noWrap/>
            <w:vAlign w:val="center"/>
          </w:tcPr>
          <w:p>
            <w:pPr>
              <w:rPr>
                <w:rFonts w:ascii="宋体" w:hAnsi="宋体" w:cs="宋体"/>
                <w:szCs w:val="21"/>
                <w:highlight w:val="none"/>
                <w:lang w:val="zh-CN"/>
              </w:rPr>
            </w:pPr>
            <w:r>
              <w:rPr>
                <w:rFonts w:hint="eastAsia" w:ascii="宋体" w:hAnsi="宋体" w:cs="宋体"/>
                <w:szCs w:val="21"/>
                <w:highlight w:val="none"/>
                <w:lang w:val="zh-CN"/>
              </w:rPr>
              <w:t>项目技术能力水平</w:t>
            </w:r>
          </w:p>
        </w:tc>
        <w:tc>
          <w:tcPr>
            <w:tcW w:w="804" w:type="dxa"/>
            <w:noWrap/>
            <w:vAlign w:val="center"/>
          </w:tcPr>
          <w:p>
            <w:pPr>
              <w:jc w:val="center"/>
              <w:rPr>
                <w:rFonts w:ascii="宋体" w:hAnsi="宋体" w:cs="宋体"/>
                <w:szCs w:val="21"/>
                <w:highlight w:val="none"/>
              </w:rPr>
            </w:pPr>
            <w:r>
              <w:rPr>
                <w:rFonts w:hint="eastAsia" w:ascii="宋体" w:hAnsi="宋体" w:cs="宋体"/>
                <w:szCs w:val="21"/>
                <w:highlight w:val="none"/>
              </w:rPr>
              <w:t>16分</w:t>
            </w:r>
          </w:p>
        </w:tc>
        <w:tc>
          <w:tcPr>
            <w:tcW w:w="6012" w:type="dxa"/>
            <w:noWrap/>
            <w:vAlign w:val="center"/>
          </w:tcPr>
          <w:p>
            <w:pPr>
              <w:rPr>
                <w:rFonts w:ascii="宋体" w:hAnsi="宋体" w:cs="宋体"/>
                <w:szCs w:val="21"/>
                <w:highlight w:val="none"/>
              </w:rPr>
            </w:pPr>
            <w:r>
              <w:rPr>
                <w:rFonts w:hint="eastAsia" w:ascii="宋体" w:hAnsi="宋体" w:cs="宋体"/>
                <w:szCs w:val="21"/>
                <w:highlight w:val="none"/>
              </w:rPr>
              <w:t>（1）投标供应商主持或参与过智能制造、工业互联网或两化融合国家标准起草得3分，主持或参与地方或行业标准起草得2分，同时获得不重复计算。</w:t>
            </w:r>
            <w:r>
              <w:rPr>
                <w:rFonts w:hint="eastAsia" w:ascii="宋体" w:hAnsi="宋体" w:cs="宋体"/>
                <w:szCs w:val="21"/>
                <w:highlight w:val="none"/>
              </w:rPr>
              <w:tab/>
            </w:r>
          </w:p>
          <w:p>
            <w:pPr>
              <w:rPr>
                <w:rFonts w:ascii="宋体" w:hAnsi="宋体" w:cs="宋体"/>
                <w:szCs w:val="21"/>
                <w:highlight w:val="none"/>
              </w:rPr>
            </w:pPr>
            <w:r>
              <w:rPr>
                <w:rFonts w:hint="eastAsia" w:ascii="宋体" w:hAnsi="宋体" w:cs="宋体"/>
                <w:szCs w:val="21"/>
                <w:highlight w:val="none"/>
              </w:rPr>
              <w:t>提供标准封面及前言页（需包含起草单位）或合同复印件加盖公章。</w:t>
            </w:r>
          </w:p>
          <w:p>
            <w:pPr>
              <w:pStyle w:val="49"/>
              <w:numPr>
                <w:ilvl w:val="0"/>
                <w:numId w:val="5"/>
              </w:numPr>
              <w:ind w:firstLine="0"/>
              <w:rPr>
                <w:highlight w:val="none"/>
              </w:rPr>
            </w:pPr>
            <w:r>
              <w:rPr>
                <w:rFonts w:hint="eastAsia"/>
                <w:highlight w:val="none"/>
              </w:rPr>
              <w:t>投标供应商具有省部级及以上智能制造相关重点实验室或工程技术中心得2分。</w:t>
            </w:r>
          </w:p>
          <w:p>
            <w:pPr>
              <w:rPr>
                <w:highlight w:val="none"/>
              </w:rPr>
            </w:pPr>
            <w:r>
              <w:rPr>
                <w:rFonts w:hint="eastAsia" w:ascii="宋体" w:hAnsi="宋体" w:cs="宋体"/>
                <w:szCs w:val="21"/>
                <w:highlight w:val="none"/>
              </w:rPr>
              <w:t>提供证书、批文或网页截图（需注明网址）等证明材料，证明材料加盖公章。</w:t>
            </w:r>
          </w:p>
          <w:p>
            <w:pPr>
              <w:rPr>
                <w:rFonts w:ascii="宋体" w:hAnsi="宋体" w:cs="宋体"/>
                <w:szCs w:val="21"/>
                <w:highlight w:val="none"/>
              </w:rPr>
            </w:pPr>
            <w:r>
              <w:rPr>
                <w:rFonts w:hint="eastAsia" w:ascii="宋体" w:hAnsi="宋体" w:cs="宋体"/>
                <w:szCs w:val="21"/>
                <w:highlight w:val="none"/>
              </w:rPr>
              <w:t>（3）投标供应商入选过服务机构资源池（如：省工业互联网服务资源池、省智能制造领军服务机构、市“智改数转”服务商等），省级及以上有一项得2分、市级有一项得1分，本项最高5分。提供证书、批文或网页截图（需注明网址）等证明材料，证明材料加盖公章。</w:t>
            </w:r>
          </w:p>
          <w:p>
            <w:pPr>
              <w:rPr>
                <w:rFonts w:ascii="宋体" w:hAnsi="宋体" w:cs="宋体"/>
                <w:szCs w:val="21"/>
                <w:highlight w:val="none"/>
              </w:rPr>
            </w:pPr>
            <w:r>
              <w:rPr>
                <w:rFonts w:hint="eastAsia" w:ascii="宋体" w:hAnsi="宋体" w:cs="宋体"/>
                <w:szCs w:val="21"/>
                <w:highlight w:val="none"/>
              </w:rPr>
              <w:t>（4）投标供应商为国家级工业互联网双跨平台得2分，省级工业互联网平台得1分，同时获得不重复计算。</w:t>
            </w:r>
          </w:p>
          <w:p>
            <w:pPr>
              <w:rPr>
                <w:highlight w:val="none"/>
              </w:rPr>
            </w:pPr>
            <w:r>
              <w:rPr>
                <w:rFonts w:hint="eastAsia" w:ascii="宋体" w:hAnsi="宋体" w:cs="宋体"/>
                <w:szCs w:val="21"/>
                <w:highlight w:val="none"/>
              </w:rPr>
              <w:t>提供证书或批文复印件加盖公章。</w:t>
            </w:r>
          </w:p>
          <w:p>
            <w:pPr>
              <w:rPr>
                <w:highlight w:val="none"/>
              </w:rPr>
            </w:pPr>
            <w:r>
              <w:rPr>
                <w:rFonts w:hint="eastAsia" w:ascii="宋体" w:hAnsi="宋体" w:cs="宋体"/>
                <w:szCs w:val="21"/>
                <w:highlight w:val="none"/>
              </w:rPr>
              <w:t>（5）投标供应商具有有效状态的</w:t>
            </w:r>
            <w:r>
              <w:rPr>
                <w:rFonts w:hint="eastAsia" w:ascii="宋体" w:hAnsi="宋体" w:cs="宋体"/>
                <w:szCs w:val="21"/>
                <w:highlight w:val="none"/>
                <w:lang w:val="en-US" w:eastAsia="zh-CN"/>
              </w:rPr>
              <w:t>CMMI3级及以上认证证书、信息系统建设和服务能力CS4级及以上认证证书、</w:t>
            </w:r>
            <w:r>
              <w:rPr>
                <w:rFonts w:hint="eastAsia" w:ascii="宋体" w:hAnsi="宋体" w:cs="宋体"/>
                <w:szCs w:val="21"/>
                <w:highlight w:val="none"/>
              </w:rPr>
              <w:t>信息技术服务管理体系认证证书、信息安全管理体系认证证书、信息技术服务运行维护标准符合性证书，提供一项得1分，最高3分。</w:t>
            </w:r>
          </w:p>
          <w:p>
            <w:pPr>
              <w:rPr>
                <w:rFonts w:ascii="宋体" w:hAnsi="宋体" w:cs="宋体"/>
                <w:szCs w:val="21"/>
                <w:highlight w:val="none"/>
              </w:rPr>
            </w:pPr>
            <w:r>
              <w:rPr>
                <w:rFonts w:hint="eastAsia" w:ascii="宋体" w:hAnsi="宋体" w:cs="宋体"/>
                <w:szCs w:val="21"/>
                <w:highlight w:val="none"/>
              </w:rPr>
              <w:t>提供证书复印件加盖公章。</w:t>
            </w:r>
          </w:p>
          <w:p>
            <w:pPr>
              <w:rPr>
                <w:rFonts w:ascii="宋体" w:hAnsi="宋体" w:cs="宋体"/>
                <w:szCs w:val="21"/>
                <w:highlight w:val="none"/>
              </w:rPr>
            </w:pPr>
            <w:r>
              <w:rPr>
                <w:rFonts w:hint="eastAsia" w:ascii="宋体" w:hAnsi="宋体" w:cs="宋体"/>
                <w:szCs w:val="21"/>
                <w:highlight w:val="none"/>
              </w:rPr>
              <w:t>（6）投标供应商具有两化融合管理体系评定机构资格或获得中国两化融合服务联盟贯标咨询服务机构得1分。</w:t>
            </w:r>
            <w:r>
              <w:rPr>
                <w:rFonts w:hint="eastAsia" w:ascii="宋体" w:hAnsi="宋体" w:cs="宋体"/>
                <w:szCs w:val="21"/>
                <w:highlight w:val="none"/>
              </w:rPr>
              <w:tab/>
            </w:r>
            <w:r>
              <w:rPr>
                <w:rFonts w:hint="eastAsia" w:ascii="宋体" w:hAnsi="宋体" w:cs="宋体"/>
                <w:szCs w:val="21"/>
                <w:highlight w:val="none"/>
              </w:rPr>
              <w:tab/>
            </w:r>
          </w:p>
          <w:p>
            <w:pPr>
              <w:rPr>
                <w:rFonts w:ascii="宋体" w:hAnsi="宋体" w:cs="宋体"/>
                <w:szCs w:val="21"/>
                <w:highlight w:val="none"/>
              </w:rPr>
            </w:pPr>
            <w:r>
              <w:rPr>
                <w:rFonts w:hint="eastAsia" w:ascii="宋体" w:hAnsi="宋体" w:cs="宋体"/>
                <w:szCs w:val="21"/>
                <w:highlight w:val="none"/>
              </w:rPr>
              <w:t>提供证书或批文复印件加盖公章。</w:t>
            </w:r>
          </w:p>
          <w:p>
            <w:pPr>
              <w:pStyle w:val="19"/>
              <w:rPr>
                <w:rFonts w:ascii="宋体" w:hAnsi="宋体" w:eastAsia="宋体" w:cs="宋体"/>
                <w:sz w:val="21"/>
                <w:szCs w:val="21"/>
                <w:highlight w:val="none"/>
              </w:rPr>
            </w:pPr>
            <w:r>
              <w:rPr>
                <w:rFonts w:hint="eastAsia" w:ascii="宋体" w:hAnsi="宋体" w:eastAsia="宋体" w:cs="宋体"/>
                <w:kern w:val="2"/>
                <w:sz w:val="21"/>
                <w:szCs w:val="21"/>
                <w:highlight w:val="none"/>
              </w:rPr>
              <w:t>注：以上技术能力水平均需提供相关证明文件</w:t>
            </w:r>
            <w:r>
              <w:rPr>
                <w:rFonts w:hint="eastAsia" w:ascii="宋体" w:hAnsi="宋体" w:eastAsia="宋体" w:cs="宋体"/>
                <w:kern w:val="2"/>
                <w:sz w:val="21"/>
                <w:szCs w:val="21"/>
                <w:highlight w:val="none"/>
                <w:lang w:val="en-US" w:eastAsia="zh-CN"/>
              </w:rPr>
              <w:t>复印件</w:t>
            </w:r>
            <w:r>
              <w:rPr>
                <w:rFonts w:hint="eastAsia" w:ascii="宋体" w:hAnsi="宋体" w:eastAsia="宋体" w:cs="宋体"/>
                <w:kern w:val="2"/>
                <w:sz w:val="21"/>
                <w:szCs w:val="21"/>
                <w:highlight w:val="none"/>
              </w:rPr>
              <w:t>并加盖投标供应商公章，因所提供证明材料不全或内容不明，导致评标委员会无法认定时，则视为未提供，不予赋分。</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41" w:type="dxa"/>
            <w:noWrap/>
            <w:vAlign w:val="center"/>
          </w:tcPr>
          <w:p>
            <w:pPr>
              <w:widowControl/>
              <w:spacing w:line="240" w:lineRule="atLeast"/>
              <w:jc w:val="center"/>
              <w:rPr>
                <w:rFonts w:ascii="宋体" w:hAnsi="宋体" w:cs="宋体"/>
                <w:kern w:val="0"/>
                <w:szCs w:val="21"/>
                <w:highlight w:val="none"/>
                <w:lang w:val="zh-CN"/>
              </w:rPr>
            </w:pPr>
            <w:r>
              <w:rPr>
                <w:rFonts w:hint="eastAsia" w:ascii="宋体" w:hAnsi="宋体" w:cs="宋体"/>
                <w:kern w:val="0"/>
                <w:szCs w:val="21"/>
                <w:highlight w:val="none"/>
                <w:lang w:val="zh-CN"/>
              </w:rPr>
              <w:t>项目相关经验及履约能力（</w:t>
            </w:r>
            <w:r>
              <w:rPr>
                <w:rFonts w:hint="eastAsia" w:ascii="宋体" w:hAnsi="宋体" w:cs="宋体"/>
                <w:kern w:val="0"/>
                <w:szCs w:val="21"/>
                <w:highlight w:val="none"/>
              </w:rPr>
              <w:t>12分</w:t>
            </w:r>
            <w:r>
              <w:rPr>
                <w:rFonts w:hint="eastAsia" w:ascii="宋体" w:hAnsi="宋体" w:cs="宋体"/>
                <w:kern w:val="0"/>
                <w:szCs w:val="21"/>
                <w:highlight w:val="none"/>
                <w:lang w:val="zh-CN"/>
              </w:rPr>
              <w:t>）</w:t>
            </w:r>
          </w:p>
        </w:tc>
        <w:tc>
          <w:tcPr>
            <w:tcW w:w="1306" w:type="dxa"/>
            <w:noWrap/>
            <w:vAlign w:val="center"/>
          </w:tcPr>
          <w:p>
            <w:pPr>
              <w:widowControl/>
              <w:spacing w:line="240" w:lineRule="atLeast"/>
              <w:jc w:val="center"/>
              <w:rPr>
                <w:rFonts w:ascii="宋体" w:hAnsi="宋体" w:cs="宋体"/>
                <w:kern w:val="0"/>
                <w:szCs w:val="21"/>
                <w:highlight w:val="none"/>
                <w:lang w:val="zh-CN"/>
              </w:rPr>
            </w:pPr>
            <w:r>
              <w:rPr>
                <w:rFonts w:hint="eastAsia" w:ascii="宋体" w:hAnsi="宋体" w:cs="宋体"/>
                <w:kern w:val="0"/>
                <w:szCs w:val="21"/>
                <w:highlight w:val="none"/>
                <w:lang w:val="zh-CN"/>
              </w:rPr>
              <w:t>项目相关经验及履约能力</w:t>
            </w:r>
          </w:p>
        </w:tc>
        <w:tc>
          <w:tcPr>
            <w:tcW w:w="804" w:type="dxa"/>
            <w:noWrap/>
            <w:vAlign w:val="center"/>
          </w:tcPr>
          <w:p>
            <w:pPr>
              <w:jc w:val="center"/>
              <w:rPr>
                <w:rFonts w:ascii="宋体" w:hAnsi="宋体" w:cs="宋体"/>
                <w:szCs w:val="21"/>
                <w:highlight w:val="none"/>
              </w:rPr>
            </w:pPr>
            <w:r>
              <w:rPr>
                <w:rFonts w:hint="eastAsia" w:ascii="宋体" w:hAnsi="宋体" w:cs="宋体"/>
                <w:szCs w:val="21"/>
                <w:highlight w:val="none"/>
              </w:rPr>
              <w:t>12分</w:t>
            </w:r>
          </w:p>
        </w:tc>
        <w:tc>
          <w:tcPr>
            <w:tcW w:w="6012" w:type="dxa"/>
            <w:noWrap/>
            <w:vAlign w:val="center"/>
          </w:tcPr>
          <w:p>
            <w:pPr>
              <w:numPr>
                <w:ilvl w:val="0"/>
                <w:numId w:val="6"/>
              </w:numPr>
              <w:rPr>
                <w:rFonts w:ascii="宋体" w:hAnsi="宋体" w:cs="宋体"/>
                <w:szCs w:val="21"/>
                <w:highlight w:val="none"/>
              </w:rPr>
            </w:pPr>
            <w:r>
              <w:rPr>
                <w:rFonts w:hint="eastAsia" w:ascii="宋体" w:hAnsi="宋体" w:cs="宋体"/>
                <w:szCs w:val="21"/>
                <w:highlight w:val="none"/>
              </w:rPr>
              <w:t>2019年4月以来承接过智改数转相关诊断服务项目的，诊断企业家数20（含）-30（不含）家得2分，30（含）-50（不含）家得3分，50（含）-100（不含）家得4分，100（含）家以上得6分。</w:t>
            </w:r>
          </w:p>
          <w:p>
            <w:pPr>
              <w:rPr>
                <w:rFonts w:ascii="宋体" w:hAnsi="宋体" w:cs="宋体"/>
                <w:szCs w:val="21"/>
                <w:highlight w:val="none"/>
              </w:rPr>
            </w:pPr>
            <w:r>
              <w:rPr>
                <w:rFonts w:hint="eastAsia" w:ascii="宋体" w:hAnsi="宋体" w:cs="宋体"/>
                <w:szCs w:val="21"/>
                <w:highlight w:val="none"/>
              </w:rPr>
              <w:t>需提供所诊断服务企业数量的合同、验收证明材料或任意一张该合同支付发票，以上材料要求复印件并加盖投标单位公章。</w:t>
            </w:r>
          </w:p>
          <w:p>
            <w:pPr>
              <w:rPr>
                <w:rFonts w:ascii="宋体" w:hAnsi="宋体" w:cs="宋体"/>
                <w:szCs w:val="21"/>
                <w:highlight w:val="none"/>
              </w:rPr>
            </w:pPr>
            <w:r>
              <w:rPr>
                <w:rFonts w:hint="eastAsia" w:ascii="宋体" w:hAnsi="宋体" w:cs="宋体"/>
                <w:szCs w:val="21"/>
                <w:highlight w:val="none"/>
              </w:rPr>
              <w:t>（2）2019年4月以来承担或参与过智能制造试点示范项目、</w:t>
            </w:r>
            <w:r>
              <w:rPr>
                <w:rFonts w:hint="eastAsia" w:ascii="宋体" w:hAnsi="宋体" w:cs="宋体"/>
                <w:szCs w:val="21"/>
                <w:highlight w:val="none"/>
                <w:lang w:val="en-US" w:eastAsia="zh-CN"/>
              </w:rPr>
              <w:t>智能制造系统解决方案供应商项目、</w:t>
            </w:r>
            <w:r>
              <w:rPr>
                <w:rFonts w:hint="eastAsia" w:ascii="宋体" w:hAnsi="宋体" w:cs="宋体"/>
                <w:szCs w:val="21"/>
                <w:highlight w:val="none"/>
              </w:rPr>
              <w:t>省</w:t>
            </w:r>
            <w:r>
              <w:rPr>
                <w:rFonts w:hint="eastAsia" w:ascii="宋体" w:hAnsi="宋体" w:cs="宋体"/>
                <w:szCs w:val="21"/>
                <w:highlight w:val="none"/>
                <w:lang w:val="en-US" w:eastAsia="zh-CN"/>
              </w:rPr>
              <w:t>市</w:t>
            </w:r>
            <w:r>
              <w:rPr>
                <w:rFonts w:hint="eastAsia" w:ascii="宋体" w:hAnsi="宋体" w:cs="宋体"/>
                <w:szCs w:val="21"/>
                <w:highlight w:val="none"/>
              </w:rPr>
              <w:t>级智能工厂（车间）项目、省</w:t>
            </w:r>
            <w:r>
              <w:rPr>
                <w:rFonts w:hint="eastAsia" w:ascii="宋体" w:hAnsi="宋体" w:cs="宋体"/>
                <w:szCs w:val="21"/>
                <w:highlight w:val="none"/>
                <w:lang w:val="en-US" w:eastAsia="zh-CN"/>
              </w:rPr>
              <w:t>级</w:t>
            </w:r>
            <w:r>
              <w:rPr>
                <w:rFonts w:hint="eastAsia" w:ascii="宋体" w:hAnsi="宋体" w:cs="宋体"/>
                <w:szCs w:val="21"/>
                <w:highlight w:val="none"/>
              </w:rPr>
              <w:t>工业互联网标杆工厂、工业互联网试点示范项目、新一代信息技术与制造业融合</w:t>
            </w:r>
            <w:r>
              <w:rPr>
                <w:rFonts w:hint="eastAsia" w:ascii="宋体" w:hAnsi="宋体" w:cs="宋体"/>
                <w:szCs w:val="21"/>
                <w:highlight w:val="none"/>
                <w:lang w:val="en-US" w:eastAsia="zh-CN"/>
              </w:rPr>
              <w:t>发展试点示范、工业互联网创新发展工程</w:t>
            </w:r>
            <w:r>
              <w:rPr>
                <w:rFonts w:hint="eastAsia" w:ascii="宋体" w:hAnsi="宋体" w:cs="宋体"/>
                <w:szCs w:val="21"/>
                <w:highlight w:val="none"/>
              </w:rPr>
              <w:t>等类似项目，项目数5（含）-10（不含）家得3分，10（含）-15（不含）家得4分，15（含）家以上得6分。</w:t>
            </w:r>
          </w:p>
          <w:p>
            <w:pPr>
              <w:rPr>
                <w:rFonts w:ascii="宋体" w:hAnsi="宋体" w:cs="宋体"/>
                <w:szCs w:val="21"/>
                <w:highlight w:val="none"/>
              </w:rPr>
            </w:pPr>
            <w:r>
              <w:rPr>
                <w:rFonts w:hint="eastAsia" w:ascii="宋体" w:hAnsi="宋体" w:cs="宋体"/>
                <w:szCs w:val="21"/>
                <w:highlight w:val="none"/>
              </w:rPr>
              <w:t>提供相关佐证材料，如行政部门批文、合作协议等复印件加盖公章。</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2" w:hRule="atLeast"/>
        </w:trPr>
        <w:tc>
          <w:tcPr>
            <w:tcW w:w="8963" w:type="dxa"/>
            <w:gridSpan w:val="4"/>
            <w:noWrap/>
            <w:vAlign w:val="center"/>
          </w:tcPr>
          <w:p>
            <w:pPr>
              <w:widowControl/>
              <w:jc w:val="left"/>
              <w:rPr>
                <w:highlight w:val="none"/>
              </w:rPr>
            </w:pPr>
            <w:r>
              <w:rPr>
                <w:rFonts w:hint="eastAsia"/>
                <w:highlight w:val="none"/>
              </w:rPr>
              <w:t xml:space="preserve">备注： </w:t>
            </w:r>
          </w:p>
          <w:p>
            <w:pPr>
              <w:widowControl/>
              <w:numPr>
                <w:ilvl w:val="0"/>
                <w:numId w:val="7"/>
              </w:numPr>
              <w:jc w:val="left"/>
              <w:rPr>
                <w:highlight w:val="none"/>
              </w:rPr>
            </w:pPr>
            <w:r>
              <w:rPr>
                <w:rFonts w:hint="eastAsia"/>
                <w:highlight w:val="none"/>
              </w:rPr>
              <w:t xml:space="preserve">针对评分标准中评分的每一条，投标供应商在响应文件中均应提供清晰明了的相关资料并做出相应说明供评委评判，不提供相关资料的视为不具备该项得分的条件。 </w:t>
            </w:r>
          </w:p>
          <w:p>
            <w:pPr>
              <w:widowControl/>
              <w:numPr>
                <w:ilvl w:val="0"/>
                <w:numId w:val="7"/>
              </w:numPr>
              <w:jc w:val="left"/>
              <w:rPr>
                <w:highlight w:val="none"/>
              </w:rPr>
            </w:pPr>
            <w:r>
              <w:rPr>
                <w:rFonts w:hint="eastAsia"/>
                <w:highlight w:val="none"/>
              </w:rPr>
              <w:t>联合体所有投标文件以联合体牵头人签字盖章为准。</w:t>
            </w:r>
          </w:p>
          <w:p>
            <w:pPr>
              <w:widowControl/>
              <w:numPr>
                <w:ilvl w:val="0"/>
                <w:numId w:val="7"/>
              </w:numPr>
              <w:jc w:val="left"/>
              <w:rPr>
                <w:highlight w:val="none"/>
              </w:rPr>
            </w:pPr>
            <w:r>
              <w:rPr>
                <w:rFonts w:hint="eastAsia"/>
                <w:b/>
                <w:bCs/>
                <w:highlight w:val="none"/>
              </w:rPr>
              <w:t>投标响应函、供应商一般情况表、技术部分正负偏离表、商务部分正负偏离表和商务技术分第一部分的所有内容作为商务技术标第一册，投标供应商</w:t>
            </w:r>
            <w:r>
              <w:rPr>
                <w:rFonts w:hint="eastAsia"/>
                <w:b/>
                <w:bCs/>
                <w:highlight w:val="none"/>
                <w:lang w:val="zh-CN"/>
              </w:rPr>
              <w:t>对</w:t>
            </w:r>
            <w:r>
              <w:rPr>
                <w:rFonts w:hint="eastAsia"/>
                <w:b/>
                <w:bCs/>
                <w:highlight w:val="none"/>
              </w:rPr>
              <w:t>多个标段</w:t>
            </w:r>
            <w:r>
              <w:rPr>
                <w:rFonts w:hint="eastAsia"/>
                <w:b/>
                <w:bCs/>
                <w:highlight w:val="none"/>
                <w:lang w:val="zh-CN"/>
              </w:rPr>
              <w:t>进行投标</w:t>
            </w:r>
            <w:r>
              <w:rPr>
                <w:rFonts w:hint="eastAsia"/>
                <w:b/>
                <w:bCs/>
                <w:highlight w:val="none"/>
              </w:rPr>
              <w:t>的只需提供一份商务技术标第一册文件，商务技术标第一册文件内容中涉及项目名称的格式为：项目名称+全部所投标段号。</w:t>
            </w:r>
          </w:p>
        </w:tc>
      </w:tr>
    </w:tbl>
    <w:p>
      <w:pPr>
        <w:snapToGrid w:val="0"/>
        <w:spacing w:line="312" w:lineRule="auto"/>
        <w:ind w:firstLine="482" w:firstLineChars="200"/>
        <w:contextualSpacing/>
        <w:rPr>
          <w:rFonts w:ascii="宋体" w:hAnsi="宋体" w:cs="宋体"/>
          <w:b/>
          <w:bCs/>
          <w:kern w:val="0"/>
          <w:sz w:val="24"/>
          <w:highlight w:val="none"/>
          <w:lang w:val="zh-CN"/>
        </w:rPr>
      </w:pPr>
    </w:p>
    <w:p>
      <w:pPr>
        <w:widowControl/>
        <w:spacing w:line="240" w:lineRule="atLeast"/>
        <w:jc w:val="left"/>
        <w:rPr>
          <w:rFonts w:ascii="宋体" w:hAnsi="宋体" w:cs="宋体"/>
          <w:b/>
          <w:bCs/>
          <w:kern w:val="0"/>
          <w:sz w:val="24"/>
          <w:highlight w:val="none"/>
        </w:rPr>
      </w:pPr>
      <w:r>
        <w:rPr>
          <w:rFonts w:hint="eastAsia" w:ascii="宋体" w:hAnsi="宋体" w:cs="宋体"/>
          <w:b/>
          <w:bCs/>
          <w:kern w:val="0"/>
          <w:sz w:val="24"/>
          <w:highlight w:val="none"/>
        </w:rPr>
        <w:t>商务技术分第二部分：分值43分</w:t>
      </w:r>
    </w:p>
    <w:p>
      <w:pPr>
        <w:pStyle w:val="2"/>
        <w:ind w:firstLine="482"/>
        <w:jc w:val="center"/>
        <w:rPr>
          <w:highlight w:val="none"/>
        </w:rPr>
      </w:pPr>
      <w:r>
        <w:rPr>
          <w:rFonts w:hint="eastAsia" w:ascii="宋体" w:hAnsi="宋体" w:cs="宋体"/>
          <w:b/>
          <w:bCs/>
          <w:sz w:val="24"/>
          <w:highlight w:val="none"/>
        </w:rPr>
        <w:t>标段一商务技术分第二部分</w:t>
      </w:r>
    </w:p>
    <w:tbl>
      <w:tblPr>
        <w:tblStyle w:val="41"/>
        <w:tblW w:w="8963" w:type="dxa"/>
        <w:tblInd w:w="-23"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841"/>
        <w:gridCol w:w="1306"/>
        <w:gridCol w:w="804"/>
        <w:gridCol w:w="6012"/>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2" w:hRule="atLeast"/>
        </w:trPr>
        <w:tc>
          <w:tcPr>
            <w:tcW w:w="8963" w:type="dxa"/>
            <w:gridSpan w:val="4"/>
            <w:noWrap/>
            <w:vAlign w:val="center"/>
          </w:tcPr>
          <w:p>
            <w:pPr>
              <w:widowControl/>
              <w:spacing w:line="240" w:lineRule="atLeast"/>
              <w:jc w:val="center"/>
              <w:rPr>
                <w:highlight w:val="none"/>
              </w:rPr>
            </w:pPr>
            <w:r>
              <w:rPr>
                <w:rFonts w:hint="eastAsia" w:ascii="宋体" w:hAnsi="宋体" w:cs="宋体"/>
                <w:b/>
                <w:bCs/>
                <w:kern w:val="0"/>
                <w:sz w:val="24"/>
                <w:highlight w:val="none"/>
              </w:rPr>
              <w:t>商务技术分第二部分（所投标段相关）</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2" w:hRule="atLeast"/>
        </w:trPr>
        <w:tc>
          <w:tcPr>
            <w:tcW w:w="841" w:type="dxa"/>
            <w:noWrap/>
            <w:vAlign w:val="center"/>
          </w:tcPr>
          <w:p>
            <w:pPr>
              <w:widowControl/>
              <w:spacing w:line="240" w:lineRule="atLeast"/>
              <w:jc w:val="center"/>
              <w:rPr>
                <w:rFonts w:ascii="宋体" w:hAnsi="宋体" w:cs="宋体"/>
                <w:b/>
                <w:bCs/>
                <w:kern w:val="0"/>
                <w:sz w:val="24"/>
                <w:highlight w:val="none"/>
                <w:lang w:val="zh-CN"/>
              </w:rPr>
            </w:pPr>
            <w:r>
              <w:rPr>
                <w:rFonts w:hint="eastAsia" w:ascii="宋体" w:hAnsi="宋体" w:cs="宋体"/>
                <w:b/>
                <w:bCs/>
                <w:kern w:val="0"/>
                <w:sz w:val="24"/>
                <w:highlight w:val="none"/>
                <w:lang w:val="zh-CN"/>
              </w:rPr>
              <w:t>评审</w:t>
            </w:r>
          </w:p>
          <w:p>
            <w:pPr>
              <w:widowControl/>
              <w:spacing w:line="240" w:lineRule="atLeast"/>
              <w:jc w:val="center"/>
              <w:rPr>
                <w:highlight w:val="none"/>
              </w:rPr>
            </w:pPr>
            <w:r>
              <w:rPr>
                <w:rFonts w:hint="eastAsia" w:ascii="宋体" w:hAnsi="宋体" w:cs="宋体"/>
                <w:b/>
                <w:bCs/>
                <w:kern w:val="0"/>
                <w:sz w:val="24"/>
                <w:highlight w:val="none"/>
                <w:lang w:val="zh-CN"/>
              </w:rPr>
              <w:t>因素</w:t>
            </w:r>
          </w:p>
        </w:tc>
        <w:tc>
          <w:tcPr>
            <w:tcW w:w="1306" w:type="dxa"/>
            <w:noWrap/>
            <w:vAlign w:val="center"/>
          </w:tcPr>
          <w:p>
            <w:pPr>
              <w:widowControl/>
              <w:spacing w:line="240" w:lineRule="atLeast"/>
              <w:jc w:val="center"/>
              <w:rPr>
                <w:highlight w:val="none"/>
              </w:rPr>
            </w:pPr>
            <w:r>
              <w:rPr>
                <w:rFonts w:hint="eastAsia" w:ascii="宋体" w:hAnsi="宋体" w:cs="宋体"/>
                <w:b/>
                <w:bCs/>
                <w:kern w:val="0"/>
                <w:sz w:val="24"/>
                <w:highlight w:val="none"/>
              </w:rPr>
              <w:t>评审项目</w:t>
            </w:r>
          </w:p>
        </w:tc>
        <w:tc>
          <w:tcPr>
            <w:tcW w:w="804" w:type="dxa"/>
            <w:noWrap/>
            <w:vAlign w:val="center"/>
          </w:tcPr>
          <w:p>
            <w:pPr>
              <w:widowControl/>
              <w:spacing w:line="240" w:lineRule="atLeast"/>
              <w:jc w:val="center"/>
              <w:rPr>
                <w:highlight w:val="none"/>
              </w:rPr>
            </w:pPr>
            <w:r>
              <w:rPr>
                <w:rFonts w:hint="eastAsia" w:ascii="宋体" w:hAnsi="宋体" w:cs="宋体"/>
                <w:b/>
                <w:bCs/>
                <w:kern w:val="0"/>
                <w:sz w:val="24"/>
                <w:highlight w:val="none"/>
              </w:rPr>
              <w:t>分值</w:t>
            </w:r>
          </w:p>
        </w:tc>
        <w:tc>
          <w:tcPr>
            <w:tcW w:w="6012" w:type="dxa"/>
            <w:noWrap/>
            <w:vAlign w:val="center"/>
          </w:tcPr>
          <w:p>
            <w:pPr>
              <w:widowControl/>
              <w:spacing w:line="240" w:lineRule="atLeast"/>
              <w:jc w:val="center"/>
              <w:rPr>
                <w:highlight w:val="none"/>
              </w:rPr>
            </w:pPr>
            <w:r>
              <w:rPr>
                <w:rFonts w:hint="eastAsia" w:ascii="宋体" w:hAnsi="宋体" w:cs="宋体"/>
                <w:b/>
                <w:bCs/>
                <w:kern w:val="0"/>
                <w:sz w:val="24"/>
                <w:highlight w:val="none"/>
              </w:rPr>
              <w:t>评审标准</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2" w:hRule="atLeast"/>
        </w:trPr>
        <w:tc>
          <w:tcPr>
            <w:tcW w:w="841" w:type="dxa"/>
            <w:noWrap/>
            <w:vAlign w:val="center"/>
          </w:tcPr>
          <w:p>
            <w:pPr>
              <w:widowControl/>
              <w:spacing w:line="240" w:lineRule="atLeast"/>
              <w:jc w:val="center"/>
              <w:rPr>
                <w:rFonts w:ascii="宋体" w:hAnsi="宋体" w:cs="宋体"/>
                <w:b/>
                <w:bCs/>
                <w:kern w:val="0"/>
                <w:sz w:val="24"/>
                <w:highlight w:val="none"/>
                <w:lang w:val="zh-CN"/>
              </w:rPr>
            </w:pPr>
            <w:r>
              <w:rPr>
                <w:rFonts w:hint="eastAsia" w:ascii="宋体" w:hAnsi="宋体" w:cs="宋体"/>
                <w:kern w:val="0"/>
                <w:szCs w:val="21"/>
                <w:highlight w:val="none"/>
                <w:lang w:val="zh-CN"/>
              </w:rPr>
              <w:t>项目认识与理解（</w:t>
            </w:r>
            <w:r>
              <w:rPr>
                <w:rFonts w:hint="eastAsia" w:ascii="宋体" w:hAnsi="宋体" w:cs="宋体"/>
                <w:kern w:val="0"/>
                <w:szCs w:val="21"/>
                <w:highlight w:val="none"/>
              </w:rPr>
              <w:t>4分</w:t>
            </w:r>
            <w:r>
              <w:rPr>
                <w:rFonts w:hint="eastAsia" w:ascii="宋体" w:hAnsi="宋体" w:cs="宋体"/>
                <w:kern w:val="0"/>
                <w:szCs w:val="21"/>
                <w:highlight w:val="none"/>
                <w:lang w:val="zh-CN"/>
              </w:rPr>
              <w:t>）</w:t>
            </w:r>
          </w:p>
        </w:tc>
        <w:tc>
          <w:tcPr>
            <w:tcW w:w="1306" w:type="dxa"/>
            <w:noWrap/>
            <w:vAlign w:val="center"/>
          </w:tcPr>
          <w:p>
            <w:pPr>
              <w:widowControl/>
              <w:spacing w:line="240" w:lineRule="atLeast"/>
              <w:jc w:val="center"/>
              <w:rPr>
                <w:rFonts w:ascii="宋体" w:hAnsi="宋体" w:cs="宋体"/>
                <w:b/>
                <w:bCs/>
                <w:kern w:val="0"/>
                <w:sz w:val="24"/>
                <w:highlight w:val="none"/>
              </w:rPr>
            </w:pPr>
            <w:r>
              <w:rPr>
                <w:rFonts w:hint="eastAsia" w:ascii="宋体" w:hAnsi="宋体" w:cs="宋体"/>
                <w:szCs w:val="21"/>
                <w:highlight w:val="none"/>
                <w:lang w:val="zh-CN"/>
              </w:rPr>
              <w:t>对标段一</w:t>
            </w:r>
            <w:r>
              <w:rPr>
                <w:rFonts w:hint="eastAsia" w:ascii="宋体" w:hAnsi="宋体" w:cs="宋体"/>
                <w:szCs w:val="21"/>
                <w:highlight w:val="none"/>
              </w:rPr>
              <w:t>涉及</w:t>
            </w:r>
            <w:r>
              <w:rPr>
                <w:rFonts w:hint="eastAsia" w:ascii="宋体" w:hAnsi="宋体" w:cs="宋体"/>
                <w:szCs w:val="21"/>
                <w:highlight w:val="none"/>
                <w:lang w:val="zh-CN"/>
              </w:rPr>
              <w:t>行业改造转型的理解</w:t>
            </w:r>
          </w:p>
        </w:tc>
        <w:tc>
          <w:tcPr>
            <w:tcW w:w="804" w:type="dxa"/>
            <w:noWrap/>
            <w:vAlign w:val="center"/>
          </w:tcPr>
          <w:p>
            <w:pPr>
              <w:widowControl/>
              <w:spacing w:line="240" w:lineRule="atLeast"/>
              <w:jc w:val="center"/>
              <w:rPr>
                <w:rFonts w:ascii="宋体" w:hAnsi="宋体" w:cs="宋体"/>
                <w:b/>
                <w:bCs/>
                <w:kern w:val="0"/>
                <w:sz w:val="24"/>
                <w:highlight w:val="none"/>
              </w:rPr>
            </w:pPr>
            <w:r>
              <w:rPr>
                <w:rFonts w:hint="eastAsia"/>
                <w:highlight w:val="none"/>
              </w:rPr>
              <w:t>4分</w:t>
            </w:r>
          </w:p>
        </w:tc>
        <w:tc>
          <w:tcPr>
            <w:tcW w:w="6012" w:type="dxa"/>
            <w:noWrap/>
            <w:vAlign w:val="center"/>
          </w:tcPr>
          <w:p>
            <w:pPr>
              <w:rPr>
                <w:highlight w:val="none"/>
              </w:rPr>
            </w:pPr>
            <w:r>
              <w:rPr>
                <w:rFonts w:hint="eastAsia"/>
                <w:highlight w:val="none"/>
              </w:rPr>
              <w:t>（1）能够明确分析论证标段一的行业特点、分布特征，提出南通推进该行业智能化改造和数字化转型的方法论得当，对企业通过实施智能化改造实现转型升级的路径分析合理，得4分。</w:t>
            </w:r>
          </w:p>
          <w:p>
            <w:pPr>
              <w:rPr>
                <w:highlight w:val="none"/>
              </w:rPr>
            </w:pPr>
            <w:r>
              <w:rPr>
                <w:rFonts w:hint="eastAsia"/>
                <w:highlight w:val="none"/>
              </w:rPr>
              <w:t>（2）对标段一行业的特点、分布特征有一定的梳理，提出南通推进该行业智能化改造和数字化转型的思路，对企业通过实施智能化改造实现转型升级的路径分析一般，得2.5分。</w:t>
            </w:r>
          </w:p>
          <w:p>
            <w:pPr>
              <w:rPr>
                <w:rFonts w:ascii="宋体" w:hAnsi="宋体" w:cs="宋体"/>
                <w:b/>
                <w:bCs/>
                <w:kern w:val="0"/>
                <w:sz w:val="24"/>
                <w:highlight w:val="none"/>
              </w:rPr>
            </w:pPr>
            <w:r>
              <w:rPr>
                <w:rFonts w:hint="eastAsia"/>
                <w:highlight w:val="none"/>
              </w:rPr>
              <w:t>（3）对标段一行业的特点、分布特征描述模糊，对南通推进该行业智能化改造和数字化转型的思路和企业改造转型的路径分析不清，得1分。</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2" w:hRule="atLeast"/>
        </w:trPr>
        <w:tc>
          <w:tcPr>
            <w:tcW w:w="841" w:type="dxa"/>
            <w:vMerge w:val="restart"/>
            <w:noWrap/>
            <w:vAlign w:val="center"/>
          </w:tcPr>
          <w:p>
            <w:pPr>
              <w:widowControl/>
              <w:spacing w:line="240" w:lineRule="atLeast"/>
              <w:jc w:val="center"/>
              <w:rPr>
                <w:rFonts w:ascii="宋体" w:hAnsi="宋体" w:cs="宋体"/>
                <w:kern w:val="0"/>
                <w:szCs w:val="21"/>
                <w:highlight w:val="none"/>
                <w:lang w:val="zh-CN"/>
              </w:rPr>
            </w:pPr>
            <w:r>
              <w:rPr>
                <w:rFonts w:hint="eastAsia" w:ascii="宋体" w:hAnsi="宋体" w:cs="宋体"/>
                <w:kern w:val="0"/>
                <w:szCs w:val="21"/>
                <w:highlight w:val="none"/>
                <w:lang w:val="zh-CN"/>
              </w:rPr>
              <w:t>项目方案与实施（</w:t>
            </w:r>
            <w:r>
              <w:rPr>
                <w:rFonts w:hint="eastAsia" w:ascii="宋体" w:hAnsi="宋体" w:cs="宋体"/>
                <w:kern w:val="0"/>
                <w:szCs w:val="21"/>
                <w:highlight w:val="none"/>
                <w:lang w:val="en-US" w:eastAsia="zh-CN"/>
              </w:rPr>
              <w:t>16分</w:t>
            </w:r>
            <w:r>
              <w:rPr>
                <w:rFonts w:hint="eastAsia" w:ascii="宋体" w:hAnsi="宋体" w:cs="宋体"/>
                <w:kern w:val="0"/>
                <w:szCs w:val="21"/>
                <w:highlight w:val="none"/>
                <w:lang w:val="zh-CN"/>
              </w:rPr>
              <w:t>）</w:t>
            </w:r>
          </w:p>
        </w:tc>
        <w:tc>
          <w:tcPr>
            <w:tcW w:w="1306" w:type="dxa"/>
            <w:noWrap/>
            <w:vAlign w:val="center"/>
          </w:tcPr>
          <w:p>
            <w:pPr>
              <w:rPr>
                <w:rFonts w:ascii="宋体" w:hAnsi="宋体" w:cs="宋体"/>
                <w:szCs w:val="21"/>
                <w:highlight w:val="none"/>
                <w:lang w:val="zh-CN"/>
              </w:rPr>
            </w:pPr>
            <w:r>
              <w:rPr>
                <w:rFonts w:hint="eastAsia" w:ascii="宋体" w:hAnsi="宋体" w:cs="宋体"/>
                <w:szCs w:val="21"/>
                <w:highlight w:val="none"/>
                <w:lang w:val="zh-CN"/>
              </w:rPr>
              <w:t>标段一</w:t>
            </w:r>
            <w:r>
              <w:rPr>
                <w:rFonts w:hint="eastAsia" w:ascii="宋体" w:hAnsi="宋体" w:cs="宋体"/>
                <w:szCs w:val="21"/>
                <w:highlight w:val="none"/>
              </w:rPr>
              <w:t>行业</w:t>
            </w:r>
            <w:r>
              <w:rPr>
                <w:rFonts w:hint="eastAsia" w:ascii="宋体" w:hAnsi="宋体" w:cs="宋体"/>
                <w:szCs w:val="21"/>
                <w:highlight w:val="none"/>
                <w:lang w:val="zh-CN"/>
              </w:rPr>
              <w:t>诊断服务方案</w:t>
            </w:r>
          </w:p>
        </w:tc>
        <w:tc>
          <w:tcPr>
            <w:tcW w:w="804" w:type="dxa"/>
            <w:noWrap/>
            <w:vAlign w:val="center"/>
          </w:tcPr>
          <w:p>
            <w:pPr>
              <w:jc w:val="center"/>
              <w:rPr>
                <w:rFonts w:ascii="宋体" w:hAnsi="宋体" w:cs="宋体"/>
                <w:b/>
                <w:bCs/>
                <w:kern w:val="0"/>
                <w:sz w:val="24"/>
                <w:highlight w:val="none"/>
              </w:rPr>
            </w:pPr>
            <w:r>
              <w:rPr>
                <w:rFonts w:hint="eastAsia" w:ascii="宋体" w:hAnsi="宋体" w:cs="宋体"/>
                <w:szCs w:val="21"/>
                <w:highlight w:val="none"/>
              </w:rPr>
              <w:t>4分</w:t>
            </w:r>
          </w:p>
        </w:tc>
        <w:tc>
          <w:tcPr>
            <w:tcW w:w="6012" w:type="dxa"/>
            <w:noWrap/>
            <w:vAlign w:val="center"/>
          </w:tcPr>
          <w:p>
            <w:pPr>
              <w:rPr>
                <w:highlight w:val="none"/>
              </w:rPr>
            </w:pPr>
            <w:r>
              <w:rPr>
                <w:rFonts w:hint="eastAsia"/>
                <w:highlight w:val="none"/>
              </w:rPr>
              <w:t>（1）方案诊断评估方法先进，能够深入结合标段一行业特点，能从生产、管理、物流、仓储等重点环节对被诊断企业的智能化、数字化水平进行全面现状调研，描述清晰明确，与企业内部要素之间衔接和匹配度高，现场评估问诊过程可行，得4分。</w:t>
            </w:r>
          </w:p>
          <w:p>
            <w:pPr>
              <w:rPr>
                <w:highlight w:val="none"/>
              </w:rPr>
            </w:pPr>
            <w:r>
              <w:rPr>
                <w:rFonts w:hint="eastAsia"/>
                <w:highlight w:val="none"/>
              </w:rPr>
              <w:t>（2）方案诊断评估方法合理，参考了一定的标段一行业特点，从生产、管理、物流、仓储等重点环节对被诊断企业的智能化水平进行一般现状调研，描述较清晰，与企业内部要素之间衔接和匹配度较高，现场评估问诊过程基本可行，得2分。</w:t>
            </w:r>
          </w:p>
          <w:p>
            <w:pPr>
              <w:rPr>
                <w:rFonts w:hAnsi="宋体" w:cs="宋体"/>
                <w:szCs w:val="21"/>
                <w:highlight w:val="none"/>
              </w:rPr>
            </w:pPr>
            <w:r>
              <w:rPr>
                <w:rFonts w:hint="eastAsia"/>
                <w:highlight w:val="none"/>
              </w:rPr>
              <w:t>（3）方案诊断评估方法一般，未充分考虑标段一行业特点，从生产、管理、物流、仓储等重点环节对被诊断企业的智能化水平进行基本现状调研，描述不清晰，与企业内部要素之间衔接和匹配度低，现场评估问诊过程可行性不高，得1分。</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2" w:hRule="atLeast"/>
        </w:trPr>
        <w:tc>
          <w:tcPr>
            <w:tcW w:w="841" w:type="dxa"/>
            <w:vMerge w:val="continue"/>
            <w:noWrap/>
            <w:vAlign w:val="center"/>
          </w:tcPr>
          <w:p>
            <w:pPr>
              <w:widowControl/>
              <w:spacing w:line="240" w:lineRule="atLeast"/>
              <w:jc w:val="center"/>
              <w:rPr>
                <w:rFonts w:ascii="宋体" w:hAnsi="宋体" w:cs="宋体"/>
                <w:kern w:val="0"/>
                <w:szCs w:val="21"/>
                <w:highlight w:val="none"/>
                <w:lang w:val="zh-CN"/>
              </w:rPr>
            </w:pPr>
          </w:p>
        </w:tc>
        <w:tc>
          <w:tcPr>
            <w:tcW w:w="1306" w:type="dxa"/>
            <w:noWrap/>
            <w:vAlign w:val="center"/>
          </w:tcPr>
          <w:p>
            <w:pPr>
              <w:rPr>
                <w:rFonts w:ascii="宋体" w:hAnsi="宋体" w:cs="宋体"/>
                <w:szCs w:val="21"/>
                <w:highlight w:val="none"/>
                <w:lang w:val="zh-CN"/>
              </w:rPr>
            </w:pPr>
            <w:r>
              <w:rPr>
                <w:rFonts w:hint="eastAsia" w:ascii="宋体" w:hAnsi="宋体" w:cs="宋体"/>
                <w:szCs w:val="21"/>
                <w:highlight w:val="none"/>
                <w:lang w:val="zh-CN"/>
              </w:rPr>
              <w:t>标段一诊断项目组织</w:t>
            </w:r>
            <w:r>
              <w:rPr>
                <w:rFonts w:hint="eastAsia" w:ascii="宋体" w:hAnsi="宋体" w:cs="宋体"/>
                <w:szCs w:val="21"/>
                <w:highlight w:val="none"/>
              </w:rPr>
              <w:t>保障</w:t>
            </w:r>
          </w:p>
        </w:tc>
        <w:tc>
          <w:tcPr>
            <w:tcW w:w="804" w:type="dxa"/>
            <w:noWrap/>
            <w:vAlign w:val="center"/>
          </w:tcPr>
          <w:p>
            <w:pPr>
              <w:jc w:val="center"/>
              <w:rPr>
                <w:rFonts w:ascii="宋体" w:hAnsi="宋体" w:cs="宋体"/>
                <w:b/>
                <w:bCs/>
                <w:kern w:val="0"/>
                <w:sz w:val="24"/>
                <w:highlight w:val="none"/>
              </w:rPr>
            </w:pPr>
            <w:r>
              <w:rPr>
                <w:rFonts w:hint="eastAsia" w:ascii="宋体" w:hAnsi="宋体" w:cs="宋体"/>
                <w:szCs w:val="21"/>
                <w:highlight w:val="none"/>
              </w:rPr>
              <w:t>4分</w:t>
            </w:r>
          </w:p>
        </w:tc>
        <w:tc>
          <w:tcPr>
            <w:tcW w:w="6012" w:type="dxa"/>
            <w:noWrap/>
            <w:vAlign w:val="center"/>
          </w:tcPr>
          <w:p>
            <w:pPr>
              <w:rPr>
                <w:highlight w:val="none"/>
              </w:rPr>
            </w:pPr>
            <w:r>
              <w:rPr>
                <w:rFonts w:hint="eastAsia"/>
                <w:highlight w:val="none"/>
              </w:rPr>
              <w:t>（1）项目组织体系和架构配置合理，行业、技术等专家资源充分，团队职责清晰、分工明确（包含联合体各成员单位职责分工），组织严谨得当，能够保证项目方案顺利实施，得4分。</w:t>
            </w:r>
          </w:p>
          <w:p>
            <w:pPr>
              <w:rPr>
                <w:highlight w:val="none"/>
              </w:rPr>
            </w:pPr>
            <w:r>
              <w:rPr>
                <w:rFonts w:hint="eastAsia"/>
                <w:highlight w:val="none"/>
              </w:rPr>
              <w:t>（2）项目组织体系和架构配置较合理，行业、技术等资源较多，团队职责较清晰、分工较明确（包含联合体各成员单位职责分工），组织较合理，基本能够保证项目方案实施，得2分。</w:t>
            </w:r>
          </w:p>
          <w:p>
            <w:pPr>
              <w:rPr>
                <w:rFonts w:hAnsi="宋体" w:cs="宋体"/>
                <w:szCs w:val="21"/>
                <w:highlight w:val="none"/>
              </w:rPr>
            </w:pPr>
            <w:r>
              <w:rPr>
                <w:rFonts w:hint="eastAsia"/>
                <w:highlight w:val="none"/>
              </w:rPr>
              <w:t>（3）项目具备组织体系和架构配置，拥有一定的行业、技术等专家资源，团队职责和分工一般（包含联合体各成员单位职责分工），组织薄弱，项目方案实施有一定难度，得1分。</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2" w:hRule="atLeast"/>
        </w:trPr>
        <w:tc>
          <w:tcPr>
            <w:tcW w:w="841" w:type="dxa"/>
            <w:vMerge w:val="continue"/>
            <w:noWrap/>
            <w:vAlign w:val="center"/>
          </w:tcPr>
          <w:p>
            <w:pPr>
              <w:widowControl/>
              <w:spacing w:line="240" w:lineRule="atLeast"/>
              <w:jc w:val="center"/>
              <w:rPr>
                <w:rFonts w:ascii="宋体" w:hAnsi="宋体" w:cs="宋体"/>
                <w:kern w:val="0"/>
                <w:szCs w:val="21"/>
                <w:highlight w:val="none"/>
                <w:lang w:val="zh-CN"/>
              </w:rPr>
            </w:pPr>
          </w:p>
        </w:tc>
        <w:tc>
          <w:tcPr>
            <w:tcW w:w="1306" w:type="dxa"/>
            <w:noWrap/>
            <w:vAlign w:val="center"/>
          </w:tcPr>
          <w:p>
            <w:pPr>
              <w:rPr>
                <w:rFonts w:ascii="宋体" w:hAnsi="宋体" w:cs="宋体"/>
                <w:szCs w:val="21"/>
                <w:highlight w:val="none"/>
                <w:lang w:val="zh-CN"/>
              </w:rPr>
            </w:pPr>
            <w:r>
              <w:rPr>
                <w:rFonts w:hint="eastAsia" w:ascii="宋体" w:hAnsi="宋体" w:cs="宋体"/>
                <w:szCs w:val="21"/>
                <w:highlight w:val="none"/>
                <w:lang w:val="zh-CN"/>
              </w:rPr>
              <w:t>诊断项目综合管理</w:t>
            </w:r>
          </w:p>
        </w:tc>
        <w:tc>
          <w:tcPr>
            <w:tcW w:w="804" w:type="dxa"/>
            <w:noWrap/>
            <w:vAlign w:val="center"/>
          </w:tcPr>
          <w:p>
            <w:pPr>
              <w:jc w:val="center"/>
              <w:rPr>
                <w:rFonts w:ascii="宋体" w:hAnsi="宋体" w:cs="宋体"/>
                <w:szCs w:val="21"/>
                <w:highlight w:val="none"/>
              </w:rPr>
            </w:pPr>
            <w:r>
              <w:rPr>
                <w:rFonts w:hint="eastAsia" w:ascii="宋体" w:hAnsi="宋体" w:cs="宋体"/>
                <w:szCs w:val="21"/>
                <w:highlight w:val="none"/>
              </w:rPr>
              <w:t>4分</w:t>
            </w:r>
          </w:p>
        </w:tc>
        <w:tc>
          <w:tcPr>
            <w:tcW w:w="6012" w:type="dxa"/>
            <w:noWrap/>
            <w:vAlign w:val="center"/>
          </w:tcPr>
          <w:p>
            <w:pPr>
              <w:rPr>
                <w:rFonts w:ascii="宋体" w:hAnsi="宋体" w:cs="宋体"/>
                <w:szCs w:val="21"/>
                <w:highlight w:val="none"/>
              </w:rPr>
            </w:pPr>
            <w:r>
              <w:rPr>
                <w:rFonts w:hint="eastAsia" w:ascii="宋体" w:hAnsi="宋体" w:cs="宋体"/>
                <w:szCs w:val="21"/>
                <w:highlight w:val="none"/>
              </w:rPr>
              <w:t>（1）项目进度安排合理，各环节衔接顺畅，综合协调管理水平高，内容详实，能够有效完成标段一任务目标，得4分。</w:t>
            </w:r>
          </w:p>
          <w:p>
            <w:pPr>
              <w:rPr>
                <w:rFonts w:ascii="宋体" w:hAnsi="宋体" w:cs="宋体"/>
                <w:szCs w:val="21"/>
                <w:highlight w:val="none"/>
              </w:rPr>
            </w:pPr>
            <w:r>
              <w:rPr>
                <w:rFonts w:hint="eastAsia" w:ascii="宋体" w:hAnsi="宋体" w:cs="宋体"/>
                <w:szCs w:val="21"/>
                <w:highlight w:val="none"/>
              </w:rPr>
              <w:t>（2）项目进度安排较合理，各环节衔接较顺畅，综合协调管理水平较高，内容较详实，基本能够完成标段一任务目标，得2分。</w:t>
            </w:r>
          </w:p>
          <w:p>
            <w:pPr>
              <w:rPr>
                <w:rFonts w:hAnsi="宋体" w:cs="宋体"/>
                <w:szCs w:val="21"/>
                <w:highlight w:val="none"/>
              </w:rPr>
            </w:pPr>
            <w:r>
              <w:rPr>
                <w:rFonts w:hint="eastAsia" w:ascii="宋体" w:hAnsi="宋体" w:cs="宋体"/>
                <w:szCs w:val="21"/>
                <w:highlight w:val="none"/>
              </w:rPr>
              <w:t>（3）项目进度安排一般，各环节衔接程度一般，综合协调管理水平一般，具备一定内容，完成标段一任务目标有一定难度，得1分。</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2" w:hRule="atLeast"/>
        </w:trPr>
        <w:tc>
          <w:tcPr>
            <w:tcW w:w="841" w:type="dxa"/>
            <w:noWrap/>
            <w:vAlign w:val="center"/>
          </w:tcPr>
          <w:p>
            <w:pPr>
              <w:widowControl/>
              <w:spacing w:line="240" w:lineRule="atLeast"/>
              <w:jc w:val="center"/>
              <w:rPr>
                <w:rFonts w:ascii="宋体" w:hAnsi="宋体" w:cs="宋体"/>
                <w:kern w:val="0"/>
                <w:szCs w:val="21"/>
                <w:highlight w:val="none"/>
                <w:lang w:val="zh-CN"/>
              </w:rPr>
            </w:pPr>
          </w:p>
        </w:tc>
        <w:tc>
          <w:tcPr>
            <w:tcW w:w="1306" w:type="dxa"/>
            <w:noWrap/>
            <w:vAlign w:val="center"/>
          </w:tcPr>
          <w:p>
            <w:pPr>
              <w:rPr>
                <w:rFonts w:ascii="宋体" w:hAnsi="宋体" w:cs="宋体"/>
                <w:szCs w:val="21"/>
                <w:highlight w:val="none"/>
                <w:lang w:val="zh-CN"/>
              </w:rPr>
            </w:pPr>
            <w:r>
              <w:rPr>
                <w:rFonts w:hint="eastAsia" w:ascii="宋体" w:hAnsi="宋体" w:cs="宋体"/>
                <w:szCs w:val="21"/>
                <w:highlight w:val="none"/>
                <w:lang w:val="zh-CN"/>
              </w:rPr>
              <w:t>诊断项目诊断报告编制思路</w:t>
            </w:r>
          </w:p>
        </w:tc>
        <w:tc>
          <w:tcPr>
            <w:tcW w:w="804" w:type="dxa"/>
            <w:noWrap/>
            <w:vAlign w:val="center"/>
          </w:tcPr>
          <w:p>
            <w:pPr>
              <w:jc w:val="center"/>
              <w:rPr>
                <w:rFonts w:ascii="宋体" w:hAnsi="宋体" w:cs="宋体"/>
                <w:szCs w:val="21"/>
                <w:highlight w:val="none"/>
              </w:rPr>
            </w:pPr>
            <w:r>
              <w:rPr>
                <w:rFonts w:hint="eastAsia" w:ascii="宋体" w:hAnsi="宋体" w:cs="宋体"/>
                <w:szCs w:val="21"/>
                <w:highlight w:val="none"/>
              </w:rPr>
              <w:t>4分</w:t>
            </w:r>
          </w:p>
        </w:tc>
        <w:tc>
          <w:tcPr>
            <w:tcW w:w="6012" w:type="dxa"/>
            <w:noWrap/>
            <w:vAlign w:val="center"/>
          </w:tcPr>
          <w:p>
            <w:pPr>
              <w:rPr>
                <w:rFonts w:ascii="宋体" w:hAnsi="宋体" w:cs="宋体"/>
                <w:szCs w:val="21"/>
                <w:highlight w:val="none"/>
              </w:rPr>
            </w:pPr>
            <w:r>
              <w:rPr>
                <w:rFonts w:hint="eastAsia" w:ascii="宋体" w:hAnsi="宋体" w:cs="宋体"/>
                <w:szCs w:val="21"/>
                <w:highlight w:val="none"/>
              </w:rPr>
              <w:t>（1）对报告的整体构架有清晰的描述，撰写思路清晰完整、重点任务明确、分析方法得当，能提供具有行业代表性、针对性的解决方案，实施路径切实可行，得4分。</w:t>
            </w:r>
          </w:p>
          <w:p>
            <w:pPr>
              <w:rPr>
                <w:rFonts w:ascii="宋体" w:hAnsi="宋体" w:cs="宋体"/>
                <w:szCs w:val="21"/>
                <w:highlight w:val="none"/>
              </w:rPr>
            </w:pPr>
            <w:r>
              <w:rPr>
                <w:rFonts w:hint="eastAsia" w:ascii="宋体" w:hAnsi="宋体" w:cs="宋体"/>
                <w:szCs w:val="21"/>
                <w:highlight w:val="none"/>
              </w:rPr>
              <w:t>（2）对报告的整体构架有较清晰的描述，撰写思路较完整、重点任务较明确、分析方法适当，能提供行业解决方案，实施路径切具有一定可行性，得2分。</w:t>
            </w:r>
          </w:p>
          <w:p>
            <w:pPr>
              <w:rPr>
                <w:rFonts w:hAnsi="宋体" w:cs="宋体"/>
                <w:szCs w:val="21"/>
                <w:highlight w:val="none"/>
              </w:rPr>
            </w:pPr>
            <w:r>
              <w:rPr>
                <w:rFonts w:hint="eastAsia" w:ascii="宋体" w:hAnsi="宋体" w:cs="宋体"/>
                <w:szCs w:val="21"/>
                <w:highlight w:val="none"/>
              </w:rPr>
              <w:t>（3）对报告的整体构架的描述不够清晰，撰写思路模糊、重点任务不明确、分析方法适当性不强，提供解决方案缺乏代表和依据，实施路径有难度，得1分。</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2" w:hRule="atLeast"/>
        </w:trPr>
        <w:tc>
          <w:tcPr>
            <w:tcW w:w="841" w:type="dxa"/>
            <w:noWrap/>
            <w:vAlign w:val="center"/>
          </w:tcPr>
          <w:p>
            <w:pPr>
              <w:widowControl/>
              <w:spacing w:line="240" w:lineRule="atLeast"/>
              <w:jc w:val="center"/>
              <w:rPr>
                <w:rFonts w:ascii="宋体" w:hAnsi="宋体" w:cs="宋体"/>
                <w:kern w:val="0"/>
                <w:szCs w:val="21"/>
                <w:highlight w:val="none"/>
                <w:lang w:val="zh-CN"/>
              </w:rPr>
            </w:pPr>
            <w:r>
              <w:rPr>
                <w:rFonts w:hint="eastAsia" w:ascii="宋体" w:hAnsi="宋体" w:cs="宋体"/>
                <w:kern w:val="0"/>
                <w:szCs w:val="21"/>
                <w:highlight w:val="none"/>
                <w:lang w:val="zh-CN"/>
              </w:rPr>
              <w:t>项目人员团队能力（</w:t>
            </w:r>
            <w:r>
              <w:rPr>
                <w:rFonts w:hint="eastAsia" w:ascii="宋体" w:hAnsi="宋体" w:cs="宋体"/>
                <w:kern w:val="0"/>
                <w:szCs w:val="21"/>
                <w:highlight w:val="none"/>
              </w:rPr>
              <w:t>15分</w:t>
            </w:r>
            <w:r>
              <w:rPr>
                <w:rFonts w:hint="eastAsia" w:ascii="宋体" w:hAnsi="宋体" w:cs="宋体"/>
                <w:kern w:val="0"/>
                <w:szCs w:val="21"/>
                <w:highlight w:val="none"/>
                <w:lang w:val="zh-CN"/>
              </w:rPr>
              <w:t>）</w:t>
            </w:r>
          </w:p>
        </w:tc>
        <w:tc>
          <w:tcPr>
            <w:tcW w:w="1306" w:type="dxa"/>
            <w:noWrap/>
            <w:vAlign w:val="center"/>
          </w:tcPr>
          <w:p>
            <w:pPr>
              <w:widowControl/>
              <w:spacing w:line="240" w:lineRule="atLeast"/>
              <w:jc w:val="center"/>
              <w:rPr>
                <w:rFonts w:ascii="宋体" w:hAnsi="宋体" w:cs="宋体"/>
                <w:szCs w:val="21"/>
                <w:highlight w:val="none"/>
                <w:lang w:val="zh-CN"/>
              </w:rPr>
            </w:pPr>
            <w:r>
              <w:rPr>
                <w:rFonts w:hint="eastAsia" w:ascii="宋体" w:hAnsi="宋体" w:cs="宋体"/>
                <w:kern w:val="0"/>
                <w:szCs w:val="21"/>
                <w:highlight w:val="none"/>
                <w:lang w:val="zh-CN"/>
              </w:rPr>
              <w:t>项目人员团队能力</w:t>
            </w:r>
          </w:p>
        </w:tc>
        <w:tc>
          <w:tcPr>
            <w:tcW w:w="804" w:type="dxa"/>
            <w:noWrap/>
            <w:vAlign w:val="center"/>
          </w:tcPr>
          <w:p>
            <w:pPr>
              <w:jc w:val="center"/>
              <w:rPr>
                <w:rFonts w:ascii="宋体" w:hAnsi="宋体" w:cs="宋体"/>
                <w:szCs w:val="21"/>
                <w:highlight w:val="none"/>
              </w:rPr>
            </w:pPr>
            <w:r>
              <w:rPr>
                <w:rFonts w:hint="eastAsia" w:ascii="宋体" w:hAnsi="宋体" w:cs="宋体"/>
                <w:szCs w:val="21"/>
                <w:highlight w:val="none"/>
              </w:rPr>
              <w:t>15分</w:t>
            </w:r>
          </w:p>
        </w:tc>
        <w:tc>
          <w:tcPr>
            <w:tcW w:w="6012" w:type="dxa"/>
            <w:noWrap/>
            <w:vAlign w:val="center"/>
          </w:tcPr>
          <w:p>
            <w:pPr>
              <w:rPr>
                <w:rFonts w:ascii="宋体" w:hAnsi="宋体" w:cs="宋体"/>
                <w:szCs w:val="21"/>
                <w:highlight w:val="none"/>
              </w:rPr>
            </w:pPr>
            <w:r>
              <w:rPr>
                <w:rFonts w:hint="eastAsia"/>
                <w:highlight w:val="none"/>
              </w:rPr>
              <w:t>（1）</w:t>
            </w:r>
            <w:r>
              <w:rPr>
                <w:rFonts w:hint="eastAsia" w:ascii="宋体" w:hAnsi="宋体" w:cs="宋体"/>
                <w:szCs w:val="21"/>
                <w:highlight w:val="none"/>
              </w:rPr>
              <w:t>拟任</w:t>
            </w:r>
            <w:r>
              <w:rPr>
                <w:rFonts w:hint="eastAsia"/>
                <w:highlight w:val="none"/>
              </w:rPr>
              <w:t>项目负责人具有智能制造（两化融合）相关技术或标段一行业高级职称，得3分；为工信部、省工信厅智能制造（两化融合）领域或标段一行业专家库成员，得3分。本项最高得6分。</w:t>
            </w:r>
          </w:p>
          <w:p>
            <w:pPr>
              <w:pStyle w:val="19"/>
              <w:rPr>
                <w:rFonts w:ascii="宋体" w:hAnsi="宋体" w:eastAsia="宋体" w:cs="宋体"/>
                <w:kern w:val="2"/>
                <w:sz w:val="21"/>
                <w:szCs w:val="21"/>
                <w:highlight w:val="none"/>
              </w:rPr>
            </w:pPr>
            <w:r>
              <w:rPr>
                <w:rFonts w:hint="eastAsia" w:ascii="宋体" w:hAnsi="宋体" w:eastAsia="宋体" w:cs="宋体"/>
                <w:kern w:val="2"/>
                <w:sz w:val="21"/>
                <w:szCs w:val="21"/>
                <w:highlight w:val="none"/>
              </w:rPr>
              <w:t>（2）</w:t>
            </w:r>
            <w:r>
              <w:rPr>
                <w:rFonts w:hint="eastAsia" w:ascii="Times New Roman" w:eastAsia="宋体"/>
                <w:kern w:val="2"/>
                <w:sz w:val="21"/>
                <w:szCs w:val="24"/>
                <w:highlight w:val="none"/>
              </w:rPr>
              <w:t>拟投入团队成员具</w:t>
            </w:r>
            <w:r>
              <w:rPr>
                <w:rFonts w:hint="eastAsia" w:ascii="宋体" w:hAnsi="宋体" w:eastAsia="宋体" w:cs="宋体"/>
                <w:kern w:val="2"/>
                <w:sz w:val="21"/>
                <w:szCs w:val="21"/>
                <w:highlight w:val="none"/>
              </w:rPr>
              <w:t>有智能制造相关技术或标段一行业中级及以上专业职称、智能制造能力成熟度模型评估师证书、注册自动化系统工程师证书、软件评测师证书、项目管理师证书、CISP（注册信息安全专业人员）证书，全国两化融合管理体系技能合格证书或两化融合管理体系贯标咨询证书或同类人才证书的技术人员，每提供一份得0.5分（同一人员证书不重复计算分数），本项最高得4分。</w:t>
            </w:r>
          </w:p>
          <w:p>
            <w:pPr>
              <w:pStyle w:val="19"/>
              <w:rPr>
                <w:rFonts w:ascii="宋体" w:hAnsi="宋体" w:eastAsia="宋体" w:cs="宋体"/>
                <w:kern w:val="2"/>
                <w:sz w:val="21"/>
                <w:szCs w:val="21"/>
                <w:highlight w:val="none"/>
              </w:rPr>
            </w:pPr>
            <w:r>
              <w:rPr>
                <w:rFonts w:hint="eastAsia" w:ascii="宋体" w:hAnsi="宋体" w:eastAsia="宋体" w:cs="宋体"/>
                <w:kern w:val="2"/>
                <w:sz w:val="21"/>
                <w:szCs w:val="21"/>
                <w:highlight w:val="none"/>
              </w:rPr>
              <w:t>（3）</w:t>
            </w:r>
            <w:r>
              <w:rPr>
                <w:rFonts w:hint="eastAsia" w:ascii="Times New Roman" w:eastAsia="宋体"/>
                <w:kern w:val="2"/>
                <w:sz w:val="21"/>
                <w:szCs w:val="24"/>
                <w:highlight w:val="none"/>
              </w:rPr>
              <w:t>拟投入团队成员</w:t>
            </w:r>
            <w:r>
              <w:rPr>
                <w:rFonts w:hint="eastAsia" w:ascii="宋体" w:hAnsi="宋体" w:eastAsia="宋体" w:cs="宋体"/>
                <w:kern w:val="2"/>
                <w:sz w:val="21"/>
                <w:szCs w:val="21"/>
                <w:highlight w:val="none"/>
              </w:rPr>
              <w:t>具有智能制造相关领域或标段一行业专业背景，博士学历，每人得1分，硕士学历，每人得0.5分，最高5分。（同一人员学历不重复计算分数）</w:t>
            </w:r>
          </w:p>
          <w:p>
            <w:pPr>
              <w:rPr>
                <w:rFonts w:hAnsi="宋体" w:cs="宋体"/>
                <w:szCs w:val="21"/>
                <w:highlight w:val="none"/>
              </w:rPr>
            </w:pPr>
            <w:r>
              <w:rPr>
                <w:rFonts w:hint="eastAsia" w:ascii="宋体" w:hAnsi="宋体" w:cs="宋体"/>
                <w:szCs w:val="21"/>
                <w:highlight w:val="none"/>
              </w:rPr>
              <w:t>以上材料需提供职称证书（聘书或相关证明）、与投标供应商签订的劳动合同和近三个月社保缴费记录等材料加盖公章，因所提供证明材料不全或内容不明，不得分。智能制造（两化融合）相关技术领域包括：机械、装备、计算机、企业管理、软件、控制、云计算、大数据、人工智能等。</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872" w:hRule="atLeast"/>
        </w:trPr>
        <w:tc>
          <w:tcPr>
            <w:tcW w:w="841" w:type="dxa"/>
            <w:noWrap/>
            <w:vAlign w:val="center"/>
          </w:tcPr>
          <w:p>
            <w:pPr>
              <w:widowControl/>
              <w:spacing w:line="240" w:lineRule="atLeast"/>
              <w:jc w:val="center"/>
              <w:rPr>
                <w:rFonts w:ascii="宋体" w:hAnsi="宋体" w:cs="宋体"/>
                <w:kern w:val="0"/>
                <w:szCs w:val="21"/>
                <w:highlight w:val="none"/>
                <w:lang w:val="zh-CN"/>
              </w:rPr>
            </w:pPr>
            <w:r>
              <w:rPr>
                <w:rFonts w:hint="eastAsia" w:ascii="宋体" w:hAnsi="宋体" w:cs="宋体"/>
                <w:kern w:val="0"/>
                <w:szCs w:val="21"/>
                <w:highlight w:val="none"/>
                <w:lang w:val="zh-CN"/>
              </w:rPr>
              <w:t>项目相关经验及履约能力（</w:t>
            </w:r>
            <w:r>
              <w:rPr>
                <w:rFonts w:hint="eastAsia" w:ascii="宋体" w:hAnsi="宋体" w:cs="宋体"/>
                <w:kern w:val="0"/>
                <w:szCs w:val="21"/>
                <w:highlight w:val="none"/>
                <w:lang w:val="en-US" w:eastAsia="zh-CN"/>
              </w:rPr>
              <w:t>8</w:t>
            </w:r>
            <w:r>
              <w:rPr>
                <w:rFonts w:hint="eastAsia" w:ascii="宋体" w:hAnsi="宋体" w:cs="宋体"/>
                <w:kern w:val="0"/>
                <w:szCs w:val="21"/>
                <w:highlight w:val="none"/>
              </w:rPr>
              <w:t>分</w:t>
            </w:r>
            <w:r>
              <w:rPr>
                <w:rFonts w:hint="eastAsia" w:ascii="宋体" w:hAnsi="宋体" w:cs="宋体"/>
                <w:kern w:val="0"/>
                <w:szCs w:val="21"/>
                <w:highlight w:val="none"/>
                <w:lang w:val="zh-CN"/>
              </w:rPr>
              <w:t>）</w:t>
            </w:r>
          </w:p>
        </w:tc>
        <w:tc>
          <w:tcPr>
            <w:tcW w:w="1306" w:type="dxa"/>
            <w:noWrap/>
            <w:vAlign w:val="center"/>
          </w:tcPr>
          <w:p>
            <w:pPr>
              <w:widowControl/>
              <w:spacing w:line="240" w:lineRule="atLeast"/>
              <w:jc w:val="center"/>
              <w:rPr>
                <w:rFonts w:ascii="宋体" w:hAnsi="宋体" w:cs="宋体"/>
                <w:kern w:val="0"/>
                <w:szCs w:val="21"/>
                <w:highlight w:val="none"/>
                <w:lang w:val="zh-CN"/>
              </w:rPr>
            </w:pPr>
            <w:r>
              <w:rPr>
                <w:rFonts w:hint="eastAsia" w:ascii="宋体" w:hAnsi="宋体" w:cs="宋体"/>
                <w:kern w:val="0"/>
                <w:szCs w:val="21"/>
                <w:highlight w:val="none"/>
                <w:lang w:val="zh-CN"/>
              </w:rPr>
              <w:t>项目相关经验及履约能力</w:t>
            </w:r>
          </w:p>
        </w:tc>
        <w:tc>
          <w:tcPr>
            <w:tcW w:w="804" w:type="dxa"/>
            <w:noWrap/>
            <w:vAlign w:val="center"/>
          </w:tcPr>
          <w:p>
            <w:pPr>
              <w:jc w:val="center"/>
              <w:rPr>
                <w:rFonts w:ascii="宋体" w:hAnsi="宋体" w:cs="宋体"/>
                <w:szCs w:val="21"/>
                <w:highlight w:val="none"/>
              </w:rPr>
            </w:pPr>
            <w:r>
              <w:rPr>
                <w:rFonts w:hint="eastAsia" w:ascii="宋体" w:hAnsi="宋体" w:cs="宋体"/>
                <w:szCs w:val="21"/>
                <w:highlight w:val="none"/>
              </w:rPr>
              <w:t>8分</w:t>
            </w:r>
          </w:p>
        </w:tc>
        <w:tc>
          <w:tcPr>
            <w:tcW w:w="6012" w:type="dxa"/>
            <w:noWrap/>
            <w:vAlign w:val="center"/>
          </w:tcPr>
          <w:p>
            <w:pPr>
              <w:rPr>
                <w:highlight w:val="none"/>
              </w:rPr>
            </w:pPr>
            <w:r>
              <w:rPr>
                <w:rFonts w:hint="eastAsia"/>
                <w:highlight w:val="none"/>
              </w:rPr>
              <w:t>2019年4月以来为标段一行业制造业企业提供智能化改造和数字化转型相关技术或解决方案，并落地实施的，根据标段一产业要求每提供一项得1分。本项最高得8分。</w:t>
            </w:r>
          </w:p>
          <w:p>
            <w:pPr>
              <w:rPr>
                <w:highlight w:val="none"/>
              </w:rPr>
            </w:pPr>
            <w:r>
              <w:rPr>
                <w:rFonts w:hint="eastAsia"/>
                <w:highlight w:val="none"/>
              </w:rPr>
              <w:t>标段一产业要求：新一代信息技术产业最高得8分。</w:t>
            </w:r>
          </w:p>
          <w:p>
            <w:pPr>
              <w:rPr>
                <w:highlight w:val="none"/>
              </w:rPr>
            </w:pPr>
            <w:r>
              <w:rPr>
                <w:rFonts w:hint="eastAsia"/>
                <w:highlight w:val="none"/>
              </w:rPr>
              <w:t>需提供为标段一行业企业提供智能制造相关技术或解决方案的合同及实施结果（如验收证明材料、任意一张该合同支付发票等）证明材料；同时提供所服务企业属于标段一行业的相关证明，如被服务企业营业执照、被服务企业加盖公章的情况说明及其他能证明被服务企业属于标段一行业的材料。不提供被服务企业为标段一行业或提供的材料不明，无法认定所服务企业属于标段一行业的，视为未提供，不予赋分。</w:t>
            </w:r>
            <w:r>
              <w:rPr>
                <w:rFonts w:hint="eastAsia" w:ascii="宋体" w:hAnsi="宋体" w:cs="宋体"/>
                <w:szCs w:val="21"/>
                <w:highlight w:val="none"/>
              </w:rPr>
              <w:t>以上材料要求复印件并加盖投标单位公章。</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8963" w:type="dxa"/>
            <w:gridSpan w:val="4"/>
            <w:noWrap/>
            <w:vAlign w:val="center"/>
          </w:tcPr>
          <w:p>
            <w:pPr>
              <w:widowControl/>
              <w:jc w:val="left"/>
              <w:rPr>
                <w:highlight w:val="none"/>
              </w:rPr>
            </w:pPr>
            <w:r>
              <w:rPr>
                <w:rFonts w:hint="eastAsia"/>
                <w:highlight w:val="none"/>
              </w:rPr>
              <w:t xml:space="preserve">备注： </w:t>
            </w:r>
          </w:p>
          <w:p>
            <w:pPr>
              <w:widowControl/>
              <w:numPr>
                <w:ilvl w:val="0"/>
                <w:numId w:val="8"/>
              </w:numPr>
              <w:jc w:val="left"/>
              <w:rPr>
                <w:highlight w:val="none"/>
              </w:rPr>
            </w:pPr>
            <w:r>
              <w:rPr>
                <w:rFonts w:hint="eastAsia"/>
                <w:highlight w:val="none"/>
              </w:rPr>
              <w:t xml:space="preserve">针对评分标准中评分的每一条，投标供应商在响应文件中均应提供清晰明了的相关资料并做出相应说明供评委评判，不提供相关资料的视为不具备该项得分的条件。 </w:t>
            </w:r>
          </w:p>
          <w:p>
            <w:pPr>
              <w:widowControl/>
              <w:numPr>
                <w:ilvl w:val="0"/>
                <w:numId w:val="8"/>
              </w:numPr>
              <w:jc w:val="left"/>
              <w:rPr>
                <w:highlight w:val="none"/>
              </w:rPr>
            </w:pPr>
            <w:r>
              <w:rPr>
                <w:rFonts w:hint="eastAsia"/>
                <w:highlight w:val="none"/>
              </w:rPr>
              <w:t>联合体所有投标文件以联合体牵头人签字盖章为准。</w:t>
            </w:r>
          </w:p>
          <w:p>
            <w:pPr>
              <w:widowControl/>
              <w:numPr>
                <w:ilvl w:val="0"/>
                <w:numId w:val="8"/>
              </w:numPr>
              <w:jc w:val="left"/>
              <w:rPr>
                <w:highlight w:val="none"/>
              </w:rPr>
            </w:pPr>
            <w:r>
              <w:rPr>
                <w:rFonts w:hint="eastAsia"/>
                <w:b/>
                <w:bCs/>
                <w:highlight w:val="none"/>
              </w:rPr>
              <w:t>标段一商务技术分第二部分的所有内容作为标段一商务技术标第二册（一正六副），标段一</w:t>
            </w:r>
            <w:r>
              <w:rPr>
                <w:rFonts w:hint="eastAsia"/>
                <w:b/>
                <w:bCs/>
                <w:highlight w:val="none"/>
                <w:lang w:val="zh-CN"/>
              </w:rPr>
              <w:t>商务技术标</w:t>
            </w:r>
            <w:r>
              <w:rPr>
                <w:rFonts w:hint="eastAsia"/>
                <w:b/>
                <w:bCs/>
                <w:highlight w:val="none"/>
              </w:rPr>
              <w:t>第二册内容中涉及项目名称的格式都必须为：2022年南通市“智改数转”诊断服务项目标段一。</w:t>
            </w:r>
          </w:p>
        </w:tc>
      </w:tr>
    </w:tbl>
    <w:p>
      <w:pPr>
        <w:pStyle w:val="2"/>
        <w:ind w:left="0" w:leftChars="0" w:firstLine="0" w:firstLineChars="0"/>
        <w:rPr>
          <w:rFonts w:ascii="宋体" w:hAnsi="宋体" w:cs="宋体"/>
          <w:b/>
          <w:bCs/>
          <w:sz w:val="24"/>
          <w:highlight w:val="none"/>
          <w:lang w:val="zh-CN"/>
        </w:rPr>
      </w:pPr>
    </w:p>
    <w:p>
      <w:pPr>
        <w:pStyle w:val="2"/>
        <w:ind w:firstLine="482"/>
        <w:jc w:val="center"/>
        <w:rPr>
          <w:rFonts w:ascii="宋体" w:hAnsi="宋体" w:cs="宋体"/>
          <w:b/>
          <w:bCs/>
          <w:sz w:val="24"/>
          <w:highlight w:val="none"/>
          <w:lang w:val="zh-CN"/>
        </w:rPr>
      </w:pPr>
      <w:r>
        <w:rPr>
          <w:rFonts w:hint="eastAsia" w:ascii="宋体" w:hAnsi="宋体" w:cs="宋体"/>
          <w:b/>
          <w:bCs/>
          <w:sz w:val="24"/>
          <w:highlight w:val="none"/>
        </w:rPr>
        <w:t>标段二商务技术分第二部分</w:t>
      </w:r>
    </w:p>
    <w:tbl>
      <w:tblPr>
        <w:tblStyle w:val="41"/>
        <w:tblW w:w="8963" w:type="dxa"/>
        <w:tblInd w:w="-23"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841"/>
        <w:gridCol w:w="1306"/>
        <w:gridCol w:w="804"/>
        <w:gridCol w:w="6012"/>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2" w:hRule="atLeast"/>
        </w:trPr>
        <w:tc>
          <w:tcPr>
            <w:tcW w:w="8963" w:type="dxa"/>
            <w:gridSpan w:val="4"/>
            <w:noWrap/>
            <w:vAlign w:val="center"/>
          </w:tcPr>
          <w:p>
            <w:pPr>
              <w:widowControl/>
              <w:spacing w:line="240" w:lineRule="atLeast"/>
              <w:jc w:val="center"/>
              <w:rPr>
                <w:highlight w:val="none"/>
              </w:rPr>
            </w:pPr>
            <w:r>
              <w:rPr>
                <w:rFonts w:hint="eastAsia" w:ascii="宋体" w:hAnsi="宋体" w:cs="宋体"/>
                <w:b/>
                <w:bCs/>
                <w:kern w:val="0"/>
                <w:sz w:val="24"/>
                <w:highlight w:val="none"/>
              </w:rPr>
              <w:t>商务技术分第二部分（所投标段相关）</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2" w:hRule="atLeast"/>
        </w:trPr>
        <w:tc>
          <w:tcPr>
            <w:tcW w:w="841" w:type="dxa"/>
            <w:noWrap/>
            <w:vAlign w:val="center"/>
          </w:tcPr>
          <w:p>
            <w:pPr>
              <w:widowControl/>
              <w:spacing w:line="240" w:lineRule="atLeast"/>
              <w:jc w:val="center"/>
              <w:rPr>
                <w:rFonts w:ascii="宋体" w:hAnsi="宋体" w:cs="宋体"/>
                <w:b/>
                <w:bCs/>
                <w:kern w:val="0"/>
                <w:sz w:val="24"/>
                <w:highlight w:val="none"/>
                <w:lang w:val="zh-CN"/>
              </w:rPr>
            </w:pPr>
            <w:r>
              <w:rPr>
                <w:rFonts w:hint="eastAsia" w:ascii="宋体" w:hAnsi="宋体" w:cs="宋体"/>
                <w:b/>
                <w:bCs/>
                <w:kern w:val="0"/>
                <w:sz w:val="24"/>
                <w:highlight w:val="none"/>
                <w:lang w:val="zh-CN"/>
              </w:rPr>
              <w:t>评审</w:t>
            </w:r>
          </w:p>
          <w:p>
            <w:pPr>
              <w:widowControl/>
              <w:spacing w:line="240" w:lineRule="atLeast"/>
              <w:jc w:val="center"/>
              <w:rPr>
                <w:highlight w:val="none"/>
              </w:rPr>
            </w:pPr>
            <w:r>
              <w:rPr>
                <w:rFonts w:hint="eastAsia" w:ascii="宋体" w:hAnsi="宋体" w:cs="宋体"/>
                <w:b/>
                <w:bCs/>
                <w:kern w:val="0"/>
                <w:sz w:val="24"/>
                <w:highlight w:val="none"/>
                <w:lang w:val="zh-CN"/>
              </w:rPr>
              <w:t>因素</w:t>
            </w:r>
          </w:p>
        </w:tc>
        <w:tc>
          <w:tcPr>
            <w:tcW w:w="1306" w:type="dxa"/>
            <w:noWrap/>
            <w:vAlign w:val="center"/>
          </w:tcPr>
          <w:p>
            <w:pPr>
              <w:widowControl/>
              <w:spacing w:line="240" w:lineRule="atLeast"/>
              <w:jc w:val="center"/>
              <w:rPr>
                <w:highlight w:val="none"/>
              </w:rPr>
            </w:pPr>
            <w:r>
              <w:rPr>
                <w:rFonts w:hint="eastAsia" w:ascii="宋体" w:hAnsi="宋体" w:cs="宋体"/>
                <w:b/>
                <w:bCs/>
                <w:kern w:val="0"/>
                <w:sz w:val="24"/>
                <w:highlight w:val="none"/>
              </w:rPr>
              <w:t>评审项目</w:t>
            </w:r>
          </w:p>
        </w:tc>
        <w:tc>
          <w:tcPr>
            <w:tcW w:w="804" w:type="dxa"/>
            <w:noWrap/>
            <w:vAlign w:val="center"/>
          </w:tcPr>
          <w:p>
            <w:pPr>
              <w:widowControl/>
              <w:spacing w:line="240" w:lineRule="atLeast"/>
              <w:jc w:val="center"/>
              <w:rPr>
                <w:highlight w:val="none"/>
              </w:rPr>
            </w:pPr>
            <w:r>
              <w:rPr>
                <w:rFonts w:hint="eastAsia" w:ascii="宋体" w:hAnsi="宋体" w:cs="宋体"/>
                <w:b/>
                <w:bCs/>
                <w:kern w:val="0"/>
                <w:sz w:val="24"/>
                <w:highlight w:val="none"/>
              </w:rPr>
              <w:t>分值</w:t>
            </w:r>
          </w:p>
        </w:tc>
        <w:tc>
          <w:tcPr>
            <w:tcW w:w="6012" w:type="dxa"/>
            <w:noWrap/>
            <w:vAlign w:val="center"/>
          </w:tcPr>
          <w:p>
            <w:pPr>
              <w:widowControl/>
              <w:spacing w:line="240" w:lineRule="atLeast"/>
              <w:jc w:val="center"/>
              <w:rPr>
                <w:highlight w:val="none"/>
              </w:rPr>
            </w:pPr>
            <w:r>
              <w:rPr>
                <w:rFonts w:hint="eastAsia" w:ascii="宋体" w:hAnsi="宋体" w:cs="宋体"/>
                <w:b/>
                <w:bCs/>
                <w:kern w:val="0"/>
                <w:sz w:val="24"/>
                <w:highlight w:val="none"/>
              </w:rPr>
              <w:t>评审标准</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2" w:hRule="atLeast"/>
        </w:trPr>
        <w:tc>
          <w:tcPr>
            <w:tcW w:w="841" w:type="dxa"/>
            <w:noWrap/>
            <w:vAlign w:val="center"/>
          </w:tcPr>
          <w:p>
            <w:pPr>
              <w:widowControl/>
              <w:spacing w:line="240" w:lineRule="atLeast"/>
              <w:jc w:val="center"/>
              <w:rPr>
                <w:rFonts w:ascii="宋体" w:hAnsi="宋体" w:cs="宋体"/>
                <w:b/>
                <w:bCs/>
                <w:kern w:val="0"/>
                <w:sz w:val="24"/>
                <w:highlight w:val="none"/>
                <w:lang w:val="zh-CN"/>
              </w:rPr>
            </w:pPr>
            <w:r>
              <w:rPr>
                <w:rFonts w:hint="eastAsia" w:ascii="宋体" w:hAnsi="宋体" w:cs="宋体"/>
                <w:kern w:val="0"/>
                <w:szCs w:val="21"/>
                <w:highlight w:val="none"/>
                <w:lang w:val="zh-CN"/>
              </w:rPr>
              <w:t>项目认识与理解（</w:t>
            </w:r>
            <w:r>
              <w:rPr>
                <w:rFonts w:hint="eastAsia" w:ascii="宋体" w:hAnsi="宋体" w:cs="宋体"/>
                <w:kern w:val="0"/>
                <w:szCs w:val="21"/>
                <w:highlight w:val="none"/>
              </w:rPr>
              <w:t>4分</w:t>
            </w:r>
            <w:r>
              <w:rPr>
                <w:rFonts w:hint="eastAsia" w:ascii="宋体" w:hAnsi="宋体" w:cs="宋体"/>
                <w:kern w:val="0"/>
                <w:szCs w:val="21"/>
                <w:highlight w:val="none"/>
                <w:lang w:val="zh-CN"/>
              </w:rPr>
              <w:t>）</w:t>
            </w:r>
          </w:p>
        </w:tc>
        <w:tc>
          <w:tcPr>
            <w:tcW w:w="1306" w:type="dxa"/>
            <w:noWrap/>
            <w:vAlign w:val="center"/>
          </w:tcPr>
          <w:p>
            <w:pPr>
              <w:widowControl/>
              <w:spacing w:line="240" w:lineRule="atLeast"/>
              <w:jc w:val="center"/>
              <w:rPr>
                <w:rFonts w:ascii="宋体" w:hAnsi="宋体" w:cs="宋体"/>
                <w:b/>
                <w:bCs/>
                <w:kern w:val="0"/>
                <w:sz w:val="24"/>
                <w:highlight w:val="none"/>
              </w:rPr>
            </w:pPr>
            <w:r>
              <w:rPr>
                <w:rFonts w:hint="eastAsia" w:ascii="宋体" w:hAnsi="宋体" w:cs="宋体"/>
                <w:szCs w:val="21"/>
                <w:highlight w:val="none"/>
                <w:lang w:val="zh-CN"/>
              </w:rPr>
              <w:t>对标段二</w:t>
            </w:r>
            <w:r>
              <w:rPr>
                <w:rFonts w:hint="eastAsia" w:ascii="宋体" w:hAnsi="宋体" w:cs="宋体"/>
                <w:szCs w:val="21"/>
                <w:highlight w:val="none"/>
              </w:rPr>
              <w:t>涉及</w:t>
            </w:r>
            <w:r>
              <w:rPr>
                <w:rFonts w:hint="eastAsia" w:ascii="宋体" w:hAnsi="宋体" w:cs="宋体"/>
                <w:szCs w:val="21"/>
                <w:highlight w:val="none"/>
                <w:lang w:val="zh-CN"/>
              </w:rPr>
              <w:t>行业改造转型的理解</w:t>
            </w:r>
          </w:p>
        </w:tc>
        <w:tc>
          <w:tcPr>
            <w:tcW w:w="804" w:type="dxa"/>
            <w:noWrap/>
            <w:vAlign w:val="center"/>
          </w:tcPr>
          <w:p>
            <w:pPr>
              <w:widowControl/>
              <w:spacing w:line="240" w:lineRule="atLeast"/>
              <w:jc w:val="center"/>
              <w:rPr>
                <w:rFonts w:ascii="宋体" w:hAnsi="宋体" w:cs="宋体"/>
                <w:b/>
                <w:bCs/>
                <w:kern w:val="0"/>
                <w:sz w:val="24"/>
                <w:highlight w:val="none"/>
              </w:rPr>
            </w:pPr>
            <w:r>
              <w:rPr>
                <w:rFonts w:hint="eastAsia"/>
                <w:highlight w:val="none"/>
              </w:rPr>
              <w:t>4分</w:t>
            </w:r>
          </w:p>
        </w:tc>
        <w:tc>
          <w:tcPr>
            <w:tcW w:w="6012" w:type="dxa"/>
            <w:noWrap/>
            <w:vAlign w:val="center"/>
          </w:tcPr>
          <w:p>
            <w:pPr>
              <w:rPr>
                <w:highlight w:val="none"/>
              </w:rPr>
            </w:pPr>
            <w:r>
              <w:rPr>
                <w:rFonts w:hint="eastAsia"/>
                <w:highlight w:val="none"/>
              </w:rPr>
              <w:t>（1）能够明确分析论证标段二的行业特点、分布特征，提出南通推进该行业智能化改造和数字化转型的方法论得当，对企业通过实施智能化改造实现转型升级的路径分析合理，得4分。</w:t>
            </w:r>
          </w:p>
          <w:p>
            <w:pPr>
              <w:rPr>
                <w:highlight w:val="none"/>
              </w:rPr>
            </w:pPr>
            <w:r>
              <w:rPr>
                <w:rFonts w:hint="eastAsia"/>
                <w:highlight w:val="none"/>
              </w:rPr>
              <w:t>（2）对标段二行业的特点、分布特征有一定的梳理，提出南通推进该行业智能化改造和数字化转型的思路，对企业通过实施智能化改造实现转型升级的路径分析一般，得2.5分。</w:t>
            </w:r>
          </w:p>
          <w:p>
            <w:pPr>
              <w:rPr>
                <w:rFonts w:ascii="宋体" w:hAnsi="宋体" w:cs="宋体"/>
                <w:b/>
                <w:bCs/>
                <w:kern w:val="0"/>
                <w:sz w:val="24"/>
                <w:highlight w:val="none"/>
              </w:rPr>
            </w:pPr>
            <w:r>
              <w:rPr>
                <w:rFonts w:hint="eastAsia"/>
                <w:highlight w:val="none"/>
              </w:rPr>
              <w:t>（3）对标段二行业的特点、分布特征描述模糊，对南通推进该行业智能化改造和数字化转型的思路和企业改造转型的路径分析不清，得1分。</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2" w:hRule="atLeast"/>
        </w:trPr>
        <w:tc>
          <w:tcPr>
            <w:tcW w:w="841" w:type="dxa"/>
            <w:vMerge w:val="restart"/>
            <w:noWrap/>
            <w:vAlign w:val="center"/>
          </w:tcPr>
          <w:p>
            <w:pPr>
              <w:widowControl/>
              <w:spacing w:line="240" w:lineRule="atLeast"/>
              <w:jc w:val="center"/>
              <w:rPr>
                <w:rFonts w:ascii="宋体" w:hAnsi="宋体" w:cs="宋体"/>
                <w:kern w:val="0"/>
                <w:szCs w:val="21"/>
                <w:highlight w:val="none"/>
                <w:lang w:val="zh-CN"/>
              </w:rPr>
            </w:pPr>
            <w:r>
              <w:rPr>
                <w:rFonts w:hint="eastAsia" w:ascii="宋体" w:hAnsi="宋体" w:cs="宋体"/>
                <w:kern w:val="0"/>
                <w:szCs w:val="21"/>
                <w:highlight w:val="none"/>
                <w:lang w:val="zh-CN"/>
              </w:rPr>
              <w:t>项目方案与实施（</w:t>
            </w:r>
            <w:r>
              <w:rPr>
                <w:rFonts w:hint="eastAsia" w:ascii="宋体" w:hAnsi="宋体" w:cs="宋体"/>
                <w:kern w:val="0"/>
                <w:szCs w:val="21"/>
                <w:highlight w:val="none"/>
              </w:rPr>
              <w:t>16</w:t>
            </w:r>
            <w:r>
              <w:rPr>
                <w:rFonts w:hint="eastAsia" w:ascii="宋体" w:hAnsi="宋体" w:cs="宋体"/>
                <w:kern w:val="0"/>
                <w:szCs w:val="21"/>
                <w:highlight w:val="none"/>
                <w:lang w:val="en-US" w:eastAsia="zh-CN"/>
              </w:rPr>
              <w:t>分</w:t>
            </w:r>
            <w:r>
              <w:rPr>
                <w:rFonts w:hint="eastAsia" w:ascii="宋体" w:hAnsi="宋体" w:cs="宋体"/>
                <w:kern w:val="0"/>
                <w:szCs w:val="21"/>
                <w:highlight w:val="none"/>
                <w:lang w:val="zh-CN"/>
              </w:rPr>
              <w:t>）</w:t>
            </w:r>
          </w:p>
        </w:tc>
        <w:tc>
          <w:tcPr>
            <w:tcW w:w="1306" w:type="dxa"/>
            <w:noWrap/>
            <w:vAlign w:val="center"/>
          </w:tcPr>
          <w:p>
            <w:pPr>
              <w:rPr>
                <w:rFonts w:ascii="宋体" w:hAnsi="宋体" w:cs="宋体"/>
                <w:szCs w:val="21"/>
                <w:highlight w:val="none"/>
                <w:lang w:val="zh-CN"/>
              </w:rPr>
            </w:pPr>
            <w:r>
              <w:rPr>
                <w:rFonts w:hint="eastAsia" w:ascii="宋体" w:hAnsi="宋体" w:cs="宋体"/>
                <w:szCs w:val="21"/>
                <w:highlight w:val="none"/>
                <w:lang w:val="zh-CN"/>
              </w:rPr>
              <w:t>标段二</w:t>
            </w:r>
            <w:r>
              <w:rPr>
                <w:rFonts w:hint="eastAsia" w:ascii="宋体" w:hAnsi="宋体" w:cs="宋体"/>
                <w:szCs w:val="21"/>
                <w:highlight w:val="none"/>
              </w:rPr>
              <w:t>行业</w:t>
            </w:r>
            <w:r>
              <w:rPr>
                <w:rFonts w:hint="eastAsia" w:ascii="宋体" w:hAnsi="宋体" w:cs="宋体"/>
                <w:szCs w:val="21"/>
                <w:highlight w:val="none"/>
                <w:lang w:val="zh-CN"/>
              </w:rPr>
              <w:t>诊断服务方案</w:t>
            </w:r>
          </w:p>
        </w:tc>
        <w:tc>
          <w:tcPr>
            <w:tcW w:w="804" w:type="dxa"/>
            <w:noWrap/>
            <w:vAlign w:val="center"/>
          </w:tcPr>
          <w:p>
            <w:pPr>
              <w:jc w:val="center"/>
              <w:rPr>
                <w:rFonts w:ascii="宋体" w:hAnsi="宋体" w:cs="宋体"/>
                <w:b/>
                <w:bCs/>
                <w:kern w:val="0"/>
                <w:sz w:val="24"/>
                <w:highlight w:val="none"/>
              </w:rPr>
            </w:pPr>
            <w:r>
              <w:rPr>
                <w:rFonts w:hint="eastAsia" w:ascii="宋体" w:hAnsi="宋体" w:cs="宋体"/>
                <w:szCs w:val="21"/>
                <w:highlight w:val="none"/>
              </w:rPr>
              <w:t>4分</w:t>
            </w:r>
          </w:p>
        </w:tc>
        <w:tc>
          <w:tcPr>
            <w:tcW w:w="6012" w:type="dxa"/>
            <w:noWrap/>
            <w:vAlign w:val="center"/>
          </w:tcPr>
          <w:p>
            <w:pPr>
              <w:rPr>
                <w:highlight w:val="none"/>
              </w:rPr>
            </w:pPr>
            <w:r>
              <w:rPr>
                <w:rFonts w:hint="eastAsia"/>
                <w:highlight w:val="none"/>
              </w:rPr>
              <w:t>（1）方案诊断评估方法先进，能够深入结合标段二行业特点，能从生产、管理、物流、仓储等重点环节对被诊断企业的智能化、数字化水平进行全面现状调研，描述清晰明确，与企业内部要素之间衔接和匹配度高，现场评估问诊过程可行，得4分。</w:t>
            </w:r>
          </w:p>
          <w:p>
            <w:pPr>
              <w:rPr>
                <w:highlight w:val="none"/>
              </w:rPr>
            </w:pPr>
            <w:r>
              <w:rPr>
                <w:rFonts w:hint="eastAsia"/>
                <w:highlight w:val="none"/>
              </w:rPr>
              <w:t>（2）方案诊断评估方法合理，参考了一定的标段二行业特点，从生产、管理、物流、仓储等重点环节对被诊断企业的智能化水平进行一般现状调研，描述较清晰，与企业内部要素之间衔接和匹配度较高，现场评估问诊过程基本可行，得2分。</w:t>
            </w:r>
          </w:p>
          <w:p>
            <w:pPr>
              <w:rPr>
                <w:rFonts w:hAnsi="宋体" w:cs="宋体"/>
                <w:szCs w:val="21"/>
                <w:highlight w:val="none"/>
              </w:rPr>
            </w:pPr>
            <w:r>
              <w:rPr>
                <w:rFonts w:hint="eastAsia"/>
                <w:highlight w:val="none"/>
              </w:rPr>
              <w:t>（3）方案诊断评估方法一般，未充分考虑标段二行业特点，从生产、管理、物流、仓储等重点环节对被诊断企业的智能化水平进行基本现状调研，描述不清晰，与企业内部要素之间衔接和匹配度低，现场评估问诊过程可行性不高，得1分。</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2" w:hRule="atLeast"/>
        </w:trPr>
        <w:tc>
          <w:tcPr>
            <w:tcW w:w="841" w:type="dxa"/>
            <w:vMerge w:val="continue"/>
            <w:noWrap/>
            <w:vAlign w:val="center"/>
          </w:tcPr>
          <w:p>
            <w:pPr>
              <w:widowControl/>
              <w:spacing w:line="240" w:lineRule="atLeast"/>
              <w:jc w:val="center"/>
              <w:rPr>
                <w:rFonts w:ascii="宋体" w:hAnsi="宋体" w:cs="宋体"/>
                <w:kern w:val="0"/>
                <w:szCs w:val="21"/>
                <w:highlight w:val="none"/>
                <w:lang w:val="zh-CN"/>
              </w:rPr>
            </w:pPr>
          </w:p>
        </w:tc>
        <w:tc>
          <w:tcPr>
            <w:tcW w:w="1306" w:type="dxa"/>
            <w:noWrap/>
            <w:vAlign w:val="center"/>
          </w:tcPr>
          <w:p>
            <w:pPr>
              <w:rPr>
                <w:rFonts w:ascii="宋体" w:hAnsi="宋体" w:cs="宋体"/>
                <w:szCs w:val="21"/>
                <w:highlight w:val="none"/>
                <w:lang w:val="zh-CN"/>
              </w:rPr>
            </w:pPr>
            <w:r>
              <w:rPr>
                <w:rFonts w:hint="eastAsia" w:ascii="宋体" w:hAnsi="宋体" w:cs="宋体"/>
                <w:szCs w:val="21"/>
                <w:highlight w:val="none"/>
                <w:lang w:val="zh-CN"/>
              </w:rPr>
              <w:t>标段二诊断项目组织</w:t>
            </w:r>
            <w:r>
              <w:rPr>
                <w:rFonts w:hint="eastAsia" w:ascii="宋体" w:hAnsi="宋体" w:cs="宋体"/>
                <w:szCs w:val="21"/>
                <w:highlight w:val="none"/>
              </w:rPr>
              <w:t>保障</w:t>
            </w:r>
          </w:p>
        </w:tc>
        <w:tc>
          <w:tcPr>
            <w:tcW w:w="804" w:type="dxa"/>
            <w:noWrap/>
            <w:vAlign w:val="center"/>
          </w:tcPr>
          <w:p>
            <w:pPr>
              <w:jc w:val="center"/>
              <w:rPr>
                <w:rFonts w:ascii="宋体" w:hAnsi="宋体" w:cs="宋体"/>
                <w:b/>
                <w:bCs/>
                <w:kern w:val="0"/>
                <w:sz w:val="24"/>
                <w:highlight w:val="none"/>
              </w:rPr>
            </w:pPr>
            <w:r>
              <w:rPr>
                <w:rFonts w:hint="eastAsia" w:ascii="宋体" w:hAnsi="宋体" w:cs="宋体"/>
                <w:szCs w:val="21"/>
                <w:highlight w:val="none"/>
              </w:rPr>
              <w:t>4分</w:t>
            </w:r>
          </w:p>
        </w:tc>
        <w:tc>
          <w:tcPr>
            <w:tcW w:w="6012" w:type="dxa"/>
            <w:noWrap/>
            <w:vAlign w:val="center"/>
          </w:tcPr>
          <w:p>
            <w:pPr>
              <w:rPr>
                <w:highlight w:val="none"/>
              </w:rPr>
            </w:pPr>
            <w:r>
              <w:rPr>
                <w:rFonts w:hint="eastAsia"/>
                <w:highlight w:val="none"/>
              </w:rPr>
              <w:t>（1）项目组织体系和架构配置合理，行业、技术等专家资源充分，团队职责清晰、分工明确（包含联合体各成员单位职责分工），组织严谨得当，能够保证项目方案顺利实施，得4分。</w:t>
            </w:r>
          </w:p>
          <w:p>
            <w:pPr>
              <w:rPr>
                <w:highlight w:val="none"/>
              </w:rPr>
            </w:pPr>
            <w:r>
              <w:rPr>
                <w:rFonts w:hint="eastAsia"/>
                <w:highlight w:val="none"/>
              </w:rPr>
              <w:t>（2）项目组织体系和架构配置较合理，行业、技术等资源较多，团队职责较清晰、分工较明确（包含联合体各成员单位职责分工），组织较合理，基本能够保证项目方案实施，得2分。</w:t>
            </w:r>
          </w:p>
          <w:p>
            <w:pPr>
              <w:rPr>
                <w:rFonts w:hAnsi="宋体" w:cs="宋体"/>
                <w:szCs w:val="21"/>
                <w:highlight w:val="none"/>
              </w:rPr>
            </w:pPr>
            <w:r>
              <w:rPr>
                <w:rFonts w:hint="eastAsia"/>
                <w:highlight w:val="none"/>
              </w:rPr>
              <w:t>（3）项目具备组织体系和架构配置，拥有一定的行业、技术等专家资源，团队职责和分工一般（包含联合体各成员单位职责分工），组织薄弱，项目方案实施有一定难度，得1分。</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2" w:hRule="atLeast"/>
        </w:trPr>
        <w:tc>
          <w:tcPr>
            <w:tcW w:w="841" w:type="dxa"/>
            <w:vMerge w:val="continue"/>
            <w:noWrap/>
            <w:vAlign w:val="center"/>
          </w:tcPr>
          <w:p>
            <w:pPr>
              <w:widowControl/>
              <w:spacing w:line="240" w:lineRule="atLeast"/>
              <w:jc w:val="center"/>
              <w:rPr>
                <w:rFonts w:ascii="宋体" w:hAnsi="宋体" w:cs="宋体"/>
                <w:kern w:val="0"/>
                <w:szCs w:val="21"/>
                <w:highlight w:val="none"/>
                <w:lang w:val="zh-CN"/>
              </w:rPr>
            </w:pPr>
          </w:p>
        </w:tc>
        <w:tc>
          <w:tcPr>
            <w:tcW w:w="1306" w:type="dxa"/>
            <w:noWrap/>
            <w:vAlign w:val="center"/>
          </w:tcPr>
          <w:p>
            <w:pPr>
              <w:rPr>
                <w:rFonts w:ascii="宋体" w:hAnsi="宋体" w:cs="宋体"/>
                <w:szCs w:val="21"/>
                <w:highlight w:val="none"/>
                <w:lang w:val="zh-CN"/>
              </w:rPr>
            </w:pPr>
            <w:r>
              <w:rPr>
                <w:rFonts w:hint="eastAsia" w:ascii="宋体" w:hAnsi="宋体" w:cs="宋体"/>
                <w:szCs w:val="21"/>
                <w:highlight w:val="none"/>
                <w:lang w:val="zh-CN"/>
              </w:rPr>
              <w:t>诊断项目综合管理</w:t>
            </w:r>
          </w:p>
        </w:tc>
        <w:tc>
          <w:tcPr>
            <w:tcW w:w="804" w:type="dxa"/>
            <w:noWrap/>
            <w:vAlign w:val="center"/>
          </w:tcPr>
          <w:p>
            <w:pPr>
              <w:jc w:val="center"/>
              <w:rPr>
                <w:rFonts w:ascii="宋体" w:hAnsi="宋体" w:cs="宋体"/>
                <w:szCs w:val="21"/>
                <w:highlight w:val="none"/>
              </w:rPr>
            </w:pPr>
            <w:r>
              <w:rPr>
                <w:rFonts w:hint="eastAsia" w:ascii="宋体" w:hAnsi="宋体" w:cs="宋体"/>
                <w:szCs w:val="21"/>
                <w:highlight w:val="none"/>
              </w:rPr>
              <w:t>4分</w:t>
            </w:r>
          </w:p>
        </w:tc>
        <w:tc>
          <w:tcPr>
            <w:tcW w:w="6012" w:type="dxa"/>
            <w:noWrap/>
            <w:vAlign w:val="center"/>
          </w:tcPr>
          <w:p>
            <w:pPr>
              <w:rPr>
                <w:rFonts w:ascii="宋体" w:hAnsi="宋体" w:cs="宋体"/>
                <w:szCs w:val="21"/>
                <w:highlight w:val="none"/>
              </w:rPr>
            </w:pPr>
            <w:r>
              <w:rPr>
                <w:rFonts w:hint="eastAsia" w:ascii="宋体" w:hAnsi="宋体" w:cs="宋体"/>
                <w:szCs w:val="21"/>
                <w:highlight w:val="none"/>
              </w:rPr>
              <w:t>（1）项目进度安排合理，各环节衔接顺畅，综合协调管理水平高，内容详实，能够有效完成标段二任务目标，得4分。</w:t>
            </w:r>
          </w:p>
          <w:p>
            <w:pPr>
              <w:rPr>
                <w:rFonts w:ascii="宋体" w:hAnsi="宋体" w:cs="宋体"/>
                <w:szCs w:val="21"/>
                <w:highlight w:val="none"/>
              </w:rPr>
            </w:pPr>
            <w:r>
              <w:rPr>
                <w:rFonts w:hint="eastAsia" w:ascii="宋体" w:hAnsi="宋体" w:cs="宋体"/>
                <w:szCs w:val="21"/>
                <w:highlight w:val="none"/>
              </w:rPr>
              <w:t>（2）项目进度安排较合理，各环节衔接较顺畅，综合协调管理水平较高，内容较详实，基本能够完成标段二任务目标，得2分。</w:t>
            </w:r>
          </w:p>
          <w:p>
            <w:pPr>
              <w:rPr>
                <w:rFonts w:hAnsi="宋体" w:cs="宋体"/>
                <w:szCs w:val="21"/>
                <w:highlight w:val="none"/>
              </w:rPr>
            </w:pPr>
            <w:r>
              <w:rPr>
                <w:rFonts w:hint="eastAsia" w:ascii="宋体" w:hAnsi="宋体" w:cs="宋体"/>
                <w:szCs w:val="21"/>
                <w:highlight w:val="none"/>
              </w:rPr>
              <w:t>（3）项目进度安排一般，各环节衔接程度一般，综合协调管理水平一般，具备一定内容，完成标段二任务目标有一定难度，得1分。</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2" w:hRule="atLeast"/>
        </w:trPr>
        <w:tc>
          <w:tcPr>
            <w:tcW w:w="841" w:type="dxa"/>
            <w:vMerge w:val="continue"/>
            <w:noWrap/>
            <w:vAlign w:val="center"/>
          </w:tcPr>
          <w:p>
            <w:pPr>
              <w:widowControl/>
              <w:spacing w:line="240" w:lineRule="atLeast"/>
              <w:jc w:val="center"/>
              <w:rPr>
                <w:rFonts w:ascii="宋体" w:hAnsi="宋体" w:cs="宋体"/>
                <w:kern w:val="0"/>
                <w:szCs w:val="21"/>
                <w:highlight w:val="none"/>
                <w:lang w:val="zh-CN"/>
              </w:rPr>
            </w:pPr>
          </w:p>
        </w:tc>
        <w:tc>
          <w:tcPr>
            <w:tcW w:w="1306" w:type="dxa"/>
            <w:noWrap/>
            <w:vAlign w:val="center"/>
          </w:tcPr>
          <w:p>
            <w:pPr>
              <w:rPr>
                <w:rFonts w:ascii="宋体" w:hAnsi="宋体" w:cs="宋体"/>
                <w:szCs w:val="21"/>
                <w:highlight w:val="none"/>
                <w:lang w:val="zh-CN"/>
              </w:rPr>
            </w:pPr>
            <w:r>
              <w:rPr>
                <w:rFonts w:hint="eastAsia" w:ascii="宋体" w:hAnsi="宋体" w:cs="宋体"/>
                <w:szCs w:val="21"/>
                <w:highlight w:val="none"/>
                <w:lang w:val="zh-CN"/>
              </w:rPr>
              <w:t>诊断项目诊断报告编制思路</w:t>
            </w:r>
          </w:p>
        </w:tc>
        <w:tc>
          <w:tcPr>
            <w:tcW w:w="804" w:type="dxa"/>
            <w:noWrap/>
            <w:vAlign w:val="center"/>
          </w:tcPr>
          <w:p>
            <w:pPr>
              <w:jc w:val="center"/>
              <w:rPr>
                <w:rFonts w:ascii="宋体" w:hAnsi="宋体" w:cs="宋体"/>
                <w:szCs w:val="21"/>
                <w:highlight w:val="none"/>
              </w:rPr>
            </w:pPr>
            <w:r>
              <w:rPr>
                <w:rFonts w:hint="eastAsia" w:ascii="宋体" w:hAnsi="宋体" w:cs="宋体"/>
                <w:szCs w:val="21"/>
                <w:highlight w:val="none"/>
              </w:rPr>
              <w:t>4分</w:t>
            </w:r>
          </w:p>
        </w:tc>
        <w:tc>
          <w:tcPr>
            <w:tcW w:w="6012" w:type="dxa"/>
            <w:noWrap/>
            <w:vAlign w:val="center"/>
          </w:tcPr>
          <w:p>
            <w:pPr>
              <w:rPr>
                <w:rFonts w:ascii="宋体" w:hAnsi="宋体" w:cs="宋体"/>
                <w:szCs w:val="21"/>
                <w:highlight w:val="none"/>
              </w:rPr>
            </w:pPr>
            <w:r>
              <w:rPr>
                <w:rFonts w:hint="eastAsia" w:ascii="宋体" w:hAnsi="宋体" w:cs="宋体"/>
                <w:szCs w:val="21"/>
                <w:highlight w:val="none"/>
              </w:rPr>
              <w:t>（1）对报告的整体构架有清晰的描述，撰写思路清晰完整、重点任务明确、分析方法得当，能提供具有行业代表性、针对性的解决方案，实施路径切实可行，得4分。</w:t>
            </w:r>
          </w:p>
          <w:p>
            <w:pPr>
              <w:rPr>
                <w:rFonts w:ascii="宋体" w:hAnsi="宋体" w:cs="宋体"/>
                <w:szCs w:val="21"/>
                <w:highlight w:val="none"/>
              </w:rPr>
            </w:pPr>
            <w:r>
              <w:rPr>
                <w:rFonts w:hint="eastAsia" w:ascii="宋体" w:hAnsi="宋体" w:cs="宋体"/>
                <w:szCs w:val="21"/>
                <w:highlight w:val="none"/>
              </w:rPr>
              <w:t>（2）对报告的整体构架有较清晰的描述，撰写思路较完整、重点任务较明确、分析方法适当，能提供行业解决方案，实施路径切具有一定可行性，得2分。</w:t>
            </w:r>
          </w:p>
          <w:p>
            <w:pPr>
              <w:rPr>
                <w:rFonts w:hAnsi="宋体" w:cs="宋体"/>
                <w:szCs w:val="21"/>
                <w:highlight w:val="none"/>
              </w:rPr>
            </w:pPr>
            <w:r>
              <w:rPr>
                <w:rFonts w:hint="eastAsia" w:ascii="宋体" w:hAnsi="宋体" w:cs="宋体"/>
                <w:szCs w:val="21"/>
                <w:highlight w:val="none"/>
              </w:rPr>
              <w:t>（3）对报告的整体构架的描述不够清晰，撰写思路模糊、重点任务不明确、分析方法适当性不强，提供解决方案缺乏代表和依据，实施路径有难度，得1分。</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2" w:hRule="atLeast"/>
        </w:trPr>
        <w:tc>
          <w:tcPr>
            <w:tcW w:w="841" w:type="dxa"/>
            <w:noWrap/>
            <w:vAlign w:val="center"/>
          </w:tcPr>
          <w:p>
            <w:pPr>
              <w:widowControl/>
              <w:spacing w:line="240" w:lineRule="atLeast"/>
              <w:jc w:val="center"/>
              <w:rPr>
                <w:rFonts w:ascii="宋体" w:hAnsi="宋体" w:cs="宋体"/>
                <w:kern w:val="0"/>
                <w:szCs w:val="21"/>
                <w:highlight w:val="none"/>
                <w:lang w:val="zh-CN"/>
              </w:rPr>
            </w:pPr>
            <w:r>
              <w:rPr>
                <w:rFonts w:hint="eastAsia" w:ascii="宋体" w:hAnsi="宋体" w:cs="宋体"/>
                <w:kern w:val="0"/>
                <w:szCs w:val="21"/>
                <w:highlight w:val="none"/>
                <w:lang w:val="zh-CN"/>
              </w:rPr>
              <w:t>项目人员团队能力（</w:t>
            </w:r>
            <w:r>
              <w:rPr>
                <w:rFonts w:hint="eastAsia" w:ascii="宋体" w:hAnsi="宋体" w:cs="宋体"/>
                <w:kern w:val="0"/>
                <w:szCs w:val="21"/>
                <w:highlight w:val="none"/>
              </w:rPr>
              <w:t>15分</w:t>
            </w:r>
            <w:r>
              <w:rPr>
                <w:rFonts w:hint="eastAsia" w:ascii="宋体" w:hAnsi="宋体" w:cs="宋体"/>
                <w:kern w:val="0"/>
                <w:szCs w:val="21"/>
                <w:highlight w:val="none"/>
                <w:lang w:val="zh-CN"/>
              </w:rPr>
              <w:t>）</w:t>
            </w:r>
          </w:p>
        </w:tc>
        <w:tc>
          <w:tcPr>
            <w:tcW w:w="1306" w:type="dxa"/>
            <w:noWrap/>
            <w:vAlign w:val="center"/>
          </w:tcPr>
          <w:p>
            <w:pPr>
              <w:widowControl/>
              <w:spacing w:line="240" w:lineRule="atLeast"/>
              <w:jc w:val="center"/>
              <w:rPr>
                <w:rFonts w:ascii="宋体" w:hAnsi="宋体" w:cs="宋体"/>
                <w:szCs w:val="21"/>
                <w:highlight w:val="none"/>
                <w:lang w:val="zh-CN"/>
              </w:rPr>
            </w:pPr>
            <w:r>
              <w:rPr>
                <w:rFonts w:hint="eastAsia" w:ascii="宋体" w:hAnsi="宋体" w:cs="宋体"/>
                <w:kern w:val="0"/>
                <w:szCs w:val="21"/>
                <w:highlight w:val="none"/>
                <w:lang w:val="zh-CN"/>
              </w:rPr>
              <w:t>项目人员团队能力</w:t>
            </w:r>
          </w:p>
        </w:tc>
        <w:tc>
          <w:tcPr>
            <w:tcW w:w="804" w:type="dxa"/>
            <w:noWrap/>
            <w:vAlign w:val="center"/>
          </w:tcPr>
          <w:p>
            <w:pPr>
              <w:jc w:val="center"/>
              <w:rPr>
                <w:rFonts w:ascii="宋体" w:hAnsi="宋体" w:cs="宋体"/>
                <w:szCs w:val="21"/>
                <w:highlight w:val="none"/>
              </w:rPr>
            </w:pPr>
            <w:r>
              <w:rPr>
                <w:rFonts w:hint="eastAsia" w:ascii="宋体" w:hAnsi="宋体" w:cs="宋体"/>
                <w:szCs w:val="21"/>
                <w:highlight w:val="none"/>
              </w:rPr>
              <w:t>15分</w:t>
            </w:r>
          </w:p>
        </w:tc>
        <w:tc>
          <w:tcPr>
            <w:tcW w:w="6012" w:type="dxa"/>
            <w:noWrap/>
            <w:vAlign w:val="center"/>
          </w:tcPr>
          <w:p>
            <w:pPr>
              <w:rPr>
                <w:rFonts w:ascii="宋体" w:hAnsi="宋体" w:cs="宋体"/>
                <w:szCs w:val="21"/>
                <w:highlight w:val="none"/>
              </w:rPr>
            </w:pPr>
            <w:r>
              <w:rPr>
                <w:rFonts w:hint="eastAsia"/>
                <w:highlight w:val="none"/>
              </w:rPr>
              <w:t>（1）</w:t>
            </w:r>
            <w:r>
              <w:rPr>
                <w:rFonts w:hint="eastAsia" w:ascii="宋体" w:hAnsi="宋体" w:cs="宋体"/>
                <w:szCs w:val="21"/>
                <w:highlight w:val="none"/>
              </w:rPr>
              <w:t>拟任</w:t>
            </w:r>
            <w:r>
              <w:rPr>
                <w:rFonts w:hint="eastAsia"/>
                <w:highlight w:val="none"/>
              </w:rPr>
              <w:t>项目负责人具有智能制造（两化融合）相关技术或标段二行业高级职称，得3分；为工信部、省工信厅智能制造（两化融合）领域或标段二行业专家库成员，得3分。本项最高得6分。</w:t>
            </w:r>
          </w:p>
          <w:p>
            <w:pPr>
              <w:pStyle w:val="19"/>
              <w:rPr>
                <w:rFonts w:ascii="宋体" w:hAnsi="宋体" w:eastAsia="宋体" w:cs="宋体"/>
                <w:kern w:val="2"/>
                <w:sz w:val="21"/>
                <w:szCs w:val="21"/>
                <w:highlight w:val="none"/>
              </w:rPr>
            </w:pPr>
            <w:r>
              <w:rPr>
                <w:rFonts w:hint="eastAsia" w:ascii="宋体" w:hAnsi="宋体" w:eastAsia="宋体" w:cs="宋体"/>
                <w:kern w:val="2"/>
                <w:sz w:val="21"/>
                <w:szCs w:val="21"/>
                <w:highlight w:val="none"/>
              </w:rPr>
              <w:t>（2）</w:t>
            </w:r>
            <w:r>
              <w:rPr>
                <w:rFonts w:hint="eastAsia" w:ascii="Times New Roman" w:eastAsia="宋体"/>
                <w:kern w:val="2"/>
                <w:sz w:val="21"/>
                <w:szCs w:val="24"/>
                <w:highlight w:val="none"/>
              </w:rPr>
              <w:t>拟投入团队成员具</w:t>
            </w:r>
            <w:r>
              <w:rPr>
                <w:rFonts w:hint="eastAsia" w:ascii="宋体" w:hAnsi="宋体" w:eastAsia="宋体" w:cs="宋体"/>
                <w:kern w:val="2"/>
                <w:sz w:val="21"/>
                <w:szCs w:val="21"/>
                <w:highlight w:val="none"/>
              </w:rPr>
              <w:t>有智能制造相关技术或标段二行业中级及以上专业职称、智能制造能力成熟度模型评估师证书、注册自动化系统工程师证书、软件评测师证书、项目管理师证书、CISP（注册信息安全专业人员）证书，全国两化融合管理体系技能合格证书或两化融合管理体系贯标咨询证书或同类人才证书的技术人员，每提供一份得0.5分（同一人员证书不重复计算分数），本项最高得4分。</w:t>
            </w:r>
          </w:p>
          <w:p>
            <w:pPr>
              <w:pStyle w:val="19"/>
              <w:rPr>
                <w:rFonts w:ascii="宋体" w:hAnsi="宋体" w:eastAsia="宋体" w:cs="宋体"/>
                <w:kern w:val="2"/>
                <w:sz w:val="21"/>
                <w:szCs w:val="21"/>
                <w:highlight w:val="none"/>
              </w:rPr>
            </w:pPr>
            <w:r>
              <w:rPr>
                <w:rFonts w:hint="eastAsia" w:ascii="宋体" w:hAnsi="宋体" w:eastAsia="宋体" w:cs="宋体"/>
                <w:kern w:val="2"/>
                <w:sz w:val="21"/>
                <w:szCs w:val="21"/>
                <w:highlight w:val="none"/>
              </w:rPr>
              <w:t>（3）</w:t>
            </w:r>
            <w:r>
              <w:rPr>
                <w:rFonts w:hint="eastAsia" w:ascii="Times New Roman" w:eastAsia="宋体"/>
                <w:kern w:val="2"/>
                <w:sz w:val="21"/>
                <w:szCs w:val="24"/>
                <w:highlight w:val="none"/>
              </w:rPr>
              <w:t>拟投入团队成员</w:t>
            </w:r>
            <w:r>
              <w:rPr>
                <w:rFonts w:hint="eastAsia" w:ascii="宋体" w:hAnsi="宋体" w:eastAsia="宋体" w:cs="宋体"/>
                <w:kern w:val="2"/>
                <w:sz w:val="21"/>
                <w:szCs w:val="21"/>
                <w:highlight w:val="none"/>
              </w:rPr>
              <w:t>具有智能制造相关领域或标段二行业专业背景，博士学历，每人得1分，硕士学历，每人得0.5分，最高5分。（同一人员学历不重复计算分数）</w:t>
            </w:r>
          </w:p>
          <w:p>
            <w:pPr>
              <w:rPr>
                <w:rFonts w:hAnsi="宋体" w:cs="宋体"/>
                <w:szCs w:val="21"/>
                <w:highlight w:val="none"/>
              </w:rPr>
            </w:pPr>
            <w:r>
              <w:rPr>
                <w:rFonts w:hint="eastAsia" w:ascii="宋体" w:hAnsi="宋体" w:cs="宋体"/>
                <w:szCs w:val="21"/>
                <w:highlight w:val="none"/>
              </w:rPr>
              <w:t>以上材料需提供职称证书（聘书或相关证明）、与投标供应商签订的劳动合同和近三个月社保缴费记录等材料加盖公章，因所提供证明材料不全或内容不明，不得分。智能制造（两化融合）相关技术领域包括：机械、装备、计算机、企业管理、软件、控制、云计算、大数据、人工智能等。</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72" w:hRule="atLeast"/>
        </w:trPr>
        <w:tc>
          <w:tcPr>
            <w:tcW w:w="841" w:type="dxa"/>
            <w:noWrap/>
            <w:vAlign w:val="center"/>
          </w:tcPr>
          <w:p>
            <w:pPr>
              <w:widowControl/>
              <w:spacing w:line="240" w:lineRule="atLeast"/>
              <w:jc w:val="center"/>
              <w:rPr>
                <w:rFonts w:ascii="宋体" w:hAnsi="宋体" w:cs="宋体"/>
                <w:kern w:val="0"/>
                <w:szCs w:val="21"/>
                <w:highlight w:val="none"/>
                <w:lang w:val="zh-CN"/>
              </w:rPr>
            </w:pPr>
            <w:r>
              <w:rPr>
                <w:rFonts w:hint="eastAsia" w:ascii="宋体" w:hAnsi="宋体" w:cs="宋体"/>
                <w:kern w:val="0"/>
                <w:szCs w:val="21"/>
                <w:highlight w:val="none"/>
                <w:lang w:val="zh-CN"/>
              </w:rPr>
              <w:t>项目相关经验及履约能力（</w:t>
            </w:r>
            <w:r>
              <w:rPr>
                <w:rFonts w:hint="eastAsia" w:ascii="宋体" w:hAnsi="宋体" w:cs="宋体"/>
                <w:kern w:val="0"/>
                <w:szCs w:val="21"/>
                <w:highlight w:val="none"/>
                <w:lang w:val="en-US" w:eastAsia="zh-CN"/>
              </w:rPr>
              <w:t>8</w:t>
            </w:r>
            <w:r>
              <w:rPr>
                <w:rFonts w:hint="eastAsia" w:ascii="宋体" w:hAnsi="宋体" w:cs="宋体"/>
                <w:kern w:val="0"/>
                <w:szCs w:val="21"/>
                <w:highlight w:val="none"/>
              </w:rPr>
              <w:t>分</w:t>
            </w:r>
            <w:r>
              <w:rPr>
                <w:rFonts w:hint="eastAsia" w:ascii="宋体" w:hAnsi="宋体" w:cs="宋体"/>
                <w:kern w:val="0"/>
                <w:szCs w:val="21"/>
                <w:highlight w:val="none"/>
                <w:lang w:val="zh-CN"/>
              </w:rPr>
              <w:t>）</w:t>
            </w:r>
          </w:p>
        </w:tc>
        <w:tc>
          <w:tcPr>
            <w:tcW w:w="1306" w:type="dxa"/>
            <w:noWrap/>
            <w:vAlign w:val="center"/>
          </w:tcPr>
          <w:p>
            <w:pPr>
              <w:widowControl/>
              <w:spacing w:line="240" w:lineRule="atLeast"/>
              <w:jc w:val="center"/>
              <w:rPr>
                <w:rFonts w:ascii="宋体" w:hAnsi="宋体" w:cs="宋体"/>
                <w:kern w:val="0"/>
                <w:szCs w:val="21"/>
                <w:highlight w:val="none"/>
                <w:lang w:val="zh-CN"/>
              </w:rPr>
            </w:pPr>
            <w:r>
              <w:rPr>
                <w:rFonts w:hint="eastAsia" w:ascii="宋体" w:hAnsi="宋体" w:cs="宋体"/>
                <w:kern w:val="0"/>
                <w:szCs w:val="21"/>
                <w:highlight w:val="none"/>
                <w:lang w:val="zh-CN"/>
              </w:rPr>
              <w:t>项目相关经验及履约能力</w:t>
            </w:r>
          </w:p>
        </w:tc>
        <w:tc>
          <w:tcPr>
            <w:tcW w:w="804" w:type="dxa"/>
            <w:noWrap/>
            <w:vAlign w:val="center"/>
          </w:tcPr>
          <w:p>
            <w:pPr>
              <w:jc w:val="center"/>
              <w:rPr>
                <w:rFonts w:ascii="宋体" w:hAnsi="宋体" w:cs="宋体"/>
                <w:szCs w:val="21"/>
                <w:highlight w:val="none"/>
              </w:rPr>
            </w:pPr>
            <w:r>
              <w:rPr>
                <w:rFonts w:hint="eastAsia" w:ascii="宋体" w:hAnsi="宋体" w:cs="宋体"/>
                <w:szCs w:val="21"/>
                <w:highlight w:val="none"/>
              </w:rPr>
              <w:t>8分</w:t>
            </w:r>
          </w:p>
        </w:tc>
        <w:tc>
          <w:tcPr>
            <w:tcW w:w="6012" w:type="dxa"/>
            <w:noWrap/>
            <w:vAlign w:val="center"/>
          </w:tcPr>
          <w:p>
            <w:pPr>
              <w:rPr>
                <w:highlight w:val="none"/>
              </w:rPr>
            </w:pPr>
            <w:r>
              <w:rPr>
                <w:rFonts w:hint="eastAsia"/>
                <w:highlight w:val="none"/>
              </w:rPr>
              <w:t>2019年4月以来为标段二行业制造业企业提供智能化改造和数字化转型相关技术或解决方案，并落地实施的，根据标段二产业要求每提供一项得1分。本项最高得8分。</w:t>
            </w:r>
          </w:p>
          <w:p>
            <w:pPr>
              <w:widowControl/>
              <w:jc w:val="left"/>
              <w:rPr>
                <w:highlight w:val="none"/>
              </w:rPr>
            </w:pPr>
            <w:r>
              <w:rPr>
                <w:rFonts w:hint="eastAsia"/>
                <w:highlight w:val="none"/>
              </w:rPr>
              <w:t>标段二产业要求：高端纺织产业</w:t>
            </w:r>
            <w:r>
              <w:rPr>
                <w:rFonts w:hint="eastAsia" w:ascii="宋体" w:hAnsi="宋体"/>
                <w:szCs w:val="21"/>
                <w:highlight w:val="none"/>
              </w:rPr>
              <w:t>最高得8分。</w:t>
            </w:r>
          </w:p>
          <w:p>
            <w:pPr>
              <w:rPr>
                <w:highlight w:val="none"/>
              </w:rPr>
            </w:pPr>
            <w:r>
              <w:rPr>
                <w:rFonts w:hint="eastAsia"/>
                <w:highlight w:val="none"/>
              </w:rPr>
              <w:t>需提供为标段二行业企业提供智能制造相关技术或解决方案的合同及实施结果（如验收证明材料、任意一张该合同支付发票等）证明材料；同时提供所服务企业属于标段二行业的相关证明，如被服务企业营业执照、被服务企业加盖公章的情况说明及其他能证明被服务企业属于标段二行业的材料。不提供被服务企业为标段二行业或提供的材料不明，无法认定所服务企业属于标段二行业的，视为未提供，不予赋分。</w:t>
            </w:r>
            <w:r>
              <w:rPr>
                <w:rFonts w:hint="eastAsia" w:ascii="宋体" w:hAnsi="宋体" w:cs="宋体"/>
                <w:szCs w:val="21"/>
                <w:highlight w:val="none"/>
              </w:rPr>
              <w:t>以上材料要求复印件并加盖投标单位公章。</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872" w:hRule="atLeast"/>
        </w:trPr>
        <w:tc>
          <w:tcPr>
            <w:tcW w:w="8963" w:type="dxa"/>
            <w:gridSpan w:val="4"/>
            <w:noWrap/>
            <w:vAlign w:val="center"/>
          </w:tcPr>
          <w:p>
            <w:pPr>
              <w:widowControl/>
              <w:jc w:val="left"/>
              <w:rPr>
                <w:highlight w:val="none"/>
              </w:rPr>
            </w:pPr>
            <w:r>
              <w:rPr>
                <w:rFonts w:hint="eastAsia"/>
                <w:highlight w:val="none"/>
              </w:rPr>
              <w:t xml:space="preserve">备注： </w:t>
            </w:r>
          </w:p>
          <w:p>
            <w:pPr>
              <w:widowControl/>
              <w:numPr>
                <w:ilvl w:val="0"/>
                <w:numId w:val="9"/>
              </w:numPr>
              <w:jc w:val="left"/>
              <w:rPr>
                <w:highlight w:val="none"/>
              </w:rPr>
            </w:pPr>
            <w:r>
              <w:rPr>
                <w:rFonts w:hint="eastAsia"/>
                <w:highlight w:val="none"/>
              </w:rPr>
              <w:t xml:space="preserve">针对评分标准中评分的每一条，投标供应商在响应文件中均应提供清晰明了的相关资料并做出相应说明供评委评判，不提供相关资料的视为不具备该项得分的条件。 </w:t>
            </w:r>
          </w:p>
          <w:p>
            <w:pPr>
              <w:widowControl/>
              <w:numPr>
                <w:ilvl w:val="0"/>
                <w:numId w:val="9"/>
              </w:numPr>
              <w:jc w:val="left"/>
              <w:rPr>
                <w:highlight w:val="none"/>
              </w:rPr>
            </w:pPr>
            <w:r>
              <w:rPr>
                <w:rFonts w:hint="eastAsia"/>
                <w:highlight w:val="none"/>
              </w:rPr>
              <w:t>联合体所有投标文件以联合体牵头人签字盖章为准。</w:t>
            </w:r>
          </w:p>
          <w:p>
            <w:pPr>
              <w:widowControl/>
              <w:numPr>
                <w:ilvl w:val="0"/>
                <w:numId w:val="9"/>
              </w:numPr>
              <w:jc w:val="left"/>
              <w:rPr>
                <w:highlight w:val="none"/>
              </w:rPr>
            </w:pPr>
            <w:r>
              <w:rPr>
                <w:rFonts w:hint="eastAsia"/>
                <w:b/>
                <w:bCs/>
                <w:highlight w:val="none"/>
              </w:rPr>
              <w:t>标段二商务技术分第二部分的所有内容作为标段二商务技术标第二册（一正六副），标段二</w:t>
            </w:r>
            <w:r>
              <w:rPr>
                <w:rFonts w:hint="eastAsia"/>
                <w:b/>
                <w:bCs/>
                <w:highlight w:val="none"/>
                <w:lang w:val="zh-CN"/>
              </w:rPr>
              <w:t>商务技术标</w:t>
            </w:r>
            <w:r>
              <w:rPr>
                <w:rFonts w:hint="eastAsia"/>
                <w:b/>
                <w:bCs/>
                <w:highlight w:val="none"/>
              </w:rPr>
              <w:t>第二册内容中涉及项目名称的格式都必须为：2022年南通市“智改数转”诊断服务项目标段二。</w:t>
            </w:r>
          </w:p>
        </w:tc>
      </w:tr>
    </w:tbl>
    <w:p>
      <w:pPr>
        <w:snapToGrid w:val="0"/>
        <w:spacing w:line="312" w:lineRule="auto"/>
        <w:ind w:firstLine="482" w:firstLineChars="200"/>
        <w:contextualSpacing/>
        <w:rPr>
          <w:rFonts w:ascii="宋体" w:hAnsi="宋体" w:cs="宋体"/>
          <w:b/>
          <w:bCs/>
          <w:kern w:val="0"/>
          <w:sz w:val="24"/>
          <w:highlight w:val="none"/>
          <w:lang w:val="zh-CN"/>
        </w:rPr>
      </w:pPr>
    </w:p>
    <w:p>
      <w:pPr>
        <w:pStyle w:val="2"/>
        <w:ind w:firstLine="482"/>
        <w:jc w:val="center"/>
        <w:rPr>
          <w:rFonts w:ascii="宋体" w:hAnsi="宋体" w:cs="宋体"/>
          <w:b/>
          <w:bCs/>
          <w:sz w:val="24"/>
          <w:highlight w:val="none"/>
        </w:rPr>
      </w:pPr>
      <w:r>
        <w:rPr>
          <w:rFonts w:hint="eastAsia" w:ascii="宋体" w:hAnsi="宋体" w:cs="宋体"/>
          <w:b/>
          <w:bCs/>
          <w:sz w:val="24"/>
          <w:highlight w:val="none"/>
        </w:rPr>
        <w:t>标段三商务技术分第二部分</w:t>
      </w:r>
    </w:p>
    <w:tbl>
      <w:tblPr>
        <w:tblStyle w:val="41"/>
        <w:tblW w:w="8963" w:type="dxa"/>
        <w:tblInd w:w="-23"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841"/>
        <w:gridCol w:w="1306"/>
        <w:gridCol w:w="804"/>
        <w:gridCol w:w="6012"/>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2" w:hRule="atLeast"/>
        </w:trPr>
        <w:tc>
          <w:tcPr>
            <w:tcW w:w="8963" w:type="dxa"/>
            <w:gridSpan w:val="4"/>
            <w:noWrap/>
            <w:vAlign w:val="center"/>
          </w:tcPr>
          <w:p>
            <w:pPr>
              <w:widowControl/>
              <w:spacing w:line="240" w:lineRule="atLeast"/>
              <w:jc w:val="center"/>
              <w:rPr>
                <w:highlight w:val="none"/>
              </w:rPr>
            </w:pPr>
            <w:r>
              <w:rPr>
                <w:rFonts w:hint="eastAsia" w:ascii="宋体" w:hAnsi="宋体" w:cs="宋体"/>
                <w:b/>
                <w:bCs/>
                <w:kern w:val="0"/>
                <w:sz w:val="24"/>
                <w:highlight w:val="none"/>
              </w:rPr>
              <w:t>商务技术分第二部分（所投标段相关）</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841" w:type="dxa"/>
            <w:noWrap/>
            <w:vAlign w:val="center"/>
          </w:tcPr>
          <w:p>
            <w:pPr>
              <w:widowControl/>
              <w:spacing w:line="240" w:lineRule="atLeast"/>
              <w:jc w:val="center"/>
              <w:rPr>
                <w:rFonts w:ascii="宋体" w:hAnsi="宋体" w:cs="宋体"/>
                <w:b/>
                <w:bCs/>
                <w:kern w:val="0"/>
                <w:sz w:val="24"/>
                <w:highlight w:val="none"/>
                <w:lang w:val="zh-CN"/>
              </w:rPr>
            </w:pPr>
            <w:r>
              <w:rPr>
                <w:rFonts w:hint="eastAsia" w:ascii="宋体" w:hAnsi="宋体" w:cs="宋体"/>
                <w:b/>
                <w:bCs/>
                <w:kern w:val="0"/>
                <w:sz w:val="24"/>
                <w:highlight w:val="none"/>
                <w:lang w:val="zh-CN"/>
              </w:rPr>
              <w:t>评审</w:t>
            </w:r>
          </w:p>
          <w:p>
            <w:pPr>
              <w:widowControl/>
              <w:spacing w:line="240" w:lineRule="atLeast"/>
              <w:jc w:val="center"/>
              <w:rPr>
                <w:highlight w:val="none"/>
              </w:rPr>
            </w:pPr>
            <w:r>
              <w:rPr>
                <w:rFonts w:hint="eastAsia" w:ascii="宋体" w:hAnsi="宋体" w:cs="宋体"/>
                <w:b/>
                <w:bCs/>
                <w:kern w:val="0"/>
                <w:sz w:val="24"/>
                <w:highlight w:val="none"/>
                <w:lang w:val="zh-CN"/>
              </w:rPr>
              <w:t>因素</w:t>
            </w:r>
          </w:p>
        </w:tc>
        <w:tc>
          <w:tcPr>
            <w:tcW w:w="1306" w:type="dxa"/>
            <w:noWrap/>
            <w:vAlign w:val="center"/>
          </w:tcPr>
          <w:p>
            <w:pPr>
              <w:widowControl/>
              <w:spacing w:line="240" w:lineRule="atLeast"/>
              <w:jc w:val="center"/>
              <w:rPr>
                <w:highlight w:val="none"/>
              </w:rPr>
            </w:pPr>
            <w:r>
              <w:rPr>
                <w:rFonts w:hint="eastAsia" w:ascii="宋体" w:hAnsi="宋体" w:cs="宋体"/>
                <w:b/>
                <w:bCs/>
                <w:kern w:val="0"/>
                <w:sz w:val="24"/>
                <w:highlight w:val="none"/>
              </w:rPr>
              <w:t>评审项目</w:t>
            </w:r>
          </w:p>
        </w:tc>
        <w:tc>
          <w:tcPr>
            <w:tcW w:w="804" w:type="dxa"/>
            <w:noWrap/>
            <w:vAlign w:val="center"/>
          </w:tcPr>
          <w:p>
            <w:pPr>
              <w:widowControl/>
              <w:spacing w:line="240" w:lineRule="atLeast"/>
              <w:jc w:val="center"/>
              <w:rPr>
                <w:highlight w:val="none"/>
              </w:rPr>
            </w:pPr>
            <w:r>
              <w:rPr>
                <w:rFonts w:hint="eastAsia" w:ascii="宋体" w:hAnsi="宋体" w:cs="宋体"/>
                <w:b/>
                <w:bCs/>
                <w:kern w:val="0"/>
                <w:sz w:val="24"/>
                <w:highlight w:val="none"/>
              </w:rPr>
              <w:t>分值</w:t>
            </w:r>
          </w:p>
        </w:tc>
        <w:tc>
          <w:tcPr>
            <w:tcW w:w="6012" w:type="dxa"/>
            <w:noWrap/>
            <w:vAlign w:val="center"/>
          </w:tcPr>
          <w:p>
            <w:pPr>
              <w:widowControl/>
              <w:spacing w:line="240" w:lineRule="atLeast"/>
              <w:jc w:val="center"/>
              <w:rPr>
                <w:highlight w:val="none"/>
              </w:rPr>
            </w:pPr>
            <w:r>
              <w:rPr>
                <w:rFonts w:hint="eastAsia" w:ascii="宋体" w:hAnsi="宋体" w:cs="宋体"/>
                <w:b/>
                <w:bCs/>
                <w:kern w:val="0"/>
                <w:sz w:val="24"/>
                <w:highlight w:val="none"/>
              </w:rPr>
              <w:t>评审标准</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2" w:hRule="atLeast"/>
        </w:trPr>
        <w:tc>
          <w:tcPr>
            <w:tcW w:w="841" w:type="dxa"/>
            <w:noWrap/>
            <w:vAlign w:val="center"/>
          </w:tcPr>
          <w:p>
            <w:pPr>
              <w:widowControl/>
              <w:spacing w:line="240" w:lineRule="atLeast"/>
              <w:jc w:val="center"/>
              <w:rPr>
                <w:rFonts w:ascii="宋体" w:hAnsi="宋体" w:cs="宋体"/>
                <w:b/>
                <w:bCs/>
                <w:kern w:val="0"/>
                <w:sz w:val="24"/>
                <w:highlight w:val="none"/>
                <w:lang w:val="zh-CN"/>
              </w:rPr>
            </w:pPr>
            <w:r>
              <w:rPr>
                <w:rFonts w:hint="eastAsia" w:ascii="宋体" w:hAnsi="宋体" w:cs="宋体"/>
                <w:kern w:val="0"/>
                <w:szCs w:val="21"/>
                <w:highlight w:val="none"/>
                <w:lang w:val="zh-CN"/>
              </w:rPr>
              <w:t>项目认识与理解（</w:t>
            </w:r>
            <w:r>
              <w:rPr>
                <w:rFonts w:hint="eastAsia" w:ascii="宋体" w:hAnsi="宋体" w:cs="宋体"/>
                <w:kern w:val="0"/>
                <w:szCs w:val="21"/>
                <w:highlight w:val="none"/>
              </w:rPr>
              <w:t>4分</w:t>
            </w:r>
            <w:r>
              <w:rPr>
                <w:rFonts w:hint="eastAsia" w:ascii="宋体" w:hAnsi="宋体" w:cs="宋体"/>
                <w:kern w:val="0"/>
                <w:szCs w:val="21"/>
                <w:highlight w:val="none"/>
                <w:lang w:val="zh-CN"/>
              </w:rPr>
              <w:t>）</w:t>
            </w:r>
          </w:p>
        </w:tc>
        <w:tc>
          <w:tcPr>
            <w:tcW w:w="1306" w:type="dxa"/>
            <w:noWrap/>
            <w:vAlign w:val="center"/>
          </w:tcPr>
          <w:p>
            <w:pPr>
              <w:widowControl/>
              <w:spacing w:line="240" w:lineRule="atLeast"/>
              <w:jc w:val="center"/>
              <w:rPr>
                <w:rFonts w:ascii="宋体" w:hAnsi="宋体" w:cs="宋体"/>
                <w:b/>
                <w:bCs/>
                <w:kern w:val="0"/>
                <w:sz w:val="24"/>
                <w:highlight w:val="none"/>
              </w:rPr>
            </w:pPr>
            <w:r>
              <w:rPr>
                <w:rFonts w:hint="eastAsia" w:ascii="宋体" w:hAnsi="宋体" w:cs="宋体"/>
                <w:szCs w:val="21"/>
                <w:highlight w:val="none"/>
                <w:lang w:val="zh-CN"/>
              </w:rPr>
              <w:t>对标段三</w:t>
            </w:r>
            <w:r>
              <w:rPr>
                <w:rFonts w:hint="eastAsia" w:ascii="宋体" w:hAnsi="宋体" w:cs="宋体"/>
                <w:szCs w:val="21"/>
                <w:highlight w:val="none"/>
              </w:rPr>
              <w:t>涉及</w:t>
            </w:r>
            <w:r>
              <w:rPr>
                <w:rFonts w:hint="eastAsia" w:ascii="宋体" w:hAnsi="宋体" w:cs="宋体"/>
                <w:szCs w:val="21"/>
                <w:highlight w:val="none"/>
                <w:lang w:val="zh-CN"/>
              </w:rPr>
              <w:t>行业改造转型的理解</w:t>
            </w:r>
          </w:p>
        </w:tc>
        <w:tc>
          <w:tcPr>
            <w:tcW w:w="804" w:type="dxa"/>
            <w:noWrap/>
            <w:vAlign w:val="center"/>
          </w:tcPr>
          <w:p>
            <w:pPr>
              <w:widowControl/>
              <w:spacing w:line="240" w:lineRule="atLeast"/>
              <w:jc w:val="center"/>
              <w:rPr>
                <w:rFonts w:ascii="宋体" w:hAnsi="宋体" w:cs="宋体"/>
                <w:b/>
                <w:bCs/>
                <w:kern w:val="0"/>
                <w:sz w:val="24"/>
                <w:highlight w:val="none"/>
              </w:rPr>
            </w:pPr>
            <w:r>
              <w:rPr>
                <w:rFonts w:hint="eastAsia"/>
                <w:highlight w:val="none"/>
              </w:rPr>
              <w:t>4分</w:t>
            </w:r>
          </w:p>
        </w:tc>
        <w:tc>
          <w:tcPr>
            <w:tcW w:w="6012" w:type="dxa"/>
            <w:noWrap/>
            <w:vAlign w:val="center"/>
          </w:tcPr>
          <w:p>
            <w:pPr>
              <w:rPr>
                <w:highlight w:val="none"/>
              </w:rPr>
            </w:pPr>
            <w:r>
              <w:rPr>
                <w:rFonts w:hint="eastAsia"/>
                <w:highlight w:val="none"/>
              </w:rPr>
              <w:t>（1）能够明确分析论证标段三的行业特点、分布特征，提出南通推进该行业智能化改造和数字化转型的方法论得当，对企业通过实施智能化改造实现转型升级的路径分析合理，得4分。</w:t>
            </w:r>
          </w:p>
          <w:p>
            <w:pPr>
              <w:rPr>
                <w:highlight w:val="none"/>
              </w:rPr>
            </w:pPr>
            <w:r>
              <w:rPr>
                <w:rFonts w:hint="eastAsia"/>
                <w:highlight w:val="none"/>
              </w:rPr>
              <w:t>（2）对标段三行业的特点、分布特征有一定的梳理，提出南通推进该行业智能化改造和数字化转型的思路，对企业通过实施智能化改造实现转型升级的路径分析一般，得2.5分。</w:t>
            </w:r>
          </w:p>
          <w:p>
            <w:pPr>
              <w:rPr>
                <w:highlight w:val="none"/>
              </w:rPr>
            </w:pPr>
            <w:r>
              <w:rPr>
                <w:rFonts w:hint="eastAsia"/>
                <w:highlight w:val="none"/>
              </w:rPr>
              <w:t>（3）对标段三行业的特点、分布特征描述模糊，对南通推进该行业智能化改造和数字化转型的思路和企业改造转型的路径分析不清，得1分。</w:t>
            </w:r>
          </w:p>
          <w:p>
            <w:pPr>
              <w:rPr>
                <w:highlight w:val="none"/>
              </w:rPr>
            </w:pPr>
            <w:r>
              <w:rPr>
                <w:rFonts w:hint="eastAsia" w:hAnsi="宋体" w:cs="宋体"/>
                <w:szCs w:val="21"/>
                <w:highlight w:val="none"/>
              </w:rPr>
              <w:t>所投标段中有2个以上行业的，涉及行业属性的，提供所投标段的主要行业相关材料，标段三主要行业：</w:t>
            </w:r>
            <w:r>
              <w:rPr>
                <w:rFonts w:hint="eastAsia"/>
                <w:highlight w:val="none"/>
              </w:rPr>
              <w:t>高端装备产业。</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2" w:hRule="atLeast"/>
        </w:trPr>
        <w:tc>
          <w:tcPr>
            <w:tcW w:w="841" w:type="dxa"/>
            <w:vMerge w:val="restart"/>
            <w:noWrap/>
            <w:vAlign w:val="center"/>
          </w:tcPr>
          <w:p>
            <w:pPr>
              <w:widowControl/>
              <w:spacing w:line="240" w:lineRule="atLeast"/>
              <w:jc w:val="center"/>
              <w:rPr>
                <w:rFonts w:ascii="宋体" w:hAnsi="宋体" w:cs="宋体"/>
                <w:kern w:val="0"/>
                <w:szCs w:val="21"/>
                <w:highlight w:val="none"/>
                <w:lang w:val="zh-CN"/>
              </w:rPr>
            </w:pPr>
            <w:r>
              <w:rPr>
                <w:rFonts w:hint="eastAsia" w:ascii="宋体" w:hAnsi="宋体" w:cs="宋体"/>
                <w:kern w:val="0"/>
                <w:szCs w:val="21"/>
                <w:highlight w:val="none"/>
                <w:lang w:val="zh-CN"/>
              </w:rPr>
              <w:t>项目方案与实施（</w:t>
            </w:r>
            <w:r>
              <w:rPr>
                <w:rFonts w:hint="eastAsia" w:ascii="宋体" w:hAnsi="宋体" w:cs="宋体"/>
                <w:kern w:val="0"/>
                <w:szCs w:val="21"/>
                <w:highlight w:val="none"/>
              </w:rPr>
              <w:t>16</w:t>
            </w:r>
            <w:r>
              <w:rPr>
                <w:rFonts w:hint="eastAsia" w:ascii="宋体" w:hAnsi="宋体" w:cs="宋体"/>
                <w:kern w:val="0"/>
                <w:szCs w:val="21"/>
                <w:highlight w:val="none"/>
                <w:lang w:val="en-US" w:eastAsia="zh-CN"/>
              </w:rPr>
              <w:t>分</w:t>
            </w:r>
            <w:r>
              <w:rPr>
                <w:rFonts w:hint="eastAsia" w:ascii="宋体" w:hAnsi="宋体" w:cs="宋体"/>
                <w:kern w:val="0"/>
                <w:szCs w:val="21"/>
                <w:highlight w:val="none"/>
                <w:lang w:val="zh-CN"/>
              </w:rPr>
              <w:t>）</w:t>
            </w:r>
          </w:p>
        </w:tc>
        <w:tc>
          <w:tcPr>
            <w:tcW w:w="1306" w:type="dxa"/>
            <w:noWrap/>
            <w:vAlign w:val="center"/>
          </w:tcPr>
          <w:p>
            <w:pPr>
              <w:rPr>
                <w:rFonts w:ascii="宋体" w:hAnsi="宋体" w:cs="宋体"/>
                <w:szCs w:val="21"/>
                <w:highlight w:val="none"/>
                <w:lang w:val="zh-CN"/>
              </w:rPr>
            </w:pPr>
            <w:r>
              <w:rPr>
                <w:rFonts w:hint="eastAsia" w:ascii="宋体" w:hAnsi="宋体" w:cs="宋体"/>
                <w:szCs w:val="21"/>
                <w:highlight w:val="none"/>
                <w:lang w:val="zh-CN"/>
              </w:rPr>
              <w:t>标段三</w:t>
            </w:r>
            <w:r>
              <w:rPr>
                <w:rFonts w:hint="eastAsia" w:ascii="宋体" w:hAnsi="宋体" w:cs="宋体"/>
                <w:szCs w:val="21"/>
                <w:highlight w:val="none"/>
              </w:rPr>
              <w:t>行业</w:t>
            </w:r>
            <w:r>
              <w:rPr>
                <w:rFonts w:hint="eastAsia" w:ascii="宋体" w:hAnsi="宋体" w:cs="宋体"/>
                <w:szCs w:val="21"/>
                <w:highlight w:val="none"/>
                <w:lang w:val="zh-CN"/>
              </w:rPr>
              <w:t>诊断服务方案</w:t>
            </w:r>
          </w:p>
        </w:tc>
        <w:tc>
          <w:tcPr>
            <w:tcW w:w="804" w:type="dxa"/>
            <w:noWrap/>
            <w:vAlign w:val="center"/>
          </w:tcPr>
          <w:p>
            <w:pPr>
              <w:jc w:val="center"/>
              <w:rPr>
                <w:rFonts w:ascii="宋体" w:hAnsi="宋体" w:cs="宋体"/>
                <w:b/>
                <w:bCs/>
                <w:kern w:val="0"/>
                <w:sz w:val="24"/>
                <w:highlight w:val="none"/>
              </w:rPr>
            </w:pPr>
            <w:r>
              <w:rPr>
                <w:rFonts w:hint="eastAsia" w:ascii="宋体" w:hAnsi="宋体" w:cs="宋体"/>
                <w:szCs w:val="21"/>
                <w:highlight w:val="none"/>
              </w:rPr>
              <w:t>4分</w:t>
            </w:r>
          </w:p>
        </w:tc>
        <w:tc>
          <w:tcPr>
            <w:tcW w:w="6012" w:type="dxa"/>
            <w:noWrap/>
            <w:vAlign w:val="center"/>
          </w:tcPr>
          <w:p>
            <w:pPr>
              <w:rPr>
                <w:highlight w:val="none"/>
              </w:rPr>
            </w:pPr>
            <w:r>
              <w:rPr>
                <w:rFonts w:hint="eastAsia"/>
                <w:highlight w:val="none"/>
              </w:rPr>
              <w:t>（1）方案诊断评估方法先进，能够深入结合标段三行业特点，能从生产、管理、物流、仓储等重点环节对被诊断企业的智能化、数字化水平进行全面现状调研，描述清晰明确，与企业内部要素之间衔接和匹配度高，现场评估问诊过程可行，得4分。</w:t>
            </w:r>
          </w:p>
          <w:p>
            <w:pPr>
              <w:rPr>
                <w:highlight w:val="none"/>
              </w:rPr>
            </w:pPr>
            <w:r>
              <w:rPr>
                <w:rFonts w:hint="eastAsia"/>
                <w:highlight w:val="none"/>
              </w:rPr>
              <w:t>（2）方案诊断评估方法合理，参考了一定的标段三行业特点，从生产、管理、物流、仓储等重点环节对被诊断企业的智能化水平进行一般现状调研，描述较清晰，与企业内部要素之间衔接和匹配度较高，现场评估问诊过程基本可行，得2分。</w:t>
            </w:r>
          </w:p>
          <w:p>
            <w:pPr>
              <w:rPr>
                <w:highlight w:val="none"/>
              </w:rPr>
            </w:pPr>
            <w:r>
              <w:rPr>
                <w:rFonts w:hint="eastAsia"/>
                <w:highlight w:val="none"/>
              </w:rPr>
              <w:t>（3）方案诊断评估方法一般，未充分考虑标段三行业特点，从生产、管理、物流、仓储等重点环节对被诊断企业的智能化水平进行基本现状调研，描述不清晰，与企业内部要素之间衔接和匹配度低，现场评估问诊过程可行性不高，得1分。</w:t>
            </w:r>
          </w:p>
          <w:p>
            <w:pPr>
              <w:rPr>
                <w:highlight w:val="none"/>
              </w:rPr>
            </w:pPr>
            <w:r>
              <w:rPr>
                <w:rFonts w:hint="eastAsia" w:hAnsi="宋体" w:cs="宋体"/>
                <w:szCs w:val="21"/>
                <w:highlight w:val="none"/>
              </w:rPr>
              <w:t>所投标段中有2个以上行业的，涉及行业属性的，提供所投标段的主要行业相关材料，标段三主要行业：</w:t>
            </w:r>
            <w:r>
              <w:rPr>
                <w:rFonts w:hint="eastAsia"/>
                <w:highlight w:val="none"/>
              </w:rPr>
              <w:t>高端装备产业。</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2" w:hRule="atLeast"/>
        </w:trPr>
        <w:tc>
          <w:tcPr>
            <w:tcW w:w="841" w:type="dxa"/>
            <w:vMerge w:val="continue"/>
            <w:noWrap/>
            <w:vAlign w:val="center"/>
          </w:tcPr>
          <w:p>
            <w:pPr>
              <w:widowControl/>
              <w:spacing w:line="240" w:lineRule="atLeast"/>
              <w:jc w:val="center"/>
              <w:rPr>
                <w:rFonts w:ascii="宋体" w:hAnsi="宋体" w:cs="宋体"/>
                <w:kern w:val="0"/>
                <w:szCs w:val="21"/>
                <w:highlight w:val="none"/>
                <w:lang w:val="zh-CN"/>
              </w:rPr>
            </w:pPr>
          </w:p>
        </w:tc>
        <w:tc>
          <w:tcPr>
            <w:tcW w:w="1306" w:type="dxa"/>
            <w:noWrap/>
            <w:vAlign w:val="center"/>
          </w:tcPr>
          <w:p>
            <w:pPr>
              <w:rPr>
                <w:rFonts w:ascii="宋体" w:hAnsi="宋体" w:cs="宋体"/>
                <w:szCs w:val="21"/>
                <w:highlight w:val="none"/>
                <w:lang w:val="zh-CN"/>
              </w:rPr>
            </w:pPr>
            <w:r>
              <w:rPr>
                <w:rFonts w:hint="eastAsia" w:ascii="宋体" w:hAnsi="宋体" w:cs="宋体"/>
                <w:szCs w:val="21"/>
                <w:highlight w:val="none"/>
                <w:lang w:val="zh-CN"/>
              </w:rPr>
              <w:t>标段三诊断项目组织</w:t>
            </w:r>
            <w:r>
              <w:rPr>
                <w:rFonts w:hint="eastAsia" w:ascii="宋体" w:hAnsi="宋体" w:cs="宋体"/>
                <w:szCs w:val="21"/>
                <w:highlight w:val="none"/>
              </w:rPr>
              <w:t>保障</w:t>
            </w:r>
          </w:p>
        </w:tc>
        <w:tc>
          <w:tcPr>
            <w:tcW w:w="804" w:type="dxa"/>
            <w:noWrap/>
            <w:vAlign w:val="center"/>
          </w:tcPr>
          <w:p>
            <w:pPr>
              <w:jc w:val="center"/>
              <w:rPr>
                <w:rFonts w:ascii="宋体" w:hAnsi="宋体" w:cs="宋体"/>
                <w:b/>
                <w:bCs/>
                <w:kern w:val="0"/>
                <w:sz w:val="24"/>
                <w:highlight w:val="none"/>
              </w:rPr>
            </w:pPr>
            <w:r>
              <w:rPr>
                <w:rFonts w:hint="eastAsia" w:ascii="宋体" w:hAnsi="宋体" w:cs="宋体"/>
                <w:szCs w:val="21"/>
                <w:highlight w:val="none"/>
              </w:rPr>
              <w:t>4分</w:t>
            </w:r>
          </w:p>
        </w:tc>
        <w:tc>
          <w:tcPr>
            <w:tcW w:w="6012" w:type="dxa"/>
            <w:noWrap/>
            <w:vAlign w:val="center"/>
          </w:tcPr>
          <w:p>
            <w:pPr>
              <w:rPr>
                <w:highlight w:val="none"/>
              </w:rPr>
            </w:pPr>
            <w:r>
              <w:rPr>
                <w:rFonts w:hint="eastAsia"/>
                <w:highlight w:val="none"/>
              </w:rPr>
              <w:t>（1）项目组织体系和架构配置合理，行业、技术等专家资源充分，团队职责清晰、分工明确（包含联合体各成员单位职责分工），组织严谨得当，能够保证项目方案顺利实施，得4分。</w:t>
            </w:r>
          </w:p>
          <w:p>
            <w:pPr>
              <w:rPr>
                <w:highlight w:val="none"/>
              </w:rPr>
            </w:pPr>
            <w:r>
              <w:rPr>
                <w:rFonts w:hint="eastAsia"/>
                <w:highlight w:val="none"/>
              </w:rPr>
              <w:t>（2）项目组织体系和架构配置较合理，行业、技术等资源较多，团队职责较清晰、分工较明确（包含联合体各成员单位职责分工），组织较合理，基本能够保证项目方案实施，得2分。</w:t>
            </w:r>
          </w:p>
          <w:p>
            <w:pPr>
              <w:rPr>
                <w:highlight w:val="none"/>
              </w:rPr>
            </w:pPr>
            <w:r>
              <w:rPr>
                <w:rFonts w:hint="eastAsia"/>
                <w:highlight w:val="none"/>
              </w:rPr>
              <w:t>（3）项目具备组织体系和架构配置，拥有一定的行业、技术等专家资源，团队职责和分工一般（包含联合体各成员单位职责分工），组织薄弱，项目方案实施有一定难度，得1分。</w:t>
            </w:r>
          </w:p>
          <w:p>
            <w:pPr>
              <w:pStyle w:val="49"/>
              <w:ind w:firstLine="0"/>
              <w:rPr>
                <w:rFonts w:hAnsi="宋体" w:cs="宋体"/>
                <w:szCs w:val="21"/>
                <w:highlight w:val="none"/>
              </w:rPr>
            </w:pPr>
            <w:r>
              <w:rPr>
                <w:rFonts w:hint="eastAsia" w:hAnsi="宋体" w:cs="宋体"/>
                <w:szCs w:val="21"/>
                <w:highlight w:val="none"/>
              </w:rPr>
              <w:t>所投标段中有2个以上行业的，涉及行业属性的，提供所投标段的主要行业相关材料，标段三主要行业：</w:t>
            </w:r>
            <w:r>
              <w:rPr>
                <w:rFonts w:hint="eastAsia" w:ascii="Times New Roman"/>
                <w:highlight w:val="none"/>
              </w:rPr>
              <w:t>高端装备产业</w:t>
            </w:r>
            <w:r>
              <w:rPr>
                <w:rFonts w:hint="eastAsia"/>
                <w:highlight w:val="none"/>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2" w:hRule="atLeast"/>
        </w:trPr>
        <w:tc>
          <w:tcPr>
            <w:tcW w:w="841" w:type="dxa"/>
            <w:vMerge w:val="continue"/>
            <w:noWrap/>
            <w:vAlign w:val="center"/>
          </w:tcPr>
          <w:p>
            <w:pPr>
              <w:widowControl/>
              <w:spacing w:line="240" w:lineRule="atLeast"/>
              <w:jc w:val="center"/>
              <w:rPr>
                <w:rFonts w:ascii="宋体" w:hAnsi="宋体" w:cs="宋体"/>
                <w:kern w:val="0"/>
                <w:szCs w:val="21"/>
                <w:highlight w:val="none"/>
                <w:lang w:val="zh-CN"/>
              </w:rPr>
            </w:pPr>
          </w:p>
        </w:tc>
        <w:tc>
          <w:tcPr>
            <w:tcW w:w="1306" w:type="dxa"/>
            <w:noWrap/>
            <w:vAlign w:val="center"/>
          </w:tcPr>
          <w:p>
            <w:pPr>
              <w:rPr>
                <w:rFonts w:ascii="宋体" w:hAnsi="宋体" w:cs="宋体"/>
                <w:szCs w:val="21"/>
                <w:highlight w:val="none"/>
                <w:lang w:val="zh-CN"/>
              </w:rPr>
            </w:pPr>
            <w:r>
              <w:rPr>
                <w:rFonts w:hint="eastAsia" w:ascii="宋体" w:hAnsi="宋体" w:cs="宋体"/>
                <w:szCs w:val="21"/>
                <w:highlight w:val="none"/>
                <w:lang w:val="zh-CN"/>
              </w:rPr>
              <w:t>诊断项目综合管理</w:t>
            </w:r>
          </w:p>
        </w:tc>
        <w:tc>
          <w:tcPr>
            <w:tcW w:w="804" w:type="dxa"/>
            <w:noWrap/>
            <w:vAlign w:val="center"/>
          </w:tcPr>
          <w:p>
            <w:pPr>
              <w:jc w:val="center"/>
              <w:rPr>
                <w:rFonts w:ascii="宋体" w:hAnsi="宋体" w:cs="宋体"/>
                <w:szCs w:val="21"/>
                <w:highlight w:val="none"/>
              </w:rPr>
            </w:pPr>
            <w:r>
              <w:rPr>
                <w:rFonts w:hint="eastAsia" w:ascii="宋体" w:hAnsi="宋体" w:cs="宋体"/>
                <w:szCs w:val="21"/>
                <w:highlight w:val="none"/>
              </w:rPr>
              <w:t>4分</w:t>
            </w:r>
          </w:p>
        </w:tc>
        <w:tc>
          <w:tcPr>
            <w:tcW w:w="6012" w:type="dxa"/>
            <w:noWrap/>
            <w:vAlign w:val="center"/>
          </w:tcPr>
          <w:p>
            <w:pPr>
              <w:rPr>
                <w:highlight w:val="none"/>
              </w:rPr>
            </w:pPr>
            <w:r>
              <w:rPr>
                <w:rFonts w:hint="eastAsia"/>
                <w:highlight w:val="none"/>
              </w:rPr>
              <w:t>（1）项目进度安排合理，各环节衔接顺畅，综合协调管理水平高，内容详实，能够有效完成标段三任务目标，得4分。</w:t>
            </w:r>
          </w:p>
          <w:p>
            <w:pPr>
              <w:rPr>
                <w:highlight w:val="none"/>
              </w:rPr>
            </w:pPr>
            <w:r>
              <w:rPr>
                <w:rFonts w:hint="eastAsia"/>
                <w:highlight w:val="none"/>
              </w:rPr>
              <w:t>（2）项目进度安排较合理，各环节衔接较顺畅，综合协调管理水平较高，内容较详实，基本能够完成标段三任务目标，得2分。</w:t>
            </w:r>
          </w:p>
          <w:p>
            <w:pPr>
              <w:rPr>
                <w:highlight w:val="none"/>
              </w:rPr>
            </w:pPr>
            <w:r>
              <w:rPr>
                <w:rFonts w:hint="eastAsia"/>
                <w:highlight w:val="none"/>
              </w:rPr>
              <w:t>（3）项目进度安排一般，各环节衔接程度一般，综合协调管理水平一般，具备一定内容，完成标段三任务目标有一定难度，得1分。</w:t>
            </w:r>
          </w:p>
          <w:p>
            <w:pPr>
              <w:rPr>
                <w:highlight w:val="none"/>
              </w:rPr>
            </w:pPr>
            <w:r>
              <w:rPr>
                <w:rFonts w:hint="eastAsia" w:hAnsi="宋体" w:cs="宋体"/>
                <w:szCs w:val="21"/>
                <w:highlight w:val="none"/>
              </w:rPr>
              <w:t>所投标段中有2个以上行业的，涉及行业属性的，提供所投标段的主要行业相关材料，标段三主要行业：</w:t>
            </w:r>
            <w:r>
              <w:rPr>
                <w:rFonts w:hint="eastAsia"/>
                <w:highlight w:val="none"/>
              </w:rPr>
              <w:t>高端装备产业。</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2" w:hRule="atLeast"/>
        </w:trPr>
        <w:tc>
          <w:tcPr>
            <w:tcW w:w="841" w:type="dxa"/>
            <w:vMerge w:val="continue"/>
            <w:noWrap/>
            <w:vAlign w:val="center"/>
          </w:tcPr>
          <w:p>
            <w:pPr>
              <w:widowControl/>
              <w:spacing w:line="240" w:lineRule="atLeast"/>
              <w:jc w:val="center"/>
              <w:rPr>
                <w:rFonts w:ascii="宋体" w:hAnsi="宋体" w:cs="宋体"/>
                <w:kern w:val="0"/>
                <w:szCs w:val="21"/>
                <w:highlight w:val="none"/>
                <w:lang w:val="zh-CN"/>
              </w:rPr>
            </w:pPr>
          </w:p>
        </w:tc>
        <w:tc>
          <w:tcPr>
            <w:tcW w:w="1306" w:type="dxa"/>
            <w:noWrap/>
            <w:vAlign w:val="center"/>
          </w:tcPr>
          <w:p>
            <w:pPr>
              <w:rPr>
                <w:rFonts w:ascii="宋体" w:hAnsi="宋体" w:cs="宋体"/>
                <w:szCs w:val="21"/>
                <w:highlight w:val="none"/>
                <w:lang w:val="zh-CN"/>
              </w:rPr>
            </w:pPr>
            <w:r>
              <w:rPr>
                <w:rFonts w:hint="eastAsia" w:ascii="宋体" w:hAnsi="宋体" w:cs="宋体"/>
                <w:szCs w:val="21"/>
                <w:highlight w:val="none"/>
                <w:lang w:val="zh-CN"/>
              </w:rPr>
              <w:t>诊断项目诊断报告编制思路</w:t>
            </w:r>
          </w:p>
        </w:tc>
        <w:tc>
          <w:tcPr>
            <w:tcW w:w="804" w:type="dxa"/>
            <w:noWrap/>
            <w:vAlign w:val="center"/>
          </w:tcPr>
          <w:p>
            <w:pPr>
              <w:jc w:val="center"/>
              <w:rPr>
                <w:rFonts w:ascii="宋体" w:hAnsi="宋体" w:cs="宋体"/>
                <w:szCs w:val="21"/>
                <w:highlight w:val="none"/>
              </w:rPr>
            </w:pPr>
            <w:r>
              <w:rPr>
                <w:rFonts w:hint="eastAsia" w:ascii="宋体" w:hAnsi="宋体" w:cs="宋体"/>
                <w:szCs w:val="21"/>
                <w:highlight w:val="none"/>
              </w:rPr>
              <w:t>4分</w:t>
            </w:r>
          </w:p>
        </w:tc>
        <w:tc>
          <w:tcPr>
            <w:tcW w:w="6012" w:type="dxa"/>
            <w:noWrap/>
            <w:vAlign w:val="center"/>
          </w:tcPr>
          <w:p>
            <w:pPr>
              <w:rPr>
                <w:rFonts w:ascii="宋体" w:hAnsi="宋体" w:cs="宋体"/>
                <w:szCs w:val="21"/>
                <w:highlight w:val="none"/>
              </w:rPr>
            </w:pPr>
            <w:r>
              <w:rPr>
                <w:rFonts w:hint="eastAsia" w:ascii="宋体" w:hAnsi="宋体" w:cs="宋体"/>
                <w:szCs w:val="21"/>
                <w:highlight w:val="none"/>
              </w:rPr>
              <w:t>（1）对报告的整体构架有清晰的描述，撰写思路清晰完整、重点任务明确、分析方法得当，能提供具有行业代表性、针对性的解决方案，实施路径切实可行，得4分。</w:t>
            </w:r>
          </w:p>
          <w:p>
            <w:pPr>
              <w:rPr>
                <w:rFonts w:ascii="宋体" w:hAnsi="宋体" w:cs="宋体"/>
                <w:szCs w:val="21"/>
                <w:highlight w:val="none"/>
              </w:rPr>
            </w:pPr>
            <w:r>
              <w:rPr>
                <w:rFonts w:hint="eastAsia" w:ascii="宋体" w:hAnsi="宋体" w:cs="宋体"/>
                <w:szCs w:val="21"/>
                <w:highlight w:val="none"/>
              </w:rPr>
              <w:t>（2）对报告的整体构架有较清晰的描述，撰写思路较完整、重点任务较明确、分析方法适当，能提供行业解决方案，实施路径切具有一定可行性，得2分。</w:t>
            </w:r>
          </w:p>
          <w:p>
            <w:pPr>
              <w:rPr>
                <w:rFonts w:ascii="宋体" w:hAnsi="宋体" w:cs="宋体"/>
                <w:szCs w:val="21"/>
                <w:highlight w:val="none"/>
              </w:rPr>
            </w:pPr>
            <w:r>
              <w:rPr>
                <w:rFonts w:hint="eastAsia" w:ascii="宋体" w:hAnsi="宋体" w:cs="宋体"/>
                <w:szCs w:val="21"/>
                <w:highlight w:val="none"/>
              </w:rPr>
              <w:t>（3）对报告的整体构架的描述不够清晰，撰写思路模糊、重点任务不明确、分析方法适当性不强，提供解决方案缺乏代表和依据，实施路径有难度，得1分。</w:t>
            </w:r>
          </w:p>
          <w:p>
            <w:pPr>
              <w:rPr>
                <w:rFonts w:hAnsi="宋体" w:cs="宋体"/>
                <w:szCs w:val="21"/>
                <w:highlight w:val="none"/>
              </w:rPr>
            </w:pPr>
            <w:r>
              <w:rPr>
                <w:rFonts w:hint="eastAsia" w:hAnsi="宋体" w:cs="宋体"/>
                <w:szCs w:val="21"/>
                <w:highlight w:val="none"/>
              </w:rPr>
              <w:t>所投标段中有2个以上行业的，涉及行业属性的，提供所投标段的主要行业相关材料，标段三主要行业：</w:t>
            </w:r>
            <w:r>
              <w:rPr>
                <w:rFonts w:hint="eastAsia"/>
                <w:highlight w:val="none"/>
              </w:rPr>
              <w:t>高端装备产业。</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2" w:hRule="atLeast"/>
        </w:trPr>
        <w:tc>
          <w:tcPr>
            <w:tcW w:w="841" w:type="dxa"/>
            <w:noWrap/>
            <w:vAlign w:val="center"/>
          </w:tcPr>
          <w:p>
            <w:pPr>
              <w:widowControl/>
              <w:spacing w:line="240" w:lineRule="atLeast"/>
              <w:jc w:val="center"/>
              <w:rPr>
                <w:rFonts w:ascii="宋体" w:hAnsi="宋体" w:cs="宋体"/>
                <w:kern w:val="0"/>
                <w:szCs w:val="21"/>
                <w:highlight w:val="none"/>
                <w:lang w:val="zh-CN"/>
              </w:rPr>
            </w:pPr>
            <w:r>
              <w:rPr>
                <w:rFonts w:hint="eastAsia" w:ascii="宋体" w:hAnsi="宋体" w:cs="宋体"/>
                <w:kern w:val="0"/>
                <w:szCs w:val="21"/>
                <w:highlight w:val="none"/>
                <w:lang w:val="zh-CN"/>
              </w:rPr>
              <w:t>项目人员团队能力（</w:t>
            </w:r>
            <w:r>
              <w:rPr>
                <w:rFonts w:hint="eastAsia" w:ascii="宋体" w:hAnsi="宋体" w:cs="宋体"/>
                <w:kern w:val="0"/>
                <w:szCs w:val="21"/>
                <w:highlight w:val="none"/>
              </w:rPr>
              <w:t>15分</w:t>
            </w:r>
            <w:r>
              <w:rPr>
                <w:rFonts w:hint="eastAsia" w:ascii="宋体" w:hAnsi="宋体" w:cs="宋体"/>
                <w:kern w:val="0"/>
                <w:szCs w:val="21"/>
                <w:highlight w:val="none"/>
                <w:lang w:val="zh-CN"/>
              </w:rPr>
              <w:t>）</w:t>
            </w:r>
          </w:p>
        </w:tc>
        <w:tc>
          <w:tcPr>
            <w:tcW w:w="1306" w:type="dxa"/>
            <w:noWrap/>
            <w:vAlign w:val="center"/>
          </w:tcPr>
          <w:p>
            <w:pPr>
              <w:widowControl/>
              <w:spacing w:line="240" w:lineRule="atLeast"/>
              <w:jc w:val="center"/>
              <w:rPr>
                <w:rFonts w:ascii="宋体" w:hAnsi="宋体" w:cs="宋体"/>
                <w:szCs w:val="21"/>
                <w:highlight w:val="none"/>
                <w:lang w:val="zh-CN"/>
              </w:rPr>
            </w:pPr>
            <w:r>
              <w:rPr>
                <w:rFonts w:hint="eastAsia" w:ascii="宋体" w:hAnsi="宋体" w:cs="宋体"/>
                <w:kern w:val="0"/>
                <w:szCs w:val="21"/>
                <w:highlight w:val="none"/>
                <w:lang w:val="zh-CN"/>
              </w:rPr>
              <w:t>项目人员团队能力</w:t>
            </w:r>
          </w:p>
        </w:tc>
        <w:tc>
          <w:tcPr>
            <w:tcW w:w="804" w:type="dxa"/>
            <w:noWrap/>
            <w:vAlign w:val="center"/>
          </w:tcPr>
          <w:p>
            <w:pPr>
              <w:jc w:val="center"/>
              <w:rPr>
                <w:rFonts w:ascii="宋体" w:hAnsi="宋体" w:cs="宋体"/>
                <w:szCs w:val="21"/>
                <w:highlight w:val="none"/>
              </w:rPr>
            </w:pPr>
            <w:r>
              <w:rPr>
                <w:rFonts w:hint="eastAsia" w:ascii="宋体" w:hAnsi="宋体" w:cs="宋体"/>
                <w:szCs w:val="21"/>
                <w:highlight w:val="none"/>
              </w:rPr>
              <w:t>15分</w:t>
            </w:r>
          </w:p>
        </w:tc>
        <w:tc>
          <w:tcPr>
            <w:tcW w:w="6012" w:type="dxa"/>
            <w:noWrap/>
            <w:vAlign w:val="center"/>
          </w:tcPr>
          <w:p>
            <w:pPr>
              <w:rPr>
                <w:rFonts w:ascii="宋体" w:hAnsi="宋体" w:cs="宋体"/>
                <w:szCs w:val="21"/>
                <w:highlight w:val="none"/>
              </w:rPr>
            </w:pPr>
            <w:r>
              <w:rPr>
                <w:rFonts w:hint="eastAsia"/>
                <w:highlight w:val="none"/>
              </w:rPr>
              <w:t>（1）</w:t>
            </w:r>
            <w:r>
              <w:rPr>
                <w:rFonts w:hint="eastAsia" w:ascii="宋体" w:hAnsi="宋体" w:cs="宋体"/>
                <w:szCs w:val="21"/>
                <w:highlight w:val="none"/>
              </w:rPr>
              <w:t>拟任</w:t>
            </w:r>
            <w:r>
              <w:rPr>
                <w:rFonts w:hint="eastAsia"/>
                <w:highlight w:val="none"/>
              </w:rPr>
              <w:t>项目负责人具有智能制造（两化融合）相关技术或标段三行业高级职称，得3分；为工信部、省工信厅智能制造（两化融合）领域或标段三行业专家库成员，得3分。本项最高得6分。</w:t>
            </w:r>
          </w:p>
          <w:p>
            <w:pPr>
              <w:pStyle w:val="19"/>
              <w:rPr>
                <w:rFonts w:ascii="宋体" w:hAnsi="宋体" w:eastAsia="宋体" w:cs="宋体"/>
                <w:kern w:val="2"/>
                <w:sz w:val="21"/>
                <w:szCs w:val="21"/>
                <w:highlight w:val="none"/>
              </w:rPr>
            </w:pPr>
            <w:r>
              <w:rPr>
                <w:rFonts w:hint="eastAsia" w:ascii="宋体" w:hAnsi="宋体" w:eastAsia="宋体" w:cs="宋体"/>
                <w:kern w:val="2"/>
                <w:sz w:val="21"/>
                <w:szCs w:val="21"/>
                <w:highlight w:val="none"/>
              </w:rPr>
              <w:t>（2）</w:t>
            </w:r>
            <w:r>
              <w:rPr>
                <w:rFonts w:hint="eastAsia" w:ascii="Times New Roman" w:eastAsia="宋体"/>
                <w:kern w:val="2"/>
                <w:sz w:val="21"/>
                <w:szCs w:val="24"/>
                <w:highlight w:val="none"/>
              </w:rPr>
              <w:t>拟投入团队成员具</w:t>
            </w:r>
            <w:r>
              <w:rPr>
                <w:rFonts w:hint="eastAsia" w:ascii="宋体" w:hAnsi="宋体" w:eastAsia="宋体" w:cs="宋体"/>
                <w:kern w:val="2"/>
                <w:sz w:val="21"/>
                <w:szCs w:val="21"/>
                <w:highlight w:val="none"/>
              </w:rPr>
              <w:t>有智能制造相关技术或标段三行业中级及以上专业职称、智能制造能力成熟度模型评估师证书、注册自动化系统工程师证书、软件评测师证书、项目管理师证书、CISP（注册信息安全专业人员）证书，全国两化融合管理体系技能合格证书或两化融合管理体系贯标咨询证书或同类人才证书的技术人员，每提供一份得0.5分（同一人员证书不重复计算分数），本项最高得4分。</w:t>
            </w:r>
          </w:p>
          <w:p>
            <w:pPr>
              <w:pStyle w:val="19"/>
              <w:rPr>
                <w:rFonts w:ascii="宋体" w:hAnsi="宋体" w:eastAsia="宋体" w:cs="宋体"/>
                <w:kern w:val="2"/>
                <w:sz w:val="21"/>
                <w:szCs w:val="21"/>
                <w:highlight w:val="none"/>
              </w:rPr>
            </w:pPr>
            <w:r>
              <w:rPr>
                <w:rFonts w:hint="eastAsia" w:ascii="宋体" w:hAnsi="宋体" w:eastAsia="宋体" w:cs="宋体"/>
                <w:kern w:val="2"/>
                <w:sz w:val="21"/>
                <w:szCs w:val="21"/>
                <w:highlight w:val="none"/>
              </w:rPr>
              <w:t>（3）</w:t>
            </w:r>
            <w:r>
              <w:rPr>
                <w:rFonts w:hint="eastAsia" w:ascii="Times New Roman" w:eastAsia="宋体"/>
                <w:kern w:val="2"/>
                <w:sz w:val="21"/>
                <w:szCs w:val="24"/>
                <w:highlight w:val="none"/>
              </w:rPr>
              <w:t>拟投入团队成员</w:t>
            </w:r>
            <w:r>
              <w:rPr>
                <w:rFonts w:hint="eastAsia" w:ascii="宋体" w:hAnsi="宋体" w:eastAsia="宋体" w:cs="宋体"/>
                <w:kern w:val="2"/>
                <w:sz w:val="21"/>
                <w:szCs w:val="21"/>
                <w:highlight w:val="none"/>
              </w:rPr>
              <w:t>具有智能制造相关领域或标段三行业专业背景，博士学历，每人得1分，硕士学历，每人得0.5分，最高5分。（同一人员学历不重复计算分数）</w:t>
            </w:r>
          </w:p>
          <w:p>
            <w:pPr>
              <w:rPr>
                <w:rFonts w:hAnsi="宋体" w:cs="宋体"/>
                <w:szCs w:val="21"/>
                <w:highlight w:val="none"/>
              </w:rPr>
            </w:pPr>
            <w:r>
              <w:rPr>
                <w:rFonts w:hint="eastAsia" w:ascii="宋体" w:hAnsi="宋体" w:cs="宋体"/>
                <w:szCs w:val="21"/>
                <w:highlight w:val="none"/>
              </w:rPr>
              <w:t>以上材料需提供职称证书（聘书或相关证明）、与投标供应商签订的劳动合同和近三个月社保缴费记录等材料加盖公章，因所提供证明材料不全或内容不明，不得分。智能制造（两化融合）相关技术领域包括：机械、装备、计算机、企业管理、软件、控制、云计算、大数据、人工智能等。</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268" w:hRule="atLeast"/>
        </w:trPr>
        <w:tc>
          <w:tcPr>
            <w:tcW w:w="841" w:type="dxa"/>
            <w:noWrap/>
            <w:vAlign w:val="center"/>
          </w:tcPr>
          <w:p>
            <w:pPr>
              <w:widowControl/>
              <w:spacing w:line="240" w:lineRule="atLeast"/>
              <w:jc w:val="center"/>
              <w:rPr>
                <w:rFonts w:ascii="宋体" w:hAnsi="宋体" w:cs="宋体"/>
                <w:kern w:val="0"/>
                <w:szCs w:val="21"/>
                <w:highlight w:val="none"/>
                <w:lang w:val="zh-CN"/>
              </w:rPr>
            </w:pPr>
            <w:r>
              <w:rPr>
                <w:rFonts w:hint="eastAsia" w:ascii="宋体" w:hAnsi="宋体" w:cs="宋体"/>
                <w:kern w:val="0"/>
                <w:szCs w:val="21"/>
                <w:highlight w:val="none"/>
                <w:lang w:val="zh-CN"/>
              </w:rPr>
              <w:t>项目相关经验及履约能力（</w:t>
            </w:r>
            <w:r>
              <w:rPr>
                <w:rFonts w:hint="eastAsia" w:ascii="宋体" w:hAnsi="宋体" w:cs="宋体"/>
                <w:kern w:val="0"/>
                <w:szCs w:val="21"/>
                <w:highlight w:val="none"/>
                <w:lang w:val="en-US" w:eastAsia="zh-CN"/>
              </w:rPr>
              <w:t>8</w:t>
            </w:r>
            <w:r>
              <w:rPr>
                <w:rFonts w:hint="eastAsia" w:ascii="宋体" w:hAnsi="宋体" w:cs="宋体"/>
                <w:kern w:val="0"/>
                <w:szCs w:val="21"/>
                <w:highlight w:val="none"/>
              </w:rPr>
              <w:t>分</w:t>
            </w:r>
            <w:r>
              <w:rPr>
                <w:rFonts w:hint="eastAsia" w:ascii="宋体" w:hAnsi="宋体" w:cs="宋体"/>
                <w:kern w:val="0"/>
                <w:szCs w:val="21"/>
                <w:highlight w:val="none"/>
                <w:lang w:val="zh-CN"/>
              </w:rPr>
              <w:t>）</w:t>
            </w:r>
          </w:p>
        </w:tc>
        <w:tc>
          <w:tcPr>
            <w:tcW w:w="1306" w:type="dxa"/>
            <w:noWrap/>
            <w:vAlign w:val="center"/>
          </w:tcPr>
          <w:p>
            <w:pPr>
              <w:widowControl/>
              <w:spacing w:line="240" w:lineRule="atLeast"/>
              <w:jc w:val="center"/>
              <w:rPr>
                <w:rFonts w:ascii="宋体" w:hAnsi="宋体" w:cs="宋体"/>
                <w:kern w:val="0"/>
                <w:szCs w:val="21"/>
                <w:highlight w:val="none"/>
                <w:lang w:val="zh-CN"/>
              </w:rPr>
            </w:pPr>
            <w:r>
              <w:rPr>
                <w:rFonts w:hint="eastAsia" w:ascii="宋体" w:hAnsi="宋体" w:cs="宋体"/>
                <w:kern w:val="0"/>
                <w:szCs w:val="21"/>
                <w:highlight w:val="none"/>
                <w:lang w:val="zh-CN"/>
              </w:rPr>
              <w:t>项目相关经验及履约能力</w:t>
            </w:r>
          </w:p>
        </w:tc>
        <w:tc>
          <w:tcPr>
            <w:tcW w:w="804" w:type="dxa"/>
            <w:noWrap/>
            <w:vAlign w:val="center"/>
          </w:tcPr>
          <w:p>
            <w:pPr>
              <w:jc w:val="center"/>
              <w:rPr>
                <w:rFonts w:ascii="宋体" w:hAnsi="宋体" w:cs="宋体"/>
                <w:szCs w:val="21"/>
                <w:highlight w:val="none"/>
              </w:rPr>
            </w:pPr>
            <w:r>
              <w:rPr>
                <w:rFonts w:hint="eastAsia" w:ascii="宋体" w:hAnsi="宋体" w:cs="宋体"/>
                <w:szCs w:val="21"/>
                <w:highlight w:val="none"/>
              </w:rPr>
              <w:t>8分</w:t>
            </w:r>
          </w:p>
        </w:tc>
        <w:tc>
          <w:tcPr>
            <w:tcW w:w="6012" w:type="dxa"/>
            <w:noWrap/>
            <w:vAlign w:val="center"/>
          </w:tcPr>
          <w:p>
            <w:pPr>
              <w:rPr>
                <w:highlight w:val="none"/>
              </w:rPr>
            </w:pPr>
            <w:r>
              <w:rPr>
                <w:rFonts w:hint="eastAsia"/>
                <w:highlight w:val="none"/>
              </w:rPr>
              <w:t>2019年4月以来为标段三行业制造业企业提供智能化改造和数字化转型相关技术或解决方案，并落地实施的，根据标段三产业要求每提供一项得1分。本项最高得8分。</w:t>
            </w:r>
          </w:p>
          <w:p>
            <w:pPr>
              <w:widowControl/>
              <w:jc w:val="left"/>
              <w:rPr>
                <w:highlight w:val="none"/>
              </w:rPr>
            </w:pPr>
            <w:r>
              <w:rPr>
                <w:rFonts w:hint="eastAsia"/>
                <w:highlight w:val="none"/>
              </w:rPr>
              <w:t>标段三产业要求：高端装备产业</w:t>
            </w:r>
            <w:r>
              <w:rPr>
                <w:rFonts w:hint="eastAsia" w:ascii="宋体" w:hAnsi="宋体"/>
                <w:szCs w:val="21"/>
                <w:highlight w:val="none"/>
              </w:rPr>
              <w:t>最高得5分，</w:t>
            </w:r>
            <w:r>
              <w:rPr>
                <w:rFonts w:hint="eastAsia"/>
                <w:highlight w:val="none"/>
              </w:rPr>
              <w:t>关键零部件产业最高得3分。</w:t>
            </w:r>
          </w:p>
          <w:p>
            <w:pPr>
              <w:rPr>
                <w:highlight w:val="none"/>
              </w:rPr>
            </w:pPr>
            <w:r>
              <w:rPr>
                <w:rFonts w:hint="eastAsia"/>
                <w:highlight w:val="none"/>
              </w:rPr>
              <w:t>需提供为标段三行业企业提供智能制造相关技术或解决方案的合同及实施结果（如验收证明材料、任意一张该合同支付发票等）证明材料；同时提供所服务企业属于标段三行业的相关证明，如被服务企业营业执照、被服务企业加盖公章的情况说明及其他能证明被服务企业属于标段三行业的材料。不提供被服务企业为标段三行业或提供的材料不明，无法认定所服务企业属于标段三行业的，视为未提供，不予赋分。</w:t>
            </w:r>
            <w:r>
              <w:rPr>
                <w:rFonts w:hint="eastAsia" w:ascii="宋体" w:hAnsi="宋体" w:cs="宋体"/>
                <w:szCs w:val="21"/>
                <w:highlight w:val="none"/>
              </w:rPr>
              <w:t>以上材料要求复印件并加盖投标单位公章。</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872" w:hRule="atLeast"/>
        </w:trPr>
        <w:tc>
          <w:tcPr>
            <w:tcW w:w="8963" w:type="dxa"/>
            <w:gridSpan w:val="4"/>
            <w:noWrap/>
            <w:vAlign w:val="center"/>
          </w:tcPr>
          <w:p>
            <w:pPr>
              <w:widowControl/>
              <w:jc w:val="left"/>
              <w:rPr>
                <w:highlight w:val="none"/>
              </w:rPr>
            </w:pPr>
            <w:r>
              <w:rPr>
                <w:rFonts w:hint="eastAsia"/>
                <w:highlight w:val="none"/>
              </w:rPr>
              <w:t xml:space="preserve">备注： </w:t>
            </w:r>
          </w:p>
          <w:p>
            <w:pPr>
              <w:widowControl/>
              <w:numPr>
                <w:ilvl w:val="0"/>
                <w:numId w:val="10"/>
              </w:numPr>
              <w:jc w:val="left"/>
              <w:rPr>
                <w:highlight w:val="none"/>
              </w:rPr>
            </w:pPr>
            <w:r>
              <w:rPr>
                <w:rFonts w:hint="eastAsia"/>
                <w:highlight w:val="none"/>
              </w:rPr>
              <w:t xml:space="preserve">针对评分标准中评分的每一条，投标供应商在响应文件中均应提供清晰明了的相关资料并做出相应说明供评委评判，不提供相关资料的视为不具备该项得分的条件。 </w:t>
            </w:r>
          </w:p>
          <w:p>
            <w:pPr>
              <w:widowControl/>
              <w:numPr>
                <w:ilvl w:val="0"/>
                <w:numId w:val="10"/>
              </w:numPr>
              <w:jc w:val="left"/>
              <w:rPr>
                <w:highlight w:val="none"/>
              </w:rPr>
            </w:pPr>
            <w:r>
              <w:rPr>
                <w:rFonts w:hint="eastAsia"/>
                <w:highlight w:val="none"/>
              </w:rPr>
              <w:t>联合体所有投标文件以联合体牵头人签字盖章为准。</w:t>
            </w:r>
          </w:p>
          <w:p>
            <w:pPr>
              <w:widowControl/>
              <w:numPr>
                <w:ilvl w:val="0"/>
                <w:numId w:val="10"/>
              </w:numPr>
              <w:jc w:val="left"/>
              <w:rPr>
                <w:highlight w:val="none"/>
              </w:rPr>
            </w:pPr>
            <w:r>
              <w:rPr>
                <w:rFonts w:hint="eastAsia"/>
                <w:b/>
                <w:bCs/>
                <w:highlight w:val="none"/>
              </w:rPr>
              <w:t>标段三商务技术分第二部分的所有内容作为标段三商务技术标第二册（一正六副），标段三</w:t>
            </w:r>
            <w:r>
              <w:rPr>
                <w:rFonts w:hint="eastAsia"/>
                <w:b/>
                <w:bCs/>
                <w:highlight w:val="none"/>
                <w:lang w:val="zh-CN"/>
              </w:rPr>
              <w:t>商务技术标</w:t>
            </w:r>
            <w:r>
              <w:rPr>
                <w:rFonts w:hint="eastAsia"/>
                <w:b/>
                <w:bCs/>
                <w:highlight w:val="none"/>
              </w:rPr>
              <w:t>第二册内容中涉及项目名称的格式都必须为：2022年南通市“智改数转”诊断服务项目标段三。</w:t>
            </w:r>
          </w:p>
        </w:tc>
      </w:tr>
    </w:tbl>
    <w:p>
      <w:pPr>
        <w:pStyle w:val="2"/>
        <w:ind w:firstLine="482"/>
        <w:jc w:val="center"/>
        <w:rPr>
          <w:rFonts w:ascii="宋体" w:hAnsi="宋体" w:cs="宋体"/>
          <w:b/>
          <w:bCs/>
          <w:sz w:val="24"/>
          <w:highlight w:val="none"/>
        </w:rPr>
      </w:pPr>
    </w:p>
    <w:p>
      <w:pPr>
        <w:widowControl/>
        <w:spacing w:line="240" w:lineRule="atLeast"/>
        <w:jc w:val="center"/>
        <w:rPr>
          <w:rFonts w:ascii="宋体" w:hAnsi="宋体" w:cs="宋体"/>
          <w:b/>
          <w:bCs/>
          <w:kern w:val="0"/>
          <w:sz w:val="24"/>
          <w:highlight w:val="none"/>
        </w:rPr>
      </w:pPr>
      <w:r>
        <w:rPr>
          <w:rFonts w:hint="eastAsia" w:ascii="宋体" w:hAnsi="宋体" w:cs="宋体"/>
          <w:b/>
          <w:bCs/>
          <w:kern w:val="0"/>
          <w:sz w:val="24"/>
          <w:highlight w:val="none"/>
        </w:rPr>
        <w:t>标段四商务技术分第二部分</w:t>
      </w:r>
    </w:p>
    <w:tbl>
      <w:tblPr>
        <w:tblStyle w:val="41"/>
        <w:tblW w:w="8963" w:type="dxa"/>
        <w:tblInd w:w="-23"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841"/>
        <w:gridCol w:w="1306"/>
        <w:gridCol w:w="804"/>
        <w:gridCol w:w="6012"/>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2" w:hRule="atLeast"/>
        </w:trPr>
        <w:tc>
          <w:tcPr>
            <w:tcW w:w="8963" w:type="dxa"/>
            <w:gridSpan w:val="4"/>
            <w:noWrap/>
            <w:vAlign w:val="center"/>
          </w:tcPr>
          <w:p>
            <w:pPr>
              <w:widowControl/>
              <w:spacing w:line="240" w:lineRule="atLeast"/>
              <w:jc w:val="center"/>
              <w:rPr>
                <w:highlight w:val="none"/>
              </w:rPr>
            </w:pPr>
            <w:r>
              <w:rPr>
                <w:rFonts w:hint="eastAsia" w:ascii="宋体" w:hAnsi="宋体" w:cs="宋体"/>
                <w:b/>
                <w:bCs/>
                <w:kern w:val="0"/>
                <w:sz w:val="24"/>
                <w:highlight w:val="none"/>
              </w:rPr>
              <w:t>商务技术分第二部分（所投标段相关）</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841" w:type="dxa"/>
            <w:noWrap/>
            <w:vAlign w:val="center"/>
          </w:tcPr>
          <w:p>
            <w:pPr>
              <w:widowControl/>
              <w:spacing w:line="240" w:lineRule="atLeast"/>
              <w:jc w:val="center"/>
              <w:rPr>
                <w:rFonts w:ascii="宋体" w:hAnsi="宋体" w:cs="宋体"/>
                <w:b/>
                <w:bCs/>
                <w:kern w:val="0"/>
                <w:sz w:val="24"/>
                <w:highlight w:val="none"/>
                <w:lang w:val="zh-CN"/>
              </w:rPr>
            </w:pPr>
            <w:r>
              <w:rPr>
                <w:rFonts w:hint="eastAsia" w:ascii="宋体" w:hAnsi="宋体" w:cs="宋体"/>
                <w:b/>
                <w:bCs/>
                <w:kern w:val="0"/>
                <w:sz w:val="24"/>
                <w:highlight w:val="none"/>
                <w:lang w:val="zh-CN"/>
              </w:rPr>
              <w:t>评审</w:t>
            </w:r>
          </w:p>
          <w:p>
            <w:pPr>
              <w:widowControl/>
              <w:spacing w:line="240" w:lineRule="atLeast"/>
              <w:jc w:val="center"/>
              <w:rPr>
                <w:highlight w:val="none"/>
              </w:rPr>
            </w:pPr>
            <w:r>
              <w:rPr>
                <w:rFonts w:hint="eastAsia" w:ascii="宋体" w:hAnsi="宋体" w:cs="宋体"/>
                <w:b/>
                <w:bCs/>
                <w:kern w:val="0"/>
                <w:sz w:val="24"/>
                <w:highlight w:val="none"/>
                <w:lang w:val="zh-CN"/>
              </w:rPr>
              <w:t>因素</w:t>
            </w:r>
          </w:p>
        </w:tc>
        <w:tc>
          <w:tcPr>
            <w:tcW w:w="1306" w:type="dxa"/>
            <w:noWrap/>
            <w:vAlign w:val="center"/>
          </w:tcPr>
          <w:p>
            <w:pPr>
              <w:widowControl/>
              <w:spacing w:line="240" w:lineRule="atLeast"/>
              <w:jc w:val="center"/>
              <w:rPr>
                <w:highlight w:val="none"/>
              </w:rPr>
            </w:pPr>
            <w:r>
              <w:rPr>
                <w:rFonts w:hint="eastAsia" w:ascii="宋体" w:hAnsi="宋体" w:cs="宋体"/>
                <w:b/>
                <w:bCs/>
                <w:kern w:val="0"/>
                <w:sz w:val="24"/>
                <w:highlight w:val="none"/>
              </w:rPr>
              <w:t>评审项目</w:t>
            </w:r>
          </w:p>
        </w:tc>
        <w:tc>
          <w:tcPr>
            <w:tcW w:w="804" w:type="dxa"/>
            <w:noWrap/>
            <w:vAlign w:val="center"/>
          </w:tcPr>
          <w:p>
            <w:pPr>
              <w:widowControl/>
              <w:spacing w:line="240" w:lineRule="atLeast"/>
              <w:jc w:val="center"/>
              <w:rPr>
                <w:highlight w:val="none"/>
              </w:rPr>
            </w:pPr>
            <w:r>
              <w:rPr>
                <w:rFonts w:hint="eastAsia" w:ascii="宋体" w:hAnsi="宋体" w:cs="宋体"/>
                <w:b/>
                <w:bCs/>
                <w:kern w:val="0"/>
                <w:sz w:val="24"/>
                <w:highlight w:val="none"/>
              </w:rPr>
              <w:t>分值</w:t>
            </w:r>
          </w:p>
        </w:tc>
        <w:tc>
          <w:tcPr>
            <w:tcW w:w="6012" w:type="dxa"/>
            <w:noWrap/>
            <w:vAlign w:val="center"/>
          </w:tcPr>
          <w:p>
            <w:pPr>
              <w:widowControl/>
              <w:spacing w:line="240" w:lineRule="atLeast"/>
              <w:jc w:val="center"/>
              <w:rPr>
                <w:highlight w:val="none"/>
              </w:rPr>
            </w:pPr>
            <w:r>
              <w:rPr>
                <w:rFonts w:hint="eastAsia" w:ascii="宋体" w:hAnsi="宋体" w:cs="宋体"/>
                <w:b/>
                <w:bCs/>
                <w:kern w:val="0"/>
                <w:sz w:val="24"/>
                <w:highlight w:val="none"/>
              </w:rPr>
              <w:t>评审标准</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2" w:hRule="atLeast"/>
        </w:trPr>
        <w:tc>
          <w:tcPr>
            <w:tcW w:w="841" w:type="dxa"/>
            <w:noWrap/>
            <w:vAlign w:val="center"/>
          </w:tcPr>
          <w:p>
            <w:pPr>
              <w:widowControl/>
              <w:spacing w:line="240" w:lineRule="atLeast"/>
              <w:jc w:val="center"/>
              <w:rPr>
                <w:rFonts w:ascii="宋体" w:hAnsi="宋体" w:cs="宋体"/>
                <w:b/>
                <w:bCs/>
                <w:kern w:val="0"/>
                <w:sz w:val="24"/>
                <w:highlight w:val="none"/>
                <w:lang w:val="zh-CN"/>
              </w:rPr>
            </w:pPr>
            <w:r>
              <w:rPr>
                <w:rFonts w:hint="eastAsia" w:ascii="宋体" w:hAnsi="宋体" w:cs="宋体"/>
                <w:kern w:val="0"/>
                <w:szCs w:val="21"/>
                <w:highlight w:val="none"/>
                <w:lang w:val="zh-CN"/>
              </w:rPr>
              <w:t>项目认识与理解（</w:t>
            </w:r>
            <w:r>
              <w:rPr>
                <w:rFonts w:hint="eastAsia" w:ascii="宋体" w:hAnsi="宋体" w:cs="宋体"/>
                <w:kern w:val="0"/>
                <w:szCs w:val="21"/>
                <w:highlight w:val="none"/>
              </w:rPr>
              <w:t>4分</w:t>
            </w:r>
            <w:r>
              <w:rPr>
                <w:rFonts w:hint="eastAsia" w:ascii="宋体" w:hAnsi="宋体" w:cs="宋体"/>
                <w:kern w:val="0"/>
                <w:szCs w:val="21"/>
                <w:highlight w:val="none"/>
                <w:lang w:val="zh-CN"/>
              </w:rPr>
              <w:t>）</w:t>
            </w:r>
          </w:p>
        </w:tc>
        <w:tc>
          <w:tcPr>
            <w:tcW w:w="1306" w:type="dxa"/>
            <w:noWrap/>
            <w:vAlign w:val="center"/>
          </w:tcPr>
          <w:p>
            <w:pPr>
              <w:widowControl/>
              <w:spacing w:line="240" w:lineRule="atLeast"/>
              <w:jc w:val="center"/>
              <w:rPr>
                <w:rFonts w:ascii="宋体" w:hAnsi="宋体" w:cs="宋体"/>
                <w:b/>
                <w:bCs/>
                <w:kern w:val="0"/>
                <w:sz w:val="24"/>
                <w:highlight w:val="none"/>
              </w:rPr>
            </w:pPr>
            <w:r>
              <w:rPr>
                <w:rFonts w:hint="eastAsia" w:ascii="宋体" w:hAnsi="宋体" w:cs="宋体"/>
                <w:szCs w:val="21"/>
                <w:highlight w:val="none"/>
                <w:lang w:val="zh-CN"/>
              </w:rPr>
              <w:t>对标段四</w:t>
            </w:r>
            <w:r>
              <w:rPr>
                <w:rFonts w:hint="eastAsia" w:ascii="宋体" w:hAnsi="宋体" w:cs="宋体"/>
                <w:szCs w:val="21"/>
                <w:highlight w:val="none"/>
              </w:rPr>
              <w:t>涉及</w:t>
            </w:r>
            <w:r>
              <w:rPr>
                <w:rFonts w:hint="eastAsia" w:ascii="宋体" w:hAnsi="宋体" w:cs="宋体"/>
                <w:szCs w:val="21"/>
                <w:highlight w:val="none"/>
                <w:lang w:val="zh-CN"/>
              </w:rPr>
              <w:t>行业改造转型的理解</w:t>
            </w:r>
          </w:p>
        </w:tc>
        <w:tc>
          <w:tcPr>
            <w:tcW w:w="804" w:type="dxa"/>
            <w:noWrap/>
            <w:vAlign w:val="center"/>
          </w:tcPr>
          <w:p>
            <w:pPr>
              <w:widowControl/>
              <w:spacing w:line="240" w:lineRule="atLeast"/>
              <w:jc w:val="center"/>
              <w:rPr>
                <w:rFonts w:ascii="宋体" w:hAnsi="宋体" w:cs="宋体"/>
                <w:b/>
                <w:bCs/>
                <w:kern w:val="0"/>
                <w:sz w:val="24"/>
                <w:highlight w:val="none"/>
              </w:rPr>
            </w:pPr>
            <w:r>
              <w:rPr>
                <w:rFonts w:hint="eastAsia"/>
                <w:highlight w:val="none"/>
              </w:rPr>
              <w:t>4分</w:t>
            </w:r>
          </w:p>
        </w:tc>
        <w:tc>
          <w:tcPr>
            <w:tcW w:w="6012" w:type="dxa"/>
            <w:noWrap/>
            <w:vAlign w:val="center"/>
          </w:tcPr>
          <w:p>
            <w:pPr>
              <w:rPr>
                <w:highlight w:val="none"/>
              </w:rPr>
            </w:pPr>
            <w:r>
              <w:rPr>
                <w:rFonts w:hint="eastAsia"/>
                <w:highlight w:val="none"/>
              </w:rPr>
              <w:t>（1）能够明确分析论证标段四的行业特点、分布特征，提出南通推进该行业智能化改造和数字化转型的方法论得当，对企业通过实施智能化改造实现转型升级的路径分析合理，得4分。</w:t>
            </w:r>
          </w:p>
          <w:p>
            <w:pPr>
              <w:rPr>
                <w:highlight w:val="none"/>
              </w:rPr>
            </w:pPr>
            <w:r>
              <w:rPr>
                <w:rFonts w:hint="eastAsia"/>
                <w:highlight w:val="none"/>
              </w:rPr>
              <w:t>（2）对标段四行业的特点、分布特征有一定的梳理，提出南通推进该行业智能化改造和数字化转型的思路，对企业通过实施智能化改造实现转型升级的路径分析一般，得2.5分。</w:t>
            </w:r>
          </w:p>
          <w:p>
            <w:pPr>
              <w:rPr>
                <w:highlight w:val="none"/>
              </w:rPr>
            </w:pPr>
            <w:r>
              <w:rPr>
                <w:rFonts w:hint="eastAsia"/>
                <w:highlight w:val="none"/>
              </w:rPr>
              <w:t>（3）对标段四行业的特点、分布特征描述模糊，对南通推进该行业智能化改造和数字化转型的思路和企业改造转型的路径分析不清，得1分。</w:t>
            </w:r>
          </w:p>
          <w:p>
            <w:pPr>
              <w:rPr>
                <w:highlight w:val="none"/>
              </w:rPr>
            </w:pPr>
            <w:r>
              <w:rPr>
                <w:rFonts w:hint="eastAsia" w:hAnsi="宋体" w:cs="宋体"/>
                <w:szCs w:val="21"/>
                <w:highlight w:val="none"/>
              </w:rPr>
              <w:t>所投标段中有2个以上行业的，涉及行业属性的，提供所投标段的主要行业相关材料，标段四主要行业：</w:t>
            </w:r>
            <w:r>
              <w:rPr>
                <w:rFonts w:hint="eastAsia"/>
                <w:highlight w:val="none"/>
              </w:rPr>
              <w:t>船舶海工产业。</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2" w:hRule="atLeast"/>
        </w:trPr>
        <w:tc>
          <w:tcPr>
            <w:tcW w:w="841" w:type="dxa"/>
            <w:vMerge w:val="restart"/>
            <w:noWrap/>
            <w:vAlign w:val="center"/>
          </w:tcPr>
          <w:p>
            <w:pPr>
              <w:widowControl/>
              <w:spacing w:line="240" w:lineRule="atLeast"/>
              <w:jc w:val="center"/>
              <w:rPr>
                <w:rFonts w:ascii="宋体" w:hAnsi="宋体" w:cs="宋体"/>
                <w:kern w:val="0"/>
                <w:szCs w:val="21"/>
                <w:highlight w:val="none"/>
                <w:lang w:val="zh-CN"/>
              </w:rPr>
            </w:pPr>
            <w:r>
              <w:rPr>
                <w:rFonts w:hint="eastAsia" w:ascii="宋体" w:hAnsi="宋体" w:cs="宋体"/>
                <w:kern w:val="0"/>
                <w:szCs w:val="21"/>
                <w:highlight w:val="none"/>
                <w:lang w:val="zh-CN"/>
              </w:rPr>
              <w:t>项目方案与实施（</w:t>
            </w:r>
            <w:r>
              <w:rPr>
                <w:rFonts w:hint="eastAsia" w:ascii="宋体" w:hAnsi="宋体" w:cs="宋体"/>
                <w:kern w:val="0"/>
                <w:szCs w:val="21"/>
                <w:highlight w:val="none"/>
              </w:rPr>
              <w:t>16</w:t>
            </w:r>
            <w:r>
              <w:rPr>
                <w:rFonts w:hint="eastAsia" w:ascii="宋体" w:hAnsi="宋体" w:cs="宋体"/>
                <w:kern w:val="0"/>
                <w:szCs w:val="21"/>
                <w:highlight w:val="none"/>
                <w:lang w:val="en-US" w:eastAsia="zh-CN"/>
              </w:rPr>
              <w:t>分</w:t>
            </w:r>
            <w:r>
              <w:rPr>
                <w:rFonts w:hint="eastAsia" w:ascii="宋体" w:hAnsi="宋体" w:cs="宋体"/>
                <w:kern w:val="0"/>
                <w:szCs w:val="21"/>
                <w:highlight w:val="none"/>
                <w:lang w:val="zh-CN"/>
              </w:rPr>
              <w:t>）</w:t>
            </w:r>
          </w:p>
        </w:tc>
        <w:tc>
          <w:tcPr>
            <w:tcW w:w="1306" w:type="dxa"/>
            <w:noWrap/>
            <w:vAlign w:val="center"/>
          </w:tcPr>
          <w:p>
            <w:pPr>
              <w:rPr>
                <w:rFonts w:ascii="宋体" w:hAnsi="宋体" w:cs="宋体"/>
                <w:szCs w:val="21"/>
                <w:highlight w:val="none"/>
                <w:lang w:val="zh-CN"/>
              </w:rPr>
            </w:pPr>
            <w:r>
              <w:rPr>
                <w:rFonts w:hint="eastAsia" w:ascii="宋体" w:hAnsi="宋体" w:cs="宋体"/>
                <w:szCs w:val="21"/>
                <w:highlight w:val="none"/>
                <w:lang w:val="zh-CN"/>
              </w:rPr>
              <w:t>标段四</w:t>
            </w:r>
            <w:r>
              <w:rPr>
                <w:rFonts w:hint="eastAsia" w:ascii="宋体" w:hAnsi="宋体" w:cs="宋体"/>
                <w:szCs w:val="21"/>
                <w:highlight w:val="none"/>
              </w:rPr>
              <w:t>行业</w:t>
            </w:r>
            <w:r>
              <w:rPr>
                <w:rFonts w:hint="eastAsia" w:ascii="宋体" w:hAnsi="宋体" w:cs="宋体"/>
                <w:szCs w:val="21"/>
                <w:highlight w:val="none"/>
                <w:lang w:val="zh-CN"/>
              </w:rPr>
              <w:t>诊断服务方案</w:t>
            </w:r>
          </w:p>
        </w:tc>
        <w:tc>
          <w:tcPr>
            <w:tcW w:w="804" w:type="dxa"/>
            <w:noWrap/>
            <w:vAlign w:val="center"/>
          </w:tcPr>
          <w:p>
            <w:pPr>
              <w:jc w:val="center"/>
              <w:rPr>
                <w:rFonts w:ascii="宋体" w:hAnsi="宋体" w:cs="宋体"/>
                <w:b/>
                <w:bCs/>
                <w:kern w:val="0"/>
                <w:sz w:val="24"/>
                <w:highlight w:val="none"/>
              </w:rPr>
            </w:pPr>
            <w:r>
              <w:rPr>
                <w:rFonts w:hint="eastAsia" w:ascii="宋体" w:hAnsi="宋体" w:cs="宋体"/>
                <w:szCs w:val="21"/>
                <w:highlight w:val="none"/>
              </w:rPr>
              <w:t>4分</w:t>
            </w:r>
          </w:p>
        </w:tc>
        <w:tc>
          <w:tcPr>
            <w:tcW w:w="6012" w:type="dxa"/>
            <w:noWrap/>
            <w:vAlign w:val="center"/>
          </w:tcPr>
          <w:p>
            <w:pPr>
              <w:rPr>
                <w:highlight w:val="none"/>
              </w:rPr>
            </w:pPr>
            <w:r>
              <w:rPr>
                <w:rFonts w:hint="eastAsia"/>
                <w:highlight w:val="none"/>
              </w:rPr>
              <w:t>（1）方案诊断评估方法先进，能够深入结合标段四行业特点，能从生产、管理、物流、仓储等重点环节对被诊断企业的智能化、数字化水平进行全面现状调研，描述清晰明确，与企业内部要素之间衔接和匹配度高，现场评估问诊过程可行，得4分。</w:t>
            </w:r>
          </w:p>
          <w:p>
            <w:pPr>
              <w:rPr>
                <w:highlight w:val="none"/>
              </w:rPr>
            </w:pPr>
            <w:r>
              <w:rPr>
                <w:rFonts w:hint="eastAsia"/>
                <w:highlight w:val="none"/>
              </w:rPr>
              <w:t>（2）方案诊断评估方法合理，参考了一定的标段四行业特点，从生产、管理、物流、仓储等重点环节对被诊断企业的智能化水平进行一般现状调研，描述较清晰，与企业内部要素之间衔接和匹配度较高，现场评估问诊过程基本可行，得2分。</w:t>
            </w:r>
          </w:p>
          <w:p>
            <w:pPr>
              <w:rPr>
                <w:highlight w:val="none"/>
              </w:rPr>
            </w:pPr>
            <w:r>
              <w:rPr>
                <w:rFonts w:hint="eastAsia"/>
                <w:highlight w:val="none"/>
              </w:rPr>
              <w:t>（3）方案诊断评估方法一般，未充分考虑标段四行业特点，从生产、管理、物流、仓储等重点环节对被诊断企业的智能化水平进行基本现状调研，描述不清晰，与企业内部要素之间衔接和匹配度低，现场评估问诊过程可行性不高，得1分。</w:t>
            </w:r>
          </w:p>
          <w:p>
            <w:pPr>
              <w:rPr>
                <w:highlight w:val="none"/>
              </w:rPr>
            </w:pPr>
            <w:r>
              <w:rPr>
                <w:rFonts w:hint="eastAsia" w:hAnsi="宋体" w:cs="宋体"/>
                <w:szCs w:val="21"/>
                <w:highlight w:val="none"/>
              </w:rPr>
              <w:t>所投标段中有2个以上行业的，涉及行业属性的，提供所投标段的主要行业相关材料，标段四主要行业：</w:t>
            </w:r>
            <w:r>
              <w:rPr>
                <w:rFonts w:hint="eastAsia"/>
                <w:highlight w:val="none"/>
              </w:rPr>
              <w:t>船舶海工产业。</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2" w:hRule="atLeast"/>
        </w:trPr>
        <w:tc>
          <w:tcPr>
            <w:tcW w:w="841" w:type="dxa"/>
            <w:vMerge w:val="continue"/>
            <w:noWrap/>
            <w:vAlign w:val="center"/>
          </w:tcPr>
          <w:p>
            <w:pPr>
              <w:widowControl/>
              <w:spacing w:line="240" w:lineRule="atLeast"/>
              <w:jc w:val="center"/>
              <w:rPr>
                <w:rFonts w:ascii="宋体" w:hAnsi="宋体" w:cs="宋体"/>
                <w:kern w:val="0"/>
                <w:szCs w:val="21"/>
                <w:highlight w:val="none"/>
                <w:lang w:val="zh-CN"/>
              </w:rPr>
            </w:pPr>
          </w:p>
        </w:tc>
        <w:tc>
          <w:tcPr>
            <w:tcW w:w="1306" w:type="dxa"/>
            <w:noWrap/>
            <w:vAlign w:val="center"/>
          </w:tcPr>
          <w:p>
            <w:pPr>
              <w:rPr>
                <w:rFonts w:ascii="宋体" w:hAnsi="宋体" w:cs="宋体"/>
                <w:szCs w:val="21"/>
                <w:highlight w:val="none"/>
                <w:lang w:val="zh-CN"/>
              </w:rPr>
            </w:pPr>
            <w:r>
              <w:rPr>
                <w:rFonts w:hint="eastAsia" w:ascii="宋体" w:hAnsi="宋体" w:cs="宋体"/>
                <w:szCs w:val="21"/>
                <w:highlight w:val="none"/>
                <w:lang w:val="zh-CN"/>
              </w:rPr>
              <w:t>标段四诊断项目组织</w:t>
            </w:r>
            <w:r>
              <w:rPr>
                <w:rFonts w:hint="eastAsia" w:ascii="宋体" w:hAnsi="宋体" w:cs="宋体"/>
                <w:szCs w:val="21"/>
                <w:highlight w:val="none"/>
              </w:rPr>
              <w:t>保障</w:t>
            </w:r>
          </w:p>
        </w:tc>
        <w:tc>
          <w:tcPr>
            <w:tcW w:w="804" w:type="dxa"/>
            <w:noWrap/>
            <w:vAlign w:val="center"/>
          </w:tcPr>
          <w:p>
            <w:pPr>
              <w:jc w:val="center"/>
              <w:rPr>
                <w:rFonts w:ascii="宋体" w:hAnsi="宋体" w:cs="宋体"/>
                <w:b/>
                <w:bCs/>
                <w:kern w:val="0"/>
                <w:sz w:val="24"/>
                <w:highlight w:val="none"/>
              </w:rPr>
            </w:pPr>
            <w:r>
              <w:rPr>
                <w:rFonts w:hint="eastAsia" w:ascii="宋体" w:hAnsi="宋体" w:cs="宋体"/>
                <w:szCs w:val="21"/>
                <w:highlight w:val="none"/>
              </w:rPr>
              <w:t>4分</w:t>
            </w:r>
          </w:p>
        </w:tc>
        <w:tc>
          <w:tcPr>
            <w:tcW w:w="6012" w:type="dxa"/>
            <w:noWrap/>
            <w:vAlign w:val="center"/>
          </w:tcPr>
          <w:p>
            <w:pPr>
              <w:rPr>
                <w:highlight w:val="none"/>
              </w:rPr>
            </w:pPr>
            <w:r>
              <w:rPr>
                <w:rFonts w:hint="eastAsia"/>
                <w:highlight w:val="none"/>
              </w:rPr>
              <w:t>（1）项目组织体系和架构配置合理，行业、技术等专家资源充分，团队职责清晰、分工明确（包含联合体各成员单位职责分工），组织严谨得当，能够保证项目方案顺利实施，得4分。</w:t>
            </w:r>
          </w:p>
          <w:p>
            <w:pPr>
              <w:rPr>
                <w:highlight w:val="none"/>
              </w:rPr>
            </w:pPr>
            <w:r>
              <w:rPr>
                <w:rFonts w:hint="eastAsia"/>
                <w:highlight w:val="none"/>
              </w:rPr>
              <w:t>（2）项目组织体系和架构配置较合理，行业、技术等资源较多，团队职责较清晰、分工较明确（包含联合体各成员单位职责分工），组织较合理，基本能够保证项目方案实施，得2分。</w:t>
            </w:r>
          </w:p>
          <w:p>
            <w:pPr>
              <w:rPr>
                <w:highlight w:val="none"/>
              </w:rPr>
            </w:pPr>
            <w:r>
              <w:rPr>
                <w:rFonts w:hint="eastAsia"/>
                <w:highlight w:val="none"/>
              </w:rPr>
              <w:t>（3）项目具备组织体系和架构配置，拥有一定的行业、技术等专家资源，团队职责和分工一般（包含联合体各成员单位职责分工），组织薄弱，项目方案实施有一定难度，得1分。</w:t>
            </w:r>
          </w:p>
          <w:p>
            <w:pPr>
              <w:pStyle w:val="49"/>
              <w:ind w:firstLine="0"/>
              <w:rPr>
                <w:rFonts w:hAnsi="宋体" w:cs="宋体"/>
                <w:szCs w:val="21"/>
                <w:highlight w:val="none"/>
              </w:rPr>
            </w:pPr>
            <w:r>
              <w:rPr>
                <w:rFonts w:hint="eastAsia" w:hAnsi="宋体" w:cs="宋体"/>
                <w:szCs w:val="21"/>
                <w:highlight w:val="none"/>
              </w:rPr>
              <w:t>所投标段中有2个以上行业的，涉及行业属性的，提供所投标段的主要行业相关材料，标段四主要行业：</w:t>
            </w:r>
            <w:r>
              <w:rPr>
                <w:rFonts w:hint="eastAsia"/>
                <w:highlight w:val="none"/>
              </w:rPr>
              <w:t>船舶海工产业。</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2" w:hRule="atLeast"/>
        </w:trPr>
        <w:tc>
          <w:tcPr>
            <w:tcW w:w="841" w:type="dxa"/>
            <w:vMerge w:val="continue"/>
            <w:noWrap/>
            <w:vAlign w:val="center"/>
          </w:tcPr>
          <w:p>
            <w:pPr>
              <w:widowControl/>
              <w:spacing w:line="240" w:lineRule="atLeast"/>
              <w:jc w:val="center"/>
              <w:rPr>
                <w:rFonts w:ascii="宋体" w:hAnsi="宋体" w:cs="宋体"/>
                <w:kern w:val="0"/>
                <w:szCs w:val="21"/>
                <w:highlight w:val="none"/>
                <w:lang w:val="zh-CN"/>
              </w:rPr>
            </w:pPr>
          </w:p>
        </w:tc>
        <w:tc>
          <w:tcPr>
            <w:tcW w:w="1306" w:type="dxa"/>
            <w:noWrap/>
            <w:vAlign w:val="center"/>
          </w:tcPr>
          <w:p>
            <w:pPr>
              <w:rPr>
                <w:rFonts w:ascii="宋体" w:hAnsi="宋体" w:cs="宋体"/>
                <w:szCs w:val="21"/>
                <w:highlight w:val="none"/>
                <w:lang w:val="zh-CN"/>
              </w:rPr>
            </w:pPr>
            <w:r>
              <w:rPr>
                <w:rFonts w:hint="eastAsia" w:ascii="宋体" w:hAnsi="宋体" w:cs="宋体"/>
                <w:szCs w:val="21"/>
                <w:highlight w:val="none"/>
                <w:lang w:val="zh-CN"/>
              </w:rPr>
              <w:t>诊断项目综合管理</w:t>
            </w:r>
          </w:p>
        </w:tc>
        <w:tc>
          <w:tcPr>
            <w:tcW w:w="804" w:type="dxa"/>
            <w:noWrap/>
            <w:vAlign w:val="center"/>
          </w:tcPr>
          <w:p>
            <w:pPr>
              <w:jc w:val="center"/>
              <w:rPr>
                <w:rFonts w:ascii="宋体" w:hAnsi="宋体" w:cs="宋体"/>
                <w:szCs w:val="21"/>
                <w:highlight w:val="none"/>
              </w:rPr>
            </w:pPr>
            <w:r>
              <w:rPr>
                <w:rFonts w:hint="eastAsia" w:ascii="宋体" w:hAnsi="宋体" w:cs="宋体"/>
                <w:szCs w:val="21"/>
                <w:highlight w:val="none"/>
              </w:rPr>
              <w:t>4分</w:t>
            </w:r>
          </w:p>
        </w:tc>
        <w:tc>
          <w:tcPr>
            <w:tcW w:w="6012" w:type="dxa"/>
            <w:noWrap/>
            <w:vAlign w:val="center"/>
          </w:tcPr>
          <w:p>
            <w:pPr>
              <w:rPr>
                <w:highlight w:val="none"/>
              </w:rPr>
            </w:pPr>
            <w:r>
              <w:rPr>
                <w:rFonts w:hint="eastAsia"/>
                <w:highlight w:val="none"/>
              </w:rPr>
              <w:t>（1）项目进度安排合理，各环节衔接顺畅，综合协调管理水平高，内容详实，能够有效完成标段四任务目标，得4分。</w:t>
            </w:r>
          </w:p>
          <w:p>
            <w:pPr>
              <w:rPr>
                <w:highlight w:val="none"/>
              </w:rPr>
            </w:pPr>
            <w:r>
              <w:rPr>
                <w:rFonts w:hint="eastAsia"/>
                <w:highlight w:val="none"/>
              </w:rPr>
              <w:t>（2）项目进度安排较合理，各环节衔接较顺畅，综合协调管理水平较高，内容较详实，基本能够完成标段四任务目标，得2分。</w:t>
            </w:r>
          </w:p>
          <w:p>
            <w:pPr>
              <w:rPr>
                <w:highlight w:val="none"/>
              </w:rPr>
            </w:pPr>
            <w:r>
              <w:rPr>
                <w:rFonts w:hint="eastAsia"/>
                <w:highlight w:val="none"/>
              </w:rPr>
              <w:t>（3）项目进度安排一般，各环节衔接程度一般，综合协调管理水平一般，具备一定内容，完成标段四任务目标有一定难度，得1分。</w:t>
            </w:r>
          </w:p>
          <w:p>
            <w:pPr>
              <w:rPr>
                <w:highlight w:val="none"/>
              </w:rPr>
            </w:pPr>
            <w:r>
              <w:rPr>
                <w:rFonts w:hint="eastAsia" w:hAnsi="宋体" w:cs="宋体"/>
                <w:szCs w:val="21"/>
                <w:highlight w:val="none"/>
              </w:rPr>
              <w:t>所投标段中有2个以上行业的，涉及行业属性的，提供所投标段的主要行业相关材料，标段四主要行业：</w:t>
            </w:r>
            <w:r>
              <w:rPr>
                <w:rFonts w:hint="eastAsia"/>
                <w:highlight w:val="none"/>
              </w:rPr>
              <w:t>船舶海工产业。</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2" w:hRule="atLeast"/>
        </w:trPr>
        <w:tc>
          <w:tcPr>
            <w:tcW w:w="841" w:type="dxa"/>
            <w:vMerge w:val="continue"/>
            <w:noWrap/>
            <w:vAlign w:val="center"/>
          </w:tcPr>
          <w:p>
            <w:pPr>
              <w:widowControl/>
              <w:spacing w:line="240" w:lineRule="atLeast"/>
              <w:jc w:val="center"/>
              <w:rPr>
                <w:rFonts w:ascii="宋体" w:hAnsi="宋体" w:cs="宋体"/>
                <w:kern w:val="0"/>
                <w:szCs w:val="21"/>
                <w:highlight w:val="none"/>
                <w:lang w:val="zh-CN"/>
              </w:rPr>
            </w:pPr>
          </w:p>
        </w:tc>
        <w:tc>
          <w:tcPr>
            <w:tcW w:w="1306" w:type="dxa"/>
            <w:noWrap/>
            <w:vAlign w:val="center"/>
          </w:tcPr>
          <w:p>
            <w:pPr>
              <w:rPr>
                <w:rFonts w:ascii="宋体" w:hAnsi="宋体" w:cs="宋体"/>
                <w:szCs w:val="21"/>
                <w:highlight w:val="none"/>
                <w:lang w:val="zh-CN"/>
              </w:rPr>
            </w:pPr>
            <w:r>
              <w:rPr>
                <w:rFonts w:hint="eastAsia" w:ascii="宋体" w:hAnsi="宋体" w:cs="宋体"/>
                <w:szCs w:val="21"/>
                <w:highlight w:val="none"/>
                <w:lang w:val="zh-CN"/>
              </w:rPr>
              <w:t>诊断项目诊断报告编制思路</w:t>
            </w:r>
          </w:p>
        </w:tc>
        <w:tc>
          <w:tcPr>
            <w:tcW w:w="804" w:type="dxa"/>
            <w:noWrap/>
            <w:vAlign w:val="center"/>
          </w:tcPr>
          <w:p>
            <w:pPr>
              <w:jc w:val="center"/>
              <w:rPr>
                <w:rFonts w:ascii="宋体" w:hAnsi="宋体" w:cs="宋体"/>
                <w:szCs w:val="21"/>
                <w:highlight w:val="none"/>
              </w:rPr>
            </w:pPr>
            <w:r>
              <w:rPr>
                <w:rFonts w:hint="eastAsia" w:ascii="宋体" w:hAnsi="宋体" w:cs="宋体"/>
                <w:szCs w:val="21"/>
                <w:highlight w:val="none"/>
              </w:rPr>
              <w:t>4分</w:t>
            </w:r>
          </w:p>
        </w:tc>
        <w:tc>
          <w:tcPr>
            <w:tcW w:w="6012" w:type="dxa"/>
            <w:noWrap/>
            <w:vAlign w:val="center"/>
          </w:tcPr>
          <w:p>
            <w:pPr>
              <w:rPr>
                <w:rFonts w:ascii="宋体" w:hAnsi="宋体" w:cs="宋体"/>
                <w:szCs w:val="21"/>
                <w:highlight w:val="none"/>
              </w:rPr>
            </w:pPr>
            <w:r>
              <w:rPr>
                <w:rFonts w:hint="eastAsia" w:ascii="宋体" w:hAnsi="宋体" w:cs="宋体"/>
                <w:szCs w:val="21"/>
                <w:highlight w:val="none"/>
              </w:rPr>
              <w:t>（1）对报告的整体构架有清晰的描述，撰写思路清晰完整、重点任务明确、分析方法得当，能提供具有行业代表性、针对性的解决方案，实施路径切实可行，得4分。</w:t>
            </w:r>
          </w:p>
          <w:p>
            <w:pPr>
              <w:rPr>
                <w:rFonts w:ascii="宋体" w:hAnsi="宋体" w:cs="宋体"/>
                <w:szCs w:val="21"/>
                <w:highlight w:val="none"/>
              </w:rPr>
            </w:pPr>
            <w:r>
              <w:rPr>
                <w:rFonts w:hint="eastAsia" w:ascii="宋体" w:hAnsi="宋体" w:cs="宋体"/>
                <w:szCs w:val="21"/>
                <w:highlight w:val="none"/>
              </w:rPr>
              <w:t>（2）对报告的整体构架有较清晰的描述，撰写思路较完整、重点任务较明确、分析方法适当，能提供行业解决方案，实施路径切具有一定可行性，得2分。</w:t>
            </w:r>
          </w:p>
          <w:p>
            <w:pPr>
              <w:rPr>
                <w:rFonts w:ascii="宋体" w:hAnsi="宋体" w:cs="宋体"/>
                <w:szCs w:val="21"/>
                <w:highlight w:val="none"/>
              </w:rPr>
            </w:pPr>
            <w:r>
              <w:rPr>
                <w:rFonts w:hint="eastAsia" w:ascii="宋体" w:hAnsi="宋体" w:cs="宋体"/>
                <w:szCs w:val="21"/>
                <w:highlight w:val="none"/>
              </w:rPr>
              <w:t>（3）对报告的整体构架的描述不够清晰，撰写思路模糊、重点任务不明确、分析方法适当性不强，提供解决方案缺乏代表和依据，实施路径有难度，得1分。</w:t>
            </w:r>
          </w:p>
          <w:p>
            <w:pPr>
              <w:rPr>
                <w:rFonts w:hAnsi="宋体" w:cs="宋体"/>
                <w:szCs w:val="21"/>
                <w:highlight w:val="none"/>
              </w:rPr>
            </w:pPr>
            <w:r>
              <w:rPr>
                <w:rFonts w:hint="eastAsia" w:hAnsi="宋体" w:cs="宋体"/>
                <w:szCs w:val="21"/>
                <w:highlight w:val="none"/>
              </w:rPr>
              <w:t>所投标段中有2个以上行业的，涉及行业属性的，提供所投标段的主要行业相关材料，标段四主要行业：</w:t>
            </w:r>
            <w:r>
              <w:rPr>
                <w:rFonts w:hint="eastAsia"/>
                <w:highlight w:val="none"/>
              </w:rPr>
              <w:t>船舶海工产业。</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2" w:hRule="atLeast"/>
        </w:trPr>
        <w:tc>
          <w:tcPr>
            <w:tcW w:w="841" w:type="dxa"/>
            <w:noWrap/>
            <w:vAlign w:val="center"/>
          </w:tcPr>
          <w:p>
            <w:pPr>
              <w:widowControl/>
              <w:spacing w:line="240" w:lineRule="atLeast"/>
              <w:jc w:val="center"/>
              <w:rPr>
                <w:rFonts w:ascii="宋体" w:hAnsi="宋体" w:cs="宋体"/>
                <w:kern w:val="0"/>
                <w:szCs w:val="21"/>
                <w:highlight w:val="none"/>
                <w:lang w:val="zh-CN"/>
              </w:rPr>
            </w:pPr>
            <w:r>
              <w:rPr>
                <w:rFonts w:hint="eastAsia" w:ascii="宋体" w:hAnsi="宋体" w:cs="宋体"/>
                <w:kern w:val="0"/>
                <w:szCs w:val="21"/>
                <w:highlight w:val="none"/>
                <w:lang w:val="zh-CN"/>
              </w:rPr>
              <w:t>项目人员团队能力（</w:t>
            </w:r>
            <w:r>
              <w:rPr>
                <w:rFonts w:hint="eastAsia" w:ascii="宋体" w:hAnsi="宋体" w:cs="宋体"/>
                <w:kern w:val="0"/>
                <w:szCs w:val="21"/>
                <w:highlight w:val="none"/>
              </w:rPr>
              <w:t>15分</w:t>
            </w:r>
            <w:r>
              <w:rPr>
                <w:rFonts w:hint="eastAsia" w:ascii="宋体" w:hAnsi="宋体" w:cs="宋体"/>
                <w:kern w:val="0"/>
                <w:szCs w:val="21"/>
                <w:highlight w:val="none"/>
                <w:lang w:val="zh-CN"/>
              </w:rPr>
              <w:t>）</w:t>
            </w:r>
          </w:p>
        </w:tc>
        <w:tc>
          <w:tcPr>
            <w:tcW w:w="1306" w:type="dxa"/>
            <w:noWrap/>
            <w:vAlign w:val="center"/>
          </w:tcPr>
          <w:p>
            <w:pPr>
              <w:widowControl/>
              <w:spacing w:line="240" w:lineRule="atLeast"/>
              <w:jc w:val="center"/>
              <w:rPr>
                <w:rFonts w:ascii="宋体" w:hAnsi="宋体" w:cs="宋体"/>
                <w:szCs w:val="21"/>
                <w:highlight w:val="none"/>
                <w:lang w:val="zh-CN"/>
              </w:rPr>
            </w:pPr>
            <w:r>
              <w:rPr>
                <w:rFonts w:hint="eastAsia" w:ascii="宋体" w:hAnsi="宋体" w:cs="宋体"/>
                <w:kern w:val="0"/>
                <w:szCs w:val="21"/>
                <w:highlight w:val="none"/>
                <w:lang w:val="zh-CN"/>
              </w:rPr>
              <w:t>项目人员团队能力</w:t>
            </w:r>
          </w:p>
        </w:tc>
        <w:tc>
          <w:tcPr>
            <w:tcW w:w="804" w:type="dxa"/>
            <w:noWrap/>
            <w:vAlign w:val="center"/>
          </w:tcPr>
          <w:p>
            <w:pPr>
              <w:jc w:val="center"/>
              <w:rPr>
                <w:rFonts w:ascii="宋体" w:hAnsi="宋体" w:cs="宋体"/>
                <w:szCs w:val="21"/>
                <w:highlight w:val="none"/>
              </w:rPr>
            </w:pPr>
            <w:r>
              <w:rPr>
                <w:rFonts w:hint="eastAsia" w:ascii="宋体" w:hAnsi="宋体" w:cs="宋体"/>
                <w:szCs w:val="21"/>
                <w:highlight w:val="none"/>
              </w:rPr>
              <w:t>15分</w:t>
            </w:r>
          </w:p>
        </w:tc>
        <w:tc>
          <w:tcPr>
            <w:tcW w:w="6012" w:type="dxa"/>
            <w:noWrap/>
            <w:vAlign w:val="center"/>
          </w:tcPr>
          <w:p>
            <w:pPr>
              <w:rPr>
                <w:rFonts w:ascii="宋体" w:hAnsi="宋体" w:cs="宋体"/>
                <w:szCs w:val="21"/>
                <w:highlight w:val="none"/>
              </w:rPr>
            </w:pPr>
            <w:r>
              <w:rPr>
                <w:rFonts w:hint="eastAsia"/>
                <w:highlight w:val="none"/>
              </w:rPr>
              <w:t>（1）</w:t>
            </w:r>
            <w:r>
              <w:rPr>
                <w:rFonts w:hint="eastAsia" w:ascii="宋体" w:hAnsi="宋体" w:cs="宋体"/>
                <w:szCs w:val="21"/>
                <w:highlight w:val="none"/>
              </w:rPr>
              <w:t>拟任</w:t>
            </w:r>
            <w:r>
              <w:rPr>
                <w:rFonts w:hint="eastAsia"/>
                <w:highlight w:val="none"/>
              </w:rPr>
              <w:t>项目负责人具有智能制造（两化融合）相关技术或标段四行业高级职称，得3分；为工信部、省工信厅智能制造（两化融合）领域或标段四行业专家库成员，得3分。本项最高得6分。</w:t>
            </w:r>
          </w:p>
          <w:p>
            <w:pPr>
              <w:pStyle w:val="19"/>
              <w:rPr>
                <w:rFonts w:ascii="宋体" w:hAnsi="宋体" w:eastAsia="宋体" w:cs="宋体"/>
                <w:kern w:val="2"/>
                <w:sz w:val="21"/>
                <w:szCs w:val="21"/>
                <w:highlight w:val="none"/>
              </w:rPr>
            </w:pPr>
            <w:r>
              <w:rPr>
                <w:rFonts w:hint="eastAsia" w:ascii="宋体" w:hAnsi="宋体" w:eastAsia="宋体" w:cs="宋体"/>
                <w:kern w:val="2"/>
                <w:sz w:val="21"/>
                <w:szCs w:val="21"/>
                <w:highlight w:val="none"/>
              </w:rPr>
              <w:t>（2）</w:t>
            </w:r>
            <w:r>
              <w:rPr>
                <w:rFonts w:hint="eastAsia" w:ascii="Times New Roman" w:eastAsia="宋体"/>
                <w:kern w:val="2"/>
                <w:sz w:val="21"/>
                <w:szCs w:val="24"/>
                <w:highlight w:val="none"/>
              </w:rPr>
              <w:t>拟投入团队成员具</w:t>
            </w:r>
            <w:r>
              <w:rPr>
                <w:rFonts w:hint="eastAsia" w:ascii="宋体" w:hAnsi="宋体" w:eastAsia="宋体" w:cs="宋体"/>
                <w:kern w:val="2"/>
                <w:sz w:val="21"/>
                <w:szCs w:val="21"/>
                <w:highlight w:val="none"/>
              </w:rPr>
              <w:t>有智能制造相关技术或标段四行业中级及以上专业职称、智能制造能力成熟度模型评估师证书、注册自动化系统工程师证书、软件评测师证书、项目管理师证书、CISP（注册信息安全专业人员）证书，全国两化融合管理体系技能合格证书或两化融合管理体系贯标咨询证书或同类人才证书的技术人员，每提供一份得0.5分（同一人员证书不重复计算分数），本项最高得4分。</w:t>
            </w:r>
          </w:p>
          <w:p>
            <w:pPr>
              <w:pStyle w:val="19"/>
              <w:rPr>
                <w:rFonts w:ascii="宋体" w:hAnsi="宋体" w:eastAsia="宋体" w:cs="宋体"/>
                <w:kern w:val="2"/>
                <w:sz w:val="21"/>
                <w:szCs w:val="21"/>
                <w:highlight w:val="none"/>
              </w:rPr>
            </w:pPr>
            <w:r>
              <w:rPr>
                <w:rFonts w:hint="eastAsia" w:ascii="宋体" w:hAnsi="宋体" w:eastAsia="宋体" w:cs="宋体"/>
                <w:kern w:val="2"/>
                <w:sz w:val="21"/>
                <w:szCs w:val="21"/>
                <w:highlight w:val="none"/>
              </w:rPr>
              <w:t>（3）</w:t>
            </w:r>
            <w:r>
              <w:rPr>
                <w:rFonts w:hint="eastAsia" w:ascii="Times New Roman" w:eastAsia="宋体"/>
                <w:kern w:val="2"/>
                <w:sz w:val="21"/>
                <w:szCs w:val="24"/>
                <w:highlight w:val="none"/>
              </w:rPr>
              <w:t>拟投入团队成员</w:t>
            </w:r>
            <w:r>
              <w:rPr>
                <w:rFonts w:hint="eastAsia" w:ascii="宋体" w:hAnsi="宋体" w:eastAsia="宋体" w:cs="宋体"/>
                <w:kern w:val="2"/>
                <w:sz w:val="21"/>
                <w:szCs w:val="21"/>
                <w:highlight w:val="none"/>
              </w:rPr>
              <w:t>具有智能制造相关领域或标段四行业专业背景，博士学历，每人得1分，硕士学历，每人得0.5分，最高5分。（同一人员学历不重复计算分数）</w:t>
            </w:r>
          </w:p>
          <w:p>
            <w:pPr>
              <w:rPr>
                <w:rFonts w:hAnsi="宋体" w:cs="宋体"/>
                <w:szCs w:val="21"/>
                <w:highlight w:val="none"/>
              </w:rPr>
            </w:pPr>
            <w:r>
              <w:rPr>
                <w:rFonts w:hint="eastAsia" w:ascii="宋体" w:hAnsi="宋体" w:cs="宋体"/>
                <w:szCs w:val="21"/>
                <w:highlight w:val="none"/>
              </w:rPr>
              <w:t>以上材料需提供职称证书（聘书或相关证明）、与投标供应商签订的劳动合同和近三个月社保缴费记录等材料加盖公章，因所提供证明材料不全或内容不明，不得分。智能制造（两化融合）相关技术领域包括：机械、装备、计算机、企业管理、软件、控制、云计算、大数据、人工智能等。</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268" w:hRule="atLeast"/>
        </w:trPr>
        <w:tc>
          <w:tcPr>
            <w:tcW w:w="841" w:type="dxa"/>
            <w:noWrap/>
            <w:vAlign w:val="center"/>
          </w:tcPr>
          <w:p>
            <w:pPr>
              <w:widowControl/>
              <w:spacing w:line="240" w:lineRule="atLeast"/>
              <w:jc w:val="center"/>
              <w:rPr>
                <w:rFonts w:ascii="宋体" w:hAnsi="宋体" w:cs="宋体"/>
                <w:kern w:val="0"/>
                <w:szCs w:val="21"/>
                <w:highlight w:val="none"/>
                <w:lang w:val="zh-CN"/>
              </w:rPr>
            </w:pPr>
            <w:r>
              <w:rPr>
                <w:rFonts w:hint="eastAsia" w:ascii="宋体" w:hAnsi="宋体" w:cs="宋体"/>
                <w:kern w:val="0"/>
                <w:szCs w:val="21"/>
                <w:highlight w:val="none"/>
                <w:lang w:val="zh-CN"/>
              </w:rPr>
              <w:t>项目相关经验及履约能力（</w:t>
            </w:r>
            <w:r>
              <w:rPr>
                <w:rFonts w:hint="eastAsia" w:ascii="宋体" w:hAnsi="宋体" w:cs="宋体"/>
                <w:kern w:val="0"/>
                <w:szCs w:val="21"/>
                <w:highlight w:val="none"/>
                <w:lang w:val="en-US" w:eastAsia="zh-CN"/>
              </w:rPr>
              <w:t>8</w:t>
            </w:r>
            <w:r>
              <w:rPr>
                <w:rFonts w:hint="eastAsia" w:ascii="宋体" w:hAnsi="宋体" w:cs="宋体"/>
                <w:kern w:val="0"/>
                <w:szCs w:val="21"/>
                <w:highlight w:val="none"/>
              </w:rPr>
              <w:t>分</w:t>
            </w:r>
            <w:r>
              <w:rPr>
                <w:rFonts w:hint="eastAsia" w:ascii="宋体" w:hAnsi="宋体" w:cs="宋体"/>
                <w:kern w:val="0"/>
                <w:szCs w:val="21"/>
                <w:highlight w:val="none"/>
                <w:lang w:val="zh-CN"/>
              </w:rPr>
              <w:t>）</w:t>
            </w:r>
          </w:p>
        </w:tc>
        <w:tc>
          <w:tcPr>
            <w:tcW w:w="1306" w:type="dxa"/>
            <w:noWrap/>
            <w:vAlign w:val="center"/>
          </w:tcPr>
          <w:p>
            <w:pPr>
              <w:widowControl/>
              <w:spacing w:line="240" w:lineRule="atLeast"/>
              <w:jc w:val="center"/>
              <w:rPr>
                <w:rFonts w:ascii="宋体" w:hAnsi="宋体" w:cs="宋体"/>
                <w:kern w:val="0"/>
                <w:szCs w:val="21"/>
                <w:highlight w:val="none"/>
                <w:lang w:val="zh-CN"/>
              </w:rPr>
            </w:pPr>
            <w:r>
              <w:rPr>
                <w:rFonts w:hint="eastAsia" w:ascii="宋体" w:hAnsi="宋体" w:cs="宋体"/>
                <w:kern w:val="0"/>
                <w:szCs w:val="21"/>
                <w:highlight w:val="none"/>
                <w:lang w:val="zh-CN"/>
              </w:rPr>
              <w:t>项目相关经验及履约能力</w:t>
            </w:r>
          </w:p>
        </w:tc>
        <w:tc>
          <w:tcPr>
            <w:tcW w:w="804" w:type="dxa"/>
            <w:noWrap/>
            <w:vAlign w:val="center"/>
          </w:tcPr>
          <w:p>
            <w:pPr>
              <w:jc w:val="center"/>
              <w:rPr>
                <w:rFonts w:ascii="宋体" w:hAnsi="宋体" w:cs="宋体"/>
                <w:szCs w:val="21"/>
                <w:highlight w:val="none"/>
              </w:rPr>
            </w:pPr>
            <w:r>
              <w:rPr>
                <w:rFonts w:hint="eastAsia" w:ascii="宋体" w:hAnsi="宋体" w:cs="宋体"/>
                <w:szCs w:val="21"/>
                <w:highlight w:val="none"/>
              </w:rPr>
              <w:t>8分</w:t>
            </w:r>
          </w:p>
        </w:tc>
        <w:tc>
          <w:tcPr>
            <w:tcW w:w="6012" w:type="dxa"/>
            <w:noWrap/>
            <w:vAlign w:val="center"/>
          </w:tcPr>
          <w:p>
            <w:pPr>
              <w:rPr>
                <w:highlight w:val="none"/>
              </w:rPr>
            </w:pPr>
            <w:r>
              <w:rPr>
                <w:rFonts w:hint="eastAsia"/>
                <w:highlight w:val="none"/>
              </w:rPr>
              <w:t>2019年4月以来为标段四行业制造业企业提供智能化改造和数字化转型相关技术或解决方案，并落地实施的，根据标段四产业要求每提供一项得1分。本项最高得8分。</w:t>
            </w:r>
          </w:p>
          <w:p>
            <w:pPr>
              <w:widowControl/>
              <w:jc w:val="left"/>
              <w:rPr>
                <w:highlight w:val="none"/>
              </w:rPr>
            </w:pPr>
            <w:r>
              <w:rPr>
                <w:rFonts w:hint="eastAsia"/>
                <w:highlight w:val="none"/>
              </w:rPr>
              <w:t>标段四产业要求：船舶海工产业最高得4分，</w:t>
            </w:r>
            <w:r>
              <w:rPr>
                <w:rFonts w:hint="eastAsia" w:ascii="宋体" w:hAnsi="宋体"/>
                <w:kern w:val="0"/>
                <w:szCs w:val="21"/>
                <w:highlight w:val="none"/>
              </w:rPr>
              <w:t>通用设备产业</w:t>
            </w:r>
            <w:r>
              <w:rPr>
                <w:rFonts w:hint="eastAsia"/>
                <w:highlight w:val="none"/>
              </w:rPr>
              <w:t>最高得4分。</w:t>
            </w:r>
          </w:p>
          <w:p>
            <w:pPr>
              <w:rPr>
                <w:highlight w:val="none"/>
              </w:rPr>
            </w:pPr>
            <w:r>
              <w:rPr>
                <w:rFonts w:hint="eastAsia"/>
                <w:highlight w:val="none"/>
              </w:rPr>
              <w:t>需提供为标段四行业企业提供智能制造相关技术或解决方案的合同及实施结果（如验收证明材料、任意一张该合同支付发票等）证明材料；同时提供所服务企业属于标段四行业的相关证明，如被服务企业营业执照、被服务企业加盖公章的情况说明及其他能证明被服务企业属于标段四行业的材料。不提供被服务企业为标段四行业或提供的材料不明，无法认定所服务企业属于标段四行业的，视为未提供，不予赋分。</w:t>
            </w:r>
            <w:r>
              <w:rPr>
                <w:rFonts w:hint="eastAsia" w:ascii="宋体" w:hAnsi="宋体" w:cs="宋体"/>
                <w:szCs w:val="21"/>
                <w:highlight w:val="none"/>
              </w:rPr>
              <w:t>以上材料要求复印件并加盖投标单位公章。</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872" w:hRule="atLeast"/>
        </w:trPr>
        <w:tc>
          <w:tcPr>
            <w:tcW w:w="8963" w:type="dxa"/>
            <w:gridSpan w:val="4"/>
            <w:noWrap/>
            <w:vAlign w:val="center"/>
          </w:tcPr>
          <w:p>
            <w:pPr>
              <w:widowControl/>
              <w:jc w:val="left"/>
              <w:rPr>
                <w:highlight w:val="none"/>
              </w:rPr>
            </w:pPr>
            <w:r>
              <w:rPr>
                <w:rFonts w:hint="eastAsia"/>
                <w:highlight w:val="none"/>
              </w:rPr>
              <w:t xml:space="preserve">备注： </w:t>
            </w:r>
          </w:p>
          <w:p>
            <w:pPr>
              <w:widowControl/>
              <w:numPr>
                <w:ilvl w:val="0"/>
                <w:numId w:val="11"/>
              </w:numPr>
              <w:jc w:val="left"/>
              <w:rPr>
                <w:highlight w:val="none"/>
              </w:rPr>
            </w:pPr>
            <w:r>
              <w:rPr>
                <w:rFonts w:hint="eastAsia"/>
                <w:highlight w:val="none"/>
              </w:rPr>
              <w:t xml:space="preserve">针对评分标准中评分的每一条，投标供应商在响应文件中均应提供清晰明了的相关资料并做出相应说明供评委评判，不提供相关资料的视为不具备该项得分的条件。 </w:t>
            </w:r>
          </w:p>
          <w:p>
            <w:pPr>
              <w:widowControl/>
              <w:numPr>
                <w:ilvl w:val="0"/>
                <w:numId w:val="11"/>
              </w:numPr>
              <w:jc w:val="left"/>
              <w:rPr>
                <w:highlight w:val="none"/>
              </w:rPr>
            </w:pPr>
            <w:r>
              <w:rPr>
                <w:rFonts w:hint="eastAsia"/>
                <w:highlight w:val="none"/>
              </w:rPr>
              <w:t>联合体所有投标文件以联合体牵头人签字盖章为准。</w:t>
            </w:r>
          </w:p>
          <w:p>
            <w:pPr>
              <w:widowControl/>
              <w:numPr>
                <w:ilvl w:val="0"/>
                <w:numId w:val="11"/>
              </w:numPr>
              <w:jc w:val="left"/>
              <w:rPr>
                <w:highlight w:val="none"/>
              </w:rPr>
            </w:pPr>
            <w:r>
              <w:rPr>
                <w:rFonts w:hint="eastAsia"/>
                <w:b/>
                <w:bCs/>
                <w:highlight w:val="none"/>
              </w:rPr>
              <w:t>标段四商务技术分第二部分的所有内容作为标段四商务技术标第二册（一正六副），标段四</w:t>
            </w:r>
            <w:r>
              <w:rPr>
                <w:rFonts w:hint="eastAsia"/>
                <w:b/>
                <w:bCs/>
                <w:highlight w:val="none"/>
                <w:lang w:val="zh-CN"/>
              </w:rPr>
              <w:t>商务技术标</w:t>
            </w:r>
            <w:r>
              <w:rPr>
                <w:rFonts w:hint="eastAsia"/>
                <w:b/>
                <w:bCs/>
                <w:highlight w:val="none"/>
              </w:rPr>
              <w:t>第二册内容中涉及项目名称的格式都必须为：2022年南通市“智改数转”诊断服务项目标段四。</w:t>
            </w:r>
          </w:p>
        </w:tc>
      </w:tr>
    </w:tbl>
    <w:p>
      <w:pPr>
        <w:pStyle w:val="2"/>
        <w:ind w:firstLine="482"/>
        <w:jc w:val="center"/>
        <w:rPr>
          <w:rFonts w:ascii="宋体" w:hAnsi="宋体" w:cs="宋体"/>
          <w:b/>
          <w:bCs/>
          <w:sz w:val="24"/>
          <w:highlight w:val="none"/>
        </w:rPr>
      </w:pPr>
    </w:p>
    <w:p>
      <w:pPr>
        <w:widowControl/>
        <w:spacing w:line="240" w:lineRule="atLeast"/>
        <w:jc w:val="center"/>
        <w:rPr>
          <w:rFonts w:ascii="宋体" w:hAnsi="宋体" w:cs="宋体"/>
          <w:b/>
          <w:bCs/>
          <w:kern w:val="0"/>
          <w:sz w:val="24"/>
          <w:highlight w:val="none"/>
        </w:rPr>
      </w:pPr>
      <w:r>
        <w:rPr>
          <w:rFonts w:hint="eastAsia" w:ascii="宋体" w:hAnsi="宋体" w:cs="宋体"/>
          <w:b/>
          <w:bCs/>
          <w:kern w:val="0"/>
          <w:sz w:val="24"/>
          <w:highlight w:val="none"/>
        </w:rPr>
        <w:t>标段五商务技术分第二部分</w:t>
      </w:r>
    </w:p>
    <w:tbl>
      <w:tblPr>
        <w:tblStyle w:val="41"/>
        <w:tblW w:w="8963" w:type="dxa"/>
        <w:tblInd w:w="-23"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841"/>
        <w:gridCol w:w="1306"/>
        <w:gridCol w:w="804"/>
        <w:gridCol w:w="6012"/>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2" w:hRule="atLeast"/>
        </w:trPr>
        <w:tc>
          <w:tcPr>
            <w:tcW w:w="8963" w:type="dxa"/>
            <w:gridSpan w:val="4"/>
            <w:noWrap/>
            <w:vAlign w:val="center"/>
          </w:tcPr>
          <w:p>
            <w:pPr>
              <w:widowControl/>
              <w:spacing w:line="240" w:lineRule="atLeast"/>
              <w:jc w:val="center"/>
              <w:rPr>
                <w:highlight w:val="none"/>
              </w:rPr>
            </w:pPr>
            <w:r>
              <w:rPr>
                <w:rFonts w:hint="eastAsia" w:ascii="宋体" w:hAnsi="宋体" w:cs="宋体"/>
                <w:b/>
                <w:bCs/>
                <w:kern w:val="0"/>
                <w:sz w:val="24"/>
                <w:highlight w:val="none"/>
              </w:rPr>
              <w:t>商务技术分第二部分（所投标段相关）</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841" w:type="dxa"/>
            <w:noWrap/>
            <w:vAlign w:val="center"/>
          </w:tcPr>
          <w:p>
            <w:pPr>
              <w:widowControl/>
              <w:spacing w:line="240" w:lineRule="atLeast"/>
              <w:jc w:val="center"/>
              <w:rPr>
                <w:rFonts w:ascii="宋体" w:hAnsi="宋体" w:cs="宋体"/>
                <w:b/>
                <w:bCs/>
                <w:kern w:val="0"/>
                <w:sz w:val="24"/>
                <w:highlight w:val="none"/>
                <w:lang w:val="zh-CN"/>
              </w:rPr>
            </w:pPr>
            <w:r>
              <w:rPr>
                <w:rFonts w:hint="eastAsia" w:ascii="宋体" w:hAnsi="宋体" w:cs="宋体"/>
                <w:b/>
                <w:bCs/>
                <w:kern w:val="0"/>
                <w:sz w:val="24"/>
                <w:highlight w:val="none"/>
                <w:lang w:val="zh-CN"/>
              </w:rPr>
              <w:t>评审</w:t>
            </w:r>
          </w:p>
          <w:p>
            <w:pPr>
              <w:widowControl/>
              <w:spacing w:line="240" w:lineRule="atLeast"/>
              <w:jc w:val="center"/>
              <w:rPr>
                <w:highlight w:val="none"/>
              </w:rPr>
            </w:pPr>
            <w:r>
              <w:rPr>
                <w:rFonts w:hint="eastAsia" w:ascii="宋体" w:hAnsi="宋体" w:cs="宋体"/>
                <w:b/>
                <w:bCs/>
                <w:kern w:val="0"/>
                <w:sz w:val="24"/>
                <w:highlight w:val="none"/>
                <w:lang w:val="zh-CN"/>
              </w:rPr>
              <w:t>因素</w:t>
            </w:r>
          </w:p>
        </w:tc>
        <w:tc>
          <w:tcPr>
            <w:tcW w:w="1306" w:type="dxa"/>
            <w:noWrap/>
            <w:vAlign w:val="center"/>
          </w:tcPr>
          <w:p>
            <w:pPr>
              <w:widowControl/>
              <w:spacing w:line="240" w:lineRule="atLeast"/>
              <w:jc w:val="center"/>
              <w:rPr>
                <w:highlight w:val="none"/>
              </w:rPr>
            </w:pPr>
            <w:r>
              <w:rPr>
                <w:rFonts w:hint="eastAsia" w:ascii="宋体" w:hAnsi="宋体" w:cs="宋体"/>
                <w:b/>
                <w:bCs/>
                <w:kern w:val="0"/>
                <w:sz w:val="24"/>
                <w:highlight w:val="none"/>
              </w:rPr>
              <w:t>评审项目</w:t>
            </w:r>
          </w:p>
        </w:tc>
        <w:tc>
          <w:tcPr>
            <w:tcW w:w="804" w:type="dxa"/>
            <w:noWrap/>
            <w:vAlign w:val="center"/>
          </w:tcPr>
          <w:p>
            <w:pPr>
              <w:widowControl/>
              <w:spacing w:line="240" w:lineRule="atLeast"/>
              <w:jc w:val="center"/>
              <w:rPr>
                <w:highlight w:val="none"/>
              </w:rPr>
            </w:pPr>
            <w:r>
              <w:rPr>
                <w:rFonts w:hint="eastAsia" w:ascii="宋体" w:hAnsi="宋体" w:cs="宋体"/>
                <w:b/>
                <w:bCs/>
                <w:kern w:val="0"/>
                <w:sz w:val="24"/>
                <w:highlight w:val="none"/>
              </w:rPr>
              <w:t>分值</w:t>
            </w:r>
          </w:p>
        </w:tc>
        <w:tc>
          <w:tcPr>
            <w:tcW w:w="6012" w:type="dxa"/>
            <w:noWrap/>
            <w:vAlign w:val="center"/>
          </w:tcPr>
          <w:p>
            <w:pPr>
              <w:widowControl/>
              <w:spacing w:line="240" w:lineRule="atLeast"/>
              <w:jc w:val="center"/>
              <w:rPr>
                <w:highlight w:val="none"/>
              </w:rPr>
            </w:pPr>
            <w:r>
              <w:rPr>
                <w:rFonts w:hint="eastAsia" w:ascii="宋体" w:hAnsi="宋体" w:cs="宋体"/>
                <w:b/>
                <w:bCs/>
                <w:kern w:val="0"/>
                <w:sz w:val="24"/>
                <w:highlight w:val="none"/>
              </w:rPr>
              <w:t>评审标准</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2" w:hRule="atLeast"/>
        </w:trPr>
        <w:tc>
          <w:tcPr>
            <w:tcW w:w="841" w:type="dxa"/>
            <w:noWrap/>
            <w:vAlign w:val="center"/>
          </w:tcPr>
          <w:p>
            <w:pPr>
              <w:widowControl/>
              <w:spacing w:line="240" w:lineRule="atLeast"/>
              <w:jc w:val="center"/>
              <w:rPr>
                <w:rFonts w:ascii="宋体" w:hAnsi="宋体" w:cs="宋体"/>
                <w:b/>
                <w:bCs/>
                <w:kern w:val="0"/>
                <w:sz w:val="24"/>
                <w:highlight w:val="none"/>
                <w:lang w:val="zh-CN"/>
              </w:rPr>
            </w:pPr>
            <w:r>
              <w:rPr>
                <w:rFonts w:hint="eastAsia" w:ascii="宋体" w:hAnsi="宋体" w:cs="宋体"/>
                <w:kern w:val="0"/>
                <w:szCs w:val="21"/>
                <w:highlight w:val="none"/>
                <w:lang w:val="zh-CN"/>
              </w:rPr>
              <w:t>项目认识与理解（</w:t>
            </w:r>
            <w:r>
              <w:rPr>
                <w:rFonts w:hint="eastAsia" w:ascii="宋体" w:hAnsi="宋体" w:cs="宋体"/>
                <w:kern w:val="0"/>
                <w:szCs w:val="21"/>
                <w:highlight w:val="none"/>
              </w:rPr>
              <w:t>4分</w:t>
            </w:r>
            <w:r>
              <w:rPr>
                <w:rFonts w:hint="eastAsia" w:ascii="宋体" w:hAnsi="宋体" w:cs="宋体"/>
                <w:kern w:val="0"/>
                <w:szCs w:val="21"/>
                <w:highlight w:val="none"/>
                <w:lang w:val="zh-CN"/>
              </w:rPr>
              <w:t>）</w:t>
            </w:r>
          </w:p>
        </w:tc>
        <w:tc>
          <w:tcPr>
            <w:tcW w:w="1306" w:type="dxa"/>
            <w:noWrap/>
            <w:vAlign w:val="center"/>
          </w:tcPr>
          <w:p>
            <w:pPr>
              <w:widowControl/>
              <w:spacing w:line="240" w:lineRule="atLeast"/>
              <w:jc w:val="center"/>
              <w:rPr>
                <w:rFonts w:ascii="宋体" w:hAnsi="宋体" w:cs="宋体"/>
                <w:b/>
                <w:bCs/>
                <w:kern w:val="0"/>
                <w:sz w:val="24"/>
                <w:highlight w:val="none"/>
              </w:rPr>
            </w:pPr>
            <w:r>
              <w:rPr>
                <w:rFonts w:hint="eastAsia" w:ascii="宋体" w:hAnsi="宋体" w:cs="宋体"/>
                <w:szCs w:val="21"/>
                <w:highlight w:val="none"/>
                <w:lang w:val="zh-CN"/>
              </w:rPr>
              <w:t>对标段五</w:t>
            </w:r>
            <w:r>
              <w:rPr>
                <w:rFonts w:hint="eastAsia" w:ascii="宋体" w:hAnsi="宋体" w:cs="宋体"/>
                <w:szCs w:val="21"/>
                <w:highlight w:val="none"/>
              </w:rPr>
              <w:t>涉及</w:t>
            </w:r>
            <w:r>
              <w:rPr>
                <w:rFonts w:hint="eastAsia" w:ascii="宋体" w:hAnsi="宋体" w:cs="宋体"/>
                <w:szCs w:val="21"/>
                <w:highlight w:val="none"/>
                <w:lang w:val="zh-CN"/>
              </w:rPr>
              <w:t>行业改造转型的理解</w:t>
            </w:r>
          </w:p>
        </w:tc>
        <w:tc>
          <w:tcPr>
            <w:tcW w:w="804" w:type="dxa"/>
            <w:noWrap/>
            <w:vAlign w:val="center"/>
          </w:tcPr>
          <w:p>
            <w:pPr>
              <w:widowControl/>
              <w:spacing w:line="240" w:lineRule="atLeast"/>
              <w:jc w:val="center"/>
              <w:rPr>
                <w:rFonts w:ascii="宋体" w:hAnsi="宋体" w:cs="宋体"/>
                <w:b/>
                <w:bCs/>
                <w:kern w:val="0"/>
                <w:sz w:val="24"/>
                <w:highlight w:val="none"/>
              </w:rPr>
            </w:pPr>
            <w:r>
              <w:rPr>
                <w:rFonts w:hint="eastAsia"/>
                <w:highlight w:val="none"/>
              </w:rPr>
              <w:t>4分</w:t>
            </w:r>
          </w:p>
        </w:tc>
        <w:tc>
          <w:tcPr>
            <w:tcW w:w="6012" w:type="dxa"/>
            <w:noWrap/>
            <w:vAlign w:val="center"/>
          </w:tcPr>
          <w:p>
            <w:pPr>
              <w:rPr>
                <w:highlight w:val="none"/>
              </w:rPr>
            </w:pPr>
            <w:r>
              <w:rPr>
                <w:rFonts w:hint="eastAsia"/>
                <w:highlight w:val="none"/>
              </w:rPr>
              <w:t>（1）能够明确分析论证标段五的行业特点、分布特征，提出南通推进该行业智能化改造和数字化转型的方法论得当，对企业通过实施智能化改造实现转型升级的路径分析合理，得4分。</w:t>
            </w:r>
          </w:p>
          <w:p>
            <w:pPr>
              <w:rPr>
                <w:highlight w:val="none"/>
              </w:rPr>
            </w:pPr>
            <w:r>
              <w:rPr>
                <w:rFonts w:hint="eastAsia"/>
                <w:highlight w:val="none"/>
              </w:rPr>
              <w:t>（2）对标段五行业的特点、分布特征有一定的梳理，提出南通推进该行业智能化改造和数字化转型的思路，对企业通过实施智能化改造实现转型升级的路径分析一般，得2.5分。</w:t>
            </w:r>
          </w:p>
          <w:p>
            <w:pPr>
              <w:rPr>
                <w:highlight w:val="none"/>
              </w:rPr>
            </w:pPr>
            <w:r>
              <w:rPr>
                <w:rFonts w:hint="eastAsia"/>
                <w:highlight w:val="none"/>
              </w:rPr>
              <w:t>（3）对标段五行业的特点、分布特征描述模糊，对南通推进该行业智能化改造和数字化转型的思路和企业改造转型的路径分析不清，得1分。</w:t>
            </w:r>
          </w:p>
          <w:p>
            <w:pPr>
              <w:rPr>
                <w:highlight w:val="none"/>
              </w:rPr>
            </w:pPr>
            <w:r>
              <w:rPr>
                <w:rFonts w:hint="eastAsia" w:hAnsi="宋体" w:cs="宋体"/>
                <w:szCs w:val="21"/>
                <w:highlight w:val="none"/>
              </w:rPr>
              <w:t>所投标段中有2个以上行业的，涉及行业属性的，提供所投标段的主要行业相关材料，标段五主要行业：</w:t>
            </w:r>
            <w:r>
              <w:rPr>
                <w:rFonts w:hint="eastAsia"/>
                <w:highlight w:val="none"/>
              </w:rPr>
              <w:t>化工产业。</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2" w:hRule="atLeast"/>
        </w:trPr>
        <w:tc>
          <w:tcPr>
            <w:tcW w:w="841" w:type="dxa"/>
            <w:vMerge w:val="restart"/>
            <w:noWrap/>
            <w:vAlign w:val="center"/>
          </w:tcPr>
          <w:p>
            <w:pPr>
              <w:widowControl/>
              <w:spacing w:line="240" w:lineRule="atLeast"/>
              <w:jc w:val="center"/>
              <w:rPr>
                <w:rFonts w:ascii="宋体" w:hAnsi="宋体" w:cs="宋体"/>
                <w:kern w:val="0"/>
                <w:szCs w:val="21"/>
                <w:highlight w:val="none"/>
                <w:lang w:val="zh-CN"/>
              </w:rPr>
            </w:pPr>
            <w:r>
              <w:rPr>
                <w:rFonts w:hint="eastAsia" w:ascii="宋体" w:hAnsi="宋体" w:cs="宋体"/>
                <w:kern w:val="0"/>
                <w:szCs w:val="21"/>
                <w:highlight w:val="none"/>
                <w:lang w:val="zh-CN"/>
              </w:rPr>
              <w:t>项目方案与实施（</w:t>
            </w:r>
            <w:r>
              <w:rPr>
                <w:rFonts w:hint="eastAsia" w:ascii="宋体" w:hAnsi="宋体" w:cs="宋体"/>
                <w:kern w:val="0"/>
                <w:szCs w:val="21"/>
                <w:highlight w:val="none"/>
              </w:rPr>
              <w:t>16</w:t>
            </w:r>
            <w:r>
              <w:rPr>
                <w:rFonts w:hint="eastAsia" w:ascii="宋体" w:hAnsi="宋体" w:cs="宋体"/>
                <w:kern w:val="0"/>
                <w:szCs w:val="21"/>
                <w:highlight w:val="none"/>
                <w:lang w:val="en-US" w:eastAsia="zh-CN"/>
              </w:rPr>
              <w:t>分</w:t>
            </w:r>
            <w:r>
              <w:rPr>
                <w:rFonts w:hint="eastAsia" w:ascii="宋体" w:hAnsi="宋体" w:cs="宋体"/>
                <w:kern w:val="0"/>
                <w:szCs w:val="21"/>
                <w:highlight w:val="none"/>
                <w:lang w:val="zh-CN"/>
              </w:rPr>
              <w:t>）</w:t>
            </w:r>
          </w:p>
        </w:tc>
        <w:tc>
          <w:tcPr>
            <w:tcW w:w="1306" w:type="dxa"/>
            <w:noWrap/>
            <w:vAlign w:val="center"/>
          </w:tcPr>
          <w:p>
            <w:pPr>
              <w:rPr>
                <w:rFonts w:ascii="宋体" w:hAnsi="宋体" w:cs="宋体"/>
                <w:szCs w:val="21"/>
                <w:highlight w:val="none"/>
                <w:lang w:val="zh-CN"/>
              </w:rPr>
            </w:pPr>
            <w:r>
              <w:rPr>
                <w:rFonts w:hint="eastAsia" w:ascii="宋体" w:hAnsi="宋体" w:cs="宋体"/>
                <w:szCs w:val="21"/>
                <w:highlight w:val="none"/>
                <w:lang w:val="zh-CN"/>
              </w:rPr>
              <w:t>标段五</w:t>
            </w:r>
            <w:r>
              <w:rPr>
                <w:rFonts w:hint="eastAsia" w:ascii="宋体" w:hAnsi="宋体" w:cs="宋体"/>
                <w:szCs w:val="21"/>
                <w:highlight w:val="none"/>
              </w:rPr>
              <w:t>行业</w:t>
            </w:r>
            <w:r>
              <w:rPr>
                <w:rFonts w:hint="eastAsia" w:ascii="宋体" w:hAnsi="宋体" w:cs="宋体"/>
                <w:szCs w:val="21"/>
                <w:highlight w:val="none"/>
                <w:lang w:val="zh-CN"/>
              </w:rPr>
              <w:t>诊断服务方案</w:t>
            </w:r>
          </w:p>
        </w:tc>
        <w:tc>
          <w:tcPr>
            <w:tcW w:w="804" w:type="dxa"/>
            <w:noWrap/>
            <w:vAlign w:val="center"/>
          </w:tcPr>
          <w:p>
            <w:pPr>
              <w:jc w:val="center"/>
              <w:rPr>
                <w:rFonts w:ascii="宋体" w:hAnsi="宋体" w:cs="宋体"/>
                <w:b/>
                <w:bCs/>
                <w:kern w:val="0"/>
                <w:sz w:val="24"/>
                <w:highlight w:val="none"/>
              </w:rPr>
            </w:pPr>
            <w:r>
              <w:rPr>
                <w:rFonts w:hint="eastAsia" w:ascii="宋体" w:hAnsi="宋体" w:cs="宋体"/>
                <w:szCs w:val="21"/>
                <w:highlight w:val="none"/>
              </w:rPr>
              <w:t>4分</w:t>
            </w:r>
          </w:p>
        </w:tc>
        <w:tc>
          <w:tcPr>
            <w:tcW w:w="6012" w:type="dxa"/>
            <w:noWrap/>
            <w:vAlign w:val="center"/>
          </w:tcPr>
          <w:p>
            <w:pPr>
              <w:rPr>
                <w:highlight w:val="none"/>
              </w:rPr>
            </w:pPr>
            <w:r>
              <w:rPr>
                <w:rFonts w:hint="eastAsia"/>
                <w:highlight w:val="none"/>
              </w:rPr>
              <w:t>（1）方案诊断评估方法先进，能够深入结合标段五行业特点，能从生产、管理、物流、仓储等重点环节对被诊断企业的智能化、数字化水平进行全面现状调研，描述清晰明确，与企业内部要素之间衔接和匹配度高，现场评估问诊过程可行，得4分。</w:t>
            </w:r>
          </w:p>
          <w:p>
            <w:pPr>
              <w:rPr>
                <w:highlight w:val="none"/>
              </w:rPr>
            </w:pPr>
            <w:r>
              <w:rPr>
                <w:rFonts w:hint="eastAsia"/>
                <w:highlight w:val="none"/>
              </w:rPr>
              <w:t>（2）方案诊断评估方法合理，参考了一定的标段五行业特点，从生产、管理、物流、仓储等重点环节对被诊断企业的智能化水平进行一般现状调研，描述较清晰，与企业内部要素之间衔接和匹配度较高，现场评估问诊过程基本可行，得2分。</w:t>
            </w:r>
          </w:p>
          <w:p>
            <w:pPr>
              <w:rPr>
                <w:highlight w:val="none"/>
              </w:rPr>
            </w:pPr>
            <w:r>
              <w:rPr>
                <w:rFonts w:hint="eastAsia"/>
                <w:highlight w:val="none"/>
              </w:rPr>
              <w:t>（3）方案诊断评估方法一般，未充分考虑标段五行业特点，从生产、管理、物流、仓储等重点环节对被诊断企业的智能化水平进行基本现状调研，描述不清晰，与企业内部要素之间衔接和匹配度低，现场评估问诊过程可行性不高，得1分。</w:t>
            </w:r>
          </w:p>
          <w:p>
            <w:pPr>
              <w:rPr>
                <w:highlight w:val="none"/>
              </w:rPr>
            </w:pPr>
            <w:r>
              <w:rPr>
                <w:rFonts w:hint="eastAsia" w:hAnsi="宋体" w:cs="宋体"/>
                <w:szCs w:val="21"/>
                <w:highlight w:val="none"/>
              </w:rPr>
              <w:t>所投标段中有2个以上行业的，涉及行业属性的，提供所投标段的主要行业相关材料，标段五主要行业：</w:t>
            </w:r>
            <w:r>
              <w:rPr>
                <w:rFonts w:hint="eastAsia"/>
                <w:highlight w:val="none"/>
              </w:rPr>
              <w:t>化工产业。</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2" w:hRule="atLeast"/>
        </w:trPr>
        <w:tc>
          <w:tcPr>
            <w:tcW w:w="841" w:type="dxa"/>
            <w:vMerge w:val="continue"/>
            <w:noWrap/>
            <w:vAlign w:val="center"/>
          </w:tcPr>
          <w:p>
            <w:pPr>
              <w:widowControl/>
              <w:spacing w:line="240" w:lineRule="atLeast"/>
              <w:jc w:val="center"/>
              <w:rPr>
                <w:rFonts w:ascii="宋体" w:hAnsi="宋体" w:cs="宋体"/>
                <w:kern w:val="0"/>
                <w:szCs w:val="21"/>
                <w:highlight w:val="none"/>
                <w:lang w:val="zh-CN"/>
              </w:rPr>
            </w:pPr>
          </w:p>
        </w:tc>
        <w:tc>
          <w:tcPr>
            <w:tcW w:w="1306" w:type="dxa"/>
            <w:noWrap/>
            <w:vAlign w:val="center"/>
          </w:tcPr>
          <w:p>
            <w:pPr>
              <w:rPr>
                <w:rFonts w:ascii="宋体" w:hAnsi="宋体" w:cs="宋体"/>
                <w:szCs w:val="21"/>
                <w:highlight w:val="none"/>
                <w:lang w:val="zh-CN"/>
              </w:rPr>
            </w:pPr>
            <w:r>
              <w:rPr>
                <w:rFonts w:hint="eastAsia" w:ascii="宋体" w:hAnsi="宋体" w:cs="宋体"/>
                <w:szCs w:val="21"/>
                <w:highlight w:val="none"/>
                <w:lang w:val="zh-CN"/>
              </w:rPr>
              <w:t>标段五诊断项目组织</w:t>
            </w:r>
            <w:r>
              <w:rPr>
                <w:rFonts w:hint="eastAsia" w:ascii="宋体" w:hAnsi="宋体" w:cs="宋体"/>
                <w:szCs w:val="21"/>
                <w:highlight w:val="none"/>
              </w:rPr>
              <w:t>保障</w:t>
            </w:r>
          </w:p>
        </w:tc>
        <w:tc>
          <w:tcPr>
            <w:tcW w:w="804" w:type="dxa"/>
            <w:noWrap/>
            <w:vAlign w:val="center"/>
          </w:tcPr>
          <w:p>
            <w:pPr>
              <w:jc w:val="center"/>
              <w:rPr>
                <w:rFonts w:ascii="宋体" w:hAnsi="宋体" w:cs="宋体"/>
                <w:b/>
                <w:bCs/>
                <w:kern w:val="0"/>
                <w:sz w:val="24"/>
                <w:highlight w:val="none"/>
              </w:rPr>
            </w:pPr>
            <w:r>
              <w:rPr>
                <w:rFonts w:hint="eastAsia" w:ascii="宋体" w:hAnsi="宋体" w:cs="宋体"/>
                <w:szCs w:val="21"/>
                <w:highlight w:val="none"/>
              </w:rPr>
              <w:t>4分</w:t>
            </w:r>
          </w:p>
        </w:tc>
        <w:tc>
          <w:tcPr>
            <w:tcW w:w="6012" w:type="dxa"/>
            <w:noWrap/>
            <w:vAlign w:val="center"/>
          </w:tcPr>
          <w:p>
            <w:pPr>
              <w:rPr>
                <w:highlight w:val="none"/>
              </w:rPr>
            </w:pPr>
            <w:r>
              <w:rPr>
                <w:rFonts w:hint="eastAsia"/>
                <w:highlight w:val="none"/>
              </w:rPr>
              <w:t>（1）项目组织体系和架构配置合理，行业、技术等专家资源充分，团队职责清晰、分工明确（包含联合体各成员单位职责分工），组织严谨得当，能够保证项目方案顺利实施，得4分。</w:t>
            </w:r>
          </w:p>
          <w:p>
            <w:pPr>
              <w:rPr>
                <w:highlight w:val="none"/>
              </w:rPr>
            </w:pPr>
            <w:r>
              <w:rPr>
                <w:rFonts w:hint="eastAsia"/>
                <w:highlight w:val="none"/>
              </w:rPr>
              <w:t>（2）项目组织体系和架构配置较合理，行业、技术等资源较多，团队职责较清晰、分工较明确（包含联合体各成员单位职责分工），组织较合理，基本能够保证项目方案实施，得2分。</w:t>
            </w:r>
          </w:p>
          <w:p>
            <w:pPr>
              <w:rPr>
                <w:highlight w:val="none"/>
              </w:rPr>
            </w:pPr>
            <w:r>
              <w:rPr>
                <w:rFonts w:hint="eastAsia"/>
                <w:highlight w:val="none"/>
              </w:rPr>
              <w:t>（3）项目具备组织体系和架构配置，拥有一定的行业、技术等专家资源，团队职责和分工一般（包含联合体各成员单位职责分工），组织薄弱，项目方案实施有一定难度，得1分。</w:t>
            </w:r>
          </w:p>
          <w:p>
            <w:pPr>
              <w:pStyle w:val="49"/>
              <w:ind w:firstLine="0"/>
              <w:rPr>
                <w:rFonts w:hAnsi="宋体" w:cs="宋体"/>
                <w:szCs w:val="21"/>
                <w:highlight w:val="none"/>
              </w:rPr>
            </w:pPr>
            <w:r>
              <w:rPr>
                <w:rFonts w:hint="eastAsia" w:hAnsi="宋体" w:cs="宋体"/>
                <w:szCs w:val="21"/>
                <w:highlight w:val="none"/>
              </w:rPr>
              <w:t>所投标段中有2个以上行业的，涉及行业属性的，提供所投标段的主要行业相关材料，标段五主要行业：</w:t>
            </w:r>
            <w:r>
              <w:rPr>
                <w:rFonts w:hint="eastAsia"/>
                <w:highlight w:val="none"/>
              </w:rPr>
              <w:t>化工产业。</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2" w:hRule="atLeast"/>
        </w:trPr>
        <w:tc>
          <w:tcPr>
            <w:tcW w:w="841" w:type="dxa"/>
            <w:vMerge w:val="continue"/>
            <w:noWrap/>
            <w:vAlign w:val="center"/>
          </w:tcPr>
          <w:p>
            <w:pPr>
              <w:widowControl/>
              <w:spacing w:line="240" w:lineRule="atLeast"/>
              <w:jc w:val="center"/>
              <w:rPr>
                <w:rFonts w:ascii="宋体" w:hAnsi="宋体" w:cs="宋体"/>
                <w:kern w:val="0"/>
                <w:szCs w:val="21"/>
                <w:highlight w:val="none"/>
                <w:lang w:val="zh-CN"/>
              </w:rPr>
            </w:pPr>
          </w:p>
        </w:tc>
        <w:tc>
          <w:tcPr>
            <w:tcW w:w="1306" w:type="dxa"/>
            <w:noWrap/>
            <w:vAlign w:val="center"/>
          </w:tcPr>
          <w:p>
            <w:pPr>
              <w:rPr>
                <w:rFonts w:ascii="宋体" w:hAnsi="宋体" w:cs="宋体"/>
                <w:szCs w:val="21"/>
                <w:highlight w:val="none"/>
                <w:lang w:val="zh-CN"/>
              </w:rPr>
            </w:pPr>
            <w:r>
              <w:rPr>
                <w:rFonts w:hint="eastAsia" w:ascii="宋体" w:hAnsi="宋体" w:cs="宋体"/>
                <w:szCs w:val="21"/>
                <w:highlight w:val="none"/>
                <w:lang w:val="zh-CN"/>
              </w:rPr>
              <w:t>诊断项目综合管理</w:t>
            </w:r>
          </w:p>
        </w:tc>
        <w:tc>
          <w:tcPr>
            <w:tcW w:w="804" w:type="dxa"/>
            <w:noWrap/>
            <w:vAlign w:val="center"/>
          </w:tcPr>
          <w:p>
            <w:pPr>
              <w:jc w:val="center"/>
              <w:rPr>
                <w:rFonts w:ascii="宋体" w:hAnsi="宋体" w:cs="宋体"/>
                <w:szCs w:val="21"/>
                <w:highlight w:val="none"/>
              </w:rPr>
            </w:pPr>
            <w:r>
              <w:rPr>
                <w:rFonts w:hint="eastAsia" w:ascii="宋体" w:hAnsi="宋体" w:cs="宋体"/>
                <w:szCs w:val="21"/>
                <w:highlight w:val="none"/>
              </w:rPr>
              <w:t>4分</w:t>
            </w:r>
          </w:p>
        </w:tc>
        <w:tc>
          <w:tcPr>
            <w:tcW w:w="6012" w:type="dxa"/>
            <w:noWrap/>
            <w:vAlign w:val="center"/>
          </w:tcPr>
          <w:p>
            <w:pPr>
              <w:rPr>
                <w:highlight w:val="none"/>
              </w:rPr>
            </w:pPr>
            <w:r>
              <w:rPr>
                <w:rFonts w:hint="eastAsia"/>
                <w:highlight w:val="none"/>
              </w:rPr>
              <w:t>（1）项目进度安排合理，各环节衔接顺畅，综合协调管理水平高，内容详实，能够有效完成标段五任务目标，得4分。</w:t>
            </w:r>
          </w:p>
          <w:p>
            <w:pPr>
              <w:rPr>
                <w:highlight w:val="none"/>
              </w:rPr>
            </w:pPr>
            <w:r>
              <w:rPr>
                <w:rFonts w:hint="eastAsia"/>
                <w:highlight w:val="none"/>
              </w:rPr>
              <w:t>（2）项目进度安排较合理，各环节衔接较顺畅，综合协调管理水平较高，内容较详实，基本能够完成标段五任务目标，得2分。</w:t>
            </w:r>
          </w:p>
          <w:p>
            <w:pPr>
              <w:rPr>
                <w:highlight w:val="none"/>
              </w:rPr>
            </w:pPr>
            <w:r>
              <w:rPr>
                <w:rFonts w:hint="eastAsia"/>
                <w:highlight w:val="none"/>
              </w:rPr>
              <w:t>（3）项目进度安排一般，各环节衔接程度一般，综合协调管理水平一般，具备一定内容，完成标段五任务目标有一定难度，得1分。</w:t>
            </w:r>
          </w:p>
          <w:p>
            <w:pPr>
              <w:rPr>
                <w:highlight w:val="none"/>
              </w:rPr>
            </w:pPr>
            <w:r>
              <w:rPr>
                <w:rFonts w:hint="eastAsia" w:hAnsi="宋体" w:cs="宋体"/>
                <w:szCs w:val="21"/>
                <w:highlight w:val="none"/>
              </w:rPr>
              <w:t>所投标段中有2个以上行业的，涉及行业属性的，提供所投标段的主要行业相关材料，标段五主要行业：</w:t>
            </w:r>
            <w:r>
              <w:rPr>
                <w:rFonts w:hint="eastAsia"/>
                <w:highlight w:val="none"/>
              </w:rPr>
              <w:t>化工产业。</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2" w:hRule="atLeast"/>
        </w:trPr>
        <w:tc>
          <w:tcPr>
            <w:tcW w:w="841" w:type="dxa"/>
            <w:vMerge w:val="continue"/>
            <w:noWrap/>
            <w:vAlign w:val="center"/>
          </w:tcPr>
          <w:p>
            <w:pPr>
              <w:widowControl/>
              <w:spacing w:line="240" w:lineRule="atLeast"/>
              <w:jc w:val="center"/>
              <w:rPr>
                <w:rFonts w:ascii="宋体" w:hAnsi="宋体" w:cs="宋体"/>
                <w:kern w:val="0"/>
                <w:szCs w:val="21"/>
                <w:highlight w:val="none"/>
                <w:lang w:val="zh-CN"/>
              </w:rPr>
            </w:pPr>
          </w:p>
        </w:tc>
        <w:tc>
          <w:tcPr>
            <w:tcW w:w="1306" w:type="dxa"/>
            <w:noWrap/>
            <w:vAlign w:val="center"/>
          </w:tcPr>
          <w:p>
            <w:pPr>
              <w:rPr>
                <w:rFonts w:ascii="宋体" w:hAnsi="宋体" w:cs="宋体"/>
                <w:szCs w:val="21"/>
                <w:highlight w:val="none"/>
                <w:lang w:val="zh-CN"/>
              </w:rPr>
            </w:pPr>
            <w:r>
              <w:rPr>
                <w:rFonts w:hint="eastAsia" w:ascii="宋体" w:hAnsi="宋体" w:cs="宋体"/>
                <w:szCs w:val="21"/>
                <w:highlight w:val="none"/>
                <w:lang w:val="zh-CN"/>
              </w:rPr>
              <w:t>诊断项目诊断报告编制思路</w:t>
            </w:r>
          </w:p>
        </w:tc>
        <w:tc>
          <w:tcPr>
            <w:tcW w:w="804" w:type="dxa"/>
            <w:noWrap/>
            <w:vAlign w:val="center"/>
          </w:tcPr>
          <w:p>
            <w:pPr>
              <w:jc w:val="center"/>
              <w:rPr>
                <w:rFonts w:ascii="宋体" w:hAnsi="宋体" w:cs="宋体"/>
                <w:szCs w:val="21"/>
                <w:highlight w:val="none"/>
              </w:rPr>
            </w:pPr>
            <w:r>
              <w:rPr>
                <w:rFonts w:hint="eastAsia" w:ascii="宋体" w:hAnsi="宋体" w:cs="宋体"/>
                <w:szCs w:val="21"/>
                <w:highlight w:val="none"/>
              </w:rPr>
              <w:t>4分</w:t>
            </w:r>
          </w:p>
        </w:tc>
        <w:tc>
          <w:tcPr>
            <w:tcW w:w="6012" w:type="dxa"/>
            <w:noWrap/>
            <w:vAlign w:val="center"/>
          </w:tcPr>
          <w:p>
            <w:pPr>
              <w:rPr>
                <w:rFonts w:ascii="宋体" w:hAnsi="宋体" w:cs="宋体"/>
                <w:szCs w:val="21"/>
                <w:highlight w:val="none"/>
              </w:rPr>
            </w:pPr>
            <w:r>
              <w:rPr>
                <w:rFonts w:hint="eastAsia" w:ascii="宋体" w:hAnsi="宋体" w:cs="宋体"/>
                <w:szCs w:val="21"/>
                <w:highlight w:val="none"/>
              </w:rPr>
              <w:t>（1）对报告的整体构架有清晰的描述，撰写思路清晰完整、重点任务明确、分析方法得当，能提供具有行业代表性、针对性的解决方案，实施路径切实可行，得4分。</w:t>
            </w:r>
          </w:p>
          <w:p>
            <w:pPr>
              <w:rPr>
                <w:rFonts w:ascii="宋体" w:hAnsi="宋体" w:cs="宋体"/>
                <w:szCs w:val="21"/>
                <w:highlight w:val="none"/>
              </w:rPr>
            </w:pPr>
            <w:r>
              <w:rPr>
                <w:rFonts w:hint="eastAsia" w:ascii="宋体" w:hAnsi="宋体" w:cs="宋体"/>
                <w:szCs w:val="21"/>
                <w:highlight w:val="none"/>
              </w:rPr>
              <w:t>（2）对报告的整体构架有较清晰的描述，撰写思路较完整、重点任务较明确、分析方法适当，能提供行业解决方案，实施路径切具有一定可行性，得2分。</w:t>
            </w:r>
          </w:p>
          <w:p>
            <w:pPr>
              <w:rPr>
                <w:rFonts w:ascii="宋体" w:hAnsi="宋体" w:cs="宋体"/>
                <w:szCs w:val="21"/>
                <w:highlight w:val="none"/>
              </w:rPr>
            </w:pPr>
            <w:r>
              <w:rPr>
                <w:rFonts w:hint="eastAsia" w:ascii="宋体" w:hAnsi="宋体" w:cs="宋体"/>
                <w:szCs w:val="21"/>
                <w:highlight w:val="none"/>
              </w:rPr>
              <w:t>（3）对报告的整体构架的描述不够清晰，撰写思路模糊、重点任务不明确、分析方法适当性不强，提供解决方案缺乏代表和依据，实施路径有难度，得1分。</w:t>
            </w:r>
          </w:p>
          <w:p>
            <w:pPr>
              <w:rPr>
                <w:rFonts w:hAnsi="宋体" w:cs="宋体"/>
                <w:szCs w:val="21"/>
                <w:highlight w:val="none"/>
              </w:rPr>
            </w:pPr>
            <w:r>
              <w:rPr>
                <w:rFonts w:hint="eastAsia" w:hAnsi="宋体" w:cs="宋体"/>
                <w:szCs w:val="21"/>
                <w:highlight w:val="none"/>
              </w:rPr>
              <w:t>所投标段中有2个以上行业的，涉及行业属性的，提供所投标段的主要行业相关材料，标段五主要行业：</w:t>
            </w:r>
            <w:r>
              <w:rPr>
                <w:rFonts w:hint="eastAsia"/>
                <w:highlight w:val="none"/>
              </w:rPr>
              <w:t>化工产业。</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2" w:hRule="atLeast"/>
        </w:trPr>
        <w:tc>
          <w:tcPr>
            <w:tcW w:w="841" w:type="dxa"/>
            <w:noWrap/>
            <w:vAlign w:val="center"/>
          </w:tcPr>
          <w:p>
            <w:pPr>
              <w:widowControl/>
              <w:spacing w:line="240" w:lineRule="atLeast"/>
              <w:jc w:val="center"/>
              <w:rPr>
                <w:rFonts w:ascii="宋体" w:hAnsi="宋体" w:cs="宋体"/>
                <w:kern w:val="0"/>
                <w:szCs w:val="21"/>
                <w:highlight w:val="none"/>
                <w:lang w:val="zh-CN"/>
              </w:rPr>
            </w:pPr>
            <w:r>
              <w:rPr>
                <w:rFonts w:hint="eastAsia" w:ascii="宋体" w:hAnsi="宋体" w:cs="宋体"/>
                <w:kern w:val="0"/>
                <w:szCs w:val="21"/>
                <w:highlight w:val="none"/>
                <w:lang w:val="zh-CN"/>
              </w:rPr>
              <w:t>项目人员团队能力（</w:t>
            </w:r>
            <w:r>
              <w:rPr>
                <w:rFonts w:hint="eastAsia" w:ascii="宋体" w:hAnsi="宋体" w:cs="宋体"/>
                <w:kern w:val="0"/>
                <w:szCs w:val="21"/>
                <w:highlight w:val="none"/>
              </w:rPr>
              <w:t>15分</w:t>
            </w:r>
            <w:r>
              <w:rPr>
                <w:rFonts w:hint="eastAsia" w:ascii="宋体" w:hAnsi="宋体" w:cs="宋体"/>
                <w:kern w:val="0"/>
                <w:szCs w:val="21"/>
                <w:highlight w:val="none"/>
                <w:lang w:val="zh-CN"/>
              </w:rPr>
              <w:t>）</w:t>
            </w:r>
          </w:p>
        </w:tc>
        <w:tc>
          <w:tcPr>
            <w:tcW w:w="1306" w:type="dxa"/>
            <w:noWrap/>
            <w:vAlign w:val="center"/>
          </w:tcPr>
          <w:p>
            <w:pPr>
              <w:widowControl/>
              <w:spacing w:line="240" w:lineRule="atLeast"/>
              <w:jc w:val="center"/>
              <w:rPr>
                <w:rFonts w:ascii="宋体" w:hAnsi="宋体" w:cs="宋体"/>
                <w:szCs w:val="21"/>
                <w:highlight w:val="none"/>
                <w:lang w:val="zh-CN"/>
              </w:rPr>
            </w:pPr>
            <w:r>
              <w:rPr>
                <w:rFonts w:hint="eastAsia" w:ascii="宋体" w:hAnsi="宋体" w:cs="宋体"/>
                <w:kern w:val="0"/>
                <w:szCs w:val="21"/>
                <w:highlight w:val="none"/>
                <w:lang w:val="zh-CN"/>
              </w:rPr>
              <w:t>项目人员团队能力</w:t>
            </w:r>
          </w:p>
        </w:tc>
        <w:tc>
          <w:tcPr>
            <w:tcW w:w="804" w:type="dxa"/>
            <w:noWrap/>
            <w:vAlign w:val="center"/>
          </w:tcPr>
          <w:p>
            <w:pPr>
              <w:jc w:val="center"/>
              <w:rPr>
                <w:rFonts w:ascii="宋体" w:hAnsi="宋体" w:cs="宋体"/>
                <w:szCs w:val="21"/>
                <w:highlight w:val="none"/>
              </w:rPr>
            </w:pPr>
            <w:r>
              <w:rPr>
                <w:rFonts w:hint="eastAsia" w:ascii="宋体" w:hAnsi="宋体" w:cs="宋体"/>
                <w:szCs w:val="21"/>
                <w:highlight w:val="none"/>
              </w:rPr>
              <w:t>15分</w:t>
            </w:r>
          </w:p>
        </w:tc>
        <w:tc>
          <w:tcPr>
            <w:tcW w:w="6012" w:type="dxa"/>
            <w:noWrap/>
            <w:vAlign w:val="center"/>
          </w:tcPr>
          <w:p>
            <w:pPr>
              <w:rPr>
                <w:rFonts w:ascii="宋体" w:hAnsi="宋体" w:cs="宋体"/>
                <w:szCs w:val="21"/>
                <w:highlight w:val="none"/>
              </w:rPr>
            </w:pPr>
            <w:r>
              <w:rPr>
                <w:rFonts w:hint="eastAsia"/>
                <w:highlight w:val="none"/>
              </w:rPr>
              <w:t>（1）</w:t>
            </w:r>
            <w:r>
              <w:rPr>
                <w:rFonts w:hint="eastAsia" w:ascii="宋体" w:hAnsi="宋体" w:cs="宋体"/>
                <w:szCs w:val="21"/>
                <w:highlight w:val="none"/>
              </w:rPr>
              <w:t>拟任</w:t>
            </w:r>
            <w:r>
              <w:rPr>
                <w:rFonts w:hint="eastAsia"/>
                <w:highlight w:val="none"/>
              </w:rPr>
              <w:t>项目负责人具有智能制造（两化融合）相关技术或标段五行业高级职称，得3分；为工信部、省工信厅智能制造（两化融合）领域或标段五行业专家库成员，得3分。本项最高得6分。</w:t>
            </w:r>
          </w:p>
          <w:p>
            <w:pPr>
              <w:pStyle w:val="19"/>
              <w:rPr>
                <w:rFonts w:ascii="宋体" w:hAnsi="宋体" w:eastAsia="宋体" w:cs="宋体"/>
                <w:kern w:val="2"/>
                <w:sz w:val="21"/>
                <w:szCs w:val="21"/>
                <w:highlight w:val="none"/>
              </w:rPr>
            </w:pPr>
            <w:r>
              <w:rPr>
                <w:rFonts w:hint="eastAsia" w:ascii="宋体" w:hAnsi="宋体" w:eastAsia="宋体" w:cs="宋体"/>
                <w:kern w:val="2"/>
                <w:sz w:val="21"/>
                <w:szCs w:val="21"/>
                <w:highlight w:val="none"/>
              </w:rPr>
              <w:t>（2）</w:t>
            </w:r>
            <w:r>
              <w:rPr>
                <w:rFonts w:hint="eastAsia" w:ascii="Times New Roman" w:eastAsia="宋体"/>
                <w:kern w:val="2"/>
                <w:sz w:val="21"/>
                <w:szCs w:val="24"/>
                <w:highlight w:val="none"/>
              </w:rPr>
              <w:t>拟投入团队成员具</w:t>
            </w:r>
            <w:r>
              <w:rPr>
                <w:rFonts w:hint="eastAsia" w:ascii="宋体" w:hAnsi="宋体" w:eastAsia="宋体" w:cs="宋体"/>
                <w:kern w:val="2"/>
                <w:sz w:val="21"/>
                <w:szCs w:val="21"/>
                <w:highlight w:val="none"/>
              </w:rPr>
              <w:t>有智能制造相关技术或标段五行业中级及以上专业职称、智能制造能力成熟度模型评估师证书、注册自动化系统工程师证书、软件评测师证书、项目管理师证书、CISP（注册信息安全专业人员）证书，全国两化融合管理体系技能合格证书或两化融合管理体系贯标咨询证书或同类人才证书的技术人员，每提供一份得0.5分（同一人员证书不重复计算分数），本项最高得4分。</w:t>
            </w:r>
          </w:p>
          <w:p>
            <w:pPr>
              <w:pStyle w:val="19"/>
              <w:rPr>
                <w:rFonts w:ascii="宋体" w:hAnsi="宋体" w:eastAsia="宋体" w:cs="宋体"/>
                <w:kern w:val="2"/>
                <w:sz w:val="21"/>
                <w:szCs w:val="21"/>
                <w:highlight w:val="none"/>
              </w:rPr>
            </w:pPr>
            <w:r>
              <w:rPr>
                <w:rFonts w:hint="eastAsia" w:ascii="宋体" w:hAnsi="宋体" w:eastAsia="宋体" w:cs="宋体"/>
                <w:kern w:val="2"/>
                <w:sz w:val="21"/>
                <w:szCs w:val="21"/>
                <w:highlight w:val="none"/>
              </w:rPr>
              <w:t>（3）</w:t>
            </w:r>
            <w:r>
              <w:rPr>
                <w:rFonts w:hint="eastAsia" w:ascii="Times New Roman" w:eastAsia="宋体"/>
                <w:kern w:val="2"/>
                <w:sz w:val="21"/>
                <w:szCs w:val="24"/>
                <w:highlight w:val="none"/>
              </w:rPr>
              <w:t>拟投入团队成员</w:t>
            </w:r>
            <w:r>
              <w:rPr>
                <w:rFonts w:hint="eastAsia" w:ascii="宋体" w:hAnsi="宋体" w:eastAsia="宋体" w:cs="宋体"/>
                <w:kern w:val="2"/>
                <w:sz w:val="21"/>
                <w:szCs w:val="21"/>
                <w:highlight w:val="none"/>
              </w:rPr>
              <w:t>具有智能制造相关领域或标段五行业专业背景，博士学历，每人得1分，硕士学历，每人得0.5分，最高5分。（同一人员学历不重复计算分数）</w:t>
            </w:r>
          </w:p>
          <w:p>
            <w:pPr>
              <w:rPr>
                <w:rFonts w:hAnsi="宋体" w:cs="宋体"/>
                <w:szCs w:val="21"/>
                <w:highlight w:val="none"/>
              </w:rPr>
            </w:pPr>
            <w:r>
              <w:rPr>
                <w:rFonts w:hint="eastAsia" w:ascii="宋体" w:hAnsi="宋体" w:cs="宋体"/>
                <w:szCs w:val="21"/>
                <w:highlight w:val="none"/>
              </w:rPr>
              <w:t>以上材料需提供职称证书（聘书或相关证明）、与投标供应商签订的劳动合同和近三个月社保缴费记录等材料加盖公章，因所提供证明材料不全或内容不明，不得分。智能制造（两化融合）相关技术领域包括：机械、装备、计算机、企业管理、软件、控制、云计算、大数据、人工智能等。</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268" w:hRule="atLeast"/>
        </w:trPr>
        <w:tc>
          <w:tcPr>
            <w:tcW w:w="841" w:type="dxa"/>
            <w:noWrap/>
            <w:vAlign w:val="center"/>
          </w:tcPr>
          <w:p>
            <w:pPr>
              <w:widowControl/>
              <w:spacing w:line="240" w:lineRule="atLeast"/>
              <w:jc w:val="center"/>
              <w:rPr>
                <w:rFonts w:ascii="宋体" w:hAnsi="宋体" w:cs="宋体"/>
                <w:kern w:val="0"/>
                <w:szCs w:val="21"/>
                <w:highlight w:val="none"/>
                <w:lang w:val="zh-CN"/>
              </w:rPr>
            </w:pPr>
            <w:r>
              <w:rPr>
                <w:rFonts w:hint="eastAsia" w:ascii="宋体" w:hAnsi="宋体" w:cs="宋体"/>
                <w:kern w:val="0"/>
                <w:szCs w:val="21"/>
                <w:highlight w:val="none"/>
                <w:lang w:val="zh-CN"/>
              </w:rPr>
              <w:t>项目相关经验及履约能力（</w:t>
            </w:r>
            <w:r>
              <w:rPr>
                <w:rFonts w:hint="eastAsia" w:ascii="宋体" w:hAnsi="宋体" w:cs="宋体"/>
                <w:kern w:val="0"/>
                <w:szCs w:val="21"/>
                <w:highlight w:val="none"/>
                <w:lang w:val="en-US" w:eastAsia="zh-CN"/>
              </w:rPr>
              <w:t>8</w:t>
            </w:r>
            <w:r>
              <w:rPr>
                <w:rFonts w:hint="eastAsia" w:ascii="宋体" w:hAnsi="宋体" w:cs="宋体"/>
                <w:kern w:val="0"/>
                <w:szCs w:val="21"/>
                <w:highlight w:val="none"/>
              </w:rPr>
              <w:t>分</w:t>
            </w:r>
            <w:r>
              <w:rPr>
                <w:rFonts w:hint="eastAsia" w:ascii="宋体" w:hAnsi="宋体" w:cs="宋体"/>
                <w:kern w:val="0"/>
                <w:szCs w:val="21"/>
                <w:highlight w:val="none"/>
                <w:lang w:val="zh-CN"/>
              </w:rPr>
              <w:t>）</w:t>
            </w:r>
          </w:p>
        </w:tc>
        <w:tc>
          <w:tcPr>
            <w:tcW w:w="1306" w:type="dxa"/>
            <w:noWrap/>
            <w:vAlign w:val="center"/>
          </w:tcPr>
          <w:p>
            <w:pPr>
              <w:widowControl/>
              <w:spacing w:line="240" w:lineRule="atLeast"/>
              <w:jc w:val="center"/>
              <w:rPr>
                <w:rFonts w:ascii="宋体" w:hAnsi="宋体" w:cs="宋体"/>
                <w:kern w:val="0"/>
                <w:szCs w:val="21"/>
                <w:highlight w:val="none"/>
                <w:lang w:val="zh-CN"/>
              </w:rPr>
            </w:pPr>
            <w:r>
              <w:rPr>
                <w:rFonts w:hint="eastAsia" w:ascii="宋体" w:hAnsi="宋体" w:cs="宋体"/>
                <w:kern w:val="0"/>
                <w:szCs w:val="21"/>
                <w:highlight w:val="none"/>
                <w:lang w:val="zh-CN"/>
              </w:rPr>
              <w:t>项目相关经验及履约能力</w:t>
            </w:r>
          </w:p>
        </w:tc>
        <w:tc>
          <w:tcPr>
            <w:tcW w:w="804" w:type="dxa"/>
            <w:noWrap/>
            <w:vAlign w:val="center"/>
          </w:tcPr>
          <w:p>
            <w:pPr>
              <w:jc w:val="center"/>
              <w:rPr>
                <w:rFonts w:ascii="宋体" w:hAnsi="宋体" w:cs="宋体"/>
                <w:szCs w:val="21"/>
                <w:highlight w:val="none"/>
              </w:rPr>
            </w:pPr>
            <w:r>
              <w:rPr>
                <w:rFonts w:hint="eastAsia" w:ascii="宋体" w:hAnsi="宋体" w:cs="宋体"/>
                <w:szCs w:val="21"/>
                <w:highlight w:val="none"/>
              </w:rPr>
              <w:t>8分</w:t>
            </w:r>
          </w:p>
        </w:tc>
        <w:tc>
          <w:tcPr>
            <w:tcW w:w="6012" w:type="dxa"/>
            <w:noWrap/>
            <w:vAlign w:val="center"/>
          </w:tcPr>
          <w:p>
            <w:pPr>
              <w:rPr>
                <w:highlight w:val="none"/>
              </w:rPr>
            </w:pPr>
            <w:r>
              <w:rPr>
                <w:rFonts w:hint="eastAsia"/>
                <w:highlight w:val="none"/>
              </w:rPr>
              <w:t>2019年4月以来为标段五行业制造业企业提供智能化改造和数字化转型相关技术或解决方案，并落地实施的，根据标段五产业要求每提供一项得1分。本项最高得8分。</w:t>
            </w:r>
          </w:p>
          <w:p>
            <w:pPr>
              <w:widowControl/>
              <w:jc w:val="left"/>
              <w:rPr>
                <w:highlight w:val="none"/>
              </w:rPr>
            </w:pPr>
            <w:r>
              <w:rPr>
                <w:rFonts w:hint="eastAsia"/>
                <w:highlight w:val="none"/>
              </w:rPr>
              <w:t>标段五产业要求：化工产业最高得4分，</w:t>
            </w:r>
            <w:r>
              <w:rPr>
                <w:rFonts w:hint="eastAsia" w:ascii="宋体" w:hAnsi="宋体"/>
                <w:kern w:val="0"/>
                <w:szCs w:val="21"/>
                <w:highlight w:val="none"/>
              </w:rPr>
              <w:t>通用设备产业</w:t>
            </w:r>
            <w:r>
              <w:rPr>
                <w:rFonts w:hint="eastAsia"/>
                <w:highlight w:val="none"/>
              </w:rPr>
              <w:t>最高得4分。</w:t>
            </w:r>
          </w:p>
          <w:p>
            <w:pPr>
              <w:rPr>
                <w:highlight w:val="none"/>
              </w:rPr>
            </w:pPr>
            <w:r>
              <w:rPr>
                <w:rFonts w:hint="eastAsia"/>
                <w:highlight w:val="none"/>
              </w:rPr>
              <w:t>需提供为标段五行业企业提供智能制造相关技术或解决方案的合同及实施结果（如验收证明材料、任意一张该合同支付发票等）证明材料；同时提供所服务企业属于标段五行业的相关证明，如被服务企业营业执照、被服务企业加盖公章的情况说明及其他能证明被服务企业属于标段五行业的材料。不提供被服务企业为标段五行业或提供的材料不明，无法认定所服务企业属于标段五行业的，视为未提供，不予赋分。</w:t>
            </w:r>
            <w:r>
              <w:rPr>
                <w:rFonts w:hint="eastAsia" w:ascii="宋体" w:hAnsi="宋体" w:cs="宋体"/>
                <w:szCs w:val="21"/>
                <w:highlight w:val="none"/>
              </w:rPr>
              <w:t>以上材料要求复印件并加盖投标单位公章。</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24" w:hRule="atLeast"/>
        </w:trPr>
        <w:tc>
          <w:tcPr>
            <w:tcW w:w="8963" w:type="dxa"/>
            <w:gridSpan w:val="4"/>
            <w:noWrap/>
            <w:vAlign w:val="center"/>
          </w:tcPr>
          <w:p>
            <w:pPr>
              <w:widowControl/>
              <w:jc w:val="left"/>
              <w:rPr>
                <w:highlight w:val="none"/>
              </w:rPr>
            </w:pPr>
            <w:r>
              <w:rPr>
                <w:rFonts w:hint="eastAsia"/>
                <w:highlight w:val="none"/>
              </w:rPr>
              <w:t xml:space="preserve">备注： </w:t>
            </w:r>
          </w:p>
          <w:p>
            <w:pPr>
              <w:widowControl/>
              <w:numPr>
                <w:ilvl w:val="0"/>
                <w:numId w:val="12"/>
              </w:numPr>
              <w:jc w:val="left"/>
              <w:rPr>
                <w:highlight w:val="none"/>
              </w:rPr>
            </w:pPr>
            <w:r>
              <w:rPr>
                <w:rFonts w:hint="eastAsia"/>
                <w:highlight w:val="none"/>
              </w:rPr>
              <w:t xml:space="preserve">针对评分标准中评分的每一条，投标供应商在响应文件中均应提供清晰明了的相关资料并做出相应说明供评委评判，不提供相关资料的视为不具备该项得分的条件。 </w:t>
            </w:r>
          </w:p>
          <w:p>
            <w:pPr>
              <w:widowControl/>
              <w:numPr>
                <w:ilvl w:val="0"/>
                <w:numId w:val="12"/>
              </w:numPr>
              <w:jc w:val="left"/>
              <w:rPr>
                <w:highlight w:val="none"/>
              </w:rPr>
            </w:pPr>
            <w:r>
              <w:rPr>
                <w:rFonts w:hint="eastAsia"/>
                <w:highlight w:val="none"/>
              </w:rPr>
              <w:t>联合体所有投标文件以联合体牵头人签字盖章为准。</w:t>
            </w:r>
          </w:p>
          <w:p>
            <w:pPr>
              <w:widowControl/>
              <w:numPr>
                <w:ilvl w:val="0"/>
                <w:numId w:val="12"/>
              </w:numPr>
              <w:jc w:val="left"/>
              <w:rPr>
                <w:highlight w:val="none"/>
              </w:rPr>
            </w:pPr>
            <w:r>
              <w:rPr>
                <w:rFonts w:hint="eastAsia"/>
                <w:b/>
                <w:bCs/>
                <w:highlight w:val="none"/>
              </w:rPr>
              <w:t>标段五商务技术分第二部分的所有内容作为标段五商务技术标第二册（一正六副），标段五</w:t>
            </w:r>
            <w:r>
              <w:rPr>
                <w:rFonts w:hint="eastAsia"/>
                <w:b/>
                <w:bCs/>
                <w:highlight w:val="none"/>
                <w:lang w:val="zh-CN"/>
              </w:rPr>
              <w:t>商务技术标</w:t>
            </w:r>
            <w:r>
              <w:rPr>
                <w:rFonts w:hint="eastAsia"/>
                <w:b/>
                <w:bCs/>
                <w:highlight w:val="none"/>
              </w:rPr>
              <w:t>第二册内容中涉及项目名称的格式都必须为：2022年南通市“智改数转”诊断服务项目标段五。</w:t>
            </w:r>
          </w:p>
        </w:tc>
      </w:tr>
    </w:tbl>
    <w:p>
      <w:pPr>
        <w:widowControl/>
        <w:spacing w:line="240" w:lineRule="atLeast"/>
        <w:rPr>
          <w:rFonts w:ascii="宋体" w:hAnsi="宋体" w:cs="宋体"/>
          <w:b/>
          <w:bCs/>
          <w:kern w:val="0"/>
          <w:sz w:val="24"/>
          <w:highlight w:val="none"/>
        </w:rPr>
      </w:pPr>
    </w:p>
    <w:p>
      <w:pPr>
        <w:pStyle w:val="2"/>
        <w:ind w:firstLine="400"/>
        <w:rPr>
          <w:highlight w:val="none"/>
        </w:rPr>
      </w:pPr>
    </w:p>
    <w:p>
      <w:pPr>
        <w:widowControl/>
        <w:spacing w:line="240" w:lineRule="atLeast"/>
        <w:jc w:val="center"/>
        <w:rPr>
          <w:rFonts w:ascii="宋体" w:hAnsi="宋体" w:cs="宋体"/>
          <w:b/>
          <w:bCs/>
          <w:kern w:val="0"/>
          <w:sz w:val="24"/>
          <w:highlight w:val="none"/>
        </w:rPr>
      </w:pPr>
      <w:r>
        <w:rPr>
          <w:rFonts w:hint="eastAsia" w:ascii="宋体" w:hAnsi="宋体" w:cs="宋体"/>
          <w:b/>
          <w:bCs/>
          <w:kern w:val="0"/>
          <w:sz w:val="24"/>
          <w:highlight w:val="none"/>
        </w:rPr>
        <w:t>标段六商务技术分第二部分</w:t>
      </w:r>
    </w:p>
    <w:tbl>
      <w:tblPr>
        <w:tblStyle w:val="41"/>
        <w:tblW w:w="8963" w:type="dxa"/>
        <w:tblInd w:w="-23"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841"/>
        <w:gridCol w:w="1306"/>
        <w:gridCol w:w="804"/>
        <w:gridCol w:w="6012"/>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2" w:hRule="atLeast"/>
        </w:trPr>
        <w:tc>
          <w:tcPr>
            <w:tcW w:w="8963" w:type="dxa"/>
            <w:gridSpan w:val="4"/>
            <w:noWrap/>
            <w:vAlign w:val="center"/>
          </w:tcPr>
          <w:p>
            <w:pPr>
              <w:widowControl/>
              <w:spacing w:line="240" w:lineRule="atLeast"/>
              <w:jc w:val="center"/>
              <w:rPr>
                <w:highlight w:val="none"/>
              </w:rPr>
            </w:pPr>
            <w:r>
              <w:rPr>
                <w:rFonts w:hint="eastAsia" w:ascii="宋体" w:hAnsi="宋体" w:cs="宋体"/>
                <w:b/>
                <w:bCs/>
                <w:kern w:val="0"/>
                <w:sz w:val="24"/>
                <w:highlight w:val="none"/>
              </w:rPr>
              <w:t>商务技术分第二部分（所投标段相关）</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841" w:type="dxa"/>
            <w:noWrap/>
            <w:vAlign w:val="center"/>
          </w:tcPr>
          <w:p>
            <w:pPr>
              <w:widowControl/>
              <w:spacing w:line="240" w:lineRule="atLeast"/>
              <w:jc w:val="center"/>
              <w:rPr>
                <w:rFonts w:ascii="宋体" w:hAnsi="宋体" w:cs="宋体"/>
                <w:b/>
                <w:bCs/>
                <w:kern w:val="0"/>
                <w:sz w:val="24"/>
                <w:highlight w:val="none"/>
                <w:lang w:val="zh-CN"/>
              </w:rPr>
            </w:pPr>
            <w:r>
              <w:rPr>
                <w:rFonts w:hint="eastAsia" w:ascii="宋体" w:hAnsi="宋体" w:cs="宋体"/>
                <w:b/>
                <w:bCs/>
                <w:kern w:val="0"/>
                <w:sz w:val="24"/>
                <w:highlight w:val="none"/>
                <w:lang w:val="zh-CN"/>
              </w:rPr>
              <w:t>评审</w:t>
            </w:r>
          </w:p>
          <w:p>
            <w:pPr>
              <w:widowControl/>
              <w:spacing w:line="240" w:lineRule="atLeast"/>
              <w:jc w:val="center"/>
              <w:rPr>
                <w:highlight w:val="none"/>
              </w:rPr>
            </w:pPr>
            <w:r>
              <w:rPr>
                <w:rFonts w:hint="eastAsia" w:ascii="宋体" w:hAnsi="宋体" w:cs="宋体"/>
                <w:b/>
                <w:bCs/>
                <w:kern w:val="0"/>
                <w:sz w:val="24"/>
                <w:highlight w:val="none"/>
                <w:lang w:val="zh-CN"/>
              </w:rPr>
              <w:t>因素</w:t>
            </w:r>
          </w:p>
        </w:tc>
        <w:tc>
          <w:tcPr>
            <w:tcW w:w="1306" w:type="dxa"/>
            <w:noWrap/>
            <w:vAlign w:val="center"/>
          </w:tcPr>
          <w:p>
            <w:pPr>
              <w:widowControl/>
              <w:spacing w:line="240" w:lineRule="atLeast"/>
              <w:jc w:val="center"/>
              <w:rPr>
                <w:highlight w:val="none"/>
              </w:rPr>
            </w:pPr>
            <w:r>
              <w:rPr>
                <w:rFonts w:hint="eastAsia" w:ascii="宋体" w:hAnsi="宋体" w:cs="宋体"/>
                <w:b/>
                <w:bCs/>
                <w:kern w:val="0"/>
                <w:sz w:val="24"/>
                <w:highlight w:val="none"/>
              </w:rPr>
              <w:t>评审项目</w:t>
            </w:r>
          </w:p>
        </w:tc>
        <w:tc>
          <w:tcPr>
            <w:tcW w:w="804" w:type="dxa"/>
            <w:noWrap/>
            <w:vAlign w:val="center"/>
          </w:tcPr>
          <w:p>
            <w:pPr>
              <w:widowControl/>
              <w:spacing w:line="240" w:lineRule="atLeast"/>
              <w:jc w:val="center"/>
              <w:rPr>
                <w:highlight w:val="none"/>
              </w:rPr>
            </w:pPr>
            <w:r>
              <w:rPr>
                <w:rFonts w:hint="eastAsia" w:ascii="宋体" w:hAnsi="宋体" w:cs="宋体"/>
                <w:b/>
                <w:bCs/>
                <w:kern w:val="0"/>
                <w:sz w:val="24"/>
                <w:highlight w:val="none"/>
              </w:rPr>
              <w:t>分值</w:t>
            </w:r>
          </w:p>
        </w:tc>
        <w:tc>
          <w:tcPr>
            <w:tcW w:w="6012" w:type="dxa"/>
            <w:noWrap/>
            <w:vAlign w:val="center"/>
          </w:tcPr>
          <w:p>
            <w:pPr>
              <w:widowControl/>
              <w:spacing w:line="240" w:lineRule="atLeast"/>
              <w:jc w:val="center"/>
              <w:rPr>
                <w:highlight w:val="none"/>
              </w:rPr>
            </w:pPr>
            <w:r>
              <w:rPr>
                <w:rFonts w:hint="eastAsia" w:ascii="宋体" w:hAnsi="宋体" w:cs="宋体"/>
                <w:b/>
                <w:bCs/>
                <w:kern w:val="0"/>
                <w:sz w:val="24"/>
                <w:highlight w:val="none"/>
              </w:rPr>
              <w:t>评审标准</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2" w:hRule="atLeast"/>
        </w:trPr>
        <w:tc>
          <w:tcPr>
            <w:tcW w:w="841" w:type="dxa"/>
            <w:noWrap/>
            <w:vAlign w:val="center"/>
          </w:tcPr>
          <w:p>
            <w:pPr>
              <w:widowControl/>
              <w:spacing w:line="240" w:lineRule="atLeast"/>
              <w:jc w:val="center"/>
              <w:rPr>
                <w:rFonts w:ascii="宋体" w:hAnsi="宋体" w:cs="宋体"/>
                <w:b/>
                <w:bCs/>
                <w:kern w:val="0"/>
                <w:sz w:val="24"/>
                <w:highlight w:val="none"/>
                <w:lang w:val="zh-CN"/>
              </w:rPr>
            </w:pPr>
            <w:r>
              <w:rPr>
                <w:rFonts w:hint="eastAsia" w:ascii="宋体" w:hAnsi="宋体" w:cs="宋体"/>
                <w:kern w:val="0"/>
                <w:szCs w:val="21"/>
                <w:highlight w:val="none"/>
                <w:lang w:val="zh-CN"/>
              </w:rPr>
              <w:t>项目认识与理解（</w:t>
            </w:r>
            <w:r>
              <w:rPr>
                <w:rFonts w:hint="eastAsia" w:ascii="宋体" w:hAnsi="宋体" w:cs="宋体"/>
                <w:kern w:val="0"/>
                <w:szCs w:val="21"/>
                <w:highlight w:val="none"/>
              </w:rPr>
              <w:t>4分</w:t>
            </w:r>
            <w:r>
              <w:rPr>
                <w:rFonts w:hint="eastAsia" w:ascii="宋体" w:hAnsi="宋体" w:cs="宋体"/>
                <w:kern w:val="0"/>
                <w:szCs w:val="21"/>
                <w:highlight w:val="none"/>
                <w:lang w:val="zh-CN"/>
              </w:rPr>
              <w:t>）</w:t>
            </w:r>
          </w:p>
        </w:tc>
        <w:tc>
          <w:tcPr>
            <w:tcW w:w="1306" w:type="dxa"/>
            <w:noWrap/>
            <w:vAlign w:val="center"/>
          </w:tcPr>
          <w:p>
            <w:pPr>
              <w:widowControl/>
              <w:spacing w:line="240" w:lineRule="atLeast"/>
              <w:jc w:val="center"/>
              <w:rPr>
                <w:rFonts w:ascii="宋体" w:hAnsi="宋体" w:cs="宋体"/>
                <w:b/>
                <w:bCs/>
                <w:kern w:val="0"/>
                <w:sz w:val="24"/>
                <w:highlight w:val="none"/>
              </w:rPr>
            </w:pPr>
            <w:r>
              <w:rPr>
                <w:rFonts w:hint="eastAsia" w:ascii="宋体" w:hAnsi="宋体" w:cs="宋体"/>
                <w:szCs w:val="21"/>
                <w:highlight w:val="none"/>
                <w:lang w:val="zh-CN"/>
              </w:rPr>
              <w:t>对标段六</w:t>
            </w:r>
            <w:r>
              <w:rPr>
                <w:rFonts w:hint="eastAsia" w:ascii="宋体" w:hAnsi="宋体" w:cs="宋体"/>
                <w:szCs w:val="21"/>
                <w:highlight w:val="none"/>
              </w:rPr>
              <w:t>涉及</w:t>
            </w:r>
            <w:r>
              <w:rPr>
                <w:rFonts w:hint="eastAsia" w:ascii="宋体" w:hAnsi="宋体" w:cs="宋体"/>
                <w:szCs w:val="21"/>
                <w:highlight w:val="none"/>
                <w:lang w:val="zh-CN"/>
              </w:rPr>
              <w:t>行业改造转型的理解</w:t>
            </w:r>
          </w:p>
        </w:tc>
        <w:tc>
          <w:tcPr>
            <w:tcW w:w="804" w:type="dxa"/>
            <w:noWrap/>
            <w:vAlign w:val="center"/>
          </w:tcPr>
          <w:p>
            <w:pPr>
              <w:widowControl/>
              <w:spacing w:line="240" w:lineRule="atLeast"/>
              <w:jc w:val="center"/>
              <w:rPr>
                <w:rFonts w:ascii="宋体" w:hAnsi="宋体" w:cs="宋体"/>
                <w:b/>
                <w:bCs/>
                <w:kern w:val="0"/>
                <w:sz w:val="24"/>
                <w:highlight w:val="none"/>
              </w:rPr>
            </w:pPr>
            <w:r>
              <w:rPr>
                <w:rFonts w:hint="eastAsia"/>
                <w:highlight w:val="none"/>
              </w:rPr>
              <w:t>4分</w:t>
            </w:r>
          </w:p>
        </w:tc>
        <w:tc>
          <w:tcPr>
            <w:tcW w:w="6012" w:type="dxa"/>
            <w:noWrap/>
            <w:vAlign w:val="center"/>
          </w:tcPr>
          <w:p>
            <w:pPr>
              <w:rPr>
                <w:highlight w:val="none"/>
              </w:rPr>
            </w:pPr>
            <w:r>
              <w:rPr>
                <w:rFonts w:hint="eastAsia"/>
                <w:highlight w:val="none"/>
              </w:rPr>
              <w:t>（1）能够明确分析论证标段六的行业特点、分布特征，提出南通推进该行业智能化改造和数字化转型的方法论得当，对企业通过实施智能化改造实现转型升级的路径分析合理，得4分。</w:t>
            </w:r>
          </w:p>
          <w:p>
            <w:pPr>
              <w:rPr>
                <w:highlight w:val="none"/>
              </w:rPr>
            </w:pPr>
            <w:r>
              <w:rPr>
                <w:rFonts w:hint="eastAsia"/>
                <w:highlight w:val="none"/>
              </w:rPr>
              <w:t>（2）对标段六行业的特点、分布特征有一定的梳理，提出南通推进该行业智能化改造和数字化转型的思路，对企业通过实施智能化改造实现转型升级的路径分析一般，得2.5分。</w:t>
            </w:r>
          </w:p>
          <w:p>
            <w:pPr>
              <w:rPr>
                <w:highlight w:val="none"/>
              </w:rPr>
            </w:pPr>
            <w:r>
              <w:rPr>
                <w:rFonts w:hint="eastAsia"/>
                <w:highlight w:val="none"/>
              </w:rPr>
              <w:t>（3）对标段六行业的特点、分布特征描述模糊，对南通推进该行业智能化改造和数字化转型的思路和企业改造转型的路径分析不清，得1分。</w:t>
            </w:r>
          </w:p>
          <w:p>
            <w:pPr>
              <w:rPr>
                <w:highlight w:val="none"/>
              </w:rPr>
            </w:pPr>
            <w:r>
              <w:rPr>
                <w:rFonts w:hint="eastAsia" w:hAnsi="宋体" w:cs="宋体"/>
                <w:szCs w:val="21"/>
                <w:highlight w:val="none"/>
              </w:rPr>
              <w:t>所投标段中有2个以上行业的，涉及行业属性的，提供所投标段的主要行业相关材料，标段六主要行业：</w:t>
            </w:r>
            <w:r>
              <w:rPr>
                <w:rFonts w:hint="eastAsia"/>
                <w:highlight w:val="none"/>
              </w:rPr>
              <w:t>新能源产业。</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2" w:hRule="atLeast"/>
        </w:trPr>
        <w:tc>
          <w:tcPr>
            <w:tcW w:w="841" w:type="dxa"/>
            <w:vMerge w:val="restart"/>
            <w:noWrap/>
            <w:vAlign w:val="center"/>
          </w:tcPr>
          <w:p>
            <w:pPr>
              <w:widowControl/>
              <w:spacing w:line="240" w:lineRule="atLeast"/>
              <w:jc w:val="center"/>
              <w:rPr>
                <w:rFonts w:ascii="宋体" w:hAnsi="宋体" w:cs="宋体"/>
                <w:kern w:val="0"/>
                <w:szCs w:val="21"/>
                <w:highlight w:val="none"/>
                <w:lang w:val="zh-CN"/>
              </w:rPr>
            </w:pPr>
            <w:r>
              <w:rPr>
                <w:rFonts w:hint="eastAsia" w:ascii="宋体" w:hAnsi="宋体" w:cs="宋体"/>
                <w:kern w:val="0"/>
                <w:szCs w:val="21"/>
                <w:highlight w:val="none"/>
                <w:lang w:val="zh-CN"/>
              </w:rPr>
              <w:t>项目方案与实施（</w:t>
            </w:r>
            <w:r>
              <w:rPr>
                <w:rFonts w:hint="eastAsia" w:ascii="宋体" w:hAnsi="宋体" w:cs="宋体"/>
                <w:kern w:val="0"/>
                <w:szCs w:val="21"/>
                <w:highlight w:val="none"/>
              </w:rPr>
              <w:t>16</w:t>
            </w:r>
            <w:r>
              <w:rPr>
                <w:rFonts w:hint="eastAsia" w:ascii="宋体" w:hAnsi="宋体" w:cs="宋体"/>
                <w:kern w:val="0"/>
                <w:szCs w:val="21"/>
                <w:highlight w:val="none"/>
                <w:lang w:val="en-US" w:eastAsia="zh-CN"/>
              </w:rPr>
              <w:t>分</w:t>
            </w:r>
            <w:r>
              <w:rPr>
                <w:rFonts w:hint="eastAsia" w:ascii="宋体" w:hAnsi="宋体" w:cs="宋体"/>
                <w:kern w:val="0"/>
                <w:szCs w:val="21"/>
                <w:highlight w:val="none"/>
                <w:lang w:val="zh-CN"/>
              </w:rPr>
              <w:t>）</w:t>
            </w:r>
          </w:p>
        </w:tc>
        <w:tc>
          <w:tcPr>
            <w:tcW w:w="1306" w:type="dxa"/>
            <w:noWrap/>
            <w:vAlign w:val="center"/>
          </w:tcPr>
          <w:p>
            <w:pPr>
              <w:rPr>
                <w:rFonts w:ascii="宋体" w:hAnsi="宋体" w:cs="宋体"/>
                <w:szCs w:val="21"/>
                <w:highlight w:val="none"/>
                <w:lang w:val="zh-CN"/>
              </w:rPr>
            </w:pPr>
            <w:r>
              <w:rPr>
                <w:rFonts w:hint="eastAsia" w:ascii="宋体" w:hAnsi="宋体" w:cs="宋体"/>
                <w:szCs w:val="21"/>
                <w:highlight w:val="none"/>
                <w:lang w:val="zh-CN"/>
              </w:rPr>
              <w:t>标段六</w:t>
            </w:r>
            <w:r>
              <w:rPr>
                <w:rFonts w:hint="eastAsia" w:ascii="宋体" w:hAnsi="宋体" w:cs="宋体"/>
                <w:szCs w:val="21"/>
                <w:highlight w:val="none"/>
              </w:rPr>
              <w:t>行业</w:t>
            </w:r>
            <w:r>
              <w:rPr>
                <w:rFonts w:hint="eastAsia" w:ascii="宋体" w:hAnsi="宋体" w:cs="宋体"/>
                <w:szCs w:val="21"/>
                <w:highlight w:val="none"/>
                <w:lang w:val="zh-CN"/>
              </w:rPr>
              <w:t>诊断服务方案</w:t>
            </w:r>
          </w:p>
        </w:tc>
        <w:tc>
          <w:tcPr>
            <w:tcW w:w="804" w:type="dxa"/>
            <w:noWrap/>
            <w:vAlign w:val="center"/>
          </w:tcPr>
          <w:p>
            <w:pPr>
              <w:jc w:val="center"/>
              <w:rPr>
                <w:rFonts w:ascii="宋体" w:hAnsi="宋体" w:cs="宋体"/>
                <w:b/>
                <w:bCs/>
                <w:kern w:val="0"/>
                <w:sz w:val="24"/>
                <w:highlight w:val="none"/>
              </w:rPr>
            </w:pPr>
            <w:r>
              <w:rPr>
                <w:rFonts w:hint="eastAsia" w:ascii="宋体" w:hAnsi="宋体" w:cs="宋体"/>
                <w:szCs w:val="21"/>
                <w:highlight w:val="none"/>
              </w:rPr>
              <w:t>4分</w:t>
            </w:r>
          </w:p>
        </w:tc>
        <w:tc>
          <w:tcPr>
            <w:tcW w:w="6012" w:type="dxa"/>
            <w:noWrap/>
            <w:vAlign w:val="center"/>
          </w:tcPr>
          <w:p>
            <w:pPr>
              <w:rPr>
                <w:highlight w:val="none"/>
              </w:rPr>
            </w:pPr>
            <w:r>
              <w:rPr>
                <w:rFonts w:hint="eastAsia"/>
                <w:highlight w:val="none"/>
              </w:rPr>
              <w:t>（1）方案诊断评估方法先进，能够深入结合标段六行业特点，能从生产、管理、物流、仓储等重点环节对被诊断企业的智能化、数字化水平进行全面现状调研，描述清晰明确，与企业内部要素之间衔接和匹配度高，现场评估问诊过程可行，得4分。</w:t>
            </w:r>
          </w:p>
          <w:p>
            <w:pPr>
              <w:rPr>
                <w:highlight w:val="none"/>
              </w:rPr>
            </w:pPr>
            <w:r>
              <w:rPr>
                <w:rFonts w:hint="eastAsia"/>
                <w:highlight w:val="none"/>
              </w:rPr>
              <w:t>（2）方案诊断评估方法合理，参考了一定的标段六行业特点，从生产、管理、物流、仓储等重点环节对被诊断企业的智能化水平进行一般现状调研，描述较清晰，与企业内部要素之间衔接和匹配度较高，现场评估问诊过程基本可行，得2分。</w:t>
            </w:r>
          </w:p>
          <w:p>
            <w:pPr>
              <w:rPr>
                <w:highlight w:val="none"/>
              </w:rPr>
            </w:pPr>
            <w:r>
              <w:rPr>
                <w:rFonts w:hint="eastAsia"/>
                <w:highlight w:val="none"/>
              </w:rPr>
              <w:t>（3）方案诊断评估方法一般，未充分考虑标段六行业特点，从生产、管理、物流、仓储等重点环节对被诊断企业的智能化水平进行基本现状调研，描述不清晰，与企业内部要素之间衔接和匹配度低，现场评估问诊过程可行性不高，得1分。</w:t>
            </w:r>
          </w:p>
          <w:p>
            <w:pPr>
              <w:rPr>
                <w:highlight w:val="none"/>
              </w:rPr>
            </w:pPr>
            <w:r>
              <w:rPr>
                <w:rFonts w:hint="eastAsia" w:hAnsi="宋体" w:cs="宋体"/>
                <w:szCs w:val="21"/>
                <w:highlight w:val="none"/>
              </w:rPr>
              <w:t>所投标段中有2个以上行业的，涉及行业属性的，提供所投标段的主要行业相关材料，标段六主要行业：</w:t>
            </w:r>
            <w:r>
              <w:rPr>
                <w:rFonts w:hint="eastAsia"/>
                <w:highlight w:val="none"/>
              </w:rPr>
              <w:t>新能源产业。</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2" w:hRule="atLeast"/>
        </w:trPr>
        <w:tc>
          <w:tcPr>
            <w:tcW w:w="841" w:type="dxa"/>
            <w:vMerge w:val="continue"/>
            <w:noWrap/>
            <w:vAlign w:val="center"/>
          </w:tcPr>
          <w:p>
            <w:pPr>
              <w:widowControl/>
              <w:spacing w:line="240" w:lineRule="atLeast"/>
              <w:jc w:val="center"/>
              <w:rPr>
                <w:rFonts w:ascii="宋体" w:hAnsi="宋体" w:cs="宋体"/>
                <w:kern w:val="0"/>
                <w:szCs w:val="21"/>
                <w:highlight w:val="none"/>
                <w:lang w:val="zh-CN"/>
              </w:rPr>
            </w:pPr>
          </w:p>
        </w:tc>
        <w:tc>
          <w:tcPr>
            <w:tcW w:w="1306" w:type="dxa"/>
            <w:noWrap/>
            <w:vAlign w:val="center"/>
          </w:tcPr>
          <w:p>
            <w:pPr>
              <w:rPr>
                <w:rFonts w:ascii="宋体" w:hAnsi="宋体" w:cs="宋体"/>
                <w:szCs w:val="21"/>
                <w:highlight w:val="none"/>
                <w:lang w:val="zh-CN"/>
              </w:rPr>
            </w:pPr>
            <w:r>
              <w:rPr>
                <w:rFonts w:hint="eastAsia" w:ascii="宋体" w:hAnsi="宋体" w:cs="宋体"/>
                <w:szCs w:val="21"/>
                <w:highlight w:val="none"/>
                <w:lang w:val="zh-CN"/>
              </w:rPr>
              <w:t>标段六诊断项目组织</w:t>
            </w:r>
            <w:r>
              <w:rPr>
                <w:rFonts w:hint="eastAsia" w:ascii="宋体" w:hAnsi="宋体" w:cs="宋体"/>
                <w:szCs w:val="21"/>
                <w:highlight w:val="none"/>
              </w:rPr>
              <w:t>保障</w:t>
            </w:r>
          </w:p>
        </w:tc>
        <w:tc>
          <w:tcPr>
            <w:tcW w:w="804" w:type="dxa"/>
            <w:noWrap/>
            <w:vAlign w:val="center"/>
          </w:tcPr>
          <w:p>
            <w:pPr>
              <w:jc w:val="center"/>
              <w:rPr>
                <w:rFonts w:ascii="宋体" w:hAnsi="宋体" w:cs="宋体"/>
                <w:b/>
                <w:bCs/>
                <w:kern w:val="0"/>
                <w:sz w:val="24"/>
                <w:highlight w:val="none"/>
              </w:rPr>
            </w:pPr>
            <w:r>
              <w:rPr>
                <w:rFonts w:hint="eastAsia" w:ascii="宋体" w:hAnsi="宋体" w:cs="宋体"/>
                <w:szCs w:val="21"/>
                <w:highlight w:val="none"/>
              </w:rPr>
              <w:t>4分</w:t>
            </w:r>
          </w:p>
        </w:tc>
        <w:tc>
          <w:tcPr>
            <w:tcW w:w="6012" w:type="dxa"/>
            <w:noWrap/>
            <w:vAlign w:val="center"/>
          </w:tcPr>
          <w:p>
            <w:pPr>
              <w:rPr>
                <w:highlight w:val="none"/>
              </w:rPr>
            </w:pPr>
            <w:r>
              <w:rPr>
                <w:rFonts w:hint="eastAsia"/>
                <w:highlight w:val="none"/>
              </w:rPr>
              <w:t>（1）项目组织体系和架构配置合理，行业、技术等专家资源充分，团队职责清晰、分工明确（包含联合体各成员单位职责分工），组织严谨得当，能够保证项目方案顺利实施，得4分。</w:t>
            </w:r>
          </w:p>
          <w:p>
            <w:pPr>
              <w:rPr>
                <w:highlight w:val="none"/>
              </w:rPr>
            </w:pPr>
            <w:r>
              <w:rPr>
                <w:rFonts w:hint="eastAsia"/>
                <w:highlight w:val="none"/>
              </w:rPr>
              <w:t>（2）项目组织体系和架构配置较合理，行业、技术等资源较多，团队职责较清晰、分工较明确（包含联合体各成员单位职责分工），组织较合理，基本能够保证项目方案实施，得2分。</w:t>
            </w:r>
          </w:p>
          <w:p>
            <w:pPr>
              <w:rPr>
                <w:highlight w:val="none"/>
              </w:rPr>
            </w:pPr>
            <w:r>
              <w:rPr>
                <w:rFonts w:hint="eastAsia"/>
                <w:highlight w:val="none"/>
              </w:rPr>
              <w:t>（3）项目具备组织体系和架构配置，拥有一定的行业、技术等专家资源，团队职责和分工一般（包含联合体各成员单位职责分工），组织薄弱，项目方案实施有一定难度，得1分。</w:t>
            </w:r>
          </w:p>
          <w:p>
            <w:pPr>
              <w:pStyle w:val="49"/>
              <w:ind w:firstLine="0"/>
              <w:rPr>
                <w:rFonts w:hAnsi="宋体" w:cs="宋体"/>
                <w:szCs w:val="21"/>
                <w:highlight w:val="none"/>
              </w:rPr>
            </w:pPr>
            <w:r>
              <w:rPr>
                <w:rFonts w:hint="eastAsia" w:hAnsi="宋体" w:cs="宋体"/>
                <w:szCs w:val="21"/>
                <w:highlight w:val="none"/>
              </w:rPr>
              <w:t>所投标段中有2个以上行业的，涉及行业属性的，提供所投标段的主要行业相关材料，标段六主要行业：</w:t>
            </w:r>
            <w:r>
              <w:rPr>
                <w:rFonts w:hint="eastAsia"/>
                <w:highlight w:val="none"/>
              </w:rPr>
              <w:t>新能源产业。</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2" w:hRule="atLeast"/>
        </w:trPr>
        <w:tc>
          <w:tcPr>
            <w:tcW w:w="841" w:type="dxa"/>
            <w:vMerge w:val="continue"/>
            <w:noWrap/>
            <w:vAlign w:val="center"/>
          </w:tcPr>
          <w:p>
            <w:pPr>
              <w:widowControl/>
              <w:spacing w:line="240" w:lineRule="atLeast"/>
              <w:jc w:val="center"/>
              <w:rPr>
                <w:rFonts w:ascii="宋体" w:hAnsi="宋体" w:cs="宋体"/>
                <w:kern w:val="0"/>
                <w:szCs w:val="21"/>
                <w:highlight w:val="none"/>
                <w:lang w:val="zh-CN"/>
              </w:rPr>
            </w:pPr>
          </w:p>
        </w:tc>
        <w:tc>
          <w:tcPr>
            <w:tcW w:w="1306" w:type="dxa"/>
            <w:noWrap/>
            <w:vAlign w:val="center"/>
          </w:tcPr>
          <w:p>
            <w:pPr>
              <w:rPr>
                <w:rFonts w:ascii="宋体" w:hAnsi="宋体" w:cs="宋体"/>
                <w:szCs w:val="21"/>
                <w:highlight w:val="none"/>
                <w:lang w:val="zh-CN"/>
              </w:rPr>
            </w:pPr>
            <w:r>
              <w:rPr>
                <w:rFonts w:hint="eastAsia" w:ascii="宋体" w:hAnsi="宋体" w:cs="宋体"/>
                <w:szCs w:val="21"/>
                <w:highlight w:val="none"/>
                <w:lang w:val="zh-CN"/>
              </w:rPr>
              <w:t>诊断项目综合管理</w:t>
            </w:r>
          </w:p>
        </w:tc>
        <w:tc>
          <w:tcPr>
            <w:tcW w:w="804" w:type="dxa"/>
            <w:noWrap/>
            <w:vAlign w:val="center"/>
          </w:tcPr>
          <w:p>
            <w:pPr>
              <w:jc w:val="center"/>
              <w:rPr>
                <w:rFonts w:ascii="宋体" w:hAnsi="宋体" w:cs="宋体"/>
                <w:szCs w:val="21"/>
                <w:highlight w:val="none"/>
              </w:rPr>
            </w:pPr>
            <w:r>
              <w:rPr>
                <w:rFonts w:hint="eastAsia" w:ascii="宋体" w:hAnsi="宋体" w:cs="宋体"/>
                <w:szCs w:val="21"/>
                <w:highlight w:val="none"/>
              </w:rPr>
              <w:t>4分</w:t>
            </w:r>
          </w:p>
        </w:tc>
        <w:tc>
          <w:tcPr>
            <w:tcW w:w="6012" w:type="dxa"/>
            <w:noWrap/>
            <w:vAlign w:val="center"/>
          </w:tcPr>
          <w:p>
            <w:pPr>
              <w:rPr>
                <w:highlight w:val="none"/>
              </w:rPr>
            </w:pPr>
            <w:r>
              <w:rPr>
                <w:rFonts w:hint="eastAsia"/>
                <w:highlight w:val="none"/>
              </w:rPr>
              <w:t>（1）项目进度安排合理，各环节衔接顺畅，综合协调管理水平高，内容详实，能够有效完成标段六任务目标，得4分。</w:t>
            </w:r>
          </w:p>
          <w:p>
            <w:pPr>
              <w:rPr>
                <w:highlight w:val="none"/>
              </w:rPr>
            </w:pPr>
            <w:r>
              <w:rPr>
                <w:rFonts w:hint="eastAsia"/>
                <w:highlight w:val="none"/>
              </w:rPr>
              <w:t>（2）项目进度安排较合理，各环节衔接较顺畅，综合协调管理水平较高，内容较详实，基本能够完成标段六任务目标，得2分。</w:t>
            </w:r>
          </w:p>
          <w:p>
            <w:pPr>
              <w:rPr>
                <w:highlight w:val="none"/>
              </w:rPr>
            </w:pPr>
            <w:r>
              <w:rPr>
                <w:rFonts w:hint="eastAsia"/>
                <w:highlight w:val="none"/>
              </w:rPr>
              <w:t>（3）项目进度安排一般，各环节衔接程度一般，综合协调管理水平一般，具备一定内容，完成标段六任务目标有一定难度，得1分。</w:t>
            </w:r>
          </w:p>
          <w:p>
            <w:pPr>
              <w:rPr>
                <w:highlight w:val="none"/>
              </w:rPr>
            </w:pPr>
            <w:r>
              <w:rPr>
                <w:rFonts w:hint="eastAsia" w:hAnsi="宋体" w:cs="宋体"/>
                <w:szCs w:val="21"/>
                <w:highlight w:val="none"/>
              </w:rPr>
              <w:t>所投标段中有2个以上行业的，涉及行业属性的，提供所投标段的主要行业相关材料，标段六主要行业：</w:t>
            </w:r>
            <w:r>
              <w:rPr>
                <w:rFonts w:hint="eastAsia"/>
                <w:highlight w:val="none"/>
              </w:rPr>
              <w:t>新能源产业。</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2" w:hRule="atLeast"/>
        </w:trPr>
        <w:tc>
          <w:tcPr>
            <w:tcW w:w="841" w:type="dxa"/>
            <w:vMerge w:val="continue"/>
            <w:noWrap/>
            <w:vAlign w:val="center"/>
          </w:tcPr>
          <w:p>
            <w:pPr>
              <w:widowControl/>
              <w:spacing w:line="240" w:lineRule="atLeast"/>
              <w:jc w:val="center"/>
              <w:rPr>
                <w:rFonts w:ascii="宋体" w:hAnsi="宋体" w:cs="宋体"/>
                <w:kern w:val="0"/>
                <w:szCs w:val="21"/>
                <w:highlight w:val="none"/>
                <w:lang w:val="zh-CN"/>
              </w:rPr>
            </w:pPr>
          </w:p>
        </w:tc>
        <w:tc>
          <w:tcPr>
            <w:tcW w:w="1306" w:type="dxa"/>
            <w:noWrap/>
            <w:vAlign w:val="center"/>
          </w:tcPr>
          <w:p>
            <w:pPr>
              <w:rPr>
                <w:rFonts w:ascii="宋体" w:hAnsi="宋体" w:cs="宋体"/>
                <w:szCs w:val="21"/>
                <w:highlight w:val="none"/>
                <w:lang w:val="zh-CN"/>
              </w:rPr>
            </w:pPr>
            <w:r>
              <w:rPr>
                <w:rFonts w:hint="eastAsia" w:ascii="宋体" w:hAnsi="宋体" w:cs="宋体"/>
                <w:szCs w:val="21"/>
                <w:highlight w:val="none"/>
                <w:lang w:val="zh-CN"/>
              </w:rPr>
              <w:t>诊断项目诊断报告编制思路</w:t>
            </w:r>
          </w:p>
        </w:tc>
        <w:tc>
          <w:tcPr>
            <w:tcW w:w="804" w:type="dxa"/>
            <w:noWrap/>
            <w:vAlign w:val="center"/>
          </w:tcPr>
          <w:p>
            <w:pPr>
              <w:jc w:val="center"/>
              <w:rPr>
                <w:rFonts w:ascii="宋体" w:hAnsi="宋体" w:cs="宋体"/>
                <w:szCs w:val="21"/>
                <w:highlight w:val="none"/>
              </w:rPr>
            </w:pPr>
            <w:r>
              <w:rPr>
                <w:rFonts w:hint="eastAsia" w:ascii="宋体" w:hAnsi="宋体" w:cs="宋体"/>
                <w:szCs w:val="21"/>
                <w:highlight w:val="none"/>
              </w:rPr>
              <w:t>4分</w:t>
            </w:r>
          </w:p>
        </w:tc>
        <w:tc>
          <w:tcPr>
            <w:tcW w:w="6012" w:type="dxa"/>
            <w:noWrap/>
            <w:vAlign w:val="center"/>
          </w:tcPr>
          <w:p>
            <w:pPr>
              <w:rPr>
                <w:rFonts w:ascii="宋体" w:hAnsi="宋体" w:cs="宋体"/>
                <w:szCs w:val="21"/>
                <w:highlight w:val="none"/>
              </w:rPr>
            </w:pPr>
            <w:r>
              <w:rPr>
                <w:rFonts w:hint="eastAsia" w:ascii="宋体" w:hAnsi="宋体" w:cs="宋体"/>
                <w:szCs w:val="21"/>
                <w:highlight w:val="none"/>
              </w:rPr>
              <w:t>（1）对报告的整体构架有清晰的描述，撰写思路清晰完整、重点任务明确、分析方法得当，能提供具有行业代表性、针对性的解决方案，实施路径切实可行，得4分。</w:t>
            </w:r>
          </w:p>
          <w:p>
            <w:pPr>
              <w:rPr>
                <w:rFonts w:ascii="宋体" w:hAnsi="宋体" w:cs="宋体"/>
                <w:szCs w:val="21"/>
                <w:highlight w:val="none"/>
              </w:rPr>
            </w:pPr>
            <w:r>
              <w:rPr>
                <w:rFonts w:hint="eastAsia" w:ascii="宋体" w:hAnsi="宋体" w:cs="宋体"/>
                <w:szCs w:val="21"/>
                <w:highlight w:val="none"/>
              </w:rPr>
              <w:t>（2）对报告的整体构架有较清晰的描述，撰写思路较完整、重点任务较明确、分析方法适当，能提供行业解决方案，实施路径切具有一定可行性，得2分。</w:t>
            </w:r>
          </w:p>
          <w:p>
            <w:pPr>
              <w:rPr>
                <w:rFonts w:ascii="宋体" w:hAnsi="宋体" w:cs="宋体"/>
                <w:szCs w:val="21"/>
                <w:highlight w:val="none"/>
              </w:rPr>
            </w:pPr>
            <w:r>
              <w:rPr>
                <w:rFonts w:hint="eastAsia" w:ascii="宋体" w:hAnsi="宋体" w:cs="宋体"/>
                <w:szCs w:val="21"/>
                <w:highlight w:val="none"/>
              </w:rPr>
              <w:t>（3）对报告的整体构架的描述不够清晰，撰写思路模糊、重点任务不明确、分析方法适当性不强，提供解决方案缺乏代表和依据，实施路径有难度，得1分。</w:t>
            </w:r>
          </w:p>
          <w:p>
            <w:pPr>
              <w:rPr>
                <w:rFonts w:hAnsi="宋体" w:cs="宋体"/>
                <w:szCs w:val="21"/>
                <w:highlight w:val="none"/>
              </w:rPr>
            </w:pPr>
            <w:r>
              <w:rPr>
                <w:rFonts w:hint="eastAsia" w:hAnsi="宋体" w:cs="宋体"/>
                <w:szCs w:val="21"/>
                <w:highlight w:val="none"/>
              </w:rPr>
              <w:t>所投标段中有2个以上行业的，涉及行业属性的，提供所投标段的主要行业相关材料，标段六主要行业：</w:t>
            </w:r>
            <w:r>
              <w:rPr>
                <w:rFonts w:hint="eastAsia"/>
                <w:highlight w:val="none"/>
              </w:rPr>
              <w:t>新能源产业。</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2" w:hRule="atLeast"/>
        </w:trPr>
        <w:tc>
          <w:tcPr>
            <w:tcW w:w="841" w:type="dxa"/>
            <w:noWrap/>
            <w:vAlign w:val="center"/>
          </w:tcPr>
          <w:p>
            <w:pPr>
              <w:widowControl/>
              <w:spacing w:line="240" w:lineRule="atLeast"/>
              <w:jc w:val="center"/>
              <w:rPr>
                <w:rFonts w:ascii="宋体" w:hAnsi="宋体" w:cs="宋体"/>
                <w:kern w:val="0"/>
                <w:szCs w:val="21"/>
                <w:highlight w:val="none"/>
                <w:lang w:val="zh-CN"/>
              </w:rPr>
            </w:pPr>
            <w:r>
              <w:rPr>
                <w:rFonts w:hint="eastAsia" w:ascii="宋体" w:hAnsi="宋体" w:cs="宋体"/>
                <w:kern w:val="0"/>
                <w:szCs w:val="21"/>
                <w:highlight w:val="none"/>
                <w:lang w:val="zh-CN"/>
              </w:rPr>
              <w:t>项目人员团队能力（</w:t>
            </w:r>
            <w:r>
              <w:rPr>
                <w:rFonts w:hint="eastAsia" w:ascii="宋体" w:hAnsi="宋体" w:cs="宋体"/>
                <w:kern w:val="0"/>
                <w:szCs w:val="21"/>
                <w:highlight w:val="none"/>
              </w:rPr>
              <w:t>15分</w:t>
            </w:r>
            <w:r>
              <w:rPr>
                <w:rFonts w:hint="eastAsia" w:ascii="宋体" w:hAnsi="宋体" w:cs="宋体"/>
                <w:kern w:val="0"/>
                <w:szCs w:val="21"/>
                <w:highlight w:val="none"/>
                <w:lang w:val="zh-CN"/>
              </w:rPr>
              <w:t>）</w:t>
            </w:r>
          </w:p>
        </w:tc>
        <w:tc>
          <w:tcPr>
            <w:tcW w:w="1306" w:type="dxa"/>
            <w:noWrap/>
            <w:vAlign w:val="center"/>
          </w:tcPr>
          <w:p>
            <w:pPr>
              <w:widowControl/>
              <w:spacing w:line="240" w:lineRule="atLeast"/>
              <w:jc w:val="center"/>
              <w:rPr>
                <w:rFonts w:ascii="宋体" w:hAnsi="宋体" w:cs="宋体"/>
                <w:szCs w:val="21"/>
                <w:highlight w:val="none"/>
                <w:lang w:val="zh-CN"/>
              </w:rPr>
            </w:pPr>
            <w:r>
              <w:rPr>
                <w:rFonts w:hint="eastAsia" w:ascii="宋体" w:hAnsi="宋体" w:cs="宋体"/>
                <w:kern w:val="0"/>
                <w:szCs w:val="21"/>
                <w:highlight w:val="none"/>
                <w:lang w:val="zh-CN"/>
              </w:rPr>
              <w:t>项目人员团队能力</w:t>
            </w:r>
          </w:p>
        </w:tc>
        <w:tc>
          <w:tcPr>
            <w:tcW w:w="804" w:type="dxa"/>
            <w:noWrap/>
            <w:vAlign w:val="center"/>
          </w:tcPr>
          <w:p>
            <w:pPr>
              <w:jc w:val="center"/>
              <w:rPr>
                <w:rFonts w:ascii="宋体" w:hAnsi="宋体" w:cs="宋体"/>
                <w:szCs w:val="21"/>
                <w:highlight w:val="none"/>
              </w:rPr>
            </w:pPr>
            <w:r>
              <w:rPr>
                <w:rFonts w:hint="eastAsia" w:ascii="宋体" w:hAnsi="宋体" w:cs="宋体"/>
                <w:szCs w:val="21"/>
                <w:highlight w:val="none"/>
              </w:rPr>
              <w:t>15分</w:t>
            </w:r>
          </w:p>
        </w:tc>
        <w:tc>
          <w:tcPr>
            <w:tcW w:w="6012" w:type="dxa"/>
            <w:noWrap/>
            <w:vAlign w:val="center"/>
          </w:tcPr>
          <w:p>
            <w:pPr>
              <w:rPr>
                <w:rFonts w:ascii="宋体" w:hAnsi="宋体" w:cs="宋体"/>
                <w:szCs w:val="21"/>
                <w:highlight w:val="none"/>
              </w:rPr>
            </w:pPr>
            <w:r>
              <w:rPr>
                <w:rFonts w:hint="eastAsia"/>
                <w:highlight w:val="none"/>
              </w:rPr>
              <w:t>（1）</w:t>
            </w:r>
            <w:r>
              <w:rPr>
                <w:rFonts w:hint="eastAsia" w:ascii="宋体" w:hAnsi="宋体" w:cs="宋体"/>
                <w:szCs w:val="21"/>
                <w:highlight w:val="none"/>
              </w:rPr>
              <w:t>拟任</w:t>
            </w:r>
            <w:r>
              <w:rPr>
                <w:rFonts w:hint="eastAsia"/>
                <w:highlight w:val="none"/>
              </w:rPr>
              <w:t>项目负责人具有智能制造（两化融合）相关技术或标段六行业高级职称，得3分；为工信部、省工信厅智能制造（两化融合）领域或标段六行业专家库成员，得3分。本项最高得6分。</w:t>
            </w:r>
          </w:p>
          <w:p>
            <w:pPr>
              <w:pStyle w:val="19"/>
              <w:rPr>
                <w:rFonts w:ascii="宋体" w:hAnsi="宋体" w:eastAsia="宋体" w:cs="宋体"/>
                <w:kern w:val="2"/>
                <w:sz w:val="21"/>
                <w:szCs w:val="21"/>
                <w:highlight w:val="none"/>
              </w:rPr>
            </w:pPr>
            <w:r>
              <w:rPr>
                <w:rFonts w:hint="eastAsia" w:ascii="宋体" w:hAnsi="宋体" w:eastAsia="宋体" w:cs="宋体"/>
                <w:kern w:val="2"/>
                <w:sz w:val="21"/>
                <w:szCs w:val="21"/>
                <w:highlight w:val="none"/>
              </w:rPr>
              <w:t>（2）</w:t>
            </w:r>
            <w:r>
              <w:rPr>
                <w:rFonts w:hint="eastAsia" w:ascii="Times New Roman" w:eastAsia="宋体"/>
                <w:kern w:val="2"/>
                <w:sz w:val="21"/>
                <w:szCs w:val="24"/>
                <w:highlight w:val="none"/>
              </w:rPr>
              <w:t>拟投入团队成员具</w:t>
            </w:r>
            <w:r>
              <w:rPr>
                <w:rFonts w:hint="eastAsia" w:ascii="宋体" w:hAnsi="宋体" w:eastAsia="宋体" w:cs="宋体"/>
                <w:kern w:val="2"/>
                <w:sz w:val="21"/>
                <w:szCs w:val="21"/>
                <w:highlight w:val="none"/>
              </w:rPr>
              <w:t>有智能制造相关技术或标段六行业中级及以上专业职称、智能制造能力成熟度模型评估师证书、注册自动化系统工程师证书、软件评测师证书、项目管理师证书、CISP（注册信息安全专业人员）证书，全国两化融合管理体系技能合格证书或两化融合管理体系贯标咨询证书或同类人才证书的技术人员，每提供一份得0.5分（同一人员证书不重复计算分数），本项最高得4分。</w:t>
            </w:r>
          </w:p>
          <w:p>
            <w:pPr>
              <w:pStyle w:val="19"/>
              <w:rPr>
                <w:rFonts w:ascii="宋体" w:hAnsi="宋体" w:eastAsia="宋体" w:cs="宋体"/>
                <w:kern w:val="2"/>
                <w:sz w:val="21"/>
                <w:szCs w:val="21"/>
                <w:highlight w:val="none"/>
              </w:rPr>
            </w:pPr>
            <w:r>
              <w:rPr>
                <w:rFonts w:hint="eastAsia" w:ascii="宋体" w:hAnsi="宋体" w:eastAsia="宋体" w:cs="宋体"/>
                <w:kern w:val="2"/>
                <w:sz w:val="21"/>
                <w:szCs w:val="21"/>
                <w:highlight w:val="none"/>
              </w:rPr>
              <w:t>（3）</w:t>
            </w:r>
            <w:r>
              <w:rPr>
                <w:rFonts w:hint="eastAsia" w:ascii="Times New Roman" w:eastAsia="宋体"/>
                <w:kern w:val="2"/>
                <w:sz w:val="21"/>
                <w:szCs w:val="24"/>
                <w:highlight w:val="none"/>
              </w:rPr>
              <w:t>拟投入团队成员</w:t>
            </w:r>
            <w:r>
              <w:rPr>
                <w:rFonts w:hint="eastAsia" w:ascii="宋体" w:hAnsi="宋体" w:eastAsia="宋体" w:cs="宋体"/>
                <w:kern w:val="2"/>
                <w:sz w:val="21"/>
                <w:szCs w:val="21"/>
                <w:highlight w:val="none"/>
              </w:rPr>
              <w:t>具有智能制造相关领域或标段六行业专业背景，博士学历，每人得1分，硕士学历，每人得0.5分，最高5分。（同一人员学历不重复计算分数）</w:t>
            </w:r>
          </w:p>
          <w:p>
            <w:pPr>
              <w:rPr>
                <w:rFonts w:hAnsi="宋体" w:cs="宋体"/>
                <w:szCs w:val="21"/>
                <w:highlight w:val="none"/>
              </w:rPr>
            </w:pPr>
            <w:r>
              <w:rPr>
                <w:rFonts w:hint="eastAsia" w:ascii="宋体" w:hAnsi="宋体" w:cs="宋体"/>
                <w:szCs w:val="21"/>
                <w:highlight w:val="none"/>
              </w:rPr>
              <w:t>以上材料需提供职称证书（聘书或相关证明）、与投标供应商签订的劳动合同和近三个月社保缴费记录等材料加盖公章，因所提供证明材料不全或内容不明，不得分。智能制造（两化融合）相关技术领域包括：机械、装备、计算机、企业管理、软件、控制、云计算、大数据、人工智能等。</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966" w:hRule="atLeast"/>
        </w:trPr>
        <w:tc>
          <w:tcPr>
            <w:tcW w:w="841" w:type="dxa"/>
            <w:noWrap/>
            <w:vAlign w:val="center"/>
          </w:tcPr>
          <w:p>
            <w:pPr>
              <w:widowControl/>
              <w:spacing w:line="240" w:lineRule="atLeast"/>
              <w:jc w:val="center"/>
              <w:rPr>
                <w:rFonts w:ascii="宋体" w:hAnsi="宋体" w:cs="宋体"/>
                <w:kern w:val="0"/>
                <w:szCs w:val="21"/>
                <w:highlight w:val="none"/>
                <w:lang w:val="zh-CN"/>
              </w:rPr>
            </w:pPr>
            <w:r>
              <w:rPr>
                <w:rFonts w:hint="eastAsia" w:ascii="宋体" w:hAnsi="宋体" w:cs="宋体"/>
                <w:kern w:val="0"/>
                <w:szCs w:val="21"/>
                <w:highlight w:val="none"/>
                <w:lang w:val="zh-CN"/>
              </w:rPr>
              <w:t>项目相关经验及履约能力（</w:t>
            </w:r>
            <w:r>
              <w:rPr>
                <w:rFonts w:hint="eastAsia" w:ascii="宋体" w:hAnsi="宋体" w:cs="宋体"/>
                <w:kern w:val="0"/>
                <w:szCs w:val="21"/>
                <w:highlight w:val="none"/>
                <w:lang w:val="en-US" w:eastAsia="zh-CN"/>
              </w:rPr>
              <w:t>8</w:t>
            </w:r>
            <w:r>
              <w:rPr>
                <w:rFonts w:hint="eastAsia" w:ascii="宋体" w:hAnsi="宋体" w:cs="宋体"/>
                <w:kern w:val="0"/>
                <w:szCs w:val="21"/>
                <w:highlight w:val="none"/>
              </w:rPr>
              <w:t>分</w:t>
            </w:r>
            <w:r>
              <w:rPr>
                <w:rFonts w:hint="eastAsia" w:ascii="宋体" w:hAnsi="宋体" w:cs="宋体"/>
                <w:kern w:val="0"/>
                <w:szCs w:val="21"/>
                <w:highlight w:val="none"/>
                <w:lang w:val="zh-CN"/>
              </w:rPr>
              <w:t>）</w:t>
            </w:r>
          </w:p>
        </w:tc>
        <w:tc>
          <w:tcPr>
            <w:tcW w:w="1306" w:type="dxa"/>
            <w:noWrap/>
            <w:vAlign w:val="center"/>
          </w:tcPr>
          <w:p>
            <w:pPr>
              <w:widowControl/>
              <w:spacing w:line="240" w:lineRule="atLeast"/>
              <w:jc w:val="center"/>
              <w:rPr>
                <w:rFonts w:ascii="宋体" w:hAnsi="宋体" w:cs="宋体"/>
                <w:kern w:val="0"/>
                <w:szCs w:val="21"/>
                <w:highlight w:val="none"/>
                <w:lang w:val="zh-CN"/>
              </w:rPr>
            </w:pPr>
            <w:r>
              <w:rPr>
                <w:rFonts w:hint="eastAsia" w:ascii="宋体" w:hAnsi="宋体" w:cs="宋体"/>
                <w:kern w:val="0"/>
                <w:szCs w:val="21"/>
                <w:highlight w:val="none"/>
                <w:lang w:val="zh-CN"/>
              </w:rPr>
              <w:t>项目相关经验及履约能力</w:t>
            </w:r>
          </w:p>
        </w:tc>
        <w:tc>
          <w:tcPr>
            <w:tcW w:w="804" w:type="dxa"/>
            <w:noWrap/>
            <w:vAlign w:val="center"/>
          </w:tcPr>
          <w:p>
            <w:pPr>
              <w:jc w:val="center"/>
              <w:rPr>
                <w:rFonts w:ascii="宋体" w:hAnsi="宋体" w:cs="宋体"/>
                <w:szCs w:val="21"/>
                <w:highlight w:val="none"/>
              </w:rPr>
            </w:pPr>
            <w:r>
              <w:rPr>
                <w:rFonts w:hint="eastAsia" w:ascii="宋体" w:hAnsi="宋体" w:cs="宋体"/>
                <w:szCs w:val="21"/>
                <w:highlight w:val="none"/>
              </w:rPr>
              <w:t>8分</w:t>
            </w:r>
          </w:p>
        </w:tc>
        <w:tc>
          <w:tcPr>
            <w:tcW w:w="6012" w:type="dxa"/>
            <w:noWrap/>
            <w:vAlign w:val="center"/>
          </w:tcPr>
          <w:p>
            <w:pPr>
              <w:rPr>
                <w:highlight w:val="none"/>
              </w:rPr>
            </w:pPr>
            <w:r>
              <w:rPr>
                <w:rFonts w:hint="eastAsia"/>
                <w:highlight w:val="none"/>
              </w:rPr>
              <w:t>2019年4月以来为标段六行业制造业企业提供智能化改造和数字化转型相关技术或解决方案，并落地实施的，根据标段六产业要求每提供一项得1分。本项最高得8分。</w:t>
            </w:r>
          </w:p>
          <w:p>
            <w:pPr>
              <w:widowControl/>
              <w:jc w:val="left"/>
              <w:rPr>
                <w:highlight w:val="none"/>
              </w:rPr>
            </w:pPr>
            <w:r>
              <w:rPr>
                <w:rFonts w:hint="eastAsia"/>
                <w:highlight w:val="none"/>
              </w:rPr>
              <w:t>标段六产业要求：新能源产业最高得3分，</w:t>
            </w:r>
            <w:r>
              <w:rPr>
                <w:rFonts w:hint="eastAsia" w:ascii="宋体" w:hAnsi="宋体"/>
                <w:szCs w:val="21"/>
                <w:highlight w:val="none"/>
              </w:rPr>
              <w:t>汽车及零部件产业最高得3分，水泥、玻璃等非金属制品最高得2分</w:t>
            </w:r>
            <w:r>
              <w:rPr>
                <w:rFonts w:hint="eastAsia"/>
                <w:highlight w:val="none"/>
              </w:rPr>
              <w:t>。</w:t>
            </w:r>
          </w:p>
          <w:p>
            <w:pPr>
              <w:rPr>
                <w:highlight w:val="none"/>
              </w:rPr>
            </w:pPr>
            <w:r>
              <w:rPr>
                <w:rFonts w:hint="eastAsia"/>
                <w:highlight w:val="none"/>
              </w:rPr>
              <w:t>需提供为标段六行业企业提供智能制造相关技术或解决方案的合同及实施结果（如验收证明材料、任意一张该合同支付发票等）证明材料；同时提供所服务企业属于标段六行业的相关证明，如被服务企业营业执照、被服务企业加盖公章的情况说明及其他能证明被服务企业属于标段六行业的材料。不提供被服务企业为标段六行业或提供的材料不明，无法认定所服务企业属于标段六行业的，视为未提供，不予赋分。</w:t>
            </w:r>
            <w:r>
              <w:rPr>
                <w:rFonts w:hint="eastAsia" w:ascii="宋体" w:hAnsi="宋体" w:cs="宋体"/>
                <w:szCs w:val="21"/>
                <w:highlight w:val="none"/>
              </w:rPr>
              <w:t>以上材料要求复印件并加盖投标单位公章。</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872" w:hRule="atLeast"/>
        </w:trPr>
        <w:tc>
          <w:tcPr>
            <w:tcW w:w="8963" w:type="dxa"/>
            <w:gridSpan w:val="4"/>
            <w:noWrap/>
            <w:vAlign w:val="center"/>
          </w:tcPr>
          <w:p>
            <w:pPr>
              <w:widowControl/>
              <w:jc w:val="left"/>
              <w:rPr>
                <w:highlight w:val="none"/>
              </w:rPr>
            </w:pPr>
            <w:r>
              <w:rPr>
                <w:rFonts w:hint="eastAsia"/>
                <w:highlight w:val="none"/>
              </w:rPr>
              <w:t xml:space="preserve">备注： </w:t>
            </w:r>
          </w:p>
          <w:p>
            <w:pPr>
              <w:widowControl/>
              <w:numPr>
                <w:ilvl w:val="0"/>
                <w:numId w:val="13"/>
              </w:numPr>
              <w:jc w:val="left"/>
              <w:rPr>
                <w:highlight w:val="none"/>
              </w:rPr>
            </w:pPr>
            <w:r>
              <w:rPr>
                <w:rFonts w:hint="eastAsia"/>
                <w:highlight w:val="none"/>
              </w:rPr>
              <w:t xml:space="preserve">针对评分标准中评分的每一条，投标供应商在响应文件中均应提供清晰明了的相关资料并做出相应说明供评委评判，不提供相关资料的视为不具备该项得分的条件。 </w:t>
            </w:r>
          </w:p>
          <w:p>
            <w:pPr>
              <w:widowControl/>
              <w:numPr>
                <w:ilvl w:val="0"/>
                <w:numId w:val="13"/>
              </w:numPr>
              <w:jc w:val="left"/>
              <w:rPr>
                <w:highlight w:val="none"/>
              </w:rPr>
            </w:pPr>
            <w:r>
              <w:rPr>
                <w:rFonts w:hint="eastAsia"/>
                <w:highlight w:val="none"/>
              </w:rPr>
              <w:t>联合体所有投标文件以联合体牵头人签字盖章为准。</w:t>
            </w:r>
          </w:p>
          <w:p>
            <w:pPr>
              <w:widowControl/>
              <w:numPr>
                <w:ilvl w:val="0"/>
                <w:numId w:val="13"/>
              </w:numPr>
              <w:jc w:val="left"/>
              <w:rPr>
                <w:highlight w:val="none"/>
              </w:rPr>
            </w:pPr>
            <w:r>
              <w:rPr>
                <w:rFonts w:hint="eastAsia"/>
                <w:b/>
                <w:bCs/>
                <w:highlight w:val="none"/>
              </w:rPr>
              <w:t>标段六商务技术分第二部分的所有内容作为标段六商务技术标第二册（一正六副），标段六</w:t>
            </w:r>
            <w:r>
              <w:rPr>
                <w:rFonts w:hint="eastAsia"/>
                <w:b/>
                <w:bCs/>
                <w:highlight w:val="none"/>
                <w:lang w:val="zh-CN"/>
              </w:rPr>
              <w:t>商务技术标</w:t>
            </w:r>
            <w:r>
              <w:rPr>
                <w:rFonts w:hint="eastAsia"/>
                <w:b/>
                <w:bCs/>
                <w:highlight w:val="none"/>
              </w:rPr>
              <w:t>第二册内容中涉及项目名称的格式都必须为：2022年南通市“智改数转”诊断服务项目标段六。</w:t>
            </w:r>
          </w:p>
        </w:tc>
      </w:tr>
    </w:tbl>
    <w:p>
      <w:pPr>
        <w:pStyle w:val="2"/>
        <w:ind w:left="0" w:leftChars="0" w:firstLine="0" w:firstLineChars="0"/>
        <w:jc w:val="both"/>
        <w:rPr>
          <w:rFonts w:ascii="宋体" w:hAnsi="宋体" w:cs="宋体"/>
          <w:b/>
          <w:bCs/>
          <w:sz w:val="24"/>
          <w:highlight w:val="none"/>
        </w:rPr>
      </w:pPr>
    </w:p>
    <w:p>
      <w:pPr>
        <w:widowControl/>
        <w:spacing w:line="240" w:lineRule="atLeast"/>
        <w:jc w:val="center"/>
        <w:rPr>
          <w:rFonts w:ascii="宋体" w:hAnsi="宋体" w:cs="宋体"/>
          <w:b/>
          <w:bCs/>
          <w:kern w:val="0"/>
          <w:sz w:val="24"/>
          <w:highlight w:val="none"/>
        </w:rPr>
      </w:pPr>
      <w:r>
        <w:rPr>
          <w:rFonts w:hint="eastAsia" w:ascii="宋体" w:hAnsi="宋体" w:cs="宋体"/>
          <w:b/>
          <w:bCs/>
          <w:kern w:val="0"/>
          <w:sz w:val="24"/>
          <w:highlight w:val="none"/>
        </w:rPr>
        <w:t>标段七商务技术分第二部分</w:t>
      </w:r>
    </w:p>
    <w:tbl>
      <w:tblPr>
        <w:tblStyle w:val="41"/>
        <w:tblW w:w="8963" w:type="dxa"/>
        <w:tblInd w:w="-23"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841"/>
        <w:gridCol w:w="1306"/>
        <w:gridCol w:w="804"/>
        <w:gridCol w:w="6012"/>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2" w:hRule="atLeast"/>
        </w:trPr>
        <w:tc>
          <w:tcPr>
            <w:tcW w:w="8963" w:type="dxa"/>
            <w:gridSpan w:val="4"/>
            <w:noWrap/>
            <w:vAlign w:val="center"/>
          </w:tcPr>
          <w:p>
            <w:pPr>
              <w:widowControl/>
              <w:spacing w:line="240" w:lineRule="atLeast"/>
              <w:jc w:val="center"/>
              <w:rPr>
                <w:highlight w:val="none"/>
              </w:rPr>
            </w:pPr>
            <w:r>
              <w:rPr>
                <w:rFonts w:hint="eastAsia" w:ascii="宋体" w:hAnsi="宋体" w:cs="宋体"/>
                <w:b/>
                <w:bCs/>
                <w:kern w:val="0"/>
                <w:sz w:val="24"/>
                <w:highlight w:val="none"/>
              </w:rPr>
              <w:t>商务技术分第二部分（所投标段相关）</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841" w:type="dxa"/>
            <w:noWrap/>
            <w:vAlign w:val="center"/>
          </w:tcPr>
          <w:p>
            <w:pPr>
              <w:widowControl/>
              <w:spacing w:line="240" w:lineRule="atLeast"/>
              <w:jc w:val="center"/>
              <w:rPr>
                <w:rFonts w:ascii="宋体" w:hAnsi="宋体" w:cs="宋体"/>
                <w:b/>
                <w:bCs/>
                <w:kern w:val="0"/>
                <w:sz w:val="24"/>
                <w:highlight w:val="none"/>
                <w:lang w:val="zh-CN"/>
              </w:rPr>
            </w:pPr>
            <w:r>
              <w:rPr>
                <w:rFonts w:hint="eastAsia" w:ascii="宋体" w:hAnsi="宋体" w:cs="宋体"/>
                <w:b/>
                <w:bCs/>
                <w:kern w:val="0"/>
                <w:sz w:val="24"/>
                <w:highlight w:val="none"/>
                <w:lang w:val="zh-CN"/>
              </w:rPr>
              <w:t>评审</w:t>
            </w:r>
          </w:p>
          <w:p>
            <w:pPr>
              <w:widowControl/>
              <w:spacing w:line="240" w:lineRule="atLeast"/>
              <w:jc w:val="center"/>
              <w:rPr>
                <w:highlight w:val="none"/>
              </w:rPr>
            </w:pPr>
            <w:r>
              <w:rPr>
                <w:rFonts w:hint="eastAsia" w:ascii="宋体" w:hAnsi="宋体" w:cs="宋体"/>
                <w:b/>
                <w:bCs/>
                <w:kern w:val="0"/>
                <w:sz w:val="24"/>
                <w:highlight w:val="none"/>
                <w:lang w:val="zh-CN"/>
              </w:rPr>
              <w:t>因素</w:t>
            </w:r>
          </w:p>
        </w:tc>
        <w:tc>
          <w:tcPr>
            <w:tcW w:w="1306" w:type="dxa"/>
            <w:noWrap/>
            <w:vAlign w:val="center"/>
          </w:tcPr>
          <w:p>
            <w:pPr>
              <w:widowControl/>
              <w:spacing w:line="240" w:lineRule="atLeast"/>
              <w:jc w:val="center"/>
              <w:rPr>
                <w:highlight w:val="none"/>
              </w:rPr>
            </w:pPr>
            <w:r>
              <w:rPr>
                <w:rFonts w:hint="eastAsia" w:ascii="宋体" w:hAnsi="宋体" w:cs="宋体"/>
                <w:b/>
                <w:bCs/>
                <w:kern w:val="0"/>
                <w:sz w:val="24"/>
                <w:highlight w:val="none"/>
              </w:rPr>
              <w:t>评审项目</w:t>
            </w:r>
          </w:p>
        </w:tc>
        <w:tc>
          <w:tcPr>
            <w:tcW w:w="804" w:type="dxa"/>
            <w:noWrap/>
            <w:vAlign w:val="center"/>
          </w:tcPr>
          <w:p>
            <w:pPr>
              <w:widowControl/>
              <w:spacing w:line="240" w:lineRule="atLeast"/>
              <w:jc w:val="center"/>
              <w:rPr>
                <w:highlight w:val="none"/>
              </w:rPr>
            </w:pPr>
            <w:r>
              <w:rPr>
                <w:rFonts w:hint="eastAsia" w:ascii="宋体" w:hAnsi="宋体" w:cs="宋体"/>
                <w:b/>
                <w:bCs/>
                <w:kern w:val="0"/>
                <w:sz w:val="24"/>
                <w:highlight w:val="none"/>
              </w:rPr>
              <w:t>分值</w:t>
            </w:r>
          </w:p>
        </w:tc>
        <w:tc>
          <w:tcPr>
            <w:tcW w:w="6012" w:type="dxa"/>
            <w:noWrap/>
            <w:vAlign w:val="center"/>
          </w:tcPr>
          <w:p>
            <w:pPr>
              <w:widowControl/>
              <w:spacing w:line="240" w:lineRule="atLeast"/>
              <w:jc w:val="center"/>
              <w:rPr>
                <w:highlight w:val="none"/>
              </w:rPr>
            </w:pPr>
            <w:r>
              <w:rPr>
                <w:rFonts w:hint="eastAsia" w:ascii="宋体" w:hAnsi="宋体" w:cs="宋体"/>
                <w:b/>
                <w:bCs/>
                <w:kern w:val="0"/>
                <w:sz w:val="24"/>
                <w:highlight w:val="none"/>
              </w:rPr>
              <w:t>评审标准</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2" w:hRule="atLeast"/>
        </w:trPr>
        <w:tc>
          <w:tcPr>
            <w:tcW w:w="841" w:type="dxa"/>
            <w:noWrap/>
            <w:vAlign w:val="center"/>
          </w:tcPr>
          <w:p>
            <w:pPr>
              <w:widowControl/>
              <w:spacing w:line="240" w:lineRule="atLeast"/>
              <w:jc w:val="center"/>
              <w:rPr>
                <w:rFonts w:ascii="宋体" w:hAnsi="宋体" w:cs="宋体"/>
                <w:b/>
                <w:bCs/>
                <w:kern w:val="0"/>
                <w:sz w:val="24"/>
                <w:highlight w:val="none"/>
                <w:lang w:val="zh-CN"/>
              </w:rPr>
            </w:pPr>
            <w:r>
              <w:rPr>
                <w:rFonts w:hint="eastAsia" w:ascii="宋体" w:hAnsi="宋体" w:cs="宋体"/>
                <w:kern w:val="0"/>
                <w:szCs w:val="21"/>
                <w:highlight w:val="none"/>
                <w:lang w:val="zh-CN"/>
              </w:rPr>
              <w:t>项目认识与理解（</w:t>
            </w:r>
            <w:r>
              <w:rPr>
                <w:rFonts w:hint="eastAsia" w:ascii="宋体" w:hAnsi="宋体" w:cs="宋体"/>
                <w:kern w:val="0"/>
                <w:szCs w:val="21"/>
                <w:highlight w:val="none"/>
              </w:rPr>
              <w:t>4分</w:t>
            </w:r>
            <w:r>
              <w:rPr>
                <w:rFonts w:hint="eastAsia" w:ascii="宋体" w:hAnsi="宋体" w:cs="宋体"/>
                <w:kern w:val="0"/>
                <w:szCs w:val="21"/>
                <w:highlight w:val="none"/>
                <w:lang w:val="zh-CN"/>
              </w:rPr>
              <w:t>）</w:t>
            </w:r>
          </w:p>
        </w:tc>
        <w:tc>
          <w:tcPr>
            <w:tcW w:w="1306" w:type="dxa"/>
            <w:noWrap/>
            <w:vAlign w:val="center"/>
          </w:tcPr>
          <w:p>
            <w:pPr>
              <w:widowControl/>
              <w:spacing w:line="240" w:lineRule="atLeast"/>
              <w:jc w:val="center"/>
              <w:rPr>
                <w:rFonts w:ascii="宋体" w:hAnsi="宋体" w:cs="宋体"/>
                <w:b/>
                <w:bCs/>
                <w:kern w:val="0"/>
                <w:sz w:val="24"/>
                <w:highlight w:val="none"/>
              </w:rPr>
            </w:pPr>
            <w:r>
              <w:rPr>
                <w:rFonts w:hint="eastAsia" w:ascii="宋体" w:hAnsi="宋体" w:cs="宋体"/>
                <w:szCs w:val="21"/>
                <w:highlight w:val="none"/>
                <w:lang w:val="zh-CN"/>
              </w:rPr>
              <w:t>对标段七</w:t>
            </w:r>
            <w:r>
              <w:rPr>
                <w:rFonts w:hint="eastAsia" w:ascii="宋体" w:hAnsi="宋体" w:cs="宋体"/>
                <w:szCs w:val="21"/>
                <w:highlight w:val="none"/>
              </w:rPr>
              <w:t>涉及</w:t>
            </w:r>
            <w:r>
              <w:rPr>
                <w:rFonts w:hint="eastAsia" w:ascii="宋体" w:hAnsi="宋体" w:cs="宋体"/>
                <w:szCs w:val="21"/>
                <w:highlight w:val="none"/>
                <w:lang w:val="zh-CN"/>
              </w:rPr>
              <w:t>行业改造转型的理解</w:t>
            </w:r>
          </w:p>
        </w:tc>
        <w:tc>
          <w:tcPr>
            <w:tcW w:w="804" w:type="dxa"/>
            <w:noWrap/>
            <w:vAlign w:val="center"/>
          </w:tcPr>
          <w:p>
            <w:pPr>
              <w:widowControl/>
              <w:spacing w:line="240" w:lineRule="atLeast"/>
              <w:jc w:val="center"/>
              <w:rPr>
                <w:rFonts w:ascii="宋体" w:hAnsi="宋体" w:cs="宋体"/>
                <w:b/>
                <w:bCs/>
                <w:kern w:val="0"/>
                <w:sz w:val="24"/>
                <w:highlight w:val="none"/>
              </w:rPr>
            </w:pPr>
            <w:r>
              <w:rPr>
                <w:rFonts w:hint="eastAsia"/>
                <w:highlight w:val="none"/>
              </w:rPr>
              <w:t>4分</w:t>
            </w:r>
          </w:p>
        </w:tc>
        <w:tc>
          <w:tcPr>
            <w:tcW w:w="6012" w:type="dxa"/>
            <w:noWrap/>
            <w:vAlign w:val="center"/>
          </w:tcPr>
          <w:p>
            <w:pPr>
              <w:rPr>
                <w:highlight w:val="none"/>
              </w:rPr>
            </w:pPr>
            <w:r>
              <w:rPr>
                <w:rFonts w:hint="eastAsia"/>
                <w:highlight w:val="none"/>
              </w:rPr>
              <w:t>（1）能够明确分析论证标段七的行业特点、分布特征，提出南通推进该行业智能化改造和数字化转型的方法论得当，对企业通过实施智能化改造实现转型升级的路径分析合理，得4分。</w:t>
            </w:r>
          </w:p>
          <w:p>
            <w:pPr>
              <w:rPr>
                <w:highlight w:val="none"/>
              </w:rPr>
            </w:pPr>
            <w:r>
              <w:rPr>
                <w:rFonts w:hint="eastAsia"/>
                <w:highlight w:val="none"/>
              </w:rPr>
              <w:t>（2）对标段七行业的特点、分布特征有一定的梳理，提出南通推进该行业智能化改造和数字化转型的思路，对企业通过实施智能化改造实现转型升级的路径分析一般，得2.5分。</w:t>
            </w:r>
          </w:p>
          <w:p>
            <w:pPr>
              <w:rPr>
                <w:highlight w:val="none"/>
              </w:rPr>
            </w:pPr>
            <w:r>
              <w:rPr>
                <w:rFonts w:hint="eastAsia"/>
                <w:highlight w:val="none"/>
              </w:rPr>
              <w:t>（3）对标段七行业的特点、分布特征描述模糊，对南通推进该行业智能化改造和数字化转型的思路和企业改造转型的路径分析不清，得1分。</w:t>
            </w:r>
          </w:p>
          <w:p>
            <w:pPr>
              <w:rPr>
                <w:highlight w:val="none"/>
              </w:rPr>
            </w:pPr>
            <w:r>
              <w:rPr>
                <w:rFonts w:hint="eastAsia" w:hAnsi="宋体" w:cs="宋体"/>
                <w:szCs w:val="21"/>
                <w:highlight w:val="none"/>
              </w:rPr>
              <w:t>所投标段中有2个以上行业的，涉及行业属性的，提供所投标段的主要行业相关材料，标段七主要行业：</w:t>
            </w:r>
            <w:r>
              <w:rPr>
                <w:rFonts w:hint="eastAsia"/>
                <w:highlight w:val="none"/>
              </w:rPr>
              <w:t>金属制品产业。</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2" w:hRule="atLeast"/>
        </w:trPr>
        <w:tc>
          <w:tcPr>
            <w:tcW w:w="841" w:type="dxa"/>
            <w:vMerge w:val="restart"/>
            <w:noWrap/>
            <w:vAlign w:val="center"/>
          </w:tcPr>
          <w:p>
            <w:pPr>
              <w:widowControl/>
              <w:spacing w:line="240" w:lineRule="atLeast"/>
              <w:jc w:val="center"/>
              <w:rPr>
                <w:rFonts w:ascii="宋体" w:hAnsi="宋体" w:cs="宋体"/>
                <w:kern w:val="0"/>
                <w:szCs w:val="21"/>
                <w:highlight w:val="none"/>
                <w:lang w:val="zh-CN"/>
              </w:rPr>
            </w:pPr>
            <w:r>
              <w:rPr>
                <w:rFonts w:hint="eastAsia" w:ascii="宋体" w:hAnsi="宋体" w:cs="宋体"/>
                <w:kern w:val="0"/>
                <w:szCs w:val="21"/>
                <w:highlight w:val="none"/>
                <w:lang w:val="zh-CN"/>
              </w:rPr>
              <w:t>项目方案与实施（</w:t>
            </w:r>
            <w:r>
              <w:rPr>
                <w:rFonts w:hint="eastAsia" w:ascii="宋体" w:hAnsi="宋体" w:cs="宋体"/>
                <w:kern w:val="0"/>
                <w:szCs w:val="21"/>
                <w:highlight w:val="none"/>
              </w:rPr>
              <w:t>16</w:t>
            </w:r>
            <w:r>
              <w:rPr>
                <w:rFonts w:hint="eastAsia" w:ascii="宋体" w:hAnsi="宋体" w:cs="宋体"/>
                <w:kern w:val="0"/>
                <w:szCs w:val="21"/>
                <w:highlight w:val="none"/>
                <w:lang w:val="en-US" w:eastAsia="zh-CN"/>
              </w:rPr>
              <w:t>分</w:t>
            </w:r>
            <w:r>
              <w:rPr>
                <w:rFonts w:hint="eastAsia" w:ascii="宋体" w:hAnsi="宋体" w:cs="宋体"/>
                <w:kern w:val="0"/>
                <w:szCs w:val="21"/>
                <w:highlight w:val="none"/>
                <w:lang w:val="zh-CN"/>
              </w:rPr>
              <w:t>）</w:t>
            </w:r>
          </w:p>
        </w:tc>
        <w:tc>
          <w:tcPr>
            <w:tcW w:w="1306" w:type="dxa"/>
            <w:noWrap/>
            <w:vAlign w:val="center"/>
          </w:tcPr>
          <w:p>
            <w:pPr>
              <w:rPr>
                <w:rFonts w:ascii="宋体" w:hAnsi="宋体" w:cs="宋体"/>
                <w:szCs w:val="21"/>
                <w:highlight w:val="none"/>
                <w:lang w:val="zh-CN"/>
              </w:rPr>
            </w:pPr>
            <w:r>
              <w:rPr>
                <w:rFonts w:hint="eastAsia" w:ascii="宋体" w:hAnsi="宋体" w:cs="宋体"/>
                <w:szCs w:val="21"/>
                <w:highlight w:val="none"/>
                <w:lang w:val="zh-CN"/>
              </w:rPr>
              <w:t>标段七</w:t>
            </w:r>
            <w:r>
              <w:rPr>
                <w:rFonts w:hint="eastAsia" w:ascii="宋体" w:hAnsi="宋体" w:cs="宋体"/>
                <w:szCs w:val="21"/>
                <w:highlight w:val="none"/>
              </w:rPr>
              <w:t>行业</w:t>
            </w:r>
            <w:r>
              <w:rPr>
                <w:rFonts w:hint="eastAsia" w:ascii="宋体" w:hAnsi="宋体" w:cs="宋体"/>
                <w:szCs w:val="21"/>
                <w:highlight w:val="none"/>
                <w:lang w:val="zh-CN"/>
              </w:rPr>
              <w:t>诊断服务方案</w:t>
            </w:r>
          </w:p>
        </w:tc>
        <w:tc>
          <w:tcPr>
            <w:tcW w:w="804" w:type="dxa"/>
            <w:noWrap/>
            <w:vAlign w:val="center"/>
          </w:tcPr>
          <w:p>
            <w:pPr>
              <w:jc w:val="center"/>
              <w:rPr>
                <w:rFonts w:ascii="宋体" w:hAnsi="宋体" w:cs="宋体"/>
                <w:b/>
                <w:bCs/>
                <w:kern w:val="0"/>
                <w:sz w:val="24"/>
                <w:highlight w:val="none"/>
              </w:rPr>
            </w:pPr>
            <w:r>
              <w:rPr>
                <w:rFonts w:hint="eastAsia" w:ascii="宋体" w:hAnsi="宋体" w:cs="宋体"/>
                <w:szCs w:val="21"/>
                <w:highlight w:val="none"/>
              </w:rPr>
              <w:t>4分</w:t>
            </w:r>
          </w:p>
        </w:tc>
        <w:tc>
          <w:tcPr>
            <w:tcW w:w="6012" w:type="dxa"/>
            <w:noWrap/>
            <w:vAlign w:val="center"/>
          </w:tcPr>
          <w:p>
            <w:pPr>
              <w:rPr>
                <w:highlight w:val="none"/>
              </w:rPr>
            </w:pPr>
            <w:r>
              <w:rPr>
                <w:rFonts w:hint="eastAsia"/>
                <w:highlight w:val="none"/>
              </w:rPr>
              <w:t>（1）方案诊断评估方法先进，能够深入结合标段七行业特点，能从生产、管理、物流、仓储等重点环节对被诊断企业的智能化、数字化水平进行全面现状调研，描述清晰明确，与企业内部要素之间衔接和匹配度高，现场评估问诊过程可行，得4分。</w:t>
            </w:r>
          </w:p>
          <w:p>
            <w:pPr>
              <w:rPr>
                <w:highlight w:val="none"/>
              </w:rPr>
            </w:pPr>
            <w:r>
              <w:rPr>
                <w:rFonts w:hint="eastAsia"/>
                <w:highlight w:val="none"/>
              </w:rPr>
              <w:t>（2）方案诊断评估方法合理，参考了一定的标段七行业特点，从生产、管理、物流、仓储等重点环节对被诊断企业的智能化水平进行一般现状调研，描述较清晰，与企业内部要素之间衔接和匹配度较高，现场评估问诊过程基本可行，得2分。</w:t>
            </w:r>
          </w:p>
          <w:p>
            <w:pPr>
              <w:rPr>
                <w:highlight w:val="none"/>
              </w:rPr>
            </w:pPr>
            <w:r>
              <w:rPr>
                <w:rFonts w:hint="eastAsia"/>
                <w:highlight w:val="none"/>
              </w:rPr>
              <w:t>（3）方案诊断评估方法一般，未充分考虑标段七行业特点，从生产、管理、物流、仓储等重点环节对被诊断企业的智能化水平进行基本现状调研，描述不清晰，与企业内部要素之间衔接和匹配度低，现场评估问诊过程可行性不高，得1分。</w:t>
            </w:r>
          </w:p>
          <w:p>
            <w:pPr>
              <w:rPr>
                <w:highlight w:val="none"/>
              </w:rPr>
            </w:pPr>
            <w:r>
              <w:rPr>
                <w:rFonts w:hint="eastAsia" w:hAnsi="宋体" w:cs="宋体"/>
                <w:szCs w:val="21"/>
                <w:highlight w:val="none"/>
              </w:rPr>
              <w:t>所投标段中有2个以上行业的，涉及行业属性的，提供所投标段的主要行业相关材料，标段七主要行业：</w:t>
            </w:r>
            <w:r>
              <w:rPr>
                <w:rFonts w:hint="eastAsia"/>
                <w:highlight w:val="none"/>
              </w:rPr>
              <w:t>金属制品产业。</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2" w:hRule="atLeast"/>
        </w:trPr>
        <w:tc>
          <w:tcPr>
            <w:tcW w:w="841" w:type="dxa"/>
            <w:vMerge w:val="continue"/>
            <w:noWrap/>
            <w:vAlign w:val="center"/>
          </w:tcPr>
          <w:p>
            <w:pPr>
              <w:widowControl/>
              <w:spacing w:line="240" w:lineRule="atLeast"/>
              <w:jc w:val="center"/>
              <w:rPr>
                <w:rFonts w:ascii="宋体" w:hAnsi="宋体" w:cs="宋体"/>
                <w:kern w:val="0"/>
                <w:szCs w:val="21"/>
                <w:highlight w:val="none"/>
                <w:lang w:val="zh-CN"/>
              </w:rPr>
            </w:pPr>
          </w:p>
        </w:tc>
        <w:tc>
          <w:tcPr>
            <w:tcW w:w="1306" w:type="dxa"/>
            <w:noWrap/>
            <w:vAlign w:val="center"/>
          </w:tcPr>
          <w:p>
            <w:pPr>
              <w:rPr>
                <w:rFonts w:ascii="宋体" w:hAnsi="宋体" w:cs="宋体"/>
                <w:szCs w:val="21"/>
                <w:highlight w:val="none"/>
                <w:lang w:val="zh-CN"/>
              </w:rPr>
            </w:pPr>
            <w:r>
              <w:rPr>
                <w:rFonts w:hint="eastAsia" w:ascii="宋体" w:hAnsi="宋体" w:cs="宋体"/>
                <w:szCs w:val="21"/>
                <w:highlight w:val="none"/>
                <w:lang w:val="zh-CN"/>
              </w:rPr>
              <w:t>标段七诊断项目组织</w:t>
            </w:r>
            <w:r>
              <w:rPr>
                <w:rFonts w:hint="eastAsia" w:ascii="宋体" w:hAnsi="宋体" w:cs="宋体"/>
                <w:szCs w:val="21"/>
                <w:highlight w:val="none"/>
              </w:rPr>
              <w:t>保障</w:t>
            </w:r>
          </w:p>
        </w:tc>
        <w:tc>
          <w:tcPr>
            <w:tcW w:w="804" w:type="dxa"/>
            <w:noWrap/>
            <w:vAlign w:val="center"/>
          </w:tcPr>
          <w:p>
            <w:pPr>
              <w:jc w:val="center"/>
              <w:rPr>
                <w:rFonts w:ascii="宋体" w:hAnsi="宋体" w:cs="宋体"/>
                <w:b/>
                <w:bCs/>
                <w:kern w:val="0"/>
                <w:sz w:val="24"/>
                <w:highlight w:val="none"/>
              </w:rPr>
            </w:pPr>
            <w:r>
              <w:rPr>
                <w:rFonts w:hint="eastAsia" w:ascii="宋体" w:hAnsi="宋体" w:cs="宋体"/>
                <w:szCs w:val="21"/>
                <w:highlight w:val="none"/>
              </w:rPr>
              <w:t>4分</w:t>
            </w:r>
          </w:p>
        </w:tc>
        <w:tc>
          <w:tcPr>
            <w:tcW w:w="6012" w:type="dxa"/>
            <w:noWrap/>
            <w:vAlign w:val="center"/>
          </w:tcPr>
          <w:p>
            <w:pPr>
              <w:rPr>
                <w:highlight w:val="none"/>
              </w:rPr>
            </w:pPr>
            <w:r>
              <w:rPr>
                <w:rFonts w:hint="eastAsia"/>
                <w:highlight w:val="none"/>
              </w:rPr>
              <w:t>（1）项目组织体系和架构配置合理，行业、技术等专家资源充分，团队职责清晰、分工明确（包含联合体各成员单位职责分工），组织严谨得当，能够保证项目方案顺利实施，得4分。</w:t>
            </w:r>
          </w:p>
          <w:p>
            <w:pPr>
              <w:rPr>
                <w:highlight w:val="none"/>
              </w:rPr>
            </w:pPr>
            <w:r>
              <w:rPr>
                <w:rFonts w:hint="eastAsia"/>
                <w:highlight w:val="none"/>
              </w:rPr>
              <w:t>（2）项目组织体系和架构配置较合理，行业、技术等资源较多，团队职责较清晰、分工较明确（包含联合体各成员单位职责分工），组织较合理，基本能够保证项目方案实施，得2分。</w:t>
            </w:r>
          </w:p>
          <w:p>
            <w:pPr>
              <w:rPr>
                <w:highlight w:val="none"/>
              </w:rPr>
            </w:pPr>
            <w:r>
              <w:rPr>
                <w:rFonts w:hint="eastAsia"/>
                <w:highlight w:val="none"/>
              </w:rPr>
              <w:t>（3）项目具备组织体系和架构配置，拥有一定的行业、技术等专家资源，团队职责和分工一般（包含联合体各成员单位职责分工），组织薄弱，项目方案实施有一定难度，得1分。</w:t>
            </w:r>
          </w:p>
          <w:p>
            <w:pPr>
              <w:pStyle w:val="49"/>
              <w:ind w:firstLine="0"/>
              <w:rPr>
                <w:rFonts w:hAnsi="宋体" w:cs="宋体"/>
                <w:szCs w:val="21"/>
                <w:highlight w:val="none"/>
              </w:rPr>
            </w:pPr>
            <w:r>
              <w:rPr>
                <w:rFonts w:hint="eastAsia" w:hAnsi="宋体" w:cs="宋体"/>
                <w:szCs w:val="21"/>
                <w:highlight w:val="none"/>
              </w:rPr>
              <w:t>所投标段中有2个以上行业的，涉及行业属性的，提供所投标段的主要行业相关材料，标段七主要行业：</w:t>
            </w:r>
            <w:r>
              <w:rPr>
                <w:rFonts w:hint="eastAsia"/>
                <w:highlight w:val="none"/>
              </w:rPr>
              <w:t>金属制品产业。</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2" w:hRule="atLeast"/>
        </w:trPr>
        <w:tc>
          <w:tcPr>
            <w:tcW w:w="841" w:type="dxa"/>
            <w:vMerge w:val="continue"/>
            <w:noWrap/>
            <w:vAlign w:val="center"/>
          </w:tcPr>
          <w:p>
            <w:pPr>
              <w:widowControl/>
              <w:spacing w:line="240" w:lineRule="atLeast"/>
              <w:jc w:val="center"/>
              <w:rPr>
                <w:rFonts w:ascii="宋体" w:hAnsi="宋体" w:cs="宋体"/>
                <w:kern w:val="0"/>
                <w:szCs w:val="21"/>
                <w:highlight w:val="none"/>
                <w:lang w:val="zh-CN"/>
              </w:rPr>
            </w:pPr>
          </w:p>
        </w:tc>
        <w:tc>
          <w:tcPr>
            <w:tcW w:w="1306" w:type="dxa"/>
            <w:noWrap/>
            <w:vAlign w:val="center"/>
          </w:tcPr>
          <w:p>
            <w:pPr>
              <w:rPr>
                <w:rFonts w:ascii="宋体" w:hAnsi="宋体" w:cs="宋体"/>
                <w:szCs w:val="21"/>
                <w:highlight w:val="none"/>
                <w:lang w:val="zh-CN"/>
              </w:rPr>
            </w:pPr>
            <w:r>
              <w:rPr>
                <w:rFonts w:hint="eastAsia" w:ascii="宋体" w:hAnsi="宋体" w:cs="宋体"/>
                <w:szCs w:val="21"/>
                <w:highlight w:val="none"/>
                <w:lang w:val="zh-CN"/>
              </w:rPr>
              <w:t>诊断项目综合管理</w:t>
            </w:r>
          </w:p>
        </w:tc>
        <w:tc>
          <w:tcPr>
            <w:tcW w:w="804" w:type="dxa"/>
            <w:noWrap/>
            <w:vAlign w:val="center"/>
          </w:tcPr>
          <w:p>
            <w:pPr>
              <w:jc w:val="center"/>
              <w:rPr>
                <w:rFonts w:ascii="宋体" w:hAnsi="宋体" w:cs="宋体"/>
                <w:szCs w:val="21"/>
                <w:highlight w:val="none"/>
              </w:rPr>
            </w:pPr>
            <w:r>
              <w:rPr>
                <w:rFonts w:hint="eastAsia" w:ascii="宋体" w:hAnsi="宋体" w:cs="宋体"/>
                <w:szCs w:val="21"/>
                <w:highlight w:val="none"/>
              </w:rPr>
              <w:t>4分</w:t>
            </w:r>
          </w:p>
        </w:tc>
        <w:tc>
          <w:tcPr>
            <w:tcW w:w="6012" w:type="dxa"/>
            <w:noWrap/>
            <w:vAlign w:val="center"/>
          </w:tcPr>
          <w:p>
            <w:pPr>
              <w:rPr>
                <w:highlight w:val="none"/>
              </w:rPr>
            </w:pPr>
            <w:r>
              <w:rPr>
                <w:rFonts w:hint="eastAsia"/>
                <w:highlight w:val="none"/>
              </w:rPr>
              <w:t>（1）项目进度安排合理，各环节衔接顺畅，综合协调管理水平高，内容详实，能够有效完成标段七任务目标，得4分。</w:t>
            </w:r>
          </w:p>
          <w:p>
            <w:pPr>
              <w:rPr>
                <w:highlight w:val="none"/>
              </w:rPr>
            </w:pPr>
            <w:r>
              <w:rPr>
                <w:rFonts w:hint="eastAsia"/>
                <w:highlight w:val="none"/>
              </w:rPr>
              <w:t>（2）项目进度安排较合理，各环节衔接较顺畅，综合协调管理水平较高，内容较详实，基本能够完成标段七任务目标，得2分。</w:t>
            </w:r>
          </w:p>
          <w:p>
            <w:pPr>
              <w:rPr>
                <w:highlight w:val="none"/>
              </w:rPr>
            </w:pPr>
            <w:r>
              <w:rPr>
                <w:rFonts w:hint="eastAsia"/>
                <w:highlight w:val="none"/>
              </w:rPr>
              <w:t>（3）项目进度安排一般，各环节衔接程度一般，综合协调管理水平一般，具备一定内容，完成标段七任务目标有一定难度，得1分。</w:t>
            </w:r>
          </w:p>
          <w:p>
            <w:pPr>
              <w:rPr>
                <w:highlight w:val="none"/>
              </w:rPr>
            </w:pPr>
            <w:r>
              <w:rPr>
                <w:rFonts w:hint="eastAsia" w:hAnsi="宋体" w:cs="宋体"/>
                <w:szCs w:val="21"/>
                <w:highlight w:val="none"/>
              </w:rPr>
              <w:t>所投标段中有2个以上行业的，涉及行业属性的，提供所投标段的主要行业相关材料，标段七主要行业：</w:t>
            </w:r>
            <w:r>
              <w:rPr>
                <w:rFonts w:hint="eastAsia"/>
                <w:highlight w:val="none"/>
              </w:rPr>
              <w:t>金属制品产业。</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2" w:hRule="atLeast"/>
        </w:trPr>
        <w:tc>
          <w:tcPr>
            <w:tcW w:w="841" w:type="dxa"/>
            <w:vMerge w:val="continue"/>
            <w:noWrap/>
            <w:vAlign w:val="center"/>
          </w:tcPr>
          <w:p>
            <w:pPr>
              <w:widowControl/>
              <w:spacing w:line="240" w:lineRule="atLeast"/>
              <w:jc w:val="center"/>
              <w:rPr>
                <w:rFonts w:ascii="宋体" w:hAnsi="宋体" w:cs="宋体"/>
                <w:kern w:val="0"/>
                <w:szCs w:val="21"/>
                <w:highlight w:val="none"/>
                <w:lang w:val="zh-CN"/>
              </w:rPr>
            </w:pPr>
          </w:p>
        </w:tc>
        <w:tc>
          <w:tcPr>
            <w:tcW w:w="1306" w:type="dxa"/>
            <w:noWrap/>
            <w:vAlign w:val="center"/>
          </w:tcPr>
          <w:p>
            <w:pPr>
              <w:rPr>
                <w:rFonts w:ascii="宋体" w:hAnsi="宋体" w:cs="宋体"/>
                <w:szCs w:val="21"/>
                <w:highlight w:val="none"/>
                <w:lang w:val="zh-CN"/>
              </w:rPr>
            </w:pPr>
            <w:r>
              <w:rPr>
                <w:rFonts w:hint="eastAsia" w:ascii="宋体" w:hAnsi="宋体" w:cs="宋体"/>
                <w:szCs w:val="21"/>
                <w:highlight w:val="none"/>
                <w:lang w:val="zh-CN"/>
              </w:rPr>
              <w:t>诊断项目诊断报告编制思路</w:t>
            </w:r>
          </w:p>
        </w:tc>
        <w:tc>
          <w:tcPr>
            <w:tcW w:w="804" w:type="dxa"/>
            <w:noWrap/>
            <w:vAlign w:val="center"/>
          </w:tcPr>
          <w:p>
            <w:pPr>
              <w:jc w:val="center"/>
              <w:rPr>
                <w:rFonts w:ascii="宋体" w:hAnsi="宋体" w:cs="宋体"/>
                <w:szCs w:val="21"/>
                <w:highlight w:val="none"/>
              </w:rPr>
            </w:pPr>
            <w:r>
              <w:rPr>
                <w:rFonts w:hint="eastAsia" w:ascii="宋体" w:hAnsi="宋体" w:cs="宋体"/>
                <w:szCs w:val="21"/>
                <w:highlight w:val="none"/>
              </w:rPr>
              <w:t>4分</w:t>
            </w:r>
          </w:p>
        </w:tc>
        <w:tc>
          <w:tcPr>
            <w:tcW w:w="6012" w:type="dxa"/>
            <w:noWrap/>
            <w:vAlign w:val="center"/>
          </w:tcPr>
          <w:p>
            <w:pPr>
              <w:rPr>
                <w:rFonts w:ascii="宋体" w:hAnsi="宋体" w:cs="宋体"/>
                <w:szCs w:val="21"/>
                <w:highlight w:val="none"/>
              </w:rPr>
            </w:pPr>
            <w:r>
              <w:rPr>
                <w:rFonts w:hint="eastAsia" w:ascii="宋体" w:hAnsi="宋体" w:cs="宋体"/>
                <w:szCs w:val="21"/>
                <w:highlight w:val="none"/>
              </w:rPr>
              <w:t>（1）对报告的整体构架有清晰的描述，撰写思路清晰完整、重点任务明确、分析方法得当，能提供具有行业代表性、针对性的解决方案，实施路径切实可行，得4分。</w:t>
            </w:r>
          </w:p>
          <w:p>
            <w:pPr>
              <w:rPr>
                <w:rFonts w:ascii="宋体" w:hAnsi="宋体" w:cs="宋体"/>
                <w:szCs w:val="21"/>
                <w:highlight w:val="none"/>
              </w:rPr>
            </w:pPr>
            <w:r>
              <w:rPr>
                <w:rFonts w:hint="eastAsia" w:ascii="宋体" w:hAnsi="宋体" w:cs="宋体"/>
                <w:szCs w:val="21"/>
                <w:highlight w:val="none"/>
              </w:rPr>
              <w:t>（2）对报告的整体构架有较清晰的描述，撰写思路较完整、重点任务较明确、分析方法适当，能提供行业解决方案，实施路径切具有一定可行性，得2分。</w:t>
            </w:r>
          </w:p>
          <w:p>
            <w:pPr>
              <w:rPr>
                <w:rFonts w:ascii="宋体" w:hAnsi="宋体" w:cs="宋体"/>
                <w:szCs w:val="21"/>
                <w:highlight w:val="none"/>
              </w:rPr>
            </w:pPr>
            <w:r>
              <w:rPr>
                <w:rFonts w:hint="eastAsia" w:ascii="宋体" w:hAnsi="宋体" w:cs="宋体"/>
                <w:szCs w:val="21"/>
                <w:highlight w:val="none"/>
              </w:rPr>
              <w:t>（3）对报告的整体构架的描述不够清晰，撰写思路模糊、重点任务不明确、分析方法适当性不强，提供解决方案缺乏代表和依据，实施路径有难度，得1分。</w:t>
            </w:r>
          </w:p>
          <w:p>
            <w:pPr>
              <w:rPr>
                <w:rFonts w:hAnsi="宋体" w:cs="宋体"/>
                <w:szCs w:val="21"/>
                <w:highlight w:val="none"/>
              </w:rPr>
            </w:pPr>
            <w:r>
              <w:rPr>
                <w:rFonts w:hint="eastAsia" w:hAnsi="宋体" w:cs="宋体"/>
                <w:szCs w:val="21"/>
                <w:highlight w:val="none"/>
              </w:rPr>
              <w:t>所投标段中有2个以上行业的，涉及行业属性的，提供所投标段的主要行业相关材料，标段七主要行业：</w:t>
            </w:r>
            <w:r>
              <w:rPr>
                <w:rFonts w:hint="eastAsia"/>
                <w:highlight w:val="none"/>
              </w:rPr>
              <w:t>金属制品产业。</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2" w:hRule="atLeast"/>
        </w:trPr>
        <w:tc>
          <w:tcPr>
            <w:tcW w:w="841" w:type="dxa"/>
            <w:noWrap/>
            <w:vAlign w:val="center"/>
          </w:tcPr>
          <w:p>
            <w:pPr>
              <w:widowControl/>
              <w:spacing w:line="240" w:lineRule="atLeast"/>
              <w:jc w:val="center"/>
              <w:rPr>
                <w:rFonts w:ascii="宋体" w:hAnsi="宋体" w:cs="宋体"/>
                <w:kern w:val="0"/>
                <w:szCs w:val="21"/>
                <w:highlight w:val="none"/>
                <w:lang w:val="zh-CN"/>
              </w:rPr>
            </w:pPr>
            <w:r>
              <w:rPr>
                <w:rFonts w:hint="eastAsia" w:ascii="宋体" w:hAnsi="宋体" w:cs="宋体"/>
                <w:kern w:val="0"/>
                <w:szCs w:val="21"/>
                <w:highlight w:val="none"/>
                <w:lang w:val="zh-CN"/>
              </w:rPr>
              <w:t>项目人员团队能力（</w:t>
            </w:r>
            <w:r>
              <w:rPr>
                <w:rFonts w:hint="eastAsia" w:ascii="宋体" w:hAnsi="宋体" w:cs="宋体"/>
                <w:kern w:val="0"/>
                <w:szCs w:val="21"/>
                <w:highlight w:val="none"/>
              </w:rPr>
              <w:t>15分</w:t>
            </w:r>
            <w:r>
              <w:rPr>
                <w:rFonts w:hint="eastAsia" w:ascii="宋体" w:hAnsi="宋体" w:cs="宋体"/>
                <w:kern w:val="0"/>
                <w:szCs w:val="21"/>
                <w:highlight w:val="none"/>
                <w:lang w:val="zh-CN"/>
              </w:rPr>
              <w:t>）</w:t>
            </w:r>
          </w:p>
        </w:tc>
        <w:tc>
          <w:tcPr>
            <w:tcW w:w="1306" w:type="dxa"/>
            <w:noWrap/>
            <w:vAlign w:val="center"/>
          </w:tcPr>
          <w:p>
            <w:pPr>
              <w:widowControl/>
              <w:spacing w:line="240" w:lineRule="atLeast"/>
              <w:jc w:val="center"/>
              <w:rPr>
                <w:rFonts w:ascii="宋体" w:hAnsi="宋体" w:cs="宋体"/>
                <w:szCs w:val="21"/>
                <w:highlight w:val="none"/>
                <w:lang w:val="zh-CN"/>
              </w:rPr>
            </w:pPr>
            <w:r>
              <w:rPr>
                <w:rFonts w:hint="eastAsia" w:ascii="宋体" w:hAnsi="宋体" w:cs="宋体"/>
                <w:kern w:val="0"/>
                <w:szCs w:val="21"/>
                <w:highlight w:val="none"/>
                <w:lang w:val="zh-CN"/>
              </w:rPr>
              <w:t>项目人员团队能力</w:t>
            </w:r>
          </w:p>
        </w:tc>
        <w:tc>
          <w:tcPr>
            <w:tcW w:w="804" w:type="dxa"/>
            <w:noWrap/>
            <w:vAlign w:val="center"/>
          </w:tcPr>
          <w:p>
            <w:pPr>
              <w:jc w:val="center"/>
              <w:rPr>
                <w:rFonts w:ascii="宋体" w:hAnsi="宋体" w:cs="宋体"/>
                <w:szCs w:val="21"/>
                <w:highlight w:val="none"/>
              </w:rPr>
            </w:pPr>
            <w:r>
              <w:rPr>
                <w:rFonts w:hint="eastAsia" w:ascii="宋体" w:hAnsi="宋体" w:cs="宋体"/>
                <w:szCs w:val="21"/>
                <w:highlight w:val="none"/>
              </w:rPr>
              <w:t>15分</w:t>
            </w:r>
          </w:p>
        </w:tc>
        <w:tc>
          <w:tcPr>
            <w:tcW w:w="6012" w:type="dxa"/>
            <w:noWrap/>
            <w:vAlign w:val="center"/>
          </w:tcPr>
          <w:p>
            <w:pPr>
              <w:rPr>
                <w:rFonts w:ascii="宋体" w:hAnsi="宋体" w:cs="宋体"/>
                <w:szCs w:val="21"/>
                <w:highlight w:val="none"/>
              </w:rPr>
            </w:pPr>
            <w:r>
              <w:rPr>
                <w:rFonts w:hint="eastAsia"/>
                <w:highlight w:val="none"/>
              </w:rPr>
              <w:t>（1）</w:t>
            </w:r>
            <w:r>
              <w:rPr>
                <w:rFonts w:hint="eastAsia" w:ascii="宋体" w:hAnsi="宋体" w:cs="宋体"/>
                <w:szCs w:val="21"/>
                <w:highlight w:val="none"/>
              </w:rPr>
              <w:t>拟任</w:t>
            </w:r>
            <w:r>
              <w:rPr>
                <w:rFonts w:hint="eastAsia"/>
                <w:highlight w:val="none"/>
              </w:rPr>
              <w:t>项目负责人具有智能制造（两化融合）相关技术或标段七行业高级职称，得3分；为工信部、省工信厅智能制造（两化融合）领域或标段七行业专家库成员，得3分。本项最高得6分。</w:t>
            </w:r>
          </w:p>
          <w:p>
            <w:pPr>
              <w:pStyle w:val="19"/>
              <w:rPr>
                <w:rFonts w:ascii="宋体" w:hAnsi="宋体" w:eastAsia="宋体" w:cs="宋体"/>
                <w:kern w:val="2"/>
                <w:sz w:val="21"/>
                <w:szCs w:val="21"/>
                <w:highlight w:val="none"/>
              </w:rPr>
            </w:pPr>
            <w:r>
              <w:rPr>
                <w:rFonts w:hint="eastAsia" w:ascii="宋体" w:hAnsi="宋体" w:eastAsia="宋体" w:cs="宋体"/>
                <w:kern w:val="2"/>
                <w:sz w:val="21"/>
                <w:szCs w:val="21"/>
                <w:highlight w:val="none"/>
              </w:rPr>
              <w:t>（2）</w:t>
            </w:r>
            <w:r>
              <w:rPr>
                <w:rFonts w:hint="eastAsia" w:ascii="Times New Roman" w:eastAsia="宋体"/>
                <w:kern w:val="2"/>
                <w:sz w:val="21"/>
                <w:szCs w:val="24"/>
                <w:highlight w:val="none"/>
              </w:rPr>
              <w:t>拟投入团队成员具</w:t>
            </w:r>
            <w:r>
              <w:rPr>
                <w:rFonts w:hint="eastAsia" w:ascii="宋体" w:hAnsi="宋体" w:eastAsia="宋体" w:cs="宋体"/>
                <w:kern w:val="2"/>
                <w:sz w:val="21"/>
                <w:szCs w:val="21"/>
                <w:highlight w:val="none"/>
              </w:rPr>
              <w:t>有智能制造相关技术或标段七行业中级及以上专业职称、智能制造能力成熟度模型评估师证书、注册自动化系统工程师证书、软件评测师证书、项目管理师证书、CISP（注册信息安全专业人员）证书，全国两化融合管理体系技能合格证书或两化融合管理体系贯标咨询证书或同类人才证书的技术人员，每提供一份得0.5分（同一人员证书不重复计算分数），本项最高得4分。</w:t>
            </w:r>
          </w:p>
          <w:p>
            <w:pPr>
              <w:pStyle w:val="19"/>
              <w:rPr>
                <w:rFonts w:ascii="宋体" w:hAnsi="宋体" w:eastAsia="宋体" w:cs="宋体"/>
                <w:kern w:val="2"/>
                <w:sz w:val="21"/>
                <w:szCs w:val="21"/>
                <w:highlight w:val="none"/>
              </w:rPr>
            </w:pPr>
            <w:r>
              <w:rPr>
                <w:rFonts w:hint="eastAsia" w:ascii="宋体" w:hAnsi="宋体" w:eastAsia="宋体" w:cs="宋体"/>
                <w:kern w:val="2"/>
                <w:sz w:val="21"/>
                <w:szCs w:val="21"/>
                <w:highlight w:val="none"/>
              </w:rPr>
              <w:t>（3）</w:t>
            </w:r>
            <w:r>
              <w:rPr>
                <w:rFonts w:hint="eastAsia" w:ascii="Times New Roman" w:eastAsia="宋体"/>
                <w:kern w:val="2"/>
                <w:sz w:val="21"/>
                <w:szCs w:val="24"/>
                <w:highlight w:val="none"/>
              </w:rPr>
              <w:t>拟投入团队成员</w:t>
            </w:r>
            <w:r>
              <w:rPr>
                <w:rFonts w:hint="eastAsia" w:ascii="宋体" w:hAnsi="宋体" w:eastAsia="宋体" w:cs="宋体"/>
                <w:kern w:val="2"/>
                <w:sz w:val="21"/>
                <w:szCs w:val="21"/>
                <w:highlight w:val="none"/>
              </w:rPr>
              <w:t>具有智能制造相关领域或标段七行业专业背景，博士学历，每人得1分，硕士学历，每人得0.5分，最高5分。（同一人员学历不重复计算分数）</w:t>
            </w:r>
          </w:p>
          <w:p>
            <w:pPr>
              <w:rPr>
                <w:rFonts w:hAnsi="宋体" w:cs="宋体"/>
                <w:szCs w:val="21"/>
                <w:highlight w:val="none"/>
              </w:rPr>
            </w:pPr>
            <w:r>
              <w:rPr>
                <w:rFonts w:hint="eastAsia" w:ascii="宋体" w:hAnsi="宋体" w:cs="宋体"/>
                <w:szCs w:val="21"/>
                <w:highlight w:val="none"/>
              </w:rPr>
              <w:t>以上材料需提供职称证书（聘书或相关证明）、与投标供应商签订的劳动合同和近三个月社保缴费记录等材料加盖公章，因所提供证明材料不全或内容不明，不得分。智能制造（两化融合）相关技术领域包括：机械、装备、计算机、企业管理、软件、控制、云计算、大数据、人工智能等。</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268" w:hRule="atLeast"/>
        </w:trPr>
        <w:tc>
          <w:tcPr>
            <w:tcW w:w="841" w:type="dxa"/>
            <w:noWrap/>
            <w:vAlign w:val="center"/>
          </w:tcPr>
          <w:p>
            <w:pPr>
              <w:widowControl/>
              <w:spacing w:line="240" w:lineRule="atLeast"/>
              <w:jc w:val="center"/>
              <w:rPr>
                <w:rFonts w:ascii="宋体" w:hAnsi="宋体" w:cs="宋体"/>
                <w:kern w:val="0"/>
                <w:szCs w:val="21"/>
                <w:highlight w:val="none"/>
                <w:lang w:val="zh-CN"/>
              </w:rPr>
            </w:pPr>
            <w:r>
              <w:rPr>
                <w:rFonts w:hint="eastAsia" w:ascii="宋体" w:hAnsi="宋体" w:cs="宋体"/>
                <w:kern w:val="0"/>
                <w:szCs w:val="21"/>
                <w:highlight w:val="none"/>
                <w:lang w:val="zh-CN"/>
              </w:rPr>
              <w:t>项目相关经验及履约能力（</w:t>
            </w:r>
            <w:r>
              <w:rPr>
                <w:rFonts w:hint="eastAsia" w:ascii="宋体" w:hAnsi="宋体" w:cs="宋体"/>
                <w:kern w:val="0"/>
                <w:szCs w:val="21"/>
                <w:highlight w:val="none"/>
                <w:lang w:val="en-US" w:eastAsia="zh-CN"/>
              </w:rPr>
              <w:t>8</w:t>
            </w:r>
            <w:r>
              <w:rPr>
                <w:rFonts w:hint="eastAsia" w:ascii="宋体" w:hAnsi="宋体" w:cs="宋体"/>
                <w:kern w:val="0"/>
                <w:szCs w:val="21"/>
                <w:highlight w:val="none"/>
              </w:rPr>
              <w:t>分</w:t>
            </w:r>
            <w:r>
              <w:rPr>
                <w:rFonts w:hint="eastAsia" w:ascii="宋体" w:hAnsi="宋体" w:cs="宋体"/>
                <w:kern w:val="0"/>
                <w:szCs w:val="21"/>
                <w:highlight w:val="none"/>
                <w:lang w:val="zh-CN"/>
              </w:rPr>
              <w:t>）</w:t>
            </w:r>
          </w:p>
        </w:tc>
        <w:tc>
          <w:tcPr>
            <w:tcW w:w="1306" w:type="dxa"/>
            <w:noWrap/>
            <w:vAlign w:val="center"/>
          </w:tcPr>
          <w:p>
            <w:pPr>
              <w:widowControl/>
              <w:spacing w:line="240" w:lineRule="atLeast"/>
              <w:jc w:val="center"/>
              <w:rPr>
                <w:rFonts w:ascii="宋体" w:hAnsi="宋体" w:cs="宋体"/>
                <w:kern w:val="0"/>
                <w:szCs w:val="21"/>
                <w:highlight w:val="none"/>
                <w:lang w:val="zh-CN"/>
              </w:rPr>
            </w:pPr>
            <w:r>
              <w:rPr>
                <w:rFonts w:hint="eastAsia" w:ascii="宋体" w:hAnsi="宋体" w:cs="宋体"/>
                <w:kern w:val="0"/>
                <w:szCs w:val="21"/>
                <w:highlight w:val="none"/>
                <w:lang w:val="zh-CN"/>
              </w:rPr>
              <w:t>项目相关经验及履约能力</w:t>
            </w:r>
          </w:p>
        </w:tc>
        <w:tc>
          <w:tcPr>
            <w:tcW w:w="804" w:type="dxa"/>
            <w:noWrap/>
            <w:vAlign w:val="center"/>
          </w:tcPr>
          <w:p>
            <w:pPr>
              <w:jc w:val="center"/>
              <w:rPr>
                <w:rFonts w:ascii="宋体" w:hAnsi="宋体" w:cs="宋体"/>
                <w:szCs w:val="21"/>
                <w:highlight w:val="none"/>
              </w:rPr>
            </w:pPr>
            <w:r>
              <w:rPr>
                <w:rFonts w:hint="eastAsia" w:ascii="宋体" w:hAnsi="宋体" w:cs="宋体"/>
                <w:szCs w:val="21"/>
                <w:highlight w:val="none"/>
              </w:rPr>
              <w:t>8分</w:t>
            </w:r>
          </w:p>
        </w:tc>
        <w:tc>
          <w:tcPr>
            <w:tcW w:w="6012" w:type="dxa"/>
            <w:noWrap/>
            <w:vAlign w:val="center"/>
          </w:tcPr>
          <w:p>
            <w:pPr>
              <w:rPr>
                <w:highlight w:val="none"/>
              </w:rPr>
            </w:pPr>
            <w:r>
              <w:rPr>
                <w:rFonts w:hint="eastAsia"/>
                <w:highlight w:val="none"/>
              </w:rPr>
              <w:t>2019年4月以来为标段七行业制造业企业提供智能化改造和数字化转型相关技术或解决方案，并落地实施的，根据标段七产业要求每提供一项得1分。本项最高得8分。</w:t>
            </w:r>
          </w:p>
          <w:p>
            <w:pPr>
              <w:widowControl/>
              <w:jc w:val="left"/>
              <w:rPr>
                <w:highlight w:val="none"/>
              </w:rPr>
            </w:pPr>
            <w:r>
              <w:rPr>
                <w:rFonts w:hint="eastAsia"/>
                <w:highlight w:val="none"/>
              </w:rPr>
              <w:t>标段七产业要求：</w:t>
            </w:r>
            <w:r>
              <w:rPr>
                <w:rFonts w:hint="eastAsia" w:ascii="宋体" w:hAnsi="宋体"/>
                <w:szCs w:val="21"/>
                <w:highlight w:val="none"/>
              </w:rPr>
              <w:t>金属制品产业最高得6分，橡胶塑料制品产业最高得1分，家居制造产业最高得1分</w:t>
            </w:r>
            <w:r>
              <w:rPr>
                <w:rFonts w:hint="eastAsia"/>
                <w:highlight w:val="none"/>
              </w:rPr>
              <w:t>。</w:t>
            </w:r>
          </w:p>
          <w:p>
            <w:pPr>
              <w:rPr>
                <w:highlight w:val="none"/>
              </w:rPr>
            </w:pPr>
            <w:r>
              <w:rPr>
                <w:rFonts w:hint="eastAsia"/>
                <w:highlight w:val="none"/>
              </w:rPr>
              <w:t>需提供为标段七行业企业提供智能制造相关技术或解决方案的合同及实施结果（如验收证明材料、任意一张该合同支付发票等）证明材料；同时提供所服务企业属于标段七行业的相关证明，如被服务企业营业执照、被服务企业加盖公章的情况说明及其他能证明被服务企业属于标段七行业的材料。不提供被服务企业为标段七行业或提供的材料不明，无法认定所服务企业属于标段七行业的，视为未提供，不予赋分。</w:t>
            </w:r>
            <w:r>
              <w:rPr>
                <w:rFonts w:hint="eastAsia" w:ascii="宋体" w:hAnsi="宋体" w:cs="宋体"/>
                <w:szCs w:val="21"/>
                <w:highlight w:val="none"/>
              </w:rPr>
              <w:t>以上材料要求复印件并加盖投标单位公章。</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872" w:hRule="atLeast"/>
        </w:trPr>
        <w:tc>
          <w:tcPr>
            <w:tcW w:w="8963" w:type="dxa"/>
            <w:gridSpan w:val="4"/>
            <w:noWrap/>
            <w:vAlign w:val="center"/>
          </w:tcPr>
          <w:p>
            <w:pPr>
              <w:widowControl/>
              <w:jc w:val="left"/>
              <w:rPr>
                <w:highlight w:val="none"/>
              </w:rPr>
            </w:pPr>
            <w:r>
              <w:rPr>
                <w:rFonts w:hint="eastAsia"/>
                <w:highlight w:val="none"/>
              </w:rPr>
              <w:t xml:space="preserve">备注： </w:t>
            </w:r>
          </w:p>
          <w:p>
            <w:pPr>
              <w:widowControl/>
              <w:numPr>
                <w:ilvl w:val="0"/>
                <w:numId w:val="14"/>
              </w:numPr>
              <w:jc w:val="left"/>
              <w:rPr>
                <w:highlight w:val="none"/>
              </w:rPr>
            </w:pPr>
            <w:r>
              <w:rPr>
                <w:rFonts w:hint="eastAsia"/>
                <w:highlight w:val="none"/>
              </w:rPr>
              <w:t xml:space="preserve">针对评分标准中评分的每一条，投标供应商在响应文件中均应提供清晰明了的相关资料并做出相应说明供评委评判，不提供相关资料的视为不具备该项得分的条件。 </w:t>
            </w:r>
          </w:p>
          <w:p>
            <w:pPr>
              <w:widowControl/>
              <w:numPr>
                <w:ilvl w:val="0"/>
                <w:numId w:val="14"/>
              </w:numPr>
              <w:jc w:val="left"/>
              <w:rPr>
                <w:highlight w:val="none"/>
              </w:rPr>
            </w:pPr>
            <w:r>
              <w:rPr>
                <w:rFonts w:hint="eastAsia"/>
                <w:highlight w:val="none"/>
              </w:rPr>
              <w:t>联合体所有投标文件以联合体牵头人签字盖章为准。</w:t>
            </w:r>
          </w:p>
          <w:p>
            <w:pPr>
              <w:widowControl/>
              <w:numPr>
                <w:ilvl w:val="0"/>
                <w:numId w:val="14"/>
              </w:numPr>
              <w:jc w:val="left"/>
              <w:rPr>
                <w:highlight w:val="none"/>
              </w:rPr>
            </w:pPr>
            <w:r>
              <w:rPr>
                <w:rFonts w:hint="eastAsia"/>
                <w:b/>
                <w:bCs/>
                <w:highlight w:val="none"/>
              </w:rPr>
              <w:t>标段七商务技术分第二部分的所有内容作为标段七商务技术标第二册（一正六副），标段七</w:t>
            </w:r>
            <w:r>
              <w:rPr>
                <w:rFonts w:hint="eastAsia"/>
                <w:b/>
                <w:bCs/>
                <w:highlight w:val="none"/>
                <w:lang w:val="zh-CN"/>
              </w:rPr>
              <w:t>商务技术标</w:t>
            </w:r>
            <w:r>
              <w:rPr>
                <w:rFonts w:hint="eastAsia"/>
                <w:b/>
                <w:bCs/>
                <w:highlight w:val="none"/>
              </w:rPr>
              <w:t>第二册内容中涉及项目名称的格式都必须为：2022年南通市“智改数转”诊断服务项目标段七。</w:t>
            </w:r>
          </w:p>
        </w:tc>
      </w:tr>
    </w:tbl>
    <w:p>
      <w:pPr>
        <w:pStyle w:val="2"/>
        <w:ind w:left="0" w:leftChars="0" w:firstLine="0" w:firstLineChars="0"/>
        <w:jc w:val="both"/>
        <w:rPr>
          <w:rFonts w:ascii="宋体" w:hAnsi="宋体" w:cs="宋体"/>
          <w:b/>
          <w:bCs/>
          <w:sz w:val="24"/>
          <w:highlight w:val="none"/>
        </w:rPr>
      </w:pPr>
    </w:p>
    <w:p>
      <w:pPr>
        <w:widowControl/>
        <w:spacing w:line="240" w:lineRule="atLeast"/>
        <w:jc w:val="center"/>
        <w:rPr>
          <w:rFonts w:ascii="宋体" w:hAnsi="宋体" w:cs="宋体"/>
          <w:b/>
          <w:bCs/>
          <w:kern w:val="0"/>
          <w:sz w:val="24"/>
          <w:highlight w:val="none"/>
        </w:rPr>
      </w:pPr>
      <w:r>
        <w:rPr>
          <w:rFonts w:hint="eastAsia" w:ascii="宋体" w:hAnsi="宋体" w:cs="宋体"/>
          <w:b/>
          <w:bCs/>
          <w:kern w:val="0"/>
          <w:sz w:val="24"/>
          <w:highlight w:val="none"/>
        </w:rPr>
        <w:t>标段八商务技术分第二部分</w:t>
      </w:r>
    </w:p>
    <w:tbl>
      <w:tblPr>
        <w:tblStyle w:val="41"/>
        <w:tblW w:w="8963" w:type="dxa"/>
        <w:tblInd w:w="-23"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841"/>
        <w:gridCol w:w="1306"/>
        <w:gridCol w:w="804"/>
        <w:gridCol w:w="6012"/>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2" w:hRule="atLeast"/>
        </w:trPr>
        <w:tc>
          <w:tcPr>
            <w:tcW w:w="8963" w:type="dxa"/>
            <w:gridSpan w:val="4"/>
            <w:noWrap/>
            <w:vAlign w:val="center"/>
          </w:tcPr>
          <w:p>
            <w:pPr>
              <w:widowControl/>
              <w:spacing w:line="240" w:lineRule="atLeast"/>
              <w:jc w:val="center"/>
              <w:rPr>
                <w:highlight w:val="none"/>
              </w:rPr>
            </w:pPr>
            <w:r>
              <w:rPr>
                <w:rFonts w:hint="eastAsia" w:ascii="宋体" w:hAnsi="宋体" w:cs="宋体"/>
                <w:b/>
                <w:bCs/>
                <w:kern w:val="0"/>
                <w:sz w:val="24"/>
                <w:highlight w:val="none"/>
              </w:rPr>
              <w:t>商务技术分第二部分（所投标段相关）</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841" w:type="dxa"/>
            <w:noWrap/>
            <w:vAlign w:val="center"/>
          </w:tcPr>
          <w:p>
            <w:pPr>
              <w:widowControl/>
              <w:spacing w:line="240" w:lineRule="atLeast"/>
              <w:jc w:val="center"/>
              <w:rPr>
                <w:rFonts w:ascii="宋体" w:hAnsi="宋体" w:cs="宋体"/>
                <w:b/>
                <w:bCs/>
                <w:kern w:val="0"/>
                <w:sz w:val="24"/>
                <w:highlight w:val="none"/>
                <w:lang w:val="zh-CN"/>
              </w:rPr>
            </w:pPr>
            <w:r>
              <w:rPr>
                <w:rFonts w:hint="eastAsia" w:ascii="宋体" w:hAnsi="宋体" w:cs="宋体"/>
                <w:b/>
                <w:bCs/>
                <w:kern w:val="0"/>
                <w:sz w:val="24"/>
                <w:highlight w:val="none"/>
                <w:lang w:val="zh-CN"/>
              </w:rPr>
              <w:t>评审</w:t>
            </w:r>
          </w:p>
          <w:p>
            <w:pPr>
              <w:widowControl/>
              <w:spacing w:line="240" w:lineRule="atLeast"/>
              <w:jc w:val="center"/>
              <w:rPr>
                <w:highlight w:val="none"/>
              </w:rPr>
            </w:pPr>
            <w:r>
              <w:rPr>
                <w:rFonts w:hint="eastAsia" w:ascii="宋体" w:hAnsi="宋体" w:cs="宋体"/>
                <w:b/>
                <w:bCs/>
                <w:kern w:val="0"/>
                <w:sz w:val="24"/>
                <w:highlight w:val="none"/>
                <w:lang w:val="zh-CN"/>
              </w:rPr>
              <w:t>因素</w:t>
            </w:r>
          </w:p>
        </w:tc>
        <w:tc>
          <w:tcPr>
            <w:tcW w:w="1306" w:type="dxa"/>
            <w:noWrap/>
            <w:vAlign w:val="center"/>
          </w:tcPr>
          <w:p>
            <w:pPr>
              <w:widowControl/>
              <w:spacing w:line="240" w:lineRule="atLeast"/>
              <w:jc w:val="center"/>
              <w:rPr>
                <w:highlight w:val="none"/>
              </w:rPr>
            </w:pPr>
            <w:r>
              <w:rPr>
                <w:rFonts w:hint="eastAsia" w:ascii="宋体" w:hAnsi="宋体" w:cs="宋体"/>
                <w:b/>
                <w:bCs/>
                <w:kern w:val="0"/>
                <w:sz w:val="24"/>
                <w:highlight w:val="none"/>
              </w:rPr>
              <w:t>评审项目</w:t>
            </w:r>
          </w:p>
        </w:tc>
        <w:tc>
          <w:tcPr>
            <w:tcW w:w="804" w:type="dxa"/>
            <w:noWrap/>
            <w:vAlign w:val="center"/>
          </w:tcPr>
          <w:p>
            <w:pPr>
              <w:widowControl/>
              <w:spacing w:line="240" w:lineRule="atLeast"/>
              <w:jc w:val="center"/>
              <w:rPr>
                <w:highlight w:val="none"/>
              </w:rPr>
            </w:pPr>
            <w:r>
              <w:rPr>
                <w:rFonts w:hint="eastAsia" w:ascii="宋体" w:hAnsi="宋体" w:cs="宋体"/>
                <w:b/>
                <w:bCs/>
                <w:kern w:val="0"/>
                <w:sz w:val="24"/>
                <w:highlight w:val="none"/>
              </w:rPr>
              <w:t>分值</w:t>
            </w:r>
          </w:p>
        </w:tc>
        <w:tc>
          <w:tcPr>
            <w:tcW w:w="6012" w:type="dxa"/>
            <w:noWrap/>
            <w:vAlign w:val="center"/>
          </w:tcPr>
          <w:p>
            <w:pPr>
              <w:widowControl/>
              <w:spacing w:line="240" w:lineRule="atLeast"/>
              <w:jc w:val="center"/>
              <w:rPr>
                <w:highlight w:val="none"/>
              </w:rPr>
            </w:pPr>
            <w:r>
              <w:rPr>
                <w:rFonts w:hint="eastAsia" w:ascii="宋体" w:hAnsi="宋体" w:cs="宋体"/>
                <w:b/>
                <w:bCs/>
                <w:kern w:val="0"/>
                <w:sz w:val="24"/>
                <w:highlight w:val="none"/>
              </w:rPr>
              <w:t>评审标准</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2" w:hRule="atLeast"/>
        </w:trPr>
        <w:tc>
          <w:tcPr>
            <w:tcW w:w="841" w:type="dxa"/>
            <w:noWrap/>
            <w:vAlign w:val="center"/>
          </w:tcPr>
          <w:p>
            <w:pPr>
              <w:widowControl/>
              <w:spacing w:line="240" w:lineRule="atLeast"/>
              <w:jc w:val="center"/>
              <w:rPr>
                <w:rFonts w:ascii="宋体" w:hAnsi="宋体" w:cs="宋体"/>
                <w:b/>
                <w:bCs/>
                <w:kern w:val="0"/>
                <w:sz w:val="24"/>
                <w:highlight w:val="none"/>
                <w:lang w:val="zh-CN"/>
              </w:rPr>
            </w:pPr>
            <w:r>
              <w:rPr>
                <w:rFonts w:hint="eastAsia" w:ascii="宋体" w:hAnsi="宋体" w:cs="宋体"/>
                <w:kern w:val="0"/>
                <w:szCs w:val="21"/>
                <w:highlight w:val="none"/>
                <w:lang w:val="zh-CN"/>
              </w:rPr>
              <w:t>项目认识与理解（</w:t>
            </w:r>
            <w:r>
              <w:rPr>
                <w:rFonts w:hint="eastAsia" w:ascii="宋体" w:hAnsi="宋体" w:cs="宋体"/>
                <w:kern w:val="0"/>
                <w:szCs w:val="21"/>
                <w:highlight w:val="none"/>
              </w:rPr>
              <w:t>4分</w:t>
            </w:r>
            <w:r>
              <w:rPr>
                <w:rFonts w:hint="eastAsia" w:ascii="宋体" w:hAnsi="宋体" w:cs="宋体"/>
                <w:kern w:val="0"/>
                <w:szCs w:val="21"/>
                <w:highlight w:val="none"/>
                <w:lang w:val="zh-CN"/>
              </w:rPr>
              <w:t>）</w:t>
            </w:r>
          </w:p>
        </w:tc>
        <w:tc>
          <w:tcPr>
            <w:tcW w:w="1306" w:type="dxa"/>
            <w:noWrap/>
            <w:vAlign w:val="center"/>
          </w:tcPr>
          <w:p>
            <w:pPr>
              <w:widowControl/>
              <w:spacing w:line="240" w:lineRule="atLeast"/>
              <w:jc w:val="center"/>
              <w:rPr>
                <w:rFonts w:ascii="宋体" w:hAnsi="宋体" w:cs="宋体"/>
                <w:b/>
                <w:bCs/>
                <w:kern w:val="0"/>
                <w:sz w:val="24"/>
                <w:highlight w:val="none"/>
              </w:rPr>
            </w:pPr>
            <w:r>
              <w:rPr>
                <w:rFonts w:hint="eastAsia" w:ascii="宋体" w:hAnsi="宋体" w:cs="宋体"/>
                <w:szCs w:val="21"/>
                <w:highlight w:val="none"/>
                <w:lang w:val="zh-CN"/>
              </w:rPr>
              <w:t>对标段八</w:t>
            </w:r>
            <w:r>
              <w:rPr>
                <w:rFonts w:hint="eastAsia" w:ascii="宋体" w:hAnsi="宋体" w:cs="宋体"/>
                <w:szCs w:val="21"/>
                <w:highlight w:val="none"/>
              </w:rPr>
              <w:t>涉及</w:t>
            </w:r>
            <w:r>
              <w:rPr>
                <w:rFonts w:hint="eastAsia" w:ascii="宋体" w:hAnsi="宋体" w:cs="宋体"/>
                <w:szCs w:val="21"/>
                <w:highlight w:val="none"/>
                <w:lang w:val="zh-CN"/>
              </w:rPr>
              <w:t>行业改造转型的理解</w:t>
            </w:r>
          </w:p>
        </w:tc>
        <w:tc>
          <w:tcPr>
            <w:tcW w:w="804" w:type="dxa"/>
            <w:noWrap/>
            <w:vAlign w:val="center"/>
          </w:tcPr>
          <w:p>
            <w:pPr>
              <w:widowControl/>
              <w:spacing w:line="240" w:lineRule="atLeast"/>
              <w:jc w:val="center"/>
              <w:rPr>
                <w:rFonts w:ascii="宋体" w:hAnsi="宋体" w:cs="宋体"/>
                <w:b/>
                <w:bCs/>
                <w:kern w:val="0"/>
                <w:sz w:val="24"/>
                <w:highlight w:val="none"/>
              </w:rPr>
            </w:pPr>
            <w:r>
              <w:rPr>
                <w:rFonts w:hint="eastAsia"/>
                <w:highlight w:val="none"/>
              </w:rPr>
              <w:t>4分</w:t>
            </w:r>
          </w:p>
        </w:tc>
        <w:tc>
          <w:tcPr>
            <w:tcW w:w="6012" w:type="dxa"/>
            <w:noWrap/>
            <w:vAlign w:val="center"/>
          </w:tcPr>
          <w:p>
            <w:pPr>
              <w:rPr>
                <w:highlight w:val="none"/>
              </w:rPr>
            </w:pPr>
            <w:r>
              <w:rPr>
                <w:rFonts w:hint="eastAsia"/>
                <w:highlight w:val="none"/>
              </w:rPr>
              <w:t>（1）能够明确分析论证标段八的行业特点、分布特征，提出南通推进该行业智能化改造和数字化转型的方法论得当，对企业通过实施智能化改造实现转型升级的路径分析合理，得4分。</w:t>
            </w:r>
          </w:p>
          <w:p>
            <w:pPr>
              <w:rPr>
                <w:highlight w:val="none"/>
              </w:rPr>
            </w:pPr>
            <w:r>
              <w:rPr>
                <w:rFonts w:hint="eastAsia"/>
                <w:highlight w:val="none"/>
              </w:rPr>
              <w:t>（2）对标段八行业的特点、分布特征有一定的梳理，提出南通推进该行业智能化改造和数字化转型的思路，对企业通过实施智能化改造实现转型升级的路径分析一般，得2.5分。</w:t>
            </w:r>
          </w:p>
          <w:p>
            <w:pPr>
              <w:rPr>
                <w:highlight w:val="none"/>
              </w:rPr>
            </w:pPr>
            <w:r>
              <w:rPr>
                <w:rFonts w:hint="eastAsia"/>
                <w:highlight w:val="none"/>
              </w:rPr>
              <w:t>（3）对标段八行业的特点、分布特征描述模糊，对南通推进该行业智能化改造和数字化转型的思路和企业改造转型的路径分析不清，得1分。</w:t>
            </w:r>
          </w:p>
          <w:p>
            <w:pPr>
              <w:rPr>
                <w:highlight w:val="none"/>
              </w:rPr>
            </w:pPr>
            <w:r>
              <w:rPr>
                <w:rFonts w:hint="eastAsia" w:hAnsi="宋体" w:cs="宋体"/>
                <w:szCs w:val="21"/>
                <w:highlight w:val="none"/>
              </w:rPr>
              <w:t>所投标段中有2个以上行业的，涉及行业属性的，提供所投标段的主要行业相关材料，标段八主要行业：</w:t>
            </w:r>
            <w:r>
              <w:rPr>
                <w:rFonts w:hint="eastAsia"/>
                <w:highlight w:val="none"/>
              </w:rPr>
              <w:t>专业设备产业。</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2" w:hRule="atLeast"/>
        </w:trPr>
        <w:tc>
          <w:tcPr>
            <w:tcW w:w="841" w:type="dxa"/>
            <w:vMerge w:val="restart"/>
            <w:noWrap/>
            <w:vAlign w:val="center"/>
          </w:tcPr>
          <w:p>
            <w:pPr>
              <w:widowControl/>
              <w:spacing w:line="240" w:lineRule="atLeast"/>
              <w:jc w:val="center"/>
              <w:rPr>
                <w:rFonts w:ascii="宋体" w:hAnsi="宋体" w:cs="宋体"/>
                <w:kern w:val="0"/>
                <w:szCs w:val="21"/>
                <w:highlight w:val="none"/>
                <w:lang w:val="zh-CN"/>
              </w:rPr>
            </w:pPr>
            <w:r>
              <w:rPr>
                <w:rFonts w:hint="eastAsia" w:ascii="宋体" w:hAnsi="宋体" w:cs="宋体"/>
                <w:kern w:val="0"/>
                <w:szCs w:val="21"/>
                <w:highlight w:val="none"/>
                <w:lang w:val="zh-CN"/>
              </w:rPr>
              <w:t>项目方案与实施（</w:t>
            </w:r>
            <w:r>
              <w:rPr>
                <w:rFonts w:hint="eastAsia" w:ascii="宋体" w:hAnsi="宋体" w:cs="宋体"/>
                <w:kern w:val="0"/>
                <w:szCs w:val="21"/>
                <w:highlight w:val="none"/>
              </w:rPr>
              <w:t>16</w:t>
            </w:r>
            <w:r>
              <w:rPr>
                <w:rFonts w:hint="eastAsia" w:ascii="宋体" w:hAnsi="宋体" w:cs="宋体"/>
                <w:kern w:val="0"/>
                <w:szCs w:val="21"/>
                <w:highlight w:val="none"/>
                <w:lang w:val="en-US" w:eastAsia="zh-CN"/>
              </w:rPr>
              <w:t>分</w:t>
            </w:r>
            <w:r>
              <w:rPr>
                <w:rFonts w:hint="eastAsia" w:ascii="宋体" w:hAnsi="宋体" w:cs="宋体"/>
                <w:kern w:val="0"/>
                <w:szCs w:val="21"/>
                <w:highlight w:val="none"/>
                <w:lang w:val="zh-CN"/>
              </w:rPr>
              <w:t>）</w:t>
            </w:r>
          </w:p>
        </w:tc>
        <w:tc>
          <w:tcPr>
            <w:tcW w:w="1306" w:type="dxa"/>
            <w:noWrap/>
            <w:vAlign w:val="center"/>
          </w:tcPr>
          <w:p>
            <w:pPr>
              <w:rPr>
                <w:rFonts w:ascii="宋体" w:hAnsi="宋体" w:cs="宋体"/>
                <w:szCs w:val="21"/>
                <w:highlight w:val="none"/>
                <w:lang w:val="zh-CN"/>
              </w:rPr>
            </w:pPr>
            <w:r>
              <w:rPr>
                <w:rFonts w:hint="eastAsia" w:ascii="宋体" w:hAnsi="宋体" w:cs="宋体"/>
                <w:szCs w:val="21"/>
                <w:highlight w:val="none"/>
                <w:lang w:val="zh-CN"/>
              </w:rPr>
              <w:t>标段八</w:t>
            </w:r>
            <w:r>
              <w:rPr>
                <w:rFonts w:hint="eastAsia" w:ascii="宋体" w:hAnsi="宋体" w:cs="宋体"/>
                <w:szCs w:val="21"/>
                <w:highlight w:val="none"/>
              </w:rPr>
              <w:t>行业</w:t>
            </w:r>
            <w:r>
              <w:rPr>
                <w:rFonts w:hint="eastAsia" w:ascii="宋体" w:hAnsi="宋体" w:cs="宋体"/>
                <w:szCs w:val="21"/>
                <w:highlight w:val="none"/>
                <w:lang w:val="zh-CN"/>
              </w:rPr>
              <w:t>诊断服务方案</w:t>
            </w:r>
          </w:p>
        </w:tc>
        <w:tc>
          <w:tcPr>
            <w:tcW w:w="804" w:type="dxa"/>
            <w:noWrap/>
            <w:vAlign w:val="center"/>
          </w:tcPr>
          <w:p>
            <w:pPr>
              <w:jc w:val="center"/>
              <w:rPr>
                <w:rFonts w:ascii="宋体" w:hAnsi="宋体" w:cs="宋体"/>
                <w:b/>
                <w:bCs/>
                <w:kern w:val="0"/>
                <w:sz w:val="24"/>
                <w:highlight w:val="none"/>
              </w:rPr>
            </w:pPr>
            <w:r>
              <w:rPr>
                <w:rFonts w:hint="eastAsia" w:ascii="宋体" w:hAnsi="宋体" w:cs="宋体"/>
                <w:szCs w:val="21"/>
                <w:highlight w:val="none"/>
              </w:rPr>
              <w:t>4分</w:t>
            </w:r>
          </w:p>
        </w:tc>
        <w:tc>
          <w:tcPr>
            <w:tcW w:w="6012" w:type="dxa"/>
            <w:noWrap/>
            <w:vAlign w:val="center"/>
          </w:tcPr>
          <w:p>
            <w:pPr>
              <w:rPr>
                <w:highlight w:val="none"/>
              </w:rPr>
            </w:pPr>
            <w:r>
              <w:rPr>
                <w:rFonts w:hint="eastAsia"/>
                <w:highlight w:val="none"/>
              </w:rPr>
              <w:t>（1）方案诊断评估方法先进，能够深入结合标段八行业特点，能从生产、管理、物流、仓储等重点环节对被诊断企业的智能化、数字化水平进行全面现状调研，描述清晰明确，与企业内部要素之间衔接和匹配度高，现场评估问诊过程可行，得4分。</w:t>
            </w:r>
          </w:p>
          <w:p>
            <w:pPr>
              <w:rPr>
                <w:highlight w:val="none"/>
              </w:rPr>
            </w:pPr>
            <w:r>
              <w:rPr>
                <w:rFonts w:hint="eastAsia"/>
                <w:highlight w:val="none"/>
              </w:rPr>
              <w:t>（2）方案诊断评估方法合理，参考了一定的标段八行业特点，从生产、管理、物流、仓储等重点环节对被诊断企业的智能化水平进行一般现状调研，描述较清晰，与企业内部要素之间衔接和匹配度较高，现场评估问诊过程基本可行，得2分。</w:t>
            </w:r>
          </w:p>
          <w:p>
            <w:pPr>
              <w:rPr>
                <w:highlight w:val="none"/>
              </w:rPr>
            </w:pPr>
            <w:r>
              <w:rPr>
                <w:rFonts w:hint="eastAsia"/>
                <w:highlight w:val="none"/>
              </w:rPr>
              <w:t>（3）方案诊断评估方法一般，未充分考虑标段八行业特点，从生产、管理、物流、仓储等重点环节对被诊断企业的智能化水平进行基本现状调研，描述不清晰，与企业内部要素之间衔接和匹配度低，现场评估问诊过程可行性不高，得1分。</w:t>
            </w:r>
          </w:p>
          <w:p>
            <w:pPr>
              <w:rPr>
                <w:highlight w:val="none"/>
              </w:rPr>
            </w:pPr>
            <w:r>
              <w:rPr>
                <w:rFonts w:hint="eastAsia" w:hAnsi="宋体" w:cs="宋体"/>
                <w:szCs w:val="21"/>
                <w:highlight w:val="none"/>
              </w:rPr>
              <w:t>所投标段中有2个以上行业的，涉及行业属性的，提供所投标段的主要行业相关材料，标段八主要行业：</w:t>
            </w:r>
            <w:r>
              <w:rPr>
                <w:rFonts w:hint="eastAsia"/>
                <w:highlight w:val="none"/>
              </w:rPr>
              <w:t>专业设备产业。</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2" w:hRule="atLeast"/>
        </w:trPr>
        <w:tc>
          <w:tcPr>
            <w:tcW w:w="841" w:type="dxa"/>
            <w:vMerge w:val="continue"/>
            <w:noWrap/>
            <w:vAlign w:val="center"/>
          </w:tcPr>
          <w:p>
            <w:pPr>
              <w:widowControl/>
              <w:spacing w:line="240" w:lineRule="atLeast"/>
              <w:jc w:val="center"/>
              <w:rPr>
                <w:rFonts w:ascii="宋体" w:hAnsi="宋体" w:cs="宋体"/>
                <w:kern w:val="0"/>
                <w:szCs w:val="21"/>
                <w:highlight w:val="none"/>
                <w:lang w:val="zh-CN"/>
              </w:rPr>
            </w:pPr>
          </w:p>
        </w:tc>
        <w:tc>
          <w:tcPr>
            <w:tcW w:w="1306" w:type="dxa"/>
            <w:noWrap/>
            <w:vAlign w:val="center"/>
          </w:tcPr>
          <w:p>
            <w:pPr>
              <w:rPr>
                <w:rFonts w:ascii="宋体" w:hAnsi="宋体" w:cs="宋体"/>
                <w:szCs w:val="21"/>
                <w:highlight w:val="none"/>
                <w:lang w:val="zh-CN"/>
              </w:rPr>
            </w:pPr>
            <w:r>
              <w:rPr>
                <w:rFonts w:hint="eastAsia" w:ascii="宋体" w:hAnsi="宋体" w:cs="宋体"/>
                <w:szCs w:val="21"/>
                <w:highlight w:val="none"/>
                <w:lang w:val="zh-CN"/>
              </w:rPr>
              <w:t>标段八诊断项目组织</w:t>
            </w:r>
            <w:r>
              <w:rPr>
                <w:rFonts w:hint="eastAsia" w:ascii="宋体" w:hAnsi="宋体" w:cs="宋体"/>
                <w:szCs w:val="21"/>
                <w:highlight w:val="none"/>
              </w:rPr>
              <w:t>保障</w:t>
            </w:r>
          </w:p>
        </w:tc>
        <w:tc>
          <w:tcPr>
            <w:tcW w:w="804" w:type="dxa"/>
            <w:noWrap/>
            <w:vAlign w:val="center"/>
          </w:tcPr>
          <w:p>
            <w:pPr>
              <w:jc w:val="center"/>
              <w:rPr>
                <w:rFonts w:ascii="宋体" w:hAnsi="宋体" w:cs="宋体"/>
                <w:b/>
                <w:bCs/>
                <w:kern w:val="0"/>
                <w:sz w:val="24"/>
                <w:highlight w:val="none"/>
              </w:rPr>
            </w:pPr>
            <w:r>
              <w:rPr>
                <w:rFonts w:hint="eastAsia" w:ascii="宋体" w:hAnsi="宋体" w:cs="宋体"/>
                <w:szCs w:val="21"/>
                <w:highlight w:val="none"/>
              </w:rPr>
              <w:t>4分</w:t>
            </w:r>
          </w:p>
        </w:tc>
        <w:tc>
          <w:tcPr>
            <w:tcW w:w="6012" w:type="dxa"/>
            <w:noWrap/>
            <w:vAlign w:val="center"/>
          </w:tcPr>
          <w:p>
            <w:pPr>
              <w:rPr>
                <w:highlight w:val="none"/>
              </w:rPr>
            </w:pPr>
            <w:r>
              <w:rPr>
                <w:rFonts w:hint="eastAsia"/>
                <w:highlight w:val="none"/>
              </w:rPr>
              <w:t>（1）项目组织体系和架构配置合理，行业、技术等专家资源充分，团队职责清晰、分工明确（包含联合体各成员单位职责分工），组织严谨得当，能够保证项目方案顺利实施，得4分。</w:t>
            </w:r>
          </w:p>
          <w:p>
            <w:pPr>
              <w:rPr>
                <w:highlight w:val="none"/>
              </w:rPr>
            </w:pPr>
            <w:r>
              <w:rPr>
                <w:rFonts w:hint="eastAsia"/>
                <w:highlight w:val="none"/>
              </w:rPr>
              <w:t>（2）项目组织体系和架构配置较合理，行业、技术等资源较多，团队职责较清晰、分工较明确（包含联合体各成员单位职责分工），组织较合理，基本能够保证项目方案实施，得2分。</w:t>
            </w:r>
          </w:p>
          <w:p>
            <w:pPr>
              <w:rPr>
                <w:highlight w:val="none"/>
              </w:rPr>
            </w:pPr>
            <w:r>
              <w:rPr>
                <w:rFonts w:hint="eastAsia"/>
                <w:highlight w:val="none"/>
              </w:rPr>
              <w:t>（3）项目具备组织体系和架构配置，拥有一定的行业、技术等专家资源，团队职责和分工一般（包含联合体各成员单位职责分工），组织薄弱，项目方案实施有一定难度，得1分。</w:t>
            </w:r>
          </w:p>
          <w:p>
            <w:pPr>
              <w:pStyle w:val="49"/>
              <w:ind w:firstLine="0"/>
              <w:rPr>
                <w:rFonts w:hAnsi="宋体" w:cs="宋体"/>
                <w:szCs w:val="21"/>
                <w:highlight w:val="none"/>
              </w:rPr>
            </w:pPr>
            <w:r>
              <w:rPr>
                <w:rFonts w:hint="eastAsia" w:hAnsi="宋体" w:cs="宋体"/>
                <w:szCs w:val="21"/>
                <w:highlight w:val="none"/>
              </w:rPr>
              <w:t>所投标段中有2个以上行业的，涉及行业属性的，提供所投标段的主要行业相关材料，标段八主要行业：</w:t>
            </w:r>
            <w:r>
              <w:rPr>
                <w:rFonts w:hint="eastAsia"/>
                <w:highlight w:val="none"/>
              </w:rPr>
              <w:t>专业设备产业。</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2" w:hRule="atLeast"/>
        </w:trPr>
        <w:tc>
          <w:tcPr>
            <w:tcW w:w="841" w:type="dxa"/>
            <w:vMerge w:val="continue"/>
            <w:noWrap/>
            <w:vAlign w:val="center"/>
          </w:tcPr>
          <w:p>
            <w:pPr>
              <w:widowControl/>
              <w:spacing w:line="240" w:lineRule="atLeast"/>
              <w:jc w:val="center"/>
              <w:rPr>
                <w:rFonts w:ascii="宋体" w:hAnsi="宋体" w:cs="宋体"/>
                <w:kern w:val="0"/>
                <w:szCs w:val="21"/>
                <w:highlight w:val="none"/>
                <w:lang w:val="zh-CN"/>
              </w:rPr>
            </w:pPr>
          </w:p>
        </w:tc>
        <w:tc>
          <w:tcPr>
            <w:tcW w:w="1306" w:type="dxa"/>
            <w:noWrap/>
            <w:vAlign w:val="center"/>
          </w:tcPr>
          <w:p>
            <w:pPr>
              <w:rPr>
                <w:rFonts w:ascii="宋体" w:hAnsi="宋体" w:cs="宋体"/>
                <w:szCs w:val="21"/>
                <w:highlight w:val="none"/>
                <w:lang w:val="zh-CN"/>
              </w:rPr>
            </w:pPr>
            <w:r>
              <w:rPr>
                <w:rFonts w:hint="eastAsia" w:ascii="宋体" w:hAnsi="宋体" w:cs="宋体"/>
                <w:szCs w:val="21"/>
                <w:highlight w:val="none"/>
                <w:lang w:val="zh-CN"/>
              </w:rPr>
              <w:t>诊断项目综合管理</w:t>
            </w:r>
          </w:p>
        </w:tc>
        <w:tc>
          <w:tcPr>
            <w:tcW w:w="804" w:type="dxa"/>
            <w:noWrap/>
            <w:vAlign w:val="center"/>
          </w:tcPr>
          <w:p>
            <w:pPr>
              <w:jc w:val="center"/>
              <w:rPr>
                <w:rFonts w:ascii="宋体" w:hAnsi="宋体" w:cs="宋体"/>
                <w:szCs w:val="21"/>
                <w:highlight w:val="none"/>
              </w:rPr>
            </w:pPr>
            <w:r>
              <w:rPr>
                <w:rFonts w:hint="eastAsia" w:ascii="宋体" w:hAnsi="宋体" w:cs="宋体"/>
                <w:szCs w:val="21"/>
                <w:highlight w:val="none"/>
              </w:rPr>
              <w:t>4分</w:t>
            </w:r>
          </w:p>
        </w:tc>
        <w:tc>
          <w:tcPr>
            <w:tcW w:w="6012" w:type="dxa"/>
            <w:noWrap/>
            <w:vAlign w:val="center"/>
          </w:tcPr>
          <w:p>
            <w:pPr>
              <w:rPr>
                <w:highlight w:val="none"/>
              </w:rPr>
            </w:pPr>
            <w:r>
              <w:rPr>
                <w:rFonts w:hint="eastAsia"/>
                <w:highlight w:val="none"/>
              </w:rPr>
              <w:t>（1）项目进度安排合理，各环节衔接顺畅，综合协调管理水平高，内容详实，能够有效完成标段八任务目标，得4分。</w:t>
            </w:r>
          </w:p>
          <w:p>
            <w:pPr>
              <w:rPr>
                <w:highlight w:val="none"/>
              </w:rPr>
            </w:pPr>
            <w:r>
              <w:rPr>
                <w:rFonts w:hint="eastAsia"/>
                <w:highlight w:val="none"/>
              </w:rPr>
              <w:t>（2）项目进度安排较合理，各环节衔接较顺畅，综合协调管理水平较高，内容较详实，基本能够完成标段八任务目标，得2分。</w:t>
            </w:r>
          </w:p>
          <w:p>
            <w:pPr>
              <w:rPr>
                <w:highlight w:val="none"/>
              </w:rPr>
            </w:pPr>
            <w:r>
              <w:rPr>
                <w:rFonts w:hint="eastAsia"/>
                <w:highlight w:val="none"/>
              </w:rPr>
              <w:t>（3）项目进度安排一般，各环节衔接程度一般，综合协调管理水平一般，具备一定内容，完成标段八任务目标有一定难度，得1分。</w:t>
            </w:r>
          </w:p>
          <w:p>
            <w:pPr>
              <w:rPr>
                <w:highlight w:val="none"/>
              </w:rPr>
            </w:pPr>
            <w:r>
              <w:rPr>
                <w:rFonts w:hint="eastAsia" w:hAnsi="宋体" w:cs="宋体"/>
                <w:szCs w:val="21"/>
                <w:highlight w:val="none"/>
              </w:rPr>
              <w:t>所投标段中有2个以上行业的，涉及行业属性的，提供所投标段的主要行业相关材料，标段八主要行业：</w:t>
            </w:r>
            <w:r>
              <w:rPr>
                <w:rFonts w:hint="eastAsia"/>
                <w:highlight w:val="none"/>
              </w:rPr>
              <w:t>专业设备产业。</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2" w:hRule="atLeast"/>
        </w:trPr>
        <w:tc>
          <w:tcPr>
            <w:tcW w:w="841" w:type="dxa"/>
            <w:vMerge w:val="continue"/>
            <w:noWrap/>
            <w:vAlign w:val="center"/>
          </w:tcPr>
          <w:p>
            <w:pPr>
              <w:widowControl/>
              <w:spacing w:line="240" w:lineRule="atLeast"/>
              <w:jc w:val="center"/>
              <w:rPr>
                <w:rFonts w:ascii="宋体" w:hAnsi="宋体" w:cs="宋体"/>
                <w:kern w:val="0"/>
                <w:szCs w:val="21"/>
                <w:highlight w:val="none"/>
                <w:lang w:val="zh-CN"/>
              </w:rPr>
            </w:pPr>
          </w:p>
        </w:tc>
        <w:tc>
          <w:tcPr>
            <w:tcW w:w="1306" w:type="dxa"/>
            <w:noWrap/>
            <w:vAlign w:val="center"/>
          </w:tcPr>
          <w:p>
            <w:pPr>
              <w:rPr>
                <w:rFonts w:ascii="宋体" w:hAnsi="宋体" w:cs="宋体"/>
                <w:szCs w:val="21"/>
                <w:highlight w:val="none"/>
                <w:lang w:val="zh-CN"/>
              </w:rPr>
            </w:pPr>
            <w:r>
              <w:rPr>
                <w:rFonts w:hint="eastAsia" w:ascii="宋体" w:hAnsi="宋体" w:cs="宋体"/>
                <w:szCs w:val="21"/>
                <w:highlight w:val="none"/>
                <w:lang w:val="zh-CN"/>
              </w:rPr>
              <w:t>诊断项目诊断报告编制思路</w:t>
            </w:r>
          </w:p>
        </w:tc>
        <w:tc>
          <w:tcPr>
            <w:tcW w:w="804" w:type="dxa"/>
            <w:noWrap/>
            <w:vAlign w:val="center"/>
          </w:tcPr>
          <w:p>
            <w:pPr>
              <w:jc w:val="center"/>
              <w:rPr>
                <w:rFonts w:ascii="宋体" w:hAnsi="宋体" w:cs="宋体"/>
                <w:szCs w:val="21"/>
                <w:highlight w:val="none"/>
              </w:rPr>
            </w:pPr>
            <w:r>
              <w:rPr>
                <w:rFonts w:hint="eastAsia" w:ascii="宋体" w:hAnsi="宋体" w:cs="宋体"/>
                <w:szCs w:val="21"/>
                <w:highlight w:val="none"/>
              </w:rPr>
              <w:t>4分</w:t>
            </w:r>
          </w:p>
        </w:tc>
        <w:tc>
          <w:tcPr>
            <w:tcW w:w="6012" w:type="dxa"/>
            <w:noWrap/>
            <w:vAlign w:val="center"/>
          </w:tcPr>
          <w:p>
            <w:pPr>
              <w:rPr>
                <w:rFonts w:ascii="宋体" w:hAnsi="宋体" w:cs="宋体"/>
                <w:szCs w:val="21"/>
                <w:highlight w:val="none"/>
              </w:rPr>
            </w:pPr>
            <w:r>
              <w:rPr>
                <w:rFonts w:hint="eastAsia" w:ascii="宋体" w:hAnsi="宋体" w:cs="宋体"/>
                <w:szCs w:val="21"/>
                <w:highlight w:val="none"/>
              </w:rPr>
              <w:t>（1）对报告的整体构架有清晰的描述，撰写思路清晰完整、重点任务明确、分析方法得当，能提供具有行业代表性、针对性的解决方案，实施路径切实可行，得4分。</w:t>
            </w:r>
          </w:p>
          <w:p>
            <w:pPr>
              <w:rPr>
                <w:rFonts w:ascii="宋体" w:hAnsi="宋体" w:cs="宋体"/>
                <w:szCs w:val="21"/>
                <w:highlight w:val="none"/>
              </w:rPr>
            </w:pPr>
            <w:r>
              <w:rPr>
                <w:rFonts w:hint="eastAsia" w:ascii="宋体" w:hAnsi="宋体" w:cs="宋体"/>
                <w:szCs w:val="21"/>
                <w:highlight w:val="none"/>
              </w:rPr>
              <w:t>（2）对报告的整体构架有较清晰的描述，撰写思路较完整、重点任务较明确、分析方法适当，能提供行业解决方案，实施路径切具有一定可行性，得2分。</w:t>
            </w:r>
          </w:p>
          <w:p>
            <w:pPr>
              <w:rPr>
                <w:rFonts w:ascii="宋体" w:hAnsi="宋体" w:cs="宋体"/>
                <w:szCs w:val="21"/>
                <w:highlight w:val="none"/>
              </w:rPr>
            </w:pPr>
            <w:r>
              <w:rPr>
                <w:rFonts w:hint="eastAsia" w:ascii="宋体" w:hAnsi="宋体" w:cs="宋体"/>
                <w:szCs w:val="21"/>
                <w:highlight w:val="none"/>
              </w:rPr>
              <w:t>（3）对报告的整体构架的描述不够清晰，撰写思路模糊、重点任务不明确、分析方法适当性不强，提供解决方案缺乏代表和依据，实施路径有难度，得1分。</w:t>
            </w:r>
          </w:p>
          <w:p>
            <w:pPr>
              <w:rPr>
                <w:rFonts w:hAnsi="宋体" w:cs="宋体"/>
                <w:szCs w:val="21"/>
                <w:highlight w:val="none"/>
              </w:rPr>
            </w:pPr>
            <w:r>
              <w:rPr>
                <w:rFonts w:hint="eastAsia" w:hAnsi="宋体" w:cs="宋体"/>
                <w:szCs w:val="21"/>
                <w:highlight w:val="none"/>
              </w:rPr>
              <w:t>所投标段中有2个以上行业的，涉及行业属性的，提供所投标段的主要行业相关材料，标段八主要行业：</w:t>
            </w:r>
            <w:r>
              <w:rPr>
                <w:rFonts w:hint="eastAsia"/>
                <w:highlight w:val="none"/>
              </w:rPr>
              <w:t>专业设备产业。</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2" w:hRule="atLeast"/>
        </w:trPr>
        <w:tc>
          <w:tcPr>
            <w:tcW w:w="841" w:type="dxa"/>
            <w:noWrap/>
            <w:vAlign w:val="center"/>
          </w:tcPr>
          <w:p>
            <w:pPr>
              <w:widowControl/>
              <w:spacing w:line="240" w:lineRule="atLeast"/>
              <w:jc w:val="center"/>
              <w:rPr>
                <w:rFonts w:ascii="宋体" w:hAnsi="宋体" w:cs="宋体"/>
                <w:kern w:val="0"/>
                <w:szCs w:val="21"/>
                <w:highlight w:val="none"/>
                <w:lang w:val="zh-CN"/>
              </w:rPr>
            </w:pPr>
            <w:r>
              <w:rPr>
                <w:rFonts w:hint="eastAsia" w:ascii="宋体" w:hAnsi="宋体" w:cs="宋体"/>
                <w:kern w:val="0"/>
                <w:szCs w:val="21"/>
                <w:highlight w:val="none"/>
                <w:lang w:val="zh-CN"/>
              </w:rPr>
              <w:t>项目人员团队能力（</w:t>
            </w:r>
            <w:r>
              <w:rPr>
                <w:rFonts w:hint="eastAsia" w:ascii="宋体" w:hAnsi="宋体" w:cs="宋体"/>
                <w:kern w:val="0"/>
                <w:szCs w:val="21"/>
                <w:highlight w:val="none"/>
              </w:rPr>
              <w:t>15分</w:t>
            </w:r>
            <w:r>
              <w:rPr>
                <w:rFonts w:hint="eastAsia" w:ascii="宋体" w:hAnsi="宋体" w:cs="宋体"/>
                <w:kern w:val="0"/>
                <w:szCs w:val="21"/>
                <w:highlight w:val="none"/>
                <w:lang w:val="zh-CN"/>
              </w:rPr>
              <w:t>）</w:t>
            </w:r>
          </w:p>
        </w:tc>
        <w:tc>
          <w:tcPr>
            <w:tcW w:w="1306" w:type="dxa"/>
            <w:noWrap/>
            <w:vAlign w:val="center"/>
          </w:tcPr>
          <w:p>
            <w:pPr>
              <w:widowControl/>
              <w:spacing w:line="240" w:lineRule="atLeast"/>
              <w:jc w:val="center"/>
              <w:rPr>
                <w:rFonts w:ascii="宋体" w:hAnsi="宋体" w:cs="宋体"/>
                <w:szCs w:val="21"/>
                <w:highlight w:val="none"/>
                <w:lang w:val="zh-CN"/>
              </w:rPr>
            </w:pPr>
            <w:r>
              <w:rPr>
                <w:rFonts w:hint="eastAsia" w:ascii="宋体" w:hAnsi="宋体" w:cs="宋体"/>
                <w:kern w:val="0"/>
                <w:szCs w:val="21"/>
                <w:highlight w:val="none"/>
                <w:lang w:val="zh-CN"/>
              </w:rPr>
              <w:t>项目人员团队能力</w:t>
            </w:r>
          </w:p>
        </w:tc>
        <w:tc>
          <w:tcPr>
            <w:tcW w:w="804" w:type="dxa"/>
            <w:noWrap/>
            <w:vAlign w:val="center"/>
          </w:tcPr>
          <w:p>
            <w:pPr>
              <w:jc w:val="center"/>
              <w:rPr>
                <w:rFonts w:ascii="宋体" w:hAnsi="宋体" w:cs="宋体"/>
                <w:szCs w:val="21"/>
                <w:highlight w:val="none"/>
              </w:rPr>
            </w:pPr>
            <w:r>
              <w:rPr>
                <w:rFonts w:hint="eastAsia" w:ascii="宋体" w:hAnsi="宋体" w:cs="宋体"/>
                <w:szCs w:val="21"/>
                <w:highlight w:val="none"/>
              </w:rPr>
              <w:t>15分</w:t>
            </w:r>
          </w:p>
        </w:tc>
        <w:tc>
          <w:tcPr>
            <w:tcW w:w="6012" w:type="dxa"/>
            <w:noWrap/>
            <w:vAlign w:val="center"/>
          </w:tcPr>
          <w:p>
            <w:pPr>
              <w:rPr>
                <w:rFonts w:ascii="宋体" w:hAnsi="宋体" w:cs="宋体"/>
                <w:szCs w:val="21"/>
                <w:highlight w:val="none"/>
              </w:rPr>
            </w:pPr>
            <w:r>
              <w:rPr>
                <w:rFonts w:hint="eastAsia"/>
                <w:highlight w:val="none"/>
              </w:rPr>
              <w:t>（1）</w:t>
            </w:r>
            <w:r>
              <w:rPr>
                <w:rFonts w:hint="eastAsia" w:ascii="宋体" w:hAnsi="宋体" w:cs="宋体"/>
                <w:szCs w:val="21"/>
                <w:highlight w:val="none"/>
              </w:rPr>
              <w:t>拟任</w:t>
            </w:r>
            <w:r>
              <w:rPr>
                <w:rFonts w:hint="eastAsia"/>
                <w:highlight w:val="none"/>
              </w:rPr>
              <w:t>项目负责人具有智能制造（两化融合）相关技术或标段八行业高级职称，得3分；为工信部、省工信厅智能制造（两化融合）领域或标段八行业专家库成员，得3分。本项最高得6分。</w:t>
            </w:r>
          </w:p>
          <w:p>
            <w:pPr>
              <w:pStyle w:val="19"/>
              <w:rPr>
                <w:rFonts w:ascii="宋体" w:hAnsi="宋体" w:eastAsia="宋体" w:cs="宋体"/>
                <w:kern w:val="2"/>
                <w:sz w:val="21"/>
                <w:szCs w:val="21"/>
                <w:highlight w:val="none"/>
              </w:rPr>
            </w:pPr>
            <w:r>
              <w:rPr>
                <w:rFonts w:hint="eastAsia" w:ascii="宋体" w:hAnsi="宋体" w:eastAsia="宋体" w:cs="宋体"/>
                <w:kern w:val="2"/>
                <w:sz w:val="21"/>
                <w:szCs w:val="21"/>
                <w:highlight w:val="none"/>
              </w:rPr>
              <w:t>（2）</w:t>
            </w:r>
            <w:r>
              <w:rPr>
                <w:rFonts w:hint="eastAsia" w:ascii="Times New Roman" w:eastAsia="宋体"/>
                <w:kern w:val="2"/>
                <w:sz w:val="21"/>
                <w:szCs w:val="24"/>
                <w:highlight w:val="none"/>
              </w:rPr>
              <w:t>拟投入团队成员具</w:t>
            </w:r>
            <w:r>
              <w:rPr>
                <w:rFonts w:hint="eastAsia" w:ascii="宋体" w:hAnsi="宋体" w:eastAsia="宋体" w:cs="宋体"/>
                <w:kern w:val="2"/>
                <w:sz w:val="21"/>
                <w:szCs w:val="21"/>
                <w:highlight w:val="none"/>
              </w:rPr>
              <w:t>有智能制造相关技术或标段八行业中级及以上专业职称、智能制造能力成熟度模型评估师证书、注册自动化系统工程师证书、软件评测师证书、项目管理师证书、CISP（注册信息安全专业人员）证书，全国两化融合管理体系技能合格证书或两化融合管理体系贯标咨询证书或同类人才证书的技术人员，每提供一份得0.5分（同一人员证书不重复计算分数），本项最高得4分。</w:t>
            </w:r>
          </w:p>
          <w:p>
            <w:pPr>
              <w:pStyle w:val="19"/>
              <w:rPr>
                <w:rFonts w:ascii="宋体" w:hAnsi="宋体" w:eastAsia="宋体" w:cs="宋体"/>
                <w:kern w:val="2"/>
                <w:sz w:val="21"/>
                <w:szCs w:val="21"/>
                <w:highlight w:val="none"/>
              </w:rPr>
            </w:pPr>
            <w:r>
              <w:rPr>
                <w:rFonts w:hint="eastAsia" w:ascii="宋体" w:hAnsi="宋体" w:eastAsia="宋体" w:cs="宋体"/>
                <w:kern w:val="2"/>
                <w:sz w:val="21"/>
                <w:szCs w:val="21"/>
                <w:highlight w:val="none"/>
              </w:rPr>
              <w:t>（3）</w:t>
            </w:r>
            <w:r>
              <w:rPr>
                <w:rFonts w:hint="eastAsia" w:ascii="Times New Roman" w:eastAsia="宋体"/>
                <w:kern w:val="2"/>
                <w:sz w:val="21"/>
                <w:szCs w:val="24"/>
                <w:highlight w:val="none"/>
              </w:rPr>
              <w:t>拟投入团队成员</w:t>
            </w:r>
            <w:r>
              <w:rPr>
                <w:rFonts w:hint="eastAsia" w:ascii="宋体" w:hAnsi="宋体" w:eastAsia="宋体" w:cs="宋体"/>
                <w:kern w:val="2"/>
                <w:sz w:val="21"/>
                <w:szCs w:val="21"/>
                <w:highlight w:val="none"/>
              </w:rPr>
              <w:t>具有智能制造相关领域或标段八行业专业背景，博士学历，每人得1分，硕士学历，每人得0.5分，最高5分。（同一人员学历不重复计算分数）</w:t>
            </w:r>
          </w:p>
          <w:p>
            <w:pPr>
              <w:rPr>
                <w:rFonts w:hAnsi="宋体" w:cs="宋体"/>
                <w:szCs w:val="21"/>
                <w:highlight w:val="none"/>
              </w:rPr>
            </w:pPr>
            <w:r>
              <w:rPr>
                <w:rFonts w:hint="eastAsia" w:ascii="宋体" w:hAnsi="宋体" w:cs="宋体"/>
                <w:szCs w:val="21"/>
                <w:highlight w:val="none"/>
              </w:rPr>
              <w:t>以上材料需提供职称证书（聘书或相关证明）、与投标供应商签订的劳动合同和近三个月社保缴费记录等材料加盖公章，因所提供证明材料不全或内容不明，不得分。智能制造（两化融合）相关技术领域包括：机械、装备、计算机、企业管理、软件、控制、云计算、大数据、人工智能等。</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268" w:hRule="atLeast"/>
        </w:trPr>
        <w:tc>
          <w:tcPr>
            <w:tcW w:w="841" w:type="dxa"/>
            <w:noWrap/>
            <w:vAlign w:val="center"/>
          </w:tcPr>
          <w:p>
            <w:pPr>
              <w:widowControl/>
              <w:spacing w:line="240" w:lineRule="atLeast"/>
              <w:jc w:val="center"/>
              <w:rPr>
                <w:rFonts w:ascii="宋体" w:hAnsi="宋体" w:cs="宋体"/>
                <w:kern w:val="0"/>
                <w:szCs w:val="21"/>
                <w:highlight w:val="none"/>
                <w:lang w:val="zh-CN"/>
              </w:rPr>
            </w:pPr>
            <w:r>
              <w:rPr>
                <w:rFonts w:hint="eastAsia" w:ascii="宋体" w:hAnsi="宋体" w:cs="宋体"/>
                <w:kern w:val="0"/>
                <w:szCs w:val="21"/>
                <w:highlight w:val="none"/>
                <w:lang w:val="zh-CN"/>
              </w:rPr>
              <w:t>项目相关经验及履约能力（</w:t>
            </w:r>
            <w:r>
              <w:rPr>
                <w:rFonts w:hint="eastAsia" w:ascii="宋体" w:hAnsi="宋体" w:cs="宋体"/>
                <w:kern w:val="0"/>
                <w:szCs w:val="21"/>
                <w:highlight w:val="none"/>
                <w:lang w:val="en-US" w:eastAsia="zh-CN"/>
              </w:rPr>
              <w:t>8</w:t>
            </w:r>
            <w:r>
              <w:rPr>
                <w:rFonts w:hint="eastAsia" w:ascii="宋体" w:hAnsi="宋体" w:cs="宋体"/>
                <w:kern w:val="0"/>
                <w:szCs w:val="21"/>
                <w:highlight w:val="none"/>
              </w:rPr>
              <w:t>分</w:t>
            </w:r>
            <w:r>
              <w:rPr>
                <w:rFonts w:hint="eastAsia" w:ascii="宋体" w:hAnsi="宋体" w:cs="宋体"/>
                <w:kern w:val="0"/>
                <w:szCs w:val="21"/>
                <w:highlight w:val="none"/>
                <w:lang w:val="zh-CN"/>
              </w:rPr>
              <w:t>）</w:t>
            </w:r>
          </w:p>
        </w:tc>
        <w:tc>
          <w:tcPr>
            <w:tcW w:w="1306" w:type="dxa"/>
            <w:noWrap/>
            <w:vAlign w:val="center"/>
          </w:tcPr>
          <w:p>
            <w:pPr>
              <w:widowControl/>
              <w:spacing w:line="240" w:lineRule="atLeast"/>
              <w:jc w:val="center"/>
              <w:rPr>
                <w:rFonts w:ascii="宋体" w:hAnsi="宋体" w:cs="宋体"/>
                <w:kern w:val="0"/>
                <w:szCs w:val="21"/>
                <w:highlight w:val="none"/>
                <w:lang w:val="zh-CN"/>
              </w:rPr>
            </w:pPr>
            <w:r>
              <w:rPr>
                <w:rFonts w:hint="eastAsia" w:ascii="宋体" w:hAnsi="宋体" w:cs="宋体"/>
                <w:kern w:val="0"/>
                <w:szCs w:val="21"/>
                <w:highlight w:val="none"/>
                <w:lang w:val="zh-CN"/>
              </w:rPr>
              <w:t>项目相关经验及履约能力</w:t>
            </w:r>
          </w:p>
        </w:tc>
        <w:tc>
          <w:tcPr>
            <w:tcW w:w="804" w:type="dxa"/>
            <w:noWrap/>
            <w:vAlign w:val="center"/>
          </w:tcPr>
          <w:p>
            <w:pPr>
              <w:jc w:val="center"/>
              <w:rPr>
                <w:rFonts w:ascii="宋体" w:hAnsi="宋体" w:cs="宋体"/>
                <w:szCs w:val="21"/>
                <w:highlight w:val="none"/>
              </w:rPr>
            </w:pPr>
            <w:r>
              <w:rPr>
                <w:rFonts w:hint="eastAsia" w:ascii="宋体" w:hAnsi="宋体" w:cs="宋体"/>
                <w:szCs w:val="21"/>
                <w:highlight w:val="none"/>
              </w:rPr>
              <w:t>8分</w:t>
            </w:r>
          </w:p>
        </w:tc>
        <w:tc>
          <w:tcPr>
            <w:tcW w:w="6012" w:type="dxa"/>
            <w:noWrap/>
            <w:vAlign w:val="center"/>
          </w:tcPr>
          <w:p>
            <w:pPr>
              <w:rPr>
                <w:highlight w:val="none"/>
              </w:rPr>
            </w:pPr>
            <w:r>
              <w:rPr>
                <w:rFonts w:hint="eastAsia"/>
                <w:highlight w:val="none"/>
              </w:rPr>
              <w:t>2019年4月以来为标段八行业制造业企业提供智能化改造和数字化转型相关技术或解决方案，并落地实施的，根据标段八产业要求每提供一项得1分。本项最高得8分。</w:t>
            </w:r>
          </w:p>
          <w:p>
            <w:pPr>
              <w:widowControl/>
              <w:jc w:val="left"/>
              <w:rPr>
                <w:highlight w:val="none"/>
              </w:rPr>
            </w:pPr>
            <w:r>
              <w:rPr>
                <w:rFonts w:hint="eastAsia"/>
                <w:highlight w:val="none"/>
              </w:rPr>
              <w:t>标段八产业要求：</w:t>
            </w:r>
            <w:r>
              <w:rPr>
                <w:rFonts w:hint="eastAsia" w:ascii="宋体" w:hAnsi="宋体"/>
                <w:szCs w:val="21"/>
                <w:highlight w:val="none"/>
              </w:rPr>
              <w:t>专业设备</w:t>
            </w:r>
            <w:r>
              <w:rPr>
                <w:rFonts w:hint="eastAsia" w:hAnsi="宋体"/>
                <w:szCs w:val="21"/>
                <w:highlight w:val="none"/>
              </w:rPr>
              <w:t>产业最高得4分，</w:t>
            </w:r>
            <w:r>
              <w:rPr>
                <w:rFonts w:hint="eastAsia" w:ascii="宋体" w:hAnsi="宋体"/>
                <w:szCs w:val="21"/>
                <w:highlight w:val="none"/>
              </w:rPr>
              <w:t>食品加工</w:t>
            </w:r>
            <w:r>
              <w:rPr>
                <w:rFonts w:hint="eastAsia" w:hAnsi="宋体"/>
                <w:szCs w:val="21"/>
                <w:highlight w:val="none"/>
              </w:rPr>
              <w:t>产业最高得3分，</w:t>
            </w:r>
            <w:r>
              <w:rPr>
                <w:rFonts w:hint="eastAsia" w:ascii="宋体" w:hAnsi="宋体"/>
                <w:szCs w:val="21"/>
                <w:highlight w:val="none"/>
              </w:rPr>
              <w:t>印染产业</w:t>
            </w:r>
            <w:r>
              <w:rPr>
                <w:rFonts w:hint="eastAsia" w:hAnsi="宋体"/>
                <w:szCs w:val="21"/>
                <w:highlight w:val="none"/>
              </w:rPr>
              <w:t>最高得1分</w:t>
            </w:r>
            <w:r>
              <w:rPr>
                <w:rFonts w:hint="eastAsia"/>
                <w:highlight w:val="none"/>
              </w:rPr>
              <w:t>。</w:t>
            </w:r>
          </w:p>
          <w:p>
            <w:pPr>
              <w:rPr>
                <w:highlight w:val="none"/>
              </w:rPr>
            </w:pPr>
            <w:r>
              <w:rPr>
                <w:rFonts w:hint="eastAsia"/>
                <w:highlight w:val="none"/>
              </w:rPr>
              <w:t>需提供为标段八行业企业提供智能制造相关技术或解决方案的合同及实施结果（如验收证明材料、任意一张该合同支付发票等）证明材料；同时提供所服务企业属于标段八行业的相关证明，如被服务企业营业执照、被服务企业加盖公章的情况说明及其他能证明被服务企业属于标段八行业的材料。不提供被服务企业为标段八行业或提供的材料不明，无法认定所服务企业属于标段八行业的，视为未提供，不予赋分。</w:t>
            </w:r>
            <w:r>
              <w:rPr>
                <w:rFonts w:hint="eastAsia" w:ascii="宋体" w:hAnsi="宋体" w:cs="宋体"/>
                <w:szCs w:val="21"/>
                <w:highlight w:val="none"/>
              </w:rPr>
              <w:t>以上材料要求复印件并加盖投标单位公章。</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872" w:hRule="atLeast"/>
        </w:trPr>
        <w:tc>
          <w:tcPr>
            <w:tcW w:w="8963" w:type="dxa"/>
            <w:gridSpan w:val="4"/>
            <w:noWrap/>
            <w:vAlign w:val="center"/>
          </w:tcPr>
          <w:p>
            <w:pPr>
              <w:widowControl/>
              <w:jc w:val="left"/>
              <w:rPr>
                <w:highlight w:val="none"/>
              </w:rPr>
            </w:pPr>
            <w:r>
              <w:rPr>
                <w:rFonts w:hint="eastAsia"/>
                <w:highlight w:val="none"/>
              </w:rPr>
              <w:t xml:space="preserve">备注： </w:t>
            </w:r>
          </w:p>
          <w:p>
            <w:pPr>
              <w:widowControl/>
              <w:numPr>
                <w:ilvl w:val="0"/>
                <w:numId w:val="15"/>
              </w:numPr>
              <w:jc w:val="left"/>
              <w:rPr>
                <w:highlight w:val="none"/>
              </w:rPr>
            </w:pPr>
            <w:r>
              <w:rPr>
                <w:rFonts w:hint="eastAsia"/>
                <w:highlight w:val="none"/>
              </w:rPr>
              <w:t xml:space="preserve">针对评分标准中评分的每一条，投标供应商在响应文件中均应提供清晰明了的相关资料并做出相应说明供评委评判，不提供相关资料的视为不具备该项得分的条件。 </w:t>
            </w:r>
          </w:p>
          <w:p>
            <w:pPr>
              <w:widowControl/>
              <w:numPr>
                <w:ilvl w:val="0"/>
                <w:numId w:val="15"/>
              </w:numPr>
              <w:jc w:val="left"/>
              <w:rPr>
                <w:highlight w:val="none"/>
              </w:rPr>
            </w:pPr>
            <w:r>
              <w:rPr>
                <w:rFonts w:hint="eastAsia"/>
                <w:highlight w:val="none"/>
              </w:rPr>
              <w:t>联合体所有投标文件以联合体牵头人签字盖章为准。</w:t>
            </w:r>
          </w:p>
          <w:p>
            <w:pPr>
              <w:widowControl/>
              <w:numPr>
                <w:ilvl w:val="0"/>
                <w:numId w:val="15"/>
              </w:numPr>
              <w:jc w:val="left"/>
              <w:rPr>
                <w:highlight w:val="none"/>
              </w:rPr>
            </w:pPr>
            <w:r>
              <w:rPr>
                <w:rFonts w:hint="eastAsia"/>
                <w:b/>
                <w:bCs/>
                <w:highlight w:val="none"/>
              </w:rPr>
              <w:t>标段八商务技术分第二部分的所有内容作为标段八商务技术标第二册（一正六副），标段八</w:t>
            </w:r>
            <w:r>
              <w:rPr>
                <w:rFonts w:hint="eastAsia"/>
                <w:b/>
                <w:bCs/>
                <w:highlight w:val="none"/>
                <w:lang w:val="zh-CN"/>
              </w:rPr>
              <w:t>商务技术标</w:t>
            </w:r>
            <w:r>
              <w:rPr>
                <w:rFonts w:hint="eastAsia"/>
                <w:b/>
                <w:bCs/>
                <w:highlight w:val="none"/>
              </w:rPr>
              <w:t>第二册内容中涉及项目名称的格式都必须为：2022年南通市“智改数转”诊断服务项目标段八。</w:t>
            </w:r>
          </w:p>
        </w:tc>
      </w:tr>
    </w:tbl>
    <w:p>
      <w:pPr>
        <w:pStyle w:val="2"/>
        <w:ind w:left="0" w:leftChars="0" w:firstLine="0" w:firstLineChars="0"/>
        <w:jc w:val="both"/>
        <w:rPr>
          <w:rFonts w:ascii="宋体" w:hAnsi="宋体" w:cs="宋体"/>
          <w:b/>
          <w:bCs/>
          <w:sz w:val="24"/>
          <w:highlight w:val="none"/>
        </w:rPr>
      </w:pPr>
    </w:p>
    <w:p>
      <w:pPr>
        <w:snapToGrid w:val="0"/>
        <w:spacing w:line="312" w:lineRule="auto"/>
        <w:ind w:firstLine="482" w:firstLineChars="200"/>
        <w:contextualSpacing/>
        <w:rPr>
          <w:rFonts w:ascii="宋体" w:hAnsi="宋体" w:cs="宋体"/>
          <w:b/>
          <w:bCs/>
          <w:kern w:val="0"/>
          <w:sz w:val="24"/>
          <w:highlight w:val="none"/>
          <w:lang w:val="zh-CN"/>
        </w:rPr>
      </w:pPr>
    </w:p>
    <w:p>
      <w:pPr>
        <w:snapToGrid w:val="0"/>
        <w:spacing w:line="312" w:lineRule="auto"/>
        <w:ind w:firstLine="482" w:firstLineChars="200"/>
        <w:contextualSpacing/>
        <w:rPr>
          <w:rFonts w:ascii="宋体" w:hAnsi="宋体" w:cs="宋体"/>
          <w:b/>
          <w:bCs/>
          <w:kern w:val="0"/>
          <w:sz w:val="24"/>
          <w:highlight w:val="none"/>
          <w:lang w:val="zh-CN"/>
        </w:rPr>
      </w:pPr>
      <w:r>
        <w:rPr>
          <w:rFonts w:hint="eastAsia" w:ascii="宋体" w:hAnsi="宋体" w:cs="宋体"/>
          <w:b/>
          <w:bCs/>
          <w:kern w:val="0"/>
          <w:sz w:val="24"/>
          <w:highlight w:val="none"/>
          <w:lang w:val="zh-CN"/>
        </w:rPr>
        <w:t>（</w:t>
      </w:r>
      <w:r>
        <w:rPr>
          <w:rFonts w:hint="eastAsia" w:ascii="宋体" w:hAnsi="宋体" w:cs="宋体"/>
          <w:b/>
          <w:bCs/>
          <w:kern w:val="0"/>
          <w:sz w:val="24"/>
          <w:highlight w:val="none"/>
        </w:rPr>
        <w:t>三</w:t>
      </w:r>
      <w:r>
        <w:rPr>
          <w:rFonts w:hint="eastAsia" w:ascii="宋体" w:hAnsi="宋体" w:cs="宋体"/>
          <w:b/>
          <w:bCs/>
          <w:kern w:val="0"/>
          <w:sz w:val="24"/>
          <w:highlight w:val="none"/>
          <w:lang w:val="zh-CN"/>
        </w:rPr>
        <w:t>）价格分：</w:t>
      </w:r>
      <w:r>
        <w:rPr>
          <w:rFonts w:hint="eastAsia" w:ascii="宋体" w:hAnsi="宋体" w:cs="宋体"/>
          <w:b/>
          <w:bCs/>
          <w:kern w:val="0"/>
          <w:sz w:val="24"/>
          <w:highlight w:val="none"/>
        </w:rPr>
        <w:t>1</w:t>
      </w:r>
      <w:r>
        <w:rPr>
          <w:rFonts w:hint="eastAsia" w:ascii="宋体" w:hAnsi="宋体" w:cs="宋体"/>
          <w:b/>
          <w:bCs/>
          <w:kern w:val="0"/>
          <w:sz w:val="24"/>
          <w:highlight w:val="none"/>
          <w:lang w:val="zh-CN"/>
        </w:rPr>
        <w:t>0分</w:t>
      </w:r>
    </w:p>
    <w:p>
      <w:pPr>
        <w:snapToGrid w:val="0"/>
        <w:spacing w:line="312" w:lineRule="auto"/>
        <w:ind w:firstLine="480" w:firstLineChars="200"/>
        <w:contextualSpacing/>
        <w:rPr>
          <w:rFonts w:ascii="宋体" w:hAnsi="宋体" w:cs="宋体"/>
          <w:kern w:val="0"/>
          <w:sz w:val="24"/>
          <w:highlight w:val="none"/>
          <w:lang w:val="zh-CN"/>
        </w:rPr>
      </w:pPr>
      <w:r>
        <w:rPr>
          <w:rFonts w:hint="eastAsia" w:ascii="宋体" w:hAnsi="宋体" w:cs="宋体"/>
          <w:kern w:val="0"/>
          <w:sz w:val="24"/>
          <w:highlight w:val="none"/>
          <w:lang w:val="zh-CN"/>
        </w:rPr>
        <w:t>价格分统一采用低价优先法计算，即满足招标文件要求且投标价格最低的投标报价为评标基准价，其价格分为满分。其他投标供应商的价格分统一按照下列公式计算：</w:t>
      </w:r>
    </w:p>
    <w:p>
      <w:pPr>
        <w:snapToGrid w:val="0"/>
        <w:spacing w:line="312" w:lineRule="auto"/>
        <w:ind w:firstLine="480" w:firstLineChars="200"/>
        <w:contextualSpacing/>
        <w:rPr>
          <w:rFonts w:ascii="宋体" w:hAnsi="宋体" w:cs="宋体"/>
          <w:kern w:val="0"/>
          <w:sz w:val="24"/>
          <w:highlight w:val="none"/>
        </w:rPr>
      </w:pPr>
      <w:r>
        <w:rPr>
          <w:rFonts w:hint="eastAsia" w:ascii="宋体" w:hAnsi="宋体" w:cs="宋体"/>
          <w:kern w:val="0"/>
          <w:sz w:val="24"/>
          <w:highlight w:val="none"/>
          <w:lang w:val="zh-CN"/>
        </w:rPr>
        <w:t>投标报价得分=（评标基准价/投标报价）×</w:t>
      </w:r>
      <w:r>
        <w:rPr>
          <w:rFonts w:hint="eastAsia" w:ascii="宋体" w:hAnsi="宋体" w:cs="宋体"/>
          <w:kern w:val="0"/>
          <w:sz w:val="24"/>
          <w:highlight w:val="none"/>
        </w:rPr>
        <w:t>10%</w:t>
      </w:r>
      <w:r>
        <w:rPr>
          <w:rFonts w:hint="eastAsia" w:ascii="宋体" w:hAnsi="宋体" w:cs="宋体"/>
          <w:kern w:val="0"/>
          <w:sz w:val="24"/>
          <w:highlight w:val="none"/>
          <w:lang w:val="zh-CN"/>
        </w:rPr>
        <w:t>×</w:t>
      </w:r>
      <w:r>
        <w:rPr>
          <w:rFonts w:hint="eastAsia" w:ascii="宋体" w:hAnsi="宋体" w:cs="宋体"/>
          <w:kern w:val="0"/>
          <w:sz w:val="24"/>
          <w:highlight w:val="none"/>
        </w:rPr>
        <w:t>100</w:t>
      </w:r>
    </w:p>
    <w:p>
      <w:pPr>
        <w:snapToGrid w:val="0"/>
        <w:spacing w:line="312" w:lineRule="auto"/>
        <w:ind w:firstLine="482" w:firstLineChars="200"/>
        <w:contextualSpacing/>
        <w:rPr>
          <w:rFonts w:ascii="宋体" w:hAnsi="宋体" w:cs="宋体"/>
          <w:b/>
          <w:bCs/>
          <w:kern w:val="0"/>
          <w:sz w:val="24"/>
          <w:highlight w:val="none"/>
          <w:lang w:val="zh-CN"/>
        </w:rPr>
      </w:pPr>
      <w:r>
        <w:rPr>
          <w:rFonts w:hint="eastAsia" w:ascii="宋体" w:hAnsi="宋体" w:cs="宋体"/>
          <w:b/>
          <w:bCs/>
          <w:kern w:val="0"/>
          <w:sz w:val="24"/>
          <w:highlight w:val="none"/>
          <w:lang w:val="zh-CN"/>
        </w:rPr>
        <w:t>八、政府采购政策功能落实</w:t>
      </w:r>
    </w:p>
    <w:p>
      <w:pPr>
        <w:snapToGrid w:val="0"/>
        <w:spacing w:line="312" w:lineRule="auto"/>
        <w:ind w:firstLine="480" w:firstLineChars="200"/>
        <w:rPr>
          <w:rFonts w:ascii="宋体" w:hAnsi="宋体" w:cs="宋体"/>
          <w:bCs/>
          <w:color w:val="auto"/>
          <w:kern w:val="0"/>
          <w:sz w:val="24"/>
          <w:highlight w:val="none"/>
        </w:rPr>
      </w:pPr>
      <w:r>
        <w:rPr>
          <w:rFonts w:ascii="宋体" w:hAnsi="宋体" w:cs="宋体"/>
          <w:bCs/>
          <w:color w:val="auto"/>
          <w:kern w:val="0"/>
          <w:sz w:val="24"/>
          <w:highlight w:val="none"/>
        </w:rPr>
        <w:t>1</w:t>
      </w:r>
      <w:r>
        <w:rPr>
          <w:rFonts w:hint="eastAsia" w:ascii="宋体" w:hAnsi="宋体" w:cs="宋体"/>
          <w:bCs/>
          <w:color w:val="auto"/>
          <w:kern w:val="0"/>
          <w:sz w:val="24"/>
          <w:highlight w:val="none"/>
          <w:lang w:val="en-US" w:eastAsia="zh-CN"/>
        </w:rPr>
        <w:t>.</w:t>
      </w:r>
      <w:r>
        <w:rPr>
          <w:rFonts w:ascii="宋体" w:hAnsi="宋体" w:cs="宋体"/>
          <w:bCs/>
          <w:color w:val="auto"/>
          <w:kern w:val="0"/>
          <w:sz w:val="24"/>
          <w:highlight w:val="none"/>
        </w:rPr>
        <w:t>小微型企业价格扣除</w:t>
      </w:r>
    </w:p>
    <w:p>
      <w:pPr>
        <w:snapToGrid w:val="0"/>
        <w:spacing w:line="312" w:lineRule="auto"/>
        <w:ind w:firstLine="480" w:firstLineChars="200"/>
        <w:rPr>
          <w:rFonts w:ascii="宋体" w:hAnsi="宋体" w:cs="宋体"/>
          <w:bCs/>
          <w:color w:val="auto"/>
          <w:kern w:val="0"/>
          <w:sz w:val="24"/>
          <w:highlight w:val="none"/>
        </w:rPr>
      </w:pPr>
      <w:r>
        <w:rPr>
          <w:rFonts w:ascii="宋体" w:hAnsi="宋体" w:cs="宋体"/>
          <w:bCs/>
          <w:color w:val="auto"/>
          <w:kern w:val="0"/>
          <w:sz w:val="24"/>
          <w:highlight w:val="none"/>
        </w:rPr>
        <w:t>（1）本项目对小型和微型企业产品给予10%的扣除价格，用扣除后的价格参与评审。</w:t>
      </w:r>
    </w:p>
    <w:p>
      <w:pPr>
        <w:snapToGrid w:val="0"/>
        <w:spacing w:line="312" w:lineRule="auto"/>
        <w:ind w:firstLine="480" w:firstLineChars="200"/>
        <w:rPr>
          <w:rFonts w:ascii="宋体" w:hAnsi="宋体" w:cs="宋体"/>
          <w:bCs/>
          <w:color w:val="auto"/>
          <w:kern w:val="0"/>
          <w:sz w:val="24"/>
          <w:highlight w:val="none"/>
        </w:rPr>
      </w:pPr>
      <w:r>
        <w:rPr>
          <w:rFonts w:ascii="宋体" w:hAnsi="宋体" w:cs="宋体"/>
          <w:bCs/>
          <w:color w:val="auto"/>
          <w:kern w:val="0"/>
          <w:sz w:val="24"/>
          <w:highlight w:val="none"/>
        </w:rPr>
        <w:t>（2）供应商需按照《政府采购促进中小企业发展管理办法》（财库﹝2020﹞46 号）的规定提供相应的《中小企业声明函》。</w:t>
      </w:r>
    </w:p>
    <w:p>
      <w:pPr>
        <w:snapToGrid w:val="0"/>
        <w:spacing w:line="312" w:lineRule="auto"/>
        <w:ind w:firstLine="480" w:firstLineChars="200"/>
        <w:rPr>
          <w:rFonts w:ascii="宋体" w:hAnsi="宋体" w:cs="宋体"/>
          <w:bCs/>
          <w:color w:val="auto"/>
          <w:kern w:val="0"/>
          <w:sz w:val="24"/>
          <w:highlight w:val="none"/>
        </w:rPr>
      </w:pPr>
      <w:r>
        <w:rPr>
          <w:rFonts w:ascii="宋体" w:hAnsi="宋体" w:cs="宋体"/>
          <w:bCs/>
          <w:color w:val="auto"/>
          <w:kern w:val="0"/>
          <w:sz w:val="24"/>
          <w:highlight w:val="none"/>
        </w:rPr>
        <w:t>（3）企业标准请参照《关于印发中小企业划型标准规定的通知》（工信部联企业[2011]300号）文件规定自行填写。</w:t>
      </w:r>
    </w:p>
    <w:p>
      <w:pPr>
        <w:snapToGrid w:val="0"/>
        <w:spacing w:line="312" w:lineRule="auto"/>
        <w:ind w:firstLine="480" w:firstLineChars="200"/>
        <w:rPr>
          <w:rFonts w:ascii="宋体" w:hAnsi="宋体" w:cs="宋体"/>
          <w:bCs/>
          <w:color w:val="auto"/>
          <w:kern w:val="0"/>
          <w:sz w:val="24"/>
          <w:highlight w:val="none"/>
        </w:rPr>
      </w:pPr>
      <w:r>
        <w:rPr>
          <w:rFonts w:ascii="宋体" w:hAnsi="宋体" w:cs="宋体"/>
          <w:bCs/>
          <w:color w:val="auto"/>
          <w:kern w:val="0"/>
          <w:sz w:val="24"/>
          <w:highlight w:val="none"/>
        </w:rPr>
        <w:t>2</w:t>
      </w:r>
      <w:r>
        <w:rPr>
          <w:rFonts w:hint="eastAsia" w:ascii="宋体" w:hAnsi="宋体" w:cs="宋体"/>
          <w:bCs/>
          <w:color w:val="auto"/>
          <w:kern w:val="0"/>
          <w:sz w:val="24"/>
          <w:highlight w:val="none"/>
          <w:lang w:eastAsia="zh-CN"/>
        </w:rPr>
        <w:t>.</w:t>
      </w:r>
      <w:r>
        <w:rPr>
          <w:rFonts w:ascii="宋体" w:hAnsi="宋体" w:cs="宋体"/>
          <w:bCs/>
          <w:color w:val="auto"/>
          <w:kern w:val="0"/>
          <w:sz w:val="24"/>
          <w:highlight w:val="none"/>
        </w:rPr>
        <w:t>残疾人福利单位价格扣除</w:t>
      </w:r>
    </w:p>
    <w:p>
      <w:pPr>
        <w:snapToGrid w:val="0"/>
        <w:spacing w:line="312" w:lineRule="auto"/>
        <w:ind w:firstLine="480" w:firstLineChars="200"/>
        <w:rPr>
          <w:rFonts w:ascii="宋体" w:hAnsi="宋体" w:cs="宋体"/>
          <w:bCs/>
          <w:color w:val="auto"/>
          <w:kern w:val="0"/>
          <w:sz w:val="24"/>
          <w:highlight w:val="none"/>
        </w:rPr>
      </w:pPr>
      <w:r>
        <w:rPr>
          <w:rFonts w:ascii="宋体" w:hAnsi="宋体" w:cs="宋体"/>
          <w:bCs/>
          <w:color w:val="auto"/>
          <w:kern w:val="0"/>
          <w:sz w:val="24"/>
          <w:highlight w:val="none"/>
        </w:rPr>
        <w:t>（1）本项目对残疾人福利性单位，给予10%的价格扣除，用扣除后的价格参与评审。</w:t>
      </w:r>
    </w:p>
    <w:p>
      <w:pPr>
        <w:snapToGrid w:val="0"/>
        <w:spacing w:line="312" w:lineRule="auto"/>
        <w:ind w:firstLine="480" w:firstLineChars="200"/>
        <w:rPr>
          <w:rFonts w:ascii="宋体" w:hAnsi="宋体" w:cs="宋体"/>
          <w:bCs/>
          <w:color w:val="auto"/>
          <w:kern w:val="0"/>
          <w:sz w:val="24"/>
          <w:highlight w:val="none"/>
        </w:rPr>
      </w:pPr>
      <w:r>
        <w:rPr>
          <w:rFonts w:ascii="宋体" w:hAnsi="宋体" w:cs="宋体"/>
          <w:bCs/>
          <w:color w:val="auto"/>
          <w:kern w:val="0"/>
          <w:sz w:val="24"/>
          <w:highlight w:val="none"/>
        </w:rPr>
        <w:t>（2）残疾人福利单位需按照采购文件的要求提供《残疾人福利性单位声明函》。</w:t>
      </w:r>
    </w:p>
    <w:p>
      <w:pPr>
        <w:snapToGrid w:val="0"/>
        <w:spacing w:line="312" w:lineRule="auto"/>
        <w:ind w:firstLine="480" w:firstLineChars="200"/>
        <w:rPr>
          <w:rFonts w:ascii="宋体" w:hAnsi="宋体" w:cs="宋体"/>
          <w:bCs/>
          <w:color w:val="auto"/>
          <w:kern w:val="0"/>
          <w:sz w:val="24"/>
          <w:highlight w:val="none"/>
        </w:rPr>
      </w:pPr>
      <w:r>
        <w:rPr>
          <w:rFonts w:ascii="宋体" w:hAnsi="宋体" w:cs="宋体"/>
          <w:bCs/>
          <w:color w:val="auto"/>
          <w:kern w:val="0"/>
          <w:sz w:val="24"/>
          <w:highlight w:val="none"/>
        </w:rPr>
        <w:t>（3）残疾人福利单位标准请参照《关于促进残疾人就业政府采购政策的通知》（财库〔2017〕141号）。</w:t>
      </w:r>
    </w:p>
    <w:p>
      <w:pPr>
        <w:snapToGrid w:val="0"/>
        <w:spacing w:line="312" w:lineRule="auto"/>
        <w:ind w:firstLine="480" w:firstLineChars="200"/>
        <w:rPr>
          <w:rFonts w:ascii="宋体" w:hAnsi="宋体" w:cs="宋体"/>
          <w:bCs/>
          <w:color w:val="auto"/>
          <w:kern w:val="0"/>
          <w:sz w:val="24"/>
          <w:highlight w:val="none"/>
        </w:rPr>
      </w:pPr>
      <w:r>
        <w:rPr>
          <w:rFonts w:ascii="宋体" w:hAnsi="宋体" w:cs="宋体"/>
          <w:bCs/>
          <w:color w:val="auto"/>
          <w:kern w:val="0"/>
          <w:sz w:val="24"/>
          <w:highlight w:val="none"/>
        </w:rPr>
        <w:t>3</w:t>
      </w:r>
      <w:r>
        <w:rPr>
          <w:rFonts w:hint="eastAsia" w:ascii="宋体" w:hAnsi="宋体" w:cs="宋体"/>
          <w:bCs/>
          <w:color w:val="auto"/>
          <w:kern w:val="0"/>
          <w:sz w:val="24"/>
          <w:highlight w:val="none"/>
          <w:lang w:eastAsia="zh-CN"/>
        </w:rPr>
        <w:t>.</w:t>
      </w:r>
      <w:r>
        <w:rPr>
          <w:rFonts w:ascii="宋体" w:hAnsi="宋体" w:cs="宋体"/>
          <w:bCs/>
          <w:color w:val="auto"/>
          <w:kern w:val="0"/>
          <w:sz w:val="24"/>
          <w:highlight w:val="none"/>
        </w:rPr>
        <w:t>监狱和戒毒企业价格扣除</w:t>
      </w:r>
    </w:p>
    <w:p>
      <w:pPr>
        <w:snapToGrid w:val="0"/>
        <w:spacing w:line="312" w:lineRule="auto"/>
        <w:ind w:firstLine="480" w:firstLineChars="200"/>
        <w:rPr>
          <w:rFonts w:ascii="宋体" w:hAnsi="宋体" w:cs="宋体"/>
          <w:bCs/>
          <w:color w:val="auto"/>
          <w:kern w:val="0"/>
          <w:sz w:val="24"/>
          <w:highlight w:val="none"/>
        </w:rPr>
      </w:pPr>
      <w:r>
        <w:rPr>
          <w:rFonts w:ascii="宋体" w:hAnsi="宋体" w:cs="宋体"/>
          <w:bCs/>
          <w:color w:val="auto"/>
          <w:kern w:val="0"/>
          <w:sz w:val="24"/>
          <w:highlight w:val="none"/>
        </w:rPr>
        <w:t>（1）本项目对监狱和戒毒企业（简称监狱企业）给予10%的价格扣除，用扣除后的价格参与评审。</w:t>
      </w:r>
    </w:p>
    <w:p>
      <w:pPr>
        <w:snapToGrid w:val="0"/>
        <w:spacing w:line="312" w:lineRule="auto"/>
        <w:ind w:firstLine="480" w:firstLineChars="200"/>
        <w:rPr>
          <w:rFonts w:ascii="宋体" w:hAnsi="宋体" w:cs="宋体"/>
          <w:bCs/>
          <w:color w:val="auto"/>
          <w:kern w:val="0"/>
          <w:sz w:val="24"/>
          <w:highlight w:val="none"/>
        </w:rPr>
      </w:pPr>
      <w:r>
        <w:rPr>
          <w:rFonts w:ascii="宋体" w:hAnsi="宋体" w:cs="宋体"/>
          <w:bCs/>
          <w:color w:val="auto"/>
          <w:kern w:val="0"/>
          <w:sz w:val="24"/>
          <w:highlight w:val="none"/>
        </w:rPr>
        <w:t>（2）监狱企业参加政府采购活动时，需提供由省级以上监狱管理局、戒毒管理局(含新疆生产建设兵团)出具的属于监狱企业的证明文件。供应商如不提供上述证明文件，价格将不做相应扣除。</w:t>
      </w:r>
    </w:p>
    <w:p>
      <w:pPr>
        <w:snapToGrid w:val="0"/>
        <w:spacing w:line="312" w:lineRule="auto"/>
        <w:ind w:firstLine="480" w:firstLineChars="200"/>
        <w:rPr>
          <w:rFonts w:ascii="宋体" w:hAnsi="宋体" w:cs="宋体"/>
          <w:bCs/>
          <w:color w:val="auto"/>
          <w:kern w:val="0"/>
          <w:sz w:val="24"/>
          <w:highlight w:val="none"/>
        </w:rPr>
      </w:pPr>
      <w:r>
        <w:rPr>
          <w:rFonts w:ascii="宋体" w:hAnsi="宋体" w:cs="宋体"/>
          <w:bCs/>
          <w:color w:val="auto"/>
          <w:kern w:val="0"/>
          <w:sz w:val="24"/>
          <w:highlight w:val="none"/>
        </w:rPr>
        <w:t>（3）监狱企业标准请参照《关于政府采购支持监狱企业发展有关问题的通知》（财库[2014]68号）。</w:t>
      </w:r>
    </w:p>
    <w:p>
      <w:pPr>
        <w:snapToGrid w:val="0"/>
        <w:spacing w:line="312" w:lineRule="auto"/>
        <w:ind w:firstLine="480" w:firstLineChars="200"/>
        <w:rPr>
          <w:rFonts w:ascii="宋体" w:hAnsi="宋体" w:cs="宋体"/>
          <w:bCs/>
          <w:color w:val="auto"/>
          <w:kern w:val="0"/>
          <w:sz w:val="24"/>
          <w:highlight w:val="none"/>
        </w:rPr>
      </w:pPr>
      <w:r>
        <w:rPr>
          <w:rFonts w:ascii="宋体" w:hAnsi="宋体" w:cs="宋体"/>
          <w:bCs/>
          <w:color w:val="auto"/>
          <w:kern w:val="0"/>
          <w:sz w:val="24"/>
          <w:highlight w:val="none"/>
        </w:rPr>
        <w:t>4</w:t>
      </w:r>
      <w:r>
        <w:rPr>
          <w:rFonts w:hint="eastAsia" w:ascii="宋体" w:hAnsi="宋体" w:cs="宋体"/>
          <w:bCs/>
          <w:color w:val="auto"/>
          <w:kern w:val="0"/>
          <w:sz w:val="24"/>
          <w:highlight w:val="none"/>
          <w:lang w:eastAsia="zh-CN"/>
        </w:rPr>
        <w:t>.</w:t>
      </w:r>
      <w:r>
        <w:rPr>
          <w:rFonts w:ascii="宋体" w:hAnsi="宋体" w:cs="宋体"/>
          <w:bCs/>
          <w:color w:val="auto"/>
          <w:kern w:val="0"/>
          <w:sz w:val="24"/>
          <w:highlight w:val="none"/>
        </w:rPr>
        <w:t>残疾人福利单位、监狱企业属于小型、微型企业的，不重复享受政策。</w:t>
      </w:r>
    </w:p>
    <w:p>
      <w:pPr>
        <w:snapToGrid w:val="0"/>
        <w:spacing w:line="312" w:lineRule="auto"/>
        <w:ind w:firstLine="480" w:firstLineChars="200"/>
        <w:rPr>
          <w:rFonts w:ascii="宋体" w:hAnsi="宋体" w:cs="宋体"/>
          <w:bCs/>
          <w:color w:val="auto"/>
          <w:kern w:val="0"/>
          <w:sz w:val="24"/>
          <w:highlight w:val="none"/>
        </w:rPr>
      </w:pPr>
      <w:r>
        <w:rPr>
          <w:rFonts w:ascii="宋体" w:hAnsi="宋体" w:cs="宋体"/>
          <w:bCs/>
          <w:color w:val="auto"/>
          <w:kern w:val="0"/>
          <w:sz w:val="24"/>
          <w:highlight w:val="none"/>
        </w:rPr>
        <w:t>5</w:t>
      </w:r>
      <w:r>
        <w:rPr>
          <w:rFonts w:hint="eastAsia" w:ascii="宋体" w:hAnsi="宋体" w:cs="宋体"/>
          <w:bCs/>
          <w:color w:val="auto"/>
          <w:kern w:val="0"/>
          <w:sz w:val="24"/>
          <w:highlight w:val="none"/>
          <w:lang w:eastAsia="zh-CN"/>
        </w:rPr>
        <w:t>.</w:t>
      </w:r>
      <w:r>
        <w:rPr>
          <w:rFonts w:ascii="宋体" w:hAnsi="宋体" w:cs="宋体"/>
          <w:bCs/>
          <w:color w:val="auto"/>
          <w:kern w:val="0"/>
          <w:sz w:val="24"/>
          <w:highlight w:val="none"/>
        </w:rPr>
        <w:t>大中型企业和其他自然人、法人或者其他组织并与小型、微型企业（残疾人福利单位、监狱企业）组成联合体共同参加政府采购活动。联合协议中约定，小型、微型企业（残疾人福利单位、监狱企业）的协议合同金额占到联合体协议合同总金额30%以上的，给予联合体2%的价格扣除，用扣除后的价格参与评审。</w:t>
      </w:r>
    </w:p>
    <w:p>
      <w:pPr>
        <w:snapToGrid w:val="0"/>
        <w:spacing w:line="312" w:lineRule="auto"/>
        <w:ind w:firstLine="480" w:firstLineChars="200"/>
        <w:rPr>
          <w:rFonts w:hint="eastAsia" w:ascii="宋体" w:hAnsi="宋体" w:cs="宋体"/>
          <w:bCs/>
          <w:color w:val="auto"/>
          <w:kern w:val="0"/>
          <w:sz w:val="24"/>
          <w:highlight w:val="none"/>
        </w:rPr>
      </w:pPr>
      <w:r>
        <w:rPr>
          <w:rFonts w:ascii="宋体" w:hAnsi="宋体" w:cs="宋体"/>
          <w:bCs/>
          <w:color w:val="auto"/>
          <w:kern w:val="0"/>
          <w:sz w:val="24"/>
          <w:highlight w:val="none"/>
        </w:rPr>
        <w:t>6</w:t>
      </w:r>
      <w:r>
        <w:rPr>
          <w:rFonts w:hint="eastAsia" w:ascii="宋体" w:hAnsi="宋体" w:cs="宋体"/>
          <w:bCs/>
          <w:color w:val="auto"/>
          <w:kern w:val="0"/>
          <w:sz w:val="24"/>
          <w:highlight w:val="none"/>
          <w:lang w:eastAsia="zh-CN"/>
        </w:rPr>
        <w:t>.</w:t>
      </w:r>
      <w:r>
        <w:rPr>
          <w:rFonts w:ascii="宋体" w:hAnsi="宋体" w:cs="宋体"/>
          <w:bCs/>
          <w:color w:val="auto"/>
          <w:kern w:val="0"/>
          <w:sz w:val="24"/>
          <w:highlight w:val="none"/>
        </w:rPr>
        <w:t>联合体各方均为小型、微型企业（残疾人福利单位、监狱企业）的，联合体享受上述同类价格扣除，用扣除后的价格参与评审。</w:t>
      </w:r>
    </w:p>
    <w:p>
      <w:pPr>
        <w:snapToGrid w:val="0"/>
        <w:spacing w:line="312" w:lineRule="auto"/>
        <w:ind w:firstLine="480" w:firstLineChars="200"/>
        <w:rPr>
          <w:rFonts w:ascii="宋体" w:hAnsi="宋体" w:cs="宋体"/>
          <w:bCs/>
          <w:color w:val="auto"/>
          <w:kern w:val="0"/>
          <w:sz w:val="24"/>
          <w:highlight w:val="none"/>
        </w:rPr>
      </w:pPr>
      <w:r>
        <w:rPr>
          <w:rFonts w:hint="eastAsia" w:ascii="宋体" w:hAnsi="宋体" w:cs="宋体"/>
          <w:bCs/>
          <w:color w:val="auto"/>
          <w:kern w:val="0"/>
          <w:sz w:val="24"/>
          <w:highlight w:val="none"/>
        </w:rPr>
        <w:t>7</w:t>
      </w:r>
      <w:r>
        <w:rPr>
          <w:rFonts w:hint="eastAsia" w:ascii="宋体" w:hAnsi="宋体" w:cs="宋体"/>
          <w:bCs/>
          <w:color w:val="auto"/>
          <w:kern w:val="0"/>
          <w:sz w:val="24"/>
          <w:highlight w:val="none"/>
          <w:lang w:eastAsia="zh-CN"/>
        </w:rPr>
        <w:t>.</w:t>
      </w:r>
      <w:r>
        <w:rPr>
          <w:rFonts w:hint="eastAsia" w:ascii="宋体" w:hAnsi="宋体" w:cs="宋体"/>
          <w:bCs/>
          <w:color w:val="auto"/>
          <w:kern w:val="0"/>
          <w:sz w:val="24"/>
          <w:highlight w:val="none"/>
        </w:rPr>
        <w:t>专门面向中小企业采购的项目或者采购包，不再执行价格评审优惠的扶持政策。</w:t>
      </w:r>
    </w:p>
    <w:p>
      <w:pPr>
        <w:snapToGrid w:val="0"/>
        <w:spacing w:line="312" w:lineRule="auto"/>
        <w:ind w:firstLine="480" w:firstLineChars="200"/>
        <w:rPr>
          <w:rFonts w:ascii="宋体" w:hAnsi="宋体" w:cs="宋体"/>
          <w:bCs/>
          <w:color w:val="auto"/>
          <w:kern w:val="0"/>
          <w:sz w:val="24"/>
          <w:highlight w:val="none"/>
        </w:rPr>
      </w:pPr>
      <w:r>
        <w:rPr>
          <w:rFonts w:hint="eastAsia" w:ascii="宋体" w:hAnsi="宋体" w:cs="宋体"/>
          <w:bCs/>
          <w:color w:val="auto"/>
          <w:kern w:val="0"/>
          <w:sz w:val="24"/>
          <w:highlight w:val="none"/>
        </w:rPr>
        <w:t>8</w:t>
      </w:r>
      <w:r>
        <w:rPr>
          <w:rFonts w:hint="eastAsia" w:ascii="宋体" w:hAnsi="宋体" w:cs="宋体"/>
          <w:bCs/>
          <w:color w:val="auto"/>
          <w:kern w:val="0"/>
          <w:sz w:val="24"/>
          <w:highlight w:val="none"/>
          <w:lang w:eastAsia="zh-CN"/>
        </w:rPr>
        <w:t>.</w:t>
      </w:r>
      <w:r>
        <w:rPr>
          <w:rFonts w:ascii="宋体" w:hAnsi="宋体" w:cs="宋体"/>
          <w:bCs/>
          <w:color w:val="auto"/>
          <w:kern w:val="0"/>
          <w:sz w:val="24"/>
          <w:highlight w:val="none"/>
        </w:rPr>
        <w:t>根据《江苏省政府采购信用管理暂行办法》的规定，供应商信用评价结果为三星的扣2分，评价结果为二星的扣3分，评价结果为一星的扣4分。</w:t>
      </w:r>
    </w:p>
    <w:p>
      <w:pPr>
        <w:snapToGrid w:val="0"/>
        <w:spacing w:line="312" w:lineRule="auto"/>
        <w:ind w:firstLine="482" w:firstLineChars="200"/>
        <w:rPr>
          <w:rFonts w:ascii="宋体" w:hAnsi="宋体" w:cs="宋体"/>
          <w:bCs/>
          <w:sz w:val="24"/>
          <w:highlight w:val="none"/>
        </w:rPr>
      </w:pPr>
      <w:r>
        <w:rPr>
          <w:rFonts w:hint="eastAsia" w:ascii="宋体" w:hAnsi="宋体" w:cs="宋体"/>
          <w:b/>
          <w:sz w:val="24"/>
          <w:highlight w:val="none"/>
        </w:rPr>
        <w:t>九、中标人的确定</w:t>
      </w:r>
    </w:p>
    <w:p>
      <w:pPr>
        <w:snapToGrid w:val="0"/>
        <w:spacing w:line="312" w:lineRule="auto"/>
        <w:ind w:firstLine="480" w:firstLineChars="200"/>
        <w:contextualSpacing/>
        <w:rPr>
          <w:rFonts w:ascii="宋体" w:hAnsi="宋体" w:cs="宋体"/>
          <w:kern w:val="0"/>
          <w:sz w:val="24"/>
          <w:highlight w:val="none"/>
          <w:lang w:val="zh-CN"/>
        </w:rPr>
      </w:pPr>
      <w:r>
        <w:rPr>
          <w:rFonts w:hint="eastAsia" w:ascii="宋体" w:hAnsi="宋体" w:cs="宋体"/>
          <w:kern w:val="0"/>
          <w:sz w:val="24"/>
          <w:highlight w:val="none"/>
          <w:lang w:val="zh-CN"/>
        </w:rPr>
        <w:t>评委对中标供应商报价总表和明细表进行审核，应审核供应商投标报价是否前后一致、大小写金额是否一致、总价金额与单价汇总金额是否一致。对过高过低报价的并作为中标供应商的，应重点审核报价明细表有否重大重复报价或漏项报价等情况，一经发现，现场请中标供应商予以澄清，明显过错或不能澄清的，经超半数以上评委认定，有权取消供应商中标资格，以此类推确定中标供应商。</w:t>
      </w:r>
    </w:p>
    <w:p>
      <w:pPr>
        <w:snapToGrid w:val="0"/>
        <w:spacing w:line="312" w:lineRule="auto"/>
        <w:ind w:firstLine="480" w:firstLineChars="200"/>
        <w:contextualSpacing/>
        <w:rPr>
          <w:rFonts w:ascii="宋体" w:hAnsi="宋体" w:cs="宋体"/>
          <w:kern w:val="0"/>
          <w:sz w:val="24"/>
          <w:highlight w:val="none"/>
          <w:lang w:val="zh-CN"/>
        </w:rPr>
      </w:pPr>
      <w:r>
        <w:rPr>
          <w:rFonts w:hint="eastAsia" w:ascii="宋体" w:hAnsi="宋体" w:cs="宋体"/>
          <w:kern w:val="0"/>
          <w:sz w:val="24"/>
          <w:highlight w:val="none"/>
          <w:lang w:val="zh-CN"/>
        </w:rPr>
        <w:t>评委会认为投标供应商的报价明显低于其他通过符合性审查投标供应商的报价，有可能影响产品质量或者不能诚信履约的，应当要求其在合理的时间内提供书面说明，必要时提交相关证明材料；投标供应商不能证明其报价合理性的，评委会应当将其作为无效投标处理。</w:t>
      </w:r>
    </w:p>
    <w:p>
      <w:pPr>
        <w:snapToGrid w:val="0"/>
        <w:spacing w:line="312" w:lineRule="auto"/>
        <w:ind w:firstLine="482" w:firstLineChars="200"/>
        <w:contextualSpacing/>
        <w:rPr>
          <w:rFonts w:ascii="宋体" w:hAnsi="宋体" w:cs="宋体"/>
          <w:b/>
          <w:bCs/>
          <w:kern w:val="0"/>
          <w:sz w:val="24"/>
          <w:highlight w:val="none"/>
        </w:rPr>
      </w:pPr>
      <w:r>
        <w:rPr>
          <w:rFonts w:hint="eastAsia" w:ascii="宋体" w:hAnsi="宋体" w:cs="宋体"/>
          <w:b/>
          <w:bCs/>
          <w:kern w:val="0"/>
          <w:sz w:val="24"/>
          <w:highlight w:val="none"/>
        </w:rPr>
        <w:t>本项目共分为8个标段（标段号为一到八），各供应商可以根据情况选择其中一个或全部标段进行投标（各标段在报名确认后不得变更）。每家供应商（包括联合体各成员单位）累计中标标段数不得超过一个。评标时，依开标顺序（按标段号自然顺序开标），按照先开先中的原则，确定该供应商（包含联合体各成员单位）的中标标段号，则不再具有其它标段的中标资格。在合同签订之前，若某标段因质疑、投诉等事项导致中标结果改变的，则不影响其它标段号的中标结果。</w:t>
      </w:r>
    </w:p>
    <w:p>
      <w:pPr>
        <w:snapToGrid w:val="0"/>
        <w:spacing w:line="312" w:lineRule="auto"/>
        <w:contextualSpacing/>
        <w:rPr>
          <w:rFonts w:ascii="宋体" w:hAnsi="宋体" w:cs="宋体"/>
          <w:b/>
          <w:bCs/>
          <w:kern w:val="0"/>
          <w:sz w:val="24"/>
          <w:highlight w:val="none"/>
        </w:rPr>
      </w:pPr>
      <w:r>
        <w:rPr>
          <w:rFonts w:hint="eastAsia" w:ascii="宋体" w:hAnsi="宋体" w:cs="宋体"/>
          <w:b/>
          <w:bCs/>
          <w:kern w:val="0"/>
          <w:sz w:val="24"/>
          <w:highlight w:val="none"/>
        </w:rPr>
        <w:t>注：标段一、标段二、标段三、标段四、标段五、标段六、标段七、标段八评分标准详见上文评分办法细则。</w:t>
      </w:r>
    </w:p>
    <w:p>
      <w:pPr>
        <w:snapToGrid w:val="0"/>
        <w:spacing w:line="312" w:lineRule="auto"/>
        <w:ind w:firstLine="482" w:firstLineChars="200"/>
        <w:contextualSpacing/>
        <w:rPr>
          <w:rFonts w:ascii="宋体" w:hAnsi="宋体" w:cs="宋体"/>
          <w:b/>
          <w:bCs/>
          <w:kern w:val="0"/>
          <w:sz w:val="24"/>
          <w:highlight w:val="none"/>
          <w:lang w:val="zh-CN"/>
        </w:rPr>
      </w:pPr>
      <w:r>
        <w:rPr>
          <w:rFonts w:hint="eastAsia" w:ascii="宋体" w:hAnsi="宋体" w:cs="宋体"/>
          <w:b/>
          <w:bCs/>
          <w:kern w:val="0"/>
          <w:sz w:val="24"/>
          <w:highlight w:val="none"/>
          <w:lang w:val="zh-CN"/>
        </w:rPr>
        <w:t>十、其他注意事项</w:t>
      </w:r>
    </w:p>
    <w:p>
      <w:pPr>
        <w:snapToGrid w:val="0"/>
        <w:spacing w:line="312" w:lineRule="auto"/>
        <w:ind w:firstLine="480" w:firstLineChars="200"/>
        <w:contextualSpacing/>
        <w:rPr>
          <w:rFonts w:ascii="宋体" w:hAnsi="宋体" w:cs="宋体"/>
          <w:kern w:val="0"/>
          <w:sz w:val="24"/>
          <w:highlight w:val="none"/>
          <w:lang w:val="zh-CN"/>
        </w:rPr>
      </w:pPr>
      <w:r>
        <w:rPr>
          <w:rFonts w:hint="eastAsia" w:ascii="宋体" w:hAnsi="宋体" w:cs="宋体"/>
          <w:kern w:val="0"/>
          <w:sz w:val="24"/>
          <w:highlight w:val="none"/>
          <w:lang w:val="zh-CN"/>
        </w:rPr>
        <w:t>1.在投标、开标时间，投标供应商不得向评委询问情况，不得进行旨在影响评标结果的活动。</w:t>
      </w:r>
    </w:p>
    <w:p>
      <w:pPr>
        <w:snapToGrid w:val="0"/>
        <w:spacing w:line="312" w:lineRule="auto"/>
        <w:ind w:firstLine="480" w:firstLineChars="200"/>
        <w:contextualSpacing/>
        <w:rPr>
          <w:rFonts w:ascii="宋体" w:hAnsi="宋体" w:cs="宋体"/>
          <w:kern w:val="0"/>
          <w:sz w:val="24"/>
          <w:highlight w:val="none"/>
          <w:lang w:val="zh-CN"/>
        </w:rPr>
      </w:pPr>
      <w:r>
        <w:rPr>
          <w:rFonts w:hint="eastAsia" w:ascii="宋体" w:hAnsi="宋体" w:cs="宋体"/>
          <w:kern w:val="0"/>
          <w:sz w:val="24"/>
          <w:highlight w:val="none"/>
          <w:lang w:val="zh-CN"/>
        </w:rPr>
        <w:t>2.评委会不得向投标供应商解释落标原因。</w:t>
      </w:r>
    </w:p>
    <w:p>
      <w:pPr>
        <w:snapToGrid w:val="0"/>
        <w:spacing w:line="312" w:lineRule="auto"/>
        <w:ind w:firstLine="480" w:firstLineChars="200"/>
        <w:contextualSpacing/>
        <w:rPr>
          <w:rFonts w:ascii="宋体" w:hAnsi="宋体" w:cs="宋体"/>
          <w:kern w:val="0"/>
          <w:sz w:val="24"/>
          <w:highlight w:val="none"/>
          <w:lang w:val="zh-CN"/>
        </w:rPr>
      </w:pPr>
      <w:r>
        <w:rPr>
          <w:rFonts w:hint="eastAsia" w:ascii="宋体" w:hAnsi="宋体" w:cs="宋体"/>
          <w:kern w:val="0"/>
          <w:sz w:val="24"/>
          <w:highlight w:val="none"/>
          <w:lang w:val="zh-CN"/>
        </w:rPr>
        <w:t>3.在投标、评标过程中，如果投标供应商联合故意抬高报价或出现其他不正当行为，采购人有权中止投标或评标。</w:t>
      </w:r>
    </w:p>
    <w:p>
      <w:pPr>
        <w:snapToGrid w:val="0"/>
        <w:spacing w:line="312" w:lineRule="auto"/>
        <w:ind w:firstLine="480" w:firstLineChars="200"/>
        <w:contextualSpacing/>
        <w:rPr>
          <w:rFonts w:ascii="宋体" w:hAnsi="宋体" w:cs="宋体"/>
          <w:kern w:val="0"/>
          <w:sz w:val="24"/>
          <w:highlight w:val="none"/>
          <w:lang w:val="zh-CN"/>
        </w:rPr>
      </w:pPr>
      <w:r>
        <w:rPr>
          <w:rFonts w:hint="eastAsia" w:ascii="宋体" w:hAnsi="宋体" w:cs="宋体"/>
          <w:kern w:val="0"/>
          <w:sz w:val="24"/>
          <w:highlight w:val="none"/>
          <w:lang w:val="zh-CN"/>
        </w:rPr>
        <w:t>4.凡在投标、开标过程中，采购人已提示是否异议的事项，投标供应商当时没有提出异议的，事后投标供应商不得针对上述事项提出质疑。比如：采购人在开标中提示评委是否回避，投标供应商现场未提出异议的，事后不得针对评委回避事项提出质疑。</w:t>
      </w:r>
    </w:p>
    <w:p>
      <w:pPr>
        <w:snapToGrid w:val="0"/>
        <w:spacing w:line="312" w:lineRule="auto"/>
        <w:ind w:firstLine="482" w:firstLineChars="200"/>
        <w:contextualSpacing/>
        <w:rPr>
          <w:rFonts w:ascii="宋体" w:hAnsi="宋体" w:cs="宋体"/>
          <w:b/>
          <w:bCs/>
          <w:kern w:val="0"/>
          <w:sz w:val="24"/>
          <w:highlight w:val="none"/>
          <w:lang w:val="zh-CN"/>
        </w:rPr>
      </w:pPr>
      <w:r>
        <w:rPr>
          <w:rFonts w:hint="eastAsia" w:ascii="宋体" w:hAnsi="宋体" w:cs="宋体"/>
          <w:b/>
          <w:bCs/>
          <w:kern w:val="0"/>
          <w:sz w:val="24"/>
          <w:highlight w:val="none"/>
          <w:lang w:val="zh-CN"/>
        </w:rPr>
        <w:t>十一、中标通知</w:t>
      </w:r>
    </w:p>
    <w:p>
      <w:pPr>
        <w:snapToGrid w:val="0"/>
        <w:spacing w:line="312" w:lineRule="auto"/>
        <w:ind w:firstLine="480" w:firstLineChars="200"/>
        <w:contextualSpacing/>
        <w:rPr>
          <w:rFonts w:ascii="宋体" w:hAnsi="宋体" w:cs="宋体"/>
          <w:kern w:val="0"/>
          <w:sz w:val="24"/>
          <w:highlight w:val="none"/>
          <w:lang w:val="zh-CN"/>
        </w:rPr>
      </w:pPr>
      <w:r>
        <w:rPr>
          <w:rFonts w:hint="eastAsia" w:ascii="宋体" w:hAnsi="宋体" w:cs="宋体"/>
          <w:kern w:val="0"/>
          <w:sz w:val="24"/>
          <w:highlight w:val="none"/>
          <w:lang w:val="zh-CN"/>
        </w:rPr>
        <w:t>中标结果在江苏省政府采购网公告，公告期限为1个工作日。《中标通知书》一经发出，如采购人改变中标结果，或者中标供应商放弃中标的，各自承担相应的法律责任。《中标通知书》是采购合同的组成部分。</w:t>
      </w:r>
    </w:p>
    <w:p>
      <w:pPr>
        <w:snapToGrid w:val="0"/>
        <w:spacing w:line="312" w:lineRule="auto"/>
        <w:ind w:firstLine="482" w:firstLineChars="200"/>
        <w:contextualSpacing/>
        <w:rPr>
          <w:rFonts w:ascii="宋体" w:hAnsi="宋体" w:cs="宋体"/>
          <w:b/>
          <w:bCs/>
          <w:kern w:val="0"/>
          <w:sz w:val="24"/>
          <w:highlight w:val="none"/>
          <w:lang w:val="zh-CN"/>
        </w:rPr>
      </w:pPr>
      <w:r>
        <w:rPr>
          <w:rFonts w:hint="eastAsia" w:ascii="宋体" w:hAnsi="宋体" w:cs="宋体"/>
          <w:b/>
          <w:bCs/>
          <w:kern w:val="0"/>
          <w:sz w:val="24"/>
          <w:highlight w:val="none"/>
          <w:lang w:val="zh-CN"/>
        </w:rPr>
        <w:t>十二、中标通知书的发放</w:t>
      </w:r>
    </w:p>
    <w:p>
      <w:pPr>
        <w:snapToGrid w:val="0"/>
        <w:spacing w:line="312" w:lineRule="auto"/>
        <w:ind w:firstLine="480" w:firstLineChars="200"/>
        <w:contextualSpacing/>
        <w:rPr>
          <w:rFonts w:ascii="宋体" w:hAnsi="宋体" w:cs="宋体"/>
          <w:kern w:val="0"/>
          <w:sz w:val="24"/>
          <w:highlight w:val="none"/>
          <w:lang w:val="zh-CN"/>
        </w:rPr>
      </w:pPr>
      <w:r>
        <w:rPr>
          <w:rFonts w:hint="eastAsia" w:ascii="宋体" w:hAnsi="宋体" w:cs="宋体"/>
          <w:kern w:val="0"/>
          <w:sz w:val="24"/>
          <w:highlight w:val="none"/>
          <w:lang w:val="zh-CN"/>
        </w:rPr>
        <w:t>中标结果公告公示期结束后，中标供应商可</w:t>
      </w:r>
      <w:r>
        <w:rPr>
          <w:rFonts w:hint="eastAsia" w:ascii="宋体" w:hAnsi="宋体" w:cs="宋体"/>
          <w:kern w:val="0"/>
          <w:sz w:val="24"/>
          <w:highlight w:val="none"/>
        </w:rPr>
        <w:t>联系招标代理机构办理</w:t>
      </w:r>
      <w:r>
        <w:rPr>
          <w:rFonts w:hint="eastAsia" w:ascii="宋体" w:hAnsi="宋体" w:cs="宋体"/>
          <w:kern w:val="0"/>
          <w:sz w:val="24"/>
          <w:highlight w:val="none"/>
          <w:lang w:val="zh-CN"/>
        </w:rPr>
        <w:t>中标通知书领取</w:t>
      </w:r>
      <w:r>
        <w:rPr>
          <w:rFonts w:hint="eastAsia" w:ascii="宋体" w:hAnsi="宋体" w:cs="宋体"/>
          <w:kern w:val="0"/>
          <w:sz w:val="24"/>
          <w:highlight w:val="none"/>
        </w:rPr>
        <w:t>事宜</w:t>
      </w:r>
      <w:r>
        <w:rPr>
          <w:rFonts w:hint="eastAsia" w:ascii="宋体" w:hAnsi="宋体" w:cs="宋体"/>
          <w:kern w:val="0"/>
          <w:sz w:val="24"/>
          <w:highlight w:val="none"/>
          <w:lang w:val="zh-CN"/>
        </w:rPr>
        <w:t>。</w:t>
      </w:r>
    </w:p>
    <w:p>
      <w:pPr>
        <w:snapToGrid w:val="0"/>
        <w:spacing w:line="360" w:lineRule="auto"/>
        <w:jc w:val="center"/>
        <w:outlineLvl w:val="0"/>
        <w:rPr>
          <w:rFonts w:hint="eastAsia" w:asciiTheme="majorEastAsia" w:hAnsiTheme="majorEastAsia" w:eastAsiaTheme="majorEastAsia" w:cstheme="majorEastAsia"/>
          <w:b/>
          <w:sz w:val="36"/>
          <w:szCs w:val="36"/>
          <w:highlight w:val="none"/>
        </w:rPr>
      </w:pPr>
    </w:p>
    <w:p>
      <w:pPr>
        <w:snapToGrid w:val="0"/>
        <w:spacing w:line="360" w:lineRule="auto"/>
        <w:jc w:val="center"/>
        <w:outlineLvl w:val="0"/>
        <w:rPr>
          <w:rFonts w:hint="eastAsia" w:asciiTheme="majorEastAsia" w:hAnsiTheme="majorEastAsia" w:eastAsiaTheme="majorEastAsia" w:cstheme="majorEastAsia"/>
          <w:b/>
          <w:sz w:val="36"/>
          <w:szCs w:val="36"/>
          <w:highlight w:val="none"/>
        </w:rPr>
      </w:pPr>
    </w:p>
    <w:p>
      <w:pPr>
        <w:snapToGrid w:val="0"/>
        <w:spacing w:line="360" w:lineRule="auto"/>
        <w:jc w:val="center"/>
        <w:outlineLvl w:val="0"/>
        <w:rPr>
          <w:rFonts w:hint="eastAsia" w:asciiTheme="majorEastAsia" w:hAnsiTheme="majorEastAsia" w:eastAsiaTheme="majorEastAsia" w:cstheme="majorEastAsia"/>
          <w:b/>
          <w:sz w:val="36"/>
          <w:szCs w:val="36"/>
          <w:highlight w:val="none"/>
        </w:rPr>
      </w:pPr>
    </w:p>
    <w:p>
      <w:pPr>
        <w:snapToGrid w:val="0"/>
        <w:spacing w:line="360" w:lineRule="auto"/>
        <w:jc w:val="center"/>
        <w:outlineLvl w:val="0"/>
        <w:rPr>
          <w:rFonts w:hint="eastAsia" w:asciiTheme="majorEastAsia" w:hAnsiTheme="majorEastAsia" w:eastAsiaTheme="majorEastAsia" w:cstheme="majorEastAsia"/>
          <w:b/>
          <w:sz w:val="36"/>
          <w:szCs w:val="36"/>
          <w:highlight w:val="none"/>
        </w:rPr>
      </w:pPr>
    </w:p>
    <w:p>
      <w:pPr>
        <w:snapToGrid w:val="0"/>
        <w:spacing w:line="360" w:lineRule="auto"/>
        <w:jc w:val="center"/>
        <w:outlineLvl w:val="0"/>
        <w:rPr>
          <w:rFonts w:hint="eastAsia" w:asciiTheme="majorEastAsia" w:hAnsiTheme="majorEastAsia" w:eastAsiaTheme="majorEastAsia" w:cstheme="majorEastAsia"/>
          <w:b/>
          <w:sz w:val="36"/>
          <w:szCs w:val="36"/>
          <w:highlight w:val="none"/>
        </w:rPr>
      </w:pPr>
    </w:p>
    <w:p>
      <w:pPr>
        <w:snapToGrid w:val="0"/>
        <w:spacing w:line="360" w:lineRule="auto"/>
        <w:jc w:val="center"/>
        <w:outlineLvl w:val="0"/>
        <w:rPr>
          <w:rFonts w:hint="eastAsia" w:asciiTheme="majorEastAsia" w:hAnsiTheme="majorEastAsia" w:eastAsiaTheme="majorEastAsia" w:cstheme="majorEastAsia"/>
          <w:b/>
          <w:sz w:val="36"/>
          <w:szCs w:val="36"/>
          <w:highlight w:val="none"/>
        </w:rPr>
      </w:pPr>
    </w:p>
    <w:p>
      <w:pPr>
        <w:snapToGrid w:val="0"/>
        <w:spacing w:line="360" w:lineRule="auto"/>
        <w:jc w:val="center"/>
        <w:outlineLvl w:val="0"/>
        <w:rPr>
          <w:rFonts w:hint="eastAsia" w:asciiTheme="majorEastAsia" w:hAnsiTheme="majorEastAsia" w:eastAsiaTheme="majorEastAsia" w:cstheme="majorEastAsia"/>
          <w:b/>
          <w:sz w:val="36"/>
          <w:szCs w:val="36"/>
          <w:highlight w:val="none"/>
        </w:rPr>
      </w:pPr>
    </w:p>
    <w:p>
      <w:pPr>
        <w:snapToGrid w:val="0"/>
        <w:spacing w:line="360" w:lineRule="auto"/>
        <w:jc w:val="center"/>
        <w:outlineLvl w:val="0"/>
        <w:rPr>
          <w:rFonts w:hint="eastAsia" w:asciiTheme="majorEastAsia" w:hAnsiTheme="majorEastAsia" w:eastAsiaTheme="majorEastAsia" w:cstheme="majorEastAsia"/>
          <w:b/>
          <w:sz w:val="36"/>
          <w:szCs w:val="36"/>
          <w:highlight w:val="none"/>
        </w:rPr>
      </w:pPr>
    </w:p>
    <w:p>
      <w:pPr>
        <w:snapToGrid w:val="0"/>
        <w:spacing w:line="360" w:lineRule="auto"/>
        <w:jc w:val="center"/>
        <w:outlineLvl w:val="0"/>
        <w:rPr>
          <w:rFonts w:hint="eastAsia" w:asciiTheme="majorEastAsia" w:hAnsiTheme="majorEastAsia" w:eastAsiaTheme="majorEastAsia" w:cstheme="majorEastAsia"/>
          <w:b/>
          <w:sz w:val="36"/>
          <w:szCs w:val="36"/>
          <w:highlight w:val="none"/>
        </w:rPr>
      </w:pPr>
    </w:p>
    <w:p>
      <w:pPr>
        <w:snapToGrid w:val="0"/>
        <w:spacing w:line="360" w:lineRule="auto"/>
        <w:jc w:val="center"/>
        <w:outlineLvl w:val="0"/>
        <w:rPr>
          <w:rFonts w:hint="eastAsia" w:asciiTheme="majorEastAsia" w:hAnsiTheme="majorEastAsia" w:eastAsiaTheme="majorEastAsia" w:cstheme="majorEastAsia"/>
          <w:b/>
          <w:sz w:val="36"/>
          <w:szCs w:val="36"/>
          <w:highlight w:val="none"/>
        </w:rPr>
      </w:pPr>
    </w:p>
    <w:p>
      <w:pPr>
        <w:snapToGrid w:val="0"/>
        <w:spacing w:line="360" w:lineRule="auto"/>
        <w:jc w:val="center"/>
        <w:outlineLvl w:val="0"/>
        <w:rPr>
          <w:rFonts w:hint="eastAsia" w:asciiTheme="majorEastAsia" w:hAnsiTheme="majorEastAsia" w:eastAsiaTheme="majorEastAsia" w:cstheme="majorEastAsia"/>
          <w:b/>
          <w:sz w:val="36"/>
          <w:szCs w:val="36"/>
          <w:highlight w:val="none"/>
        </w:rPr>
      </w:pPr>
    </w:p>
    <w:p>
      <w:pPr>
        <w:snapToGrid w:val="0"/>
        <w:spacing w:line="360" w:lineRule="auto"/>
        <w:jc w:val="center"/>
        <w:outlineLvl w:val="0"/>
        <w:rPr>
          <w:rFonts w:hint="eastAsia" w:asciiTheme="majorEastAsia" w:hAnsiTheme="majorEastAsia" w:eastAsiaTheme="majorEastAsia" w:cstheme="majorEastAsia"/>
          <w:b/>
          <w:sz w:val="36"/>
          <w:szCs w:val="36"/>
          <w:highlight w:val="none"/>
        </w:rPr>
      </w:pPr>
    </w:p>
    <w:p>
      <w:pPr>
        <w:snapToGrid w:val="0"/>
        <w:spacing w:line="360" w:lineRule="auto"/>
        <w:jc w:val="center"/>
        <w:outlineLvl w:val="0"/>
        <w:rPr>
          <w:rFonts w:hint="eastAsia" w:asciiTheme="majorEastAsia" w:hAnsiTheme="majorEastAsia" w:eastAsiaTheme="majorEastAsia" w:cstheme="majorEastAsia"/>
          <w:b/>
          <w:sz w:val="36"/>
          <w:szCs w:val="36"/>
          <w:highlight w:val="none"/>
        </w:rPr>
      </w:pPr>
    </w:p>
    <w:p>
      <w:pPr>
        <w:snapToGrid w:val="0"/>
        <w:spacing w:line="360" w:lineRule="auto"/>
        <w:jc w:val="center"/>
        <w:outlineLvl w:val="0"/>
        <w:rPr>
          <w:rFonts w:hint="eastAsia" w:asciiTheme="majorEastAsia" w:hAnsiTheme="majorEastAsia" w:eastAsiaTheme="majorEastAsia" w:cstheme="majorEastAsia"/>
          <w:b/>
          <w:sz w:val="36"/>
          <w:szCs w:val="36"/>
          <w:highlight w:val="none"/>
        </w:rPr>
      </w:pPr>
    </w:p>
    <w:p>
      <w:pPr>
        <w:snapToGrid w:val="0"/>
        <w:spacing w:line="360" w:lineRule="auto"/>
        <w:jc w:val="center"/>
        <w:outlineLvl w:val="0"/>
        <w:rPr>
          <w:rFonts w:hint="eastAsia" w:asciiTheme="majorEastAsia" w:hAnsiTheme="majorEastAsia" w:eastAsiaTheme="majorEastAsia" w:cstheme="majorEastAsia"/>
          <w:b/>
          <w:sz w:val="36"/>
          <w:szCs w:val="36"/>
          <w:highlight w:val="none"/>
        </w:rPr>
      </w:pPr>
    </w:p>
    <w:p>
      <w:pPr>
        <w:snapToGrid w:val="0"/>
        <w:spacing w:line="360" w:lineRule="auto"/>
        <w:jc w:val="center"/>
        <w:outlineLvl w:val="0"/>
        <w:rPr>
          <w:rFonts w:hint="eastAsia" w:asciiTheme="majorEastAsia" w:hAnsiTheme="majorEastAsia" w:eastAsiaTheme="majorEastAsia" w:cstheme="majorEastAsia"/>
          <w:b/>
          <w:sz w:val="36"/>
          <w:szCs w:val="36"/>
          <w:highlight w:val="none"/>
        </w:rPr>
      </w:pPr>
    </w:p>
    <w:p>
      <w:pPr>
        <w:snapToGrid w:val="0"/>
        <w:spacing w:line="360" w:lineRule="auto"/>
        <w:jc w:val="center"/>
        <w:outlineLvl w:val="0"/>
        <w:rPr>
          <w:rFonts w:hint="eastAsia" w:asciiTheme="majorEastAsia" w:hAnsiTheme="majorEastAsia" w:eastAsiaTheme="majorEastAsia" w:cstheme="majorEastAsia"/>
          <w:b/>
          <w:sz w:val="36"/>
          <w:szCs w:val="36"/>
          <w:highlight w:val="none"/>
        </w:rPr>
      </w:pPr>
    </w:p>
    <w:p>
      <w:pPr>
        <w:snapToGrid w:val="0"/>
        <w:spacing w:line="360" w:lineRule="auto"/>
        <w:jc w:val="center"/>
        <w:outlineLvl w:val="0"/>
        <w:rPr>
          <w:rFonts w:hint="eastAsia" w:asciiTheme="majorEastAsia" w:hAnsiTheme="majorEastAsia" w:eastAsiaTheme="majorEastAsia" w:cstheme="majorEastAsia"/>
          <w:b/>
          <w:sz w:val="36"/>
          <w:szCs w:val="36"/>
          <w:highlight w:val="none"/>
        </w:rPr>
      </w:pPr>
    </w:p>
    <w:p>
      <w:pPr>
        <w:snapToGrid w:val="0"/>
        <w:spacing w:line="360" w:lineRule="auto"/>
        <w:jc w:val="center"/>
        <w:outlineLvl w:val="0"/>
        <w:rPr>
          <w:rFonts w:asciiTheme="majorEastAsia" w:hAnsiTheme="majorEastAsia" w:eastAsiaTheme="majorEastAsia" w:cstheme="majorEastAsia"/>
          <w:b/>
          <w:sz w:val="36"/>
          <w:szCs w:val="36"/>
          <w:highlight w:val="none"/>
        </w:rPr>
      </w:pPr>
      <w:r>
        <w:rPr>
          <w:rFonts w:hint="eastAsia" w:asciiTheme="majorEastAsia" w:hAnsiTheme="majorEastAsia" w:eastAsiaTheme="majorEastAsia" w:cstheme="majorEastAsia"/>
          <w:b/>
          <w:sz w:val="36"/>
          <w:szCs w:val="36"/>
          <w:highlight w:val="none"/>
        </w:rPr>
        <w:t>第五部分合同签订与验收付款</w:t>
      </w:r>
    </w:p>
    <w:p>
      <w:pPr>
        <w:numPr>
          <w:ilvl w:val="0"/>
          <w:numId w:val="16"/>
        </w:numPr>
        <w:snapToGrid w:val="0"/>
        <w:spacing w:line="312" w:lineRule="auto"/>
        <w:ind w:firstLine="480" w:firstLineChars="200"/>
        <w:contextualSpacing/>
        <w:rPr>
          <w:rFonts w:ascii="宋体" w:hAnsi="宋体" w:cs="宋体"/>
          <w:b/>
          <w:bCs/>
          <w:sz w:val="24"/>
          <w:highlight w:val="none"/>
        </w:rPr>
      </w:pPr>
      <w:r>
        <w:rPr>
          <w:rFonts w:hint="eastAsia" w:ascii="宋体" w:hAnsi="宋体" w:cs="宋体"/>
          <w:kern w:val="0"/>
          <w:sz w:val="24"/>
          <w:highlight w:val="none"/>
          <w:lang w:val="zh-CN"/>
        </w:rPr>
        <w:t>中标供应商凭中标通知书证明</w:t>
      </w:r>
      <w:r>
        <w:rPr>
          <w:rFonts w:hint="eastAsia" w:ascii="宋体" w:hAnsi="宋体" w:cs="宋体"/>
          <w:kern w:val="0"/>
          <w:sz w:val="24"/>
          <w:highlight w:val="none"/>
        </w:rPr>
        <w:t>于15</w:t>
      </w:r>
      <w:r>
        <w:rPr>
          <w:rFonts w:hint="eastAsia" w:ascii="宋体" w:hAnsi="宋体" w:cs="宋体"/>
          <w:kern w:val="0"/>
          <w:sz w:val="24"/>
          <w:highlight w:val="none"/>
          <w:lang w:val="zh-CN"/>
        </w:rPr>
        <w:t>日内与采购人签订</w:t>
      </w:r>
      <w:r>
        <w:rPr>
          <w:rFonts w:hint="eastAsia" w:ascii="宋体" w:hAnsi="宋体" w:cs="宋体"/>
          <w:kern w:val="0"/>
          <w:sz w:val="24"/>
          <w:highlight w:val="none"/>
        </w:rPr>
        <w:t>采购</w:t>
      </w:r>
      <w:r>
        <w:rPr>
          <w:rFonts w:hint="eastAsia" w:ascii="宋体" w:hAnsi="宋体" w:cs="宋体"/>
          <w:kern w:val="0"/>
          <w:sz w:val="24"/>
          <w:highlight w:val="none"/>
          <w:lang w:val="zh-CN"/>
        </w:rPr>
        <w:t>合同。合同一式</w:t>
      </w:r>
      <w:r>
        <w:rPr>
          <w:rFonts w:hint="eastAsia" w:ascii="宋体" w:hAnsi="宋体" w:cs="宋体"/>
          <w:kern w:val="0"/>
          <w:sz w:val="24"/>
          <w:highlight w:val="none"/>
        </w:rPr>
        <w:t>肆</w:t>
      </w:r>
      <w:r>
        <w:rPr>
          <w:rFonts w:hint="eastAsia" w:ascii="宋体" w:hAnsi="宋体" w:cs="宋体"/>
          <w:kern w:val="0"/>
          <w:sz w:val="24"/>
          <w:highlight w:val="none"/>
          <w:lang w:val="zh-CN"/>
        </w:rPr>
        <w:t>份，采购人、供应商各贰份，合同须到江苏省政府采购网进行合同公示。所签合同不得对采购文件作实质性修改。采购人不得向中标供应商提出不合理的要求作为签订合同的条件，不得与中标供应商私下订立背离采购文件实质性内容的协议。</w:t>
      </w:r>
    </w:p>
    <w:p>
      <w:pPr>
        <w:snapToGrid w:val="0"/>
        <w:spacing w:line="312" w:lineRule="auto"/>
        <w:ind w:firstLine="480" w:firstLineChars="200"/>
        <w:contextualSpacing/>
        <w:rPr>
          <w:rFonts w:ascii="宋体" w:hAnsi="宋体" w:cs="宋体"/>
          <w:kern w:val="0"/>
          <w:sz w:val="24"/>
          <w:highlight w:val="none"/>
          <w:lang w:val="zh-CN"/>
        </w:rPr>
      </w:pPr>
      <w:r>
        <w:rPr>
          <w:rFonts w:hint="eastAsia" w:ascii="宋体" w:hAnsi="宋体" w:cs="宋体"/>
          <w:kern w:val="0"/>
          <w:sz w:val="24"/>
          <w:highlight w:val="none"/>
          <w:lang w:val="zh-CN"/>
        </w:rPr>
        <w:t>二、采购人按合同约定积极配合中标供应商履约，中标供应商履约到位后，请以书面形式向采购人提出验收申请，采购人接到申请后原则上在5个工作日内及时组织相关专业技术人员，必要时邀请质检等部门共同参与验收，并出具验收报告，验收合格的原则上5个工作日内支付相应款项。</w:t>
      </w:r>
    </w:p>
    <w:p>
      <w:pPr>
        <w:snapToGrid w:val="0"/>
        <w:spacing w:line="312" w:lineRule="auto"/>
        <w:ind w:firstLine="480" w:firstLineChars="200"/>
        <w:contextualSpacing/>
        <w:rPr>
          <w:rFonts w:ascii="宋体" w:hAnsi="宋体" w:cs="宋体"/>
          <w:kern w:val="0"/>
          <w:sz w:val="24"/>
          <w:highlight w:val="none"/>
          <w:lang w:val="zh-CN"/>
        </w:rPr>
      </w:pPr>
      <w:r>
        <w:rPr>
          <w:rFonts w:hint="eastAsia" w:ascii="宋体" w:hAnsi="宋体" w:cs="宋体"/>
          <w:kern w:val="0"/>
          <w:sz w:val="24"/>
          <w:highlight w:val="none"/>
          <w:lang w:val="zh-CN"/>
        </w:rPr>
        <w:t>三、采购人故意推迟项目验收时间的，与中标供应商串通或要求中标供应商通过减少货物数量或降低服务标准的，在履行合同中采取更改配置、调换物品等手段的，要求中标供应商出具虚假发票或任意更改销售发票的，谋取不正当利益的，承担相应的法律责任。</w:t>
      </w:r>
    </w:p>
    <w:p>
      <w:pPr>
        <w:snapToGrid w:val="0"/>
        <w:spacing w:line="312" w:lineRule="auto"/>
        <w:ind w:firstLine="480" w:firstLineChars="200"/>
        <w:contextualSpacing/>
        <w:rPr>
          <w:rFonts w:ascii="宋体" w:hAnsi="宋体" w:cs="宋体"/>
          <w:kern w:val="0"/>
          <w:sz w:val="24"/>
          <w:highlight w:val="none"/>
          <w:lang w:val="zh-CN"/>
        </w:rPr>
      </w:pPr>
      <w:r>
        <w:rPr>
          <w:rFonts w:hint="eastAsia" w:ascii="宋体" w:hAnsi="宋体" w:cs="宋体"/>
          <w:kern w:val="0"/>
          <w:sz w:val="24"/>
          <w:highlight w:val="none"/>
          <w:lang w:val="zh-CN"/>
        </w:rPr>
        <w:t>四、中标供应商出现违约情形，应当及时纠正或补偿；造成损失的，按合同约定追究违约责任；发现有假冒、伪劣、走私产品、商业贿赂等违法情形的，应由采购人移交工商、质监、公安等行政执法部门依法查处。</w:t>
      </w:r>
    </w:p>
    <w:p>
      <w:pPr>
        <w:snapToGrid w:val="0"/>
        <w:spacing w:line="312" w:lineRule="auto"/>
        <w:ind w:firstLine="480" w:firstLineChars="200"/>
        <w:contextualSpacing/>
        <w:rPr>
          <w:rFonts w:hint="eastAsia" w:ascii="宋体" w:hAnsi="宋体" w:cs="宋体"/>
          <w:kern w:val="0"/>
          <w:sz w:val="24"/>
          <w:highlight w:val="none"/>
          <w:lang w:val="zh-CN"/>
        </w:rPr>
      </w:pPr>
      <w:r>
        <w:rPr>
          <w:rFonts w:hint="eastAsia" w:ascii="宋体" w:hAnsi="宋体" w:cs="宋体"/>
          <w:kern w:val="0"/>
          <w:sz w:val="24"/>
          <w:highlight w:val="none"/>
          <w:lang w:val="zh-CN"/>
        </w:rPr>
        <w:t>五、不响应付款方式的，视同响应文件无效，按无效响应文件处理。</w:t>
      </w:r>
    </w:p>
    <w:p>
      <w:pPr>
        <w:snapToGrid w:val="0"/>
        <w:spacing w:line="312" w:lineRule="auto"/>
        <w:ind w:firstLine="480" w:firstLineChars="200"/>
        <w:contextualSpacing/>
        <w:rPr>
          <w:rFonts w:hint="eastAsia" w:ascii="宋体" w:hAnsi="宋体" w:cs="宋体"/>
          <w:kern w:val="0"/>
          <w:sz w:val="24"/>
          <w:highlight w:val="none"/>
          <w:lang w:val="zh-CN"/>
        </w:rPr>
      </w:pPr>
      <w:r>
        <w:rPr>
          <w:rFonts w:hint="eastAsia" w:ascii="宋体" w:hAnsi="宋体" w:cs="宋体"/>
          <w:kern w:val="0"/>
          <w:sz w:val="24"/>
          <w:highlight w:val="none"/>
          <w:lang w:val="zh-CN"/>
        </w:rPr>
        <w:t>六、付款方式详见招标文件第三部分，以上项目款的支付不计息。</w:t>
      </w:r>
    </w:p>
    <w:p>
      <w:pPr>
        <w:snapToGrid w:val="0"/>
        <w:spacing w:line="312" w:lineRule="auto"/>
        <w:ind w:firstLine="480" w:firstLineChars="200"/>
        <w:contextualSpacing/>
        <w:rPr>
          <w:rFonts w:hint="eastAsia" w:ascii="宋体" w:hAnsi="宋体" w:cs="宋体"/>
          <w:kern w:val="0"/>
          <w:sz w:val="24"/>
          <w:highlight w:val="none"/>
          <w:lang w:val="en-US" w:eastAsia="zh-CN"/>
        </w:rPr>
      </w:pPr>
      <w:r>
        <w:rPr>
          <w:rFonts w:hint="eastAsia" w:ascii="宋体" w:hAnsi="宋体" w:cs="宋体"/>
          <w:kern w:val="0"/>
          <w:sz w:val="24"/>
          <w:highlight w:val="none"/>
          <w:lang w:val="en-US" w:eastAsia="zh-CN"/>
        </w:rPr>
        <w:t>七、合同主要条款：</w:t>
      </w:r>
    </w:p>
    <w:p>
      <w:pPr>
        <w:pStyle w:val="29"/>
        <w:keepNext w:val="0"/>
        <w:keepLines w:val="0"/>
        <w:pageBreakBefore w:val="0"/>
        <w:tabs>
          <w:tab w:val="right" w:leader="dot" w:pos="8302"/>
        </w:tabs>
        <w:kinsoku/>
        <w:wordWrap/>
        <w:overflowPunct/>
        <w:autoSpaceDE/>
        <w:autoSpaceDN/>
        <w:bidi w:val="0"/>
        <w:spacing w:after="312" w:afterLines="100" w:line="360" w:lineRule="exact"/>
        <w:jc w:val="center"/>
        <w:textAlignment w:val="auto"/>
        <w:rPr>
          <w:rStyle w:val="44"/>
          <w:rFonts w:hint="eastAsia" w:ascii="黑体" w:hAnsi="黑体" w:eastAsia="黑体" w:cs="宋体"/>
          <w:sz w:val="32"/>
          <w:szCs w:val="32"/>
          <w:highlight w:val="none"/>
          <w:lang w:val="en-US" w:eastAsia="zh-CN"/>
        </w:rPr>
      </w:pPr>
    </w:p>
    <w:p>
      <w:pPr>
        <w:pStyle w:val="29"/>
        <w:keepNext w:val="0"/>
        <w:keepLines w:val="0"/>
        <w:pageBreakBefore w:val="0"/>
        <w:tabs>
          <w:tab w:val="right" w:leader="dot" w:pos="8302"/>
        </w:tabs>
        <w:kinsoku/>
        <w:wordWrap/>
        <w:overflowPunct/>
        <w:autoSpaceDE/>
        <w:autoSpaceDN/>
        <w:bidi w:val="0"/>
        <w:spacing w:after="312" w:afterLines="100" w:line="360" w:lineRule="exact"/>
        <w:jc w:val="center"/>
        <w:textAlignment w:val="auto"/>
        <w:rPr>
          <w:rStyle w:val="44"/>
          <w:rFonts w:hint="eastAsia" w:ascii="黑体" w:hAnsi="黑体" w:eastAsia="黑体" w:cs="宋体"/>
          <w:sz w:val="32"/>
          <w:szCs w:val="32"/>
          <w:highlight w:val="none"/>
          <w:lang w:val="en-US" w:eastAsia="zh-CN"/>
        </w:rPr>
      </w:pPr>
    </w:p>
    <w:p>
      <w:pPr>
        <w:pStyle w:val="29"/>
        <w:keepNext w:val="0"/>
        <w:keepLines w:val="0"/>
        <w:pageBreakBefore w:val="0"/>
        <w:tabs>
          <w:tab w:val="right" w:leader="dot" w:pos="8302"/>
        </w:tabs>
        <w:kinsoku/>
        <w:wordWrap/>
        <w:overflowPunct/>
        <w:autoSpaceDE/>
        <w:autoSpaceDN/>
        <w:bidi w:val="0"/>
        <w:spacing w:after="312" w:afterLines="100" w:line="360" w:lineRule="exact"/>
        <w:jc w:val="center"/>
        <w:textAlignment w:val="auto"/>
        <w:rPr>
          <w:rStyle w:val="44"/>
          <w:rFonts w:hint="eastAsia" w:ascii="黑体" w:hAnsi="黑体" w:eastAsia="黑体" w:cs="宋体"/>
          <w:sz w:val="32"/>
          <w:szCs w:val="32"/>
          <w:highlight w:val="none"/>
          <w:lang w:val="en-US" w:eastAsia="zh-CN"/>
        </w:rPr>
      </w:pPr>
    </w:p>
    <w:p>
      <w:pPr>
        <w:pStyle w:val="29"/>
        <w:keepNext w:val="0"/>
        <w:keepLines w:val="0"/>
        <w:pageBreakBefore w:val="0"/>
        <w:tabs>
          <w:tab w:val="right" w:leader="dot" w:pos="8302"/>
        </w:tabs>
        <w:kinsoku/>
        <w:wordWrap/>
        <w:overflowPunct/>
        <w:autoSpaceDE/>
        <w:autoSpaceDN/>
        <w:bidi w:val="0"/>
        <w:spacing w:after="312" w:afterLines="100" w:line="360" w:lineRule="exact"/>
        <w:jc w:val="center"/>
        <w:textAlignment w:val="auto"/>
        <w:rPr>
          <w:rStyle w:val="44"/>
          <w:rFonts w:hint="eastAsia" w:ascii="黑体" w:hAnsi="黑体" w:eastAsia="黑体" w:cs="宋体"/>
          <w:sz w:val="32"/>
          <w:szCs w:val="32"/>
          <w:highlight w:val="none"/>
          <w:lang w:val="en-US" w:eastAsia="zh-CN"/>
        </w:rPr>
      </w:pPr>
    </w:p>
    <w:p>
      <w:pPr>
        <w:pStyle w:val="29"/>
        <w:keepNext w:val="0"/>
        <w:keepLines w:val="0"/>
        <w:pageBreakBefore w:val="0"/>
        <w:tabs>
          <w:tab w:val="right" w:leader="dot" w:pos="8302"/>
        </w:tabs>
        <w:kinsoku/>
        <w:wordWrap/>
        <w:overflowPunct/>
        <w:autoSpaceDE/>
        <w:autoSpaceDN/>
        <w:bidi w:val="0"/>
        <w:spacing w:after="312" w:afterLines="100" w:line="360" w:lineRule="exact"/>
        <w:jc w:val="center"/>
        <w:textAlignment w:val="auto"/>
        <w:rPr>
          <w:rStyle w:val="44"/>
          <w:rFonts w:hint="eastAsia" w:ascii="黑体" w:hAnsi="黑体" w:eastAsia="黑体" w:cs="宋体"/>
          <w:sz w:val="32"/>
          <w:szCs w:val="32"/>
          <w:highlight w:val="none"/>
          <w:lang w:val="en-US" w:eastAsia="zh-CN"/>
        </w:rPr>
      </w:pPr>
    </w:p>
    <w:p>
      <w:pPr>
        <w:pStyle w:val="29"/>
        <w:keepNext w:val="0"/>
        <w:keepLines w:val="0"/>
        <w:pageBreakBefore w:val="0"/>
        <w:tabs>
          <w:tab w:val="right" w:leader="dot" w:pos="8302"/>
        </w:tabs>
        <w:kinsoku/>
        <w:wordWrap/>
        <w:overflowPunct/>
        <w:autoSpaceDE/>
        <w:autoSpaceDN/>
        <w:bidi w:val="0"/>
        <w:spacing w:after="312" w:afterLines="100" w:line="360" w:lineRule="exact"/>
        <w:jc w:val="center"/>
        <w:textAlignment w:val="auto"/>
        <w:rPr>
          <w:rStyle w:val="44"/>
          <w:rFonts w:hint="eastAsia" w:ascii="黑体" w:hAnsi="黑体" w:eastAsia="黑体" w:cs="宋体"/>
          <w:sz w:val="32"/>
          <w:szCs w:val="32"/>
          <w:highlight w:val="none"/>
          <w:lang w:val="en-US" w:eastAsia="zh-CN"/>
        </w:rPr>
      </w:pPr>
    </w:p>
    <w:p>
      <w:pPr>
        <w:pStyle w:val="29"/>
        <w:keepNext w:val="0"/>
        <w:keepLines w:val="0"/>
        <w:pageBreakBefore w:val="0"/>
        <w:tabs>
          <w:tab w:val="right" w:leader="dot" w:pos="8302"/>
        </w:tabs>
        <w:kinsoku/>
        <w:wordWrap/>
        <w:overflowPunct/>
        <w:autoSpaceDE/>
        <w:autoSpaceDN/>
        <w:bidi w:val="0"/>
        <w:spacing w:after="312" w:afterLines="100" w:line="360" w:lineRule="exact"/>
        <w:jc w:val="center"/>
        <w:textAlignment w:val="auto"/>
        <w:rPr>
          <w:rStyle w:val="44"/>
          <w:rFonts w:hint="eastAsia" w:ascii="黑体" w:hAnsi="黑体" w:eastAsia="黑体" w:cs="宋体"/>
          <w:sz w:val="32"/>
          <w:szCs w:val="32"/>
          <w:highlight w:val="none"/>
          <w:lang w:val="en-US" w:eastAsia="zh-CN"/>
        </w:rPr>
      </w:pPr>
    </w:p>
    <w:p>
      <w:pPr>
        <w:pStyle w:val="29"/>
        <w:keepNext w:val="0"/>
        <w:keepLines w:val="0"/>
        <w:pageBreakBefore w:val="0"/>
        <w:tabs>
          <w:tab w:val="right" w:leader="dot" w:pos="8302"/>
        </w:tabs>
        <w:kinsoku/>
        <w:wordWrap/>
        <w:overflowPunct/>
        <w:autoSpaceDE/>
        <w:autoSpaceDN/>
        <w:bidi w:val="0"/>
        <w:spacing w:after="312" w:afterLines="100" w:line="360" w:lineRule="exact"/>
        <w:jc w:val="center"/>
        <w:textAlignment w:val="auto"/>
        <w:rPr>
          <w:rStyle w:val="44"/>
          <w:rFonts w:hint="eastAsia" w:ascii="黑体" w:hAnsi="黑体" w:eastAsia="黑体" w:cs="宋体"/>
          <w:sz w:val="32"/>
          <w:szCs w:val="32"/>
          <w:highlight w:val="none"/>
          <w:lang w:val="en-US" w:eastAsia="zh-CN"/>
        </w:rPr>
      </w:pPr>
    </w:p>
    <w:p>
      <w:pPr>
        <w:pStyle w:val="29"/>
        <w:keepNext w:val="0"/>
        <w:keepLines w:val="0"/>
        <w:pageBreakBefore w:val="0"/>
        <w:tabs>
          <w:tab w:val="right" w:leader="dot" w:pos="8302"/>
        </w:tabs>
        <w:kinsoku/>
        <w:wordWrap/>
        <w:overflowPunct/>
        <w:autoSpaceDE/>
        <w:autoSpaceDN/>
        <w:bidi w:val="0"/>
        <w:spacing w:after="312" w:afterLines="100" w:line="360" w:lineRule="exact"/>
        <w:jc w:val="center"/>
        <w:textAlignment w:val="auto"/>
        <w:rPr>
          <w:rStyle w:val="44"/>
          <w:rFonts w:hint="eastAsia" w:ascii="黑体" w:hAnsi="黑体" w:eastAsia="黑体" w:cs="宋体"/>
          <w:sz w:val="32"/>
          <w:szCs w:val="32"/>
          <w:highlight w:val="none"/>
          <w:lang w:val="en-US" w:eastAsia="zh-CN"/>
        </w:rPr>
      </w:pPr>
    </w:p>
    <w:p>
      <w:pPr>
        <w:pStyle w:val="29"/>
        <w:keepNext w:val="0"/>
        <w:keepLines w:val="0"/>
        <w:pageBreakBefore w:val="0"/>
        <w:tabs>
          <w:tab w:val="right" w:leader="dot" w:pos="8302"/>
        </w:tabs>
        <w:kinsoku/>
        <w:wordWrap/>
        <w:overflowPunct/>
        <w:autoSpaceDE/>
        <w:autoSpaceDN/>
        <w:bidi w:val="0"/>
        <w:spacing w:after="312" w:afterLines="100" w:line="360" w:lineRule="exact"/>
        <w:jc w:val="center"/>
        <w:textAlignment w:val="auto"/>
        <w:rPr>
          <w:rStyle w:val="44"/>
          <w:rFonts w:hint="default" w:ascii="黑体" w:hAnsi="黑体" w:eastAsia="黑体" w:cs="宋体"/>
          <w:sz w:val="32"/>
          <w:szCs w:val="32"/>
          <w:highlight w:val="none"/>
          <w:lang w:val="en-US" w:eastAsia="zh-CN"/>
        </w:rPr>
      </w:pPr>
      <w:r>
        <w:rPr>
          <w:rStyle w:val="44"/>
          <w:rFonts w:hint="eastAsia" w:ascii="黑体" w:hAnsi="黑体" w:eastAsia="黑体" w:cs="宋体"/>
          <w:sz w:val="32"/>
          <w:szCs w:val="32"/>
          <w:highlight w:val="none"/>
          <w:lang w:val="en-US" w:eastAsia="zh-CN"/>
        </w:rPr>
        <w:t>合同主要条款</w:t>
      </w:r>
    </w:p>
    <w:p>
      <w:pPr>
        <w:pStyle w:val="22"/>
        <w:keepNext w:val="0"/>
        <w:keepLines w:val="0"/>
        <w:pageBreakBefore w:val="0"/>
        <w:kinsoku/>
        <w:wordWrap/>
        <w:overflowPunct/>
        <w:autoSpaceDE/>
        <w:autoSpaceDN/>
        <w:bidi w:val="0"/>
        <w:spacing w:line="360" w:lineRule="exact"/>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甲方:                                   合同编号</w:t>
      </w:r>
      <w:r>
        <w:rPr>
          <w:rFonts w:hint="eastAsia" w:asciiTheme="minorEastAsia" w:hAnsiTheme="minorEastAsia" w:eastAsiaTheme="minorEastAsia" w:cstheme="minorEastAsia"/>
          <w:b/>
          <w:sz w:val="21"/>
          <w:szCs w:val="21"/>
          <w:highlight w:val="none"/>
        </w:rPr>
        <w:t>：</w:t>
      </w:r>
    </w:p>
    <w:p>
      <w:pPr>
        <w:pStyle w:val="22"/>
        <w:keepNext w:val="0"/>
        <w:keepLines w:val="0"/>
        <w:pageBreakBefore w:val="0"/>
        <w:kinsoku/>
        <w:wordWrap/>
        <w:overflowPunct/>
        <w:autoSpaceDE/>
        <w:autoSpaceDN/>
        <w:bidi w:val="0"/>
        <w:spacing w:line="360" w:lineRule="exact"/>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乙方:                                   签订地点：</w:t>
      </w:r>
    </w:p>
    <w:p>
      <w:pPr>
        <w:pStyle w:val="22"/>
        <w:keepNext w:val="0"/>
        <w:keepLines w:val="0"/>
        <w:pageBreakBefore w:val="0"/>
        <w:kinsoku/>
        <w:wordWrap/>
        <w:overflowPunct/>
        <w:autoSpaceDE/>
        <w:autoSpaceDN/>
        <w:bidi w:val="0"/>
        <w:spacing w:line="360" w:lineRule="exact"/>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合同时间: 20   年    月    日</w:t>
      </w:r>
    </w:p>
    <w:p>
      <w:pPr>
        <w:keepNext w:val="0"/>
        <w:keepLines w:val="0"/>
        <w:pageBreakBefore w:val="0"/>
        <w:kinsoku/>
        <w:wordWrap/>
        <w:overflowPunct/>
        <w:autoSpaceDE/>
        <w:autoSpaceDN/>
        <w:bidi w:val="0"/>
        <w:spacing w:line="360" w:lineRule="exact"/>
        <w:ind w:firstLine="420" w:firstLineChars="200"/>
        <w:textAlignment w:val="auto"/>
        <w:rPr>
          <w:rFonts w:hint="eastAsia" w:asciiTheme="minorEastAsia" w:hAnsiTheme="minorEastAsia" w:eastAsiaTheme="minorEastAsia" w:cstheme="minorEastAsia"/>
          <w:sz w:val="21"/>
          <w:szCs w:val="21"/>
          <w:highlight w:val="none"/>
        </w:rPr>
      </w:pPr>
    </w:p>
    <w:p>
      <w:pPr>
        <w:pStyle w:val="19"/>
        <w:keepNext w:val="0"/>
        <w:keepLines w:val="0"/>
        <w:pageBreakBefore w:val="0"/>
        <w:widowControl w:val="0"/>
        <w:kinsoku/>
        <w:wordWrap/>
        <w:overflowPunct/>
        <w:topLinePunct w:val="0"/>
        <w:autoSpaceDE/>
        <w:autoSpaceDN/>
        <w:bidi w:val="0"/>
        <w:adjustRightInd/>
        <w:snapToGrid/>
        <w:spacing w:line="360" w:lineRule="exact"/>
        <w:ind w:firstLine="420" w:firstLineChars="200"/>
        <w:textAlignment w:val="auto"/>
        <w:rPr>
          <w:rFonts w:hint="eastAsia"/>
          <w:highlight w:val="none"/>
        </w:rPr>
      </w:pPr>
      <w:r>
        <w:rPr>
          <w:rFonts w:hint="eastAsia" w:asciiTheme="minorEastAsia" w:hAnsiTheme="minorEastAsia" w:eastAsiaTheme="minorEastAsia" w:cstheme="minorEastAsia"/>
          <w:bCs/>
          <w:sz w:val="21"/>
          <w:szCs w:val="21"/>
          <w:highlight w:val="none"/>
        </w:rPr>
        <w:t>根据2022年南通市“智改数转”诊断服务项目</w:t>
      </w:r>
      <w:r>
        <w:rPr>
          <w:rFonts w:hint="eastAsia" w:asciiTheme="minorEastAsia" w:hAnsiTheme="minorEastAsia" w:eastAsiaTheme="minorEastAsia" w:cstheme="minorEastAsia"/>
          <w:bCs/>
          <w:sz w:val="21"/>
          <w:szCs w:val="21"/>
          <w:highlight w:val="none"/>
          <w:lang w:val="en-US" w:eastAsia="zh-CN"/>
        </w:rPr>
        <w:t>政府</w:t>
      </w:r>
      <w:r>
        <w:rPr>
          <w:rFonts w:hint="eastAsia" w:asciiTheme="minorEastAsia" w:hAnsiTheme="minorEastAsia" w:eastAsiaTheme="minorEastAsia" w:cstheme="minorEastAsia"/>
          <w:bCs/>
          <w:sz w:val="21"/>
          <w:szCs w:val="21"/>
          <w:highlight w:val="none"/>
        </w:rPr>
        <w:t>采购</w:t>
      </w:r>
      <w:r>
        <w:rPr>
          <w:rFonts w:hint="eastAsia" w:asciiTheme="minorEastAsia" w:hAnsiTheme="minorEastAsia" w:eastAsiaTheme="minorEastAsia" w:cstheme="minorEastAsia"/>
          <w:bCs/>
          <w:sz w:val="21"/>
          <w:szCs w:val="21"/>
          <w:highlight w:val="none"/>
          <w:lang w:val="en-US" w:eastAsia="zh-CN"/>
        </w:rPr>
        <w:t>的成交</w:t>
      </w:r>
      <w:r>
        <w:rPr>
          <w:rFonts w:hint="eastAsia" w:asciiTheme="minorEastAsia" w:hAnsiTheme="minorEastAsia" w:eastAsiaTheme="minorEastAsia" w:cstheme="minorEastAsia"/>
          <w:bCs/>
          <w:sz w:val="21"/>
          <w:szCs w:val="21"/>
          <w:highlight w:val="none"/>
        </w:rPr>
        <w:t>结果，</w:t>
      </w:r>
      <w:r>
        <w:rPr>
          <w:rFonts w:hint="eastAsia" w:asciiTheme="minorEastAsia" w:hAnsiTheme="minorEastAsia" w:eastAsiaTheme="minorEastAsia" w:cstheme="minorEastAsia"/>
          <w:bCs/>
          <w:sz w:val="21"/>
          <w:szCs w:val="21"/>
          <w:highlight w:val="none"/>
          <w:lang w:val="en-US" w:eastAsia="zh-CN"/>
        </w:rPr>
        <w:t>甲</w:t>
      </w:r>
      <w:r>
        <w:rPr>
          <w:rFonts w:hint="eastAsia" w:asciiTheme="minorEastAsia" w:hAnsiTheme="minorEastAsia" w:eastAsiaTheme="minorEastAsia" w:cstheme="minorEastAsia"/>
          <w:bCs/>
          <w:sz w:val="21"/>
          <w:szCs w:val="21"/>
          <w:highlight w:val="none"/>
        </w:rPr>
        <w:t>、乙</w:t>
      </w:r>
      <w:r>
        <w:rPr>
          <w:rFonts w:hint="eastAsia" w:asciiTheme="minorEastAsia" w:hAnsiTheme="minorEastAsia" w:eastAsiaTheme="minorEastAsia" w:cstheme="minorEastAsia"/>
          <w:bCs/>
          <w:sz w:val="21"/>
          <w:szCs w:val="21"/>
          <w:highlight w:val="none"/>
          <w:lang w:val="en-US" w:eastAsia="zh-CN"/>
        </w:rPr>
        <w:t>双</w:t>
      </w:r>
      <w:r>
        <w:rPr>
          <w:rFonts w:hint="eastAsia" w:asciiTheme="minorEastAsia" w:hAnsiTheme="minorEastAsia" w:eastAsiaTheme="minorEastAsia" w:cstheme="minorEastAsia"/>
          <w:bCs/>
          <w:sz w:val="21"/>
          <w:szCs w:val="21"/>
          <w:highlight w:val="none"/>
        </w:rPr>
        <w:t>方就乙方中标的项目，本着平等互利的原则，通过共同协商，根据《中华人民共和国民法典》、《中华人民共和国政府采购法》及有关法律法规，就相关事宜达成如下合同。</w:t>
      </w:r>
    </w:p>
    <w:p>
      <w:pPr>
        <w:keepNext w:val="0"/>
        <w:keepLines w:val="0"/>
        <w:pageBreakBefore w:val="0"/>
        <w:numPr>
          <w:ilvl w:val="0"/>
          <w:numId w:val="17"/>
        </w:numPr>
        <w:tabs>
          <w:tab w:val="left" w:pos="540"/>
          <w:tab w:val="clear" w:pos="425"/>
        </w:tabs>
        <w:kinsoku/>
        <w:wordWrap/>
        <w:overflowPunct/>
        <w:autoSpaceDE/>
        <w:autoSpaceDN/>
        <w:bidi w:val="0"/>
        <w:spacing w:line="360" w:lineRule="exact"/>
        <w:ind w:left="540" w:hanging="540"/>
        <w:textAlignment w:val="auto"/>
        <w:rPr>
          <w:rFonts w:hint="eastAsia" w:asciiTheme="minorEastAsia" w:hAnsiTheme="minorEastAsia" w:eastAsiaTheme="minorEastAsia" w:cstheme="minorEastAsia"/>
          <w:b/>
          <w:sz w:val="21"/>
          <w:szCs w:val="21"/>
          <w:highlight w:val="none"/>
        </w:rPr>
      </w:pPr>
      <w:r>
        <w:rPr>
          <w:rFonts w:hint="eastAsia" w:asciiTheme="minorEastAsia" w:hAnsiTheme="minorEastAsia" w:eastAsiaTheme="minorEastAsia" w:cstheme="minorEastAsia"/>
          <w:b/>
          <w:sz w:val="21"/>
          <w:szCs w:val="21"/>
          <w:highlight w:val="none"/>
        </w:rPr>
        <w:t>合同价格</w:t>
      </w:r>
    </w:p>
    <w:p>
      <w:pPr>
        <w:keepNext w:val="0"/>
        <w:keepLines w:val="0"/>
        <w:pageBreakBefore w:val="0"/>
        <w:numPr>
          <w:ilvl w:val="1"/>
          <w:numId w:val="17"/>
        </w:numPr>
        <w:tabs>
          <w:tab w:val="left" w:pos="540"/>
          <w:tab w:val="clear" w:pos="567"/>
        </w:tabs>
        <w:kinsoku/>
        <w:wordWrap/>
        <w:overflowPunct/>
        <w:autoSpaceDE/>
        <w:autoSpaceDN/>
        <w:bidi w:val="0"/>
        <w:spacing w:line="360" w:lineRule="exact"/>
        <w:ind w:left="540" w:hanging="540"/>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合同金额</w:t>
      </w:r>
      <w:r>
        <w:rPr>
          <w:rFonts w:hint="eastAsia" w:asciiTheme="minorEastAsia" w:hAnsiTheme="minorEastAsia" w:eastAsiaTheme="minorEastAsia" w:cstheme="minorEastAsia"/>
          <w:sz w:val="21"/>
          <w:szCs w:val="21"/>
          <w:highlight w:val="none"/>
          <w:u w:val="single"/>
        </w:rPr>
        <w:t>：          ，</w:t>
      </w:r>
      <w:r>
        <w:rPr>
          <w:rFonts w:hint="eastAsia" w:asciiTheme="minorEastAsia" w:hAnsiTheme="minorEastAsia" w:eastAsiaTheme="minorEastAsia" w:cstheme="minorEastAsia"/>
          <w:sz w:val="21"/>
          <w:szCs w:val="21"/>
          <w:highlight w:val="none"/>
        </w:rPr>
        <w:t>最终按实际诊断量结算，</w:t>
      </w:r>
      <w:r>
        <w:rPr>
          <w:rFonts w:hint="eastAsia" w:asciiTheme="minorEastAsia" w:hAnsiTheme="minorEastAsia" w:eastAsiaTheme="minorEastAsia" w:cstheme="minorEastAsia"/>
          <w:bCs/>
          <w:sz w:val="21"/>
          <w:szCs w:val="21"/>
          <w:highlight w:val="none"/>
        </w:rPr>
        <w:t>诊断服务单价为</w:t>
      </w:r>
      <w:r>
        <w:rPr>
          <w:rFonts w:hint="eastAsia" w:asciiTheme="minorEastAsia" w:hAnsiTheme="minorEastAsia" w:eastAsiaTheme="minorEastAsia" w:cstheme="minorEastAsia"/>
          <w:bCs/>
          <w:sz w:val="21"/>
          <w:szCs w:val="21"/>
          <w:highlight w:val="none"/>
          <w:u w:val="single"/>
        </w:rPr>
        <w:t xml:space="preserve">          ，</w:t>
      </w:r>
      <w:r>
        <w:rPr>
          <w:rFonts w:hint="eastAsia" w:asciiTheme="minorEastAsia" w:hAnsiTheme="minorEastAsia" w:eastAsiaTheme="minorEastAsia" w:cstheme="minorEastAsia"/>
          <w:bCs/>
          <w:sz w:val="21"/>
          <w:szCs w:val="21"/>
          <w:highlight w:val="none"/>
        </w:rPr>
        <w:t>累计最高不得超过合同价格，</w:t>
      </w:r>
      <w:r>
        <w:rPr>
          <w:rFonts w:hint="eastAsia" w:asciiTheme="minorEastAsia" w:hAnsiTheme="minorEastAsia" w:eastAsiaTheme="minorEastAsia" w:cstheme="minorEastAsia"/>
          <w:sz w:val="21"/>
          <w:szCs w:val="21"/>
          <w:highlight w:val="none"/>
        </w:rPr>
        <w:t>该合同价格</w:t>
      </w:r>
      <w:r>
        <w:rPr>
          <w:rFonts w:hint="eastAsia" w:asciiTheme="minorEastAsia" w:hAnsiTheme="minorEastAsia" w:eastAsiaTheme="minorEastAsia" w:cstheme="minorEastAsia"/>
          <w:bCs/>
          <w:sz w:val="21"/>
          <w:szCs w:val="21"/>
          <w:highlight w:val="none"/>
        </w:rPr>
        <w:t>应包括</w:t>
      </w:r>
      <w:r>
        <w:rPr>
          <w:rFonts w:hint="eastAsia" w:asciiTheme="minorEastAsia" w:hAnsiTheme="minorEastAsia" w:eastAsiaTheme="minorEastAsia" w:cstheme="minorEastAsia"/>
          <w:sz w:val="21"/>
          <w:szCs w:val="21"/>
          <w:highlight w:val="none"/>
        </w:rPr>
        <w:t>社会调查、前期现场勘察、方案设计、方案优化为完成上述设计内容所必须的设施、材料、技术、劳务、交通、差旅、咨询、会务、报告编制、研究、管理、利润、税金、专家评审、行政主管部门咨询、评审手续等为完成本项目所需的全部费用；相关伴随服务以及质保期、售后服务等一切费用</w:t>
      </w:r>
      <w:r>
        <w:rPr>
          <w:rFonts w:hint="eastAsia" w:asciiTheme="minorEastAsia" w:hAnsiTheme="minorEastAsia" w:eastAsiaTheme="minorEastAsia" w:cstheme="minorEastAsia"/>
          <w:sz w:val="21"/>
          <w:szCs w:val="21"/>
          <w:highlight w:val="none"/>
          <w:lang w:eastAsia="zh-CN"/>
        </w:rPr>
        <w:t>。</w:t>
      </w:r>
    </w:p>
    <w:p>
      <w:pPr>
        <w:keepNext w:val="0"/>
        <w:keepLines w:val="0"/>
        <w:pageBreakBefore w:val="0"/>
        <w:numPr>
          <w:ilvl w:val="1"/>
          <w:numId w:val="17"/>
        </w:numPr>
        <w:tabs>
          <w:tab w:val="left" w:pos="540"/>
          <w:tab w:val="clear" w:pos="567"/>
        </w:tabs>
        <w:kinsoku/>
        <w:wordWrap/>
        <w:overflowPunct/>
        <w:autoSpaceDE/>
        <w:autoSpaceDN/>
        <w:bidi w:val="0"/>
        <w:spacing w:line="360" w:lineRule="exact"/>
        <w:ind w:left="540" w:hanging="540"/>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根据现行税法对甲方征收的与本合同有关的一切税费均由甲方承担；根据现行税法对乙方征收的与本合同有关的一切税费均由乙方承担。</w:t>
      </w:r>
    </w:p>
    <w:p>
      <w:pPr>
        <w:keepNext w:val="0"/>
        <w:keepLines w:val="0"/>
        <w:pageBreakBefore w:val="0"/>
        <w:numPr>
          <w:ilvl w:val="0"/>
          <w:numId w:val="17"/>
        </w:numPr>
        <w:tabs>
          <w:tab w:val="left" w:pos="540"/>
          <w:tab w:val="clear" w:pos="425"/>
        </w:tabs>
        <w:kinsoku/>
        <w:wordWrap/>
        <w:overflowPunct/>
        <w:autoSpaceDE/>
        <w:autoSpaceDN/>
        <w:bidi w:val="0"/>
        <w:spacing w:line="360" w:lineRule="exact"/>
        <w:ind w:left="540" w:hanging="540"/>
        <w:textAlignment w:val="auto"/>
        <w:rPr>
          <w:rFonts w:hint="eastAsia" w:asciiTheme="minorEastAsia" w:hAnsiTheme="minorEastAsia" w:eastAsiaTheme="minorEastAsia" w:cstheme="minorEastAsia"/>
          <w:b/>
          <w:sz w:val="21"/>
          <w:szCs w:val="21"/>
          <w:highlight w:val="none"/>
        </w:rPr>
      </w:pPr>
      <w:r>
        <w:rPr>
          <w:rFonts w:hint="eastAsia" w:asciiTheme="minorEastAsia" w:hAnsiTheme="minorEastAsia" w:eastAsiaTheme="minorEastAsia" w:cstheme="minorEastAsia"/>
          <w:b/>
          <w:sz w:val="21"/>
          <w:szCs w:val="21"/>
          <w:highlight w:val="none"/>
        </w:rPr>
        <w:t>服务范围</w:t>
      </w:r>
    </w:p>
    <w:p>
      <w:pPr>
        <w:keepNext w:val="0"/>
        <w:keepLines w:val="0"/>
        <w:pageBreakBefore w:val="0"/>
        <w:numPr>
          <w:ilvl w:val="0"/>
          <w:numId w:val="0"/>
        </w:numPr>
        <w:tabs>
          <w:tab w:val="left" w:pos="540"/>
        </w:tabs>
        <w:kinsoku/>
        <w:wordWrap/>
        <w:overflowPunct/>
        <w:autoSpaceDE/>
        <w:autoSpaceDN/>
        <w:bidi w:val="0"/>
        <w:spacing w:line="360" w:lineRule="exact"/>
        <w:ind w:firstLine="420" w:firstLineChars="200"/>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甲方聘请乙方提供以下服务：</w:t>
      </w:r>
    </w:p>
    <w:p>
      <w:pPr>
        <w:keepNext w:val="0"/>
        <w:keepLines w:val="0"/>
        <w:pageBreakBefore w:val="0"/>
        <w:numPr>
          <w:ilvl w:val="0"/>
          <w:numId w:val="0"/>
        </w:numPr>
        <w:tabs>
          <w:tab w:val="left" w:pos="567"/>
        </w:tabs>
        <w:kinsoku/>
        <w:wordWrap/>
        <w:overflowPunct/>
        <w:autoSpaceDE/>
        <w:autoSpaceDN/>
        <w:bidi w:val="0"/>
        <w:spacing w:line="360" w:lineRule="exact"/>
        <w:ind w:leftChars="0"/>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bCs/>
          <w:sz w:val="21"/>
          <w:szCs w:val="21"/>
          <w:highlight w:val="none"/>
          <w:lang w:val="en-US" w:eastAsia="zh-CN"/>
        </w:rPr>
        <w:t xml:space="preserve">2.1 </w:t>
      </w:r>
      <w:r>
        <w:rPr>
          <w:rFonts w:hint="eastAsia" w:asciiTheme="minorEastAsia" w:hAnsiTheme="minorEastAsia" w:eastAsiaTheme="minorEastAsia" w:cstheme="minorEastAsia"/>
          <w:bCs/>
          <w:sz w:val="21"/>
          <w:szCs w:val="21"/>
          <w:highlight w:val="none"/>
        </w:rPr>
        <w:t>乙方应对</w:t>
      </w:r>
      <w:r>
        <w:rPr>
          <w:rFonts w:hint="eastAsia" w:asciiTheme="minorEastAsia" w:hAnsiTheme="minorEastAsia" w:eastAsiaTheme="minorEastAsia" w:cstheme="minorEastAsia"/>
          <w:bCs/>
          <w:sz w:val="21"/>
          <w:szCs w:val="21"/>
          <w:highlight w:val="none"/>
          <w:lang w:val="en-US" w:eastAsia="zh-CN"/>
        </w:rPr>
        <w:t>指定的</w:t>
      </w:r>
      <w:r>
        <w:rPr>
          <w:rFonts w:hint="eastAsia" w:asciiTheme="minorEastAsia" w:hAnsiTheme="minorEastAsia" w:eastAsiaTheme="minorEastAsia" w:cstheme="minorEastAsia"/>
          <w:bCs/>
          <w:sz w:val="21"/>
          <w:szCs w:val="21"/>
          <w:highlight w:val="none"/>
          <w:u w:val="single"/>
        </w:rPr>
        <w:t xml:space="preserve">      </w:t>
      </w:r>
      <w:r>
        <w:rPr>
          <w:rFonts w:hint="eastAsia" w:asciiTheme="minorEastAsia" w:hAnsiTheme="minorEastAsia" w:eastAsiaTheme="minorEastAsia" w:cstheme="minorEastAsia"/>
          <w:bCs/>
          <w:sz w:val="21"/>
          <w:szCs w:val="21"/>
          <w:highlight w:val="none"/>
        </w:rPr>
        <w:t>家企业提供</w:t>
      </w:r>
      <w:r>
        <w:rPr>
          <w:rFonts w:hint="eastAsia" w:asciiTheme="minorEastAsia" w:hAnsiTheme="minorEastAsia" w:eastAsiaTheme="minorEastAsia" w:cstheme="minorEastAsia"/>
          <w:sz w:val="21"/>
          <w:szCs w:val="21"/>
          <w:highlight w:val="none"/>
        </w:rPr>
        <w:t>“智改数转”诊断</w:t>
      </w:r>
      <w:r>
        <w:rPr>
          <w:rFonts w:hint="eastAsia" w:asciiTheme="minorEastAsia" w:hAnsiTheme="minorEastAsia" w:eastAsiaTheme="minorEastAsia" w:cstheme="minorEastAsia"/>
          <w:bCs/>
          <w:sz w:val="21"/>
          <w:szCs w:val="21"/>
          <w:highlight w:val="none"/>
        </w:rPr>
        <w:t>服务。</w:t>
      </w:r>
    </w:p>
    <w:p>
      <w:pPr>
        <w:keepNext w:val="0"/>
        <w:keepLines w:val="0"/>
        <w:pageBreakBefore w:val="0"/>
        <w:numPr>
          <w:ilvl w:val="0"/>
          <w:numId w:val="0"/>
        </w:numPr>
        <w:tabs>
          <w:tab w:val="left" w:pos="567"/>
        </w:tabs>
        <w:kinsoku/>
        <w:wordWrap/>
        <w:overflowPunct/>
        <w:autoSpaceDE/>
        <w:autoSpaceDN/>
        <w:bidi w:val="0"/>
        <w:spacing w:line="360" w:lineRule="exact"/>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lang w:val="en-US" w:eastAsia="zh-CN"/>
        </w:rPr>
        <w:t>2.2 乙方</w:t>
      </w:r>
      <w:r>
        <w:rPr>
          <w:rFonts w:hint="eastAsia" w:asciiTheme="minorEastAsia" w:hAnsiTheme="minorEastAsia" w:eastAsiaTheme="minorEastAsia" w:cstheme="minorEastAsia"/>
          <w:sz w:val="21"/>
          <w:szCs w:val="21"/>
          <w:highlight w:val="none"/>
        </w:rPr>
        <w:t>应深入每家被服务企业开展现场咨询诊断服务，具体包括：</w:t>
      </w:r>
    </w:p>
    <w:p>
      <w:pPr>
        <w:keepNext w:val="0"/>
        <w:keepLines w:val="0"/>
        <w:pageBreakBefore w:val="0"/>
        <w:numPr>
          <w:ilvl w:val="0"/>
          <w:numId w:val="18"/>
        </w:numPr>
        <w:tabs>
          <w:tab w:val="left" w:pos="1080"/>
          <w:tab w:val="clear" w:pos="2579"/>
        </w:tabs>
        <w:kinsoku/>
        <w:wordWrap/>
        <w:overflowPunct/>
        <w:autoSpaceDE/>
        <w:autoSpaceDN/>
        <w:bidi w:val="0"/>
        <w:spacing w:line="360" w:lineRule="exact"/>
        <w:ind w:left="1080" w:right="-153" w:hanging="540"/>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每家企业现场诊断服务应不少于8次，每次不少于3小时，累计工作量不少于20人天。现场服务内容包括但不限于情况调研、主题培训、访谈交流、技术诊断、方案沟通、诊断结果汇报等。</w:t>
      </w:r>
    </w:p>
    <w:p>
      <w:pPr>
        <w:keepNext w:val="0"/>
        <w:keepLines w:val="0"/>
        <w:pageBreakBefore w:val="0"/>
        <w:numPr>
          <w:ilvl w:val="0"/>
          <w:numId w:val="18"/>
        </w:numPr>
        <w:tabs>
          <w:tab w:val="left" w:pos="1080"/>
          <w:tab w:val="clear" w:pos="2579"/>
        </w:tabs>
        <w:kinsoku/>
        <w:wordWrap/>
        <w:overflowPunct/>
        <w:autoSpaceDE/>
        <w:autoSpaceDN/>
        <w:bidi w:val="0"/>
        <w:spacing w:line="360" w:lineRule="exact"/>
        <w:ind w:left="1080" w:right="-153" w:hanging="540"/>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现场诊断中进场专家组，应指派实践经验丰富、相关领域中级以上职称专家担任组长，诊断成员数量不少于5人，中级以上职称专家每次赴现场不少于1人，每次间隔时间不超过15个工作日，专家重点帮助企业解决生产运营过程中遇到的技术、管理等难题，切实做好释疑解惑工作，给出专业的意见建议。</w:t>
      </w:r>
    </w:p>
    <w:p>
      <w:pPr>
        <w:keepNext w:val="0"/>
        <w:keepLines w:val="0"/>
        <w:pageBreakBefore w:val="0"/>
        <w:numPr>
          <w:ilvl w:val="0"/>
          <w:numId w:val="18"/>
        </w:numPr>
        <w:tabs>
          <w:tab w:val="left" w:pos="1080"/>
          <w:tab w:val="clear" w:pos="2579"/>
        </w:tabs>
        <w:kinsoku/>
        <w:wordWrap/>
        <w:overflowPunct/>
        <w:autoSpaceDE/>
        <w:autoSpaceDN/>
        <w:bidi w:val="0"/>
        <w:spacing w:line="360" w:lineRule="exact"/>
        <w:ind w:left="1080" w:right="-153" w:hanging="540"/>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为被诊断企业提供智改数转相关培训，提升企业对智能化改造、数字化转型的认识水平、强化诊断方案落地实施，场次不少于2次，每次不低于2小时。</w:t>
      </w:r>
    </w:p>
    <w:p>
      <w:pPr>
        <w:keepNext w:val="0"/>
        <w:keepLines w:val="0"/>
        <w:pageBreakBefore w:val="0"/>
        <w:numPr>
          <w:ilvl w:val="0"/>
          <w:numId w:val="18"/>
        </w:numPr>
        <w:tabs>
          <w:tab w:val="left" w:pos="1080"/>
          <w:tab w:val="clear" w:pos="2579"/>
        </w:tabs>
        <w:kinsoku/>
        <w:wordWrap/>
        <w:overflowPunct/>
        <w:autoSpaceDE/>
        <w:autoSpaceDN/>
        <w:bidi w:val="0"/>
        <w:spacing w:line="360" w:lineRule="exact"/>
        <w:ind w:left="1080" w:right="-153" w:hanging="540"/>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为被诊断企业高层领导提供不少于2次的智改数转诊断服务情况汇报。汇报内容包括尽职调查的情况、诊断报告详解等。</w:t>
      </w:r>
    </w:p>
    <w:p>
      <w:pPr>
        <w:keepNext w:val="0"/>
        <w:keepLines w:val="0"/>
        <w:pageBreakBefore w:val="0"/>
        <w:numPr>
          <w:ilvl w:val="0"/>
          <w:numId w:val="18"/>
        </w:numPr>
        <w:tabs>
          <w:tab w:val="left" w:pos="1080"/>
          <w:tab w:val="clear" w:pos="2579"/>
        </w:tabs>
        <w:kinsoku/>
        <w:wordWrap/>
        <w:overflowPunct/>
        <w:autoSpaceDE/>
        <w:autoSpaceDN/>
        <w:bidi w:val="0"/>
        <w:spacing w:line="360" w:lineRule="exact"/>
        <w:ind w:left="1080" w:right="-153" w:hanging="540"/>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每次服务后要将诊断服务图片及文字材料上传至所在地工信部门，并定期汇报。</w:t>
      </w:r>
    </w:p>
    <w:p>
      <w:pPr>
        <w:keepNext w:val="0"/>
        <w:keepLines w:val="0"/>
        <w:pageBreakBefore w:val="0"/>
        <w:numPr>
          <w:ilvl w:val="0"/>
          <w:numId w:val="18"/>
        </w:numPr>
        <w:tabs>
          <w:tab w:val="left" w:pos="1080"/>
          <w:tab w:val="clear" w:pos="2579"/>
        </w:tabs>
        <w:kinsoku/>
        <w:wordWrap/>
        <w:overflowPunct/>
        <w:autoSpaceDE/>
        <w:autoSpaceDN/>
        <w:bidi w:val="0"/>
        <w:spacing w:line="360" w:lineRule="exact"/>
        <w:ind w:left="1080" w:right="-153" w:hanging="540"/>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诊断进度。向被诊断企业所在地工信部门负责智改数转诊断工作的主管科室交流、报告诊断情况，不少于2次。</w:t>
      </w:r>
    </w:p>
    <w:p>
      <w:pPr>
        <w:keepNext w:val="0"/>
        <w:keepLines w:val="0"/>
        <w:pageBreakBefore w:val="0"/>
        <w:numPr>
          <w:ilvl w:val="0"/>
          <w:numId w:val="18"/>
        </w:numPr>
        <w:tabs>
          <w:tab w:val="left" w:pos="1080"/>
          <w:tab w:val="clear" w:pos="2579"/>
        </w:tabs>
        <w:kinsoku/>
        <w:wordWrap/>
        <w:overflowPunct/>
        <w:autoSpaceDE/>
        <w:autoSpaceDN/>
        <w:bidi w:val="0"/>
        <w:spacing w:line="360" w:lineRule="exact"/>
        <w:ind w:left="1080" w:right="-153" w:hanging="540"/>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配合接受诊断监理机构开展的各项诊断监理要求，积极主动汇报诊断计划、进度情况。</w:t>
      </w:r>
    </w:p>
    <w:p>
      <w:pPr>
        <w:keepNext w:val="0"/>
        <w:keepLines w:val="0"/>
        <w:pageBreakBefore w:val="0"/>
        <w:numPr>
          <w:ilvl w:val="0"/>
          <w:numId w:val="18"/>
        </w:numPr>
        <w:tabs>
          <w:tab w:val="left" w:pos="1080"/>
          <w:tab w:val="clear" w:pos="2579"/>
        </w:tabs>
        <w:kinsoku/>
        <w:wordWrap/>
        <w:overflowPunct/>
        <w:autoSpaceDE/>
        <w:autoSpaceDN/>
        <w:bidi w:val="0"/>
        <w:spacing w:line="360" w:lineRule="exact"/>
        <w:ind w:left="1080" w:right="-153" w:hanging="540"/>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化工行业严格按照本质安全、节能环保与运维保障等标准规范体系进行。其他省级以上行业“智改数转”有专项标准或指导意见的按具体要求开展诊断工作。</w:t>
      </w:r>
    </w:p>
    <w:p>
      <w:pPr>
        <w:keepNext w:val="0"/>
        <w:keepLines w:val="0"/>
        <w:pageBreakBefore w:val="0"/>
        <w:numPr>
          <w:ilvl w:val="0"/>
          <w:numId w:val="18"/>
        </w:numPr>
        <w:tabs>
          <w:tab w:val="left" w:pos="1080"/>
          <w:tab w:val="clear" w:pos="2579"/>
        </w:tabs>
        <w:kinsoku/>
        <w:wordWrap/>
        <w:overflowPunct/>
        <w:autoSpaceDE/>
        <w:autoSpaceDN/>
        <w:bidi w:val="0"/>
        <w:spacing w:line="360" w:lineRule="exact"/>
        <w:ind w:left="1080" w:right="-153" w:hanging="540"/>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诊断服务完成后，向被诊断企业提供回访服务，跟踪诊断方案落地情况和实施效果。</w:t>
      </w:r>
    </w:p>
    <w:p>
      <w:pPr>
        <w:keepNext w:val="0"/>
        <w:keepLines w:val="0"/>
        <w:pageBreakBefore w:val="0"/>
        <w:numPr>
          <w:ilvl w:val="0"/>
          <w:numId w:val="18"/>
        </w:numPr>
        <w:tabs>
          <w:tab w:val="left" w:pos="1080"/>
          <w:tab w:val="clear" w:pos="2579"/>
        </w:tabs>
        <w:kinsoku/>
        <w:wordWrap/>
        <w:overflowPunct/>
        <w:autoSpaceDE/>
        <w:autoSpaceDN/>
        <w:bidi w:val="0"/>
        <w:spacing w:line="360" w:lineRule="exact"/>
        <w:ind w:left="1080" w:right="-153" w:hanging="540"/>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技术方案有效期为3年。</w:t>
      </w:r>
    </w:p>
    <w:p>
      <w:pPr>
        <w:keepNext w:val="0"/>
        <w:keepLines w:val="0"/>
        <w:pageBreakBefore w:val="0"/>
        <w:numPr>
          <w:ilvl w:val="0"/>
          <w:numId w:val="0"/>
        </w:numPr>
        <w:tabs>
          <w:tab w:val="left" w:pos="567"/>
        </w:tabs>
        <w:kinsoku/>
        <w:wordWrap/>
        <w:overflowPunct/>
        <w:autoSpaceDE/>
        <w:autoSpaceDN/>
        <w:bidi w:val="0"/>
        <w:spacing w:line="360" w:lineRule="exact"/>
        <w:ind w:left="420" w:leftChars="0" w:hanging="420" w:hangingChars="200"/>
        <w:textAlignment w:val="auto"/>
        <w:rPr>
          <w:rFonts w:hint="eastAsia" w:asciiTheme="minorEastAsia" w:hAnsiTheme="minorEastAsia" w:eastAsiaTheme="minorEastAsia" w:cstheme="minorEastAsia"/>
          <w:bCs/>
          <w:sz w:val="21"/>
          <w:szCs w:val="21"/>
          <w:highlight w:val="none"/>
          <w:lang w:val="en-US" w:eastAsia="zh-CN"/>
        </w:rPr>
      </w:pPr>
      <w:r>
        <w:rPr>
          <w:rFonts w:hint="eastAsia" w:asciiTheme="minorEastAsia" w:hAnsiTheme="minorEastAsia" w:eastAsiaTheme="minorEastAsia" w:cstheme="minorEastAsia"/>
          <w:bCs/>
          <w:sz w:val="21"/>
          <w:szCs w:val="21"/>
          <w:highlight w:val="none"/>
          <w:lang w:val="en-US" w:eastAsia="zh-CN"/>
        </w:rPr>
        <w:t xml:space="preserve">2.3 </w:t>
      </w:r>
      <w:r>
        <w:rPr>
          <w:rFonts w:hint="eastAsia" w:asciiTheme="minorEastAsia" w:hAnsiTheme="minorEastAsia" w:eastAsiaTheme="minorEastAsia" w:cstheme="minorEastAsia"/>
          <w:sz w:val="21"/>
          <w:szCs w:val="21"/>
          <w:highlight w:val="none"/>
          <w:lang w:val="en-US" w:eastAsia="zh-CN"/>
        </w:rPr>
        <w:t>每家被诊断企业咨询服务结束后，提交不少于2万字的智改数转诊断报告，报告应经被诊断企业负责人确认签字并加盖企业公章。内容包括但不限于企业基本情况、企业智能化数字化短板分析、系统解决/顶层设计/项目改造方案、服务商推荐方案等方面内容，报告中应注明该企业可对标的同行业国内标杆，具体为：</w:t>
      </w:r>
    </w:p>
    <w:p>
      <w:pPr>
        <w:keepNext w:val="0"/>
        <w:keepLines w:val="0"/>
        <w:pageBreakBefore w:val="0"/>
        <w:numPr>
          <w:ilvl w:val="0"/>
          <w:numId w:val="19"/>
        </w:numPr>
        <w:tabs>
          <w:tab w:val="left" w:pos="1080"/>
          <w:tab w:val="clear" w:pos="2579"/>
        </w:tabs>
        <w:kinsoku/>
        <w:wordWrap/>
        <w:overflowPunct/>
        <w:autoSpaceDE/>
        <w:autoSpaceDN/>
        <w:bidi w:val="0"/>
        <w:spacing w:line="360" w:lineRule="exact"/>
        <w:ind w:left="1080" w:right="-153" w:hanging="540"/>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调研被诊断企业基本现状。通过现场调研、实地问询、访谈沟通等方式，真实、准确、全面摸清企业情况，真实反映企业产品、运营管理、生产方式、工艺流程、技术水平、市场份额、行业地位等基本情况。</w:t>
      </w:r>
    </w:p>
    <w:p>
      <w:pPr>
        <w:keepNext w:val="0"/>
        <w:keepLines w:val="0"/>
        <w:pageBreakBefore w:val="0"/>
        <w:numPr>
          <w:ilvl w:val="0"/>
          <w:numId w:val="19"/>
        </w:numPr>
        <w:tabs>
          <w:tab w:val="left" w:pos="1080"/>
          <w:tab w:val="clear" w:pos="2579"/>
        </w:tabs>
        <w:kinsoku/>
        <w:wordWrap/>
        <w:overflowPunct/>
        <w:autoSpaceDE/>
        <w:autoSpaceDN/>
        <w:bidi w:val="0"/>
        <w:spacing w:line="360" w:lineRule="exact"/>
        <w:ind w:left="1080" w:right="-153" w:hanging="540"/>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评估企业智能化、数字化水平。运用相关评估技术方法、模型，对企业智能制造和两化融合水平进行线上评估，结合现状调研情况，对照所投标段行业智能化、数字化整体情况，判断企业所处位置，给出企业智改数转相关评估结果。</w:t>
      </w:r>
    </w:p>
    <w:p>
      <w:pPr>
        <w:keepNext w:val="0"/>
        <w:keepLines w:val="0"/>
        <w:pageBreakBefore w:val="0"/>
        <w:numPr>
          <w:ilvl w:val="0"/>
          <w:numId w:val="19"/>
        </w:numPr>
        <w:tabs>
          <w:tab w:val="left" w:pos="1080"/>
          <w:tab w:val="clear" w:pos="2579"/>
        </w:tabs>
        <w:kinsoku/>
        <w:wordWrap/>
        <w:overflowPunct/>
        <w:autoSpaceDE/>
        <w:autoSpaceDN/>
        <w:bidi w:val="0"/>
        <w:spacing w:line="360" w:lineRule="exact"/>
        <w:ind w:left="1080" w:right="-153" w:hanging="540"/>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分析企业智能化数字化的短板。通过深入企业车间、产线、工位等一线，了解掌握企业研发、生产、运营、管理、服务等过程中存在的问题和困难，对标部、省在两化融合、智能制造、工业互联网试点示范以及星级上云企业等相关标准，找准关键指标差距；提供可对标的同行业国内智改数转标杆案例，为企业“智改数转”打开视野，明晰思路。</w:t>
      </w:r>
    </w:p>
    <w:p>
      <w:pPr>
        <w:keepNext w:val="0"/>
        <w:keepLines w:val="0"/>
        <w:pageBreakBefore w:val="0"/>
        <w:numPr>
          <w:ilvl w:val="0"/>
          <w:numId w:val="19"/>
        </w:numPr>
        <w:tabs>
          <w:tab w:val="left" w:pos="1080"/>
          <w:tab w:val="clear" w:pos="2579"/>
        </w:tabs>
        <w:kinsoku/>
        <w:wordWrap/>
        <w:overflowPunct/>
        <w:autoSpaceDE/>
        <w:autoSpaceDN/>
        <w:bidi w:val="0"/>
        <w:spacing w:line="360" w:lineRule="exact"/>
        <w:ind w:left="1080" w:right="-153" w:hanging="540"/>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提供企业智改数转诊断方案。针对企业工厂或车间的现状和建设过程中存在的问题，对标所投标段行业先进水平，提出智改数转的具体可行方案，给出可操作的措施建议和实施路线。</w:t>
      </w:r>
    </w:p>
    <w:p>
      <w:pPr>
        <w:keepNext w:val="0"/>
        <w:keepLines w:val="0"/>
        <w:pageBreakBefore w:val="0"/>
        <w:numPr>
          <w:ilvl w:val="0"/>
          <w:numId w:val="19"/>
        </w:numPr>
        <w:tabs>
          <w:tab w:val="left" w:pos="1080"/>
          <w:tab w:val="clear" w:pos="2579"/>
        </w:tabs>
        <w:kinsoku/>
        <w:wordWrap/>
        <w:overflowPunct/>
        <w:autoSpaceDE/>
        <w:autoSpaceDN/>
        <w:bidi w:val="0"/>
        <w:spacing w:line="360" w:lineRule="exact"/>
        <w:ind w:left="1080" w:right="-153" w:hanging="540"/>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帮助企业落实诊断方案。宣贯支持政策或提供培训，协助企业落实诊断方案给出的各项技术措施和任务目标。依据被诊断企业的现状水平，结合企业生产、财务能力，向被诊断企业推荐不少于3个具有相关领域实施经验、易达成合作的优质服务商，帮助企业对接智改数转服务商，对比各自优势，供企业参考。</w:t>
      </w:r>
    </w:p>
    <w:p>
      <w:pPr>
        <w:keepNext w:val="0"/>
        <w:keepLines w:val="0"/>
        <w:pageBreakBefore w:val="0"/>
        <w:numPr>
          <w:ilvl w:val="0"/>
          <w:numId w:val="19"/>
        </w:numPr>
        <w:tabs>
          <w:tab w:val="left" w:pos="1080"/>
          <w:tab w:val="clear" w:pos="2579"/>
        </w:tabs>
        <w:kinsoku/>
        <w:wordWrap/>
        <w:overflowPunct/>
        <w:autoSpaceDE/>
        <w:autoSpaceDN/>
        <w:bidi w:val="0"/>
        <w:spacing w:line="360" w:lineRule="exact"/>
        <w:ind w:left="1080" w:right="-153" w:hanging="540"/>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跟踪诊断服务实施效果。做好诊断后续服务工作，保证通过实施诊断方案，帮助企业解决难点，打通堵点，消除痛点，依托智能车间建设，提高生产效率和管理水平。</w:t>
      </w:r>
    </w:p>
    <w:p>
      <w:pPr>
        <w:keepNext w:val="0"/>
        <w:keepLines w:val="0"/>
        <w:pageBreakBefore w:val="0"/>
        <w:numPr>
          <w:ilvl w:val="0"/>
          <w:numId w:val="19"/>
        </w:numPr>
        <w:tabs>
          <w:tab w:val="left" w:pos="1080"/>
          <w:tab w:val="clear" w:pos="2579"/>
        </w:tabs>
        <w:kinsoku/>
        <w:wordWrap/>
        <w:overflowPunct/>
        <w:autoSpaceDE/>
        <w:autoSpaceDN/>
        <w:bidi w:val="0"/>
        <w:spacing w:line="360" w:lineRule="exact"/>
        <w:ind w:left="1080" w:right="-153" w:hanging="540"/>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诊断报告附件。包括现场诊断服务工作的相关书面记录、日程安排、签到表（由参与方共同签字确认）、诊断图片等。</w:t>
      </w:r>
    </w:p>
    <w:p>
      <w:pPr>
        <w:keepNext w:val="0"/>
        <w:keepLines w:val="0"/>
        <w:pageBreakBefore w:val="0"/>
        <w:tabs>
          <w:tab w:val="left" w:pos="1710"/>
        </w:tabs>
        <w:kinsoku/>
        <w:wordWrap/>
        <w:overflowPunct/>
        <w:autoSpaceDE/>
        <w:autoSpaceDN/>
        <w:bidi w:val="0"/>
        <w:snapToGrid w:val="0"/>
        <w:spacing w:line="360" w:lineRule="exact"/>
        <w:ind w:left="420" w:hanging="420" w:hangingChars="200"/>
        <w:contextualSpacing/>
        <w:textAlignment w:val="auto"/>
        <w:rPr>
          <w:rFonts w:ascii="宋体" w:hAnsi="宋体" w:cs="宋体"/>
          <w:sz w:val="21"/>
          <w:szCs w:val="21"/>
          <w:highlight w:val="none"/>
        </w:rPr>
      </w:pPr>
      <w:r>
        <w:rPr>
          <w:rFonts w:hint="eastAsia" w:ascii="宋体" w:hAnsi="宋体" w:cs="宋体"/>
          <w:sz w:val="21"/>
          <w:szCs w:val="21"/>
          <w:highlight w:val="none"/>
          <w:lang w:val="en-US" w:eastAsia="zh-CN"/>
        </w:rPr>
        <w:t xml:space="preserve">2.4 </w:t>
      </w:r>
      <w:r>
        <w:rPr>
          <w:rFonts w:hint="eastAsia" w:ascii="宋体" w:hAnsi="宋体" w:cs="宋体"/>
          <w:sz w:val="21"/>
          <w:szCs w:val="21"/>
          <w:highlight w:val="none"/>
        </w:rPr>
        <w:t>所有诊断咨询服务结束后，提交基于南通</w:t>
      </w:r>
      <w:r>
        <w:rPr>
          <w:rFonts w:hint="eastAsia" w:ascii="宋体" w:hAnsi="宋体" w:cs="宋体"/>
          <w:sz w:val="21"/>
          <w:szCs w:val="21"/>
          <w:highlight w:val="none"/>
          <w:u w:val="single"/>
          <w:lang w:val="en-US" w:eastAsia="zh-CN"/>
        </w:rPr>
        <w:t xml:space="preserve">                </w:t>
      </w:r>
      <w:r>
        <w:rPr>
          <w:rFonts w:hint="eastAsia" w:ascii="宋体" w:hAnsi="宋体" w:cs="宋体"/>
          <w:sz w:val="21"/>
          <w:szCs w:val="21"/>
          <w:highlight w:val="none"/>
        </w:rPr>
        <w:t>行业智改数转诊断总结。包括但不仅限于南通地区该行业智能化、数字化水平整体现状分析、存在的共性问题分析、企业集中关注点、实施路线分类分析、国内行业标杆案例、基于该行业的南通推动智改数转的建议。</w:t>
      </w:r>
    </w:p>
    <w:p>
      <w:pPr>
        <w:keepNext w:val="0"/>
        <w:keepLines w:val="0"/>
        <w:pageBreakBefore w:val="0"/>
        <w:numPr>
          <w:ilvl w:val="0"/>
          <w:numId w:val="0"/>
        </w:numPr>
        <w:tabs>
          <w:tab w:val="left" w:pos="1080"/>
          <w:tab w:val="left" w:pos="1134"/>
        </w:tabs>
        <w:kinsoku/>
        <w:wordWrap/>
        <w:overflowPunct/>
        <w:autoSpaceDE/>
        <w:autoSpaceDN/>
        <w:bidi w:val="0"/>
        <w:spacing w:line="360" w:lineRule="exact"/>
        <w:ind w:leftChars="0" w:right="-153" w:rightChars="0"/>
        <w:jc w:val="left"/>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lang w:val="en-US" w:eastAsia="zh-CN"/>
        </w:rPr>
        <w:t xml:space="preserve">2.5 </w:t>
      </w:r>
      <w:r>
        <w:rPr>
          <w:rFonts w:hint="eastAsia" w:asciiTheme="minorEastAsia" w:hAnsiTheme="minorEastAsia" w:eastAsiaTheme="minorEastAsia" w:cstheme="minorEastAsia"/>
          <w:sz w:val="21"/>
          <w:szCs w:val="21"/>
          <w:highlight w:val="none"/>
        </w:rPr>
        <w:t>乙方完成的诊断成果应当符合下列要求：</w:t>
      </w:r>
    </w:p>
    <w:p>
      <w:pPr>
        <w:keepNext w:val="0"/>
        <w:keepLines w:val="0"/>
        <w:pageBreakBefore w:val="0"/>
        <w:numPr>
          <w:ilvl w:val="0"/>
          <w:numId w:val="20"/>
        </w:numPr>
        <w:tabs>
          <w:tab w:val="left" w:pos="1080"/>
          <w:tab w:val="clear" w:pos="2579"/>
        </w:tabs>
        <w:kinsoku/>
        <w:wordWrap/>
        <w:overflowPunct/>
        <w:autoSpaceDE/>
        <w:autoSpaceDN/>
        <w:bidi w:val="0"/>
        <w:spacing w:line="360" w:lineRule="exact"/>
        <w:ind w:left="1080" w:right="-153" w:hanging="540"/>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在行业差距分析方面，以研究、借鉴国内外同行业先进水平为基础，对我市企业推进</w:t>
      </w:r>
      <w:r>
        <w:rPr>
          <w:rFonts w:hint="eastAsia" w:asciiTheme="minorEastAsia" w:hAnsiTheme="minorEastAsia" w:eastAsiaTheme="minorEastAsia" w:cstheme="minorEastAsia"/>
          <w:sz w:val="21"/>
          <w:szCs w:val="21"/>
          <w:highlight w:val="none"/>
          <w:lang w:val="en-US" w:eastAsia="zh-CN"/>
        </w:rPr>
        <w:t>智改数转</w:t>
      </w:r>
      <w:r>
        <w:rPr>
          <w:rFonts w:hint="eastAsia" w:asciiTheme="minorEastAsia" w:hAnsiTheme="minorEastAsia" w:eastAsiaTheme="minorEastAsia" w:cstheme="minorEastAsia"/>
          <w:sz w:val="21"/>
          <w:szCs w:val="21"/>
          <w:highlight w:val="none"/>
        </w:rPr>
        <w:t>具有较强的指导性；在问题分析方面，对被诊断服务企业的概况，推进</w:t>
      </w:r>
      <w:r>
        <w:rPr>
          <w:rFonts w:hint="eastAsia" w:asciiTheme="minorEastAsia" w:hAnsiTheme="minorEastAsia" w:eastAsiaTheme="minorEastAsia" w:cstheme="minorEastAsia"/>
          <w:sz w:val="21"/>
          <w:szCs w:val="21"/>
          <w:highlight w:val="none"/>
          <w:lang w:val="en-US" w:eastAsia="zh-CN"/>
        </w:rPr>
        <w:t>智改数转</w:t>
      </w:r>
      <w:r>
        <w:rPr>
          <w:rFonts w:hint="eastAsia" w:asciiTheme="minorEastAsia" w:hAnsiTheme="minorEastAsia" w:eastAsiaTheme="minorEastAsia" w:cstheme="minorEastAsia"/>
          <w:sz w:val="21"/>
          <w:szCs w:val="21"/>
          <w:highlight w:val="none"/>
        </w:rPr>
        <w:t>过程中存在的主要问题和原因分析有准确、全面的阐述；</w:t>
      </w:r>
    </w:p>
    <w:p>
      <w:pPr>
        <w:keepNext w:val="0"/>
        <w:keepLines w:val="0"/>
        <w:pageBreakBefore w:val="0"/>
        <w:numPr>
          <w:ilvl w:val="0"/>
          <w:numId w:val="20"/>
        </w:numPr>
        <w:tabs>
          <w:tab w:val="left" w:pos="1080"/>
          <w:tab w:val="clear" w:pos="2579"/>
        </w:tabs>
        <w:kinsoku/>
        <w:wordWrap/>
        <w:overflowPunct/>
        <w:autoSpaceDE/>
        <w:autoSpaceDN/>
        <w:bidi w:val="0"/>
        <w:spacing w:line="360" w:lineRule="exact"/>
        <w:ind w:left="1080" w:right="-153" w:hanging="540"/>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在具体建设方案(顶层设计方案)中，所提的建议措施既能以客观实际为基础，又具有一定的针对性、合理性和可操作性。</w:t>
      </w:r>
    </w:p>
    <w:p>
      <w:pPr>
        <w:keepNext w:val="0"/>
        <w:keepLines w:val="0"/>
        <w:pageBreakBefore w:val="0"/>
        <w:tabs>
          <w:tab w:val="left" w:pos="1710"/>
        </w:tabs>
        <w:kinsoku/>
        <w:wordWrap/>
        <w:overflowPunct/>
        <w:autoSpaceDE/>
        <w:autoSpaceDN/>
        <w:bidi w:val="0"/>
        <w:snapToGrid w:val="0"/>
        <w:spacing w:line="360" w:lineRule="exact"/>
        <w:ind w:left="420" w:hanging="420" w:hangingChars="200"/>
        <w:contextualSpacing/>
        <w:textAlignment w:val="auto"/>
        <w:rPr>
          <w:rFonts w:hint="eastAsia" w:ascii="宋体" w:hAnsi="宋体" w:cs="宋体"/>
          <w:sz w:val="21"/>
          <w:szCs w:val="21"/>
          <w:highlight w:val="none"/>
        </w:rPr>
      </w:pPr>
      <w:r>
        <w:rPr>
          <w:rFonts w:hint="eastAsia" w:ascii="宋体" w:hAnsi="宋体" w:cs="宋体"/>
          <w:sz w:val="21"/>
          <w:szCs w:val="21"/>
          <w:highlight w:val="none"/>
          <w:lang w:val="en-US" w:eastAsia="zh-CN"/>
        </w:rPr>
        <w:t>2.6 乙方</w:t>
      </w:r>
      <w:r>
        <w:rPr>
          <w:rFonts w:hint="eastAsia" w:ascii="宋体" w:hAnsi="宋体" w:cs="宋体"/>
          <w:sz w:val="21"/>
          <w:szCs w:val="21"/>
          <w:highlight w:val="none"/>
        </w:rPr>
        <w:t>须保证</w:t>
      </w:r>
      <w:r>
        <w:rPr>
          <w:rFonts w:hint="eastAsia" w:ascii="宋体" w:hAnsi="宋体" w:cs="宋体"/>
          <w:sz w:val="21"/>
          <w:szCs w:val="21"/>
          <w:highlight w:val="none"/>
          <w:lang w:val="en-US" w:eastAsia="zh-CN"/>
        </w:rPr>
        <w:t>甲方</w:t>
      </w:r>
      <w:r>
        <w:rPr>
          <w:rFonts w:hint="eastAsia" w:ascii="宋体" w:hAnsi="宋体" w:cs="宋体"/>
          <w:sz w:val="21"/>
          <w:szCs w:val="21"/>
          <w:highlight w:val="none"/>
        </w:rPr>
        <w:t>在使用、接受该预案任何一部分时不受第三方提出侵犯其专利权、版权、商标权和工业设计权等知识产权的起诉。一旦出现侵权，由</w:t>
      </w:r>
      <w:r>
        <w:rPr>
          <w:rFonts w:hint="eastAsia" w:ascii="宋体" w:hAnsi="宋体" w:cs="宋体"/>
          <w:sz w:val="21"/>
          <w:szCs w:val="21"/>
          <w:highlight w:val="none"/>
          <w:lang w:val="en-US" w:eastAsia="zh-CN"/>
        </w:rPr>
        <w:t>乙方</w:t>
      </w:r>
      <w:r>
        <w:rPr>
          <w:rFonts w:hint="eastAsia" w:ascii="宋体" w:hAnsi="宋体" w:cs="宋体"/>
          <w:sz w:val="21"/>
          <w:szCs w:val="21"/>
          <w:highlight w:val="none"/>
        </w:rPr>
        <w:t>负责处理并负全部责任</w:t>
      </w:r>
      <w:r>
        <w:rPr>
          <w:rFonts w:hint="eastAsia" w:ascii="宋体" w:hAnsi="宋体" w:cs="宋体"/>
          <w:sz w:val="21"/>
          <w:szCs w:val="21"/>
          <w:highlight w:val="none"/>
          <w:lang w:eastAsia="zh-CN"/>
        </w:rPr>
        <w:t>。</w:t>
      </w:r>
      <w:r>
        <w:rPr>
          <w:rFonts w:hint="eastAsia" w:ascii="宋体" w:hAnsi="宋体" w:cs="宋体"/>
          <w:sz w:val="21"/>
          <w:szCs w:val="21"/>
          <w:highlight w:val="none"/>
          <w:lang w:val="en-US" w:eastAsia="zh-CN"/>
        </w:rPr>
        <w:t>乙方</w:t>
      </w:r>
      <w:r>
        <w:rPr>
          <w:rFonts w:hint="eastAsia" w:ascii="宋体" w:hAnsi="宋体" w:cs="宋体"/>
          <w:sz w:val="21"/>
          <w:szCs w:val="21"/>
          <w:highlight w:val="none"/>
        </w:rPr>
        <w:t>所出具的“智改数转”</w:t>
      </w:r>
      <w:r>
        <w:rPr>
          <w:rFonts w:hint="eastAsia" w:ascii="宋体" w:hAnsi="宋体" w:cs="宋体"/>
          <w:sz w:val="21"/>
          <w:szCs w:val="21"/>
          <w:highlight w:val="none"/>
          <w:lang w:val="en-US" w:eastAsia="zh-CN"/>
        </w:rPr>
        <w:t>建设</w:t>
      </w:r>
      <w:r>
        <w:rPr>
          <w:rFonts w:hint="eastAsia" w:ascii="宋体" w:hAnsi="宋体" w:cs="宋体"/>
          <w:sz w:val="21"/>
          <w:szCs w:val="21"/>
          <w:highlight w:val="none"/>
        </w:rPr>
        <w:t>方案和诊断报告知识产权归属</w:t>
      </w:r>
      <w:r>
        <w:rPr>
          <w:rFonts w:hint="eastAsia" w:ascii="宋体" w:hAnsi="宋体" w:cs="宋体"/>
          <w:sz w:val="21"/>
          <w:szCs w:val="21"/>
          <w:highlight w:val="none"/>
          <w:lang w:val="en-US" w:eastAsia="zh-CN"/>
        </w:rPr>
        <w:t>甲方</w:t>
      </w:r>
      <w:r>
        <w:rPr>
          <w:rFonts w:hint="eastAsia" w:ascii="宋体" w:hAnsi="宋体" w:cs="宋体"/>
          <w:sz w:val="21"/>
          <w:szCs w:val="21"/>
          <w:highlight w:val="none"/>
        </w:rPr>
        <w:t>所有。</w:t>
      </w:r>
    </w:p>
    <w:p>
      <w:pPr>
        <w:keepNext w:val="0"/>
        <w:keepLines w:val="0"/>
        <w:pageBreakBefore w:val="0"/>
        <w:numPr>
          <w:ilvl w:val="0"/>
          <w:numId w:val="0"/>
        </w:numPr>
        <w:tabs>
          <w:tab w:val="left" w:pos="567"/>
        </w:tabs>
        <w:kinsoku/>
        <w:wordWrap/>
        <w:overflowPunct/>
        <w:autoSpaceDE/>
        <w:autoSpaceDN/>
        <w:bidi w:val="0"/>
        <w:spacing w:line="360" w:lineRule="exact"/>
        <w:ind w:left="420" w:leftChars="0" w:hanging="420" w:hangingChars="200"/>
        <w:textAlignment w:val="auto"/>
        <w:rPr>
          <w:rFonts w:hint="eastAsia" w:asciiTheme="minorEastAsia" w:hAnsiTheme="minorEastAsia" w:eastAsiaTheme="minorEastAsia" w:cstheme="minorEastAsia"/>
          <w:bCs/>
          <w:sz w:val="21"/>
          <w:szCs w:val="21"/>
          <w:highlight w:val="none"/>
        </w:rPr>
      </w:pPr>
      <w:r>
        <w:rPr>
          <w:rFonts w:hint="eastAsia" w:asciiTheme="minorEastAsia" w:hAnsiTheme="minorEastAsia" w:eastAsiaTheme="minorEastAsia" w:cstheme="minorEastAsia"/>
          <w:bCs/>
          <w:sz w:val="21"/>
          <w:szCs w:val="21"/>
          <w:highlight w:val="none"/>
          <w:lang w:val="en-US" w:eastAsia="zh-CN"/>
        </w:rPr>
        <w:t xml:space="preserve">2.7 </w:t>
      </w:r>
      <w:r>
        <w:rPr>
          <w:rFonts w:hint="eastAsia" w:ascii="宋体" w:hAnsi="宋体" w:cs="宋体"/>
          <w:sz w:val="21"/>
          <w:szCs w:val="21"/>
          <w:highlight w:val="none"/>
        </w:rPr>
        <w:t>由</w:t>
      </w:r>
      <w:r>
        <w:rPr>
          <w:rFonts w:hint="eastAsia" w:ascii="宋体" w:hAnsi="宋体" w:cs="宋体"/>
          <w:sz w:val="21"/>
          <w:szCs w:val="21"/>
          <w:highlight w:val="none"/>
          <w:lang w:val="en-US" w:eastAsia="zh-CN"/>
        </w:rPr>
        <w:t>甲方</w:t>
      </w:r>
      <w:r>
        <w:rPr>
          <w:rFonts w:hint="eastAsia" w:ascii="宋体" w:hAnsi="宋体" w:cs="宋体"/>
          <w:sz w:val="21"/>
          <w:szCs w:val="21"/>
          <w:highlight w:val="none"/>
        </w:rPr>
        <w:t>组织第三方绩效评价（监理）机构对</w:t>
      </w:r>
      <w:r>
        <w:rPr>
          <w:rFonts w:hint="eastAsia" w:ascii="宋体" w:hAnsi="宋体" w:cs="宋体"/>
          <w:sz w:val="21"/>
          <w:szCs w:val="21"/>
          <w:highlight w:val="none"/>
          <w:lang w:val="en-US" w:eastAsia="zh-CN"/>
        </w:rPr>
        <w:t>乙方</w:t>
      </w:r>
      <w:r>
        <w:rPr>
          <w:rFonts w:hint="eastAsia" w:ascii="宋体" w:hAnsi="宋体" w:cs="宋体"/>
          <w:sz w:val="21"/>
          <w:szCs w:val="21"/>
          <w:highlight w:val="none"/>
        </w:rPr>
        <w:t>开展诊断服务过程情况、实施计划完成情况和诊断报告编制内容等进行评审验收，符合评审要求和相关标准，方能通过项目验收</w:t>
      </w:r>
      <w:r>
        <w:rPr>
          <w:rFonts w:hint="eastAsia" w:asciiTheme="minorEastAsia" w:hAnsiTheme="minorEastAsia" w:eastAsiaTheme="minorEastAsia" w:cstheme="minorEastAsia"/>
          <w:bCs/>
          <w:sz w:val="21"/>
          <w:szCs w:val="21"/>
          <w:highlight w:val="none"/>
        </w:rPr>
        <w:t>。</w:t>
      </w:r>
    </w:p>
    <w:p>
      <w:pPr>
        <w:keepNext w:val="0"/>
        <w:keepLines w:val="0"/>
        <w:pageBreakBefore w:val="0"/>
        <w:numPr>
          <w:ilvl w:val="0"/>
          <w:numId w:val="21"/>
        </w:numPr>
        <w:tabs>
          <w:tab w:val="left" w:pos="1080"/>
          <w:tab w:val="clear" w:pos="2579"/>
        </w:tabs>
        <w:kinsoku/>
        <w:wordWrap/>
        <w:overflowPunct/>
        <w:autoSpaceDE/>
        <w:autoSpaceDN/>
        <w:bidi w:val="0"/>
        <w:spacing w:line="360" w:lineRule="exact"/>
        <w:ind w:left="1080" w:right="-153" w:hanging="540"/>
        <w:textAlignment w:val="auto"/>
        <w:rPr>
          <w:rFonts w:hint="eastAsia" w:asciiTheme="minorEastAsia" w:hAnsiTheme="minorEastAsia" w:eastAsiaTheme="minorEastAsia" w:cstheme="minorEastAsia"/>
          <w:sz w:val="21"/>
          <w:szCs w:val="21"/>
          <w:highlight w:val="none"/>
          <w:lang w:eastAsia="zh-CN"/>
        </w:rPr>
      </w:pPr>
      <w:r>
        <w:rPr>
          <w:rFonts w:hint="eastAsia" w:asciiTheme="minorEastAsia" w:hAnsiTheme="minorEastAsia" w:eastAsiaTheme="minorEastAsia" w:cstheme="minorEastAsia"/>
          <w:sz w:val="21"/>
          <w:szCs w:val="21"/>
          <w:highlight w:val="none"/>
          <w:lang w:val="en-US" w:eastAsia="zh-CN"/>
        </w:rPr>
        <w:t>乙方</w:t>
      </w:r>
      <w:r>
        <w:rPr>
          <w:rFonts w:hint="eastAsia" w:asciiTheme="minorEastAsia" w:hAnsiTheme="minorEastAsia" w:eastAsiaTheme="minorEastAsia" w:cstheme="minorEastAsia"/>
          <w:sz w:val="21"/>
          <w:szCs w:val="21"/>
          <w:highlight w:val="none"/>
          <w:lang w:eastAsia="zh-CN"/>
        </w:rPr>
        <w:t>需提供规范的服务流程及企业满意度评价。</w:t>
      </w:r>
    </w:p>
    <w:p>
      <w:pPr>
        <w:keepNext w:val="0"/>
        <w:keepLines w:val="0"/>
        <w:pageBreakBefore w:val="0"/>
        <w:numPr>
          <w:ilvl w:val="0"/>
          <w:numId w:val="21"/>
        </w:numPr>
        <w:tabs>
          <w:tab w:val="left" w:pos="1080"/>
          <w:tab w:val="clear" w:pos="2579"/>
        </w:tabs>
        <w:kinsoku/>
        <w:wordWrap/>
        <w:overflowPunct/>
        <w:autoSpaceDE/>
        <w:autoSpaceDN/>
        <w:bidi w:val="0"/>
        <w:spacing w:line="360" w:lineRule="exact"/>
        <w:ind w:left="1080" w:right="-153" w:hanging="540"/>
        <w:textAlignment w:val="auto"/>
        <w:rPr>
          <w:rFonts w:hint="eastAsia" w:asciiTheme="minorEastAsia" w:hAnsiTheme="minorEastAsia" w:eastAsiaTheme="minorEastAsia" w:cstheme="minorEastAsia"/>
          <w:sz w:val="21"/>
          <w:szCs w:val="21"/>
          <w:highlight w:val="none"/>
          <w:lang w:eastAsia="zh-CN"/>
        </w:rPr>
      </w:pPr>
      <w:r>
        <w:rPr>
          <w:rFonts w:hint="eastAsia" w:asciiTheme="minorEastAsia" w:hAnsiTheme="minorEastAsia" w:eastAsiaTheme="minorEastAsia" w:cstheme="minorEastAsia"/>
          <w:sz w:val="21"/>
          <w:szCs w:val="21"/>
          <w:highlight w:val="none"/>
          <w:lang w:eastAsia="zh-CN"/>
        </w:rPr>
        <w:t>服务结束后出具符合要求的诊断报告书。</w:t>
      </w:r>
    </w:p>
    <w:p>
      <w:pPr>
        <w:keepNext w:val="0"/>
        <w:keepLines w:val="0"/>
        <w:pageBreakBefore w:val="0"/>
        <w:numPr>
          <w:ilvl w:val="0"/>
          <w:numId w:val="0"/>
        </w:numPr>
        <w:tabs>
          <w:tab w:val="left" w:pos="567"/>
        </w:tabs>
        <w:kinsoku/>
        <w:wordWrap/>
        <w:overflowPunct/>
        <w:autoSpaceDE/>
        <w:autoSpaceDN/>
        <w:bidi w:val="0"/>
        <w:spacing w:line="360" w:lineRule="exact"/>
        <w:ind w:left="420" w:leftChars="0" w:hanging="420" w:hangingChars="200"/>
        <w:textAlignment w:val="auto"/>
        <w:rPr>
          <w:rFonts w:hint="eastAsia" w:asciiTheme="minorEastAsia" w:hAnsiTheme="minorEastAsia" w:eastAsiaTheme="minorEastAsia" w:cstheme="minorEastAsia"/>
          <w:bCs/>
          <w:sz w:val="21"/>
          <w:szCs w:val="21"/>
          <w:highlight w:val="none"/>
        </w:rPr>
      </w:pPr>
      <w:r>
        <w:rPr>
          <w:rFonts w:hint="eastAsia" w:asciiTheme="minorEastAsia" w:hAnsiTheme="minorEastAsia" w:eastAsiaTheme="minorEastAsia" w:cstheme="minorEastAsia"/>
          <w:bCs/>
          <w:sz w:val="21"/>
          <w:szCs w:val="21"/>
          <w:highlight w:val="none"/>
          <w:lang w:val="en-US" w:eastAsia="zh-CN"/>
        </w:rPr>
        <w:t xml:space="preserve">2.8  </w:t>
      </w:r>
      <w:r>
        <w:rPr>
          <w:rFonts w:hint="eastAsia" w:asciiTheme="minorEastAsia" w:hAnsiTheme="minorEastAsia" w:eastAsiaTheme="minorEastAsia" w:cstheme="minorEastAsia"/>
          <w:bCs/>
          <w:sz w:val="21"/>
          <w:szCs w:val="21"/>
          <w:highlight w:val="none"/>
        </w:rPr>
        <w:t>服务时间：合同签订后180天内完成。</w:t>
      </w:r>
    </w:p>
    <w:p>
      <w:pPr>
        <w:keepNext w:val="0"/>
        <w:keepLines w:val="0"/>
        <w:pageBreakBefore w:val="0"/>
        <w:numPr>
          <w:ilvl w:val="0"/>
          <w:numId w:val="0"/>
        </w:numPr>
        <w:tabs>
          <w:tab w:val="left" w:pos="567"/>
        </w:tabs>
        <w:kinsoku/>
        <w:wordWrap/>
        <w:overflowPunct/>
        <w:autoSpaceDE/>
        <w:autoSpaceDN/>
        <w:bidi w:val="0"/>
        <w:spacing w:line="360" w:lineRule="exact"/>
        <w:ind w:leftChars="0"/>
        <w:textAlignment w:val="auto"/>
        <w:rPr>
          <w:rFonts w:hint="eastAsia" w:asciiTheme="minorEastAsia" w:hAnsiTheme="minorEastAsia" w:eastAsiaTheme="minorEastAsia" w:cstheme="minorEastAsia"/>
          <w:kern w:val="0"/>
          <w:sz w:val="21"/>
          <w:szCs w:val="21"/>
          <w:highlight w:val="none"/>
        </w:rPr>
      </w:pPr>
      <w:r>
        <w:rPr>
          <w:rFonts w:hint="eastAsia" w:asciiTheme="minorEastAsia" w:hAnsiTheme="minorEastAsia" w:eastAsiaTheme="minorEastAsia" w:cstheme="minorEastAsia"/>
          <w:bCs/>
          <w:sz w:val="21"/>
          <w:szCs w:val="21"/>
          <w:highlight w:val="none"/>
          <w:lang w:val="en-US" w:eastAsia="zh-CN"/>
        </w:rPr>
        <w:t xml:space="preserve">2.9  </w:t>
      </w:r>
      <w:r>
        <w:rPr>
          <w:rFonts w:hint="eastAsia" w:asciiTheme="minorEastAsia" w:hAnsiTheme="minorEastAsia" w:eastAsiaTheme="minorEastAsia" w:cstheme="minorEastAsia"/>
          <w:bCs/>
          <w:sz w:val="21"/>
          <w:szCs w:val="21"/>
          <w:highlight w:val="none"/>
        </w:rPr>
        <w:t>服务地点</w:t>
      </w:r>
      <w:r>
        <w:rPr>
          <w:rFonts w:hint="eastAsia" w:asciiTheme="minorEastAsia" w:hAnsiTheme="minorEastAsia" w:eastAsiaTheme="minorEastAsia" w:cstheme="minorEastAsia"/>
          <w:sz w:val="21"/>
          <w:szCs w:val="21"/>
          <w:highlight w:val="none"/>
        </w:rPr>
        <w:t>：甲方指定地点</w:t>
      </w:r>
      <w:r>
        <w:rPr>
          <w:rFonts w:hint="eastAsia" w:asciiTheme="minorEastAsia" w:hAnsiTheme="minorEastAsia" w:eastAsiaTheme="minorEastAsia" w:cstheme="minorEastAsia"/>
          <w:kern w:val="0"/>
          <w:sz w:val="21"/>
          <w:szCs w:val="21"/>
          <w:highlight w:val="none"/>
        </w:rPr>
        <w:t>。</w:t>
      </w:r>
    </w:p>
    <w:p>
      <w:pPr>
        <w:keepNext w:val="0"/>
        <w:keepLines w:val="0"/>
        <w:pageBreakBefore w:val="0"/>
        <w:numPr>
          <w:ilvl w:val="0"/>
          <w:numId w:val="0"/>
        </w:numPr>
        <w:tabs>
          <w:tab w:val="left" w:pos="567"/>
        </w:tabs>
        <w:kinsoku/>
        <w:wordWrap/>
        <w:overflowPunct/>
        <w:autoSpaceDE/>
        <w:autoSpaceDN/>
        <w:bidi w:val="0"/>
        <w:spacing w:line="360" w:lineRule="exact"/>
        <w:ind w:leftChars="0"/>
        <w:textAlignment w:val="auto"/>
        <w:rPr>
          <w:rFonts w:hint="eastAsia" w:asciiTheme="minorEastAsia" w:hAnsiTheme="minorEastAsia" w:eastAsiaTheme="minorEastAsia" w:cstheme="minorEastAsia"/>
          <w:kern w:val="0"/>
          <w:sz w:val="21"/>
          <w:szCs w:val="21"/>
          <w:highlight w:val="none"/>
          <w:lang w:val="en-US" w:eastAsia="zh-CN"/>
        </w:rPr>
      </w:pPr>
      <w:r>
        <w:rPr>
          <w:rFonts w:hint="eastAsia" w:asciiTheme="minorEastAsia" w:hAnsiTheme="minorEastAsia" w:eastAsiaTheme="minorEastAsia" w:cstheme="minorEastAsia"/>
          <w:kern w:val="0"/>
          <w:sz w:val="21"/>
          <w:szCs w:val="21"/>
          <w:highlight w:val="none"/>
          <w:lang w:val="en-US" w:eastAsia="zh-CN"/>
        </w:rPr>
        <w:t>2.10售后服务：</w:t>
      </w:r>
    </w:p>
    <w:p>
      <w:pPr>
        <w:keepNext w:val="0"/>
        <w:keepLines w:val="0"/>
        <w:pageBreakBefore w:val="0"/>
        <w:numPr>
          <w:ilvl w:val="0"/>
          <w:numId w:val="22"/>
        </w:numPr>
        <w:tabs>
          <w:tab w:val="left" w:pos="1080"/>
          <w:tab w:val="clear" w:pos="2579"/>
        </w:tabs>
        <w:kinsoku/>
        <w:wordWrap/>
        <w:overflowPunct/>
        <w:autoSpaceDE/>
        <w:autoSpaceDN/>
        <w:bidi w:val="0"/>
        <w:spacing w:line="360" w:lineRule="exact"/>
        <w:ind w:left="1080" w:right="-153" w:hanging="540"/>
        <w:textAlignment w:val="auto"/>
        <w:rPr>
          <w:rFonts w:hint="eastAsia" w:asciiTheme="minorEastAsia" w:hAnsiTheme="minorEastAsia" w:eastAsiaTheme="minorEastAsia" w:cstheme="minorEastAsia"/>
          <w:sz w:val="21"/>
          <w:szCs w:val="21"/>
          <w:highlight w:val="none"/>
          <w:lang w:val="en-US" w:eastAsia="zh-CN"/>
        </w:rPr>
      </w:pPr>
      <w:r>
        <w:rPr>
          <w:rFonts w:hint="eastAsia" w:asciiTheme="minorEastAsia" w:hAnsiTheme="minorEastAsia" w:eastAsiaTheme="minorEastAsia" w:cstheme="minorEastAsia"/>
          <w:sz w:val="21"/>
          <w:szCs w:val="21"/>
          <w:highlight w:val="none"/>
          <w:lang w:val="en-US" w:eastAsia="zh-CN"/>
        </w:rPr>
        <w:t>对所提供诊断服务后的企业，持续跟踪诊断方案落地情况和实施效果，向被诊断企业提供回访服务，评估被诊断企业的智能化提升效果。</w:t>
      </w:r>
    </w:p>
    <w:p>
      <w:pPr>
        <w:keepNext w:val="0"/>
        <w:keepLines w:val="0"/>
        <w:pageBreakBefore w:val="0"/>
        <w:numPr>
          <w:ilvl w:val="0"/>
          <w:numId w:val="22"/>
        </w:numPr>
        <w:tabs>
          <w:tab w:val="left" w:pos="1080"/>
          <w:tab w:val="clear" w:pos="2579"/>
        </w:tabs>
        <w:kinsoku/>
        <w:wordWrap/>
        <w:overflowPunct/>
        <w:autoSpaceDE/>
        <w:autoSpaceDN/>
        <w:bidi w:val="0"/>
        <w:spacing w:line="360" w:lineRule="exact"/>
        <w:ind w:left="1080" w:right="-153" w:hanging="540"/>
        <w:textAlignment w:val="auto"/>
        <w:rPr>
          <w:rFonts w:hint="default" w:asciiTheme="minorEastAsia" w:hAnsiTheme="minorEastAsia" w:eastAsiaTheme="minorEastAsia" w:cstheme="minorEastAsia"/>
          <w:sz w:val="21"/>
          <w:szCs w:val="21"/>
          <w:highlight w:val="none"/>
          <w:lang w:val="en-US" w:eastAsia="zh-CN"/>
        </w:rPr>
      </w:pPr>
      <w:r>
        <w:rPr>
          <w:rFonts w:hint="eastAsia" w:asciiTheme="minorEastAsia" w:hAnsiTheme="minorEastAsia" w:eastAsiaTheme="minorEastAsia" w:cstheme="minorEastAsia"/>
          <w:sz w:val="21"/>
          <w:szCs w:val="21"/>
          <w:highlight w:val="none"/>
          <w:lang w:val="en-US" w:eastAsia="zh-CN"/>
        </w:rPr>
        <w:t>在项目实施工作中出现任何困难，接到诊断服务企业或甲方反馈通知后，在3小时内响应，并在24小时内提出解决方案。</w:t>
      </w:r>
    </w:p>
    <w:p>
      <w:pPr>
        <w:keepNext w:val="0"/>
        <w:keepLines w:val="0"/>
        <w:pageBreakBefore w:val="0"/>
        <w:numPr>
          <w:ilvl w:val="0"/>
          <w:numId w:val="17"/>
        </w:numPr>
        <w:tabs>
          <w:tab w:val="left" w:pos="540"/>
          <w:tab w:val="clear" w:pos="425"/>
        </w:tabs>
        <w:kinsoku/>
        <w:wordWrap/>
        <w:overflowPunct/>
        <w:autoSpaceDE/>
        <w:autoSpaceDN/>
        <w:bidi w:val="0"/>
        <w:spacing w:line="360" w:lineRule="exact"/>
        <w:ind w:left="540" w:hanging="540"/>
        <w:textAlignment w:val="auto"/>
        <w:rPr>
          <w:rFonts w:hint="eastAsia" w:asciiTheme="minorEastAsia" w:hAnsiTheme="minorEastAsia" w:eastAsiaTheme="minorEastAsia" w:cstheme="minorEastAsia"/>
          <w:b/>
          <w:sz w:val="21"/>
          <w:szCs w:val="21"/>
          <w:highlight w:val="none"/>
        </w:rPr>
      </w:pPr>
      <w:r>
        <w:rPr>
          <w:rFonts w:hint="eastAsia" w:asciiTheme="minorEastAsia" w:hAnsiTheme="minorEastAsia" w:eastAsiaTheme="minorEastAsia" w:cstheme="minorEastAsia"/>
          <w:b/>
          <w:sz w:val="21"/>
          <w:szCs w:val="21"/>
          <w:highlight w:val="none"/>
        </w:rPr>
        <w:t>合同价格支付</w:t>
      </w:r>
    </w:p>
    <w:p>
      <w:pPr>
        <w:keepNext w:val="0"/>
        <w:keepLines w:val="0"/>
        <w:pageBreakBefore w:val="0"/>
        <w:numPr>
          <w:ilvl w:val="1"/>
          <w:numId w:val="17"/>
        </w:numPr>
        <w:tabs>
          <w:tab w:val="left" w:pos="540"/>
          <w:tab w:val="clear" w:pos="567"/>
        </w:tabs>
        <w:kinsoku/>
        <w:wordWrap/>
        <w:overflowPunct/>
        <w:autoSpaceDE/>
        <w:autoSpaceDN/>
        <w:bidi w:val="0"/>
        <w:spacing w:line="360" w:lineRule="exact"/>
        <w:ind w:left="540" w:hanging="540"/>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支付</w:t>
      </w:r>
      <w:r>
        <w:rPr>
          <w:rFonts w:hint="eastAsia" w:asciiTheme="minorEastAsia" w:hAnsiTheme="minorEastAsia" w:eastAsiaTheme="minorEastAsia" w:cstheme="minorEastAsia"/>
          <w:sz w:val="21"/>
          <w:szCs w:val="21"/>
          <w:highlight w:val="none"/>
          <w:lang w:val="en-US" w:eastAsia="zh-CN"/>
        </w:rPr>
        <w:t>方式</w:t>
      </w:r>
      <w:r>
        <w:rPr>
          <w:rFonts w:hint="eastAsia" w:asciiTheme="minorEastAsia" w:hAnsiTheme="minorEastAsia" w:eastAsiaTheme="minorEastAsia" w:cstheme="minorEastAsia"/>
          <w:sz w:val="21"/>
          <w:szCs w:val="21"/>
          <w:highlight w:val="none"/>
        </w:rPr>
        <w:t>：</w:t>
      </w:r>
    </w:p>
    <w:p>
      <w:pPr>
        <w:keepNext w:val="0"/>
        <w:keepLines w:val="0"/>
        <w:pageBreakBefore w:val="0"/>
        <w:numPr>
          <w:ilvl w:val="0"/>
          <w:numId w:val="23"/>
        </w:numPr>
        <w:tabs>
          <w:tab w:val="left" w:pos="1080"/>
          <w:tab w:val="clear" w:pos="2579"/>
        </w:tabs>
        <w:kinsoku/>
        <w:wordWrap/>
        <w:overflowPunct/>
        <w:autoSpaceDE/>
        <w:autoSpaceDN/>
        <w:bidi w:val="0"/>
        <w:spacing w:line="360" w:lineRule="exact"/>
        <w:ind w:left="1080" w:right="-153" w:hanging="540"/>
        <w:textAlignment w:val="auto"/>
        <w:rPr>
          <w:rFonts w:hint="eastAsia" w:asciiTheme="minorEastAsia" w:hAnsiTheme="minorEastAsia" w:eastAsiaTheme="minorEastAsia" w:cstheme="minorEastAsia"/>
          <w:sz w:val="21"/>
          <w:szCs w:val="21"/>
          <w:highlight w:val="none"/>
          <w:lang w:val="en-US" w:eastAsia="zh-CN"/>
        </w:rPr>
      </w:pPr>
      <w:r>
        <w:rPr>
          <w:rFonts w:hint="eastAsia" w:asciiTheme="minorEastAsia" w:hAnsiTheme="minorEastAsia" w:eastAsiaTheme="minorEastAsia" w:cstheme="minorEastAsia"/>
          <w:sz w:val="21"/>
          <w:szCs w:val="21"/>
          <w:highlight w:val="none"/>
          <w:lang w:val="en-US" w:eastAsia="zh-CN"/>
        </w:rPr>
        <w:t>以实际诊断服务企业数量乘以乙方报价单价进行结算。</w:t>
      </w:r>
    </w:p>
    <w:p>
      <w:pPr>
        <w:keepNext w:val="0"/>
        <w:keepLines w:val="0"/>
        <w:pageBreakBefore w:val="0"/>
        <w:numPr>
          <w:ilvl w:val="0"/>
          <w:numId w:val="23"/>
        </w:numPr>
        <w:tabs>
          <w:tab w:val="left" w:pos="1080"/>
          <w:tab w:val="clear" w:pos="2579"/>
        </w:tabs>
        <w:kinsoku/>
        <w:wordWrap/>
        <w:overflowPunct/>
        <w:autoSpaceDE/>
        <w:autoSpaceDN/>
        <w:bidi w:val="0"/>
        <w:spacing w:line="360" w:lineRule="exact"/>
        <w:ind w:left="1080" w:right="-153" w:hanging="540"/>
        <w:textAlignment w:val="auto"/>
        <w:rPr>
          <w:rFonts w:hint="eastAsia" w:asciiTheme="minorEastAsia" w:hAnsiTheme="minorEastAsia" w:eastAsiaTheme="minorEastAsia" w:cstheme="minorEastAsia"/>
          <w:sz w:val="21"/>
          <w:szCs w:val="21"/>
          <w:highlight w:val="none"/>
          <w:lang w:val="en-US" w:eastAsia="zh-CN"/>
        </w:rPr>
      </w:pPr>
      <w:r>
        <w:rPr>
          <w:rFonts w:hint="eastAsia" w:asciiTheme="minorEastAsia" w:hAnsiTheme="minorEastAsia" w:eastAsiaTheme="minorEastAsia" w:cstheme="minorEastAsia"/>
          <w:sz w:val="21"/>
          <w:szCs w:val="21"/>
          <w:highlight w:val="none"/>
          <w:lang w:val="en-US" w:eastAsia="zh-CN"/>
        </w:rPr>
        <w:t>对于诊断报告内容雷同率较高，企业和专家评价认可度较低，综合评定不通过的，不予以支付。</w:t>
      </w:r>
    </w:p>
    <w:p>
      <w:pPr>
        <w:keepNext w:val="0"/>
        <w:keepLines w:val="0"/>
        <w:pageBreakBefore w:val="0"/>
        <w:numPr>
          <w:ilvl w:val="0"/>
          <w:numId w:val="23"/>
        </w:numPr>
        <w:tabs>
          <w:tab w:val="left" w:pos="1080"/>
          <w:tab w:val="clear" w:pos="2579"/>
        </w:tabs>
        <w:kinsoku/>
        <w:wordWrap/>
        <w:overflowPunct/>
        <w:autoSpaceDE/>
        <w:autoSpaceDN/>
        <w:bidi w:val="0"/>
        <w:spacing w:line="360" w:lineRule="exact"/>
        <w:ind w:left="1080" w:right="-153" w:hanging="540"/>
        <w:textAlignment w:val="auto"/>
        <w:rPr>
          <w:rFonts w:hint="eastAsia" w:asciiTheme="minorEastAsia" w:hAnsiTheme="minorEastAsia" w:eastAsiaTheme="minorEastAsia" w:cstheme="minorEastAsia"/>
          <w:sz w:val="21"/>
          <w:szCs w:val="21"/>
          <w:highlight w:val="none"/>
          <w:lang w:val="en-US" w:eastAsia="zh-CN"/>
        </w:rPr>
      </w:pPr>
      <w:r>
        <w:rPr>
          <w:rFonts w:hint="eastAsia" w:asciiTheme="minorEastAsia" w:hAnsiTheme="minorEastAsia" w:eastAsiaTheme="minorEastAsia" w:cstheme="minorEastAsia"/>
          <w:sz w:val="21"/>
          <w:szCs w:val="21"/>
          <w:highlight w:val="none"/>
          <w:lang w:val="en-US" w:eastAsia="zh-CN"/>
        </w:rPr>
        <w:t>合同签订后，支付合同金额的20%，诊断服务结束且甲方验收合格后支付尾款。每次付款前，乙方应提前十日提供合法足额发票，否则甲方付款时间顺延。</w:t>
      </w:r>
    </w:p>
    <w:p>
      <w:pPr>
        <w:keepNext w:val="0"/>
        <w:keepLines w:val="0"/>
        <w:pageBreakBefore w:val="0"/>
        <w:numPr>
          <w:ilvl w:val="1"/>
          <w:numId w:val="17"/>
        </w:numPr>
        <w:kinsoku/>
        <w:wordWrap/>
        <w:overflowPunct/>
        <w:autoSpaceDE/>
        <w:autoSpaceDN/>
        <w:bidi w:val="0"/>
        <w:spacing w:line="360" w:lineRule="exact"/>
        <w:textAlignment w:val="auto"/>
        <w:rPr>
          <w:rFonts w:hint="eastAsia" w:asciiTheme="minorEastAsia" w:hAnsiTheme="minorEastAsia" w:eastAsiaTheme="minorEastAsia" w:cstheme="minorEastAsia"/>
          <w:kern w:val="0"/>
          <w:sz w:val="21"/>
          <w:szCs w:val="21"/>
          <w:highlight w:val="none"/>
        </w:rPr>
      </w:pPr>
      <w:r>
        <w:rPr>
          <w:rFonts w:hint="eastAsia" w:asciiTheme="minorEastAsia" w:hAnsiTheme="minorEastAsia" w:eastAsiaTheme="minorEastAsia" w:cstheme="minorEastAsia"/>
          <w:kern w:val="0"/>
          <w:sz w:val="21"/>
          <w:szCs w:val="21"/>
          <w:highlight w:val="none"/>
        </w:rPr>
        <w:t>甲方支付此项费用外不再承担其它任何费用（包括个人），服务人员的薪金、福利、休假日补贴等由乙方付给，与甲方无关。</w:t>
      </w:r>
    </w:p>
    <w:p>
      <w:pPr>
        <w:keepNext w:val="0"/>
        <w:keepLines w:val="0"/>
        <w:pageBreakBefore w:val="0"/>
        <w:numPr>
          <w:ilvl w:val="1"/>
          <w:numId w:val="17"/>
        </w:numPr>
        <w:tabs>
          <w:tab w:val="left" w:pos="540"/>
          <w:tab w:val="clear" w:pos="567"/>
        </w:tabs>
        <w:kinsoku/>
        <w:wordWrap/>
        <w:overflowPunct/>
        <w:autoSpaceDE/>
        <w:autoSpaceDN/>
        <w:bidi w:val="0"/>
        <w:spacing w:line="360" w:lineRule="exact"/>
        <w:ind w:left="540" w:hanging="540"/>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乙方要求付款应提供以下资料：</w:t>
      </w:r>
    </w:p>
    <w:p>
      <w:pPr>
        <w:keepNext w:val="0"/>
        <w:keepLines w:val="0"/>
        <w:pageBreakBefore w:val="0"/>
        <w:numPr>
          <w:ilvl w:val="0"/>
          <w:numId w:val="24"/>
        </w:numPr>
        <w:tabs>
          <w:tab w:val="left" w:pos="1080"/>
          <w:tab w:val="clear" w:pos="2579"/>
        </w:tabs>
        <w:kinsoku/>
        <w:wordWrap/>
        <w:overflowPunct/>
        <w:autoSpaceDE/>
        <w:autoSpaceDN/>
        <w:bidi w:val="0"/>
        <w:spacing w:line="360" w:lineRule="exact"/>
        <w:ind w:left="1080" w:right="-153" w:hanging="540"/>
        <w:textAlignment w:val="auto"/>
        <w:rPr>
          <w:rFonts w:hint="eastAsia" w:asciiTheme="minorEastAsia" w:hAnsiTheme="minorEastAsia" w:eastAsiaTheme="minorEastAsia" w:cstheme="minorEastAsia"/>
          <w:sz w:val="21"/>
          <w:szCs w:val="21"/>
          <w:highlight w:val="none"/>
          <w:lang w:val="en-US" w:eastAsia="zh-CN"/>
        </w:rPr>
      </w:pPr>
      <w:r>
        <w:rPr>
          <w:rFonts w:hint="eastAsia" w:asciiTheme="minorEastAsia" w:hAnsiTheme="minorEastAsia" w:eastAsiaTheme="minorEastAsia" w:cstheme="minorEastAsia"/>
          <w:sz w:val="21"/>
          <w:szCs w:val="21"/>
          <w:highlight w:val="none"/>
          <w:lang w:eastAsia="zh-CN"/>
        </w:rPr>
        <w:t>合</w:t>
      </w:r>
      <w:r>
        <w:rPr>
          <w:rFonts w:hint="eastAsia" w:asciiTheme="minorEastAsia" w:hAnsiTheme="minorEastAsia" w:eastAsiaTheme="minorEastAsia" w:cstheme="minorEastAsia"/>
          <w:sz w:val="21"/>
          <w:szCs w:val="21"/>
          <w:highlight w:val="none"/>
          <w:lang w:val="en-US" w:eastAsia="zh-CN"/>
        </w:rPr>
        <w:t>格的发票。</w:t>
      </w:r>
    </w:p>
    <w:p>
      <w:pPr>
        <w:keepNext w:val="0"/>
        <w:keepLines w:val="0"/>
        <w:pageBreakBefore w:val="0"/>
        <w:numPr>
          <w:ilvl w:val="0"/>
          <w:numId w:val="24"/>
        </w:numPr>
        <w:tabs>
          <w:tab w:val="left" w:pos="1080"/>
          <w:tab w:val="clear" w:pos="2579"/>
        </w:tabs>
        <w:kinsoku/>
        <w:wordWrap/>
        <w:overflowPunct/>
        <w:autoSpaceDE/>
        <w:autoSpaceDN/>
        <w:bidi w:val="0"/>
        <w:spacing w:line="360" w:lineRule="exact"/>
        <w:ind w:left="1080" w:right="-153" w:hanging="540"/>
        <w:textAlignment w:val="auto"/>
        <w:rPr>
          <w:rFonts w:hint="eastAsia" w:asciiTheme="minorEastAsia" w:hAnsiTheme="minorEastAsia" w:eastAsiaTheme="minorEastAsia" w:cstheme="minorEastAsia"/>
          <w:sz w:val="21"/>
          <w:szCs w:val="21"/>
          <w:highlight w:val="none"/>
          <w:lang w:val="en-US" w:eastAsia="zh-CN"/>
        </w:rPr>
      </w:pPr>
      <w:r>
        <w:rPr>
          <w:rFonts w:hint="eastAsia" w:asciiTheme="minorEastAsia" w:hAnsiTheme="minorEastAsia" w:eastAsiaTheme="minorEastAsia" w:cstheme="minorEastAsia"/>
          <w:sz w:val="21"/>
          <w:szCs w:val="21"/>
          <w:highlight w:val="none"/>
          <w:lang w:val="en-US" w:eastAsia="zh-CN"/>
        </w:rPr>
        <w:t>由甲乙双方及第三方绩效评价（监理）机构签章的《履行验收报告》。</w:t>
      </w:r>
    </w:p>
    <w:p>
      <w:pPr>
        <w:keepNext w:val="0"/>
        <w:keepLines w:val="0"/>
        <w:pageBreakBefore w:val="0"/>
        <w:numPr>
          <w:ilvl w:val="0"/>
          <w:numId w:val="24"/>
        </w:numPr>
        <w:tabs>
          <w:tab w:val="left" w:pos="1080"/>
          <w:tab w:val="clear" w:pos="2579"/>
        </w:tabs>
        <w:kinsoku/>
        <w:wordWrap/>
        <w:overflowPunct/>
        <w:autoSpaceDE/>
        <w:autoSpaceDN/>
        <w:bidi w:val="0"/>
        <w:spacing w:line="360" w:lineRule="exact"/>
        <w:ind w:left="1080" w:right="-153" w:hanging="540"/>
        <w:textAlignment w:val="auto"/>
        <w:rPr>
          <w:rFonts w:hint="eastAsia" w:asciiTheme="minorEastAsia" w:hAnsiTheme="minorEastAsia" w:eastAsiaTheme="minorEastAsia" w:cstheme="minorEastAsia"/>
          <w:sz w:val="21"/>
          <w:szCs w:val="21"/>
          <w:highlight w:val="none"/>
          <w:lang w:val="en-US" w:eastAsia="zh-CN"/>
        </w:rPr>
      </w:pPr>
      <w:r>
        <w:rPr>
          <w:rFonts w:hint="eastAsia" w:asciiTheme="minorEastAsia" w:hAnsiTheme="minorEastAsia" w:eastAsiaTheme="minorEastAsia" w:cstheme="minorEastAsia"/>
          <w:sz w:val="21"/>
          <w:szCs w:val="21"/>
          <w:highlight w:val="none"/>
          <w:lang w:val="en-US" w:eastAsia="zh-CN"/>
        </w:rPr>
        <w:t>支付方式：银行汇票或转账。</w:t>
      </w:r>
    </w:p>
    <w:p>
      <w:pPr>
        <w:keepNext w:val="0"/>
        <w:keepLines w:val="0"/>
        <w:pageBreakBefore w:val="0"/>
        <w:numPr>
          <w:ilvl w:val="0"/>
          <w:numId w:val="17"/>
        </w:numPr>
        <w:tabs>
          <w:tab w:val="left" w:pos="540"/>
          <w:tab w:val="clear" w:pos="425"/>
        </w:tabs>
        <w:kinsoku/>
        <w:wordWrap/>
        <w:overflowPunct/>
        <w:autoSpaceDE/>
        <w:autoSpaceDN/>
        <w:bidi w:val="0"/>
        <w:spacing w:line="360" w:lineRule="exact"/>
        <w:ind w:left="540" w:hanging="540"/>
        <w:textAlignment w:val="auto"/>
        <w:rPr>
          <w:rFonts w:hint="eastAsia" w:asciiTheme="minorEastAsia" w:hAnsiTheme="minorEastAsia" w:eastAsiaTheme="minorEastAsia" w:cstheme="minorEastAsia"/>
          <w:b/>
          <w:sz w:val="21"/>
          <w:szCs w:val="21"/>
          <w:highlight w:val="none"/>
        </w:rPr>
      </w:pPr>
      <w:r>
        <w:rPr>
          <w:rFonts w:hint="eastAsia" w:asciiTheme="minorEastAsia" w:hAnsiTheme="minorEastAsia" w:eastAsiaTheme="minorEastAsia" w:cstheme="minorEastAsia"/>
          <w:b/>
          <w:sz w:val="21"/>
          <w:szCs w:val="21"/>
          <w:highlight w:val="none"/>
        </w:rPr>
        <w:t>甲方的权利和义务</w:t>
      </w:r>
    </w:p>
    <w:p>
      <w:pPr>
        <w:keepNext w:val="0"/>
        <w:keepLines w:val="0"/>
        <w:pageBreakBefore w:val="0"/>
        <w:numPr>
          <w:ilvl w:val="1"/>
          <w:numId w:val="17"/>
        </w:numPr>
        <w:tabs>
          <w:tab w:val="left" w:pos="540"/>
          <w:tab w:val="clear" w:pos="567"/>
        </w:tabs>
        <w:kinsoku/>
        <w:wordWrap/>
        <w:overflowPunct/>
        <w:autoSpaceDE/>
        <w:autoSpaceDN/>
        <w:bidi w:val="0"/>
        <w:spacing w:line="360" w:lineRule="exact"/>
        <w:ind w:left="540" w:hanging="540"/>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甲方有权根据业务推进情况，要求乙方对服务情况进行反馈。</w:t>
      </w:r>
    </w:p>
    <w:p>
      <w:pPr>
        <w:keepNext w:val="0"/>
        <w:keepLines w:val="0"/>
        <w:pageBreakBefore w:val="0"/>
        <w:numPr>
          <w:ilvl w:val="1"/>
          <w:numId w:val="17"/>
        </w:numPr>
        <w:tabs>
          <w:tab w:val="left" w:pos="540"/>
          <w:tab w:val="clear" w:pos="567"/>
        </w:tabs>
        <w:kinsoku/>
        <w:wordWrap/>
        <w:overflowPunct/>
        <w:autoSpaceDE/>
        <w:autoSpaceDN/>
        <w:bidi w:val="0"/>
        <w:spacing w:line="360" w:lineRule="exact"/>
        <w:ind w:left="540" w:hanging="540"/>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甲方有权根据业务推进情况，对乙方服务的企业进行走访调研。</w:t>
      </w:r>
    </w:p>
    <w:p>
      <w:pPr>
        <w:keepNext w:val="0"/>
        <w:keepLines w:val="0"/>
        <w:pageBreakBefore w:val="0"/>
        <w:numPr>
          <w:ilvl w:val="1"/>
          <w:numId w:val="17"/>
        </w:numPr>
        <w:tabs>
          <w:tab w:val="left" w:pos="540"/>
          <w:tab w:val="clear" w:pos="567"/>
        </w:tabs>
        <w:kinsoku/>
        <w:wordWrap/>
        <w:overflowPunct/>
        <w:autoSpaceDE/>
        <w:autoSpaceDN/>
        <w:bidi w:val="0"/>
        <w:spacing w:line="360" w:lineRule="exact"/>
        <w:ind w:left="540" w:hanging="540"/>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因被诊断企业自身原因提出中断诊断服务时，甲方需配合乙方进行被诊断企业调整。</w:t>
      </w:r>
    </w:p>
    <w:p>
      <w:pPr>
        <w:keepNext w:val="0"/>
        <w:keepLines w:val="0"/>
        <w:pageBreakBefore w:val="0"/>
        <w:numPr>
          <w:ilvl w:val="0"/>
          <w:numId w:val="17"/>
        </w:numPr>
        <w:tabs>
          <w:tab w:val="left" w:pos="540"/>
          <w:tab w:val="clear" w:pos="425"/>
        </w:tabs>
        <w:kinsoku/>
        <w:wordWrap/>
        <w:overflowPunct/>
        <w:autoSpaceDE/>
        <w:autoSpaceDN/>
        <w:bidi w:val="0"/>
        <w:spacing w:line="360" w:lineRule="exact"/>
        <w:ind w:left="540" w:hanging="540"/>
        <w:textAlignment w:val="auto"/>
        <w:rPr>
          <w:rFonts w:hint="eastAsia" w:asciiTheme="minorEastAsia" w:hAnsiTheme="minorEastAsia" w:eastAsiaTheme="minorEastAsia" w:cstheme="minorEastAsia"/>
          <w:b/>
          <w:sz w:val="21"/>
          <w:szCs w:val="21"/>
          <w:highlight w:val="none"/>
        </w:rPr>
      </w:pPr>
      <w:r>
        <w:rPr>
          <w:rFonts w:hint="eastAsia" w:asciiTheme="minorEastAsia" w:hAnsiTheme="minorEastAsia" w:eastAsiaTheme="minorEastAsia" w:cstheme="minorEastAsia"/>
          <w:b/>
          <w:sz w:val="21"/>
          <w:szCs w:val="21"/>
          <w:highlight w:val="none"/>
        </w:rPr>
        <w:t>乙方的权利和义务</w:t>
      </w:r>
    </w:p>
    <w:p>
      <w:pPr>
        <w:keepNext w:val="0"/>
        <w:keepLines w:val="0"/>
        <w:pageBreakBefore w:val="0"/>
        <w:numPr>
          <w:ilvl w:val="1"/>
          <w:numId w:val="17"/>
        </w:numPr>
        <w:tabs>
          <w:tab w:val="left" w:pos="540"/>
          <w:tab w:val="clear" w:pos="567"/>
        </w:tabs>
        <w:kinsoku/>
        <w:wordWrap/>
        <w:overflowPunct/>
        <w:autoSpaceDE/>
        <w:autoSpaceDN/>
        <w:bidi w:val="0"/>
        <w:spacing w:line="360" w:lineRule="exact"/>
        <w:ind w:left="540" w:hanging="540"/>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乙方需按本合同约定的服务要求开展诊断服务，并配合甲方和</w:t>
      </w:r>
      <w:r>
        <w:rPr>
          <w:rFonts w:hint="eastAsia" w:asciiTheme="minorEastAsia" w:hAnsiTheme="minorEastAsia" w:eastAsiaTheme="minorEastAsia" w:cstheme="minorEastAsia"/>
          <w:sz w:val="21"/>
          <w:szCs w:val="21"/>
          <w:highlight w:val="none"/>
          <w:lang w:val="en-US" w:eastAsia="zh-CN"/>
        </w:rPr>
        <w:t>智改数转</w:t>
      </w:r>
      <w:r>
        <w:rPr>
          <w:rFonts w:hint="eastAsia" w:asciiTheme="minorEastAsia" w:hAnsiTheme="minorEastAsia" w:eastAsiaTheme="minorEastAsia" w:cstheme="minorEastAsia"/>
          <w:sz w:val="21"/>
          <w:szCs w:val="21"/>
          <w:highlight w:val="none"/>
        </w:rPr>
        <w:t>诊断服务监理方的工作。</w:t>
      </w:r>
    </w:p>
    <w:p>
      <w:pPr>
        <w:keepNext w:val="0"/>
        <w:keepLines w:val="0"/>
        <w:pageBreakBefore w:val="0"/>
        <w:numPr>
          <w:ilvl w:val="1"/>
          <w:numId w:val="17"/>
        </w:numPr>
        <w:tabs>
          <w:tab w:val="left" w:pos="540"/>
          <w:tab w:val="clear" w:pos="567"/>
        </w:tabs>
        <w:kinsoku/>
        <w:wordWrap/>
        <w:overflowPunct/>
        <w:autoSpaceDE/>
        <w:autoSpaceDN/>
        <w:bidi w:val="0"/>
        <w:spacing w:line="360" w:lineRule="exact"/>
        <w:ind w:left="540" w:hanging="540"/>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因被诊断企业自身原因提出中断诊断服务时，乙方可建议甲方进行被诊断企业调整。</w:t>
      </w:r>
    </w:p>
    <w:p>
      <w:pPr>
        <w:keepNext w:val="0"/>
        <w:keepLines w:val="0"/>
        <w:pageBreakBefore w:val="0"/>
        <w:numPr>
          <w:ilvl w:val="1"/>
          <w:numId w:val="17"/>
        </w:numPr>
        <w:tabs>
          <w:tab w:val="left" w:pos="540"/>
          <w:tab w:val="clear" w:pos="567"/>
        </w:tabs>
        <w:kinsoku/>
        <w:wordWrap/>
        <w:overflowPunct/>
        <w:autoSpaceDE/>
        <w:autoSpaceDN/>
        <w:bidi w:val="0"/>
        <w:spacing w:line="360" w:lineRule="exact"/>
        <w:ind w:left="540" w:hanging="540"/>
        <w:textAlignment w:val="auto"/>
        <w:rPr>
          <w:rFonts w:hint="eastAsia" w:asciiTheme="minorEastAsia" w:hAnsiTheme="minorEastAsia" w:eastAsiaTheme="minorEastAsia" w:cstheme="minorEastAsia"/>
          <w:b/>
          <w:bCs/>
          <w:sz w:val="21"/>
          <w:szCs w:val="21"/>
          <w:highlight w:val="none"/>
        </w:rPr>
      </w:pPr>
      <w:r>
        <w:rPr>
          <w:rFonts w:hint="eastAsia" w:asciiTheme="minorEastAsia" w:hAnsiTheme="minorEastAsia" w:eastAsiaTheme="minorEastAsia" w:cstheme="minorEastAsia"/>
          <w:b/>
          <w:bCs/>
          <w:sz w:val="21"/>
          <w:szCs w:val="21"/>
          <w:highlight w:val="none"/>
        </w:rPr>
        <w:t>现场诊断服务时，乙方需配合甲方对诊断服务人员进行身份核对。</w:t>
      </w:r>
    </w:p>
    <w:p>
      <w:pPr>
        <w:keepNext w:val="0"/>
        <w:keepLines w:val="0"/>
        <w:pageBreakBefore w:val="0"/>
        <w:numPr>
          <w:ilvl w:val="1"/>
          <w:numId w:val="17"/>
        </w:numPr>
        <w:tabs>
          <w:tab w:val="left" w:pos="540"/>
          <w:tab w:val="clear" w:pos="567"/>
        </w:tabs>
        <w:kinsoku/>
        <w:wordWrap/>
        <w:overflowPunct/>
        <w:autoSpaceDE/>
        <w:autoSpaceDN/>
        <w:bidi w:val="0"/>
        <w:spacing w:line="360" w:lineRule="exact"/>
        <w:ind w:left="540" w:hanging="540"/>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b/>
          <w:bCs/>
          <w:sz w:val="21"/>
          <w:szCs w:val="21"/>
          <w:highlight w:val="none"/>
        </w:rPr>
        <w:t>乙方须严格根据中标文件中提供的</w:t>
      </w:r>
      <w:r>
        <w:rPr>
          <w:rFonts w:hint="eastAsia" w:asciiTheme="minorEastAsia" w:hAnsiTheme="minorEastAsia" w:eastAsiaTheme="minorEastAsia" w:cstheme="minorEastAsia"/>
          <w:b/>
          <w:bCs/>
          <w:sz w:val="21"/>
          <w:szCs w:val="21"/>
          <w:highlight w:val="none"/>
          <w:lang w:val="en-US" w:eastAsia="zh-CN"/>
        </w:rPr>
        <w:t>项目组成员一览</w:t>
      </w:r>
      <w:r>
        <w:rPr>
          <w:rFonts w:hint="eastAsia" w:asciiTheme="minorEastAsia" w:hAnsiTheme="minorEastAsia" w:eastAsiaTheme="minorEastAsia" w:cstheme="minorEastAsia"/>
          <w:b/>
          <w:bCs/>
          <w:sz w:val="21"/>
          <w:szCs w:val="21"/>
          <w:highlight w:val="none"/>
        </w:rPr>
        <w:t>表内人员，对被诊断企业开展诊断服务。如因特定需求诊断服务现场需增加外聘专家的，需提前向监理方提出书面申请并经备案后开展。外聘专家数量不得超过现场诊断人员的50%。外聘专家的费用由乙方承担。</w:t>
      </w:r>
    </w:p>
    <w:p>
      <w:pPr>
        <w:keepNext w:val="0"/>
        <w:keepLines w:val="0"/>
        <w:pageBreakBefore w:val="0"/>
        <w:numPr>
          <w:ilvl w:val="0"/>
          <w:numId w:val="17"/>
        </w:numPr>
        <w:tabs>
          <w:tab w:val="left" w:pos="540"/>
          <w:tab w:val="clear" w:pos="425"/>
        </w:tabs>
        <w:kinsoku/>
        <w:wordWrap/>
        <w:overflowPunct/>
        <w:autoSpaceDE/>
        <w:autoSpaceDN/>
        <w:bidi w:val="0"/>
        <w:spacing w:line="360" w:lineRule="exact"/>
        <w:ind w:left="540" w:hanging="540"/>
        <w:textAlignment w:val="auto"/>
        <w:rPr>
          <w:rFonts w:hint="eastAsia" w:asciiTheme="minorEastAsia" w:hAnsiTheme="minorEastAsia" w:eastAsiaTheme="minorEastAsia" w:cstheme="minorEastAsia"/>
          <w:b/>
          <w:sz w:val="21"/>
          <w:szCs w:val="21"/>
          <w:highlight w:val="none"/>
        </w:rPr>
      </w:pPr>
      <w:r>
        <w:rPr>
          <w:rFonts w:hint="eastAsia" w:asciiTheme="minorEastAsia" w:hAnsiTheme="minorEastAsia" w:eastAsiaTheme="minorEastAsia" w:cstheme="minorEastAsia"/>
          <w:b/>
          <w:sz w:val="21"/>
          <w:szCs w:val="21"/>
          <w:highlight w:val="none"/>
          <w:lang w:val="en-US" w:eastAsia="zh-CN"/>
        </w:rPr>
        <w:t>其他</w:t>
      </w:r>
      <w:r>
        <w:rPr>
          <w:rFonts w:hint="eastAsia" w:asciiTheme="minorEastAsia" w:hAnsiTheme="minorEastAsia" w:eastAsiaTheme="minorEastAsia" w:cstheme="minorEastAsia"/>
          <w:b/>
          <w:sz w:val="21"/>
          <w:szCs w:val="21"/>
          <w:highlight w:val="none"/>
        </w:rPr>
        <w:t>要求</w:t>
      </w:r>
    </w:p>
    <w:p>
      <w:pPr>
        <w:keepNext w:val="0"/>
        <w:keepLines w:val="0"/>
        <w:pageBreakBefore w:val="0"/>
        <w:numPr>
          <w:ilvl w:val="1"/>
          <w:numId w:val="17"/>
        </w:numPr>
        <w:tabs>
          <w:tab w:val="left" w:pos="540"/>
          <w:tab w:val="clear" w:pos="567"/>
        </w:tabs>
        <w:kinsoku/>
        <w:wordWrap/>
        <w:overflowPunct/>
        <w:autoSpaceDE/>
        <w:autoSpaceDN/>
        <w:bidi w:val="0"/>
        <w:spacing w:line="360" w:lineRule="exact"/>
        <w:ind w:left="540" w:hanging="540"/>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lang w:val="en-US" w:eastAsia="zh-CN"/>
        </w:rPr>
        <w:t>乙方</w:t>
      </w:r>
      <w:r>
        <w:rPr>
          <w:rFonts w:hint="eastAsia" w:asciiTheme="minorEastAsia" w:hAnsiTheme="minorEastAsia" w:eastAsiaTheme="minorEastAsia" w:cstheme="minorEastAsia"/>
          <w:sz w:val="21"/>
          <w:szCs w:val="21"/>
          <w:highlight w:val="none"/>
        </w:rPr>
        <w:t>须与被服务企业签订保密协议，对各类文档、资料、数据及相关信息承担保密责任，并承诺未经被服务企业书面许可，不得对外泄露。</w:t>
      </w:r>
    </w:p>
    <w:p>
      <w:pPr>
        <w:keepNext w:val="0"/>
        <w:keepLines w:val="0"/>
        <w:pageBreakBefore w:val="0"/>
        <w:numPr>
          <w:ilvl w:val="1"/>
          <w:numId w:val="17"/>
        </w:numPr>
        <w:tabs>
          <w:tab w:val="left" w:pos="540"/>
          <w:tab w:val="clear" w:pos="567"/>
        </w:tabs>
        <w:kinsoku/>
        <w:wordWrap/>
        <w:overflowPunct/>
        <w:autoSpaceDE/>
        <w:autoSpaceDN/>
        <w:bidi w:val="0"/>
        <w:spacing w:line="360" w:lineRule="exact"/>
        <w:ind w:left="540" w:hanging="540"/>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lang w:val="en-US" w:eastAsia="zh-CN"/>
        </w:rPr>
        <w:t>乙方</w:t>
      </w:r>
      <w:r>
        <w:rPr>
          <w:rFonts w:hint="eastAsia" w:asciiTheme="minorEastAsia" w:hAnsiTheme="minorEastAsia" w:eastAsiaTheme="minorEastAsia" w:cstheme="minorEastAsia"/>
          <w:sz w:val="21"/>
          <w:szCs w:val="21"/>
          <w:highlight w:val="none"/>
        </w:rPr>
        <w:t>为被服务企业相关系统和信息安全的第一责任人，乙方及其工作人员违反保密规定或者法律及本合同规定的其他禁止性规定，所引起的一切后果及法律责任由乙方承担。</w:t>
      </w:r>
    </w:p>
    <w:p>
      <w:pPr>
        <w:keepNext w:val="0"/>
        <w:keepLines w:val="0"/>
        <w:pageBreakBefore w:val="0"/>
        <w:numPr>
          <w:ilvl w:val="1"/>
          <w:numId w:val="17"/>
        </w:numPr>
        <w:tabs>
          <w:tab w:val="left" w:pos="540"/>
          <w:tab w:val="clear" w:pos="567"/>
        </w:tabs>
        <w:kinsoku/>
        <w:wordWrap/>
        <w:overflowPunct/>
        <w:autoSpaceDE/>
        <w:autoSpaceDN/>
        <w:bidi w:val="0"/>
        <w:spacing w:line="360" w:lineRule="exact"/>
        <w:ind w:left="540" w:hanging="540"/>
        <w:textAlignment w:val="auto"/>
        <w:rPr>
          <w:rFonts w:hint="eastAsia" w:asciiTheme="minorEastAsia" w:hAnsiTheme="minorEastAsia" w:eastAsiaTheme="minorEastAsia" w:cstheme="minorEastAsia"/>
          <w:sz w:val="21"/>
          <w:szCs w:val="21"/>
          <w:highlight w:val="none"/>
          <w:lang w:val="en-US" w:eastAsia="zh-CN"/>
        </w:rPr>
      </w:pPr>
      <w:r>
        <w:rPr>
          <w:rFonts w:hint="eastAsia" w:asciiTheme="minorEastAsia" w:hAnsiTheme="minorEastAsia" w:eastAsiaTheme="minorEastAsia" w:cstheme="minorEastAsia"/>
          <w:sz w:val="21"/>
          <w:szCs w:val="21"/>
          <w:highlight w:val="none"/>
          <w:lang w:val="en-US" w:eastAsia="zh-CN"/>
        </w:rPr>
        <w:t>乙方</w:t>
      </w:r>
      <w:r>
        <w:rPr>
          <w:rFonts w:hint="eastAsia" w:asciiTheme="minorEastAsia" w:hAnsiTheme="minorEastAsia" w:eastAsiaTheme="minorEastAsia" w:cstheme="minorEastAsia"/>
          <w:sz w:val="21"/>
          <w:szCs w:val="21"/>
          <w:highlight w:val="none"/>
        </w:rPr>
        <w:t>制定完善、合理、规范、详细的诊断计划，配备人员数量应满足项目需要，严格按照服务实施计划进行，不得因为职责和时间交叉影响项目的完成进度。</w:t>
      </w:r>
    </w:p>
    <w:p>
      <w:pPr>
        <w:keepNext w:val="0"/>
        <w:keepLines w:val="0"/>
        <w:pageBreakBefore w:val="0"/>
        <w:numPr>
          <w:ilvl w:val="1"/>
          <w:numId w:val="17"/>
        </w:numPr>
        <w:tabs>
          <w:tab w:val="left" w:pos="540"/>
          <w:tab w:val="clear" w:pos="567"/>
        </w:tabs>
        <w:kinsoku/>
        <w:wordWrap/>
        <w:overflowPunct/>
        <w:autoSpaceDE/>
        <w:autoSpaceDN/>
        <w:bidi w:val="0"/>
        <w:spacing w:line="360" w:lineRule="exact"/>
        <w:ind w:left="540" w:hanging="540"/>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明确提出为完成项目需要被服务企业提供的保障条件，包括工作环境要求、配合技术人员要求等。</w:t>
      </w:r>
    </w:p>
    <w:p>
      <w:pPr>
        <w:keepNext w:val="0"/>
        <w:keepLines w:val="0"/>
        <w:pageBreakBefore w:val="0"/>
        <w:numPr>
          <w:ilvl w:val="1"/>
          <w:numId w:val="17"/>
        </w:numPr>
        <w:tabs>
          <w:tab w:val="left" w:pos="540"/>
          <w:tab w:val="clear" w:pos="567"/>
        </w:tabs>
        <w:kinsoku/>
        <w:wordWrap/>
        <w:overflowPunct/>
        <w:autoSpaceDE/>
        <w:autoSpaceDN/>
        <w:bidi w:val="0"/>
        <w:spacing w:line="360" w:lineRule="exact"/>
        <w:ind w:left="540" w:hanging="540"/>
        <w:textAlignment w:val="auto"/>
        <w:rPr>
          <w:rFonts w:hint="default" w:asciiTheme="minorEastAsia" w:hAnsiTheme="minorEastAsia" w:eastAsiaTheme="minorEastAsia" w:cstheme="minorEastAsia"/>
          <w:sz w:val="21"/>
          <w:szCs w:val="21"/>
          <w:highlight w:val="none"/>
          <w:lang w:val="en-US" w:eastAsia="zh-CN"/>
        </w:rPr>
      </w:pPr>
      <w:r>
        <w:rPr>
          <w:rFonts w:hint="eastAsia" w:asciiTheme="minorEastAsia" w:hAnsiTheme="minorEastAsia" w:eastAsiaTheme="minorEastAsia" w:cstheme="minorEastAsia"/>
          <w:sz w:val="21"/>
          <w:szCs w:val="21"/>
          <w:highlight w:val="none"/>
          <w:lang w:val="en-US" w:eastAsia="zh-CN"/>
        </w:rPr>
        <w:t>甲方</w:t>
      </w:r>
      <w:r>
        <w:rPr>
          <w:rFonts w:hint="eastAsia" w:asciiTheme="minorEastAsia" w:hAnsiTheme="minorEastAsia" w:eastAsiaTheme="minorEastAsia" w:cstheme="minorEastAsia"/>
          <w:sz w:val="21"/>
          <w:szCs w:val="21"/>
          <w:highlight w:val="none"/>
        </w:rPr>
        <w:t>可指派一名技术专家，一起参与诊断。</w:t>
      </w:r>
    </w:p>
    <w:p>
      <w:pPr>
        <w:keepNext w:val="0"/>
        <w:keepLines w:val="0"/>
        <w:pageBreakBefore w:val="0"/>
        <w:numPr>
          <w:ilvl w:val="0"/>
          <w:numId w:val="17"/>
        </w:numPr>
        <w:tabs>
          <w:tab w:val="left" w:pos="540"/>
          <w:tab w:val="clear" w:pos="425"/>
        </w:tabs>
        <w:kinsoku/>
        <w:wordWrap/>
        <w:overflowPunct/>
        <w:autoSpaceDE/>
        <w:autoSpaceDN/>
        <w:bidi w:val="0"/>
        <w:spacing w:line="360" w:lineRule="exact"/>
        <w:ind w:left="540" w:hanging="540"/>
        <w:textAlignment w:val="auto"/>
        <w:rPr>
          <w:rFonts w:hint="eastAsia" w:asciiTheme="minorEastAsia" w:hAnsiTheme="minorEastAsia" w:eastAsiaTheme="minorEastAsia" w:cstheme="minorEastAsia"/>
          <w:b/>
          <w:sz w:val="21"/>
          <w:szCs w:val="21"/>
          <w:highlight w:val="none"/>
        </w:rPr>
      </w:pPr>
      <w:r>
        <w:rPr>
          <w:rFonts w:hint="eastAsia" w:asciiTheme="minorEastAsia" w:hAnsiTheme="minorEastAsia" w:eastAsiaTheme="minorEastAsia" w:cstheme="minorEastAsia"/>
          <w:b/>
          <w:sz w:val="21"/>
          <w:szCs w:val="21"/>
          <w:highlight w:val="none"/>
        </w:rPr>
        <w:t>违约责任</w:t>
      </w:r>
    </w:p>
    <w:p>
      <w:pPr>
        <w:keepNext w:val="0"/>
        <w:keepLines w:val="0"/>
        <w:pageBreakBefore w:val="0"/>
        <w:numPr>
          <w:ilvl w:val="1"/>
          <w:numId w:val="17"/>
        </w:numPr>
        <w:tabs>
          <w:tab w:val="left" w:pos="540"/>
          <w:tab w:val="clear" w:pos="567"/>
        </w:tabs>
        <w:kinsoku/>
        <w:wordWrap/>
        <w:overflowPunct/>
        <w:autoSpaceDE/>
        <w:autoSpaceDN/>
        <w:bidi w:val="0"/>
        <w:spacing w:line="360" w:lineRule="exact"/>
        <w:ind w:left="540" w:hanging="540"/>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甲方违约责任及违约金支付：</w:t>
      </w:r>
    </w:p>
    <w:p>
      <w:pPr>
        <w:keepNext w:val="0"/>
        <w:keepLines w:val="0"/>
        <w:pageBreakBefore w:val="0"/>
        <w:numPr>
          <w:ilvl w:val="0"/>
          <w:numId w:val="25"/>
        </w:numPr>
        <w:tabs>
          <w:tab w:val="left" w:pos="1080"/>
          <w:tab w:val="clear" w:pos="2579"/>
        </w:tabs>
        <w:kinsoku/>
        <w:wordWrap/>
        <w:overflowPunct/>
        <w:autoSpaceDE/>
        <w:autoSpaceDN/>
        <w:bidi w:val="0"/>
        <w:spacing w:line="360" w:lineRule="exact"/>
        <w:ind w:left="1080" w:right="-153" w:hanging="540"/>
        <w:textAlignment w:val="auto"/>
        <w:rPr>
          <w:rFonts w:hint="eastAsia" w:asciiTheme="minorEastAsia" w:hAnsiTheme="minorEastAsia" w:eastAsiaTheme="minorEastAsia" w:cstheme="minorEastAsia"/>
          <w:sz w:val="21"/>
          <w:szCs w:val="21"/>
          <w:highlight w:val="none"/>
          <w:lang w:eastAsia="zh-CN"/>
        </w:rPr>
      </w:pPr>
      <w:r>
        <w:rPr>
          <w:rFonts w:hint="eastAsia" w:asciiTheme="minorEastAsia" w:hAnsiTheme="minorEastAsia" w:eastAsiaTheme="minorEastAsia" w:cstheme="minorEastAsia"/>
          <w:sz w:val="21"/>
          <w:szCs w:val="21"/>
          <w:highlight w:val="none"/>
          <w:lang w:eastAsia="zh-CN"/>
        </w:rPr>
        <w:t>在合同生效后，甲方无理由要求终止服务的，应向乙方偿付合同总价款的5%，作为违约金，违约金不足以补偿损失的，乙方有权要求甲方补足。</w:t>
      </w:r>
    </w:p>
    <w:p>
      <w:pPr>
        <w:keepNext w:val="0"/>
        <w:keepLines w:val="0"/>
        <w:pageBreakBefore w:val="0"/>
        <w:numPr>
          <w:ilvl w:val="0"/>
          <w:numId w:val="25"/>
        </w:numPr>
        <w:tabs>
          <w:tab w:val="left" w:pos="1080"/>
          <w:tab w:val="clear" w:pos="2579"/>
        </w:tabs>
        <w:kinsoku/>
        <w:wordWrap/>
        <w:overflowPunct/>
        <w:autoSpaceDE/>
        <w:autoSpaceDN/>
        <w:bidi w:val="0"/>
        <w:spacing w:line="360" w:lineRule="exact"/>
        <w:ind w:left="1080" w:right="-153" w:hanging="540"/>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lang w:eastAsia="zh-CN"/>
        </w:rPr>
        <w:t xml:space="preserve">甲方违反合同规定，拒绝接受乙方提供服务，应当承担乙方由此造成的损失。    </w:t>
      </w:r>
      <w:r>
        <w:rPr>
          <w:rFonts w:hint="eastAsia" w:asciiTheme="minorEastAsia" w:hAnsiTheme="minorEastAsia" w:eastAsiaTheme="minorEastAsia" w:cstheme="minorEastAsia"/>
          <w:sz w:val="21"/>
          <w:szCs w:val="21"/>
          <w:highlight w:val="none"/>
        </w:rPr>
        <w:t xml:space="preserve">                                     </w:t>
      </w:r>
    </w:p>
    <w:p>
      <w:pPr>
        <w:keepNext w:val="0"/>
        <w:keepLines w:val="0"/>
        <w:pageBreakBefore w:val="0"/>
        <w:numPr>
          <w:ilvl w:val="1"/>
          <w:numId w:val="17"/>
        </w:numPr>
        <w:tabs>
          <w:tab w:val="left" w:pos="540"/>
          <w:tab w:val="clear" w:pos="567"/>
        </w:tabs>
        <w:kinsoku/>
        <w:wordWrap/>
        <w:overflowPunct/>
        <w:autoSpaceDE/>
        <w:autoSpaceDN/>
        <w:bidi w:val="0"/>
        <w:spacing w:line="360" w:lineRule="exact"/>
        <w:ind w:left="540" w:hanging="540"/>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乙方违约责任及违约金支付：</w:t>
      </w:r>
    </w:p>
    <w:p>
      <w:pPr>
        <w:keepNext w:val="0"/>
        <w:keepLines w:val="0"/>
        <w:pageBreakBefore w:val="0"/>
        <w:numPr>
          <w:ilvl w:val="0"/>
          <w:numId w:val="26"/>
        </w:numPr>
        <w:tabs>
          <w:tab w:val="left" w:pos="1080"/>
          <w:tab w:val="clear" w:pos="2579"/>
        </w:tabs>
        <w:kinsoku/>
        <w:wordWrap/>
        <w:overflowPunct/>
        <w:autoSpaceDE/>
        <w:autoSpaceDN/>
        <w:bidi w:val="0"/>
        <w:spacing w:line="360" w:lineRule="exact"/>
        <w:ind w:left="1080" w:right="-153" w:hanging="540"/>
        <w:textAlignment w:val="auto"/>
        <w:rPr>
          <w:rFonts w:hint="eastAsia" w:asciiTheme="minorEastAsia" w:hAnsiTheme="minorEastAsia" w:eastAsiaTheme="minorEastAsia" w:cstheme="minorEastAsia"/>
          <w:sz w:val="21"/>
          <w:szCs w:val="21"/>
          <w:highlight w:val="none"/>
          <w:lang w:eastAsia="zh-CN"/>
        </w:rPr>
      </w:pPr>
      <w:r>
        <w:rPr>
          <w:rFonts w:hint="eastAsia" w:asciiTheme="minorEastAsia" w:hAnsiTheme="minorEastAsia" w:eastAsiaTheme="minorEastAsia" w:cstheme="minorEastAsia"/>
          <w:sz w:val="21"/>
          <w:szCs w:val="21"/>
          <w:highlight w:val="none"/>
          <w:lang w:eastAsia="zh-CN"/>
        </w:rPr>
        <w:t>乙方不能提供服务的，或服务不合格从而影响甲方按期正常使用的，应向甲方偿付合同总价款5%的违约金，违约金不足以补偿损失的甲方有权要求乙方补足。</w:t>
      </w:r>
    </w:p>
    <w:p>
      <w:pPr>
        <w:keepNext w:val="0"/>
        <w:keepLines w:val="0"/>
        <w:pageBreakBefore w:val="0"/>
        <w:numPr>
          <w:ilvl w:val="0"/>
          <w:numId w:val="26"/>
        </w:numPr>
        <w:tabs>
          <w:tab w:val="left" w:pos="1080"/>
          <w:tab w:val="clear" w:pos="2579"/>
        </w:tabs>
        <w:kinsoku/>
        <w:wordWrap/>
        <w:overflowPunct/>
        <w:autoSpaceDE/>
        <w:autoSpaceDN/>
        <w:bidi w:val="0"/>
        <w:spacing w:line="360" w:lineRule="exact"/>
        <w:ind w:left="1080" w:right="-153" w:hanging="540"/>
        <w:textAlignment w:val="auto"/>
        <w:rPr>
          <w:rFonts w:hint="eastAsia" w:asciiTheme="minorEastAsia" w:hAnsiTheme="minorEastAsia" w:eastAsiaTheme="minorEastAsia" w:cstheme="minorEastAsia"/>
          <w:sz w:val="21"/>
          <w:szCs w:val="21"/>
          <w:highlight w:val="none"/>
          <w:lang w:eastAsia="zh-CN"/>
        </w:rPr>
      </w:pPr>
      <w:r>
        <w:rPr>
          <w:rFonts w:hint="eastAsia" w:asciiTheme="minorEastAsia" w:hAnsiTheme="minorEastAsia" w:eastAsiaTheme="minorEastAsia" w:cstheme="minorEastAsia"/>
          <w:sz w:val="21"/>
          <w:szCs w:val="21"/>
          <w:highlight w:val="none"/>
          <w:lang w:eastAsia="zh-CN"/>
        </w:rPr>
        <w:t>乙方不能按甲方要求履行服务的，应与甲方和政府采购管理部门协商，甲方仍需求的，乙方应立即提供服务按照逾期服务的每天万分之四支付逾期违约金，同时承担甲方因此遭致的损失费用。</w:t>
      </w:r>
    </w:p>
    <w:p>
      <w:pPr>
        <w:keepNext w:val="0"/>
        <w:keepLines w:val="0"/>
        <w:pageBreakBefore w:val="0"/>
        <w:numPr>
          <w:ilvl w:val="0"/>
          <w:numId w:val="26"/>
        </w:numPr>
        <w:tabs>
          <w:tab w:val="left" w:pos="1080"/>
          <w:tab w:val="clear" w:pos="2579"/>
        </w:tabs>
        <w:kinsoku/>
        <w:wordWrap/>
        <w:overflowPunct/>
        <w:autoSpaceDE/>
        <w:autoSpaceDN/>
        <w:bidi w:val="0"/>
        <w:spacing w:line="360" w:lineRule="exact"/>
        <w:ind w:left="1080" w:right="-153" w:hanging="540"/>
        <w:textAlignment w:val="auto"/>
        <w:rPr>
          <w:rFonts w:hint="eastAsia" w:asciiTheme="minorEastAsia" w:hAnsiTheme="minorEastAsia" w:eastAsiaTheme="minorEastAsia" w:cstheme="minorEastAsia"/>
          <w:b/>
          <w:bCs/>
          <w:sz w:val="21"/>
          <w:szCs w:val="21"/>
          <w:highlight w:val="none"/>
          <w:lang w:eastAsia="zh-CN"/>
        </w:rPr>
      </w:pPr>
      <w:r>
        <w:rPr>
          <w:rFonts w:hint="eastAsia" w:asciiTheme="minorEastAsia" w:hAnsiTheme="minorEastAsia" w:eastAsiaTheme="minorEastAsia" w:cstheme="minorEastAsia"/>
          <w:b/>
          <w:bCs/>
          <w:sz w:val="21"/>
          <w:szCs w:val="21"/>
          <w:highlight w:val="none"/>
          <w:lang w:val="en-US" w:eastAsia="zh-CN"/>
        </w:rPr>
        <w:t>乙方</w:t>
      </w:r>
      <w:r>
        <w:rPr>
          <w:rFonts w:hint="eastAsia" w:asciiTheme="minorEastAsia" w:hAnsiTheme="minorEastAsia" w:eastAsiaTheme="minorEastAsia" w:cstheme="minorEastAsia"/>
          <w:b/>
          <w:bCs/>
          <w:sz w:val="21"/>
          <w:szCs w:val="21"/>
          <w:highlight w:val="none"/>
          <w:lang w:eastAsia="zh-CN"/>
        </w:rPr>
        <w:t>投标文件中列出的团队，必须参与现场诊断。如发现并核实乙方到现场诊断服务人员不在中标文件中提供的</w:t>
      </w:r>
      <w:r>
        <w:rPr>
          <w:rFonts w:hint="eastAsia" w:asciiTheme="minorEastAsia" w:hAnsiTheme="minorEastAsia" w:eastAsiaTheme="minorEastAsia" w:cstheme="minorEastAsia"/>
          <w:b/>
          <w:bCs/>
          <w:sz w:val="21"/>
          <w:szCs w:val="21"/>
          <w:highlight w:val="none"/>
          <w:lang w:val="en-US" w:eastAsia="zh-CN"/>
        </w:rPr>
        <w:t>项目组成员一览</w:t>
      </w:r>
      <w:r>
        <w:rPr>
          <w:rFonts w:hint="eastAsia" w:asciiTheme="minorEastAsia" w:hAnsiTheme="minorEastAsia" w:eastAsiaTheme="minorEastAsia" w:cstheme="minorEastAsia"/>
          <w:b/>
          <w:bCs/>
          <w:sz w:val="21"/>
          <w:szCs w:val="21"/>
          <w:highlight w:val="none"/>
          <w:lang w:eastAsia="zh-CN"/>
        </w:rPr>
        <w:t>表或报备的外聘专家内，每出现一次，乙方应支付合同总价款的5%作为违约金，违约金不足以补偿损失的，甲方有权要求乙方补足。违约【三】次以上的，甲方有权解除本合同。</w:t>
      </w:r>
    </w:p>
    <w:p>
      <w:pPr>
        <w:keepNext w:val="0"/>
        <w:keepLines w:val="0"/>
        <w:pageBreakBefore w:val="0"/>
        <w:numPr>
          <w:ilvl w:val="0"/>
          <w:numId w:val="17"/>
        </w:numPr>
        <w:tabs>
          <w:tab w:val="left" w:pos="540"/>
          <w:tab w:val="clear" w:pos="425"/>
        </w:tabs>
        <w:kinsoku/>
        <w:wordWrap/>
        <w:overflowPunct/>
        <w:autoSpaceDE/>
        <w:autoSpaceDN/>
        <w:bidi w:val="0"/>
        <w:spacing w:line="360" w:lineRule="exact"/>
        <w:ind w:left="540" w:hanging="540"/>
        <w:textAlignment w:val="auto"/>
        <w:rPr>
          <w:rFonts w:hint="eastAsia" w:asciiTheme="minorEastAsia" w:hAnsiTheme="minorEastAsia" w:eastAsiaTheme="minorEastAsia" w:cstheme="minorEastAsia"/>
          <w:b/>
          <w:sz w:val="21"/>
          <w:szCs w:val="21"/>
          <w:highlight w:val="none"/>
        </w:rPr>
      </w:pPr>
      <w:r>
        <w:rPr>
          <w:rFonts w:hint="eastAsia" w:asciiTheme="minorEastAsia" w:hAnsiTheme="minorEastAsia" w:eastAsiaTheme="minorEastAsia" w:cstheme="minorEastAsia"/>
          <w:b/>
          <w:sz w:val="21"/>
          <w:szCs w:val="21"/>
          <w:highlight w:val="none"/>
        </w:rPr>
        <w:t>不可抗力</w:t>
      </w:r>
    </w:p>
    <w:p>
      <w:pPr>
        <w:keepNext w:val="0"/>
        <w:keepLines w:val="0"/>
        <w:pageBreakBefore w:val="0"/>
        <w:numPr>
          <w:ilvl w:val="1"/>
          <w:numId w:val="17"/>
        </w:numPr>
        <w:tabs>
          <w:tab w:val="left" w:pos="540"/>
          <w:tab w:val="clear" w:pos="567"/>
        </w:tabs>
        <w:kinsoku/>
        <w:wordWrap/>
        <w:overflowPunct/>
        <w:autoSpaceDE/>
        <w:autoSpaceDN/>
        <w:bidi w:val="0"/>
        <w:spacing w:line="360" w:lineRule="exact"/>
        <w:ind w:left="540" w:hanging="540"/>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因不可抗力不能履行合同的，根据不可抗力的影响，部分或者全部免除责任。但合同一方延迟履行后发生不可抗力的，不能免除责任。</w:t>
      </w:r>
    </w:p>
    <w:p>
      <w:pPr>
        <w:keepNext w:val="0"/>
        <w:keepLines w:val="0"/>
        <w:pageBreakBefore w:val="0"/>
        <w:numPr>
          <w:ilvl w:val="1"/>
          <w:numId w:val="17"/>
        </w:numPr>
        <w:tabs>
          <w:tab w:val="left" w:pos="540"/>
          <w:tab w:val="clear" w:pos="567"/>
        </w:tabs>
        <w:kinsoku/>
        <w:wordWrap/>
        <w:overflowPunct/>
        <w:autoSpaceDE/>
        <w:autoSpaceDN/>
        <w:bidi w:val="0"/>
        <w:spacing w:line="360" w:lineRule="exact"/>
        <w:ind w:left="540" w:hanging="540"/>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合同一方因不可抗力不能履行合同的，应当及时通知对方，以减轻可能给对方造成的损失，并应当在合理期限内提供证明。</w:t>
      </w:r>
    </w:p>
    <w:p>
      <w:pPr>
        <w:keepNext w:val="0"/>
        <w:keepLines w:val="0"/>
        <w:pageBreakBefore w:val="0"/>
        <w:numPr>
          <w:ilvl w:val="0"/>
          <w:numId w:val="17"/>
        </w:numPr>
        <w:tabs>
          <w:tab w:val="left" w:pos="540"/>
          <w:tab w:val="clear" w:pos="425"/>
        </w:tabs>
        <w:kinsoku/>
        <w:wordWrap/>
        <w:overflowPunct/>
        <w:autoSpaceDE/>
        <w:autoSpaceDN/>
        <w:bidi w:val="0"/>
        <w:spacing w:line="360" w:lineRule="exact"/>
        <w:ind w:left="540" w:hanging="540"/>
        <w:textAlignment w:val="auto"/>
        <w:rPr>
          <w:rFonts w:hint="eastAsia" w:asciiTheme="minorEastAsia" w:hAnsiTheme="minorEastAsia" w:eastAsiaTheme="minorEastAsia" w:cstheme="minorEastAsia"/>
          <w:b/>
          <w:sz w:val="21"/>
          <w:szCs w:val="21"/>
          <w:highlight w:val="none"/>
        </w:rPr>
      </w:pPr>
      <w:r>
        <w:rPr>
          <w:rFonts w:hint="eastAsia" w:asciiTheme="minorEastAsia" w:hAnsiTheme="minorEastAsia" w:eastAsiaTheme="minorEastAsia" w:cstheme="minorEastAsia"/>
          <w:b/>
          <w:sz w:val="21"/>
          <w:szCs w:val="21"/>
          <w:highlight w:val="none"/>
        </w:rPr>
        <w:t>合同修改</w:t>
      </w:r>
    </w:p>
    <w:p>
      <w:pPr>
        <w:keepNext w:val="0"/>
        <w:keepLines w:val="0"/>
        <w:pageBreakBefore w:val="0"/>
        <w:numPr>
          <w:ilvl w:val="1"/>
          <w:numId w:val="17"/>
        </w:numPr>
        <w:tabs>
          <w:tab w:val="left" w:pos="540"/>
          <w:tab w:val="clear" w:pos="567"/>
        </w:tabs>
        <w:kinsoku/>
        <w:wordWrap/>
        <w:overflowPunct/>
        <w:autoSpaceDE/>
        <w:autoSpaceDN/>
        <w:bidi w:val="0"/>
        <w:spacing w:line="360" w:lineRule="exact"/>
        <w:ind w:left="540" w:hanging="540"/>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甲方和乙方都不得擅自变更本合同，但合同继续履行将损害国家和社会公共利益的除外。</w:t>
      </w:r>
    </w:p>
    <w:p>
      <w:pPr>
        <w:keepNext w:val="0"/>
        <w:keepLines w:val="0"/>
        <w:pageBreakBefore w:val="0"/>
        <w:numPr>
          <w:ilvl w:val="0"/>
          <w:numId w:val="17"/>
        </w:numPr>
        <w:tabs>
          <w:tab w:val="left" w:pos="540"/>
          <w:tab w:val="clear" w:pos="425"/>
        </w:tabs>
        <w:kinsoku/>
        <w:wordWrap/>
        <w:overflowPunct/>
        <w:autoSpaceDE/>
        <w:autoSpaceDN/>
        <w:bidi w:val="0"/>
        <w:spacing w:line="360" w:lineRule="exact"/>
        <w:ind w:left="540" w:hanging="540"/>
        <w:textAlignment w:val="auto"/>
        <w:rPr>
          <w:rFonts w:hint="eastAsia" w:asciiTheme="minorEastAsia" w:hAnsiTheme="minorEastAsia" w:eastAsiaTheme="minorEastAsia" w:cstheme="minorEastAsia"/>
          <w:b/>
          <w:sz w:val="21"/>
          <w:szCs w:val="21"/>
          <w:highlight w:val="none"/>
        </w:rPr>
      </w:pPr>
      <w:r>
        <w:rPr>
          <w:rFonts w:hint="eastAsia" w:asciiTheme="minorEastAsia" w:hAnsiTheme="minorEastAsia" w:eastAsiaTheme="minorEastAsia" w:cstheme="minorEastAsia"/>
          <w:b/>
          <w:sz w:val="21"/>
          <w:szCs w:val="21"/>
          <w:highlight w:val="none"/>
        </w:rPr>
        <w:t>转让和分包</w:t>
      </w:r>
    </w:p>
    <w:p>
      <w:pPr>
        <w:keepNext w:val="0"/>
        <w:keepLines w:val="0"/>
        <w:pageBreakBefore w:val="0"/>
        <w:numPr>
          <w:ilvl w:val="1"/>
          <w:numId w:val="17"/>
        </w:numPr>
        <w:tabs>
          <w:tab w:val="left" w:pos="540"/>
          <w:tab w:val="clear" w:pos="567"/>
        </w:tabs>
        <w:kinsoku/>
        <w:wordWrap/>
        <w:overflowPunct/>
        <w:autoSpaceDE/>
        <w:autoSpaceDN/>
        <w:bidi w:val="0"/>
        <w:spacing w:line="360" w:lineRule="exact"/>
        <w:ind w:left="540" w:hanging="540"/>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政府采购合同的部分和全部都不得转让。</w:t>
      </w:r>
    </w:p>
    <w:p>
      <w:pPr>
        <w:keepNext w:val="0"/>
        <w:keepLines w:val="0"/>
        <w:pageBreakBefore w:val="0"/>
        <w:numPr>
          <w:ilvl w:val="1"/>
          <w:numId w:val="17"/>
        </w:numPr>
        <w:tabs>
          <w:tab w:val="left" w:pos="540"/>
          <w:tab w:val="clear" w:pos="567"/>
        </w:tabs>
        <w:kinsoku/>
        <w:wordWrap/>
        <w:overflowPunct/>
        <w:autoSpaceDE/>
        <w:autoSpaceDN/>
        <w:bidi w:val="0"/>
        <w:spacing w:line="360" w:lineRule="exact"/>
        <w:ind w:left="540" w:hanging="540"/>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经甲方和同级政府采购监督管理部门事先书面同意，乙方可以将合同项下非主体、非关键性工作分包给他人完成。接受分包的人应当具备相应的资格条件，并不得再次分包。分包后不能解除乙方履行本合同的责任和义务，接受分包的人与乙方共同对甲方连带承担合同的责任和义务。</w:t>
      </w:r>
    </w:p>
    <w:p>
      <w:pPr>
        <w:keepNext w:val="0"/>
        <w:keepLines w:val="0"/>
        <w:pageBreakBefore w:val="0"/>
        <w:numPr>
          <w:ilvl w:val="0"/>
          <w:numId w:val="17"/>
        </w:numPr>
        <w:tabs>
          <w:tab w:val="left" w:pos="540"/>
          <w:tab w:val="clear" w:pos="425"/>
        </w:tabs>
        <w:kinsoku/>
        <w:wordWrap/>
        <w:overflowPunct/>
        <w:autoSpaceDE/>
        <w:autoSpaceDN/>
        <w:bidi w:val="0"/>
        <w:spacing w:line="360" w:lineRule="exact"/>
        <w:ind w:left="540" w:hanging="540"/>
        <w:textAlignment w:val="auto"/>
        <w:rPr>
          <w:rFonts w:hint="eastAsia" w:asciiTheme="minorEastAsia" w:hAnsiTheme="minorEastAsia" w:eastAsiaTheme="minorEastAsia" w:cstheme="minorEastAsia"/>
          <w:b/>
          <w:sz w:val="21"/>
          <w:szCs w:val="21"/>
          <w:highlight w:val="none"/>
        </w:rPr>
      </w:pPr>
      <w:r>
        <w:rPr>
          <w:rFonts w:hint="eastAsia" w:asciiTheme="minorEastAsia" w:hAnsiTheme="minorEastAsia" w:eastAsiaTheme="minorEastAsia" w:cstheme="minorEastAsia"/>
          <w:b/>
          <w:sz w:val="21"/>
          <w:szCs w:val="21"/>
          <w:highlight w:val="none"/>
        </w:rPr>
        <w:t>合同的解除</w:t>
      </w:r>
    </w:p>
    <w:p>
      <w:pPr>
        <w:keepNext w:val="0"/>
        <w:keepLines w:val="0"/>
        <w:pageBreakBefore w:val="0"/>
        <w:numPr>
          <w:ilvl w:val="1"/>
          <w:numId w:val="17"/>
        </w:numPr>
        <w:tabs>
          <w:tab w:val="left" w:pos="540"/>
          <w:tab w:val="clear" w:pos="567"/>
        </w:tabs>
        <w:kinsoku/>
        <w:wordWrap/>
        <w:overflowPunct/>
        <w:autoSpaceDE/>
        <w:autoSpaceDN/>
        <w:bidi w:val="0"/>
        <w:spacing w:line="360" w:lineRule="exact"/>
        <w:ind w:left="540" w:hanging="540"/>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有下列情形之一，合同一方可以解除合同：</w:t>
      </w:r>
    </w:p>
    <w:p>
      <w:pPr>
        <w:keepNext w:val="0"/>
        <w:keepLines w:val="0"/>
        <w:pageBreakBefore w:val="0"/>
        <w:numPr>
          <w:ilvl w:val="0"/>
          <w:numId w:val="27"/>
        </w:numPr>
        <w:tabs>
          <w:tab w:val="left" w:pos="1080"/>
          <w:tab w:val="clear" w:pos="2579"/>
        </w:tabs>
        <w:kinsoku/>
        <w:wordWrap/>
        <w:overflowPunct/>
        <w:autoSpaceDE/>
        <w:autoSpaceDN/>
        <w:bidi w:val="0"/>
        <w:spacing w:line="360" w:lineRule="exact"/>
        <w:ind w:left="1080" w:right="-153" w:hanging="540"/>
        <w:textAlignment w:val="auto"/>
        <w:rPr>
          <w:rFonts w:hint="eastAsia" w:asciiTheme="minorEastAsia" w:hAnsiTheme="minorEastAsia" w:eastAsiaTheme="minorEastAsia" w:cstheme="minorEastAsia"/>
          <w:sz w:val="21"/>
          <w:szCs w:val="21"/>
          <w:highlight w:val="none"/>
          <w:lang w:eastAsia="zh-CN"/>
        </w:rPr>
      </w:pPr>
      <w:r>
        <w:rPr>
          <w:rFonts w:hint="eastAsia" w:asciiTheme="minorEastAsia" w:hAnsiTheme="minorEastAsia" w:eastAsiaTheme="minorEastAsia" w:cstheme="minorEastAsia"/>
          <w:sz w:val="21"/>
          <w:szCs w:val="21"/>
          <w:highlight w:val="none"/>
          <w:lang w:eastAsia="zh-CN"/>
        </w:rPr>
        <w:t>因不可抗力致使不能实现合同目的，未受不可抗力影响的一方有权解除合同；</w:t>
      </w:r>
    </w:p>
    <w:p>
      <w:pPr>
        <w:keepNext w:val="0"/>
        <w:keepLines w:val="0"/>
        <w:pageBreakBefore w:val="0"/>
        <w:numPr>
          <w:ilvl w:val="0"/>
          <w:numId w:val="27"/>
        </w:numPr>
        <w:tabs>
          <w:tab w:val="left" w:pos="1080"/>
          <w:tab w:val="clear" w:pos="2579"/>
        </w:tabs>
        <w:kinsoku/>
        <w:wordWrap/>
        <w:overflowPunct/>
        <w:autoSpaceDE/>
        <w:autoSpaceDN/>
        <w:bidi w:val="0"/>
        <w:spacing w:line="360" w:lineRule="exact"/>
        <w:ind w:left="1080" w:right="-153" w:hanging="540"/>
        <w:textAlignment w:val="auto"/>
        <w:rPr>
          <w:rFonts w:hint="eastAsia" w:asciiTheme="minorEastAsia" w:hAnsiTheme="minorEastAsia" w:eastAsiaTheme="minorEastAsia" w:cstheme="minorEastAsia"/>
          <w:sz w:val="21"/>
          <w:szCs w:val="21"/>
          <w:highlight w:val="none"/>
          <w:lang w:eastAsia="zh-CN"/>
        </w:rPr>
      </w:pPr>
      <w:r>
        <w:rPr>
          <w:rFonts w:hint="eastAsia" w:asciiTheme="minorEastAsia" w:hAnsiTheme="minorEastAsia" w:eastAsiaTheme="minorEastAsia" w:cstheme="minorEastAsia"/>
          <w:sz w:val="21"/>
          <w:szCs w:val="21"/>
          <w:highlight w:val="none"/>
          <w:lang w:eastAsia="zh-CN"/>
        </w:rPr>
        <w:t>因合同一方违约导致合同不能履行，另一方有权解除合同。</w:t>
      </w:r>
    </w:p>
    <w:p>
      <w:pPr>
        <w:keepNext w:val="0"/>
        <w:keepLines w:val="0"/>
        <w:pageBreakBefore w:val="0"/>
        <w:numPr>
          <w:ilvl w:val="1"/>
          <w:numId w:val="17"/>
        </w:numPr>
        <w:tabs>
          <w:tab w:val="left" w:pos="540"/>
          <w:tab w:val="clear" w:pos="567"/>
        </w:tabs>
        <w:kinsoku/>
        <w:wordWrap/>
        <w:overflowPunct/>
        <w:autoSpaceDE/>
        <w:autoSpaceDN/>
        <w:bidi w:val="0"/>
        <w:spacing w:line="360" w:lineRule="exact"/>
        <w:ind w:left="540" w:hanging="540"/>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有权解除合同的一方，应当在违约事实或不可抗力发生之后三十天内书面通知对方以主张解除合同，合同在书面通知到达对方时解除。</w:t>
      </w:r>
    </w:p>
    <w:p>
      <w:pPr>
        <w:keepNext w:val="0"/>
        <w:keepLines w:val="0"/>
        <w:pageBreakBefore w:val="0"/>
        <w:numPr>
          <w:ilvl w:val="0"/>
          <w:numId w:val="17"/>
        </w:numPr>
        <w:tabs>
          <w:tab w:val="left" w:pos="540"/>
          <w:tab w:val="clear" w:pos="425"/>
        </w:tabs>
        <w:kinsoku/>
        <w:wordWrap/>
        <w:overflowPunct/>
        <w:autoSpaceDE/>
        <w:autoSpaceDN/>
        <w:bidi w:val="0"/>
        <w:spacing w:line="360" w:lineRule="exact"/>
        <w:ind w:left="540" w:hanging="540"/>
        <w:textAlignment w:val="auto"/>
        <w:rPr>
          <w:rFonts w:hint="eastAsia" w:asciiTheme="minorEastAsia" w:hAnsiTheme="minorEastAsia" w:eastAsiaTheme="minorEastAsia" w:cstheme="minorEastAsia"/>
          <w:b/>
          <w:sz w:val="21"/>
          <w:szCs w:val="21"/>
          <w:highlight w:val="none"/>
        </w:rPr>
      </w:pPr>
      <w:r>
        <w:rPr>
          <w:rFonts w:hint="eastAsia" w:asciiTheme="minorEastAsia" w:hAnsiTheme="minorEastAsia" w:eastAsiaTheme="minorEastAsia" w:cstheme="minorEastAsia"/>
          <w:b/>
          <w:sz w:val="21"/>
          <w:szCs w:val="21"/>
          <w:highlight w:val="none"/>
        </w:rPr>
        <w:t>争议解决办法</w:t>
      </w:r>
    </w:p>
    <w:p>
      <w:pPr>
        <w:keepNext w:val="0"/>
        <w:keepLines w:val="0"/>
        <w:pageBreakBefore w:val="0"/>
        <w:numPr>
          <w:ilvl w:val="0"/>
          <w:numId w:val="0"/>
        </w:numPr>
        <w:tabs>
          <w:tab w:val="left" w:pos="540"/>
        </w:tabs>
        <w:kinsoku/>
        <w:wordWrap/>
        <w:overflowPunct/>
        <w:autoSpaceDE/>
        <w:autoSpaceDN/>
        <w:bidi w:val="0"/>
        <w:spacing w:line="360" w:lineRule="exact"/>
        <w:ind w:leftChars="0" w:firstLine="630" w:firstLineChars="300"/>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因本合同或与本合同有关的一切事项发生争议，由双方友好协商解决。协商不成的，任何一方均有权向甲方所在地人民法院提起诉讼。因乙方违反本合同约定或乙方追究甲方违约但不成立而产生纠纷的，甲方为处理此纠纷产生的费用由乙方承担，该费用包括但不限于保全费、诉讼费、执行费、鉴定费、律师费、差旅费等。</w:t>
      </w:r>
    </w:p>
    <w:p>
      <w:pPr>
        <w:keepNext w:val="0"/>
        <w:keepLines w:val="0"/>
        <w:pageBreakBefore w:val="0"/>
        <w:numPr>
          <w:ilvl w:val="0"/>
          <w:numId w:val="17"/>
        </w:numPr>
        <w:tabs>
          <w:tab w:val="left" w:pos="540"/>
          <w:tab w:val="clear" w:pos="425"/>
        </w:tabs>
        <w:kinsoku/>
        <w:wordWrap/>
        <w:overflowPunct/>
        <w:autoSpaceDE/>
        <w:autoSpaceDN/>
        <w:bidi w:val="0"/>
        <w:spacing w:line="360" w:lineRule="exact"/>
        <w:ind w:left="540" w:hanging="540"/>
        <w:textAlignment w:val="auto"/>
        <w:rPr>
          <w:rFonts w:hint="eastAsia" w:asciiTheme="minorEastAsia" w:hAnsiTheme="minorEastAsia" w:eastAsiaTheme="minorEastAsia" w:cstheme="minorEastAsia"/>
          <w:b/>
          <w:sz w:val="21"/>
          <w:szCs w:val="21"/>
          <w:highlight w:val="none"/>
        </w:rPr>
      </w:pPr>
      <w:r>
        <w:rPr>
          <w:rFonts w:hint="eastAsia" w:asciiTheme="minorEastAsia" w:hAnsiTheme="minorEastAsia" w:eastAsiaTheme="minorEastAsia" w:cstheme="minorEastAsia"/>
          <w:b/>
          <w:sz w:val="21"/>
          <w:szCs w:val="21"/>
          <w:highlight w:val="none"/>
        </w:rPr>
        <w:t>合同生效及其他</w:t>
      </w:r>
    </w:p>
    <w:p>
      <w:pPr>
        <w:keepNext w:val="0"/>
        <w:keepLines w:val="0"/>
        <w:pageBreakBefore w:val="0"/>
        <w:numPr>
          <w:ilvl w:val="1"/>
          <w:numId w:val="17"/>
        </w:numPr>
        <w:tabs>
          <w:tab w:val="left" w:pos="540"/>
          <w:tab w:val="clear" w:pos="567"/>
        </w:tabs>
        <w:kinsoku/>
        <w:wordWrap/>
        <w:overflowPunct/>
        <w:autoSpaceDE/>
        <w:autoSpaceDN/>
        <w:bidi w:val="0"/>
        <w:spacing w:line="360" w:lineRule="exact"/>
        <w:ind w:left="540" w:hanging="540"/>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本合同经双方签字并盖公章后生效。</w:t>
      </w:r>
    </w:p>
    <w:p>
      <w:pPr>
        <w:keepNext w:val="0"/>
        <w:keepLines w:val="0"/>
        <w:pageBreakBefore w:val="0"/>
        <w:numPr>
          <w:ilvl w:val="1"/>
          <w:numId w:val="17"/>
        </w:numPr>
        <w:tabs>
          <w:tab w:val="left" w:pos="540"/>
          <w:tab w:val="clear" w:pos="567"/>
        </w:tabs>
        <w:kinsoku/>
        <w:wordWrap/>
        <w:overflowPunct/>
        <w:autoSpaceDE/>
        <w:autoSpaceDN/>
        <w:bidi w:val="0"/>
        <w:spacing w:line="360" w:lineRule="exact"/>
        <w:ind w:left="540" w:hanging="540"/>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下列文件为本合同不可分割部分：</w:t>
      </w:r>
    </w:p>
    <w:p>
      <w:pPr>
        <w:keepNext w:val="0"/>
        <w:keepLines w:val="0"/>
        <w:pageBreakBefore w:val="0"/>
        <w:numPr>
          <w:ilvl w:val="0"/>
          <w:numId w:val="28"/>
        </w:numPr>
        <w:tabs>
          <w:tab w:val="left" w:pos="1080"/>
          <w:tab w:val="clear" w:pos="2579"/>
        </w:tabs>
        <w:kinsoku/>
        <w:wordWrap/>
        <w:overflowPunct/>
        <w:autoSpaceDE/>
        <w:autoSpaceDN/>
        <w:bidi w:val="0"/>
        <w:spacing w:line="360" w:lineRule="exact"/>
        <w:ind w:left="1080" w:right="-153" w:hanging="540"/>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成交通知书；</w:t>
      </w:r>
    </w:p>
    <w:p>
      <w:pPr>
        <w:keepNext w:val="0"/>
        <w:keepLines w:val="0"/>
        <w:pageBreakBefore w:val="0"/>
        <w:numPr>
          <w:ilvl w:val="0"/>
          <w:numId w:val="28"/>
        </w:numPr>
        <w:tabs>
          <w:tab w:val="left" w:pos="1080"/>
          <w:tab w:val="clear" w:pos="2579"/>
        </w:tabs>
        <w:kinsoku/>
        <w:wordWrap/>
        <w:overflowPunct/>
        <w:autoSpaceDE/>
        <w:autoSpaceDN/>
        <w:bidi w:val="0"/>
        <w:spacing w:line="360" w:lineRule="exact"/>
        <w:ind w:left="1080" w:right="-153" w:hanging="540"/>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乙方响应文件；</w:t>
      </w:r>
    </w:p>
    <w:p>
      <w:pPr>
        <w:keepNext w:val="0"/>
        <w:keepLines w:val="0"/>
        <w:pageBreakBefore w:val="0"/>
        <w:numPr>
          <w:ilvl w:val="0"/>
          <w:numId w:val="28"/>
        </w:numPr>
        <w:tabs>
          <w:tab w:val="left" w:pos="1080"/>
          <w:tab w:val="clear" w:pos="2579"/>
        </w:tabs>
        <w:kinsoku/>
        <w:wordWrap/>
        <w:overflowPunct/>
        <w:autoSpaceDE/>
        <w:autoSpaceDN/>
        <w:bidi w:val="0"/>
        <w:spacing w:line="360" w:lineRule="exact"/>
        <w:ind w:left="1080" w:right="-153" w:hanging="540"/>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招标文件；</w:t>
      </w:r>
    </w:p>
    <w:p>
      <w:pPr>
        <w:keepNext w:val="0"/>
        <w:keepLines w:val="0"/>
        <w:pageBreakBefore w:val="0"/>
        <w:numPr>
          <w:ilvl w:val="0"/>
          <w:numId w:val="17"/>
        </w:numPr>
        <w:tabs>
          <w:tab w:val="left" w:pos="540"/>
          <w:tab w:val="clear" w:pos="425"/>
        </w:tabs>
        <w:kinsoku/>
        <w:wordWrap/>
        <w:overflowPunct/>
        <w:autoSpaceDE/>
        <w:autoSpaceDN/>
        <w:bidi w:val="0"/>
        <w:spacing w:line="360" w:lineRule="exact"/>
        <w:ind w:left="540" w:hanging="540"/>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b/>
          <w:sz w:val="21"/>
          <w:szCs w:val="21"/>
          <w:highlight w:val="none"/>
        </w:rPr>
        <w:t>未尽事宜</w:t>
      </w:r>
    </w:p>
    <w:p>
      <w:pPr>
        <w:keepNext w:val="0"/>
        <w:keepLines w:val="0"/>
        <w:pageBreakBefore w:val="0"/>
        <w:numPr>
          <w:ilvl w:val="0"/>
          <w:numId w:val="0"/>
        </w:numPr>
        <w:tabs>
          <w:tab w:val="left" w:pos="540"/>
        </w:tabs>
        <w:kinsoku/>
        <w:wordWrap/>
        <w:overflowPunct/>
        <w:autoSpaceDE/>
        <w:autoSpaceDN/>
        <w:bidi w:val="0"/>
        <w:spacing w:line="360" w:lineRule="exact"/>
        <w:ind w:leftChars="0" w:firstLine="630" w:firstLineChars="300"/>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未尽事宜应按照《中华人民共和国</w:t>
      </w:r>
      <w:r>
        <w:rPr>
          <w:rFonts w:hint="eastAsia" w:asciiTheme="minorEastAsia" w:hAnsiTheme="minorEastAsia" w:eastAsiaTheme="minorEastAsia" w:cstheme="minorEastAsia"/>
          <w:sz w:val="21"/>
          <w:szCs w:val="21"/>
          <w:highlight w:val="none"/>
          <w:lang w:val="en-US" w:eastAsia="zh-CN"/>
        </w:rPr>
        <w:t>民法典</w:t>
      </w:r>
      <w:r>
        <w:rPr>
          <w:rFonts w:hint="eastAsia" w:asciiTheme="minorEastAsia" w:hAnsiTheme="minorEastAsia" w:eastAsiaTheme="minorEastAsia" w:cstheme="minorEastAsia"/>
          <w:sz w:val="21"/>
          <w:szCs w:val="21"/>
          <w:highlight w:val="none"/>
        </w:rPr>
        <w:t>》、《中华人民共和国政府采购法》等相关法律法规之规定解释。</w:t>
      </w:r>
    </w:p>
    <w:p>
      <w:pPr>
        <w:keepNext w:val="0"/>
        <w:keepLines w:val="0"/>
        <w:pageBreakBefore w:val="0"/>
        <w:numPr>
          <w:ilvl w:val="0"/>
          <w:numId w:val="17"/>
        </w:numPr>
        <w:tabs>
          <w:tab w:val="left" w:pos="540"/>
          <w:tab w:val="clear" w:pos="425"/>
        </w:tabs>
        <w:kinsoku/>
        <w:wordWrap/>
        <w:overflowPunct/>
        <w:autoSpaceDE/>
        <w:autoSpaceDN/>
        <w:bidi w:val="0"/>
        <w:spacing w:line="360" w:lineRule="exact"/>
        <w:ind w:left="540" w:hanging="540"/>
        <w:textAlignment w:val="auto"/>
        <w:rPr>
          <w:rFonts w:hint="eastAsia" w:asciiTheme="minorEastAsia" w:hAnsiTheme="minorEastAsia" w:eastAsiaTheme="minorEastAsia" w:cstheme="minorEastAsia"/>
          <w:b/>
          <w:sz w:val="21"/>
          <w:szCs w:val="21"/>
          <w:highlight w:val="none"/>
        </w:rPr>
      </w:pPr>
      <w:r>
        <w:rPr>
          <w:rFonts w:hint="eastAsia" w:asciiTheme="minorEastAsia" w:hAnsiTheme="minorEastAsia" w:eastAsiaTheme="minorEastAsia" w:cstheme="minorEastAsia"/>
          <w:b/>
          <w:sz w:val="21"/>
          <w:szCs w:val="21"/>
          <w:highlight w:val="none"/>
        </w:rPr>
        <w:t>附则</w:t>
      </w:r>
    </w:p>
    <w:p>
      <w:pPr>
        <w:keepNext w:val="0"/>
        <w:keepLines w:val="0"/>
        <w:pageBreakBefore w:val="0"/>
        <w:kinsoku/>
        <w:wordWrap/>
        <w:overflowPunct/>
        <w:autoSpaceDE/>
        <w:autoSpaceDN/>
        <w:bidi w:val="0"/>
        <w:spacing w:line="360" w:lineRule="exact"/>
        <w:ind w:firstLine="539" w:firstLineChars="257"/>
        <w:textAlignment w:val="auto"/>
        <w:rPr>
          <w:rFonts w:hint="eastAsia" w:asciiTheme="minorEastAsia" w:hAnsiTheme="minorEastAsia" w:eastAsiaTheme="minorEastAsia" w:cstheme="minorEastAsia"/>
          <w:sz w:val="21"/>
          <w:szCs w:val="21"/>
          <w:highlight w:val="none"/>
        </w:rPr>
      </w:pPr>
      <w:r>
        <w:rPr>
          <w:rFonts w:hint="eastAsia" w:asciiTheme="minorEastAsia" w:hAnsiTheme="minorEastAsia" w:eastAsiaTheme="minorEastAsia" w:cstheme="minorEastAsia"/>
          <w:sz w:val="21"/>
          <w:szCs w:val="21"/>
          <w:highlight w:val="none"/>
        </w:rPr>
        <w:t>本合同一式</w:t>
      </w:r>
      <w:r>
        <w:rPr>
          <w:rFonts w:hint="eastAsia" w:asciiTheme="minorEastAsia" w:hAnsiTheme="minorEastAsia" w:eastAsiaTheme="minorEastAsia" w:cstheme="minorEastAsia"/>
          <w:sz w:val="21"/>
          <w:szCs w:val="21"/>
          <w:highlight w:val="none"/>
          <w:u w:val="single"/>
        </w:rPr>
        <w:t>四</w:t>
      </w:r>
      <w:r>
        <w:rPr>
          <w:rFonts w:hint="eastAsia" w:asciiTheme="minorEastAsia" w:hAnsiTheme="minorEastAsia" w:eastAsiaTheme="minorEastAsia" w:cstheme="minorEastAsia"/>
          <w:sz w:val="21"/>
          <w:szCs w:val="21"/>
          <w:highlight w:val="none"/>
        </w:rPr>
        <w:t>份，甲、乙方各执</w:t>
      </w:r>
      <w:r>
        <w:rPr>
          <w:rFonts w:hint="eastAsia" w:asciiTheme="minorEastAsia" w:hAnsiTheme="minorEastAsia" w:eastAsiaTheme="minorEastAsia" w:cstheme="minorEastAsia"/>
          <w:sz w:val="21"/>
          <w:szCs w:val="21"/>
          <w:highlight w:val="none"/>
          <w:lang w:val="en-US" w:eastAsia="zh-CN"/>
        </w:rPr>
        <w:t>贰</w:t>
      </w:r>
      <w:r>
        <w:rPr>
          <w:rFonts w:hint="eastAsia" w:asciiTheme="minorEastAsia" w:hAnsiTheme="minorEastAsia" w:eastAsiaTheme="minorEastAsia" w:cstheme="minorEastAsia"/>
          <w:sz w:val="21"/>
          <w:szCs w:val="21"/>
          <w:highlight w:val="none"/>
        </w:rPr>
        <w:t>份。</w:t>
      </w:r>
    </w:p>
    <w:p>
      <w:pPr>
        <w:keepNext w:val="0"/>
        <w:keepLines w:val="0"/>
        <w:pageBreakBefore w:val="0"/>
        <w:kinsoku/>
        <w:wordWrap/>
        <w:overflowPunct/>
        <w:autoSpaceDE/>
        <w:autoSpaceDN/>
        <w:bidi w:val="0"/>
        <w:spacing w:line="360" w:lineRule="exact"/>
        <w:ind w:firstLine="420" w:firstLineChars="200"/>
        <w:textAlignment w:val="auto"/>
        <w:rPr>
          <w:rFonts w:hint="eastAsia" w:asciiTheme="minorEastAsia" w:hAnsiTheme="minorEastAsia" w:eastAsiaTheme="minorEastAsia" w:cstheme="minorEastAsia"/>
          <w:sz w:val="21"/>
          <w:szCs w:val="21"/>
          <w:highlight w:val="none"/>
        </w:rPr>
      </w:pPr>
    </w:p>
    <w:p>
      <w:pPr>
        <w:keepNext w:val="0"/>
        <w:keepLines w:val="0"/>
        <w:pageBreakBefore w:val="0"/>
        <w:kinsoku/>
        <w:wordWrap/>
        <w:overflowPunct/>
        <w:autoSpaceDE/>
        <w:autoSpaceDN/>
        <w:bidi w:val="0"/>
        <w:spacing w:line="360" w:lineRule="exact"/>
        <w:ind w:firstLine="630" w:firstLineChars="300"/>
        <w:textAlignment w:val="auto"/>
        <w:rPr>
          <w:rFonts w:hint="eastAsia" w:asciiTheme="minorEastAsia" w:hAnsiTheme="minorEastAsia" w:eastAsiaTheme="minorEastAsia" w:cstheme="minorEastAsia"/>
          <w:kern w:val="0"/>
          <w:sz w:val="21"/>
          <w:szCs w:val="21"/>
          <w:highlight w:val="none"/>
        </w:rPr>
      </w:pPr>
      <w:r>
        <w:rPr>
          <w:rFonts w:hint="eastAsia" w:asciiTheme="minorEastAsia" w:hAnsiTheme="minorEastAsia" w:eastAsiaTheme="minorEastAsia" w:cstheme="minorEastAsia"/>
          <w:kern w:val="0"/>
          <w:sz w:val="21"/>
          <w:szCs w:val="21"/>
          <w:highlight w:val="none"/>
        </w:rPr>
        <w:t>甲方（盖章）：</w:t>
      </w:r>
      <w:r>
        <w:rPr>
          <w:rFonts w:hint="eastAsia" w:asciiTheme="minorEastAsia" w:hAnsiTheme="minorEastAsia" w:eastAsiaTheme="minorEastAsia" w:cstheme="minorEastAsia"/>
          <w:kern w:val="0"/>
          <w:sz w:val="21"/>
          <w:szCs w:val="21"/>
          <w:highlight w:val="none"/>
        </w:rPr>
        <w:tab/>
      </w:r>
      <w:r>
        <w:rPr>
          <w:rFonts w:hint="eastAsia" w:asciiTheme="minorEastAsia" w:hAnsiTheme="minorEastAsia" w:eastAsiaTheme="minorEastAsia" w:cstheme="minorEastAsia"/>
          <w:kern w:val="0"/>
          <w:sz w:val="21"/>
          <w:szCs w:val="21"/>
          <w:highlight w:val="none"/>
        </w:rPr>
        <w:t xml:space="preserve">                                   乙方（盖章）：</w:t>
      </w:r>
      <w:r>
        <w:rPr>
          <w:rFonts w:hint="eastAsia" w:asciiTheme="minorEastAsia" w:hAnsiTheme="minorEastAsia" w:eastAsiaTheme="minorEastAsia" w:cstheme="minorEastAsia"/>
          <w:kern w:val="0"/>
          <w:sz w:val="21"/>
          <w:szCs w:val="21"/>
          <w:highlight w:val="none"/>
        </w:rPr>
        <w:tab/>
      </w:r>
    </w:p>
    <w:p>
      <w:pPr>
        <w:keepNext w:val="0"/>
        <w:keepLines w:val="0"/>
        <w:pageBreakBefore w:val="0"/>
        <w:kinsoku/>
        <w:wordWrap/>
        <w:overflowPunct/>
        <w:autoSpaceDE/>
        <w:autoSpaceDN/>
        <w:bidi w:val="0"/>
        <w:spacing w:line="360" w:lineRule="exact"/>
        <w:ind w:firstLine="630" w:firstLineChars="300"/>
        <w:textAlignment w:val="auto"/>
        <w:rPr>
          <w:rFonts w:hint="eastAsia" w:asciiTheme="minorEastAsia" w:hAnsiTheme="minorEastAsia" w:eastAsiaTheme="minorEastAsia" w:cstheme="minorEastAsia"/>
          <w:kern w:val="0"/>
          <w:sz w:val="21"/>
          <w:szCs w:val="21"/>
          <w:highlight w:val="none"/>
        </w:rPr>
      </w:pPr>
      <w:r>
        <w:rPr>
          <w:rFonts w:hint="eastAsia" w:asciiTheme="minorEastAsia" w:hAnsiTheme="minorEastAsia" w:eastAsiaTheme="minorEastAsia" w:cstheme="minorEastAsia"/>
          <w:kern w:val="0"/>
          <w:sz w:val="21"/>
          <w:szCs w:val="21"/>
          <w:highlight w:val="none"/>
        </w:rPr>
        <w:t>代表人（签字）：</w:t>
      </w:r>
      <w:r>
        <w:rPr>
          <w:rFonts w:hint="eastAsia" w:asciiTheme="minorEastAsia" w:hAnsiTheme="minorEastAsia" w:eastAsiaTheme="minorEastAsia" w:cstheme="minorEastAsia"/>
          <w:kern w:val="0"/>
          <w:sz w:val="21"/>
          <w:szCs w:val="21"/>
          <w:highlight w:val="none"/>
        </w:rPr>
        <w:tab/>
      </w:r>
      <w:r>
        <w:rPr>
          <w:rFonts w:hint="eastAsia" w:asciiTheme="minorEastAsia" w:hAnsiTheme="minorEastAsia" w:eastAsiaTheme="minorEastAsia" w:cstheme="minorEastAsia"/>
          <w:kern w:val="0"/>
          <w:sz w:val="21"/>
          <w:szCs w:val="21"/>
          <w:highlight w:val="none"/>
        </w:rPr>
        <w:t xml:space="preserve">                                   代表人（签字）：</w:t>
      </w:r>
      <w:r>
        <w:rPr>
          <w:rFonts w:hint="eastAsia" w:asciiTheme="minorEastAsia" w:hAnsiTheme="minorEastAsia" w:eastAsiaTheme="minorEastAsia" w:cstheme="minorEastAsia"/>
          <w:kern w:val="0"/>
          <w:sz w:val="21"/>
          <w:szCs w:val="21"/>
          <w:highlight w:val="none"/>
        </w:rPr>
        <w:tab/>
      </w:r>
    </w:p>
    <w:p>
      <w:pPr>
        <w:keepNext w:val="0"/>
        <w:keepLines w:val="0"/>
        <w:pageBreakBefore w:val="0"/>
        <w:kinsoku/>
        <w:wordWrap/>
        <w:overflowPunct/>
        <w:autoSpaceDE/>
        <w:autoSpaceDN/>
        <w:bidi w:val="0"/>
        <w:spacing w:line="360" w:lineRule="exact"/>
        <w:textAlignment w:val="auto"/>
        <w:rPr>
          <w:rFonts w:hint="eastAsia" w:asciiTheme="minorEastAsia" w:hAnsiTheme="minorEastAsia" w:eastAsiaTheme="minorEastAsia" w:cstheme="minorEastAsia"/>
          <w:kern w:val="0"/>
          <w:sz w:val="21"/>
          <w:szCs w:val="21"/>
          <w:highlight w:val="none"/>
        </w:rPr>
      </w:pPr>
      <w:r>
        <w:rPr>
          <w:rFonts w:hint="eastAsia" w:asciiTheme="minorEastAsia" w:hAnsiTheme="minorEastAsia" w:eastAsiaTheme="minorEastAsia" w:cstheme="minorEastAsia"/>
          <w:kern w:val="0"/>
          <w:sz w:val="21"/>
          <w:szCs w:val="21"/>
          <w:highlight w:val="none"/>
        </w:rPr>
        <w:tab/>
      </w:r>
      <w:r>
        <w:rPr>
          <w:rFonts w:hint="eastAsia" w:asciiTheme="minorEastAsia" w:hAnsiTheme="minorEastAsia" w:eastAsiaTheme="minorEastAsia" w:cstheme="minorEastAsia"/>
          <w:kern w:val="0"/>
          <w:sz w:val="21"/>
          <w:szCs w:val="21"/>
          <w:highlight w:val="none"/>
        </w:rPr>
        <w:t xml:space="preserve">                                                       开户银行：</w:t>
      </w:r>
      <w:r>
        <w:rPr>
          <w:rFonts w:hint="eastAsia" w:asciiTheme="minorEastAsia" w:hAnsiTheme="minorEastAsia" w:eastAsiaTheme="minorEastAsia" w:cstheme="minorEastAsia"/>
          <w:kern w:val="0"/>
          <w:sz w:val="21"/>
          <w:szCs w:val="21"/>
          <w:highlight w:val="none"/>
        </w:rPr>
        <w:tab/>
      </w:r>
    </w:p>
    <w:p>
      <w:pPr>
        <w:keepNext w:val="0"/>
        <w:keepLines w:val="0"/>
        <w:pageBreakBefore w:val="0"/>
        <w:kinsoku/>
        <w:wordWrap/>
        <w:overflowPunct/>
        <w:autoSpaceDE/>
        <w:autoSpaceDN/>
        <w:bidi w:val="0"/>
        <w:spacing w:line="360" w:lineRule="exact"/>
        <w:textAlignment w:val="auto"/>
        <w:rPr>
          <w:rFonts w:hint="eastAsia" w:asciiTheme="minorEastAsia" w:hAnsiTheme="minorEastAsia" w:eastAsiaTheme="minorEastAsia" w:cstheme="minorEastAsia"/>
          <w:kern w:val="0"/>
          <w:sz w:val="21"/>
          <w:szCs w:val="21"/>
          <w:highlight w:val="none"/>
        </w:rPr>
      </w:pPr>
      <w:r>
        <w:rPr>
          <w:rFonts w:hint="eastAsia" w:asciiTheme="minorEastAsia" w:hAnsiTheme="minorEastAsia" w:eastAsiaTheme="minorEastAsia" w:cstheme="minorEastAsia"/>
          <w:kern w:val="0"/>
          <w:sz w:val="21"/>
          <w:szCs w:val="21"/>
          <w:highlight w:val="none"/>
        </w:rPr>
        <w:tab/>
      </w:r>
      <w:r>
        <w:rPr>
          <w:rFonts w:hint="eastAsia" w:asciiTheme="minorEastAsia" w:hAnsiTheme="minorEastAsia" w:eastAsiaTheme="minorEastAsia" w:cstheme="minorEastAsia"/>
          <w:kern w:val="0"/>
          <w:sz w:val="21"/>
          <w:szCs w:val="21"/>
          <w:highlight w:val="none"/>
        </w:rPr>
        <w:t xml:space="preserve">                                                       账号：</w:t>
      </w:r>
      <w:r>
        <w:rPr>
          <w:rFonts w:hint="eastAsia" w:asciiTheme="minorEastAsia" w:hAnsiTheme="minorEastAsia" w:eastAsiaTheme="minorEastAsia" w:cstheme="minorEastAsia"/>
          <w:kern w:val="0"/>
          <w:sz w:val="21"/>
          <w:szCs w:val="21"/>
          <w:highlight w:val="none"/>
        </w:rPr>
        <w:tab/>
      </w:r>
    </w:p>
    <w:p>
      <w:pPr>
        <w:keepNext w:val="0"/>
        <w:keepLines w:val="0"/>
        <w:pageBreakBefore w:val="0"/>
        <w:kinsoku/>
        <w:wordWrap/>
        <w:overflowPunct/>
        <w:autoSpaceDE/>
        <w:autoSpaceDN/>
        <w:bidi w:val="0"/>
        <w:spacing w:line="360" w:lineRule="exact"/>
        <w:ind w:firstLine="630" w:firstLineChars="300"/>
        <w:textAlignment w:val="auto"/>
        <w:rPr>
          <w:rFonts w:hint="eastAsia" w:asciiTheme="minorEastAsia" w:hAnsiTheme="minorEastAsia" w:eastAsiaTheme="minorEastAsia" w:cstheme="minorEastAsia"/>
          <w:kern w:val="0"/>
          <w:sz w:val="21"/>
          <w:szCs w:val="21"/>
          <w:highlight w:val="none"/>
        </w:rPr>
      </w:pPr>
      <w:r>
        <w:rPr>
          <w:rFonts w:hint="eastAsia" w:asciiTheme="minorEastAsia" w:hAnsiTheme="minorEastAsia" w:eastAsiaTheme="minorEastAsia" w:cstheme="minorEastAsia"/>
          <w:kern w:val="0"/>
          <w:sz w:val="21"/>
          <w:szCs w:val="21"/>
          <w:highlight w:val="none"/>
        </w:rPr>
        <w:t xml:space="preserve">签订日期：      </w:t>
      </w:r>
    </w:p>
    <w:p>
      <w:pPr>
        <w:pStyle w:val="5"/>
        <w:keepNext w:val="0"/>
        <w:keepLines w:val="0"/>
        <w:pageBreakBefore w:val="0"/>
        <w:widowControl w:val="0"/>
        <w:kinsoku/>
        <w:wordWrap/>
        <w:overflowPunct/>
        <w:autoSpaceDE/>
        <w:autoSpaceDN/>
        <w:bidi w:val="0"/>
        <w:spacing w:line="360" w:lineRule="exact"/>
        <w:textAlignment w:val="auto"/>
        <w:rPr>
          <w:rStyle w:val="148"/>
          <w:rFonts w:hint="eastAsia" w:asciiTheme="minorEastAsia" w:hAnsiTheme="minorEastAsia" w:eastAsiaTheme="minorEastAsia" w:cstheme="minorEastAsia"/>
          <w:sz w:val="21"/>
          <w:szCs w:val="21"/>
          <w:highlight w:val="none"/>
        </w:rPr>
      </w:pPr>
    </w:p>
    <w:p>
      <w:pPr>
        <w:rPr>
          <w:rStyle w:val="148"/>
          <w:rFonts w:hint="eastAsia" w:asciiTheme="minorEastAsia" w:hAnsiTheme="minorEastAsia" w:eastAsiaTheme="minorEastAsia" w:cstheme="minorEastAsia"/>
          <w:sz w:val="21"/>
          <w:szCs w:val="21"/>
          <w:highlight w:val="none"/>
        </w:rPr>
      </w:pPr>
    </w:p>
    <w:p>
      <w:pPr>
        <w:pStyle w:val="2"/>
        <w:rPr>
          <w:rStyle w:val="148"/>
          <w:rFonts w:hint="eastAsia" w:asciiTheme="minorEastAsia" w:hAnsiTheme="minorEastAsia" w:eastAsiaTheme="minorEastAsia" w:cstheme="minorEastAsia"/>
          <w:sz w:val="21"/>
          <w:szCs w:val="21"/>
          <w:highlight w:val="none"/>
        </w:rPr>
      </w:pPr>
    </w:p>
    <w:p>
      <w:pPr>
        <w:pStyle w:val="2"/>
        <w:rPr>
          <w:rStyle w:val="148"/>
          <w:rFonts w:hint="eastAsia" w:asciiTheme="minorEastAsia" w:hAnsiTheme="minorEastAsia" w:eastAsiaTheme="minorEastAsia" w:cstheme="minorEastAsia"/>
          <w:sz w:val="21"/>
          <w:szCs w:val="21"/>
          <w:highlight w:val="none"/>
        </w:rPr>
      </w:pPr>
    </w:p>
    <w:p>
      <w:pPr>
        <w:pStyle w:val="2"/>
        <w:rPr>
          <w:rStyle w:val="148"/>
          <w:rFonts w:hint="eastAsia" w:asciiTheme="minorEastAsia" w:hAnsiTheme="minorEastAsia" w:eastAsiaTheme="minorEastAsia" w:cstheme="minorEastAsia"/>
          <w:sz w:val="21"/>
          <w:szCs w:val="21"/>
          <w:highlight w:val="none"/>
        </w:rPr>
      </w:pPr>
    </w:p>
    <w:p>
      <w:pPr>
        <w:pStyle w:val="2"/>
        <w:rPr>
          <w:rStyle w:val="148"/>
          <w:rFonts w:hint="eastAsia" w:asciiTheme="minorEastAsia" w:hAnsiTheme="minorEastAsia" w:eastAsiaTheme="minorEastAsia" w:cstheme="minorEastAsia"/>
          <w:sz w:val="21"/>
          <w:szCs w:val="21"/>
          <w:highlight w:val="none"/>
        </w:rPr>
      </w:pPr>
    </w:p>
    <w:p>
      <w:pPr>
        <w:pStyle w:val="2"/>
        <w:ind w:left="0" w:leftChars="0" w:firstLine="0" w:firstLineChars="0"/>
        <w:rPr>
          <w:rFonts w:ascii="宋体" w:hAnsi="宋体" w:cs="宋体"/>
          <w:sz w:val="24"/>
          <w:szCs w:val="24"/>
          <w:highlight w:val="none"/>
          <w:lang w:val="zh-CN"/>
        </w:rPr>
      </w:pPr>
    </w:p>
    <w:p>
      <w:pPr>
        <w:pStyle w:val="2"/>
        <w:ind w:firstLine="480"/>
        <w:rPr>
          <w:rFonts w:ascii="宋体" w:hAnsi="宋体" w:cs="宋体"/>
          <w:sz w:val="24"/>
          <w:szCs w:val="24"/>
          <w:highlight w:val="none"/>
          <w:lang w:val="zh-CN"/>
        </w:rPr>
      </w:pPr>
    </w:p>
    <w:p>
      <w:pPr>
        <w:snapToGrid w:val="0"/>
        <w:spacing w:line="360" w:lineRule="auto"/>
        <w:jc w:val="center"/>
        <w:outlineLvl w:val="0"/>
        <w:rPr>
          <w:rFonts w:asciiTheme="majorEastAsia" w:hAnsiTheme="majorEastAsia" w:eastAsiaTheme="majorEastAsia" w:cstheme="majorEastAsia"/>
          <w:b/>
          <w:sz w:val="36"/>
          <w:szCs w:val="36"/>
          <w:highlight w:val="none"/>
        </w:rPr>
      </w:pPr>
      <w:r>
        <w:rPr>
          <w:rFonts w:hint="eastAsia" w:asciiTheme="majorEastAsia" w:hAnsiTheme="majorEastAsia" w:eastAsiaTheme="majorEastAsia" w:cstheme="majorEastAsia"/>
          <w:b/>
          <w:sz w:val="36"/>
          <w:szCs w:val="36"/>
          <w:highlight w:val="none"/>
        </w:rPr>
        <w:t>第六部分  质疑提出和处理</w:t>
      </w:r>
    </w:p>
    <w:p>
      <w:pPr>
        <w:pStyle w:val="3"/>
        <w:snapToGrid w:val="0"/>
        <w:spacing w:line="460" w:lineRule="exact"/>
        <w:ind w:left="0" w:firstLine="480" w:firstLineChars="200"/>
        <w:contextualSpacing/>
        <w:rPr>
          <w:rFonts w:ascii="宋体" w:hAnsi="宋体" w:eastAsia="宋体" w:cs="宋体"/>
          <w:kern w:val="2"/>
          <w:sz w:val="24"/>
          <w:szCs w:val="24"/>
          <w:highlight w:val="none"/>
        </w:rPr>
      </w:pPr>
      <w:r>
        <w:rPr>
          <w:rFonts w:hint="eastAsia" w:ascii="宋体" w:hAnsi="宋体" w:eastAsia="宋体" w:cs="宋体"/>
          <w:kern w:val="2"/>
          <w:sz w:val="24"/>
          <w:szCs w:val="24"/>
          <w:highlight w:val="none"/>
        </w:rPr>
        <w:t>一、质疑的提出</w:t>
      </w:r>
    </w:p>
    <w:p>
      <w:pPr>
        <w:pStyle w:val="3"/>
        <w:snapToGrid w:val="0"/>
        <w:spacing w:line="460" w:lineRule="exact"/>
        <w:ind w:left="0" w:firstLine="480" w:firstLineChars="200"/>
        <w:contextualSpacing/>
        <w:rPr>
          <w:rFonts w:ascii="宋体" w:hAnsi="宋体" w:eastAsia="宋体" w:cs="宋体"/>
          <w:kern w:val="2"/>
          <w:sz w:val="24"/>
          <w:szCs w:val="24"/>
          <w:highlight w:val="none"/>
        </w:rPr>
      </w:pPr>
      <w:r>
        <w:rPr>
          <w:rFonts w:hint="eastAsia" w:ascii="宋体" w:hAnsi="宋体" w:eastAsia="宋体" w:cs="宋体"/>
          <w:kern w:val="2"/>
          <w:sz w:val="24"/>
          <w:szCs w:val="24"/>
          <w:highlight w:val="none"/>
        </w:rPr>
        <w:t xml:space="preserve">(一)质疑人的身份要求      </w:t>
      </w:r>
    </w:p>
    <w:p>
      <w:pPr>
        <w:pStyle w:val="3"/>
        <w:snapToGrid w:val="0"/>
        <w:spacing w:line="460" w:lineRule="exact"/>
        <w:ind w:left="0" w:firstLine="480" w:firstLineChars="200"/>
        <w:contextualSpacing/>
        <w:rPr>
          <w:rFonts w:ascii="宋体" w:hAnsi="宋体" w:eastAsia="宋体" w:cs="宋体"/>
          <w:kern w:val="2"/>
          <w:sz w:val="24"/>
          <w:szCs w:val="24"/>
          <w:highlight w:val="none"/>
        </w:rPr>
      </w:pPr>
      <w:r>
        <w:rPr>
          <w:rFonts w:hint="eastAsia" w:ascii="宋体" w:hAnsi="宋体" w:eastAsia="宋体" w:cs="宋体"/>
          <w:kern w:val="2"/>
          <w:sz w:val="24"/>
          <w:szCs w:val="24"/>
          <w:highlight w:val="none"/>
        </w:rPr>
        <w:t>1.提出质疑的供应商应当是参与所质疑项目采购活动的供应商。</w:t>
      </w:r>
    </w:p>
    <w:p>
      <w:pPr>
        <w:pStyle w:val="3"/>
        <w:snapToGrid w:val="0"/>
        <w:spacing w:line="460" w:lineRule="exact"/>
        <w:ind w:left="0" w:firstLine="480" w:firstLineChars="200"/>
        <w:contextualSpacing/>
        <w:rPr>
          <w:rFonts w:ascii="宋体" w:hAnsi="宋体" w:eastAsia="宋体" w:cs="宋体"/>
          <w:kern w:val="2"/>
          <w:sz w:val="24"/>
          <w:szCs w:val="24"/>
          <w:highlight w:val="none"/>
        </w:rPr>
      </w:pPr>
      <w:r>
        <w:rPr>
          <w:rFonts w:hint="eastAsia" w:ascii="宋体" w:hAnsi="宋体" w:eastAsia="宋体" w:cs="宋体"/>
          <w:kern w:val="2"/>
          <w:sz w:val="24"/>
          <w:szCs w:val="24"/>
          <w:highlight w:val="none"/>
        </w:rPr>
        <w:t>2.潜在供应商已依法获取其可质疑的采购文件的，可以对该文件提出质疑。对采购文件提出质疑的，应当在获取采购文件或者采购文件公告期限届满之日起7个工作日内提出。</w:t>
      </w:r>
    </w:p>
    <w:p>
      <w:pPr>
        <w:pStyle w:val="3"/>
        <w:snapToGrid w:val="0"/>
        <w:spacing w:line="460" w:lineRule="exact"/>
        <w:ind w:left="0" w:firstLine="480" w:firstLineChars="200"/>
        <w:contextualSpacing/>
        <w:rPr>
          <w:rFonts w:ascii="宋体" w:hAnsi="宋体" w:eastAsia="宋体" w:cs="宋体"/>
          <w:kern w:val="2"/>
          <w:sz w:val="24"/>
          <w:szCs w:val="24"/>
          <w:highlight w:val="none"/>
        </w:rPr>
      </w:pPr>
      <w:r>
        <w:rPr>
          <w:rFonts w:hint="eastAsia" w:ascii="宋体" w:hAnsi="宋体" w:eastAsia="宋体" w:cs="宋体"/>
          <w:kern w:val="2"/>
          <w:sz w:val="24"/>
          <w:szCs w:val="24"/>
          <w:highlight w:val="none"/>
        </w:rPr>
        <w:t xml:space="preserve">(二)质疑提出的格式要求   </w:t>
      </w:r>
    </w:p>
    <w:p>
      <w:pPr>
        <w:pStyle w:val="3"/>
        <w:snapToGrid w:val="0"/>
        <w:spacing w:line="460" w:lineRule="exact"/>
        <w:ind w:left="0" w:firstLine="480" w:firstLineChars="200"/>
        <w:contextualSpacing/>
        <w:rPr>
          <w:rFonts w:ascii="宋体" w:hAnsi="宋体" w:eastAsia="宋体" w:cs="宋体"/>
          <w:kern w:val="2"/>
          <w:sz w:val="24"/>
          <w:szCs w:val="24"/>
          <w:highlight w:val="none"/>
        </w:rPr>
      </w:pPr>
      <w:r>
        <w:rPr>
          <w:rFonts w:hint="eastAsia" w:ascii="宋体" w:hAnsi="宋体" w:eastAsia="宋体" w:cs="宋体"/>
          <w:kern w:val="2"/>
          <w:sz w:val="24"/>
          <w:szCs w:val="24"/>
          <w:highlight w:val="none"/>
        </w:rPr>
        <w:t>1.质疑必须按《政府采购法》、《政府采购法实施条例》及《江苏省政府采购供应商监督管理暂行办法》的相关规定提交，质疑实行实名制，不得进行虚假、恶意质疑，未按上述要求提交的质疑函，采购人有权不予受理。</w:t>
      </w:r>
    </w:p>
    <w:p>
      <w:pPr>
        <w:pStyle w:val="3"/>
        <w:snapToGrid w:val="0"/>
        <w:spacing w:line="460" w:lineRule="exact"/>
        <w:ind w:left="0" w:firstLine="480" w:firstLineChars="200"/>
        <w:contextualSpacing/>
        <w:rPr>
          <w:rFonts w:ascii="宋体" w:hAnsi="宋体" w:eastAsia="宋体" w:cs="宋体"/>
          <w:kern w:val="2"/>
          <w:sz w:val="24"/>
          <w:szCs w:val="24"/>
          <w:highlight w:val="none"/>
        </w:rPr>
      </w:pPr>
      <w:r>
        <w:rPr>
          <w:rFonts w:hint="eastAsia" w:ascii="宋体" w:hAnsi="宋体" w:eastAsia="宋体" w:cs="宋体"/>
          <w:kern w:val="2"/>
          <w:sz w:val="24"/>
          <w:szCs w:val="24"/>
          <w:highlight w:val="none"/>
        </w:rPr>
        <w:t xml:space="preserve">2.质疑函应包括：    </w:t>
      </w:r>
    </w:p>
    <w:p>
      <w:pPr>
        <w:pStyle w:val="3"/>
        <w:snapToGrid w:val="0"/>
        <w:spacing w:line="460" w:lineRule="exact"/>
        <w:ind w:left="0" w:firstLine="480" w:firstLineChars="200"/>
        <w:contextualSpacing/>
        <w:rPr>
          <w:rFonts w:ascii="宋体" w:hAnsi="宋体" w:eastAsia="宋体" w:cs="宋体"/>
          <w:kern w:val="2"/>
          <w:sz w:val="24"/>
          <w:szCs w:val="24"/>
          <w:highlight w:val="none"/>
        </w:rPr>
      </w:pPr>
      <w:r>
        <w:rPr>
          <w:rFonts w:hint="eastAsia" w:ascii="宋体" w:hAnsi="宋体" w:eastAsia="宋体" w:cs="宋体"/>
          <w:kern w:val="2"/>
          <w:sz w:val="24"/>
          <w:szCs w:val="24"/>
          <w:highlight w:val="none"/>
        </w:rPr>
        <w:t>（1）质疑投标供应商的名称、地址、邮编、联系人及联系电话；</w:t>
      </w:r>
    </w:p>
    <w:p>
      <w:pPr>
        <w:pStyle w:val="3"/>
        <w:snapToGrid w:val="0"/>
        <w:spacing w:line="460" w:lineRule="exact"/>
        <w:ind w:left="0" w:firstLine="480" w:firstLineChars="200"/>
        <w:contextualSpacing/>
        <w:rPr>
          <w:rFonts w:ascii="宋体" w:hAnsi="宋体" w:eastAsia="宋体" w:cs="宋体"/>
          <w:kern w:val="2"/>
          <w:sz w:val="24"/>
          <w:szCs w:val="24"/>
          <w:highlight w:val="none"/>
        </w:rPr>
      </w:pPr>
      <w:r>
        <w:rPr>
          <w:rFonts w:hint="eastAsia" w:ascii="宋体" w:hAnsi="宋体" w:eastAsia="宋体" w:cs="宋体"/>
          <w:kern w:val="2"/>
          <w:sz w:val="24"/>
          <w:szCs w:val="24"/>
          <w:highlight w:val="none"/>
        </w:rPr>
        <w:t>（2）具体、明确的质疑事项及明确的请求；</w:t>
      </w:r>
    </w:p>
    <w:p>
      <w:pPr>
        <w:pStyle w:val="3"/>
        <w:snapToGrid w:val="0"/>
        <w:spacing w:line="460" w:lineRule="exact"/>
        <w:ind w:left="0" w:firstLine="480" w:firstLineChars="200"/>
        <w:contextualSpacing/>
        <w:rPr>
          <w:rFonts w:ascii="宋体" w:hAnsi="宋体" w:eastAsia="宋体" w:cs="宋体"/>
          <w:kern w:val="2"/>
          <w:sz w:val="24"/>
          <w:szCs w:val="24"/>
          <w:highlight w:val="none"/>
        </w:rPr>
      </w:pPr>
      <w:r>
        <w:rPr>
          <w:rFonts w:hint="eastAsia" w:ascii="宋体" w:hAnsi="宋体" w:eastAsia="宋体" w:cs="宋体"/>
          <w:kern w:val="2"/>
          <w:sz w:val="24"/>
          <w:szCs w:val="24"/>
          <w:highlight w:val="none"/>
        </w:rPr>
        <w:t>（3）质疑的事实依据和必要的法律依据；</w:t>
      </w:r>
    </w:p>
    <w:p>
      <w:pPr>
        <w:pStyle w:val="3"/>
        <w:snapToGrid w:val="0"/>
        <w:spacing w:line="460" w:lineRule="exact"/>
        <w:ind w:left="0" w:firstLine="480" w:firstLineChars="200"/>
        <w:contextualSpacing/>
        <w:rPr>
          <w:rFonts w:ascii="宋体" w:hAnsi="宋体" w:eastAsia="宋体" w:cs="宋体"/>
          <w:kern w:val="2"/>
          <w:sz w:val="24"/>
          <w:szCs w:val="24"/>
          <w:highlight w:val="none"/>
        </w:rPr>
      </w:pPr>
      <w:r>
        <w:rPr>
          <w:rFonts w:hint="eastAsia" w:ascii="宋体" w:hAnsi="宋体" w:eastAsia="宋体" w:cs="宋体"/>
          <w:kern w:val="2"/>
          <w:sz w:val="24"/>
          <w:szCs w:val="24"/>
          <w:highlight w:val="none"/>
        </w:rPr>
        <w:t>（4）提起质疑的日期；</w:t>
      </w:r>
    </w:p>
    <w:p>
      <w:pPr>
        <w:pStyle w:val="3"/>
        <w:snapToGrid w:val="0"/>
        <w:spacing w:line="460" w:lineRule="exact"/>
        <w:ind w:left="0" w:firstLine="480" w:firstLineChars="200"/>
        <w:contextualSpacing/>
        <w:rPr>
          <w:rFonts w:ascii="宋体" w:hAnsi="宋体" w:eastAsia="宋体" w:cs="宋体"/>
          <w:kern w:val="2"/>
          <w:sz w:val="24"/>
          <w:szCs w:val="24"/>
          <w:highlight w:val="none"/>
        </w:rPr>
      </w:pPr>
      <w:r>
        <w:rPr>
          <w:rFonts w:hint="eastAsia" w:ascii="宋体" w:hAnsi="宋体" w:eastAsia="宋体" w:cs="宋体"/>
          <w:kern w:val="2"/>
          <w:sz w:val="24"/>
          <w:szCs w:val="24"/>
          <w:highlight w:val="none"/>
        </w:rPr>
        <w:t xml:space="preserve">（5）认为自己合法权益受到损害或可能受到损害的相关证据材料；                            </w:t>
      </w:r>
    </w:p>
    <w:p>
      <w:pPr>
        <w:pStyle w:val="3"/>
        <w:snapToGrid w:val="0"/>
        <w:spacing w:line="460" w:lineRule="exact"/>
        <w:ind w:left="0" w:firstLine="480" w:firstLineChars="200"/>
        <w:contextualSpacing/>
        <w:rPr>
          <w:rFonts w:ascii="宋体" w:hAnsi="宋体" w:eastAsia="宋体" w:cs="宋体"/>
          <w:kern w:val="2"/>
          <w:sz w:val="24"/>
          <w:szCs w:val="24"/>
          <w:highlight w:val="none"/>
        </w:rPr>
      </w:pPr>
      <w:r>
        <w:rPr>
          <w:rFonts w:hint="eastAsia" w:ascii="宋体" w:hAnsi="宋体" w:eastAsia="宋体" w:cs="宋体"/>
          <w:kern w:val="2"/>
          <w:sz w:val="24"/>
          <w:szCs w:val="24"/>
          <w:highlight w:val="none"/>
        </w:rPr>
        <w:t>（6）质疑函应当署名：质疑人为自然人的，应当由本人签字并附有效身份证明；质疑人为法人或其他组织的，应当由法定代表人签字并加盖单位公章（质疑人为联合体的，则联合体各方法定代表人均须签字并加盖单位公章），未按要求签字和盖章的为无效质疑，采购人将不予受理。质疑人委托代理质疑的，应当向采购人提交授权委托书，并载明委托代理的具体权限和事项。</w:t>
      </w:r>
    </w:p>
    <w:p>
      <w:pPr>
        <w:pStyle w:val="3"/>
        <w:snapToGrid w:val="0"/>
        <w:spacing w:line="460" w:lineRule="exact"/>
        <w:ind w:left="0" w:firstLine="480" w:firstLineChars="200"/>
        <w:contextualSpacing/>
        <w:rPr>
          <w:rFonts w:ascii="宋体" w:hAnsi="宋体" w:eastAsia="宋体" w:cs="宋体"/>
          <w:kern w:val="2"/>
          <w:sz w:val="24"/>
          <w:szCs w:val="24"/>
          <w:highlight w:val="none"/>
        </w:rPr>
      </w:pPr>
      <w:r>
        <w:rPr>
          <w:rFonts w:hint="eastAsia" w:ascii="宋体" w:hAnsi="宋体" w:eastAsia="宋体" w:cs="宋体"/>
          <w:kern w:val="2"/>
          <w:sz w:val="24"/>
          <w:szCs w:val="24"/>
          <w:highlight w:val="none"/>
        </w:rPr>
        <w:t>3.质疑函需遵循的原则：</w:t>
      </w:r>
    </w:p>
    <w:p>
      <w:pPr>
        <w:pStyle w:val="3"/>
        <w:snapToGrid w:val="0"/>
        <w:spacing w:line="460" w:lineRule="exact"/>
        <w:ind w:left="0" w:firstLine="480" w:firstLineChars="200"/>
        <w:contextualSpacing/>
        <w:rPr>
          <w:rFonts w:ascii="宋体" w:hAnsi="宋体" w:eastAsia="宋体" w:cs="宋体"/>
          <w:kern w:val="2"/>
          <w:sz w:val="24"/>
          <w:szCs w:val="24"/>
          <w:highlight w:val="none"/>
        </w:rPr>
      </w:pPr>
      <w:r>
        <w:rPr>
          <w:rFonts w:hint="eastAsia" w:ascii="宋体" w:hAnsi="宋体" w:eastAsia="宋体" w:cs="宋体"/>
          <w:kern w:val="2"/>
          <w:sz w:val="24"/>
          <w:szCs w:val="24"/>
          <w:highlight w:val="none"/>
        </w:rPr>
        <w:t>提出质疑时，必须坚持“谁主张，谁举证”、“实事求是”的原则，不能臆测。属于须由法定部门调查、侦查或先行作出相关认定的事项，质疑人应当依法申请具有法定职权的部门查清、认定，并将相关结果提供给招标人。招标人不具有法定调查、认定权限。</w:t>
      </w:r>
    </w:p>
    <w:p>
      <w:pPr>
        <w:pStyle w:val="3"/>
        <w:snapToGrid w:val="0"/>
        <w:spacing w:line="460" w:lineRule="exact"/>
        <w:ind w:left="0" w:firstLine="480" w:firstLineChars="200"/>
        <w:contextualSpacing/>
        <w:rPr>
          <w:rFonts w:ascii="宋体" w:hAnsi="宋体" w:eastAsia="宋体" w:cs="宋体"/>
          <w:kern w:val="2"/>
          <w:sz w:val="24"/>
          <w:szCs w:val="24"/>
          <w:highlight w:val="none"/>
          <w:lang w:val="zh-CN"/>
        </w:rPr>
      </w:pPr>
      <w:r>
        <w:rPr>
          <w:rFonts w:hint="eastAsia" w:ascii="宋体" w:hAnsi="宋体" w:eastAsia="宋体" w:cs="宋体"/>
          <w:kern w:val="2"/>
          <w:sz w:val="24"/>
          <w:szCs w:val="24"/>
          <w:highlight w:val="none"/>
          <w:lang w:val="zh-CN"/>
        </w:rPr>
        <w:t>对不能提供相关佐证材料的、涉及商业秘密的、非书面形式的、非送达的、匿名的《质疑函》将不予受理。相关佐证材料要具备客观性、关联性、合法性，无法查实的（如宣传册、媒体报道、猜测、推理等）不能作为佐证材料。</w:t>
      </w:r>
    </w:p>
    <w:p>
      <w:pPr>
        <w:pStyle w:val="3"/>
        <w:snapToGrid w:val="0"/>
        <w:spacing w:line="460" w:lineRule="exact"/>
        <w:ind w:left="0" w:firstLine="480" w:firstLineChars="200"/>
        <w:contextualSpacing/>
        <w:rPr>
          <w:rFonts w:ascii="宋体" w:hAnsi="宋体" w:eastAsia="宋体" w:cs="宋体"/>
          <w:kern w:val="2"/>
          <w:sz w:val="24"/>
          <w:szCs w:val="24"/>
          <w:highlight w:val="none"/>
          <w:lang w:val="zh-CN"/>
        </w:rPr>
      </w:pPr>
      <w:r>
        <w:rPr>
          <w:rFonts w:hint="eastAsia" w:ascii="宋体" w:hAnsi="宋体" w:eastAsia="宋体" w:cs="宋体"/>
          <w:kern w:val="2"/>
          <w:sz w:val="24"/>
          <w:szCs w:val="24"/>
          <w:highlight w:val="none"/>
        </w:rPr>
        <w:t>招标人</w:t>
      </w:r>
      <w:r>
        <w:rPr>
          <w:rFonts w:hint="eastAsia" w:ascii="宋体" w:hAnsi="宋体" w:eastAsia="宋体" w:cs="宋体"/>
          <w:kern w:val="2"/>
          <w:sz w:val="24"/>
          <w:szCs w:val="24"/>
          <w:highlight w:val="none"/>
          <w:lang w:val="zh-CN"/>
        </w:rPr>
        <w:t>或代理机构不负责搜集相关佐证材料等工作。</w:t>
      </w:r>
    </w:p>
    <w:p>
      <w:pPr>
        <w:pStyle w:val="3"/>
        <w:snapToGrid w:val="0"/>
        <w:spacing w:line="460" w:lineRule="exact"/>
        <w:ind w:left="0" w:firstLine="480" w:firstLineChars="200"/>
        <w:contextualSpacing/>
        <w:rPr>
          <w:rFonts w:ascii="宋体" w:hAnsi="宋体" w:eastAsia="宋体" w:cs="宋体"/>
          <w:kern w:val="2"/>
          <w:sz w:val="24"/>
          <w:szCs w:val="24"/>
          <w:highlight w:val="none"/>
        </w:rPr>
      </w:pPr>
      <w:r>
        <w:rPr>
          <w:rFonts w:hint="eastAsia" w:ascii="宋体" w:hAnsi="宋体" w:eastAsia="宋体" w:cs="宋体"/>
          <w:kern w:val="2"/>
          <w:sz w:val="24"/>
          <w:szCs w:val="24"/>
          <w:highlight w:val="none"/>
        </w:rPr>
        <w:t>（三）质疑提出的时效要求</w:t>
      </w:r>
    </w:p>
    <w:p>
      <w:pPr>
        <w:pStyle w:val="3"/>
        <w:snapToGrid w:val="0"/>
        <w:spacing w:line="460" w:lineRule="exact"/>
        <w:ind w:left="0" w:firstLine="480" w:firstLineChars="200"/>
        <w:contextualSpacing/>
        <w:rPr>
          <w:rFonts w:ascii="宋体" w:hAnsi="宋体" w:eastAsia="宋体" w:cs="宋体"/>
          <w:kern w:val="2"/>
          <w:sz w:val="24"/>
          <w:szCs w:val="24"/>
          <w:highlight w:val="none"/>
        </w:rPr>
      </w:pPr>
      <w:r>
        <w:rPr>
          <w:rFonts w:hint="eastAsia" w:ascii="宋体" w:hAnsi="宋体" w:eastAsia="宋体" w:cs="宋体"/>
          <w:kern w:val="2"/>
          <w:sz w:val="24"/>
          <w:szCs w:val="24"/>
          <w:highlight w:val="none"/>
        </w:rPr>
        <w:t xml:space="preserve">1.投标人认为采购文件、采购过程和采购结果使自己的权益受到损害的，可以在知道或应知其权益受到损害之日起七个工作日内，以书面形式向采购人提出质疑。上述应知其权益受到损害之日，是指：                       </w:t>
      </w:r>
    </w:p>
    <w:p>
      <w:pPr>
        <w:pStyle w:val="3"/>
        <w:snapToGrid w:val="0"/>
        <w:spacing w:line="460" w:lineRule="exact"/>
        <w:ind w:left="0" w:firstLine="480" w:firstLineChars="200"/>
        <w:contextualSpacing/>
        <w:rPr>
          <w:rFonts w:ascii="宋体" w:hAnsi="宋体" w:eastAsia="宋体" w:cs="宋体"/>
          <w:kern w:val="2"/>
          <w:sz w:val="24"/>
          <w:szCs w:val="24"/>
          <w:highlight w:val="none"/>
        </w:rPr>
      </w:pPr>
      <w:r>
        <w:rPr>
          <w:rFonts w:hint="eastAsia" w:ascii="宋体" w:hAnsi="宋体" w:eastAsia="宋体" w:cs="宋体"/>
          <w:kern w:val="2"/>
          <w:sz w:val="24"/>
          <w:szCs w:val="24"/>
          <w:highlight w:val="none"/>
        </w:rPr>
        <w:t>（1）对可以质疑的采购文件提出质疑的，为收到采购文件之日或者采购文件公告期限届满之日；</w:t>
      </w:r>
    </w:p>
    <w:p>
      <w:pPr>
        <w:pStyle w:val="3"/>
        <w:snapToGrid w:val="0"/>
        <w:spacing w:line="460" w:lineRule="exact"/>
        <w:ind w:left="0" w:firstLine="480" w:firstLineChars="200"/>
        <w:contextualSpacing/>
        <w:rPr>
          <w:rFonts w:ascii="宋体" w:hAnsi="宋体" w:eastAsia="宋体" w:cs="宋体"/>
          <w:kern w:val="2"/>
          <w:sz w:val="24"/>
          <w:szCs w:val="24"/>
          <w:highlight w:val="none"/>
        </w:rPr>
      </w:pPr>
      <w:r>
        <w:rPr>
          <w:rFonts w:hint="eastAsia" w:ascii="宋体" w:hAnsi="宋体" w:eastAsia="宋体" w:cs="宋体"/>
          <w:kern w:val="2"/>
          <w:sz w:val="24"/>
          <w:szCs w:val="24"/>
          <w:highlight w:val="none"/>
        </w:rPr>
        <w:t>（2）对采购过程提出质疑的，为各采购程序环节结束之日；</w:t>
      </w:r>
    </w:p>
    <w:p>
      <w:pPr>
        <w:pStyle w:val="3"/>
        <w:snapToGrid w:val="0"/>
        <w:spacing w:line="460" w:lineRule="exact"/>
        <w:ind w:left="0" w:firstLine="480" w:firstLineChars="200"/>
        <w:contextualSpacing/>
        <w:rPr>
          <w:rFonts w:ascii="宋体" w:hAnsi="宋体" w:eastAsia="宋体" w:cs="宋体"/>
          <w:kern w:val="2"/>
          <w:sz w:val="24"/>
          <w:szCs w:val="24"/>
          <w:highlight w:val="none"/>
        </w:rPr>
      </w:pPr>
      <w:r>
        <w:rPr>
          <w:rFonts w:hint="eastAsia" w:ascii="宋体" w:hAnsi="宋体" w:eastAsia="宋体" w:cs="宋体"/>
          <w:kern w:val="2"/>
          <w:sz w:val="24"/>
          <w:szCs w:val="24"/>
          <w:highlight w:val="none"/>
        </w:rPr>
        <w:t xml:space="preserve">（3）对中标或者成交结果提出质疑的，为中标或者成交结果公告期限届满之日。                 </w:t>
      </w:r>
    </w:p>
    <w:p>
      <w:pPr>
        <w:pStyle w:val="3"/>
        <w:snapToGrid w:val="0"/>
        <w:spacing w:line="460" w:lineRule="exact"/>
        <w:ind w:left="0" w:firstLine="480" w:firstLineChars="200"/>
        <w:contextualSpacing/>
        <w:rPr>
          <w:rFonts w:ascii="宋体" w:hAnsi="宋体" w:eastAsia="宋体" w:cs="宋体"/>
          <w:kern w:val="2"/>
          <w:sz w:val="24"/>
          <w:szCs w:val="24"/>
          <w:highlight w:val="none"/>
        </w:rPr>
      </w:pPr>
      <w:r>
        <w:rPr>
          <w:rFonts w:hint="eastAsia" w:ascii="宋体" w:hAnsi="宋体" w:eastAsia="宋体" w:cs="宋体"/>
          <w:kern w:val="2"/>
          <w:sz w:val="24"/>
          <w:szCs w:val="24"/>
          <w:highlight w:val="none"/>
        </w:rPr>
        <w:t>投标人认为采购文件使自己的权益受到损害的，可以向采购人提出质疑；投标人认为采购过程和采购结果使自己的权益受到损害的，可以以书面形式向采购人提出质疑。</w:t>
      </w:r>
    </w:p>
    <w:p>
      <w:pPr>
        <w:pStyle w:val="3"/>
        <w:snapToGrid w:val="0"/>
        <w:spacing w:line="460" w:lineRule="exact"/>
        <w:ind w:left="0" w:firstLine="480" w:firstLineChars="200"/>
        <w:contextualSpacing/>
        <w:rPr>
          <w:rFonts w:ascii="宋体" w:hAnsi="宋体" w:eastAsia="宋体" w:cs="宋体"/>
          <w:kern w:val="2"/>
          <w:sz w:val="24"/>
          <w:szCs w:val="24"/>
          <w:highlight w:val="none"/>
        </w:rPr>
      </w:pPr>
      <w:r>
        <w:rPr>
          <w:rFonts w:hint="eastAsia" w:ascii="宋体" w:hAnsi="宋体" w:eastAsia="宋体" w:cs="宋体"/>
          <w:kern w:val="2"/>
          <w:sz w:val="24"/>
          <w:szCs w:val="24"/>
          <w:highlight w:val="none"/>
        </w:rPr>
        <w:t xml:space="preserve">2.投标人应在法定质疑期一次性提出针对同一采购程序环节的质疑。                         </w:t>
      </w:r>
    </w:p>
    <w:p>
      <w:pPr>
        <w:pStyle w:val="3"/>
        <w:snapToGrid w:val="0"/>
        <w:spacing w:line="460" w:lineRule="exact"/>
        <w:ind w:left="0" w:firstLine="480" w:firstLineChars="200"/>
        <w:contextualSpacing/>
        <w:rPr>
          <w:rFonts w:ascii="宋体" w:hAnsi="宋体" w:eastAsia="宋体" w:cs="宋体"/>
          <w:kern w:val="2"/>
          <w:sz w:val="24"/>
          <w:szCs w:val="24"/>
          <w:highlight w:val="none"/>
        </w:rPr>
      </w:pPr>
      <w:r>
        <w:rPr>
          <w:rFonts w:hint="eastAsia" w:ascii="宋体" w:hAnsi="宋体" w:eastAsia="宋体" w:cs="宋体"/>
          <w:kern w:val="2"/>
          <w:sz w:val="24"/>
          <w:szCs w:val="24"/>
          <w:highlight w:val="none"/>
        </w:rPr>
        <w:t>二、《质疑函》的受理和答复</w:t>
      </w:r>
    </w:p>
    <w:p>
      <w:pPr>
        <w:pStyle w:val="3"/>
        <w:snapToGrid w:val="0"/>
        <w:spacing w:line="460" w:lineRule="exact"/>
        <w:ind w:left="0" w:firstLine="480" w:firstLineChars="200"/>
        <w:contextualSpacing/>
        <w:rPr>
          <w:rFonts w:ascii="宋体" w:hAnsi="宋体" w:eastAsia="宋体" w:cs="宋体"/>
          <w:kern w:val="2"/>
          <w:sz w:val="24"/>
          <w:szCs w:val="24"/>
          <w:highlight w:val="none"/>
        </w:rPr>
      </w:pPr>
      <w:r>
        <w:rPr>
          <w:rFonts w:hint="eastAsia" w:ascii="宋体" w:hAnsi="宋体" w:eastAsia="宋体" w:cs="宋体"/>
          <w:kern w:val="2"/>
          <w:sz w:val="24"/>
          <w:szCs w:val="24"/>
          <w:highlight w:val="none"/>
        </w:rPr>
        <w:t>1. 采购人收到质疑函后，将对质疑的形式和内容进行审查，如质疑函内容、格式不符合规定，采购人将告知质疑人进行补正。</w:t>
      </w:r>
    </w:p>
    <w:p>
      <w:pPr>
        <w:pStyle w:val="3"/>
        <w:snapToGrid w:val="0"/>
        <w:spacing w:line="460" w:lineRule="exact"/>
        <w:ind w:left="0" w:firstLine="480" w:firstLineChars="200"/>
        <w:contextualSpacing/>
        <w:rPr>
          <w:rFonts w:ascii="宋体" w:hAnsi="宋体" w:eastAsia="宋体" w:cs="宋体"/>
          <w:kern w:val="2"/>
          <w:sz w:val="24"/>
          <w:szCs w:val="24"/>
          <w:highlight w:val="none"/>
        </w:rPr>
      </w:pPr>
      <w:r>
        <w:rPr>
          <w:rFonts w:hint="eastAsia" w:ascii="宋体" w:hAnsi="宋体" w:eastAsia="宋体" w:cs="宋体"/>
          <w:kern w:val="2"/>
          <w:sz w:val="24"/>
          <w:szCs w:val="24"/>
          <w:highlight w:val="none"/>
        </w:rPr>
        <w:t>2. 质疑人应当在法定质疑期限内进行补正并重新提交质疑函，拒不补正或者在法定期限内未重新提交质疑函的，为无效质疑，采购人将不予受理。</w:t>
      </w:r>
    </w:p>
    <w:p>
      <w:pPr>
        <w:pStyle w:val="3"/>
        <w:snapToGrid w:val="0"/>
        <w:spacing w:line="460" w:lineRule="exact"/>
        <w:ind w:left="0" w:firstLine="480" w:firstLineChars="200"/>
        <w:contextualSpacing/>
        <w:rPr>
          <w:rFonts w:ascii="宋体" w:hAnsi="宋体" w:eastAsia="宋体" w:cs="宋体"/>
          <w:kern w:val="2"/>
          <w:sz w:val="24"/>
          <w:szCs w:val="24"/>
          <w:highlight w:val="none"/>
        </w:rPr>
      </w:pPr>
      <w:r>
        <w:rPr>
          <w:rFonts w:hint="eastAsia" w:ascii="宋体" w:hAnsi="宋体" w:eastAsia="宋体" w:cs="宋体"/>
          <w:kern w:val="2"/>
          <w:sz w:val="24"/>
          <w:szCs w:val="24"/>
          <w:highlight w:val="none"/>
        </w:rPr>
        <w:t>3.采购人或采购代理机构答复供应商质疑应当采用书面方式并依法送达，质疑供应商或其委托代理人拒绝签收的视为已经送达。</w:t>
      </w:r>
    </w:p>
    <w:p>
      <w:pPr>
        <w:pStyle w:val="3"/>
        <w:snapToGrid w:val="0"/>
        <w:spacing w:line="460" w:lineRule="exact"/>
        <w:ind w:left="0" w:firstLine="480" w:firstLineChars="200"/>
        <w:contextualSpacing/>
        <w:rPr>
          <w:rFonts w:ascii="宋体" w:hAnsi="宋体" w:eastAsia="宋体" w:cs="宋体"/>
          <w:kern w:val="2"/>
          <w:sz w:val="24"/>
          <w:szCs w:val="24"/>
          <w:highlight w:val="none"/>
        </w:rPr>
      </w:pPr>
      <w:r>
        <w:rPr>
          <w:rFonts w:hint="eastAsia" w:ascii="宋体" w:hAnsi="宋体" w:eastAsia="宋体" w:cs="宋体"/>
          <w:kern w:val="2"/>
          <w:sz w:val="24"/>
          <w:szCs w:val="24"/>
          <w:highlight w:val="none"/>
        </w:rPr>
        <w:t>三、质疑处理</w:t>
      </w:r>
    </w:p>
    <w:p>
      <w:pPr>
        <w:pStyle w:val="3"/>
        <w:snapToGrid w:val="0"/>
        <w:spacing w:line="460" w:lineRule="exact"/>
        <w:ind w:left="0" w:firstLine="480" w:firstLineChars="200"/>
        <w:contextualSpacing/>
        <w:rPr>
          <w:rFonts w:ascii="宋体" w:hAnsi="宋体" w:eastAsia="宋体" w:cs="宋体"/>
          <w:kern w:val="2"/>
          <w:sz w:val="24"/>
          <w:szCs w:val="24"/>
          <w:highlight w:val="none"/>
        </w:rPr>
      </w:pPr>
      <w:r>
        <w:rPr>
          <w:rFonts w:hint="eastAsia" w:ascii="宋体" w:hAnsi="宋体" w:eastAsia="宋体" w:cs="宋体"/>
          <w:kern w:val="2"/>
          <w:sz w:val="24"/>
          <w:szCs w:val="24"/>
          <w:highlight w:val="none"/>
        </w:rPr>
        <w:t>1. 质疑成立的处理</w:t>
      </w:r>
    </w:p>
    <w:p>
      <w:pPr>
        <w:pStyle w:val="3"/>
        <w:snapToGrid w:val="0"/>
        <w:spacing w:line="460" w:lineRule="exact"/>
        <w:ind w:left="0" w:firstLine="480" w:firstLineChars="200"/>
        <w:contextualSpacing/>
        <w:rPr>
          <w:rFonts w:ascii="宋体" w:hAnsi="宋体" w:eastAsia="宋体" w:cs="宋体"/>
          <w:kern w:val="2"/>
          <w:sz w:val="24"/>
          <w:szCs w:val="24"/>
          <w:highlight w:val="none"/>
        </w:rPr>
      </w:pPr>
      <w:r>
        <w:rPr>
          <w:rFonts w:hint="eastAsia" w:ascii="宋体" w:hAnsi="宋体" w:eastAsia="宋体" w:cs="宋体"/>
          <w:kern w:val="2"/>
          <w:sz w:val="24"/>
          <w:szCs w:val="24"/>
          <w:highlight w:val="none"/>
        </w:rPr>
        <w:t xml:space="preserve">（1）对于内容、格式符合规定的质疑函，采购人在收到投标供应商的书面质疑后七个工作日内作出书面答复，但答复的内容不得涉及商业秘密。                       </w:t>
      </w:r>
    </w:p>
    <w:p>
      <w:pPr>
        <w:pStyle w:val="3"/>
        <w:snapToGrid w:val="0"/>
        <w:spacing w:line="460" w:lineRule="exact"/>
        <w:ind w:left="0" w:firstLine="480" w:firstLineChars="200"/>
        <w:contextualSpacing/>
        <w:rPr>
          <w:rFonts w:ascii="宋体" w:hAnsi="宋体" w:eastAsia="宋体" w:cs="宋体"/>
          <w:kern w:val="2"/>
          <w:sz w:val="24"/>
          <w:szCs w:val="24"/>
          <w:highlight w:val="none"/>
        </w:rPr>
      </w:pPr>
      <w:r>
        <w:rPr>
          <w:rFonts w:hint="eastAsia" w:ascii="宋体" w:hAnsi="宋体" w:eastAsia="宋体" w:cs="宋体"/>
          <w:kern w:val="2"/>
          <w:sz w:val="24"/>
          <w:szCs w:val="24"/>
          <w:highlight w:val="none"/>
        </w:rPr>
        <w:t>（2）对采购文件提出的质疑，依法通过澄清或者修改可以继续开展采购活动的，澄清或者修改采购文件后继续开展采购活动；否则应当修改采购文件后重新开展采购活动。</w:t>
      </w:r>
    </w:p>
    <w:p>
      <w:pPr>
        <w:pStyle w:val="3"/>
        <w:snapToGrid w:val="0"/>
        <w:spacing w:line="460" w:lineRule="exact"/>
        <w:ind w:left="0" w:firstLine="480" w:firstLineChars="200"/>
        <w:contextualSpacing/>
        <w:rPr>
          <w:rFonts w:ascii="宋体" w:hAnsi="宋体" w:eastAsia="宋体" w:cs="宋体"/>
          <w:kern w:val="2"/>
          <w:sz w:val="24"/>
          <w:szCs w:val="24"/>
          <w:highlight w:val="none"/>
        </w:rPr>
      </w:pPr>
      <w:r>
        <w:rPr>
          <w:rFonts w:hint="eastAsia" w:ascii="宋体" w:hAnsi="宋体" w:eastAsia="宋体" w:cs="宋体"/>
          <w:kern w:val="2"/>
          <w:sz w:val="24"/>
          <w:szCs w:val="24"/>
          <w:highlight w:val="none"/>
        </w:rPr>
        <w:t>（3）对采购过程、中标或者成交结果提出的质疑，合格供应商符合法定数量时，可以从合格的中标候选人中另行确定中标、成交供应商的，应当依法另行确定中标供应商；否则应当重新开展采购活动。</w:t>
      </w:r>
    </w:p>
    <w:p>
      <w:pPr>
        <w:pStyle w:val="3"/>
        <w:snapToGrid w:val="0"/>
        <w:spacing w:line="460" w:lineRule="exact"/>
        <w:ind w:left="0" w:firstLine="480" w:firstLineChars="200"/>
        <w:contextualSpacing/>
        <w:rPr>
          <w:rFonts w:ascii="宋体" w:hAnsi="宋体" w:eastAsia="宋体" w:cs="宋体"/>
          <w:kern w:val="2"/>
          <w:sz w:val="24"/>
          <w:szCs w:val="24"/>
          <w:highlight w:val="none"/>
        </w:rPr>
      </w:pPr>
      <w:r>
        <w:rPr>
          <w:rFonts w:hint="eastAsia" w:ascii="宋体" w:hAnsi="宋体" w:eastAsia="宋体" w:cs="宋体"/>
          <w:kern w:val="2"/>
          <w:sz w:val="24"/>
          <w:szCs w:val="24"/>
          <w:highlight w:val="none"/>
        </w:rPr>
        <w:t>质疑答复导致中标、成交结果改变的，采购人或者采购代理机构应当将有关情况书面报告本级财政部门。</w:t>
      </w:r>
    </w:p>
    <w:p>
      <w:pPr>
        <w:pStyle w:val="3"/>
        <w:snapToGrid w:val="0"/>
        <w:spacing w:line="460" w:lineRule="exact"/>
        <w:ind w:left="0" w:firstLine="480" w:firstLineChars="200"/>
        <w:contextualSpacing/>
        <w:rPr>
          <w:rFonts w:ascii="宋体" w:hAnsi="宋体" w:eastAsia="宋体" w:cs="宋体"/>
          <w:kern w:val="2"/>
          <w:sz w:val="24"/>
          <w:szCs w:val="24"/>
          <w:highlight w:val="none"/>
        </w:rPr>
      </w:pPr>
      <w:r>
        <w:rPr>
          <w:rFonts w:hint="eastAsia" w:ascii="宋体" w:hAnsi="宋体" w:eastAsia="宋体" w:cs="宋体"/>
          <w:kern w:val="2"/>
          <w:sz w:val="24"/>
          <w:szCs w:val="24"/>
          <w:highlight w:val="none"/>
        </w:rPr>
        <w:t>2.质疑不成立的处理</w:t>
      </w:r>
    </w:p>
    <w:p>
      <w:pPr>
        <w:pStyle w:val="3"/>
        <w:snapToGrid w:val="0"/>
        <w:spacing w:line="460" w:lineRule="exact"/>
        <w:ind w:left="0" w:firstLine="480" w:firstLineChars="200"/>
        <w:contextualSpacing/>
        <w:rPr>
          <w:rFonts w:ascii="宋体" w:hAnsi="宋体" w:eastAsia="宋体" w:cs="宋体"/>
          <w:kern w:val="2"/>
          <w:sz w:val="24"/>
          <w:szCs w:val="24"/>
          <w:highlight w:val="none"/>
        </w:rPr>
      </w:pPr>
      <w:r>
        <w:rPr>
          <w:rFonts w:hint="eastAsia" w:ascii="宋体" w:hAnsi="宋体" w:eastAsia="宋体" w:cs="宋体"/>
          <w:kern w:val="2"/>
          <w:sz w:val="24"/>
          <w:szCs w:val="24"/>
          <w:highlight w:val="none"/>
        </w:rPr>
        <w:t xml:space="preserve">若质疑不成立，或者成立未对中标、成交结果构成影响的，继续开展采购活动。                  </w:t>
      </w:r>
    </w:p>
    <w:p>
      <w:pPr>
        <w:pStyle w:val="3"/>
        <w:snapToGrid w:val="0"/>
        <w:spacing w:line="460" w:lineRule="exact"/>
        <w:ind w:left="0" w:firstLine="480" w:firstLineChars="200"/>
        <w:contextualSpacing/>
        <w:rPr>
          <w:rFonts w:ascii="宋体" w:hAnsi="宋体" w:eastAsia="宋体" w:cs="宋体"/>
          <w:kern w:val="2"/>
          <w:sz w:val="24"/>
          <w:szCs w:val="24"/>
          <w:highlight w:val="none"/>
        </w:rPr>
      </w:pPr>
      <w:r>
        <w:rPr>
          <w:rFonts w:hint="eastAsia" w:ascii="宋体" w:hAnsi="宋体" w:eastAsia="宋体" w:cs="宋体"/>
          <w:kern w:val="2"/>
          <w:sz w:val="24"/>
          <w:szCs w:val="24"/>
          <w:highlight w:val="none"/>
        </w:rPr>
        <w:t xml:space="preserve">3.虚假质疑的处理          </w:t>
      </w:r>
    </w:p>
    <w:p>
      <w:pPr>
        <w:pStyle w:val="3"/>
        <w:snapToGrid w:val="0"/>
        <w:spacing w:line="460" w:lineRule="exact"/>
        <w:ind w:left="0" w:firstLine="480" w:firstLineChars="200"/>
        <w:contextualSpacing/>
        <w:rPr>
          <w:rFonts w:ascii="宋体" w:hAnsi="宋体" w:eastAsia="宋体" w:cs="宋体"/>
          <w:kern w:val="2"/>
          <w:sz w:val="24"/>
          <w:szCs w:val="24"/>
          <w:highlight w:val="none"/>
        </w:rPr>
      </w:pPr>
      <w:r>
        <w:rPr>
          <w:rFonts w:hint="eastAsia" w:ascii="宋体" w:hAnsi="宋体" w:eastAsia="宋体" w:cs="宋体"/>
          <w:kern w:val="2"/>
          <w:sz w:val="24"/>
          <w:szCs w:val="24"/>
          <w:highlight w:val="none"/>
        </w:rPr>
        <w:t xml:space="preserve">（1）投标人提出书面质疑必须有理、有据，不得恶意质疑或提交虚假质疑。否则，一经查实，采购人有权依据政府采购的有关规定，报请政府采购监管部门对该投标人进行相应的行政处罚。                          </w:t>
      </w:r>
    </w:p>
    <w:p>
      <w:pPr>
        <w:pStyle w:val="3"/>
        <w:snapToGrid w:val="0"/>
        <w:spacing w:line="460" w:lineRule="exact"/>
        <w:ind w:left="0" w:firstLine="480" w:firstLineChars="200"/>
        <w:contextualSpacing/>
        <w:rPr>
          <w:rFonts w:ascii="宋体" w:hAnsi="宋体" w:eastAsia="宋体" w:cs="宋体"/>
          <w:kern w:val="2"/>
          <w:sz w:val="24"/>
          <w:szCs w:val="24"/>
          <w:highlight w:val="none"/>
        </w:rPr>
      </w:pPr>
      <w:r>
        <w:rPr>
          <w:rFonts w:hint="eastAsia" w:ascii="宋体" w:hAnsi="宋体" w:eastAsia="宋体" w:cs="宋体"/>
          <w:kern w:val="2"/>
          <w:sz w:val="24"/>
          <w:szCs w:val="24"/>
          <w:highlight w:val="none"/>
        </w:rPr>
        <w:t>（2）在江苏省范围内一年累计三次以上质疑，均查无实据的供应商将按失信行为记入该注册供应商诚信档案中。</w:t>
      </w:r>
    </w:p>
    <w:p>
      <w:pPr>
        <w:pStyle w:val="3"/>
        <w:snapToGrid w:val="0"/>
        <w:spacing w:line="460" w:lineRule="exact"/>
        <w:ind w:left="0" w:firstLine="480" w:firstLineChars="200"/>
        <w:contextualSpacing/>
        <w:rPr>
          <w:rFonts w:ascii="宋体" w:hAnsi="宋体" w:eastAsia="宋体" w:cs="宋体"/>
          <w:kern w:val="2"/>
          <w:sz w:val="24"/>
          <w:szCs w:val="24"/>
          <w:highlight w:val="none"/>
        </w:rPr>
      </w:pPr>
      <w:r>
        <w:rPr>
          <w:rFonts w:hint="eastAsia" w:ascii="宋体" w:hAnsi="宋体" w:eastAsia="宋体" w:cs="宋体"/>
          <w:kern w:val="2"/>
          <w:sz w:val="24"/>
          <w:szCs w:val="24"/>
          <w:highlight w:val="none"/>
        </w:rPr>
        <w:t>（3）受理质疑和答复相关咨询，联系电话：0513-85215697，</w:t>
      </w:r>
      <w:r>
        <w:rPr>
          <w:rFonts w:hint="eastAsia" w:ascii="宋体" w:hAnsi="宋体" w:cs="宋体"/>
          <w:sz w:val="24"/>
          <w:highlight w:val="none"/>
        </w:rPr>
        <w:t>0513-89150018</w:t>
      </w:r>
      <w:r>
        <w:rPr>
          <w:rFonts w:hint="eastAsia" w:ascii="宋体" w:hAnsi="宋体" w:eastAsia="宋体" w:cs="宋体"/>
          <w:kern w:val="2"/>
          <w:sz w:val="24"/>
          <w:szCs w:val="24"/>
          <w:highlight w:val="none"/>
        </w:rPr>
        <w:t>。</w:t>
      </w:r>
    </w:p>
    <w:p>
      <w:pPr>
        <w:rPr>
          <w:rFonts w:asciiTheme="majorEastAsia" w:hAnsiTheme="majorEastAsia" w:eastAsiaTheme="majorEastAsia" w:cstheme="majorEastAsia"/>
          <w:b/>
          <w:sz w:val="36"/>
          <w:szCs w:val="36"/>
          <w:highlight w:val="none"/>
        </w:rPr>
      </w:pPr>
      <w:r>
        <w:rPr>
          <w:rFonts w:hint="eastAsia" w:asciiTheme="majorEastAsia" w:hAnsiTheme="majorEastAsia" w:eastAsiaTheme="majorEastAsia" w:cstheme="majorEastAsia"/>
          <w:b/>
          <w:sz w:val="36"/>
          <w:szCs w:val="36"/>
          <w:highlight w:val="none"/>
        </w:rPr>
        <w:br w:type="page"/>
      </w:r>
    </w:p>
    <w:p>
      <w:pPr>
        <w:snapToGrid w:val="0"/>
        <w:spacing w:line="360" w:lineRule="auto"/>
        <w:jc w:val="center"/>
        <w:outlineLvl w:val="0"/>
        <w:rPr>
          <w:rFonts w:ascii="宋体" w:hAnsi="宋体" w:cs="宋体"/>
          <w:b/>
          <w:bCs/>
          <w:kern w:val="0"/>
          <w:sz w:val="24"/>
          <w:highlight w:val="none"/>
          <w:lang w:val="zh-CN"/>
        </w:rPr>
      </w:pPr>
      <w:r>
        <w:rPr>
          <w:rFonts w:hint="eastAsia" w:asciiTheme="majorEastAsia" w:hAnsiTheme="majorEastAsia" w:eastAsiaTheme="majorEastAsia" w:cstheme="majorEastAsia"/>
          <w:b/>
          <w:sz w:val="36"/>
          <w:szCs w:val="36"/>
          <w:highlight w:val="none"/>
        </w:rPr>
        <w:t>第七部分  投标文件组成</w:t>
      </w:r>
    </w:p>
    <w:p>
      <w:pPr>
        <w:snapToGrid w:val="0"/>
        <w:spacing w:line="312" w:lineRule="auto"/>
        <w:ind w:firstLine="482" w:firstLineChars="200"/>
        <w:rPr>
          <w:highlight w:val="none"/>
          <w:lang w:val="zh-CN"/>
        </w:rPr>
      </w:pPr>
      <w:r>
        <w:rPr>
          <w:rFonts w:hint="eastAsia"/>
          <w:b/>
          <w:bCs/>
          <w:sz w:val="24"/>
          <w:highlight w:val="none"/>
          <w:lang w:val="zh-CN"/>
        </w:rPr>
        <w:t>投标文件由资格审查</w:t>
      </w:r>
      <w:r>
        <w:rPr>
          <w:rFonts w:hint="eastAsia"/>
          <w:b/>
          <w:bCs/>
          <w:sz w:val="24"/>
          <w:highlight w:val="none"/>
        </w:rPr>
        <w:t>文件</w:t>
      </w:r>
      <w:r>
        <w:rPr>
          <w:rFonts w:hint="eastAsia"/>
          <w:b/>
          <w:bCs/>
          <w:sz w:val="24"/>
          <w:highlight w:val="none"/>
          <w:lang w:val="zh-CN"/>
        </w:rPr>
        <w:t>、商务技术标、价格标三部分组成。</w:t>
      </w:r>
    </w:p>
    <w:p>
      <w:pPr>
        <w:pStyle w:val="82"/>
        <w:snapToGrid w:val="0"/>
        <w:spacing w:line="360" w:lineRule="auto"/>
        <w:ind w:firstLine="480" w:firstLineChars="200"/>
        <w:rPr>
          <w:rFonts w:ascii="宋体" w:eastAsia="宋体" w:cs="宋体"/>
          <w:sz w:val="24"/>
          <w:szCs w:val="24"/>
          <w:highlight w:val="none"/>
          <w:lang w:val="zh-CN"/>
        </w:rPr>
      </w:pPr>
      <w:r>
        <w:rPr>
          <w:rFonts w:hint="eastAsia" w:ascii="宋体" w:eastAsia="宋体" w:cs="宋体"/>
          <w:sz w:val="24"/>
          <w:szCs w:val="24"/>
          <w:highlight w:val="none"/>
        </w:rPr>
        <w:t>一、</w:t>
      </w:r>
      <w:r>
        <w:rPr>
          <w:rFonts w:hint="eastAsia" w:ascii="宋体" w:eastAsia="宋体" w:cs="宋体"/>
          <w:sz w:val="24"/>
          <w:szCs w:val="24"/>
          <w:highlight w:val="none"/>
          <w:lang w:val="zh-CN"/>
        </w:rPr>
        <w:t>资格审查文件（</w:t>
      </w:r>
      <w:r>
        <w:rPr>
          <w:rFonts w:hint="eastAsia" w:ascii="宋体" w:eastAsia="宋体" w:cs="宋体"/>
          <w:sz w:val="24"/>
          <w:szCs w:val="24"/>
          <w:highlight w:val="none"/>
        </w:rPr>
        <w:t>一正</w:t>
      </w:r>
      <w:r>
        <w:rPr>
          <w:rFonts w:hint="eastAsia" w:ascii="宋体" w:eastAsia="宋体" w:cs="宋体"/>
          <w:sz w:val="24"/>
          <w:szCs w:val="24"/>
          <w:highlight w:val="none"/>
          <w:lang w:val="en-US" w:eastAsia="zh-CN"/>
        </w:rPr>
        <w:t>六</w:t>
      </w:r>
      <w:r>
        <w:rPr>
          <w:rFonts w:hint="eastAsia" w:ascii="宋体" w:eastAsia="宋体" w:cs="宋体"/>
          <w:sz w:val="24"/>
          <w:szCs w:val="24"/>
          <w:highlight w:val="none"/>
        </w:rPr>
        <w:t>副，不得出现商务技术及报价，</w:t>
      </w:r>
      <w:r>
        <w:rPr>
          <w:rFonts w:hint="eastAsia" w:ascii="宋体" w:eastAsia="宋体" w:cs="宋体"/>
          <w:sz w:val="24"/>
          <w:szCs w:val="24"/>
          <w:highlight w:val="none"/>
          <w:lang w:val="zh-CN"/>
        </w:rPr>
        <w:t>单独装订密封）</w:t>
      </w:r>
    </w:p>
    <w:p>
      <w:pPr>
        <w:pStyle w:val="82"/>
        <w:snapToGrid w:val="0"/>
        <w:spacing w:line="360" w:lineRule="auto"/>
        <w:ind w:firstLine="480" w:firstLineChars="200"/>
        <w:rPr>
          <w:rFonts w:ascii="宋体" w:eastAsia="宋体" w:cs="宋体"/>
          <w:sz w:val="24"/>
          <w:szCs w:val="24"/>
          <w:highlight w:val="none"/>
          <w:lang w:val="zh-CN"/>
        </w:rPr>
      </w:pPr>
      <w:r>
        <w:rPr>
          <w:rFonts w:hint="eastAsia" w:ascii="宋体" w:eastAsia="宋体" w:cs="宋体"/>
          <w:sz w:val="24"/>
          <w:szCs w:val="24"/>
          <w:highlight w:val="none"/>
          <w:lang w:val="zh-CN"/>
        </w:rPr>
        <w:t>1.关于资格的声明函（格式参见第七部分，</w:t>
      </w:r>
      <w:r>
        <w:rPr>
          <w:rFonts w:hint="eastAsia" w:ascii="宋体" w:eastAsia="宋体" w:cs="宋体"/>
          <w:sz w:val="24"/>
          <w:szCs w:val="24"/>
          <w:highlight w:val="none"/>
          <w:lang w:val="en-US" w:eastAsia="zh-CN"/>
        </w:rPr>
        <w:t>联合体各成员单位均需提供）</w:t>
      </w:r>
      <w:r>
        <w:rPr>
          <w:rFonts w:hint="eastAsia" w:ascii="宋体" w:eastAsia="宋体" w:cs="宋体"/>
          <w:sz w:val="24"/>
          <w:szCs w:val="24"/>
          <w:highlight w:val="none"/>
          <w:lang w:val="zh-CN"/>
        </w:rPr>
        <w:t>；</w:t>
      </w:r>
    </w:p>
    <w:p>
      <w:pPr>
        <w:pStyle w:val="82"/>
        <w:snapToGrid w:val="0"/>
        <w:spacing w:line="360" w:lineRule="auto"/>
        <w:ind w:firstLine="480" w:firstLineChars="200"/>
        <w:rPr>
          <w:rFonts w:ascii="宋体" w:eastAsia="宋体" w:cs="宋体"/>
          <w:sz w:val="24"/>
          <w:szCs w:val="24"/>
          <w:highlight w:val="none"/>
          <w:lang w:val="zh-CN"/>
        </w:rPr>
      </w:pPr>
      <w:r>
        <w:rPr>
          <w:rFonts w:hint="eastAsia" w:ascii="宋体" w:eastAsia="宋体" w:cs="宋体"/>
          <w:sz w:val="24"/>
          <w:szCs w:val="24"/>
          <w:highlight w:val="none"/>
          <w:lang w:val="zh-CN"/>
        </w:rPr>
        <w:t>2.法定代表人身份证明书（提供复印件并加盖公章）（格式参见第七部分）；</w:t>
      </w:r>
    </w:p>
    <w:p>
      <w:pPr>
        <w:pStyle w:val="82"/>
        <w:snapToGrid w:val="0"/>
        <w:spacing w:line="360" w:lineRule="auto"/>
        <w:ind w:firstLine="480" w:firstLineChars="200"/>
        <w:rPr>
          <w:rFonts w:ascii="宋体" w:eastAsia="宋体" w:cs="宋体"/>
          <w:sz w:val="24"/>
          <w:szCs w:val="24"/>
          <w:highlight w:val="none"/>
          <w:lang w:val="zh-CN"/>
        </w:rPr>
      </w:pPr>
      <w:r>
        <w:rPr>
          <w:rFonts w:hint="eastAsia" w:ascii="宋体" w:eastAsia="宋体" w:cs="宋体"/>
          <w:sz w:val="24"/>
          <w:szCs w:val="24"/>
          <w:highlight w:val="none"/>
          <w:lang w:val="zh-CN"/>
        </w:rPr>
        <w:t>3.法定代表人授权委托书原件，</w:t>
      </w:r>
      <w:r>
        <w:rPr>
          <w:rFonts w:hint="eastAsia" w:ascii="宋体" w:eastAsia="宋体" w:cs="宋体"/>
          <w:sz w:val="24"/>
          <w:szCs w:val="24"/>
          <w:highlight w:val="none"/>
        </w:rPr>
        <w:t>授权</w:t>
      </w:r>
      <w:r>
        <w:rPr>
          <w:rFonts w:hint="eastAsia" w:ascii="宋体" w:eastAsia="宋体" w:cs="宋体"/>
          <w:sz w:val="24"/>
          <w:szCs w:val="24"/>
          <w:highlight w:val="none"/>
          <w:lang w:val="zh-CN"/>
        </w:rPr>
        <w:t>代表本人身份证复印件（原件随身备查）（</w:t>
      </w:r>
      <w:r>
        <w:rPr>
          <w:rFonts w:hint="eastAsia" w:ascii="宋体" w:eastAsia="宋体" w:cs="宋体"/>
          <w:sz w:val="24"/>
          <w:szCs w:val="24"/>
          <w:highlight w:val="none"/>
        </w:rPr>
        <w:t>格式参见第七部分</w:t>
      </w:r>
      <w:r>
        <w:rPr>
          <w:rFonts w:hint="eastAsia" w:ascii="宋体" w:eastAsia="宋体" w:cs="宋体"/>
          <w:sz w:val="24"/>
          <w:szCs w:val="24"/>
          <w:highlight w:val="none"/>
          <w:lang w:val="zh-CN"/>
        </w:rPr>
        <w:t>）；</w:t>
      </w:r>
    </w:p>
    <w:p>
      <w:pPr>
        <w:pStyle w:val="82"/>
        <w:snapToGrid w:val="0"/>
        <w:spacing w:line="360" w:lineRule="auto"/>
        <w:ind w:firstLine="480" w:firstLineChars="200"/>
        <w:rPr>
          <w:rFonts w:ascii="宋体" w:eastAsia="宋体" w:cs="宋体"/>
          <w:sz w:val="24"/>
          <w:szCs w:val="24"/>
          <w:highlight w:val="none"/>
          <w:lang w:val="zh-CN"/>
        </w:rPr>
      </w:pPr>
      <w:r>
        <w:rPr>
          <w:rFonts w:hint="eastAsia" w:ascii="宋体" w:eastAsia="宋体" w:cs="宋体"/>
          <w:sz w:val="24"/>
          <w:szCs w:val="24"/>
          <w:highlight w:val="none"/>
        </w:rPr>
        <w:t>4.</w:t>
      </w:r>
      <w:r>
        <w:rPr>
          <w:rFonts w:hint="eastAsia" w:ascii="宋体" w:eastAsia="宋体" w:cs="宋体"/>
          <w:sz w:val="24"/>
          <w:szCs w:val="24"/>
          <w:highlight w:val="none"/>
          <w:lang w:val="zh-CN"/>
        </w:rPr>
        <w:t>提供公告第</w:t>
      </w:r>
      <w:r>
        <w:rPr>
          <w:rFonts w:hint="eastAsia" w:ascii="宋体" w:eastAsia="宋体" w:cs="宋体"/>
          <w:sz w:val="24"/>
          <w:szCs w:val="24"/>
          <w:highlight w:val="none"/>
        </w:rPr>
        <w:t>二</w:t>
      </w:r>
      <w:r>
        <w:rPr>
          <w:rFonts w:hint="eastAsia" w:ascii="宋体" w:eastAsia="宋体" w:cs="宋体"/>
          <w:sz w:val="24"/>
          <w:szCs w:val="24"/>
          <w:highlight w:val="none"/>
          <w:lang w:val="zh-CN"/>
        </w:rPr>
        <w:t>条资格要求中的相应的佐证材料（提供复印件并加盖公章，</w:t>
      </w:r>
      <w:r>
        <w:rPr>
          <w:rFonts w:hint="eastAsia" w:ascii="宋体" w:eastAsia="宋体" w:cs="宋体"/>
          <w:sz w:val="24"/>
          <w:szCs w:val="24"/>
          <w:highlight w:val="none"/>
          <w:lang w:val="en-US" w:eastAsia="zh-CN"/>
        </w:rPr>
        <w:t>联合体各成员单位均需提供</w:t>
      </w:r>
      <w:r>
        <w:rPr>
          <w:rFonts w:hint="eastAsia" w:ascii="宋体" w:eastAsia="宋体" w:cs="宋体"/>
          <w:sz w:val="24"/>
          <w:szCs w:val="24"/>
          <w:highlight w:val="none"/>
          <w:lang w:val="zh-CN"/>
        </w:rPr>
        <w:t>）；</w:t>
      </w:r>
    </w:p>
    <w:p>
      <w:pPr>
        <w:pStyle w:val="82"/>
        <w:snapToGrid w:val="0"/>
        <w:spacing w:line="360" w:lineRule="auto"/>
        <w:ind w:firstLine="720" w:firstLineChars="300"/>
        <w:rPr>
          <w:rFonts w:ascii="宋体" w:eastAsia="宋体" w:cs="宋体"/>
          <w:sz w:val="24"/>
          <w:szCs w:val="24"/>
          <w:highlight w:val="none"/>
          <w:lang w:val="zh-CN"/>
        </w:rPr>
      </w:pPr>
      <w:r>
        <w:rPr>
          <w:rFonts w:hint="eastAsia" w:ascii="宋体" w:eastAsia="宋体" w:cs="宋体"/>
          <w:sz w:val="24"/>
          <w:szCs w:val="24"/>
          <w:highlight w:val="none"/>
          <w:lang w:val="zh-CN"/>
        </w:rPr>
        <w:t>4.1 营业执照副本；</w:t>
      </w:r>
    </w:p>
    <w:p>
      <w:pPr>
        <w:pStyle w:val="82"/>
        <w:snapToGrid w:val="0"/>
        <w:spacing w:line="360" w:lineRule="auto"/>
        <w:ind w:firstLine="720" w:firstLineChars="300"/>
        <w:rPr>
          <w:rFonts w:ascii="宋体" w:eastAsia="宋体" w:cs="宋体"/>
          <w:sz w:val="24"/>
          <w:szCs w:val="24"/>
          <w:highlight w:val="none"/>
          <w:lang w:val="zh-CN"/>
        </w:rPr>
      </w:pPr>
      <w:r>
        <w:rPr>
          <w:rFonts w:hint="eastAsia" w:ascii="宋体" w:eastAsia="宋体" w:cs="宋体"/>
          <w:sz w:val="24"/>
          <w:szCs w:val="24"/>
          <w:highlight w:val="none"/>
          <w:lang w:val="zh-CN"/>
        </w:rPr>
        <w:t>4.2 上一年度的财务状况报告（成立不满一年不需提供）（</w:t>
      </w:r>
      <w:r>
        <w:rPr>
          <w:rFonts w:hint="eastAsia" w:ascii="宋体" w:eastAsia="宋体" w:cs="宋体"/>
          <w:sz w:val="24"/>
          <w:szCs w:val="24"/>
          <w:highlight w:val="none"/>
        </w:rPr>
        <w:t>提供2021</w:t>
      </w:r>
      <w:r>
        <w:rPr>
          <w:rFonts w:hint="eastAsia" w:ascii="宋体" w:eastAsia="宋体" w:cs="宋体"/>
          <w:sz w:val="24"/>
          <w:szCs w:val="24"/>
          <w:highlight w:val="none"/>
          <w:lang w:val="zh-CN"/>
        </w:rPr>
        <w:t>年度财务报表）；</w:t>
      </w:r>
    </w:p>
    <w:p>
      <w:pPr>
        <w:pStyle w:val="82"/>
        <w:snapToGrid w:val="0"/>
        <w:spacing w:line="360" w:lineRule="auto"/>
        <w:ind w:firstLine="720" w:firstLineChars="300"/>
        <w:rPr>
          <w:rFonts w:ascii="宋体" w:eastAsia="宋体" w:cs="宋体"/>
          <w:sz w:val="24"/>
          <w:szCs w:val="24"/>
          <w:highlight w:val="none"/>
          <w:lang w:val="zh-CN"/>
        </w:rPr>
      </w:pPr>
      <w:r>
        <w:rPr>
          <w:rFonts w:hint="eastAsia" w:ascii="宋体" w:eastAsia="宋体" w:cs="宋体"/>
          <w:sz w:val="24"/>
          <w:szCs w:val="24"/>
          <w:highlight w:val="none"/>
          <w:lang w:val="zh-CN"/>
        </w:rPr>
        <w:t>4.3 具有履行合同所必需的设备和专业技术能力（</w:t>
      </w:r>
      <w:r>
        <w:rPr>
          <w:rFonts w:hint="eastAsia" w:ascii="宋体" w:eastAsia="宋体" w:cs="宋体"/>
          <w:sz w:val="24"/>
          <w:szCs w:val="24"/>
          <w:highlight w:val="none"/>
        </w:rPr>
        <w:t>格式参见第七部分</w:t>
      </w:r>
      <w:r>
        <w:rPr>
          <w:rFonts w:hint="eastAsia" w:ascii="宋体" w:eastAsia="宋体" w:cs="宋体"/>
          <w:sz w:val="24"/>
          <w:szCs w:val="24"/>
          <w:highlight w:val="none"/>
          <w:lang w:val="zh-CN"/>
        </w:rPr>
        <w:t>）；</w:t>
      </w:r>
    </w:p>
    <w:p>
      <w:pPr>
        <w:pStyle w:val="82"/>
        <w:snapToGrid w:val="0"/>
        <w:spacing w:line="360" w:lineRule="auto"/>
        <w:ind w:firstLine="720" w:firstLineChars="300"/>
        <w:rPr>
          <w:rFonts w:ascii="宋体" w:eastAsia="宋体" w:cs="宋体"/>
          <w:sz w:val="24"/>
          <w:szCs w:val="24"/>
          <w:highlight w:val="none"/>
          <w:lang w:val="zh-CN"/>
        </w:rPr>
      </w:pPr>
      <w:r>
        <w:rPr>
          <w:rFonts w:hint="eastAsia" w:ascii="宋体" w:eastAsia="宋体" w:cs="宋体"/>
          <w:sz w:val="24"/>
          <w:szCs w:val="24"/>
          <w:highlight w:val="none"/>
          <w:lang w:val="zh-CN"/>
        </w:rPr>
        <w:t>4.4 提供社会保障资金和纳税证明（提供202</w:t>
      </w:r>
      <w:r>
        <w:rPr>
          <w:rFonts w:hint="eastAsia" w:ascii="宋体" w:eastAsia="宋体" w:cs="宋体"/>
          <w:sz w:val="24"/>
          <w:szCs w:val="24"/>
          <w:highlight w:val="none"/>
        </w:rPr>
        <w:t>2</w:t>
      </w:r>
      <w:r>
        <w:rPr>
          <w:rFonts w:hint="eastAsia" w:ascii="宋体" w:eastAsia="宋体" w:cs="宋体"/>
          <w:sz w:val="24"/>
          <w:szCs w:val="24"/>
          <w:highlight w:val="none"/>
          <w:lang w:val="zh-CN"/>
        </w:rPr>
        <w:t>年度至少三个月依法缴纳税收和社会保障资金的相关材料）；</w:t>
      </w:r>
    </w:p>
    <w:p>
      <w:pPr>
        <w:pStyle w:val="82"/>
        <w:snapToGrid w:val="0"/>
        <w:spacing w:line="360" w:lineRule="auto"/>
        <w:ind w:firstLine="720" w:firstLineChars="300"/>
        <w:rPr>
          <w:rFonts w:ascii="宋体" w:eastAsia="宋体" w:cs="宋体"/>
          <w:sz w:val="24"/>
          <w:szCs w:val="24"/>
          <w:highlight w:val="none"/>
          <w:lang w:val="zh-CN"/>
        </w:rPr>
      </w:pPr>
      <w:r>
        <w:rPr>
          <w:rFonts w:hint="eastAsia" w:ascii="宋体" w:eastAsia="宋体" w:cs="宋体"/>
          <w:sz w:val="24"/>
          <w:szCs w:val="24"/>
          <w:highlight w:val="none"/>
          <w:lang w:val="zh-CN"/>
        </w:rPr>
        <w:t>4.5 参加政府采购活动前三年内，在经营活动中没有重大违法记录（</w:t>
      </w:r>
      <w:r>
        <w:rPr>
          <w:rFonts w:hint="eastAsia" w:ascii="宋体" w:eastAsia="宋体" w:cs="宋体"/>
          <w:sz w:val="24"/>
          <w:szCs w:val="24"/>
          <w:highlight w:val="none"/>
        </w:rPr>
        <w:t>格式参见第七部分</w:t>
      </w:r>
      <w:r>
        <w:rPr>
          <w:rFonts w:hint="eastAsia" w:ascii="宋体" w:eastAsia="宋体" w:cs="宋体"/>
          <w:sz w:val="24"/>
          <w:szCs w:val="24"/>
          <w:highlight w:val="none"/>
          <w:lang w:eastAsia="zh-CN"/>
        </w:rPr>
        <w:t>，</w:t>
      </w:r>
      <w:r>
        <w:rPr>
          <w:rFonts w:hint="eastAsia" w:ascii="宋体" w:eastAsia="宋体" w:cs="宋体"/>
          <w:sz w:val="24"/>
          <w:szCs w:val="24"/>
          <w:highlight w:val="none"/>
          <w:lang w:val="en-US" w:eastAsia="zh-CN"/>
        </w:rPr>
        <w:t>联合体各成员单位均需提供</w:t>
      </w:r>
      <w:r>
        <w:rPr>
          <w:rFonts w:hint="eastAsia" w:ascii="宋体" w:eastAsia="宋体" w:cs="宋体"/>
          <w:sz w:val="24"/>
          <w:szCs w:val="24"/>
          <w:highlight w:val="none"/>
          <w:lang w:val="zh-CN"/>
        </w:rPr>
        <w:t>）；</w:t>
      </w:r>
    </w:p>
    <w:p>
      <w:pPr>
        <w:pStyle w:val="82"/>
        <w:snapToGrid w:val="0"/>
        <w:spacing w:line="360" w:lineRule="auto"/>
        <w:ind w:firstLine="480" w:firstLineChars="200"/>
        <w:rPr>
          <w:rFonts w:ascii="宋体" w:eastAsia="宋体" w:cs="宋体"/>
          <w:sz w:val="24"/>
          <w:szCs w:val="24"/>
          <w:highlight w:val="none"/>
        </w:rPr>
      </w:pPr>
      <w:r>
        <w:rPr>
          <w:rFonts w:hint="eastAsia" w:ascii="宋体" w:eastAsia="宋体" w:cs="宋体"/>
          <w:sz w:val="24"/>
          <w:szCs w:val="24"/>
          <w:highlight w:val="none"/>
        </w:rPr>
        <w:t>5.未被“信用中国”网站（www.creditchina.gov.cn）列入失信被执行人、重大税收违法案件当事人名单及</w:t>
      </w:r>
      <w:r>
        <w:rPr>
          <w:rFonts w:hint="eastAsia" w:ascii="宋体" w:eastAsia="宋体" w:cs="宋体"/>
          <w:sz w:val="24"/>
          <w:highlight w:val="none"/>
        </w:rPr>
        <w:t>“中国政府采购网”网站（www.ccgp.gov.cn）政府采购严重违法失信行为记录名单</w:t>
      </w:r>
      <w:r>
        <w:rPr>
          <w:rFonts w:hint="eastAsia" w:ascii="宋体" w:eastAsia="宋体" w:cs="宋体"/>
          <w:sz w:val="24"/>
          <w:szCs w:val="24"/>
          <w:highlight w:val="none"/>
        </w:rPr>
        <w:t>的证明材料（查询结果有效期为自本项目公告发布之日起至本项目公开招标投标截止日</w:t>
      </w:r>
      <w:r>
        <w:rPr>
          <w:rFonts w:hint="eastAsia" w:ascii="宋体" w:eastAsia="宋体" w:cs="宋体"/>
          <w:sz w:val="24"/>
          <w:szCs w:val="24"/>
          <w:highlight w:val="none"/>
          <w:lang w:eastAsia="zh-CN"/>
        </w:rPr>
        <w:t>，</w:t>
      </w:r>
      <w:r>
        <w:rPr>
          <w:rFonts w:hint="eastAsia" w:ascii="宋体" w:eastAsia="宋体" w:cs="宋体"/>
          <w:sz w:val="24"/>
          <w:szCs w:val="24"/>
          <w:highlight w:val="none"/>
          <w:lang w:val="en-US" w:eastAsia="zh-CN"/>
        </w:rPr>
        <w:t>联合体各成员单位均需提供</w:t>
      </w:r>
      <w:r>
        <w:rPr>
          <w:rFonts w:hint="eastAsia" w:ascii="宋体" w:eastAsia="宋体" w:cs="宋体"/>
          <w:sz w:val="24"/>
          <w:szCs w:val="24"/>
          <w:highlight w:val="none"/>
        </w:rPr>
        <w:t>）；</w:t>
      </w:r>
    </w:p>
    <w:p>
      <w:pPr>
        <w:pStyle w:val="82"/>
        <w:snapToGrid w:val="0"/>
        <w:spacing w:line="360" w:lineRule="auto"/>
        <w:ind w:firstLine="480" w:firstLineChars="200"/>
        <w:rPr>
          <w:rFonts w:ascii="宋体" w:eastAsia="宋体" w:cs="宋体"/>
          <w:sz w:val="24"/>
          <w:szCs w:val="24"/>
          <w:highlight w:val="none"/>
        </w:rPr>
      </w:pPr>
      <w:r>
        <w:rPr>
          <w:rFonts w:hint="eastAsia" w:ascii="宋体" w:eastAsia="宋体" w:cs="宋体"/>
          <w:sz w:val="24"/>
          <w:szCs w:val="24"/>
          <w:highlight w:val="none"/>
        </w:rPr>
        <w:t>6.联合体协议书（如有，</w:t>
      </w:r>
      <w:r>
        <w:rPr>
          <w:rFonts w:hint="eastAsia" w:ascii="宋体" w:eastAsia="宋体" w:cs="宋体"/>
          <w:sz w:val="24"/>
          <w:szCs w:val="24"/>
          <w:highlight w:val="none"/>
          <w:lang w:val="zh-CN"/>
        </w:rPr>
        <w:t>格式参见第七部分</w:t>
      </w:r>
      <w:r>
        <w:rPr>
          <w:rFonts w:hint="eastAsia" w:ascii="宋体" w:eastAsia="宋体" w:cs="宋体"/>
          <w:sz w:val="24"/>
          <w:szCs w:val="24"/>
          <w:highlight w:val="none"/>
        </w:rPr>
        <w:t>）；</w:t>
      </w:r>
    </w:p>
    <w:p>
      <w:pPr>
        <w:pStyle w:val="82"/>
        <w:snapToGrid w:val="0"/>
        <w:spacing w:line="360" w:lineRule="auto"/>
        <w:ind w:firstLine="480" w:firstLineChars="200"/>
        <w:rPr>
          <w:highlight w:val="none"/>
        </w:rPr>
      </w:pPr>
      <w:r>
        <w:rPr>
          <w:rFonts w:hint="eastAsia" w:ascii="宋体" w:eastAsia="宋体" w:cs="宋体"/>
          <w:sz w:val="24"/>
          <w:szCs w:val="24"/>
          <w:highlight w:val="none"/>
        </w:rPr>
        <w:t>7.供应商认为需要提交的其他资料</w:t>
      </w:r>
      <w:r>
        <w:rPr>
          <w:rFonts w:hint="eastAsia" w:ascii="宋体" w:eastAsia="宋体" w:cs="宋体"/>
          <w:sz w:val="24"/>
          <w:szCs w:val="24"/>
          <w:highlight w:val="none"/>
          <w:lang w:val="zh-CN"/>
        </w:rPr>
        <w:t>。</w:t>
      </w:r>
    </w:p>
    <w:p>
      <w:pPr>
        <w:pStyle w:val="82"/>
        <w:snapToGrid w:val="0"/>
        <w:spacing w:line="360" w:lineRule="auto"/>
        <w:ind w:firstLine="480" w:firstLineChars="200"/>
        <w:rPr>
          <w:rFonts w:hint="eastAsia" w:ascii="宋体" w:eastAsia="宋体" w:cs="宋体"/>
          <w:sz w:val="24"/>
          <w:szCs w:val="24"/>
          <w:highlight w:val="none"/>
        </w:rPr>
      </w:pPr>
      <w:r>
        <w:rPr>
          <w:rFonts w:hint="eastAsia" w:ascii="宋体" w:eastAsia="宋体" w:cs="宋体"/>
          <w:sz w:val="24"/>
          <w:szCs w:val="24"/>
          <w:highlight w:val="none"/>
        </w:rPr>
        <w:t>注：</w:t>
      </w:r>
    </w:p>
    <w:p>
      <w:pPr>
        <w:pStyle w:val="82"/>
        <w:snapToGrid w:val="0"/>
        <w:spacing w:line="360" w:lineRule="auto"/>
        <w:ind w:firstLine="482" w:firstLineChars="200"/>
        <w:rPr>
          <w:rFonts w:hint="eastAsia" w:ascii="宋体" w:eastAsia="宋体" w:cs="宋体"/>
          <w:b/>
          <w:bCs/>
          <w:sz w:val="24"/>
          <w:szCs w:val="24"/>
          <w:highlight w:val="none"/>
        </w:rPr>
      </w:pPr>
      <w:r>
        <w:rPr>
          <w:rFonts w:hint="eastAsia" w:ascii="宋体" w:eastAsia="宋体" w:cs="宋体"/>
          <w:b/>
          <w:bCs/>
          <w:sz w:val="24"/>
          <w:szCs w:val="24"/>
          <w:highlight w:val="none"/>
          <w:lang w:val="zh-CN"/>
        </w:rPr>
        <w:t>供应商同时对</w:t>
      </w:r>
      <w:r>
        <w:rPr>
          <w:rFonts w:hint="eastAsia" w:ascii="宋体" w:eastAsia="宋体" w:cs="宋体"/>
          <w:b/>
          <w:bCs/>
          <w:sz w:val="24"/>
          <w:szCs w:val="24"/>
          <w:highlight w:val="none"/>
        </w:rPr>
        <w:t>多个标段</w:t>
      </w:r>
      <w:r>
        <w:rPr>
          <w:rFonts w:hint="eastAsia" w:ascii="宋体" w:eastAsia="宋体" w:cs="宋体"/>
          <w:b/>
          <w:bCs/>
          <w:sz w:val="24"/>
          <w:szCs w:val="24"/>
          <w:highlight w:val="none"/>
          <w:lang w:val="zh-CN"/>
        </w:rPr>
        <w:t>进行投标</w:t>
      </w:r>
      <w:r>
        <w:rPr>
          <w:rFonts w:hint="eastAsia" w:ascii="宋体" w:eastAsia="宋体" w:cs="宋体"/>
          <w:b/>
          <w:bCs/>
          <w:sz w:val="24"/>
          <w:szCs w:val="24"/>
          <w:highlight w:val="none"/>
        </w:rPr>
        <w:t>的只需提供一份资格审查文件，资格审查文件内容中涉及项目名称的格式为：项目名称+全部所投标段号。</w:t>
      </w:r>
    </w:p>
    <w:p>
      <w:pPr>
        <w:pStyle w:val="82"/>
        <w:snapToGrid w:val="0"/>
        <w:spacing w:line="360" w:lineRule="auto"/>
        <w:ind w:firstLine="480" w:firstLineChars="200"/>
        <w:rPr>
          <w:rFonts w:hint="default" w:ascii="宋体" w:eastAsia="宋体" w:cs="宋体"/>
          <w:sz w:val="24"/>
          <w:szCs w:val="24"/>
          <w:highlight w:val="none"/>
          <w:lang w:val="en-US" w:eastAsia="zh-CN"/>
        </w:rPr>
      </w:pPr>
    </w:p>
    <w:p>
      <w:pPr>
        <w:pStyle w:val="82"/>
        <w:snapToGrid w:val="0"/>
        <w:spacing w:line="360" w:lineRule="auto"/>
        <w:ind w:firstLine="480" w:firstLineChars="200"/>
        <w:rPr>
          <w:rFonts w:ascii="宋体" w:eastAsia="宋体" w:cs="宋体"/>
          <w:sz w:val="24"/>
          <w:szCs w:val="24"/>
          <w:highlight w:val="none"/>
        </w:rPr>
      </w:pPr>
      <w:r>
        <w:rPr>
          <w:rFonts w:hint="eastAsia" w:ascii="宋体" w:eastAsia="宋体" w:cs="宋体"/>
          <w:sz w:val="24"/>
          <w:szCs w:val="24"/>
          <w:highlight w:val="none"/>
        </w:rPr>
        <w:t>二、商务技术标（一正</w:t>
      </w:r>
      <w:r>
        <w:rPr>
          <w:rFonts w:hint="eastAsia" w:ascii="宋体" w:eastAsia="宋体" w:cs="宋体"/>
          <w:sz w:val="24"/>
          <w:szCs w:val="24"/>
          <w:highlight w:val="none"/>
          <w:lang w:val="en-US" w:eastAsia="zh-CN"/>
        </w:rPr>
        <w:t>六</w:t>
      </w:r>
      <w:r>
        <w:rPr>
          <w:rFonts w:hint="eastAsia" w:ascii="宋体" w:eastAsia="宋体" w:cs="宋体"/>
          <w:sz w:val="24"/>
          <w:szCs w:val="24"/>
          <w:highlight w:val="none"/>
        </w:rPr>
        <w:t>副，不得出现报价，装订密封要求见备注）</w:t>
      </w:r>
    </w:p>
    <w:p>
      <w:pPr>
        <w:pStyle w:val="82"/>
        <w:snapToGrid w:val="0"/>
        <w:spacing w:line="360" w:lineRule="auto"/>
        <w:ind w:firstLine="480" w:firstLineChars="200"/>
        <w:rPr>
          <w:rFonts w:ascii="宋体" w:eastAsia="宋体" w:cs="宋体"/>
          <w:sz w:val="24"/>
          <w:szCs w:val="24"/>
          <w:highlight w:val="none"/>
        </w:rPr>
      </w:pPr>
      <w:r>
        <w:rPr>
          <w:rFonts w:hint="eastAsia" w:ascii="宋体" w:eastAsia="宋体" w:cs="宋体"/>
          <w:sz w:val="24"/>
          <w:szCs w:val="24"/>
          <w:highlight w:val="none"/>
        </w:rPr>
        <w:t>1.投标响应函；</w:t>
      </w:r>
    </w:p>
    <w:p>
      <w:pPr>
        <w:pStyle w:val="82"/>
        <w:snapToGrid w:val="0"/>
        <w:spacing w:line="360" w:lineRule="auto"/>
        <w:ind w:firstLine="480" w:firstLineChars="200"/>
        <w:rPr>
          <w:rFonts w:ascii="宋体" w:eastAsia="宋体" w:cs="宋体"/>
          <w:sz w:val="24"/>
          <w:szCs w:val="24"/>
          <w:highlight w:val="none"/>
        </w:rPr>
      </w:pPr>
      <w:r>
        <w:rPr>
          <w:rFonts w:hint="eastAsia" w:ascii="宋体" w:eastAsia="宋体" w:cs="宋体"/>
          <w:sz w:val="24"/>
          <w:szCs w:val="24"/>
          <w:highlight w:val="none"/>
        </w:rPr>
        <w:t>2.供应商一般情况表；</w:t>
      </w:r>
    </w:p>
    <w:p>
      <w:pPr>
        <w:pStyle w:val="82"/>
        <w:snapToGrid w:val="0"/>
        <w:spacing w:line="360" w:lineRule="auto"/>
        <w:ind w:firstLine="480" w:firstLineChars="200"/>
        <w:rPr>
          <w:rFonts w:ascii="宋体" w:eastAsia="宋体" w:cs="宋体"/>
          <w:sz w:val="24"/>
          <w:szCs w:val="24"/>
          <w:highlight w:val="none"/>
        </w:rPr>
      </w:pPr>
      <w:r>
        <w:rPr>
          <w:rFonts w:hint="eastAsia" w:ascii="宋体" w:eastAsia="宋体" w:cs="宋体"/>
          <w:sz w:val="24"/>
          <w:szCs w:val="24"/>
          <w:highlight w:val="none"/>
        </w:rPr>
        <w:t>3.技术部分正负偏离表；</w:t>
      </w:r>
    </w:p>
    <w:p>
      <w:pPr>
        <w:pStyle w:val="82"/>
        <w:snapToGrid w:val="0"/>
        <w:spacing w:line="360" w:lineRule="auto"/>
        <w:ind w:firstLine="480" w:firstLineChars="200"/>
        <w:rPr>
          <w:rFonts w:ascii="宋体" w:eastAsia="宋体" w:cs="宋体"/>
          <w:sz w:val="24"/>
          <w:szCs w:val="24"/>
          <w:highlight w:val="none"/>
        </w:rPr>
      </w:pPr>
      <w:r>
        <w:rPr>
          <w:rFonts w:hint="eastAsia" w:ascii="宋体" w:eastAsia="宋体" w:cs="宋体"/>
          <w:sz w:val="24"/>
          <w:szCs w:val="24"/>
          <w:highlight w:val="none"/>
        </w:rPr>
        <w:t>4.商务部分正负偏离表；</w:t>
      </w:r>
    </w:p>
    <w:p>
      <w:pPr>
        <w:pStyle w:val="82"/>
        <w:snapToGrid w:val="0"/>
        <w:spacing w:line="360" w:lineRule="auto"/>
        <w:ind w:firstLine="480" w:firstLineChars="200"/>
        <w:rPr>
          <w:rFonts w:hint="eastAsia" w:ascii="宋体" w:eastAsia="宋体" w:cs="宋体"/>
          <w:bCs/>
          <w:sz w:val="24"/>
          <w:szCs w:val="24"/>
          <w:highlight w:val="none"/>
        </w:rPr>
      </w:pPr>
      <w:r>
        <w:rPr>
          <w:rFonts w:hint="eastAsia" w:ascii="宋体" w:eastAsia="宋体" w:cs="宋体"/>
          <w:bCs/>
          <w:sz w:val="24"/>
          <w:szCs w:val="24"/>
          <w:highlight w:val="none"/>
        </w:rPr>
        <w:t>填制正负偏离表，不完全响应的，必须在偏离表中列示；列示不全的，视同故意隐瞒。</w:t>
      </w:r>
    </w:p>
    <w:p>
      <w:pPr>
        <w:pStyle w:val="82"/>
        <w:snapToGrid w:val="0"/>
        <w:spacing w:line="360" w:lineRule="auto"/>
        <w:ind w:firstLine="494"/>
        <w:rPr>
          <w:rFonts w:hint="eastAsia" w:ascii="宋体" w:eastAsia="宋体" w:cs="宋体"/>
          <w:sz w:val="24"/>
          <w:szCs w:val="24"/>
          <w:highlight w:val="none"/>
        </w:rPr>
      </w:pPr>
      <w:r>
        <w:rPr>
          <w:rFonts w:hint="eastAsia" w:ascii="宋体" w:eastAsia="宋体" w:cs="宋体"/>
          <w:sz w:val="24"/>
          <w:szCs w:val="24"/>
          <w:highlight w:val="none"/>
          <w:lang w:val="en-US" w:eastAsia="zh-CN"/>
        </w:rPr>
        <w:t>5.</w:t>
      </w:r>
      <w:r>
        <w:rPr>
          <w:rFonts w:hint="eastAsia" w:ascii="宋体" w:eastAsia="宋体" w:cs="宋体"/>
          <w:sz w:val="24"/>
          <w:szCs w:val="24"/>
          <w:highlight w:val="none"/>
        </w:rPr>
        <w:t>响应方案、货物（服务）清单。具有项目、数量、品牌、型号、配置性能等；</w:t>
      </w:r>
    </w:p>
    <w:p>
      <w:pPr>
        <w:pStyle w:val="82"/>
        <w:snapToGrid w:val="0"/>
        <w:spacing w:line="360" w:lineRule="auto"/>
        <w:ind w:left="0" w:leftChars="0" w:firstLine="480" w:firstLineChars="200"/>
        <w:rPr>
          <w:rFonts w:ascii="宋体" w:eastAsia="宋体" w:cs="宋体"/>
          <w:sz w:val="24"/>
          <w:szCs w:val="24"/>
          <w:highlight w:val="none"/>
        </w:rPr>
      </w:pPr>
      <w:r>
        <w:rPr>
          <w:rFonts w:hint="eastAsia" w:ascii="宋体" w:eastAsia="宋体" w:cs="宋体"/>
          <w:sz w:val="24"/>
          <w:szCs w:val="24"/>
          <w:highlight w:val="none"/>
          <w:lang w:val="en-US" w:eastAsia="zh-CN"/>
        </w:rPr>
        <w:t>6.</w:t>
      </w:r>
      <w:r>
        <w:rPr>
          <w:rFonts w:hint="eastAsia" w:ascii="宋体" w:eastAsia="宋体" w:cs="宋体"/>
          <w:sz w:val="24"/>
          <w:szCs w:val="24"/>
          <w:highlight w:val="none"/>
        </w:rPr>
        <w:t>拟派项目组成员一览表；</w:t>
      </w:r>
    </w:p>
    <w:p>
      <w:pPr>
        <w:pStyle w:val="82"/>
        <w:snapToGrid w:val="0"/>
        <w:spacing w:line="360" w:lineRule="auto"/>
        <w:ind w:firstLine="480" w:firstLineChars="200"/>
        <w:rPr>
          <w:rFonts w:ascii="宋体" w:eastAsia="宋体" w:cs="宋体"/>
          <w:sz w:val="24"/>
          <w:szCs w:val="24"/>
          <w:highlight w:val="none"/>
        </w:rPr>
      </w:pPr>
      <w:r>
        <w:rPr>
          <w:rFonts w:hint="eastAsia" w:ascii="宋体" w:eastAsia="宋体" w:cs="宋体"/>
          <w:sz w:val="24"/>
          <w:szCs w:val="24"/>
          <w:highlight w:val="none"/>
          <w:lang w:val="en-US" w:eastAsia="zh-CN"/>
        </w:rPr>
        <w:t>7</w:t>
      </w:r>
      <w:r>
        <w:rPr>
          <w:rFonts w:hint="eastAsia" w:ascii="宋体" w:eastAsia="宋体" w:cs="宋体"/>
          <w:sz w:val="24"/>
          <w:szCs w:val="24"/>
          <w:highlight w:val="none"/>
        </w:rPr>
        <w:t>.为方便评委评审，请供应商按评审办法中所涉及的事项顺序进行编制，可以补充相关材料；</w:t>
      </w:r>
    </w:p>
    <w:p>
      <w:pPr>
        <w:pStyle w:val="82"/>
        <w:snapToGrid w:val="0"/>
        <w:spacing w:line="360" w:lineRule="auto"/>
        <w:ind w:firstLine="480" w:firstLineChars="200"/>
        <w:rPr>
          <w:rFonts w:ascii="宋体" w:eastAsia="宋体" w:cs="宋体"/>
          <w:sz w:val="24"/>
          <w:szCs w:val="24"/>
          <w:highlight w:val="none"/>
        </w:rPr>
      </w:pPr>
      <w:r>
        <w:rPr>
          <w:rFonts w:hint="eastAsia" w:ascii="宋体" w:eastAsia="宋体" w:cs="宋体"/>
          <w:sz w:val="24"/>
          <w:szCs w:val="24"/>
          <w:highlight w:val="none"/>
          <w:lang w:val="en-US" w:eastAsia="zh-CN"/>
        </w:rPr>
        <w:t>8</w:t>
      </w:r>
      <w:r>
        <w:rPr>
          <w:rFonts w:hint="eastAsia" w:ascii="宋体" w:eastAsia="宋体" w:cs="宋体"/>
          <w:sz w:val="24"/>
          <w:szCs w:val="24"/>
          <w:highlight w:val="none"/>
        </w:rPr>
        <w:t>.评审办法中未涉及的事项，供应商认为需要提交的其他资料。</w:t>
      </w:r>
    </w:p>
    <w:p>
      <w:pPr>
        <w:adjustRightInd w:val="0"/>
        <w:snapToGrid w:val="0"/>
        <w:spacing w:line="360" w:lineRule="auto"/>
        <w:ind w:firstLine="482" w:firstLineChars="200"/>
        <w:contextualSpacing/>
        <w:jc w:val="left"/>
        <w:rPr>
          <w:b/>
          <w:bCs/>
          <w:sz w:val="24"/>
          <w:highlight w:val="none"/>
        </w:rPr>
      </w:pPr>
      <w:r>
        <w:rPr>
          <w:rFonts w:hint="eastAsia"/>
          <w:b/>
          <w:bCs/>
          <w:sz w:val="24"/>
          <w:highlight w:val="none"/>
        </w:rPr>
        <w:t>注：</w:t>
      </w:r>
    </w:p>
    <w:p>
      <w:pPr>
        <w:snapToGrid w:val="0"/>
        <w:spacing w:line="312" w:lineRule="auto"/>
        <w:ind w:firstLine="482" w:firstLineChars="200"/>
        <w:contextualSpacing/>
        <w:rPr>
          <w:b/>
          <w:bCs/>
          <w:sz w:val="24"/>
          <w:highlight w:val="none"/>
        </w:rPr>
      </w:pPr>
      <w:r>
        <w:rPr>
          <w:rFonts w:hint="eastAsia"/>
          <w:b/>
          <w:bCs/>
          <w:sz w:val="24"/>
          <w:highlight w:val="none"/>
        </w:rPr>
        <w:t>商务技术标分为商务技术标第一册和商务技术标第二册。</w:t>
      </w:r>
    </w:p>
    <w:p>
      <w:pPr>
        <w:adjustRightInd w:val="0"/>
        <w:snapToGrid w:val="0"/>
        <w:spacing w:line="360" w:lineRule="auto"/>
        <w:ind w:firstLine="482" w:firstLineChars="200"/>
        <w:contextualSpacing/>
        <w:jc w:val="left"/>
        <w:rPr>
          <w:b/>
          <w:bCs/>
          <w:sz w:val="24"/>
          <w:highlight w:val="none"/>
        </w:rPr>
      </w:pPr>
      <w:r>
        <w:rPr>
          <w:rFonts w:hint="eastAsia"/>
          <w:b/>
          <w:bCs/>
          <w:sz w:val="24"/>
          <w:highlight w:val="none"/>
        </w:rPr>
        <w:t>商务技术标第一册的内容是投标响应函、供应商一般情况表、技术部分正负偏离表、商务部分正负偏离表和商务技术分第一部分的所有内容，投标供应商</w:t>
      </w:r>
      <w:r>
        <w:rPr>
          <w:rFonts w:hint="eastAsia"/>
          <w:b/>
          <w:bCs/>
          <w:sz w:val="24"/>
          <w:highlight w:val="none"/>
          <w:lang w:val="zh-CN"/>
        </w:rPr>
        <w:t>对</w:t>
      </w:r>
      <w:r>
        <w:rPr>
          <w:rFonts w:hint="eastAsia"/>
          <w:b/>
          <w:bCs/>
          <w:sz w:val="24"/>
          <w:highlight w:val="none"/>
        </w:rPr>
        <w:t>多个标段</w:t>
      </w:r>
      <w:r>
        <w:rPr>
          <w:rFonts w:hint="eastAsia"/>
          <w:b/>
          <w:bCs/>
          <w:sz w:val="24"/>
          <w:highlight w:val="none"/>
          <w:lang w:val="zh-CN"/>
        </w:rPr>
        <w:t>进行投标</w:t>
      </w:r>
      <w:r>
        <w:rPr>
          <w:rFonts w:hint="eastAsia"/>
          <w:b/>
          <w:bCs/>
          <w:sz w:val="24"/>
          <w:highlight w:val="none"/>
        </w:rPr>
        <w:t>的只需提供一份商务技术标第一册文件（一正六副）单独密封为一个密封包。商务技术标第一册文件内容中涉及项目名称的格式为：项目名称+全部所投标段号。</w:t>
      </w:r>
    </w:p>
    <w:p>
      <w:pPr>
        <w:adjustRightInd w:val="0"/>
        <w:snapToGrid w:val="0"/>
        <w:spacing w:line="360" w:lineRule="auto"/>
        <w:ind w:firstLine="482" w:firstLineChars="200"/>
        <w:contextualSpacing/>
        <w:jc w:val="left"/>
        <w:rPr>
          <w:b/>
          <w:bCs/>
          <w:sz w:val="24"/>
          <w:highlight w:val="none"/>
        </w:rPr>
      </w:pPr>
      <w:r>
        <w:rPr>
          <w:rFonts w:hint="eastAsia"/>
          <w:b/>
          <w:bCs/>
          <w:sz w:val="24"/>
          <w:highlight w:val="none"/>
        </w:rPr>
        <w:t>商务技术标第二册的内容是商务技术分第二部分的所有内容，商务技术标第二册按照所投标段数数量制作投标文件。例如供应商投标：标段一，标段二和标段三，需按照所投标段数数量分别准备三份商务技术标第二册，合计三个密封包：</w:t>
      </w:r>
    </w:p>
    <w:p>
      <w:pPr>
        <w:numPr>
          <w:ilvl w:val="0"/>
          <w:numId w:val="29"/>
        </w:numPr>
        <w:adjustRightInd w:val="0"/>
        <w:snapToGrid w:val="0"/>
        <w:spacing w:line="360" w:lineRule="auto"/>
        <w:ind w:firstLine="482" w:firstLineChars="200"/>
        <w:contextualSpacing/>
        <w:jc w:val="left"/>
        <w:rPr>
          <w:b/>
          <w:bCs/>
          <w:sz w:val="24"/>
          <w:highlight w:val="none"/>
        </w:rPr>
      </w:pPr>
      <w:r>
        <w:rPr>
          <w:rFonts w:hint="eastAsia"/>
          <w:b/>
          <w:bCs/>
          <w:sz w:val="24"/>
          <w:highlight w:val="none"/>
        </w:rPr>
        <w:t>标段一：商务技术标第二册（一正六副），单独密封为一个密封包。涉及项目名称的格式为：2022年南通市“智改数转”诊断服务项目标段一；</w:t>
      </w:r>
    </w:p>
    <w:p>
      <w:pPr>
        <w:numPr>
          <w:ilvl w:val="0"/>
          <w:numId w:val="29"/>
        </w:numPr>
        <w:adjustRightInd w:val="0"/>
        <w:snapToGrid w:val="0"/>
        <w:spacing w:line="360" w:lineRule="auto"/>
        <w:ind w:firstLine="482" w:firstLineChars="200"/>
        <w:contextualSpacing/>
        <w:jc w:val="left"/>
        <w:rPr>
          <w:b/>
          <w:bCs/>
          <w:sz w:val="24"/>
          <w:highlight w:val="none"/>
        </w:rPr>
      </w:pPr>
      <w:r>
        <w:rPr>
          <w:rFonts w:hint="eastAsia"/>
          <w:b/>
          <w:bCs/>
          <w:sz w:val="24"/>
          <w:highlight w:val="none"/>
        </w:rPr>
        <w:t>标段二：商务技术标第二册（一正六副），单独密封为一个密封包。涉及项目名称的格式为：2022年南通市“智改数转”诊断服务项目标段二；</w:t>
      </w:r>
    </w:p>
    <w:p>
      <w:pPr>
        <w:numPr>
          <w:ilvl w:val="0"/>
          <w:numId w:val="29"/>
        </w:numPr>
        <w:adjustRightInd w:val="0"/>
        <w:snapToGrid w:val="0"/>
        <w:spacing w:line="360" w:lineRule="auto"/>
        <w:ind w:firstLine="482" w:firstLineChars="200"/>
        <w:contextualSpacing/>
        <w:jc w:val="left"/>
        <w:rPr>
          <w:b/>
          <w:bCs/>
          <w:sz w:val="24"/>
          <w:highlight w:val="none"/>
        </w:rPr>
      </w:pPr>
      <w:r>
        <w:rPr>
          <w:rFonts w:hint="eastAsia"/>
          <w:b/>
          <w:bCs/>
          <w:sz w:val="24"/>
          <w:highlight w:val="none"/>
        </w:rPr>
        <w:t>标段三：商务技术标第二册（一正六副），单独密封为一个密封包。涉及项目名称的格式为：2022年南通市“智改数转”诊断服务项目标段三。</w:t>
      </w:r>
    </w:p>
    <w:p>
      <w:pPr>
        <w:adjustRightInd w:val="0"/>
        <w:snapToGrid w:val="0"/>
        <w:spacing w:line="360" w:lineRule="auto"/>
        <w:ind w:firstLine="482" w:firstLineChars="200"/>
        <w:contextualSpacing/>
        <w:jc w:val="left"/>
        <w:rPr>
          <w:b/>
          <w:bCs/>
          <w:sz w:val="24"/>
          <w:highlight w:val="none"/>
        </w:rPr>
      </w:pPr>
      <w:r>
        <w:rPr>
          <w:rFonts w:hint="eastAsia"/>
          <w:b/>
          <w:bCs/>
          <w:sz w:val="24"/>
          <w:highlight w:val="none"/>
          <w:lang w:val="zh-CN"/>
        </w:rPr>
        <w:t>商务技术标</w:t>
      </w:r>
      <w:r>
        <w:rPr>
          <w:rFonts w:hint="eastAsia"/>
          <w:b/>
          <w:bCs/>
          <w:sz w:val="24"/>
          <w:highlight w:val="none"/>
        </w:rPr>
        <w:t>第二册内容中涉及项目名称的格式都必须为：项目名称+所投标段号。</w:t>
      </w:r>
    </w:p>
    <w:p>
      <w:pPr>
        <w:adjustRightInd w:val="0"/>
        <w:snapToGrid w:val="0"/>
        <w:spacing w:line="440" w:lineRule="exact"/>
        <w:ind w:firstLine="480" w:firstLineChars="200"/>
        <w:contextualSpacing/>
        <w:jc w:val="left"/>
        <w:rPr>
          <w:rFonts w:ascii="宋体" w:hAnsi="宋体" w:cs="宋体"/>
          <w:sz w:val="24"/>
          <w:highlight w:val="none"/>
        </w:rPr>
      </w:pPr>
    </w:p>
    <w:p>
      <w:pPr>
        <w:adjustRightInd w:val="0"/>
        <w:snapToGrid w:val="0"/>
        <w:spacing w:line="440" w:lineRule="exact"/>
        <w:ind w:firstLine="480" w:firstLineChars="200"/>
        <w:contextualSpacing/>
        <w:jc w:val="left"/>
        <w:rPr>
          <w:rFonts w:ascii="宋体" w:hAnsi="宋体" w:cs="宋体"/>
          <w:sz w:val="24"/>
          <w:highlight w:val="none"/>
        </w:rPr>
      </w:pPr>
      <w:r>
        <w:rPr>
          <w:rFonts w:hint="eastAsia" w:ascii="宋体" w:hAnsi="宋体" w:cs="宋体"/>
          <w:sz w:val="24"/>
          <w:highlight w:val="none"/>
        </w:rPr>
        <w:t>三、价格标（一正</w:t>
      </w:r>
      <w:r>
        <w:rPr>
          <w:rFonts w:hint="eastAsia" w:ascii="宋体" w:hAnsi="宋体" w:cs="宋体"/>
          <w:sz w:val="24"/>
          <w:highlight w:val="none"/>
          <w:lang w:val="en-US" w:eastAsia="zh-CN"/>
        </w:rPr>
        <w:t>六</w:t>
      </w:r>
      <w:r>
        <w:rPr>
          <w:rFonts w:hint="eastAsia" w:ascii="宋体" w:hAnsi="宋体" w:cs="宋体"/>
          <w:sz w:val="24"/>
          <w:highlight w:val="none"/>
        </w:rPr>
        <w:t>副，</w:t>
      </w:r>
      <w:r>
        <w:rPr>
          <w:rFonts w:hint="eastAsia" w:ascii="宋体" w:cs="宋体"/>
          <w:sz w:val="24"/>
          <w:highlight w:val="none"/>
        </w:rPr>
        <w:t>按标段</w:t>
      </w:r>
      <w:r>
        <w:rPr>
          <w:rFonts w:hint="eastAsia" w:ascii="宋体" w:hAnsi="宋体" w:cs="宋体"/>
          <w:sz w:val="24"/>
          <w:highlight w:val="none"/>
        </w:rPr>
        <w:t>单独装订密封）</w:t>
      </w:r>
    </w:p>
    <w:p>
      <w:pPr>
        <w:adjustRightInd w:val="0"/>
        <w:snapToGrid w:val="0"/>
        <w:spacing w:line="440" w:lineRule="exact"/>
        <w:ind w:firstLine="480" w:firstLineChars="200"/>
        <w:contextualSpacing/>
        <w:jc w:val="left"/>
        <w:rPr>
          <w:rFonts w:ascii="宋体" w:hAnsi="宋体" w:cs="宋体"/>
          <w:sz w:val="24"/>
          <w:highlight w:val="none"/>
        </w:rPr>
      </w:pPr>
      <w:r>
        <w:rPr>
          <w:rFonts w:hint="eastAsia" w:ascii="宋体" w:hAnsi="宋体" w:cs="宋体"/>
          <w:sz w:val="24"/>
          <w:highlight w:val="none"/>
        </w:rPr>
        <w:t>1.投标响应报价总表（格式参见第七部分）。</w:t>
      </w:r>
    </w:p>
    <w:p>
      <w:pPr>
        <w:adjustRightInd w:val="0"/>
        <w:snapToGrid w:val="0"/>
        <w:spacing w:line="440" w:lineRule="exact"/>
        <w:ind w:firstLine="480" w:firstLineChars="200"/>
        <w:contextualSpacing/>
        <w:jc w:val="left"/>
        <w:rPr>
          <w:rFonts w:ascii="宋体" w:hAnsi="宋体" w:cs="宋体"/>
          <w:sz w:val="24"/>
          <w:highlight w:val="none"/>
        </w:rPr>
      </w:pPr>
      <w:r>
        <w:rPr>
          <w:rFonts w:hint="eastAsia" w:ascii="宋体" w:hAnsi="宋体" w:cs="宋体"/>
          <w:sz w:val="24"/>
          <w:highlight w:val="none"/>
        </w:rPr>
        <w:t>2.投标响应报价明细表（格式参见第七部分）。</w:t>
      </w:r>
    </w:p>
    <w:p>
      <w:pPr>
        <w:adjustRightInd w:val="0"/>
        <w:snapToGrid w:val="0"/>
        <w:spacing w:line="440" w:lineRule="exact"/>
        <w:ind w:firstLine="480" w:firstLineChars="200"/>
        <w:contextualSpacing/>
        <w:jc w:val="left"/>
        <w:rPr>
          <w:rFonts w:ascii="宋体" w:hAnsi="宋体" w:cs="宋体"/>
          <w:sz w:val="24"/>
          <w:highlight w:val="none"/>
        </w:rPr>
      </w:pPr>
      <w:r>
        <w:rPr>
          <w:rFonts w:hint="eastAsia" w:ascii="宋体" w:hAnsi="宋体" w:cs="宋体"/>
          <w:sz w:val="24"/>
          <w:highlight w:val="none"/>
        </w:rPr>
        <w:t>3.《中小企业声明函》（如有，格式参见第七部分）。</w:t>
      </w:r>
    </w:p>
    <w:p>
      <w:pPr>
        <w:pStyle w:val="2"/>
        <w:ind w:left="0" w:leftChars="0" w:firstLine="480" w:firstLineChars="0"/>
        <w:rPr>
          <w:rFonts w:ascii="宋体" w:hAnsi="宋体" w:cs="宋体"/>
          <w:sz w:val="24"/>
          <w:szCs w:val="24"/>
          <w:highlight w:val="none"/>
        </w:rPr>
      </w:pPr>
      <w:r>
        <w:rPr>
          <w:rFonts w:hint="eastAsia" w:ascii="宋体" w:hAnsi="宋体" w:cs="宋体"/>
          <w:sz w:val="24"/>
          <w:szCs w:val="24"/>
          <w:highlight w:val="none"/>
        </w:rPr>
        <w:t>4.</w:t>
      </w:r>
      <w:r>
        <w:rPr>
          <w:rFonts w:hint="eastAsia" w:ascii="宋体" w:hAnsi="宋体" w:cs="宋体"/>
          <w:sz w:val="24"/>
          <w:highlight w:val="none"/>
          <w:lang w:val="zh-CN"/>
        </w:rPr>
        <w:t>残疾人福利</w:t>
      </w:r>
      <w:r>
        <w:rPr>
          <w:rFonts w:hint="eastAsia" w:ascii="宋体" w:hAnsi="宋体" w:cs="宋体"/>
          <w:kern w:val="2"/>
          <w:sz w:val="24"/>
          <w:szCs w:val="24"/>
          <w:highlight w:val="none"/>
        </w:rPr>
        <w:t>单位声明函</w:t>
      </w:r>
      <w:r>
        <w:rPr>
          <w:rFonts w:hint="eastAsia" w:ascii="宋体" w:hAnsi="宋体" w:cs="宋体"/>
          <w:sz w:val="24"/>
          <w:szCs w:val="24"/>
          <w:highlight w:val="none"/>
        </w:rPr>
        <w:t>（如有，格式自拟）。</w:t>
      </w:r>
    </w:p>
    <w:p>
      <w:pPr>
        <w:pStyle w:val="2"/>
        <w:ind w:left="0" w:leftChars="0" w:firstLine="480" w:firstLineChars="0"/>
        <w:rPr>
          <w:rFonts w:ascii="宋体" w:hAnsi="宋体" w:cs="宋体"/>
          <w:sz w:val="24"/>
          <w:szCs w:val="24"/>
          <w:highlight w:val="none"/>
        </w:rPr>
      </w:pPr>
      <w:r>
        <w:rPr>
          <w:rFonts w:hint="eastAsia" w:ascii="宋体" w:hAnsi="宋体" w:cs="宋体"/>
          <w:sz w:val="24"/>
          <w:szCs w:val="24"/>
          <w:highlight w:val="none"/>
        </w:rPr>
        <w:t>5.</w:t>
      </w:r>
      <w:r>
        <w:rPr>
          <w:rFonts w:hint="eastAsia" w:ascii="宋体" w:hAnsi="宋体" w:cs="宋体"/>
          <w:sz w:val="24"/>
          <w:highlight w:val="none"/>
          <w:lang w:val="zh-CN"/>
        </w:rPr>
        <w:t>监狱和戒毒企业</w:t>
      </w:r>
      <w:r>
        <w:rPr>
          <w:rFonts w:hint="eastAsia" w:ascii="宋体" w:hAnsi="宋体" w:cs="宋体"/>
          <w:kern w:val="2"/>
          <w:sz w:val="24"/>
          <w:szCs w:val="24"/>
          <w:highlight w:val="none"/>
        </w:rPr>
        <w:t>声明函</w:t>
      </w:r>
      <w:r>
        <w:rPr>
          <w:rFonts w:hint="eastAsia" w:ascii="宋体" w:hAnsi="宋体" w:cs="宋体"/>
          <w:sz w:val="24"/>
          <w:szCs w:val="24"/>
          <w:highlight w:val="none"/>
        </w:rPr>
        <w:t>（如有，格式自拟）。</w:t>
      </w:r>
    </w:p>
    <w:p>
      <w:pPr>
        <w:snapToGrid w:val="0"/>
        <w:spacing w:line="312" w:lineRule="auto"/>
        <w:ind w:firstLine="482" w:firstLineChars="200"/>
        <w:rPr>
          <w:rFonts w:ascii="宋体" w:hAnsi="宋体" w:cs="宋体"/>
          <w:b/>
          <w:bCs/>
          <w:sz w:val="24"/>
          <w:highlight w:val="none"/>
        </w:rPr>
      </w:pPr>
      <w:r>
        <w:rPr>
          <w:rFonts w:hint="eastAsia" w:ascii="宋体" w:hAnsi="宋体" w:cs="宋体"/>
          <w:b/>
          <w:bCs/>
          <w:kern w:val="0"/>
          <w:sz w:val="24"/>
          <w:highlight w:val="none"/>
        </w:rPr>
        <w:t>注：</w:t>
      </w:r>
      <w:r>
        <w:rPr>
          <w:rFonts w:hint="eastAsia" w:ascii="宋体" w:hAnsi="宋体" w:cs="宋体"/>
          <w:b/>
          <w:bCs/>
          <w:kern w:val="0"/>
          <w:sz w:val="24"/>
          <w:highlight w:val="none"/>
          <w:lang w:val="zh-CN"/>
        </w:rPr>
        <w:t>价格标</w:t>
      </w:r>
      <w:r>
        <w:rPr>
          <w:rFonts w:hint="eastAsia" w:ascii="宋体" w:hAnsi="宋体" w:cs="宋体"/>
          <w:b/>
          <w:bCs/>
          <w:kern w:val="0"/>
          <w:sz w:val="24"/>
          <w:highlight w:val="none"/>
        </w:rPr>
        <w:t>按照所投标段数数量制作投标文件，</w:t>
      </w:r>
      <w:r>
        <w:rPr>
          <w:rFonts w:hint="eastAsia" w:ascii="宋体" w:hAnsi="宋体" w:cs="宋体"/>
          <w:b/>
          <w:bCs/>
          <w:kern w:val="0"/>
          <w:sz w:val="24"/>
          <w:highlight w:val="none"/>
          <w:lang w:val="zh-CN"/>
        </w:rPr>
        <w:t>价格标</w:t>
      </w:r>
      <w:r>
        <w:rPr>
          <w:rFonts w:hint="eastAsia" w:ascii="宋体" w:hAnsi="宋体" w:cs="宋体"/>
          <w:b/>
          <w:bCs/>
          <w:sz w:val="24"/>
          <w:highlight w:val="none"/>
        </w:rPr>
        <w:t>内容中涉及项目名称的格式都必须为：项目名称+所投标段号。</w:t>
      </w:r>
    </w:p>
    <w:p>
      <w:pPr>
        <w:spacing w:line="360" w:lineRule="auto"/>
        <w:rPr>
          <w:rFonts w:ascii="宋体" w:hAnsi="宋体"/>
          <w:b/>
          <w:bCs/>
          <w:sz w:val="24"/>
          <w:highlight w:val="none"/>
        </w:rPr>
      </w:pPr>
    </w:p>
    <w:p>
      <w:pPr>
        <w:spacing w:line="360" w:lineRule="auto"/>
        <w:rPr>
          <w:rFonts w:ascii="宋体" w:hAnsi="宋体"/>
          <w:b/>
          <w:bCs/>
          <w:sz w:val="24"/>
          <w:highlight w:val="none"/>
        </w:rPr>
      </w:pPr>
    </w:p>
    <w:p>
      <w:pPr>
        <w:spacing w:line="360" w:lineRule="auto"/>
        <w:rPr>
          <w:rFonts w:ascii="宋体" w:hAnsi="宋体"/>
          <w:b/>
          <w:bCs/>
          <w:sz w:val="24"/>
          <w:highlight w:val="none"/>
        </w:rPr>
      </w:pPr>
    </w:p>
    <w:p>
      <w:pPr>
        <w:spacing w:line="360" w:lineRule="auto"/>
        <w:rPr>
          <w:rFonts w:ascii="宋体" w:hAnsi="宋体"/>
          <w:b/>
          <w:bCs/>
          <w:sz w:val="24"/>
          <w:highlight w:val="none"/>
        </w:rPr>
      </w:pPr>
    </w:p>
    <w:p>
      <w:pPr>
        <w:spacing w:line="360" w:lineRule="auto"/>
        <w:rPr>
          <w:rFonts w:ascii="宋体" w:hAnsi="宋体"/>
          <w:b/>
          <w:bCs/>
          <w:sz w:val="24"/>
          <w:highlight w:val="none"/>
        </w:rPr>
      </w:pPr>
    </w:p>
    <w:p>
      <w:pPr>
        <w:spacing w:line="360" w:lineRule="auto"/>
        <w:rPr>
          <w:rFonts w:ascii="宋体" w:hAnsi="宋体"/>
          <w:b/>
          <w:bCs/>
          <w:sz w:val="24"/>
          <w:highlight w:val="none"/>
        </w:rPr>
      </w:pPr>
    </w:p>
    <w:p>
      <w:pPr>
        <w:spacing w:line="360" w:lineRule="auto"/>
        <w:rPr>
          <w:rFonts w:ascii="宋体" w:hAnsi="宋体"/>
          <w:b/>
          <w:bCs/>
          <w:sz w:val="24"/>
          <w:highlight w:val="none"/>
        </w:rPr>
      </w:pPr>
    </w:p>
    <w:p>
      <w:pPr>
        <w:spacing w:line="360" w:lineRule="auto"/>
        <w:rPr>
          <w:rFonts w:ascii="宋体" w:hAnsi="宋体"/>
          <w:b/>
          <w:bCs/>
          <w:sz w:val="24"/>
          <w:highlight w:val="none"/>
        </w:rPr>
      </w:pPr>
    </w:p>
    <w:p>
      <w:pPr>
        <w:spacing w:line="360" w:lineRule="auto"/>
        <w:rPr>
          <w:rFonts w:ascii="宋体" w:hAnsi="宋体"/>
          <w:b/>
          <w:bCs/>
          <w:sz w:val="24"/>
          <w:highlight w:val="none"/>
        </w:rPr>
      </w:pPr>
    </w:p>
    <w:p>
      <w:pPr>
        <w:spacing w:line="360" w:lineRule="auto"/>
        <w:rPr>
          <w:rFonts w:ascii="宋体" w:hAnsi="宋体"/>
          <w:b/>
          <w:bCs/>
          <w:sz w:val="24"/>
          <w:highlight w:val="none"/>
        </w:rPr>
      </w:pPr>
    </w:p>
    <w:p>
      <w:pPr>
        <w:spacing w:line="360" w:lineRule="auto"/>
        <w:rPr>
          <w:rFonts w:ascii="宋体" w:hAnsi="宋体"/>
          <w:b/>
          <w:bCs/>
          <w:sz w:val="24"/>
          <w:highlight w:val="none"/>
        </w:rPr>
      </w:pPr>
    </w:p>
    <w:p>
      <w:pPr>
        <w:spacing w:line="360" w:lineRule="auto"/>
        <w:rPr>
          <w:rFonts w:ascii="宋体" w:hAnsi="宋体"/>
          <w:b/>
          <w:bCs/>
          <w:sz w:val="24"/>
          <w:highlight w:val="none"/>
        </w:rPr>
      </w:pPr>
    </w:p>
    <w:p>
      <w:pPr>
        <w:pStyle w:val="2"/>
        <w:rPr>
          <w:rFonts w:ascii="宋体" w:hAnsi="宋体"/>
          <w:b/>
          <w:bCs/>
          <w:sz w:val="24"/>
          <w:highlight w:val="none"/>
        </w:rPr>
      </w:pPr>
    </w:p>
    <w:p>
      <w:pPr>
        <w:pStyle w:val="2"/>
        <w:rPr>
          <w:rFonts w:ascii="宋体" w:hAnsi="宋体"/>
          <w:b/>
          <w:bCs/>
          <w:sz w:val="24"/>
          <w:highlight w:val="none"/>
        </w:rPr>
      </w:pPr>
    </w:p>
    <w:p>
      <w:pPr>
        <w:pStyle w:val="2"/>
        <w:rPr>
          <w:rFonts w:ascii="宋体" w:hAnsi="宋体"/>
          <w:b/>
          <w:bCs/>
          <w:sz w:val="24"/>
          <w:highlight w:val="none"/>
        </w:rPr>
      </w:pPr>
    </w:p>
    <w:p>
      <w:pPr>
        <w:spacing w:line="360" w:lineRule="auto"/>
        <w:rPr>
          <w:rFonts w:ascii="宋体" w:hAnsi="宋体"/>
          <w:b/>
          <w:bCs/>
          <w:sz w:val="24"/>
          <w:highlight w:val="none"/>
        </w:rPr>
      </w:pPr>
    </w:p>
    <w:p>
      <w:pPr>
        <w:spacing w:line="360" w:lineRule="auto"/>
        <w:rPr>
          <w:rFonts w:ascii="宋体" w:hAnsi="宋体"/>
          <w:b/>
          <w:bCs/>
          <w:sz w:val="24"/>
          <w:highlight w:val="none"/>
        </w:rPr>
      </w:pPr>
    </w:p>
    <w:p>
      <w:pPr>
        <w:spacing w:line="360" w:lineRule="auto"/>
        <w:rPr>
          <w:rFonts w:ascii="宋体" w:hAnsi="宋体"/>
          <w:b/>
          <w:bCs/>
          <w:sz w:val="24"/>
          <w:highlight w:val="none"/>
        </w:rPr>
      </w:pPr>
    </w:p>
    <w:p>
      <w:pPr>
        <w:spacing w:line="360" w:lineRule="auto"/>
        <w:rPr>
          <w:rFonts w:ascii="宋体" w:hAnsi="宋体"/>
          <w:b/>
          <w:bCs/>
          <w:sz w:val="24"/>
          <w:highlight w:val="none"/>
        </w:rPr>
      </w:pPr>
    </w:p>
    <w:p>
      <w:pPr>
        <w:spacing w:line="360" w:lineRule="auto"/>
        <w:rPr>
          <w:rFonts w:ascii="宋体" w:hAnsi="宋体"/>
          <w:b/>
          <w:bCs/>
          <w:sz w:val="24"/>
          <w:highlight w:val="none"/>
        </w:rPr>
      </w:pPr>
    </w:p>
    <w:p>
      <w:pPr>
        <w:spacing w:line="360" w:lineRule="auto"/>
        <w:rPr>
          <w:rFonts w:ascii="宋体" w:hAnsi="宋体"/>
          <w:b/>
          <w:bCs/>
          <w:sz w:val="24"/>
          <w:highlight w:val="none"/>
        </w:rPr>
      </w:pPr>
    </w:p>
    <w:p>
      <w:pPr>
        <w:spacing w:line="360" w:lineRule="auto"/>
        <w:rPr>
          <w:rFonts w:ascii="宋体" w:hAnsi="宋体"/>
          <w:b/>
          <w:bCs/>
          <w:sz w:val="24"/>
          <w:highlight w:val="none"/>
        </w:rPr>
      </w:pPr>
    </w:p>
    <w:p>
      <w:pPr>
        <w:spacing w:line="360" w:lineRule="auto"/>
        <w:rPr>
          <w:rFonts w:ascii="宋体" w:hAnsi="宋体"/>
          <w:b/>
          <w:bCs/>
          <w:sz w:val="24"/>
          <w:highlight w:val="none"/>
        </w:rPr>
      </w:pPr>
    </w:p>
    <w:p>
      <w:pPr>
        <w:spacing w:line="360" w:lineRule="auto"/>
        <w:rPr>
          <w:rFonts w:ascii="宋体" w:hAnsi="宋体"/>
          <w:b/>
          <w:bCs/>
          <w:sz w:val="24"/>
          <w:highlight w:val="none"/>
        </w:rPr>
      </w:pPr>
      <w:r>
        <w:rPr>
          <w:rFonts w:ascii="宋体" w:hAnsi="宋体"/>
          <w:b/>
          <w:bCs/>
          <w:sz w:val="24"/>
          <w:highlight w:val="none"/>
        </w:rPr>
        <w:t>附件：</w:t>
      </w:r>
    </w:p>
    <w:p>
      <w:pPr>
        <w:pStyle w:val="2"/>
        <w:ind w:left="0" w:leftChars="0" w:firstLine="0" w:firstLineChars="0"/>
        <w:rPr>
          <w:rFonts w:ascii="宋体" w:hAnsi="宋体"/>
          <w:b/>
          <w:bCs/>
          <w:sz w:val="24"/>
          <w:szCs w:val="24"/>
          <w:highlight w:val="none"/>
        </w:rPr>
      </w:pPr>
      <w:r>
        <w:rPr>
          <w:rFonts w:hint="eastAsia" w:ascii="宋体" w:hAnsi="宋体"/>
          <w:b/>
          <w:bCs/>
          <w:sz w:val="24"/>
          <w:szCs w:val="24"/>
          <w:highlight w:val="none"/>
        </w:rPr>
        <w:t xml:space="preserve">封面格式                                                  </w:t>
      </w:r>
    </w:p>
    <w:p>
      <w:pPr>
        <w:pStyle w:val="2"/>
        <w:ind w:left="0" w:leftChars="0" w:firstLine="0" w:firstLineChars="0"/>
        <w:rPr>
          <w:rFonts w:ascii="宋体" w:hAnsi="宋体"/>
          <w:b/>
          <w:bCs/>
          <w:sz w:val="24"/>
          <w:szCs w:val="24"/>
          <w:highlight w:val="none"/>
        </w:rPr>
      </w:pPr>
      <w:r>
        <w:rPr>
          <w:rFonts w:hint="eastAsia" w:ascii="宋体" w:hAnsi="宋体"/>
          <w:b/>
          <w:bCs/>
          <w:sz w:val="24"/>
          <w:szCs w:val="24"/>
          <w:highlight w:val="none"/>
        </w:rPr>
        <w:t xml:space="preserve">                                                            正本或副本</w:t>
      </w:r>
    </w:p>
    <w:p>
      <w:pPr>
        <w:pStyle w:val="2"/>
        <w:ind w:firstLine="400"/>
        <w:rPr>
          <w:highlight w:val="none"/>
        </w:rPr>
      </w:pPr>
    </w:p>
    <w:p>
      <w:pPr>
        <w:spacing w:after="60" w:line="360" w:lineRule="auto"/>
        <w:jc w:val="center"/>
        <w:rPr>
          <w:rFonts w:ascii="宋体" w:hAnsi="宋体"/>
          <w:b/>
          <w:bCs/>
          <w:sz w:val="84"/>
          <w:szCs w:val="84"/>
          <w:highlight w:val="none"/>
        </w:rPr>
      </w:pPr>
      <w:r>
        <w:rPr>
          <w:rFonts w:hint="eastAsia" w:ascii="宋体" w:hAnsi="宋体"/>
          <w:b/>
          <w:bCs/>
          <w:sz w:val="84"/>
          <w:szCs w:val="84"/>
          <w:highlight w:val="none"/>
        </w:rPr>
        <w:t>投 标 文 件</w:t>
      </w:r>
    </w:p>
    <w:p>
      <w:pPr>
        <w:spacing w:after="60" w:line="360" w:lineRule="auto"/>
        <w:jc w:val="center"/>
        <w:rPr>
          <w:rFonts w:ascii="宋体" w:hAnsi="宋体"/>
          <w:b/>
          <w:bCs/>
          <w:sz w:val="32"/>
          <w:szCs w:val="32"/>
          <w:highlight w:val="none"/>
        </w:rPr>
      </w:pPr>
      <w:r>
        <w:rPr>
          <w:rFonts w:hint="eastAsia" w:ascii="宋体" w:hAnsi="宋体"/>
          <w:b/>
          <w:bCs/>
          <w:sz w:val="32"/>
          <w:szCs w:val="32"/>
          <w:highlight w:val="none"/>
          <w:lang w:val="zh-CN"/>
        </w:rPr>
        <w:t>资格审查</w:t>
      </w:r>
      <w:r>
        <w:rPr>
          <w:rFonts w:hint="eastAsia" w:ascii="宋体" w:hAnsi="宋体"/>
          <w:b/>
          <w:bCs/>
          <w:sz w:val="32"/>
          <w:szCs w:val="32"/>
          <w:highlight w:val="none"/>
        </w:rPr>
        <w:t>文件</w:t>
      </w:r>
    </w:p>
    <w:p>
      <w:pPr>
        <w:spacing w:after="60" w:line="360" w:lineRule="auto"/>
        <w:jc w:val="center"/>
        <w:rPr>
          <w:rFonts w:ascii="宋体" w:hAnsi="宋体"/>
          <w:b/>
          <w:bCs/>
          <w:sz w:val="32"/>
          <w:szCs w:val="32"/>
          <w:highlight w:val="none"/>
        </w:rPr>
      </w:pPr>
      <w:r>
        <w:rPr>
          <w:rFonts w:hint="eastAsia" w:ascii="宋体" w:hAnsi="宋体"/>
          <w:b/>
          <w:bCs/>
          <w:sz w:val="32"/>
          <w:szCs w:val="32"/>
          <w:highlight w:val="none"/>
          <w:lang w:val="zh-CN"/>
        </w:rPr>
        <w:t>商务技术标</w:t>
      </w:r>
      <w:r>
        <w:rPr>
          <w:rFonts w:hint="eastAsia" w:ascii="宋体" w:hAnsi="宋体"/>
          <w:b/>
          <w:bCs/>
          <w:sz w:val="32"/>
          <w:szCs w:val="32"/>
          <w:highlight w:val="none"/>
        </w:rPr>
        <w:t>第一册</w:t>
      </w:r>
    </w:p>
    <w:p>
      <w:pPr>
        <w:spacing w:after="60" w:line="360" w:lineRule="auto"/>
        <w:jc w:val="center"/>
        <w:rPr>
          <w:highlight w:val="none"/>
        </w:rPr>
      </w:pPr>
      <w:r>
        <w:rPr>
          <w:rFonts w:hint="eastAsia" w:ascii="宋体" w:hAnsi="宋体"/>
          <w:b/>
          <w:bCs/>
          <w:sz w:val="32"/>
          <w:szCs w:val="32"/>
          <w:highlight w:val="none"/>
          <w:lang w:val="zh-CN"/>
        </w:rPr>
        <w:t>商务技术标</w:t>
      </w:r>
      <w:r>
        <w:rPr>
          <w:rFonts w:hint="eastAsia" w:ascii="宋体" w:hAnsi="宋体"/>
          <w:b/>
          <w:bCs/>
          <w:sz w:val="32"/>
          <w:szCs w:val="32"/>
          <w:highlight w:val="none"/>
        </w:rPr>
        <w:t>第二册</w:t>
      </w:r>
    </w:p>
    <w:p>
      <w:pPr>
        <w:spacing w:after="60" w:line="360" w:lineRule="auto"/>
        <w:jc w:val="center"/>
        <w:rPr>
          <w:rFonts w:ascii="宋体" w:hAnsi="宋体"/>
          <w:b/>
          <w:bCs/>
          <w:sz w:val="72"/>
          <w:szCs w:val="72"/>
          <w:highlight w:val="none"/>
        </w:rPr>
      </w:pPr>
      <w:r>
        <w:rPr>
          <w:rFonts w:hint="eastAsia" w:ascii="宋体" w:hAnsi="宋体"/>
          <w:b/>
          <w:bCs/>
          <w:sz w:val="32"/>
          <w:szCs w:val="32"/>
          <w:highlight w:val="none"/>
        </w:rPr>
        <w:t>价格标</w:t>
      </w:r>
    </w:p>
    <w:p>
      <w:pPr>
        <w:spacing w:after="60"/>
        <w:rPr>
          <w:rFonts w:ascii="宋体" w:hAnsi="宋体"/>
          <w:b/>
          <w:bCs/>
          <w:sz w:val="72"/>
          <w:szCs w:val="72"/>
          <w:highlight w:val="none"/>
        </w:rPr>
      </w:pPr>
    </w:p>
    <w:p>
      <w:pPr>
        <w:spacing w:after="60"/>
        <w:jc w:val="center"/>
        <w:rPr>
          <w:rFonts w:ascii="宋体" w:hAnsi="宋体"/>
          <w:b/>
          <w:bCs/>
          <w:sz w:val="72"/>
          <w:szCs w:val="72"/>
          <w:highlight w:val="none"/>
        </w:rPr>
      </w:pPr>
    </w:p>
    <w:p>
      <w:pPr>
        <w:spacing w:after="60" w:line="360" w:lineRule="auto"/>
        <w:ind w:left="2007" w:leftChars="171" w:hanging="1648" w:hangingChars="533"/>
        <w:rPr>
          <w:rFonts w:ascii="宋体" w:hAnsi="宋体"/>
          <w:b/>
          <w:sz w:val="32"/>
          <w:szCs w:val="32"/>
          <w:highlight w:val="none"/>
          <w:u w:val="single"/>
        </w:rPr>
      </w:pPr>
      <w:r>
        <w:rPr>
          <w:rFonts w:hint="eastAsia" w:ascii="新宋体" w:hAnsi="新宋体" w:eastAsia="新宋体"/>
          <w:b/>
          <w:bCs/>
          <w:spacing w:val="-6"/>
          <w:sz w:val="32"/>
          <w:szCs w:val="32"/>
          <w:highlight w:val="none"/>
        </w:rPr>
        <w:t xml:space="preserve">项目名称: </w:t>
      </w:r>
    </w:p>
    <w:p>
      <w:pPr>
        <w:spacing w:after="60" w:line="480" w:lineRule="auto"/>
        <w:ind w:left="1589" w:leftChars="171" w:hanging="1230" w:hangingChars="383"/>
        <w:rPr>
          <w:rFonts w:ascii="新宋体" w:hAnsi="新宋体" w:eastAsia="新宋体"/>
          <w:b/>
          <w:bCs/>
          <w:sz w:val="32"/>
          <w:szCs w:val="32"/>
          <w:highlight w:val="none"/>
        </w:rPr>
      </w:pPr>
      <w:r>
        <w:rPr>
          <w:rFonts w:hint="eastAsia" w:ascii="新宋体" w:hAnsi="新宋体" w:eastAsia="新宋体"/>
          <w:b/>
          <w:bCs/>
          <w:sz w:val="32"/>
          <w:szCs w:val="32"/>
          <w:highlight w:val="none"/>
        </w:rPr>
        <w:t>项目编号：</w:t>
      </w:r>
    </w:p>
    <w:p>
      <w:pPr>
        <w:ind w:left="1589" w:leftChars="171" w:hanging="1230" w:hangingChars="383"/>
        <w:rPr>
          <w:rFonts w:ascii="宋体" w:hAnsi="宋体"/>
          <w:b/>
          <w:sz w:val="32"/>
          <w:szCs w:val="32"/>
          <w:highlight w:val="none"/>
        </w:rPr>
      </w:pPr>
      <w:r>
        <w:rPr>
          <w:rFonts w:hint="eastAsia" w:ascii="宋体" w:hAnsi="宋体"/>
          <w:b/>
          <w:sz w:val="32"/>
          <w:szCs w:val="32"/>
          <w:highlight w:val="none"/>
        </w:rPr>
        <w:t>投 标 人：</w:t>
      </w:r>
    </w:p>
    <w:p>
      <w:pPr>
        <w:ind w:left="1589" w:leftChars="171" w:hanging="1230" w:hangingChars="383"/>
        <w:rPr>
          <w:rFonts w:ascii="宋体" w:hAnsi="宋体"/>
          <w:b/>
          <w:sz w:val="32"/>
          <w:szCs w:val="32"/>
          <w:highlight w:val="none"/>
        </w:rPr>
      </w:pPr>
      <w:r>
        <w:rPr>
          <w:rFonts w:hint="eastAsia" w:ascii="宋体" w:hAnsi="宋体"/>
          <w:b/>
          <w:sz w:val="32"/>
          <w:szCs w:val="32"/>
          <w:highlight w:val="none"/>
        </w:rPr>
        <w:t>（盖公章）</w:t>
      </w:r>
    </w:p>
    <w:p>
      <w:pPr>
        <w:ind w:left="1589" w:leftChars="171" w:hanging="1230" w:hangingChars="383"/>
        <w:rPr>
          <w:rFonts w:ascii="宋体" w:hAnsi="宋体"/>
          <w:b/>
          <w:sz w:val="32"/>
          <w:szCs w:val="32"/>
          <w:highlight w:val="none"/>
        </w:rPr>
      </w:pPr>
    </w:p>
    <w:p>
      <w:pPr>
        <w:ind w:left="1589" w:leftChars="171" w:hanging="1230" w:hangingChars="383"/>
        <w:rPr>
          <w:rFonts w:ascii="宋体" w:hAnsi="宋体"/>
          <w:b/>
          <w:sz w:val="32"/>
          <w:szCs w:val="32"/>
          <w:highlight w:val="none"/>
          <w:u w:val="single"/>
        </w:rPr>
      </w:pPr>
      <w:r>
        <w:rPr>
          <w:rFonts w:hint="eastAsia" w:ascii="宋体" w:hAnsi="宋体"/>
          <w:b/>
          <w:sz w:val="32"/>
          <w:szCs w:val="32"/>
          <w:highlight w:val="none"/>
        </w:rPr>
        <w:t>法定代表人签字：</w:t>
      </w:r>
    </w:p>
    <w:p>
      <w:pPr>
        <w:ind w:left="1589" w:leftChars="171" w:hanging="1230" w:hangingChars="383"/>
        <w:rPr>
          <w:rFonts w:ascii="宋体" w:hAnsi="宋体"/>
          <w:b/>
          <w:sz w:val="32"/>
          <w:szCs w:val="32"/>
          <w:highlight w:val="none"/>
        </w:rPr>
      </w:pPr>
      <w:r>
        <w:rPr>
          <w:rFonts w:hint="eastAsia" w:ascii="宋体" w:hAnsi="宋体"/>
          <w:b/>
          <w:sz w:val="32"/>
          <w:szCs w:val="32"/>
          <w:highlight w:val="none"/>
        </w:rPr>
        <w:t>（或委托授权代表）</w:t>
      </w:r>
    </w:p>
    <w:p>
      <w:pPr>
        <w:spacing w:line="312" w:lineRule="auto"/>
        <w:rPr>
          <w:rFonts w:ascii="宋体" w:hAnsi="宋体"/>
          <w:b/>
          <w:sz w:val="32"/>
          <w:szCs w:val="32"/>
          <w:highlight w:val="none"/>
        </w:rPr>
      </w:pPr>
    </w:p>
    <w:p>
      <w:pPr>
        <w:spacing w:line="360" w:lineRule="auto"/>
        <w:ind w:firstLine="315" w:firstLineChars="98"/>
        <w:rPr>
          <w:rFonts w:ascii="宋体" w:hAnsi="宋体"/>
          <w:b/>
          <w:sz w:val="32"/>
          <w:szCs w:val="32"/>
          <w:highlight w:val="none"/>
          <w:u w:val="single"/>
        </w:rPr>
      </w:pPr>
      <w:r>
        <w:rPr>
          <w:rFonts w:hint="eastAsia" w:ascii="宋体" w:hAnsi="宋体"/>
          <w:b/>
          <w:sz w:val="32"/>
          <w:szCs w:val="32"/>
          <w:highlight w:val="none"/>
        </w:rPr>
        <w:t>日    期：</w:t>
      </w:r>
    </w:p>
    <w:p>
      <w:pPr>
        <w:pStyle w:val="2"/>
        <w:ind w:left="0" w:leftChars="0" w:firstLine="0" w:firstLineChars="0"/>
        <w:rPr>
          <w:rFonts w:ascii="宋体" w:hAnsi="宋体"/>
          <w:b/>
          <w:bCs/>
          <w:sz w:val="24"/>
          <w:szCs w:val="24"/>
          <w:highlight w:val="none"/>
        </w:rPr>
      </w:pPr>
      <w:r>
        <w:rPr>
          <w:rFonts w:ascii="宋体" w:hAnsi="宋体"/>
          <w:b/>
          <w:bCs/>
          <w:sz w:val="24"/>
          <w:szCs w:val="24"/>
          <w:highlight w:val="none"/>
        </w:rPr>
        <w:t>A</w:t>
      </w:r>
      <w:r>
        <w:rPr>
          <w:rFonts w:hint="eastAsia" w:ascii="宋体" w:hAnsi="宋体"/>
          <w:b/>
          <w:bCs/>
          <w:sz w:val="24"/>
          <w:szCs w:val="24"/>
          <w:highlight w:val="none"/>
        </w:rPr>
        <w:t>.</w:t>
      </w:r>
      <w:r>
        <w:rPr>
          <w:rFonts w:ascii="宋体" w:hAnsi="宋体"/>
          <w:b/>
          <w:bCs/>
          <w:sz w:val="24"/>
          <w:szCs w:val="24"/>
          <w:highlight w:val="none"/>
        </w:rPr>
        <w:t>资格审查文件相关的格式文件及表格（单独密封）</w:t>
      </w:r>
    </w:p>
    <w:p>
      <w:pPr>
        <w:snapToGrid w:val="0"/>
        <w:spacing w:line="360" w:lineRule="auto"/>
        <w:jc w:val="center"/>
        <w:rPr>
          <w:rFonts w:ascii="宋体" w:hAnsi="宋体"/>
          <w:b/>
          <w:bCs/>
          <w:sz w:val="24"/>
          <w:highlight w:val="none"/>
        </w:rPr>
      </w:pPr>
    </w:p>
    <w:p>
      <w:pPr>
        <w:snapToGrid w:val="0"/>
        <w:spacing w:line="360" w:lineRule="auto"/>
        <w:jc w:val="center"/>
        <w:outlineLvl w:val="4"/>
        <w:rPr>
          <w:rFonts w:ascii="宋体" w:hAnsi="宋体"/>
          <w:b/>
          <w:bCs/>
          <w:sz w:val="24"/>
          <w:highlight w:val="none"/>
        </w:rPr>
      </w:pPr>
      <w:r>
        <w:rPr>
          <w:rFonts w:ascii="宋体" w:hAnsi="宋体"/>
          <w:b/>
          <w:bCs/>
          <w:sz w:val="24"/>
          <w:highlight w:val="none"/>
        </w:rPr>
        <w:t>1</w:t>
      </w:r>
      <w:r>
        <w:rPr>
          <w:rFonts w:hint="eastAsia" w:ascii="宋体" w:hAnsi="宋体"/>
          <w:b/>
          <w:bCs/>
          <w:sz w:val="24"/>
          <w:highlight w:val="none"/>
        </w:rPr>
        <w:t>.</w:t>
      </w:r>
      <w:r>
        <w:rPr>
          <w:rFonts w:ascii="宋体" w:hAnsi="宋体"/>
          <w:b/>
          <w:bCs/>
          <w:sz w:val="24"/>
          <w:highlight w:val="none"/>
        </w:rPr>
        <w:t>法定代表人身份证明</w:t>
      </w:r>
    </w:p>
    <w:p>
      <w:pPr>
        <w:snapToGrid w:val="0"/>
        <w:spacing w:line="360" w:lineRule="auto"/>
        <w:jc w:val="center"/>
        <w:rPr>
          <w:rFonts w:ascii="宋体" w:hAnsi="宋体"/>
          <w:sz w:val="24"/>
          <w:highlight w:val="none"/>
          <w:u w:val="single"/>
        </w:rPr>
      </w:pPr>
      <w:r>
        <w:rPr>
          <w:rFonts w:ascii="宋体" w:hAnsi="宋体"/>
          <w:sz w:val="24"/>
          <w:highlight w:val="none"/>
          <w:u w:val="single"/>
        </w:rPr>
        <w:t>（法定代表人参加投标时，须出示此证明）</w:t>
      </w:r>
    </w:p>
    <w:p>
      <w:pPr>
        <w:snapToGrid w:val="0"/>
        <w:spacing w:line="360" w:lineRule="auto"/>
        <w:jc w:val="center"/>
        <w:rPr>
          <w:rFonts w:ascii="宋体" w:hAnsi="宋体"/>
          <w:sz w:val="24"/>
          <w:highlight w:val="none"/>
        </w:rPr>
      </w:pPr>
    </w:p>
    <w:p>
      <w:pPr>
        <w:snapToGrid w:val="0"/>
        <w:spacing w:line="360" w:lineRule="auto"/>
        <w:rPr>
          <w:rFonts w:ascii="宋体" w:hAnsi="宋体"/>
          <w:sz w:val="24"/>
          <w:highlight w:val="none"/>
        </w:rPr>
      </w:pPr>
      <w:r>
        <w:rPr>
          <w:rFonts w:hint="eastAsia" w:ascii="宋体" w:hAnsi="宋体"/>
          <w:sz w:val="24"/>
          <w:highlight w:val="none"/>
          <w:u w:val="single"/>
        </w:rPr>
        <w:t>南通市工业和信息化局</w:t>
      </w:r>
      <w:r>
        <w:rPr>
          <w:rFonts w:ascii="宋体" w:hAnsi="宋体"/>
          <w:sz w:val="24"/>
          <w:highlight w:val="none"/>
        </w:rPr>
        <w:t>：</w:t>
      </w:r>
    </w:p>
    <w:p>
      <w:pPr>
        <w:snapToGrid w:val="0"/>
        <w:spacing w:line="360" w:lineRule="auto"/>
        <w:ind w:firstLine="480" w:firstLineChars="200"/>
        <w:rPr>
          <w:rFonts w:ascii="宋体" w:hAnsi="宋体"/>
          <w:sz w:val="24"/>
          <w:highlight w:val="none"/>
        </w:rPr>
      </w:pPr>
      <w:r>
        <w:rPr>
          <w:rFonts w:ascii="宋体" w:hAnsi="宋体"/>
          <w:sz w:val="24"/>
          <w:highlight w:val="none"/>
        </w:rPr>
        <w:t>我公司法定代表人</w:t>
      </w:r>
      <w:r>
        <w:rPr>
          <w:rFonts w:ascii="宋体" w:hAnsi="宋体"/>
          <w:sz w:val="24"/>
          <w:highlight w:val="none"/>
          <w:u w:val="single"/>
        </w:rPr>
        <w:t xml:space="preserve">     　　　   </w:t>
      </w:r>
      <w:r>
        <w:rPr>
          <w:rFonts w:ascii="宋体" w:hAnsi="宋体"/>
          <w:sz w:val="24"/>
          <w:highlight w:val="none"/>
        </w:rPr>
        <w:t>参加贵单位组织的（招标项目名称及项目编号)的项目投标活动，全权代表我公司处理投标的有关事宜。</w:t>
      </w:r>
    </w:p>
    <w:p>
      <w:pPr>
        <w:snapToGrid w:val="0"/>
        <w:spacing w:line="360" w:lineRule="auto"/>
        <w:rPr>
          <w:rFonts w:ascii="宋体" w:hAnsi="宋体"/>
          <w:sz w:val="24"/>
          <w:highlight w:val="none"/>
        </w:rPr>
      </w:pPr>
    </w:p>
    <w:p>
      <w:pPr>
        <w:snapToGrid w:val="0"/>
        <w:spacing w:line="360" w:lineRule="auto"/>
        <w:ind w:firstLine="484" w:firstLineChars="202"/>
        <w:rPr>
          <w:rFonts w:ascii="宋体" w:hAnsi="宋体"/>
          <w:sz w:val="24"/>
          <w:highlight w:val="none"/>
        </w:rPr>
      </w:pPr>
      <w:r>
        <w:rPr>
          <w:rFonts w:ascii="宋体" w:hAnsi="宋体"/>
          <w:sz w:val="24"/>
          <w:highlight w:val="none"/>
        </w:rPr>
        <w:t>附：法定代表人情况：</w:t>
      </w:r>
    </w:p>
    <w:p>
      <w:pPr>
        <w:snapToGrid w:val="0"/>
        <w:spacing w:line="360" w:lineRule="auto"/>
        <w:ind w:firstLine="484" w:firstLineChars="202"/>
        <w:rPr>
          <w:rFonts w:ascii="宋体" w:hAnsi="宋体"/>
          <w:sz w:val="24"/>
          <w:highlight w:val="none"/>
          <w:u w:val="single"/>
        </w:rPr>
      </w:pPr>
      <w:r>
        <w:rPr>
          <w:rFonts w:ascii="宋体" w:hAnsi="宋体"/>
          <w:sz w:val="24"/>
          <w:highlight w:val="none"/>
        </w:rPr>
        <w:t>姓名：性别：年龄：职务：</w:t>
      </w:r>
    </w:p>
    <w:p>
      <w:pPr>
        <w:snapToGrid w:val="0"/>
        <w:spacing w:line="360" w:lineRule="auto"/>
        <w:ind w:firstLine="484" w:firstLineChars="202"/>
        <w:rPr>
          <w:rFonts w:ascii="宋体" w:hAnsi="宋体"/>
          <w:sz w:val="24"/>
          <w:highlight w:val="none"/>
        </w:rPr>
      </w:pPr>
      <w:r>
        <w:rPr>
          <w:rFonts w:ascii="宋体" w:hAnsi="宋体"/>
          <w:sz w:val="24"/>
          <w:highlight w:val="none"/>
        </w:rPr>
        <w:t>身份证号码：</w:t>
      </w:r>
    </w:p>
    <w:p>
      <w:pPr>
        <w:snapToGrid w:val="0"/>
        <w:spacing w:line="360" w:lineRule="auto"/>
        <w:ind w:firstLine="484" w:firstLineChars="202"/>
        <w:rPr>
          <w:rFonts w:ascii="宋体" w:hAnsi="宋体"/>
          <w:sz w:val="24"/>
          <w:highlight w:val="none"/>
        </w:rPr>
      </w:pPr>
      <w:r>
        <w:rPr>
          <w:rFonts w:ascii="宋体" w:hAnsi="宋体"/>
          <w:sz w:val="24"/>
          <w:highlight w:val="none"/>
        </w:rPr>
        <w:t>手机：传真：</w:t>
      </w:r>
    </w:p>
    <w:p>
      <w:pPr>
        <w:snapToGrid w:val="0"/>
        <w:spacing w:line="360" w:lineRule="auto"/>
        <w:rPr>
          <w:rFonts w:ascii="宋体" w:hAnsi="宋体"/>
          <w:sz w:val="24"/>
          <w:highlight w:val="none"/>
        </w:rPr>
      </w:pPr>
      <w:r>
        <w:rPr>
          <w:rFonts w:ascii="宋体" w:hAnsi="宋体"/>
          <w:sz w:val="24"/>
          <w:highlight w:val="none"/>
        </w:rPr>
        <w:t> </w:t>
      </w:r>
    </w:p>
    <w:p>
      <w:pPr>
        <w:snapToGrid w:val="0"/>
        <w:spacing w:line="360" w:lineRule="auto"/>
        <w:rPr>
          <w:rFonts w:ascii="宋体" w:hAnsi="宋体"/>
          <w:sz w:val="24"/>
          <w:highlight w:val="none"/>
        </w:rPr>
      </w:pPr>
    </w:p>
    <w:p>
      <w:pPr>
        <w:snapToGrid w:val="0"/>
        <w:spacing w:line="360" w:lineRule="auto"/>
        <w:rPr>
          <w:rFonts w:ascii="宋体" w:hAnsi="宋体"/>
          <w:sz w:val="24"/>
          <w:highlight w:val="none"/>
        </w:rPr>
      </w:pPr>
      <w:r>
        <w:rPr>
          <w:rFonts w:ascii="宋体" w:hAnsi="宋体"/>
          <w:sz w:val="24"/>
          <w:highlight w:val="none"/>
        </w:rPr>
        <w:t>单位名称（公章）                   法定代表人（签字或盖章）</w:t>
      </w:r>
    </w:p>
    <w:p>
      <w:pPr>
        <w:snapToGrid w:val="0"/>
        <w:spacing w:line="360" w:lineRule="auto"/>
        <w:ind w:firstLine="1200" w:firstLineChars="500"/>
        <w:rPr>
          <w:rFonts w:ascii="宋体" w:hAnsi="宋体"/>
          <w:sz w:val="24"/>
          <w:highlight w:val="none"/>
        </w:rPr>
      </w:pPr>
      <w:r>
        <w:rPr>
          <w:rFonts w:ascii="宋体" w:hAnsi="宋体"/>
          <w:sz w:val="24"/>
          <w:highlight w:val="none"/>
        </w:rPr>
        <w:t xml:space="preserve">年   月   日                      年   月    日  </w:t>
      </w:r>
    </w:p>
    <w:p>
      <w:pPr>
        <w:snapToGrid w:val="0"/>
        <w:spacing w:line="360" w:lineRule="auto"/>
        <w:rPr>
          <w:rFonts w:ascii="宋体" w:hAnsi="宋体"/>
          <w:sz w:val="24"/>
          <w:highlight w:val="none"/>
        </w:rPr>
      </w:pPr>
    </w:p>
    <w:p>
      <w:pPr>
        <w:snapToGrid w:val="0"/>
        <w:spacing w:line="360" w:lineRule="auto"/>
        <w:rPr>
          <w:rFonts w:ascii="宋体" w:hAnsi="宋体"/>
          <w:sz w:val="24"/>
          <w:highlight w:val="none"/>
        </w:rPr>
      </w:pPr>
      <w:r>
        <w:rPr>
          <w:rFonts w:ascii="宋体" w:hAnsi="宋体"/>
          <w:sz w:val="24"/>
          <w:highlight w:val="none"/>
        </w:rPr>
        <w:t>法定代表人身份证复印件</w:t>
      </w:r>
    </w:p>
    <w:p>
      <w:pPr>
        <w:snapToGrid w:val="0"/>
        <w:spacing w:line="360" w:lineRule="auto"/>
        <w:rPr>
          <w:rFonts w:ascii="宋体" w:hAnsi="宋体"/>
          <w:sz w:val="24"/>
          <w:highlight w:val="none"/>
        </w:rPr>
      </w:pPr>
    </w:p>
    <w:p>
      <w:pPr>
        <w:snapToGrid w:val="0"/>
        <w:spacing w:line="360" w:lineRule="auto"/>
        <w:ind w:firstLine="2280" w:firstLineChars="950"/>
        <w:rPr>
          <w:rFonts w:ascii="宋体" w:hAnsi="宋体"/>
          <w:sz w:val="24"/>
          <w:highlight w:val="none"/>
        </w:rPr>
      </w:pPr>
      <w:r>
        <w:rPr>
          <w:rFonts w:ascii="宋体" w:hAnsi="宋体"/>
          <w:sz w:val="24"/>
          <w:highlight w:val="none"/>
        </w:rPr>
        <w:t>（粘贴此处）</w:t>
      </w:r>
    </w:p>
    <w:p>
      <w:pPr>
        <w:snapToGrid w:val="0"/>
        <w:spacing w:line="360" w:lineRule="auto"/>
        <w:ind w:firstLine="2280" w:firstLineChars="950"/>
        <w:rPr>
          <w:rFonts w:ascii="宋体" w:hAnsi="宋体"/>
          <w:sz w:val="24"/>
          <w:highlight w:val="none"/>
        </w:rPr>
      </w:pPr>
    </w:p>
    <w:p>
      <w:pPr>
        <w:snapToGrid w:val="0"/>
        <w:spacing w:line="360" w:lineRule="auto"/>
        <w:rPr>
          <w:rFonts w:ascii="宋体" w:hAnsi="宋体"/>
          <w:b/>
          <w:bCs/>
          <w:sz w:val="24"/>
          <w:highlight w:val="none"/>
        </w:rPr>
      </w:pPr>
    </w:p>
    <w:p>
      <w:pPr>
        <w:snapToGrid w:val="0"/>
        <w:spacing w:line="360" w:lineRule="auto"/>
        <w:ind w:firstLine="482" w:firstLineChars="200"/>
        <w:rPr>
          <w:rFonts w:ascii="宋体" w:hAnsi="宋体"/>
          <w:sz w:val="24"/>
          <w:highlight w:val="none"/>
        </w:rPr>
      </w:pPr>
      <w:r>
        <w:rPr>
          <w:rFonts w:ascii="宋体" w:hAnsi="宋体"/>
          <w:b/>
          <w:bCs/>
          <w:sz w:val="24"/>
          <w:highlight w:val="none"/>
        </w:rPr>
        <w:t>注:</w:t>
      </w:r>
      <w:r>
        <w:rPr>
          <w:rFonts w:ascii="宋体" w:hAnsi="宋体"/>
          <w:sz w:val="24"/>
          <w:highlight w:val="none"/>
        </w:rPr>
        <w:t>如为法定代表人参加投标时，须将身份证原件带至开标现场备查。</w:t>
      </w:r>
    </w:p>
    <w:p>
      <w:pPr>
        <w:snapToGrid w:val="0"/>
        <w:spacing w:line="360" w:lineRule="auto"/>
        <w:jc w:val="center"/>
        <w:outlineLvl w:val="4"/>
        <w:rPr>
          <w:rFonts w:ascii="宋体" w:hAnsi="宋体"/>
          <w:b/>
          <w:bCs/>
          <w:sz w:val="24"/>
          <w:highlight w:val="none"/>
        </w:rPr>
      </w:pPr>
      <w:r>
        <w:rPr>
          <w:rFonts w:ascii="宋体" w:hAnsi="宋体"/>
          <w:b/>
          <w:bCs/>
          <w:sz w:val="24"/>
          <w:highlight w:val="none"/>
        </w:rPr>
        <w:br w:type="page"/>
      </w:r>
      <w:r>
        <w:rPr>
          <w:rFonts w:ascii="宋体" w:hAnsi="宋体"/>
          <w:b/>
          <w:bCs/>
          <w:sz w:val="24"/>
          <w:highlight w:val="none"/>
        </w:rPr>
        <w:t>2</w:t>
      </w:r>
      <w:r>
        <w:rPr>
          <w:rFonts w:hint="eastAsia" w:ascii="宋体" w:hAnsi="宋体"/>
          <w:b/>
          <w:bCs/>
          <w:sz w:val="24"/>
          <w:highlight w:val="none"/>
        </w:rPr>
        <w:t>.</w:t>
      </w:r>
      <w:r>
        <w:rPr>
          <w:rFonts w:ascii="宋体" w:hAnsi="宋体"/>
          <w:b/>
          <w:bCs/>
          <w:sz w:val="24"/>
          <w:highlight w:val="none"/>
        </w:rPr>
        <w:t>授权委托书</w:t>
      </w:r>
    </w:p>
    <w:p>
      <w:pPr>
        <w:snapToGrid w:val="0"/>
        <w:spacing w:line="360" w:lineRule="auto"/>
        <w:jc w:val="center"/>
        <w:rPr>
          <w:rFonts w:ascii="宋体" w:hAnsi="宋体"/>
          <w:sz w:val="24"/>
          <w:highlight w:val="none"/>
          <w:u w:val="single"/>
        </w:rPr>
      </w:pPr>
      <w:r>
        <w:rPr>
          <w:rFonts w:ascii="宋体" w:hAnsi="宋体"/>
          <w:sz w:val="24"/>
          <w:highlight w:val="none"/>
          <w:u w:val="single"/>
        </w:rPr>
        <w:t>（被授权人参加投标时，须出示此证明）</w:t>
      </w:r>
    </w:p>
    <w:p>
      <w:pPr>
        <w:snapToGrid w:val="0"/>
        <w:spacing w:line="360" w:lineRule="auto"/>
        <w:rPr>
          <w:rFonts w:ascii="宋体" w:hAnsi="宋体"/>
          <w:sz w:val="24"/>
          <w:highlight w:val="none"/>
        </w:rPr>
      </w:pPr>
      <w:r>
        <w:rPr>
          <w:rFonts w:hint="eastAsia" w:ascii="宋体" w:hAnsi="宋体"/>
          <w:sz w:val="24"/>
          <w:highlight w:val="none"/>
          <w:u w:val="single"/>
        </w:rPr>
        <w:t>南通市工业和信息化局</w:t>
      </w:r>
      <w:r>
        <w:rPr>
          <w:rFonts w:ascii="宋体" w:hAnsi="宋体"/>
          <w:sz w:val="24"/>
          <w:highlight w:val="none"/>
        </w:rPr>
        <w:t>：</w:t>
      </w:r>
    </w:p>
    <w:p>
      <w:pPr>
        <w:snapToGrid w:val="0"/>
        <w:spacing w:line="360" w:lineRule="auto"/>
        <w:ind w:left="1" w:firstLine="480" w:firstLineChars="200"/>
        <w:rPr>
          <w:rFonts w:ascii="宋体" w:hAnsi="宋体"/>
          <w:sz w:val="24"/>
          <w:highlight w:val="none"/>
        </w:rPr>
      </w:pPr>
      <w:r>
        <w:rPr>
          <w:rFonts w:ascii="宋体" w:hAnsi="宋体"/>
          <w:sz w:val="24"/>
          <w:highlight w:val="none"/>
        </w:rPr>
        <w:t>兹授权</w:t>
      </w:r>
      <w:r>
        <w:rPr>
          <w:rFonts w:ascii="宋体" w:hAnsi="宋体"/>
          <w:sz w:val="24"/>
          <w:highlight w:val="none"/>
          <w:u w:val="single"/>
        </w:rPr>
        <w:t xml:space="preserve">               （</w:t>
      </w:r>
      <w:r>
        <w:rPr>
          <w:rFonts w:ascii="宋体" w:hAnsi="宋体"/>
          <w:sz w:val="24"/>
          <w:highlight w:val="none"/>
        </w:rPr>
        <w:t>被授权人的姓名）代表我公司参加（招标项目名称及项目编号)项目的投标活动，全权处理一切与该项目投标有关的事务。其在办理上述事宜过程中所签署的所有文件我公司均予以承认。</w:t>
      </w:r>
    </w:p>
    <w:p>
      <w:pPr>
        <w:snapToGrid w:val="0"/>
        <w:spacing w:line="360" w:lineRule="auto"/>
        <w:ind w:left="1" w:firstLine="480" w:firstLineChars="200"/>
        <w:rPr>
          <w:rFonts w:ascii="宋体" w:hAnsi="宋体"/>
          <w:sz w:val="24"/>
          <w:highlight w:val="none"/>
        </w:rPr>
      </w:pPr>
      <w:r>
        <w:rPr>
          <w:rFonts w:ascii="宋体" w:hAnsi="宋体"/>
          <w:sz w:val="24"/>
          <w:highlight w:val="none"/>
        </w:rPr>
        <w:t>被授权人无转委托权。特此委托。</w:t>
      </w:r>
    </w:p>
    <w:p>
      <w:pPr>
        <w:snapToGrid w:val="0"/>
        <w:spacing w:line="360" w:lineRule="auto"/>
        <w:rPr>
          <w:rFonts w:ascii="宋体" w:hAnsi="宋体"/>
          <w:sz w:val="24"/>
          <w:highlight w:val="none"/>
        </w:rPr>
      </w:pPr>
    </w:p>
    <w:p>
      <w:pPr>
        <w:snapToGrid w:val="0"/>
        <w:spacing w:line="360" w:lineRule="auto"/>
        <w:rPr>
          <w:rFonts w:ascii="宋体" w:hAnsi="宋体"/>
          <w:sz w:val="24"/>
          <w:highlight w:val="none"/>
        </w:rPr>
      </w:pPr>
      <w:r>
        <w:rPr>
          <w:rFonts w:ascii="宋体" w:hAnsi="宋体"/>
          <w:sz w:val="24"/>
          <w:highlight w:val="none"/>
        </w:rPr>
        <w:t>附：被授权人情况：</w:t>
      </w:r>
    </w:p>
    <w:p>
      <w:pPr>
        <w:snapToGrid w:val="0"/>
        <w:spacing w:line="360" w:lineRule="auto"/>
        <w:rPr>
          <w:rFonts w:ascii="宋体" w:hAnsi="宋体"/>
          <w:sz w:val="24"/>
          <w:highlight w:val="none"/>
          <w:u w:val="single"/>
        </w:rPr>
      </w:pPr>
      <w:r>
        <w:rPr>
          <w:rFonts w:ascii="宋体" w:hAnsi="宋体"/>
          <w:sz w:val="24"/>
          <w:highlight w:val="none"/>
        </w:rPr>
        <w:t>姓名：性别：年龄：职务：</w:t>
      </w:r>
    </w:p>
    <w:p>
      <w:pPr>
        <w:snapToGrid w:val="0"/>
        <w:spacing w:line="360" w:lineRule="auto"/>
        <w:rPr>
          <w:rFonts w:ascii="宋体" w:hAnsi="宋体"/>
          <w:sz w:val="24"/>
          <w:highlight w:val="none"/>
        </w:rPr>
      </w:pPr>
      <w:r>
        <w:rPr>
          <w:rFonts w:ascii="宋体" w:hAnsi="宋体"/>
          <w:sz w:val="24"/>
          <w:highlight w:val="none"/>
        </w:rPr>
        <w:t>身份证号码：</w:t>
      </w:r>
    </w:p>
    <w:p>
      <w:pPr>
        <w:snapToGrid w:val="0"/>
        <w:spacing w:line="360" w:lineRule="auto"/>
        <w:rPr>
          <w:rFonts w:ascii="宋体" w:hAnsi="宋体"/>
          <w:sz w:val="24"/>
          <w:highlight w:val="none"/>
        </w:rPr>
      </w:pPr>
      <w:r>
        <w:rPr>
          <w:rFonts w:ascii="宋体" w:hAnsi="宋体"/>
          <w:sz w:val="24"/>
          <w:highlight w:val="none"/>
        </w:rPr>
        <w:t>手机：传真：</w:t>
      </w:r>
    </w:p>
    <w:p>
      <w:pPr>
        <w:snapToGrid w:val="0"/>
        <w:spacing w:line="360" w:lineRule="auto"/>
        <w:rPr>
          <w:rFonts w:ascii="宋体" w:hAnsi="宋体"/>
          <w:sz w:val="24"/>
          <w:highlight w:val="none"/>
        </w:rPr>
      </w:pPr>
      <w:r>
        <w:rPr>
          <w:rFonts w:ascii="宋体" w:hAnsi="宋体"/>
          <w:sz w:val="24"/>
          <w:highlight w:val="none"/>
        </w:rPr>
        <w:t> </w:t>
      </w:r>
    </w:p>
    <w:p>
      <w:pPr>
        <w:snapToGrid w:val="0"/>
        <w:spacing w:line="360" w:lineRule="auto"/>
        <w:rPr>
          <w:rFonts w:ascii="宋体" w:hAnsi="宋体"/>
          <w:sz w:val="24"/>
          <w:highlight w:val="none"/>
        </w:rPr>
      </w:pPr>
      <w:r>
        <w:rPr>
          <w:rFonts w:ascii="宋体" w:hAnsi="宋体"/>
          <w:sz w:val="24"/>
          <w:highlight w:val="none"/>
        </w:rPr>
        <w:t>单位名称（公章）                      法定代表人（签字或盖章）</w:t>
      </w:r>
    </w:p>
    <w:p>
      <w:pPr>
        <w:snapToGrid w:val="0"/>
        <w:spacing w:line="360" w:lineRule="auto"/>
        <w:ind w:firstLine="1200" w:firstLineChars="500"/>
        <w:rPr>
          <w:rFonts w:ascii="宋体" w:hAnsi="宋体"/>
          <w:sz w:val="24"/>
          <w:highlight w:val="none"/>
        </w:rPr>
      </w:pPr>
      <w:r>
        <w:rPr>
          <w:rFonts w:ascii="宋体" w:hAnsi="宋体"/>
          <w:sz w:val="24"/>
          <w:highlight w:val="none"/>
        </w:rPr>
        <w:t>年   月   日                        年   月   日</w:t>
      </w:r>
    </w:p>
    <w:p>
      <w:pPr>
        <w:snapToGrid w:val="0"/>
        <w:spacing w:line="360" w:lineRule="auto"/>
        <w:rPr>
          <w:rFonts w:ascii="宋体" w:hAnsi="宋体"/>
          <w:sz w:val="24"/>
          <w:highlight w:val="none"/>
        </w:rPr>
      </w:pPr>
    </w:p>
    <w:p>
      <w:pPr>
        <w:adjustRightInd w:val="0"/>
        <w:snapToGrid w:val="0"/>
        <w:spacing w:line="360" w:lineRule="auto"/>
        <w:jc w:val="center"/>
        <w:rPr>
          <w:rFonts w:ascii="宋体" w:hAnsi="宋体"/>
          <w:sz w:val="24"/>
          <w:highlight w:val="none"/>
        </w:rPr>
      </w:pPr>
      <w:r>
        <w:rPr>
          <w:rFonts w:ascii="宋体" w:hAnsi="宋体"/>
          <w:sz w:val="24"/>
          <w:highlight w:val="none"/>
        </w:rPr>
        <w:t>法定代表人身份证复印件</w:t>
      </w:r>
    </w:p>
    <w:p>
      <w:pPr>
        <w:adjustRightInd w:val="0"/>
        <w:snapToGrid w:val="0"/>
        <w:spacing w:line="360" w:lineRule="auto"/>
        <w:jc w:val="center"/>
        <w:rPr>
          <w:rFonts w:ascii="宋体" w:hAnsi="宋体"/>
          <w:sz w:val="24"/>
          <w:highlight w:val="none"/>
        </w:rPr>
      </w:pPr>
    </w:p>
    <w:p>
      <w:pPr>
        <w:adjustRightInd w:val="0"/>
        <w:snapToGrid w:val="0"/>
        <w:spacing w:line="360" w:lineRule="auto"/>
        <w:jc w:val="center"/>
        <w:rPr>
          <w:rFonts w:ascii="宋体" w:hAnsi="宋体"/>
          <w:sz w:val="24"/>
          <w:highlight w:val="none"/>
        </w:rPr>
      </w:pPr>
      <w:r>
        <w:rPr>
          <w:rFonts w:ascii="宋体" w:hAnsi="宋体"/>
          <w:sz w:val="24"/>
          <w:highlight w:val="none"/>
        </w:rPr>
        <w:t>（粘贴此处）</w:t>
      </w:r>
    </w:p>
    <w:p>
      <w:pPr>
        <w:adjustRightInd w:val="0"/>
        <w:snapToGrid w:val="0"/>
        <w:spacing w:line="360" w:lineRule="auto"/>
        <w:jc w:val="center"/>
        <w:rPr>
          <w:rFonts w:ascii="宋体" w:hAnsi="宋体"/>
          <w:sz w:val="24"/>
          <w:highlight w:val="none"/>
        </w:rPr>
      </w:pPr>
    </w:p>
    <w:p>
      <w:pPr>
        <w:adjustRightInd w:val="0"/>
        <w:snapToGrid w:val="0"/>
        <w:spacing w:line="360" w:lineRule="auto"/>
        <w:jc w:val="center"/>
        <w:rPr>
          <w:rFonts w:ascii="宋体" w:hAnsi="宋体"/>
          <w:sz w:val="24"/>
          <w:highlight w:val="none"/>
        </w:rPr>
      </w:pPr>
    </w:p>
    <w:p>
      <w:pPr>
        <w:adjustRightInd w:val="0"/>
        <w:snapToGrid w:val="0"/>
        <w:spacing w:line="360" w:lineRule="auto"/>
        <w:jc w:val="center"/>
        <w:rPr>
          <w:rFonts w:ascii="宋体" w:hAnsi="宋体"/>
          <w:sz w:val="24"/>
          <w:highlight w:val="none"/>
        </w:rPr>
      </w:pPr>
      <w:r>
        <w:rPr>
          <w:rFonts w:ascii="宋体" w:hAnsi="宋体"/>
          <w:sz w:val="24"/>
          <w:highlight w:val="none"/>
        </w:rPr>
        <w:t>被授权人身份证复印件</w:t>
      </w:r>
    </w:p>
    <w:p>
      <w:pPr>
        <w:adjustRightInd w:val="0"/>
        <w:snapToGrid w:val="0"/>
        <w:spacing w:line="360" w:lineRule="auto"/>
        <w:jc w:val="center"/>
        <w:rPr>
          <w:rFonts w:ascii="宋体" w:hAnsi="宋体"/>
          <w:sz w:val="24"/>
          <w:highlight w:val="none"/>
        </w:rPr>
      </w:pPr>
    </w:p>
    <w:p>
      <w:pPr>
        <w:adjustRightInd w:val="0"/>
        <w:snapToGrid w:val="0"/>
        <w:spacing w:line="360" w:lineRule="auto"/>
        <w:jc w:val="center"/>
        <w:rPr>
          <w:rFonts w:ascii="宋体" w:hAnsi="宋体"/>
          <w:sz w:val="24"/>
          <w:highlight w:val="none"/>
        </w:rPr>
      </w:pPr>
      <w:r>
        <w:rPr>
          <w:rFonts w:ascii="宋体" w:hAnsi="宋体"/>
          <w:sz w:val="24"/>
          <w:highlight w:val="none"/>
        </w:rPr>
        <w:t>（粘贴此处）</w:t>
      </w:r>
    </w:p>
    <w:p>
      <w:pPr>
        <w:snapToGrid w:val="0"/>
        <w:spacing w:line="360" w:lineRule="auto"/>
        <w:ind w:firstLine="482" w:firstLineChars="200"/>
        <w:rPr>
          <w:rFonts w:ascii="宋体" w:hAnsi="宋体"/>
          <w:b/>
          <w:bCs/>
          <w:sz w:val="24"/>
          <w:highlight w:val="none"/>
        </w:rPr>
      </w:pPr>
    </w:p>
    <w:p>
      <w:pPr>
        <w:snapToGrid w:val="0"/>
        <w:spacing w:line="360" w:lineRule="auto"/>
        <w:ind w:firstLine="482" w:firstLineChars="200"/>
        <w:rPr>
          <w:rFonts w:ascii="宋体" w:hAnsi="宋体"/>
          <w:sz w:val="24"/>
          <w:highlight w:val="none"/>
        </w:rPr>
      </w:pPr>
      <w:r>
        <w:rPr>
          <w:rFonts w:ascii="宋体" w:hAnsi="宋体"/>
          <w:b/>
          <w:bCs/>
          <w:sz w:val="24"/>
          <w:highlight w:val="none"/>
        </w:rPr>
        <w:t>注:</w:t>
      </w:r>
      <w:r>
        <w:rPr>
          <w:rFonts w:ascii="宋体" w:hAnsi="宋体"/>
          <w:sz w:val="24"/>
          <w:highlight w:val="none"/>
        </w:rPr>
        <w:t>如为被授权人参加投标时，须将身份证原件带至开标现场备查。</w:t>
      </w:r>
    </w:p>
    <w:p>
      <w:pPr>
        <w:pStyle w:val="6"/>
        <w:spacing w:line="360" w:lineRule="auto"/>
        <w:jc w:val="center"/>
        <w:rPr>
          <w:rFonts w:ascii="宋体" w:hAnsi="宋体" w:eastAsia="宋体" w:cs="宋体"/>
          <w:sz w:val="30"/>
          <w:szCs w:val="30"/>
          <w:highlight w:val="none"/>
        </w:rPr>
      </w:pPr>
      <w:r>
        <w:rPr>
          <w:rFonts w:ascii="宋体" w:hAnsi="宋体" w:eastAsia="宋体"/>
          <w:sz w:val="24"/>
          <w:szCs w:val="24"/>
          <w:highlight w:val="none"/>
        </w:rPr>
        <w:br w:type="page"/>
      </w:r>
      <w:r>
        <w:rPr>
          <w:rFonts w:hint="eastAsia" w:ascii="宋体" w:hAnsi="宋体" w:eastAsia="宋体"/>
          <w:kern w:val="2"/>
          <w:sz w:val="24"/>
          <w:szCs w:val="24"/>
          <w:highlight w:val="none"/>
        </w:rPr>
        <w:t>3.具备履行合同所必需的设备和专业技术能力的书面声明</w:t>
      </w:r>
    </w:p>
    <w:p>
      <w:pPr>
        <w:snapToGrid w:val="0"/>
        <w:spacing w:line="360" w:lineRule="auto"/>
        <w:rPr>
          <w:rFonts w:ascii="宋体" w:hAnsi="宋体" w:cs="宋体"/>
          <w:b/>
          <w:sz w:val="36"/>
          <w:highlight w:val="none"/>
        </w:rPr>
      </w:pPr>
      <w:r>
        <w:rPr>
          <w:rFonts w:hint="eastAsia" w:ascii="宋体" w:hAnsi="宋体"/>
          <w:sz w:val="24"/>
          <w:highlight w:val="none"/>
          <w:u w:val="single"/>
        </w:rPr>
        <w:t>南通市工业和信息化局</w:t>
      </w:r>
      <w:r>
        <w:rPr>
          <w:rFonts w:ascii="宋体" w:hAnsi="宋体"/>
          <w:sz w:val="24"/>
          <w:highlight w:val="none"/>
        </w:rPr>
        <w:t>：</w:t>
      </w:r>
    </w:p>
    <w:p>
      <w:pPr>
        <w:pStyle w:val="19"/>
        <w:spacing w:before="1" w:line="360" w:lineRule="auto"/>
        <w:ind w:right="-56" w:firstLine="476" w:firstLineChars="200"/>
        <w:rPr>
          <w:rFonts w:ascii="宋体" w:hAnsi="宋体" w:eastAsia="宋体" w:cs="宋体"/>
          <w:highlight w:val="none"/>
        </w:rPr>
      </w:pPr>
      <w:r>
        <w:rPr>
          <w:rFonts w:hint="eastAsia" w:ascii="宋体" w:hAnsi="宋体" w:eastAsia="宋体" w:cs="宋体"/>
          <w:spacing w:val="-1"/>
          <w:highlight w:val="none"/>
        </w:rPr>
        <w:t>我单位郑重声明：我单位具备履行本项采购合同所必需的设备和专业技术</w:t>
      </w:r>
      <w:r>
        <w:rPr>
          <w:rFonts w:hint="eastAsia" w:ascii="宋体" w:hAnsi="宋体" w:eastAsia="宋体" w:cs="宋体"/>
          <w:spacing w:val="-12"/>
          <w:highlight w:val="none"/>
        </w:rPr>
        <w:t>能力，为履行本项采购合同我公司具备如下主要设备和主要专业技术能力</w:t>
      </w:r>
      <w:r>
        <w:rPr>
          <w:rFonts w:hint="eastAsia" w:ascii="宋体" w:hAnsi="宋体" w:eastAsia="宋体" w:cs="宋体"/>
          <w:highlight w:val="none"/>
        </w:rPr>
        <w:t>（</w:t>
      </w:r>
      <w:r>
        <w:rPr>
          <w:rFonts w:hint="eastAsia" w:ascii="宋体" w:hAnsi="宋体" w:eastAsia="宋体" w:cs="宋体"/>
          <w:spacing w:val="-6"/>
          <w:highlight w:val="none"/>
        </w:rPr>
        <w:t>自行填</w:t>
      </w:r>
      <w:r>
        <w:rPr>
          <w:rFonts w:hint="eastAsia" w:ascii="宋体" w:hAnsi="宋体" w:eastAsia="宋体" w:cs="宋体"/>
          <w:highlight w:val="none"/>
        </w:rPr>
        <w:t>写）：</w:t>
      </w:r>
    </w:p>
    <w:p>
      <w:pPr>
        <w:pStyle w:val="19"/>
        <w:spacing w:before="1" w:line="360" w:lineRule="auto"/>
        <w:ind w:right="-56" w:firstLine="480"/>
        <w:rPr>
          <w:rFonts w:ascii="宋体" w:hAnsi="宋体" w:eastAsia="宋体" w:cs="宋体"/>
          <w:spacing w:val="-4"/>
          <w:highlight w:val="none"/>
        </w:rPr>
      </w:pPr>
      <w:r>
        <w:rPr>
          <w:rFonts w:hint="eastAsia" w:ascii="宋体" w:hAnsi="宋体" w:eastAsia="宋体" w:cs="宋体"/>
          <w:highlight w:val="none"/>
        </w:rPr>
        <w:t>主要设备有：</w:t>
      </w:r>
      <w:r>
        <w:rPr>
          <w:rFonts w:hint="eastAsia" w:ascii="宋体" w:hAnsi="宋体" w:eastAsia="宋体" w:cs="宋体"/>
          <w:spacing w:val="-4"/>
          <w:highlight w:val="none"/>
        </w:rPr>
        <w:t>。</w:t>
      </w:r>
    </w:p>
    <w:p>
      <w:pPr>
        <w:pStyle w:val="19"/>
        <w:spacing w:before="1" w:line="360" w:lineRule="auto"/>
        <w:ind w:right="-56" w:firstLine="480"/>
        <w:rPr>
          <w:rFonts w:ascii="宋体" w:hAnsi="宋体" w:eastAsia="宋体" w:cs="宋体"/>
          <w:highlight w:val="none"/>
        </w:rPr>
      </w:pPr>
      <w:r>
        <w:rPr>
          <w:rFonts w:hint="eastAsia" w:ascii="宋体" w:hAnsi="宋体" w:eastAsia="宋体" w:cs="宋体"/>
          <w:highlight w:val="none"/>
        </w:rPr>
        <w:t>主要专业技术能力有：</w:t>
      </w:r>
      <w:r>
        <w:rPr>
          <w:rFonts w:hint="eastAsia" w:ascii="宋体" w:hAnsi="宋体" w:eastAsia="宋体" w:cs="宋体"/>
          <w:spacing w:val="-4"/>
          <w:highlight w:val="none"/>
        </w:rPr>
        <w:t>。</w:t>
      </w:r>
    </w:p>
    <w:p>
      <w:pPr>
        <w:pStyle w:val="19"/>
        <w:spacing w:line="360" w:lineRule="auto"/>
        <w:ind w:firstLine="480"/>
        <w:rPr>
          <w:rFonts w:ascii="宋体" w:hAnsi="宋体" w:eastAsia="宋体" w:cs="宋体"/>
          <w:highlight w:val="none"/>
        </w:rPr>
      </w:pPr>
    </w:p>
    <w:p>
      <w:pPr>
        <w:pStyle w:val="19"/>
        <w:spacing w:line="360" w:lineRule="auto"/>
        <w:ind w:firstLine="480"/>
        <w:rPr>
          <w:rFonts w:ascii="宋体" w:hAnsi="宋体" w:eastAsia="宋体" w:cs="宋体"/>
          <w:highlight w:val="none"/>
        </w:rPr>
      </w:pPr>
    </w:p>
    <w:p>
      <w:pPr>
        <w:pStyle w:val="19"/>
        <w:spacing w:line="360" w:lineRule="auto"/>
        <w:ind w:firstLine="480"/>
        <w:rPr>
          <w:rFonts w:ascii="宋体" w:hAnsi="宋体" w:eastAsia="宋体" w:cs="宋体"/>
          <w:highlight w:val="none"/>
        </w:rPr>
      </w:pPr>
    </w:p>
    <w:p>
      <w:pPr>
        <w:pStyle w:val="19"/>
        <w:spacing w:line="360" w:lineRule="auto"/>
        <w:ind w:firstLine="480"/>
        <w:rPr>
          <w:rFonts w:ascii="宋体" w:hAnsi="宋体" w:eastAsia="宋体" w:cs="宋体"/>
          <w:highlight w:val="none"/>
        </w:rPr>
      </w:pPr>
    </w:p>
    <w:p>
      <w:pPr>
        <w:pStyle w:val="19"/>
        <w:spacing w:line="360" w:lineRule="auto"/>
        <w:ind w:firstLine="480"/>
        <w:rPr>
          <w:rFonts w:ascii="宋体" w:hAnsi="宋体" w:eastAsia="宋体" w:cs="宋体"/>
          <w:highlight w:val="none"/>
        </w:rPr>
      </w:pPr>
    </w:p>
    <w:p>
      <w:pPr>
        <w:pStyle w:val="19"/>
        <w:spacing w:line="360" w:lineRule="auto"/>
        <w:ind w:firstLine="480"/>
        <w:rPr>
          <w:rFonts w:ascii="宋体" w:hAnsi="宋体" w:eastAsia="宋体" w:cs="宋体"/>
          <w:highlight w:val="none"/>
        </w:rPr>
      </w:pPr>
    </w:p>
    <w:p>
      <w:pPr>
        <w:pStyle w:val="19"/>
        <w:spacing w:line="360" w:lineRule="auto"/>
        <w:ind w:firstLine="480"/>
        <w:rPr>
          <w:rFonts w:ascii="宋体" w:hAnsi="宋体" w:eastAsia="宋体" w:cs="宋体"/>
          <w:highlight w:val="none"/>
        </w:rPr>
      </w:pPr>
    </w:p>
    <w:p>
      <w:pPr>
        <w:pStyle w:val="19"/>
        <w:spacing w:before="6" w:line="360" w:lineRule="auto"/>
        <w:ind w:firstLine="480"/>
        <w:rPr>
          <w:rFonts w:ascii="宋体" w:hAnsi="宋体" w:eastAsia="宋体" w:cs="宋体"/>
          <w:highlight w:val="none"/>
        </w:rPr>
      </w:pPr>
    </w:p>
    <w:p>
      <w:pPr>
        <w:pStyle w:val="19"/>
        <w:spacing w:line="360" w:lineRule="auto"/>
        <w:ind w:firstLine="480"/>
        <w:rPr>
          <w:rFonts w:ascii="宋体" w:hAnsi="宋体" w:eastAsia="宋体" w:cs="宋体"/>
          <w:highlight w:val="none"/>
        </w:rPr>
      </w:pPr>
      <w:r>
        <w:rPr>
          <w:rFonts w:ascii="宋体" w:hAnsi="宋体" w:eastAsia="宋体"/>
          <w:szCs w:val="24"/>
          <w:highlight w:val="none"/>
        </w:rPr>
        <w:t>声明人</w:t>
      </w:r>
      <w:r>
        <w:rPr>
          <w:rFonts w:hint="eastAsia" w:ascii="宋体" w:hAnsi="宋体" w:eastAsia="宋体" w:cs="宋体"/>
          <w:highlight w:val="none"/>
        </w:rPr>
        <w:t>（盖章）：</w:t>
      </w:r>
    </w:p>
    <w:p>
      <w:pPr>
        <w:pStyle w:val="19"/>
        <w:spacing w:line="360" w:lineRule="auto"/>
        <w:ind w:firstLine="480"/>
        <w:rPr>
          <w:rFonts w:ascii="宋体" w:hAnsi="宋体" w:eastAsia="宋体" w:cs="宋体"/>
          <w:highlight w:val="none"/>
        </w:rPr>
      </w:pPr>
    </w:p>
    <w:p>
      <w:pPr>
        <w:pStyle w:val="19"/>
        <w:tabs>
          <w:tab w:val="left" w:pos="6862"/>
          <w:tab w:val="left" w:pos="7582"/>
          <w:tab w:val="left" w:pos="8302"/>
        </w:tabs>
        <w:spacing w:before="163" w:line="360" w:lineRule="auto"/>
        <w:ind w:right="1087" w:firstLine="476"/>
        <w:rPr>
          <w:rFonts w:ascii="宋体" w:hAnsi="宋体" w:eastAsia="宋体" w:cs="宋体"/>
          <w:highlight w:val="none"/>
        </w:rPr>
      </w:pPr>
      <w:r>
        <w:rPr>
          <w:rFonts w:hint="eastAsia" w:ascii="宋体" w:hAnsi="宋体" w:eastAsia="宋体" w:cs="宋体"/>
          <w:spacing w:val="-1"/>
          <w:highlight w:val="none"/>
        </w:rPr>
        <w:t>法定代表</w:t>
      </w:r>
      <w:r>
        <w:rPr>
          <w:rFonts w:hint="eastAsia" w:ascii="宋体" w:hAnsi="宋体" w:eastAsia="宋体" w:cs="宋体"/>
          <w:highlight w:val="none"/>
        </w:rPr>
        <w:t>人或授权代表签字或盖章：</w:t>
      </w:r>
    </w:p>
    <w:p>
      <w:pPr>
        <w:pStyle w:val="19"/>
        <w:tabs>
          <w:tab w:val="left" w:pos="6862"/>
          <w:tab w:val="left" w:pos="7582"/>
          <w:tab w:val="left" w:pos="8302"/>
        </w:tabs>
        <w:spacing w:before="163" w:line="360" w:lineRule="auto"/>
        <w:ind w:right="1087" w:firstLine="480"/>
        <w:rPr>
          <w:rFonts w:ascii="宋体" w:hAnsi="宋体" w:eastAsia="宋体" w:cs="宋体"/>
          <w:highlight w:val="none"/>
        </w:rPr>
      </w:pPr>
    </w:p>
    <w:p>
      <w:pPr>
        <w:pStyle w:val="19"/>
        <w:spacing w:line="360" w:lineRule="auto"/>
        <w:ind w:firstLine="480"/>
        <w:rPr>
          <w:rFonts w:ascii="宋体" w:hAnsi="宋体" w:cs="宋体"/>
          <w:highlight w:val="none"/>
        </w:rPr>
      </w:pPr>
      <w:r>
        <w:rPr>
          <w:rFonts w:hint="eastAsia" w:ascii="宋体" w:hAnsi="宋体" w:eastAsia="宋体" w:cs="宋体"/>
          <w:highlight w:val="none"/>
        </w:rPr>
        <w:t>日期：   年  月    日</w:t>
      </w:r>
    </w:p>
    <w:p>
      <w:pPr>
        <w:snapToGrid w:val="0"/>
        <w:spacing w:line="360" w:lineRule="auto"/>
        <w:jc w:val="center"/>
        <w:outlineLvl w:val="4"/>
        <w:rPr>
          <w:rFonts w:ascii="宋体" w:hAnsi="宋体"/>
          <w:b/>
          <w:bCs/>
          <w:sz w:val="24"/>
          <w:highlight w:val="none"/>
        </w:rPr>
      </w:pPr>
    </w:p>
    <w:p>
      <w:pPr>
        <w:snapToGrid w:val="0"/>
        <w:spacing w:line="360" w:lineRule="auto"/>
        <w:jc w:val="center"/>
        <w:outlineLvl w:val="4"/>
        <w:rPr>
          <w:rFonts w:ascii="宋体" w:hAnsi="宋体"/>
          <w:b/>
          <w:bCs/>
          <w:sz w:val="24"/>
          <w:highlight w:val="none"/>
        </w:rPr>
      </w:pPr>
    </w:p>
    <w:p>
      <w:pPr>
        <w:snapToGrid w:val="0"/>
        <w:spacing w:line="360" w:lineRule="auto"/>
        <w:jc w:val="center"/>
        <w:outlineLvl w:val="4"/>
        <w:rPr>
          <w:rFonts w:ascii="宋体" w:hAnsi="宋体"/>
          <w:b/>
          <w:bCs/>
          <w:sz w:val="24"/>
          <w:highlight w:val="none"/>
        </w:rPr>
      </w:pPr>
    </w:p>
    <w:p>
      <w:pPr>
        <w:snapToGrid w:val="0"/>
        <w:spacing w:line="360" w:lineRule="auto"/>
        <w:jc w:val="center"/>
        <w:outlineLvl w:val="4"/>
        <w:rPr>
          <w:rFonts w:ascii="宋体" w:hAnsi="宋体"/>
          <w:b/>
          <w:bCs/>
          <w:sz w:val="24"/>
          <w:highlight w:val="none"/>
        </w:rPr>
      </w:pPr>
    </w:p>
    <w:p>
      <w:pPr>
        <w:snapToGrid w:val="0"/>
        <w:spacing w:line="360" w:lineRule="auto"/>
        <w:jc w:val="center"/>
        <w:outlineLvl w:val="4"/>
        <w:rPr>
          <w:rFonts w:ascii="宋体" w:hAnsi="宋体"/>
          <w:b/>
          <w:bCs/>
          <w:sz w:val="24"/>
          <w:highlight w:val="none"/>
        </w:rPr>
      </w:pPr>
    </w:p>
    <w:p>
      <w:pPr>
        <w:snapToGrid w:val="0"/>
        <w:spacing w:line="360" w:lineRule="auto"/>
        <w:jc w:val="center"/>
        <w:outlineLvl w:val="4"/>
        <w:rPr>
          <w:rFonts w:ascii="宋体" w:hAnsi="宋体"/>
          <w:b/>
          <w:bCs/>
          <w:sz w:val="24"/>
          <w:highlight w:val="none"/>
        </w:rPr>
      </w:pPr>
    </w:p>
    <w:p>
      <w:pPr>
        <w:snapToGrid w:val="0"/>
        <w:spacing w:line="360" w:lineRule="auto"/>
        <w:jc w:val="center"/>
        <w:outlineLvl w:val="4"/>
        <w:rPr>
          <w:rFonts w:ascii="宋体" w:hAnsi="宋体"/>
          <w:b/>
          <w:bCs/>
          <w:sz w:val="24"/>
          <w:highlight w:val="none"/>
        </w:rPr>
      </w:pPr>
    </w:p>
    <w:p>
      <w:pPr>
        <w:snapToGrid w:val="0"/>
        <w:spacing w:line="360" w:lineRule="auto"/>
        <w:jc w:val="center"/>
        <w:outlineLvl w:val="4"/>
        <w:rPr>
          <w:rFonts w:ascii="宋体" w:hAnsi="宋体"/>
          <w:b/>
          <w:bCs/>
          <w:sz w:val="24"/>
          <w:highlight w:val="none"/>
        </w:rPr>
      </w:pPr>
    </w:p>
    <w:p>
      <w:pPr>
        <w:snapToGrid w:val="0"/>
        <w:spacing w:line="360" w:lineRule="auto"/>
        <w:jc w:val="center"/>
        <w:outlineLvl w:val="4"/>
        <w:rPr>
          <w:rFonts w:ascii="宋体" w:hAnsi="宋体"/>
          <w:b/>
          <w:bCs/>
          <w:sz w:val="24"/>
          <w:highlight w:val="none"/>
        </w:rPr>
      </w:pPr>
    </w:p>
    <w:p>
      <w:pPr>
        <w:snapToGrid w:val="0"/>
        <w:spacing w:line="360" w:lineRule="auto"/>
        <w:jc w:val="center"/>
        <w:outlineLvl w:val="4"/>
        <w:rPr>
          <w:rFonts w:ascii="宋体" w:hAnsi="宋体"/>
          <w:b/>
          <w:bCs/>
          <w:sz w:val="24"/>
          <w:highlight w:val="none"/>
        </w:rPr>
      </w:pPr>
      <w:r>
        <w:rPr>
          <w:rFonts w:hint="eastAsia" w:ascii="宋体" w:hAnsi="宋体"/>
          <w:b/>
          <w:bCs/>
          <w:sz w:val="24"/>
          <w:highlight w:val="none"/>
        </w:rPr>
        <w:t>4.</w:t>
      </w:r>
      <w:r>
        <w:rPr>
          <w:rFonts w:ascii="宋体" w:hAnsi="宋体"/>
          <w:b/>
          <w:bCs/>
          <w:sz w:val="24"/>
          <w:highlight w:val="none"/>
        </w:rPr>
        <w:t>无重大违法记录声明函</w:t>
      </w:r>
    </w:p>
    <w:p>
      <w:pPr>
        <w:snapToGrid w:val="0"/>
        <w:spacing w:line="360" w:lineRule="auto"/>
        <w:rPr>
          <w:rFonts w:ascii="宋体" w:hAnsi="宋体"/>
          <w:bCs/>
          <w:sz w:val="24"/>
          <w:highlight w:val="none"/>
        </w:rPr>
      </w:pPr>
      <w:r>
        <w:rPr>
          <w:rFonts w:hint="eastAsia" w:ascii="宋体" w:hAnsi="宋体"/>
          <w:sz w:val="24"/>
          <w:highlight w:val="none"/>
          <w:u w:val="single"/>
        </w:rPr>
        <w:t>南通市工业和信息化局</w:t>
      </w:r>
      <w:r>
        <w:rPr>
          <w:rFonts w:ascii="宋体" w:hAnsi="宋体"/>
          <w:bCs/>
          <w:sz w:val="24"/>
          <w:highlight w:val="none"/>
        </w:rPr>
        <w:t>：</w:t>
      </w:r>
    </w:p>
    <w:p>
      <w:pPr>
        <w:spacing w:line="360" w:lineRule="auto"/>
        <w:rPr>
          <w:rFonts w:ascii="宋体" w:hAnsi="宋体"/>
          <w:sz w:val="24"/>
          <w:highlight w:val="none"/>
        </w:rPr>
      </w:pPr>
      <w:r>
        <w:rPr>
          <w:rFonts w:ascii="宋体" w:hAnsi="宋体"/>
          <w:sz w:val="24"/>
          <w:highlight w:val="none"/>
        </w:rPr>
        <w:t xml:space="preserve">    我单位（</w:t>
      </w:r>
      <w:r>
        <w:rPr>
          <w:rFonts w:hint="eastAsia" w:ascii="宋体" w:hAnsi="宋体" w:cs="宋体"/>
          <w:sz w:val="24"/>
          <w:highlight w:val="none"/>
        </w:rPr>
        <w:t>投标</w:t>
      </w:r>
      <w:r>
        <w:rPr>
          <w:rFonts w:ascii="宋体" w:hAnsi="宋体"/>
          <w:sz w:val="24"/>
          <w:highlight w:val="none"/>
        </w:rPr>
        <w:t>供应商名称）郑重声明：</w:t>
      </w:r>
    </w:p>
    <w:p>
      <w:pPr>
        <w:spacing w:line="360" w:lineRule="auto"/>
        <w:rPr>
          <w:rFonts w:ascii="宋体" w:hAnsi="宋体"/>
          <w:sz w:val="24"/>
          <w:highlight w:val="none"/>
        </w:rPr>
      </w:pPr>
      <w:r>
        <w:rPr>
          <w:rFonts w:ascii="宋体" w:hAnsi="宋体"/>
          <w:sz w:val="24"/>
          <w:highlight w:val="none"/>
        </w:rPr>
        <w:t xml:space="preserve">    参加政府采购活动前3年内在经营活动中</w:t>
      </w:r>
      <w:r>
        <w:rPr>
          <w:rFonts w:hint="eastAsia" w:ascii="宋体" w:hAnsi="宋体"/>
          <w:sz w:val="24"/>
          <w:highlight w:val="none"/>
          <w:u w:val="single"/>
          <w:lang w:val="en-US" w:eastAsia="zh-CN"/>
        </w:rPr>
        <w:t xml:space="preserve">        </w:t>
      </w:r>
      <w:r>
        <w:rPr>
          <w:rFonts w:ascii="宋体" w:hAnsi="宋体"/>
          <w:sz w:val="24"/>
          <w:highlight w:val="none"/>
        </w:rPr>
        <w:t>（在下划线上如实填写：有或没有）重大违法记录。</w:t>
      </w:r>
    </w:p>
    <w:p>
      <w:pPr>
        <w:spacing w:line="360" w:lineRule="auto"/>
        <w:ind w:firstLine="480"/>
        <w:rPr>
          <w:rFonts w:ascii="宋体" w:hAnsi="宋体"/>
          <w:sz w:val="24"/>
          <w:highlight w:val="none"/>
        </w:rPr>
      </w:pPr>
      <w:r>
        <w:rPr>
          <w:rFonts w:ascii="宋体" w:hAnsi="宋体"/>
          <w:sz w:val="24"/>
          <w:highlight w:val="none"/>
        </w:rPr>
        <w:t>（说明：政府采购法第二十二条第一款第五项所称重大违法记录，是指供应商因违法经营受到刑事处罚或者责令停产停业、吊销许可证或者执照、较大数额罚款等行政处罚。）</w:t>
      </w:r>
    </w:p>
    <w:p>
      <w:pPr>
        <w:spacing w:line="360" w:lineRule="auto"/>
        <w:rPr>
          <w:rFonts w:ascii="宋体" w:hAnsi="宋体"/>
          <w:sz w:val="24"/>
          <w:highlight w:val="none"/>
        </w:rPr>
      </w:pPr>
      <w:r>
        <w:rPr>
          <w:rFonts w:ascii="宋体" w:hAnsi="宋体"/>
          <w:sz w:val="24"/>
          <w:highlight w:val="none"/>
        </w:rPr>
        <w:t xml:space="preserve">                                                        声明人：（公章）</w:t>
      </w:r>
    </w:p>
    <w:p>
      <w:pPr>
        <w:spacing w:line="360" w:lineRule="auto"/>
        <w:jc w:val="center"/>
        <w:rPr>
          <w:rFonts w:ascii="宋体" w:hAnsi="宋体"/>
          <w:sz w:val="24"/>
          <w:highlight w:val="none"/>
        </w:rPr>
      </w:pPr>
      <w:r>
        <w:rPr>
          <w:rFonts w:ascii="宋体" w:hAnsi="宋体"/>
          <w:sz w:val="24"/>
          <w:highlight w:val="none"/>
        </w:rPr>
        <w:t xml:space="preserve">                                                  年     月    日</w:t>
      </w:r>
    </w:p>
    <w:p>
      <w:pPr>
        <w:spacing w:line="360" w:lineRule="auto"/>
        <w:rPr>
          <w:sz w:val="24"/>
          <w:highlight w:val="none"/>
        </w:rPr>
      </w:pPr>
    </w:p>
    <w:p>
      <w:pPr>
        <w:spacing w:line="480" w:lineRule="exact"/>
        <w:jc w:val="center"/>
        <w:rPr>
          <w:rFonts w:ascii="宋体" w:hAnsi="宋体"/>
          <w:b/>
          <w:bCs/>
          <w:sz w:val="24"/>
          <w:highlight w:val="none"/>
        </w:rPr>
      </w:pPr>
      <w:r>
        <w:rPr>
          <w:rFonts w:ascii="宋体" w:hAnsi="宋体"/>
          <w:b/>
          <w:bCs/>
          <w:sz w:val="24"/>
          <w:highlight w:val="none"/>
        </w:rPr>
        <w:br w:type="page"/>
      </w:r>
    </w:p>
    <w:p>
      <w:pPr>
        <w:snapToGrid w:val="0"/>
        <w:spacing w:line="360" w:lineRule="auto"/>
        <w:ind w:firstLine="482" w:firstLineChars="200"/>
        <w:jc w:val="center"/>
        <w:rPr>
          <w:rFonts w:ascii="宋体" w:hAnsi="宋体"/>
          <w:sz w:val="24"/>
          <w:highlight w:val="none"/>
        </w:rPr>
      </w:pPr>
      <w:r>
        <w:rPr>
          <w:rFonts w:hint="eastAsia" w:ascii="宋体" w:hAnsi="宋体"/>
          <w:b/>
          <w:bCs/>
          <w:sz w:val="24"/>
          <w:highlight w:val="none"/>
        </w:rPr>
        <w:t>5.</w:t>
      </w:r>
      <w:r>
        <w:rPr>
          <w:rFonts w:ascii="宋体" w:hAnsi="宋体"/>
          <w:b/>
          <w:bCs/>
          <w:sz w:val="24"/>
          <w:highlight w:val="none"/>
        </w:rPr>
        <w:t>关于资格文件的声明函</w:t>
      </w:r>
    </w:p>
    <w:p>
      <w:pPr>
        <w:overflowPunct w:val="0"/>
        <w:adjustRightInd w:val="0"/>
        <w:spacing w:line="360" w:lineRule="auto"/>
        <w:ind w:firstLine="420"/>
        <w:jc w:val="center"/>
        <w:textAlignment w:val="baseline"/>
        <w:rPr>
          <w:rFonts w:ascii="宋体" w:hAnsi="宋体"/>
          <w:sz w:val="24"/>
          <w:highlight w:val="none"/>
        </w:rPr>
      </w:pPr>
    </w:p>
    <w:p>
      <w:pPr>
        <w:overflowPunct w:val="0"/>
        <w:adjustRightInd w:val="0"/>
        <w:spacing w:line="360" w:lineRule="auto"/>
        <w:jc w:val="left"/>
        <w:textAlignment w:val="baseline"/>
        <w:rPr>
          <w:rFonts w:ascii="宋体" w:hAnsi="宋体"/>
          <w:sz w:val="24"/>
          <w:highlight w:val="none"/>
          <w:u w:val="single"/>
        </w:rPr>
      </w:pPr>
      <w:r>
        <w:rPr>
          <w:rFonts w:hint="eastAsia" w:ascii="宋体" w:hAnsi="宋体"/>
          <w:sz w:val="24"/>
          <w:highlight w:val="none"/>
          <w:u w:val="single"/>
        </w:rPr>
        <w:t>南通市工业和信息化局</w:t>
      </w:r>
      <w:r>
        <w:rPr>
          <w:rFonts w:ascii="宋体" w:hAnsi="宋体"/>
          <w:sz w:val="24"/>
          <w:highlight w:val="none"/>
          <w:u w:val="single"/>
        </w:rPr>
        <w:t>：</w:t>
      </w:r>
    </w:p>
    <w:p>
      <w:pPr>
        <w:overflowPunct w:val="0"/>
        <w:adjustRightInd w:val="0"/>
        <w:spacing w:line="360" w:lineRule="auto"/>
        <w:ind w:firstLine="660"/>
        <w:jc w:val="left"/>
        <w:textAlignment w:val="baseline"/>
        <w:rPr>
          <w:rFonts w:ascii="宋体" w:hAnsi="宋体"/>
          <w:sz w:val="24"/>
          <w:highlight w:val="none"/>
        </w:rPr>
      </w:pPr>
      <w:r>
        <w:rPr>
          <w:rFonts w:ascii="宋体" w:hAnsi="宋体"/>
          <w:sz w:val="24"/>
          <w:highlight w:val="none"/>
        </w:rPr>
        <w:t>本公司愿就由贵单位组织实施的（招标项目名称及项目编号)招标活动进行投标。本公司所提交的投标文件中所有关于投标资格的文件、证明和陈述均是真实的、准确的。若与真实情况不符，本公司愿意承担由此而产生的一切后果。</w:t>
      </w:r>
    </w:p>
    <w:p>
      <w:pPr>
        <w:overflowPunct w:val="0"/>
        <w:adjustRightInd w:val="0"/>
        <w:spacing w:line="360" w:lineRule="auto"/>
        <w:ind w:firstLine="420"/>
        <w:jc w:val="left"/>
        <w:textAlignment w:val="baseline"/>
        <w:rPr>
          <w:rFonts w:ascii="宋体" w:hAnsi="宋体"/>
          <w:sz w:val="24"/>
          <w:highlight w:val="none"/>
        </w:rPr>
      </w:pPr>
    </w:p>
    <w:p>
      <w:pPr>
        <w:overflowPunct w:val="0"/>
        <w:adjustRightInd w:val="0"/>
        <w:spacing w:line="360" w:lineRule="auto"/>
        <w:ind w:firstLine="420"/>
        <w:jc w:val="left"/>
        <w:textAlignment w:val="baseline"/>
        <w:rPr>
          <w:rFonts w:ascii="宋体" w:hAnsi="宋体"/>
          <w:sz w:val="24"/>
          <w:highlight w:val="none"/>
        </w:rPr>
      </w:pPr>
    </w:p>
    <w:p>
      <w:pPr>
        <w:overflowPunct w:val="0"/>
        <w:adjustRightInd w:val="0"/>
        <w:spacing w:line="360" w:lineRule="auto"/>
        <w:ind w:firstLine="420"/>
        <w:jc w:val="left"/>
        <w:textAlignment w:val="baseline"/>
        <w:rPr>
          <w:rFonts w:ascii="宋体" w:hAnsi="宋体"/>
          <w:sz w:val="24"/>
          <w:highlight w:val="none"/>
        </w:rPr>
      </w:pPr>
    </w:p>
    <w:p>
      <w:pPr>
        <w:overflowPunct w:val="0"/>
        <w:adjustRightInd w:val="0"/>
        <w:spacing w:line="360" w:lineRule="auto"/>
        <w:ind w:firstLine="420"/>
        <w:jc w:val="left"/>
        <w:textAlignment w:val="baseline"/>
        <w:rPr>
          <w:rFonts w:ascii="宋体" w:hAnsi="宋体"/>
          <w:sz w:val="24"/>
          <w:highlight w:val="none"/>
        </w:rPr>
      </w:pPr>
      <w:r>
        <w:rPr>
          <w:rFonts w:ascii="宋体" w:hAnsi="宋体"/>
          <w:sz w:val="24"/>
          <w:highlight w:val="none"/>
        </w:rPr>
        <w:tab/>
      </w:r>
      <w:r>
        <w:rPr>
          <w:rFonts w:ascii="宋体" w:hAnsi="宋体"/>
          <w:sz w:val="24"/>
          <w:highlight w:val="none"/>
        </w:rPr>
        <w:tab/>
      </w:r>
      <w:r>
        <w:rPr>
          <w:rFonts w:ascii="宋体" w:hAnsi="宋体"/>
          <w:sz w:val="24"/>
          <w:highlight w:val="none"/>
        </w:rPr>
        <w:tab/>
      </w:r>
      <w:r>
        <w:rPr>
          <w:rFonts w:ascii="宋体" w:hAnsi="宋体"/>
          <w:sz w:val="24"/>
          <w:highlight w:val="none"/>
        </w:rPr>
        <w:tab/>
      </w:r>
      <w:r>
        <w:rPr>
          <w:rFonts w:ascii="宋体" w:hAnsi="宋体"/>
          <w:sz w:val="24"/>
          <w:highlight w:val="none"/>
        </w:rPr>
        <w:t xml:space="preserve">        （投标供应商）法定代表人（签字或盖章）：</w:t>
      </w:r>
    </w:p>
    <w:p>
      <w:pPr>
        <w:overflowPunct w:val="0"/>
        <w:adjustRightInd w:val="0"/>
        <w:spacing w:line="360" w:lineRule="auto"/>
        <w:ind w:left="1700" w:firstLine="425"/>
        <w:jc w:val="left"/>
        <w:textAlignment w:val="baseline"/>
        <w:rPr>
          <w:rFonts w:ascii="宋体" w:hAnsi="宋体"/>
          <w:sz w:val="24"/>
          <w:highlight w:val="none"/>
        </w:rPr>
      </w:pPr>
    </w:p>
    <w:p>
      <w:pPr>
        <w:overflowPunct w:val="0"/>
        <w:adjustRightInd w:val="0"/>
        <w:spacing w:line="360" w:lineRule="auto"/>
        <w:ind w:left="1700" w:firstLine="425"/>
        <w:jc w:val="left"/>
        <w:textAlignment w:val="baseline"/>
        <w:rPr>
          <w:rFonts w:ascii="宋体" w:hAnsi="宋体"/>
          <w:sz w:val="24"/>
          <w:highlight w:val="none"/>
        </w:rPr>
      </w:pPr>
      <w:r>
        <w:rPr>
          <w:rFonts w:ascii="宋体" w:hAnsi="宋体"/>
          <w:sz w:val="24"/>
          <w:highlight w:val="none"/>
        </w:rPr>
        <w:t xml:space="preserve">        （投标供应商）公章：</w:t>
      </w:r>
    </w:p>
    <w:p>
      <w:pPr>
        <w:overflowPunct w:val="0"/>
        <w:adjustRightInd w:val="0"/>
        <w:spacing w:line="360" w:lineRule="auto"/>
        <w:ind w:firstLine="420"/>
        <w:jc w:val="left"/>
        <w:textAlignment w:val="baseline"/>
        <w:rPr>
          <w:rFonts w:ascii="宋体" w:hAnsi="宋体"/>
          <w:sz w:val="24"/>
          <w:highlight w:val="none"/>
        </w:rPr>
      </w:pPr>
    </w:p>
    <w:p>
      <w:pPr>
        <w:overflowPunct w:val="0"/>
        <w:adjustRightInd w:val="0"/>
        <w:spacing w:line="360" w:lineRule="auto"/>
        <w:ind w:right="560" w:firstLine="420"/>
        <w:jc w:val="left"/>
        <w:textAlignment w:val="baseline"/>
        <w:rPr>
          <w:rFonts w:ascii="宋体" w:hAnsi="宋体"/>
          <w:sz w:val="24"/>
          <w:highlight w:val="none"/>
        </w:rPr>
      </w:pPr>
      <w:r>
        <w:rPr>
          <w:rFonts w:ascii="宋体" w:hAnsi="宋体"/>
          <w:sz w:val="24"/>
          <w:highlight w:val="none"/>
        </w:rPr>
        <w:t xml:space="preserve">                                       年</w:t>
      </w:r>
      <w:r>
        <w:rPr>
          <w:rFonts w:ascii="宋体" w:hAnsi="宋体"/>
          <w:sz w:val="24"/>
          <w:highlight w:val="none"/>
        </w:rPr>
        <w:tab/>
      </w:r>
      <w:r>
        <w:rPr>
          <w:rFonts w:ascii="宋体" w:hAnsi="宋体"/>
          <w:sz w:val="24"/>
          <w:highlight w:val="none"/>
        </w:rPr>
        <w:t xml:space="preserve"> 月 </w:t>
      </w:r>
      <w:r>
        <w:rPr>
          <w:rFonts w:ascii="宋体" w:hAnsi="宋体"/>
          <w:sz w:val="24"/>
          <w:highlight w:val="none"/>
        </w:rPr>
        <w:tab/>
      </w:r>
      <w:r>
        <w:rPr>
          <w:rFonts w:ascii="宋体" w:hAnsi="宋体"/>
          <w:sz w:val="24"/>
          <w:highlight w:val="none"/>
        </w:rPr>
        <w:t>日</w:t>
      </w:r>
    </w:p>
    <w:p>
      <w:pPr>
        <w:rPr>
          <w:rFonts w:ascii="宋体" w:hAnsi="宋体"/>
          <w:sz w:val="24"/>
          <w:highlight w:val="none"/>
        </w:rPr>
      </w:pPr>
      <w:r>
        <w:rPr>
          <w:rFonts w:ascii="宋体" w:hAnsi="宋体"/>
          <w:sz w:val="24"/>
          <w:highlight w:val="none"/>
        </w:rPr>
        <w:br w:type="page"/>
      </w:r>
    </w:p>
    <w:p>
      <w:pPr>
        <w:pStyle w:val="22"/>
        <w:snapToGrid w:val="0"/>
        <w:spacing w:line="300" w:lineRule="auto"/>
        <w:contextualSpacing/>
        <w:jc w:val="center"/>
        <w:rPr>
          <w:rFonts w:ascii="Times New Roman" w:hAnsi="Times New Roman"/>
          <w:sz w:val="36"/>
          <w:szCs w:val="36"/>
          <w:highlight w:val="none"/>
        </w:rPr>
      </w:pPr>
      <w:r>
        <w:rPr>
          <w:rFonts w:hint="eastAsia" w:hAnsi="宋体"/>
          <w:b/>
          <w:bCs/>
          <w:kern w:val="2"/>
          <w:sz w:val="24"/>
          <w:szCs w:val="24"/>
          <w:highlight w:val="none"/>
        </w:rPr>
        <w:t>6.联合体协议书</w:t>
      </w:r>
    </w:p>
    <w:p>
      <w:pPr>
        <w:autoSpaceDE w:val="0"/>
        <w:autoSpaceDN w:val="0"/>
        <w:adjustRightInd w:val="0"/>
        <w:snapToGrid w:val="0"/>
        <w:spacing w:line="360" w:lineRule="auto"/>
        <w:contextualSpacing/>
        <w:jc w:val="left"/>
        <w:rPr>
          <w:rFonts w:ascii="宋体" w:cs="宋体"/>
          <w:kern w:val="0"/>
          <w:szCs w:val="21"/>
          <w:highlight w:val="none"/>
        </w:rPr>
      </w:pPr>
      <w:r>
        <w:rPr>
          <w:rFonts w:hint="eastAsia"/>
          <w:highlight w:val="none"/>
        </w:rPr>
        <w:t>　　</w:t>
      </w:r>
    </w:p>
    <w:p>
      <w:pPr>
        <w:autoSpaceDE w:val="0"/>
        <w:autoSpaceDN w:val="0"/>
        <w:adjustRightInd w:val="0"/>
        <w:snapToGrid w:val="0"/>
        <w:spacing w:line="360" w:lineRule="auto"/>
        <w:contextualSpacing/>
        <w:jc w:val="left"/>
        <w:rPr>
          <w:rFonts w:ascii="宋体" w:hAnsi="宋体" w:cs="宋体"/>
          <w:kern w:val="0"/>
          <w:sz w:val="22"/>
          <w:szCs w:val="22"/>
          <w:highlight w:val="none"/>
        </w:rPr>
      </w:pPr>
      <w:r>
        <w:rPr>
          <w:rFonts w:hint="eastAsia" w:ascii="宋体" w:hAnsi="宋体" w:cs="宋体"/>
          <w:kern w:val="0"/>
          <w:sz w:val="22"/>
          <w:szCs w:val="22"/>
          <w:highlight w:val="none"/>
        </w:rPr>
        <w:t>（所有成员单位名称）自愿组成联合体，共同参加</w:t>
      </w:r>
      <w:r>
        <w:rPr>
          <w:rFonts w:hint="eastAsia" w:ascii="宋体" w:hAnsi="宋体"/>
          <w:sz w:val="22"/>
          <w:szCs w:val="22"/>
          <w:highlight w:val="none"/>
        </w:rPr>
        <w:t>南通市工业和信息化局</w:t>
      </w:r>
      <w:r>
        <w:rPr>
          <w:rFonts w:hint="eastAsia" w:ascii="宋体" w:hAnsi="宋体" w:cs="宋体"/>
          <w:kern w:val="0"/>
          <w:sz w:val="22"/>
          <w:szCs w:val="22"/>
          <w:highlight w:val="none"/>
        </w:rPr>
        <w:t>组织的（招标项目名称及项目编号）投标。现就联合体投标事宜订立如下协议：</w:t>
      </w:r>
    </w:p>
    <w:p>
      <w:pPr>
        <w:autoSpaceDE w:val="0"/>
        <w:autoSpaceDN w:val="0"/>
        <w:adjustRightInd w:val="0"/>
        <w:snapToGrid w:val="0"/>
        <w:spacing w:line="360" w:lineRule="auto"/>
        <w:ind w:firstLine="420"/>
        <w:contextualSpacing/>
        <w:jc w:val="left"/>
        <w:rPr>
          <w:rFonts w:ascii="宋体" w:hAnsi="宋体" w:cs="宋体"/>
          <w:kern w:val="0"/>
          <w:sz w:val="22"/>
          <w:szCs w:val="22"/>
          <w:highlight w:val="none"/>
        </w:rPr>
      </w:pPr>
      <w:r>
        <w:rPr>
          <w:rFonts w:hint="eastAsia" w:ascii="宋体" w:hAnsi="宋体" w:cs="宋体"/>
          <w:kern w:val="0"/>
          <w:sz w:val="22"/>
          <w:szCs w:val="22"/>
          <w:highlight w:val="none"/>
        </w:rPr>
        <w:t>1.（某成员单位名称）为联合体名称牵头人。</w:t>
      </w:r>
    </w:p>
    <w:p>
      <w:pPr>
        <w:autoSpaceDE w:val="0"/>
        <w:autoSpaceDN w:val="0"/>
        <w:adjustRightInd w:val="0"/>
        <w:snapToGrid w:val="0"/>
        <w:spacing w:line="360" w:lineRule="auto"/>
        <w:ind w:firstLine="420"/>
        <w:contextualSpacing/>
        <w:jc w:val="left"/>
        <w:rPr>
          <w:rFonts w:ascii="宋体" w:hAnsi="宋体" w:cs="宋体"/>
          <w:kern w:val="0"/>
          <w:sz w:val="22"/>
          <w:szCs w:val="22"/>
          <w:highlight w:val="none"/>
        </w:rPr>
      </w:pPr>
      <w:r>
        <w:rPr>
          <w:rFonts w:hint="eastAsia" w:ascii="宋体" w:hAnsi="宋体" w:cs="宋体"/>
          <w:kern w:val="0"/>
          <w:sz w:val="22"/>
          <w:szCs w:val="22"/>
          <w:highlight w:val="none"/>
        </w:rPr>
        <w:t>2.联合体牵头人合法代表联合体各成员负责本招标项目投标文件编制和合同签订活动，并代表联合体提交和接收相关的资料、信息及指示，并处理与之有关的一切事务，负责合同实施阶段的主办、组织和协调工作。</w:t>
      </w:r>
    </w:p>
    <w:p>
      <w:pPr>
        <w:autoSpaceDE w:val="0"/>
        <w:autoSpaceDN w:val="0"/>
        <w:adjustRightInd w:val="0"/>
        <w:snapToGrid w:val="0"/>
        <w:spacing w:line="360" w:lineRule="auto"/>
        <w:ind w:firstLine="420"/>
        <w:contextualSpacing/>
        <w:jc w:val="left"/>
        <w:rPr>
          <w:rFonts w:ascii="宋体" w:hAnsi="宋体" w:cs="宋体"/>
          <w:kern w:val="0"/>
          <w:sz w:val="22"/>
          <w:szCs w:val="22"/>
          <w:highlight w:val="none"/>
        </w:rPr>
      </w:pPr>
      <w:r>
        <w:rPr>
          <w:rFonts w:hint="eastAsia" w:ascii="宋体" w:hAnsi="宋体" w:cs="宋体"/>
          <w:kern w:val="0"/>
          <w:sz w:val="22"/>
          <w:szCs w:val="22"/>
          <w:highlight w:val="none"/>
        </w:rPr>
        <w:t>3.联合体将严格按照招标文件的各项要求，递交投标文件，履行投标义务和中标后的合同，共同承担合同规定的一切义务和责任，联合体各成员单位按照内部职责的部分，承担各自所负的责任和风险，并向采购人承担连带责任。</w:t>
      </w:r>
    </w:p>
    <w:p>
      <w:pPr>
        <w:autoSpaceDE w:val="0"/>
        <w:autoSpaceDN w:val="0"/>
        <w:adjustRightInd w:val="0"/>
        <w:snapToGrid w:val="0"/>
        <w:spacing w:line="360" w:lineRule="auto"/>
        <w:ind w:firstLine="420"/>
        <w:contextualSpacing/>
        <w:jc w:val="left"/>
        <w:rPr>
          <w:rFonts w:ascii="宋体" w:hAnsi="宋体" w:cs="宋体"/>
          <w:kern w:val="0"/>
          <w:sz w:val="22"/>
          <w:szCs w:val="22"/>
          <w:highlight w:val="none"/>
        </w:rPr>
      </w:pPr>
      <w:r>
        <w:rPr>
          <w:rFonts w:hint="eastAsia" w:ascii="宋体" w:hAnsi="宋体" w:cs="宋体"/>
          <w:kern w:val="0"/>
          <w:sz w:val="22"/>
          <w:szCs w:val="22"/>
          <w:highlight w:val="none"/>
        </w:rPr>
        <w:t>4.联合体各成员单位内部的职责分工如下：</w:t>
      </w:r>
      <w:r>
        <w:rPr>
          <w:rFonts w:hint="eastAsia" w:ascii="宋体" w:hAnsi="宋体" w:cs="宋体"/>
          <w:kern w:val="0"/>
          <w:sz w:val="22"/>
          <w:szCs w:val="22"/>
          <w:highlight w:val="none"/>
          <w:u w:val="single"/>
          <w:lang w:val="en-US" w:eastAsia="zh-CN"/>
        </w:rPr>
        <w:t xml:space="preserve">        </w:t>
      </w:r>
      <w:r>
        <w:rPr>
          <w:rFonts w:hint="eastAsia" w:ascii="宋体" w:hAnsi="宋体" w:cs="宋体"/>
          <w:kern w:val="0"/>
          <w:sz w:val="22"/>
          <w:szCs w:val="22"/>
          <w:highlight w:val="none"/>
        </w:rPr>
        <w:t>。</w:t>
      </w:r>
    </w:p>
    <w:p>
      <w:pPr>
        <w:autoSpaceDE w:val="0"/>
        <w:autoSpaceDN w:val="0"/>
        <w:adjustRightInd w:val="0"/>
        <w:snapToGrid w:val="0"/>
        <w:spacing w:line="360" w:lineRule="auto"/>
        <w:ind w:firstLine="420"/>
        <w:contextualSpacing/>
        <w:jc w:val="left"/>
        <w:rPr>
          <w:rFonts w:eastAsia="仿宋_GB2312"/>
          <w:highlight w:val="none"/>
        </w:rPr>
      </w:pPr>
      <w:r>
        <w:rPr>
          <w:rFonts w:hint="eastAsia" w:ascii="宋体" w:hAnsi="宋体" w:cs="宋体"/>
          <w:kern w:val="0"/>
          <w:sz w:val="22"/>
          <w:szCs w:val="22"/>
          <w:highlight w:val="none"/>
        </w:rPr>
        <w:t>5.投标工作和联合体在中标后项目实施过程中的有关费用按各自承担的工作量分摊。</w:t>
      </w:r>
    </w:p>
    <w:p>
      <w:pPr>
        <w:autoSpaceDE w:val="0"/>
        <w:autoSpaceDN w:val="0"/>
        <w:adjustRightInd w:val="0"/>
        <w:snapToGrid w:val="0"/>
        <w:spacing w:line="360" w:lineRule="auto"/>
        <w:ind w:firstLine="420"/>
        <w:contextualSpacing/>
        <w:jc w:val="left"/>
        <w:rPr>
          <w:sz w:val="22"/>
          <w:szCs w:val="22"/>
          <w:highlight w:val="none"/>
        </w:rPr>
      </w:pPr>
      <w:r>
        <w:rPr>
          <w:rFonts w:hint="eastAsia" w:ascii="宋体" w:hAnsi="宋体" w:cs="宋体"/>
          <w:kern w:val="0"/>
          <w:sz w:val="22"/>
          <w:szCs w:val="22"/>
          <w:highlight w:val="none"/>
          <w:lang w:val="en-US" w:eastAsia="zh-CN"/>
        </w:rPr>
        <w:t>6</w:t>
      </w:r>
      <w:r>
        <w:rPr>
          <w:rFonts w:hint="eastAsia" w:ascii="宋体" w:hAnsi="宋体" w:cs="宋体"/>
          <w:kern w:val="0"/>
          <w:sz w:val="22"/>
          <w:szCs w:val="22"/>
          <w:highlight w:val="none"/>
          <w:lang w:eastAsia="zh-CN"/>
        </w:rPr>
        <w:t>.</w:t>
      </w:r>
      <w:r>
        <w:rPr>
          <w:rFonts w:hint="eastAsia" w:ascii="宋体" w:hAnsi="宋体" w:cs="宋体"/>
          <w:kern w:val="0"/>
          <w:sz w:val="22"/>
          <w:szCs w:val="22"/>
          <w:highlight w:val="none"/>
        </w:rPr>
        <w:t>联合体中标后，联合体牵头人占合同总金额的</w:t>
      </w:r>
      <w:r>
        <w:rPr>
          <w:rFonts w:hint="eastAsia" w:ascii="宋体" w:hAnsi="宋体" w:cs="宋体"/>
          <w:kern w:val="0"/>
          <w:sz w:val="22"/>
          <w:szCs w:val="22"/>
          <w:highlight w:val="none"/>
          <w:u w:val="single"/>
          <w:lang w:val="en-US" w:eastAsia="zh-CN"/>
        </w:rPr>
        <w:t xml:space="preserve">     </w:t>
      </w:r>
      <w:r>
        <w:rPr>
          <w:rFonts w:hint="eastAsia" w:ascii="宋体" w:hAnsi="宋体" w:cs="宋体"/>
          <w:kern w:val="0"/>
          <w:sz w:val="22"/>
          <w:szCs w:val="22"/>
          <w:highlight w:val="none"/>
        </w:rPr>
        <w:t>%，联合体协办单位占合同总金额的</w:t>
      </w:r>
      <w:r>
        <w:rPr>
          <w:rFonts w:hint="eastAsia" w:ascii="宋体" w:hAnsi="宋体" w:cs="宋体"/>
          <w:kern w:val="0"/>
          <w:sz w:val="22"/>
          <w:szCs w:val="22"/>
          <w:highlight w:val="none"/>
          <w:u w:val="single"/>
          <w:lang w:val="en-US" w:eastAsia="zh-CN"/>
        </w:rPr>
        <w:t xml:space="preserve">     </w:t>
      </w:r>
      <w:r>
        <w:rPr>
          <w:rFonts w:hint="eastAsia" w:ascii="宋体" w:hAnsi="宋体" w:cs="宋体"/>
          <w:kern w:val="0"/>
          <w:sz w:val="22"/>
          <w:szCs w:val="22"/>
          <w:highlight w:val="none"/>
        </w:rPr>
        <w:t>%。本联合体协议是合同的附件，对联合体各成员单位有合同约束力。</w:t>
      </w:r>
    </w:p>
    <w:p>
      <w:pPr>
        <w:autoSpaceDE w:val="0"/>
        <w:autoSpaceDN w:val="0"/>
        <w:adjustRightInd w:val="0"/>
        <w:snapToGrid w:val="0"/>
        <w:spacing w:line="360" w:lineRule="auto"/>
        <w:ind w:firstLine="420"/>
        <w:contextualSpacing/>
        <w:jc w:val="left"/>
        <w:rPr>
          <w:rFonts w:ascii="宋体" w:hAnsi="宋体" w:cs="宋体"/>
          <w:kern w:val="0"/>
          <w:sz w:val="22"/>
          <w:szCs w:val="22"/>
          <w:highlight w:val="none"/>
        </w:rPr>
      </w:pPr>
      <w:r>
        <w:rPr>
          <w:rFonts w:hint="eastAsia" w:ascii="宋体" w:hAnsi="宋体" w:cs="宋体"/>
          <w:kern w:val="0"/>
          <w:sz w:val="22"/>
          <w:szCs w:val="22"/>
          <w:highlight w:val="none"/>
          <w:lang w:val="en-US" w:eastAsia="zh-CN"/>
        </w:rPr>
        <w:t>7</w:t>
      </w:r>
      <w:r>
        <w:rPr>
          <w:rFonts w:hint="eastAsia" w:ascii="宋体" w:hAnsi="宋体" w:cs="宋体"/>
          <w:kern w:val="0"/>
          <w:sz w:val="22"/>
          <w:szCs w:val="22"/>
          <w:highlight w:val="none"/>
        </w:rPr>
        <w:t>.本协议书自签署之日起生效，合同履行完毕后自动失效。</w:t>
      </w:r>
    </w:p>
    <w:p>
      <w:pPr>
        <w:autoSpaceDE w:val="0"/>
        <w:autoSpaceDN w:val="0"/>
        <w:adjustRightInd w:val="0"/>
        <w:snapToGrid w:val="0"/>
        <w:spacing w:line="360" w:lineRule="auto"/>
        <w:ind w:firstLine="420"/>
        <w:contextualSpacing/>
        <w:jc w:val="left"/>
        <w:rPr>
          <w:rFonts w:ascii="宋体" w:hAnsi="宋体" w:cs="宋体"/>
          <w:kern w:val="0"/>
          <w:sz w:val="22"/>
          <w:szCs w:val="22"/>
          <w:highlight w:val="none"/>
        </w:rPr>
      </w:pPr>
      <w:r>
        <w:rPr>
          <w:rFonts w:hint="eastAsia" w:ascii="宋体" w:hAnsi="宋体" w:cs="宋体"/>
          <w:kern w:val="0"/>
          <w:sz w:val="22"/>
          <w:szCs w:val="22"/>
          <w:highlight w:val="none"/>
          <w:lang w:val="en-US" w:eastAsia="zh-CN"/>
        </w:rPr>
        <w:t>8</w:t>
      </w:r>
      <w:r>
        <w:rPr>
          <w:rFonts w:hint="eastAsia" w:ascii="宋体" w:hAnsi="宋体" w:cs="宋体"/>
          <w:kern w:val="0"/>
          <w:sz w:val="22"/>
          <w:szCs w:val="22"/>
          <w:highlight w:val="none"/>
        </w:rPr>
        <w:t>.本协议书一式</w:t>
      </w:r>
      <w:r>
        <w:rPr>
          <w:rFonts w:hint="eastAsia" w:ascii="宋体" w:hAnsi="宋体" w:cs="宋体"/>
          <w:kern w:val="0"/>
          <w:sz w:val="22"/>
          <w:szCs w:val="22"/>
          <w:highlight w:val="none"/>
          <w:u w:val="single"/>
          <w:lang w:val="en-US" w:eastAsia="zh-CN"/>
        </w:rPr>
        <w:t xml:space="preserve">     </w:t>
      </w:r>
      <w:r>
        <w:rPr>
          <w:rFonts w:hint="eastAsia" w:ascii="宋体" w:hAnsi="宋体" w:cs="宋体"/>
          <w:kern w:val="0"/>
          <w:sz w:val="22"/>
          <w:szCs w:val="22"/>
          <w:highlight w:val="none"/>
        </w:rPr>
        <w:t>份，联合体成员各执</w:t>
      </w:r>
      <w:r>
        <w:rPr>
          <w:rFonts w:hint="eastAsia" w:ascii="宋体" w:hAnsi="宋体" w:cs="宋体"/>
          <w:kern w:val="0"/>
          <w:sz w:val="22"/>
          <w:szCs w:val="22"/>
          <w:highlight w:val="none"/>
          <w:u w:val="single"/>
          <w:lang w:val="en-US" w:eastAsia="zh-CN"/>
        </w:rPr>
        <w:t xml:space="preserve">     </w:t>
      </w:r>
      <w:r>
        <w:rPr>
          <w:rFonts w:hint="eastAsia" w:ascii="宋体" w:hAnsi="宋体" w:cs="宋体"/>
          <w:kern w:val="0"/>
          <w:sz w:val="22"/>
          <w:szCs w:val="22"/>
          <w:highlight w:val="none"/>
        </w:rPr>
        <w:t>份。</w:t>
      </w:r>
    </w:p>
    <w:p>
      <w:pPr>
        <w:autoSpaceDE w:val="0"/>
        <w:autoSpaceDN w:val="0"/>
        <w:adjustRightInd w:val="0"/>
        <w:snapToGrid w:val="0"/>
        <w:spacing w:line="360" w:lineRule="auto"/>
        <w:ind w:firstLine="420"/>
        <w:contextualSpacing/>
        <w:jc w:val="left"/>
        <w:rPr>
          <w:rFonts w:ascii="宋体" w:hAnsi="宋体" w:cs="宋体"/>
          <w:b/>
          <w:kern w:val="0"/>
          <w:sz w:val="22"/>
          <w:szCs w:val="22"/>
          <w:highlight w:val="none"/>
        </w:rPr>
      </w:pPr>
      <w:r>
        <w:rPr>
          <w:rFonts w:hint="eastAsia" w:ascii="宋体" w:hAnsi="宋体" w:cs="宋体"/>
          <w:b/>
          <w:kern w:val="0"/>
          <w:sz w:val="22"/>
          <w:szCs w:val="22"/>
          <w:highlight w:val="none"/>
        </w:rPr>
        <w:t>注：本协议书由委托代理人签字的，应附法定代表人授权委托书。</w:t>
      </w:r>
    </w:p>
    <w:p>
      <w:pPr>
        <w:autoSpaceDE w:val="0"/>
        <w:autoSpaceDN w:val="0"/>
        <w:adjustRightInd w:val="0"/>
        <w:snapToGrid w:val="0"/>
        <w:spacing w:line="360" w:lineRule="auto"/>
        <w:contextualSpacing/>
        <w:jc w:val="left"/>
        <w:rPr>
          <w:rFonts w:ascii="宋体" w:hAnsi="宋体" w:cs="宋体"/>
          <w:kern w:val="0"/>
          <w:sz w:val="22"/>
          <w:szCs w:val="22"/>
          <w:highlight w:val="none"/>
        </w:rPr>
      </w:pPr>
      <w:r>
        <w:rPr>
          <w:rFonts w:hint="eastAsia" w:ascii="宋体" w:hAnsi="宋体" w:cs="宋体"/>
          <w:kern w:val="0"/>
          <w:sz w:val="22"/>
          <w:szCs w:val="22"/>
          <w:highlight w:val="none"/>
        </w:rPr>
        <w:t>牵头人名称：（盖单位公章）</w:t>
      </w:r>
    </w:p>
    <w:p>
      <w:pPr>
        <w:autoSpaceDE w:val="0"/>
        <w:autoSpaceDN w:val="0"/>
        <w:adjustRightInd w:val="0"/>
        <w:snapToGrid w:val="0"/>
        <w:spacing w:line="360" w:lineRule="auto"/>
        <w:contextualSpacing/>
        <w:jc w:val="left"/>
        <w:rPr>
          <w:rFonts w:ascii="宋体" w:hAnsi="宋体" w:cs="宋体"/>
          <w:kern w:val="0"/>
          <w:sz w:val="22"/>
          <w:szCs w:val="22"/>
          <w:highlight w:val="none"/>
        </w:rPr>
      </w:pPr>
      <w:r>
        <w:rPr>
          <w:rFonts w:hint="eastAsia" w:ascii="宋体" w:hAnsi="宋体" w:cs="宋体"/>
          <w:kern w:val="0"/>
          <w:sz w:val="22"/>
          <w:szCs w:val="22"/>
          <w:highlight w:val="none"/>
        </w:rPr>
        <w:t>法定代表人或其委托代理人：（签字或盖章）</w:t>
      </w:r>
    </w:p>
    <w:p>
      <w:pPr>
        <w:autoSpaceDE w:val="0"/>
        <w:autoSpaceDN w:val="0"/>
        <w:adjustRightInd w:val="0"/>
        <w:snapToGrid w:val="0"/>
        <w:spacing w:line="360" w:lineRule="auto"/>
        <w:contextualSpacing/>
        <w:jc w:val="left"/>
        <w:rPr>
          <w:rFonts w:ascii="宋体" w:hAnsi="宋体" w:cs="宋体"/>
          <w:kern w:val="0"/>
          <w:sz w:val="22"/>
          <w:szCs w:val="22"/>
          <w:highlight w:val="none"/>
        </w:rPr>
      </w:pPr>
      <w:r>
        <w:rPr>
          <w:rFonts w:hint="eastAsia" w:ascii="宋体" w:hAnsi="宋体" w:cs="宋体"/>
          <w:kern w:val="0"/>
          <w:sz w:val="22"/>
          <w:szCs w:val="22"/>
          <w:highlight w:val="none"/>
        </w:rPr>
        <w:t>成员一名称：（盖单位公章）</w:t>
      </w:r>
    </w:p>
    <w:p>
      <w:pPr>
        <w:autoSpaceDE w:val="0"/>
        <w:autoSpaceDN w:val="0"/>
        <w:adjustRightInd w:val="0"/>
        <w:snapToGrid w:val="0"/>
        <w:spacing w:line="360" w:lineRule="auto"/>
        <w:contextualSpacing/>
        <w:jc w:val="left"/>
        <w:rPr>
          <w:rFonts w:ascii="宋体" w:hAnsi="宋体" w:cs="宋体"/>
          <w:kern w:val="0"/>
          <w:sz w:val="22"/>
          <w:szCs w:val="22"/>
          <w:highlight w:val="none"/>
        </w:rPr>
      </w:pPr>
      <w:r>
        <w:rPr>
          <w:rFonts w:hint="eastAsia" w:ascii="宋体" w:hAnsi="宋体" w:cs="宋体"/>
          <w:kern w:val="0"/>
          <w:sz w:val="22"/>
          <w:szCs w:val="22"/>
          <w:highlight w:val="none"/>
        </w:rPr>
        <w:t>法定代表人或其委托代理人：（签字或盖章）</w:t>
      </w:r>
    </w:p>
    <w:p>
      <w:pPr>
        <w:autoSpaceDE w:val="0"/>
        <w:autoSpaceDN w:val="0"/>
        <w:adjustRightInd w:val="0"/>
        <w:snapToGrid w:val="0"/>
        <w:spacing w:line="360" w:lineRule="auto"/>
        <w:contextualSpacing/>
        <w:jc w:val="left"/>
        <w:rPr>
          <w:rFonts w:ascii="宋体" w:hAnsi="宋体" w:cs="宋体"/>
          <w:kern w:val="0"/>
          <w:sz w:val="22"/>
          <w:szCs w:val="22"/>
          <w:highlight w:val="none"/>
        </w:rPr>
      </w:pPr>
      <w:r>
        <w:rPr>
          <w:rFonts w:hint="eastAsia" w:ascii="宋体" w:hAnsi="宋体" w:cs="宋体"/>
          <w:kern w:val="0"/>
          <w:sz w:val="22"/>
          <w:szCs w:val="22"/>
          <w:highlight w:val="none"/>
        </w:rPr>
        <w:t>成员二名称：（盖单位公章）</w:t>
      </w:r>
    </w:p>
    <w:p>
      <w:pPr>
        <w:autoSpaceDE w:val="0"/>
        <w:autoSpaceDN w:val="0"/>
        <w:adjustRightInd w:val="0"/>
        <w:snapToGrid w:val="0"/>
        <w:spacing w:line="360" w:lineRule="auto"/>
        <w:contextualSpacing/>
        <w:jc w:val="left"/>
        <w:rPr>
          <w:rFonts w:ascii="宋体" w:hAnsi="宋体" w:cs="宋体"/>
          <w:kern w:val="0"/>
          <w:sz w:val="22"/>
          <w:szCs w:val="22"/>
          <w:highlight w:val="none"/>
        </w:rPr>
      </w:pPr>
      <w:r>
        <w:rPr>
          <w:rFonts w:hint="eastAsia" w:ascii="宋体" w:hAnsi="宋体" w:cs="宋体"/>
          <w:kern w:val="0"/>
          <w:sz w:val="22"/>
          <w:szCs w:val="22"/>
          <w:highlight w:val="none"/>
        </w:rPr>
        <w:t>法定代表人或其委托代理人：（签字或盖章）</w:t>
      </w:r>
    </w:p>
    <w:p>
      <w:pPr>
        <w:pStyle w:val="22"/>
        <w:snapToGrid w:val="0"/>
        <w:spacing w:line="360" w:lineRule="auto"/>
        <w:contextualSpacing/>
        <w:rPr>
          <w:rFonts w:hAnsi="宋体" w:cs="宋体"/>
          <w:sz w:val="22"/>
          <w:szCs w:val="22"/>
          <w:highlight w:val="none"/>
        </w:rPr>
      </w:pPr>
      <w:r>
        <w:rPr>
          <w:rFonts w:hint="eastAsia" w:hAnsi="宋体" w:cs="宋体"/>
          <w:sz w:val="22"/>
          <w:szCs w:val="22"/>
          <w:highlight w:val="none"/>
        </w:rPr>
        <w:t>......</w:t>
      </w:r>
    </w:p>
    <w:p>
      <w:pPr>
        <w:autoSpaceDE w:val="0"/>
        <w:autoSpaceDN w:val="0"/>
        <w:adjustRightInd w:val="0"/>
        <w:snapToGrid w:val="0"/>
        <w:spacing w:line="360" w:lineRule="auto"/>
        <w:contextualSpacing/>
        <w:jc w:val="left"/>
        <w:rPr>
          <w:rFonts w:ascii="宋体" w:hAnsi="宋体" w:cs="宋体"/>
          <w:kern w:val="0"/>
          <w:sz w:val="22"/>
          <w:szCs w:val="22"/>
          <w:highlight w:val="none"/>
        </w:rPr>
      </w:pPr>
      <w:r>
        <w:rPr>
          <w:rFonts w:hint="eastAsia" w:ascii="宋体" w:hAnsi="宋体" w:cs="宋体"/>
          <w:kern w:val="0"/>
          <w:sz w:val="22"/>
          <w:szCs w:val="22"/>
          <w:highlight w:val="none"/>
        </w:rPr>
        <w:t xml:space="preserve">        年    月    日</w:t>
      </w:r>
    </w:p>
    <w:p>
      <w:pPr>
        <w:snapToGrid w:val="0"/>
        <w:spacing w:line="360" w:lineRule="auto"/>
        <w:outlineLvl w:val="2"/>
        <w:rPr>
          <w:rFonts w:ascii="宋体" w:hAnsi="宋体"/>
          <w:b/>
          <w:bCs/>
          <w:sz w:val="24"/>
          <w:highlight w:val="none"/>
        </w:rPr>
      </w:pPr>
    </w:p>
    <w:p>
      <w:pPr>
        <w:snapToGrid w:val="0"/>
        <w:spacing w:line="360" w:lineRule="auto"/>
        <w:outlineLvl w:val="2"/>
        <w:rPr>
          <w:rFonts w:ascii="宋体" w:hAnsi="宋体"/>
          <w:b/>
          <w:bCs/>
          <w:sz w:val="24"/>
          <w:highlight w:val="none"/>
        </w:rPr>
      </w:pPr>
      <w:r>
        <w:rPr>
          <w:rFonts w:ascii="宋体" w:hAnsi="宋体"/>
          <w:b/>
          <w:bCs/>
          <w:sz w:val="24"/>
          <w:highlight w:val="none"/>
        </w:rPr>
        <w:br w:type="page"/>
      </w:r>
      <w:r>
        <w:rPr>
          <w:rFonts w:ascii="宋体" w:hAnsi="宋体"/>
          <w:b/>
          <w:bCs/>
          <w:sz w:val="24"/>
          <w:highlight w:val="none"/>
        </w:rPr>
        <w:t>B</w:t>
      </w:r>
      <w:r>
        <w:rPr>
          <w:rFonts w:hint="eastAsia" w:ascii="宋体" w:hAnsi="宋体"/>
          <w:b/>
          <w:bCs/>
          <w:sz w:val="24"/>
          <w:highlight w:val="none"/>
        </w:rPr>
        <w:t>.商务</w:t>
      </w:r>
      <w:r>
        <w:rPr>
          <w:rFonts w:ascii="宋体" w:hAnsi="宋体"/>
          <w:b/>
          <w:bCs/>
          <w:sz w:val="24"/>
          <w:highlight w:val="none"/>
        </w:rPr>
        <w:t>技术标（单独密封）</w:t>
      </w:r>
    </w:p>
    <w:p>
      <w:pPr>
        <w:snapToGrid w:val="0"/>
        <w:spacing w:line="360" w:lineRule="auto"/>
        <w:jc w:val="center"/>
        <w:outlineLvl w:val="3"/>
        <w:rPr>
          <w:rFonts w:ascii="宋体" w:hAnsi="宋体"/>
          <w:b/>
          <w:bCs/>
          <w:sz w:val="24"/>
          <w:highlight w:val="none"/>
        </w:rPr>
      </w:pPr>
      <w:r>
        <w:rPr>
          <w:rFonts w:ascii="宋体" w:hAnsi="宋体"/>
          <w:b/>
          <w:bCs/>
          <w:sz w:val="24"/>
          <w:highlight w:val="none"/>
        </w:rPr>
        <w:t>1</w:t>
      </w:r>
      <w:r>
        <w:rPr>
          <w:rFonts w:hint="eastAsia" w:ascii="宋体" w:hAnsi="宋体"/>
          <w:b/>
          <w:bCs/>
          <w:sz w:val="24"/>
          <w:highlight w:val="none"/>
        </w:rPr>
        <w:t>.</w:t>
      </w:r>
      <w:r>
        <w:rPr>
          <w:rFonts w:ascii="宋体" w:hAnsi="宋体"/>
          <w:b/>
          <w:bCs/>
          <w:sz w:val="24"/>
          <w:highlight w:val="none"/>
        </w:rPr>
        <w:t>投标响应函（</w:t>
      </w:r>
      <w:r>
        <w:rPr>
          <w:rFonts w:ascii="宋体" w:hAnsi="宋体"/>
          <w:b/>
          <w:bCs/>
          <w:sz w:val="24"/>
          <w:highlight w:val="none"/>
          <w:u w:val="single"/>
        </w:rPr>
        <w:t>格式不得变动</w:t>
      </w:r>
      <w:r>
        <w:rPr>
          <w:rFonts w:ascii="宋体" w:hAnsi="宋体"/>
          <w:b/>
          <w:bCs/>
          <w:sz w:val="24"/>
          <w:highlight w:val="none"/>
        </w:rPr>
        <w:t>）</w:t>
      </w:r>
    </w:p>
    <w:p>
      <w:pPr>
        <w:overflowPunct w:val="0"/>
        <w:adjustRightInd w:val="0"/>
        <w:spacing w:line="440" w:lineRule="exact"/>
        <w:jc w:val="left"/>
        <w:textAlignment w:val="baseline"/>
        <w:rPr>
          <w:rFonts w:ascii="宋体" w:hAnsi="宋体" w:cs="宋体"/>
          <w:sz w:val="24"/>
          <w:highlight w:val="none"/>
        </w:rPr>
      </w:pPr>
      <w:r>
        <w:rPr>
          <w:rFonts w:hint="eastAsia" w:ascii="宋体" w:hAnsi="宋体" w:cs="宋体"/>
          <w:sz w:val="24"/>
          <w:highlight w:val="none"/>
          <w:u w:val="single"/>
        </w:rPr>
        <w:t>南通市工业和信息化局</w:t>
      </w:r>
      <w:r>
        <w:rPr>
          <w:rFonts w:hint="eastAsia" w:ascii="宋体" w:hAnsi="宋体" w:cs="宋体"/>
          <w:sz w:val="24"/>
          <w:highlight w:val="none"/>
        </w:rPr>
        <w:t>：</w:t>
      </w:r>
    </w:p>
    <w:p>
      <w:pPr>
        <w:snapToGrid w:val="0"/>
        <w:spacing w:line="440" w:lineRule="exact"/>
        <w:ind w:firstLine="480" w:firstLineChars="200"/>
        <w:contextualSpacing/>
        <w:rPr>
          <w:sz w:val="24"/>
          <w:highlight w:val="none"/>
        </w:rPr>
      </w:pPr>
      <w:r>
        <w:rPr>
          <w:sz w:val="24"/>
          <w:highlight w:val="none"/>
        </w:rPr>
        <w:t>依据贵单位（招标项目名称</w:t>
      </w:r>
      <w:r>
        <w:rPr>
          <w:rFonts w:hint="eastAsia"/>
          <w:sz w:val="24"/>
          <w:highlight w:val="none"/>
        </w:rPr>
        <w:t>及全部所投标段号、</w:t>
      </w:r>
      <w:r>
        <w:rPr>
          <w:sz w:val="24"/>
          <w:highlight w:val="none"/>
        </w:rPr>
        <w:t>项目编号)项目公开招标采购的邀请，我方授权（姓名）（职务）为全权代表参加该项目的投标工作，全权处理本次投标的有关事宜。同时，我公司声明如下：</w:t>
      </w:r>
    </w:p>
    <w:p>
      <w:pPr>
        <w:snapToGrid w:val="0"/>
        <w:spacing w:line="520" w:lineRule="exact"/>
        <w:ind w:firstLine="480" w:firstLineChars="200"/>
        <w:rPr>
          <w:rFonts w:ascii="宋体"/>
          <w:sz w:val="24"/>
          <w:highlight w:val="none"/>
        </w:rPr>
      </w:pPr>
      <w:r>
        <w:rPr>
          <w:rFonts w:hint="eastAsia" w:ascii="宋体" w:hAnsi="宋体" w:cs="宋体"/>
          <w:sz w:val="24"/>
          <w:highlight w:val="none"/>
        </w:rPr>
        <w:t>1、我方同意并接受招标文件的各项要求，遵守招标文件中的各项规定，按招标文件的要求提供报价。</w:t>
      </w:r>
    </w:p>
    <w:p>
      <w:pPr>
        <w:snapToGrid w:val="0"/>
        <w:spacing w:line="440" w:lineRule="exact"/>
        <w:ind w:firstLine="480" w:firstLineChars="200"/>
        <w:contextualSpacing/>
        <w:rPr>
          <w:sz w:val="24"/>
          <w:highlight w:val="none"/>
        </w:rPr>
      </w:pPr>
      <w:r>
        <w:rPr>
          <w:sz w:val="24"/>
          <w:highlight w:val="none"/>
        </w:rPr>
        <w:t>2、我方已经详细审查了全部招标文件，我方已完全清晰理解招标文件的要求，不存在任何含糊不清和误解之处，同意放弃对这些文件所提出的异议和质疑的权利。</w:t>
      </w:r>
    </w:p>
    <w:p>
      <w:pPr>
        <w:snapToGrid w:val="0"/>
        <w:spacing w:line="440" w:lineRule="exact"/>
        <w:ind w:firstLine="480" w:firstLineChars="200"/>
        <w:contextualSpacing/>
        <w:rPr>
          <w:sz w:val="24"/>
          <w:highlight w:val="none"/>
        </w:rPr>
      </w:pPr>
      <w:r>
        <w:rPr>
          <w:sz w:val="24"/>
          <w:highlight w:val="none"/>
        </w:rPr>
        <w:t>3、我方愿意提供采购人在招标文件中要求的所有资料。</w:t>
      </w:r>
    </w:p>
    <w:p>
      <w:pPr>
        <w:snapToGrid w:val="0"/>
        <w:spacing w:line="440" w:lineRule="exact"/>
        <w:ind w:firstLine="480" w:firstLineChars="200"/>
        <w:contextualSpacing/>
        <w:rPr>
          <w:sz w:val="24"/>
          <w:highlight w:val="none"/>
        </w:rPr>
      </w:pPr>
      <w:r>
        <w:rPr>
          <w:sz w:val="24"/>
          <w:highlight w:val="none"/>
        </w:rPr>
        <w:t>4、我方承诺在本次招标响应中提供的一切文件，无论是原件还是复印件均真实有效，绝无任何虚假、伪造和夸大的成份。否则，愿承担相应的后果和法律责任。</w:t>
      </w:r>
    </w:p>
    <w:p>
      <w:pPr>
        <w:snapToGrid w:val="0"/>
        <w:spacing w:line="440" w:lineRule="exact"/>
        <w:ind w:firstLine="480" w:firstLineChars="200"/>
        <w:contextualSpacing/>
        <w:rPr>
          <w:sz w:val="24"/>
          <w:highlight w:val="none"/>
        </w:rPr>
      </w:pPr>
      <w:r>
        <w:rPr>
          <w:sz w:val="24"/>
          <w:highlight w:val="none"/>
        </w:rPr>
        <w:t>5、我方尊重评标委员会所作的评定结果，同时也清楚理解到投标报价最低并非意味着必定获得中标资格。</w:t>
      </w:r>
    </w:p>
    <w:p>
      <w:pPr>
        <w:snapToGrid w:val="0"/>
        <w:spacing w:line="440" w:lineRule="exact"/>
        <w:ind w:firstLine="480" w:firstLineChars="200"/>
        <w:contextualSpacing/>
        <w:rPr>
          <w:sz w:val="24"/>
          <w:highlight w:val="none"/>
        </w:rPr>
      </w:pPr>
      <w:r>
        <w:rPr>
          <w:rFonts w:hint="eastAsia"/>
          <w:sz w:val="24"/>
          <w:highlight w:val="none"/>
        </w:rPr>
        <w:t>6</w:t>
      </w:r>
      <w:r>
        <w:rPr>
          <w:sz w:val="24"/>
          <w:highlight w:val="none"/>
        </w:rPr>
        <w:t xml:space="preserve">、一旦我方成交，我方将根据招标文件的规定，严格履行招标文件中规定的每一项要求，按期、按质、按量履行合同的义务。 </w:t>
      </w:r>
    </w:p>
    <w:p>
      <w:pPr>
        <w:snapToGrid w:val="0"/>
        <w:spacing w:line="440" w:lineRule="exact"/>
        <w:ind w:firstLine="480" w:firstLineChars="200"/>
        <w:contextualSpacing/>
        <w:jc w:val="right"/>
        <w:rPr>
          <w:sz w:val="24"/>
          <w:highlight w:val="none"/>
        </w:rPr>
      </w:pPr>
    </w:p>
    <w:p>
      <w:pPr>
        <w:snapToGrid w:val="0"/>
        <w:spacing w:line="440" w:lineRule="exact"/>
        <w:ind w:firstLine="480" w:firstLineChars="200"/>
        <w:contextualSpacing/>
        <w:jc w:val="right"/>
        <w:rPr>
          <w:sz w:val="24"/>
          <w:highlight w:val="none"/>
        </w:rPr>
      </w:pPr>
      <w:r>
        <w:rPr>
          <w:sz w:val="24"/>
          <w:highlight w:val="none"/>
        </w:rPr>
        <w:t>投标供应商：（加盖公章）</w:t>
      </w:r>
    </w:p>
    <w:p>
      <w:pPr>
        <w:snapToGrid w:val="0"/>
        <w:spacing w:line="440" w:lineRule="exact"/>
        <w:ind w:firstLine="480" w:firstLineChars="200"/>
        <w:contextualSpacing/>
        <w:jc w:val="right"/>
        <w:rPr>
          <w:sz w:val="24"/>
          <w:highlight w:val="none"/>
        </w:rPr>
      </w:pPr>
      <w:r>
        <w:rPr>
          <w:sz w:val="24"/>
          <w:highlight w:val="none"/>
        </w:rPr>
        <w:t>法定代表人或被授权人：（签字或盖章）</w:t>
      </w:r>
    </w:p>
    <w:p>
      <w:pPr>
        <w:snapToGrid w:val="0"/>
        <w:spacing w:line="440" w:lineRule="exact"/>
        <w:ind w:firstLine="480" w:firstLineChars="200"/>
        <w:contextualSpacing/>
        <w:jc w:val="right"/>
        <w:rPr>
          <w:sz w:val="24"/>
          <w:highlight w:val="none"/>
        </w:rPr>
      </w:pPr>
      <w:r>
        <w:rPr>
          <w:sz w:val="24"/>
          <w:highlight w:val="none"/>
        </w:rPr>
        <w:t>年      月     日</w:t>
      </w:r>
    </w:p>
    <w:p>
      <w:pPr>
        <w:spacing w:line="480" w:lineRule="exact"/>
        <w:jc w:val="center"/>
        <w:rPr>
          <w:b/>
          <w:sz w:val="28"/>
          <w:szCs w:val="28"/>
          <w:highlight w:val="none"/>
        </w:rPr>
      </w:pPr>
    </w:p>
    <w:p>
      <w:pPr>
        <w:spacing w:line="480" w:lineRule="exact"/>
        <w:jc w:val="center"/>
        <w:rPr>
          <w:b/>
          <w:sz w:val="28"/>
          <w:szCs w:val="28"/>
          <w:highlight w:val="none"/>
        </w:rPr>
      </w:pPr>
    </w:p>
    <w:p>
      <w:pPr>
        <w:spacing w:line="480" w:lineRule="exact"/>
        <w:jc w:val="center"/>
        <w:rPr>
          <w:b/>
          <w:sz w:val="28"/>
          <w:szCs w:val="28"/>
          <w:highlight w:val="none"/>
        </w:rPr>
      </w:pPr>
    </w:p>
    <w:p>
      <w:pPr>
        <w:spacing w:line="480" w:lineRule="exact"/>
        <w:jc w:val="center"/>
        <w:rPr>
          <w:b/>
          <w:sz w:val="28"/>
          <w:szCs w:val="28"/>
          <w:highlight w:val="none"/>
        </w:rPr>
      </w:pPr>
    </w:p>
    <w:p>
      <w:pPr>
        <w:spacing w:line="480" w:lineRule="exact"/>
        <w:jc w:val="center"/>
        <w:rPr>
          <w:b/>
          <w:sz w:val="28"/>
          <w:szCs w:val="28"/>
          <w:highlight w:val="none"/>
        </w:rPr>
      </w:pPr>
    </w:p>
    <w:p>
      <w:pPr>
        <w:spacing w:line="480" w:lineRule="exact"/>
        <w:jc w:val="center"/>
        <w:rPr>
          <w:b/>
          <w:sz w:val="28"/>
          <w:szCs w:val="28"/>
          <w:highlight w:val="none"/>
        </w:rPr>
      </w:pPr>
    </w:p>
    <w:p>
      <w:pPr>
        <w:spacing w:line="480" w:lineRule="exact"/>
        <w:rPr>
          <w:b/>
          <w:sz w:val="28"/>
          <w:szCs w:val="28"/>
          <w:highlight w:val="none"/>
        </w:rPr>
      </w:pPr>
    </w:p>
    <w:p>
      <w:pPr>
        <w:snapToGrid w:val="0"/>
        <w:spacing w:line="520" w:lineRule="exact"/>
        <w:jc w:val="center"/>
        <w:outlineLvl w:val="3"/>
        <w:rPr>
          <w:rFonts w:ascii="宋体" w:hAnsi="宋体" w:cs="宋体"/>
          <w:b/>
          <w:bCs/>
          <w:sz w:val="24"/>
          <w:highlight w:val="none"/>
        </w:rPr>
      </w:pPr>
      <w:r>
        <w:rPr>
          <w:rFonts w:hint="eastAsia" w:ascii="宋体" w:hAnsi="宋体" w:cs="宋体"/>
          <w:b/>
          <w:bCs/>
          <w:sz w:val="24"/>
          <w:highlight w:val="none"/>
        </w:rPr>
        <w:t>2.供应商一般情况表</w:t>
      </w:r>
    </w:p>
    <w:tbl>
      <w:tblPr>
        <w:tblStyle w:val="4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35"/>
        <w:gridCol w:w="708"/>
        <w:gridCol w:w="851"/>
        <w:gridCol w:w="849"/>
        <w:gridCol w:w="568"/>
        <w:gridCol w:w="1307"/>
        <w:gridCol w:w="159"/>
        <w:gridCol w:w="1320"/>
        <w:gridCol w:w="146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6" w:hRule="atLeast"/>
          <w:jc w:val="center"/>
        </w:trPr>
        <w:tc>
          <w:tcPr>
            <w:tcW w:w="2235" w:type="dxa"/>
            <w:vAlign w:val="center"/>
          </w:tcPr>
          <w:p>
            <w:pPr>
              <w:tabs>
                <w:tab w:val="left" w:pos="993"/>
              </w:tabs>
              <w:spacing w:line="520" w:lineRule="exact"/>
              <w:jc w:val="center"/>
              <w:rPr>
                <w:rFonts w:ascii="宋体" w:hAnsi="宋体" w:cs="宋体"/>
                <w:sz w:val="24"/>
                <w:highlight w:val="none"/>
              </w:rPr>
            </w:pPr>
            <w:r>
              <w:rPr>
                <w:rFonts w:hint="eastAsia" w:ascii="宋体" w:hAnsi="宋体" w:cs="宋体"/>
                <w:sz w:val="24"/>
                <w:highlight w:val="none"/>
              </w:rPr>
              <w:t>企业名称</w:t>
            </w:r>
          </w:p>
        </w:tc>
        <w:tc>
          <w:tcPr>
            <w:tcW w:w="7229" w:type="dxa"/>
            <w:gridSpan w:val="8"/>
          </w:tcPr>
          <w:p>
            <w:pPr>
              <w:tabs>
                <w:tab w:val="left" w:pos="993"/>
              </w:tabs>
              <w:spacing w:line="520" w:lineRule="exact"/>
              <w:rPr>
                <w:rFonts w:ascii="宋体" w:hAnsi="宋体" w:cs="宋体"/>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235" w:type="dxa"/>
            <w:vAlign w:val="center"/>
          </w:tcPr>
          <w:p>
            <w:pPr>
              <w:tabs>
                <w:tab w:val="left" w:pos="993"/>
              </w:tabs>
              <w:spacing w:line="520" w:lineRule="exact"/>
              <w:jc w:val="center"/>
              <w:rPr>
                <w:rFonts w:ascii="宋体" w:hAnsi="宋体" w:cs="宋体"/>
                <w:sz w:val="24"/>
                <w:highlight w:val="none"/>
              </w:rPr>
            </w:pPr>
            <w:r>
              <w:rPr>
                <w:rFonts w:hint="eastAsia" w:ascii="宋体" w:hAnsi="宋体" w:cs="宋体"/>
                <w:sz w:val="24"/>
                <w:highlight w:val="none"/>
              </w:rPr>
              <w:t>总部地址</w:t>
            </w:r>
          </w:p>
        </w:tc>
        <w:tc>
          <w:tcPr>
            <w:tcW w:w="7229" w:type="dxa"/>
            <w:gridSpan w:val="8"/>
          </w:tcPr>
          <w:p>
            <w:pPr>
              <w:tabs>
                <w:tab w:val="left" w:pos="993"/>
              </w:tabs>
              <w:spacing w:line="520" w:lineRule="exact"/>
              <w:rPr>
                <w:rFonts w:ascii="宋体" w:hAnsi="宋体" w:cs="宋体"/>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235" w:type="dxa"/>
            <w:vAlign w:val="center"/>
          </w:tcPr>
          <w:p>
            <w:pPr>
              <w:tabs>
                <w:tab w:val="left" w:pos="993"/>
              </w:tabs>
              <w:spacing w:line="520" w:lineRule="exact"/>
              <w:jc w:val="center"/>
              <w:rPr>
                <w:rFonts w:ascii="宋体" w:hAnsi="宋体" w:cs="宋体"/>
                <w:sz w:val="24"/>
                <w:highlight w:val="none"/>
              </w:rPr>
            </w:pPr>
            <w:r>
              <w:rPr>
                <w:rFonts w:hint="eastAsia" w:ascii="宋体" w:hAnsi="宋体" w:cs="宋体"/>
                <w:sz w:val="24"/>
                <w:highlight w:val="none"/>
              </w:rPr>
              <w:t>分支机构</w:t>
            </w:r>
          </w:p>
        </w:tc>
        <w:tc>
          <w:tcPr>
            <w:tcW w:w="7229" w:type="dxa"/>
            <w:gridSpan w:val="8"/>
          </w:tcPr>
          <w:p>
            <w:pPr>
              <w:tabs>
                <w:tab w:val="left" w:pos="993"/>
              </w:tabs>
              <w:spacing w:line="520" w:lineRule="exact"/>
              <w:rPr>
                <w:rFonts w:ascii="宋体" w:hAnsi="宋体" w:cs="宋体"/>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235" w:type="dxa"/>
            <w:vAlign w:val="center"/>
          </w:tcPr>
          <w:p>
            <w:pPr>
              <w:tabs>
                <w:tab w:val="left" w:pos="993"/>
              </w:tabs>
              <w:spacing w:line="520" w:lineRule="exact"/>
              <w:jc w:val="center"/>
              <w:rPr>
                <w:rFonts w:ascii="宋体" w:hAnsi="宋体" w:cs="宋体"/>
                <w:sz w:val="24"/>
                <w:highlight w:val="none"/>
              </w:rPr>
            </w:pPr>
            <w:r>
              <w:rPr>
                <w:rFonts w:hint="eastAsia" w:ascii="宋体" w:hAnsi="宋体" w:cs="宋体"/>
                <w:sz w:val="24"/>
                <w:highlight w:val="none"/>
              </w:rPr>
              <w:t>当地代表处地址</w:t>
            </w:r>
          </w:p>
        </w:tc>
        <w:tc>
          <w:tcPr>
            <w:tcW w:w="7229" w:type="dxa"/>
            <w:gridSpan w:val="8"/>
          </w:tcPr>
          <w:p>
            <w:pPr>
              <w:tabs>
                <w:tab w:val="left" w:pos="993"/>
              </w:tabs>
              <w:spacing w:line="520" w:lineRule="exact"/>
              <w:rPr>
                <w:rFonts w:ascii="宋体" w:hAnsi="宋体" w:cs="宋体"/>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35" w:type="dxa"/>
            <w:vAlign w:val="center"/>
          </w:tcPr>
          <w:p>
            <w:pPr>
              <w:tabs>
                <w:tab w:val="left" w:pos="993"/>
              </w:tabs>
              <w:spacing w:line="520" w:lineRule="exact"/>
              <w:jc w:val="center"/>
              <w:rPr>
                <w:rFonts w:ascii="宋体" w:hAnsi="宋体" w:cs="宋体"/>
                <w:sz w:val="24"/>
                <w:highlight w:val="none"/>
              </w:rPr>
            </w:pPr>
            <w:r>
              <w:rPr>
                <w:rFonts w:hint="eastAsia" w:ascii="宋体" w:hAnsi="宋体" w:cs="宋体"/>
                <w:sz w:val="24"/>
                <w:highlight w:val="none"/>
              </w:rPr>
              <w:t>电话</w:t>
            </w:r>
          </w:p>
        </w:tc>
        <w:tc>
          <w:tcPr>
            <w:tcW w:w="2408" w:type="dxa"/>
            <w:gridSpan w:val="3"/>
          </w:tcPr>
          <w:p>
            <w:pPr>
              <w:tabs>
                <w:tab w:val="left" w:pos="993"/>
              </w:tabs>
              <w:spacing w:line="520" w:lineRule="exact"/>
              <w:rPr>
                <w:rFonts w:ascii="宋体" w:hAnsi="宋体" w:cs="宋体"/>
                <w:sz w:val="24"/>
                <w:highlight w:val="none"/>
              </w:rPr>
            </w:pPr>
          </w:p>
        </w:tc>
        <w:tc>
          <w:tcPr>
            <w:tcW w:w="1875" w:type="dxa"/>
            <w:gridSpan w:val="2"/>
          </w:tcPr>
          <w:p>
            <w:pPr>
              <w:tabs>
                <w:tab w:val="left" w:pos="993"/>
              </w:tabs>
              <w:spacing w:line="520" w:lineRule="exact"/>
              <w:rPr>
                <w:rFonts w:ascii="宋体" w:hAnsi="宋体" w:cs="宋体"/>
                <w:sz w:val="24"/>
                <w:highlight w:val="none"/>
              </w:rPr>
            </w:pPr>
            <w:r>
              <w:rPr>
                <w:rFonts w:hint="eastAsia" w:ascii="宋体" w:hAnsi="宋体" w:cs="宋体"/>
                <w:sz w:val="24"/>
                <w:highlight w:val="none"/>
              </w:rPr>
              <w:t>联系人</w:t>
            </w:r>
          </w:p>
        </w:tc>
        <w:tc>
          <w:tcPr>
            <w:tcW w:w="2946" w:type="dxa"/>
            <w:gridSpan w:val="3"/>
          </w:tcPr>
          <w:p>
            <w:pPr>
              <w:tabs>
                <w:tab w:val="left" w:pos="993"/>
              </w:tabs>
              <w:spacing w:line="520" w:lineRule="exact"/>
              <w:rPr>
                <w:rFonts w:ascii="宋体" w:hAnsi="宋体" w:cs="宋体"/>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35" w:type="dxa"/>
            <w:vAlign w:val="center"/>
          </w:tcPr>
          <w:p>
            <w:pPr>
              <w:tabs>
                <w:tab w:val="left" w:pos="993"/>
              </w:tabs>
              <w:spacing w:line="520" w:lineRule="exact"/>
              <w:jc w:val="center"/>
              <w:rPr>
                <w:rFonts w:ascii="宋体" w:hAnsi="宋体" w:cs="宋体"/>
                <w:sz w:val="24"/>
                <w:highlight w:val="none"/>
              </w:rPr>
            </w:pPr>
            <w:r>
              <w:rPr>
                <w:rFonts w:hint="eastAsia" w:ascii="宋体" w:hAnsi="宋体" w:cs="宋体"/>
                <w:sz w:val="24"/>
                <w:highlight w:val="none"/>
              </w:rPr>
              <w:t>传真</w:t>
            </w:r>
          </w:p>
        </w:tc>
        <w:tc>
          <w:tcPr>
            <w:tcW w:w="2408" w:type="dxa"/>
            <w:gridSpan w:val="3"/>
          </w:tcPr>
          <w:p>
            <w:pPr>
              <w:tabs>
                <w:tab w:val="left" w:pos="993"/>
              </w:tabs>
              <w:spacing w:line="520" w:lineRule="exact"/>
              <w:rPr>
                <w:rFonts w:ascii="宋体" w:hAnsi="宋体" w:cs="宋体"/>
                <w:sz w:val="24"/>
                <w:highlight w:val="none"/>
              </w:rPr>
            </w:pPr>
          </w:p>
        </w:tc>
        <w:tc>
          <w:tcPr>
            <w:tcW w:w="1875" w:type="dxa"/>
            <w:gridSpan w:val="2"/>
          </w:tcPr>
          <w:p>
            <w:pPr>
              <w:tabs>
                <w:tab w:val="left" w:pos="993"/>
              </w:tabs>
              <w:spacing w:line="520" w:lineRule="exact"/>
              <w:rPr>
                <w:rFonts w:ascii="宋体" w:hAnsi="宋体" w:cs="宋体"/>
                <w:sz w:val="24"/>
                <w:highlight w:val="none"/>
              </w:rPr>
            </w:pPr>
            <w:r>
              <w:rPr>
                <w:rFonts w:hint="eastAsia" w:ascii="宋体" w:hAnsi="宋体" w:cs="宋体"/>
                <w:sz w:val="24"/>
                <w:highlight w:val="none"/>
              </w:rPr>
              <w:t>电子邮件</w:t>
            </w:r>
          </w:p>
        </w:tc>
        <w:tc>
          <w:tcPr>
            <w:tcW w:w="2946" w:type="dxa"/>
            <w:gridSpan w:val="3"/>
          </w:tcPr>
          <w:p>
            <w:pPr>
              <w:tabs>
                <w:tab w:val="left" w:pos="993"/>
              </w:tabs>
              <w:spacing w:line="520" w:lineRule="exact"/>
              <w:rPr>
                <w:rFonts w:ascii="宋体" w:hAnsi="宋体" w:cs="宋体"/>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35" w:type="dxa"/>
            <w:vAlign w:val="center"/>
          </w:tcPr>
          <w:p>
            <w:pPr>
              <w:tabs>
                <w:tab w:val="left" w:pos="993"/>
              </w:tabs>
              <w:spacing w:line="520" w:lineRule="exact"/>
              <w:jc w:val="center"/>
              <w:rPr>
                <w:rFonts w:ascii="宋体" w:hAnsi="宋体" w:cs="宋体"/>
                <w:sz w:val="24"/>
                <w:highlight w:val="none"/>
              </w:rPr>
            </w:pPr>
            <w:r>
              <w:rPr>
                <w:rFonts w:hint="eastAsia" w:ascii="宋体" w:hAnsi="宋体" w:cs="宋体"/>
                <w:sz w:val="24"/>
                <w:highlight w:val="none"/>
              </w:rPr>
              <w:t>注册地</w:t>
            </w:r>
          </w:p>
        </w:tc>
        <w:tc>
          <w:tcPr>
            <w:tcW w:w="2408" w:type="dxa"/>
            <w:gridSpan w:val="3"/>
          </w:tcPr>
          <w:p>
            <w:pPr>
              <w:tabs>
                <w:tab w:val="left" w:pos="993"/>
              </w:tabs>
              <w:spacing w:line="520" w:lineRule="exact"/>
              <w:rPr>
                <w:rFonts w:ascii="宋体" w:hAnsi="宋体" w:cs="宋体"/>
                <w:sz w:val="24"/>
                <w:highlight w:val="none"/>
              </w:rPr>
            </w:pPr>
          </w:p>
        </w:tc>
        <w:tc>
          <w:tcPr>
            <w:tcW w:w="1875" w:type="dxa"/>
            <w:gridSpan w:val="2"/>
          </w:tcPr>
          <w:p>
            <w:pPr>
              <w:tabs>
                <w:tab w:val="left" w:pos="993"/>
              </w:tabs>
              <w:spacing w:line="520" w:lineRule="exact"/>
              <w:rPr>
                <w:rFonts w:ascii="宋体" w:hAnsi="宋体" w:cs="宋体"/>
                <w:sz w:val="24"/>
                <w:highlight w:val="none"/>
              </w:rPr>
            </w:pPr>
            <w:r>
              <w:rPr>
                <w:rFonts w:hint="eastAsia" w:ascii="宋体" w:hAnsi="宋体" w:cs="宋体"/>
                <w:sz w:val="24"/>
                <w:highlight w:val="none"/>
              </w:rPr>
              <w:t>注册年份</w:t>
            </w:r>
          </w:p>
        </w:tc>
        <w:tc>
          <w:tcPr>
            <w:tcW w:w="2946" w:type="dxa"/>
            <w:gridSpan w:val="3"/>
          </w:tcPr>
          <w:p>
            <w:pPr>
              <w:tabs>
                <w:tab w:val="left" w:pos="993"/>
              </w:tabs>
              <w:spacing w:line="520" w:lineRule="exact"/>
              <w:rPr>
                <w:rFonts w:ascii="宋体" w:hAnsi="宋体" w:cs="宋体"/>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235" w:type="dxa"/>
            <w:vAlign w:val="center"/>
          </w:tcPr>
          <w:p>
            <w:pPr>
              <w:tabs>
                <w:tab w:val="left" w:pos="993"/>
              </w:tabs>
              <w:spacing w:line="520" w:lineRule="exact"/>
              <w:jc w:val="center"/>
              <w:rPr>
                <w:rFonts w:ascii="宋体" w:hAnsi="宋体" w:cs="宋体"/>
                <w:sz w:val="24"/>
                <w:highlight w:val="none"/>
              </w:rPr>
            </w:pPr>
            <w:r>
              <w:rPr>
                <w:rFonts w:hint="eastAsia" w:ascii="宋体" w:hAnsi="宋体" w:cs="宋体"/>
                <w:sz w:val="24"/>
                <w:highlight w:val="none"/>
              </w:rPr>
              <w:t>资质等级</w:t>
            </w:r>
          </w:p>
        </w:tc>
        <w:tc>
          <w:tcPr>
            <w:tcW w:w="7229" w:type="dxa"/>
            <w:gridSpan w:val="8"/>
          </w:tcPr>
          <w:p>
            <w:pPr>
              <w:tabs>
                <w:tab w:val="left" w:pos="993"/>
              </w:tabs>
              <w:spacing w:line="520" w:lineRule="exact"/>
              <w:rPr>
                <w:rFonts w:ascii="宋体" w:hAnsi="宋体" w:cs="宋体"/>
                <w:sz w:val="24"/>
                <w:highlight w:val="none"/>
              </w:rPr>
            </w:pPr>
            <w:r>
              <w:rPr>
                <w:rFonts w:hint="eastAsia" w:ascii="宋体" w:hAnsi="宋体" w:cs="宋体"/>
                <w:sz w:val="24"/>
                <w:highlight w:val="none"/>
              </w:rPr>
              <w:t>公司具备的相关资质等级及相应的证书号</w:t>
            </w:r>
          </w:p>
          <w:p>
            <w:pPr>
              <w:tabs>
                <w:tab w:val="left" w:pos="993"/>
              </w:tabs>
              <w:spacing w:line="520" w:lineRule="exact"/>
              <w:rPr>
                <w:rFonts w:ascii="宋体" w:hAnsi="宋体" w:cs="宋体"/>
                <w:sz w:val="24"/>
                <w:highlight w:val="none"/>
              </w:rPr>
            </w:pPr>
            <w:r>
              <w:rPr>
                <w:rFonts w:hint="eastAsia" w:ascii="宋体" w:hAnsi="宋体" w:cs="宋体"/>
                <w:sz w:val="24"/>
                <w:highlight w:val="none"/>
              </w:rPr>
              <w:t>（请附有关证书的复印件）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235" w:type="dxa"/>
            <w:vAlign w:val="center"/>
          </w:tcPr>
          <w:p>
            <w:pPr>
              <w:tabs>
                <w:tab w:val="left" w:pos="993"/>
              </w:tabs>
              <w:spacing w:line="520" w:lineRule="exact"/>
              <w:jc w:val="center"/>
              <w:rPr>
                <w:rFonts w:ascii="宋体" w:hAnsi="宋体" w:cs="宋体"/>
                <w:sz w:val="24"/>
                <w:highlight w:val="none"/>
              </w:rPr>
            </w:pPr>
            <w:r>
              <w:rPr>
                <w:rFonts w:hint="eastAsia" w:ascii="宋体" w:hAnsi="宋体" w:cs="宋体"/>
                <w:sz w:val="24"/>
                <w:highlight w:val="none"/>
              </w:rPr>
              <w:t>质量管理体系</w:t>
            </w:r>
          </w:p>
        </w:tc>
        <w:tc>
          <w:tcPr>
            <w:tcW w:w="7229" w:type="dxa"/>
            <w:gridSpan w:val="8"/>
          </w:tcPr>
          <w:p>
            <w:pPr>
              <w:tabs>
                <w:tab w:val="left" w:pos="993"/>
              </w:tabs>
              <w:spacing w:line="520" w:lineRule="exact"/>
              <w:rPr>
                <w:rFonts w:ascii="宋体" w:hAnsi="宋体" w:cs="宋体"/>
                <w:sz w:val="24"/>
                <w:highlight w:val="none"/>
              </w:rPr>
            </w:pPr>
            <w:r>
              <w:rPr>
                <w:rFonts w:hint="eastAsia" w:ascii="宋体" w:hAnsi="宋体" w:cs="宋体"/>
                <w:sz w:val="24"/>
                <w:highlight w:val="none"/>
              </w:rPr>
              <w:t>公司</w:t>
            </w:r>
            <w:r>
              <w:rPr>
                <w:rFonts w:hint="eastAsia" w:ascii="宋体" w:hAnsi="宋体" w:cs="宋体"/>
                <w:sz w:val="24"/>
                <w:highlight w:val="none"/>
                <w:u w:val="single"/>
              </w:rPr>
              <w:t xml:space="preserve">   （是否通过，何种）   </w:t>
            </w:r>
            <w:r>
              <w:rPr>
                <w:rFonts w:hint="eastAsia" w:ascii="宋体" w:hAnsi="宋体" w:cs="宋体"/>
                <w:sz w:val="24"/>
                <w:highlight w:val="none"/>
              </w:rPr>
              <w:t>质量保证体系认证（如通过请附相关在有效期内的证书复印件）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235" w:type="dxa"/>
            <w:vAlign w:val="center"/>
          </w:tcPr>
          <w:p>
            <w:pPr>
              <w:tabs>
                <w:tab w:val="left" w:pos="993"/>
              </w:tabs>
              <w:spacing w:line="520" w:lineRule="exact"/>
              <w:jc w:val="center"/>
              <w:rPr>
                <w:rFonts w:ascii="宋体" w:hAnsi="宋体" w:cs="宋体"/>
                <w:sz w:val="24"/>
                <w:highlight w:val="none"/>
              </w:rPr>
            </w:pPr>
            <w:r>
              <w:rPr>
                <w:rFonts w:hint="eastAsia" w:ascii="宋体" w:hAnsi="宋体" w:cs="宋体"/>
                <w:sz w:val="24"/>
                <w:highlight w:val="none"/>
              </w:rPr>
              <w:t>项目负责人</w:t>
            </w:r>
          </w:p>
        </w:tc>
        <w:tc>
          <w:tcPr>
            <w:tcW w:w="1559" w:type="dxa"/>
            <w:gridSpan w:val="2"/>
          </w:tcPr>
          <w:p>
            <w:pPr>
              <w:tabs>
                <w:tab w:val="left" w:pos="993"/>
              </w:tabs>
              <w:spacing w:line="520" w:lineRule="exact"/>
              <w:jc w:val="center"/>
              <w:rPr>
                <w:rFonts w:ascii="宋体" w:hAnsi="宋体" w:cs="宋体"/>
                <w:sz w:val="24"/>
                <w:highlight w:val="none"/>
              </w:rPr>
            </w:pPr>
          </w:p>
        </w:tc>
        <w:tc>
          <w:tcPr>
            <w:tcW w:w="1417" w:type="dxa"/>
            <w:gridSpan w:val="2"/>
          </w:tcPr>
          <w:p>
            <w:pPr>
              <w:tabs>
                <w:tab w:val="left" w:pos="993"/>
              </w:tabs>
              <w:spacing w:line="520" w:lineRule="exact"/>
              <w:jc w:val="center"/>
              <w:rPr>
                <w:rFonts w:ascii="宋体" w:hAnsi="宋体" w:cs="宋体"/>
                <w:sz w:val="24"/>
                <w:highlight w:val="none"/>
              </w:rPr>
            </w:pPr>
            <w:r>
              <w:rPr>
                <w:rFonts w:hint="eastAsia" w:ascii="宋体" w:hAnsi="宋体" w:cs="宋体"/>
                <w:sz w:val="24"/>
                <w:highlight w:val="none"/>
              </w:rPr>
              <w:t>年龄</w:t>
            </w:r>
          </w:p>
        </w:tc>
        <w:tc>
          <w:tcPr>
            <w:tcW w:w="1466" w:type="dxa"/>
            <w:gridSpan w:val="2"/>
          </w:tcPr>
          <w:p>
            <w:pPr>
              <w:tabs>
                <w:tab w:val="left" w:pos="993"/>
              </w:tabs>
              <w:spacing w:line="520" w:lineRule="exact"/>
              <w:jc w:val="center"/>
              <w:rPr>
                <w:rFonts w:ascii="宋体" w:hAnsi="宋体" w:cs="宋体"/>
                <w:sz w:val="24"/>
                <w:highlight w:val="none"/>
              </w:rPr>
            </w:pPr>
          </w:p>
        </w:tc>
        <w:tc>
          <w:tcPr>
            <w:tcW w:w="1320" w:type="dxa"/>
          </w:tcPr>
          <w:p>
            <w:pPr>
              <w:tabs>
                <w:tab w:val="left" w:pos="993"/>
              </w:tabs>
              <w:spacing w:line="520" w:lineRule="exact"/>
              <w:jc w:val="center"/>
              <w:rPr>
                <w:rFonts w:ascii="宋体" w:hAnsi="宋体" w:cs="宋体"/>
                <w:sz w:val="24"/>
                <w:highlight w:val="none"/>
              </w:rPr>
            </w:pPr>
            <w:r>
              <w:rPr>
                <w:rFonts w:hint="eastAsia" w:ascii="宋体" w:hAnsi="宋体" w:cs="宋体"/>
                <w:sz w:val="24"/>
                <w:highlight w:val="none"/>
              </w:rPr>
              <w:t>性别</w:t>
            </w:r>
          </w:p>
        </w:tc>
        <w:tc>
          <w:tcPr>
            <w:tcW w:w="1467" w:type="dxa"/>
          </w:tcPr>
          <w:p>
            <w:pPr>
              <w:tabs>
                <w:tab w:val="left" w:pos="993"/>
              </w:tabs>
              <w:spacing w:line="520" w:lineRule="exact"/>
              <w:jc w:val="center"/>
              <w:rPr>
                <w:rFonts w:ascii="宋体" w:hAnsi="宋体" w:cs="宋体"/>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235" w:type="dxa"/>
            <w:vAlign w:val="center"/>
          </w:tcPr>
          <w:p>
            <w:pPr>
              <w:tabs>
                <w:tab w:val="left" w:pos="993"/>
              </w:tabs>
              <w:spacing w:line="520" w:lineRule="exact"/>
              <w:jc w:val="center"/>
              <w:rPr>
                <w:rFonts w:ascii="宋体" w:hAnsi="宋体" w:cs="宋体"/>
                <w:sz w:val="24"/>
                <w:highlight w:val="none"/>
              </w:rPr>
            </w:pPr>
            <w:r>
              <w:rPr>
                <w:rFonts w:hint="eastAsia" w:ascii="宋体" w:hAnsi="宋体" w:cs="宋体"/>
                <w:sz w:val="24"/>
                <w:highlight w:val="none"/>
              </w:rPr>
              <w:t>职务职称</w:t>
            </w:r>
          </w:p>
        </w:tc>
        <w:tc>
          <w:tcPr>
            <w:tcW w:w="2976" w:type="dxa"/>
            <w:gridSpan w:val="4"/>
          </w:tcPr>
          <w:p>
            <w:pPr>
              <w:tabs>
                <w:tab w:val="left" w:pos="993"/>
              </w:tabs>
              <w:spacing w:line="520" w:lineRule="exact"/>
              <w:rPr>
                <w:rFonts w:ascii="宋体" w:hAnsi="宋体" w:cs="宋体"/>
                <w:sz w:val="24"/>
                <w:highlight w:val="none"/>
              </w:rPr>
            </w:pPr>
          </w:p>
        </w:tc>
        <w:tc>
          <w:tcPr>
            <w:tcW w:w="1466" w:type="dxa"/>
            <w:gridSpan w:val="2"/>
          </w:tcPr>
          <w:p>
            <w:pPr>
              <w:tabs>
                <w:tab w:val="left" w:pos="993"/>
              </w:tabs>
              <w:spacing w:line="520" w:lineRule="exact"/>
              <w:rPr>
                <w:rFonts w:ascii="宋体" w:hAnsi="宋体" w:cs="宋体"/>
                <w:sz w:val="24"/>
                <w:highlight w:val="none"/>
              </w:rPr>
            </w:pPr>
            <w:r>
              <w:rPr>
                <w:rFonts w:hint="eastAsia" w:ascii="宋体" w:hAnsi="宋体" w:cs="宋体"/>
                <w:sz w:val="24"/>
                <w:highlight w:val="none"/>
              </w:rPr>
              <w:t>执业资格</w:t>
            </w:r>
          </w:p>
        </w:tc>
        <w:tc>
          <w:tcPr>
            <w:tcW w:w="2787" w:type="dxa"/>
            <w:gridSpan w:val="2"/>
          </w:tcPr>
          <w:p>
            <w:pPr>
              <w:tabs>
                <w:tab w:val="left" w:pos="993"/>
              </w:tabs>
              <w:spacing w:line="520" w:lineRule="exact"/>
              <w:rPr>
                <w:rFonts w:ascii="宋体" w:hAnsi="宋体" w:cs="宋体"/>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780" w:hRule="atLeast"/>
          <w:jc w:val="center"/>
        </w:trPr>
        <w:tc>
          <w:tcPr>
            <w:tcW w:w="2235" w:type="dxa"/>
            <w:vAlign w:val="center"/>
          </w:tcPr>
          <w:p>
            <w:pPr>
              <w:tabs>
                <w:tab w:val="left" w:pos="993"/>
              </w:tabs>
              <w:spacing w:line="520" w:lineRule="exact"/>
              <w:jc w:val="center"/>
              <w:rPr>
                <w:rFonts w:ascii="宋体" w:hAnsi="宋体" w:cs="宋体"/>
                <w:sz w:val="24"/>
                <w:highlight w:val="none"/>
              </w:rPr>
            </w:pPr>
            <w:r>
              <w:rPr>
                <w:rFonts w:hint="eastAsia" w:ascii="宋体" w:hAnsi="宋体" w:cs="宋体"/>
                <w:sz w:val="24"/>
                <w:highlight w:val="none"/>
              </w:rPr>
              <w:t>经营范围</w:t>
            </w:r>
          </w:p>
        </w:tc>
        <w:tc>
          <w:tcPr>
            <w:tcW w:w="7229" w:type="dxa"/>
            <w:gridSpan w:val="8"/>
          </w:tcPr>
          <w:p>
            <w:pPr>
              <w:tabs>
                <w:tab w:val="left" w:pos="993"/>
              </w:tabs>
              <w:spacing w:line="520" w:lineRule="exact"/>
              <w:rPr>
                <w:rFonts w:ascii="宋体" w:hAnsi="宋体" w:cs="宋体"/>
                <w:sz w:val="24"/>
                <w:highlight w:val="none"/>
              </w:rPr>
            </w:pPr>
            <w:r>
              <w:rPr>
                <w:rFonts w:hint="eastAsia" w:ascii="宋体" w:hAnsi="宋体" w:cs="宋体"/>
                <w:sz w:val="24"/>
                <w:highlight w:val="none"/>
              </w:rPr>
              <w:t>营业执照载明：</w:t>
            </w:r>
          </w:p>
          <w:p>
            <w:pPr>
              <w:tabs>
                <w:tab w:val="left" w:pos="993"/>
              </w:tabs>
              <w:spacing w:line="520" w:lineRule="exact"/>
              <w:rPr>
                <w:rFonts w:ascii="宋体" w:hAnsi="宋体" w:cs="宋体"/>
                <w:sz w:val="24"/>
                <w:highlight w:val="none"/>
                <w:u w:val="single"/>
              </w:rPr>
            </w:pPr>
            <w:r>
              <w:rPr>
                <w:rFonts w:hint="eastAsia" w:ascii="宋体" w:hAnsi="宋体" w:cs="宋体"/>
                <w:sz w:val="24"/>
                <w:highlight w:val="none"/>
              </w:rPr>
              <w:t>1.</w:t>
            </w:r>
          </w:p>
          <w:p>
            <w:pPr>
              <w:tabs>
                <w:tab w:val="left" w:pos="993"/>
              </w:tabs>
              <w:spacing w:line="520" w:lineRule="exact"/>
              <w:rPr>
                <w:rFonts w:ascii="宋体" w:hAnsi="宋体" w:cs="宋体"/>
                <w:sz w:val="24"/>
                <w:highlight w:val="none"/>
                <w:u w:val="single"/>
              </w:rPr>
            </w:pPr>
            <w:r>
              <w:rPr>
                <w:rFonts w:hint="eastAsia" w:ascii="宋体" w:hAnsi="宋体" w:cs="宋体"/>
                <w:sz w:val="24"/>
                <w:highlight w:val="none"/>
              </w:rPr>
              <w:t>2.</w:t>
            </w:r>
          </w:p>
          <w:p>
            <w:pPr>
              <w:tabs>
                <w:tab w:val="left" w:pos="993"/>
              </w:tabs>
              <w:spacing w:line="520" w:lineRule="exact"/>
              <w:rPr>
                <w:rFonts w:ascii="宋体" w:hAnsi="宋体" w:cs="宋体"/>
                <w:sz w:val="24"/>
                <w:highlight w:val="none"/>
                <w:u w:val="single"/>
              </w:rPr>
            </w:pPr>
            <w:r>
              <w:rPr>
                <w:rFonts w:hint="eastAsia" w:ascii="宋体" w:hAnsi="宋体" w:cs="宋体"/>
                <w:sz w:val="24"/>
                <w:highlight w:val="none"/>
              </w:rPr>
              <w:t>3.</w:t>
            </w:r>
          </w:p>
          <w:p>
            <w:pPr>
              <w:tabs>
                <w:tab w:val="left" w:pos="993"/>
              </w:tabs>
              <w:spacing w:line="520" w:lineRule="exact"/>
              <w:rPr>
                <w:rFonts w:ascii="宋体" w:hAnsi="宋体" w:cs="宋体"/>
                <w:sz w:val="24"/>
                <w:highlight w:val="none"/>
              </w:rPr>
            </w:pPr>
            <w:r>
              <w:rPr>
                <w:rFonts w:hint="eastAsia" w:ascii="宋体" w:hAnsi="宋体" w:cs="宋体"/>
                <w:sz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1" w:hRule="atLeast"/>
          <w:jc w:val="center"/>
        </w:trPr>
        <w:tc>
          <w:tcPr>
            <w:tcW w:w="2943" w:type="dxa"/>
            <w:gridSpan w:val="2"/>
            <w:vAlign w:val="center"/>
          </w:tcPr>
          <w:p>
            <w:pPr>
              <w:tabs>
                <w:tab w:val="left" w:pos="993"/>
              </w:tabs>
              <w:spacing w:line="520" w:lineRule="exact"/>
              <w:rPr>
                <w:rFonts w:ascii="宋体" w:hAnsi="宋体" w:cs="宋体"/>
                <w:sz w:val="24"/>
                <w:highlight w:val="none"/>
              </w:rPr>
            </w:pPr>
            <w:r>
              <w:rPr>
                <w:rFonts w:hint="eastAsia" w:ascii="宋体" w:hAnsi="宋体" w:cs="宋体"/>
                <w:sz w:val="24"/>
                <w:highlight w:val="none"/>
              </w:rPr>
              <w:t>从事类似相关项目的经历及年数</w:t>
            </w:r>
          </w:p>
        </w:tc>
        <w:tc>
          <w:tcPr>
            <w:tcW w:w="6521" w:type="dxa"/>
            <w:gridSpan w:val="7"/>
          </w:tcPr>
          <w:p>
            <w:pPr>
              <w:tabs>
                <w:tab w:val="left" w:pos="993"/>
              </w:tabs>
              <w:spacing w:line="520" w:lineRule="exact"/>
              <w:rPr>
                <w:rFonts w:ascii="宋体" w:hAnsi="宋体" w:cs="宋体"/>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1" w:hRule="atLeast"/>
          <w:jc w:val="center"/>
        </w:trPr>
        <w:tc>
          <w:tcPr>
            <w:tcW w:w="2943" w:type="dxa"/>
            <w:gridSpan w:val="2"/>
            <w:vAlign w:val="center"/>
          </w:tcPr>
          <w:p>
            <w:pPr>
              <w:tabs>
                <w:tab w:val="left" w:pos="993"/>
              </w:tabs>
              <w:spacing w:line="520" w:lineRule="exact"/>
              <w:rPr>
                <w:rFonts w:ascii="宋体" w:hAnsi="宋体" w:cs="宋体"/>
                <w:sz w:val="24"/>
                <w:highlight w:val="none"/>
              </w:rPr>
            </w:pPr>
            <w:r>
              <w:rPr>
                <w:rFonts w:hint="eastAsia" w:ascii="宋体" w:hAnsi="宋体" w:cs="宋体"/>
                <w:sz w:val="24"/>
                <w:highlight w:val="none"/>
              </w:rPr>
              <w:t>其他认为有必要提供的内容，可自行添加</w:t>
            </w:r>
          </w:p>
        </w:tc>
        <w:tc>
          <w:tcPr>
            <w:tcW w:w="6521" w:type="dxa"/>
            <w:gridSpan w:val="7"/>
          </w:tcPr>
          <w:p>
            <w:pPr>
              <w:tabs>
                <w:tab w:val="left" w:pos="993"/>
              </w:tabs>
              <w:spacing w:line="520" w:lineRule="exact"/>
              <w:rPr>
                <w:rFonts w:ascii="宋体" w:hAnsi="宋体" w:cs="宋体"/>
                <w:sz w:val="24"/>
                <w:highlight w:val="none"/>
              </w:rPr>
            </w:pPr>
          </w:p>
        </w:tc>
      </w:tr>
    </w:tbl>
    <w:p>
      <w:pPr>
        <w:snapToGrid w:val="0"/>
        <w:spacing w:line="520" w:lineRule="exact"/>
        <w:rPr>
          <w:rFonts w:ascii="宋体" w:hAnsi="宋体" w:cs="宋体"/>
          <w:sz w:val="24"/>
          <w:highlight w:val="none"/>
        </w:rPr>
      </w:pPr>
      <w:r>
        <w:rPr>
          <w:rFonts w:hint="eastAsia" w:ascii="宋体" w:hAnsi="宋体" w:cs="宋体"/>
          <w:sz w:val="24"/>
          <w:highlight w:val="none"/>
        </w:rPr>
        <w:t xml:space="preserve">投标供应商：（盖章）             </w:t>
      </w:r>
    </w:p>
    <w:p>
      <w:pPr>
        <w:snapToGrid w:val="0"/>
        <w:spacing w:line="520" w:lineRule="exact"/>
        <w:rPr>
          <w:rFonts w:ascii="宋体" w:hAnsi="宋体" w:cs="宋体"/>
          <w:sz w:val="24"/>
          <w:highlight w:val="none"/>
        </w:rPr>
      </w:pPr>
      <w:r>
        <w:rPr>
          <w:rFonts w:hint="eastAsia" w:ascii="宋体" w:hAnsi="宋体" w:cs="宋体"/>
          <w:sz w:val="24"/>
          <w:highlight w:val="none"/>
        </w:rPr>
        <w:t xml:space="preserve">法定代表人或被授权人（签字或盖章）：  </w:t>
      </w:r>
    </w:p>
    <w:p>
      <w:pPr>
        <w:snapToGrid w:val="0"/>
        <w:spacing w:line="520" w:lineRule="exact"/>
        <w:rPr>
          <w:rFonts w:ascii="宋体" w:hAnsi="宋体" w:cs="宋体"/>
          <w:sz w:val="24"/>
          <w:highlight w:val="none"/>
        </w:rPr>
      </w:pPr>
      <w:r>
        <w:rPr>
          <w:rFonts w:hint="eastAsia" w:ascii="宋体" w:hAnsi="宋体" w:cs="宋体"/>
          <w:sz w:val="24"/>
          <w:highlight w:val="none"/>
        </w:rPr>
        <w:t>日期：</w:t>
      </w:r>
    </w:p>
    <w:p>
      <w:pPr>
        <w:spacing w:line="480" w:lineRule="exact"/>
        <w:jc w:val="center"/>
        <w:rPr>
          <w:rFonts w:ascii="宋体" w:hAnsi="宋体" w:cs="宋体"/>
          <w:b/>
          <w:sz w:val="24"/>
          <w:highlight w:val="none"/>
        </w:rPr>
      </w:pPr>
      <w:r>
        <w:rPr>
          <w:rFonts w:hint="eastAsia"/>
          <w:b/>
          <w:sz w:val="28"/>
          <w:szCs w:val="28"/>
          <w:highlight w:val="none"/>
        </w:rPr>
        <w:br w:type="page"/>
      </w:r>
      <w:r>
        <w:rPr>
          <w:rFonts w:hint="eastAsia" w:ascii="宋体" w:hAnsi="宋体" w:cs="宋体"/>
          <w:b/>
          <w:sz w:val="24"/>
          <w:highlight w:val="none"/>
        </w:rPr>
        <w:t>3.技术部分正负偏离表</w:t>
      </w:r>
    </w:p>
    <w:p>
      <w:pPr>
        <w:ind w:firstLine="480" w:firstLineChars="200"/>
        <w:jc w:val="center"/>
        <w:rPr>
          <w:rFonts w:ascii="宋体" w:hAnsi="宋体" w:cs="宋体"/>
          <w:sz w:val="24"/>
          <w:highlight w:val="none"/>
        </w:rPr>
      </w:pPr>
      <w:r>
        <w:rPr>
          <w:rFonts w:hint="eastAsia" w:ascii="宋体" w:hAnsi="宋体" w:cs="宋体"/>
          <w:sz w:val="24"/>
          <w:highlight w:val="none"/>
        </w:rPr>
        <w:t>（由响应人据实提交，表格不够自行添加）</w:t>
      </w:r>
    </w:p>
    <w:p>
      <w:pPr>
        <w:pStyle w:val="19"/>
        <w:rPr>
          <w:rFonts w:ascii="宋体" w:hAnsi="宋体" w:eastAsia="宋体" w:cs="宋体"/>
          <w:kern w:val="2"/>
          <w:szCs w:val="24"/>
          <w:highlight w:val="none"/>
        </w:rPr>
      </w:pPr>
      <w:r>
        <w:rPr>
          <w:rFonts w:hint="eastAsia" w:ascii="宋体" w:hAnsi="宋体" w:eastAsia="宋体" w:cs="宋体"/>
          <w:kern w:val="2"/>
          <w:szCs w:val="24"/>
          <w:highlight w:val="none"/>
        </w:rPr>
        <w:t>项目名称+全部所投标段号：</w:t>
      </w:r>
    </w:p>
    <w:p>
      <w:pPr>
        <w:rPr>
          <w:highlight w:val="none"/>
        </w:rPr>
      </w:pPr>
      <w:r>
        <w:rPr>
          <w:rFonts w:hint="eastAsia" w:ascii="宋体" w:hAnsi="宋体" w:cs="宋体"/>
          <w:sz w:val="24"/>
          <w:highlight w:val="none"/>
        </w:rPr>
        <w:t>项目编号：</w:t>
      </w:r>
    </w:p>
    <w:tbl>
      <w:tblPr>
        <w:tblStyle w:val="41"/>
        <w:tblW w:w="4794" w:type="pct"/>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autofit"/>
        <w:tblCellMar>
          <w:top w:w="0" w:type="dxa"/>
          <w:left w:w="108" w:type="dxa"/>
          <w:bottom w:w="0" w:type="dxa"/>
          <w:right w:w="108" w:type="dxa"/>
        </w:tblCellMar>
      </w:tblPr>
      <w:tblGrid>
        <w:gridCol w:w="1162"/>
        <w:gridCol w:w="1896"/>
        <w:gridCol w:w="1656"/>
        <w:gridCol w:w="2136"/>
        <w:gridCol w:w="1511"/>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166" w:hRule="exact"/>
          <w:jc w:val="center"/>
        </w:trPr>
        <w:tc>
          <w:tcPr>
            <w:tcW w:w="821" w:type="pct"/>
            <w:tcBorders>
              <w:top w:val="single" w:color="auto" w:sz="12" w:space="0"/>
              <w:left w:val="single" w:color="auto" w:sz="12" w:space="0"/>
              <w:bottom w:val="single" w:color="auto" w:sz="4" w:space="0"/>
              <w:right w:val="single" w:color="auto" w:sz="4" w:space="0"/>
            </w:tcBorders>
            <w:noWrap/>
            <w:vAlign w:val="center"/>
          </w:tcPr>
          <w:p>
            <w:pPr>
              <w:spacing w:line="360" w:lineRule="auto"/>
              <w:jc w:val="center"/>
              <w:rPr>
                <w:rFonts w:ascii="宋体" w:hAnsi="宋体"/>
                <w:sz w:val="24"/>
                <w:highlight w:val="none"/>
              </w:rPr>
            </w:pPr>
            <w:r>
              <w:rPr>
                <w:rFonts w:ascii="宋体" w:hAnsi="宋体"/>
                <w:sz w:val="24"/>
                <w:highlight w:val="none"/>
              </w:rPr>
              <w:t>序号</w:t>
            </w:r>
          </w:p>
        </w:tc>
        <w:tc>
          <w:tcPr>
            <w:tcW w:w="1033" w:type="pct"/>
            <w:tcBorders>
              <w:top w:val="single" w:color="auto" w:sz="12" w:space="0"/>
              <w:left w:val="single" w:color="auto" w:sz="4" w:space="0"/>
              <w:bottom w:val="single" w:color="auto" w:sz="4" w:space="0"/>
              <w:right w:val="single" w:color="auto" w:sz="4" w:space="0"/>
            </w:tcBorders>
            <w:noWrap/>
            <w:vAlign w:val="center"/>
          </w:tcPr>
          <w:p>
            <w:pPr>
              <w:spacing w:line="340" w:lineRule="exact"/>
              <w:jc w:val="center"/>
              <w:rPr>
                <w:rFonts w:ascii="宋体" w:hAnsi="宋体"/>
                <w:sz w:val="24"/>
                <w:highlight w:val="none"/>
              </w:rPr>
            </w:pPr>
            <w:r>
              <w:rPr>
                <w:rFonts w:hint="eastAsia" w:ascii="宋体" w:hAnsi="宋体" w:cs="宋体"/>
                <w:sz w:val="24"/>
                <w:highlight w:val="none"/>
              </w:rPr>
              <w:t>货物或服务名称</w:t>
            </w:r>
          </w:p>
        </w:tc>
        <w:tc>
          <w:tcPr>
            <w:tcW w:w="1072" w:type="pct"/>
            <w:tcBorders>
              <w:top w:val="single" w:color="auto" w:sz="12" w:space="0"/>
              <w:left w:val="single" w:color="auto" w:sz="4" w:space="0"/>
              <w:bottom w:val="single" w:color="auto" w:sz="4" w:space="0"/>
              <w:right w:val="single" w:color="auto" w:sz="4" w:space="0"/>
            </w:tcBorders>
            <w:noWrap/>
            <w:vAlign w:val="center"/>
          </w:tcPr>
          <w:p>
            <w:pPr>
              <w:spacing w:line="340" w:lineRule="exact"/>
              <w:jc w:val="center"/>
              <w:rPr>
                <w:rFonts w:ascii="宋体" w:hAnsi="宋体"/>
                <w:dstrike/>
                <w:sz w:val="24"/>
                <w:highlight w:val="none"/>
              </w:rPr>
            </w:pPr>
            <w:r>
              <w:rPr>
                <w:rFonts w:hint="eastAsia" w:ascii="宋体" w:hAnsi="宋体" w:cs="宋体"/>
                <w:sz w:val="24"/>
                <w:highlight w:val="none"/>
              </w:rPr>
              <w:t>招标文件要求</w:t>
            </w:r>
          </w:p>
        </w:tc>
        <w:tc>
          <w:tcPr>
            <w:tcW w:w="999" w:type="pct"/>
            <w:tcBorders>
              <w:top w:val="single" w:color="auto" w:sz="12" w:space="0"/>
              <w:left w:val="single" w:color="auto" w:sz="4" w:space="0"/>
              <w:bottom w:val="single" w:color="auto" w:sz="4" w:space="0"/>
              <w:right w:val="single" w:color="auto" w:sz="4" w:space="0"/>
            </w:tcBorders>
            <w:noWrap/>
            <w:vAlign w:val="center"/>
          </w:tcPr>
          <w:p>
            <w:pPr>
              <w:spacing w:line="340" w:lineRule="exact"/>
              <w:jc w:val="center"/>
              <w:rPr>
                <w:rFonts w:ascii="宋体" w:hAnsi="宋体"/>
                <w:sz w:val="24"/>
                <w:highlight w:val="none"/>
              </w:rPr>
            </w:pPr>
            <w:r>
              <w:rPr>
                <w:rFonts w:hint="eastAsia" w:ascii="宋体" w:hAnsi="宋体" w:cs="宋体"/>
                <w:sz w:val="24"/>
                <w:highlight w:val="none"/>
              </w:rPr>
              <w:t>响应文件响应情况</w:t>
            </w:r>
          </w:p>
        </w:tc>
        <w:tc>
          <w:tcPr>
            <w:tcW w:w="1073" w:type="pct"/>
            <w:tcBorders>
              <w:top w:val="single" w:color="auto" w:sz="12" w:space="0"/>
              <w:left w:val="single" w:color="auto" w:sz="4" w:space="0"/>
              <w:bottom w:val="single" w:color="auto" w:sz="4" w:space="0"/>
              <w:right w:val="single" w:color="auto" w:sz="12" w:space="0"/>
            </w:tcBorders>
            <w:noWrap/>
            <w:vAlign w:val="center"/>
          </w:tcPr>
          <w:p>
            <w:pPr>
              <w:spacing w:line="360" w:lineRule="auto"/>
              <w:jc w:val="center"/>
              <w:rPr>
                <w:rFonts w:ascii="宋体" w:hAnsi="宋体"/>
                <w:sz w:val="24"/>
                <w:highlight w:val="none"/>
              </w:rPr>
            </w:pPr>
            <w:r>
              <w:rPr>
                <w:rFonts w:hint="eastAsia" w:ascii="宋体" w:hAnsi="宋体" w:cs="宋体"/>
                <w:sz w:val="24"/>
                <w:highlight w:val="none"/>
              </w:rPr>
              <w:t>偏离说明</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821" w:type="pct"/>
            <w:tcBorders>
              <w:top w:val="single" w:color="auto" w:sz="4" w:space="0"/>
              <w:left w:val="single" w:color="auto" w:sz="12" w:space="0"/>
              <w:bottom w:val="single" w:color="auto" w:sz="4" w:space="0"/>
              <w:right w:val="single" w:color="auto" w:sz="4" w:space="0"/>
            </w:tcBorders>
            <w:noWrap/>
          </w:tcPr>
          <w:p>
            <w:pPr>
              <w:spacing w:line="360" w:lineRule="auto"/>
              <w:jc w:val="center"/>
              <w:rPr>
                <w:rFonts w:ascii="宋体" w:hAnsi="宋体"/>
                <w:sz w:val="24"/>
                <w:highlight w:val="none"/>
              </w:rPr>
            </w:pPr>
            <w:r>
              <w:rPr>
                <w:rFonts w:hint="eastAsia" w:ascii="宋体" w:hAnsi="宋体"/>
                <w:sz w:val="24"/>
                <w:highlight w:val="none"/>
              </w:rPr>
              <w:t>1</w:t>
            </w:r>
          </w:p>
        </w:tc>
        <w:tc>
          <w:tcPr>
            <w:tcW w:w="1033" w:type="pct"/>
            <w:tcBorders>
              <w:top w:val="single" w:color="auto" w:sz="4" w:space="0"/>
              <w:left w:val="single" w:color="auto" w:sz="4" w:space="0"/>
              <w:bottom w:val="single" w:color="auto" w:sz="4" w:space="0"/>
              <w:right w:val="single" w:color="auto" w:sz="4" w:space="0"/>
            </w:tcBorders>
            <w:noWrap/>
            <w:vAlign w:val="center"/>
          </w:tcPr>
          <w:p>
            <w:pPr>
              <w:spacing w:line="360" w:lineRule="auto"/>
              <w:jc w:val="center"/>
              <w:rPr>
                <w:rFonts w:ascii="宋体" w:hAnsi="宋体"/>
                <w:sz w:val="24"/>
                <w:highlight w:val="none"/>
              </w:rPr>
            </w:pPr>
          </w:p>
        </w:tc>
        <w:tc>
          <w:tcPr>
            <w:tcW w:w="1072" w:type="pct"/>
            <w:tcBorders>
              <w:top w:val="single" w:color="auto" w:sz="4" w:space="0"/>
              <w:left w:val="single" w:color="auto" w:sz="4" w:space="0"/>
              <w:bottom w:val="single" w:color="auto" w:sz="4" w:space="0"/>
              <w:right w:val="single" w:color="auto" w:sz="4" w:space="0"/>
            </w:tcBorders>
            <w:noWrap/>
          </w:tcPr>
          <w:p>
            <w:pPr>
              <w:spacing w:line="360" w:lineRule="auto"/>
              <w:jc w:val="center"/>
              <w:rPr>
                <w:rFonts w:ascii="宋体" w:hAnsi="宋体"/>
                <w:sz w:val="24"/>
                <w:highlight w:val="none"/>
              </w:rPr>
            </w:pPr>
          </w:p>
        </w:tc>
        <w:tc>
          <w:tcPr>
            <w:tcW w:w="999" w:type="pct"/>
            <w:tcBorders>
              <w:top w:val="single" w:color="auto" w:sz="4" w:space="0"/>
              <w:left w:val="single" w:color="auto" w:sz="4" w:space="0"/>
              <w:bottom w:val="single" w:color="auto" w:sz="4" w:space="0"/>
              <w:right w:val="single" w:color="auto" w:sz="4" w:space="0"/>
            </w:tcBorders>
            <w:noWrap/>
            <w:vAlign w:val="center"/>
          </w:tcPr>
          <w:p>
            <w:pPr>
              <w:spacing w:line="360" w:lineRule="auto"/>
              <w:jc w:val="center"/>
              <w:rPr>
                <w:rFonts w:ascii="宋体" w:hAnsi="宋体"/>
                <w:sz w:val="24"/>
                <w:highlight w:val="none"/>
              </w:rPr>
            </w:pPr>
          </w:p>
        </w:tc>
        <w:tc>
          <w:tcPr>
            <w:tcW w:w="1073" w:type="pct"/>
            <w:tcBorders>
              <w:top w:val="single" w:color="auto" w:sz="4" w:space="0"/>
              <w:left w:val="single" w:color="auto" w:sz="4" w:space="0"/>
              <w:bottom w:val="single" w:color="auto" w:sz="4" w:space="0"/>
              <w:right w:val="single" w:color="auto" w:sz="12" w:space="0"/>
            </w:tcBorders>
            <w:noWrap/>
            <w:vAlign w:val="center"/>
          </w:tcPr>
          <w:p>
            <w:pPr>
              <w:spacing w:line="360" w:lineRule="auto"/>
              <w:jc w:val="center"/>
              <w:rPr>
                <w:rFonts w:ascii="宋体" w:hAnsi="宋体"/>
                <w:sz w:val="24"/>
                <w:highlight w:val="none"/>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821" w:type="pct"/>
            <w:tcBorders>
              <w:top w:val="single" w:color="auto" w:sz="4" w:space="0"/>
              <w:left w:val="single" w:color="auto" w:sz="12" w:space="0"/>
              <w:bottom w:val="single" w:color="auto" w:sz="4" w:space="0"/>
              <w:right w:val="single" w:color="auto" w:sz="4" w:space="0"/>
            </w:tcBorders>
            <w:noWrap/>
          </w:tcPr>
          <w:p>
            <w:pPr>
              <w:spacing w:line="360" w:lineRule="auto"/>
              <w:jc w:val="center"/>
              <w:rPr>
                <w:rFonts w:ascii="宋体" w:hAnsi="宋体"/>
                <w:sz w:val="24"/>
                <w:highlight w:val="none"/>
              </w:rPr>
            </w:pPr>
            <w:r>
              <w:rPr>
                <w:rFonts w:hint="eastAsia" w:ascii="宋体" w:hAnsi="宋体"/>
                <w:sz w:val="24"/>
                <w:highlight w:val="none"/>
              </w:rPr>
              <w:t>2</w:t>
            </w:r>
          </w:p>
        </w:tc>
        <w:tc>
          <w:tcPr>
            <w:tcW w:w="1033" w:type="pct"/>
            <w:tcBorders>
              <w:top w:val="single" w:color="auto" w:sz="4" w:space="0"/>
              <w:left w:val="single" w:color="auto" w:sz="4" w:space="0"/>
              <w:bottom w:val="single" w:color="auto" w:sz="4" w:space="0"/>
              <w:right w:val="single" w:color="auto" w:sz="4" w:space="0"/>
            </w:tcBorders>
            <w:noWrap/>
            <w:vAlign w:val="center"/>
          </w:tcPr>
          <w:p>
            <w:pPr>
              <w:spacing w:line="360" w:lineRule="auto"/>
              <w:jc w:val="center"/>
              <w:rPr>
                <w:rFonts w:ascii="宋体" w:hAnsi="宋体"/>
                <w:sz w:val="24"/>
                <w:highlight w:val="none"/>
              </w:rPr>
            </w:pPr>
          </w:p>
        </w:tc>
        <w:tc>
          <w:tcPr>
            <w:tcW w:w="1072" w:type="pct"/>
            <w:tcBorders>
              <w:top w:val="single" w:color="auto" w:sz="4" w:space="0"/>
              <w:left w:val="single" w:color="auto" w:sz="4" w:space="0"/>
              <w:bottom w:val="single" w:color="auto" w:sz="4" w:space="0"/>
              <w:right w:val="single" w:color="auto" w:sz="4" w:space="0"/>
            </w:tcBorders>
            <w:noWrap/>
          </w:tcPr>
          <w:p>
            <w:pPr>
              <w:spacing w:line="360" w:lineRule="auto"/>
              <w:jc w:val="center"/>
              <w:rPr>
                <w:rFonts w:ascii="宋体" w:hAnsi="宋体"/>
                <w:sz w:val="24"/>
                <w:highlight w:val="none"/>
              </w:rPr>
            </w:pPr>
          </w:p>
        </w:tc>
        <w:tc>
          <w:tcPr>
            <w:tcW w:w="999" w:type="pct"/>
            <w:tcBorders>
              <w:top w:val="single" w:color="auto" w:sz="4" w:space="0"/>
              <w:left w:val="single" w:color="auto" w:sz="4" w:space="0"/>
              <w:bottom w:val="single" w:color="auto" w:sz="4" w:space="0"/>
              <w:right w:val="single" w:color="auto" w:sz="4" w:space="0"/>
            </w:tcBorders>
            <w:noWrap/>
            <w:vAlign w:val="center"/>
          </w:tcPr>
          <w:p>
            <w:pPr>
              <w:spacing w:line="360" w:lineRule="auto"/>
              <w:jc w:val="center"/>
              <w:rPr>
                <w:rFonts w:ascii="宋体" w:hAnsi="宋体"/>
                <w:sz w:val="24"/>
                <w:highlight w:val="none"/>
              </w:rPr>
            </w:pPr>
          </w:p>
        </w:tc>
        <w:tc>
          <w:tcPr>
            <w:tcW w:w="1073" w:type="pct"/>
            <w:tcBorders>
              <w:top w:val="single" w:color="auto" w:sz="4" w:space="0"/>
              <w:left w:val="single" w:color="auto" w:sz="4" w:space="0"/>
              <w:bottom w:val="single" w:color="auto" w:sz="4" w:space="0"/>
              <w:right w:val="single" w:color="auto" w:sz="12" w:space="0"/>
            </w:tcBorders>
            <w:noWrap/>
            <w:vAlign w:val="center"/>
          </w:tcPr>
          <w:p>
            <w:pPr>
              <w:spacing w:line="360" w:lineRule="auto"/>
              <w:jc w:val="center"/>
              <w:rPr>
                <w:rFonts w:ascii="宋体" w:hAnsi="宋体"/>
                <w:sz w:val="24"/>
                <w:highlight w:val="none"/>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821" w:type="pct"/>
            <w:tcBorders>
              <w:top w:val="single" w:color="auto" w:sz="4" w:space="0"/>
              <w:left w:val="single" w:color="auto" w:sz="12" w:space="0"/>
              <w:bottom w:val="single" w:color="auto" w:sz="4" w:space="0"/>
              <w:right w:val="single" w:color="auto" w:sz="4" w:space="0"/>
            </w:tcBorders>
            <w:noWrap/>
          </w:tcPr>
          <w:p>
            <w:pPr>
              <w:spacing w:line="360" w:lineRule="auto"/>
              <w:jc w:val="center"/>
              <w:rPr>
                <w:rFonts w:ascii="宋体" w:hAnsi="宋体"/>
                <w:sz w:val="24"/>
                <w:highlight w:val="none"/>
              </w:rPr>
            </w:pPr>
            <w:r>
              <w:rPr>
                <w:rFonts w:hint="eastAsia" w:ascii="宋体" w:hAnsi="宋体"/>
                <w:sz w:val="24"/>
                <w:highlight w:val="none"/>
              </w:rPr>
              <w:t>3</w:t>
            </w:r>
          </w:p>
        </w:tc>
        <w:tc>
          <w:tcPr>
            <w:tcW w:w="1033" w:type="pct"/>
            <w:tcBorders>
              <w:top w:val="single" w:color="auto" w:sz="4" w:space="0"/>
              <w:left w:val="single" w:color="auto" w:sz="4" w:space="0"/>
              <w:bottom w:val="single" w:color="auto" w:sz="4" w:space="0"/>
              <w:right w:val="single" w:color="auto" w:sz="4" w:space="0"/>
            </w:tcBorders>
            <w:noWrap/>
            <w:vAlign w:val="center"/>
          </w:tcPr>
          <w:p>
            <w:pPr>
              <w:spacing w:line="360" w:lineRule="auto"/>
              <w:jc w:val="center"/>
              <w:rPr>
                <w:rFonts w:ascii="宋体" w:hAnsi="宋体"/>
                <w:sz w:val="24"/>
                <w:highlight w:val="none"/>
              </w:rPr>
            </w:pPr>
          </w:p>
        </w:tc>
        <w:tc>
          <w:tcPr>
            <w:tcW w:w="1072" w:type="pct"/>
            <w:tcBorders>
              <w:top w:val="single" w:color="auto" w:sz="4" w:space="0"/>
              <w:left w:val="single" w:color="auto" w:sz="4" w:space="0"/>
              <w:bottom w:val="single" w:color="auto" w:sz="4" w:space="0"/>
              <w:right w:val="single" w:color="auto" w:sz="4" w:space="0"/>
            </w:tcBorders>
            <w:noWrap/>
          </w:tcPr>
          <w:p>
            <w:pPr>
              <w:spacing w:line="360" w:lineRule="auto"/>
              <w:jc w:val="center"/>
              <w:rPr>
                <w:rFonts w:ascii="宋体" w:hAnsi="宋体"/>
                <w:sz w:val="24"/>
                <w:highlight w:val="none"/>
              </w:rPr>
            </w:pPr>
          </w:p>
        </w:tc>
        <w:tc>
          <w:tcPr>
            <w:tcW w:w="999" w:type="pct"/>
            <w:tcBorders>
              <w:top w:val="single" w:color="auto" w:sz="4" w:space="0"/>
              <w:left w:val="single" w:color="auto" w:sz="4" w:space="0"/>
              <w:bottom w:val="single" w:color="auto" w:sz="4" w:space="0"/>
              <w:right w:val="single" w:color="auto" w:sz="4" w:space="0"/>
            </w:tcBorders>
            <w:noWrap/>
            <w:vAlign w:val="center"/>
          </w:tcPr>
          <w:p>
            <w:pPr>
              <w:spacing w:line="360" w:lineRule="auto"/>
              <w:jc w:val="center"/>
              <w:rPr>
                <w:rFonts w:ascii="宋体" w:hAnsi="宋体"/>
                <w:sz w:val="24"/>
                <w:highlight w:val="none"/>
              </w:rPr>
            </w:pPr>
          </w:p>
        </w:tc>
        <w:tc>
          <w:tcPr>
            <w:tcW w:w="1073" w:type="pct"/>
            <w:tcBorders>
              <w:top w:val="single" w:color="auto" w:sz="4" w:space="0"/>
              <w:left w:val="single" w:color="auto" w:sz="4" w:space="0"/>
              <w:bottom w:val="single" w:color="auto" w:sz="4" w:space="0"/>
              <w:right w:val="single" w:color="auto" w:sz="12" w:space="0"/>
            </w:tcBorders>
            <w:noWrap/>
            <w:vAlign w:val="center"/>
          </w:tcPr>
          <w:p>
            <w:pPr>
              <w:spacing w:line="360" w:lineRule="auto"/>
              <w:jc w:val="center"/>
              <w:rPr>
                <w:rFonts w:ascii="宋体" w:hAnsi="宋体"/>
                <w:sz w:val="24"/>
                <w:highlight w:val="none"/>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PrEx>
        <w:trPr>
          <w:trHeight w:val="454" w:hRule="exact"/>
          <w:jc w:val="center"/>
        </w:trPr>
        <w:tc>
          <w:tcPr>
            <w:tcW w:w="821" w:type="pct"/>
            <w:tcBorders>
              <w:top w:val="single" w:color="auto" w:sz="4" w:space="0"/>
              <w:left w:val="single" w:color="auto" w:sz="12" w:space="0"/>
              <w:bottom w:val="single" w:color="auto" w:sz="4" w:space="0"/>
              <w:right w:val="single" w:color="auto" w:sz="4" w:space="0"/>
            </w:tcBorders>
            <w:noWrap/>
          </w:tcPr>
          <w:p>
            <w:pPr>
              <w:spacing w:line="360" w:lineRule="auto"/>
              <w:jc w:val="center"/>
              <w:rPr>
                <w:rFonts w:ascii="宋体" w:hAnsi="宋体"/>
                <w:sz w:val="24"/>
                <w:highlight w:val="none"/>
              </w:rPr>
            </w:pPr>
          </w:p>
        </w:tc>
        <w:tc>
          <w:tcPr>
            <w:tcW w:w="1033" w:type="pct"/>
            <w:tcBorders>
              <w:top w:val="single" w:color="auto" w:sz="4" w:space="0"/>
              <w:left w:val="single" w:color="auto" w:sz="4" w:space="0"/>
              <w:bottom w:val="single" w:color="auto" w:sz="4" w:space="0"/>
              <w:right w:val="single" w:color="auto" w:sz="4" w:space="0"/>
            </w:tcBorders>
            <w:noWrap/>
            <w:vAlign w:val="center"/>
          </w:tcPr>
          <w:p>
            <w:pPr>
              <w:spacing w:line="360" w:lineRule="auto"/>
              <w:jc w:val="center"/>
              <w:rPr>
                <w:rFonts w:ascii="宋体" w:hAnsi="宋体"/>
                <w:sz w:val="24"/>
                <w:highlight w:val="none"/>
              </w:rPr>
            </w:pPr>
          </w:p>
        </w:tc>
        <w:tc>
          <w:tcPr>
            <w:tcW w:w="1072" w:type="pct"/>
            <w:tcBorders>
              <w:top w:val="single" w:color="auto" w:sz="4" w:space="0"/>
              <w:left w:val="single" w:color="auto" w:sz="4" w:space="0"/>
              <w:bottom w:val="single" w:color="auto" w:sz="4" w:space="0"/>
              <w:right w:val="single" w:color="auto" w:sz="4" w:space="0"/>
            </w:tcBorders>
            <w:noWrap/>
          </w:tcPr>
          <w:p>
            <w:pPr>
              <w:spacing w:line="360" w:lineRule="auto"/>
              <w:jc w:val="center"/>
              <w:rPr>
                <w:rFonts w:ascii="宋体" w:hAnsi="宋体"/>
                <w:sz w:val="24"/>
                <w:highlight w:val="none"/>
              </w:rPr>
            </w:pPr>
          </w:p>
        </w:tc>
        <w:tc>
          <w:tcPr>
            <w:tcW w:w="999" w:type="pct"/>
            <w:tcBorders>
              <w:top w:val="single" w:color="auto" w:sz="4" w:space="0"/>
              <w:left w:val="single" w:color="auto" w:sz="4" w:space="0"/>
              <w:bottom w:val="single" w:color="auto" w:sz="4" w:space="0"/>
              <w:right w:val="single" w:color="auto" w:sz="4" w:space="0"/>
            </w:tcBorders>
            <w:noWrap/>
            <w:vAlign w:val="center"/>
          </w:tcPr>
          <w:p>
            <w:pPr>
              <w:spacing w:line="360" w:lineRule="auto"/>
              <w:jc w:val="center"/>
              <w:rPr>
                <w:rFonts w:ascii="宋体" w:hAnsi="宋体"/>
                <w:sz w:val="24"/>
                <w:highlight w:val="none"/>
              </w:rPr>
            </w:pPr>
          </w:p>
        </w:tc>
        <w:tc>
          <w:tcPr>
            <w:tcW w:w="1073" w:type="pct"/>
            <w:tcBorders>
              <w:top w:val="single" w:color="auto" w:sz="4" w:space="0"/>
              <w:left w:val="single" w:color="auto" w:sz="4" w:space="0"/>
              <w:bottom w:val="single" w:color="auto" w:sz="4" w:space="0"/>
              <w:right w:val="single" w:color="auto" w:sz="12" w:space="0"/>
            </w:tcBorders>
            <w:noWrap/>
            <w:vAlign w:val="center"/>
          </w:tcPr>
          <w:p>
            <w:pPr>
              <w:spacing w:line="360" w:lineRule="auto"/>
              <w:jc w:val="center"/>
              <w:rPr>
                <w:rFonts w:ascii="宋体" w:hAnsi="宋体"/>
                <w:sz w:val="24"/>
                <w:highlight w:val="none"/>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821" w:type="pct"/>
            <w:tcBorders>
              <w:top w:val="single" w:color="auto" w:sz="4" w:space="0"/>
              <w:left w:val="single" w:color="auto" w:sz="12" w:space="0"/>
              <w:bottom w:val="single" w:color="auto" w:sz="4" w:space="0"/>
              <w:right w:val="single" w:color="auto" w:sz="4" w:space="0"/>
            </w:tcBorders>
            <w:noWrap/>
          </w:tcPr>
          <w:p>
            <w:pPr>
              <w:spacing w:line="360" w:lineRule="auto"/>
              <w:jc w:val="center"/>
              <w:rPr>
                <w:rFonts w:ascii="宋体" w:hAnsi="宋体"/>
                <w:sz w:val="24"/>
                <w:highlight w:val="none"/>
              </w:rPr>
            </w:pPr>
          </w:p>
        </w:tc>
        <w:tc>
          <w:tcPr>
            <w:tcW w:w="1033" w:type="pct"/>
            <w:tcBorders>
              <w:top w:val="single" w:color="auto" w:sz="4" w:space="0"/>
              <w:left w:val="single" w:color="auto" w:sz="4" w:space="0"/>
              <w:bottom w:val="single" w:color="auto" w:sz="4" w:space="0"/>
              <w:right w:val="single" w:color="auto" w:sz="4" w:space="0"/>
            </w:tcBorders>
            <w:noWrap/>
            <w:vAlign w:val="center"/>
          </w:tcPr>
          <w:p>
            <w:pPr>
              <w:spacing w:line="360" w:lineRule="auto"/>
              <w:jc w:val="center"/>
              <w:rPr>
                <w:rFonts w:ascii="宋体" w:hAnsi="宋体"/>
                <w:sz w:val="24"/>
                <w:highlight w:val="none"/>
              </w:rPr>
            </w:pPr>
          </w:p>
        </w:tc>
        <w:tc>
          <w:tcPr>
            <w:tcW w:w="1072" w:type="pct"/>
            <w:tcBorders>
              <w:top w:val="single" w:color="auto" w:sz="4" w:space="0"/>
              <w:left w:val="single" w:color="auto" w:sz="4" w:space="0"/>
              <w:bottom w:val="single" w:color="auto" w:sz="4" w:space="0"/>
              <w:right w:val="single" w:color="auto" w:sz="4" w:space="0"/>
            </w:tcBorders>
            <w:noWrap/>
          </w:tcPr>
          <w:p>
            <w:pPr>
              <w:spacing w:line="360" w:lineRule="auto"/>
              <w:jc w:val="center"/>
              <w:rPr>
                <w:rFonts w:ascii="宋体" w:hAnsi="宋体"/>
                <w:sz w:val="24"/>
                <w:highlight w:val="none"/>
              </w:rPr>
            </w:pPr>
          </w:p>
        </w:tc>
        <w:tc>
          <w:tcPr>
            <w:tcW w:w="999" w:type="pct"/>
            <w:tcBorders>
              <w:top w:val="single" w:color="auto" w:sz="4" w:space="0"/>
              <w:left w:val="single" w:color="auto" w:sz="4" w:space="0"/>
              <w:bottom w:val="single" w:color="auto" w:sz="4" w:space="0"/>
              <w:right w:val="single" w:color="auto" w:sz="4" w:space="0"/>
            </w:tcBorders>
            <w:noWrap/>
            <w:vAlign w:val="center"/>
          </w:tcPr>
          <w:p>
            <w:pPr>
              <w:spacing w:line="360" w:lineRule="auto"/>
              <w:jc w:val="center"/>
              <w:rPr>
                <w:rFonts w:ascii="宋体" w:hAnsi="宋体"/>
                <w:sz w:val="24"/>
                <w:highlight w:val="none"/>
              </w:rPr>
            </w:pPr>
          </w:p>
        </w:tc>
        <w:tc>
          <w:tcPr>
            <w:tcW w:w="1073" w:type="pct"/>
            <w:tcBorders>
              <w:top w:val="single" w:color="auto" w:sz="4" w:space="0"/>
              <w:left w:val="single" w:color="auto" w:sz="4" w:space="0"/>
              <w:bottom w:val="single" w:color="auto" w:sz="4" w:space="0"/>
              <w:right w:val="single" w:color="auto" w:sz="12" w:space="0"/>
            </w:tcBorders>
            <w:noWrap/>
            <w:vAlign w:val="center"/>
          </w:tcPr>
          <w:p>
            <w:pPr>
              <w:spacing w:line="360" w:lineRule="auto"/>
              <w:jc w:val="center"/>
              <w:rPr>
                <w:rFonts w:ascii="宋体" w:hAnsi="宋体"/>
                <w:sz w:val="24"/>
                <w:highlight w:val="none"/>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PrEx>
        <w:trPr>
          <w:trHeight w:val="454" w:hRule="exact"/>
          <w:jc w:val="center"/>
        </w:trPr>
        <w:tc>
          <w:tcPr>
            <w:tcW w:w="821" w:type="pct"/>
            <w:tcBorders>
              <w:top w:val="single" w:color="auto" w:sz="4" w:space="0"/>
              <w:left w:val="single" w:color="auto" w:sz="12" w:space="0"/>
              <w:bottom w:val="single" w:color="auto" w:sz="12" w:space="0"/>
              <w:right w:val="single" w:color="auto" w:sz="4" w:space="0"/>
            </w:tcBorders>
            <w:noWrap/>
          </w:tcPr>
          <w:p>
            <w:pPr>
              <w:spacing w:line="360" w:lineRule="auto"/>
              <w:jc w:val="center"/>
              <w:rPr>
                <w:rFonts w:ascii="宋体" w:hAnsi="宋体"/>
                <w:sz w:val="24"/>
                <w:highlight w:val="none"/>
              </w:rPr>
            </w:pPr>
            <w:r>
              <w:rPr>
                <w:rFonts w:ascii="宋体" w:hAnsi="宋体"/>
                <w:sz w:val="24"/>
                <w:highlight w:val="none"/>
              </w:rPr>
              <w:t>……</w:t>
            </w:r>
          </w:p>
        </w:tc>
        <w:tc>
          <w:tcPr>
            <w:tcW w:w="1033" w:type="pct"/>
            <w:tcBorders>
              <w:top w:val="single" w:color="auto" w:sz="4" w:space="0"/>
              <w:left w:val="single" w:color="auto" w:sz="4" w:space="0"/>
              <w:bottom w:val="single" w:color="auto" w:sz="12" w:space="0"/>
              <w:right w:val="single" w:color="auto" w:sz="4" w:space="0"/>
            </w:tcBorders>
            <w:noWrap/>
            <w:vAlign w:val="center"/>
          </w:tcPr>
          <w:p>
            <w:pPr>
              <w:spacing w:line="360" w:lineRule="auto"/>
              <w:jc w:val="center"/>
              <w:rPr>
                <w:rFonts w:ascii="宋体" w:hAnsi="宋体"/>
                <w:sz w:val="24"/>
                <w:highlight w:val="none"/>
              </w:rPr>
            </w:pPr>
          </w:p>
        </w:tc>
        <w:tc>
          <w:tcPr>
            <w:tcW w:w="1072" w:type="pct"/>
            <w:tcBorders>
              <w:top w:val="single" w:color="auto" w:sz="4" w:space="0"/>
              <w:left w:val="single" w:color="auto" w:sz="4" w:space="0"/>
              <w:bottom w:val="single" w:color="auto" w:sz="12" w:space="0"/>
              <w:right w:val="single" w:color="auto" w:sz="4" w:space="0"/>
            </w:tcBorders>
            <w:noWrap/>
          </w:tcPr>
          <w:p>
            <w:pPr>
              <w:spacing w:line="360" w:lineRule="auto"/>
              <w:jc w:val="center"/>
              <w:rPr>
                <w:rFonts w:ascii="宋体" w:hAnsi="宋体"/>
                <w:sz w:val="24"/>
                <w:highlight w:val="none"/>
              </w:rPr>
            </w:pPr>
          </w:p>
        </w:tc>
        <w:tc>
          <w:tcPr>
            <w:tcW w:w="999" w:type="pct"/>
            <w:tcBorders>
              <w:top w:val="single" w:color="auto" w:sz="4" w:space="0"/>
              <w:left w:val="single" w:color="auto" w:sz="4" w:space="0"/>
              <w:bottom w:val="single" w:color="auto" w:sz="12" w:space="0"/>
              <w:right w:val="single" w:color="auto" w:sz="4" w:space="0"/>
            </w:tcBorders>
            <w:noWrap/>
            <w:vAlign w:val="center"/>
          </w:tcPr>
          <w:p>
            <w:pPr>
              <w:spacing w:line="360" w:lineRule="auto"/>
              <w:jc w:val="center"/>
              <w:rPr>
                <w:rFonts w:ascii="宋体" w:hAnsi="宋体"/>
                <w:sz w:val="24"/>
                <w:highlight w:val="none"/>
              </w:rPr>
            </w:pPr>
          </w:p>
        </w:tc>
        <w:tc>
          <w:tcPr>
            <w:tcW w:w="1073" w:type="pct"/>
            <w:tcBorders>
              <w:top w:val="single" w:color="auto" w:sz="4" w:space="0"/>
              <w:left w:val="single" w:color="auto" w:sz="4" w:space="0"/>
              <w:bottom w:val="single" w:color="auto" w:sz="12" w:space="0"/>
              <w:right w:val="single" w:color="auto" w:sz="12" w:space="0"/>
            </w:tcBorders>
            <w:noWrap/>
            <w:vAlign w:val="center"/>
          </w:tcPr>
          <w:p>
            <w:pPr>
              <w:spacing w:line="360" w:lineRule="auto"/>
              <w:jc w:val="center"/>
              <w:rPr>
                <w:rFonts w:ascii="宋体" w:hAnsi="宋体"/>
                <w:sz w:val="24"/>
                <w:highlight w:val="none"/>
              </w:rPr>
            </w:pPr>
          </w:p>
        </w:tc>
      </w:tr>
    </w:tbl>
    <w:p>
      <w:pPr>
        <w:pStyle w:val="22"/>
        <w:snapToGrid w:val="0"/>
        <w:spacing w:line="300" w:lineRule="auto"/>
        <w:ind w:firstLine="480" w:firstLineChars="200"/>
        <w:contextualSpacing/>
        <w:rPr>
          <w:rFonts w:hAnsi="宋体" w:cs="宋体"/>
          <w:color w:val="000000"/>
          <w:sz w:val="24"/>
          <w:szCs w:val="24"/>
          <w:highlight w:val="none"/>
        </w:rPr>
      </w:pPr>
    </w:p>
    <w:p>
      <w:pPr>
        <w:pStyle w:val="22"/>
        <w:snapToGrid w:val="0"/>
        <w:spacing w:line="300" w:lineRule="auto"/>
        <w:contextualSpacing/>
        <w:rPr>
          <w:rFonts w:hAnsi="宋体" w:cs="宋体"/>
          <w:b/>
          <w:sz w:val="24"/>
          <w:szCs w:val="24"/>
          <w:highlight w:val="none"/>
        </w:rPr>
      </w:pPr>
      <w:r>
        <w:rPr>
          <w:rFonts w:hint="eastAsia" w:hAnsi="宋体" w:cs="宋体"/>
          <w:b/>
          <w:sz w:val="24"/>
          <w:szCs w:val="24"/>
          <w:highlight w:val="none"/>
        </w:rPr>
        <w:t>注：</w:t>
      </w:r>
    </w:p>
    <w:p>
      <w:pPr>
        <w:pStyle w:val="22"/>
        <w:snapToGrid w:val="0"/>
        <w:spacing w:line="300" w:lineRule="auto"/>
        <w:ind w:firstLine="480" w:firstLineChars="200"/>
        <w:contextualSpacing/>
        <w:rPr>
          <w:rFonts w:hAnsi="宋体" w:cs="宋体"/>
          <w:color w:val="000000"/>
          <w:sz w:val="24"/>
          <w:szCs w:val="24"/>
          <w:highlight w:val="none"/>
        </w:rPr>
      </w:pPr>
      <w:r>
        <w:rPr>
          <w:rFonts w:hint="eastAsia" w:hAnsi="宋体" w:cs="宋体"/>
          <w:color w:val="000000"/>
          <w:sz w:val="24"/>
          <w:szCs w:val="24"/>
          <w:highlight w:val="none"/>
        </w:rPr>
        <w:t>1.供应商提交的响应文件中应将招标文件第三部分“项目需求说明” 中的商务、技术部分逐条填列在偏离表中。</w:t>
      </w:r>
    </w:p>
    <w:p>
      <w:pPr>
        <w:pStyle w:val="22"/>
        <w:snapToGrid w:val="0"/>
        <w:spacing w:line="300" w:lineRule="auto"/>
        <w:ind w:firstLine="480" w:firstLineChars="200"/>
        <w:contextualSpacing/>
        <w:rPr>
          <w:rFonts w:hAnsi="宋体" w:cs="宋体"/>
          <w:sz w:val="24"/>
          <w:szCs w:val="24"/>
          <w:highlight w:val="none"/>
        </w:rPr>
      </w:pPr>
      <w:r>
        <w:rPr>
          <w:rFonts w:hint="eastAsia" w:hAnsi="宋体" w:cs="宋体"/>
          <w:color w:val="000000"/>
          <w:sz w:val="24"/>
          <w:szCs w:val="24"/>
          <w:highlight w:val="none"/>
        </w:rPr>
        <w:t>2.</w:t>
      </w:r>
      <w:r>
        <w:rPr>
          <w:rFonts w:hint="eastAsia" w:hAnsi="宋体" w:cs="宋体"/>
          <w:sz w:val="24"/>
          <w:szCs w:val="24"/>
          <w:highlight w:val="none"/>
        </w:rPr>
        <w:t>“偏离说明”一栏选择“正偏离”、“负偏离”进行填写。正偏离的确认和</w:t>
      </w:r>
      <w:r>
        <w:rPr>
          <w:rFonts w:hint="eastAsia" w:hAnsi="宋体" w:cs="宋体"/>
          <w:color w:val="000000"/>
          <w:sz w:val="24"/>
          <w:szCs w:val="24"/>
          <w:highlight w:val="none"/>
        </w:rPr>
        <w:t>负偏离的是否相应招标文件，经三分之二评委认定。</w:t>
      </w:r>
    </w:p>
    <w:p>
      <w:pPr>
        <w:snapToGrid w:val="0"/>
        <w:spacing w:line="300" w:lineRule="auto"/>
        <w:ind w:firstLine="480" w:firstLineChars="200"/>
        <w:contextualSpacing/>
        <w:rPr>
          <w:rFonts w:ascii="宋体" w:hAnsi="宋体" w:cs="宋体"/>
          <w:sz w:val="24"/>
          <w:highlight w:val="none"/>
        </w:rPr>
      </w:pPr>
      <w:r>
        <w:rPr>
          <w:rFonts w:hint="eastAsia" w:ascii="宋体" w:hAnsi="宋体" w:cs="宋体"/>
          <w:sz w:val="24"/>
          <w:highlight w:val="none"/>
        </w:rPr>
        <w:t>3.响应人如果虚假响应，将承担被没收全额/部分响应保证金或被暂停参加南通市政府采购中心组织政府采购活动的风险。</w:t>
      </w:r>
    </w:p>
    <w:p>
      <w:pPr>
        <w:snapToGrid w:val="0"/>
        <w:spacing w:line="360" w:lineRule="auto"/>
        <w:ind w:firstLine="480" w:firstLineChars="200"/>
        <w:contextualSpacing/>
        <w:rPr>
          <w:rFonts w:ascii="宋体" w:hAnsi="宋体"/>
          <w:sz w:val="24"/>
          <w:highlight w:val="none"/>
        </w:rPr>
      </w:pPr>
      <w:r>
        <w:rPr>
          <w:rFonts w:hint="eastAsia" w:ascii="宋体" w:hAnsi="宋体" w:cs="宋体"/>
          <w:bCs/>
          <w:sz w:val="24"/>
          <w:highlight w:val="none"/>
        </w:rPr>
        <w:t>4.供应商若提供其他增值服务，可以在表中自行据实填写。</w:t>
      </w:r>
    </w:p>
    <w:p>
      <w:pPr>
        <w:spacing w:line="360" w:lineRule="auto"/>
        <w:ind w:firstLine="1560" w:firstLineChars="650"/>
        <w:rPr>
          <w:rFonts w:ascii="宋体" w:hAnsi="宋体"/>
          <w:sz w:val="24"/>
          <w:highlight w:val="none"/>
        </w:rPr>
      </w:pPr>
      <w:r>
        <w:rPr>
          <w:rFonts w:ascii="宋体" w:hAnsi="宋体"/>
          <w:sz w:val="24"/>
          <w:highlight w:val="none"/>
        </w:rPr>
        <w:t xml:space="preserve">             投标供应商：（加盖公章）</w:t>
      </w:r>
    </w:p>
    <w:p>
      <w:pPr>
        <w:spacing w:line="360" w:lineRule="auto"/>
        <w:ind w:firstLine="1560" w:firstLineChars="650"/>
        <w:rPr>
          <w:rFonts w:ascii="宋体" w:hAnsi="宋体"/>
          <w:sz w:val="24"/>
          <w:highlight w:val="none"/>
        </w:rPr>
      </w:pPr>
      <w:r>
        <w:rPr>
          <w:rFonts w:ascii="宋体" w:hAnsi="宋体"/>
          <w:sz w:val="24"/>
          <w:highlight w:val="none"/>
        </w:rPr>
        <w:t>法定代表人或被授权人：（签字或盖章）</w:t>
      </w:r>
    </w:p>
    <w:p>
      <w:pPr>
        <w:snapToGrid w:val="0"/>
        <w:spacing w:line="440" w:lineRule="exact"/>
        <w:ind w:firstLine="480" w:firstLineChars="200"/>
        <w:contextualSpacing/>
        <w:jc w:val="right"/>
        <w:outlineLvl w:val="4"/>
        <w:rPr>
          <w:rFonts w:ascii="宋体" w:hAnsi="宋体"/>
          <w:sz w:val="24"/>
          <w:highlight w:val="none"/>
        </w:rPr>
      </w:pPr>
      <w:r>
        <w:rPr>
          <w:rFonts w:ascii="宋体" w:hAnsi="宋体"/>
          <w:sz w:val="24"/>
          <w:highlight w:val="none"/>
        </w:rPr>
        <w:t>年    月    日</w:t>
      </w:r>
    </w:p>
    <w:p>
      <w:pPr>
        <w:rPr>
          <w:rFonts w:ascii="宋体" w:hAnsi="宋体"/>
          <w:sz w:val="24"/>
          <w:highlight w:val="none"/>
        </w:rPr>
      </w:pPr>
      <w:r>
        <w:rPr>
          <w:rFonts w:ascii="宋体" w:hAnsi="宋体"/>
          <w:sz w:val="24"/>
          <w:highlight w:val="none"/>
        </w:rPr>
        <w:br w:type="page"/>
      </w:r>
    </w:p>
    <w:p>
      <w:pPr>
        <w:spacing w:line="480" w:lineRule="exact"/>
        <w:jc w:val="center"/>
        <w:rPr>
          <w:rFonts w:ascii="宋体" w:hAnsi="宋体" w:cs="宋体"/>
          <w:b/>
          <w:sz w:val="24"/>
          <w:highlight w:val="none"/>
        </w:rPr>
      </w:pPr>
      <w:r>
        <w:rPr>
          <w:rFonts w:hint="eastAsia" w:ascii="宋体" w:hAnsi="宋体" w:cs="宋体"/>
          <w:b/>
          <w:sz w:val="24"/>
          <w:highlight w:val="none"/>
        </w:rPr>
        <w:t>4.商务部分正负偏离表</w:t>
      </w:r>
    </w:p>
    <w:p>
      <w:pPr>
        <w:ind w:firstLine="480" w:firstLineChars="200"/>
        <w:jc w:val="center"/>
        <w:rPr>
          <w:rFonts w:ascii="宋体" w:hAnsi="宋体" w:cs="宋体"/>
          <w:sz w:val="24"/>
          <w:highlight w:val="none"/>
        </w:rPr>
      </w:pPr>
      <w:r>
        <w:rPr>
          <w:rFonts w:hint="eastAsia" w:ascii="宋体" w:hAnsi="宋体" w:cs="宋体"/>
          <w:sz w:val="24"/>
          <w:highlight w:val="none"/>
        </w:rPr>
        <w:t>（由响应人据实提交，表格不够自行添加）</w:t>
      </w:r>
    </w:p>
    <w:p>
      <w:pPr>
        <w:pStyle w:val="19"/>
        <w:rPr>
          <w:rFonts w:ascii="宋体" w:hAnsi="宋体" w:eastAsia="宋体" w:cs="宋体"/>
          <w:kern w:val="2"/>
          <w:szCs w:val="24"/>
          <w:highlight w:val="none"/>
        </w:rPr>
      </w:pPr>
      <w:r>
        <w:rPr>
          <w:rFonts w:hint="eastAsia" w:ascii="宋体" w:hAnsi="宋体" w:eastAsia="宋体" w:cs="宋体"/>
          <w:kern w:val="2"/>
          <w:szCs w:val="24"/>
          <w:highlight w:val="none"/>
        </w:rPr>
        <w:t>项目名称+全部所投标段号：</w:t>
      </w:r>
    </w:p>
    <w:p>
      <w:pPr>
        <w:rPr>
          <w:highlight w:val="none"/>
        </w:rPr>
      </w:pPr>
      <w:r>
        <w:rPr>
          <w:rFonts w:hint="eastAsia" w:ascii="宋体" w:hAnsi="宋体" w:cs="宋体"/>
          <w:sz w:val="24"/>
          <w:highlight w:val="none"/>
        </w:rPr>
        <w:t>项目编号：</w:t>
      </w:r>
    </w:p>
    <w:tbl>
      <w:tblPr>
        <w:tblStyle w:val="41"/>
        <w:tblW w:w="8739" w:type="dxa"/>
        <w:tblInd w:w="16"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857"/>
        <w:gridCol w:w="1189"/>
        <w:gridCol w:w="2936"/>
        <w:gridCol w:w="2340"/>
        <w:gridCol w:w="1417"/>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994" w:hRule="atLeast"/>
        </w:trPr>
        <w:tc>
          <w:tcPr>
            <w:tcW w:w="857" w:type="dxa"/>
            <w:tcBorders>
              <w:top w:val="single" w:color="auto" w:sz="12" w:space="0"/>
              <w:left w:val="single" w:color="auto" w:sz="12" w:space="0"/>
              <w:bottom w:val="single" w:color="auto" w:sz="6" w:space="0"/>
              <w:right w:val="single" w:color="auto" w:sz="6" w:space="0"/>
            </w:tcBorders>
            <w:noWrap/>
            <w:vAlign w:val="center"/>
          </w:tcPr>
          <w:p>
            <w:pPr>
              <w:spacing w:line="340" w:lineRule="exact"/>
              <w:jc w:val="center"/>
              <w:rPr>
                <w:rFonts w:ascii="宋体" w:hAnsi="宋体" w:cs="宋体"/>
                <w:sz w:val="24"/>
                <w:highlight w:val="none"/>
              </w:rPr>
            </w:pPr>
            <w:r>
              <w:rPr>
                <w:rFonts w:hint="eastAsia" w:ascii="宋体" w:hAnsi="宋体" w:cs="宋体"/>
                <w:sz w:val="24"/>
                <w:highlight w:val="none"/>
              </w:rPr>
              <w:t>序号</w:t>
            </w:r>
          </w:p>
        </w:tc>
        <w:tc>
          <w:tcPr>
            <w:tcW w:w="1189" w:type="dxa"/>
            <w:tcBorders>
              <w:top w:val="single" w:color="auto" w:sz="12" w:space="0"/>
              <w:left w:val="single" w:color="auto" w:sz="6" w:space="0"/>
              <w:bottom w:val="single" w:color="auto" w:sz="6" w:space="0"/>
              <w:right w:val="single" w:color="auto" w:sz="6" w:space="0"/>
            </w:tcBorders>
            <w:noWrap/>
            <w:vAlign w:val="center"/>
          </w:tcPr>
          <w:p>
            <w:pPr>
              <w:spacing w:line="340" w:lineRule="exact"/>
              <w:jc w:val="center"/>
              <w:rPr>
                <w:rFonts w:ascii="宋体" w:hAnsi="宋体" w:cs="宋体"/>
                <w:sz w:val="24"/>
                <w:highlight w:val="none"/>
              </w:rPr>
            </w:pPr>
            <w:r>
              <w:rPr>
                <w:rFonts w:hint="eastAsia" w:ascii="宋体" w:hAnsi="宋体" w:cs="宋体"/>
                <w:sz w:val="24"/>
                <w:highlight w:val="none"/>
              </w:rPr>
              <w:t>货物或服务名称</w:t>
            </w:r>
          </w:p>
        </w:tc>
        <w:tc>
          <w:tcPr>
            <w:tcW w:w="2936" w:type="dxa"/>
            <w:tcBorders>
              <w:top w:val="single" w:color="auto" w:sz="12" w:space="0"/>
              <w:left w:val="single" w:color="auto" w:sz="6" w:space="0"/>
              <w:bottom w:val="single" w:color="auto" w:sz="6" w:space="0"/>
              <w:right w:val="single" w:color="auto" w:sz="6" w:space="0"/>
            </w:tcBorders>
            <w:noWrap/>
            <w:vAlign w:val="center"/>
          </w:tcPr>
          <w:p>
            <w:pPr>
              <w:spacing w:line="340" w:lineRule="exact"/>
              <w:jc w:val="center"/>
              <w:rPr>
                <w:rFonts w:ascii="宋体" w:hAnsi="宋体" w:cs="宋体"/>
                <w:sz w:val="24"/>
                <w:highlight w:val="none"/>
              </w:rPr>
            </w:pPr>
            <w:r>
              <w:rPr>
                <w:rFonts w:hint="eastAsia" w:ascii="宋体" w:hAnsi="宋体" w:cs="宋体"/>
                <w:sz w:val="24"/>
                <w:highlight w:val="none"/>
              </w:rPr>
              <w:t>招标文件要求</w:t>
            </w:r>
          </w:p>
        </w:tc>
        <w:tc>
          <w:tcPr>
            <w:tcW w:w="2340" w:type="dxa"/>
            <w:tcBorders>
              <w:top w:val="single" w:color="auto" w:sz="12" w:space="0"/>
              <w:left w:val="single" w:color="auto" w:sz="6" w:space="0"/>
              <w:bottom w:val="single" w:color="auto" w:sz="6" w:space="0"/>
              <w:right w:val="single" w:color="auto" w:sz="6" w:space="0"/>
            </w:tcBorders>
            <w:noWrap/>
            <w:vAlign w:val="center"/>
          </w:tcPr>
          <w:p>
            <w:pPr>
              <w:spacing w:line="340" w:lineRule="exact"/>
              <w:jc w:val="center"/>
              <w:rPr>
                <w:rFonts w:ascii="宋体" w:hAnsi="宋体" w:cs="宋体"/>
                <w:sz w:val="24"/>
                <w:highlight w:val="none"/>
              </w:rPr>
            </w:pPr>
            <w:r>
              <w:rPr>
                <w:rFonts w:hint="eastAsia" w:ascii="宋体" w:hAnsi="宋体" w:cs="宋体"/>
                <w:sz w:val="24"/>
                <w:highlight w:val="none"/>
              </w:rPr>
              <w:t>响应文件响应情况</w:t>
            </w:r>
          </w:p>
        </w:tc>
        <w:tc>
          <w:tcPr>
            <w:tcW w:w="1417" w:type="dxa"/>
            <w:tcBorders>
              <w:top w:val="single" w:color="auto" w:sz="12" w:space="0"/>
              <w:left w:val="single" w:color="auto" w:sz="6" w:space="0"/>
              <w:bottom w:val="single" w:color="auto" w:sz="6" w:space="0"/>
              <w:right w:val="single" w:color="auto" w:sz="12" w:space="0"/>
            </w:tcBorders>
            <w:noWrap/>
          </w:tcPr>
          <w:p>
            <w:pPr>
              <w:spacing w:line="340" w:lineRule="exact"/>
              <w:jc w:val="center"/>
              <w:rPr>
                <w:rFonts w:ascii="宋体" w:hAnsi="宋体" w:cs="宋体"/>
                <w:sz w:val="24"/>
                <w:highlight w:val="none"/>
              </w:rPr>
            </w:pPr>
          </w:p>
          <w:p>
            <w:pPr>
              <w:spacing w:line="340" w:lineRule="exact"/>
              <w:jc w:val="center"/>
              <w:rPr>
                <w:rFonts w:ascii="宋体" w:hAnsi="宋体" w:cs="宋体"/>
                <w:sz w:val="24"/>
                <w:highlight w:val="none"/>
              </w:rPr>
            </w:pPr>
            <w:r>
              <w:rPr>
                <w:rFonts w:hint="eastAsia" w:ascii="宋体" w:hAnsi="宋体" w:cs="宋体"/>
                <w:sz w:val="24"/>
                <w:highlight w:val="none"/>
              </w:rPr>
              <w:t>偏离说明</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14" w:hRule="atLeast"/>
        </w:trPr>
        <w:tc>
          <w:tcPr>
            <w:tcW w:w="857" w:type="dxa"/>
            <w:tcBorders>
              <w:top w:val="single" w:color="auto" w:sz="6" w:space="0"/>
              <w:left w:val="single" w:color="auto" w:sz="12" w:space="0"/>
              <w:bottom w:val="single" w:color="auto" w:sz="6" w:space="0"/>
              <w:right w:val="single" w:color="auto" w:sz="6" w:space="0"/>
            </w:tcBorders>
            <w:noWrap/>
          </w:tcPr>
          <w:p>
            <w:pPr>
              <w:spacing w:line="340" w:lineRule="exact"/>
              <w:jc w:val="center"/>
              <w:rPr>
                <w:rFonts w:ascii="宋体" w:hAnsi="宋体" w:cs="宋体"/>
                <w:sz w:val="24"/>
                <w:highlight w:val="none"/>
              </w:rPr>
            </w:pPr>
            <w:r>
              <w:rPr>
                <w:rFonts w:hint="eastAsia" w:ascii="宋体" w:hAnsi="宋体" w:cs="宋体"/>
                <w:sz w:val="24"/>
                <w:highlight w:val="none"/>
              </w:rPr>
              <w:t>1</w:t>
            </w:r>
          </w:p>
        </w:tc>
        <w:tc>
          <w:tcPr>
            <w:tcW w:w="1189" w:type="dxa"/>
            <w:tcBorders>
              <w:top w:val="single" w:color="auto" w:sz="6" w:space="0"/>
              <w:left w:val="single" w:color="auto" w:sz="6" w:space="0"/>
              <w:bottom w:val="single" w:color="auto" w:sz="6" w:space="0"/>
              <w:right w:val="single" w:color="auto" w:sz="6" w:space="0"/>
            </w:tcBorders>
            <w:noWrap/>
            <w:vAlign w:val="center"/>
          </w:tcPr>
          <w:p>
            <w:pPr>
              <w:spacing w:line="340" w:lineRule="exact"/>
              <w:jc w:val="center"/>
              <w:rPr>
                <w:rFonts w:ascii="宋体" w:hAnsi="宋体" w:cs="宋体"/>
                <w:sz w:val="24"/>
                <w:highlight w:val="none"/>
              </w:rPr>
            </w:pPr>
          </w:p>
        </w:tc>
        <w:tc>
          <w:tcPr>
            <w:tcW w:w="2936" w:type="dxa"/>
            <w:tcBorders>
              <w:top w:val="single" w:color="auto" w:sz="6" w:space="0"/>
              <w:left w:val="single" w:color="auto" w:sz="6" w:space="0"/>
              <w:bottom w:val="single" w:color="auto" w:sz="6" w:space="0"/>
              <w:right w:val="single" w:color="auto" w:sz="6" w:space="0"/>
            </w:tcBorders>
            <w:noWrap/>
            <w:vAlign w:val="center"/>
          </w:tcPr>
          <w:p>
            <w:pPr>
              <w:spacing w:line="340" w:lineRule="exact"/>
              <w:jc w:val="center"/>
              <w:rPr>
                <w:rFonts w:ascii="宋体" w:hAnsi="宋体" w:cs="宋体"/>
                <w:sz w:val="24"/>
                <w:highlight w:val="none"/>
              </w:rPr>
            </w:pPr>
          </w:p>
        </w:tc>
        <w:tc>
          <w:tcPr>
            <w:tcW w:w="2340" w:type="dxa"/>
            <w:tcBorders>
              <w:top w:val="single" w:color="auto" w:sz="6" w:space="0"/>
              <w:left w:val="single" w:color="auto" w:sz="6" w:space="0"/>
              <w:bottom w:val="single" w:color="auto" w:sz="6" w:space="0"/>
              <w:right w:val="single" w:color="auto" w:sz="6" w:space="0"/>
            </w:tcBorders>
            <w:noWrap/>
            <w:vAlign w:val="center"/>
          </w:tcPr>
          <w:p>
            <w:pPr>
              <w:spacing w:line="340" w:lineRule="exact"/>
              <w:rPr>
                <w:rFonts w:ascii="宋体" w:hAnsi="宋体" w:cs="宋体"/>
                <w:sz w:val="24"/>
                <w:highlight w:val="none"/>
              </w:rPr>
            </w:pPr>
          </w:p>
        </w:tc>
        <w:tc>
          <w:tcPr>
            <w:tcW w:w="1417" w:type="dxa"/>
            <w:tcBorders>
              <w:top w:val="single" w:color="auto" w:sz="6" w:space="0"/>
              <w:left w:val="single" w:color="auto" w:sz="6" w:space="0"/>
              <w:bottom w:val="single" w:color="auto" w:sz="6" w:space="0"/>
              <w:right w:val="single" w:color="auto" w:sz="12" w:space="0"/>
            </w:tcBorders>
            <w:noWrap/>
          </w:tcPr>
          <w:p>
            <w:pPr>
              <w:spacing w:line="340" w:lineRule="exact"/>
              <w:rPr>
                <w:rFonts w:ascii="宋体" w:hAnsi="宋体" w:cs="宋体"/>
                <w:sz w:val="24"/>
                <w:highlight w:val="none"/>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48" w:hRule="atLeast"/>
        </w:trPr>
        <w:tc>
          <w:tcPr>
            <w:tcW w:w="857" w:type="dxa"/>
            <w:tcBorders>
              <w:top w:val="single" w:color="auto" w:sz="6" w:space="0"/>
              <w:left w:val="single" w:color="auto" w:sz="12" w:space="0"/>
              <w:bottom w:val="single" w:color="auto" w:sz="6" w:space="0"/>
              <w:right w:val="single" w:color="auto" w:sz="6" w:space="0"/>
            </w:tcBorders>
            <w:noWrap/>
          </w:tcPr>
          <w:p>
            <w:pPr>
              <w:spacing w:line="340" w:lineRule="exact"/>
              <w:jc w:val="center"/>
              <w:rPr>
                <w:rFonts w:ascii="宋体" w:hAnsi="宋体" w:cs="宋体"/>
                <w:sz w:val="24"/>
                <w:highlight w:val="none"/>
              </w:rPr>
            </w:pPr>
            <w:r>
              <w:rPr>
                <w:rFonts w:hint="eastAsia" w:ascii="宋体" w:hAnsi="宋体" w:cs="宋体"/>
                <w:sz w:val="24"/>
                <w:highlight w:val="none"/>
              </w:rPr>
              <w:t>2</w:t>
            </w:r>
          </w:p>
        </w:tc>
        <w:tc>
          <w:tcPr>
            <w:tcW w:w="1189" w:type="dxa"/>
            <w:tcBorders>
              <w:top w:val="single" w:color="auto" w:sz="6" w:space="0"/>
              <w:left w:val="single" w:color="auto" w:sz="6" w:space="0"/>
              <w:bottom w:val="single" w:color="auto" w:sz="6" w:space="0"/>
              <w:right w:val="single" w:color="auto" w:sz="6" w:space="0"/>
            </w:tcBorders>
            <w:noWrap/>
            <w:vAlign w:val="center"/>
          </w:tcPr>
          <w:p>
            <w:pPr>
              <w:spacing w:line="340" w:lineRule="exact"/>
              <w:jc w:val="center"/>
              <w:rPr>
                <w:rFonts w:ascii="宋体" w:hAnsi="宋体" w:cs="宋体"/>
                <w:sz w:val="24"/>
                <w:highlight w:val="none"/>
              </w:rPr>
            </w:pPr>
          </w:p>
        </w:tc>
        <w:tc>
          <w:tcPr>
            <w:tcW w:w="2936" w:type="dxa"/>
            <w:tcBorders>
              <w:top w:val="single" w:color="auto" w:sz="6" w:space="0"/>
              <w:left w:val="single" w:color="auto" w:sz="6" w:space="0"/>
              <w:bottom w:val="single" w:color="auto" w:sz="6" w:space="0"/>
              <w:right w:val="single" w:color="auto" w:sz="6" w:space="0"/>
            </w:tcBorders>
            <w:noWrap/>
            <w:vAlign w:val="center"/>
          </w:tcPr>
          <w:p>
            <w:pPr>
              <w:spacing w:line="340" w:lineRule="exact"/>
              <w:jc w:val="center"/>
              <w:rPr>
                <w:rFonts w:ascii="宋体" w:hAnsi="宋体" w:cs="宋体"/>
                <w:sz w:val="24"/>
                <w:highlight w:val="none"/>
              </w:rPr>
            </w:pPr>
          </w:p>
        </w:tc>
        <w:tc>
          <w:tcPr>
            <w:tcW w:w="2340" w:type="dxa"/>
            <w:tcBorders>
              <w:top w:val="single" w:color="auto" w:sz="6" w:space="0"/>
              <w:left w:val="single" w:color="auto" w:sz="6" w:space="0"/>
              <w:bottom w:val="single" w:color="auto" w:sz="6" w:space="0"/>
              <w:right w:val="single" w:color="auto" w:sz="6" w:space="0"/>
            </w:tcBorders>
            <w:noWrap/>
            <w:vAlign w:val="center"/>
          </w:tcPr>
          <w:p>
            <w:pPr>
              <w:spacing w:line="340" w:lineRule="exact"/>
              <w:rPr>
                <w:rFonts w:ascii="宋体" w:hAnsi="宋体" w:cs="宋体"/>
                <w:sz w:val="24"/>
                <w:highlight w:val="none"/>
              </w:rPr>
            </w:pPr>
          </w:p>
        </w:tc>
        <w:tc>
          <w:tcPr>
            <w:tcW w:w="1417" w:type="dxa"/>
            <w:tcBorders>
              <w:top w:val="single" w:color="auto" w:sz="6" w:space="0"/>
              <w:left w:val="single" w:color="auto" w:sz="6" w:space="0"/>
              <w:bottom w:val="single" w:color="auto" w:sz="6" w:space="0"/>
              <w:right w:val="single" w:color="auto" w:sz="12" w:space="0"/>
            </w:tcBorders>
            <w:noWrap/>
          </w:tcPr>
          <w:p>
            <w:pPr>
              <w:spacing w:line="340" w:lineRule="exact"/>
              <w:rPr>
                <w:rFonts w:ascii="宋体" w:hAnsi="宋体" w:cs="宋体"/>
                <w:sz w:val="24"/>
                <w:highlight w:val="none"/>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00" w:hRule="atLeast"/>
        </w:trPr>
        <w:tc>
          <w:tcPr>
            <w:tcW w:w="857" w:type="dxa"/>
            <w:tcBorders>
              <w:top w:val="single" w:color="auto" w:sz="6" w:space="0"/>
              <w:left w:val="single" w:color="auto" w:sz="12" w:space="0"/>
              <w:bottom w:val="single" w:color="auto" w:sz="6" w:space="0"/>
              <w:right w:val="single" w:color="auto" w:sz="6" w:space="0"/>
            </w:tcBorders>
            <w:noWrap/>
          </w:tcPr>
          <w:p>
            <w:pPr>
              <w:spacing w:line="340" w:lineRule="exact"/>
              <w:jc w:val="center"/>
              <w:rPr>
                <w:rFonts w:ascii="宋体" w:hAnsi="宋体" w:cs="宋体"/>
                <w:sz w:val="24"/>
                <w:highlight w:val="none"/>
              </w:rPr>
            </w:pPr>
            <w:r>
              <w:rPr>
                <w:rFonts w:hint="eastAsia" w:ascii="宋体" w:hAnsi="宋体" w:cs="宋体"/>
                <w:sz w:val="24"/>
                <w:highlight w:val="none"/>
              </w:rPr>
              <w:t>3</w:t>
            </w:r>
          </w:p>
        </w:tc>
        <w:tc>
          <w:tcPr>
            <w:tcW w:w="1189" w:type="dxa"/>
            <w:tcBorders>
              <w:top w:val="single" w:color="auto" w:sz="6" w:space="0"/>
              <w:left w:val="single" w:color="auto" w:sz="6" w:space="0"/>
              <w:bottom w:val="single" w:color="auto" w:sz="6" w:space="0"/>
              <w:right w:val="single" w:color="auto" w:sz="6" w:space="0"/>
            </w:tcBorders>
            <w:noWrap/>
            <w:vAlign w:val="center"/>
          </w:tcPr>
          <w:p>
            <w:pPr>
              <w:spacing w:line="340" w:lineRule="exact"/>
              <w:rPr>
                <w:rFonts w:ascii="宋体" w:hAnsi="宋体" w:cs="宋体"/>
                <w:sz w:val="24"/>
                <w:highlight w:val="none"/>
              </w:rPr>
            </w:pPr>
          </w:p>
        </w:tc>
        <w:tc>
          <w:tcPr>
            <w:tcW w:w="2936" w:type="dxa"/>
            <w:tcBorders>
              <w:top w:val="single" w:color="auto" w:sz="6" w:space="0"/>
              <w:left w:val="single" w:color="auto" w:sz="6" w:space="0"/>
              <w:bottom w:val="single" w:color="auto" w:sz="6" w:space="0"/>
              <w:right w:val="single" w:color="auto" w:sz="6" w:space="0"/>
            </w:tcBorders>
            <w:noWrap/>
            <w:vAlign w:val="center"/>
          </w:tcPr>
          <w:p>
            <w:pPr>
              <w:spacing w:line="340" w:lineRule="exact"/>
              <w:ind w:firstLine="480" w:firstLineChars="200"/>
              <w:rPr>
                <w:rFonts w:ascii="宋体" w:hAnsi="宋体" w:cs="宋体"/>
                <w:sz w:val="24"/>
                <w:highlight w:val="none"/>
              </w:rPr>
            </w:pPr>
          </w:p>
        </w:tc>
        <w:tc>
          <w:tcPr>
            <w:tcW w:w="2340" w:type="dxa"/>
            <w:tcBorders>
              <w:top w:val="single" w:color="auto" w:sz="6" w:space="0"/>
              <w:left w:val="single" w:color="auto" w:sz="6" w:space="0"/>
              <w:bottom w:val="single" w:color="auto" w:sz="6" w:space="0"/>
              <w:right w:val="single" w:color="auto" w:sz="6" w:space="0"/>
            </w:tcBorders>
            <w:noWrap/>
            <w:vAlign w:val="center"/>
          </w:tcPr>
          <w:p>
            <w:pPr>
              <w:spacing w:line="340" w:lineRule="exact"/>
              <w:rPr>
                <w:rFonts w:ascii="宋体" w:hAnsi="宋体" w:cs="宋体"/>
                <w:sz w:val="24"/>
                <w:highlight w:val="none"/>
              </w:rPr>
            </w:pPr>
          </w:p>
        </w:tc>
        <w:tc>
          <w:tcPr>
            <w:tcW w:w="1417" w:type="dxa"/>
            <w:tcBorders>
              <w:top w:val="single" w:color="auto" w:sz="6" w:space="0"/>
              <w:left w:val="single" w:color="auto" w:sz="6" w:space="0"/>
              <w:bottom w:val="single" w:color="auto" w:sz="6" w:space="0"/>
              <w:right w:val="single" w:color="auto" w:sz="12" w:space="0"/>
            </w:tcBorders>
            <w:noWrap/>
          </w:tcPr>
          <w:p>
            <w:pPr>
              <w:spacing w:line="340" w:lineRule="exact"/>
              <w:rPr>
                <w:rFonts w:ascii="宋体" w:hAnsi="宋体" w:cs="宋体"/>
                <w:sz w:val="24"/>
                <w:highlight w:val="none"/>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19" w:hRule="atLeast"/>
        </w:trPr>
        <w:tc>
          <w:tcPr>
            <w:tcW w:w="857" w:type="dxa"/>
            <w:tcBorders>
              <w:top w:val="single" w:color="auto" w:sz="6" w:space="0"/>
              <w:left w:val="single" w:color="auto" w:sz="12" w:space="0"/>
              <w:bottom w:val="single" w:color="auto" w:sz="6" w:space="0"/>
              <w:right w:val="single" w:color="auto" w:sz="6" w:space="0"/>
            </w:tcBorders>
            <w:noWrap/>
          </w:tcPr>
          <w:p>
            <w:pPr>
              <w:spacing w:line="340" w:lineRule="exact"/>
              <w:jc w:val="center"/>
              <w:rPr>
                <w:rFonts w:ascii="宋体" w:hAnsi="宋体" w:cs="宋体"/>
                <w:sz w:val="24"/>
                <w:highlight w:val="none"/>
              </w:rPr>
            </w:pPr>
          </w:p>
        </w:tc>
        <w:tc>
          <w:tcPr>
            <w:tcW w:w="1189" w:type="dxa"/>
            <w:tcBorders>
              <w:top w:val="single" w:color="auto" w:sz="6" w:space="0"/>
              <w:left w:val="single" w:color="auto" w:sz="6" w:space="0"/>
              <w:bottom w:val="single" w:color="auto" w:sz="6" w:space="0"/>
              <w:right w:val="single" w:color="auto" w:sz="6" w:space="0"/>
            </w:tcBorders>
            <w:noWrap/>
            <w:vAlign w:val="center"/>
          </w:tcPr>
          <w:p>
            <w:pPr>
              <w:spacing w:line="340" w:lineRule="exact"/>
              <w:jc w:val="center"/>
              <w:rPr>
                <w:rFonts w:ascii="宋体" w:hAnsi="宋体" w:cs="宋体"/>
                <w:sz w:val="24"/>
                <w:highlight w:val="none"/>
              </w:rPr>
            </w:pPr>
          </w:p>
        </w:tc>
        <w:tc>
          <w:tcPr>
            <w:tcW w:w="2936" w:type="dxa"/>
            <w:tcBorders>
              <w:top w:val="single" w:color="auto" w:sz="6" w:space="0"/>
              <w:left w:val="single" w:color="auto" w:sz="6" w:space="0"/>
              <w:bottom w:val="single" w:color="auto" w:sz="6" w:space="0"/>
              <w:right w:val="single" w:color="auto" w:sz="6" w:space="0"/>
            </w:tcBorders>
            <w:noWrap/>
            <w:vAlign w:val="center"/>
          </w:tcPr>
          <w:p>
            <w:pPr>
              <w:spacing w:line="340" w:lineRule="exact"/>
              <w:rPr>
                <w:rFonts w:ascii="宋体" w:hAnsi="宋体" w:cs="宋体"/>
                <w:sz w:val="24"/>
                <w:highlight w:val="none"/>
              </w:rPr>
            </w:pPr>
          </w:p>
        </w:tc>
        <w:tc>
          <w:tcPr>
            <w:tcW w:w="2340" w:type="dxa"/>
            <w:tcBorders>
              <w:top w:val="single" w:color="auto" w:sz="6" w:space="0"/>
              <w:left w:val="single" w:color="auto" w:sz="6" w:space="0"/>
              <w:bottom w:val="single" w:color="auto" w:sz="6" w:space="0"/>
              <w:right w:val="single" w:color="auto" w:sz="6" w:space="0"/>
            </w:tcBorders>
            <w:noWrap/>
            <w:vAlign w:val="center"/>
          </w:tcPr>
          <w:p>
            <w:pPr>
              <w:spacing w:line="340" w:lineRule="exact"/>
              <w:rPr>
                <w:rFonts w:ascii="宋体" w:hAnsi="宋体" w:cs="宋体"/>
                <w:sz w:val="24"/>
                <w:highlight w:val="none"/>
              </w:rPr>
            </w:pPr>
          </w:p>
        </w:tc>
        <w:tc>
          <w:tcPr>
            <w:tcW w:w="1417" w:type="dxa"/>
            <w:tcBorders>
              <w:top w:val="single" w:color="auto" w:sz="6" w:space="0"/>
              <w:left w:val="single" w:color="auto" w:sz="6" w:space="0"/>
              <w:bottom w:val="single" w:color="auto" w:sz="6" w:space="0"/>
              <w:right w:val="single" w:color="auto" w:sz="12" w:space="0"/>
            </w:tcBorders>
            <w:noWrap/>
          </w:tcPr>
          <w:p>
            <w:pPr>
              <w:spacing w:line="340" w:lineRule="exact"/>
              <w:rPr>
                <w:rFonts w:ascii="宋体" w:hAnsi="宋体" w:cs="宋体"/>
                <w:sz w:val="24"/>
                <w:highlight w:val="none"/>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19" w:hRule="atLeast"/>
        </w:trPr>
        <w:tc>
          <w:tcPr>
            <w:tcW w:w="857" w:type="dxa"/>
            <w:tcBorders>
              <w:top w:val="single" w:color="auto" w:sz="6" w:space="0"/>
              <w:left w:val="single" w:color="auto" w:sz="12" w:space="0"/>
              <w:bottom w:val="single" w:color="auto" w:sz="6" w:space="0"/>
              <w:right w:val="single" w:color="auto" w:sz="6" w:space="0"/>
            </w:tcBorders>
            <w:noWrap/>
          </w:tcPr>
          <w:p>
            <w:pPr>
              <w:spacing w:line="340" w:lineRule="exact"/>
              <w:jc w:val="center"/>
              <w:rPr>
                <w:rFonts w:ascii="宋体" w:hAnsi="宋体" w:cs="宋体"/>
                <w:sz w:val="24"/>
                <w:highlight w:val="none"/>
              </w:rPr>
            </w:pPr>
          </w:p>
        </w:tc>
        <w:tc>
          <w:tcPr>
            <w:tcW w:w="1189" w:type="dxa"/>
            <w:tcBorders>
              <w:top w:val="single" w:color="auto" w:sz="6" w:space="0"/>
              <w:left w:val="single" w:color="auto" w:sz="6" w:space="0"/>
              <w:bottom w:val="single" w:color="auto" w:sz="6" w:space="0"/>
              <w:right w:val="single" w:color="auto" w:sz="6" w:space="0"/>
            </w:tcBorders>
            <w:noWrap/>
            <w:vAlign w:val="center"/>
          </w:tcPr>
          <w:p>
            <w:pPr>
              <w:spacing w:line="340" w:lineRule="exact"/>
              <w:jc w:val="center"/>
              <w:rPr>
                <w:rFonts w:ascii="宋体" w:hAnsi="宋体" w:cs="宋体"/>
                <w:sz w:val="24"/>
                <w:highlight w:val="none"/>
              </w:rPr>
            </w:pPr>
          </w:p>
        </w:tc>
        <w:tc>
          <w:tcPr>
            <w:tcW w:w="2936" w:type="dxa"/>
            <w:tcBorders>
              <w:top w:val="single" w:color="auto" w:sz="6" w:space="0"/>
              <w:left w:val="single" w:color="auto" w:sz="6" w:space="0"/>
              <w:bottom w:val="single" w:color="auto" w:sz="6" w:space="0"/>
              <w:right w:val="single" w:color="auto" w:sz="6" w:space="0"/>
            </w:tcBorders>
            <w:noWrap/>
            <w:vAlign w:val="center"/>
          </w:tcPr>
          <w:p>
            <w:pPr>
              <w:spacing w:line="340" w:lineRule="exact"/>
              <w:rPr>
                <w:rFonts w:ascii="宋体" w:hAnsi="宋体" w:cs="宋体"/>
                <w:sz w:val="24"/>
                <w:highlight w:val="none"/>
              </w:rPr>
            </w:pPr>
          </w:p>
        </w:tc>
        <w:tc>
          <w:tcPr>
            <w:tcW w:w="2340" w:type="dxa"/>
            <w:tcBorders>
              <w:top w:val="single" w:color="auto" w:sz="6" w:space="0"/>
              <w:left w:val="single" w:color="auto" w:sz="6" w:space="0"/>
              <w:bottom w:val="single" w:color="auto" w:sz="6" w:space="0"/>
              <w:right w:val="single" w:color="auto" w:sz="6" w:space="0"/>
            </w:tcBorders>
            <w:noWrap/>
            <w:vAlign w:val="center"/>
          </w:tcPr>
          <w:p>
            <w:pPr>
              <w:spacing w:line="340" w:lineRule="exact"/>
              <w:rPr>
                <w:rFonts w:ascii="宋体" w:hAnsi="宋体" w:cs="宋体"/>
                <w:sz w:val="24"/>
                <w:highlight w:val="none"/>
              </w:rPr>
            </w:pPr>
          </w:p>
        </w:tc>
        <w:tc>
          <w:tcPr>
            <w:tcW w:w="1417" w:type="dxa"/>
            <w:tcBorders>
              <w:top w:val="single" w:color="auto" w:sz="6" w:space="0"/>
              <w:left w:val="single" w:color="auto" w:sz="6" w:space="0"/>
              <w:bottom w:val="single" w:color="auto" w:sz="6" w:space="0"/>
              <w:right w:val="single" w:color="auto" w:sz="12" w:space="0"/>
            </w:tcBorders>
            <w:noWrap/>
          </w:tcPr>
          <w:p>
            <w:pPr>
              <w:spacing w:line="340" w:lineRule="exact"/>
              <w:rPr>
                <w:rFonts w:ascii="宋体" w:hAnsi="宋体" w:cs="宋体"/>
                <w:sz w:val="24"/>
                <w:highlight w:val="none"/>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19" w:hRule="atLeast"/>
        </w:trPr>
        <w:tc>
          <w:tcPr>
            <w:tcW w:w="857" w:type="dxa"/>
            <w:tcBorders>
              <w:top w:val="single" w:color="auto" w:sz="6" w:space="0"/>
              <w:left w:val="single" w:color="auto" w:sz="12" w:space="0"/>
              <w:bottom w:val="single" w:color="auto" w:sz="6" w:space="0"/>
              <w:right w:val="single" w:color="auto" w:sz="6" w:space="0"/>
            </w:tcBorders>
            <w:noWrap/>
          </w:tcPr>
          <w:p>
            <w:pPr>
              <w:spacing w:line="340" w:lineRule="exact"/>
              <w:jc w:val="center"/>
              <w:rPr>
                <w:rFonts w:ascii="宋体" w:hAnsi="宋体" w:cs="宋体"/>
                <w:sz w:val="24"/>
                <w:highlight w:val="none"/>
              </w:rPr>
            </w:pPr>
            <w:r>
              <w:rPr>
                <w:rFonts w:ascii="宋体" w:hAnsi="宋体"/>
                <w:sz w:val="24"/>
                <w:highlight w:val="none"/>
              </w:rPr>
              <w:t>……</w:t>
            </w:r>
          </w:p>
        </w:tc>
        <w:tc>
          <w:tcPr>
            <w:tcW w:w="1189" w:type="dxa"/>
            <w:tcBorders>
              <w:top w:val="single" w:color="auto" w:sz="6" w:space="0"/>
              <w:left w:val="single" w:color="auto" w:sz="6" w:space="0"/>
              <w:bottom w:val="single" w:color="auto" w:sz="6" w:space="0"/>
              <w:right w:val="single" w:color="auto" w:sz="6" w:space="0"/>
            </w:tcBorders>
            <w:noWrap/>
            <w:vAlign w:val="center"/>
          </w:tcPr>
          <w:p>
            <w:pPr>
              <w:spacing w:line="340" w:lineRule="exact"/>
              <w:jc w:val="center"/>
              <w:rPr>
                <w:rFonts w:ascii="宋体" w:hAnsi="宋体" w:cs="宋体"/>
                <w:sz w:val="24"/>
                <w:highlight w:val="none"/>
              </w:rPr>
            </w:pPr>
          </w:p>
        </w:tc>
        <w:tc>
          <w:tcPr>
            <w:tcW w:w="2936" w:type="dxa"/>
            <w:tcBorders>
              <w:top w:val="single" w:color="auto" w:sz="6" w:space="0"/>
              <w:left w:val="single" w:color="auto" w:sz="6" w:space="0"/>
              <w:bottom w:val="single" w:color="auto" w:sz="6" w:space="0"/>
              <w:right w:val="single" w:color="auto" w:sz="6" w:space="0"/>
            </w:tcBorders>
            <w:noWrap/>
            <w:vAlign w:val="center"/>
          </w:tcPr>
          <w:p>
            <w:pPr>
              <w:spacing w:line="340" w:lineRule="exact"/>
              <w:rPr>
                <w:rFonts w:ascii="宋体" w:hAnsi="宋体" w:cs="宋体"/>
                <w:sz w:val="24"/>
                <w:highlight w:val="none"/>
              </w:rPr>
            </w:pPr>
          </w:p>
        </w:tc>
        <w:tc>
          <w:tcPr>
            <w:tcW w:w="2340" w:type="dxa"/>
            <w:tcBorders>
              <w:top w:val="single" w:color="auto" w:sz="6" w:space="0"/>
              <w:left w:val="single" w:color="auto" w:sz="6" w:space="0"/>
              <w:bottom w:val="single" w:color="auto" w:sz="6" w:space="0"/>
              <w:right w:val="single" w:color="auto" w:sz="6" w:space="0"/>
            </w:tcBorders>
            <w:noWrap/>
            <w:vAlign w:val="center"/>
          </w:tcPr>
          <w:p>
            <w:pPr>
              <w:spacing w:line="340" w:lineRule="exact"/>
              <w:rPr>
                <w:rFonts w:ascii="宋体" w:hAnsi="宋体" w:cs="宋体"/>
                <w:sz w:val="24"/>
                <w:highlight w:val="none"/>
              </w:rPr>
            </w:pPr>
          </w:p>
        </w:tc>
        <w:tc>
          <w:tcPr>
            <w:tcW w:w="1417" w:type="dxa"/>
            <w:tcBorders>
              <w:top w:val="single" w:color="auto" w:sz="6" w:space="0"/>
              <w:left w:val="single" w:color="auto" w:sz="6" w:space="0"/>
              <w:bottom w:val="single" w:color="auto" w:sz="6" w:space="0"/>
              <w:right w:val="single" w:color="auto" w:sz="12" w:space="0"/>
            </w:tcBorders>
            <w:noWrap/>
          </w:tcPr>
          <w:p>
            <w:pPr>
              <w:spacing w:line="340" w:lineRule="exact"/>
              <w:rPr>
                <w:rFonts w:ascii="宋体" w:hAnsi="宋体" w:cs="宋体"/>
                <w:sz w:val="24"/>
                <w:highlight w:val="none"/>
              </w:rPr>
            </w:pPr>
          </w:p>
        </w:tc>
      </w:tr>
    </w:tbl>
    <w:p>
      <w:pPr>
        <w:pStyle w:val="22"/>
        <w:snapToGrid w:val="0"/>
        <w:spacing w:line="300" w:lineRule="auto"/>
        <w:ind w:firstLine="480" w:firstLineChars="200"/>
        <w:contextualSpacing/>
        <w:rPr>
          <w:rFonts w:hAnsi="宋体" w:cs="宋体"/>
          <w:color w:val="000000"/>
          <w:sz w:val="24"/>
          <w:szCs w:val="24"/>
          <w:highlight w:val="none"/>
        </w:rPr>
      </w:pPr>
    </w:p>
    <w:p>
      <w:pPr>
        <w:pStyle w:val="22"/>
        <w:snapToGrid w:val="0"/>
        <w:spacing w:line="300" w:lineRule="auto"/>
        <w:contextualSpacing/>
        <w:rPr>
          <w:rFonts w:hAnsi="宋体" w:cs="宋体"/>
          <w:b/>
          <w:sz w:val="24"/>
          <w:szCs w:val="24"/>
          <w:highlight w:val="none"/>
        </w:rPr>
      </w:pPr>
      <w:r>
        <w:rPr>
          <w:rFonts w:hint="eastAsia" w:hAnsi="宋体" w:cs="宋体"/>
          <w:b/>
          <w:sz w:val="24"/>
          <w:szCs w:val="24"/>
          <w:highlight w:val="none"/>
        </w:rPr>
        <w:t>注：</w:t>
      </w:r>
    </w:p>
    <w:p>
      <w:pPr>
        <w:pStyle w:val="22"/>
        <w:snapToGrid w:val="0"/>
        <w:spacing w:line="300" w:lineRule="auto"/>
        <w:ind w:firstLine="480" w:firstLineChars="200"/>
        <w:contextualSpacing/>
        <w:rPr>
          <w:rFonts w:hAnsi="宋体" w:cs="宋体"/>
          <w:color w:val="000000"/>
          <w:sz w:val="24"/>
          <w:szCs w:val="24"/>
          <w:highlight w:val="none"/>
        </w:rPr>
      </w:pPr>
      <w:r>
        <w:rPr>
          <w:rFonts w:hint="eastAsia" w:hAnsi="宋体" w:cs="宋体"/>
          <w:color w:val="000000"/>
          <w:sz w:val="24"/>
          <w:szCs w:val="24"/>
          <w:highlight w:val="none"/>
        </w:rPr>
        <w:t>1.供应商提交的响应文件中应将招标文件第三部分“项目需求说明” 中的商务、技术部分逐条填列在偏离表中。</w:t>
      </w:r>
    </w:p>
    <w:p>
      <w:pPr>
        <w:pStyle w:val="22"/>
        <w:snapToGrid w:val="0"/>
        <w:spacing w:line="300" w:lineRule="auto"/>
        <w:ind w:firstLine="480" w:firstLineChars="200"/>
        <w:contextualSpacing/>
        <w:rPr>
          <w:rFonts w:hAnsi="宋体" w:cs="宋体"/>
          <w:sz w:val="24"/>
          <w:szCs w:val="24"/>
          <w:highlight w:val="none"/>
        </w:rPr>
      </w:pPr>
      <w:r>
        <w:rPr>
          <w:rFonts w:hint="eastAsia" w:hAnsi="宋体" w:cs="宋体"/>
          <w:color w:val="000000"/>
          <w:sz w:val="24"/>
          <w:szCs w:val="24"/>
          <w:highlight w:val="none"/>
        </w:rPr>
        <w:t>2.</w:t>
      </w:r>
      <w:r>
        <w:rPr>
          <w:rFonts w:hint="eastAsia" w:hAnsi="宋体" w:cs="宋体"/>
          <w:sz w:val="24"/>
          <w:szCs w:val="24"/>
          <w:highlight w:val="none"/>
        </w:rPr>
        <w:t>“偏离说明”一栏选择“正偏离”、“负偏离”进行填写。正偏离的确认和</w:t>
      </w:r>
      <w:r>
        <w:rPr>
          <w:rFonts w:hint="eastAsia" w:hAnsi="宋体" w:cs="宋体"/>
          <w:color w:val="000000"/>
          <w:sz w:val="24"/>
          <w:szCs w:val="24"/>
          <w:highlight w:val="none"/>
        </w:rPr>
        <w:t>负偏离的是否相应招标文件，经三分之二评委认定。</w:t>
      </w:r>
    </w:p>
    <w:p>
      <w:pPr>
        <w:snapToGrid w:val="0"/>
        <w:spacing w:line="300" w:lineRule="auto"/>
        <w:ind w:firstLine="480" w:firstLineChars="200"/>
        <w:contextualSpacing/>
        <w:rPr>
          <w:rFonts w:ascii="宋体" w:hAnsi="宋体" w:cs="宋体"/>
          <w:sz w:val="24"/>
          <w:highlight w:val="none"/>
        </w:rPr>
      </w:pPr>
      <w:r>
        <w:rPr>
          <w:rFonts w:hint="eastAsia" w:ascii="宋体" w:hAnsi="宋体" w:cs="宋体"/>
          <w:sz w:val="24"/>
          <w:highlight w:val="none"/>
        </w:rPr>
        <w:t>3.响应人如果虚假响应，将承担被没收全额/部分响应保证金或被暂停参加南通市政府采购中心组织政府采购活动的风险。</w:t>
      </w:r>
    </w:p>
    <w:p>
      <w:pPr>
        <w:snapToGrid w:val="0"/>
        <w:spacing w:line="360" w:lineRule="auto"/>
        <w:ind w:firstLine="480" w:firstLineChars="200"/>
        <w:contextualSpacing/>
        <w:rPr>
          <w:rFonts w:ascii="宋体" w:hAnsi="宋体"/>
          <w:sz w:val="24"/>
          <w:highlight w:val="none"/>
        </w:rPr>
      </w:pPr>
      <w:r>
        <w:rPr>
          <w:rFonts w:hint="eastAsia" w:ascii="宋体" w:hAnsi="宋体" w:cs="宋体"/>
          <w:bCs/>
          <w:sz w:val="24"/>
          <w:highlight w:val="none"/>
        </w:rPr>
        <w:t>4.供应商若提供其他增值服务，可以在表中自行据实填写。</w:t>
      </w:r>
    </w:p>
    <w:p>
      <w:pPr>
        <w:spacing w:line="360" w:lineRule="auto"/>
        <w:ind w:firstLine="1560" w:firstLineChars="650"/>
        <w:rPr>
          <w:rFonts w:ascii="宋体" w:hAnsi="宋体"/>
          <w:sz w:val="24"/>
          <w:highlight w:val="none"/>
        </w:rPr>
      </w:pPr>
      <w:r>
        <w:rPr>
          <w:rFonts w:ascii="宋体" w:hAnsi="宋体"/>
          <w:sz w:val="24"/>
          <w:highlight w:val="none"/>
        </w:rPr>
        <w:t xml:space="preserve">             投标供应商：（加盖公章）</w:t>
      </w:r>
    </w:p>
    <w:p>
      <w:pPr>
        <w:spacing w:line="360" w:lineRule="auto"/>
        <w:ind w:firstLine="1560" w:firstLineChars="650"/>
        <w:rPr>
          <w:rFonts w:ascii="宋体" w:hAnsi="宋体"/>
          <w:sz w:val="24"/>
          <w:highlight w:val="none"/>
        </w:rPr>
      </w:pPr>
      <w:r>
        <w:rPr>
          <w:rFonts w:ascii="宋体" w:hAnsi="宋体"/>
          <w:sz w:val="24"/>
          <w:highlight w:val="none"/>
        </w:rPr>
        <w:t>法定代表人或被授权人：（签字或盖章）</w:t>
      </w:r>
    </w:p>
    <w:p>
      <w:pPr>
        <w:snapToGrid w:val="0"/>
        <w:spacing w:line="440" w:lineRule="exact"/>
        <w:ind w:firstLine="480" w:firstLineChars="200"/>
        <w:contextualSpacing/>
        <w:jc w:val="right"/>
        <w:outlineLvl w:val="4"/>
        <w:rPr>
          <w:rFonts w:ascii="宋体" w:hAnsi="宋体"/>
          <w:sz w:val="24"/>
          <w:highlight w:val="none"/>
        </w:rPr>
      </w:pPr>
      <w:r>
        <w:rPr>
          <w:rFonts w:ascii="宋体" w:hAnsi="宋体"/>
          <w:sz w:val="24"/>
          <w:highlight w:val="none"/>
        </w:rPr>
        <w:t>年    月    日</w:t>
      </w:r>
    </w:p>
    <w:p>
      <w:pPr>
        <w:pStyle w:val="2"/>
        <w:ind w:firstLine="400"/>
        <w:rPr>
          <w:highlight w:val="none"/>
        </w:rPr>
      </w:pPr>
    </w:p>
    <w:p>
      <w:pPr>
        <w:snapToGrid w:val="0"/>
        <w:spacing w:line="440" w:lineRule="exact"/>
        <w:contextualSpacing/>
        <w:outlineLvl w:val="4"/>
        <w:rPr>
          <w:rFonts w:ascii="宋体" w:hAnsi="宋体"/>
          <w:sz w:val="24"/>
          <w:highlight w:val="none"/>
        </w:rPr>
      </w:pPr>
    </w:p>
    <w:p>
      <w:pPr>
        <w:pStyle w:val="2"/>
        <w:ind w:firstLine="480"/>
        <w:rPr>
          <w:rFonts w:ascii="宋体" w:hAnsi="宋体"/>
          <w:sz w:val="24"/>
          <w:szCs w:val="24"/>
          <w:highlight w:val="none"/>
        </w:rPr>
      </w:pPr>
    </w:p>
    <w:p>
      <w:pPr>
        <w:pStyle w:val="2"/>
        <w:ind w:firstLine="480"/>
        <w:rPr>
          <w:rFonts w:ascii="宋体" w:hAnsi="宋体"/>
          <w:sz w:val="24"/>
          <w:szCs w:val="24"/>
          <w:highlight w:val="none"/>
        </w:rPr>
      </w:pPr>
    </w:p>
    <w:p>
      <w:pPr>
        <w:pStyle w:val="2"/>
        <w:ind w:firstLine="480"/>
        <w:rPr>
          <w:rFonts w:ascii="宋体" w:hAnsi="宋体"/>
          <w:sz w:val="24"/>
          <w:szCs w:val="24"/>
          <w:highlight w:val="none"/>
        </w:rPr>
      </w:pPr>
    </w:p>
    <w:p>
      <w:pPr>
        <w:pStyle w:val="2"/>
        <w:ind w:firstLine="480"/>
        <w:rPr>
          <w:rFonts w:ascii="宋体" w:hAnsi="宋体"/>
          <w:sz w:val="24"/>
          <w:szCs w:val="24"/>
          <w:highlight w:val="none"/>
        </w:rPr>
      </w:pPr>
    </w:p>
    <w:p>
      <w:pPr>
        <w:pStyle w:val="2"/>
        <w:ind w:firstLine="480"/>
        <w:rPr>
          <w:rFonts w:ascii="宋体" w:hAnsi="宋体"/>
          <w:sz w:val="24"/>
          <w:szCs w:val="24"/>
          <w:highlight w:val="none"/>
        </w:rPr>
      </w:pPr>
    </w:p>
    <w:p>
      <w:pPr>
        <w:snapToGrid w:val="0"/>
        <w:spacing w:line="440" w:lineRule="exact"/>
        <w:contextualSpacing/>
        <w:outlineLvl w:val="4"/>
        <w:rPr>
          <w:rFonts w:ascii="宋体" w:hAnsi="宋体"/>
          <w:sz w:val="24"/>
          <w:highlight w:val="none"/>
        </w:rPr>
      </w:pPr>
    </w:p>
    <w:p>
      <w:pPr>
        <w:snapToGrid w:val="0"/>
        <w:spacing w:line="520" w:lineRule="exact"/>
        <w:jc w:val="center"/>
        <w:outlineLvl w:val="3"/>
        <w:rPr>
          <w:rFonts w:ascii="宋体" w:hAnsi="宋体" w:cs="宋体"/>
          <w:b/>
          <w:bCs/>
          <w:sz w:val="24"/>
          <w:highlight w:val="none"/>
        </w:rPr>
      </w:pPr>
      <w:r>
        <w:rPr>
          <w:rFonts w:hint="eastAsia" w:ascii="宋体" w:hAnsi="宋体" w:cs="宋体"/>
          <w:b/>
          <w:bCs/>
          <w:sz w:val="24"/>
          <w:highlight w:val="none"/>
        </w:rPr>
        <w:t>5.拟派项目组成员一览表</w:t>
      </w:r>
    </w:p>
    <w:p>
      <w:pPr>
        <w:pStyle w:val="19"/>
        <w:rPr>
          <w:rFonts w:ascii="宋体" w:hAnsi="宋体" w:eastAsia="宋体" w:cs="宋体"/>
          <w:kern w:val="2"/>
          <w:szCs w:val="24"/>
          <w:highlight w:val="none"/>
        </w:rPr>
      </w:pPr>
      <w:r>
        <w:rPr>
          <w:rFonts w:hint="eastAsia" w:ascii="宋体" w:hAnsi="宋体" w:eastAsia="宋体" w:cs="宋体"/>
          <w:kern w:val="2"/>
          <w:szCs w:val="24"/>
          <w:highlight w:val="none"/>
        </w:rPr>
        <w:t>项目名称+标段号：</w:t>
      </w:r>
    </w:p>
    <w:p>
      <w:pPr>
        <w:rPr>
          <w:highlight w:val="none"/>
        </w:rPr>
      </w:pPr>
      <w:r>
        <w:rPr>
          <w:rFonts w:hint="eastAsia" w:ascii="宋体" w:hAnsi="宋体" w:cs="宋体"/>
          <w:sz w:val="24"/>
          <w:highlight w:val="none"/>
        </w:rPr>
        <w:t>项目编号：</w:t>
      </w:r>
    </w:p>
    <w:tbl>
      <w:tblPr>
        <w:tblStyle w:val="41"/>
        <w:tblW w:w="8682" w:type="dxa"/>
        <w:tblInd w:w="16"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857"/>
        <w:gridCol w:w="1304"/>
        <w:gridCol w:w="1304"/>
        <w:gridCol w:w="1304"/>
        <w:gridCol w:w="1304"/>
        <w:gridCol w:w="1304"/>
        <w:gridCol w:w="1305"/>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PrEx>
        <w:trPr>
          <w:trHeight w:val="994" w:hRule="atLeast"/>
        </w:trPr>
        <w:tc>
          <w:tcPr>
            <w:tcW w:w="857" w:type="dxa"/>
            <w:tcBorders>
              <w:top w:val="single" w:color="auto" w:sz="12" w:space="0"/>
              <w:left w:val="single" w:color="auto" w:sz="12" w:space="0"/>
              <w:bottom w:val="single" w:color="auto" w:sz="6" w:space="0"/>
              <w:right w:val="single" w:color="auto" w:sz="6" w:space="0"/>
            </w:tcBorders>
            <w:noWrap/>
            <w:vAlign w:val="center"/>
          </w:tcPr>
          <w:p>
            <w:pPr>
              <w:spacing w:before="120" w:line="460" w:lineRule="exact"/>
              <w:jc w:val="center"/>
              <w:rPr>
                <w:rFonts w:hint="eastAsia" w:ascii="宋体" w:hAnsi="宋体" w:eastAsia="宋体" w:cs="宋体"/>
                <w:sz w:val="24"/>
                <w:highlight w:val="none"/>
                <w:lang w:eastAsia="zh-CN"/>
              </w:rPr>
            </w:pPr>
            <w:r>
              <w:rPr>
                <w:rFonts w:hint="eastAsia" w:ascii="宋体" w:hAnsi="宋体" w:cs="宋体"/>
                <w:b/>
                <w:sz w:val="24"/>
                <w:highlight w:val="none"/>
                <w:lang w:val="en-US" w:eastAsia="zh-CN"/>
              </w:rPr>
              <w:t>序号</w:t>
            </w:r>
          </w:p>
        </w:tc>
        <w:tc>
          <w:tcPr>
            <w:tcW w:w="1304" w:type="dxa"/>
            <w:tcBorders>
              <w:top w:val="single" w:color="auto" w:sz="12" w:space="0"/>
              <w:left w:val="single" w:color="auto" w:sz="6" w:space="0"/>
              <w:bottom w:val="single" w:color="auto" w:sz="6" w:space="0"/>
              <w:right w:val="single" w:color="auto" w:sz="6" w:space="0"/>
            </w:tcBorders>
            <w:noWrap/>
            <w:vAlign w:val="center"/>
          </w:tcPr>
          <w:p>
            <w:pPr>
              <w:spacing w:before="120" w:line="460" w:lineRule="exact"/>
              <w:jc w:val="center"/>
              <w:rPr>
                <w:rFonts w:hint="default" w:ascii="宋体" w:hAnsi="宋体" w:eastAsia="宋体" w:cs="宋体"/>
                <w:b/>
                <w:sz w:val="24"/>
                <w:highlight w:val="none"/>
                <w:lang w:val="en-US" w:eastAsia="zh-CN"/>
              </w:rPr>
            </w:pPr>
            <w:r>
              <w:rPr>
                <w:rFonts w:hint="eastAsia" w:ascii="宋体" w:hAnsi="宋体" w:cs="宋体"/>
                <w:b/>
                <w:sz w:val="24"/>
                <w:highlight w:val="none"/>
                <w:lang w:val="en-US" w:eastAsia="zh-CN"/>
              </w:rPr>
              <w:t>姓名</w:t>
            </w:r>
          </w:p>
        </w:tc>
        <w:tc>
          <w:tcPr>
            <w:tcW w:w="1304" w:type="dxa"/>
            <w:tcBorders>
              <w:top w:val="single" w:color="auto" w:sz="12" w:space="0"/>
              <w:left w:val="single" w:color="auto" w:sz="6" w:space="0"/>
              <w:bottom w:val="single" w:color="auto" w:sz="6" w:space="0"/>
              <w:right w:val="single" w:color="auto" w:sz="6" w:space="0"/>
            </w:tcBorders>
            <w:noWrap/>
            <w:vAlign w:val="center"/>
          </w:tcPr>
          <w:p>
            <w:pPr>
              <w:spacing w:before="120" w:line="460" w:lineRule="exact"/>
              <w:jc w:val="center"/>
              <w:rPr>
                <w:rFonts w:ascii="宋体" w:hAnsi="宋体" w:cs="宋体"/>
                <w:sz w:val="24"/>
                <w:highlight w:val="none"/>
              </w:rPr>
            </w:pPr>
            <w:r>
              <w:rPr>
                <w:rFonts w:hint="eastAsia" w:ascii="宋体" w:hAnsi="宋体" w:cs="宋体"/>
                <w:b/>
                <w:sz w:val="24"/>
                <w:highlight w:val="none"/>
              </w:rPr>
              <w:t>职务</w:t>
            </w:r>
          </w:p>
        </w:tc>
        <w:tc>
          <w:tcPr>
            <w:tcW w:w="1304" w:type="dxa"/>
            <w:tcBorders>
              <w:top w:val="single" w:color="auto" w:sz="12" w:space="0"/>
              <w:left w:val="single" w:color="auto" w:sz="6" w:space="0"/>
              <w:bottom w:val="single" w:color="auto" w:sz="6" w:space="0"/>
              <w:right w:val="single" w:color="auto" w:sz="6" w:space="0"/>
            </w:tcBorders>
            <w:noWrap/>
            <w:vAlign w:val="center"/>
          </w:tcPr>
          <w:p>
            <w:pPr>
              <w:spacing w:before="120" w:line="460" w:lineRule="exact"/>
              <w:jc w:val="center"/>
              <w:rPr>
                <w:rFonts w:hint="eastAsia" w:ascii="宋体" w:hAnsi="宋体" w:eastAsia="宋体" w:cs="宋体"/>
                <w:kern w:val="2"/>
                <w:sz w:val="24"/>
                <w:szCs w:val="24"/>
                <w:highlight w:val="none"/>
                <w:lang w:val="en-US" w:eastAsia="zh-CN" w:bidi="ar-SA"/>
              </w:rPr>
            </w:pPr>
            <w:r>
              <w:rPr>
                <w:rFonts w:hint="eastAsia" w:ascii="宋体" w:hAnsi="宋体" w:cs="宋体"/>
                <w:b/>
                <w:sz w:val="24"/>
                <w:highlight w:val="none"/>
              </w:rPr>
              <w:t>职称</w:t>
            </w:r>
          </w:p>
        </w:tc>
        <w:tc>
          <w:tcPr>
            <w:tcW w:w="1304" w:type="dxa"/>
            <w:tcBorders>
              <w:top w:val="single" w:color="auto" w:sz="12" w:space="0"/>
              <w:left w:val="single" w:color="auto" w:sz="6" w:space="0"/>
              <w:bottom w:val="single" w:color="auto" w:sz="6" w:space="0"/>
              <w:right w:val="single" w:color="auto" w:sz="6" w:space="0"/>
            </w:tcBorders>
            <w:noWrap/>
            <w:vAlign w:val="center"/>
          </w:tcPr>
          <w:p>
            <w:pPr>
              <w:spacing w:before="120" w:line="460" w:lineRule="exact"/>
              <w:jc w:val="center"/>
              <w:rPr>
                <w:rFonts w:ascii="宋体" w:hAnsi="宋体" w:eastAsia="宋体" w:cs="宋体"/>
                <w:kern w:val="2"/>
                <w:sz w:val="24"/>
                <w:szCs w:val="24"/>
                <w:highlight w:val="none"/>
                <w:lang w:val="en-US" w:eastAsia="zh-CN" w:bidi="ar-SA"/>
              </w:rPr>
            </w:pPr>
            <w:r>
              <w:rPr>
                <w:rFonts w:hint="eastAsia" w:ascii="宋体" w:hAnsi="宋体" w:cs="宋体"/>
                <w:b/>
                <w:sz w:val="24"/>
                <w:highlight w:val="none"/>
              </w:rPr>
              <w:t>相关资格</w:t>
            </w:r>
          </w:p>
        </w:tc>
        <w:tc>
          <w:tcPr>
            <w:tcW w:w="1304" w:type="dxa"/>
            <w:tcBorders>
              <w:top w:val="single" w:color="auto" w:sz="12" w:space="0"/>
              <w:left w:val="single" w:color="auto" w:sz="6" w:space="0"/>
              <w:bottom w:val="single" w:color="auto" w:sz="6" w:space="0"/>
              <w:right w:val="single" w:color="auto" w:sz="6" w:space="0"/>
            </w:tcBorders>
            <w:noWrap/>
            <w:vAlign w:val="center"/>
          </w:tcPr>
          <w:p>
            <w:pPr>
              <w:spacing w:before="120" w:line="460" w:lineRule="exact"/>
              <w:jc w:val="center"/>
              <w:rPr>
                <w:rFonts w:ascii="宋体" w:hAnsi="宋体" w:eastAsia="宋体" w:cs="宋体"/>
                <w:kern w:val="2"/>
                <w:sz w:val="24"/>
                <w:szCs w:val="24"/>
                <w:highlight w:val="none"/>
                <w:lang w:val="en-US" w:eastAsia="zh-CN" w:bidi="ar-SA"/>
              </w:rPr>
            </w:pPr>
            <w:r>
              <w:rPr>
                <w:rFonts w:hint="eastAsia" w:ascii="宋体" w:hAnsi="宋体" w:cs="宋体"/>
                <w:b/>
                <w:sz w:val="24"/>
                <w:highlight w:val="none"/>
              </w:rPr>
              <w:t>履历</w:t>
            </w:r>
          </w:p>
        </w:tc>
        <w:tc>
          <w:tcPr>
            <w:tcW w:w="1305" w:type="dxa"/>
            <w:tcBorders>
              <w:top w:val="single" w:color="auto" w:sz="12" w:space="0"/>
              <w:left w:val="single" w:color="auto" w:sz="6" w:space="0"/>
              <w:bottom w:val="single" w:color="auto" w:sz="6" w:space="0"/>
              <w:right w:val="single" w:color="auto" w:sz="12" w:space="0"/>
            </w:tcBorders>
            <w:noWrap/>
            <w:vAlign w:val="center"/>
          </w:tcPr>
          <w:p>
            <w:pPr>
              <w:spacing w:before="120" w:line="460" w:lineRule="exact"/>
              <w:jc w:val="center"/>
              <w:rPr>
                <w:rFonts w:hint="default" w:ascii="宋体" w:hAnsi="宋体" w:eastAsia="宋体" w:cs="宋体"/>
                <w:sz w:val="24"/>
                <w:highlight w:val="none"/>
                <w:lang w:val="en-US" w:eastAsia="zh-CN"/>
              </w:rPr>
            </w:pPr>
            <w:r>
              <w:rPr>
                <w:rFonts w:hint="eastAsia" w:ascii="宋体" w:hAnsi="宋体" w:cs="宋体"/>
                <w:b/>
                <w:bCs/>
                <w:sz w:val="24"/>
                <w:highlight w:val="none"/>
                <w:lang w:val="en-US" w:eastAsia="zh-CN"/>
              </w:rPr>
              <w:t>所属企业</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14" w:hRule="atLeast"/>
        </w:trPr>
        <w:tc>
          <w:tcPr>
            <w:tcW w:w="857" w:type="dxa"/>
            <w:tcBorders>
              <w:top w:val="single" w:color="auto" w:sz="6" w:space="0"/>
              <w:left w:val="single" w:color="auto" w:sz="12" w:space="0"/>
              <w:bottom w:val="single" w:color="auto" w:sz="6" w:space="0"/>
              <w:right w:val="single" w:color="auto" w:sz="6" w:space="0"/>
            </w:tcBorders>
            <w:noWrap/>
          </w:tcPr>
          <w:p>
            <w:pPr>
              <w:spacing w:line="340" w:lineRule="exact"/>
              <w:jc w:val="center"/>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1</w:t>
            </w:r>
          </w:p>
        </w:tc>
        <w:tc>
          <w:tcPr>
            <w:tcW w:w="1304" w:type="dxa"/>
            <w:tcBorders>
              <w:top w:val="single" w:color="auto" w:sz="6" w:space="0"/>
              <w:left w:val="single" w:color="auto" w:sz="6" w:space="0"/>
              <w:bottom w:val="single" w:color="auto" w:sz="6" w:space="0"/>
              <w:right w:val="single" w:color="auto" w:sz="6" w:space="0"/>
            </w:tcBorders>
            <w:noWrap/>
            <w:vAlign w:val="center"/>
          </w:tcPr>
          <w:p>
            <w:pPr>
              <w:spacing w:line="340" w:lineRule="exact"/>
              <w:jc w:val="center"/>
              <w:rPr>
                <w:rFonts w:hint="eastAsia" w:ascii="宋体" w:hAnsi="宋体" w:eastAsia="宋体" w:cs="宋体"/>
                <w:kern w:val="2"/>
                <w:sz w:val="24"/>
                <w:szCs w:val="24"/>
                <w:highlight w:val="none"/>
                <w:lang w:val="en-US" w:eastAsia="zh-CN" w:bidi="ar-SA"/>
              </w:rPr>
            </w:pPr>
          </w:p>
        </w:tc>
        <w:tc>
          <w:tcPr>
            <w:tcW w:w="1304" w:type="dxa"/>
            <w:tcBorders>
              <w:top w:val="single" w:color="auto" w:sz="6" w:space="0"/>
              <w:left w:val="single" w:color="auto" w:sz="6" w:space="0"/>
              <w:bottom w:val="single" w:color="auto" w:sz="6" w:space="0"/>
              <w:right w:val="single" w:color="auto" w:sz="6" w:space="0"/>
            </w:tcBorders>
            <w:noWrap/>
            <w:vAlign w:val="center"/>
          </w:tcPr>
          <w:p>
            <w:pPr>
              <w:spacing w:line="340" w:lineRule="exact"/>
              <w:jc w:val="center"/>
              <w:rPr>
                <w:rFonts w:hint="default" w:ascii="宋体" w:hAnsi="宋体" w:eastAsia="宋体" w:cs="宋体"/>
                <w:kern w:val="2"/>
                <w:sz w:val="24"/>
                <w:szCs w:val="24"/>
                <w:highlight w:val="none"/>
                <w:lang w:val="en-US" w:eastAsia="zh-CN" w:bidi="ar-SA"/>
              </w:rPr>
            </w:pPr>
          </w:p>
        </w:tc>
        <w:tc>
          <w:tcPr>
            <w:tcW w:w="1304" w:type="dxa"/>
            <w:tcBorders>
              <w:top w:val="single" w:color="auto" w:sz="6" w:space="0"/>
              <w:left w:val="single" w:color="auto" w:sz="6" w:space="0"/>
              <w:bottom w:val="single" w:color="auto" w:sz="6" w:space="0"/>
              <w:right w:val="single" w:color="auto" w:sz="6" w:space="0"/>
            </w:tcBorders>
            <w:noWrap/>
            <w:vAlign w:val="center"/>
          </w:tcPr>
          <w:p>
            <w:pPr>
              <w:spacing w:line="340" w:lineRule="exact"/>
              <w:jc w:val="center"/>
              <w:rPr>
                <w:rFonts w:hint="eastAsia" w:ascii="宋体" w:hAnsi="宋体" w:eastAsia="宋体" w:cs="宋体"/>
                <w:kern w:val="2"/>
                <w:sz w:val="24"/>
                <w:szCs w:val="24"/>
                <w:highlight w:val="none"/>
                <w:lang w:val="en-US" w:eastAsia="zh-CN" w:bidi="ar-SA"/>
              </w:rPr>
            </w:pPr>
          </w:p>
        </w:tc>
        <w:tc>
          <w:tcPr>
            <w:tcW w:w="1304" w:type="dxa"/>
            <w:tcBorders>
              <w:top w:val="single" w:color="auto" w:sz="6" w:space="0"/>
              <w:left w:val="single" w:color="auto" w:sz="6" w:space="0"/>
              <w:bottom w:val="single" w:color="auto" w:sz="6" w:space="0"/>
              <w:right w:val="single" w:color="auto" w:sz="6" w:space="0"/>
            </w:tcBorders>
            <w:noWrap/>
            <w:vAlign w:val="center"/>
          </w:tcPr>
          <w:p>
            <w:pPr>
              <w:spacing w:line="340" w:lineRule="exact"/>
              <w:jc w:val="center"/>
              <w:rPr>
                <w:rFonts w:ascii="宋体" w:hAnsi="宋体" w:cs="宋体"/>
                <w:sz w:val="24"/>
                <w:highlight w:val="none"/>
              </w:rPr>
            </w:pPr>
          </w:p>
        </w:tc>
        <w:tc>
          <w:tcPr>
            <w:tcW w:w="1304" w:type="dxa"/>
            <w:tcBorders>
              <w:top w:val="single" w:color="auto" w:sz="6" w:space="0"/>
              <w:left w:val="single" w:color="auto" w:sz="6" w:space="0"/>
              <w:bottom w:val="single" w:color="auto" w:sz="6" w:space="0"/>
              <w:right w:val="single" w:color="auto" w:sz="6" w:space="0"/>
            </w:tcBorders>
            <w:noWrap/>
            <w:vAlign w:val="center"/>
          </w:tcPr>
          <w:p>
            <w:pPr>
              <w:spacing w:line="340" w:lineRule="exact"/>
              <w:rPr>
                <w:rFonts w:ascii="宋体" w:hAnsi="宋体" w:cs="宋体"/>
                <w:sz w:val="24"/>
                <w:highlight w:val="none"/>
              </w:rPr>
            </w:pPr>
          </w:p>
        </w:tc>
        <w:tc>
          <w:tcPr>
            <w:tcW w:w="1305" w:type="dxa"/>
            <w:tcBorders>
              <w:top w:val="single" w:color="auto" w:sz="6" w:space="0"/>
              <w:left w:val="single" w:color="auto" w:sz="6" w:space="0"/>
              <w:bottom w:val="single" w:color="auto" w:sz="6" w:space="0"/>
              <w:right w:val="single" w:color="auto" w:sz="12" w:space="0"/>
            </w:tcBorders>
            <w:noWrap/>
          </w:tcPr>
          <w:p>
            <w:pPr>
              <w:spacing w:line="340" w:lineRule="exact"/>
              <w:rPr>
                <w:rFonts w:ascii="宋体" w:hAnsi="宋体" w:cs="宋体"/>
                <w:sz w:val="24"/>
                <w:highlight w:val="none"/>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48" w:hRule="atLeast"/>
        </w:trPr>
        <w:tc>
          <w:tcPr>
            <w:tcW w:w="857" w:type="dxa"/>
            <w:tcBorders>
              <w:top w:val="single" w:color="auto" w:sz="6" w:space="0"/>
              <w:left w:val="single" w:color="auto" w:sz="12" w:space="0"/>
              <w:bottom w:val="single" w:color="auto" w:sz="6" w:space="0"/>
              <w:right w:val="single" w:color="auto" w:sz="6" w:space="0"/>
            </w:tcBorders>
            <w:noWrap/>
          </w:tcPr>
          <w:p>
            <w:pPr>
              <w:spacing w:line="340" w:lineRule="exact"/>
              <w:jc w:val="center"/>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2</w:t>
            </w:r>
          </w:p>
        </w:tc>
        <w:tc>
          <w:tcPr>
            <w:tcW w:w="1304" w:type="dxa"/>
            <w:tcBorders>
              <w:top w:val="single" w:color="auto" w:sz="6" w:space="0"/>
              <w:left w:val="single" w:color="auto" w:sz="6" w:space="0"/>
              <w:bottom w:val="single" w:color="auto" w:sz="6" w:space="0"/>
              <w:right w:val="single" w:color="auto" w:sz="6" w:space="0"/>
            </w:tcBorders>
            <w:noWrap/>
            <w:vAlign w:val="center"/>
          </w:tcPr>
          <w:p>
            <w:pPr>
              <w:spacing w:line="340" w:lineRule="exact"/>
              <w:jc w:val="center"/>
              <w:rPr>
                <w:rFonts w:hint="eastAsia" w:ascii="宋体" w:hAnsi="宋体" w:eastAsia="宋体" w:cs="宋体"/>
                <w:kern w:val="2"/>
                <w:sz w:val="24"/>
                <w:szCs w:val="24"/>
                <w:highlight w:val="none"/>
                <w:lang w:val="en-US" w:eastAsia="zh-CN" w:bidi="ar-SA"/>
              </w:rPr>
            </w:pPr>
          </w:p>
        </w:tc>
        <w:tc>
          <w:tcPr>
            <w:tcW w:w="1304" w:type="dxa"/>
            <w:tcBorders>
              <w:top w:val="single" w:color="auto" w:sz="6" w:space="0"/>
              <w:left w:val="single" w:color="auto" w:sz="6" w:space="0"/>
              <w:bottom w:val="single" w:color="auto" w:sz="6" w:space="0"/>
              <w:right w:val="single" w:color="auto" w:sz="6" w:space="0"/>
            </w:tcBorders>
            <w:noWrap/>
            <w:vAlign w:val="center"/>
          </w:tcPr>
          <w:p>
            <w:pPr>
              <w:spacing w:line="340" w:lineRule="exact"/>
              <w:jc w:val="center"/>
              <w:rPr>
                <w:rFonts w:hint="default" w:ascii="宋体" w:hAnsi="宋体" w:eastAsia="宋体" w:cs="宋体"/>
                <w:kern w:val="2"/>
                <w:sz w:val="24"/>
                <w:szCs w:val="24"/>
                <w:highlight w:val="none"/>
                <w:lang w:val="en-US" w:eastAsia="zh-CN" w:bidi="ar-SA"/>
              </w:rPr>
            </w:pPr>
          </w:p>
        </w:tc>
        <w:tc>
          <w:tcPr>
            <w:tcW w:w="1304" w:type="dxa"/>
            <w:tcBorders>
              <w:top w:val="single" w:color="auto" w:sz="6" w:space="0"/>
              <w:left w:val="single" w:color="auto" w:sz="6" w:space="0"/>
              <w:bottom w:val="single" w:color="auto" w:sz="6" w:space="0"/>
              <w:right w:val="single" w:color="auto" w:sz="6" w:space="0"/>
            </w:tcBorders>
            <w:noWrap/>
            <w:vAlign w:val="center"/>
          </w:tcPr>
          <w:p>
            <w:pPr>
              <w:spacing w:line="340" w:lineRule="exact"/>
              <w:jc w:val="center"/>
              <w:rPr>
                <w:rFonts w:hint="eastAsia" w:ascii="宋体" w:hAnsi="宋体" w:eastAsia="宋体" w:cs="宋体"/>
                <w:kern w:val="2"/>
                <w:sz w:val="24"/>
                <w:szCs w:val="24"/>
                <w:highlight w:val="none"/>
                <w:lang w:val="en-US" w:eastAsia="zh-CN" w:bidi="ar-SA"/>
              </w:rPr>
            </w:pPr>
          </w:p>
        </w:tc>
        <w:tc>
          <w:tcPr>
            <w:tcW w:w="1304" w:type="dxa"/>
            <w:tcBorders>
              <w:top w:val="single" w:color="auto" w:sz="6" w:space="0"/>
              <w:left w:val="single" w:color="auto" w:sz="6" w:space="0"/>
              <w:bottom w:val="single" w:color="auto" w:sz="6" w:space="0"/>
              <w:right w:val="single" w:color="auto" w:sz="6" w:space="0"/>
            </w:tcBorders>
            <w:noWrap/>
            <w:vAlign w:val="center"/>
          </w:tcPr>
          <w:p>
            <w:pPr>
              <w:spacing w:line="340" w:lineRule="exact"/>
              <w:jc w:val="center"/>
              <w:rPr>
                <w:rFonts w:ascii="宋体" w:hAnsi="宋体" w:cs="宋体"/>
                <w:sz w:val="24"/>
                <w:highlight w:val="none"/>
              </w:rPr>
            </w:pPr>
          </w:p>
        </w:tc>
        <w:tc>
          <w:tcPr>
            <w:tcW w:w="1304" w:type="dxa"/>
            <w:tcBorders>
              <w:top w:val="single" w:color="auto" w:sz="6" w:space="0"/>
              <w:left w:val="single" w:color="auto" w:sz="6" w:space="0"/>
              <w:bottom w:val="single" w:color="auto" w:sz="6" w:space="0"/>
              <w:right w:val="single" w:color="auto" w:sz="6" w:space="0"/>
            </w:tcBorders>
            <w:noWrap/>
            <w:vAlign w:val="center"/>
          </w:tcPr>
          <w:p>
            <w:pPr>
              <w:spacing w:line="340" w:lineRule="exact"/>
              <w:rPr>
                <w:rFonts w:ascii="宋体" w:hAnsi="宋体" w:cs="宋体"/>
                <w:sz w:val="24"/>
                <w:highlight w:val="none"/>
              </w:rPr>
            </w:pPr>
          </w:p>
        </w:tc>
        <w:tc>
          <w:tcPr>
            <w:tcW w:w="1305" w:type="dxa"/>
            <w:tcBorders>
              <w:top w:val="single" w:color="auto" w:sz="6" w:space="0"/>
              <w:left w:val="single" w:color="auto" w:sz="6" w:space="0"/>
              <w:bottom w:val="single" w:color="auto" w:sz="6" w:space="0"/>
              <w:right w:val="single" w:color="auto" w:sz="12" w:space="0"/>
            </w:tcBorders>
            <w:noWrap/>
          </w:tcPr>
          <w:p>
            <w:pPr>
              <w:spacing w:line="340" w:lineRule="exact"/>
              <w:rPr>
                <w:rFonts w:ascii="宋体" w:hAnsi="宋体" w:cs="宋体"/>
                <w:sz w:val="24"/>
                <w:highlight w:val="none"/>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00" w:hRule="atLeast"/>
        </w:trPr>
        <w:tc>
          <w:tcPr>
            <w:tcW w:w="857" w:type="dxa"/>
            <w:tcBorders>
              <w:top w:val="single" w:color="auto" w:sz="6" w:space="0"/>
              <w:left w:val="single" w:color="auto" w:sz="12" w:space="0"/>
              <w:bottom w:val="single" w:color="auto" w:sz="6" w:space="0"/>
              <w:right w:val="single" w:color="auto" w:sz="6" w:space="0"/>
            </w:tcBorders>
            <w:noWrap/>
          </w:tcPr>
          <w:p>
            <w:pPr>
              <w:spacing w:line="340" w:lineRule="exact"/>
              <w:jc w:val="center"/>
              <w:rPr>
                <w:rFonts w:hint="eastAsia" w:ascii="宋体" w:hAnsi="宋体" w:eastAsia="宋体" w:cs="宋体"/>
                <w:kern w:val="2"/>
                <w:sz w:val="24"/>
                <w:szCs w:val="24"/>
                <w:highlight w:val="none"/>
                <w:lang w:val="en-US" w:eastAsia="zh-CN" w:bidi="ar-SA"/>
              </w:rPr>
            </w:pPr>
          </w:p>
        </w:tc>
        <w:tc>
          <w:tcPr>
            <w:tcW w:w="1304" w:type="dxa"/>
            <w:tcBorders>
              <w:top w:val="single" w:color="auto" w:sz="6" w:space="0"/>
              <w:left w:val="single" w:color="auto" w:sz="6" w:space="0"/>
              <w:bottom w:val="single" w:color="auto" w:sz="6" w:space="0"/>
              <w:right w:val="single" w:color="auto" w:sz="6" w:space="0"/>
            </w:tcBorders>
            <w:noWrap/>
            <w:vAlign w:val="center"/>
          </w:tcPr>
          <w:p>
            <w:pPr>
              <w:spacing w:line="340" w:lineRule="exact"/>
              <w:rPr>
                <w:rFonts w:hint="eastAsia" w:ascii="宋体" w:hAnsi="宋体" w:eastAsia="宋体" w:cs="宋体"/>
                <w:kern w:val="2"/>
                <w:sz w:val="24"/>
                <w:szCs w:val="24"/>
                <w:highlight w:val="none"/>
                <w:lang w:val="en-US" w:eastAsia="zh-CN" w:bidi="ar-SA"/>
              </w:rPr>
            </w:pPr>
          </w:p>
        </w:tc>
        <w:tc>
          <w:tcPr>
            <w:tcW w:w="1304" w:type="dxa"/>
            <w:tcBorders>
              <w:top w:val="single" w:color="auto" w:sz="6" w:space="0"/>
              <w:left w:val="single" w:color="auto" w:sz="6" w:space="0"/>
              <w:bottom w:val="single" w:color="auto" w:sz="6" w:space="0"/>
              <w:right w:val="single" w:color="auto" w:sz="6" w:space="0"/>
            </w:tcBorders>
            <w:noWrap/>
            <w:vAlign w:val="center"/>
          </w:tcPr>
          <w:p>
            <w:pPr>
              <w:spacing w:line="340" w:lineRule="exact"/>
              <w:rPr>
                <w:rFonts w:hint="eastAsia" w:ascii="宋体" w:hAnsi="宋体" w:eastAsia="宋体" w:cs="宋体"/>
                <w:kern w:val="2"/>
                <w:sz w:val="24"/>
                <w:szCs w:val="24"/>
                <w:highlight w:val="none"/>
                <w:lang w:val="en-US" w:eastAsia="zh-CN" w:bidi="ar-SA"/>
              </w:rPr>
            </w:pPr>
          </w:p>
        </w:tc>
        <w:tc>
          <w:tcPr>
            <w:tcW w:w="1304" w:type="dxa"/>
            <w:tcBorders>
              <w:top w:val="single" w:color="auto" w:sz="6" w:space="0"/>
              <w:left w:val="single" w:color="auto" w:sz="6" w:space="0"/>
              <w:bottom w:val="single" w:color="auto" w:sz="6" w:space="0"/>
              <w:right w:val="single" w:color="auto" w:sz="6" w:space="0"/>
            </w:tcBorders>
            <w:noWrap/>
            <w:vAlign w:val="center"/>
          </w:tcPr>
          <w:p>
            <w:pPr>
              <w:spacing w:line="340" w:lineRule="exact"/>
              <w:ind w:firstLine="480" w:firstLineChars="200"/>
              <w:rPr>
                <w:rFonts w:hint="eastAsia" w:ascii="宋体" w:hAnsi="宋体" w:eastAsia="宋体" w:cs="宋体"/>
                <w:kern w:val="2"/>
                <w:sz w:val="24"/>
                <w:szCs w:val="24"/>
                <w:highlight w:val="none"/>
                <w:lang w:val="en-US" w:eastAsia="zh-CN" w:bidi="ar-SA"/>
              </w:rPr>
            </w:pPr>
          </w:p>
        </w:tc>
        <w:tc>
          <w:tcPr>
            <w:tcW w:w="1304" w:type="dxa"/>
            <w:tcBorders>
              <w:top w:val="single" w:color="auto" w:sz="6" w:space="0"/>
              <w:left w:val="single" w:color="auto" w:sz="6" w:space="0"/>
              <w:bottom w:val="single" w:color="auto" w:sz="6" w:space="0"/>
              <w:right w:val="single" w:color="auto" w:sz="6" w:space="0"/>
            </w:tcBorders>
            <w:noWrap/>
            <w:vAlign w:val="center"/>
          </w:tcPr>
          <w:p>
            <w:pPr>
              <w:spacing w:line="340" w:lineRule="exact"/>
              <w:ind w:firstLine="480" w:firstLineChars="200"/>
              <w:rPr>
                <w:rFonts w:ascii="宋体" w:hAnsi="宋体" w:cs="宋体"/>
                <w:sz w:val="24"/>
                <w:highlight w:val="none"/>
              </w:rPr>
            </w:pPr>
          </w:p>
        </w:tc>
        <w:tc>
          <w:tcPr>
            <w:tcW w:w="1304" w:type="dxa"/>
            <w:tcBorders>
              <w:top w:val="single" w:color="auto" w:sz="6" w:space="0"/>
              <w:left w:val="single" w:color="auto" w:sz="6" w:space="0"/>
              <w:bottom w:val="single" w:color="auto" w:sz="6" w:space="0"/>
              <w:right w:val="single" w:color="auto" w:sz="6" w:space="0"/>
            </w:tcBorders>
            <w:noWrap/>
            <w:vAlign w:val="center"/>
          </w:tcPr>
          <w:p>
            <w:pPr>
              <w:spacing w:line="340" w:lineRule="exact"/>
              <w:rPr>
                <w:rFonts w:ascii="宋体" w:hAnsi="宋体" w:cs="宋体"/>
                <w:sz w:val="24"/>
                <w:highlight w:val="none"/>
              </w:rPr>
            </w:pPr>
          </w:p>
        </w:tc>
        <w:tc>
          <w:tcPr>
            <w:tcW w:w="1305" w:type="dxa"/>
            <w:tcBorders>
              <w:top w:val="single" w:color="auto" w:sz="6" w:space="0"/>
              <w:left w:val="single" w:color="auto" w:sz="6" w:space="0"/>
              <w:bottom w:val="single" w:color="auto" w:sz="6" w:space="0"/>
              <w:right w:val="single" w:color="auto" w:sz="12" w:space="0"/>
            </w:tcBorders>
            <w:noWrap/>
          </w:tcPr>
          <w:p>
            <w:pPr>
              <w:spacing w:line="340" w:lineRule="exact"/>
              <w:rPr>
                <w:rFonts w:ascii="宋体" w:hAnsi="宋体" w:cs="宋体"/>
                <w:sz w:val="24"/>
                <w:highlight w:val="none"/>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19" w:hRule="atLeast"/>
        </w:trPr>
        <w:tc>
          <w:tcPr>
            <w:tcW w:w="857" w:type="dxa"/>
            <w:tcBorders>
              <w:top w:val="single" w:color="auto" w:sz="6" w:space="0"/>
              <w:left w:val="single" w:color="auto" w:sz="12" w:space="0"/>
              <w:bottom w:val="single" w:color="auto" w:sz="6" w:space="0"/>
              <w:right w:val="single" w:color="auto" w:sz="6" w:space="0"/>
            </w:tcBorders>
            <w:noWrap/>
          </w:tcPr>
          <w:p>
            <w:pPr>
              <w:spacing w:line="340" w:lineRule="exact"/>
              <w:jc w:val="center"/>
              <w:rPr>
                <w:rFonts w:ascii="宋体" w:hAnsi="宋体" w:cs="宋体"/>
                <w:sz w:val="24"/>
                <w:highlight w:val="none"/>
              </w:rPr>
            </w:pPr>
          </w:p>
        </w:tc>
        <w:tc>
          <w:tcPr>
            <w:tcW w:w="1304" w:type="dxa"/>
            <w:tcBorders>
              <w:top w:val="single" w:color="auto" w:sz="6" w:space="0"/>
              <w:left w:val="single" w:color="auto" w:sz="6" w:space="0"/>
              <w:bottom w:val="single" w:color="auto" w:sz="6" w:space="0"/>
              <w:right w:val="single" w:color="auto" w:sz="6" w:space="0"/>
            </w:tcBorders>
            <w:noWrap/>
            <w:vAlign w:val="center"/>
          </w:tcPr>
          <w:p>
            <w:pPr>
              <w:spacing w:line="340" w:lineRule="exact"/>
              <w:jc w:val="center"/>
              <w:rPr>
                <w:rFonts w:ascii="宋体" w:hAnsi="宋体" w:cs="宋体"/>
                <w:sz w:val="24"/>
                <w:highlight w:val="none"/>
              </w:rPr>
            </w:pPr>
          </w:p>
        </w:tc>
        <w:tc>
          <w:tcPr>
            <w:tcW w:w="1304" w:type="dxa"/>
            <w:tcBorders>
              <w:top w:val="single" w:color="auto" w:sz="6" w:space="0"/>
              <w:left w:val="single" w:color="auto" w:sz="6" w:space="0"/>
              <w:bottom w:val="single" w:color="auto" w:sz="6" w:space="0"/>
              <w:right w:val="single" w:color="auto" w:sz="6" w:space="0"/>
            </w:tcBorders>
            <w:noWrap/>
            <w:vAlign w:val="center"/>
          </w:tcPr>
          <w:p>
            <w:pPr>
              <w:spacing w:line="340" w:lineRule="exact"/>
              <w:jc w:val="center"/>
              <w:rPr>
                <w:rFonts w:ascii="宋体" w:hAnsi="宋体" w:cs="宋体"/>
                <w:sz w:val="24"/>
                <w:highlight w:val="none"/>
              </w:rPr>
            </w:pPr>
          </w:p>
        </w:tc>
        <w:tc>
          <w:tcPr>
            <w:tcW w:w="1304" w:type="dxa"/>
            <w:tcBorders>
              <w:top w:val="single" w:color="auto" w:sz="6" w:space="0"/>
              <w:left w:val="single" w:color="auto" w:sz="6" w:space="0"/>
              <w:bottom w:val="single" w:color="auto" w:sz="6" w:space="0"/>
              <w:right w:val="single" w:color="auto" w:sz="6" w:space="0"/>
            </w:tcBorders>
            <w:noWrap/>
            <w:vAlign w:val="center"/>
          </w:tcPr>
          <w:p>
            <w:pPr>
              <w:spacing w:line="340" w:lineRule="exact"/>
              <w:rPr>
                <w:rFonts w:ascii="宋体" w:hAnsi="宋体" w:cs="宋体"/>
                <w:sz w:val="24"/>
                <w:highlight w:val="none"/>
              </w:rPr>
            </w:pPr>
          </w:p>
        </w:tc>
        <w:tc>
          <w:tcPr>
            <w:tcW w:w="1304" w:type="dxa"/>
            <w:tcBorders>
              <w:top w:val="single" w:color="auto" w:sz="6" w:space="0"/>
              <w:left w:val="single" w:color="auto" w:sz="6" w:space="0"/>
              <w:bottom w:val="single" w:color="auto" w:sz="6" w:space="0"/>
              <w:right w:val="single" w:color="auto" w:sz="6" w:space="0"/>
            </w:tcBorders>
            <w:noWrap/>
            <w:vAlign w:val="center"/>
          </w:tcPr>
          <w:p>
            <w:pPr>
              <w:spacing w:line="340" w:lineRule="exact"/>
              <w:rPr>
                <w:rFonts w:ascii="宋体" w:hAnsi="宋体" w:cs="宋体"/>
                <w:sz w:val="24"/>
                <w:highlight w:val="none"/>
              </w:rPr>
            </w:pPr>
          </w:p>
        </w:tc>
        <w:tc>
          <w:tcPr>
            <w:tcW w:w="1304" w:type="dxa"/>
            <w:tcBorders>
              <w:top w:val="single" w:color="auto" w:sz="6" w:space="0"/>
              <w:left w:val="single" w:color="auto" w:sz="6" w:space="0"/>
              <w:bottom w:val="single" w:color="auto" w:sz="6" w:space="0"/>
              <w:right w:val="single" w:color="auto" w:sz="6" w:space="0"/>
            </w:tcBorders>
            <w:noWrap/>
            <w:vAlign w:val="center"/>
          </w:tcPr>
          <w:p>
            <w:pPr>
              <w:spacing w:line="340" w:lineRule="exact"/>
              <w:rPr>
                <w:rFonts w:ascii="宋体" w:hAnsi="宋体" w:cs="宋体"/>
                <w:sz w:val="24"/>
                <w:highlight w:val="none"/>
              </w:rPr>
            </w:pPr>
          </w:p>
        </w:tc>
        <w:tc>
          <w:tcPr>
            <w:tcW w:w="1305" w:type="dxa"/>
            <w:tcBorders>
              <w:top w:val="single" w:color="auto" w:sz="6" w:space="0"/>
              <w:left w:val="single" w:color="auto" w:sz="6" w:space="0"/>
              <w:bottom w:val="single" w:color="auto" w:sz="6" w:space="0"/>
              <w:right w:val="single" w:color="auto" w:sz="12" w:space="0"/>
            </w:tcBorders>
            <w:noWrap/>
          </w:tcPr>
          <w:p>
            <w:pPr>
              <w:spacing w:line="340" w:lineRule="exact"/>
              <w:rPr>
                <w:rFonts w:ascii="宋体" w:hAnsi="宋体" w:cs="宋体"/>
                <w:sz w:val="24"/>
                <w:highlight w:val="none"/>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19" w:hRule="atLeast"/>
        </w:trPr>
        <w:tc>
          <w:tcPr>
            <w:tcW w:w="857" w:type="dxa"/>
            <w:tcBorders>
              <w:top w:val="single" w:color="auto" w:sz="6" w:space="0"/>
              <w:left w:val="single" w:color="auto" w:sz="12" w:space="0"/>
              <w:bottom w:val="single" w:color="auto" w:sz="6" w:space="0"/>
              <w:right w:val="single" w:color="auto" w:sz="6" w:space="0"/>
            </w:tcBorders>
            <w:noWrap/>
          </w:tcPr>
          <w:p>
            <w:pPr>
              <w:spacing w:line="340" w:lineRule="exact"/>
              <w:jc w:val="center"/>
              <w:rPr>
                <w:rFonts w:ascii="宋体" w:hAnsi="宋体" w:cs="宋体"/>
                <w:sz w:val="24"/>
                <w:highlight w:val="none"/>
              </w:rPr>
            </w:pPr>
          </w:p>
        </w:tc>
        <w:tc>
          <w:tcPr>
            <w:tcW w:w="1304" w:type="dxa"/>
            <w:tcBorders>
              <w:top w:val="single" w:color="auto" w:sz="6" w:space="0"/>
              <w:left w:val="single" w:color="auto" w:sz="6" w:space="0"/>
              <w:bottom w:val="single" w:color="auto" w:sz="6" w:space="0"/>
              <w:right w:val="single" w:color="auto" w:sz="6" w:space="0"/>
            </w:tcBorders>
            <w:noWrap/>
            <w:vAlign w:val="center"/>
          </w:tcPr>
          <w:p>
            <w:pPr>
              <w:spacing w:line="340" w:lineRule="exact"/>
              <w:jc w:val="center"/>
              <w:rPr>
                <w:rFonts w:ascii="宋体" w:hAnsi="宋体" w:cs="宋体"/>
                <w:sz w:val="24"/>
                <w:highlight w:val="none"/>
              </w:rPr>
            </w:pPr>
          </w:p>
        </w:tc>
        <w:tc>
          <w:tcPr>
            <w:tcW w:w="1304" w:type="dxa"/>
            <w:tcBorders>
              <w:top w:val="single" w:color="auto" w:sz="6" w:space="0"/>
              <w:left w:val="single" w:color="auto" w:sz="6" w:space="0"/>
              <w:bottom w:val="single" w:color="auto" w:sz="6" w:space="0"/>
              <w:right w:val="single" w:color="auto" w:sz="6" w:space="0"/>
            </w:tcBorders>
            <w:noWrap/>
            <w:vAlign w:val="center"/>
          </w:tcPr>
          <w:p>
            <w:pPr>
              <w:spacing w:line="340" w:lineRule="exact"/>
              <w:jc w:val="center"/>
              <w:rPr>
                <w:rFonts w:ascii="宋体" w:hAnsi="宋体" w:cs="宋体"/>
                <w:sz w:val="24"/>
                <w:highlight w:val="none"/>
              </w:rPr>
            </w:pPr>
          </w:p>
        </w:tc>
        <w:tc>
          <w:tcPr>
            <w:tcW w:w="1304" w:type="dxa"/>
            <w:tcBorders>
              <w:top w:val="single" w:color="auto" w:sz="6" w:space="0"/>
              <w:left w:val="single" w:color="auto" w:sz="6" w:space="0"/>
              <w:bottom w:val="single" w:color="auto" w:sz="6" w:space="0"/>
              <w:right w:val="single" w:color="auto" w:sz="6" w:space="0"/>
            </w:tcBorders>
            <w:noWrap/>
            <w:vAlign w:val="center"/>
          </w:tcPr>
          <w:p>
            <w:pPr>
              <w:spacing w:line="340" w:lineRule="exact"/>
              <w:rPr>
                <w:rFonts w:ascii="宋体" w:hAnsi="宋体" w:cs="宋体"/>
                <w:sz w:val="24"/>
                <w:highlight w:val="none"/>
              </w:rPr>
            </w:pPr>
          </w:p>
        </w:tc>
        <w:tc>
          <w:tcPr>
            <w:tcW w:w="1304" w:type="dxa"/>
            <w:tcBorders>
              <w:top w:val="single" w:color="auto" w:sz="6" w:space="0"/>
              <w:left w:val="single" w:color="auto" w:sz="6" w:space="0"/>
              <w:bottom w:val="single" w:color="auto" w:sz="6" w:space="0"/>
              <w:right w:val="single" w:color="auto" w:sz="6" w:space="0"/>
            </w:tcBorders>
            <w:noWrap/>
            <w:vAlign w:val="center"/>
          </w:tcPr>
          <w:p>
            <w:pPr>
              <w:spacing w:line="340" w:lineRule="exact"/>
              <w:rPr>
                <w:rFonts w:ascii="宋体" w:hAnsi="宋体" w:cs="宋体"/>
                <w:sz w:val="24"/>
                <w:highlight w:val="none"/>
              </w:rPr>
            </w:pPr>
          </w:p>
        </w:tc>
        <w:tc>
          <w:tcPr>
            <w:tcW w:w="1304" w:type="dxa"/>
            <w:tcBorders>
              <w:top w:val="single" w:color="auto" w:sz="6" w:space="0"/>
              <w:left w:val="single" w:color="auto" w:sz="6" w:space="0"/>
              <w:bottom w:val="single" w:color="auto" w:sz="6" w:space="0"/>
              <w:right w:val="single" w:color="auto" w:sz="6" w:space="0"/>
            </w:tcBorders>
            <w:noWrap/>
            <w:vAlign w:val="center"/>
          </w:tcPr>
          <w:p>
            <w:pPr>
              <w:spacing w:line="340" w:lineRule="exact"/>
              <w:rPr>
                <w:rFonts w:ascii="宋体" w:hAnsi="宋体" w:cs="宋体"/>
                <w:sz w:val="24"/>
                <w:highlight w:val="none"/>
              </w:rPr>
            </w:pPr>
          </w:p>
        </w:tc>
        <w:tc>
          <w:tcPr>
            <w:tcW w:w="1305" w:type="dxa"/>
            <w:tcBorders>
              <w:top w:val="single" w:color="auto" w:sz="6" w:space="0"/>
              <w:left w:val="single" w:color="auto" w:sz="6" w:space="0"/>
              <w:bottom w:val="single" w:color="auto" w:sz="6" w:space="0"/>
              <w:right w:val="single" w:color="auto" w:sz="12" w:space="0"/>
            </w:tcBorders>
            <w:noWrap/>
          </w:tcPr>
          <w:p>
            <w:pPr>
              <w:spacing w:line="340" w:lineRule="exact"/>
              <w:rPr>
                <w:rFonts w:ascii="宋体" w:hAnsi="宋体" w:cs="宋体"/>
                <w:sz w:val="24"/>
                <w:highlight w:val="none"/>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19" w:hRule="atLeast"/>
        </w:trPr>
        <w:tc>
          <w:tcPr>
            <w:tcW w:w="857" w:type="dxa"/>
            <w:tcBorders>
              <w:top w:val="single" w:color="auto" w:sz="6" w:space="0"/>
              <w:left w:val="single" w:color="auto" w:sz="12" w:space="0"/>
              <w:bottom w:val="single" w:color="auto" w:sz="6" w:space="0"/>
              <w:right w:val="single" w:color="auto" w:sz="6" w:space="0"/>
            </w:tcBorders>
            <w:noWrap/>
          </w:tcPr>
          <w:p>
            <w:pPr>
              <w:spacing w:line="340" w:lineRule="exact"/>
              <w:jc w:val="center"/>
              <w:rPr>
                <w:rFonts w:ascii="宋体" w:hAnsi="宋体" w:cs="宋体"/>
                <w:sz w:val="24"/>
                <w:highlight w:val="none"/>
              </w:rPr>
            </w:pPr>
            <w:r>
              <w:rPr>
                <w:rFonts w:ascii="宋体" w:hAnsi="宋体"/>
                <w:sz w:val="24"/>
                <w:highlight w:val="none"/>
              </w:rPr>
              <w:t>……</w:t>
            </w:r>
          </w:p>
        </w:tc>
        <w:tc>
          <w:tcPr>
            <w:tcW w:w="1304" w:type="dxa"/>
            <w:tcBorders>
              <w:top w:val="single" w:color="auto" w:sz="6" w:space="0"/>
              <w:left w:val="single" w:color="auto" w:sz="6" w:space="0"/>
              <w:bottom w:val="single" w:color="auto" w:sz="6" w:space="0"/>
              <w:right w:val="single" w:color="auto" w:sz="6" w:space="0"/>
            </w:tcBorders>
            <w:noWrap/>
            <w:vAlign w:val="center"/>
          </w:tcPr>
          <w:p>
            <w:pPr>
              <w:spacing w:line="340" w:lineRule="exact"/>
              <w:jc w:val="center"/>
              <w:rPr>
                <w:rFonts w:ascii="宋体" w:hAnsi="宋体" w:cs="宋体"/>
                <w:sz w:val="24"/>
                <w:highlight w:val="none"/>
              </w:rPr>
            </w:pPr>
          </w:p>
        </w:tc>
        <w:tc>
          <w:tcPr>
            <w:tcW w:w="1304" w:type="dxa"/>
            <w:tcBorders>
              <w:top w:val="single" w:color="auto" w:sz="6" w:space="0"/>
              <w:left w:val="single" w:color="auto" w:sz="6" w:space="0"/>
              <w:bottom w:val="single" w:color="auto" w:sz="6" w:space="0"/>
              <w:right w:val="single" w:color="auto" w:sz="6" w:space="0"/>
            </w:tcBorders>
            <w:noWrap/>
            <w:vAlign w:val="center"/>
          </w:tcPr>
          <w:p>
            <w:pPr>
              <w:spacing w:line="340" w:lineRule="exact"/>
              <w:jc w:val="center"/>
              <w:rPr>
                <w:rFonts w:ascii="宋体" w:hAnsi="宋体" w:cs="宋体"/>
                <w:sz w:val="24"/>
                <w:highlight w:val="none"/>
              </w:rPr>
            </w:pPr>
          </w:p>
        </w:tc>
        <w:tc>
          <w:tcPr>
            <w:tcW w:w="1304" w:type="dxa"/>
            <w:tcBorders>
              <w:top w:val="single" w:color="auto" w:sz="6" w:space="0"/>
              <w:left w:val="single" w:color="auto" w:sz="6" w:space="0"/>
              <w:bottom w:val="single" w:color="auto" w:sz="6" w:space="0"/>
              <w:right w:val="single" w:color="auto" w:sz="6" w:space="0"/>
            </w:tcBorders>
            <w:noWrap/>
            <w:vAlign w:val="center"/>
          </w:tcPr>
          <w:p>
            <w:pPr>
              <w:spacing w:line="340" w:lineRule="exact"/>
              <w:rPr>
                <w:rFonts w:ascii="宋体" w:hAnsi="宋体" w:cs="宋体"/>
                <w:sz w:val="24"/>
                <w:highlight w:val="none"/>
              </w:rPr>
            </w:pPr>
          </w:p>
        </w:tc>
        <w:tc>
          <w:tcPr>
            <w:tcW w:w="1304" w:type="dxa"/>
            <w:tcBorders>
              <w:top w:val="single" w:color="auto" w:sz="6" w:space="0"/>
              <w:left w:val="single" w:color="auto" w:sz="6" w:space="0"/>
              <w:bottom w:val="single" w:color="auto" w:sz="6" w:space="0"/>
              <w:right w:val="single" w:color="auto" w:sz="6" w:space="0"/>
            </w:tcBorders>
            <w:noWrap/>
            <w:vAlign w:val="center"/>
          </w:tcPr>
          <w:p>
            <w:pPr>
              <w:spacing w:line="340" w:lineRule="exact"/>
              <w:rPr>
                <w:rFonts w:ascii="宋体" w:hAnsi="宋体" w:cs="宋体"/>
                <w:sz w:val="24"/>
                <w:highlight w:val="none"/>
              </w:rPr>
            </w:pPr>
          </w:p>
        </w:tc>
        <w:tc>
          <w:tcPr>
            <w:tcW w:w="1304" w:type="dxa"/>
            <w:tcBorders>
              <w:top w:val="single" w:color="auto" w:sz="6" w:space="0"/>
              <w:left w:val="single" w:color="auto" w:sz="6" w:space="0"/>
              <w:bottom w:val="single" w:color="auto" w:sz="6" w:space="0"/>
              <w:right w:val="single" w:color="auto" w:sz="6" w:space="0"/>
            </w:tcBorders>
            <w:noWrap/>
            <w:vAlign w:val="center"/>
          </w:tcPr>
          <w:p>
            <w:pPr>
              <w:spacing w:line="340" w:lineRule="exact"/>
              <w:rPr>
                <w:rFonts w:ascii="宋体" w:hAnsi="宋体" w:cs="宋体"/>
                <w:sz w:val="24"/>
                <w:highlight w:val="none"/>
              </w:rPr>
            </w:pPr>
          </w:p>
        </w:tc>
        <w:tc>
          <w:tcPr>
            <w:tcW w:w="1305" w:type="dxa"/>
            <w:tcBorders>
              <w:top w:val="single" w:color="auto" w:sz="6" w:space="0"/>
              <w:left w:val="single" w:color="auto" w:sz="6" w:space="0"/>
              <w:bottom w:val="single" w:color="auto" w:sz="6" w:space="0"/>
              <w:right w:val="single" w:color="auto" w:sz="12" w:space="0"/>
            </w:tcBorders>
            <w:noWrap/>
          </w:tcPr>
          <w:p>
            <w:pPr>
              <w:spacing w:line="340" w:lineRule="exact"/>
              <w:rPr>
                <w:rFonts w:ascii="宋体" w:hAnsi="宋体" w:cs="宋体"/>
                <w:sz w:val="24"/>
                <w:highlight w:val="none"/>
              </w:rPr>
            </w:pPr>
          </w:p>
        </w:tc>
      </w:tr>
    </w:tbl>
    <w:p>
      <w:pPr>
        <w:pStyle w:val="19"/>
        <w:rPr>
          <w:highlight w:val="none"/>
        </w:rPr>
      </w:pPr>
    </w:p>
    <w:p>
      <w:pPr>
        <w:snapToGrid w:val="0"/>
        <w:spacing w:line="520" w:lineRule="exact"/>
        <w:rPr>
          <w:rFonts w:hint="default" w:ascii="宋体" w:hAnsi="宋体" w:eastAsia="宋体" w:cs="宋体"/>
          <w:sz w:val="24"/>
          <w:highlight w:val="none"/>
          <w:lang w:val="en-US" w:eastAsia="zh-CN"/>
        </w:rPr>
      </w:pPr>
      <w:r>
        <w:rPr>
          <w:rFonts w:hint="eastAsia" w:ascii="宋体" w:hAnsi="宋体" w:cs="宋体"/>
          <w:sz w:val="24"/>
          <w:highlight w:val="none"/>
          <w:lang w:val="en-US" w:eastAsia="zh-CN"/>
        </w:rPr>
        <w:t>注：职务一栏中注明项目负责人或团队成员。</w:t>
      </w:r>
    </w:p>
    <w:p>
      <w:pPr>
        <w:snapToGrid w:val="0"/>
        <w:spacing w:line="520" w:lineRule="exact"/>
        <w:rPr>
          <w:rFonts w:hint="eastAsia" w:ascii="宋体" w:hAnsi="宋体" w:cs="宋体"/>
          <w:sz w:val="24"/>
          <w:highlight w:val="none"/>
        </w:rPr>
      </w:pPr>
    </w:p>
    <w:p>
      <w:pPr>
        <w:snapToGrid w:val="0"/>
        <w:spacing w:line="520" w:lineRule="exact"/>
        <w:rPr>
          <w:rFonts w:hint="eastAsia" w:ascii="宋体" w:hAnsi="宋体" w:cs="宋体"/>
          <w:sz w:val="24"/>
          <w:highlight w:val="none"/>
        </w:rPr>
      </w:pPr>
    </w:p>
    <w:p>
      <w:pPr>
        <w:snapToGrid w:val="0"/>
        <w:spacing w:line="520" w:lineRule="exact"/>
        <w:rPr>
          <w:rFonts w:ascii="宋体" w:hAnsi="宋体" w:cs="宋体"/>
          <w:sz w:val="24"/>
          <w:highlight w:val="none"/>
        </w:rPr>
      </w:pPr>
      <w:r>
        <w:rPr>
          <w:rFonts w:hint="eastAsia" w:ascii="宋体" w:hAnsi="宋体" w:cs="宋体"/>
          <w:sz w:val="24"/>
          <w:highlight w:val="none"/>
        </w:rPr>
        <w:t xml:space="preserve">投标供应商：（盖章）             </w:t>
      </w:r>
    </w:p>
    <w:p>
      <w:pPr>
        <w:snapToGrid w:val="0"/>
        <w:spacing w:line="520" w:lineRule="exact"/>
        <w:rPr>
          <w:rFonts w:ascii="宋体" w:hAnsi="宋体" w:cs="宋体"/>
          <w:sz w:val="24"/>
          <w:highlight w:val="none"/>
        </w:rPr>
      </w:pPr>
      <w:r>
        <w:rPr>
          <w:rFonts w:hint="eastAsia" w:ascii="宋体" w:hAnsi="宋体" w:cs="宋体"/>
          <w:sz w:val="24"/>
          <w:highlight w:val="none"/>
        </w:rPr>
        <w:t xml:space="preserve">法定代表人或被授权人（签字或盖章）：  </w:t>
      </w:r>
    </w:p>
    <w:p>
      <w:pPr>
        <w:snapToGrid w:val="0"/>
        <w:spacing w:line="520" w:lineRule="exact"/>
        <w:rPr>
          <w:rFonts w:ascii="宋体" w:hAnsi="宋体" w:cs="宋体"/>
          <w:sz w:val="24"/>
          <w:highlight w:val="none"/>
        </w:rPr>
      </w:pPr>
      <w:r>
        <w:rPr>
          <w:rFonts w:hint="eastAsia" w:ascii="宋体" w:hAnsi="宋体" w:cs="宋体"/>
          <w:sz w:val="24"/>
          <w:highlight w:val="none"/>
        </w:rPr>
        <w:t>日期：</w:t>
      </w:r>
    </w:p>
    <w:p>
      <w:pPr>
        <w:snapToGrid w:val="0"/>
        <w:spacing w:line="440" w:lineRule="exact"/>
        <w:contextualSpacing/>
        <w:outlineLvl w:val="4"/>
        <w:rPr>
          <w:highlight w:val="none"/>
        </w:rPr>
      </w:pPr>
    </w:p>
    <w:p>
      <w:pPr>
        <w:pStyle w:val="19"/>
        <w:rPr>
          <w:highlight w:val="none"/>
        </w:rPr>
      </w:pPr>
    </w:p>
    <w:p>
      <w:pPr>
        <w:rPr>
          <w:highlight w:val="none"/>
        </w:rPr>
      </w:pPr>
    </w:p>
    <w:p>
      <w:pPr>
        <w:pStyle w:val="19"/>
        <w:rPr>
          <w:highlight w:val="none"/>
        </w:rPr>
      </w:pPr>
    </w:p>
    <w:p>
      <w:pPr>
        <w:rPr>
          <w:highlight w:val="none"/>
        </w:rPr>
      </w:pPr>
    </w:p>
    <w:p>
      <w:pPr>
        <w:pStyle w:val="19"/>
        <w:rPr>
          <w:highlight w:val="none"/>
        </w:rPr>
      </w:pPr>
    </w:p>
    <w:p>
      <w:pPr>
        <w:rPr>
          <w:highlight w:val="none"/>
        </w:rPr>
      </w:pPr>
    </w:p>
    <w:p>
      <w:pPr>
        <w:pStyle w:val="19"/>
        <w:rPr>
          <w:highlight w:val="none"/>
        </w:rPr>
      </w:pPr>
    </w:p>
    <w:p>
      <w:pPr>
        <w:rPr>
          <w:highlight w:val="none"/>
        </w:rPr>
      </w:pPr>
    </w:p>
    <w:p>
      <w:pPr>
        <w:pStyle w:val="19"/>
        <w:rPr>
          <w:highlight w:val="none"/>
        </w:rPr>
      </w:pPr>
    </w:p>
    <w:p>
      <w:pPr>
        <w:rPr>
          <w:highlight w:val="none"/>
        </w:rPr>
      </w:pPr>
    </w:p>
    <w:p>
      <w:pPr>
        <w:pStyle w:val="19"/>
        <w:rPr>
          <w:highlight w:val="none"/>
        </w:rPr>
      </w:pPr>
    </w:p>
    <w:p>
      <w:pPr>
        <w:rPr>
          <w:highlight w:val="none"/>
        </w:rPr>
      </w:pPr>
    </w:p>
    <w:p>
      <w:pPr>
        <w:pStyle w:val="19"/>
        <w:rPr>
          <w:highlight w:val="none"/>
        </w:rPr>
      </w:pPr>
    </w:p>
    <w:p>
      <w:pPr>
        <w:rPr>
          <w:highlight w:val="none"/>
        </w:rPr>
      </w:pPr>
    </w:p>
    <w:p>
      <w:pPr>
        <w:pStyle w:val="19"/>
        <w:rPr>
          <w:highlight w:val="none"/>
        </w:rPr>
      </w:pPr>
    </w:p>
    <w:p>
      <w:pPr>
        <w:rPr>
          <w:highlight w:val="none"/>
        </w:rPr>
      </w:pPr>
    </w:p>
    <w:p>
      <w:pPr>
        <w:pStyle w:val="19"/>
        <w:rPr>
          <w:highlight w:val="none"/>
        </w:rPr>
      </w:pPr>
    </w:p>
    <w:p>
      <w:pPr>
        <w:spacing w:line="480" w:lineRule="exact"/>
        <w:rPr>
          <w:rFonts w:ascii="宋体" w:hAnsi="宋体"/>
          <w:b/>
          <w:bCs/>
          <w:sz w:val="24"/>
          <w:highlight w:val="none"/>
        </w:rPr>
      </w:pPr>
      <w:r>
        <w:rPr>
          <w:rFonts w:hint="eastAsia" w:ascii="宋体" w:hAnsi="宋体"/>
          <w:b/>
          <w:bCs/>
          <w:sz w:val="24"/>
          <w:highlight w:val="none"/>
        </w:rPr>
        <w:t>C.价格标（单独密封）</w:t>
      </w:r>
    </w:p>
    <w:p>
      <w:pPr>
        <w:snapToGrid w:val="0"/>
        <w:spacing w:line="360" w:lineRule="auto"/>
        <w:outlineLvl w:val="2"/>
        <w:rPr>
          <w:rFonts w:ascii="宋体" w:hAnsi="宋体"/>
          <w:b/>
          <w:bCs/>
          <w:sz w:val="24"/>
          <w:highlight w:val="none"/>
        </w:rPr>
      </w:pPr>
    </w:p>
    <w:p>
      <w:pPr>
        <w:snapToGrid w:val="0"/>
        <w:spacing w:line="360" w:lineRule="auto"/>
        <w:jc w:val="center"/>
        <w:rPr>
          <w:rFonts w:ascii="宋体" w:hAnsi="宋体"/>
          <w:b/>
          <w:bCs/>
          <w:sz w:val="24"/>
          <w:highlight w:val="none"/>
        </w:rPr>
      </w:pPr>
      <w:r>
        <w:rPr>
          <w:rFonts w:ascii="宋体" w:hAnsi="宋体"/>
          <w:b/>
          <w:bCs/>
          <w:sz w:val="24"/>
          <w:highlight w:val="none"/>
        </w:rPr>
        <w:t>1</w:t>
      </w:r>
      <w:r>
        <w:rPr>
          <w:rFonts w:hint="eastAsia" w:ascii="宋体" w:hAnsi="宋体"/>
          <w:b/>
          <w:bCs/>
          <w:sz w:val="24"/>
          <w:highlight w:val="none"/>
        </w:rPr>
        <w:t>.</w:t>
      </w:r>
      <w:r>
        <w:rPr>
          <w:rFonts w:ascii="宋体" w:hAnsi="宋体"/>
          <w:b/>
          <w:bCs/>
          <w:sz w:val="24"/>
          <w:highlight w:val="none"/>
        </w:rPr>
        <w:t>投标响应报价总表</w:t>
      </w:r>
    </w:p>
    <w:p>
      <w:pPr>
        <w:snapToGrid w:val="0"/>
        <w:spacing w:line="360" w:lineRule="auto"/>
        <w:rPr>
          <w:rFonts w:ascii="宋体" w:hAnsi="宋体"/>
          <w:sz w:val="24"/>
          <w:highlight w:val="none"/>
        </w:rPr>
      </w:pPr>
    </w:p>
    <w:tbl>
      <w:tblPr>
        <w:tblStyle w:val="41"/>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503"/>
        <w:gridCol w:w="621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84" w:hRule="atLeast"/>
        </w:trPr>
        <w:tc>
          <w:tcPr>
            <w:tcW w:w="1435" w:type="pct"/>
            <w:tcBorders>
              <w:top w:val="single" w:color="auto" w:sz="4" w:space="0"/>
              <w:left w:val="single" w:color="auto" w:sz="4" w:space="0"/>
              <w:bottom w:val="single" w:color="auto" w:sz="4" w:space="0"/>
              <w:right w:val="single" w:color="auto" w:sz="4" w:space="0"/>
            </w:tcBorders>
            <w:noWrap/>
            <w:vAlign w:val="center"/>
          </w:tcPr>
          <w:p>
            <w:pPr>
              <w:kinsoku w:val="0"/>
              <w:topLinePunct/>
              <w:snapToGrid w:val="0"/>
              <w:spacing w:line="360" w:lineRule="auto"/>
              <w:jc w:val="center"/>
              <w:rPr>
                <w:rFonts w:ascii="宋体" w:hAnsi="宋体"/>
                <w:sz w:val="24"/>
                <w:highlight w:val="none"/>
              </w:rPr>
            </w:pPr>
            <w:r>
              <w:rPr>
                <w:rFonts w:ascii="宋体" w:hAnsi="宋体"/>
                <w:sz w:val="24"/>
                <w:highlight w:val="none"/>
              </w:rPr>
              <w:t>项目名称</w:t>
            </w:r>
            <w:r>
              <w:rPr>
                <w:rFonts w:hint="eastAsia" w:ascii="宋体" w:hAnsi="宋体"/>
                <w:sz w:val="24"/>
                <w:highlight w:val="none"/>
              </w:rPr>
              <w:t>+标段号</w:t>
            </w:r>
          </w:p>
        </w:tc>
        <w:tc>
          <w:tcPr>
            <w:tcW w:w="3564" w:type="pct"/>
            <w:tcBorders>
              <w:top w:val="single" w:color="auto" w:sz="4" w:space="0"/>
              <w:left w:val="single" w:color="auto" w:sz="4" w:space="0"/>
              <w:bottom w:val="single" w:color="auto" w:sz="4" w:space="0"/>
              <w:right w:val="single" w:color="auto" w:sz="4" w:space="0"/>
            </w:tcBorders>
            <w:noWrap/>
            <w:vAlign w:val="center"/>
          </w:tcPr>
          <w:p>
            <w:pPr>
              <w:kinsoku w:val="0"/>
              <w:topLinePunct/>
              <w:snapToGrid w:val="0"/>
              <w:spacing w:line="360" w:lineRule="auto"/>
              <w:rPr>
                <w:rFonts w:ascii="宋体" w:hAnsi="宋体"/>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84" w:hRule="atLeast"/>
        </w:trPr>
        <w:tc>
          <w:tcPr>
            <w:tcW w:w="1435" w:type="pct"/>
            <w:tcBorders>
              <w:top w:val="single" w:color="auto" w:sz="4" w:space="0"/>
              <w:left w:val="single" w:color="auto" w:sz="4" w:space="0"/>
              <w:bottom w:val="single" w:color="auto" w:sz="4" w:space="0"/>
              <w:right w:val="single" w:color="auto" w:sz="4" w:space="0"/>
            </w:tcBorders>
            <w:noWrap/>
            <w:vAlign w:val="center"/>
          </w:tcPr>
          <w:p>
            <w:pPr>
              <w:kinsoku w:val="0"/>
              <w:topLinePunct/>
              <w:snapToGrid w:val="0"/>
              <w:spacing w:line="360" w:lineRule="auto"/>
              <w:jc w:val="center"/>
              <w:rPr>
                <w:rFonts w:ascii="宋体" w:hAnsi="宋体"/>
                <w:sz w:val="24"/>
                <w:highlight w:val="none"/>
              </w:rPr>
            </w:pPr>
            <w:r>
              <w:rPr>
                <w:rFonts w:ascii="宋体" w:hAnsi="宋体"/>
                <w:sz w:val="24"/>
                <w:highlight w:val="none"/>
              </w:rPr>
              <w:t>项目编号</w:t>
            </w:r>
          </w:p>
        </w:tc>
        <w:tc>
          <w:tcPr>
            <w:tcW w:w="3564" w:type="pct"/>
            <w:tcBorders>
              <w:top w:val="single" w:color="auto" w:sz="4" w:space="0"/>
              <w:left w:val="single" w:color="auto" w:sz="4" w:space="0"/>
              <w:bottom w:val="single" w:color="auto" w:sz="4" w:space="0"/>
              <w:right w:val="single" w:color="auto" w:sz="4" w:space="0"/>
            </w:tcBorders>
            <w:noWrap/>
            <w:vAlign w:val="center"/>
          </w:tcPr>
          <w:p>
            <w:pPr>
              <w:kinsoku w:val="0"/>
              <w:topLinePunct/>
              <w:snapToGrid w:val="0"/>
              <w:spacing w:line="360" w:lineRule="auto"/>
              <w:rPr>
                <w:rFonts w:ascii="宋体" w:hAnsi="宋体"/>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trPr>
        <w:tc>
          <w:tcPr>
            <w:tcW w:w="1435" w:type="pct"/>
            <w:tcBorders>
              <w:top w:val="single" w:color="auto" w:sz="4" w:space="0"/>
              <w:left w:val="single" w:color="auto" w:sz="4" w:space="0"/>
              <w:bottom w:val="single" w:color="auto" w:sz="4" w:space="0"/>
              <w:right w:val="single" w:color="auto" w:sz="4" w:space="0"/>
            </w:tcBorders>
            <w:noWrap/>
            <w:vAlign w:val="center"/>
          </w:tcPr>
          <w:p>
            <w:pPr>
              <w:kinsoku w:val="0"/>
              <w:topLinePunct/>
              <w:snapToGrid w:val="0"/>
              <w:spacing w:line="360" w:lineRule="auto"/>
              <w:jc w:val="center"/>
              <w:rPr>
                <w:rFonts w:ascii="宋体" w:hAnsi="宋体"/>
                <w:sz w:val="24"/>
                <w:highlight w:val="none"/>
              </w:rPr>
            </w:pPr>
            <w:r>
              <w:rPr>
                <w:rFonts w:ascii="宋体" w:hAnsi="宋体"/>
                <w:sz w:val="24"/>
                <w:highlight w:val="none"/>
              </w:rPr>
              <w:t>投标报价总计</w:t>
            </w:r>
          </w:p>
        </w:tc>
        <w:tc>
          <w:tcPr>
            <w:tcW w:w="3564" w:type="pct"/>
            <w:tcBorders>
              <w:top w:val="single" w:color="auto" w:sz="4" w:space="0"/>
              <w:left w:val="single" w:color="auto" w:sz="4" w:space="0"/>
              <w:bottom w:val="single" w:color="auto" w:sz="4" w:space="0"/>
              <w:right w:val="single" w:color="auto" w:sz="4" w:space="0"/>
            </w:tcBorders>
            <w:noWrap/>
            <w:vAlign w:val="center"/>
          </w:tcPr>
          <w:p>
            <w:pPr>
              <w:kinsoku w:val="0"/>
              <w:topLinePunct/>
              <w:snapToGrid w:val="0"/>
              <w:spacing w:line="360" w:lineRule="auto"/>
              <w:rPr>
                <w:rFonts w:ascii="宋体" w:hAnsi="宋体"/>
                <w:sz w:val="24"/>
                <w:highlight w:val="none"/>
              </w:rPr>
            </w:pPr>
            <w:r>
              <w:rPr>
                <w:rFonts w:ascii="宋体" w:hAnsi="宋体"/>
                <w:sz w:val="24"/>
                <w:highlight w:val="none"/>
              </w:rPr>
              <w:t>¥</w:t>
            </w:r>
            <w:r>
              <w:rPr>
                <w:rFonts w:hint="eastAsia" w:ascii="宋体" w:hAnsi="宋体"/>
                <w:sz w:val="24"/>
                <w:highlight w:val="none"/>
                <w:lang w:val="en-US" w:eastAsia="zh-CN"/>
              </w:rPr>
              <w:t xml:space="preserve">     </w:t>
            </w:r>
            <w:r>
              <w:rPr>
                <w:rFonts w:ascii="宋体" w:hAnsi="宋体"/>
                <w:sz w:val="24"/>
                <w:highlight w:val="none"/>
              </w:rPr>
              <w:t xml:space="preserve">元，人民币大写： </w:t>
            </w:r>
            <w:r>
              <w:rPr>
                <w:rFonts w:hint="eastAsia" w:ascii="宋体" w:hAnsi="宋体"/>
                <w:sz w:val="24"/>
                <w:highlight w:val="none"/>
                <w:lang w:val="en-US" w:eastAsia="zh-CN"/>
              </w:rPr>
              <w:t xml:space="preserve">   </w:t>
            </w:r>
            <w:r>
              <w:rPr>
                <w:rFonts w:ascii="宋体" w:hAnsi="宋体"/>
                <w:sz w:val="24"/>
                <w:highlight w:val="none"/>
              </w:rPr>
              <w:t>元。</w:t>
            </w:r>
          </w:p>
        </w:tc>
      </w:tr>
    </w:tbl>
    <w:p>
      <w:pPr>
        <w:kinsoku w:val="0"/>
        <w:topLinePunct/>
        <w:snapToGrid w:val="0"/>
        <w:spacing w:line="360" w:lineRule="auto"/>
        <w:rPr>
          <w:rFonts w:ascii="宋体" w:hAnsi="宋体"/>
          <w:sz w:val="24"/>
          <w:highlight w:val="none"/>
        </w:rPr>
      </w:pPr>
    </w:p>
    <w:p>
      <w:pPr>
        <w:kinsoku w:val="0"/>
        <w:topLinePunct/>
        <w:snapToGrid w:val="0"/>
        <w:spacing w:line="360" w:lineRule="auto"/>
        <w:rPr>
          <w:rFonts w:ascii="宋体" w:hAnsi="宋体"/>
          <w:sz w:val="24"/>
          <w:highlight w:val="none"/>
        </w:rPr>
      </w:pPr>
      <w:r>
        <w:rPr>
          <w:rFonts w:ascii="宋体" w:hAnsi="宋体"/>
          <w:sz w:val="24"/>
          <w:highlight w:val="none"/>
        </w:rPr>
        <w:t xml:space="preserve">投标供应商：（盖章）             </w:t>
      </w:r>
    </w:p>
    <w:p>
      <w:pPr>
        <w:kinsoku w:val="0"/>
        <w:topLinePunct/>
        <w:snapToGrid w:val="0"/>
        <w:spacing w:line="360" w:lineRule="auto"/>
        <w:rPr>
          <w:rFonts w:ascii="宋体" w:hAnsi="宋体"/>
          <w:sz w:val="24"/>
          <w:highlight w:val="none"/>
        </w:rPr>
      </w:pPr>
      <w:r>
        <w:rPr>
          <w:rFonts w:ascii="宋体" w:hAnsi="宋体"/>
          <w:sz w:val="24"/>
          <w:highlight w:val="none"/>
        </w:rPr>
        <w:t>法定代表人或被授权人（签字或盖章）：</w:t>
      </w:r>
    </w:p>
    <w:p>
      <w:pPr>
        <w:kinsoku w:val="0"/>
        <w:topLinePunct/>
        <w:snapToGrid w:val="0"/>
        <w:spacing w:line="360" w:lineRule="auto"/>
        <w:rPr>
          <w:rFonts w:ascii="宋体" w:hAnsi="宋体"/>
          <w:sz w:val="24"/>
          <w:highlight w:val="none"/>
        </w:rPr>
      </w:pPr>
      <w:r>
        <w:rPr>
          <w:rFonts w:ascii="宋体" w:hAnsi="宋体"/>
          <w:sz w:val="24"/>
          <w:highlight w:val="none"/>
        </w:rPr>
        <w:t>日期：</w:t>
      </w:r>
    </w:p>
    <w:p>
      <w:pPr>
        <w:kinsoku w:val="0"/>
        <w:topLinePunct/>
        <w:snapToGrid w:val="0"/>
        <w:spacing w:line="360" w:lineRule="auto"/>
        <w:rPr>
          <w:rFonts w:ascii="宋体" w:hAnsi="宋体"/>
          <w:sz w:val="24"/>
          <w:highlight w:val="none"/>
        </w:rPr>
      </w:pPr>
    </w:p>
    <w:p>
      <w:pPr>
        <w:kinsoku w:val="0"/>
        <w:topLinePunct/>
        <w:snapToGrid w:val="0"/>
        <w:spacing w:line="360" w:lineRule="auto"/>
        <w:rPr>
          <w:rFonts w:ascii="宋体" w:hAnsi="宋体"/>
          <w:sz w:val="24"/>
          <w:highlight w:val="none"/>
        </w:rPr>
      </w:pPr>
      <w:r>
        <w:rPr>
          <w:rFonts w:ascii="宋体" w:hAnsi="宋体"/>
          <w:sz w:val="24"/>
          <w:highlight w:val="none"/>
        </w:rPr>
        <w:t xml:space="preserve">注： </w:t>
      </w:r>
    </w:p>
    <w:p>
      <w:pPr>
        <w:kinsoku w:val="0"/>
        <w:topLinePunct/>
        <w:snapToGrid w:val="0"/>
        <w:spacing w:line="360" w:lineRule="auto"/>
        <w:ind w:firstLine="480" w:firstLineChars="200"/>
        <w:rPr>
          <w:rFonts w:ascii="宋体" w:hAnsi="宋体"/>
          <w:sz w:val="24"/>
          <w:highlight w:val="none"/>
        </w:rPr>
      </w:pPr>
      <w:r>
        <w:rPr>
          <w:rFonts w:hint="eastAsia" w:ascii="宋体" w:hAnsi="宋体"/>
          <w:sz w:val="24"/>
          <w:highlight w:val="none"/>
        </w:rPr>
        <w:t>（1）</w:t>
      </w:r>
      <w:r>
        <w:rPr>
          <w:rFonts w:ascii="宋体" w:hAnsi="宋体"/>
          <w:sz w:val="24"/>
          <w:highlight w:val="none"/>
        </w:rPr>
        <w:t>本表为格式表，不得自行改动，必须提供。</w:t>
      </w:r>
    </w:p>
    <w:p>
      <w:pPr>
        <w:tabs>
          <w:tab w:val="left" w:pos="1710"/>
        </w:tabs>
        <w:snapToGrid w:val="0"/>
        <w:spacing w:line="312" w:lineRule="auto"/>
        <w:ind w:firstLine="480" w:firstLineChars="200"/>
        <w:contextualSpacing/>
        <w:rPr>
          <w:rFonts w:hint="eastAsia" w:ascii="宋体" w:hAnsi="宋体"/>
          <w:sz w:val="24"/>
          <w:highlight w:val="none"/>
        </w:rPr>
      </w:pPr>
      <w:r>
        <w:rPr>
          <w:rFonts w:hint="eastAsia" w:ascii="宋体" w:hAnsi="宋体"/>
          <w:sz w:val="24"/>
          <w:highlight w:val="none"/>
        </w:rPr>
        <w:t>（2）本表投标总报价（以人民币计价）应包含但不限于以下费用：社会调查、前期现场勘察、方案设计、方案优化为完成上述设计内容所必须的设施、材料、技术、劳务、交通、差旅、咨询、会务、报告编制、研究、管理、利润、税金、专家评审、行政主管部门咨询、评审手续等为完成本项目所需的全部费用；相关伴随服务以及质保期、售后服务等一切费用，同时还包含为完成本项目所必须的其他辅助工作的相关费用及响应招标文件要求的所有费用。</w:t>
      </w:r>
    </w:p>
    <w:p>
      <w:pPr>
        <w:kinsoku w:val="0"/>
        <w:topLinePunct/>
        <w:snapToGrid w:val="0"/>
        <w:spacing w:line="360" w:lineRule="auto"/>
        <w:ind w:firstLine="480" w:firstLineChars="200"/>
        <w:rPr>
          <w:rFonts w:ascii="宋体" w:hAnsi="宋体"/>
          <w:sz w:val="24"/>
          <w:highlight w:val="none"/>
        </w:rPr>
      </w:pPr>
    </w:p>
    <w:p>
      <w:pPr>
        <w:kinsoku w:val="0"/>
        <w:topLinePunct/>
        <w:snapToGrid w:val="0"/>
        <w:spacing w:line="360" w:lineRule="auto"/>
        <w:ind w:firstLine="482" w:firstLineChars="200"/>
        <w:rPr>
          <w:rFonts w:ascii="宋体" w:hAnsi="宋体"/>
          <w:b/>
          <w:bCs/>
          <w:sz w:val="24"/>
          <w:highlight w:val="none"/>
        </w:rPr>
      </w:pPr>
    </w:p>
    <w:p>
      <w:pPr>
        <w:snapToGrid w:val="0"/>
        <w:spacing w:line="360" w:lineRule="auto"/>
        <w:ind w:firstLine="590" w:firstLineChars="245"/>
        <w:jc w:val="left"/>
        <w:rPr>
          <w:rFonts w:ascii="宋体" w:hAnsi="宋体"/>
          <w:b/>
          <w:sz w:val="24"/>
          <w:highlight w:val="none"/>
        </w:rPr>
      </w:pPr>
    </w:p>
    <w:p>
      <w:pPr>
        <w:snapToGrid w:val="0"/>
        <w:spacing w:line="360" w:lineRule="auto"/>
        <w:ind w:firstLine="590" w:firstLineChars="245"/>
        <w:jc w:val="left"/>
        <w:rPr>
          <w:rFonts w:ascii="宋体" w:hAnsi="宋体"/>
          <w:b/>
          <w:sz w:val="24"/>
          <w:highlight w:val="none"/>
        </w:rPr>
      </w:pPr>
    </w:p>
    <w:p>
      <w:pPr>
        <w:pStyle w:val="11"/>
        <w:rPr>
          <w:rFonts w:ascii="宋体" w:hAnsi="宋体"/>
          <w:b/>
          <w:sz w:val="24"/>
          <w:szCs w:val="24"/>
          <w:highlight w:val="none"/>
        </w:rPr>
      </w:pPr>
    </w:p>
    <w:p>
      <w:pPr>
        <w:pStyle w:val="11"/>
        <w:rPr>
          <w:rFonts w:ascii="宋体" w:hAnsi="宋体"/>
          <w:b/>
          <w:sz w:val="24"/>
          <w:szCs w:val="24"/>
          <w:highlight w:val="none"/>
        </w:rPr>
      </w:pPr>
    </w:p>
    <w:p>
      <w:pPr>
        <w:pStyle w:val="11"/>
        <w:rPr>
          <w:rFonts w:ascii="宋体" w:hAnsi="宋体"/>
          <w:b/>
          <w:sz w:val="24"/>
          <w:szCs w:val="24"/>
          <w:highlight w:val="none"/>
        </w:rPr>
      </w:pPr>
    </w:p>
    <w:p>
      <w:pPr>
        <w:pStyle w:val="11"/>
        <w:rPr>
          <w:rFonts w:ascii="宋体" w:hAnsi="宋体"/>
          <w:b/>
          <w:sz w:val="24"/>
          <w:szCs w:val="24"/>
          <w:highlight w:val="none"/>
        </w:rPr>
      </w:pPr>
    </w:p>
    <w:p>
      <w:pPr>
        <w:pStyle w:val="11"/>
        <w:rPr>
          <w:rFonts w:ascii="宋体" w:hAnsi="宋体"/>
          <w:b/>
          <w:sz w:val="24"/>
          <w:szCs w:val="24"/>
          <w:highlight w:val="none"/>
        </w:rPr>
      </w:pPr>
    </w:p>
    <w:p>
      <w:pPr>
        <w:snapToGrid w:val="0"/>
        <w:spacing w:line="360" w:lineRule="auto"/>
        <w:ind w:firstLine="590" w:firstLineChars="245"/>
        <w:jc w:val="left"/>
        <w:rPr>
          <w:rFonts w:ascii="宋体" w:hAnsi="宋体"/>
          <w:b/>
          <w:sz w:val="24"/>
          <w:highlight w:val="none"/>
        </w:rPr>
      </w:pPr>
    </w:p>
    <w:p>
      <w:pPr>
        <w:pStyle w:val="2"/>
        <w:ind w:left="0" w:leftChars="0" w:firstLine="0" w:firstLineChars="0"/>
        <w:rPr>
          <w:rFonts w:ascii="宋体" w:hAnsi="宋体" w:cs="宋体"/>
          <w:b/>
          <w:bCs/>
          <w:sz w:val="24"/>
          <w:highlight w:val="none"/>
          <w:lang w:val="zh-CN"/>
        </w:rPr>
      </w:pPr>
    </w:p>
    <w:p>
      <w:pPr>
        <w:jc w:val="center"/>
        <w:rPr>
          <w:rFonts w:ascii="宋体" w:hAnsi="宋体" w:cs="宋体"/>
          <w:b/>
          <w:bCs/>
          <w:sz w:val="24"/>
          <w:highlight w:val="none"/>
        </w:rPr>
      </w:pPr>
      <w:r>
        <w:rPr>
          <w:rFonts w:hint="eastAsia" w:ascii="宋体" w:hAnsi="宋体" w:cs="宋体"/>
          <w:b/>
          <w:bCs/>
          <w:sz w:val="24"/>
          <w:highlight w:val="none"/>
        </w:rPr>
        <w:t>2.分项报价明细表</w:t>
      </w:r>
    </w:p>
    <w:p>
      <w:pPr>
        <w:pStyle w:val="11"/>
        <w:rPr>
          <w:highlight w:val="none"/>
        </w:rPr>
      </w:pPr>
    </w:p>
    <w:p>
      <w:pPr>
        <w:pStyle w:val="11"/>
        <w:ind w:firstLine="0"/>
        <w:rPr>
          <w:rFonts w:ascii="宋体" w:hAnsi="宋体"/>
          <w:sz w:val="24"/>
          <w:szCs w:val="24"/>
          <w:highlight w:val="none"/>
        </w:rPr>
      </w:pPr>
      <w:r>
        <w:rPr>
          <w:rFonts w:ascii="宋体" w:hAnsi="宋体"/>
          <w:sz w:val="24"/>
          <w:szCs w:val="24"/>
          <w:highlight w:val="none"/>
        </w:rPr>
        <w:t>项目名称</w:t>
      </w:r>
      <w:r>
        <w:rPr>
          <w:rFonts w:hint="eastAsia" w:ascii="宋体" w:hAnsi="宋体"/>
          <w:sz w:val="24"/>
          <w:szCs w:val="24"/>
          <w:highlight w:val="none"/>
        </w:rPr>
        <w:t>+标段号：</w:t>
      </w:r>
    </w:p>
    <w:p>
      <w:pPr>
        <w:pStyle w:val="11"/>
        <w:ind w:firstLine="0"/>
        <w:rPr>
          <w:rFonts w:ascii="宋体" w:hAnsi="宋体"/>
          <w:sz w:val="24"/>
          <w:szCs w:val="24"/>
          <w:highlight w:val="none"/>
        </w:rPr>
      </w:pPr>
      <w:r>
        <w:rPr>
          <w:rFonts w:ascii="宋体" w:hAnsi="宋体"/>
          <w:sz w:val="24"/>
          <w:szCs w:val="24"/>
          <w:highlight w:val="none"/>
        </w:rPr>
        <w:t>项目编号</w:t>
      </w:r>
      <w:r>
        <w:rPr>
          <w:rFonts w:hint="eastAsia" w:ascii="宋体" w:hAnsi="宋体"/>
          <w:sz w:val="24"/>
          <w:szCs w:val="24"/>
          <w:highlight w:val="none"/>
        </w:rPr>
        <w:t>：</w:t>
      </w:r>
    </w:p>
    <w:tbl>
      <w:tblPr>
        <w:tblStyle w:val="41"/>
        <w:tblW w:w="1053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71"/>
        <w:gridCol w:w="1321"/>
        <w:gridCol w:w="1417"/>
        <w:gridCol w:w="1290"/>
        <w:gridCol w:w="1321"/>
        <w:gridCol w:w="1294"/>
        <w:gridCol w:w="915"/>
        <w:gridCol w:w="851"/>
        <w:gridCol w:w="115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4" w:hRule="exact"/>
          <w:jc w:val="center"/>
        </w:trPr>
        <w:tc>
          <w:tcPr>
            <w:tcW w:w="971" w:type="dxa"/>
            <w:noWrap/>
            <w:vAlign w:val="center"/>
          </w:tcPr>
          <w:p>
            <w:pPr>
              <w:snapToGrid w:val="0"/>
              <w:spacing w:line="360" w:lineRule="auto"/>
              <w:jc w:val="center"/>
              <w:rPr>
                <w:rFonts w:asciiTheme="majorEastAsia" w:hAnsiTheme="majorEastAsia" w:eastAsiaTheme="majorEastAsia" w:cstheme="majorEastAsia"/>
                <w:b/>
                <w:color w:val="000000"/>
                <w:sz w:val="24"/>
                <w:highlight w:val="none"/>
              </w:rPr>
            </w:pPr>
            <w:r>
              <w:rPr>
                <w:rFonts w:hint="eastAsia" w:asciiTheme="majorEastAsia" w:hAnsiTheme="majorEastAsia" w:eastAsiaTheme="majorEastAsia" w:cstheme="majorEastAsia"/>
                <w:b/>
                <w:color w:val="000000"/>
                <w:sz w:val="24"/>
                <w:highlight w:val="none"/>
              </w:rPr>
              <w:t>序号</w:t>
            </w:r>
          </w:p>
        </w:tc>
        <w:tc>
          <w:tcPr>
            <w:tcW w:w="1321" w:type="dxa"/>
            <w:noWrap/>
            <w:vAlign w:val="center"/>
          </w:tcPr>
          <w:p>
            <w:pPr>
              <w:snapToGrid w:val="0"/>
              <w:spacing w:line="360" w:lineRule="auto"/>
              <w:jc w:val="center"/>
              <w:rPr>
                <w:rFonts w:asciiTheme="majorEastAsia" w:hAnsiTheme="majorEastAsia" w:eastAsiaTheme="majorEastAsia" w:cstheme="majorEastAsia"/>
                <w:b/>
                <w:color w:val="000000"/>
                <w:sz w:val="24"/>
                <w:highlight w:val="none"/>
              </w:rPr>
            </w:pPr>
            <w:r>
              <w:rPr>
                <w:rFonts w:hint="eastAsia" w:asciiTheme="majorEastAsia" w:hAnsiTheme="majorEastAsia" w:eastAsiaTheme="majorEastAsia" w:cstheme="majorEastAsia"/>
                <w:b/>
                <w:color w:val="000000"/>
                <w:sz w:val="24"/>
                <w:highlight w:val="none"/>
              </w:rPr>
              <w:t>名称</w:t>
            </w:r>
          </w:p>
        </w:tc>
        <w:tc>
          <w:tcPr>
            <w:tcW w:w="1417" w:type="dxa"/>
            <w:noWrap/>
            <w:vAlign w:val="center"/>
          </w:tcPr>
          <w:p>
            <w:pPr>
              <w:snapToGrid w:val="0"/>
              <w:spacing w:line="360" w:lineRule="auto"/>
              <w:jc w:val="center"/>
              <w:rPr>
                <w:rFonts w:asciiTheme="majorEastAsia" w:hAnsiTheme="majorEastAsia" w:eastAsiaTheme="majorEastAsia" w:cstheme="majorEastAsia"/>
                <w:b/>
                <w:color w:val="000000"/>
                <w:sz w:val="24"/>
                <w:highlight w:val="none"/>
              </w:rPr>
            </w:pPr>
            <w:r>
              <w:rPr>
                <w:rFonts w:hint="eastAsia" w:asciiTheme="majorEastAsia" w:hAnsiTheme="majorEastAsia" w:eastAsiaTheme="majorEastAsia" w:cstheme="majorEastAsia"/>
                <w:b/>
                <w:color w:val="000000"/>
                <w:sz w:val="24"/>
                <w:highlight w:val="none"/>
              </w:rPr>
              <w:t>服务范围</w:t>
            </w:r>
          </w:p>
        </w:tc>
        <w:tc>
          <w:tcPr>
            <w:tcW w:w="1290" w:type="dxa"/>
            <w:noWrap/>
            <w:vAlign w:val="center"/>
          </w:tcPr>
          <w:p>
            <w:pPr>
              <w:snapToGrid w:val="0"/>
              <w:spacing w:line="360" w:lineRule="auto"/>
              <w:jc w:val="center"/>
              <w:rPr>
                <w:rFonts w:asciiTheme="majorEastAsia" w:hAnsiTheme="majorEastAsia" w:eastAsiaTheme="majorEastAsia" w:cstheme="majorEastAsia"/>
                <w:b/>
                <w:color w:val="000000"/>
                <w:sz w:val="24"/>
                <w:highlight w:val="none"/>
              </w:rPr>
            </w:pPr>
            <w:r>
              <w:rPr>
                <w:rFonts w:hint="eastAsia" w:asciiTheme="majorEastAsia" w:hAnsiTheme="majorEastAsia" w:eastAsiaTheme="majorEastAsia" w:cstheme="majorEastAsia"/>
                <w:b/>
                <w:color w:val="000000"/>
                <w:sz w:val="24"/>
                <w:highlight w:val="none"/>
              </w:rPr>
              <w:t>服务要求</w:t>
            </w:r>
          </w:p>
        </w:tc>
        <w:tc>
          <w:tcPr>
            <w:tcW w:w="1321" w:type="dxa"/>
            <w:noWrap/>
            <w:vAlign w:val="center"/>
          </w:tcPr>
          <w:p>
            <w:pPr>
              <w:snapToGrid w:val="0"/>
              <w:spacing w:line="360" w:lineRule="auto"/>
              <w:jc w:val="center"/>
              <w:rPr>
                <w:rFonts w:asciiTheme="majorEastAsia" w:hAnsiTheme="majorEastAsia" w:eastAsiaTheme="majorEastAsia" w:cstheme="majorEastAsia"/>
                <w:b/>
                <w:color w:val="000000"/>
                <w:sz w:val="24"/>
                <w:highlight w:val="none"/>
              </w:rPr>
            </w:pPr>
            <w:r>
              <w:rPr>
                <w:rFonts w:hint="eastAsia" w:asciiTheme="majorEastAsia" w:hAnsiTheme="majorEastAsia" w:eastAsiaTheme="majorEastAsia" w:cstheme="majorEastAsia"/>
                <w:b/>
                <w:color w:val="000000"/>
                <w:sz w:val="24"/>
                <w:highlight w:val="none"/>
              </w:rPr>
              <w:t>服务时间</w:t>
            </w:r>
          </w:p>
        </w:tc>
        <w:tc>
          <w:tcPr>
            <w:tcW w:w="1294" w:type="dxa"/>
            <w:noWrap/>
            <w:vAlign w:val="center"/>
          </w:tcPr>
          <w:p>
            <w:pPr>
              <w:snapToGrid w:val="0"/>
              <w:spacing w:line="360" w:lineRule="auto"/>
              <w:jc w:val="center"/>
              <w:rPr>
                <w:rFonts w:asciiTheme="majorEastAsia" w:hAnsiTheme="majorEastAsia" w:eastAsiaTheme="majorEastAsia" w:cstheme="majorEastAsia"/>
                <w:b/>
                <w:color w:val="000000"/>
                <w:sz w:val="24"/>
                <w:highlight w:val="none"/>
              </w:rPr>
            </w:pPr>
            <w:r>
              <w:rPr>
                <w:rFonts w:hint="eastAsia" w:asciiTheme="majorEastAsia" w:hAnsiTheme="majorEastAsia" w:eastAsiaTheme="majorEastAsia" w:cstheme="majorEastAsia"/>
                <w:b/>
                <w:color w:val="000000"/>
                <w:sz w:val="24"/>
                <w:highlight w:val="none"/>
              </w:rPr>
              <w:t>企业数量</w:t>
            </w:r>
          </w:p>
        </w:tc>
        <w:tc>
          <w:tcPr>
            <w:tcW w:w="915" w:type="dxa"/>
            <w:noWrap/>
            <w:vAlign w:val="center"/>
          </w:tcPr>
          <w:p>
            <w:pPr>
              <w:snapToGrid w:val="0"/>
              <w:spacing w:line="360" w:lineRule="auto"/>
              <w:jc w:val="center"/>
              <w:rPr>
                <w:rFonts w:asciiTheme="majorEastAsia" w:hAnsiTheme="majorEastAsia" w:eastAsiaTheme="majorEastAsia" w:cstheme="majorEastAsia"/>
                <w:b/>
                <w:color w:val="000000"/>
                <w:sz w:val="24"/>
                <w:highlight w:val="none"/>
              </w:rPr>
            </w:pPr>
            <w:r>
              <w:rPr>
                <w:rFonts w:hint="eastAsia" w:asciiTheme="majorEastAsia" w:hAnsiTheme="majorEastAsia" w:eastAsiaTheme="majorEastAsia" w:cstheme="majorEastAsia"/>
                <w:b/>
                <w:color w:val="000000"/>
                <w:sz w:val="24"/>
                <w:highlight w:val="none"/>
              </w:rPr>
              <w:t>单价</w:t>
            </w:r>
          </w:p>
        </w:tc>
        <w:tc>
          <w:tcPr>
            <w:tcW w:w="851" w:type="dxa"/>
            <w:noWrap/>
            <w:vAlign w:val="center"/>
          </w:tcPr>
          <w:p>
            <w:pPr>
              <w:snapToGrid w:val="0"/>
              <w:spacing w:line="360" w:lineRule="auto"/>
              <w:jc w:val="center"/>
              <w:rPr>
                <w:rFonts w:asciiTheme="majorEastAsia" w:hAnsiTheme="majorEastAsia" w:eastAsiaTheme="majorEastAsia" w:cstheme="majorEastAsia"/>
                <w:b/>
                <w:color w:val="000000"/>
                <w:sz w:val="24"/>
                <w:highlight w:val="none"/>
              </w:rPr>
            </w:pPr>
            <w:r>
              <w:rPr>
                <w:rFonts w:hint="eastAsia" w:asciiTheme="majorEastAsia" w:hAnsiTheme="majorEastAsia" w:eastAsiaTheme="majorEastAsia" w:cstheme="majorEastAsia"/>
                <w:b/>
                <w:color w:val="000000"/>
                <w:sz w:val="24"/>
                <w:highlight w:val="none"/>
              </w:rPr>
              <w:t>金额</w:t>
            </w:r>
          </w:p>
        </w:tc>
        <w:tc>
          <w:tcPr>
            <w:tcW w:w="1151" w:type="dxa"/>
            <w:noWrap/>
            <w:vAlign w:val="center"/>
          </w:tcPr>
          <w:p>
            <w:pPr>
              <w:snapToGrid w:val="0"/>
              <w:spacing w:line="360" w:lineRule="auto"/>
              <w:ind w:firstLine="120" w:firstLineChars="50"/>
              <w:jc w:val="center"/>
              <w:rPr>
                <w:rFonts w:asciiTheme="majorEastAsia" w:hAnsiTheme="majorEastAsia" w:eastAsiaTheme="majorEastAsia" w:cstheme="majorEastAsia"/>
                <w:b/>
                <w:color w:val="000000"/>
                <w:sz w:val="24"/>
                <w:highlight w:val="none"/>
              </w:rPr>
            </w:pPr>
            <w:r>
              <w:rPr>
                <w:rFonts w:hint="eastAsia" w:asciiTheme="majorEastAsia" w:hAnsiTheme="majorEastAsia" w:eastAsiaTheme="majorEastAsia" w:cstheme="majorEastAsia"/>
                <w:b/>
                <w:color w:val="000000"/>
                <w:sz w:val="24"/>
                <w:highlight w:val="none"/>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79" w:hRule="atLeast"/>
          <w:jc w:val="center"/>
        </w:trPr>
        <w:tc>
          <w:tcPr>
            <w:tcW w:w="971" w:type="dxa"/>
            <w:noWrap/>
            <w:vAlign w:val="center"/>
          </w:tcPr>
          <w:p>
            <w:pPr>
              <w:snapToGrid w:val="0"/>
              <w:spacing w:line="360" w:lineRule="auto"/>
              <w:jc w:val="center"/>
              <w:rPr>
                <w:rFonts w:asciiTheme="majorEastAsia" w:hAnsiTheme="majorEastAsia" w:eastAsiaTheme="majorEastAsia" w:cstheme="majorEastAsia"/>
                <w:color w:val="000000"/>
                <w:sz w:val="24"/>
                <w:highlight w:val="none"/>
              </w:rPr>
            </w:pPr>
            <w:r>
              <w:rPr>
                <w:rFonts w:hint="eastAsia" w:asciiTheme="majorEastAsia" w:hAnsiTheme="majorEastAsia" w:eastAsiaTheme="majorEastAsia" w:cstheme="majorEastAsia"/>
                <w:color w:val="000000"/>
                <w:sz w:val="24"/>
                <w:highlight w:val="none"/>
              </w:rPr>
              <w:t>1</w:t>
            </w:r>
          </w:p>
        </w:tc>
        <w:tc>
          <w:tcPr>
            <w:tcW w:w="1321" w:type="dxa"/>
            <w:noWrap/>
            <w:vAlign w:val="center"/>
          </w:tcPr>
          <w:p>
            <w:pPr>
              <w:snapToGrid w:val="0"/>
              <w:spacing w:line="360" w:lineRule="auto"/>
              <w:jc w:val="center"/>
              <w:rPr>
                <w:rFonts w:asciiTheme="majorEastAsia" w:hAnsiTheme="majorEastAsia" w:eastAsiaTheme="majorEastAsia" w:cstheme="majorEastAsia"/>
                <w:color w:val="000000"/>
                <w:sz w:val="24"/>
                <w:highlight w:val="none"/>
              </w:rPr>
            </w:pPr>
          </w:p>
        </w:tc>
        <w:tc>
          <w:tcPr>
            <w:tcW w:w="1417" w:type="dxa"/>
            <w:noWrap/>
            <w:vAlign w:val="center"/>
          </w:tcPr>
          <w:p>
            <w:pPr>
              <w:snapToGrid w:val="0"/>
              <w:spacing w:line="360" w:lineRule="auto"/>
              <w:jc w:val="center"/>
              <w:rPr>
                <w:rFonts w:asciiTheme="majorEastAsia" w:hAnsiTheme="majorEastAsia" w:eastAsiaTheme="majorEastAsia" w:cstheme="majorEastAsia"/>
                <w:color w:val="000000"/>
                <w:sz w:val="24"/>
                <w:highlight w:val="none"/>
              </w:rPr>
            </w:pPr>
          </w:p>
        </w:tc>
        <w:tc>
          <w:tcPr>
            <w:tcW w:w="1290" w:type="dxa"/>
            <w:noWrap/>
            <w:vAlign w:val="center"/>
          </w:tcPr>
          <w:p>
            <w:pPr>
              <w:snapToGrid w:val="0"/>
              <w:spacing w:line="360" w:lineRule="auto"/>
              <w:jc w:val="center"/>
              <w:rPr>
                <w:rFonts w:asciiTheme="majorEastAsia" w:hAnsiTheme="majorEastAsia" w:eastAsiaTheme="majorEastAsia" w:cstheme="majorEastAsia"/>
                <w:color w:val="000000"/>
                <w:sz w:val="24"/>
                <w:highlight w:val="none"/>
              </w:rPr>
            </w:pPr>
          </w:p>
        </w:tc>
        <w:tc>
          <w:tcPr>
            <w:tcW w:w="1321" w:type="dxa"/>
            <w:noWrap/>
            <w:vAlign w:val="center"/>
          </w:tcPr>
          <w:p>
            <w:pPr>
              <w:snapToGrid w:val="0"/>
              <w:spacing w:line="360" w:lineRule="auto"/>
              <w:jc w:val="center"/>
              <w:rPr>
                <w:rFonts w:asciiTheme="majorEastAsia" w:hAnsiTheme="majorEastAsia" w:eastAsiaTheme="majorEastAsia" w:cstheme="majorEastAsia"/>
                <w:color w:val="000000"/>
                <w:sz w:val="24"/>
                <w:highlight w:val="none"/>
              </w:rPr>
            </w:pPr>
          </w:p>
        </w:tc>
        <w:tc>
          <w:tcPr>
            <w:tcW w:w="1294" w:type="dxa"/>
            <w:noWrap/>
            <w:vAlign w:val="center"/>
          </w:tcPr>
          <w:p>
            <w:pPr>
              <w:snapToGrid w:val="0"/>
              <w:spacing w:line="360" w:lineRule="auto"/>
              <w:jc w:val="center"/>
              <w:rPr>
                <w:rFonts w:asciiTheme="majorEastAsia" w:hAnsiTheme="majorEastAsia" w:eastAsiaTheme="majorEastAsia" w:cstheme="majorEastAsia"/>
                <w:color w:val="000000"/>
                <w:sz w:val="24"/>
                <w:highlight w:val="none"/>
              </w:rPr>
            </w:pPr>
          </w:p>
        </w:tc>
        <w:tc>
          <w:tcPr>
            <w:tcW w:w="915" w:type="dxa"/>
            <w:noWrap/>
            <w:vAlign w:val="center"/>
          </w:tcPr>
          <w:p>
            <w:pPr>
              <w:snapToGrid w:val="0"/>
              <w:spacing w:line="360" w:lineRule="auto"/>
              <w:jc w:val="center"/>
              <w:rPr>
                <w:rFonts w:asciiTheme="majorEastAsia" w:hAnsiTheme="majorEastAsia" w:eastAsiaTheme="majorEastAsia" w:cstheme="majorEastAsia"/>
                <w:color w:val="000000"/>
                <w:sz w:val="24"/>
                <w:highlight w:val="none"/>
              </w:rPr>
            </w:pPr>
          </w:p>
        </w:tc>
        <w:tc>
          <w:tcPr>
            <w:tcW w:w="851" w:type="dxa"/>
            <w:noWrap/>
            <w:vAlign w:val="center"/>
          </w:tcPr>
          <w:p>
            <w:pPr>
              <w:snapToGrid w:val="0"/>
              <w:spacing w:line="360" w:lineRule="auto"/>
              <w:jc w:val="center"/>
              <w:rPr>
                <w:rFonts w:asciiTheme="majorEastAsia" w:hAnsiTheme="majorEastAsia" w:eastAsiaTheme="majorEastAsia" w:cstheme="majorEastAsia"/>
                <w:color w:val="000000"/>
                <w:sz w:val="24"/>
                <w:highlight w:val="none"/>
              </w:rPr>
            </w:pPr>
          </w:p>
        </w:tc>
        <w:tc>
          <w:tcPr>
            <w:tcW w:w="1151" w:type="dxa"/>
            <w:noWrap/>
            <w:vAlign w:val="center"/>
          </w:tcPr>
          <w:p>
            <w:pPr>
              <w:snapToGrid w:val="0"/>
              <w:spacing w:line="360" w:lineRule="auto"/>
              <w:jc w:val="center"/>
              <w:rPr>
                <w:rFonts w:asciiTheme="majorEastAsia" w:hAnsiTheme="majorEastAsia" w:eastAsiaTheme="majorEastAsia" w:cstheme="majorEastAsia"/>
                <w:color w:val="000000"/>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02" w:hRule="atLeast"/>
          <w:jc w:val="center"/>
        </w:trPr>
        <w:tc>
          <w:tcPr>
            <w:tcW w:w="971" w:type="dxa"/>
            <w:noWrap/>
            <w:vAlign w:val="center"/>
          </w:tcPr>
          <w:p>
            <w:pPr>
              <w:snapToGrid w:val="0"/>
              <w:spacing w:line="360" w:lineRule="auto"/>
              <w:jc w:val="center"/>
              <w:rPr>
                <w:rFonts w:asciiTheme="majorEastAsia" w:hAnsiTheme="majorEastAsia" w:eastAsiaTheme="majorEastAsia" w:cstheme="majorEastAsia"/>
                <w:color w:val="000000"/>
                <w:sz w:val="24"/>
                <w:highlight w:val="none"/>
              </w:rPr>
            </w:pPr>
            <w:r>
              <w:rPr>
                <w:rFonts w:hint="eastAsia" w:asciiTheme="majorEastAsia" w:hAnsiTheme="majorEastAsia" w:eastAsiaTheme="majorEastAsia" w:cstheme="majorEastAsia"/>
                <w:color w:val="000000"/>
                <w:sz w:val="24"/>
                <w:highlight w:val="none"/>
              </w:rPr>
              <w:t>2</w:t>
            </w:r>
          </w:p>
        </w:tc>
        <w:tc>
          <w:tcPr>
            <w:tcW w:w="1321" w:type="dxa"/>
            <w:noWrap/>
            <w:vAlign w:val="center"/>
          </w:tcPr>
          <w:p>
            <w:pPr>
              <w:snapToGrid w:val="0"/>
              <w:spacing w:line="360" w:lineRule="auto"/>
              <w:jc w:val="center"/>
              <w:rPr>
                <w:rFonts w:asciiTheme="majorEastAsia" w:hAnsiTheme="majorEastAsia" w:eastAsiaTheme="majorEastAsia" w:cstheme="majorEastAsia"/>
                <w:color w:val="000000"/>
                <w:sz w:val="24"/>
                <w:highlight w:val="none"/>
              </w:rPr>
            </w:pPr>
          </w:p>
        </w:tc>
        <w:tc>
          <w:tcPr>
            <w:tcW w:w="1417" w:type="dxa"/>
            <w:noWrap/>
            <w:vAlign w:val="center"/>
          </w:tcPr>
          <w:p>
            <w:pPr>
              <w:snapToGrid w:val="0"/>
              <w:spacing w:line="360" w:lineRule="auto"/>
              <w:jc w:val="center"/>
              <w:rPr>
                <w:rFonts w:asciiTheme="majorEastAsia" w:hAnsiTheme="majorEastAsia" w:eastAsiaTheme="majorEastAsia" w:cstheme="majorEastAsia"/>
                <w:color w:val="000000"/>
                <w:sz w:val="24"/>
                <w:highlight w:val="none"/>
              </w:rPr>
            </w:pPr>
          </w:p>
        </w:tc>
        <w:tc>
          <w:tcPr>
            <w:tcW w:w="1290" w:type="dxa"/>
            <w:noWrap/>
            <w:vAlign w:val="center"/>
          </w:tcPr>
          <w:p>
            <w:pPr>
              <w:snapToGrid w:val="0"/>
              <w:spacing w:line="360" w:lineRule="auto"/>
              <w:jc w:val="center"/>
              <w:rPr>
                <w:rFonts w:asciiTheme="majorEastAsia" w:hAnsiTheme="majorEastAsia" w:eastAsiaTheme="majorEastAsia" w:cstheme="majorEastAsia"/>
                <w:color w:val="000000"/>
                <w:sz w:val="24"/>
                <w:highlight w:val="none"/>
              </w:rPr>
            </w:pPr>
          </w:p>
        </w:tc>
        <w:tc>
          <w:tcPr>
            <w:tcW w:w="1321" w:type="dxa"/>
            <w:noWrap/>
            <w:vAlign w:val="center"/>
          </w:tcPr>
          <w:p>
            <w:pPr>
              <w:snapToGrid w:val="0"/>
              <w:spacing w:line="360" w:lineRule="auto"/>
              <w:jc w:val="center"/>
              <w:rPr>
                <w:rFonts w:asciiTheme="majorEastAsia" w:hAnsiTheme="majorEastAsia" w:eastAsiaTheme="majorEastAsia" w:cstheme="majorEastAsia"/>
                <w:color w:val="000000"/>
                <w:sz w:val="24"/>
                <w:highlight w:val="none"/>
              </w:rPr>
            </w:pPr>
          </w:p>
        </w:tc>
        <w:tc>
          <w:tcPr>
            <w:tcW w:w="1294" w:type="dxa"/>
            <w:noWrap/>
            <w:vAlign w:val="center"/>
          </w:tcPr>
          <w:p>
            <w:pPr>
              <w:snapToGrid w:val="0"/>
              <w:spacing w:line="360" w:lineRule="auto"/>
              <w:jc w:val="center"/>
              <w:rPr>
                <w:rFonts w:asciiTheme="majorEastAsia" w:hAnsiTheme="majorEastAsia" w:eastAsiaTheme="majorEastAsia" w:cstheme="majorEastAsia"/>
                <w:color w:val="000000"/>
                <w:sz w:val="24"/>
                <w:highlight w:val="none"/>
              </w:rPr>
            </w:pPr>
          </w:p>
        </w:tc>
        <w:tc>
          <w:tcPr>
            <w:tcW w:w="915" w:type="dxa"/>
            <w:noWrap/>
            <w:vAlign w:val="center"/>
          </w:tcPr>
          <w:p>
            <w:pPr>
              <w:snapToGrid w:val="0"/>
              <w:spacing w:line="360" w:lineRule="auto"/>
              <w:jc w:val="center"/>
              <w:rPr>
                <w:rFonts w:asciiTheme="majorEastAsia" w:hAnsiTheme="majorEastAsia" w:eastAsiaTheme="majorEastAsia" w:cstheme="majorEastAsia"/>
                <w:color w:val="000000"/>
                <w:sz w:val="24"/>
                <w:highlight w:val="none"/>
              </w:rPr>
            </w:pPr>
          </w:p>
        </w:tc>
        <w:tc>
          <w:tcPr>
            <w:tcW w:w="851" w:type="dxa"/>
            <w:noWrap/>
            <w:vAlign w:val="center"/>
          </w:tcPr>
          <w:p>
            <w:pPr>
              <w:snapToGrid w:val="0"/>
              <w:spacing w:line="360" w:lineRule="auto"/>
              <w:jc w:val="center"/>
              <w:rPr>
                <w:rFonts w:asciiTheme="majorEastAsia" w:hAnsiTheme="majorEastAsia" w:eastAsiaTheme="majorEastAsia" w:cstheme="majorEastAsia"/>
                <w:color w:val="000000"/>
                <w:sz w:val="24"/>
                <w:highlight w:val="none"/>
              </w:rPr>
            </w:pPr>
          </w:p>
        </w:tc>
        <w:tc>
          <w:tcPr>
            <w:tcW w:w="1151" w:type="dxa"/>
            <w:noWrap/>
            <w:vAlign w:val="center"/>
          </w:tcPr>
          <w:p>
            <w:pPr>
              <w:snapToGrid w:val="0"/>
              <w:spacing w:line="360" w:lineRule="auto"/>
              <w:jc w:val="center"/>
              <w:rPr>
                <w:rFonts w:asciiTheme="majorEastAsia" w:hAnsiTheme="majorEastAsia" w:eastAsiaTheme="majorEastAsia" w:cstheme="majorEastAsia"/>
                <w:color w:val="000000"/>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3" w:hRule="atLeast"/>
          <w:jc w:val="center"/>
        </w:trPr>
        <w:tc>
          <w:tcPr>
            <w:tcW w:w="971" w:type="dxa"/>
            <w:noWrap/>
            <w:vAlign w:val="center"/>
          </w:tcPr>
          <w:p>
            <w:pPr>
              <w:snapToGrid w:val="0"/>
              <w:spacing w:line="360" w:lineRule="auto"/>
              <w:jc w:val="center"/>
              <w:rPr>
                <w:rFonts w:asciiTheme="majorEastAsia" w:hAnsiTheme="majorEastAsia" w:eastAsiaTheme="majorEastAsia" w:cstheme="majorEastAsia"/>
                <w:color w:val="000000"/>
                <w:sz w:val="24"/>
                <w:highlight w:val="none"/>
              </w:rPr>
            </w:pPr>
            <w:r>
              <w:rPr>
                <w:rFonts w:hint="eastAsia" w:asciiTheme="majorEastAsia" w:hAnsiTheme="majorEastAsia" w:eastAsiaTheme="majorEastAsia" w:cstheme="majorEastAsia"/>
                <w:color w:val="000000"/>
                <w:sz w:val="24"/>
                <w:highlight w:val="none"/>
              </w:rPr>
              <w:t>3</w:t>
            </w:r>
          </w:p>
        </w:tc>
        <w:tc>
          <w:tcPr>
            <w:tcW w:w="1321" w:type="dxa"/>
            <w:noWrap/>
            <w:vAlign w:val="center"/>
          </w:tcPr>
          <w:p>
            <w:pPr>
              <w:snapToGrid w:val="0"/>
              <w:spacing w:line="360" w:lineRule="auto"/>
              <w:jc w:val="center"/>
              <w:rPr>
                <w:rFonts w:asciiTheme="majorEastAsia" w:hAnsiTheme="majorEastAsia" w:eastAsiaTheme="majorEastAsia" w:cstheme="majorEastAsia"/>
                <w:color w:val="000000"/>
                <w:sz w:val="24"/>
                <w:highlight w:val="none"/>
              </w:rPr>
            </w:pPr>
          </w:p>
        </w:tc>
        <w:tc>
          <w:tcPr>
            <w:tcW w:w="1417" w:type="dxa"/>
            <w:noWrap/>
            <w:vAlign w:val="center"/>
          </w:tcPr>
          <w:p>
            <w:pPr>
              <w:snapToGrid w:val="0"/>
              <w:spacing w:line="360" w:lineRule="auto"/>
              <w:jc w:val="center"/>
              <w:rPr>
                <w:rFonts w:asciiTheme="majorEastAsia" w:hAnsiTheme="majorEastAsia" w:eastAsiaTheme="majorEastAsia" w:cstheme="majorEastAsia"/>
                <w:color w:val="000000"/>
                <w:sz w:val="24"/>
                <w:highlight w:val="none"/>
              </w:rPr>
            </w:pPr>
          </w:p>
        </w:tc>
        <w:tc>
          <w:tcPr>
            <w:tcW w:w="1290" w:type="dxa"/>
            <w:noWrap/>
            <w:vAlign w:val="center"/>
          </w:tcPr>
          <w:p>
            <w:pPr>
              <w:snapToGrid w:val="0"/>
              <w:spacing w:line="360" w:lineRule="auto"/>
              <w:jc w:val="center"/>
              <w:rPr>
                <w:rFonts w:asciiTheme="majorEastAsia" w:hAnsiTheme="majorEastAsia" w:eastAsiaTheme="majorEastAsia" w:cstheme="majorEastAsia"/>
                <w:color w:val="000000"/>
                <w:sz w:val="24"/>
                <w:highlight w:val="none"/>
              </w:rPr>
            </w:pPr>
          </w:p>
        </w:tc>
        <w:tc>
          <w:tcPr>
            <w:tcW w:w="1321" w:type="dxa"/>
            <w:noWrap/>
            <w:vAlign w:val="center"/>
          </w:tcPr>
          <w:p>
            <w:pPr>
              <w:snapToGrid w:val="0"/>
              <w:spacing w:line="360" w:lineRule="auto"/>
              <w:jc w:val="center"/>
              <w:rPr>
                <w:rFonts w:asciiTheme="majorEastAsia" w:hAnsiTheme="majorEastAsia" w:eastAsiaTheme="majorEastAsia" w:cstheme="majorEastAsia"/>
                <w:color w:val="000000"/>
                <w:sz w:val="24"/>
                <w:highlight w:val="none"/>
              </w:rPr>
            </w:pPr>
          </w:p>
        </w:tc>
        <w:tc>
          <w:tcPr>
            <w:tcW w:w="1294" w:type="dxa"/>
            <w:noWrap/>
            <w:vAlign w:val="center"/>
          </w:tcPr>
          <w:p>
            <w:pPr>
              <w:snapToGrid w:val="0"/>
              <w:spacing w:line="360" w:lineRule="auto"/>
              <w:jc w:val="center"/>
              <w:rPr>
                <w:rFonts w:asciiTheme="majorEastAsia" w:hAnsiTheme="majorEastAsia" w:eastAsiaTheme="majorEastAsia" w:cstheme="majorEastAsia"/>
                <w:color w:val="000000"/>
                <w:sz w:val="24"/>
                <w:highlight w:val="none"/>
              </w:rPr>
            </w:pPr>
          </w:p>
        </w:tc>
        <w:tc>
          <w:tcPr>
            <w:tcW w:w="915" w:type="dxa"/>
            <w:noWrap/>
            <w:vAlign w:val="center"/>
          </w:tcPr>
          <w:p>
            <w:pPr>
              <w:snapToGrid w:val="0"/>
              <w:spacing w:line="360" w:lineRule="auto"/>
              <w:jc w:val="center"/>
              <w:rPr>
                <w:rFonts w:asciiTheme="majorEastAsia" w:hAnsiTheme="majorEastAsia" w:eastAsiaTheme="majorEastAsia" w:cstheme="majorEastAsia"/>
                <w:color w:val="000000"/>
                <w:sz w:val="24"/>
                <w:highlight w:val="none"/>
              </w:rPr>
            </w:pPr>
          </w:p>
        </w:tc>
        <w:tc>
          <w:tcPr>
            <w:tcW w:w="851" w:type="dxa"/>
            <w:noWrap/>
            <w:vAlign w:val="center"/>
          </w:tcPr>
          <w:p>
            <w:pPr>
              <w:snapToGrid w:val="0"/>
              <w:spacing w:line="360" w:lineRule="auto"/>
              <w:jc w:val="center"/>
              <w:rPr>
                <w:rFonts w:asciiTheme="majorEastAsia" w:hAnsiTheme="majorEastAsia" w:eastAsiaTheme="majorEastAsia" w:cstheme="majorEastAsia"/>
                <w:color w:val="000000"/>
                <w:sz w:val="24"/>
                <w:highlight w:val="none"/>
              </w:rPr>
            </w:pPr>
          </w:p>
        </w:tc>
        <w:tc>
          <w:tcPr>
            <w:tcW w:w="1151" w:type="dxa"/>
            <w:noWrap/>
            <w:vAlign w:val="center"/>
          </w:tcPr>
          <w:p>
            <w:pPr>
              <w:snapToGrid w:val="0"/>
              <w:spacing w:line="360" w:lineRule="auto"/>
              <w:jc w:val="center"/>
              <w:rPr>
                <w:rFonts w:asciiTheme="majorEastAsia" w:hAnsiTheme="majorEastAsia" w:eastAsiaTheme="majorEastAsia" w:cstheme="majorEastAsia"/>
                <w:color w:val="000000"/>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3" w:hRule="atLeast"/>
          <w:jc w:val="center"/>
        </w:trPr>
        <w:tc>
          <w:tcPr>
            <w:tcW w:w="971" w:type="dxa"/>
            <w:noWrap/>
            <w:vAlign w:val="center"/>
          </w:tcPr>
          <w:p>
            <w:pPr>
              <w:snapToGrid w:val="0"/>
              <w:spacing w:line="360" w:lineRule="auto"/>
              <w:jc w:val="center"/>
              <w:rPr>
                <w:rFonts w:asciiTheme="majorEastAsia" w:hAnsiTheme="majorEastAsia" w:eastAsiaTheme="majorEastAsia" w:cstheme="majorEastAsia"/>
                <w:color w:val="000000"/>
                <w:sz w:val="24"/>
                <w:highlight w:val="none"/>
              </w:rPr>
            </w:pPr>
            <w:r>
              <w:rPr>
                <w:rFonts w:hint="eastAsia" w:asciiTheme="majorEastAsia" w:hAnsiTheme="majorEastAsia" w:eastAsiaTheme="majorEastAsia" w:cstheme="majorEastAsia"/>
                <w:color w:val="000000"/>
                <w:sz w:val="24"/>
                <w:highlight w:val="none"/>
              </w:rPr>
              <w:t>4</w:t>
            </w:r>
          </w:p>
        </w:tc>
        <w:tc>
          <w:tcPr>
            <w:tcW w:w="1321" w:type="dxa"/>
            <w:noWrap/>
            <w:vAlign w:val="center"/>
          </w:tcPr>
          <w:p>
            <w:pPr>
              <w:snapToGrid w:val="0"/>
              <w:spacing w:line="360" w:lineRule="auto"/>
              <w:jc w:val="center"/>
              <w:rPr>
                <w:rFonts w:asciiTheme="majorEastAsia" w:hAnsiTheme="majorEastAsia" w:eastAsiaTheme="majorEastAsia" w:cstheme="majorEastAsia"/>
                <w:color w:val="000000"/>
                <w:sz w:val="24"/>
                <w:highlight w:val="none"/>
              </w:rPr>
            </w:pPr>
          </w:p>
        </w:tc>
        <w:tc>
          <w:tcPr>
            <w:tcW w:w="1417" w:type="dxa"/>
            <w:noWrap/>
            <w:vAlign w:val="center"/>
          </w:tcPr>
          <w:p>
            <w:pPr>
              <w:snapToGrid w:val="0"/>
              <w:spacing w:line="360" w:lineRule="auto"/>
              <w:jc w:val="center"/>
              <w:rPr>
                <w:rFonts w:asciiTheme="majorEastAsia" w:hAnsiTheme="majorEastAsia" w:eastAsiaTheme="majorEastAsia" w:cstheme="majorEastAsia"/>
                <w:color w:val="000000"/>
                <w:sz w:val="24"/>
                <w:highlight w:val="none"/>
              </w:rPr>
            </w:pPr>
          </w:p>
        </w:tc>
        <w:tc>
          <w:tcPr>
            <w:tcW w:w="1290" w:type="dxa"/>
            <w:noWrap/>
            <w:vAlign w:val="center"/>
          </w:tcPr>
          <w:p>
            <w:pPr>
              <w:snapToGrid w:val="0"/>
              <w:spacing w:line="360" w:lineRule="auto"/>
              <w:jc w:val="center"/>
              <w:rPr>
                <w:rFonts w:asciiTheme="majorEastAsia" w:hAnsiTheme="majorEastAsia" w:eastAsiaTheme="majorEastAsia" w:cstheme="majorEastAsia"/>
                <w:color w:val="000000"/>
                <w:sz w:val="24"/>
                <w:highlight w:val="none"/>
              </w:rPr>
            </w:pPr>
          </w:p>
        </w:tc>
        <w:tc>
          <w:tcPr>
            <w:tcW w:w="1321" w:type="dxa"/>
            <w:noWrap/>
            <w:vAlign w:val="center"/>
          </w:tcPr>
          <w:p>
            <w:pPr>
              <w:snapToGrid w:val="0"/>
              <w:spacing w:line="360" w:lineRule="auto"/>
              <w:jc w:val="center"/>
              <w:rPr>
                <w:rFonts w:asciiTheme="majorEastAsia" w:hAnsiTheme="majorEastAsia" w:eastAsiaTheme="majorEastAsia" w:cstheme="majorEastAsia"/>
                <w:color w:val="000000"/>
                <w:sz w:val="24"/>
                <w:highlight w:val="none"/>
              </w:rPr>
            </w:pPr>
          </w:p>
        </w:tc>
        <w:tc>
          <w:tcPr>
            <w:tcW w:w="1294" w:type="dxa"/>
            <w:noWrap/>
            <w:vAlign w:val="center"/>
          </w:tcPr>
          <w:p>
            <w:pPr>
              <w:snapToGrid w:val="0"/>
              <w:spacing w:line="360" w:lineRule="auto"/>
              <w:jc w:val="center"/>
              <w:rPr>
                <w:rFonts w:asciiTheme="majorEastAsia" w:hAnsiTheme="majorEastAsia" w:eastAsiaTheme="majorEastAsia" w:cstheme="majorEastAsia"/>
                <w:color w:val="000000"/>
                <w:sz w:val="24"/>
                <w:highlight w:val="none"/>
              </w:rPr>
            </w:pPr>
          </w:p>
        </w:tc>
        <w:tc>
          <w:tcPr>
            <w:tcW w:w="915" w:type="dxa"/>
            <w:noWrap/>
            <w:vAlign w:val="center"/>
          </w:tcPr>
          <w:p>
            <w:pPr>
              <w:snapToGrid w:val="0"/>
              <w:spacing w:line="360" w:lineRule="auto"/>
              <w:jc w:val="center"/>
              <w:rPr>
                <w:rFonts w:asciiTheme="majorEastAsia" w:hAnsiTheme="majorEastAsia" w:eastAsiaTheme="majorEastAsia" w:cstheme="majorEastAsia"/>
                <w:color w:val="000000"/>
                <w:sz w:val="24"/>
                <w:highlight w:val="none"/>
              </w:rPr>
            </w:pPr>
          </w:p>
        </w:tc>
        <w:tc>
          <w:tcPr>
            <w:tcW w:w="851" w:type="dxa"/>
            <w:noWrap/>
            <w:vAlign w:val="center"/>
          </w:tcPr>
          <w:p>
            <w:pPr>
              <w:snapToGrid w:val="0"/>
              <w:spacing w:line="360" w:lineRule="auto"/>
              <w:jc w:val="center"/>
              <w:rPr>
                <w:rFonts w:asciiTheme="majorEastAsia" w:hAnsiTheme="majorEastAsia" w:eastAsiaTheme="majorEastAsia" w:cstheme="majorEastAsia"/>
                <w:color w:val="000000"/>
                <w:sz w:val="24"/>
                <w:highlight w:val="none"/>
              </w:rPr>
            </w:pPr>
          </w:p>
        </w:tc>
        <w:tc>
          <w:tcPr>
            <w:tcW w:w="1151" w:type="dxa"/>
            <w:noWrap/>
            <w:vAlign w:val="center"/>
          </w:tcPr>
          <w:p>
            <w:pPr>
              <w:snapToGrid w:val="0"/>
              <w:spacing w:line="360" w:lineRule="auto"/>
              <w:jc w:val="center"/>
              <w:rPr>
                <w:rFonts w:asciiTheme="majorEastAsia" w:hAnsiTheme="majorEastAsia" w:eastAsiaTheme="majorEastAsia" w:cstheme="majorEastAsia"/>
                <w:color w:val="000000"/>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3" w:hRule="atLeast"/>
          <w:jc w:val="center"/>
        </w:trPr>
        <w:tc>
          <w:tcPr>
            <w:tcW w:w="971" w:type="dxa"/>
            <w:noWrap/>
            <w:vAlign w:val="center"/>
          </w:tcPr>
          <w:p>
            <w:pPr>
              <w:snapToGrid w:val="0"/>
              <w:spacing w:line="360" w:lineRule="auto"/>
              <w:jc w:val="center"/>
              <w:rPr>
                <w:rFonts w:hint="default" w:asciiTheme="majorEastAsia" w:hAnsiTheme="majorEastAsia" w:eastAsiaTheme="majorEastAsia" w:cstheme="majorEastAsia"/>
                <w:color w:val="000000"/>
                <w:sz w:val="24"/>
                <w:highlight w:val="none"/>
                <w:lang w:val="en-US" w:eastAsia="zh-CN"/>
              </w:rPr>
            </w:pPr>
            <w:r>
              <w:rPr>
                <w:rFonts w:hint="eastAsia" w:asciiTheme="majorEastAsia" w:hAnsiTheme="majorEastAsia" w:eastAsiaTheme="majorEastAsia" w:cstheme="majorEastAsia"/>
                <w:color w:val="000000"/>
                <w:sz w:val="24"/>
                <w:highlight w:val="none"/>
                <w:lang w:val="en-US" w:eastAsia="zh-CN"/>
              </w:rPr>
              <w:t>...</w:t>
            </w:r>
          </w:p>
        </w:tc>
        <w:tc>
          <w:tcPr>
            <w:tcW w:w="1321" w:type="dxa"/>
            <w:noWrap/>
            <w:vAlign w:val="center"/>
          </w:tcPr>
          <w:p>
            <w:pPr>
              <w:snapToGrid w:val="0"/>
              <w:spacing w:line="360" w:lineRule="auto"/>
              <w:jc w:val="center"/>
              <w:rPr>
                <w:rFonts w:asciiTheme="majorEastAsia" w:hAnsiTheme="majorEastAsia" w:eastAsiaTheme="majorEastAsia" w:cstheme="majorEastAsia"/>
                <w:color w:val="000000"/>
                <w:sz w:val="24"/>
                <w:highlight w:val="none"/>
              </w:rPr>
            </w:pPr>
          </w:p>
        </w:tc>
        <w:tc>
          <w:tcPr>
            <w:tcW w:w="1417" w:type="dxa"/>
            <w:noWrap/>
            <w:vAlign w:val="center"/>
          </w:tcPr>
          <w:p>
            <w:pPr>
              <w:snapToGrid w:val="0"/>
              <w:spacing w:line="360" w:lineRule="auto"/>
              <w:jc w:val="center"/>
              <w:rPr>
                <w:rFonts w:asciiTheme="majorEastAsia" w:hAnsiTheme="majorEastAsia" w:eastAsiaTheme="majorEastAsia" w:cstheme="majorEastAsia"/>
                <w:color w:val="000000"/>
                <w:sz w:val="24"/>
                <w:highlight w:val="none"/>
              </w:rPr>
            </w:pPr>
          </w:p>
        </w:tc>
        <w:tc>
          <w:tcPr>
            <w:tcW w:w="1290" w:type="dxa"/>
            <w:noWrap/>
            <w:vAlign w:val="center"/>
          </w:tcPr>
          <w:p>
            <w:pPr>
              <w:snapToGrid w:val="0"/>
              <w:spacing w:line="360" w:lineRule="auto"/>
              <w:jc w:val="center"/>
              <w:rPr>
                <w:rFonts w:asciiTheme="majorEastAsia" w:hAnsiTheme="majorEastAsia" w:eastAsiaTheme="majorEastAsia" w:cstheme="majorEastAsia"/>
                <w:color w:val="000000"/>
                <w:sz w:val="24"/>
                <w:highlight w:val="none"/>
              </w:rPr>
            </w:pPr>
          </w:p>
        </w:tc>
        <w:tc>
          <w:tcPr>
            <w:tcW w:w="1321" w:type="dxa"/>
            <w:noWrap/>
            <w:vAlign w:val="center"/>
          </w:tcPr>
          <w:p>
            <w:pPr>
              <w:snapToGrid w:val="0"/>
              <w:spacing w:line="360" w:lineRule="auto"/>
              <w:jc w:val="center"/>
              <w:rPr>
                <w:rFonts w:asciiTheme="majorEastAsia" w:hAnsiTheme="majorEastAsia" w:eastAsiaTheme="majorEastAsia" w:cstheme="majorEastAsia"/>
                <w:color w:val="000000"/>
                <w:sz w:val="24"/>
                <w:highlight w:val="none"/>
              </w:rPr>
            </w:pPr>
          </w:p>
        </w:tc>
        <w:tc>
          <w:tcPr>
            <w:tcW w:w="1294" w:type="dxa"/>
            <w:noWrap/>
            <w:vAlign w:val="center"/>
          </w:tcPr>
          <w:p>
            <w:pPr>
              <w:snapToGrid w:val="0"/>
              <w:spacing w:line="360" w:lineRule="auto"/>
              <w:jc w:val="center"/>
              <w:rPr>
                <w:rFonts w:asciiTheme="majorEastAsia" w:hAnsiTheme="majorEastAsia" w:eastAsiaTheme="majorEastAsia" w:cstheme="majorEastAsia"/>
                <w:color w:val="000000"/>
                <w:sz w:val="24"/>
                <w:highlight w:val="none"/>
              </w:rPr>
            </w:pPr>
          </w:p>
        </w:tc>
        <w:tc>
          <w:tcPr>
            <w:tcW w:w="915" w:type="dxa"/>
            <w:noWrap/>
            <w:vAlign w:val="center"/>
          </w:tcPr>
          <w:p>
            <w:pPr>
              <w:snapToGrid w:val="0"/>
              <w:spacing w:line="360" w:lineRule="auto"/>
              <w:jc w:val="center"/>
              <w:rPr>
                <w:rFonts w:asciiTheme="majorEastAsia" w:hAnsiTheme="majorEastAsia" w:eastAsiaTheme="majorEastAsia" w:cstheme="majorEastAsia"/>
                <w:color w:val="000000"/>
                <w:sz w:val="24"/>
                <w:highlight w:val="none"/>
              </w:rPr>
            </w:pPr>
          </w:p>
        </w:tc>
        <w:tc>
          <w:tcPr>
            <w:tcW w:w="851" w:type="dxa"/>
            <w:noWrap/>
            <w:vAlign w:val="center"/>
          </w:tcPr>
          <w:p>
            <w:pPr>
              <w:snapToGrid w:val="0"/>
              <w:spacing w:line="360" w:lineRule="auto"/>
              <w:jc w:val="center"/>
              <w:rPr>
                <w:rFonts w:asciiTheme="majorEastAsia" w:hAnsiTheme="majorEastAsia" w:eastAsiaTheme="majorEastAsia" w:cstheme="majorEastAsia"/>
                <w:color w:val="000000"/>
                <w:sz w:val="24"/>
                <w:highlight w:val="none"/>
              </w:rPr>
            </w:pPr>
          </w:p>
        </w:tc>
        <w:tc>
          <w:tcPr>
            <w:tcW w:w="1151" w:type="dxa"/>
            <w:noWrap/>
            <w:vAlign w:val="center"/>
          </w:tcPr>
          <w:p>
            <w:pPr>
              <w:snapToGrid w:val="0"/>
              <w:spacing w:line="360" w:lineRule="auto"/>
              <w:jc w:val="center"/>
              <w:rPr>
                <w:rFonts w:asciiTheme="majorEastAsia" w:hAnsiTheme="majorEastAsia" w:eastAsiaTheme="majorEastAsia" w:cstheme="majorEastAsia"/>
                <w:color w:val="000000"/>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44" w:hRule="atLeast"/>
          <w:jc w:val="center"/>
        </w:trPr>
        <w:tc>
          <w:tcPr>
            <w:tcW w:w="971" w:type="dxa"/>
            <w:noWrap/>
            <w:vAlign w:val="center"/>
          </w:tcPr>
          <w:p>
            <w:pPr>
              <w:snapToGrid w:val="0"/>
              <w:spacing w:line="360" w:lineRule="auto"/>
              <w:jc w:val="center"/>
              <w:rPr>
                <w:rFonts w:asciiTheme="majorEastAsia" w:hAnsiTheme="majorEastAsia" w:eastAsiaTheme="majorEastAsia" w:cstheme="majorEastAsia"/>
                <w:color w:val="000000"/>
                <w:sz w:val="24"/>
                <w:highlight w:val="none"/>
              </w:rPr>
            </w:pPr>
            <w:r>
              <w:rPr>
                <w:rFonts w:hint="eastAsia" w:asciiTheme="majorEastAsia" w:hAnsiTheme="majorEastAsia" w:eastAsiaTheme="majorEastAsia" w:cstheme="majorEastAsia"/>
                <w:color w:val="000000"/>
                <w:sz w:val="24"/>
                <w:highlight w:val="none"/>
              </w:rPr>
              <w:t>合计</w:t>
            </w:r>
          </w:p>
        </w:tc>
        <w:tc>
          <w:tcPr>
            <w:tcW w:w="9560" w:type="dxa"/>
            <w:gridSpan w:val="8"/>
            <w:noWrap/>
            <w:vAlign w:val="center"/>
          </w:tcPr>
          <w:p>
            <w:pPr>
              <w:snapToGrid w:val="0"/>
              <w:spacing w:line="360" w:lineRule="auto"/>
              <w:jc w:val="center"/>
              <w:rPr>
                <w:rFonts w:asciiTheme="majorEastAsia" w:hAnsiTheme="majorEastAsia" w:eastAsiaTheme="majorEastAsia" w:cstheme="majorEastAsia"/>
                <w:color w:val="000000"/>
                <w:sz w:val="24"/>
                <w:highlight w:val="none"/>
              </w:rPr>
            </w:pPr>
          </w:p>
        </w:tc>
      </w:tr>
    </w:tbl>
    <w:p>
      <w:pPr>
        <w:rPr>
          <w:rFonts w:ascii="宋体" w:hAnsi="宋体" w:cs="宋体"/>
          <w:b/>
          <w:bCs/>
          <w:sz w:val="24"/>
          <w:highlight w:val="none"/>
        </w:rPr>
      </w:pPr>
    </w:p>
    <w:p>
      <w:pPr>
        <w:rPr>
          <w:rFonts w:ascii="宋体" w:hAnsi="宋体" w:cs="宋体"/>
          <w:b/>
          <w:bCs/>
          <w:sz w:val="24"/>
          <w:highlight w:val="none"/>
        </w:rPr>
      </w:pPr>
    </w:p>
    <w:p>
      <w:pPr>
        <w:kinsoku w:val="0"/>
        <w:topLinePunct/>
        <w:snapToGrid w:val="0"/>
        <w:spacing w:line="360" w:lineRule="auto"/>
        <w:rPr>
          <w:rFonts w:ascii="宋体" w:hAnsi="宋体"/>
          <w:sz w:val="24"/>
          <w:highlight w:val="none"/>
        </w:rPr>
      </w:pPr>
      <w:r>
        <w:rPr>
          <w:rFonts w:ascii="宋体" w:hAnsi="宋体"/>
          <w:sz w:val="24"/>
          <w:highlight w:val="none"/>
        </w:rPr>
        <w:t xml:space="preserve">投标供应商：（盖章）             </w:t>
      </w:r>
    </w:p>
    <w:p>
      <w:pPr>
        <w:kinsoku w:val="0"/>
        <w:topLinePunct/>
        <w:snapToGrid w:val="0"/>
        <w:spacing w:line="360" w:lineRule="auto"/>
        <w:rPr>
          <w:rFonts w:ascii="宋体" w:hAnsi="宋体"/>
          <w:sz w:val="24"/>
          <w:highlight w:val="none"/>
        </w:rPr>
      </w:pPr>
      <w:r>
        <w:rPr>
          <w:rFonts w:ascii="宋体" w:hAnsi="宋体"/>
          <w:sz w:val="24"/>
          <w:highlight w:val="none"/>
        </w:rPr>
        <w:t>法定代表人或被授权人（签字或盖章）：</w:t>
      </w:r>
    </w:p>
    <w:p>
      <w:pPr>
        <w:kinsoku w:val="0"/>
        <w:topLinePunct/>
        <w:snapToGrid w:val="0"/>
        <w:spacing w:line="360" w:lineRule="auto"/>
        <w:rPr>
          <w:rFonts w:ascii="宋体" w:hAnsi="宋体"/>
          <w:sz w:val="24"/>
          <w:highlight w:val="none"/>
        </w:rPr>
      </w:pPr>
      <w:r>
        <w:rPr>
          <w:rFonts w:ascii="宋体" w:hAnsi="宋体"/>
          <w:sz w:val="24"/>
          <w:highlight w:val="none"/>
        </w:rPr>
        <w:t>日期：</w:t>
      </w:r>
    </w:p>
    <w:p>
      <w:pPr>
        <w:rPr>
          <w:rFonts w:ascii="宋体" w:hAnsi="宋体" w:cs="宋体"/>
          <w:spacing w:val="-3"/>
          <w:sz w:val="24"/>
          <w:highlight w:val="none"/>
          <w:lang w:val="zh-CN"/>
        </w:rPr>
      </w:pPr>
    </w:p>
    <w:p>
      <w:pPr>
        <w:rPr>
          <w:rFonts w:ascii="宋体" w:hAnsi="宋体" w:cs="宋体"/>
          <w:b/>
          <w:bCs/>
          <w:sz w:val="24"/>
          <w:highlight w:val="none"/>
        </w:rPr>
      </w:pPr>
      <w:r>
        <w:rPr>
          <w:rFonts w:hint="eastAsia" w:ascii="宋体" w:hAnsi="宋体" w:cs="宋体"/>
          <w:b/>
          <w:bCs/>
          <w:sz w:val="24"/>
          <w:highlight w:val="none"/>
        </w:rPr>
        <w:br w:type="page"/>
      </w:r>
    </w:p>
    <w:p>
      <w:pPr>
        <w:jc w:val="center"/>
        <w:rPr>
          <w:rFonts w:ascii="方正小标宋_GBK" w:hAnsi="宋体" w:eastAsia="方正小标宋_GBK" w:cs="宋体"/>
          <w:sz w:val="44"/>
          <w:szCs w:val="44"/>
          <w:highlight w:val="none"/>
        </w:rPr>
      </w:pPr>
      <w:r>
        <w:rPr>
          <w:rFonts w:hint="eastAsia" w:ascii="宋体" w:hAnsi="宋体" w:cs="宋体"/>
          <w:b/>
          <w:bCs/>
          <w:sz w:val="24"/>
          <w:highlight w:val="none"/>
          <w:lang w:val="en-US" w:eastAsia="zh-CN"/>
        </w:rPr>
        <w:t>3.</w:t>
      </w:r>
      <w:r>
        <w:rPr>
          <w:rFonts w:hint="eastAsia" w:ascii="宋体" w:hAnsi="宋体" w:cs="宋体"/>
          <w:b/>
          <w:bCs/>
          <w:sz w:val="24"/>
          <w:highlight w:val="none"/>
        </w:rPr>
        <w:t>中小企业声明函（服务）</w:t>
      </w:r>
      <w:r>
        <w:rPr>
          <w:rFonts w:ascii="方正小标宋_GBK" w:hAnsi="宋体" w:eastAsia="方正小标宋_GBK" w:cs="宋体"/>
          <w:sz w:val="44"/>
          <w:szCs w:val="44"/>
          <w:highlight w:val="none"/>
        </w:rPr>
        <w:t xml:space="preserve"> </w:t>
      </w:r>
    </w:p>
    <w:p>
      <w:pPr>
        <w:pStyle w:val="2"/>
        <w:rPr>
          <w:rFonts w:hint="eastAsia"/>
          <w:highlight w:val="none"/>
        </w:rPr>
      </w:pPr>
    </w:p>
    <w:p>
      <w:pPr>
        <w:adjustRightInd w:val="0"/>
        <w:snapToGrid w:val="0"/>
        <w:spacing w:line="500" w:lineRule="exact"/>
        <w:ind w:firstLine="640" w:firstLineChars="200"/>
        <w:rPr>
          <w:rFonts w:ascii="Times New Roman" w:hAnsi="Times New Roman" w:eastAsia="仿宋_GB2312"/>
          <w:sz w:val="32"/>
          <w:szCs w:val="32"/>
          <w:highlight w:val="none"/>
        </w:rPr>
      </w:pPr>
      <w:r>
        <w:rPr>
          <w:rFonts w:ascii="Times New Roman" w:hAnsi="Times New Roman" w:eastAsia="仿宋_GB2312"/>
          <w:sz w:val="32"/>
          <w:szCs w:val="32"/>
          <w:highlight w:val="none"/>
        </w:rPr>
        <w:t>本公司（联合体）郑重声明，根据《政府采购促进中小企业发展管理办法》（财库</w:t>
      </w:r>
      <w:r>
        <w:rPr>
          <w:rFonts w:hint="eastAsia" w:ascii="宋体" w:hAnsi="宋体" w:cs="宋体"/>
          <w:sz w:val="32"/>
          <w:szCs w:val="32"/>
          <w:highlight w:val="none"/>
        </w:rPr>
        <w:t>〔</w:t>
      </w:r>
      <w:r>
        <w:rPr>
          <w:rFonts w:ascii="Times New Roman" w:hAnsi="Times New Roman" w:eastAsia="仿宋_GB2312"/>
          <w:sz w:val="32"/>
          <w:szCs w:val="32"/>
          <w:highlight w:val="none"/>
        </w:rPr>
        <w:t>2020</w:t>
      </w:r>
      <w:r>
        <w:rPr>
          <w:rFonts w:hint="eastAsia" w:ascii="宋体" w:hAnsi="宋体" w:cs="宋体"/>
          <w:sz w:val="32"/>
          <w:szCs w:val="32"/>
          <w:highlight w:val="none"/>
        </w:rPr>
        <w:t>〕</w:t>
      </w:r>
      <w:r>
        <w:rPr>
          <w:rFonts w:ascii="Times New Roman" w:hAnsi="Times New Roman" w:eastAsia="仿宋_GB2312"/>
          <w:sz w:val="32"/>
          <w:szCs w:val="32"/>
          <w:highlight w:val="none"/>
        </w:rPr>
        <w:t>46 号）的规定，本公司（联合体）参加</w:t>
      </w:r>
      <w:r>
        <w:rPr>
          <w:rFonts w:ascii="Times New Roman" w:hAnsi="Times New Roman" w:eastAsia="仿宋_GB2312"/>
          <w:i/>
          <w:sz w:val="32"/>
          <w:szCs w:val="32"/>
          <w:highlight w:val="none"/>
          <w:u w:val="single"/>
        </w:rPr>
        <w:t>（单位名称）</w:t>
      </w:r>
      <w:r>
        <w:rPr>
          <w:rFonts w:ascii="Times New Roman" w:hAnsi="Times New Roman" w:eastAsia="仿宋_GB2312"/>
          <w:sz w:val="32"/>
          <w:szCs w:val="32"/>
          <w:highlight w:val="none"/>
        </w:rPr>
        <w:t>的</w:t>
      </w:r>
      <w:r>
        <w:rPr>
          <w:rFonts w:ascii="Times New Roman" w:hAnsi="Times New Roman" w:eastAsia="仿宋_GB2312"/>
          <w:i/>
          <w:sz w:val="32"/>
          <w:szCs w:val="32"/>
          <w:highlight w:val="none"/>
          <w:u w:val="single"/>
        </w:rPr>
        <w:t>（项目名称）</w:t>
      </w:r>
      <w:r>
        <w:rPr>
          <w:rFonts w:ascii="Times New Roman" w:hAnsi="Times New Roman" w:eastAsia="仿宋_GB2312"/>
          <w:sz w:val="32"/>
          <w:szCs w:val="32"/>
          <w:highlight w:val="none"/>
        </w:rPr>
        <w:t xml:space="preserve">采购活动，服务全部由符合政策要求的中小企业承接。相关企业（含联合体中的中小企业、签订分包意向协议的中小企业）的具体情况如下： </w:t>
      </w:r>
    </w:p>
    <w:p>
      <w:pPr>
        <w:adjustRightInd w:val="0"/>
        <w:snapToGrid w:val="0"/>
        <w:spacing w:line="500" w:lineRule="exact"/>
        <w:ind w:firstLine="640" w:firstLineChars="200"/>
        <w:rPr>
          <w:rFonts w:ascii="Times New Roman" w:hAnsi="Times New Roman" w:eastAsia="仿宋_GB2312"/>
          <w:sz w:val="32"/>
          <w:szCs w:val="32"/>
          <w:highlight w:val="none"/>
        </w:rPr>
      </w:pPr>
      <w:r>
        <w:rPr>
          <w:rFonts w:ascii="Times New Roman" w:hAnsi="Times New Roman" w:eastAsia="仿宋_GB2312"/>
          <w:sz w:val="32"/>
          <w:szCs w:val="32"/>
          <w:highlight w:val="none"/>
        </w:rPr>
        <w:t xml:space="preserve">1. </w:t>
      </w:r>
      <w:r>
        <w:rPr>
          <w:rFonts w:ascii="Times New Roman" w:hAnsi="Times New Roman" w:eastAsia="仿宋_GB2312"/>
          <w:i/>
          <w:sz w:val="32"/>
          <w:szCs w:val="32"/>
          <w:highlight w:val="none"/>
          <w:u w:val="single"/>
        </w:rPr>
        <w:t>（标的名称）</w:t>
      </w:r>
      <w:r>
        <w:rPr>
          <w:rFonts w:ascii="Times New Roman" w:hAnsi="Times New Roman" w:eastAsia="仿宋_GB2312"/>
          <w:sz w:val="32"/>
          <w:szCs w:val="32"/>
          <w:highlight w:val="none"/>
        </w:rPr>
        <w:t xml:space="preserve"> ，属于</w:t>
      </w:r>
      <w:r>
        <w:rPr>
          <w:rFonts w:ascii="Times New Roman" w:hAnsi="Times New Roman" w:eastAsia="仿宋_GB2312"/>
          <w:i/>
          <w:sz w:val="32"/>
          <w:szCs w:val="32"/>
          <w:highlight w:val="none"/>
          <w:u w:val="single"/>
        </w:rPr>
        <w:t>（采购文件中明确的所属行业）</w:t>
      </w:r>
      <w:r>
        <w:rPr>
          <w:rFonts w:ascii="Times New Roman" w:hAnsi="Times New Roman" w:eastAsia="仿宋_GB2312"/>
          <w:sz w:val="32"/>
          <w:szCs w:val="32"/>
          <w:highlight w:val="none"/>
        </w:rPr>
        <w:t>； 承建（承接）企业为</w:t>
      </w:r>
      <w:r>
        <w:rPr>
          <w:rFonts w:ascii="Times New Roman" w:hAnsi="Times New Roman" w:eastAsia="仿宋_GB2312"/>
          <w:i/>
          <w:sz w:val="32"/>
          <w:szCs w:val="32"/>
          <w:highlight w:val="none"/>
          <w:u w:val="single"/>
        </w:rPr>
        <w:t>（企业名称）</w:t>
      </w:r>
      <w:r>
        <w:rPr>
          <w:rFonts w:ascii="Times New Roman" w:hAnsi="Times New Roman" w:eastAsia="仿宋_GB2312"/>
          <w:sz w:val="32"/>
          <w:szCs w:val="32"/>
          <w:highlight w:val="none"/>
        </w:rPr>
        <w:t>，从业人员</w:t>
      </w:r>
      <w:r>
        <w:rPr>
          <w:rFonts w:ascii="Times New Roman" w:hAnsi="Times New Roman" w:eastAsia="仿宋_GB2312"/>
          <w:sz w:val="32"/>
          <w:szCs w:val="32"/>
          <w:highlight w:val="none"/>
          <w:u w:val="single"/>
        </w:rPr>
        <w:t xml:space="preserve">    </w:t>
      </w:r>
      <w:r>
        <w:rPr>
          <w:rFonts w:ascii="Times New Roman" w:hAnsi="Times New Roman" w:eastAsia="仿宋_GB2312"/>
          <w:sz w:val="32"/>
          <w:szCs w:val="32"/>
          <w:highlight w:val="none"/>
        </w:rPr>
        <w:t>人，营业 收入为</w:t>
      </w:r>
      <w:r>
        <w:rPr>
          <w:rFonts w:ascii="Times New Roman" w:hAnsi="Times New Roman" w:eastAsia="仿宋_GB2312"/>
          <w:sz w:val="32"/>
          <w:szCs w:val="32"/>
          <w:highlight w:val="none"/>
          <w:u w:val="single"/>
        </w:rPr>
        <w:t xml:space="preserve">    </w:t>
      </w:r>
      <w:r>
        <w:rPr>
          <w:rFonts w:ascii="Times New Roman" w:hAnsi="Times New Roman" w:eastAsia="仿宋_GB2312"/>
          <w:sz w:val="32"/>
          <w:szCs w:val="32"/>
          <w:highlight w:val="none"/>
        </w:rPr>
        <w:t>万元，资产总额为</w:t>
      </w:r>
      <w:r>
        <w:rPr>
          <w:rFonts w:ascii="Times New Roman" w:hAnsi="Times New Roman" w:eastAsia="仿宋_GB2312"/>
          <w:sz w:val="32"/>
          <w:szCs w:val="32"/>
          <w:highlight w:val="none"/>
          <w:u w:val="single"/>
        </w:rPr>
        <w:t xml:space="preserve">    </w:t>
      </w:r>
      <w:r>
        <w:rPr>
          <w:rFonts w:ascii="Times New Roman" w:hAnsi="Times New Roman" w:eastAsia="仿宋_GB2312"/>
          <w:sz w:val="32"/>
          <w:szCs w:val="32"/>
          <w:highlight w:val="none"/>
        </w:rPr>
        <w:t>万元，属于</w:t>
      </w:r>
      <w:r>
        <w:rPr>
          <w:rFonts w:ascii="Times New Roman" w:hAnsi="Times New Roman" w:eastAsia="仿宋_GB2312"/>
          <w:i/>
          <w:sz w:val="32"/>
          <w:szCs w:val="32"/>
          <w:highlight w:val="none"/>
          <w:u w:val="single"/>
        </w:rPr>
        <w:t>（中型企业、 小型企业、微型企业）</w:t>
      </w:r>
      <w:r>
        <w:rPr>
          <w:rFonts w:ascii="Times New Roman" w:hAnsi="Times New Roman" w:eastAsia="仿宋_GB2312"/>
          <w:sz w:val="32"/>
          <w:szCs w:val="32"/>
          <w:highlight w:val="none"/>
        </w:rPr>
        <w:t>；</w:t>
      </w:r>
    </w:p>
    <w:p>
      <w:pPr>
        <w:adjustRightInd w:val="0"/>
        <w:snapToGrid w:val="0"/>
        <w:spacing w:line="500" w:lineRule="exact"/>
        <w:ind w:firstLine="640" w:firstLineChars="200"/>
        <w:rPr>
          <w:rFonts w:ascii="Times New Roman" w:hAnsi="Times New Roman" w:eastAsia="仿宋_GB2312"/>
          <w:sz w:val="32"/>
          <w:szCs w:val="32"/>
          <w:highlight w:val="none"/>
        </w:rPr>
      </w:pPr>
      <w:r>
        <w:rPr>
          <w:rFonts w:ascii="Times New Roman" w:hAnsi="Times New Roman" w:eastAsia="仿宋_GB2312"/>
          <w:sz w:val="32"/>
          <w:szCs w:val="32"/>
          <w:highlight w:val="none"/>
        </w:rPr>
        <w:t xml:space="preserve"> 2. </w:t>
      </w:r>
      <w:r>
        <w:rPr>
          <w:rFonts w:ascii="Times New Roman" w:hAnsi="Times New Roman" w:eastAsia="仿宋_GB2312"/>
          <w:i/>
          <w:sz w:val="32"/>
          <w:szCs w:val="32"/>
          <w:highlight w:val="none"/>
          <w:u w:val="single"/>
        </w:rPr>
        <w:t>（标的名称）</w:t>
      </w:r>
      <w:r>
        <w:rPr>
          <w:rFonts w:ascii="Times New Roman" w:hAnsi="Times New Roman" w:eastAsia="仿宋_GB2312"/>
          <w:sz w:val="32"/>
          <w:szCs w:val="32"/>
          <w:highlight w:val="none"/>
        </w:rPr>
        <w:t xml:space="preserve"> ，属于</w:t>
      </w:r>
      <w:r>
        <w:rPr>
          <w:rFonts w:ascii="Times New Roman" w:hAnsi="Times New Roman" w:eastAsia="仿宋_GB2312"/>
          <w:i/>
          <w:sz w:val="32"/>
          <w:szCs w:val="32"/>
          <w:highlight w:val="none"/>
          <w:u w:val="single"/>
        </w:rPr>
        <w:t>（采购文件中明确的所属行业）</w:t>
      </w:r>
      <w:r>
        <w:rPr>
          <w:rFonts w:ascii="Times New Roman" w:hAnsi="Times New Roman" w:eastAsia="仿宋_GB2312"/>
          <w:sz w:val="32"/>
          <w:szCs w:val="32"/>
          <w:highlight w:val="none"/>
        </w:rPr>
        <w:t>； 承建（承接）企业为</w:t>
      </w:r>
      <w:r>
        <w:rPr>
          <w:rFonts w:ascii="Times New Roman" w:hAnsi="Times New Roman" w:eastAsia="仿宋_GB2312"/>
          <w:i/>
          <w:sz w:val="32"/>
          <w:szCs w:val="32"/>
          <w:highlight w:val="none"/>
          <w:u w:val="single"/>
        </w:rPr>
        <w:t>（企业名称）</w:t>
      </w:r>
      <w:r>
        <w:rPr>
          <w:rFonts w:ascii="Times New Roman" w:hAnsi="Times New Roman" w:eastAsia="仿宋_GB2312"/>
          <w:sz w:val="32"/>
          <w:szCs w:val="32"/>
          <w:highlight w:val="none"/>
        </w:rPr>
        <w:t>，从业人员</w:t>
      </w:r>
      <w:r>
        <w:rPr>
          <w:rFonts w:ascii="Times New Roman" w:hAnsi="Times New Roman" w:eastAsia="仿宋_GB2312"/>
          <w:sz w:val="32"/>
          <w:szCs w:val="32"/>
          <w:highlight w:val="none"/>
          <w:u w:val="single"/>
        </w:rPr>
        <w:t xml:space="preserve">    </w:t>
      </w:r>
      <w:r>
        <w:rPr>
          <w:rFonts w:ascii="Times New Roman" w:hAnsi="Times New Roman" w:eastAsia="仿宋_GB2312"/>
          <w:sz w:val="32"/>
          <w:szCs w:val="32"/>
          <w:highlight w:val="none"/>
        </w:rPr>
        <w:t>人，营业收入为</w:t>
      </w:r>
      <w:r>
        <w:rPr>
          <w:rFonts w:ascii="Times New Roman" w:hAnsi="Times New Roman" w:eastAsia="仿宋_GB2312"/>
          <w:sz w:val="32"/>
          <w:szCs w:val="32"/>
          <w:highlight w:val="none"/>
          <w:u w:val="single"/>
        </w:rPr>
        <w:t xml:space="preserve">     </w:t>
      </w:r>
      <w:r>
        <w:rPr>
          <w:rFonts w:ascii="Times New Roman" w:hAnsi="Times New Roman" w:eastAsia="仿宋_GB2312"/>
          <w:sz w:val="32"/>
          <w:szCs w:val="32"/>
          <w:highlight w:val="none"/>
        </w:rPr>
        <w:t>万元，资产总额为</w:t>
      </w:r>
      <w:r>
        <w:rPr>
          <w:rFonts w:ascii="Times New Roman" w:hAnsi="Times New Roman" w:eastAsia="仿宋_GB2312"/>
          <w:sz w:val="32"/>
          <w:szCs w:val="32"/>
          <w:highlight w:val="none"/>
          <w:u w:val="single"/>
        </w:rPr>
        <w:t xml:space="preserve">    </w:t>
      </w:r>
      <w:r>
        <w:rPr>
          <w:rFonts w:ascii="Times New Roman" w:hAnsi="Times New Roman" w:eastAsia="仿宋_GB2312"/>
          <w:sz w:val="32"/>
          <w:szCs w:val="32"/>
          <w:highlight w:val="none"/>
        </w:rPr>
        <w:t>万元，属于</w:t>
      </w:r>
      <w:r>
        <w:rPr>
          <w:rFonts w:ascii="Times New Roman" w:hAnsi="Times New Roman" w:eastAsia="仿宋_GB2312"/>
          <w:i/>
          <w:sz w:val="32"/>
          <w:szCs w:val="32"/>
          <w:highlight w:val="none"/>
          <w:u w:val="single"/>
        </w:rPr>
        <w:t>（中型企业、 小型企业、微型企业）</w:t>
      </w:r>
      <w:r>
        <w:rPr>
          <w:rFonts w:ascii="Times New Roman" w:hAnsi="Times New Roman" w:eastAsia="仿宋_GB2312"/>
          <w:sz w:val="32"/>
          <w:szCs w:val="32"/>
          <w:highlight w:val="none"/>
        </w:rPr>
        <w:t xml:space="preserve">； </w:t>
      </w:r>
    </w:p>
    <w:p>
      <w:pPr>
        <w:adjustRightInd w:val="0"/>
        <w:snapToGrid w:val="0"/>
        <w:spacing w:line="500" w:lineRule="exact"/>
        <w:ind w:firstLine="640" w:firstLineChars="200"/>
        <w:rPr>
          <w:rFonts w:ascii="Times New Roman" w:hAnsi="Times New Roman" w:eastAsia="仿宋_GB2312"/>
          <w:sz w:val="32"/>
          <w:szCs w:val="32"/>
          <w:highlight w:val="none"/>
        </w:rPr>
      </w:pPr>
      <w:r>
        <w:rPr>
          <w:rFonts w:ascii="Times New Roman" w:hAnsi="Times New Roman" w:eastAsia="仿宋_GB2312"/>
          <w:sz w:val="32"/>
          <w:szCs w:val="32"/>
          <w:highlight w:val="none"/>
        </w:rPr>
        <w:t xml:space="preserve">…… </w:t>
      </w:r>
    </w:p>
    <w:p>
      <w:pPr>
        <w:adjustRightInd w:val="0"/>
        <w:snapToGrid w:val="0"/>
        <w:spacing w:line="500" w:lineRule="exact"/>
        <w:ind w:firstLine="640" w:firstLineChars="200"/>
        <w:rPr>
          <w:rFonts w:ascii="Times New Roman" w:hAnsi="Times New Roman" w:eastAsia="仿宋_GB2312"/>
          <w:sz w:val="32"/>
          <w:szCs w:val="32"/>
          <w:highlight w:val="none"/>
        </w:rPr>
      </w:pPr>
      <w:r>
        <w:rPr>
          <w:rFonts w:ascii="Times New Roman" w:hAnsi="Times New Roman" w:eastAsia="仿宋_GB2312"/>
          <w:sz w:val="32"/>
          <w:szCs w:val="32"/>
          <w:highlight w:val="none"/>
        </w:rPr>
        <w:t xml:space="preserve">以上企业，不属于大企业的分支机构，不存在控股股东为大企业的情形，也不存在与大企业的负责人为同一人的情形。 </w:t>
      </w:r>
    </w:p>
    <w:p>
      <w:pPr>
        <w:adjustRightInd w:val="0"/>
        <w:snapToGrid w:val="0"/>
        <w:spacing w:line="500" w:lineRule="exact"/>
        <w:ind w:firstLine="640" w:firstLineChars="200"/>
        <w:rPr>
          <w:rFonts w:ascii="Times New Roman" w:hAnsi="Times New Roman" w:eastAsia="仿宋_GB2312"/>
          <w:sz w:val="32"/>
          <w:szCs w:val="32"/>
          <w:highlight w:val="none"/>
        </w:rPr>
      </w:pPr>
      <w:r>
        <w:rPr>
          <w:rFonts w:ascii="Times New Roman" w:hAnsi="Times New Roman" w:eastAsia="仿宋_GB2312"/>
          <w:sz w:val="32"/>
          <w:szCs w:val="32"/>
          <w:highlight w:val="none"/>
        </w:rPr>
        <w:t xml:space="preserve">本企业对上述声明内容的真实性负责。如有虚假，将依 法承担相应责任。 </w:t>
      </w:r>
    </w:p>
    <w:p>
      <w:pPr>
        <w:adjustRightInd w:val="0"/>
        <w:snapToGrid w:val="0"/>
        <w:spacing w:line="500" w:lineRule="exact"/>
        <w:ind w:firstLine="4160" w:firstLineChars="1300"/>
        <w:rPr>
          <w:rFonts w:ascii="Times New Roman" w:hAnsi="Times New Roman" w:eastAsia="仿宋_GB2312"/>
          <w:sz w:val="32"/>
          <w:szCs w:val="32"/>
          <w:highlight w:val="none"/>
        </w:rPr>
      </w:pPr>
      <w:r>
        <w:rPr>
          <w:rFonts w:ascii="Times New Roman" w:hAnsi="Times New Roman" w:eastAsia="仿宋_GB2312"/>
          <w:sz w:val="32"/>
          <w:szCs w:val="32"/>
          <w:highlight w:val="none"/>
        </w:rPr>
        <w:t xml:space="preserve">企业名称（盖章）： </w:t>
      </w:r>
    </w:p>
    <w:p>
      <w:pPr>
        <w:adjustRightInd w:val="0"/>
        <w:snapToGrid w:val="0"/>
        <w:spacing w:line="500" w:lineRule="exact"/>
        <w:ind w:firstLine="4160" w:firstLineChars="1300"/>
        <w:rPr>
          <w:rFonts w:ascii="Times New Roman" w:hAnsi="Times New Roman" w:eastAsia="仿宋_GB2312"/>
          <w:sz w:val="32"/>
          <w:szCs w:val="32"/>
          <w:highlight w:val="none"/>
        </w:rPr>
      </w:pPr>
      <w:r>
        <w:rPr>
          <w:rFonts w:ascii="Times New Roman" w:hAnsi="Times New Roman" w:eastAsia="仿宋_GB2312"/>
          <w:sz w:val="32"/>
          <w:szCs w:val="32"/>
          <w:highlight w:val="none"/>
        </w:rPr>
        <w:t>日 期：</w:t>
      </w:r>
    </w:p>
    <w:p>
      <w:pPr>
        <w:rPr>
          <w:highlight w:val="none"/>
        </w:rPr>
      </w:pPr>
      <w:r>
        <w:rPr>
          <w:rFonts w:ascii="宋体" w:hAnsi="宋体" w:cs="宋体"/>
          <w:sz w:val="24"/>
          <w:highlight w:val="none"/>
        </w:rPr>
        <w:t xml:space="preserve"> </w:t>
      </w:r>
    </w:p>
    <w:p>
      <w:pPr>
        <w:bidi w:val="0"/>
        <w:rPr>
          <w:highlight w:val="none"/>
          <w:lang w:val="zh-CN"/>
        </w:rPr>
      </w:pPr>
    </w:p>
    <w:p>
      <w:pPr>
        <w:bidi w:val="0"/>
        <w:rPr>
          <w:highlight w:val="none"/>
          <w:lang w:val="zh-CN"/>
        </w:rPr>
      </w:pPr>
    </w:p>
    <w:p>
      <w:pPr>
        <w:bidi w:val="0"/>
        <w:jc w:val="left"/>
        <w:rPr>
          <w:rFonts w:hint="eastAsia"/>
          <w:highlight w:val="none"/>
          <w:lang w:val="en-US" w:eastAsia="zh-CN"/>
        </w:rPr>
      </w:pPr>
    </w:p>
    <w:p>
      <w:pPr>
        <w:bidi w:val="0"/>
        <w:jc w:val="left"/>
        <w:rPr>
          <w:rFonts w:hint="eastAsia"/>
          <w:highlight w:val="none"/>
          <w:lang w:val="en-US" w:eastAsia="zh-CN"/>
        </w:rPr>
      </w:pPr>
    </w:p>
    <w:p>
      <w:pPr>
        <w:bidi w:val="0"/>
        <w:jc w:val="left"/>
        <w:rPr>
          <w:rFonts w:hint="eastAsia" w:eastAsia="宋体"/>
          <w:highlight w:val="none"/>
          <w:lang w:val="en-US" w:eastAsia="zh-CN"/>
        </w:rPr>
      </w:pPr>
      <w:r>
        <w:rPr>
          <w:rFonts w:hint="eastAsia"/>
          <w:highlight w:val="none"/>
          <w:lang w:val="en-US" w:eastAsia="zh-CN"/>
        </w:rPr>
        <w:t>注：</w:t>
      </w:r>
      <w:r>
        <w:rPr>
          <w:rFonts w:hint="eastAsia" w:ascii="宋体" w:eastAsia="宋体"/>
          <w:sz w:val="18"/>
          <w:highlight w:val="none"/>
          <w:lang w:eastAsia="zh-CN"/>
        </w:rPr>
        <w:t>从业人员、营业收入、资产总额填报上一年度数据，无上一年度数据的新成立企业可不填报</w:t>
      </w:r>
      <w:r>
        <w:rPr>
          <w:rFonts w:hint="eastAsia" w:ascii="宋体"/>
          <w:sz w:val="18"/>
          <w:highlight w:val="none"/>
          <w:lang w:eastAsia="zh-CN"/>
        </w:rPr>
        <w:t>。</w:t>
      </w:r>
    </w:p>
    <w:sectPr>
      <w:footerReference r:id="rId4" w:type="default"/>
      <w:pgSz w:w="11906" w:h="16838"/>
      <w:pgMar w:top="1304" w:right="1701" w:bottom="1304" w:left="1701" w:header="851" w:footer="992" w:gutter="0"/>
      <w:pgNumType w:start="1"/>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2"/>
    <w:family w:val="auto"/>
    <w:pitch w:val="default"/>
    <w:sig w:usb0="E0002EFF" w:usb1="C000785B" w:usb2="00000009" w:usb3="00000000" w:csb0="400001FF" w:csb1="FFFF0000"/>
  </w:font>
  <w:font w:name="宋体">
    <w:panose1 w:val="02010600030101010101"/>
    <w:charset w:val="80"/>
    <w:family w:val="roma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新宋体">
    <w:panose1 w:val="02010609030101010101"/>
    <w:charset w:val="86"/>
    <w:family w:val="modern"/>
    <w:pitch w:val="default"/>
    <w:sig w:usb0="00000283" w:usb1="288F0000" w:usb2="0000000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Tahoma">
    <w:panose1 w:val="020B0604030504040204"/>
    <w:charset w:val="00"/>
    <w:family w:val="swiss"/>
    <w:pitch w:val="default"/>
    <w:sig w:usb0="E1002EFF" w:usb1="C000605B" w:usb2="00000029" w:usb3="00000000" w:csb0="200101FF" w:csb1="20280000"/>
  </w:font>
  <w:font w:name="方正小标宋_GBK">
    <w:altName w:val="微软雅黑"/>
    <w:panose1 w:val="03000509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Verdana">
    <w:panose1 w:val="020B0604030504040204"/>
    <w:charset w:val="00"/>
    <w:family w:val="swiss"/>
    <w:pitch w:val="default"/>
    <w:sig w:usb0="A00006FF" w:usb1="4000205B" w:usb2="00000010" w:usb3="00000000" w:csb0="2000019F" w:csb1="00000000"/>
  </w:font>
  <w:font w:name="华文细黑">
    <w:panose1 w:val="02010600040101010101"/>
    <w:charset w:val="86"/>
    <w:family w:val="auto"/>
    <w:pitch w:val="default"/>
    <w:sig w:usb0="00000287" w:usb1="080F0000" w:usb2="00000000" w:usb3="00000000" w:csb0="0004009F" w:csb1="DFD70000"/>
  </w:font>
  <w:font w:name="ˎ̥">
    <w:altName w:val="Times New Roman"/>
    <w:panose1 w:val="00000000000000000000"/>
    <w:charset w:val="00"/>
    <w:family w:val="roman"/>
    <w:pitch w:val="default"/>
    <w:sig w:usb0="00000000" w:usb1="00000000" w:usb2="00000000" w:usb3="00000000" w:csb0="00040001" w:csb1="00000000"/>
  </w:font>
  <w:font w:name="Cambria">
    <w:panose1 w:val="02040503050406030204"/>
    <w:charset w:val="00"/>
    <w:family w:val="roman"/>
    <w:pitch w:val="default"/>
    <w:sig w:usb0="E00006FF" w:usb1="420024FF" w:usb2="02000000" w:usb3="00000000" w:csb0="2000019F" w:csb1="00000000"/>
  </w:font>
  <w:font w:name="楷体_GB2312">
    <w:altName w:val="楷体"/>
    <w:panose1 w:val="00000000000000000000"/>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center"/>
    </w:pPr>
    <w:r>
      <w:fldChar w:fldCharType="begin"/>
    </w:r>
    <w:r>
      <w:instrText xml:space="preserve"> PAGE   \* MERGEFORMAT </w:instrText>
    </w:r>
    <w:r>
      <w:fldChar w:fldCharType="separate"/>
    </w:r>
    <w:r>
      <w:rPr>
        <w:lang w:val="zh-CN"/>
      </w:rPr>
      <w:t>58</w:t>
    </w:r>
    <w:r>
      <w:fldChar w:fldCharType="end"/>
    </w:r>
  </w:p>
  <w:p>
    <w:pPr>
      <w:pStyle w:val="27"/>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08E39D7"/>
    <w:multiLevelType w:val="multilevel"/>
    <w:tmpl w:val="808E39D7"/>
    <w:lvl w:ilvl="0" w:tentative="0">
      <w:start w:val="1"/>
      <w:numFmt w:val="decimal"/>
      <w:lvlText w:val="（%1）"/>
      <w:lvlJc w:val="left"/>
      <w:pPr>
        <w:tabs>
          <w:tab w:val="left" w:pos="2579"/>
        </w:tabs>
        <w:ind w:left="2579" w:hanging="420"/>
      </w:pPr>
      <w:rPr>
        <w:rFonts w:hint="eastAsia"/>
      </w:rPr>
    </w:lvl>
    <w:lvl w:ilvl="1" w:tentative="0">
      <w:start w:val="1"/>
      <w:numFmt w:val="lowerLetter"/>
      <w:lvlText w:val="%2)"/>
      <w:lvlJc w:val="left"/>
      <w:pPr>
        <w:tabs>
          <w:tab w:val="left" w:pos="2579"/>
        </w:tabs>
        <w:ind w:left="2579" w:hanging="420"/>
      </w:pPr>
    </w:lvl>
    <w:lvl w:ilvl="2" w:tentative="0">
      <w:start w:val="1"/>
      <w:numFmt w:val="lowerRoman"/>
      <w:lvlText w:val="%3."/>
      <w:lvlJc w:val="right"/>
      <w:pPr>
        <w:tabs>
          <w:tab w:val="left" w:pos="2999"/>
        </w:tabs>
        <w:ind w:left="2999" w:hanging="420"/>
      </w:pPr>
    </w:lvl>
    <w:lvl w:ilvl="3" w:tentative="0">
      <w:start w:val="1"/>
      <w:numFmt w:val="decimal"/>
      <w:lvlText w:val="%4."/>
      <w:lvlJc w:val="left"/>
      <w:pPr>
        <w:tabs>
          <w:tab w:val="left" w:pos="3419"/>
        </w:tabs>
        <w:ind w:left="3419" w:hanging="420"/>
      </w:pPr>
    </w:lvl>
    <w:lvl w:ilvl="4" w:tentative="0">
      <w:start w:val="1"/>
      <w:numFmt w:val="lowerLetter"/>
      <w:lvlText w:val="%5)"/>
      <w:lvlJc w:val="left"/>
      <w:pPr>
        <w:tabs>
          <w:tab w:val="left" w:pos="3839"/>
        </w:tabs>
        <w:ind w:left="3839" w:hanging="420"/>
      </w:pPr>
    </w:lvl>
    <w:lvl w:ilvl="5" w:tentative="0">
      <w:start w:val="1"/>
      <w:numFmt w:val="lowerRoman"/>
      <w:lvlText w:val="%6."/>
      <w:lvlJc w:val="right"/>
      <w:pPr>
        <w:tabs>
          <w:tab w:val="left" w:pos="4259"/>
        </w:tabs>
        <w:ind w:left="4259" w:hanging="420"/>
      </w:pPr>
    </w:lvl>
    <w:lvl w:ilvl="6" w:tentative="0">
      <w:start w:val="1"/>
      <w:numFmt w:val="decimal"/>
      <w:lvlText w:val="%7."/>
      <w:lvlJc w:val="left"/>
      <w:pPr>
        <w:tabs>
          <w:tab w:val="left" w:pos="4679"/>
        </w:tabs>
        <w:ind w:left="4679" w:hanging="420"/>
      </w:pPr>
    </w:lvl>
    <w:lvl w:ilvl="7" w:tentative="0">
      <w:start w:val="1"/>
      <w:numFmt w:val="lowerLetter"/>
      <w:lvlText w:val="%8)"/>
      <w:lvlJc w:val="left"/>
      <w:pPr>
        <w:tabs>
          <w:tab w:val="left" w:pos="5099"/>
        </w:tabs>
        <w:ind w:left="5099" w:hanging="420"/>
      </w:pPr>
    </w:lvl>
    <w:lvl w:ilvl="8" w:tentative="0">
      <w:start w:val="1"/>
      <w:numFmt w:val="lowerRoman"/>
      <w:lvlText w:val="%9."/>
      <w:lvlJc w:val="right"/>
      <w:pPr>
        <w:tabs>
          <w:tab w:val="left" w:pos="5519"/>
        </w:tabs>
        <w:ind w:left="5519" w:hanging="420"/>
      </w:pPr>
    </w:lvl>
  </w:abstractNum>
  <w:abstractNum w:abstractNumId="1">
    <w:nsid w:val="8C6C3438"/>
    <w:multiLevelType w:val="singleLevel"/>
    <w:tmpl w:val="8C6C3438"/>
    <w:lvl w:ilvl="0" w:tentative="0">
      <w:start w:val="1"/>
      <w:numFmt w:val="decimal"/>
      <w:suff w:val="space"/>
      <w:lvlText w:val="%1."/>
      <w:lvlJc w:val="left"/>
    </w:lvl>
  </w:abstractNum>
  <w:abstractNum w:abstractNumId="2">
    <w:nsid w:val="9D657D48"/>
    <w:multiLevelType w:val="singleLevel"/>
    <w:tmpl w:val="9D657D48"/>
    <w:lvl w:ilvl="0" w:tentative="0">
      <w:start w:val="1"/>
      <w:numFmt w:val="decimal"/>
      <w:suff w:val="nothing"/>
      <w:lvlText w:val="（%1）"/>
      <w:lvlJc w:val="left"/>
    </w:lvl>
  </w:abstractNum>
  <w:abstractNum w:abstractNumId="3">
    <w:nsid w:val="ACD603B4"/>
    <w:multiLevelType w:val="multilevel"/>
    <w:tmpl w:val="ACD603B4"/>
    <w:lvl w:ilvl="0" w:tentative="0">
      <w:start w:val="1"/>
      <w:numFmt w:val="decimal"/>
      <w:lvlText w:val="（%1）"/>
      <w:lvlJc w:val="left"/>
      <w:pPr>
        <w:tabs>
          <w:tab w:val="left" w:pos="2579"/>
        </w:tabs>
        <w:ind w:left="2579" w:hanging="420"/>
      </w:pPr>
      <w:rPr>
        <w:rFonts w:hint="eastAsia"/>
      </w:rPr>
    </w:lvl>
    <w:lvl w:ilvl="1" w:tentative="0">
      <w:start w:val="1"/>
      <w:numFmt w:val="lowerLetter"/>
      <w:lvlText w:val="%2)"/>
      <w:lvlJc w:val="left"/>
      <w:pPr>
        <w:tabs>
          <w:tab w:val="left" w:pos="2579"/>
        </w:tabs>
        <w:ind w:left="2579" w:hanging="420"/>
      </w:pPr>
    </w:lvl>
    <w:lvl w:ilvl="2" w:tentative="0">
      <w:start w:val="1"/>
      <w:numFmt w:val="lowerRoman"/>
      <w:lvlText w:val="%3."/>
      <w:lvlJc w:val="right"/>
      <w:pPr>
        <w:tabs>
          <w:tab w:val="left" w:pos="2999"/>
        </w:tabs>
        <w:ind w:left="2999" w:hanging="420"/>
      </w:pPr>
    </w:lvl>
    <w:lvl w:ilvl="3" w:tentative="0">
      <w:start w:val="1"/>
      <w:numFmt w:val="decimal"/>
      <w:lvlText w:val="%4."/>
      <w:lvlJc w:val="left"/>
      <w:pPr>
        <w:tabs>
          <w:tab w:val="left" w:pos="3419"/>
        </w:tabs>
        <w:ind w:left="3419" w:hanging="420"/>
      </w:pPr>
    </w:lvl>
    <w:lvl w:ilvl="4" w:tentative="0">
      <w:start w:val="1"/>
      <w:numFmt w:val="lowerLetter"/>
      <w:lvlText w:val="%5)"/>
      <w:lvlJc w:val="left"/>
      <w:pPr>
        <w:tabs>
          <w:tab w:val="left" w:pos="3839"/>
        </w:tabs>
        <w:ind w:left="3839" w:hanging="420"/>
      </w:pPr>
    </w:lvl>
    <w:lvl w:ilvl="5" w:tentative="0">
      <w:start w:val="1"/>
      <w:numFmt w:val="lowerRoman"/>
      <w:lvlText w:val="%6."/>
      <w:lvlJc w:val="right"/>
      <w:pPr>
        <w:tabs>
          <w:tab w:val="left" w:pos="4259"/>
        </w:tabs>
        <w:ind w:left="4259" w:hanging="420"/>
      </w:pPr>
    </w:lvl>
    <w:lvl w:ilvl="6" w:tentative="0">
      <w:start w:val="1"/>
      <w:numFmt w:val="decimal"/>
      <w:lvlText w:val="%7."/>
      <w:lvlJc w:val="left"/>
      <w:pPr>
        <w:tabs>
          <w:tab w:val="left" w:pos="4679"/>
        </w:tabs>
        <w:ind w:left="4679" w:hanging="420"/>
      </w:pPr>
    </w:lvl>
    <w:lvl w:ilvl="7" w:tentative="0">
      <w:start w:val="1"/>
      <w:numFmt w:val="lowerLetter"/>
      <w:lvlText w:val="%8)"/>
      <w:lvlJc w:val="left"/>
      <w:pPr>
        <w:tabs>
          <w:tab w:val="left" w:pos="5099"/>
        </w:tabs>
        <w:ind w:left="5099" w:hanging="420"/>
      </w:pPr>
    </w:lvl>
    <w:lvl w:ilvl="8" w:tentative="0">
      <w:start w:val="1"/>
      <w:numFmt w:val="lowerRoman"/>
      <w:lvlText w:val="%9."/>
      <w:lvlJc w:val="right"/>
      <w:pPr>
        <w:tabs>
          <w:tab w:val="left" w:pos="5519"/>
        </w:tabs>
        <w:ind w:left="5519" w:hanging="420"/>
      </w:pPr>
    </w:lvl>
  </w:abstractNum>
  <w:abstractNum w:abstractNumId="4">
    <w:nsid w:val="B5CC886F"/>
    <w:multiLevelType w:val="multilevel"/>
    <w:tmpl w:val="B5CC886F"/>
    <w:lvl w:ilvl="0" w:tentative="0">
      <w:start w:val="1"/>
      <w:numFmt w:val="decimal"/>
      <w:lvlText w:val="（%1）"/>
      <w:lvlJc w:val="left"/>
      <w:pPr>
        <w:tabs>
          <w:tab w:val="left" w:pos="2579"/>
        </w:tabs>
        <w:ind w:left="2579" w:hanging="420"/>
      </w:pPr>
      <w:rPr>
        <w:rFonts w:hint="eastAsia"/>
      </w:rPr>
    </w:lvl>
    <w:lvl w:ilvl="1" w:tentative="0">
      <w:start w:val="1"/>
      <w:numFmt w:val="lowerLetter"/>
      <w:lvlText w:val="%2)"/>
      <w:lvlJc w:val="left"/>
      <w:pPr>
        <w:tabs>
          <w:tab w:val="left" w:pos="2579"/>
        </w:tabs>
        <w:ind w:left="2579" w:hanging="420"/>
      </w:pPr>
    </w:lvl>
    <w:lvl w:ilvl="2" w:tentative="0">
      <w:start w:val="1"/>
      <w:numFmt w:val="lowerRoman"/>
      <w:lvlText w:val="%3."/>
      <w:lvlJc w:val="right"/>
      <w:pPr>
        <w:tabs>
          <w:tab w:val="left" w:pos="2999"/>
        </w:tabs>
        <w:ind w:left="2999" w:hanging="420"/>
      </w:pPr>
    </w:lvl>
    <w:lvl w:ilvl="3" w:tentative="0">
      <w:start w:val="1"/>
      <w:numFmt w:val="decimal"/>
      <w:lvlText w:val="%4."/>
      <w:lvlJc w:val="left"/>
      <w:pPr>
        <w:tabs>
          <w:tab w:val="left" w:pos="3419"/>
        </w:tabs>
        <w:ind w:left="3419" w:hanging="420"/>
      </w:pPr>
    </w:lvl>
    <w:lvl w:ilvl="4" w:tentative="0">
      <w:start w:val="1"/>
      <w:numFmt w:val="lowerLetter"/>
      <w:lvlText w:val="%5)"/>
      <w:lvlJc w:val="left"/>
      <w:pPr>
        <w:tabs>
          <w:tab w:val="left" w:pos="3839"/>
        </w:tabs>
        <w:ind w:left="3839" w:hanging="420"/>
      </w:pPr>
    </w:lvl>
    <w:lvl w:ilvl="5" w:tentative="0">
      <w:start w:val="1"/>
      <w:numFmt w:val="lowerRoman"/>
      <w:lvlText w:val="%6."/>
      <w:lvlJc w:val="right"/>
      <w:pPr>
        <w:tabs>
          <w:tab w:val="left" w:pos="4259"/>
        </w:tabs>
        <w:ind w:left="4259" w:hanging="420"/>
      </w:pPr>
    </w:lvl>
    <w:lvl w:ilvl="6" w:tentative="0">
      <w:start w:val="1"/>
      <w:numFmt w:val="decimal"/>
      <w:lvlText w:val="%7."/>
      <w:lvlJc w:val="left"/>
      <w:pPr>
        <w:tabs>
          <w:tab w:val="left" w:pos="4679"/>
        </w:tabs>
        <w:ind w:left="4679" w:hanging="420"/>
      </w:pPr>
    </w:lvl>
    <w:lvl w:ilvl="7" w:tentative="0">
      <w:start w:val="1"/>
      <w:numFmt w:val="lowerLetter"/>
      <w:lvlText w:val="%8)"/>
      <w:lvlJc w:val="left"/>
      <w:pPr>
        <w:tabs>
          <w:tab w:val="left" w:pos="5099"/>
        </w:tabs>
        <w:ind w:left="5099" w:hanging="420"/>
      </w:pPr>
    </w:lvl>
    <w:lvl w:ilvl="8" w:tentative="0">
      <w:start w:val="1"/>
      <w:numFmt w:val="lowerRoman"/>
      <w:lvlText w:val="%9."/>
      <w:lvlJc w:val="right"/>
      <w:pPr>
        <w:tabs>
          <w:tab w:val="left" w:pos="5519"/>
        </w:tabs>
        <w:ind w:left="5519" w:hanging="420"/>
      </w:pPr>
    </w:lvl>
  </w:abstractNum>
  <w:abstractNum w:abstractNumId="5">
    <w:nsid w:val="D7A39869"/>
    <w:multiLevelType w:val="multilevel"/>
    <w:tmpl w:val="D7A39869"/>
    <w:lvl w:ilvl="0" w:tentative="0">
      <w:start w:val="1"/>
      <w:numFmt w:val="decimal"/>
      <w:lvlText w:val="（%1）"/>
      <w:lvlJc w:val="left"/>
      <w:pPr>
        <w:tabs>
          <w:tab w:val="left" w:pos="2579"/>
        </w:tabs>
        <w:ind w:left="2579" w:hanging="420"/>
      </w:pPr>
      <w:rPr>
        <w:rFonts w:hint="eastAsia"/>
      </w:rPr>
    </w:lvl>
    <w:lvl w:ilvl="1" w:tentative="0">
      <w:start w:val="1"/>
      <w:numFmt w:val="lowerLetter"/>
      <w:lvlText w:val="%2)"/>
      <w:lvlJc w:val="left"/>
      <w:pPr>
        <w:tabs>
          <w:tab w:val="left" w:pos="2579"/>
        </w:tabs>
        <w:ind w:left="2579" w:hanging="420"/>
      </w:pPr>
    </w:lvl>
    <w:lvl w:ilvl="2" w:tentative="0">
      <w:start w:val="1"/>
      <w:numFmt w:val="lowerRoman"/>
      <w:lvlText w:val="%3."/>
      <w:lvlJc w:val="right"/>
      <w:pPr>
        <w:tabs>
          <w:tab w:val="left" w:pos="2999"/>
        </w:tabs>
        <w:ind w:left="2999" w:hanging="420"/>
      </w:pPr>
    </w:lvl>
    <w:lvl w:ilvl="3" w:tentative="0">
      <w:start w:val="1"/>
      <w:numFmt w:val="decimal"/>
      <w:lvlText w:val="%4."/>
      <w:lvlJc w:val="left"/>
      <w:pPr>
        <w:tabs>
          <w:tab w:val="left" w:pos="3419"/>
        </w:tabs>
        <w:ind w:left="3419" w:hanging="420"/>
      </w:pPr>
    </w:lvl>
    <w:lvl w:ilvl="4" w:tentative="0">
      <w:start w:val="1"/>
      <w:numFmt w:val="lowerLetter"/>
      <w:lvlText w:val="%5)"/>
      <w:lvlJc w:val="left"/>
      <w:pPr>
        <w:tabs>
          <w:tab w:val="left" w:pos="3839"/>
        </w:tabs>
        <w:ind w:left="3839" w:hanging="420"/>
      </w:pPr>
    </w:lvl>
    <w:lvl w:ilvl="5" w:tentative="0">
      <w:start w:val="1"/>
      <w:numFmt w:val="lowerRoman"/>
      <w:lvlText w:val="%6."/>
      <w:lvlJc w:val="right"/>
      <w:pPr>
        <w:tabs>
          <w:tab w:val="left" w:pos="4259"/>
        </w:tabs>
        <w:ind w:left="4259" w:hanging="420"/>
      </w:pPr>
    </w:lvl>
    <w:lvl w:ilvl="6" w:tentative="0">
      <w:start w:val="1"/>
      <w:numFmt w:val="decimal"/>
      <w:lvlText w:val="%7."/>
      <w:lvlJc w:val="left"/>
      <w:pPr>
        <w:tabs>
          <w:tab w:val="left" w:pos="4679"/>
        </w:tabs>
        <w:ind w:left="4679" w:hanging="420"/>
      </w:pPr>
    </w:lvl>
    <w:lvl w:ilvl="7" w:tentative="0">
      <w:start w:val="1"/>
      <w:numFmt w:val="lowerLetter"/>
      <w:lvlText w:val="%8)"/>
      <w:lvlJc w:val="left"/>
      <w:pPr>
        <w:tabs>
          <w:tab w:val="left" w:pos="5099"/>
        </w:tabs>
        <w:ind w:left="5099" w:hanging="420"/>
      </w:pPr>
    </w:lvl>
    <w:lvl w:ilvl="8" w:tentative="0">
      <w:start w:val="1"/>
      <w:numFmt w:val="lowerRoman"/>
      <w:lvlText w:val="%9."/>
      <w:lvlJc w:val="right"/>
      <w:pPr>
        <w:tabs>
          <w:tab w:val="left" w:pos="5519"/>
        </w:tabs>
        <w:ind w:left="5519" w:hanging="420"/>
      </w:pPr>
    </w:lvl>
  </w:abstractNum>
  <w:abstractNum w:abstractNumId="6">
    <w:nsid w:val="F25237DC"/>
    <w:multiLevelType w:val="singleLevel"/>
    <w:tmpl w:val="F25237DC"/>
    <w:lvl w:ilvl="0" w:tentative="0">
      <w:start w:val="1"/>
      <w:numFmt w:val="decimal"/>
      <w:lvlText w:val="%1."/>
      <w:lvlJc w:val="left"/>
      <w:pPr>
        <w:tabs>
          <w:tab w:val="left" w:pos="312"/>
        </w:tabs>
      </w:pPr>
    </w:lvl>
  </w:abstractNum>
  <w:abstractNum w:abstractNumId="7">
    <w:nsid w:val="F7B03C3E"/>
    <w:multiLevelType w:val="multilevel"/>
    <w:tmpl w:val="F7B03C3E"/>
    <w:lvl w:ilvl="0" w:tentative="0">
      <w:start w:val="1"/>
      <w:numFmt w:val="decimal"/>
      <w:lvlText w:val="（%1）"/>
      <w:lvlJc w:val="left"/>
      <w:pPr>
        <w:tabs>
          <w:tab w:val="left" w:pos="2579"/>
        </w:tabs>
        <w:ind w:left="2579" w:hanging="420"/>
      </w:pPr>
      <w:rPr>
        <w:rFonts w:hint="eastAsia"/>
      </w:rPr>
    </w:lvl>
    <w:lvl w:ilvl="1" w:tentative="0">
      <w:start w:val="1"/>
      <w:numFmt w:val="lowerLetter"/>
      <w:lvlText w:val="%2)"/>
      <w:lvlJc w:val="left"/>
      <w:pPr>
        <w:tabs>
          <w:tab w:val="left" w:pos="2579"/>
        </w:tabs>
        <w:ind w:left="2579" w:hanging="420"/>
      </w:pPr>
    </w:lvl>
    <w:lvl w:ilvl="2" w:tentative="0">
      <w:start w:val="1"/>
      <w:numFmt w:val="lowerRoman"/>
      <w:lvlText w:val="%3."/>
      <w:lvlJc w:val="right"/>
      <w:pPr>
        <w:tabs>
          <w:tab w:val="left" w:pos="2999"/>
        </w:tabs>
        <w:ind w:left="2999" w:hanging="420"/>
      </w:pPr>
    </w:lvl>
    <w:lvl w:ilvl="3" w:tentative="0">
      <w:start w:val="1"/>
      <w:numFmt w:val="decimal"/>
      <w:lvlText w:val="%4."/>
      <w:lvlJc w:val="left"/>
      <w:pPr>
        <w:tabs>
          <w:tab w:val="left" w:pos="3419"/>
        </w:tabs>
        <w:ind w:left="3419" w:hanging="420"/>
      </w:pPr>
    </w:lvl>
    <w:lvl w:ilvl="4" w:tentative="0">
      <w:start w:val="1"/>
      <w:numFmt w:val="lowerLetter"/>
      <w:lvlText w:val="%5)"/>
      <w:lvlJc w:val="left"/>
      <w:pPr>
        <w:tabs>
          <w:tab w:val="left" w:pos="3839"/>
        </w:tabs>
        <w:ind w:left="3839" w:hanging="420"/>
      </w:pPr>
    </w:lvl>
    <w:lvl w:ilvl="5" w:tentative="0">
      <w:start w:val="1"/>
      <w:numFmt w:val="lowerRoman"/>
      <w:lvlText w:val="%6."/>
      <w:lvlJc w:val="right"/>
      <w:pPr>
        <w:tabs>
          <w:tab w:val="left" w:pos="4259"/>
        </w:tabs>
        <w:ind w:left="4259" w:hanging="420"/>
      </w:pPr>
    </w:lvl>
    <w:lvl w:ilvl="6" w:tentative="0">
      <w:start w:val="1"/>
      <w:numFmt w:val="decimal"/>
      <w:lvlText w:val="%7."/>
      <w:lvlJc w:val="left"/>
      <w:pPr>
        <w:tabs>
          <w:tab w:val="left" w:pos="4679"/>
        </w:tabs>
        <w:ind w:left="4679" w:hanging="420"/>
      </w:pPr>
    </w:lvl>
    <w:lvl w:ilvl="7" w:tentative="0">
      <w:start w:val="1"/>
      <w:numFmt w:val="lowerLetter"/>
      <w:lvlText w:val="%8)"/>
      <w:lvlJc w:val="left"/>
      <w:pPr>
        <w:tabs>
          <w:tab w:val="left" w:pos="5099"/>
        </w:tabs>
        <w:ind w:left="5099" w:hanging="420"/>
      </w:pPr>
    </w:lvl>
    <w:lvl w:ilvl="8" w:tentative="0">
      <w:start w:val="1"/>
      <w:numFmt w:val="lowerRoman"/>
      <w:lvlText w:val="%9."/>
      <w:lvlJc w:val="right"/>
      <w:pPr>
        <w:tabs>
          <w:tab w:val="left" w:pos="5519"/>
        </w:tabs>
        <w:ind w:left="5519" w:hanging="420"/>
      </w:pPr>
    </w:lvl>
  </w:abstractNum>
  <w:abstractNum w:abstractNumId="8">
    <w:nsid w:val="FFE87FDB"/>
    <w:multiLevelType w:val="singleLevel"/>
    <w:tmpl w:val="FFE87FDB"/>
    <w:lvl w:ilvl="0" w:tentative="0">
      <w:start w:val="2"/>
      <w:numFmt w:val="decimal"/>
      <w:suff w:val="nothing"/>
      <w:lvlText w:val="（%1）"/>
      <w:lvlJc w:val="left"/>
    </w:lvl>
  </w:abstractNum>
  <w:abstractNum w:abstractNumId="9">
    <w:nsid w:val="0397CF12"/>
    <w:multiLevelType w:val="singleLevel"/>
    <w:tmpl w:val="0397CF12"/>
    <w:lvl w:ilvl="0" w:tentative="0">
      <w:start w:val="1"/>
      <w:numFmt w:val="decimal"/>
      <w:suff w:val="nothing"/>
      <w:lvlText w:val="（%1）"/>
      <w:lvlJc w:val="left"/>
    </w:lvl>
  </w:abstractNum>
  <w:abstractNum w:abstractNumId="10">
    <w:nsid w:val="0C169DCB"/>
    <w:multiLevelType w:val="singleLevel"/>
    <w:tmpl w:val="0C169DCB"/>
    <w:lvl w:ilvl="0" w:tentative="0">
      <w:start w:val="1"/>
      <w:numFmt w:val="decimal"/>
      <w:suff w:val="space"/>
      <w:lvlText w:val="%1."/>
      <w:lvlJc w:val="left"/>
    </w:lvl>
  </w:abstractNum>
  <w:abstractNum w:abstractNumId="11">
    <w:nsid w:val="11923D21"/>
    <w:multiLevelType w:val="multilevel"/>
    <w:tmpl w:val="11923D21"/>
    <w:lvl w:ilvl="0" w:tentative="0">
      <w:start w:val="1"/>
      <w:numFmt w:val="decimal"/>
      <w:lvlText w:val="%1."/>
      <w:lvlJc w:val="left"/>
      <w:pPr>
        <w:tabs>
          <w:tab w:val="left" w:pos="425"/>
        </w:tabs>
        <w:ind w:left="425" w:hanging="425"/>
      </w:pPr>
      <w:rPr>
        <w:rFonts w:hint="eastAsia" w:ascii="宋体" w:hAnsi="宋体" w:eastAsia="宋体"/>
        <w:b/>
      </w:rPr>
    </w:lvl>
    <w:lvl w:ilvl="1" w:tentative="0">
      <w:start w:val="1"/>
      <w:numFmt w:val="decimal"/>
      <w:lvlText w:val="%1.%2"/>
      <w:lvlJc w:val="left"/>
      <w:pPr>
        <w:tabs>
          <w:tab w:val="left" w:pos="567"/>
        </w:tabs>
        <w:ind w:left="567" w:hanging="567"/>
      </w:pPr>
      <w:rPr>
        <w:rFonts w:hint="eastAsia" w:ascii="宋体" w:hAnsi="宋体" w:eastAsia="宋体"/>
        <w:b w:val="0"/>
      </w:rPr>
    </w:lvl>
    <w:lvl w:ilvl="2" w:tentative="0">
      <w:start w:val="1"/>
      <w:numFmt w:val="decimal"/>
      <w:lvlText w:val="%1.%2.%3."/>
      <w:lvlJc w:val="left"/>
      <w:pPr>
        <w:tabs>
          <w:tab w:val="left" w:pos="709"/>
        </w:tabs>
        <w:ind w:left="709" w:hanging="709"/>
      </w:pPr>
      <w:rPr>
        <w:rFonts w:hint="eastAsia"/>
      </w:rPr>
    </w:lvl>
    <w:lvl w:ilvl="3" w:tentative="0">
      <w:start w:val="1"/>
      <w:numFmt w:val="decimal"/>
      <w:lvlText w:val="%1.%2.%3.%4."/>
      <w:lvlJc w:val="left"/>
      <w:pPr>
        <w:tabs>
          <w:tab w:val="left" w:pos="851"/>
        </w:tabs>
        <w:ind w:left="851" w:hanging="851"/>
      </w:pPr>
      <w:rPr>
        <w:rFonts w:hint="eastAsia"/>
      </w:rPr>
    </w:lvl>
    <w:lvl w:ilvl="4" w:tentative="0">
      <w:start w:val="1"/>
      <w:numFmt w:val="decimal"/>
      <w:lvlText w:val="%1.%2.%3.%4.%5."/>
      <w:lvlJc w:val="left"/>
      <w:pPr>
        <w:tabs>
          <w:tab w:val="left" w:pos="992"/>
        </w:tabs>
        <w:ind w:left="992" w:hanging="992"/>
      </w:pPr>
      <w:rPr>
        <w:rFonts w:hint="eastAsia"/>
      </w:rPr>
    </w:lvl>
    <w:lvl w:ilvl="5" w:tentative="0">
      <w:start w:val="1"/>
      <w:numFmt w:val="decimal"/>
      <w:lvlText w:val="%1.%2.%3.%4.%5.%6."/>
      <w:lvlJc w:val="left"/>
      <w:pPr>
        <w:tabs>
          <w:tab w:val="left" w:pos="1134"/>
        </w:tabs>
        <w:ind w:left="1134" w:hanging="1134"/>
      </w:pPr>
      <w:rPr>
        <w:rFonts w:hint="eastAsia"/>
      </w:rPr>
    </w:lvl>
    <w:lvl w:ilvl="6" w:tentative="0">
      <w:start w:val="1"/>
      <w:numFmt w:val="decimal"/>
      <w:lvlText w:val="%1.%2.%3.%4.%5.%6.%7."/>
      <w:lvlJc w:val="left"/>
      <w:pPr>
        <w:tabs>
          <w:tab w:val="left" w:pos="1276"/>
        </w:tabs>
        <w:ind w:left="1276" w:hanging="1276"/>
      </w:pPr>
      <w:rPr>
        <w:rFonts w:hint="eastAsia"/>
      </w:rPr>
    </w:lvl>
    <w:lvl w:ilvl="7" w:tentative="0">
      <w:start w:val="1"/>
      <w:numFmt w:val="decimal"/>
      <w:lvlText w:val="%1.%2.%3.%4.%5.%6.%7.%8."/>
      <w:lvlJc w:val="left"/>
      <w:pPr>
        <w:tabs>
          <w:tab w:val="left" w:pos="1418"/>
        </w:tabs>
        <w:ind w:left="1418" w:hanging="1418"/>
      </w:pPr>
      <w:rPr>
        <w:rFonts w:hint="eastAsia"/>
      </w:rPr>
    </w:lvl>
    <w:lvl w:ilvl="8" w:tentative="0">
      <w:start w:val="1"/>
      <w:numFmt w:val="decimal"/>
      <w:lvlText w:val="%1.%2.%3.%4.%5.%6.%7.%8.%9."/>
      <w:lvlJc w:val="left"/>
      <w:pPr>
        <w:tabs>
          <w:tab w:val="left" w:pos="1559"/>
        </w:tabs>
        <w:ind w:left="1559" w:hanging="1559"/>
      </w:pPr>
      <w:rPr>
        <w:rFonts w:hint="eastAsia"/>
      </w:rPr>
    </w:lvl>
  </w:abstractNum>
  <w:abstractNum w:abstractNumId="12">
    <w:nsid w:val="1638AFA0"/>
    <w:multiLevelType w:val="multilevel"/>
    <w:tmpl w:val="1638AFA0"/>
    <w:lvl w:ilvl="0" w:tentative="0">
      <w:start w:val="1"/>
      <w:numFmt w:val="decimal"/>
      <w:lvlText w:val="（%1）"/>
      <w:lvlJc w:val="left"/>
      <w:pPr>
        <w:tabs>
          <w:tab w:val="left" w:pos="2579"/>
        </w:tabs>
        <w:ind w:left="2579" w:hanging="420"/>
      </w:pPr>
      <w:rPr>
        <w:rFonts w:hint="eastAsia"/>
      </w:rPr>
    </w:lvl>
    <w:lvl w:ilvl="1" w:tentative="0">
      <w:start w:val="1"/>
      <w:numFmt w:val="lowerLetter"/>
      <w:lvlText w:val="%2)"/>
      <w:lvlJc w:val="left"/>
      <w:pPr>
        <w:tabs>
          <w:tab w:val="left" w:pos="2579"/>
        </w:tabs>
        <w:ind w:left="2579" w:hanging="420"/>
      </w:pPr>
    </w:lvl>
    <w:lvl w:ilvl="2" w:tentative="0">
      <w:start w:val="1"/>
      <w:numFmt w:val="lowerRoman"/>
      <w:lvlText w:val="%3."/>
      <w:lvlJc w:val="right"/>
      <w:pPr>
        <w:tabs>
          <w:tab w:val="left" w:pos="2999"/>
        </w:tabs>
        <w:ind w:left="2999" w:hanging="420"/>
      </w:pPr>
    </w:lvl>
    <w:lvl w:ilvl="3" w:tentative="0">
      <w:start w:val="1"/>
      <w:numFmt w:val="decimal"/>
      <w:lvlText w:val="%4."/>
      <w:lvlJc w:val="left"/>
      <w:pPr>
        <w:tabs>
          <w:tab w:val="left" w:pos="3419"/>
        </w:tabs>
        <w:ind w:left="3419" w:hanging="420"/>
      </w:pPr>
    </w:lvl>
    <w:lvl w:ilvl="4" w:tentative="0">
      <w:start w:val="1"/>
      <w:numFmt w:val="lowerLetter"/>
      <w:lvlText w:val="%5)"/>
      <w:lvlJc w:val="left"/>
      <w:pPr>
        <w:tabs>
          <w:tab w:val="left" w:pos="3839"/>
        </w:tabs>
        <w:ind w:left="3839" w:hanging="420"/>
      </w:pPr>
    </w:lvl>
    <w:lvl w:ilvl="5" w:tentative="0">
      <w:start w:val="1"/>
      <w:numFmt w:val="lowerRoman"/>
      <w:lvlText w:val="%6."/>
      <w:lvlJc w:val="right"/>
      <w:pPr>
        <w:tabs>
          <w:tab w:val="left" w:pos="4259"/>
        </w:tabs>
        <w:ind w:left="4259" w:hanging="420"/>
      </w:pPr>
    </w:lvl>
    <w:lvl w:ilvl="6" w:tentative="0">
      <w:start w:val="1"/>
      <w:numFmt w:val="decimal"/>
      <w:lvlText w:val="%7."/>
      <w:lvlJc w:val="left"/>
      <w:pPr>
        <w:tabs>
          <w:tab w:val="left" w:pos="4679"/>
        </w:tabs>
        <w:ind w:left="4679" w:hanging="420"/>
      </w:pPr>
    </w:lvl>
    <w:lvl w:ilvl="7" w:tentative="0">
      <w:start w:val="1"/>
      <w:numFmt w:val="lowerLetter"/>
      <w:lvlText w:val="%8)"/>
      <w:lvlJc w:val="left"/>
      <w:pPr>
        <w:tabs>
          <w:tab w:val="left" w:pos="5099"/>
        </w:tabs>
        <w:ind w:left="5099" w:hanging="420"/>
      </w:pPr>
    </w:lvl>
    <w:lvl w:ilvl="8" w:tentative="0">
      <w:start w:val="1"/>
      <w:numFmt w:val="lowerRoman"/>
      <w:lvlText w:val="%9."/>
      <w:lvlJc w:val="right"/>
      <w:pPr>
        <w:tabs>
          <w:tab w:val="left" w:pos="5519"/>
        </w:tabs>
        <w:ind w:left="5519" w:hanging="420"/>
      </w:pPr>
    </w:lvl>
  </w:abstractNum>
  <w:abstractNum w:abstractNumId="13">
    <w:nsid w:val="19790D14"/>
    <w:multiLevelType w:val="multilevel"/>
    <w:tmpl w:val="19790D14"/>
    <w:lvl w:ilvl="0" w:tentative="0">
      <w:start w:val="1"/>
      <w:numFmt w:val="decimal"/>
      <w:lvlText w:val="（%1）"/>
      <w:lvlJc w:val="left"/>
      <w:pPr>
        <w:tabs>
          <w:tab w:val="left" w:pos="2579"/>
        </w:tabs>
        <w:ind w:left="2579" w:hanging="420"/>
      </w:pPr>
      <w:rPr>
        <w:rFonts w:hint="eastAsia"/>
      </w:rPr>
    </w:lvl>
    <w:lvl w:ilvl="1" w:tentative="0">
      <w:start w:val="1"/>
      <w:numFmt w:val="lowerLetter"/>
      <w:lvlText w:val="%2)"/>
      <w:lvlJc w:val="left"/>
      <w:pPr>
        <w:tabs>
          <w:tab w:val="left" w:pos="2579"/>
        </w:tabs>
        <w:ind w:left="2579" w:hanging="420"/>
      </w:pPr>
    </w:lvl>
    <w:lvl w:ilvl="2" w:tentative="0">
      <w:start w:val="1"/>
      <w:numFmt w:val="lowerRoman"/>
      <w:lvlText w:val="%3."/>
      <w:lvlJc w:val="right"/>
      <w:pPr>
        <w:tabs>
          <w:tab w:val="left" w:pos="2999"/>
        </w:tabs>
        <w:ind w:left="2999" w:hanging="420"/>
      </w:pPr>
    </w:lvl>
    <w:lvl w:ilvl="3" w:tentative="0">
      <w:start w:val="1"/>
      <w:numFmt w:val="decimal"/>
      <w:lvlText w:val="%4."/>
      <w:lvlJc w:val="left"/>
      <w:pPr>
        <w:tabs>
          <w:tab w:val="left" w:pos="3419"/>
        </w:tabs>
        <w:ind w:left="3419" w:hanging="420"/>
      </w:pPr>
    </w:lvl>
    <w:lvl w:ilvl="4" w:tentative="0">
      <w:start w:val="1"/>
      <w:numFmt w:val="lowerLetter"/>
      <w:lvlText w:val="%5)"/>
      <w:lvlJc w:val="left"/>
      <w:pPr>
        <w:tabs>
          <w:tab w:val="left" w:pos="3839"/>
        </w:tabs>
        <w:ind w:left="3839" w:hanging="420"/>
      </w:pPr>
    </w:lvl>
    <w:lvl w:ilvl="5" w:tentative="0">
      <w:start w:val="1"/>
      <w:numFmt w:val="lowerRoman"/>
      <w:lvlText w:val="%6."/>
      <w:lvlJc w:val="right"/>
      <w:pPr>
        <w:tabs>
          <w:tab w:val="left" w:pos="4259"/>
        </w:tabs>
        <w:ind w:left="4259" w:hanging="420"/>
      </w:pPr>
    </w:lvl>
    <w:lvl w:ilvl="6" w:tentative="0">
      <w:start w:val="1"/>
      <w:numFmt w:val="decimal"/>
      <w:lvlText w:val="%7."/>
      <w:lvlJc w:val="left"/>
      <w:pPr>
        <w:tabs>
          <w:tab w:val="left" w:pos="4679"/>
        </w:tabs>
        <w:ind w:left="4679" w:hanging="420"/>
      </w:pPr>
    </w:lvl>
    <w:lvl w:ilvl="7" w:tentative="0">
      <w:start w:val="1"/>
      <w:numFmt w:val="lowerLetter"/>
      <w:lvlText w:val="%8)"/>
      <w:lvlJc w:val="left"/>
      <w:pPr>
        <w:tabs>
          <w:tab w:val="left" w:pos="5099"/>
        </w:tabs>
        <w:ind w:left="5099" w:hanging="420"/>
      </w:pPr>
    </w:lvl>
    <w:lvl w:ilvl="8" w:tentative="0">
      <w:start w:val="1"/>
      <w:numFmt w:val="lowerRoman"/>
      <w:lvlText w:val="%9."/>
      <w:lvlJc w:val="right"/>
      <w:pPr>
        <w:tabs>
          <w:tab w:val="left" w:pos="5519"/>
        </w:tabs>
        <w:ind w:left="5519" w:hanging="420"/>
      </w:pPr>
    </w:lvl>
  </w:abstractNum>
  <w:abstractNum w:abstractNumId="14">
    <w:nsid w:val="210C3913"/>
    <w:multiLevelType w:val="singleLevel"/>
    <w:tmpl w:val="210C3913"/>
    <w:lvl w:ilvl="0" w:tentative="0">
      <w:start w:val="1"/>
      <w:numFmt w:val="decimal"/>
      <w:suff w:val="space"/>
      <w:lvlText w:val="%1."/>
      <w:lvlJc w:val="left"/>
    </w:lvl>
  </w:abstractNum>
  <w:abstractNum w:abstractNumId="15">
    <w:nsid w:val="2A733050"/>
    <w:multiLevelType w:val="multilevel"/>
    <w:tmpl w:val="2A733050"/>
    <w:lvl w:ilvl="0" w:tentative="0">
      <w:start w:val="1"/>
      <w:numFmt w:val="decimal"/>
      <w:lvlText w:val="（%1）"/>
      <w:lvlJc w:val="left"/>
      <w:pPr>
        <w:tabs>
          <w:tab w:val="left" w:pos="2579"/>
        </w:tabs>
        <w:ind w:left="2579" w:hanging="420"/>
      </w:pPr>
      <w:rPr>
        <w:rFonts w:hint="eastAsia"/>
      </w:rPr>
    </w:lvl>
    <w:lvl w:ilvl="1" w:tentative="0">
      <w:start w:val="1"/>
      <w:numFmt w:val="lowerLetter"/>
      <w:lvlText w:val="%2)"/>
      <w:lvlJc w:val="left"/>
      <w:pPr>
        <w:tabs>
          <w:tab w:val="left" w:pos="2579"/>
        </w:tabs>
        <w:ind w:left="2579" w:hanging="420"/>
      </w:pPr>
    </w:lvl>
    <w:lvl w:ilvl="2" w:tentative="0">
      <w:start w:val="1"/>
      <w:numFmt w:val="lowerRoman"/>
      <w:lvlText w:val="%3."/>
      <w:lvlJc w:val="right"/>
      <w:pPr>
        <w:tabs>
          <w:tab w:val="left" w:pos="2999"/>
        </w:tabs>
        <w:ind w:left="2999" w:hanging="420"/>
      </w:pPr>
    </w:lvl>
    <w:lvl w:ilvl="3" w:tentative="0">
      <w:start w:val="1"/>
      <w:numFmt w:val="decimal"/>
      <w:lvlText w:val="%4."/>
      <w:lvlJc w:val="left"/>
      <w:pPr>
        <w:tabs>
          <w:tab w:val="left" w:pos="3419"/>
        </w:tabs>
        <w:ind w:left="3419" w:hanging="420"/>
      </w:pPr>
    </w:lvl>
    <w:lvl w:ilvl="4" w:tentative="0">
      <w:start w:val="1"/>
      <w:numFmt w:val="lowerLetter"/>
      <w:lvlText w:val="%5)"/>
      <w:lvlJc w:val="left"/>
      <w:pPr>
        <w:tabs>
          <w:tab w:val="left" w:pos="3839"/>
        </w:tabs>
        <w:ind w:left="3839" w:hanging="420"/>
      </w:pPr>
    </w:lvl>
    <w:lvl w:ilvl="5" w:tentative="0">
      <w:start w:val="1"/>
      <w:numFmt w:val="lowerRoman"/>
      <w:lvlText w:val="%6."/>
      <w:lvlJc w:val="right"/>
      <w:pPr>
        <w:tabs>
          <w:tab w:val="left" w:pos="4259"/>
        </w:tabs>
        <w:ind w:left="4259" w:hanging="420"/>
      </w:pPr>
    </w:lvl>
    <w:lvl w:ilvl="6" w:tentative="0">
      <w:start w:val="1"/>
      <w:numFmt w:val="decimal"/>
      <w:lvlText w:val="%7."/>
      <w:lvlJc w:val="left"/>
      <w:pPr>
        <w:tabs>
          <w:tab w:val="left" w:pos="4679"/>
        </w:tabs>
        <w:ind w:left="4679" w:hanging="420"/>
      </w:pPr>
    </w:lvl>
    <w:lvl w:ilvl="7" w:tentative="0">
      <w:start w:val="1"/>
      <w:numFmt w:val="lowerLetter"/>
      <w:lvlText w:val="%8)"/>
      <w:lvlJc w:val="left"/>
      <w:pPr>
        <w:tabs>
          <w:tab w:val="left" w:pos="5099"/>
        </w:tabs>
        <w:ind w:left="5099" w:hanging="420"/>
      </w:pPr>
    </w:lvl>
    <w:lvl w:ilvl="8" w:tentative="0">
      <w:start w:val="1"/>
      <w:numFmt w:val="lowerRoman"/>
      <w:lvlText w:val="%9."/>
      <w:lvlJc w:val="right"/>
      <w:pPr>
        <w:tabs>
          <w:tab w:val="left" w:pos="5519"/>
        </w:tabs>
        <w:ind w:left="5519" w:hanging="420"/>
      </w:pPr>
    </w:lvl>
  </w:abstractNum>
  <w:abstractNum w:abstractNumId="16">
    <w:nsid w:val="30C872ED"/>
    <w:multiLevelType w:val="singleLevel"/>
    <w:tmpl w:val="30C872ED"/>
    <w:lvl w:ilvl="0" w:tentative="0">
      <w:start w:val="1"/>
      <w:numFmt w:val="decimal"/>
      <w:suff w:val="space"/>
      <w:lvlText w:val="%1."/>
      <w:lvlJc w:val="left"/>
    </w:lvl>
  </w:abstractNum>
  <w:abstractNum w:abstractNumId="17">
    <w:nsid w:val="31E55D1C"/>
    <w:multiLevelType w:val="multilevel"/>
    <w:tmpl w:val="31E55D1C"/>
    <w:lvl w:ilvl="0" w:tentative="0">
      <w:start w:val="1"/>
      <w:numFmt w:val="decimal"/>
      <w:lvlText w:val="（%1）"/>
      <w:lvlJc w:val="left"/>
      <w:pPr>
        <w:tabs>
          <w:tab w:val="left" w:pos="2579"/>
        </w:tabs>
        <w:ind w:left="2579" w:hanging="420"/>
      </w:pPr>
      <w:rPr>
        <w:rFonts w:hint="eastAsia"/>
      </w:rPr>
    </w:lvl>
    <w:lvl w:ilvl="1" w:tentative="0">
      <w:start w:val="1"/>
      <w:numFmt w:val="lowerLetter"/>
      <w:lvlText w:val="%2)"/>
      <w:lvlJc w:val="left"/>
      <w:pPr>
        <w:tabs>
          <w:tab w:val="left" w:pos="2579"/>
        </w:tabs>
        <w:ind w:left="2579" w:hanging="420"/>
      </w:pPr>
    </w:lvl>
    <w:lvl w:ilvl="2" w:tentative="0">
      <w:start w:val="1"/>
      <w:numFmt w:val="lowerRoman"/>
      <w:lvlText w:val="%3."/>
      <w:lvlJc w:val="right"/>
      <w:pPr>
        <w:tabs>
          <w:tab w:val="left" w:pos="2999"/>
        </w:tabs>
        <w:ind w:left="2999" w:hanging="420"/>
      </w:pPr>
    </w:lvl>
    <w:lvl w:ilvl="3" w:tentative="0">
      <w:start w:val="1"/>
      <w:numFmt w:val="decimal"/>
      <w:lvlText w:val="%4."/>
      <w:lvlJc w:val="left"/>
      <w:pPr>
        <w:tabs>
          <w:tab w:val="left" w:pos="3419"/>
        </w:tabs>
        <w:ind w:left="3419" w:hanging="420"/>
      </w:pPr>
    </w:lvl>
    <w:lvl w:ilvl="4" w:tentative="0">
      <w:start w:val="1"/>
      <w:numFmt w:val="lowerLetter"/>
      <w:lvlText w:val="%5)"/>
      <w:lvlJc w:val="left"/>
      <w:pPr>
        <w:tabs>
          <w:tab w:val="left" w:pos="3839"/>
        </w:tabs>
        <w:ind w:left="3839" w:hanging="420"/>
      </w:pPr>
    </w:lvl>
    <w:lvl w:ilvl="5" w:tentative="0">
      <w:start w:val="1"/>
      <w:numFmt w:val="lowerRoman"/>
      <w:lvlText w:val="%6."/>
      <w:lvlJc w:val="right"/>
      <w:pPr>
        <w:tabs>
          <w:tab w:val="left" w:pos="4259"/>
        </w:tabs>
        <w:ind w:left="4259" w:hanging="420"/>
      </w:pPr>
    </w:lvl>
    <w:lvl w:ilvl="6" w:tentative="0">
      <w:start w:val="1"/>
      <w:numFmt w:val="decimal"/>
      <w:lvlText w:val="%7."/>
      <w:lvlJc w:val="left"/>
      <w:pPr>
        <w:tabs>
          <w:tab w:val="left" w:pos="4679"/>
        </w:tabs>
        <w:ind w:left="4679" w:hanging="420"/>
      </w:pPr>
    </w:lvl>
    <w:lvl w:ilvl="7" w:tentative="0">
      <w:start w:val="1"/>
      <w:numFmt w:val="lowerLetter"/>
      <w:lvlText w:val="%8)"/>
      <w:lvlJc w:val="left"/>
      <w:pPr>
        <w:tabs>
          <w:tab w:val="left" w:pos="5099"/>
        </w:tabs>
        <w:ind w:left="5099" w:hanging="420"/>
      </w:pPr>
    </w:lvl>
    <w:lvl w:ilvl="8" w:tentative="0">
      <w:start w:val="1"/>
      <w:numFmt w:val="lowerRoman"/>
      <w:lvlText w:val="%9."/>
      <w:lvlJc w:val="right"/>
      <w:pPr>
        <w:tabs>
          <w:tab w:val="left" w:pos="5519"/>
        </w:tabs>
        <w:ind w:left="5519" w:hanging="420"/>
      </w:pPr>
    </w:lvl>
  </w:abstractNum>
  <w:abstractNum w:abstractNumId="18">
    <w:nsid w:val="38DA3F37"/>
    <w:multiLevelType w:val="multilevel"/>
    <w:tmpl w:val="38DA3F37"/>
    <w:lvl w:ilvl="0" w:tentative="0">
      <w:start w:val="1"/>
      <w:numFmt w:val="bullet"/>
      <w:pStyle w:val="87"/>
      <w:lvlText w:val=""/>
      <w:lvlJc w:val="left"/>
      <w:pPr>
        <w:tabs>
          <w:tab w:val="left" w:pos="480"/>
        </w:tabs>
        <w:ind w:left="480" w:hanging="480"/>
      </w:pPr>
      <w:rPr>
        <w:rFonts w:hint="default" w:ascii="Wingdings" w:hAnsi="Wingdings"/>
        <w:sz w:val="16"/>
      </w:rPr>
    </w:lvl>
    <w:lvl w:ilvl="1" w:tentative="0">
      <w:start w:val="1"/>
      <w:numFmt w:val="ideographTraditional"/>
      <w:lvlText w:val="%2、"/>
      <w:lvlJc w:val="left"/>
      <w:pPr>
        <w:tabs>
          <w:tab w:val="left" w:pos="960"/>
        </w:tabs>
        <w:ind w:left="960" w:hanging="480"/>
      </w:pPr>
    </w:lvl>
    <w:lvl w:ilvl="2" w:tentative="0">
      <w:start w:val="1"/>
      <w:numFmt w:val="lowerRoman"/>
      <w:lvlText w:val="%3."/>
      <w:lvlJc w:val="right"/>
      <w:pPr>
        <w:tabs>
          <w:tab w:val="left" w:pos="1440"/>
        </w:tabs>
        <w:ind w:left="1440" w:hanging="480"/>
      </w:pPr>
    </w:lvl>
    <w:lvl w:ilvl="3" w:tentative="0">
      <w:start w:val="1"/>
      <w:numFmt w:val="decimal"/>
      <w:lvlText w:val="%4."/>
      <w:lvlJc w:val="left"/>
      <w:pPr>
        <w:tabs>
          <w:tab w:val="left" w:pos="1920"/>
        </w:tabs>
        <w:ind w:left="1920" w:hanging="480"/>
      </w:pPr>
    </w:lvl>
    <w:lvl w:ilvl="4" w:tentative="0">
      <w:start w:val="1"/>
      <w:numFmt w:val="ideographTraditional"/>
      <w:lvlText w:val="%5、"/>
      <w:lvlJc w:val="left"/>
      <w:pPr>
        <w:tabs>
          <w:tab w:val="left" w:pos="2400"/>
        </w:tabs>
        <w:ind w:left="2400" w:hanging="480"/>
      </w:pPr>
    </w:lvl>
    <w:lvl w:ilvl="5" w:tentative="0">
      <w:start w:val="1"/>
      <w:numFmt w:val="lowerRoman"/>
      <w:lvlText w:val="%6."/>
      <w:lvlJc w:val="right"/>
      <w:pPr>
        <w:tabs>
          <w:tab w:val="left" w:pos="2880"/>
        </w:tabs>
        <w:ind w:left="2880" w:hanging="480"/>
      </w:pPr>
    </w:lvl>
    <w:lvl w:ilvl="6" w:tentative="0">
      <w:start w:val="1"/>
      <w:numFmt w:val="decimal"/>
      <w:lvlText w:val="%7."/>
      <w:lvlJc w:val="left"/>
      <w:pPr>
        <w:tabs>
          <w:tab w:val="left" w:pos="3360"/>
        </w:tabs>
        <w:ind w:left="3360" w:hanging="480"/>
      </w:pPr>
    </w:lvl>
    <w:lvl w:ilvl="7" w:tentative="0">
      <w:start w:val="1"/>
      <w:numFmt w:val="ideographTraditional"/>
      <w:lvlText w:val="%8、"/>
      <w:lvlJc w:val="left"/>
      <w:pPr>
        <w:tabs>
          <w:tab w:val="left" w:pos="3840"/>
        </w:tabs>
        <w:ind w:left="3840" w:hanging="480"/>
      </w:pPr>
    </w:lvl>
    <w:lvl w:ilvl="8" w:tentative="0">
      <w:start w:val="1"/>
      <w:numFmt w:val="lowerRoman"/>
      <w:lvlText w:val="%9."/>
      <w:lvlJc w:val="right"/>
      <w:pPr>
        <w:tabs>
          <w:tab w:val="left" w:pos="4320"/>
        </w:tabs>
        <w:ind w:left="4320" w:hanging="480"/>
      </w:pPr>
    </w:lvl>
  </w:abstractNum>
  <w:abstractNum w:abstractNumId="19">
    <w:nsid w:val="4583EEDF"/>
    <w:multiLevelType w:val="singleLevel"/>
    <w:tmpl w:val="4583EEDF"/>
    <w:lvl w:ilvl="0" w:tentative="0">
      <w:start w:val="1"/>
      <w:numFmt w:val="decimal"/>
      <w:suff w:val="space"/>
      <w:lvlText w:val="%1."/>
      <w:lvlJc w:val="left"/>
    </w:lvl>
  </w:abstractNum>
  <w:abstractNum w:abstractNumId="20">
    <w:nsid w:val="49805FD2"/>
    <w:multiLevelType w:val="singleLevel"/>
    <w:tmpl w:val="49805FD2"/>
    <w:lvl w:ilvl="0" w:tentative="0">
      <w:start w:val="1"/>
      <w:numFmt w:val="decimal"/>
      <w:lvlText w:val="%1."/>
      <w:lvlJc w:val="left"/>
      <w:pPr>
        <w:tabs>
          <w:tab w:val="left" w:pos="312"/>
        </w:tabs>
      </w:pPr>
    </w:lvl>
  </w:abstractNum>
  <w:abstractNum w:abstractNumId="21">
    <w:nsid w:val="4D81C2A7"/>
    <w:multiLevelType w:val="multilevel"/>
    <w:tmpl w:val="4D81C2A7"/>
    <w:lvl w:ilvl="0" w:tentative="0">
      <w:start w:val="1"/>
      <w:numFmt w:val="decimal"/>
      <w:lvlText w:val="（%1）"/>
      <w:lvlJc w:val="left"/>
      <w:pPr>
        <w:tabs>
          <w:tab w:val="left" w:pos="2579"/>
        </w:tabs>
        <w:ind w:left="2579" w:hanging="420"/>
      </w:pPr>
      <w:rPr>
        <w:rFonts w:hint="eastAsia"/>
      </w:rPr>
    </w:lvl>
    <w:lvl w:ilvl="1" w:tentative="0">
      <w:start w:val="1"/>
      <w:numFmt w:val="lowerLetter"/>
      <w:lvlText w:val="%2)"/>
      <w:lvlJc w:val="left"/>
      <w:pPr>
        <w:tabs>
          <w:tab w:val="left" w:pos="2579"/>
        </w:tabs>
        <w:ind w:left="2579" w:hanging="420"/>
      </w:pPr>
    </w:lvl>
    <w:lvl w:ilvl="2" w:tentative="0">
      <w:start w:val="1"/>
      <w:numFmt w:val="lowerRoman"/>
      <w:lvlText w:val="%3."/>
      <w:lvlJc w:val="right"/>
      <w:pPr>
        <w:tabs>
          <w:tab w:val="left" w:pos="2999"/>
        </w:tabs>
        <w:ind w:left="2999" w:hanging="420"/>
      </w:pPr>
    </w:lvl>
    <w:lvl w:ilvl="3" w:tentative="0">
      <w:start w:val="1"/>
      <w:numFmt w:val="decimal"/>
      <w:lvlText w:val="%4."/>
      <w:lvlJc w:val="left"/>
      <w:pPr>
        <w:tabs>
          <w:tab w:val="left" w:pos="3419"/>
        </w:tabs>
        <w:ind w:left="3419" w:hanging="420"/>
      </w:pPr>
    </w:lvl>
    <w:lvl w:ilvl="4" w:tentative="0">
      <w:start w:val="1"/>
      <w:numFmt w:val="lowerLetter"/>
      <w:lvlText w:val="%5)"/>
      <w:lvlJc w:val="left"/>
      <w:pPr>
        <w:tabs>
          <w:tab w:val="left" w:pos="3839"/>
        </w:tabs>
        <w:ind w:left="3839" w:hanging="420"/>
      </w:pPr>
    </w:lvl>
    <w:lvl w:ilvl="5" w:tentative="0">
      <w:start w:val="1"/>
      <w:numFmt w:val="lowerRoman"/>
      <w:lvlText w:val="%6."/>
      <w:lvlJc w:val="right"/>
      <w:pPr>
        <w:tabs>
          <w:tab w:val="left" w:pos="4259"/>
        </w:tabs>
        <w:ind w:left="4259" w:hanging="420"/>
      </w:pPr>
    </w:lvl>
    <w:lvl w:ilvl="6" w:tentative="0">
      <w:start w:val="1"/>
      <w:numFmt w:val="decimal"/>
      <w:lvlText w:val="%7."/>
      <w:lvlJc w:val="left"/>
      <w:pPr>
        <w:tabs>
          <w:tab w:val="left" w:pos="4679"/>
        </w:tabs>
        <w:ind w:left="4679" w:hanging="420"/>
      </w:pPr>
    </w:lvl>
    <w:lvl w:ilvl="7" w:tentative="0">
      <w:start w:val="1"/>
      <w:numFmt w:val="lowerLetter"/>
      <w:lvlText w:val="%8)"/>
      <w:lvlJc w:val="left"/>
      <w:pPr>
        <w:tabs>
          <w:tab w:val="left" w:pos="5099"/>
        </w:tabs>
        <w:ind w:left="5099" w:hanging="420"/>
      </w:pPr>
    </w:lvl>
    <w:lvl w:ilvl="8" w:tentative="0">
      <w:start w:val="1"/>
      <w:numFmt w:val="lowerRoman"/>
      <w:lvlText w:val="%9."/>
      <w:lvlJc w:val="right"/>
      <w:pPr>
        <w:tabs>
          <w:tab w:val="left" w:pos="5519"/>
        </w:tabs>
        <w:ind w:left="5519" w:hanging="420"/>
      </w:pPr>
    </w:lvl>
  </w:abstractNum>
  <w:abstractNum w:abstractNumId="22">
    <w:nsid w:val="4ECFD78C"/>
    <w:multiLevelType w:val="singleLevel"/>
    <w:tmpl w:val="4ECFD78C"/>
    <w:lvl w:ilvl="0" w:tentative="0">
      <w:start w:val="2"/>
      <w:numFmt w:val="chineseCounting"/>
      <w:suff w:val="nothing"/>
      <w:lvlText w:val="（%1）"/>
      <w:lvlJc w:val="left"/>
      <w:rPr>
        <w:rFonts w:hint="eastAsia"/>
      </w:rPr>
    </w:lvl>
  </w:abstractNum>
  <w:abstractNum w:abstractNumId="23">
    <w:nsid w:val="4F6EC327"/>
    <w:multiLevelType w:val="singleLevel"/>
    <w:tmpl w:val="4F6EC327"/>
    <w:lvl w:ilvl="0" w:tentative="0">
      <w:start w:val="1"/>
      <w:numFmt w:val="decimal"/>
      <w:suff w:val="space"/>
      <w:lvlText w:val="%1."/>
      <w:lvlJc w:val="left"/>
    </w:lvl>
  </w:abstractNum>
  <w:abstractNum w:abstractNumId="24">
    <w:nsid w:val="571D86E2"/>
    <w:multiLevelType w:val="singleLevel"/>
    <w:tmpl w:val="571D86E2"/>
    <w:lvl w:ilvl="0" w:tentative="0">
      <w:start w:val="1"/>
      <w:numFmt w:val="chineseCounting"/>
      <w:suff w:val="nothing"/>
      <w:lvlText w:val="%1、"/>
      <w:lvlJc w:val="left"/>
      <w:rPr>
        <w:rFonts w:hint="eastAsia"/>
      </w:rPr>
    </w:lvl>
  </w:abstractNum>
  <w:abstractNum w:abstractNumId="25">
    <w:nsid w:val="5AB7A906"/>
    <w:multiLevelType w:val="singleLevel"/>
    <w:tmpl w:val="5AB7A906"/>
    <w:lvl w:ilvl="0" w:tentative="0">
      <w:start w:val="1"/>
      <w:numFmt w:val="decimal"/>
      <w:suff w:val="nothing"/>
      <w:lvlText w:val="（%1）"/>
      <w:lvlJc w:val="left"/>
    </w:lvl>
  </w:abstractNum>
  <w:abstractNum w:abstractNumId="26">
    <w:nsid w:val="5D1A2F6E"/>
    <w:multiLevelType w:val="singleLevel"/>
    <w:tmpl w:val="5D1A2F6E"/>
    <w:lvl w:ilvl="0" w:tentative="0">
      <w:start w:val="1"/>
      <w:numFmt w:val="decimal"/>
      <w:suff w:val="space"/>
      <w:lvlText w:val="%1."/>
      <w:lvlJc w:val="left"/>
    </w:lvl>
  </w:abstractNum>
  <w:abstractNum w:abstractNumId="27">
    <w:nsid w:val="6FE4E77F"/>
    <w:multiLevelType w:val="multilevel"/>
    <w:tmpl w:val="6FE4E77F"/>
    <w:lvl w:ilvl="0" w:tentative="0">
      <w:start w:val="1"/>
      <w:numFmt w:val="decimal"/>
      <w:lvlText w:val="（%1）"/>
      <w:lvlJc w:val="left"/>
      <w:pPr>
        <w:tabs>
          <w:tab w:val="left" w:pos="2579"/>
        </w:tabs>
        <w:ind w:left="2579" w:hanging="420"/>
      </w:pPr>
      <w:rPr>
        <w:rFonts w:hint="eastAsia"/>
      </w:rPr>
    </w:lvl>
    <w:lvl w:ilvl="1" w:tentative="0">
      <w:start w:val="1"/>
      <w:numFmt w:val="lowerLetter"/>
      <w:lvlText w:val="%2)"/>
      <w:lvlJc w:val="left"/>
      <w:pPr>
        <w:tabs>
          <w:tab w:val="left" w:pos="2579"/>
        </w:tabs>
        <w:ind w:left="2579" w:hanging="420"/>
      </w:pPr>
    </w:lvl>
    <w:lvl w:ilvl="2" w:tentative="0">
      <w:start w:val="1"/>
      <w:numFmt w:val="lowerRoman"/>
      <w:lvlText w:val="%3."/>
      <w:lvlJc w:val="right"/>
      <w:pPr>
        <w:tabs>
          <w:tab w:val="left" w:pos="2999"/>
        </w:tabs>
        <w:ind w:left="2999" w:hanging="420"/>
      </w:pPr>
    </w:lvl>
    <w:lvl w:ilvl="3" w:tentative="0">
      <w:start w:val="1"/>
      <w:numFmt w:val="decimal"/>
      <w:lvlText w:val="%4."/>
      <w:lvlJc w:val="left"/>
      <w:pPr>
        <w:tabs>
          <w:tab w:val="left" w:pos="3419"/>
        </w:tabs>
        <w:ind w:left="3419" w:hanging="420"/>
      </w:pPr>
    </w:lvl>
    <w:lvl w:ilvl="4" w:tentative="0">
      <w:start w:val="1"/>
      <w:numFmt w:val="lowerLetter"/>
      <w:lvlText w:val="%5)"/>
      <w:lvlJc w:val="left"/>
      <w:pPr>
        <w:tabs>
          <w:tab w:val="left" w:pos="3839"/>
        </w:tabs>
        <w:ind w:left="3839" w:hanging="420"/>
      </w:pPr>
    </w:lvl>
    <w:lvl w:ilvl="5" w:tentative="0">
      <w:start w:val="1"/>
      <w:numFmt w:val="lowerRoman"/>
      <w:lvlText w:val="%6."/>
      <w:lvlJc w:val="right"/>
      <w:pPr>
        <w:tabs>
          <w:tab w:val="left" w:pos="4259"/>
        </w:tabs>
        <w:ind w:left="4259" w:hanging="420"/>
      </w:pPr>
    </w:lvl>
    <w:lvl w:ilvl="6" w:tentative="0">
      <w:start w:val="1"/>
      <w:numFmt w:val="decimal"/>
      <w:lvlText w:val="%7."/>
      <w:lvlJc w:val="left"/>
      <w:pPr>
        <w:tabs>
          <w:tab w:val="left" w:pos="4679"/>
        </w:tabs>
        <w:ind w:left="4679" w:hanging="420"/>
      </w:pPr>
    </w:lvl>
    <w:lvl w:ilvl="7" w:tentative="0">
      <w:start w:val="1"/>
      <w:numFmt w:val="lowerLetter"/>
      <w:lvlText w:val="%8)"/>
      <w:lvlJc w:val="left"/>
      <w:pPr>
        <w:tabs>
          <w:tab w:val="left" w:pos="5099"/>
        </w:tabs>
        <w:ind w:left="5099" w:hanging="420"/>
      </w:pPr>
    </w:lvl>
    <w:lvl w:ilvl="8" w:tentative="0">
      <w:start w:val="1"/>
      <w:numFmt w:val="lowerRoman"/>
      <w:lvlText w:val="%9."/>
      <w:lvlJc w:val="right"/>
      <w:pPr>
        <w:tabs>
          <w:tab w:val="left" w:pos="5519"/>
        </w:tabs>
        <w:ind w:left="5519" w:hanging="420"/>
      </w:pPr>
    </w:lvl>
  </w:abstractNum>
  <w:abstractNum w:abstractNumId="28">
    <w:nsid w:val="79E960B4"/>
    <w:multiLevelType w:val="singleLevel"/>
    <w:tmpl w:val="79E960B4"/>
    <w:lvl w:ilvl="0" w:tentative="0">
      <w:start w:val="1"/>
      <w:numFmt w:val="decimal"/>
      <w:suff w:val="space"/>
      <w:lvlText w:val="%1."/>
      <w:lvlJc w:val="left"/>
    </w:lvl>
  </w:abstractNum>
  <w:num w:numId="1">
    <w:abstractNumId w:val="18"/>
  </w:num>
  <w:num w:numId="2">
    <w:abstractNumId w:val="22"/>
  </w:num>
  <w:num w:numId="3">
    <w:abstractNumId w:val="20"/>
  </w:num>
  <w:num w:numId="4">
    <w:abstractNumId w:val="2"/>
  </w:num>
  <w:num w:numId="5">
    <w:abstractNumId w:val="8"/>
  </w:num>
  <w:num w:numId="6">
    <w:abstractNumId w:val="25"/>
  </w:num>
  <w:num w:numId="7">
    <w:abstractNumId w:val="6"/>
  </w:num>
  <w:num w:numId="8">
    <w:abstractNumId w:val="19"/>
  </w:num>
  <w:num w:numId="9">
    <w:abstractNumId w:val="23"/>
  </w:num>
  <w:num w:numId="10">
    <w:abstractNumId w:val="14"/>
  </w:num>
  <w:num w:numId="11">
    <w:abstractNumId w:val="1"/>
  </w:num>
  <w:num w:numId="12">
    <w:abstractNumId w:val="16"/>
  </w:num>
  <w:num w:numId="13">
    <w:abstractNumId w:val="26"/>
  </w:num>
  <w:num w:numId="14">
    <w:abstractNumId w:val="10"/>
  </w:num>
  <w:num w:numId="15">
    <w:abstractNumId w:val="28"/>
  </w:num>
  <w:num w:numId="16">
    <w:abstractNumId w:val="24"/>
  </w:num>
  <w:num w:numId="17">
    <w:abstractNumId w:val="11"/>
  </w:num>
  <w:num w:numId="18">
    <w:abstractNumId w:val="17"/>
  </w:num>
  <w:num w:numId="19">
    <w:abstractNumId w:val="3"/>
  </w:num>
  <w:num w:numId="20">
    <w:abstractNumId w:val="7"/>
  </w:num>
  <w:num w:numId="21">
    <w:abstractNumId w:val="0"/>
  </w:num>
  <w:num w:numId="22">
    <w:abstractNumId w:val="27"/>
  </w:num>
  <w:num w:numId="23">
    <w:abstractNumId w:val="5"/>
  </w:num>
  <w:num w:numId="24">
    <w:abstractNumId w:val="13"/>
  </w:num>
  <w:num w:numId="25">
    <w:abstractNumId w:val="21"/>
  </w:num>
  <w:num w:numId="26">
    <w:abstractNumId w:val="12"/>
  </w:num>
  <w:num w:numId="27">
    <w:abstractNumId w:val="4"/>
  </w:num>
  <w:num w:numId="28">
    <w:abstractNumId w:val="15"/>
  </w:num>
  <w:num w:numId="2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9"/>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NzNhNGEyMGVhNGNmZjE4MjdhYzE0MzBlN2FiMjNjMDAifQ=="/>
  </w:docVars>
  <w:rsids>
    <w:rsidRoot w:val="0066708D"/>
    <w:rsid w:val="00000546"/>
    <w:rsid w:val="00000AB2"/>
    <w:rsid w:val="00002A9B"/>
    <w:rsid w:val="00003BB4"/>
    <w:rsid w:val="000065AF"/>
    <w:rsid w:val="00006E68"/>
    <w:rsid w:val="00007260"/>
    <w:rsid w:val="00007F15"/>
    <w:rsid w:val="000103FA"/>
    <w:rsid w:val="000140F6"/>
    <w:rsid w:val="000144B7"/>
    <w:rsid w:val="00015136"/>
    <w:rsid w:val="00015ECD"/>
    <w:rsid w:val="00016E6C"/>
    <w:rsid w:val="0001735B"/>
    <w:rsid w:val="000176B2"/>
    <w:rsid w:val="0001787A"/>
    <w:rsid w:val="00017AA8"/>
    <w:rsid w:val="000207EA"/>
    <w:rsid w:val="00020819"/>
    <w:rsid w:val="0002112A"/>
    <w:rsid w:val="00021B3F"/>
    <w:rsid w:val="00022026"/>
    <w:rsid w:val="0002219B"/>
    <w:rsid w:val="00023752"/>
    <w:rsid w:val="0002458D"/>
    <w:rsid w:val="0002533A"/>
    <w:rsid w:val="000255A5"/>
    <w:rsid w:val="0002708D"/>
    <w:rsid w:val="000274F9"/>
    <w:rsid w:val="00027615"/>
    <w:rsid w:val="000277CD"/>
    <w:rsid w:val="00030F20"/>
    <w:rsid w:val="00031AD6"/>
    <w:rsid w:val="00033FA3"/>
    <w:rsid w:val="00034346"/>
    <w:rsid w:val="000356E5"/>
    <w:rsid w:val="00036F7E"/>
    <w:rsid w:val="00040669"/>
    <w:rsid w:val="000431E3"/>
    <w:rsid w:val="0004496E"/>
    <w:rsid w:val="00044ADE"/>
    <w:rsid w:val="00045196"/>
    <w:rsid w:val="00045858"/>
    <w:rsid w:val="00046E7F"/>
    <w:rsid w:val="000514DD"/>
    <w:rsid w:val="00051BB2"/>
    <w:rsid w:val="00053E7A"/>
    <w:rsid w:val="00055743"/>
    <w:rsid w:val="0005583D"/>
    <w:rsid w:val="00055DCA"/>
    <w:rsid w:val="00056741"/>
    <w:rsid w:val="00057B6D"/>
    <w:rsid w:val="0006048F"/>
    <w:rsid w:val="000623F5"/>
    <w:rsid w:val="00063271"/>
    <w:rsid w:val="0006339F"/>
    <w:rsid w:val="000634B6"/>
    <w:rsid w:val="00065BB7"/>
    <w:rsid w:val="00065F50"/>
    <w:rsid w:val="000667DA"/>
    <w:rsid w:val="0006738D"/>
    <w:rsid w:val="000678E0"/>
    <w:rsid w:val="00067F36"/>
    <w:rsid w:val="0007125B"/>
    <w:rsid w:val="00071F57"/>
    <w:rsid w:val="00073424"/>
    <w:rsid w:val="00074671"/>
    <w:rsid w:val="0007540B"/>
    <w:rsid w:val="00076AE9"/>
    <w:rsid w:val="00081396"/>
    <w:rsid w:val="00082649"/>
    <w:rsid w:val="00082843"/>
    <w:rsid w:val="00082CBF"/>
    <w:rsid w:val="000839F1"/>
    <w:rsid w:val="00084DE0"/>
    <w:rsid w:val="00085157"/>
    <w:rsid w:val="00085B2B"/>
    <w:rsid w:val="00085D79"/>
    <w:rsid w:val="00085F63"/>
    <w:rsid w:val="000860FE"/>
    <w:rsid w:val="00086E65"/>
    <w:rsid w:val="0008766A"/>
    <w:rsid w:val="00090915"/>
    <w:rsid w:val="0009490F"/>
    <w:rsid w:val="00094B87"/>
    <w:rsid w:val="00096BFB"/>
    <w:rsid w:val="00097BCB"/>
    <w:rsid w:val="00097F5C"/>
    <w:rsid w:val="000A096A"/>
    <w:rsid w:val="000A0EF7"/>
    <w:rsid w:val="000A0EF8"/>
    <w:rsid w:val="000A15A0"/>
    <w:rsid w:val="000A1777"/>
    <w:rsid w:val="000A2563"/>
    <w:rsid w:val="000A3C0D"/>
    <w:rsid w:val="000A3F28"/>
    <w:rsid w:val="000A5187"/>
    <w:rsid w:val="000A7EB6"/>
    <w:rsid w:val="000B07BD"/>
    <w:rsid w:val="000B0884"/>
    <w:rsid w:val="000B0A49"/>
    <w:rsid w:val="000B3659"/>
    <w:rsid w:val="000B5213"/>
    <w:rsid w:val="000B5449"/>
    <w:rsid w:val="000B5677"/>
    <w:rsid w:val="000B6E9C"/>
    <w:rsid w:val="000B78B3"/>
    <w:rsid w:val="000B7CF5"/>
    <w:rsid w:val="000C00DB"/>
    <w:rsid w:val="000C0636"/>
    <w:rsid w:val="000C25FD"/>
    <w:rsid w:val="000C3603"/>
    <w:rsid w:val="000C515F"/>
    <w:rsid w:val="000C5316"/>
    <w:rsid w:val="000C54C8"/>
    <w:rsid w:val="000C553D"/>
    <w:rsid w:val="000C58C8"/>
    <w:rsid w:val="000C6322"/>
    <w:rsid w:val="000C6FFF"/>
    <w:rsid w:val="000C7774"/>
    <w:rsid w:val="000D0B00"/>
    <w:rsid w:val="000D11B4"/>
    <w:rsid w:val="000D190E"/>
    <w:rsid w:val="000D2EFF"/>
    <w:rsid w:val="000D4848"/>
    <w:rsid w:val="000D4C7D"/>
    <w:rsid w:val="000D53CE"/>
    <w:rsid w:val="000D5A2E"/>
    <w:rsid w:val="000D5A42"/>
    <w:rsid w:val="000D5B2C"/>
    <w:rsid w:val="000D63AA"/>
    <w:rsid w:val="000D6AC7"/>
    <w:rsid w:val="000D6D29"/>
    <w:rsid w:val="000D7507"/>
    <w:rsid w:val="000E13C5"/>
    <w:rsid w:val="000E13DA"/>
    <w:rsid w:val="000E29B5"/>
    <w:rsid w:val="000E3129"/>
    <w:rsid w:val="000E3178"/>
    <w:rsid w:val="000E386B"/>
    <w:rsid w:val="000E3E2C"/>
    <w:rsid w:val="000E3E35"/>
    <w:rsid w:val="000E66B5"/>
    <w:rsid w:val="000E6876"/>
    <w:rsid w:val="000E69A2"/>
    <w:rsid w:val="000E6D6C"/>
    <w:rsid w:val="000E7586"/>
    <w:rsid w:val="000E76D0"/>
    <w:rsid w:val="000F07A2"/>
    <w:rsid w:val="000F1FF4"/>
    <w:rsid w:val="000F3E9B"/>
    <w:rsid w:val="000F4096"/>
    <w:rsid w:val="000F4358"/>
    <w:rsid w:val="000F45EB"/>
    <w:rsid w:val="000F5CF5"/>
    <w:rsid w:val="000F63C9"/>
    <w:rsid w:val="000F6BF0"/>
    <w:rsid w:val="000F7710"/>
    <w:rsid w:val="0010057A"/>
    <w:rsid w:val="001019ED"/>
    <w:rsid w:val="00102AE0"/>
    <w:rsid w:val="00102EBF"/>
    <w:rsid w:val="00102F1E"/>
    <w:rsid w:val="00104F7C"/>
    <w:rsid w:val="001053C5"/>
    <w:rsid w:val="00105D21"/>
    <w:rsid w:val="001072DB"/>
    <w:rsid w:val="00107435"/>
    <w:rsid w:val="001110E2"/>
    <w:rsid w:val="00111A3E"/>
    <w:rsid w:val="00113388"/>
    <w:rsid w:val="001141E9"/>
    <w:rsid w:val="00114978"/>
    <w:rsid w:val="00114F16"/>
    <w:rsid w:val="0011579A"/>
    <w:rsid w:val="00115905"/>
    <w:rsid w:val="00116E00"/>
    <w:rsid w:val="001178DB"/>
    <w:rsid w:val="00117E6F"/>
    <w:rsid w:val="00126BB6"/>
    <w:rsid w:val="00130180"/>
    <w:rsid w:val="00131BEC"/>
    <w:rsid w:val="0013301F"/>
    <w:rsid w:val="0013336A"/>
    <w:rsid w:val="00133842"/>
    <w:rsid w:val="00133A76"/>
    <w:rsid w:val="00133F0B"/>
    <w:rsid w:val="00134655"/>
    <w:rsid w:val="0013596A"/>
    <w:rsid w:val="00135ACB"/>
    <w:rsid w:val="00135FAC"/>
    <w:rsid w:val="001363E8"/>
    <w:rsid w:val="0013686A"/>
    <w:rsid w:val="00136921"/>
    <w:rsid w:val="00141671"/>
    <w:rsid w:val="00142F1A"/>
    <w:rsid w:val="00145FE5"/>
    <w:rsid w:val="001462E0"/>
    <w:rsid w:val="00146479"/>
    <w:rsid w:val="00146643"/>
    <w:rsid w:val="00146B00"/>
    <w:rsid w:val="00147766"/>
    <w:rsid w:val="00152826"/>
    <w:rsid w:val="00153F8F"/>
    <w:rsid w:val="001546EC"/>
    <w:rsid w:val="00154AF5"/>
    <w:rsid w:val="0015612C"/>
    <w:rsid w:val="00156D89"/>
    <w:rsid w:val="00156E3A"/>
    <w:rsid w:val="00157D64"/>
    <w:rsid w:val="00160448"/>
    <w:rsid w:val="001608D5"/>
    <w:rsid w:val="00161A82"/>
    <w:rsid w:val="001637B6"/>
    <w:rsid w:val="00164509"/>
    <w:rsid w:val="00165594"/>
    <w:rsid w:val="001655B9"/>
    <w:rsid w:val="00165F9F"/>
    <w:rsid w:val="001660EE"/>
    <w:rsid w:val="001665AB"/>
    <w:rsid w:val="0016728C"/>
    <w:rsid w:val="0016750A"/>
    <w:rsid w:val="00167C4E"/>
    <w:rsid w:val="001702F5"/>
    <w:rsid w:val="001703A3"/>
    <w:rsid w:val="00170B76"/>
    <w:rsid w:val="001723B0"/>
    <w:rsid w:val="00172460"/>
    <w:rsid w:val="00172E1D"/>
    <w:rsid w:val="0017324A"/>
    <w:rsid w:val="001745FF"/>
    <w:rsid w:val="001748AC"/>
    <w:rsid w:val="0017497C"/>
    <w:rsid w:val="001765E8"/>
    <w:rsid w:val="001770E3"/>
    <w:rsid w:val="00177438"/>
    <w:rsid w:val="00181911"/>
    <w:rsid w:val="001820D2"/>
    <w:rsid w:val="00182DF1"/>
    <w:rsid w:val="001838FE"/>
    <w:rsid w:val="001839D2"/>
    <w:rsid w:val="00183A3A"/>
    <w:rsid w:val="0018402B"/>
    <w:rsid w:val="00184AD9"/>
    <w:rsid w:val="00184AF5"/>
    <w:rsid w:val="00185828"/>
    <w:rsid w:val="00186126"/>
    <w:rsid w:val="00186DF5"/>
    <w:rsid w:val="0018759F"/>
    <w:rsid w:val="001875B3"/>
    <w:rsid w:val="0019058C"/>
    <w:rsid w:val="00192A38"/>
    <w:rsid w:val="0019303E"/>
    <w:rsid w:val="00193B2A"/>
    <w:rsid w:val="00193F84"/>
    <w:rsid w:val="00194AF0"/>
    <w:rsid w:val="0019554C"/>
    <w:rsid w:val="0019566E"/>
    <w:rsid w:val="00195BE1"/>
    <w:rsid w:val="001964AF"/>
    <w:rsid w:val="001964E7"/>
    <w:rsid w:val="00197851"/>
    <w:rsid w:val="001A0707"/>
    <w:rsid w:val="001A14DF"/>
    <w:rsid w:val="001A2111"/>
    <w:rsid w:val="001A40FA"/>
    <w:rsid w:val="001A51B7"/>
    <w:rsid w:val="001A63B6"/>
    <w:rsid w:val="001A7B4C"/>
    <w:rsid w:val="001A7BFE"/>
    <w:rsid w:val="001B29DF"/>
    <w:rsid w:val="001B2E0B"/>
    <w:rsid w:val="001B3E53"/>
    <w:rsid w:val="001B4291"/>
    <w:rsid w:val="001B56B0"/>
    <w:rsid w:val="001B6C7A"/>
    <w:rsid w:val="001B7843"/>
    <w:rsid w:val="001B7F42"/>
    <w:rsid w:val="001C0039"/>
    <w:rsid w:val="001C0AC4"/>
    <w:rsid w:val="001C203F"/>
    <w:rsid w:val="001C20B6"/>
    <w:rsid w:val="001C3F14"/>
    <w:rsid w:val="001C3F6B"/>
    <w:rsid w:val="001C73F1"/>
    <w:rsid w:val="001C78FA"/>
    <w:rsid w:val="001D0D3C"/>
    <w:rsid w:val="001D0F5A"/>
    <w:rsid w:val="001D248E"/>
    <w:rsid w:val="001D3142"/>
    <w:rsid w:val="001D4B9A"/>
    <w:rsid w:val="001D5309"/>
    <w:rsid w:val="001D5795"/>
    <w:rsid w:val="001D5CDD"/>
    <w:rsid w:val="001D6222"/>
    <w:rsid w:val="001D6DE3"/>
    <w:rsid w:val="001E13F5"/>
    <w:rsid w:val="001E1D55"/>
    <w:rsid w:val="001E220C"/>
    <w:rsid w:val="001E2622"/>
    <w:rsid w:val="001E3D01"/>
    <w:rsid w:val="001E46AA"/>
    <w:rsid w:val="001E6B99"/>
    <w:rsid w:val="001E6C0C"/>
    <w:rsid w:val="001F0A03"/>
    <w:rsid w:val="001F1694"/>
    <w:rsid w:val="001F16AE"/>
    <w:rsid w:val="001F1D43"/>
    <w:rsid w:val="001F2610"/>
    <w:rsid w:val="001F2837"/>
    <w:rsid w:val="001F34D5"/>
    <w:rsid w:val="001F358D"/>
    <w:rsid w:val="001F40B6"/>
    <w:rsid w:val="001F466D"/>
    <w:rsid w:val="001F4BF3"/>
    <w:rsid w:val="001F4E66"/>
    <w:rsid w:val="001F51A8"/>
    <w:rsid w:val="001F6A35"/>
    <w:rsid w:val="001F72DB"/>
    <w:rsid w:val="00200A38"/>
    <w:rsid w:val="002015F0"/>
    <w:rsid w:val="002017D6"/>
    <w:rsid w:val="00201909"/>
    <w:rsid w:val="00202420"/>
    <w:rsid w:val="0020319D"/>
    <w:rsid w:val="002034E3"/>
    <w:rsid w:val="00203784"/>
    <w:rsid w:val="00203EB0"/>
    <w:rsid w:val="00204064"/>
    <w:rsid w:val="002044CF"/>
    <w:rsid w:val="0020456A"/>
    <w:rsid w:val="00204BAB"/>
    <w:rsid w:val="00204E57"/>
    <w:rsid w:val="00207F66"/>
    <w:rsid w:val="002132BC"/>
    <w:rsid w:val="0021700A"/>
    <w:rsid w:val="00217041"/>
    <w:rsid w:val="00217736"/>
    <w:rsid w:val="00217AE9"/>
    <w:rsid w:val="002224D5"/>
    <w:rsid w:val="002227D2"/>
    <w:rsid w:val="002238CD"/>
    <w:rsid w:val="00223957"/>
    <w:rsid w:val="00224912"/>
    <w:rsid w:val="00224A02"/>
    <w:rsid w:val="00225CE8"/>
    <w:rsid w:val="00225ED7"/>
    <w:rsid w:val="002267FD"/>
    <w:rsid w:val="00227B1A"/>
    <w:rsid w:val="002304ED"/>
    <w:rsid w:val="00230F76"/>
    <w:rsid w:val="002323C9"/>
    <w:rsid w:val="0023372A"/>
    <w:rsid w:val="00234BC9"/>
    <w:rsid w:val="002358A5"/>
    <w:rsid w:val="00237012"/>
    <w:rsid w:val="0024022F"/>
    <w:rsid w:val="0024032F"/>
    <w:rsid w:val="002406D4"/>
    <w:rsid w:val="00240A90"/>
    <w:rsid w:val="00241910"/>
    <w:rsid w:val="00241A39"/>
    <w:rsid w:val="00242A26"/>
    <w:rsid w:val="00242D43"/>
    <w:rsid w:val="00243320"/>
    <w:rsid w:val="00243B46"/>
    <w:rsid w:val="00244FA6"/>
    <w:rsid w:val="0024502A"/>
    <w:rsid w:val="002451BA"/>
    <w:rsid w:val="00245C24"/>
    <w:rsid w:val="00246C40"/>
    <w:rsid w:val="00247379"/>
    <w:rsid w:val="00247879"/>
    <w:rsid w:val="002508D3"/>
    <w:rsid w:val="00250F9F"/>
    <w:rsid w:val="002511DA"/>
    <w:rsid w:val="0025120B"/>
    <w:rsid w:val="0025276A"/>
    <w:rsid w:val="0025296B"/>
    <w:rsid w:val="00256672"/>
    <w:rsid w:val="00256976"/>
    <w:rsid w:val="002574B8"/>
    <w:rsid w:val="00260643"/>
    <w:rsid w:val="00260E72"/>
    <w:rsid w:val="002625F8"/>
    <w:rsid w:val="002629C0"/>
    <w:rsid w:val="002630CD"/>
    <w:rsid w:val="0026343B"/>
    <w:rsid w:val="00263FB2"/>
    <w:rsid w:val="002642D6"/>
    <w:rsid w:val="0026460E"/>
    <w:rsid w:val="00264FD3"/>
    <w:rsid w:val="00265A60"/>
    <w:rsid w:val="00265BF8"/>
    <w:rsid w:val="00266D65"/>
    <w:rsid w:val="002674FC"/>
    <w:rsid w:val="002676E6"/>
    <w:rsid w:val="00273807"/>
    <w:rsid w:val="002759B6"/>
    <w:rsid w:val="002759E6"/>
    <w:rsid w:val="002774F2"/>
    <w:rsid w:val="00277A71"/>
    <w:rsid w:val="0028066E"/>
    <w:rsid w:val="00281521"/>
    <w:rsid w:val="0028342A"/>
    <w:rsid w:val="00283938"/>
    <w:rsid w:val="00285166"/>
    <w:rsid w:val="0028695C"/>
    <w:rsid w:val="002872DE"/>
    <w:rsid w:val="00287D53"/>
    <w:rsid w:val="00290131"/>
    <w:rsid w:val="00290232"/>
    <w:rsid w:val="0029088E"/>
    <w:rsid w:val="002911B4"/>
    <w:rsid w:val="0029120D"/>
    <w:rsid w:val="00291528"/>
    <w:rsid w:val="002929E4"/>
    <w:rsid w:val="00294075"/>
    <w:rsid w:val="0029448F"/>
    <w:rsid w:val="00297900"/>
    <w:rsid w:val="002A11B9"/>
    <w:rsid w:val="002A1226"/>
    <w:rsid w:val="002A156B"/>
    <w:rsid w:val="002A2121"/>
    <w:rsid w:val="002A221F"/>
    <w:rsid w:val="002A2382"/>
    <w:rsid w:val="002A27C2"/>
    <w:rsid w:val="002A28DD"/>
    <w:rsid w:val="002A31EB"/>
    <w:rsid w:val="002A432D"/>
    <w:rsid w:val="002A46DC"/>
    <w:rsid w:val="002A537C"/>
    <w:rsid w:val="002A6112"/>
    <w:rsid w:val="002A775D"/>
    <w:rsid w:val="002B0137"/>
    <w:rsid w:val="002B3D1D"/>
    <w:rsid w:val="002B405E"/>
    <w:rsid w:val="002B4B4F"/>
    <w:rsid w:val="002B4F8A"/>
    <w:rsid w:val="002B5CBA"/>
    <w:rsid w:val="002B6197"/>
    <w:rsid w:val="002B7495"/>
    <w:rsid w:val="002B75B8"/>
    <w:rsid w:val="002B766C"/>
    <w:rsid w:val="002B7DA4"/>
    <w:rsid w:val="002C1124"/>
    <w:rsid w:val="002C16D8"/>
    <w:rsid w:val="002C170D"/>
    <w:rsid w:val="002C1F75"/>
    <w:rsid w:val="002C27CB"/>
    <w:rsid w:val="002C6EA3"/>
    <w:rsid w:val="002C7464"/>
    <w:rsid w:val="002D039C"/>
    <w:rsid w:val="002D0AED"/>
    <w:rsid w:val="002D123F"/>
    <w:rsid w:val="002D24FF"/>
    <w:rsid w:val="002D2C30"/>
    <w:rsid w:val="002D32C5"/>
    <w:rsid w:val="002D3D9A"/>
    <w:rsid w:val="002D3DCF"/>
    <w:rsid w:val="002D4AAB"/>
    <w:rsid w:val="002D5706"/>
    <w:rsid w:val="002D647E"/>
    <w:rsid w:val="002D64F0"/>
    <w:rsid w:val="002D6AE9"/>
    <w:rsid w:val="002D71CE"/>
    <w:rsid w:val="002D7415"/>
    <w:rsid w:val="002E0187"/>
    <w:rsid w:val="002E0791"/>
    <w:rsid w:val="002E0D30"/>
    <w:rsid w:val="002E11B4"/>
    <w:rsid w:val="002E2D3B"/>
    <w:rsid w:val="002E396A"/>
    <w:rsid w:val="002E4D12"/>
    <w:rsid w:val="002E5BFB"/>
    <w:rsid w:val="002E5DDE"/>
    <w:rsid w:val="002E6A31"/>
    <w:rsid w:val="002E6B1F"/>
    <w:rsid w:val="002E6E72"/>
    <w:rsid w:val="002E72F4"/>
    <w:rsid w:val="002E76B3"/>
    <w:rsid w:val="002E7808"/>
    <w:rsid w:val="002E7FB0"/>
    <w:rsid w:val="002F0578"/>
    <w:rsid w:val="002F1659"/>
    <w:rsid w:val="002F2D0F"/>
    <w:rsid w:val="002F354E"/>
    <w:rsid w:val="002F3654"/>
    <w:rsid w:val="002F3A00"/>
    <w:rsid w:val="002F40E0"/>
    <w:rsid w:val="002F4C7F"/>
    <w:rsid w:val="002F61AE"/>
    <w:rsid w:val="002F7741"/>
    <w:rsid w:val="002F7B80"/>
    <w:rsid w:val="002F7E83"/>
    <w:rsid w:val="00300520"/>
    <w:rsid w:val="003016F6"/>
    <w:rsid w:val="003017D8"/>
    <w:rsid w:val="003017F0"/>
    <w:rsid w:val="00301958"/>
    <w:rsid w:val="00301DC8"/>
    <w:rsid w:val="00303B8F"/>
    <w:rsid w:val="003045D9"/>
    <w:rsid w:val="00304E4E"/>
    <w:rsid w:val="00304FA6"/>
    <w:rsid w:val="00305686"/>
    <w:rsid w:val="00305B5A"/>
    <w:rsid w:val="00305C35"/>
    <w:rsid w:val="0030696A"/>
    <w:rsid w:val="00310D52"/>
    <w:rsid w:val="00314C91"/>
    <w:rsid w:val="00317F41"/>
    <w:rsid w:val="00321C1B"/>
    <w:rsid w:val="00322767"/>
    <w:rsid w:val="00322B2E"/>
    <w:rsid w:val="00323C57"/>
    <w:rsid w:val="00323F5E"/>
    <w:rsid w:val="0032437A"/>
    <w:rsid w:val="00325DFB"/>
    <w:rsid w:val="00326695"/>
    <w:rsid w:val="00326724"/>
    <w:rsid w:val="00326CD4"/>
    <w:rsid w:val="0032783F"/>
    <w:rsid w:val="00327AA9"/>
    <w:rsid w:val="00327EF8"/>
    <w:rsid w:val="00330036"/>
    <w:rsid w:val="00330E1D"/>
    <w:rsid w:val="0033346D"/>
    <w:rsid w:val="00333C74"/>
    <w:rsid w:val="00333F95"/>
    <w:rsid w:val="00334426"/>
    <w:rsid w:val="00336F2C"/>
    <w:rsid w:val="003373C4"/>
    <w:rsid w:val="00340B10"/>
    <w:rsid w:val="00340B9E"/>
    <w:rsid w:val="00341B83"/>
    <w:rsid w:val="003429F7"/>
    <w:rsid w:val="00343AF8"/>
    <w:rsid w:val="003441E2"/>
    <w:rsid w:val="00344EEB"/>
    <w:rsid w:val="003470F7"/>
    <w:rsid w:val="00347D6B"/>
    <w:rsid w:val="00347E34"/>
    <w:rsid w:val="00350899"/>
    <w:rsid w:val="00351BC2"/>
    <w:rsid w:val="00351D3E"/>
    <w:rsid w:val="003522CC"/>
    <w:rsid w:val="003526B4"/>
    <w:rsid w:val="003535E0"/>
    <w:rsid w:val="003549F2"/>
    <w:rsid w:val="00354BDD"/>
    <w:rsid w:val="0035616F"/>
    <w:rsid w:val="003563B1"/>
    <w:rsid w:val="00357154"/>
    <w:rsid w:val="00360442"/>
    <w:rsid w:val="00360F5B"/>
    <w:rsid w:val="003613E1"/>
    <w:rsid w:val="00361829"/>
    <w:rsid w:val="00361A60"/>
    <w:rsid w:val="00362BFC"/>
    <w:rsid w:val="00362FAE"/>
    <w:rsid w:val="003633E9"/>
    <w:rsid w:val="00363883"/>
    <w:rsid w:val="003653F1"/>
    <w:rsid w:val="00365C15"/>
    <w:rsid w:val="00365F0A"/>
    <w:rsid w:val="00367EC3"/>
    <w:rsid w:val="00370716"/>
    <w:rsid w:val="003717BE"/>
    <w:rsid w:val="00371CFC"/>
    <w:rsid w:val="00373C45"/>
    <w:rsid w:val="00373DCE"/>
    <w:rsid w:val="00374DC8"/>
    <w:rsid w:val="00374EDA"/>
    <w:rsid w:val="00375586"/>
    <w:rsid w:val="00375E5C"/>
    <w:rsid w:val="00376496"/>
    <w:rsid w:val="00376828"/>
    <w:rsid w:val="00376F9B"/>
    <w:rsid w:val="003777AF"/>
    <w:rsid w:val="00377F76"/>
    <w:rsid w:val="00380270"/>
    <w:rsid w:val="00380414"/>
    <w:rsid w:val="00381EDB"/>
    <w:rsid w:val="003821DE"/>
    <w:rsid w:val="0038377B"/>
    <w:rsid w:val="003838D5"/>
    <w:rsid w:val="00383CA7"/>
    <w:rsid w:val="00384388"/>
    <w:rsid w:val="00384613"/>
    <w:rsid w:val="003847D6"/>
    <w:rsid w:val="00385256"/>
    <w:rsid w:val="00386331"/>
    <w:rsid w:val="0038781F"/>
    <w:rsid w:val="00387E64"/>
    <w:rsid w:val="003926C9"/>
    <w:rsid w:val="00393422"/>
    <w:rsid w:val="0039416E"/>
    <w:rsid w:val="00394C24"/>
    <w:rsid w:val="00394C8F"/>
    <w:rsid w:val="00395091"/>
    <w:rsid w:val="00395528"/>
    <w:rsid w:val="00396451"/>
    <w:rsid w:val="00396F85"/>
    <w:rsid w:val="00397448"/>
    <w:rsid w:val="003A0212"/>
    <w:rsid w:val="003A2746"/>
    <w:rsid w:val="003A3D3D"/>
    <w:rsid w:val="003A5070"/>
    <w:rsid w:val="003A56B0"/>
    <w:rsid w:val="003B05BC"/>
    <w:rsid w:val="003B0CEC"/>
    <w:rsid w:val="003B156C"/>
    <w:rsid w:val="003B2D19"/>
    <w:rsid w:val="003B42C3"/>
    <w:rsid w:val="003B60FA"/>
    <w:rsid w:val="003B64EA"/>
    <w:rsid w:val="003C290B"/>
    <w:rsid w:val="003C491A"/>
    <w:rsid w:val="003C4DD2"/>
    <w:rsid w:val="003C7549"/>
    <w:rsid w:val="003D10F0"/>
    <w:rsid w:val="003D1841"/>
    <w:rsid w:val="003D1E69"/>
    <w:rsid w:val="003E017B"/>
    <w:rsid w:val="003E154C"/>
    <w:rsid w:val="003E36FF"/>
    <w:rsid w:val="003E44C4"/>
    <w:rsid w:val="003E4653"/>
    <w:rsid w:val="003E4C9C"/>
    <w:rsid w:val="003E5F84"/>
    <w:rsid w:val="003E6C59"/>
    <w:rsid w:val="003E6E66"/>
    <w:rsid w:val="003F08B4"/>
    <w:rsid w:val="003F1302"/>
    <w:rsid w:val="003F1DF8"/>
    <w:rsid w:val="003F291E"/>
    <w:rsid w:val="003F4CA5"/>
    <w:rsid w:val="003F57F1"/>
    <w:rsid w:val="003F5F8E"/>
    <w:rsid w:val="003F6ABB"/>
    <w:rsid w:val="003F73EB"/>
    <w:rsid w:val="00401306"/>
    <w:rsid w:val="00401799"/>
    <w:rsid w:val="00402145"/>
    <w:rsid w:val="0040233A"/>
    <w:rsid w:val="0040362F"/>
    <w:rsid w:val="004044FA"/>
    <w:rsid w:val="00404D80"/>
    <w:rsid w:val="00405393"/>
    <w:rsid w:val="00405EEA"/>
    <w:rsid w:val="00406A9D"/>
    <w:rsid w:val="00406CB3"/>
    <w:rsid w:val="00407107"/>
    <w:rsid w:val="0040764B"/>
    <w:rsid w:val="00407D72"/>
    <w:rsid w:val="00410143"/>
    <w:rsid w:val="0041039A"/>
    <w:rsid w:val="0041046F"/>
    <w:rsid w:val="004105DE"/>
    <w:rsid w:val="00410F2E"/>
    <w:rsid w:val="00412477"/>
    <w:rsid w:val="004132F0"/>
    <w:rsid w:val="00413C87"/>
    <w:rsid w:val="00414368"/>
    <w:rsid w:val="0041654F"/>
    <w:rsid w:val="004214C7"/>
    <w:rsid w:val="00421885"/>
    <w:rsid w:val="004220FE"/>
    <w:rsid w:val="00422304"/>
    <w:rsid w:val="004240C0"/>
    <w:rsid w:val="00426428"/>
    <w:rsid w:val="004307C8"/>
    <w:rsid w:val="00431D96"/>
    <w:rsid w:val="00432D50"/>
    <w:rsid w:val="00432D81"/>
    <w:rsid w:val="00433091"/>
    <w:rsid w:val="004330EC"/>
    <w:rsid w:val="004332C6"/>
    <w:rsid w:val="004368C0"/>
    <w:rsid w:val="0044040E"/>
    <w:rsid w:val="0044050C"/>
    <w:rsid w:val="0044062B"/>
    <w:rsid w:val="00441AF9"/>
    <w:rsid w:val="00442CC6"/>
    <w:rsid w:val="00442D73"/>
    <w:rsid w:val="00444153"/>
    <w:rsid w:val="00444FFC"/>
    <w:rsid w:val="00445426"/>
    <w:rsid w:val="0044560A"/>
    <w:rsid w:val="00446C59"/>
    <w:rsid w:val="00446D75"/>
    <w:rsid w:val="0045367E"/>
    <w:rsid w:val="00454344"/>
    <w:rsid w:val="00454549"/>
    <w:rsid w:val="004555B3"/>
    <w:rsid w:val="004575AE"/>
    <w:rsid w:val="00457719"/>
    <w:rsid w:val="004579EF"/>
    <w:rsid w:val="004601C9"/>
    <w:rsid w:val="004605A5"/>
    <w:rsid w:val="0046230E"/>
    <w:rsid w:val="0046252B"/>
    <w:rsid w:val="00462E98"/>
    <w:rsid w:val="00462FB0"/>
    <w:rsid w:val="004635BE"/>
    <w:rsid w:val="00464949"/>
    <w:rsid w:val="004649C4"/>
    <w:rsid w:val="00465A2D"/>
    <w:rsid w:val="004707AA"/>
    <w:rsid w:val="00470E6C"/>
    <w:rsid w:val="004717E4"/>
    <w:rsid w:val="00472F1D"/>
    <w:rsid w:val="00473F45"/>
    <w:rsid w:val="00475BAC"/>
    <w:rsid w:val="00477586"/>
    <w:rsid w:val="00477C17"/>
    <w:rsid w:val="00480125"/>
    <w:rsid w:val="0048064D"/>
    <w:rsid w:val="00481CF4"/>
    <w:rsid w:val="004831F3"/>
    <w:rsid w:val="00484BE4"/>
    <w:rsid w:val="00485409"/>
    <w:rsid w:val="004855F7"/>
    <w:rsid w:val="00485EE2"/>
    <w:rsid w:val="00486224"/>
    <w:rsid w:val="004870B1"/>
    <w:rsid w:val="00487660"/>
    <w:rsid w:val="00487D91"/>
    <w:rsid w:val="00487EF2"/>
    <w:rsid w:val="00490621"/>
    <w:rsid w:val="00495CB3"/>
    <w:rsid w:val="00497832"/>
    <w:rsid w:val="004A0A36"/>
    <w:rsid w:val="004A0D52"/>
    <w:rsid w:val="004A12A1"/>
    <w:rsid w:val="004A1DE8"/>
    <w:rsid w:val="004A2483"/>
    <w:rsid w:val="004A32B8"/>
    <w:rsid w:val="004A35F5"/>
    <w:rsid w:val="004A4B66"/>
    <w:rsid w:val="004B003C"/>
    <w:rsid w:val="004B189D"/>
    <w:rsid w:val="004B3660"/>
    <w:rsid w:val="004B3727"/>
    <w:rsid w:val="004B3D1C"/>
    <w:rsid w:val="004B4127"/>
    <w:rsid w:val="004B48AD"/>
    <w:rsid w:val="004B49E9"/>
    <w:rsid w:val="004B5ADC"/>
    <w:rsid w:val="004B72E4"/>
    <w:rsid w:val="004B7608"/>
    <w:rsid w:val="004B7615"/>
    <w:rsid w:val="004B7CC5"/>
    <w:rsid w:val="004B7E0F"/>
    <w:rsid w:val="004C1861"/>
    <w:rsid w:val="004C37CF"/>
    <w:rsid w:val="004C3EEB"/>
    <w:rsid w:val="004C5199"/>
    <w:rsid w:val="004C52FC"/>
    <w:rsid w:val="004C57FE"/>
    <w:rsid w:val="004C5A46"/>
    <w:rsid w:val="004C6799"/>
    <w:rsid w:val="004C69B9"/>
    <w:rsid w:val="004C70FF"/>
    <w:rsid w:val="004D0458"/>
    <w:rsid w:val="004D0ADB"/>
    <w:rsid w:val="004D0BAA"/>
    <w:rsid w:val="004D1B87"/>
    <w:rsid w:val="004D3D50"/>
    <w:rsid w:val="004D3F25"/>
    <w:rsid w:val="004D41B3"/>
    <w:rsid w:val="004D42CC"/>
    <w:rsid w:val="004D5CCF"/>
    <w:rsid w:val="004E09A2"/>
    <w:rsid w:val="004E0EC2"/>
    <w:rsid w:val="004E185D"/>
    <w:rsid w:val="004E2C82"/>
    <w:rsid w:val="004E2F92"/>
    <w:rsid w:val="004E363C"/>
    <w:rsid w:val="004E5615"/>
    <w:rsid w:val="004E594D"/>
    <w:rsid w:val="004E5C26"/>
    <w:rsid w:val="004E6693"/>
    <w:rsid w:val="004E779F"/>
    <w:rsid w:val="004E7CDB"/>
    <w:rsid w:val="004F0FE2"/>
    <w:rsid w:val="004F3153"/>
    <w:rsid w:val="004F3C8A"/>
    <w:rsid w:val="004F420A"/>
    <w:rsid w:val="004F46A5"/>
    <w:rsid w:val="004F5294"/>
    <w:rsid w:val="005001F5"/>
    <w:rsid w:val="00500FAE"/>
    <w:rsid w:val="005027D4"/>
    <w:rsid w:val="00502C8A"/>
    <w:rsid w:val="00502D3A"/>
    <w:rsid w:val="00503728"/>
    <w:rsid w:val="005043DE"/>
    <w:rsid w:val="005047CE"/>
    <w:rsid w:val="00505656"/>
    <w:rsid w:val="00505AC7"/>
    <w:rsid w:val="00506FF5"/>
    <w:rsid w:val="00507255"/>
    <w:rsid w:val="0050782F"/>
    <w:rsid w:val="00510353"/>
    <w:rsid w:val="005109F7"/>
    <w:rsid w:val="005113BD"/>
    <w:rsid w:val="005116BA"/>
    <w:rsid w:val="0051446B"/>
    <w:rsid w:val="00515B9C"/>
    <w:rsid w:val="00516114"/>
    <w:rsid w:val="00516A92"/>
    <w:rsid w:val="0051717B"/>
    <w:rsid w:val="005175F9"/>
    <w:rsid w:val="0052011E"/>
    <w:rsid w:val="00521972"/>
    <w:rsid w:val="0052232A"/>
    <w:rsid w:val="00523930"/>
    <w:rsid w:val="00524276"/>
    <w:rsid w:val="00525373"/>
    <w:rsid w:val="00525FEF"/>
    <w:rsid w:val="005263BF"/>
    <w:rsid w:val="005279E2"/>
    <w:rsid w:val="00533196"/>
    <w:rsid w:val="00533D34"/>
    <w:rsid w:val="00534B73"/>
    <w:rsid w:val="00536991"/>
    <w:rsid w:val="00537180"/>
    <w:rsid w:val="00537500"/>
    <w:rsid w:val="00540316"/>
    <w:rsid w:val="0054065A"/>
    <w:rsid w:val="00540B93"/>
    <w:rsid w:val="00540EB0"/>
    <w:rsid w:val="00541004"/>
    <w:rsid w:val="00541053"/>
    <w:rsid w:val="00542949"/>
    <w:rsid w:val="00542CDF"/>
    <w:rsid w:val="00542CF0"/>
    <w:rsid w:val="00544671"/>
    <w:rsid w:val="00545DDA"/>
    <w:rsid w:val="00546EEA"/>
    <w:rsid w:val="00547737"/>
    <w:rsid w:val="005501FD"/>
    <w:rsid w:val="00550D80"/>
    <w:rsid w:val="00552DC2"/>
    <w:rsid w:val="00552DEA"/>
    <w:rsid w:val="00556151"/>
    <w:rsid w:val="00556357"/>
    <w:rsid w:val="005563D1"/>
    <w:rsid w:val="00556B11"/>
    <w:rsid w:val="00556D35"/>
    <w:rsid w:val="00560B23"/>
    <w:rsid w:val="005625F8"/>
    <w:rsid w:val="00562E39"/>
    <w:rsid w:val="0056489B"/>
    <w:rsid w:val="00564BF9"/>
    <w:rsid w:val="00565B7B"/>
    <w:rsid w:val="00566B4E"/>
    <w:rsid w:val="00566BF8"/>
    <w:rsid w:val="00566EE0"/>
    <w:rsid w:val="005674EA"/>
    <w:rsid w:val="00567719"/>
    <w:rsid w:val="005677B2"/>
    <w:rsid w:val="005677CF"/>
    <w:rsid w:val="0057069C"/>
    <w:rsid w:val="00580806"/>
    <w:rsid w:val="005808D7"/>
    <w:rsid w:val="00580BF7"/>
    <w:rsid w:val="00581F8C"/>
    <w:rsid w:val="005823DC"/>
    <w:rsid w:val="0058255D"/>
    <w:rsid w:val="00583234"/>
    <w:rsid w:val="00584C1C"/>
    <w:rsid w:val="00584C83"/>
    <w:rsid w:val="00585198"/>
    <w:rsid w:val="00586426"/>
    <w:rsid w:val="00586A2A"/>
    <w:rsid w:val="00587FFD"/>
    <w:rsid w:val="00590CF2"/>
    <w:rsid w:val="00592A42"/>
    <w:rsid w:val="005937F3"/>
    <w:rsid w:val="0059392D"/>
    <w:rsid w:val="0059579B"/>
    <w:rsid w:val="00596975"/>
    <w:rsid w:val="00597865"/>
    <w:rsid w:val="005A0E0A"/>
    <w:rsid w:val="005A1A11"/>
    <w:rsid w:val="005A2016"/>
    <w:rsid w:val="005A2EA2"/>
    <w:rsid w:val="005A3E69"/>
    <w:rsid w:val="005A559E"/>
    <w:rsid w:val="005A5A54"/>
    <w:rsid w:val="005A6C6C"/>
    <w:rsid w:val="005A74D4"/>
    <w:rsid w:val="005A7F48"/>
    <w:rsid w:val="005B1402"/>
    <w:rsid w:val="005B151E"/>
    <w:rsid w:val="005B15A3"/>
    <w:rsid w:val="005B178B"/>
    <w:rsid w:val="005B1C57"/>
    <w:rsid w:val="005B1F00"/>
    <w:rsid w:val="005B324E"/>
    <w:rsid w:val="005B3D9B"/>
    <w:rsid w:val="005B3F1D"/>
    <w:rsid w:val="005B4C41"/>
    <w:rsid w:val="005B55B2"/>
    <w:rsid w:val="005B6F08"/>
    <w:rsid w:val="005C103D"/>
    <w:rsid w:val="005C35F6"/>
    <w:rsid w:val="005C37F8"/>
    <w:rsid w:val="005C3EBE"/>
    <w:rsid w:val="005C564A"/>
    <w:rsid w:val="005C5B8F"/>
    <w:rsid w:val="005C5CFE"/>
    <w:rsid w:val="005C5D43"/>
    <w:rsid w:val="005C6048"/>
    <w:rsid w:val="005C61E3"/>
    <w:rsid w:val="005C726A"/>
    <w:rsid w:val="005C740A"/>
    <w:rsid w:val="005C74D0"/>
    <w:rsid w:val="005C7E74"/>
    <w:rsid w:val="005D2AD8"/>
    <w:rsid w:val="005D2D03"/>
    <w:rsid w:val="005D4926"/>
    <w:rsid w:val="005D7816"/>
    <w:rsid w:val="005D798C"/>
    <w:rsid w:val="005E1F3B"/>
    <w:rsid w:val="005E2119"/>
    <w:rsid w:val="005E49A3"/>
    <w:rsid w:val="005E6BFC"/>
    <w:rsid w:val="005E6D29"/>
    <w:rsid w:val="005F30D8"/>
    <w:rsid w:val="005F33F4"/>
    <w:rsid w:val="005F347B"/>
    <w:rsid w:val="005F37A7"/>
    <w:rsid w:val="005F3A1F"/>
    <w:rsid w:val="005F5297"/>
    <w:rsid w:val="005F5C7F"/>
    <w:rsid w:val="005F6308"/>
    <w:rsid w:val="005F7F4A"/>
    <w:rsid w:val="00600D86"/>
    <w:rsid w:val="006023B5"/>
    <w:rsid w:val="00603B02"/>
    <w:rsid w:val="00604285"/>
    <w:rsid w:val="0060456C"/>
    <w:rsid w:val="006046E5"/>
    <w:rsid w:val="00607679"/>
    <w:rsid w:val="00610BA7"/>
    <w:rsid w:val="00610E0B"/>
    <w:rsid w:val="00612F49"/>
    <w:rsid w:val="0061417D"/>
    <w:rsid w:val="0061547A"/>
    <w:rsid w:val="00616D1C"/>
    <w:rsid w:val="00616EB2"/>
    <w:rsid w:val="00616FD4"/>
    <w:rsid w:val="00617416"/>
    <w:rsid w:val="0062417D"/>
    <w:rsid w:val="00625AFB"/>
    <w:rsid w:val="00626CC6"/>
    <w:rsid w:val="0062722E"/>
    <w:rsid w:val="00634169"/>
    <w:rsid w:val="00635E25"/>
    <w:rsid w:val="00635FBA"/>
    <w:rsid w:val="00637446"/>
    <w:rsid w:val="006416E6"/>
    <w:rsid w:val="00641F10"/>
    <w:rsid w:val="006426A8"/>
    <w:rsid w:val="00642971"/>
    <w:rsid w:val="00643D3F"/>
    <w:rsid w:val="00646AAA"/>
    <w:rsid w:val="00647082"/>
    <w:rsid w:val="006475EE"/>
    <w:rsid w:val="00650160"/>
    <w:rsid w:val="0065076A"/>
    <w:rsid w:val="00650F2D"/>
    <w:rsid w:val="00652D87"/>
    <w:rsid w:val="00653742"/>
    <w:rsid w:val="00656464"/>
    <w:rsid w:val="006568A2"/>
    <w:rsid w:val="006568D7"/>
    <w:rsid w:val="00656CAE"/>
    <w:rsid w:val="00657C8F"/>
    <w:rsid w:val="00663BF8"/>
    <w:rsid w:val="00664119"/>
    <w:rsid w:val="00666A34"/>
    <w:rsid w:val="00666B4C"/>
    <w:rsid w:val="0066708D"/>
    <w:rsid w:val="0066722F"/>
    <w:rsid w:val="00667558"/>
    <w:rsid w:val="0066792B"/>
    <w:rsid w:val="0066798C"/>
    <w:rsid w:val="00667B2A"/>
    <w:rsid w:val="00670779"/>
    <w:rsid w:val="00673107"/>
    <w:rsid w:val="0068012A"/>
    <w:rsid w:val="00680E1B"/>
    <w:rsid w:val="00680E2F"/>
    <w:rsid w:val="00681790"/>
    <w:rsid w:val="0068304D"/>
    <w:rsid w:val="00683C15"/>
    <w:rsid w:val="00683E0C"/>
    <w:rsid w:val="00683FE9"/>
    <w:rsid w:val="00685181"/>
    <w:rsid w:val="006856EF"/>
    <w:rsid w:val="00685CB8"/>
    <w:rsid w:val="006873E2"/>
    <w:rsid w:val="00690848"/>
    <w:rsid w:val="006913DB"/>
    <w:rsid w:val="00691F22"/>
    <w:rsid w:val="0069212E"/>
    <w:rsid w:val="006927C1"/>
    <w:rsid w:val="00692CFB"/>
    <w:rsid w:val="00693A34"/>
    <w:rsid w:val="00693B3A"/>
    <w:rsid w:val="00694A80"/>
    <w:rsid w:val="00696431"/>
    <w:rsid w:val="00696F86"/>
    <w:rsid w:val="006A3433"/>
    <w:rsid w:val="006A4770"/>
    <w:rsid w:val="006A4FB4"/>
    <w:rsid w:val="006A534B"/>
    <w:rsid w:val="006A576D"/>
    <w:rsid w:val="006A68F1"/>
    <w:rsid w:val="006B00DC"/>
    <w:rsid w:val="006B098C"/>
    <w:rsid w:val="006B0FFF"/>
    <w:rsid w:val="006B16FF"/>
    <w:rsid w:val="006B1B1D"/>
    <w:rsid w:val="006B1BAB"/>
    <w:rsid w:val="006B285C"/>
    <w:rsid w:val="006B2902"/>
    <w:rsid w:val="006B2E88"/>
    <w:rsid w:val="006B3F6F"/>
    <w:rsid w:val="006B4295"/>
    <w:rsid w:val="006B54AF"/>
    <w:rsid w:val="006B66CC"/>
    <w:rsid w:val="006B7D34"/>
    <w:rsid w:val="006C2854"/>
    <w:rsid w:val="006C2923"/>
    <w:rsid w:val="006C3311"/>
    <w:rsid w:val="006C3BCE"/>
    <w:rsid w:val="006C3E06"/>
    <w:rsid w:val="006C3F4E"/>
    <w:rsid w:val="006C46C9"/>
    <w:rsid w:val="006C4DF3"/>
    <w:rsid w:val="006C5577"/>
    <w:rsid w:val="006C5A62"/>
    <w:rsid w:val="006C5BA9"/>
    <w:rsid w:val="006C5FB9"/>
    <w:rsid w:val="006C6CDD"/>
    <w:rsid w:val="006C6F6B"/>
    <w:rsid w:val="006C7301"/>
    <w:rsid w:val="006C793F"/>
    <w:rsid w:val="006D0217"/>
    <w:rsid w:val="006D5119"/>
    <w:rsid w:val="006D77B1"/>
    <w:rsid w:val="006E008F"/>
    <w:rsid w:val="006E1D37"/>
    <w:rsid w:val="006E2A96"/>
    <w:rsid w:val="006E3CC9"/>
    <w:rsid w:val="006E46D9"/>
    <w:rsid w:val="006E55E3"/>
    <w:rsid w:val="006E563C"/>
    <w:rsid w:val="006E5648"/>
    <w:rsid w:val="006E6446"/>
    <w:rsid w:val="006E70D0"/>
    <w:rsid w:val="006F0AFA"/>
    <w:rsid w:val="006F0E2C"/>
    <w:rsid w:val="006F1F80"/>
    <w:rsid w:val="006F33F2"/>
    <w:rsid w:val="006F5264"/>
    <w:rsid w:val="006F58FF"/>
    <w:rsid w:val="006F6CAA"/>
    <w:rsid w:val="006F7B38"/>
    <w:rsid w:val="00700097"/>
    <w:rsid w:val="0070030D"/>
    <w:rsid w:val="00700883"/>
    <w:rsid w:val="00700BD8"/>
    <w:rsid w:val="00700F4A"/>
    <w:rsid w:val="00702D60"/>
    <w:rsid w:val="00702F14"/>
    <w:rsid w:val="0070302C"/>
    <w:rsid w:val="00703098"/>
    <w:rsid w:val="0070429A"/>
    <w:rsid w:val="00705055"/>
    <w:rsid w:val="00705763"/>
    <w:rsid w:val="00706370"/>
    <w:rsid w:val="00706C55"/>
    <w:rsid w:val="0071105F"/>
    <w:rsid w:val="00711215"/>
    <w:rsid w:val="0071139A"/>
    <w:rsid w:val="0071149B"/>
    <w:rsid w:val="00712045"/>
    <w:rsid w:val="00713CC7"/>
    <w:rsid w:val="00713D30"/>
    <w:rsid w:val="00715C85"/>
    <w:rsid w:val="00715FA6"/>
    <w:rsid w:val="00716785"/>
    <w:rsid w:val="007168E1"/>
    <w:rsid w:val="0072020B"/>
    <w:rsid w:val="007213D7"/>
    <w:rsid w:val="007216E2"/>
    <w:rsid w:val="00721CDC"/>
    <w:rsid w:val="0072221F"/>
    <w:rsid w:val="0072334E"/>
    <w:rsid w:val="0072356B"/>
    <w:rsid w:val="007242C1"/>
    <w:rsid w:val="00725A2F"/>
    <w:rsid w:val="0072665F"/>
    <w:rsid w:val="00727D3F"/>
    <w:rsid w:val="0073070A"/>
    <w:rsid w:val="007311C8"/>
    <w:rsid w:val="00731352"/>
    <w:rsid w:val="007314A8"/>
    <w:rsid w:val="00732936"/>
    <w:rsid w:val="00734E48"/>
    <w:rsid w:val="0073573A"/>
    <w:rsid w:val="00737311"/>
    <w:rsid w:val="007410B2"/>
    <w:rsid w:val="00741D87"/>
    <w:rsid w:val="00742DD5"/>
    <w:rsid w:val="00743236"/>
    <w:rsid w:val="00745800"/>
    <w:rsid w:val="0074797A"/>
    <w:rsid w:val="00750D09"/>
    <w:rsid w:val="007520D1"/>
    <w:rsid w:val="00752B33"/>
    <w:rsid w:val="00752E8D"/>
    <w:rsid w:val="007565ED"/>
    <w:rsid w:val="00757180"/>
    <w:rsid w:val="00757B96"/>
    <w:rsid w:val="00757E80"/>
    <w:rsid w:val="007601FD"/>
    <w:rsid w:val="00762780"/>
    <w:rsid w:val="00762E44"/>
    <w:rsid w:val="00763193"/>
    <w:rsid w:val="00763252"/>
    <w:rsid w:val="0076338C"/>
    <w:rsid w:val="00763910"/>
    <w:rsid w:val="00764E9B"/>
    <w:rsid w:val="00765611"/>
    <w:rsid w:val="00765BB3"/>
    <w:rsid w:val="00770D17"/>
    <w:rsid w:val="00771BB5"/>
    <w:rsid w:val="00773465"/>
    <w:rsid w:val="00773862"/>
    <w:rsid w:val="0077434F"/>
    <w:rsid w:val="007759C2"/>
    <w:rsid w:val="00776194"/>
    <w:rsid w:val="007762E8"/>
    <w:rsid w:val="00776A94"/>
    <w:rsid w:val="007772D4"/>
    <w:rsid w:val="00777477"/>
    <w:rsid w:val="00777947"/>
    <w:rsid w:val="00777B07"/>
    <w:rsid w:val="00777B1C"/>
    <w:rsid w:val="00777EFF"/>
    <w:rsid w:val="00782FF0"/>
    <w:rsid w:val="00783D95"/>
    <w:rsid w:val="00783F1A"/>
    <w:rsid w:val="0078439F"/>
    <w:rsid w:val="0078524A"/>
    <w:rsid w:val="00785605"/>
    <w:rsid w:val="007873FC"/>
    <w:rsid w:val="00787F1F"/>
    <w:rsid w:val="0079029A"/>
    <w:rsid w:val="007906DC"/>
    <w:rsid w:val="0079107F"/>
    <w:rsid w:val="00792AD9"/>
    <w:rsid w:val="00793A57"/>
    <w:rsid w:val="00793B81"/>
    <w:rsid w:val="00794E32"/>
    <w:rsid w:val="007963DB"/>
    <w:rsid w:val="00796F1B"/>
    <w:rsid w:val="00797A4E"/>
    <w:rsid w:val="00797C4E"/>
    <w:rsid w:val="007A0307"/>
    <w:rsid w:val="007A043A"/>
    <w:rsid w:val="007A1CBE"/>
    <w:rsid w:val="007A5430"/>
    <w:rsid w:val="007A6E0B"/>
    <w:rsid w:val="007A70B4"/>
    <w:rsid w:val="007B048E"/>
    <w:rsid w:val="007B1A3D"/>
    <w:rsid w:val="007B20B8"/>
    <w:rsid w:val="007B297F"/>
    <w:rsid w:val="007B2B65"/>
    <w:rsid w:val="007B4062"/>
    <w:rsid w:val="007B51CB"/>
    <w:rsid w:val="007B5DEF"/>
    <w:rsid w:val="007B5F91"/>
    <w:rsid w:val="007B62C7"/>
    <w:rsid w:val="007B6697"/>
    <w:rsid w:val="007B7A3D"/>
    <w:rsid w:val="007B7E0C"/>
    <w:rsid w:val="007C12D4"/>
    <w:rsid w:val="007C1B7F"/>
    <w:rsid w:val="007C1C9C"/>
    <w:rsid w:val="007C29A3"/>
    <w:rsid w:val="007C2CA3"/>
    <w:rsid w:val="007C3230"/>
    <w:rsid w:val="007C3971"/>
    <w:rsid w:val="007C47D1"/>
    <w:rsid w:val="007C4879"/>
    <w:rsid w:val="007C4FE9"/>
    <w:rsid w:val="007C5779"/>
    <w:rsid w:val="007C60DB"/>
    <w:rsid w:val="007C6147"/>
    <w:rsid w:val="007C68AF"/>
    <w:rsid w:val="007C6C85"/>
    <w:rsid w:val="007C72FF"/>
    <w:rsid w:val="007C795E"/>
    <w:rsid w:val="007D0A0C"/>
    <w:rsid w:val="007D2884"/>
    <w:rsid w:val="007D34F2"/>
    <w:rsid w:val="007D3E13"/>
    <w:rsid w:val="007D42D4"/>
    <w:rsid w:val="007D4A85"/>
    <w:rsid w:val="007D4C90"/>
    <w:rsid w:val="007D5176"/>
    <w:rsid w:val="007D602B"/>
    <w:rsid w:val="007D7074"/>
    <w:rsid w:val="007E0F13"/>
    <w:rsid w:val="007E1294"/>
    <w:rsid w:val="007E19D6"/>
    <w:rsid w:val="007E2F7C"/>
    <w:rsid w:val="007E3986"/>
    <w:rsid w:val="007E5A5F"/>
    <w:rsid w:val="007E67E0"/>
    <w:rsid w:val="007E6B04"/>
    <w:rsid w:val="007E7780"/>
    <w:rsid w:val="007E7FE8"/>
    <w:rsid w:val="007F08EE"/>
    <w:rsid w:val="007F1947"/>
    <w:rsid w:val="007F19E9"/>
    <w:rsid w:val="007F2CEA"/>
    <w:rsid w:val="007F32E7"/>
    <w:rsid w:val="007F37B4"/>
    <w:rsid w:val="007F4046"/>
    <w:rsid w:val="007F7DA1"/>
    <w:rsid w:val="007F7FE6"/>
    <w:rsid w:val="00801F47"/>
    <w:rsid w:val="00801F5B"/>
    <w:rsid w:val="008037ED"/>
    <w:rsid w:val="00803ED3"/>
    <w:rsid w:val="0080407B"/>
    <w:rsid w:val="00804416"/>
    <w:rsid w:val="00805157"/>
    <w:rsid w:val="00805702"/>
    <w:rsid w:val="00805BAE"/>
    <w:rsid w:val="0080686A"/>
    <w:rsid w:val="00806F20"/>
    <w:rsid w:val="0080771F"/>
    <w:rsid w:val="00810010"/>
    <w:rsid w:val="008108D3"/>
    <w:rsid w:val="00810D6B"/>
    <w:rsid w:val="00810EC0"/>
    <w:rsid w:val="00811580"/>
    <w:rsid w:val="00811840"/>
    <w:rsid w:val="00811B41"/>
    <w:rsid w:val="0081389D"/>
    <w:rsid w:val="00813A6F"/>
    <w:rsid w:val="0081484F"/>
    <w:rsid w:val="008148FE"/>
    <w:rsid w:val="00816A3D"/>
    <w:rsid w:val="00816B4F"/>
    <w:rsid w:val="00817506"/>
    <w:rsid w:val="00820BB0"/>
    <w:rsid w:val="00820E9A"/>
    <w:rsid w:val="008212A9"/>
    <w:rsid w:val="00821FB3"/>
    <w:rsid w:val="008223A7"/>
    <w:rsid w:val="00822B86"/>
    <w:rsid w:val="00823C06"/>
    <w:rsid w:val="0082546F"/>
    <w:rsid w:val="00825AB3"/>
    <w:rsid w:val="00827110"/>
    <w:rsid w:val="008275B9"/>
    <w:rsid w:val="00831362"/>
    <w:rsid w:val="00831547"/>
    <w:rsid w:val="00831B6F"/>
    <w:rsid w:val="00831D42"/>
    <w:rsid w:val="00832700"/>
    <w:rsid w:val="00832796"/>
    <w:rsid w:val="00832C60"/>
    <w:rsid w:val="0083403C"/>
    <w:rsid w:val="008343B3"/>
    <w:rsid w:val="00837CF4"/>
    <w:rsid w:val="0084386D"/>
    <w:rsid w:val="00843C5A"/>
    <w:rsid w:val="00844799"/>
    <w:rsid w:val="00845A06"/>
    <w:rsid w:val="00846F6D"/>
    <w:rsid w:val="0084729A"/>
    <w:rsid w:val="008475B5"/>
    <w:rsid w:val="0085085C"/>
    <w:rsid w:val="00851F04"/>
    <w:rsid w:val="00852A6E"/>
    <w:rsid w:val="0085307F"/>
    <w:rsid w:val="008533C4"/>
    <w:rsid w:val="008554F5"/>
    <w:rsid w:val="00855936"/>
    <w:rsid w:val="008573EF"/>
    <w:rsid w:val="0086108F"/>
    <w:rsid w:val="00863727"/>
    <w:rsid w:val="0086385A"/>
    <w:rsid w:val="00863B00"/>
    <w:rsid w:val="0086422C"/>
    <w:rsid w:val="00865553"/>
    <w:rsid w:val="0086699B"/>
    <w:rsid w:val="0086755B"/>
    <w:rsid w:val="0087085F"/>
    <w:rsid w:val="00870AC5"/>
    <w:rsid w:val="00870CAD"/>
    <w:rsid w:val="00871C79"/>
    <w:rsid w:val="00872E8A"/>
    <w:rsid w:val="00873605"/>
    <w:rsid w:val="008752EA"/>
    <w:rsid w:val="0087596C"/>
    <w:rsid w:val="00875F32"/>
    <w:rsid w:val="008764D0"/>
    <w:rsid w:val="00877743"/>
    <w:rsid w:val="00880152"/>
    <w:rsid w:val="0088053E"/>
    <w:rsid w:val="0088225C"/>
    <w:rsid w:val="008823CD"/>
    <w:rsid w:val="00882931"/>
    <w:rsid w:val="00882B19"/>
    <w:rsid w:val="00884572"/>
    <w:rsid w:val="00885C51"/>
    <w:rsid w:val="00886375"/>
    <w:rsid w:val="00886651"/>
    <w:rsid w:val="008869DD"/>
    <w:rsid w:val="00887BA4"/>
    <w:rsid w:val="008904E6"/>
    <w:rsid w:val="008910FD"/>
    <w:rsid w:val="008915BA"/>
    <w:rsid w:val="0089195A"/>
    <w:rsid w:val="00892730"/>
    <w:rsid w:val="008943E4"/>
    <w:rsid w:val="008950AF"/>
    <w:rsid w:val="00895120"/>
    <w:rsid w:val="008952C7"/>
    <w:rsid w:val="00895F3E"/>
    <w:rsid w:val="00895F4C"/>
    <w:rsid w:val="0089644C"/>
    <w:rsid w:val="00896A1E"/>
    <w:rsid w:val="008A1082"/>
    <w:rsid w:val="008A15B7"/>
    <w:rsid w:val="008A270E"/>
    <w:rsid w:val="008A3806"/>
    <w:rsid w:val="008A4388"/>
    <w:rsid w:val="008A58B2"/>
    <w:rsid w:val="008A7C14"/>
    <w:rsid w:val="008B08A9"/>
    <w:rsid w:val="008B0C26"/>
    <w:rsid w:val="008B2510"/>
    <w:rsid w:val="008B2773"/>
    <w:rsid w:val="008B4F47"/>
    <w:rsid w:val="008B585F"/>
    <w:rsid w:val="008B5BDB"/>
    <w:rsid w:val="008C3462"/>
    <w:rsid w:val="008C3483"/>
    <w:rsid w:val="008C35FC"/>
    <w:rsid w:val="008C3E28"/>
    <w:rsid w:val="008C3EEE"/>
    <w:rsid w:val="008C4A62"/>
    <w:rsid w:val="008C5483"/>
    <w:rsid w:val="008C5FD3"/>
    <w:rsid w:val="008C62A0"/>
    <w:rsid w:val="008C7E69"/>
    <w:rsid w:val="008D071D"/>
    <w:rsid w:val="008D07B1"/>
    <w:rsid w:val="008D0D3A"/>
    <w:rsid w:val="008D1347"/>
    <w:rsid w:val="008D1771"/>
    <w:rsid w:val="008D2FBA"/>
    <w:rsid w:val="008D319D"/>
    <w:rsid w:val="008D39EA"/>
    <w:rsid w:val="008D3BAE"/>
    <w:rsid w:val="008D4162"/>
    <w:rsid w:val="008D4F88"/>
    <w:rsid w:val="008D5543"/>
    <w:rsid w:val="008D58AF"/>
    <w:rsid w:val="008D6405"/>
    <w:rsid w:val="008E1A76"/>
    <w:rsid w:val="008E1CE1"/>
    <w:rsid w:val="008E1F48"/>
    <w:rsid w:val="008E4294"/>
    <w:rsid w:val="008E46D0"/>
    <w:rsid w:val="008E523B"/>
    <w:rsid w:val="008E53EC"/>
    <w:rsid w:val="008E576E"/>
    <w:rsid w:val="008E5CB4"/>
    <w:rsid w:val="008E6320"/>
    <w:rsid w:val="008E6F4A"/>
    <w:rsid w:val="008E7035"/>
    <w:rsid w:val="008E757B"/>
    <w:rsid w:val="008F025F"/>
    <w:rsid w:val="008F060F"/>
    <w:rsid w:val="008F124F"/>
    <w:rsid w:val="008F20DC"/>
    <w:rsid w:val="008F3ACA"/>
    <w:rsid w:val="008F4E27"/>
    <w:rsid w:val="008F56F3"/>
    <w:rsid w:val="008F5D69"/>
    <w:rsid w:val="008F68B6"/>
    <w:rsid w:val="008F7694"/>
    <w:rsid w:val="008F7D27"/>
    <w:rsid w:val="00900480"/>
    <w:rsid w:val="00900C20"/>
    <w:rsid w:val="009018BE"/>
    <w:rsid w:val="00902474"/>
    <w:rsid w:val="009025B0"/>
    <w:rsid w:val="009029E1"/>
    <w:rsid w:val="00902A8A"/>
    <w:rsid w:val="009033F8"/>
    <w:rsid w:val="00903CB7"/>
    <w:rsid w:val="0090411C"/>
    <w:rsid w:val="00904A92"/>
    <w:rsid w:val="0090583F"/>
    <w:rsid w:val="0090706F"/>
    <w:rsid w:val="00911813"/>
    <w:rsid w:val="009119EF"/>
    <w:rsid w:val="00912488"/>
    <w:rsid w:val="0091329F"/>
    <w:rsid w:val="00913577"/>
    <w:rsid w:val="009138C5"/>
    <w:rsid w:val="00913AA5"/>
    <w:rsid w:val="00913E45"/>
    <w:rsid w:val="009140DB"/>
    <w:rsid w:val="0091425C"/>
    <w:rsid w:val="009143EF"/>
    <w:rsid w:val="0091464B"/>
    <w:rsid w:val="00914A92"/>
    <w:rsid w:val="00916A54"/>
    <w:rsid w:val="00917274"/>
    <w:rsid w:val="009173BF"/>
    <w:rsid w:val="009211C3"/>
    <w:rsid w:val="0092277D"/>
    <w:rsid w:val="00922B69"/>
    <w:rsid w:val="00923276"/>
    <w:rsid w:val="0092361F"/>
    <w:rsid w:val="00925885"/>
    <w:rsid w:val="00927D34"/>
    <w:rsid w:val="0093181C"/>
    <w:rsid w:val="009344CE"/>
    <w:rsid w:val="009353BF"/>
    <w:rsid w:val="00937DDD"/>
    <w:rsid w:val="00937EA6"/>
    <w:rsid w:val="00941588"/>
    <w:rsid w:val="00941ED8"/>
    <w:rsid w:val="00942125"/>
    <w:rsid w:val="00942F33"/>
    <w:rsid w:val="0094303A"/>
    <w:rsid w:val="009454B2"/>
    <w:rsid w:val="00946768"/>
    <w:rsid w:val="009467EF"/>
    <w:rsid w:val="009531F9"/>
    <w:rsid w:val="00954AA3"/>
    <w:rsid w:val="0095639F"/>
    <w:rsid w:val="00956C03"/>
    <w:rsid w:val="00957B3E"/>
    <w:rsid w:val="00957D78"/>
    <w:rsid w:val="00960296"/>
    <w:rsid w:val="00961AA4"/>
    <w:rsid w:val="00964B88"/>
    <w:rsid w:val="00964C1E"/>
    <w:rsid w:val="00964C92"/>
    <w:rsid w:val="00965284"/>
    <w:rsid w:val="00966498"/>
    <w:rsid w:val="00966D34"/>
    <w:rsid w:val="00966FB5"/>
    <w:rsid w:val="00971344"/>
    <w:rsid w:val="009723AB"/>
    <w:rsid w:val="00972C5F"/>
    <w:rsid w:val="0097416B"/>
    <w:rsid w:val="00974F8E"/>
    <w:rsid w:val="00974FC1"/>
    <w:rsid w:val="009755B9"/>
    <w:rsid w:val="00976B00"/>
    <w:rsid w:val="00976B73"/>
    <w:rsid w:val="009775A9"/>
    <w:rsid w:val="0098378B"/>
    <w:rsid w:val="009858BF"/>
    <w:rsid w:val="009867F7"/>
    <w:rsid w:val="00986FB8"/>
    <w:rsid w:val="00991585"/>
    <w:rsid w:val="00992576"/>
    <w:rsid w:val="0099412A"/>
    <w:rsid w:val="009947C7"/>
    <w:rsid w:val="0099510D"/>
    <w:rsid w:val="00995E70"/>
    <w:rsid w:val="00996823"/>
    <w:rsid w:val="00996855"/>
    <w:rsid w:val="00997EC4"/>
    <w:rsid w:val="009A0C96"/>
    <w:rsid w:val="009A261E"/>
    <w:rsid w:val="009A2A4B"/>
    <w:rsid w:val="009A2F0F"/>
    <w:rsid w:val="009A308C"/>
    <w:rsid w:val="009A633D"/>
    <w:rsid w:val="009A6849"/>
    <w:rsid w:val="009A77D6"/>
    <w:rsid w:val="009B1DB4"/>
    <w:rsid w:val="009B23D9"/>
    <w:rsid w:val="009B5005"/>
    <w:rsid w:val="009B5B1D"/>
    <w:rsid w:val="009B5F3E"/>
    <w:rsid w:val="009B6654"/>
    <w:rsid w:val="009B69AC"/>
    <w:rsid w:val="009B79FA"/>
    <w:rsid w:val="009B7AE9"/>
    <w:rsid w:val="009C0AAB"/>
    <w:rsid w:val="009C12B7"/>
    <w:rsid w:val="009C1650"/>
    <w:rsid w:val="009C1AC8"/>
    <w:rsid w:val="009C2A9C"/>
    <w:rsid w:val="009C33B3"/>
    <w:rsid w:val="009C35CD"/>
    <w:rsid w:val="009C42B7"/>
    <w:rsid w:val="009C5269"/>
    <w:rsid w:val="009C567D"/>
    <w:rsid w:val="009C5A64"/>
    <w:rsid w:val="009C6306"/>
    <w:rsid w:val="009C6801"/>
    <w:rsid w:val="009C6A89"/>
    <w:rsid w:val="009C6D9F"/>
    <w:rsid w:val="009C71AC"/>
    <w:rsid w:val="009C7419"/>
    <w:rsid w:val="009C77A9"/>
    <w:rsid w:val="009D0643"/>
    <w:rsid w:val="009D07AE"/>
    <w:rsid w:val="009D190A"/>
    <w:rsid w:val="009D251F"/>
    <w:rsid w:val="009D292A"/>
    <w:rsid w:val="009D3B5B"/>
    <w:rsid w:val="009D4D73"/>
    <w:rsid w:val="009D77B2"/>
    <w:rsid w:val="009D7C6F"/>
    <w:rsid w:val="009E1108"/>
    <w:rsid w:val="009E1607"/>
    <w:rsid w:val="009E3218"/>
    <w:rsid w:val="009E4A7C"/>
    <w:rsid w:val="009E5668"/>
    <w:rsid w:val="009E648E"/>
    <w:rsid w:val="009E6DB0"/>
    <w:rsid w:val="009E7B3C"/>
    <w:rsid w:val="009F01E7"/>
    <w:rsid w:val="009F18DE"/>
    <w:rsid w:val="009F22B0"/>
    <w:rsid w:val="009F5ADC"/>
    <w:rsid w:val="009F634A"/>
    <w:rsid w:val="009F63A1"/>
    <w:rsid w:val="009F6AFE"/>
    <w:rsid w:val="009F70B4"/>
    <w:rsid w:val="009F73E3"/>
    <w:rsid w:val="009F7C80"/>
    <w:rsid w:val="00A006FB"/>
    <w:rsid w:val="00A00D93"/>
    <w:rsid w:val="00A03DA7"/>
    <w:rsid w:val="00A04812"/>
    <w:rsid w:val="00A05A21"/>
    <w:rsid w:val="00A07BD2"/>
    <w:rsid w:val="00A104C5"/>
    <w:rsid w:val="00A13EF4"/>
    <w:rsid w:val="00A14091"/>
    <w:rsid w:val="00A1571A"/>
    <w:rsid w:val="00A16176"/>
    <w:rsid w:val="00A166DD"/>
    <w:rsid w:val="00A17B0E"/>
    <w:rsid w:val="00A17B0F"/>
    <w:rsid w:val="00A17FA9"/>
    <w:rsid w:val="00A20460"/>
    <w:rsid w:val="00A21C08"/>
    <w:rsid w:val="00A21EBB"/>
    <w:rsid w:val="00A22633"/>
    <w:rsid w:val="00A22B62"/>
    <w:rsid w:val="00A2308E"/>
    <w:rsid w:val="00A25FD8"/>
    <w:rsid w:val="00A27A82"/>
    <w:rsid w:val="00A3053E"/>
    <w:rsid w:val="00A30F43"/>
    <w:rsid w:val="00A312BC"/>
    <w:rsid w:val="00A317AB"/>
    <w:rsid w:val="00A31951"/>
    <w:rsid w:val="00A31A4D"/>
    <w:rsid w:val="00A31B58"/>
    <w:rsid w:val="00A3203C"/>
    <w:rsid w:val="00A3237B"/>
    <w:rsid w:val="00A32448"/>
    <w:rsid w:val="00A3378B"/>
    <w:rsid w:val="00A348D6"/>
    <w:rsid w:val="00A362D4"/>
    <w:rsid w:val="00A37797"/>
    <w:rsid w:val="00A4107C"/>
    <w:rsid w:val="00A416DA"/>
    <w:rsid w:val="00A42683"/>
    <w:rsid w:val="00A438AB"/>
    <w:rsid w:val="00A43A10"/>
    <w:rsid w:val="00A44411"/>
    <w:rsid w:val="00A452D9"/>
    <w:rsid w:val="00A4531C"/>
    <w:rsid w:val="00A4551C"/>
    <w:rsid w:val="00A45AA2"/>
    <w:rsid w:val="00A4605F"/>
    <w:rsid w:val="00A4633A"/>
    <w:rsid w:val="00A47903"/>
    <w:rsid w:val="00A47C9F"/>
    <w:rsid w:val="00A47FDF"/>
    <w:rsid w:val="00A5015B"/>
    <w:rsid w:val="00A5048D"/>
    <w:rsid w:val="00A509E5"/>
    <w:rsid w:val="00A54ACC"/>
    <w:rsid w:val="00A55AA8"/>
    <w:rsid w:val="00A5775F"/>
    <w:rsid w:val="00A60896"/>
    <w:rsid w:val="00A612A2"/>
    <w:rsid w:val="00A61E1C"/>
    <w:rsid w:val="00A61E9F"/>
    <w:rsid w:val="00A640BF"/>
    <w:rsid w:val="00A64362"/>
    <w:rsid w:val="00A643AC"/>
    <w:rsid w:val="00A6494A"/>
    <w:rsid w:val="00A65405"/>
    <w:rsid w:val="00A657D6"/>
    <w:rsid w:val="00A66828"/>
    <w:rsid w:val="00A71039"/>
    <w:rsid w:val="00A71B7F"/>
    <w:rsid w:val="00A726A3"/>
    <w:rsid w:val="00A72F6D"/>
    <w:rsid w:val="00A75047"/>
    <w:rsid w:val="00A7537A"/>
    <w:rsid w:val="00A75879"/>
    <w:rsid w:val="00A76DDB"/>
    <w:rsid w:val="00A8055C"/>
    <w:rsid w:val="00A80E15"/>
    <w:rsid w:val="00A82237"/>
    <w:rsid w:val="00A82282"/>
    <w:rsid w:val="00A82314"/>
    <w:rsid w:val="00A8275E"/>
    <w:rsid w:val="00A84BB9"/>
    <w:rsid w:val="00A85EDB"/>
    <w:rsid w:val="00A87CC8"/>
    <w:rsid w:val="00A903CB"/>
    <w:rsid w:val="00A90989"/>
    <w:rsid w:val="00A90B2C"/>
    <w:rsid w:val="00A934C0"/>
    <w:rsid w:val="00A936D4"/>
    <w:rsid w:val="00A95BDD"/>
    <w:rsid w:val="00A97341"/>
    <w:rsid w:val="00A97C4D"/>
    <w:rsid w:val="00AA023C"/>
    <w:rsid w:val="00AA0A01"/>
    <w:rsid w:val="00AA3134"/>
    <w:rsid w:val="00AA3276"/>
    <w:rsid w:val="00AA3A91"/>
    <w:rsid w:val="00AA46C1"/>
    <w:rsid w:val="00AA490E"/>
    <w:rsid w:val="00AA530A"/>
    <w:rsid w:val="00AA6E1C"/>
    <w:rsid w:val="00AB301E"/>
    <w:rsid w:val="00AB3627"/>
    <w:rsid w:val="00AB4205"/>
    <w:rsid w:val="00AB5B24"/>
    <w:rsid w:val="00AB5B46"/>
    <w:rsid w:val="00AB7629"/>
    <w:rsid w:val="00AC0F28"/>
    <w:rsid w:val="00AC1037"/>
    <w:rsid w:val="00AC148D"/>
    <w:rsid w:val="00AC37B1"/>
    <w:rsid w:val="00AC4098"/>
    <w:rsid w:val="00AC43D6"/>
    <w:rsid w:val="00AC5DDA"/>
    <w:rsid w:val="00AC6031"/>
    <w:rsid w:val="00AC673E"/>
    <w:rsid w:val="00AC6DB0"/>
    <w:rsid w:val="00AC7199"/>
    <w:rsid w:val="00AC7518"/>
    <w:rsid w:val="00AC75DD"/>
    <w:rsid w:val="00AD1438"/>
    <w:rsid w:val="00AD2B07"/>
    <w:rsid w:val="00AD2B91"/>
    <w:rsid w:val="00AD3620"/>
    <w:rsid w:val="00AD3A17"/>
    <w:rsid w:val="00AD3B9A"/>
    <w:rsid w:val="00AD46AF"/>
    <w:rsid w:val="00AD5070"/>
    <w:rsid w:val="00AD6644"/>
    <w:rsid w:val="00AD71DB"/>
    <w:rsid w:val="00AD7317"/>
    <w:rsid w:val="00AD74C2"/>
    <w:rsid w:val="00AD7601"/>
    <w:rsid w:val="00AE01B8"/>
    <w:rsid w:val="00AE0C8E"/>
    <w:rsid w:val="00AE3BF1"/>
    <w:rsid w:val="00AE4DBE"/>
    <w:rsid w:val="00AE6D5D"/>
    <w:rsid w:val="00AE7D95"/>
    <w:rsid w:val="00AF0742"/>
    <w:rsid w:val="00AF1E59"/>
    <w:rsid w:val="00AF2814"/>
    <w:rsid w:val="00AF2946"/>
    <w:rsid w:val="00AF511C"/>
    <w:rsid w:val="00AF5358"/>
    <w:rsid w:val="00AF554D"/>
    <w:rsid w:val="00AF5A3C"/>
    <w:rsid w:val="00AF5A7C"/>
    <w:rsid w:val="00AF6025"/>
    <w:rsid w:val="00AF6740"/>
    <w:rsid w:val="00AF6BB8"/>
    <w:rsid w:val="00AF701D"/>
    <w:rsid w:val="00AF715A"/>
    <w:rsid w:val="00AF738B"/>
    <w:rsid w:val="00AF7A3A"/>
    <w:rsid w:val="00B002E2"/>
    <w:rsid w:val="00B00F06"/>
    <w:rsid w:val="00B01111"/>
    <w:rsid w:val="00B01167"/>
    <w:rsid w:val="00B01BDC"/>
    <w:rsid w:val="00B02035"/>
    <w:rsid w:val="00B02A2B"/>
    <w:rsid w:val="00B02D82"/>
    <w:rsid w:val="00B03248"/>
    <w:rsid w:val="00B056F3"/>
    <w:rsid w:val="00B06601"/>
    <w:rsid w:val="00B1092E"/>
    <w:rsid w:val="00B1163B"/>
    <w:rsid w:val="00B116C6"/>
    <w:rsid w:val="00B130E2"/>
    <w:rsid w:val="00B151DF"/>
    <w:rsid w:val="00B1656F"/>
    <w:rsid w:val="00B2065B"/>
    <w:rsid w:val="00B207AD"/>
    <w:rsid w:val="00B2098B"/>
    <w:rsid w:val="00B211CC"/>
    <w:rsid w:val="00B21DEA"/>
    <w:rsid w:val="00B23107"/>
    <w:rsid w:val="00B23EE3"/>
    <w:rsid w:val="00B25098"/>
    <w:rsid w:val="00B2532A"/>
    <w:rsid w:val="00B2697F"/>
    <w:rsid w:val="00B26E6D"/>
    <w:rsid w:val="00B27335"/>
    <w:rsid w:val="00B300F8"/>
    <w:rsid w:val="00B3067B"/>
    <w:rsid w:val="00B308FF"/>
    <w:rsid w:val="00B3094E"/>
    <w:rsid w:val="00B30A79"/>
    <w:rsid w:val="00B3154A"/>
    <w:rsid w:val="00B31AC8"/>
    <w:rsid w:val="00B330F6"/>
    <w:rsid w:val="00B34203"/>
    <w:rsid w:val="00B34572"/>
    <w:rsid w:val="00B348F7"/>
    <w:rsid w:val="00B3507F"/>
    <w:rsid w:val="00B353F1"/>
    <w:rsid w:val="00B361AC"/>
    <w:rsid w:val="00B36650"/>
    <w:rsid w:val="00B412F7"/>
    <w:rsid w:val="00B41F6B"/>
    <w:rsid w:val="00B424DF"/>
    <w:rsid w:val="00B43AB6"/>
    <w:rsid w:val="00B43D31"/>
    <w:rsid w:val="00B441B2"/>
    <w:rsid w:val="00B443C5"/>
    <w:rsid w:val="00B44838"/>
    <w:rsid w:val="00B4513B"/>
    <w:rsid w:val="00B451BC"/>
    <w:rsid w:val="00B45A16"/>
    <w:rsid w:val="00B463FE"/>
    <w:rsid w:val="00B50265"/>
    <w:rsid w:val="00B5107D"/>
    <w:rsid w:val="00B51284"/>
    <w:rsid w:val="00B519C5"/>
    <w:rsid w:val="00B53A07"/>
    <w:rsid w:val="00B55126"/>
    <w:rsid w:val="00B5533E"/>
    <w:rsid w:val="00B555CA"/>
    <w:rsid w:val="00B55B05"/>
    <w:rsid w:val="00B55B9E"/>
    <w:rsid w:val="00B573C7"/>
    <w:rsid w:val="00B577C5"/>
    <w:rsid w:val="00B60A6F"/>
    <w:rsid w:val="00B60E4F"/>
    <w:rsid w:val="00B61197"/>
    <w:rsid w:val="00B61A93"/>
    <w:rsid w:val="00B61BE3"/>
    <w:rsid w:val="00B62337"/>
    <w:rsid w:val="00B62C59"/>
    <w:rsid w:val="00B62CFD"/>
    <w:rsid w:val="00B64334"/>
    <w:rsid w:val="00B65F94"/>
    <w:rsid w:val="00B66498"/>
    <w:rsid w:val="00B66F97"/>
    <w:rsid w:val="00B67D26"/>
    <w:rsid w:val="00B71734"/>
    <w:rsid w:val="00B71859"/>
    <w:rsid w:val="00B72208"/>
    <w:rsid w:val="00B733AC"/>
    <w:rsid w:val="00B742A1"/>
    <w:rsid w:val="00B745E1"/>
    <w:rsid w:val="00B754DE"/>
    <w:rsid w:val="00B76806"/>
    <w:rsid w:val="00B801DF"/>
    <w:rsid w:val="00B81C06"/>
    <w:rsid w:val="00B83D76"/>
    <w:rsid w:val="00B864F5"/>
    <w:rsid w:val="00B86DE2"/>
    <w:rsid w:val="00B87D27"/>
    <w:rsid w:val="00B87EC7"/>
    <w:rsid w:val="00B9038A"/>
    <w:rsid w:val="00B909B1"/>
    <w:rsid w:val="00B91592"/>
    <w:rsid w:val="00B93A32"/>
    <w:rsid w:val="00B96E9C"/>
    <w:rsid w:val="00B9786C"/>
    <w:rsid w:val="00B97E68"/>
    <w:rsid w:val="00BA0451"/>
    <w:rsid w:val="00BA0BC4"/>
    <w:rsid w:val="00BA11CB"/>
    <w:rsid w:val="00BA1622"/>
    <w:rsid w:val="00BA2547"/>
    <w:rsid w:val="00BA382F"/>
    <w:rsid w:val="00BA52B9"/>
    <w:rsid w:val="00BA7B9E"/>
    <w:rsid w:val="00BB26FB"/>
    <w:rsid w:val="00BB26FE"/>
    <w:rsid w:val="00BB2823"/>
    <w:rsid w:val="00BB286A"/>
    <w:rsid w:val="00BB298A"/>
    <w:rsid w:val="00BB41C2"/>
    <w:rsid w:val="00BB4630"/>
    <w:rsid w:val="00BB4B49"/>
    <w:rsid w:val="00BB524F"/>
    <w:rsid w:val="00BB6D60"/>
    <w:rsid w:val="00BB7976"/>
    <w:rsid w:val="00BC2066"/>
    <w:rsid w:val="00BC504B"/>
    <w:rsid w:val="00BC53E8"/>
    <w:rsid w:val="00BC6074"/>
    <w:rsid w:val="00BC63F7"/>
    <w:rsid w:val="00BC6401"/>
    <w:rsid w:val="00BC7390"/>
    <w:rsid w:val="00BC786F"/>
    <w:rsid w:val="00BD0C59"/>
    <w:rsid w:val="00BD1792"/>
    <w:rsid w:val="00BD1A40"/>
    <w:rsid w:val="00BD306F"/>
    <w:rsid w:val="00BD31AB"/>
    <w:rsid w:val="00BD34AC"/>
    <w:rsid w:val="00BD37E1"/>
    <w:rsid w:val="00BD5C8D"/>
    <w:rsid w:val="00BD697C"/>
    <w:rsid w:val="00BD6CAC"/>
    <w:rsid w:val="00BE1695"/>
    <w:rsid w:val="00BE27F0"/>
    <w:rsid w:val="00BE302C"/>
    <w:rsid w:val="00BE5250"/>
    <w:rsid w:val="00BE5E4E"/>
    <w:rsid w:val="00BE6DA8"/>
    <w:rsid w:val="00BE7725"/>
    <w:rsid w:val="00BF024A"/>
    <w:rsid w:val="00BF17AB"/>
    <w:rsid w:val="00BF1E4F"/>
    <w:rsid w:val="00BF2D66"/>
    <w:rsid w:val="00BF2D96"/>
    <w:rsid w:val="00BF2DE0"/>
    <w:rsid w:val="00BF33D7"/>
    <w:rsid w:val="00BF39D9"/>
    <w:rsid w:val="00BF47A6"/>
    <w:rsid w:val="00BF7191"/>
    <w:rsid w:val="00C01A9E"/>
    <w:rsid w:val="00C01E44"/>
    <w:rsid w:val="00C03152"/>
    <w:rsid w:val="00C04988"/>
    <w:rsid w:val="00C056A2"/>
    <w:rsid w:val="00C05CAA"/>
    <w:rsid w:val="00C1003A"/>
    <w:rsid w:val="00C10AAA"/>
    <w:rsid w:val="00C119E6"/>
    <w:rsid w:val="00C11C42"/>
    <w:rsid w:val="00C11EA3"/>
    <w:rsid w:val="00C12D57"/>
    <w:rsid w:val="00C1418C"/>
    <w:rsid w:val="00C16692"/>
    <w:rsid w:val="00C1797E"/>
    <w:rsid w:val="00C242EA"/>
    <w:rsid w:val="00C25293"/>
    <w:rsid w:val="00C25BFC"/>
    <w:rsid w:val="00C25C7D"/>
    <w:rsid w:val="00C25CD2"/>
    <w:rsid w:val="00C268D0"/>
    <w:rsid w:val="00C26DA3"/>
    <w:rsid w:val="00C26EC5"/>
    <w:rsid w:val="00C27ED3"/>
    <w:rsid w:val="00C31644"/>
    <w:rsid w:val="00C32B26"/>
    <w:rsid w:val="00C32BB4"/>
    <w:rsid w:val="00C36F7B"/>
    <w:rsid w:val="00C3794E"/>
    <w:rsid w:val="00C40DA2"/>
    <w:rsid w:val="00C40FF3"/>
    <w:rsid w:val="00C43D27"/>
    <w:rsid w:val="00C43F02"/>
    <w:rsid w:val="00C43F07"/>
    <w:rsid w:val="00C4554E"/>
    <w:rsid w:val="00C45B3B"/>
    <w:rsid w:val="00C4702B"/>
    <w:rsid w:val="00C47556"/>
    <w:rsid w:val="00C47B1D"/>
    <w:rsid w:val="00C5047C"/>
    <w:rsid w:val="00C50C09"/>
    <w:rsid w:val="00C50F73"/>
    <w:rsid w:val="00C5282F"/>
    <w:rsid w:val="00C53A06"/>
    <w:rsid w:val="00C53E85"/>
    <w:rsid w:val="00C55DE2"/>
    <w:rsid w:val="00C62A66"/>
    <w:rsid w:val="00C62D76"/>
    <w:rsid w:val="00C649BE"/>
    <w:rsid w:val="00C64F12"/>
    <w:rsid w:val="00C658C7"/>
    <w:rsid w:val="00C67E8A"/>
    <w:rsid w:val="00C70F0A"/>
    <w:rsid w:val="00C71427"/>
    <w:rsid w:val="00C72447"/>
    <w:rsid w:val="00C72FC9"/>
    <w:rsid w:val="00C7320D"/>
    <w:rsid w:val="00C7324B"/>
    <w:rsid w:val="00C73EF9"/>
    <w:rsid w:val="00C741B9"/>
    <w:rsid w:val="00C7573E"/>
    <w:rsid w:val="00C76079"/>
    <w:rsid w:val="00C764E1"/>
    <w:rsid w:val="00C76D5C"/>
    <w:rsid w:val="00C77098"/>
    <w:rsid w:val="00C8261B"/>
    <w:rsid w:val="00C82785"/>
    <w:rsid w:val="00C83412"/>
    <w:rsid w:val="00C839AE"/>
    <w:rsid w:val="00C83CCB"/>
    <w:rsid w:val="00C8425A"/>
    <w:rsid w:val="00C84429"/>
    <w:rsid w:val="00C84677"/>
    <w:rsid w:val="00C85BF7"/>
    <w:rsid w:val="00C86D29"/>
    <w:rsid w:val="00C87824"/>
    <w:rsid w:val="00C90602"/>
    <w:rsid w:val="00C90BA8"/>
    <w:rsid w:val="00C91A89"/>
    <w:rsid w:val="00C92344"/>
    <w:rsid w:val="00C9248C"/>
    <w:rsid w:val="00C93433"/>
    <w:rsid w:val="00C938A8"/>
    <w:rsid w:val="00C94B6B"/>
    <w:rsid w:val="00C94C32"/>
    <w:rsid w:val="00C97182"/>
    <w:rsid w:val="00CA1032"/>
    <w:rsid w:val="00CA143E"/>
    <w:rsid w:val="00CA295E"/>
    <w:rsid w:val="00CA296D"/>
    <w:rsid w:val="00CA2E38"/>
    <w:rsid w:val="00CA3044"/>
    <w:rsid w:val="00CA40DB"/>
    <w:rsid w:val="00CB1419"/>
    <w:rsid w:val="00CB166A"/>
    <w:rsid w:val="00CB4730"/>
    <w:rsid w:val="00CB54E5"/>
    <w:rsid w:val="00CB57D0"/>
    <w:rsid w:val="00CB66A8"/>
    <w:rsid w:val="00CB76BB"/>
    <w:rsid w:val="00CC1612"/>
    <w:rsid w:val="00CC1804"/>
    <w:rsid w:val="00CC1ADD"/>
    <w:rsid w:val="00CC1E0A"/>
    <w:rsid w:val="00CC2070"/>
    <w:rsid w:val="00CC26AA"/>
    <w:rsid w:val="00CC2B9F"/>
    <w:rsid w:val="00CC2E0D"/>
    <w:rsid w:val="00CC3D91"/>
    <w:rsid w:val="00CC61D1"/>
    <w:rsid w:val="00CC6E98"/>
    <w:rsid w:val="00CD01B5"/>
    <w:rsid w:val="00CD0F30"/>
    <w:rsid w:val="00CD125A"/>
    <w:rsid w:val="00CD148C"/>
    <w:rsid w:val="00CD2F6F"/>
    <w:rsid w:val="00CD3B73"/>
    <w:rsid w:val="00CD405D"/>
    <w:rsid w:val="00CD4609"/>
    <w:rsid w:val="00CD499D"/>
    <w:rsid w:val="00CD56F2"/>
    <w:rsid w:val="00CD5B2D"/>
    <w:rsid w:val="00CD67CA"/>
    <w:rsid w:val="00CD682C"/>
    <w:rsid w:val="00CE001B"/>
    <w:rsid w:val="00CE0D03"/>
    <w:rsid w:val="00CE0DD6"/>
    <w:rsid w:val="00CE1617"/>
    <w:rsid w:val="00CE1F3D"/>
    <w:rsid w:val="00CE369A"/>
    <w:rsid w:val="00CE38A8"/>
    <w:rsid w:val="00CE4680"/>
    <w:rsid w:val="00CE591C"/>
    <w:rsid w:val="00CE6A4B"/>
    <w:rsid w:val="00CE6B22"/>
    <w:rsid w:val="00CE6D76"/>
    <w:rsid w:val="00CF03C9"/>
    <w:rsid w:val="00CF0990"/>
    <w:rsid w:val="00CF1AD6"/>
    <w:rsid w:val="00CF23B9"/>
    <w:rsid w:val="00CF280E"/>
    <w:rsid w:val="00CF28FD"/>
    <w:rsid w:val="00CF3873"/>
    <w:rsid w:val="00CF39B0"/>
    <w:rsid w:val="00CF3C52"/>
    <w:rsid w:val="00CF5194"/>
    <w:rsid w:val="00CF595D"/>
    <w:rsid w:val="00CF5D1A"/>
    <w:rsid w:val="00CF5DBF"/>
    <w:rsid w:val="00CF7670"/>
    <w:rsid w:val="00CF7B18"/>
    <w:rsid w:val="00CF7BA6"/>
    <w:rsid w:val="00D0049D"/>
    <w:rsid w:val="00D03AA1"/>
    <w:rsid w:val="00D048D7"/>
    <w:rsid w:val="00D04FAB"/>
    <w:rsid w:val="00D053A6"/>
    <w:rsid w:val="00D054BA"/>
    <w:rsid w:val="00D0585C"/>
    <w:rsid w:val="00D05E72"/>
    <w:rsid w:val="00D073F4"/>
    <w:rsid w:val="00D103A5"/>
    <w:rsid w:val="00D10B75"/>
    <w:rsid w:val="00D10D13"/>
    <w:rsid w:val="00D10E13"/>
    <w:rsid w:val="00D13181"/>
    <w:rsid w:val="00D160F3"/>
    <w:rsid w:val="00D165B6"/>
    <w:rsid w:val="00D21546"/>
    <w:rsid w:val="00D220B5"/>
    <w:rsid w:val="00D2265D"/>
    <w:rsid w:val="00D230D7"/>
    <w:rsid w:val="00D24AAC"/>
    <w:rsid w:val="00D25D78"/>
    <w:rsid w:val="00D26D7E"/>
    <w:rsid w:val="00D27410"/>
    <w:rsid w:val="00D27924"/>
    <w:rsid w:val="00D27AD1"/>
    <w:rsid w:val="00D30131"/>
    <w:rsid w:val="00D3163D"/>
    <w:rsid w:val="00D317B7"/>
    <w:rsid w:val="00D32446"/>
    <w:rsid w:val="00D3274F"/>
    <w:rsid w:val="00D33076"/>
    <w:rsid w:val="00D340A1"/>
    <w:rsid w:val="00D35B14"/>
    <w:rsid w:val="00D35C17"/>
    <w:rsid w:val="00D4072A"/>
    <w:rsid w:val="00D40DE8"/>
    <w:rsid w:val="00D41462"/>
    <w:rsid w:val="00D4160D"/>
    <w:rsid w:val="00D43B2B"/>
    <w:rsid w:val="00D43EC0"/>
    <w:rsid w:val="00D444F1"/>
    <w:rsid w:val="00D44736"/>
    <w:rsid w:val="00D45822"/>
    <w:rsid w:val="00D46A14"/>
    <w:rsid w:val="00D46DD5"/>
    <w:rsid w:val="00D472D6"/>
    <w:rsid w:val="00D474CE"/>
    <w:rsid w:val="00D51B2A"/>
    <w:rsid w:val="00D51E8E"/>
    <w:rsid w:val="00D522EA"/>
    <w:rsid w:val="00D52597"/>
    <w:rsid w:val="00D52729"/>
    <w:rsid w:val="00D5382D"/>
    <w:rsid w:val="00D54078"/>
    <w:rsid w:val="00D55379"/>
    <w:rsid w:val="00D55D49"/>
    <w:rsid w:val="00D55D7B"/>
    <w:rsid w:val="00D55D82"/>
    <w:rsid w:val="00D56F67"/>
    <w:rsid w:val="00D572E8"/>
    <w:rsid w:val="00D6070F"/>
    <w:rsid w:val="00D60CCA"/>
    <w:rsid w:val="00D61BA4"/>
    <w:rsid w:val="00D61F3B"/>
    <w:rsid w:val="00D62534"/>
    <w:rsid w:val="00D63F79"/>
    <w:rsid w:val="00D64622"/>
    <w:rsid w:val="00D651CA"/>
    <w:rsid w:val="00D652F7"/>
    <w:rsid w:val="00D65FAF"/>
    <w:rsid w:val="00D65FF5"/>
    <w:rsid w:val="00D667B7"/>
    <w:rsid w:val="00D66A10"/>
    <w:rsid w:val="00D67DC1"/>
    <w:rsid w:val="00D7115B"/>
    <w:rsid w:val="00D7167F"/>
    <w:rsid w:val="00D719BB"/>
    <w:rsid w:val="00D72AA3"/>
    <w:rsid w:val="00D72B03"/>
    <w:rsid w:val="00D745DC"/>
    <w:rsid w:val="00D75751"/>
    <w:rsid w:val="00D75CB1"/>
    <w:rsid w:val="00D768BD"/>
    <w:rsid w:val="00D770F1"/>
    <w:rsid w:val="00D773D7"/>
    <w:rsid w:val="00D7744C"/>
    <w:rsid w:val="00D82138"/>
    <w:rsid w:val="00D825A8"/>
    <w:rsid w:val="00D83BD6"/>
    <w:rsid w:val="00D84A29"/>
    <w:rsid w:val="00D87299"/>
    <w:rsid w:val="00D9023C"/>
    <w:rsid w:val="00D902DE"/>
    <w:rsid w:val="00D90B24"/>
    <w:rsid w:val="00D912C1"/>
    <w:rsid w:val="00D91855"/>
    <w:rsid w:val="00D9185A"/>
    <w:rsid w:val="00D9498C"/>
    <w:rsid w:val="00D949D1"/>
    <w:rsid w:val="00D94BD9"/>
    <w:rsid w:val="00D94F23"/>
    <w:rsid w:val="00D95D93"/>
    <w:rsid w:val="00D96BD3"/>
    <w:rsid w:val="00D9714A"/>
    <w:rsid w:val="00DA0D61"/>
    <w:rsid w:val="00DA0F80"/>
    <w:rsid w:val="00DA4756"/>
    <w:rsid w:val="00DA4B81"/>
    <w:rsid w:val="00DA54FA"/>
    <w:rsid w:val="00DA59A3"/>
    <w:rsid w:val="00DB0C82"/>
    <w:rsid w:val="00DB188B"/>
    <w:rsid w:val="00DB23EC"/>
    <w:rsid w:val="00DB31A2"/>
    <w:rsid w:val="00DB4899"/>
    <w:rsid w:val="00DB54BF"/>
    <w:rsid w:val="00DB69C5"/>
    <w:rsid w:val="00DB7E26"/>
    <w:rsid w:val="00DC048D"/>
    <w:rsid w:val="00DC085F"/>
    <w:rsid w:val="00DC161D"/>
    <w:rsid w:val="00DC193A"/>
    <w:rsid w:val="00DC2E68"/>
    <w:rsid w:val="00DC44DA"/>
    <w:rsid w:val="00DC4D48"/>
    <w:rsid w:val="00DC51F2"/>
    <w:rsid w:val="00DC6E4F"/>
    <w:rsid w:val="00DC7A4F"/>
    <w:rsid w:val="00DD0259"/>
    <w:rsid w:val="00DD030C"/>
    <w:rsid w:val="00DD1774"/>
    <w:rsid w:val="00DD245C"/>
    <w:rsid w:val="00DD34AD"/>
    <w:rsid w:val="00DD3FD4"/>
    <w:rsid w:val="00DD4CF8"/>
    <w:rsid w:val="00DD58F5"/>
    <w:rsid w:val="00DD64DB"/>
    <w:rsid w:val="00DD6A3D"/>
    <w:rsid w:val="00DD7345"/>
    <w:rsid w:val="00DE15F2"/>
    <w:rsid w:val="00DE3733"/>
    <w:rsid w:val="00DE38EE"/>
    <w:rsid w:val="00DE4D1C"/>
    <w:rsid w:val="00DE5425"/>
    <w:rsid w:val="00DE5DAA"/>
    <w:rsid w:val="00DE5F98"/>
    <w:rsid w:val="00DE710B"/>
    <w:rsid w:val="00DF059A"/>
    <w:rsid w:val="00DF07A3"/>
    <w:rsid w:val="00DF2E94"/>
    <w:rsid w:val="00DF30F2"/>
    <w:rsid w:val="00DF3C53"/>
    <w:rsid w:val="00DF493B"/>
    <w:rsid w:val="00DF4990"/>
    <w:rsid w:val="00DF5516"/>
    <w:rsid w:val="00DF5A98"/>
    <w:rsid w:val="00DF5D18"/>
    <w:rsid w:val="00DF63AF"/>
    <w:rsid w:val="00DF6A9E"/>
    <w:rsid w:val="00DF717A"/>
    <w:rsid w:val="00DF7C3E"/>
    <w:rsid w:val="00E00163"/>
    <w:rsid w:val="00E006A1"/>
    <w:rsid w:val="00E011B0"/>
    <w:rsid w:val="00E01682"/>
    <w:rsid w:val="00E01DFD"/>
    <w:rsid w:val="00E045A6"/>
    <w:rsid w:val="00E05938"/>
    <w:rsid w:val="00E05D2E"/>
    <w:rsid w:val="00E07888"/>
    <w:rsid w:val="00E07D90"/>
    <w:rsid w:val="00E07D9B"/>
    <w:rsid w:val="00E11186"/>
    <w:rsid w:val="00E11366"/>
    <w:rsid w:val="00E11DCC"/>
    <w:rsid w:val="00E14144"/>
    <w:rsid w:val="00E15584"/>
    <w:rsid w:val="00E1668F"/>
    <w:rsid w:val="00E17989"/>
    <w:rsid w:val="00E17A2A"/>
    <w:rsid w:val="00E17D34"/>
    <w:rsid w:val="00E201E8"/>
    <w:rsid w:val="00E20C51"/>
    <w:rsid w:val="00E2415E"/>
    <w:rsid w:val="00E24A01"/>
    <w:rsid w:val="00E27B5A"/>
    <w:rsid w:val="00E30039"/>
    <w:rsid w:val="00E30425"/>
    <w:rsid w:val="00E30C3F"/>
    <w:rsid w:val="00E31335"/>
    <w:rsid w:val="00E3220F"/>
    <w:rsid w:val="00E32339"/>
    <w:rsid w:val="00E32409"/>
    <w:rsid w:val="00E32621"/>
    <w:rsid w:val="00E352E5"/>
    <w:rsid w:val="00E37B56"/>
    <w:rsid w:val="00E40FB0"/>
    <w:rsid w:val="00E416B0"/>
    <w:rsid w:val="00E42100"/>
    <w:rsid w:val="00E43280"/>
    <w:rsid w:val="00E43A37"/>
    <w:rsid w:val="00E43B0C"/>
    <w:rsid w:val="00E4432E"/>
    <w:rsid w:val="00E44553"/>
    <w:rsid w:val="00E4489C"/>
    <w:rsid w:val="00E44BFF"/>
    <w:rsid w:val="00E4593D"/>
    <w:rsid w:val="00E468FE"/>
    <w:rsid w:val="00E476A9"/>
    <w:rsid w:val="00E476DE"/>
    <w:rsid w:val="00E47DA7"/>
    <w:rsid w:val="00E50863"/>
    <w:rsid w:val="00E50A55"/>
    <w:rsid w:val="00E51712"/>
    <w:rsid w:val="00E52DC5"/>
    <w:rsid w:val="00E61AA5"/>
    <w:rsid w:val="00E6215E"/>
    <w:rsid w:val="00E621D8"/>
    <w:rsid w:val="00E63F3B"/>
    <w:rsid w:val="00E64291"/>
    <w:rsid w:val="00E646AA"/>
    <w:rsid w:val="00E663E1"/>
    <w:rsid w:val="00E66C85"/>
    <w:rsid w:val="00E66EFC"/>
    <w:rsid w:val="00E70317"/>
    <w:rsid w:val="00E70B18"/>
    <w:rsid w:val="00E71EF5"/>
    <w:rsid w:val="00E721DF"/>
    <w:rsid w:val="00E72C1D"/>
    <w:rsid w:val="00E735B7"/>
    <w:rsid w:val="00E7415A"/>
    <w:rsid w:val="00E74241"/>
    <w:rsid w:val="00E75B35"/>
    <w:rsid w:val="00E76E60"/>
    <w:rsid w:val="00E80318"/>
    <w:rsid w:val="00E812B8"/>
    <w:rsid w:val="00E82415"/>
    <w:rsid w:val="00E836CE"/>
    <w:rsid w:val="00E8472A"/>
    <w:rsid w:val="00E874A7"/>
    <w:rsid w:val="00E87664"/>
    <w:rsid w:val="00E87BB5"/>
    <w:rsid w:val="00E905CC"/>
    <w:rsid w:val="00E90862"/>
    <w:rsid w:val="00E908AD"/>
    <w:rsid w:val="00E91B87"/>
    <w:rsid w:val="00E92763"/>
    <w:rsid w:val="00E93B6F"/>
    <w:rsid w:val="00E93BCF"/>
    <w:rsid w:val="00E9417F"/>
    <w:rsid w:val="00E960E0"/>
    <w:rsid w:val="00E97124"/>
    <w:rsid w:val="00EA0F1D"/>
    <w:rsid w:val="00EA158B"/>
    <w:rsid w:val="00EA1A4B"/>
    <w:rsid w:val="00EA3F8C"/>
    <w:rsid w:val="00EA44E9"/>
    <w:rsid w:val="00EA51C3"/>
    <w:rsid w:val="00EA6022"/>
    <w:rsid w:val="00EA6C85"/>
    <w:rsid w:val="00EA6DC7"/>
    <w:rsid w:val="00EA7E39"/>
    <w:rsid w:val="00EA7EB3"/>
    <w:rsid w:val="00EB009E"/>
    <w:rsid w:val="00EB234F"/>
    <w:rsid w:val="00EB3D4F"/>
    <w:rsid w:val="00EB43FE"/>
    <w:rsid w:val="00EB4417"/>
    <w:rsid w:val="00EB4977"/>
    <w:rsid w:val="00EB5A28"/>
    <w:rsid w:val="00EB6380"/>
    <w:rsid w:val="00EB6E2D"/>
    <w:rsid w:val="00EB7D0B"/>
    <w:rsid w:val="00EC121A"/>
    <w:rsid w:val="00EC12F0"/>
    <w:rsid w:val="00EC1DB9"/>
    <w:rsid w:val="00EC2698"/>
    <w:rsid w:val="00EC2CFD"/>
    <w:rsid w:val="00EC3015"/>
    <w:rsid w:val="00EC3DE6"/>
    <w:rsid w:val="00EC3E88"/>
    <w:rsid w:val="00EC4774"/>
    <w:rsid w:val="00EC487A"/>
    <w:rsid w:val="00EC5749"/>
    <w:rsid w:val="00EC5EF6"/>
    <w:rsid w:val="00EC674A"/>
    <w:rsid w:val="00EC6873"/>
    <w:rsid w:val="00EC74F0"/>
    <w:rsid w:val="00EC761F"/>
    <w:rsid w:val="00EC7751"/>
    <w:rsid w:val="00ED05F6"/>
    <w:rsid w:val="00ED1F92"/>
    <w:rsid w:val="00ED2410"/>
    <w:rsid w:val="00ED3ADF"/>
    <w:rsid w:val="00ED553C"/>
    <w:rsid w:val="00ED555E"/>
    <w:rsid w:val="00ED633A"/>
    <w:rsid w:val="00ED7610"/>
    <w:rsid w:val="00ED7877"/>
    <w:rsid w:val="00EE0DBB"/>
    <w:rsid w:val="00EE10F4"/>
    <w:rsid w:val="00EE1635"/>
    <w:rsid w:val="00EE1D10"/>
    <w:rsid w:val="00EE2427"/>
    <w:rsid w:val="00EE2FBF"/>
    <w:rsid w:val="00EE36DC"/>
    <w:rsid w:val="00EE53B1"/>
    <w:rsid w:val="00EE6A7B"/>
    <w:rsid w:val="00EE796E"/>
    <w:rsid w:val="00EF03F6"/>
    <w:rsid w:val="00EF084A"/>
    <w:rsid w:val="00EF16D5"/>
    <w:rsid w:val="00EF3975"/>
    <w:rsid w:val="00EF3980"/>
    <w:rsid w:val="00EF3A0C"/>
    <w:rsid w:val="00EF4298"/>
    <w:rsid w:val="00EF472E"/>
    <w:rsid w:val="00EF49A2"/>
    <w:rsid w:val="00EF4E11"/>
    <w:rsid w:val="00EF74FB"/>
    <w:rsid w:val="00F013FE"/>
    <w:rsid w:val="00F01748"/>
    <w:rsid w:val="00F017E8"/>
    <w:rsid w:val="00F021CF"/>
    <w:rsid w:val="00F0302D"/>
    <w:rsid w:val="00F03A97"/>
    <w:rsid w:val="00F03C65"/>
    <w:rsid w:val="00F045C2"/>
    <w:rsid w:val="00F0479D"/>
    <w:rsid w:val="00F05AAC"/>
    <w:rsid w:val="00F064B3"/>
    <w:rsid w:val="00F06AD4"/>
    <w:rsid w:val="00F07525"/>
    <w:rsid w:val="00F07C1A"/>
    <w:rsid w:val="00F07F9E"/>
    <w:rsid w:val="00F12D02"/>
    <w:rsid w:val="00F13EEE"/>
    <w:rsid w:val="00F1417D"/>
    <w:rsid w:val="00F14C02"/>
    <w:rsid w:val="00F156F2"/>
    <w:rsid w:val="00F16A55"/>
    <w:rsid w:val="00F202B9"/>
    <w:rsid w:val="00F208A7"/>
    <w:rsid w:val="00F22A6D"/>
    <w:rsid w:val="00F23389"/>
    <w:rsid w:val="00F247E1"/>
    <w:rsid w:val="00F253FD"/>
    <w:rsid w:val="00F25DCF"/>
    <w:rsid w:val="00F26031"/>
    <w:rsid w:val="00F27374"/>
    <w:rsid w:val="00F27AD7"/>
    <w:rsid w:val="00F31F23"/>
    <w:rsid w:val="00F31F7C"/>
    <w:rsid w:val="00F3244A"/>
    <w:rsid w:val="00F32BB8"/>
    <w:rsid w:val="00F32EDA"/>
    <w:rsid w:val="00F338E7"/>
    <w:rsid w:val="00F34044"/>
    <w:rsid w:val="00F34797"/>
    <w:rsid w:val="00F35116"/>
    <w:rsid w:val="00F3582E"/>
    <w:rsid w:val="00F37699"/>
    <w:rsid w:val="00F37928"/>
    <w:rsid w:val="00F40C3A"/>
    <w:rsid w:val="00F4196E"/>
    <w:rsid w:val="00F422F4"/>
    <w:rsid w:val="00F42B63"/>
    <w:rsid w:val="00F4380F"/>
    <w:rsid w:val="00F43B51"/>
    <w:rsid w:val="00F43E18"/>
    <w:rsid w:val="00F441BA"/>
    <w:rsid w:val="00F44301"/>
    <w:rsid w:val="00F463BC"/>
    <w:rsid w:val="00F469CC"/>
    <w:rsid w:val="00F47751"/>
    <w:rsid w:val="00F47CBD"/>
    <w:rsid w:val="00F5077B"/>
    <w:rsid w:val="00F53600"/>
    <w:rsid w:val="00F53648"/>
    <w:rsid w:val="00F5567F"/>
    <w:rsid w:val="00F56142"/>
    <w:rsid w:val="00F60E85"/>
    <w:rsid w:val="00F6121D"/>
    <w:rsid w:val="00F6142D"/>
    <w:rsid w:val="00F6226B"/>
    <w:rsid w:val="00F62354"/>
    <w:rsid w:val="00F62C06"/>
    <w:rsid w:val="00F64573"/>
    <w:rsid w:val="00F64C8F"/>
    <w:rsid w:val="00F64F15"/>
    <w:rsid w:val="00F65695"/>
    <w:rsid w:val="00F663EF"/>
    <w:rsid w:val="00F70B70"/>
    <w:rsid w:val="00F71986"/>
    <w:rsid w:val="00F72731"/>
    <w:rsid w:val="00F731E1"/>
    <w:rsid w:val="00F732FE"/>
    <w:rsid w:val="00F73887"/>
    <w:rsid w:val="00F73E54"/>
    <w:rsid w:val="00F75CFC"/>
    <w:rsid w:val="00F76AC1"/>
    <w:rsid w:val="00F76E00"/>
    <w:rsid w:val="00F76FD2"/>
    <w:rsid w:val="00F77010"/>
    <w:rsid w:val="00F772DB"/>
    <w:rsid w:val="00F817DE"/>
    <w:rsid w:val="00F8194E"/>
    <w:rsid w:val="00F820AB"/>
    <w:rsid w:val="00F82737"/>
    <w:rsid w:val="00F82ECF"/>
    <w:rsid w:val="00F830FE"/>
    <w:rsid w:val="00F83248"/>
    <w:rsid w:val="00F8352A"/>
    <w:rsid w:val="00F83D70"/>
    <w:rsid w:val="00F85653"/>
    <w:rsid w:val="00F8577A"/>
    <w:rsid w:val="00F857D1"/>
    <w:rsid w:val="00F858EF"/>
    <w:rsid w:val="00F860AF"/>
    <w:rsid w:val="00F874DC"/>
    <w:rsid w:val="00F91079"/>
    <w:rsid w:val="00F92C78"/>
    <w:rsid w:val="00F92E2C"/>
    <w:rsid w:val="00F934C1"/>
    <w:rsid w:val="00F93F80"/>
    <w:rsid w:val="00F94694"/>
    <w:rsid w:val="00F95226"/>
    <w:rsid w:val="00F96424"/>
    <w:rsid w:val="00F97306"/>
    <w:rsid w:val="00F97F30"/>
    <w:rsid w:val="00FA1F06"/>
    <w:rsid w:val="00FA2215"/>
    <w:rsid w:val="00FA2C68"/>
    <w:rsid w:val="00FA317D"/>
    <w:rsid w:val="00FA4E2D"/>
    <w:rsid w:val="00FA5CDA"/>
    <w:rsid w:val="00FA6002"/>
    <w:rsid w:val="00FA7701"/>
    <w:rsid w:val="00FA79EE"/>
    <w:rsid w:val="00FB03A2"/>
    <w:rsid w:val="00FB04CD"/>
    <w:rsid w:val="00FB1776"/>
    <w:rsid w:val="00FB1943"/>
    <w:rsid w:val="00FB1E60"/>
    <w:rsid w:val="00FB25D7"/>
    <w:rsid w:val="00FB2C5C"/>
    <w:rsid w:val="00FB737F"/>
    <w:rsid w:val="00FB77E9"/>
    <w:rsid w:val="00FC264B"/>
    <w:rsid w:val="00FC27AC"/>
    <w:rsid w:val="00FC2A7D"/>
    <w:rsid w:val="00FC40B5"/>
    <w:rsid w:val="00FC69A4"/>
    <w:rsid w:val="00FC6AB4"/>
    <w:rsid w:val="00FC6B87"/>
    <w:rsid w:val="00FC6EA5"/>
    <w:rsid w:val="00FD0570"/>
    <w:rsid w:val="00FD0D1E"/>
    <w:rsid w:val="00FD15BA"/>
    <w:rsid w:val="00FD42F8"/>
    <w:rsid w:val="00FD4A9E"/>
    <w:rsid w:val="00FD53A0"/>
    <w:rsid w:val="00FD7867"/>
    <w:rsid w:val="00FD7C91"/>
    <w:rsid w:val="00FE208A"/>
    <w:rsid w:val="00FE42F6"/>
    <w:rsid w:val="00FE4E3A"/>
    <w:rsid w:val="00FE68A8"/>
    <w:rsid w:val="00FE6DDB"/>
    <w:rsid w:val="00FE7F3F"/>
    <w:rsid w:val="00FF0090"/>
    <w:rsid w:val="00FF0A5B"/>
    <w:rsid w:val="00FF1535"/>
    <w:rsid w:val="00FF20B4"/>
    <w:rsid w:val="00FF23D9"/>
    <w:rsid w:val="00FF3207"/>
    <w:rsid w:val="00FF33F5"/>
    <w:rsid w:val="00FF3B65"/>
    <w:rsid w:val="00FF4176"/>
    <w:rsid w:val="00FF4A71"/>
    <w:rsid w:val="00FF4C9A"/>
    <w:rsid w:val="00FF4EF6"/>
    <w:rsid w:val="00FF55E0"/>
    <w:rsid w:val="00FF706A"/>
    <w:rsid w:val="01066A48"/>
    <w:rsid w:val="010D1221"/>
    <w:rsid w:val="011F2BCA"/>
    <w:rsid w:val="01216FCD"/>
    <w:rsid w:val="013C2CA8"/>
    <w:rsid w:val="013E6467"/>
    <w:rsid w:val="01523A84"/>
    <w:rsid w:val="016D648E"/>
    <w:rsid w:val="01754D1F"/>
    <w:rsid w:val="019E183D"/>
    <w:rsid w:val="01A43A9D"/>
    <w:rsid w:val="01B740EC"/>
    <w:rsid w:val="01CE61B8"/>
    <w:rsid w:val="01F85068"/>
    <w:rsid w:val="02143944"/>
    <w:rsid w:val="02445A7A"/>
    <w:rsid w:val="02877315"/>
    <w:rsid w:val="02DF7218"/>
    <w:rsid w:val="03085511"/>
    <w:rsid w:val="03287EC4"/>
    <w:rsid w:val="034A3564"/>
    <w:rsid w:val="03717484"/>
    <w:rsid w:val="03836D47"/>
    <w:rsid w:val="039C4822"/>
    <w:rsid w:val="03EC481E"/>
    <w:rsid w:val="04025BED"/>
    <w:rsid w:val="04053898"/>
    <w:rsid w:val="043474B7"/>
    <w:rsid w:val="04437B6D"/>
    <w:rsid w:val="046036FF"/>
    <w:rsid w:val="0473448A"/>
    <w:rsid w:val="04866D6D"/>
    <w:rsid w:val="049769BD"/>
    <w:rsid w:val="04AD23A0"/>
    <w:rsid w:val="04D9671B"/>
    <w:rsid w:val="04F77A6C"/>
    <w:rsid w:val="04FD0162"/>
    <w:rsid w:val="05050F10"/>
    <w:rsid w:val="05200146"/>
    <w:rsid w:val="05377174"/>
    <w:rsid w:val="05386CFE"/>
    <w:rsid w:val="05585B32"/>
    <w:rsid w:val="056360C2"/>
    <w:rsid w:val="05800E29"/>
    <w:rsid w:val="05927A85"/>
    <w:rsid w:val="05B1778E"/>
    <w:rsid w:val="05D43D03"/>
    <w:rsid w:val="05E35AA2"/>
    <w:rsid w:val="060D6048"/>
    <w:rsid w:val="06787168"/>
    <w:rsid w:val="069C5083"/>
    <w:rsid w:val="069C5AB7"/>
    <w:rsid w:val="06A35ADF"/>
    <w:rsid w:val="06A50BB1"/>
    <w:rsid w:val="06BF07A0"/>
    <w:rsid w:val="06C03753"/>
    <w:rsid w:val="06C24DD5"/>
    <w:rsid w:val="06D57A09"/>
    <w:rsid w:val="06F96FA6"/>
    <w:rsid w:val="06FD15D4"/>
    <w:rsid w:val="06FF4FF3"/>
    <w:rsid w:val="07176BE7"/>
    <w:rsid w:val="0748610D"/>
    <w:rsid w:val="0784469B"/>
    <w:rsid w:val="07893E75"/>
    <w:rsid w:val="07895434"/>
    <w:rsid w:val="079F4496"/>
    <w:rsid w:val="07A2077F"/>
    <w:rsid w:val="07BA7B92"/>
    <w:rsid w:val="07BC4028"/>
    <w:rsid w:val="08223585"/>
    <w:rsid w:val="082945F9"/>
    <w:rsid w:val="0835278B"/>
    <w:rsid w:val="08495BC3"/>
    <w:rsid w:val="08557D51"/>
    <w:rsid w:val="088E3EF3"/>
    <w:rsid w:val="08A92ADB"/>
    <w:rsid w:val="08B57D4A"/>
    <w:rsid w:val="08F04AEE"/>
    <w:rsid w:val="08FF43B0"/>
    <w:rsid w:val="090205AA"/>
    <w:rsid w:val="09071CD9"/>
    <w:rsid w:val="09102EF7"/>
    <w:rsid w:val="09682BF2"/>
    <w:rsid w:val="09772187"/>
    <w:rsid w:val="09925E8E"/>
    <w:rsid w:val="09D34636"/>
    <w:rsid w:val="09EA1155"/>
    <w:rsid w:val="09EE646D"/>
    <w:rsid w:val="0A1110B9"/>
    <w:rsid w:val="0A252301"/>
    <w:rsid w:val="0A3F12ED"/>
    <w:rsid w:val="0A4B2B15"/>
    <w:rsid w:val="0A6864A6"/>
    <w:rsid w:val="0A7048E5"/>
    <w:rsid w:val="0A735A14"/>
    <w:rsid w:val="0A7F3671"/>
    <w:rsid w:val="0A85459D"/>
    <w:rsid w:val="0AA61DD0"/>
    <w:rsid w:val="0B0063CC"/>
    <w:rsid w:val="0B563C50"/>
    <w:rsid w:val="0B5B47BC"/>
    <w:rsid w:val="0B991FCC"/>
    <w:rsid w:val="0BBB4952"/>
    <w:rsid w:val="0BE9177C"/>
    <w:rsid w:val="0C017F7F"/>
    <w:rsid w:val="0C0A3F1F"/>
    <w:rsid w:val="0C3301B8"/>
    <w:rsid w:val="0C5A3CBD"/>
    <w:rsid w:val="0C632FA1"/>
    <w:rsid w:val="0C882A07"/>
    <w:rsid w:val="0CCD7ABA"/>
    <w:rsid w:val="0CF622E2"/>
    <w:rsid w:val="0CFF2F82"/>
    <w:rsid w:val="0D0D6BE4"/>
    <w:rsid w:val="0D2C268B"/>
    <w:rsid w:val="0D2D1EF1"/>
    <w:rsid w:val="0D3C379A"/>
    <w:rsid w:val="0D504342"/>
    <w:rsid w:val="0D584104"/>
    <w:rsid w:val="0DBB1172"/>
    <w:rsid w:val="0DC553C3"/>
    <w:rsid w:val="0DEC51A6"/>
    <w:rsid w:val="0E1A3D3C"/>
    <w:rsid w:val="0E9812D6"/>
    <w:rsid w:val="0EAB131A"/>
    <w:rsid w:val="0EAE3691"/>
    <w:rsid w:val="0ECB1F3D"/>
    <w:rsid w:val="0ECE68F6"/>
    <w:rsid w:val="0EED1247"/>
    <w:rsid w:val="0F082AFB"/>
    <w:rsid w:val="0F3D2C6F"/>
    <w:rsid w:val="0F847388"/>
    <w:rsid w:val="0F902816"/>
    <w:rsid w:val="0FB33F3A"/>
    <w:rsid w:val="0FD148AE"/>
    <w:rsid w:val="0FD22F92"/>
    <w:rsid w:val="0FE80133"/>
    <w:rsid w:val="10823FD0"/>
    <w:rsid w:val="10867915"/>
    <w:rsid w:val="10892A1E"/>
    <w:rsid w:val="109B79B2"/>
    <w:rsid w:val="10AD41A0"/>
    <w:rsid w:val="10C175FA"/>
    <w:rsid w:val="10DD5CD1"/>
    <w:rsid w:val="10FE0E3E"/>
    <w:rsid w:val="110A5C03"/>
    <w:rsid w:val="110E6800"/>
    <w:rsid w:val="11166981"/>
    <w:rsid w:val="113A6834"/>
    <w:rsid w:val="115E6209"/>
    <w:rsid w:val="11656214"/>
    <w:rsid w:val="11754020"/>
    <w:rsid w:val="11894027"/>
    <w:rsid w:val="11CF2824"/>
    <w:rsid w:val="11DF113D"/>
    <w:rsid w:val="11E132E5"/>
    <w:rsid w:val="11E8713C"/>
    <w:rsid w:val="11FC7E71"/>
    <w:rsid w:val="1203630A"/>
    <w:rsid w:val="12325260"/>
    <w:rsid w:val="12395100"/>
    <w:rsid w:val="123A3632"/>
    <w:rsid w:val="125146F5"/>
    <w:rsid w:val="12554F7B"/>
    <w:rsid w:val="1272657B"/>
    <w:rsid w:val="127A2BA1"/>
    <w:rsid w:val="127E6BC6"/>
    <w:rsid w:val="1282069E"/>
    <w:rsid w:val="12937B34"/>
    <w:rsid w:val="12B75DF4"/>
    <w:rsid w:val="13396453"/>
    <w:rsid w:val="1341478A"/>
    <w:rsid w:val="135922E2"/>
    <w:rsid w:val="13A30AE8"/>
    <w:rsid w:val="13BB5F86"/>
    <w:rsid w:val="13C40BBC"/>
    <w:rsid w:val="13CE0404"/>
    <w:rsid w:val="13D917D5"/>
    <w:rsid w:val="13D9517A"/>
    <w:rsid w:val="13D9717F"/>
    <w:rsid w:val="14314240"/>
    <w:rsid w:val="143F42F3"/>
    <w:rsid w:val="144D5AFE"/>
    <w:rsid w:val="14756C74"/>
    <w:rsid w:val="147B039C"/>
    <w:rsid w:val="147C58A8"/>
    <w:rsid w:val="149D58F3"/>
    <w:rsid w:val="14B051AF"/>
    <w:rsid w:val="14B561ED"/>
    <w:rsid w:val="14BD06E9"/>
    <w:rsid w:val="14CA57D9"/>
    <w:rsid w:val="14D61171"/>
    <w:rsid w:val="14DC43EB"/>
    <w:rsid w:val="152D239E"/>
    <w:rsid w:val="153F1C73"/>
    <w:rsid w:val="15507606"/>
    <w:rsid w:val="155C108A"/>
    <w:rsid w:val="156A7930"/>
    <w:rsid w:val="15923CDF"/>
    <w:rsid w:val="15A97D9D"/>
    <w:rsid w:val="160253DA"/>
    <w:rsid w:val="161372CA"/>
    <w:rsid w:val="16676C3F"/>
    <w:rsid w:val="16A960CE"/>
    <w:rsid w:val="16B437B5"/>
    <w:rsid w:val="16D84639"/>
    <w:rsid w:val="17466D6F"/>
    <w:rsid w:val="176651A7"/>
    <w:rsid w:val="1767734F"/>
    <w:rsid w:val="17696367"/>
    <w:rsid w:val="17842039"/>
    <w:rsid w:val="17887259"/>
    <w:rsid w:val="17A235F9"/>
    <w:rsid w:val="17DE7737"/>
    <w:rsid w:val="182061EA"/>
    <w:rsid w:val="18402514"/>
    <w:rsid w:val="184627DF"/>
    <w:rsid w:val="18512135"/>
    <w:rsid w:val="18BD040B"/>
    <w:rsid w:val="18C449A1"/>
    <w:rsid w:val="18CF569A"/>
    <w:rsid w:val="190D2C12"/>
    <w:rsid w:val="1992419F"/>
    <w:rsid w:val="19BC0E61"/>
    <w:rsid w:val="19BF7D00"/>
    <w:rsid w:val="19C701A5"/>
    <w:rsid w:val="19FE0572"/>
    <w:rsid w:val="1A0449F9"/>
    <w:rsid w:val="1A226249"/>
    <w:rsid w:val="1A33084A"/>
    <w:rsid w:val="1A437535"/>
    <w:rsid w:val="1A524DBE"/>
    <w:rsid w:val="1A536DB3"/>
    <w:rsid w:val="1A6367F9"/>
    <w:rsid w:val="1A7339F6"/>
    <w:rsid w:val="1A7C75DF"/>
    <w:rsid w:val="1AAA11A6"/>
    <w:rsid w:val="1AC11F06"/>
    <w:rsid w:val="1AC87D0F"/>
    <w:rsid w:val="1AD43DE7"/>
    <w:rsid w:val="1AE82F9D"/>
    <w:rsid w:val="1B186C62"/>
    <w:rsid w:val="1B274DE8"/>
    <w:rsid w:val="1B916354"/>
    <w:rsid w:val="1BA448BF"/>
    <w:rsid w:val="1C3244EA"/>
    <w:rsid w:val="1C6F2165"/>
    <w:rsid w:val="1C7C0D38"/>
    <w:rsid w:val="1C9121E5"/>
    <w:rsid w:val="1CC95F35"/>
    <w:rsid w:val="1CE93415"/>
    <w:rsid w:val="1CFA5407"/>
    <w:rsid w:val="1D28618A"/>
    <w:rsid w:val="1D4528D1"/>
    <w:rsid w:val="1D5A0F38"/>
    <w:rsid w:val="1D7E3391"/>
    <w:rsid w:val="1D8E3BF5"/>
    <w:rsid w:val="1D8F7C44"/>
    <w:rsid w:val="1D9E1A14"/>
    <w:rsid w:val="1DA2621E"/>
    <w:rsid w:val="1DA7057A"/>
    <w:rsid w:val="1DC855EC"/>
    <w:rsid w:val="1DD920A1"/>
    <w:rsid w:val="1DEE0036"/>
    <w:rsid w:val="1DF36C05"/>
    <w:rsid w:val="1E0154F6"/>
    <w:rsid w:val="1E0E5CF9"/>
    <w:rsid w:val="1E1C7177"/>
    <w:rsid w:val="1E2050D1"/>
    <w:rsid w:val="1E445201"/>
    <w:rsid w:val="1E446A4C"/>
    <w:rsid w:val="1E524666"/>
    <w:rsid w:val="1E622496"/>
    <w:rsid w:val="1E731D72"/>
    <w:rsid w:val="1E7B4A47"/>
    <w:rsid w:val="1E8C7BFE"/>
    <w:rsid w:val="1EAD432B"/>
    <w:rsid w:val="1EB6258A"/>
    <w:rsid w:val="1F0B17C0"/>
    <w:rsid w:val="1F245DA4"/>
    <w:rsid w:val="1F265A72"/>
    <w:rsid w:val="1F347A70"/>
    <w:rsid w:val="1FA42AFE"/>
    <w:rsid w:val="1FA85442"/>
    <w:rsid w:val="1FAE1E5F"/>
    <w:rsid w:val="200C2A64"/>
    <w:rsid w:val="20250B8E"/>
    <w:rsid w:val="20596D20"/>
    <w:rsid w:val="205A1343"/>
    <w:rsid w:val="205B0F4F"/>
    <w:rsid w:val="207E0945"/>
    <w:rsid w:val="20921E8C"/>
    <w:rsid w:val="20CE5591"/>
    <w:rsid w:val="20EB70EF"/>
    <w:rsid w:val="20EE7043"/>
    <w:rsid w:val="21052CA7"/>
    <w:rsid w:val="2155446D"/>
    <w:rsid w:val="21696E53"/>
    <w:rsid w:val="21B30DAE"/>
    <w:rsid w:val="21BA6CE7"/>
    <w:rsid w:val="21D72238"/>
    <w:rsid w:val="21E41D97"/>
    <w:rsid w:val="21E5555C"/>
    <w:rsid w:val="21EC1E61"/>
    <w:rsid w:val="21F51374"/>
    <w:rsid w:val="2219066A"/>
    <w:rsid w:val="2221021B"/>
    <w:rsid w:val="22507D2E"/>
    <w:rsid w:val="225905AA"/>
    <w:rsid w:val="225C79D0"/>
    <w:rsid w:val="22717867"/>
    <w:rsid w:val="228178D6"/>
    <w:rsid w:val="22967D7C"/>
    <w:rsid w:val="229E794D"/>
    <w:rsid w:val="22B440FE"/>
    <w:rsid w:val="22B91A42"/>
    <w:rsid w:val="22C834D9"/>
    <w:rsid w:val="22DD6540"/>
    <w:rsid w:val="22E77460"/>
    <w:rsid w:val="22F147D6"/>
    <w:rsid w:val="232D65F7"/>
    <w:rsid w:val="23344717"/>
    <w:rsid w:val="233A7F3D"/>
    <w:rsid w:val="23632727"/>
    <w:rsid w:val="236B47B0"/>
    <w:rsid w:val="23806EF6"/>
    <w:rsid w:val="24246D53"/>
    <w:rsid w:val="24354F0D"/>
    <w:rsid w:val="243B6A79"/>
    <w:rsid w:val="24400E1F"/>
    <w:rsid w:val="2449406E"/>
    <w:rsid w:val="24521857"/>
    <w:rsid w:val="246C18FD"/>
    <w:rsid w:val="247D51DF"/>
    <w:rsid w:val="248520D7"/>
    <w:rsid w:val="24BE74B6"/>
    <w:rsid w:val="24D4767D"/>
    <w:rsid w:val="24D57369"/>
    <w:rsid w:val="25096983"/>
    <w:rsid w:val="252F7050"/>
    <w:rsid w:val="253824EC"/>
    <w:rsid w:val="25560A6D"/>
    <w:rsid w:val="257276E0"/>
    <w:rsid w:val="25DA5653"/>
    <w:rsid w:val="25DA7B82"/>
    <w:rsid w:val="25DD3334"/>
    <w:rsid w:val="26032317"/>
    <w:rsid w:val="260715F5"/>
    <w:rsid w:val="260E77BE"/>
    <w:rsid w:val="266B592E"/>
    <w:rsid w:val="268349B4"/>
    <w:rsid w:val="269B5C5F"/>
    <w:rsid w:val="26B4291F"/>
    <w:rsid w:val="26D073EE"/>
    <w:rsid w:val="26D277D4"/>
    <w:rsid w:val="26D46B1D"/>
    <w:rsid w:val="26F83072"/>
    <w:rsid w:val="27275426"/>
    <w:rsid w:val="274943A2"/>
    <w:rsid w:val="2789688C"/>
    <w:rsid w:val="27A777C9"/>
    <w:rsid w:val="27C868C0"/>
    <w:rsid w:val="27E8324D"/>
    <w:rsid w:val="280F2821"/>
    <w:rsid w:val="284F3862"/>
    <w:rsid w:val="286C6EE7"/>
    <w:rsid w:val="288F51C0"/>
    <w:rsid w:val="2892375B"/>
    <w:rsid w:val="28A23D5F"/>
    <w:rsid w:val="28BB5247"/>
    <w:rsid w:val="28E668FD"/>
    <w:rsid w:val="291920C8"/>
    <w:rsid w:val="294D632B"/>
    <w:rsid w:val="29506CB5"/>
    <w:rsid w:val="29542197"/>
    <w:rsid w:val="295563A5"/>
    <w:rsid w:val="295E7B79"/>
    <w:rsid w:val="296C5EB1"/>
    <w:rsid w:val="29774FA2"/>
    <w:rsid w:val="297C53E3"/>
    <w:rsid w:val="29C1647E"/>
    <w:rsid w:val="29C6720C"/>
    <w:rsid w:val="29CE4B7A"/>
    <w:rsid w:val="29DB4750"/>
    <w:rsid w:val="29FA71AD"/>
    <w:rsid w:val="2A035C06"/>
    <w:rsid w:val="2A0D20C0"/>
    <w:rsid w:val="2A18527B"/>
    <w:rsid w:val="2A2D1D9A"/>
    <w:rsid w:val="2A2E550E"/>
    <w:rsid w:val="2A445D2E"/>
    <w:rsid w:val="2A90786F"/>
    <w:rsid w:val="2A93233A"/>
    <w:rsid w:val="2A953EC7"/>
    <w:rsid w:val="2A9B704C"/>
    <w:rsid w:val="2AB770A3"/>
    <w:rsid w:val="2ABE5E33"/>
    <w:rsid w:val="2AFA5066"/>
    <w:rsid w:val="2B164673"/>
    <w:rsid w:val="2B1717F3"/>
    <w:rsid w:val="2B234315"/>
    <w:rsid w:val="2B2D3A3C"/>
    <w:rsid w:val="2B3A2017"/>
    <w:rsid w:val="2B54481D"/>
    <w:rsid w:val="2B5F4020"/>
    <w:rsid w:val="2B835493"/>
    <w:rsid w:val="2B895109"/>
    <w:rsid w:val="2B8E369E"/>
    <w:rsid w:val="2BDC4564"/>
    <w:rsid w:val="2BFF0DE6"/>
    <w:rsid w:val="2C156151"/>
    <w:rsid w:val="2C7665D4"/>
    <w:rsid w:val="2CA13D0C"/>
    <w:rsid w:val="2CAC3FA5"/>
    <w:rsid w:val="2CB72E43"/>
    <w:rsid w:val="2CE46631"/>
    <w:rsid w:val="2CE50AD6"/>
    <w:rsid w:val="2D166670"/>
    <w:rsid w:val="2D3153FC"/>
    <w:rsid w:val="2D55399B"/>
    <w:rsid w:val="2D5C291B"/>
    <w:rsid w:val="2D7A72C5"/>
    <w:rsid w:val="2D840B7D"/>
    <w:rsid w:val="2D9039A6"/>
    <w:rsid w:val="2DBB4FAF"/>
    <w:rsid w:val="2DDE172C"/>
    <w:rsid w:val="2DE659B9"/>
    <w:rsid w:val="2DFB6B1F"/>
    <w:rsid w:val="2E435A1B"/>
    <w:rsid w:val="2E4D3667"/>
    <w:rsid w:val="2E5541BA"/>
    <w:rsid w:val="2E5D28A0"/>
    <w:rsid w:val="2E80132C"/>
    <w:rsid w:val="2E85474B"/>
    <w:rsid w:val="2EA54F98"/>
    <w:rsid w:val="2EAA4316"/>
    <w:rsid w:val="2EDE3193"/>
    <w:rsid w:val="2F0E7DE7"/>
    <w:rsid w:val="2F40413A"/>
    <w:rsid w:val="2F6F1AD9"/>
    <w:rsid w:val="2F7113E2"/>
    <w:rsid w:val="2F746512"/>
    <w:rsid w:val="2F9D674B"/>
    <w:rsid w:val="2FA86D24"/>
    <w:rsid w:val="2FAE081D"/>
    <w:rsid w:val="2FC2035B"/>
    <w:rsid w:val="2FCE30BB"/>
    <w:rsid w:val="2FD674F2"/>
    <w:rsid w:val="2FE36A1D"/>
    <w:rsid w:val="30096675"/>
    <w:rsid w:val="301E5494"/>
    <w:rsid w:val="301E5B84"/>
    <w:rsid w:val="302041D3"/>
    <w:rsid w:val="30261336"/>
    <w:rsid w:val="30997B46"/>
    <w:rsid w:val="30A1134A"/>
    <w:rsid w:val="30BB711B"/>
    <w:rsid w:val="30D9138A"/>
    <w:rsid w:val="314306A7"/>
    <w:rsid w:val="318C6ADC"/>
    <w:rsid w:val="31A142C7"/>
    <w:rsid w:val="31D6371A"/>
    <w:rsid w:val="31FB3ADF"/>
    <w:rsid w:val="31FB509E"/>
    <w:rsid w:val="32096681"/>
    <w:rsid w:val="32732244"/>
    <w:rsid w:val="32733F8E"/>
    <w:rsid w:val="32B07294"/>
    <w:rsid w:val="32BB0DA8"/>
    <w:rsid w:val="33105381"/>
    <w:rsid w:val="33415CC3"/>
    <w:rsid w:val="33774379"/>
    <w:rsid w:val="33847783"/>
    <w:rsid w:val="339A635A"/>
    <w:rsid w:val="33BD7E35"/>
    <w:rsid w:val="33DD78EE"/>
    <w:rsid w:val="33E6570C"/>
    <w:rsid w:val="33E77D4A"/>
    <w:rsid w:val="33F20313"/>
    <w:rsid w:val="33FA283A"/>
    <w:rsid w:val="33FF208D"/>
    <w:rsid w:val="34607651"/>
    <w:rsid w:val="346664DA"/>
    <w:rsid w:val="34846D39"/>
    <w:rsid w:val="34AF48FB"/>
    <w:rsid w:val="34C04F41"/>
    <w:rsid w:val="34E244D9"/>
    <w:rsid w:val="350B6DAB"/>
    <w:rsid w:val="355C0966"/>
    <w:rsid w:val="356B2997"/>
    <w:rsid w:val="359E4AA7"/>
    <w:rsid w:val="35B00266"/>
    <w:rsid w:val="35C0253A"/>
    <w:rsid w:val="35C33EDF"/>
    <w:rsid w:val="35DD0EF6"/>
    <w:rsid w:val="35E63C2B"/>
    <w:rsid w:val="35EB1B34"/>
    <w:rsid w:val="35FB5D06"/>
    <w:rsid w:val="3601727E"/>
    <w:rsid w:val="360D63FA"/>
    <w:rsid w:val="361926B4"/>
    <w:rsid w:val="3664072E"/>
    <w:rsid w:val="36C546D4"/>
    <w:rsid w:val="36D32FF6"/>
    <w:rsid w:val="36D500B5"/>
    <w:rsid w:val="36DC44DD"/>
    <w:rsid w:val="3720577B"/>
    <w:rsid w:val="37472E60"/>
    <w:rsid w:val="374A7976"/>
    <w:rsid w:val="37754DC8"/>
    <w:rsid w:val="3795459A"/>
    <w:rsid w:val="37D02987"/>
    <w:rsid w:val="37E02E13"/>
    <w:rsid w:val="37E64FF7"/>
    <w:rsid w:val="37EC7299"/>
    <w:rsid w:val="3814534F"/>
    <w:rsid w:val="385B4333"/>
    <w:rsid w:val="386B04F0"/>
    <w:rsid w:val="387B3AF2"/>
    <w:rsid w:val="38BA0A46"/>
    <w:rsid w:val="38CC3EE8"/>
    <w:rsid w:val="38DD7AB3"/>
    <w:rsid w:val="38F22625"/>
    <w:rsid w:val="38F32790"/>
    <w:rsid w:val="39044B5E"/>
    <w:rsid w:val="39096AFA"/>
    <w:rsid w:val="395263A4"/>
    <w:rsid w:val="396A1001"/>
    <w:rsid w:val="398114C3"/>
    <w:rsid w:val="39847ECB"/>
    <w:rsid w:val="39A03A60"/>
    <w:rsid w:val="39B302CD"/>
    <w:rsid w:val="39BF6E51"/>
    <w:rsid w:val="39CB6AE3"/>
    <w:rsid w:val="39EA702F"/>
    <w:rsid w:val="3A0A215A"/>
    <w:rsid w:val="3A14728E"/>
    <w:rsid w:val="3A176FAC"/>
    <w:rsid w:val="3A3834CB"/>
    <w:rsid w:val="3A4A7308"/>
    <w:rsid w:val="3A9022AD"/>
    <w:rsid w:val="3A971309"/>
    <w:rsid w:val="3AAD68F3"/>
    <w:rsid w:val="3AEA271C"/>
    <w:rsid w:val="3AF4236B"/>
    <w:rsid w:val="3B006D99"/>
    <w:rsid w:val="3B0E748B"/>
    <w:rsid w:val="3B183AE0"/>
    <w:rsid w:val="3B186876"/>
    <w:rsid w:val="3B21367F"/>
    <w:rsid w:val="3B4A45CC"/>
    <w:rsid w:val="3B646C4E"/>
    <w:rsid w:val="3B84185C"/>
    <w:rsid w:val="3B8D6C8F"/>
    <w:rsid w:val="3B962AB5"/>
    <w:rsid w:val="3BA708F5"/>
    <w:rsid w:val="3BC502E9"/>
    <w:rsid w:val="3BCE5DD9"/>
    <w:rsid w:val="3C154443"/>
    <w:rsid w:val="3C175700"/>
    <w:rsid w:val="3C5E78D1"/>
    <w:rsid w:val="3C6955B8"/>
    <w:rsid w:val="3C987915"/>
    <w:rsid w:val="3CBF22AC"/>
    <w:rsid w:val="3CC04DD3"/>
    <w:rsid w:val="3CCF5E77"/>
    <w:rsid w:val="3D154364"/>
    <w:rsid w:val="3D2F610A"/>
    <w:rsid w:val="3D521601"/>
    <w:rsid w:val="3D6732A5"/>
    <w:rsid w:val="3D7D2FC7"/>
    <w:rsid w:val="3DA71EC3"/>
    <w:rsid w:val="3DAC56E8"/>
    <w:rsid w:val="3DB4127C"/>
    <w:rsid w:val="3DB92675"/>
    <w:rsid w:val="3DF16F23"/>
    <w:rsid w:val="3DFB6345"/>
    <w:rsid w:val="3E152511"/>
    <w:rsid w:val="3E193EC8"/>
    <w:rsid w:val="3E451CC2"/>
    <w:rsid w:val="3E7E3762"/>
    <w:rsid w:val="3EAD0CC4"/>
    <w:rsid w:val="3EB061C4"/>
    <w:rsid w:val="3EBF761C"/>
    <w:rsid w:val="3EC26168"/>
    <w:rsid w:val="3EFB0878"/>
    <w:rsid w:val="3EFB7BD6"/>
    <w:rsid w:val="3F114220"/>
    <w:rsid w:val="3F1D6F68"/>
    <w:rsid w:val="3F303D2E"/>
    <w:rsid w:val="3F3B0C9D"/>
    <w:rsid w:val="3F76355F"/>
    <w:rsid w:val="3F8E7963"/>
    <w:rsid w:val="3F993113"/>
    <w:rsid w:val="3FBF66EF"/>
    <w:rsid w:val="3FC3584C"/>
    <w:rsid w:val="3FCF2B90"/>
    <w:rsid w:val="3FDC6C5C"/>
    <w:rsid w:val="3FE258A3"/>
    <w:rsid w:val="3FE36604"/>
    <w:rsid w:val="3FE66477"/>
    <w:rsid w:val="4004499C"/>
    <w:rsid w:val="400C71D1"/>
    <w:rsid w:val="401F09C2"/>
    <w:rsid w:val="403469A9"/>
    <w:rsid w:val="40722D28"/>
    <w:rsid w:val="40A74F32"/>
    <w:rsid w:val="40B07E51"/>
    <w:rsid w:val="40CE7B6A"/>
    <w:rsid w:val="40D169C6"/>
    <w:rsid w:val="40D735A1"/>
    <w:rsid w:val="4116259D"/>
    <w:rsid w:val="411F5511"/>
    <w:rsid w:val="412B7E15"/>
    <w:rsid w:val="41586F29"/>
    <w:rsid w:val="41654AEA"/>
    <w:rsid w:val="416608B2"/>
    <w:rsid w:val="417728C7"/>
    <w:rsid w:val="41834128"/>
    <w:rsid w:val="418F6B9E"/>
    <w:rsid w:val="41997F6D"/>
    <w:rsid w:val="41BA15B9"/>
    <w:rsid w:val="41DA7377"/>
    <w:rsid w:val="41DB3FDD"/>
    <w:rsid w:val="41E14CB8"/>
    <w:rsid w:val="41E74C52"/>
    <w:rsid w:val="42257AF7"/>
    <w:rsid w:val="42345D20"/>
    <w:rsid w:val="426568F3"/>
    <w:rsid w:val="427A3170"/>
    <w:rsid w:val="42AF368E"/>
    <w:rsid w:val="42DA3CC2"/>
    <w:rsid w:val="42E3660E"/>
    <w:rsid w:val="42ED5934"/>
    <w:rsid w:val="43033928"/>
    <w:rsid w:val="434B4FF6"/>
    <w:rsid w:val="43532175"/>
    <w:rsid w:val="43604A75"/>
    <w:rsid w:val="43770B04"/>
    <w:rsid w:val="437959EF"/>
    <w:rsid w:val="438406B6"/>
    <w:rsid w:val="438A1E2E"/>
    <w:rsid w:val="43AB6A2E"/>
    <w:rsid w:val="43BB2B75"/>
    <w:rsid w:val="43CD2446"/>
    <w:rsid w:val="43DC053A"/>
    <w:rsid w:val="43E617A3"/>
    <w:rsid w:val="43E97942"/>
    <w:rsid w:val="43F23D11"/>
    <w:rsid w:val="43FD1E31"/>
    <w:rsid w:val="44207DE2"/>
    <w:rsid w:val="443E5E91"/>
    <w:rsid w:val="44603D43"/>
    <w:rsid w:val="44725360"/>
    <w:rsid w:val="44765407"/>
    <w:rsid w:val="448637DF"/>
    <w:rsid w:val="44945104"/>
    <w:rsid w:val="44A84925"/>
    <w:rsid w:val="44AD1EAE"/>
    <w:rsid w:val="44B4732A"/>
    <w:rsid w:val="44C2796C"/>
    <w:rsid w:val="45015BCE"/>
    <w:rsid w:val="451B72AD"/>
    <w:rsid w:val="45577D1E"/>
    <w:rsid w:val="455F0016"/>
    <w:rsid w:val="458325DB"/>
    <w:rsid w:val="45BB491C"/>
    <w:rsid w:val="45BF63F5"/>
    <w:rsid w:val="45D518FB"/>
    <w:rsid w:val="45E12A90"/>
    <w:rsid w:val="45E91F3F"/>
    <w:rsid w:val="460631A2"/>
    <w:rsid w:val="461429F2"/>
    <w:rsid w:val="46157899"/>
    <w:rsid w:val="462E6900"/>
    <w:rsid w:val="46361743"/>
    <w:rsid w:val="465E2606"/>
    <w:rsid w:val="46B470C6"/>
    <w:rsid w:val="46FD63C9"/>
    <w:rsid w:val="47206E7D"/>
    <w:rsid w:val="47430C04"/>
    <w:rsid w:val="474B1BAC"/>
    <w:rsid w:val="475F181E"/>
    <w:rsid w:val="47B37362"/>
    <w:rsid w:val="47B41000"/>
    <w:rsid w:val="47CA7987"/>
    <w:rsid w:val="47FA6B4D"/>
    <w:rsid w:val="4842750B"/>
    <w:rsid w:val="48476DB7"/>
    <w:rsid w:val="487B6DC5"/>
    <w:rsid w:val="488D53DD"/>
    <w:rsid w:val="48913C37"/>
    <w:rsid w:val="48943F06"/>
    <w:rsid w:val="489E3600"/>
    <w:rsid w:val="48B33D3C"/>
    <w:rsid w:val="493B42D4"/>
    <w:rsid w:val="494F26E0"/>
    <w:rsid w:val="496273FD"/>
    <w:rsid w:val="499F5131"/>
    <w:rsid w:val="49C26AAD"/>
    <w:rsid w:val="49C26C50"/>
    <w:rsid w:val="49CF7028"/>
    <w:rsid w:val="49D84EFD"/>
    <w:rsid w:val="49F86896"/>
    <w:rsid w:val="4A0A3D60"/>
    <w:rsid w:val="4A1902F4"/>
    <w:rsid w:val="4A35253F"/>
    <w:rsid w:val="4A44223F"/>
    <w:rsid w:val="4A51253D"/>
    <w:rsid w:val="4A5F15B0"/>
    <w:rsid w:val="4A674A28"/>
    <w:rsid w:val="4AB51E70"/>
    <w:rsid w:val="4ACA068C"/>
    <w:rsid w:val="4ACF1F86"/>
    <w:rsid w:val="4AE51A75"/>
    <w:rsid w:val="4AEB6216"/>
    <w:rsid w:val="4B0854D0"/>
    <w:rsid w:val="4B1E5950"/>
    <w:rsid w:val="4B257098"/>
    <w:rsid w:val="4B2E6438"/>
    <w:rsid w:val="4B520563"/>
    <w:rsid w:val="4B674606"/>
    <w:rsid w:val="4B946C15"/>
    <w:rsid w:val="4C0D7860"/>
    <w:rsid w:val="4C105BC0"/>
    <w:rsid w:val="4C291A25"/>
    <w:rsid w:val="4C5C2F4E"/>
    <w:rsid w:val="4C7624CC"/>
    <w:rsid w:val="4C996C6D"/>
    <w:rsid w:val="4CB209AB"/>
    <w:rsid w:val="4CF36FEF"/>
    <w:rsid w:val="4D0B3418"/>
    <w:rsid w:val="4D6335A9"/>
    <w:rsid w:val="4DB31F95"/>
    <w:rsid w:val="4E0737F3"/>
    <w:rsid w:val="4E4710BC"/>
    <w:rsid w:val="4E4E35AB"/>
    <w:rsid w:val="4EA01209"/>
    <w:rsid w:val="4EC90CCF"/>
    <w:rsid w:val="4F081515"/>
    <w:rsid w:val="4F1A35C3"/>
    <w:rsid w:val="4F385563"/>
    <w:rsid w:val="4F763DB1"/>
    <w:rsid w:val="4F8C5A37"/>
    <w:rsid w:val="4F942615"/>
    <w:rsid w:val="4F98760D"/>
    <w:rsid w:val="4FD2405E"/>
    <w:rsid w:val="4FD6191A"/>
    <w:rsid w:val="500E0097"/>
    <w:rsid w:val="5096100F"/>
    <w:rsid w:val="50A750D7"/>
    <w:rsid w:val="50C009AA"/>
    <w:rsid w:val="51370209"/>
    <w:rsid w:val="51424ECF"/>
    <w:rsid w:val="51550EA9"/>
    <w:rsid w:val="518B5EB0"/>
    <w:rsid w:val="519A542A"/>
    <w:rsid w:val="51BB4210"/>
    <w:rsid w:val="51C9377E"/>
    <w:rsid w:val="51CA2A37"/>
    <w:rsid w:val="52232B18"/>
    <w:rsid w:val="522A394E"/>
    <w:rsid w:val="524F30B9"/>
    <w:rsid w:val="528F1DB6"/>
    <w:rsid w:val="52D23801"/>
    <w:rsid w:val="52E378D3"/>
    <w:rsid w:val="532306DC"/>
    <w:rsid w:val="538F5DF9"/>
    <w:rsid w:val="538F7951"/>
    <w:rsid w:val="539B3087"/>
    <w:rsid w:val="53AC65A8"/>
    <w:rsid w:val="53CC27A6"/>
    <w:rsid w:val="53D16B0C"/>
    <w:rsid w:val="53ED0708"/>
    <w:rsid w:val="54056418"/>
    <w:rsid w:val="543D000C"/>
    <w:rsid w:val="54431785"/>
    <w:rsid w:val="544E61CF"/>
    <w:rsid w:val="5452341B"/>
    <w:rsid w:val="547B37AD"/>
    <w:rsid w:val="548B6B3A"/>
    <w:rsid w:val="548B7048"/>
    <w:rsid w:val="549C4709"/>
    <w:rsid w:val="54CF62FF"/>
    <w:rsid w:val="54E930A4"/>
    <w:rsid w:val="553476B4"/>
    <w:rsid w:val="55801A9A"/>
    <w:rsid w:val="55854BE6"/>
    <w:rsid w:val="559A02AD"/>
    <w:rsid w:val="55B60F59"/>
    <w:rsid w:val="562D77AB"/>
    <w:rsid w:val="563A6B65"/>
    <w:rsid w:val="566D4A28"/>
    <w:rsid w:val="568144FE"/>
    <w:rsid w:val="56A61A90"/>
    <w:rsid w:val="56A63554"/>
    <w:rsid w:val="56BB6BB6"/>
    <w:rsid w:val="57032BAD"/>
    <w:rsid w:val="575516E1"/>
    <w:rsid w:val="57643B27"/>
    <w:rsid w:val="57873729"/>
    <w:rsid w:val="57CA7277"/>
    <w:rsid w:val="583D7AF9"/>
    <w:rsid w:val="584C3B8B"/>
    <w:rsid w:val="585B179B"/>
    <w:rsid w:val="58684FAE"/>
    <w:rsid w:val="586D2BCD"/>
    <w:rsid w:val="58740203"/>
    <w:rsid w:val="58802555"/>
    <w:rsid w:val="588A3300"/>
    <w:rsid w:val="58A2699C"/>
    <w:rsid w:val="58B02697"/>
    <w:rsid w:val="58C761DA"/>
    <w:rsid w:val="58CE2F1B"/>
    <w:rsid w:val="58F95028"/>
    <w:rsid w:val="591443B3"/>
    <w:rsid w:val="59410E95"/>
    <w:rsid w:val="595F7C7C"/>
    <w:rsid w:val="596C7752"/>
    <w:rsid w:val="59775AE1"/>
    <w:rsid w:val="5993684E"/>
    <w:rsid w:val="59BF719E"/>
    <w:rsid w:val="59D55DE1"/>
    <w:rsid w:val="59DA32C4"/>
    <w:rsid w:val="59E7580D"/>
    <w:rsid w:val="59EB7233"/>
    <w:rsid w:val="59F6784B"/>
    <w:rsid w:val="5A160809"/>
    <w:rsid w:val="5A16607C"/>
    <w:rsid w:val="5A683EED"/>
    <w:rsid w:val="5A71546E"/>
    <w:rsid w:val="5A773FDE"/>
    <w:rsid w:val="5A7757ED"/>
    <w:rsid w:val="5AAB72C4"/>
    <w:rsid w:val="5ACC0DF3"/>
    <w:rsid w:val="5B1017A0"/>
    <w:rsid w:val="5B16173E"/>
    <w:rsid w:val="5B61411C"/>
    <w:rsid w:val="5BA41466"/>
    <w:rsid w:val="5BC052E6"/>
    <w:rsid w:val="5BCE247B"/>
    <w:rsid w:val="5BFE2E89"/>
    <w:rsid w:val="5C2422F3"/>
    <w:rsid w:val="5C662F00"/>
    <w:rsid w:val="5C6A4922"/>
    <w:rsid w:val="5C6D069F"/>
    <w:rsid w:val="5C756216"/>
    <w:rsid w:val="5C786B12"/>
    <w:rsid w:val="5CA40764"/>
    <w:rsid w:val="5CA42512"/>
    <w:rsid w:val="5CA97D33"/>
    <w:rsid w:val="5CAF4C16"/>
    <w:rsid w:val="5CE726A4"/>
    <w:rsid w:val="5D141A73"/>
    <w:rsid w:val="5D5D7C39"/>
    <w:rsid w:val="5D665A5D"/>
    <w:rsid w:val="5D6868F8"/>
    <w:rsid w:val="5D6E48CE"/>
    <w:rsid w:val="5DC034F9"/>
    <w:rsid w:val="5DF7553D"/>
    <w:rsid w:val="5E117EB9"/>
    <w:rsid w:val="5E1965B8"/>
    <w:rsid w:val="5E4B5EA0"/>
    <w:rsid w:val="5E5D21AD"/>
    <w:rsid w:val="5E5E5A1C"/>
    <w:rsid w:val="5E744166"/>
    <w:rsid w:val="5E920DF4"/>
    <w:rsid w:val="5EC82FEA"/>
    <w:rsid w:val="5EDA3CE5"/>
    <w:rsid w:val="5EE34C5C"/>
    <w:rsid w:val="5F115C9B"/>
    <w:rsid w:val="5F34674C"/>
    <w:rsid w:val="5F353807"/>
    <w:rsid w:val="5F4167B2"/>
    <w:rsid w:val="5F422319"/>
    <w:rsid w:val="5F4611E9"/>
    <w:rsid w:val="5F61600F"/>
    <w:rsid w:val="5F647B30"/>
    <w:rsid w:val="5F69359F"/>
    <w:rsid w:val="5F6F316A"/>
    <w:rsid w:val="5FBC691A"/>
    <w:rsid w:val="5FC336AF"/>
    <w:rsid w:val="5FC51DA0"/>
    <w:rsid w:val="5FC557A1"/>
    <w:rsid w:val="5FD90EE0"/>
    <w:rsid w:val="5FEB75CF"/>
    <w:rsid w:val="601E6EE1"/>
    <w:rsid w:val="603B3CE7"/>
    <w:rsid w:val="607F787A"/>
    <w:rsid w:val="60822A82"/>
    <w:rsid w:val="6094599C"/>
    <w:rsid w:val="60AC5D69"/>
    <w:rsid w:val="60AF7CE9"/>
    <w:rsid w:val="60C05418"/>
    <w:rsid w:val="60C22F90"/>
    <w:rsid w:val="60CB2763"/>
    <w:rsid w:val="60D636E1"/>
    <w:rsid w:val="614069B3"/>
    <w:rsid w:val="616E59CA"/>
    <w:rsid w:val="617546B1"/>
    <w:rsid w:val="617F17E1"/>
    <w:rsid w:val="619E53D8"/>
    <w:rsid w:val="61D967BF"/>
    <w:rsid w:val="620A6C0D"/>
    <w:rsid w:val="623D0827"/>
    <w:rsid w:val="624B157B"/>
    <w:rsid w:val="624D0527"/>
    <w:rsid w:val="626B50BF"/>
    <w:rsid w:val="62704FAC"/>
    <w:rsid w:val="62821DB5"/>
    <w:rsid w:val="628C4DA7"/>
    <w:rsid w:val="62A60398"/>
    <w:rsid w:val="62BA5930"/>
    <w:rsid w:val="62C31219"/>
    <w:rsid w:val="62CF00DB"/>
    <w:rsid w:val="62DF0134"/>
    <w:rsid w:val="62F7618C"/>
    <w:rsid w:val="630C7B04"/>
    <w:rsid w:val="63290E1E"/>
    <w:rsid w:val="63301B51"/>
    <w:rsid w:val="633E7923"/>
    <w:rsid w:val="6344339D"/>
    <w:rsid w:val="634A17BF"/>
    <w:rsid w:val="634B1D70"/>
    <w:rsid w:val="634F676F"/>
    <w:rsid w:val="637A3FCD"/>
    <w:rsid w:val="63AA0004"/>
    <w:rsid w:val="63B243D6"/>
    <w:rsid w:val="63BB6270"/>
    <w:rsid w:val="63C670CA"/>
    <w:rsid w:val="63C871C4"/>
    <w:rsid w:val="63CB004B"/>
    <w:rsid w:val="63CB0FFD"/>
    <w:rsid w:val="64280AB9"/>
    <w:rsid w:val="642D587E"/>
    <w:rsid w:val="645A1F2C"/>
    <w:rsid w:val="645D3675"/>
    <w:rsid w:val="648457BC"/>
    <w:rsid w:val="64AA756E"/>
    <w:rsid w:val="64AD6FFA"/>
    <w:rsid w:val="64FD4FBA"/>
    <w:rsid w:val="65230B24"/>
    <w:rsid w:val="65644AD7"/>
    <w:rsid w:val="656D7707"/>
    <w:rsid w:val="65AC0E7E"/>
    <w:rsid w:val="65B2623E"/>
    <w:rsid w:val="65C15EE3"/>
    <w:rsid w:val="65C23C51"/>
    <w:rsid w:val="65C46E3B"/>
    <w:rsid w:val="65EE3622"/>
    <w:rsid w:val="665C355E"/>
    <w:rsid w:val="66766B1A"/>
    <w:rsid w:val="66AFED51"/>
    <w:rsid w:val="66B66675"/>
    <w:rsid w:val="66CD389E"/>
    <w:rsid w:val="675C039D"/>
    <w:rsid w:val="67A208FC"/>
    <w:rsid w:val="67F36916"/>
    <w:rsid w:val="67F657F0"/>
    <w:rsid w:val="67FC443F"/>
    <w:rsid w:val="681F20C1"/>
    <w:rsid w:val="68643A71"/>
    <w:rsid w:val="68810B5F"/>
    <w:rsid w:val="688D4F1A"/>
    <w:rsid w:val="68A743F0"/>
    <w:rsid w:val="68A81C39"/>
    <w:rsid w:val="68BF0117"/>
    <w:rsid w:val="68C10E82"/>
    <w:rsid w:val="6902182F"/>
    <w:rsid w:val="6906439C"/>
    <w:rsid w:val="690A7A80"/>
    <w:rsid w:val="6912453F"/>
    <w:rsid w:val="695849C7"/>
    <w:rsid w:val="696C610A"/>
    <w:rsid w:val="697D0F81"/>
    <w:rsid w:val="69874045"/>
    <w:rsid w:val="69BD1AD4"/>
    <w:rsid w:val="69C15ABD"/>
    <w:rsid w:val="69E077C0"/>
    <w:rsid w:val="69E54ADB"/>
    <w:rsid w:val="69E6391D"/>
    <w:rsid w:val="6A270365"/>
    <w:rsid w:val="6A2E0845"/>
    <w:rsid w:val="6A455234"/>
    <w:rsid w:val="6A53046D"/>
    <w:rsid w:val="6A634E73"/>
    <w:rsid w:val="6A8826AF"/>
    <w:rsid w:val="6AAF4006"/>
    <w:rsid w:val="6AB4036E"/>
    <w:rsid w:val="6AB41781"/>
    <w:rsid w:val="6AC025AA"/>
    <w:rsid w:val="6ACE6EBD"/>
    <w:rsid w:val="6AD74617"/>
    <w:rsid w:val="6B162AF3"/>
    <w:rsid w:val="6B2E7C85"/>
    <w:rsid w:val="6B3774B3"/>
    <w:rsid w:val="6B6169B2"/>
    <w:rsid w:val="6B6C4D8B"/>
    <w:rsid w:val="6B7C46CC"/>
    <w:rsid w:val="6B8F13EA"/>
    <w:rsid w:val="6BA725F2"/>
    <w:rsid w:val="6BD94B98"/>
    <w:rsid w:val="6C003F47"/>
    <w:rsid w:val="6C106FB1"/>
    <w:rsid w:val="6C1E0624"/>
    <w:rsid w:val="6C315082"/>
    <w:rsid w:val="6C380DFD"/>
    <w:rsid w:val="6C641F8E"/>
    <w:rsid w:val="6C717B2B"/>
    <w:rsid w:val="6C95430E"/>
    <w:rsid w:val="6C990D14"/>
    <w:rsid w:val="6C9D3250"/>
    <w:rsid w:val="6CAB6FE7"/>
    <w:rsid w:val="6CBD747A"/>
    <w:rsid w:val="6CDB133E"/>
    <w:rsid w:val="6CF314BE"/>
    <w:rsid w:val="6D281AF3"/>
    <w:rsid w:val="6D465DCC"/>
    <w:rsid w:val="6D61259A"/>
    <w:rsid w:val="6D6A3647"/>
    <w:rsid w:val="6D9A4065"/>
    <w:rsid w:val="6DA86E2A"/>
    <w:rsid w:val="6DB72443"/>
    <w:rsid w:val="6DBC46FB"/>
    <w:rsid w:val="6DC31566"/>
    <w:rsid w:val="6DE075BE"/>
    <w:rsid w:val="6DE72226"/>
    <w:rsid w:val="6E0850A1"/>
    <w:rsid w:val="6E246C17"/>
    <w:rsid w:val="6E627916"/>
    <w:rsid w:val="6E6567C4"/>
    <w:rsid w:val="6E7354E8"/>
    <w:rsid w:val="6E9221CF"/>
    <w:rsid w:val="6EC23908"/>
    <w:rsid w:val="6EF65E02"/>
    <w:rsid w:val="6EFE30A2"/>
    <w:rsid w:val="6F050749"/>
    <w:rsid w:val="6F3B419D"/>
    <w:rsid w:val="6F447C71"/>
    <w:rsid w:val="6FCB54EB"/>
    <w:rsid w:val="6FCF82DB"/>
    <w:rsid w:val="6FEA383A"/>
    <w:rsid w:val="701F455F"/>
    <w:rsid w:val="70414FD3"/>
    <w:rsid w:val="705728B3"/>
    <w:rsid w:val="706C6D9B"/>
    <w:rsid w:val="706F0D4A"/>
    <w:rsid w:val="70762EC1"/>
    <w:rsid w:val="70E76A1A"/>
    <w:rsid w:val="70E92897"/>
    <w:rsid w:val="71537D77"/>
    <w:rsid w:val="71691061"/>
    <w:rsid w:val="718D40E3"/>
    <w:rsid w:val="71C90C73"/>
    <w:rsid w:val="71CA2BC6"/>
    <w:rsid w:val="71CB3A20"/>
    <w:rsid w:val="720F62D6"/>
    <w:rsid w:val="722D378C"/>
    <w:rsid w:val="723C2361"/>
    <w:rsid w:val="724A0F08"/>
    <w:rsid w:val="725B4129"/>
    <w:rsid w:val="725D6F93"/>
    <w:rsid w:val="729E1B35"/>
    <w:rsid w:val="72A9025B"/>
    <w:rsid w:val="72B87904"/>
    <w:rsid w:val="72F91C50"/>
    <w:rsid w:val="73186A21"/>
    <w:rsid w:val="73202593"/>
    <w:rsid w:val="73627C1A"/>
    <w:rsid w:val="73A46F3F"/>
    <w:rsid w:val="73A721F4"/>
    <w:rsid w:val="73CC3009"/>
    <w:rsid w:val="73F00872"/>
    <w:rsid w:val="74533924"/>
    <w:rsid w:val="746159A4"/>
    <w:rsid w:val="74671D50"/>
    <w:rsid w:val="747E3A95"/>
    <w:rsid w:val="748E17A2"/>
    <w:rsid w:val="74B4768A"/>
    <w:rsid w:val="74C838E9"/>
    <w:rsid w:val="74D3053D"/>
    <w:rsid w:val="750D4F63"/>
    <w:rsid w:val="752609BA"/>
    <w:rsid w:val="75457105"/>
    <w:rsid w:val="758E1370"/>
    <w:rsid w:val="75B767DE"/>
    <w:rsid w:val="75C02056"/>
    <w:rsid w:val="75D46E6B"/>
    <w:rsid w:val="75D659C0"/>
    <w:rsid w:val="75DF6AA5"/>
    <w:rsid w:val="75EA4EEE"/>
    <w:rsid w:val="75FB45A0"/>
    <w:rsid w:val="760664EF"/>
    <w:rsid w:val="76123040"/>
    <w:rsid w:val="7633463F"/>
    <w:rsid w:val="76421FBE"/>
    <w:rsid w:val="76444845"/>
    <w:rsid w:val="76477C30"/>
    <w:rsid w:val="766A7A1F"/>
    <w:rsid w:val="76A8351C"/>
    <w:rsid w:val="76AF23BF"/>
    <w:rsid w:val="76E07197"/>
    <w:rsid w:val="77007160"/>
    <w:rsid w:val="77457BA6"/>
    <w:rsid w:val="776B799C"/>
    <w:rsid w:val="77784870"/>
    <w:rsid w:val="77911692"/>
    <w:rsid w:val="77BC595B"/>
    <w:rsid w:val="783E33C3"/>
    <w:rsid w:val="78485EB4"/>
    <w:rsid w:val="78943FD8"/>
    <w:rsid w:val="789E002E"/>
    <w:rsid w:val="78A57756"/>
    <w:rsid w:val="78B74BEB"/>
    <w:rsid w:val="78E96288"/>
    <w:rsid w:val="78F62113"/>
    <w:rsid w:val="79200D1B"/>
    <w:rsid w:val="793D003F"/>
    <w:rsid w:val="79430CE9"/>
    <w:rsid w:val="79443178"/>
    <w:rsid w:val="79544CF8"/>
    <w:rsid w:val="79795014"/>
    <w:rsid w:val="79807244"/>
    <w:rsid w:val="79993AD1"/>
    <w:rsid w:val="799A78A6"/>
    <w:rsid w:val="79A01A20"/>
    <w:rsid w:val="79A02F0F"/>
    <w:rsid w:val="79AB034E"/>
    <w:rsid w:val="79E82D96"/>
    <w:rsid w:val="79FF7ED5"/>
    <w:rsid w:val="7A04260F"/>
    <w:rsid w:val="7A4278F3"/>
    <w:rsid w:val="7A7811FC"/>
    <w:rsid w:val="7AB1388A"/>
    <w:rsid w:val="7AC77D77"/>
    <w:rsid w:val="7AE01FDC"/>
    <w:rsid w:val="7B0765CF"/>
    <w:rsid w:val="7B206582"/>
    <w:rsid w:val="7B4735CF"/>
    <w:rsid w:val="7B541C13"/>
    <w:rsid w:val="7B570FA8"/>
    <w:rsid w:val="7B5F5A90"/>
    <w:rsid w:val="7B6517F4"/>
    <w:rsid w:val="7B812723"/>
    <w:rsid w:val="7B977BDB"/>
    <w:rsid w:val="7BA73399"/>
    <w:rsid w:val="7BAA2A93"/>
    <w:rsid w:val="7BE91898"/>
    <w:rsid w:val="7BED5A37"/>
    <w:rsid w:val="7BFDCE27"/>
    <w:rsid w:val="7C025D3A"/>
    <w:rsid w:val="7C250A07"/>
    <w:rsid w:val="7C3D74DA"/>
    <w:rsid w:val="7C411188"/>
    <w:rsid w:val="7C5C774C"/>
    <w:rsid w:val="7CB3348E"/>
    <w:rsid w:val="7CDF1C32"/>
    <w:rsid w:val="7CFA1AD3"/>
    <w:rsid w:val="7D16661B"/>
    <w:rsid w:val="7D25459B"/>
    <w:rsid w:val="7D3C766F"/>
    <w:rsid w:val="7D716A2A"/>
    <w:rsid w:val="7D7FA852"/>
    <w:rsid w:val="7D961801"/>
    <w:rsid w:val="7DA10D14"/>
    <w:rsid w:val="7DA83AE5"/>
    <w:rsid w:val="7DD12289"/>
    <w:rsid w:val="7DD54E51"/>
    <w:rsid w:val="7DE86A69"/>
    <w:rsid w:val="7DEB59EA"/>
    <w:rsid w:val="7E03633E"/>
    <w:rsid w:val="7E33307C"/>
    <w:rsid w:val="7E9157AD"/>
    <w:rsid w:val="7EA06B86"/>
    <w:rsid w:val="7EA93AC0"/>
    <w:rsid w:val="7EBC562D"/>
    <w:rsid w:val="7EE53BF7"/>
    <w:rsid w:val="7F235FDB"/>
    <w:rsid w:val="7F2F7F0A"/>
    <w:rsid w:val="7F353A29"/>
    <w:rsid w:val="7F590365"/>
    <w:rsid w:val="7F7949F7"/>
    <w:rsid w:val="7F905D3E"/>
    <w:rsid w:val="7FAD3455"/>
    <w:rsid w:val="7FC00B69"/>
    <w:rsid w:val="7FC90B9C"/>
    <w:rsid w:val="7FE83E5B"/>
    <w:rsid w:val="7FEA1F7C"/>
    <w:rsid w:val="7FEF480A"/>
    <w:rsid w:val="7FF31109"/>
    <w:rsid w:val="BDB9A200"/>
    <w:rsid w:val="EFEDF183"/>
    <w:rsid w:val="F9B7A95A"/>
    <w:rsid w:val="FEFFA0A8"/>
    <w:rsid w:val="FF7AAB9B"/>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9" w:semiHidden="0" w:name="heading 4"/>
    <w:lsdException w:qFormat="1" w:unhideWhenUsed="0" w:uiPriority="9" w:semiHidden="0" w:name="heading 5"/>
    <w:lsdException w:qFormat="1" w:unhideWhenUsed="0" w:uiPriority="9"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0" w:semiHidden="0" w:name="Normal Indent"/>
    <w:lsdException w:qFormat="1" w:unhideWhenUsed="0" w:uiPriority="0" w:semiHidden="0" w:name="footnote text"/>
    <w:lsdException w:qFormat="1" w:unhideWhenUsed="0" w:uiPriority="99" w:semiHidden="0"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qFormat="1" w:unhideWhenUsed="0" w:uiPriority="0" w:semiHidden="0" w:name="envelope return"/>
    <w:lsdException w:qFormat="1" w:unhideWhenUsed="0" w:uiPriority="0" w:semiHidden="0"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qFormat="1" w:unhideWhenUsed="0" w:uiPriority="0"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uiPriority="99"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qFormat="1" w:unhideWhenUsed="0" w:uiPriority="0" w:semiHidden="0" w:name="FollowedHyperlink"/>
    <w:lsdException w:qFormat="1" w:unhideWhenUsed="0" w:uiPriority="22" w:semiHidden="0" w:name="Strong"/>
    <w:lsdException w:qFormat="1" w:unhideWhenUsed="0" w:uiPriority="20" w:semiHidden="0" w:name="Emphasis"/>
    <w:lsdException w:qFormat="1" w:unhideWhenUsed="0" w:uiPriority="99" w:semiHidden="0" w:name="Document Map"/>
    <w:lsdException w:qFormat="1" w:unhideWhenUsed="0" w:uiPriority="99"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nhideWhenUsed="0" w:uiPriority="99" w:semiHidden="0"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5">
    <w:name w:val="heading 1"/>
    <w:basedOn w:val="1"/>
    <w:next w:val="1"/>
    <w:link w:val="109"/>
    <w:qFormat/>
    <w:uiPriority w:val="0"/>
    <w:pPr>
      <w:keepNext/>
      <w:keepLines/>
      <w:spacing w:before="340" w:after="330" w:line="578" w:lineRule="auto"/>
      <w:outlineLvl w:val="0"/>
    </w:pPr>
    <w:rPr>
      <w:b/>
      <w:bCs/>
      <w:kern w:val="44"/>
      <w:sz w:val="44"/>
      <w:szCs w:val="44"/>
    </w:rPr>
  </w:style>
  <w:style w:type="paragraph" w:styleId="6">
    <w:name w:val="heading 2"/>
    <w:basedOn w:val="1"/>
    <w:next w:val="1"/>
    <w:link w:val="113"/>
    <w:qFormat/>
    <w:uiPriority w:val="0"/>
    <w:pPr>
      <w:keepNext/>
      <w:keepLines/>
      <w:spacing w:before="260" w:after="260" w:line="416" w:lineRule="auto"/>
      <w:outlineLvl w:val="1"/>
    </w:pPr>
    <w:rPr>
      <w:rFonts w:ascii="Arial" w:hAnsi="Arial" w:eastAsia="黑体"/>
      <w:b/>
      <w:bCs/>
      <w:kern w:val="0"/>
      <w:sz w:val="32"/>
      <w:szCs w:val="32"/>
    </w:rPr>
  </w:style>
  <w:style w:type="paragraph" w:styleId="7">
    <w:name w:val="heading 3"/>
    <w:basedOn w:val="1"/>
    <w:next w:val="1"/>
    <w:link w:val="122"/>
    <w:qFormat/>
    <w:uiPriority w:val="0"/>
    <w:pPr>
      <w:keepNext/>
      <w:keepLines/>
      <w:spacing w:before="260" w:after="260" w:line="416" w:lineRule="auto"/>
      <w:outlineLvl w:val="2"/>
    </w:pPr>
    <w:rPr>
      <w:b/>
      <w:bCs/>
      <w:kern w:val="0"/>
      <w:sz w:val="32"/>
      <w:szCs w:val="32"/>
    </w:rPr>
  </w:style>
  <w:style w:type="paragraph" w:styleId="8">
    <w:name w:val="heading 4"/>
    <w:basedOn w:val="1"/>
    <w:next w:val="1"/>
    <w:link w:val="135"/>
    <w:qFormat/>
    <w:uiPriority w:val="9"/>
    <w:pPr>
      <w:keepNext/>
      <w:jc w:val="center"/>
      <w:outlineLvl w:val="3"/>
    </w:pPr>
    <w:rPr>
      <w:rFonts w:eastAsia="新宋体"/>
      <w:kern w:val="0"/>
      <w:sz w:val="30"/>
      <w:szCs w:val="21"/>
    </w:rPr>
  </w:style>
  <w:style w:type="paragraph" w:styleId="9">
    <w:name w:val="heading 5"/>
    <w:basedOn w:val="1"/>
    <w:next w:val="1"/>
    <w:link w:val="143"/>
    <w:qFormat/>
    <w:uiPriority w:val="9"/>
    <w:pPr>
      <w:keepNext/>
      <w:keepLines/>
      <w:spacing w:before="280" w:after="290" w:line="376" w:lineRule="auto"/>
      <w:outlineLvl w:val="4"/>
    </w:pPr>
    <w:rPr>
      <w:b/>
      <w:bCs/>
      <w:kern w:val="0"/>
      <w:sz w:val="28"/>
      <w:szCs w:val="28"/>
    </w:rPr>
  </w:style>
  <w:style w:type="paragraph" w:styleId="10">
    <w:name w:val="heading 6"/>
    <w:basedOn w:val="1"/>
    <w:next w:val="11"/>
    <w:link w:val="91"/>
    <w:qFormat/>
    <w:uiPriority w:val="9"/>
    <w:pPr>
      <w:keepNext/>
      <w:jc w:val="center"/>
      <w:outlineLvl w:val="5"/>
    </w:pPr>
    <w:rPr>
      <w:b/>
      <w:kern w:val="0"/>
      <w:sz w:val="44"/>
      <w:szCs w:val="20"/>
    </w:rPr>
  </w:style>
  <w:style w:type="paragraph" w:styleId="12">
    <w:name w:val="heading 7"/>
    <w:basedOn w:val="1"/>
    <w:next w:val="1"/>
    <w:link w:val="92"/>
    <w:qFormat/>
    <w:uiPriority w:val="0"/>
    <w:pPr>
      <w:keepNext/>
      <w:keepLines/>
      <w:spacing w:before="240" w:after="64" w:line="320" w:lineRule="auto"/>
      <w:outlineLvl w:val="6"/>
    </w:pPr>
    <w:rPr>
      <w:b/>
      <w:bCs/>
      <w:kern w:val="0"/>
      <w:sz w:val="24"/>
    </w:rPr>
  </w:style>
  <w:style w:type="paragraph" w:styleId="13">
    <w:name w:val="heading 8"/>
    <w:basedOn w:val="1"/>
    <w:next w:val="1"/>
    <w:link w:val="94"/>
    <w:qFormat/>
    <w:uiPriority w:val="0"/>
    <w:pPr>
      <w:keepNext/>
      <w:keepLines/>
      <w:spacing w:before="240" w:after="64" w:line="320" w:lineRule="auto"/>
      <w:outlineLvl w:val="7"/>
    </w:pPr>
    <w:rPr>
      <w:rFonts w:ascii="Arial" w:hAnsi="Arial" w:eastAsia="黑体"/>
      <w:kern w:val="0"/>
      <w:sz w:val="24"/>
    </w:rPr>
  </w:style>
  <w:style w:type="paragraph" w:styleId="14">
    <w:name w:val="heading 9"/>
    <w:basedOn w:val="1"/>
    <w:next w:val="1"/>
    <w:link w:val="124"/>
    <w:qFormat/>
    <w:uiPriority w:val="0"/>
    <w:pPr>
      <w:keepNext/>
      <w:keepLines/>
      <w:spacing w:before="240" w:after="64" w:line="320" w:lineRule="auto"/>
      <w:outlineLvl w:val="8"/>
    </w:pPr>
    <w:rPr>
      <w:rFonts w:ascii="Arial" w:hAnsi="Arial" w:eastAsia="黑体"/>
      <w:kern w:val="0"/>
      <w:sz w:val="24"/>
      <w:szCs w:val="21"/>
    </w:rPr>
  </w:style>
  <w:style w:type="character" w:default="1" w:styleId="43">
    <w:name w:val="Default Paragraph Font"/>
    <w:unhideWhenUsed/>
    <w:qFormat/>
    <w:uiPriority w:val="1"/>
  </w:style>
  <w:style w:type="table" w:default="1" w:styleId="41">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widowControl/>
      <w:topLinePunct/>
      <w:adjustRightInd w:val="0"/>
      <w:snapToGrid w:val="0"/>
      <w:spacing w:before="160" w:after="120" w:line="240" w:lineRule="atLeast"/>
      <w:ind w:left="420" w:leftChars="200" w:firstLine="420" w:firstLineChars="200"/>
      <w:jc w:val="left"/>
    </w:pPr>
    <w:rPr>
      <w:rFonts w:ascii="Times New Roman" w:eastAsia="宋体" w:cs="Arial"/>
      <w:sz w:val="20"/>
      <w:szCs w:val="21"/>
    </w:rPr>
  </w:style>
  <w:style w:type="paragraph" w:styleId="3">
    <w:name w:val="Body Text Indent"/>
    <w:basedOn w:val="1"/>
    <w:next w:val="4"/>
    <w:link w:val="141"/>
    <w:qFormat/>
    <w:uiPriority w:val="0"/>
    <w:pPr>
      <w:ind w:left="765"/>
    </w:pPr>
    <w:rPr>
      <w:rFonts w:ascii="仿宋_GB2312" w:eastAsia="仿宋_GB2312"/>
      <w:kern w:val="0"/>
      <w:sz w:val="28"/>
      <w:szCs w:val="20"/>
    </w:rPr>
  </w:style>
  <w:style w:type="paragraph" w:styleId="4">
    <w:name w:val="envelope return"/>
    <w:basedOn w:val="1"/>
    <w:qFormat/>
    <w:uiPriority w:val="0"/>
    <w:pPr>
      <w:widowControl/>
      <w:topLinePunct/>
      <w:adjustRightInd w:val="0"/>
      <w:snapToGrid w:val="0"/>
      <w:spacing w:before="160" w:after="160" w:line="240" w:lineRule="atLeast"/>
      <w:ind w:left="1701"/>
      <w:jc w:val="left"/>
    </w:pPr>
    <w:rPr>
      <w:rFonts w:ascii="Arial" w:hAnsi="Arial" w:cs="Arial"/>
      <w:szCs w:val="21"/>
    </w:rPr>
  </w:style>
  <w:style w:type="paragraph" w:styleId="11">
    <w:name w:val="Normal Indent"/>
    <w:basedOn w:val="1"/>
    <w:link w:val="117"/>
    <w:qFormat/>
    <w:uiPriority w:val="0"/>
    <w:pPr>
      <w:ind w:firstLine="420"/>
    </w:pPr>
    <w:rPr>
      <w:kern w:val="0"/>
      <w:sz w:val="20"/>
      <w:szCs w:val="20"/>
    </w:rPr>
  </w:style>
  <w:style w:type="paragraph" w:styleId="15">
    <w:name w:val="toc 7"/>
    <w:basedOn w:val="1"/>
    <w:next w:val="1"/>
    <w:qFormat/>
    <w:uiPriority w:val="39"/>
    <w:pPr>
      <w:ind w:left="1260"/>
      <w:jc w:val="left"/>
    </w:pPr>
    <w:rPr>
      <w:rFonts w:ascii="Calibri" w:hAnsi="Calibri" w:cs="宋体"/>
      <w:sz w:val="18"/>
      <w:szCs w:val="18"/>
    </w:rPr>
  </w:style>
  <w:style w:type="paragraph" w:styleId="16">
    <w:name w:val="Document Map"/>
    <w:basedOn w:val="1"/>
    <w:link w:val="120"/>
    <w:qFormat/>
    <w:uiPriority w:val="99"/>
    <w:pPr>
      <w:shd w:val="clear" w:color="auto" w:fill="000080"/>
    </w:pPr>
    <w:rPr>
      <w:kern w:val="0"/>
      <w:sz w:val="20"/>
    </w:rPr>
  </w:style>
  <w:style w:type="paragraph" w:styleId="17">
    <w:name w:val="annotation text"/>
    <w:basedOn w:val="1"/>
    <w:link w:val="138"/>
    <w:qFormat/>
    <w:uiPriority w:val="99"/>
    <w:pPr>
      <w:jc w:val="left"/>
    </w:pPr>
    <w:rPr>
      <w:szCs w:val="21"/>
    </w:rPr>
  </w:style>
  <w:style w:type="paragraph" w:styleId="18">
    <w:name w:val="Body Text 3"/>
    <w:basedOn w:val="1"/>
    <w:link w:val="95"/>
    <w:qFormat/>
    <w:uiPriority w:val="0"/>
    <w:pPr>
      <w:spacing w:after="120"/>
    </w:pPr>
    <w:rPr>
      <w:kern w:val="0"/>
      <w:sz w:val="16"/>
      <w:szCs w:val="16"/>
    </w:rPr>
  </w:style>
  <w:style w:type="paragraph" w:styleId="19">
    <w:name w:val="Body Text"/>
    <w:basedOn w:val="1"/>
    <w:next w:val="1"/>
    <w:link w:val="126"/>
    <w:qFormat/>
    <w:uiPriority w:val="0"/>
    <w:rPr>
      <w:rFonts w:ascii="仿宋_GB2312" w:eastAsia="仿宋_GB2312"/>
      <w:kern w:val="0"/>
      <w:sz w:val="24"/>
      <w:szCs w:val="20"/>
    </w:rPr>
  </w:style>
  <w:style w:type="paragraph" w:styleId="20">
    <w:name w:val="toc 5"/>
    <w:basedOn w:val="1"/>
    <w:next w:val="1"/>
    <w:qFormat/>
    <w:uiPriority w:val="39"/>
    <w:pPr>
      <w:ind w:left="840"/>
      <w:jc w:val="left"/>
    </w:pPr>
    <w:rPr>
      <w:rFonts w:ascii="Calibri" w:hAnsi="Calibri" w:cs="宋体"/>
      <w:sz w:val="18"/>
      <w:szCs w:val="18"/>
    </w:rPr>
  </w:style>
  <w:style w:type="paragraph" w:styleId="21">
    <w:name w:val="toc 3"/>
    <w:basedOn w:val="1"/>
    <w:next w:val="1"/>
    <w:qFormat/>
    <w:uiPriority w:val="39"/>
    <w:pPr>
      <w:ind w:left="420"/>
      <w:jc w:val="left"/>
    </w:pPr>
    <w:rPr>
      <w:rFonts w:ascii="Calibri" w:hAnsi="Calibri" w:cs="宋体"/>
      <w:i/>
      <w:iCs/>
      <w:sz w:val="20"/>
      <w:szCs w:val="20"/>
    </w:rPr>
  </w:style>
  <w:style w:type="paragraph" w:styleId="22">
    <w:name w:val="Plain Text"/>
    <w:basedOn w:val="1"/>
    <w:link w:val="142"/>
    <w:qFormat/>
    <w:uiPriority w:val="99"/>
    <w:rPr>
      <w:rFonts w:ascii="宋体" w:hAnsi="Courier New"/>
      <w:kern w:val="0"/>
      <w:sz w:val="20"/>
      <w:szCs w:val="21"/>
    </w:rPr>
  </w:style>
  <w:style w:type="paragraph" w:styleId="23">
    <w:name w:val="toc 8"/>
    <w:basedOn w:val="1"/>
    <w:next w:val="1"/>
    <w:qFormat/>
    <w:uiPriority w:val="39"/>
    <w:pPr>
      <w:ind w:left="1470"/>
      <w:jc w:val="left"/>
    </w:pPr>
    <w:rPr>
      <w:rFonts w:ascii="Calibri" w:hAnsi="Calibri" w:cs="宋体"/>
      <w:sz w:val="18"/>
      <w:szCs w:val="18"/>
    </w:rPr>
  </w:style>
  <w:style w:type="paragraph" w:styleId="24">
    <w:name w:val="Date"/>
    <w:basedOn w:val="1"/>
    <w:next w:val="1"/>
    <w:link w:val="104"/>
    <w:qFormat/>
    <w:uiPriority w:val="0"/>
    <w:rPr>
      <w:kern w:val="0"/>
      <w:sz w:val="24"/>
      <w:szCs w:val="20"/>
    </w:rPr>
  </w:style>
  <w:style w:type="paragraph" w:styleId="25">
    <w:name w:val="Body Text Indent 2"/>
    <w:basedOn w:val="1"/>
    <w:link w:val="123"/>
    <w:qFormat/>
    <w:uiPriority w:val="0"/>
    <w:pPr>
      <w:spacing w:line="500" w:lineRule="exact"/>
      <w:ind w:firstLine="560" w:firstLineChars="200"/>
    </w:pPr>
    <w:rPr>
      <w:rFonts w:eastAsia="仿宋_GB2312"/>
      <w:kern w:val="0"/>
      <w:sz w:val="28"/>
      <w:szCs w:val="20"/>
    </w:rPr>
  </w:style>
  <w:style w:type="paragraph" w:styleId="26">
    <w:name w:val="Balloon Text"/>
    <w:basedOn w:val="1"/>
    <w:link w:val="145"/>
    <w:qFormat/>
    <w:uiPriority w:val="99"/>
    <w:rPr>
      <w:kern w:val="0"/>
      <w:sz w:val="18"/>
      <w:szCs w:val="18"/>
    </w:rPr>
  </w:style>
  <w:style w:type="paragraph" w:styleId="27">
    <w:name w:val="footer"/>
    <w:basedOn w:val="1"/>
    <w:link w:val="101"/>
    <w:qFormat/>
    <w:uiPriority w:val="99"/>
    <w:pPr>
      <w:tabs>
        <w:tab w:val="center" w:pos="4153"/>
        <w:tab w:val="right" w:pos="8306"/>
      </w:tabs>
      <w:snapToGrid w:val="0"/>
      <w:jc w:val="left"/>
    </w:pPr>
    <w:rPr>
      <w:kern w:val="0"/>
      <w:sz w:val="18"/>
      <w:szCs w:val="20"/>
    </w:rPr>
  </w:style>
  <w:style w:type="paragraph" w:styleId="28">
    <w:name w:val="header"/>
    <w:basedOn w:val="1"/>
    <w:link w:val="100"/>
    <w:qFormat/>
    <w:uiPriority w:val="99"/>
    <w:pPr>
      <w:pBdr>
        <w:bottom w:val="single" w:color="auto" w:sz="6" w:space="1"/>
      </w:pBdr>
      <w:tabs>
        <w:tab w:val="center" w:pos="4153"/>
        <w:tab w:val="right" w:pos="8306"/>
      </w:tabs>
      <w:snapToGrid w:val="0"/>
      <w:jc w:val="center"/>
    </w:pPr>
    <w:rPr>
      <w:kern w:val="0"/>
      <w:sz w:val="18"/>
      <w:szCs w:val="18"/>
    </w:rPr>
  </w:style>
  <w:style w:type="paragraph" w:styleId="29">
    <w:name w:val="toc 1"/>
    <w:basedOn w:val="1"/>
    <w:next w:val="1"/>
    <w:qFormat/>
    <w:uiPriority w:val="39"/>
    <w:rPr>
      <w:sz w:val="24"/>
    </w:rPr>
  </w:style>
  <w:style w:type="paragraph" w:styleId="30">
    <w:name w:val="toc 4"/>
    <w:basedOn w:val="1"/>
    <w:next w:val="1"/>
    <w:qFormat/>
    <w:uiPriority w:val="39"/>
    <w:pPr>
      <w:ind w:left="630"/>
      <w:jc w:val="left"/>
    </w:pPr>
    <w:rPr>
      <w:rFonts w:ascii="Calibri" w:hAnsi="Calibri" w:cs="宋体"/>
      <w:sz w:val="18"/>
      <w:szCs w:val="18"/>
    </w:rPr>
  </w:style>
  <w:style w:type="paragraph" w:styleId="31">
    <w:name w:val="List"/>
    <w:basedOn w:val="1"/>
    <w:qFormat/>
    <w:uiPriority w:val="0"/>
    <w:pPr>
      <w:ind w:left="200" w:hanging="200" w:hangingChars="200"/>
    </w:pPr>
  </w:style>
  <w:style w:type="paragraph" w:styleId="32">
    <w:name w:val="footnote text"/>
    <w:basedOn w:val="1"/>
    <w:qFormat/>
    <w:uiPriority w:val="0"/>
    <w:pPr>
      <w:snapToGrid w:val="0"/>
      <w:jc w:val="left"/>
    </w:pPr>
    <w:rPr>
      <w:sz w:val="18"/>
      <w:szCs w:val="18"/>
    </w:rPr>
  </w:style>
  <w:style w:type="paragraph" w:styleId="33">
    <w:name w:val="toc 6"/>
    <w:basedOn w:val="1"/>
    <w:next w:val="1"/>
    <w:qFormat/>
    <w:uiPriority w:val="39"/>
    <w:pPr>
      <w:ind w:left="1050"/>
      <w:jc w:val="left"/>
    </w:pPr>
    <w:rPr>
      <w:rFonts w:ascii="Calibri" w:hAnsi="Calibri" w:cs="宋体"/>
      <w:sz w:val="18"/>
      <w:szCs w:val="18"/>
    </w:rPr>
  </w:style>
  <w:style w:type="paragraph" w:styleId="34">
    <w:name w:val="Body Text Indent 3"/>
    <w:basedOn w:val="1"/>
    <w:link w:val="112"/>
    <w:qFormat/>
    <w:uiPriority w:val="0"/>
    <w:pPr>
      <w:spacing w:after="120"/>
      <w:ind w:left="420" w:leftChars="200"/>
    </w:pPr>
    <w:rPr>
      <w:kern w:val="0"/>
      <w:sz w:val="16"/>
      <w:szCs w:val="16"/>
    </w:rPr>
  </w:style>
  <w:style w:type="paragraph" w:styleId="35">
    <w:name w:val="toc 2"/>
    <w:basedOn w:val="1"/>
    <w:next w:val="1"/>
    <w:qFormat/>
    <w:uiPriority w:val="39"/>
    <w:pPr>
      <w:ind w:left="210"/>
      <w:jc w:val="left"/>
    </w:pPr>
    <w:rPr>
      <w:rFonts w:ascii="Calibri" w:hAnsi="Calibri" w:cs="宋体"/>
      <w:smallCaps/>
      <w:sz w:val="20"/>
      <w:szCs w:val="20"/>
    </w:rPr>
  </w:style>
  <w:style w:type="paragraph" w:styleId="36">
    <w:name w:val="toc 9"/>
    <w:basedOn w:val="1"/>
    <w:next w:val="1"/>
    <w:qFormat/>
    <w:uiPriority w:val="39"/>
    <w:pPr>
      <w:ind w:left="1680"/>
      <w:jc w:val="left"/>
    </w:pPr>
    <w:rPr>
      <w:rFonts w:ascii="Calibri" w:hAnsi="Calibri" w:cs="宋体"/>
      <w:sz w:val="18"/>
      <w:szCs w:val="18"/>
    </w:rPr>
  </w:style>
  <w:style w:type="paragraph" w:styleId="37">
    <w:name w:val="Body Text 2"/>
    <w:basedOn w:val="1"/>
    <w:link w:val="90"/>
    <w:qFormat/>
    <w:uiPriority w:val="0"/>
    <w:pPr>
      <w:snapToGrid w:val="0"/>
    </w:pPr>
    <w:rPr>
      <w:b/>
      <w:bCs/>
      <w:kern w:val="0"/>
      <w:sz w:val="18"/>
    </w:rPr>
  </w:style>
  <w:style w:type="paragraph" w:styleId="38">
    <w:name w:val="HTML Preformatted"/>
    <w:basedOn w:val="1"/>
    <w:link w:val="125"/>
    <w:qFormat/>
    <w:uiPriority w:val="99"/>
    <w:pPr>
      <w:widowControl/>
      <w:jc w:val="left"/>
    </w:pPr>
    <w:rPr>
      <w:rFonts w:ascii="宋体" w:hAnsi="宋体"/>
      <w:kern w:val="0"/>
      <w:sz w:val="24"/>
    </w:rPr>
  </w:style>
  <w:style w:type="paragraph" w:styleId="39">
    <w:name w:val="Normal (Web)"/>
    <w:basedOn w:val="1"/>
    <w:qFormat/>
    <w:uiPriority w:val="99"/>
    <w:pPr>
      <w:widowControl/>
      <w:spacing w:before="100" w:beforeAutospacing="1" w:after="100" w:afterAutospacing="1"/>
      <w:jc w:val="left"/>
    </w:pPr>
    <w:rPr>
      <w:rFonts w:ascii="宋体" w:hAnsi="宋体"/>
      <w:color w:val="000000"/>
      <w:kern w:val="0"/>
      <w:sz w:val="24"/>
    </w:rPr>
  </w:style>
  <w:style w:type="paragraph" w:styleId="40">
    <w:name w:val="Body Text First Indent"/>
    <w:basedOn w:val="19"/>
    <w:link w:val="102"/>
    <w:qFormat/>
    <w:uiPriority w:val="0"/>
    <w:pPr>
      <w:spacing w:after="120"/>
      <w:ind w:firstLine="420" w:firstLineChars="100"/>
    </w:pPr>
    <w:rPr>
      <w:rFonts w:ascii="Times New Roman" w:eastAsia="宋体"/>
      <w:szCs w:val="24"/>
    </w:rPr>
  </w:style>
  <w:style w:type="table" w:styleId="42">
    <w:name w:val="Table Grid"/>
    <w:basedOn w:val="41"/>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44">
    <w:name w:val="Strong"/>
    <w:qFormat/>
    <w:uiPriority w:val="22"/>
    <w:rPr>
      <w:b/>
      <w:bCs/>
    </w:rPr>
  </w:style>
  <w:style w:type="character" w:styleId="45">
    <w:name w:val="page number"/>
    <w:basedOn w:val="43"/>
    <w:qFormat/>
    <w:uiPriority w:val="0"/>
  </w:style>
  <w:style w:type="character" w:styleId="46">
    <w:name w:val="FollowedHyperlink"/>
    <w:qFormat/>
    <w:uiPriority w:val="0"/>
    <w:rPr>
      <w:color w:val="800080"/>
      <w:u w:val="single"/>
    </w:rPr>
  </w:style>
  <w:style w:type="character" w:styleId="47">
    <w:name w:val="Hyperlink"/>
    <w:qFormat/>
    <w:uiPriority w:val="0"/>
    <w:rPr>
      <w:color w:val="0000FF"/>
      <w:u w:val="single"/>
    </w:rPr>
  </w:style>
  <w:style w:type="character" w:styleId="48">
    <w:name w:val="footnote reference"/>
    <w:qFormat/>
    <w:uiPriority w:val="0"/>
    <w:rPr>
      <w:vertAlign w:val="superscript"/>
    </w:rPr>
  </w:style>
  <w:style w:type="paragraph" w:customStyle="1" w:styleId="49">
    <w:name w:val="段"/>
    <w:basedOn w:val="1"/>
    <w:next w:val="1"/>
    <w:qFormat/>
    <w:uiPriority w:val="0"/>
    <w:pPr>
      <w:ind w:firstLine="425"/>
    </w:pPr>
    <w:rPr>
      <w:rFonts w:ascii="宋体"/>
    </w:rPr>
  </w:style>
  <w:style w:type="paragraph" w:customStyle="1" w:styleId="50">
    <w:name w:val="style4"/>
    <w:basedOn w:val="1"/>
    <w:next w:val="51"/>
    <w:qFormat/>
    <w:uiPriority w:val="0"/>
    <w:pPr>
      <w:widowControl/>
      <w:spacing w:before="280" w:after="280"/>
    </w:pPr>
    <w:rPr>
      <w:rFonts w:ascii="宋体"/>
      <w:sz w:val="18"/>
    </w:rPr>
  </w:style>
  <w:style w:type="paragraph" w:customStyle="1" w:styleId="51">
    <w:name w:val="2"/>
    <w:next w:val="1"/>
    <w:qFormat/>
    <w:uiPriority w:val="99"/>
    <w:pPr>
      <w:widowControl w:val="0"/>
      <w:jc w:val="both"/>
    </w:pPr>
    <w:rPr>
      <w:rFonts w:ascii="Times New Roman" w:hAnsi="Times New Roman" w:eastAsia="宋体" w:cs="Times New Roman"/>
      <w:kern w:val="2"/>
      <w:sz w:val="21"/>
      <w:szCs w:val="21"/>
      <w:lang w:val="en-US" w:eastAsia="zh-CN" w:bidi="ar-SA"/>
    </w:rPr>
  </w:style>
  <w:style w:type="paragraph" w:customStyle="1" w:styleId="52">
    <w:name w:val="Char Char Char"/>
    <w:basedOn w:val="1"/>
    <w:qFormat/>
    <w:uiPriority w:val="0"/>
    <w:rPr>
      <w:rFonts w:ascii="Tahoma" w:hAnsi="Tahoma"/>
      <w:sz w:val="24"/>
      <w:szCs w:val="20"/>
    </w:rPr>
  </w:style>
  <w:style w:type="paragraph" w:customStyle="1" w:styleId="53">
    <w:name w:val="Char Char Char Char"/>
    <w:basedOn w:val="1"/>
    <w:qFormat/>
    <w:uiPriority w:val="0"/>
    <w:rPr>
      <w:rFonts w:ascii="Tahoma" w:hAnsi="Tahoma"/>
      <w:sz w:val="24"/>
      <w:szCs w:val="20"/>
    </w:rPr>
  </w:style>
  <w:style w:type="paragraph" w:customStyle="1" w:styleId="54">
    <w:name w:val="样式 宋体 四号 黑色 左侧:  0.74 厘米 首行缩进:  0.74 厘米 行距: 1.5 倍行距"/>
    <w:basedOn w:val="1"/>
    <w:qFormat/>
    <w:uiPriority w:val="0"/>
    <w:pPr>
      <w:spacing w:line="360" w:lineRule="auto"/>
      <w:ind w:firstLine="420"/>
    </w:pPr>
    <w:rPr>
      <w:rFonts w:ascii="宋体"/>
      <w:color w:val="000000"/>
      <w:sz w:val="24"/>
      <w:szCs w:val="21"/>
    </w:rPr>
  </w:style>
  <w:style w:type="paragraph" w:styleId="55">
    <w:name w:val="List Paragraph"/>
    <w:basedOn w:val="1"/>
    <w:link w:val="99"/>
    <w:qFormat/>
    <w:uiPriority w:val="99"/>
    <w:pPr>
      <w:ind w:firstLine="420" w:firstLineChars="200"/>
    </w:pPr>
    <w:rPr>
      <w:kern w:val="0"/>
      <w:sz w:val="20"/>
      <w:szCs w:val="20"/>
    </w:rPr>
  </w:style>
  <w:style w:type="paragraph" w:customStyle="1" w:styleId="56">
    <w:name w:val="ec_msonormal"/>
    <w:basedOn w:val="1"/>
    <w:qFormat/>
    <w:uiPriority w:val="0"/>
    <w:pPr>
      <w:widowControl/>
      <w:spacing w:before="100" w:beforeAutospacing="1" w:after="100" w:afterAutospacing="1"/>
      <w:jc w:val="left"/>
    </w:pPr>
    <w:rPr>
      <w:rFonts w:ascii="宋体" w:hAnsi="宋体"/>
      <w:kern w:val="0"/>
      <w:sz w:val="24"/>
    </w:rPr>
  </w:style>
  <w:style w:type="paragraph" w:customStyle="1" w:styleId="57">
    <w:name w:val="标题1"/>
    <w:basedOn w:val="1"/>
    <w:next w:val="1"/>
    <w:qFormat/>
    <w:uiPriority w:val="0"/>
    <w:pPr>
      <w:tabs>
        <w:tab w:val="left" w:pos="9193"/>
        <w:tab w:val="left" w:pos="9827"/>
      </w:tabs>
      <w:autoSpaceDE w:val="0"/>
      <w:autoSpaceDN w:val="0"/>
      <w:snapToGrid w:val="0"/>
      <w:spacing w:line="700" w:lineRule="atLeast"/>
      <w:jc w:val="center"/>
    </w:pPr>
    <w:rPr>
      <w:rFonts w:ascii="方正小标宋_GBK" w:eastAsia="方正小标宋_GBK"/>
      <w:snapToGrid w:val="0"/>
      <w:kern w:val="0"/>
      <w:sz w:val="44"/>
      <w:szCs w:val="20"/>
    </w:rPr>
  </w:style>
  <w:style w:type="paragraph" w:customStyle="1" w:styleId="58">
    <w:name w:val="Char Char Char Char Char Char Char Char Char Char Char Char Char"/>
    <w:basedOn w:val="1"/>
    <w:qFormat/>
    <w:uiPriority w:val="0"/>
  </w:style>
  <w:style w:type="paragraph" w:customStyle="1" w:styleId="59">
    <w:name w:val="Char Char 字元 字元 字元 Char Char Char Char"/>
    <w:basedOn w:val="1"/>
    <w:qFormat/>
    <w:uiPriority w:val="0"/>
    <w:pPr>
      <w:adjustRightInd w:val="0"/>
      <w:spacing w:line="360" w:lineRule="auto"/>
    </w:pPr>
    <w:rPr>
      <w:kern w:val="0"/>
      <w:sz w:val="24"/>
      <w:szCs w:val="20"/>
    </w:rPr>
  </w:style>
  <w:style w:type="paragraph" w:customStyle="1" w:styleId="60">
    <w:name w:val="Char Char Char Char1"/>
    <w:basedOn w:val="1"/>
    <w:qFormat/>
    <w:uiPriority w:val="0"/>
    <w:rPr>
      <w:rFonts w:ascii="Tahoma" w:hAnsi="Tahoma"/>
      <w:sz w:val="24"/>
      <w:szCs w:val="20"/>
    </w:rPr>
  </w:style>
  <w:style w:type="paragraph" w:customStyle="1" w:styleId="61">
    <w:name w:val="样式 正文文本缩进 3 + 四号"/>
    <w:basedOn w:val="34"/>
    <w:qFormat/>
    <w:uiPriority w:val="0"/>
    <w:pPr>
      <w:spacing w:after="0" w:line="360" w:lineRule="auto"/>
      <w:ind w:left="0" w:leftChars="0" w:firstLine="437"/>
    </w:pPr>
    <w:rPr>
      <w:sz w:val="24"/>
      <w:szCs w:val="21"/>
    </w:rPr>
  </w:style>
  <w:style w:type="paragraph" w:customStyle="1" w:styleId="62">
    <w:name w:val="表格"/>
    <w:basedOn w:val="1"/>
    <w:qFormat/>
    <w:uiPriority w:val="0"/>
    <w:rPr>
      <w:rFonts w:ascii="Arial" w:hAnsi="Arial"/>
      <w:sz w:val="24"/>
    </w:rPr>
  </w:style>
  <w:style w:type="paragraph" w:customStyle="1" w:styleId="63">
    <w:name w:val="标题------4"/>
    <w:basedOn w:val="8"/>
    <w:qFormat/>
    <w:uiPriority w:val="0"/>
    <w:pPr>
      <w:keepLines/>
      <w:spacing w:line="360" w:lineRule="auto"/>
      <w:ind w:left="960" w:hanging="420"/>
      <w:jc w:val="both"/>
    </w:pPr>
    <w:rPr>
      <w:rFonts w:ascii="仿宋_GB2312" w:hAnsi="宋体" w:eastAsia="仿宋_GB2312" w:cs="仿宋_GB2312"/>
      <w:b/>
      <w:sz w:val="28"/>
      <w:szCs w:val="28"/>
      <w:lang w:val="zh-CN"/>
    </w:rPr>
  </w:style>
  <w:style w:type="paragraph" w:customStyle="1" w:styleId="64">
    <w:name w:val="Char Char1 Char Char Char Char Char Char"/>
    <w:basedOn w:val="1"/>
    <w:qFormat/>
    <w:uiPriority w:val="0"/>
    <w:pPr>
      <w:widowControl/>
      <w:spacing w:after="160" w:line="240" w:lineRule="exact"/>
      <w:jc w:val="left"/>
    </w:pPr>
    <w:rPr>
      <w:rFonts w:ascii="Verdana" w:hAnsi="Verdana" w:eastAsia="仿宋_GB2312"/>
      <w:kern w:val="0"/>
      <w:sz w:val="24"/>
      <w:szCs w:val="20"/>
      <w:lang w:eastAsia="en-US"/>
    </w:rPr>
  </w:style>
  <w:style w:type="paragraph" w:customStyle="1" w:styleId="65">
    <w:name w:val="2cxspmiddle"/>
    <w:basedOn w:val="1"/>
    <w:qFormat/>
    <w:uiPriority w:val="0"/>
    <w:pPr>
      <w:widowControl/>
      <w:spacing w:before="100" w:beforeAutospacing="1" w:after="100" w:afterAutospacing="1"/>
      <w:jc w:val="left"/>
    </w:pPr>
    <w:rPr>
      <w:rFonts w:ascii="宋体" w:hAnsi="宋体" w:cs="宋体"/>
      <w:kern w:val="0"/>
      <w:sz w:val="24"/>
    </w:rPr>
  </w:style>
  <w:style w:type="paragraph" w:customStyle="1" w:styleId="66">
    <w:name w:val="Char Char Char Char Char Char Char Char Char Char Char Char Char1"/>
    <w:basedOn w:val="1"/>
    <w:qFormat/>
    <w:uiPriority w:val="0"/>
    <w:rPr>
      <w:sz w:val="24"/>
    </w:rPr>
  </w:style>
  <w:style w:type="paragraph" w:customStyle="1" w:styleId="67">
    <w:name w:val="普通正文"/>
    <w:basedOn w:val="1"/>
    <w:link w:val="115"/>
    <w:qFormat/>
    <w:uiPriority w:val="0"/>
    <w:pPr>
      <w:adjustRightInd w:val="0"/>
      <w:spacing w:before="120" w:after="120" w:line="360" w:lineRule="auto"/>
      <w:ind w:left="-2" w:right="120" w:firstLine="480"/>
      <w:jc w:val="center"/>
      <w:textAlignment w:val="baseline"/>
    </w:pPr>
    <w:rPr>
      <w:rFonts w:ascii="Arial" w:hAnsi="Arial"/>
      <w:kern w:val="0"/>
      <w:sz w:val="24"/>
    </w:rPr>
  </w:style>
  <w:style w:type="paragraph" w:customStyle="1" w:styleId="68">
    <w:name w:val="ssss"/>
    <w:basedOn w:val="1"/>
    <w:link w:val="127"/>
    <w:qFormat/>
    <w:uiPriority w:val="0"/>
    <w:pPr>
      <w:spacing w:line="360" w:lineRule="auto"/>
      <w:ind w:firstLine="480" w:firstLineChars="200"/>
    </w:pPr>
    <w:rPr>
      <w:kern w:val="0"/>
      <w:sz w:val="24"/>
    </w:rPr>
  </w:style>
  <w:style w:type="paragraph" w:customStyle="1" w:styleId="69">
    <w:name w:val="msonormalcxsplast"/>
    <w:basedOn w:val="1"/>
    <w:qFormat/>
    <w:uiPriority w:val="0"/>
    <w:pPr>
      <w:widowControl/>
      <w:spacing w:before="100" w:beforeAutospacing="1" w:after="100" w:afterAutospacing="1"/>
      <w:jc w:val="left"/>
    </w:pPr>
    <w:rPr>
      <w:rFonts w:ascii="宋体" w:hAnsi="宋体" w:cs="宋体"/>
      <w:kern w:val="0"/>
      <w:sz w:val="24"/>
    </w:rPr>
  </w:style>
  <w:style w:type="paragraph" w:customStyle="1" w:styleId="70">
    <w:name w:val="161"/>
    <w:basedOn w:val="1"/>
    <w:qFormat/>
    <w:uiPriority w:val="99"/>
    <w:pPr>
      <w:widowControl/>
      <w:spacing w:before="100" w:beforeAutospacing="1" w:after="100" w:afterAutospacing="1"/>
      <w:jc w:val="left"/>
    </w:pPr>
    <w:rPr>
      <w:rFonts w:ascii="宋体" w:hAnsi="宋体" w:cs="宋体"/>
      <w:kern w:val="0"/>
      <w:sz w:val="24"/>
    </w:rPr>
  </w:style>
  <w:style w:type="paragraph" w:customStyle="1" w:styleId="71">
    <w:name w:val="标题-----3"/>
    <w:basedOn w:val="7"/>
    <w:qFormat/>
    <w:uiPriority w:val="0"/>
    <w:pPr>
      <w:spacing w:before="0" w:after="0" w:line="240" w:lineRule="auto"/>
      <w:outlineLvl w:val="0"/>
    </w:pPr>
    <w:rPr>
      <w:rFonts w:ascii="宋体" w:hAnsi="宋体"/>
      <w:b w:val="0"/>
      <w:bCs w:val="0"/>
      <w:sz w:val="28"/>
      <w:szCs w:val="28"/>
    </w:rPr>
  </w:style>
  <w:style w:type="paragraph" w:customStyle="1" w:styleId="72">
    <w:name w:val="样式 ssss + 宋体 五号"/>
    <w:basedOn w:val="68"/>
    <w:qFormat/>
    <w:uiPriority w:val="0"/>
    <w:pPr>
      <w:ind w:firstLine="420"/>
    </w:pPr>
    <w:rPr>
      <w:rFonts w:ascii="宋体" w:hAnsi="宋体" w:cs="宋体"/>
      <w:szCs w:val="20"/>
    </w:rPr>
  </w:style>
  <w:style w:type="paragraph" w:customStyle="1" w:styleId="73">
    <w:name w:val="表格正文"/>
    <w:basedOn w:val="1"/>
    <w:qFormat/>
    <w:uiPriority w:val="0"/>
    <w:pPr>
      <w:spacing w:line="360" w:lineRule="auto"/>
      <w:jc w:val="left"/>
    </w:pPr>
    <w:rPr>
      <w:rFonts w:ascii="Calibri" w:hAnsi="Calibri"/>
      <w:color w:val="000000"/>
      <w:szCs w:val="28"/>
    </w:rPr>
  </w:style>
  <w:style w:type="paragraph" w:customStyle="1" w:styleId="74">
    <w:name w:val="列出段落1"/>
    <w:basedOn w:val="1"/>
    <w:qFormat/>
    <w:uiPriority w:val="99"/>
    <w:pPr>
      <w:widowControl/>
      <w:ind w:left="720"/>
      <w:contextualSpacing/>
      <w:jc w:val="left"/>
    </w:pPr>
    <w:rPr>
      <w:rFonts w:ascii="Calibri" w:hAnsi="Calibri" w:cs="宋体"/>
      <w:kern w:val="0"/>
      <w:sz w:val="24"/>
    </w:rPr>
  </w:style>
  <w:style w:type="paragraph" w:customStyle="1" w:styleId="75">
    <w:name w:val="2cxsplast"/>
    <w:basedOn w:val="1"/>
    <w:qFormat/>
    <w:uiPriority w:val="0"/>
    <w:pPr>
      <w:widowControl/>
      <w:spacing w:before="100" w:beforeAutospacing="1" w:after="100" w:afterAutospacing="1"/>
      <w:jc w:val="left"/>
    </w:pPr>
    <w:rPr>
      <w:rFonts w:ascii="宋体" w:hAnsi="宋体" w:cs="宋体"/>
      <w:kern w:val="0"/>
      <w:sz w:val="24"/>
    </w:rPr>
  </w:style>
  <w:style w:type="paragraph" w:customStyle="1" w:styleId="76">
    <w:name w:val="正文样式1"/>
    <w:basedOn w:val="1"/>
    <w:qFormat/>
    <w:uiPriority w:val="0"/>
    <w:pPr>
      <w:spacing w:before="120" w:after="120" w:line="360" w:lineRule="auto"/>
      <w:ind w:firstLine="480" w:firstLineChars="200"/>
    </w:pPr>
    <w:rPr>
      <w:sz w:val="24"/>
      <w:szCs w:val="20"/>
    </w:rPr>
  </w:style>
  <w:style w:type="paragraph" w:customStyle="1" w:styleId="77">
    <w:name w:val="FA正文"/>
    <w:basedOn w:val="1"/>
    <w:link w:val="134"/>
    <w:qFormat/>
    <w:uiPriority w:val="0"/>
    <w:pPr>
      <w:tabs>
        <w:tab w:val="left" w:pos="3375"/>
      </w:tabs>
      <w:spacing w:line="440" w:lineRule="atLeast"/>
      <w:ind w:firstLine="538" w:firstLineChars="192"/>
    </w:pPr>
    <w:rPr>
      <w:rFonts w:ascii="宋体" w:hAnsi="宋体"/>
      <w:kern w:val="0"/>
      <w:sz w:val="28"/>
      <w:szCs w:val="28"/>
    </w:rPr>
  </w:style>
  <w:style w:type="paragraph" w:customStyle="1" w:styleId="78">
    <w:name w:val="Char"/>
    <w:basedOn w:val="1"/>
    <w:qFormat/>
    <w:uiPriority w:val="99"/>
    <w:pPr>
      <w:tabs>
        <w:tab w:val="left" w:pos="360"/>
      </w:tabs>
    </w:pPr>
    <w:rPr>
      <w:sz w:val="24"/>
    </w:rPr>
  </w:style>
  <w:style w:type="paragraph" w:customStyle="1" w:styleId="79">
    <w:name w:val="样式 ssss + 居中"/>
    <w:basedOn w:val="68"/>
    <w:qFormat/>
    <w:uiPriority w:val="0"/>
    <w:pPr>
      <w:jc w:val="center"/>
    </w:pPr>
    <w:rPr>
      <w:rFonts w:cs="宋体"/>
      <w:szCs w:val="20"/>
    </w:rPr>
  </w:style>
  <w:style w:type="paragraph" w:customStyle="1" w:styleId="80">
    <w:name w:val="msonormalcxspmiddle"/>
    <w:basedOn w:val="1"/>
    <w:qFormat/>
    <w:uiPriority w:val="0"/>
    <w:pPr>
      <w:widowControl/>
      <w:spacing w:before="100" w:beforeAutospacing="1" w:after="100" w:afterAutospacing="1"/>
      <w:jc w:val="left"/>
    </w:pPr>
    <w:rPr>
      <w:rFonts w:ascii="宋体" w:hAnsi="宋体" w:cs="宋体"/>
      <w:kern w:val="0"/>
      <w:sz w:val="24"/>
    </w:rPr>
  </w:style>
  <w:style w:type="paragraph" w:customStyle="1" w:styleId="81">
    <w:name w:val="xl25"/>
    <w:basedOn w:val="1"/>
    <w:qFormat/>
    <w:uiPriority w:val="0"/>
    <w:pPr>
      <w:widowControl/>
      <w:pBdr>
        <w:bottom w:val="single" w:color="auto" w:sz="4" w:space="0"/>
        <w:right w:val="single" w:color="auto" w:sz="4" w:space="0"/>
      </w:pBdr>
      <w:spacing w:before="100" w:beforeAutospacing="1" w:after="100" w:afterAutospacing="1"/>
    </w:pPr>
    <w:rPr>
      <w:rFonts w:hint="eastAsia" w:ascii="华文细黑" w:hAnsi="华文细黑" w:eastAsia="华文细黑"/>
      <w:kern w:val="0"/>
      <w:sz w:val="18"/>
      <w:szCs w:val="18"/>
    </w:rPr>
  </w:style>
  <w:style w:type="paragraph" w:customStyle="1" w:styleId="82">
    <w:name w:val="正文缩进2格"/>
    <w:basedOn w:val="1"/>
    <w:link w:val="98"/>
    <w:qFormat/>
    <w:uiPriority w:val="0"/>
    <w:pPr>
      <w:spacing w:line="600" w:lineRule="exact"/>
      <w:ind w:firstLine="639" w:firstLineChars="206"/>
    </w:pPr>
    <w:rPr>
      <w:rFonts w:ascii="仿宋_GB2312" w:hAnsi="宋体" w:eastAsia="仿宋_GB2312"/>
      <w:kern w:val="0"/>
      <w:sz w:val="31"/>
      <w:szCs w:val="28"/>
    </w:rPr>
  </w:style>
  <w:style w:type="paragraph" w:customStyle="1" w:styleId="83">
    <w:name w:val="样式 ssss + 宋体 五号1"/>
    <w:basedOn w:val="68"/>
    <w:link w:val="129"/>
    <w:qFormat/>
    <w:uiPriority w:val="0"/>
    <w:rPr>
      <w:rFonts w:ascii="宋体" w:hAnsi="宋体"/>
    </w:rPr>
  </w:style>
  <w:style w:type="paragraph" w:customStyle="1" w:styleId="84">
    <w:name w:val="正文1"/>
    <w:qFormat/>
    <w:uiPriority w:val="0"/>
    <w:pPr>
      <w:widowControl w:val="0"/>
      <w:adjustRightInd w:val="0"/>
      <w:spacing w:line="315" w:lineRule="atLeast"/>
      <w:jc w:val="both"/>
      <w:textAlignment w:val="baseline"/>
    </w:pPr>
    <w:rPr>
      <w:rFonts w:ascii="宋体" w:hAnsi="Times New Roman" w:eastAsia="宋体" w:cs="Times New Roman"/>
      <w:sz w:val="24"/>
      <w:lang w:val="en-US" w:eastAsia="zh-CN" w:bidi="ar-SA"/>
    </w:rPr>
  </w:style>
  <w:style w:type="paragraph" w:customStyle="1" w:styleId="85">
    <w:name w:val="Char1"/>
    <w:basedOn w:val="1"/>
    <w:qFormat/>
    <w:uiPriority w:val="0"/>
    <w:rPr>
      <w:rFonts w:ascii="Tahoma" w:hAnsi="Tahoma"/>
      <w:sz w:val="24"/>
      <w:szCs w:val="20"/>
    </w:rPr>
  </w:style>
  <w:style w:type="paragraph" w:customStyle="1" w:styleId="86">
    <w:name w:val="Char Char Char Char Char Char Char Char Char Char"/>
    <w:basedOn w:val="1"/>
    <w:qFormat/>
    <w:uiPriority w:val="0"/>
    <w:rPr>
      <w:rFonts w:ascii="Tahoma" w:hAnsi="Tahoma"/>
      <w:sz w:val="24"/>
      <w:szCs w:val="20"/>
    </w:rPr>
  </w:style>
  <w:style w:type="paragraph" w:customStyle="1" w:styleId="87">
    <w:name w:val="Header2"/>
    <w:basedOn w:val="1"/>
    <w:qFormat/>
    <w:uiPriority w:val="0"/>
    <w:pPr>
      <w:numPr>
        <w:ilvl w:val="0"/>
        <w:numId w:val="1"/>
      </w:numPr>
    </w:pPr>
  </w:style>
  <w:style w:type="paragraph" w:customStyle="1" w:styleId="88">
    <w:name w:val="样式 样式 ssss + 宋体 五号 + 首行缩进:  2 字符"/>
    <w:basedOn w:val="72"/>
    <w:qFormat/>
    <w:uiPriority w:val="0"/>
    <w:pPr>
      <w:ind w:firstLine="480"/>
    </w:pPr>
  </w:style>
  <w:style w:type="character" w:customStyle="1" w:styleId="89">
    <w:name w:val="10"/>
    <w:qFormat/>
    <w:uiPriority w:val="0"/>
    <w:rPr>
      <w:rFonts w:hint="default" w:ascii="Times New Roman" w:hAnsi="Times New Roman" w:cs="Times New Roman"/>
    </w:rPr>
  </w:style>
  <w:style w:type="character" w:customStyle="1" w:styleId="90">
    <w:name w:val="正文文本 2 Char"/>
    <w:link w:val="37"/>
    <w:qFormat/>
    <w:uiPriority w:val="0"/>
    <w:rPr>
      <w:rFonts w:ascii="Times New Roman" w:hAnsi="Times New Roman" w:eastAsia="宋体" w:cs="Times New Roman"/>
      <w:b/>
      <w:bCs/>
      <w:sz w:val="18"/>
      <w:szCs w:val="24"/>
    </w:rPr>
  </w:style>
  <w:style w:type="character" w:customStyle="1" w:styleId="91">
    <w:name w:val="标题 6 Char"/>
    <w:link w:val="10"/>
    <w:qFormat/>
    <w:uiPriority w:val="9"/>
    <w:rPr>
      <w:rFonts w:ascii="Times New Roman" w:hAnsi="Times New Roman" w:eastAsia="宋体" w:cs="Times New Roman"/>
      <w:b/>
      <w:sz w:val="44"/>
      <w:szCs w:val="20"/>
    </w:rPr>
  </w:style>
  <w:style w:type="character" w:customStyle="1" w:styleId="92">
    <w:name w:val="标题 7 Char"/>
    <w:link w:val="12"/>
    <w:qFormat/>
    <w:uiPriority w:val="0"/>
    <w:rPr>
      <w:rFonts w:ascii="Times New Roman" w:hAnsi="Times New Roman" w:eastAsia="宋体" w:cs="Times New Roman"/>
      <w:b/>
      <w:bCs/>
      <w:sz w:val="24"/>
      <w:szCs w:val="24"/>
    </w:rPr>
  </w:style>
  <w:style w:type="character" w:customStyle="1" w:styleId="93">
    <w:name w:val="point_normal1"/>
    <w:qFormat/>
    <w:uiPriority w:val="0"/>
    <w:rPr>
      <w:rFonts w:hint="default" w:ascii="Arial" w:hAnsi="Arial" w:cs="Arial"/>
      <w:sz w:val="16"/>
      <w:szCs w:val="16"/>
    </w:rPr>
  </w:style>
  <w:style w:type="character" w:customStyle="1" w:styleId="94">
    <w:name w:val="标题 8 Char"/>
    <w:link w:val="13"/>
    <w:qFormat/>
    <w:uiPriority w:val="0"/>
    <w:rPr>
      <w:rFonts w:ascii="Arial" w:hAnsi="Arial" w:eastAsia="黑体" w:cs="Times New Roman"/>
      <w:sz w:val="24"/>
      <w:szCs w:val="24"/>
    </w:rPr>
  </w:style>
  <w:style w:type="character" w:customStyle="1" w:styleId="95">
    <w:name w:val="正文文本 3 Char"/>
    <w:link w:val="18"/>
    <w:qFormat/>
    <w:uiPriority w:val="0"/>
    <w:rPr>
      <w:rFonts w:ascii="Times New Roman" w:hAnsi="Times New Roman" w:eastAsia="宋体" w:cs="Times New Roman"/>
      <w:sz w:val="16"/>
      <w:szCs w:val="16"/>
    </w:rPr>
  </w:style>
  <w:style w:type="character" w:customStyle="1" w:styleId="96">
    <w:name w:val="30"/>
    <w:qFormat/>
    <w:uiPriority w:val="0"/>
    <w:rPr>
      <w:rFonts w:hint="default" w:ascii="Times New Roman" w:hAnsi="Times New Roman" w:cs="Times New Roman"/>
    </w:rPr>
  </w:style>
  <w:style w:type="character" w:customStyle="1" w:styleId="97">
    <w:name w:val="15"/>
    <w:qFormat/>
    <w:uiPriority w:val="0"/>
    <w:rPr>
      <w:rFonts w:hint="default" w:ascii="Times New Roman" w:hAnsi="Times New Roman" w:cs="Times New Roman"/>
      <w:color w:val="0000FF"/>
    </w:rPr>
  </w:style>
  <w:style w:type="character" w:customStyle="1" w:styleId="98">
    <w:name w:val="正文缩进2格 Char"/>
    <w:link w:val="82"/>
    <w:qFormat/>
    <w:uiPriority w:val="0"/>
    <w:rPr>
      <w:rFonts w:ascii="仿宋_GB2312" w:hAnsi="宋体" w:eastAsia="仿宋_GB2312" w:cs="Times New Roman"/>
      <w:sz w:val="31"/>
      <w:szCs w:val="28"/>
    </w:rPr>
  </w:style>
  <w:style w:type="character" w:customStyle="1" w:styleId="99">
    <w:name w:val="列出段落 Char"/>
    <w:link w:val="55"/>
    <w:qFormat/>
    <w:locked/>
    <w:uiPriority w:val="99"/>
  </w:style>
  <w:style w:type="character" w:customStyle="1" w:styleId="100">
    <w:name w:val="页眉 Char"/>
    <w:link w:val="28"/>
    <w:qFormat/>
    <w:uiPriority w:val="99"/>
    <w:rPr>
      <w:rFonts w:ascii="Times New Roman" w:hAnsi="Times New Roman" w:eastAsia="宋体" w:cs="Times New Roman"/>
      <w:sz w:val="18"/>
      <w:szCs w:val="18"/>
    </w:rPr>
  </w:style>
  <w:style w:type="character" w:customStyle="1" w:styleId="101">
    <w:name w:val="页脚 Char"/>
    <w:link w:val="27"/>
    <w:qFormat/>
    <w:uiPriority w:val="99"/>
    <w:rPr>
      <w:rFonts w:ascii="Times New Roman" w:hAnsi="Times New Roman" w:eastAsia="宋体" w:cs="Times New Roman"/>
      <w:sz w:val="18"/>
      <w:szCs w:val="20"/>
    </w:rPr>
  </w:style>
  <w:style w:type="character" w:customStyle="1" w:styleId="102">
    <w:name w:val="正文首行缩进 Char"/>
    <w:link w:val="40"/>
    <w:qFormat/>
    <w:uiPriority w:val="0"/>
    <w:rPr>
      <w:rFonts w:ascii="Times New Roman" w:hAnsi="Times New Roman" w:eastAsia="宋体" w:cs="Times New Roman"/>
      <w:sz w:val="24"/>
      <w:szCs w:val="24"/>
    </w:rPr>
  </w:style>
  <w:style w:type="character" w:customStyle="1" w:styleId="103">
    <w:name w:val="16"/>
    <w:qFormat/>
    <w:uiPriority w:val="0"/>
    <w:rPr>
      <w:rFonts w:hint="default" w:ascii="Times New Roman" w:hAnsi="Times New Roman" w:cs="Times New Roman"/>
    </w:rPr>
  </w:style>
  <w:style w:type="character" w:customStyle="1" w:styleId="104">
    <w:name w:val="日期 Char"/>
    <w:link w:val="24"/>
    <w:qFormat/>
    <w:uiPriority w:val="0"/>
    <w:rPr>
      <w:rFonts w:ascii="Times New Roman" w:hAnsi="Times New Roman" w:eastAsia="宋体" w:cs="Times New Roman"/>
      <w:sz w:val="24"/>
      <w:szCs w:val="20"/>
    </w:rPr>
  </w:style>
  <w:style w:type="character" w:customStyle="1" w:styleId="105">
    <w:name w:val="列表段落 字符"/>
    <w:qFormat/>
    <w:uiPriority w:val="34"/>
    <w:rPr>
      <w:rFonts w:ascii="Calibri" w:hAnsi="Calibri"/>
      <w:kern w:val="2"/>
      <w:sz w:val="21"/>
      <w:szCs w:val="22"/>
    </w:rPr>
  </w:style>
  <w:style w:type="character" w:customStyle="1" w:styleId="106">
    <w:name w:val="文档结构图 Char1"/>
    <w:semiHidden/>
    <w:qFormat/>
    <w:uiPriority w:val="99"/>
    <w:rPr>
      <w:rFonts w:ascii="宋体" w:hAnsi="Times New Roman" w:eastAsia="宋体" w:cs="Times New Roman"/>
      <w:sz w:val="18"/>
      <w:szCs w:val="18"/>
    </w:rPr>
  </w:style>
  <w:style w:type="character" w:customStyle="1" w:styleId="107">
    <w:name w:val="18"/>
    <w:qFormat/>
    <w:uiPriority w:val="0"/>
    <w:rPr>
      <w:rFonts w:hint="eastAsia" w:ascii="宋体" w:hAnsi="宋体" w:eastAsia="宋体"/>
      <w:kern w:val="2"/>
      <w:sz w:val="18"/>
      <w:szCs w:val="18"/>
    </w:rPr>
  </w:style>
  <w:style w:type="character" w:customStyle="1" w:styleId="108">
    <w:name w:val="cn_text1"/>
    <w:qFormat/>
    <w:uiPriority w:val="0"/>
    <w:rPr>
      <w:rFonts w:hint="default" w:ascii="ˎ̥" w:hAnsi="ˎ̥"/>
      <w:color w:val="003399"/>
      <w:spacing w:val="15"/>
      <w:sz w:val="18"/>
      <w:szCs w:val="18"/>
    </w:rPr>
  </w:style>
  <w:style w:type="character" w:customStyle="1" w:styleId="109">
    <w:name w:val="标题 1 Char"/>
    <w:link w:val="5"/>
    <w:qFormat/>
    <w:uiPriority w:val="0"/>
    <w:rPr>
      <w:rFonts w:ascii="Times New Roman" w:hAnsi="Times New Roman" w:eastAsia="宋体" w:cs="Times New Roman"/>
      <w:b/>
      <w:bCs/>
      <w:kern w:val="44"/>
      <w:sz w:val="44"/>
      <w:szCs w:val="44"/>
    </w:rPr>
  </w:style>
  <w:style w:type="character" w:customStyle="1" w:styleId="110">
    <w:name w:val="22"/>
    <w:qFormat/>
    <w:uiPriority w:val="0"/>
    <w:rPr>
      <w:rFonts w:hint="default" w:ascii="Times New Roman" w:hAnsi="Times New Roman" w:cs="Times New Roman"/>
    </w:rPr>
  </w:style>
  <w:style w:type="character" w:customStyle="1" w:styleId="111">
    <w:name w:val="20"/>
    <w:qFormat/>
    <w:uiPriority w:val="0"/>
    <w:rPr>
      <w:rFonts w:hint="default" w:ascii="Times New Roman" w:hAnsi="Times New Roman" w:cs="Times New Roman"/>
    </w:rPr>
  </w:style>
  <w:style w:type="character" w:customStyle="1" w:styleId="112">
    <w:name w:val="正文文本缩进 3 Char"/>
    <w:link w:val="34"/>
    <w:qFormat/>
    <w:uiPriority w:val="0"/>
    <w:rPr>
      <w:rFonts w:ascii="Times New Roman" w:hAnsi="Times New Roman" w:eastAsia="宋体" w:cs="Times New Roman"/>
      <w:sz w:val="16"/>
      <w:szCs w:val="16"/>
    </w:rPr>
  </w:style>
  <w:style w:type="character" w:customStyle="1" w:styleId="113">
    <w:name w:val="标题 2 Char"/>
    <w:link w:val="6"/>
    <w:qFormat/>
    <w:uiPriority w:val="0"/>
    <w:rPr>
      <w:rFonts w:ascii="Arial" w:hAnsi="Arial" w:eastAsia="黑体" w:cs="Times New Roman"/>
      <w:b/>
      <w:bCs/>
      <w:sz w:val="32"/>
      <w:szCs w:val="32"/>
    </w:rPr>
  </w:style>
  <w:style w:type="character" w:customStyle="1" w:styleId="114">
    <w:name w:val="33"/>
    <w:qFormat/>
    <w:uiPriority w:val="0"/>
    <w:rPr>
      <w:rFonts w:hint="default" w:ascii="Times New Roman" w:hAnsi="Times New Roman" w:cs="Times New Roman"/>
      <w:shd w:val="clear" w:color="auto" w:fill="FFFFFF"/>
    </w:rPr>
  </w:style>
  <w:style w:type="character" w:customStyle="1" w:styleId="115">
    <w:name w:val="普通正文 Char"/>
    <w:link w:val="67"/>
    <w:qFormat/>
    <w:uiPriority w:val="0"/>
    <w:rPr>
      <w:rFonts w:ascii="Arial" w:hAnsi="Arial"/>
      <w:sz w:val="24"/>
      <w:szCs w:val="24"/>
    </w:rPr>
  </w:style>
  <w:style w:type="character" w:customStyle="1" w:styleId="116">
    <w:name w:val="24"/>
    <w:qFormat/>
    <w:uiPriority w:val="0"/>
    <w:rPr>
      <w:rFonts w:hint="default" w:ascii="Courier New" w:hAnsi="Courier New" w:cs="Courier New"/>
    </w:rPr>
  </w:style>
  <w:style w:type="character" w:customStyle="1" w:styleId="117">
    <w:name w:val="正文缩进 Char"/>
    <w:link w:val="11"/>
    <w:qFormat/>
    <w:uiPriority w:val="0"/>
    <w:rPr>
      <w:rFonts w:ascii="Times New Roman" w:hAnsi="Times New Roman" w:eastAsia="宋体" w:cs="Times New Roman"/>
      <w:kern w:val="0"/>
      <w:sz w:val="20"/>
      <w:szCs w:val="20"/>
    </w:rPr>
  </w:style>
  <w:style w:type="character" w:customStyle="1" w:styleId="118">
    <w:name w:val="28"/>
    <w:qFormat/>
    <w:uiPriority w:val="0"/>
    <w:rPr>
      <w:rFonts w:hint="default" w:ascii="Courier New" w:hAnsi="Courier New" w:cs="Courier New"/>
      <w:sz w:val="20"/>
      <w:szCs w:val="20"/>
    </w:rPr>
  </w:style>
  <w:style w:type="character" w:customStyle="1" w:styleId="119">
    <w:name w:val="31"/>
    <w:qFormat/>
    <w:uiPriority w:val="0"/>
    <w:rPr>
      <w:rFonts w:hint="default" w:ascii="Courier New" w:hAnsi="Courier New" w:cs="Courier New"/>
      <w:sz w:val="20"/>
      <w:szCs w:val="20"/>
    </w:rPr>
  </w:style>
  <w:style w:type="character" w:customStyle="1" w:styleId="120">
    <w:name w:val="文档结构图 Char"/>
    <w:link w:val="16"/>
    <w:qFormat/>
    <w:uiPriority w:val="99"/>
    <w:rPr>
      <w:szCs w:val="24"/>
      <w:shd w:val="clear" w:color="auto" w:fill="000080"/>
    </w:rPr>
  </w:style>
  <w:style w:type="character" w:customStyle="1" w:styleId="121">
    <w:name w:val="27"/>
    <w:qFormat/>
    <w:uiPriority w:val="0"/>
    <w:rPr>
      <w:rFonts w:hint="default" w:ascii="Cambria" w:hAnsi="Cambria" w:eastAsia="宋体" w:cs="Times New Roman"/>
      <w:b/>
      <w:bCs/>
      <w:kern w:val="2"/>
      <w:sz w:val="28"/>
      <w:szCs w:val="28"/>
    </w:rPr>
  </w:style>
  <w:style w:type="character" w:customStyle="1" w:styleId="122">
    <w:name w:val="标题 3 Char"/>
    <w:link w:val="7"/>
    <w:qFormat/>
    <w:uiPriority w:val="0"/>
    <w:rPr>
      <w:rFonts w:ascii="Times New Roman" w:hAnsi="Times New Roman" w:eastAsia="宋体" w:cs="Times New Roman"/>
      <w:b/>
      <w:bCs/>
      <w:sz w:val="32"/>
      <w:szCs w:val="32"/>
    </w:rPr>
  </w:style>
  <w:style w:type="character" w:customStyle="1" w:styleId="123">
    <w:name w:val="正文文本缩进 2 Char"/>
    <w:link w:val="25"/>
    <w:qFormat/>
    <w:uiPriority w:val="0"/>
    <w:rPr>
      <w:rFonts w:ascii="Times New Roman" w:hAnsi="Times New Roman" w:eastAsia="仿宋_GB2312" w:cs="Times New Roman"/>
      <w:sz w:val="28"/>
      <w:szCs w:val="20"/>
    </w:rPr>
  </w:style>
  <w:style w:type="character" w:customStyle="1" w:styleId="124">
    <w:name w:val="标题 9 Char"/>
    <w:link w:val="14"/>
    <w:qFormat/>
    <w:uiPriority w:val="0"/>
    <w:rPr>
      <w:rFonts w:ascii="Arial" w:hAnsi="Arial" w:eastAsia="黑体" w:cs="Times New Roman"/>
      <w:sz w:val="24"/>
      <w:szCs w:val="21"/>
    </w:rPr>
  </w:style>
  <w:style w:type="character" w:customStyle="1" w:styleId="125">
    <w:name w:val="HTML 预设格式 Char"/>
    <w:link w:val="38"/>
    <w:qFormat/>
    <w:uiPriority w:val="99"/>
    <w:rPr>
      <w:rFonts w:ascii="宋体" w:hAnsi="宋体" w:cs="宋体"/>
      <w:sz w:val="24"/>
      <w:szCs w:val="24"/>
    </w:rPr>
  </w:style>
  <w:style w:type="character" w:customStyle="1" w:styleId="126">
    <w:name w:val="正文文本 Char"/>
    <w:link w:val="19"/>
    <w:qFormat/>
    <w:uiPriority w:val="0"/>
    <w:rPr>
      <w:rFonts w:ascii="仿宋_GB2312" w:hAnsi="Times New Roman" w:eastAsia="仿宋_GB2312" w:cs="Times New Roman"/>
      <w:sz w:val="24"/>
      <w:szCs w:val="20"/>
    </w:rPr>
  </w:style>
  <w:style w:type="character" w:customStyle="1" w:styleId="127">
    <w:name w:val="ssss Char1"/>
    <w:link w:val="68"/>
    <w:qFormat/>
    <w:uiPriority w:val="0"/>
    <w:rPr>
      <w:rFonts w:ascii="Times New Roman" w:hAnsi="Times New Roman" w:eastAsia="宋体" w:cs="Times New Roman"/>
      <w:sz w:val="24"/>
      <w:szCs w:val="24"/>
    </w:rPr>
  </w:style>
  <w:style w:type="character" w:customStyle="1" w:styleId="128">
    <w:name w:val="29"/>
    <w:qFormat/>
    <w:uiPriority w:val="0"/>
    <w:rPr>
      <w:rFonts w:hint="default" w:ascii="Times New Roman" w:hAnsi="Times New Roman" w:cs="Times New Roman"/>
      <w:kern w:val="2"/>
      <w:sz w:val="18"/>
      <w:szCs w:val="18"/>
    </w:rPr>
  </w:style>
  <w:style w:type="character" w:customStyle="1" w:styleId="129">
    <w:name w:val="样式 ssss + 宋体 五号1 Char"/>
    <w:link w:val="83"/>
    <w:qFormat/>
    <w:uiPriority w:val="0"/>
    <w:rPr>
      <w:rFonts w:ascii="宋体" w:hAnsi="宋体" w:eastAsia="宋体" w:cs="Times New Roman"/>
      <w:sz w:val="24"/>
      <w:szCs w:val="24"/>
    </w:rPr>
  </w:style>
  <w:style w:type="character" w:customStyle="1" w:styleId="130">
    <w:name w:val="32"/>
    <w:qFormat/>
    <w:uiPriority w:val="0"/>
    <w:rPr>
      <w:rFonts w:hint="default" w:ascii="Times New Roman" w:hAnsi="Times New Roman" w:cs="Times New Roman"/>
    </w:rPr>
  </w:style>
  <w:style w:type="character" w:customStyle="1" w:styleId="131">
    <w:name w:val="25"/>
    <w:qFormat/>
    <w:uiPriority w:val="0"/>
    <w:rPr>
      <w:rFonts w:hint="default" w:ascii="Times New Roman" w:hAnsi="Times New Roman" w:cs="Times New Roman"/>
      <w:b/>
      <w:bCs/>
    </w:rPr>
  </w:style>
  <w:style w:type="character" w:customStyle="1" w:styleId="132">
    <w:name w:val="批注框文本 Char1"/>
    <w:semiHidden/>
    <w:qFormat/>
    <w:uiPriority w:val="99"/>
    <w:rPr>
      <w:rFonts w:ascii="Times New Roman" w:hAnsi="Times New Roman" w:eastAsia="宋体" w:cs="Times New Roman"/>
      <w:sz w:val="18"/>
      <w:szCs w:val="18"/>
    </w:rPr>
  </w:style>
  <w:style w:type="character" w:customStyle="1" w:styleId="133">
    <w:name w:val="23"/>
    <w:qFormat/>
    <w:uiPriority w:val="0"/>
    <w:rPr>
      <w:rFonts w:hint="default" w:ascii="Courier New" w:hAnsi="Courier New" w:cs="Courier New"/>
      <w:sz w:val="20"/>
      <w:szCs w:val="20"/>
    </w:rPr>
  </w:style>
  <w:style w:type="character" w:customStyle="1" w:styleId="134">
    <w:name w:val="FA正文 Char"/>
    <w:link w:val="77"/>
    <w:qFormat/>
    <w:uiPriority w:val="0"/>
    <w:rPr>
      <w:rFonts w:ascii="宋体" w:hAnsi="宋体" w:eastAsia="宋体" w:cs="Times New Roman"/>
      <w:sz w:val="28"/>
      <w:szCs w:val="28"/>
    </w:rPr>
  </w:style>
  <w:style w:type="character" w:customStyle="1" w:styleId="135">
    <w:name w:val="标题 4 Char"/>
    <w:link w:val="8"/>
    <w:qFormat/>
    <w:uiPriority w:val="9"/>
    <w:rPr>
      <w:rFonts w:ascii="Times New Roman" w:hAnsi="Times New Roman" w:eastAsia="新宋体" w:cs="Times New Roman"/>
      <w:sz w:val="30"/>
      <w:szCs w:val="21"/>
    </w:rPr>
  </w:style>
  <w:style w:type="character" w:customStyle="1" w:styleId="136">
    <w:name w:val="标题 4 Char1"/>
    <w:qFormat/>
    <w:uiPriority w:val="0"/>
    <w:rPr>
      <w:rFonts w:ascii="Arial" w:hAnsi="Arial" w:eastAsia="黑体"/>
      <w:b/>
      <w:bCs/>
      <w:kern w:val="2"/>
      <w:sz w:val="28"/>
      <w:szCs w:val="28"/>
      <w:lang w:val="en-US" w:eastAsia="zh-CN" w:bidi="ar-SA"/>
    </w:rPr>
  </w:style>
  <w:style w:type="character" w:customStyle="1" w:styleId="137">
    <w:name w:val="17"/>
    <w:qFormat/>
    <w:uiPriority w:val="0"/>
    <w:rPr>
      <w:rFonts w:hint="default" w:ascii="Times New Roman" w:hAnsi="Times New Roman" w:cs="Times New Roman"/>
    </w:rPr>
  </w:style>
  <w:style w:type="character" w:customStyle="1" w:styleId="138">
    <w:name w:val="批注文字 Char"/>
    <w:link w:val="17"/>
    <w:qFormat/>
    <w:uiPriority w:val="99"/>
    <w:rPr>
      <w:kern w:val="2"/>
      <w:sz w:val="21"/>
      <w:szCs w:val="21"/>
    </w:rPr>
  </w:style>
  <w:style w:type="character" w:customStyle="1" w:styleId="139">
    <w:name w:val="26"/>
    <w:qFormat/>
    <w:uiPriority w:val="0"/>
    <w:rPr>
      <w:rFonts w:hint="default" w:ascii="Times New Roman" w:hAnsi="Times New Roman" w:cs="Times New Roman"/>
      <w:color w:val="800080"/>
    </w:rPr>
  </w:style>
  <w:style w:type="character" w:customStyle="1" w:styleId="140">
    <w:name w:val="ssss Char"/>
    <w:qFormat/>
    <w:uiPriority w:val="0"/>
    <w:rPr>
      <w:rFonts w:eastAsia="宋体"/>
      <w:kern w:val="2"/>
      <w:sz w:val="24"/>
      <w:szCs w:val="24"/>
      <w:lang w:val="en-US" w:eastAsia="zh-CN" w:bidi="ar-SA"/>
    </w:rPr>
  </w:style>
  <w:style w:type="character" w:customStyle="1" w:styleId="141">
    <w:name w:val="正文文本缩进 Char"/>
    <w:link w:val="3"/>
    <w:qFormat/>
    <w:uiPriority w:val="0"/>
    <w:rPr>
      <w:rFonts w:ascii="仿宋_GB2312" w:hAnsi="Times New Roman" w:eastAsia="仿宋_GB2312" w:cs="Times New Roman"/>
      <w:sz w:val="28"/>
      <w:szCs w:val="20"/>
    </w:rPr>
  </w:style>
  <w:style w:type="character" w:customStyle="1" w:styleId="142">
    <w:name w:val="纯文本 Char"/>
    <w:link w:val="22"/>
    <w:qFormat/>
    <w:uiPriority w:val="99"/>
    <w:rPr>
      <w:rFonts w:ascii="宋体" w:hAnsi="Courier New" w:eastAsia="宋体" w:cs="Courier New"/>
      <w:szCs w:val="21"/>
    </w:rPr>
  </w:style>
  <w:style w:type="character" w:customStyle="1" w:styleId="143">
    <w:name w:val="标题 5 Char"/>
    <w:link w:val="9"/>
    <w:qFormat/>
    <w:uiPriority w:val="9"/>
    <w:rPr>
      <w:rFonts w:ascii="Times New Roman" w:hAnsi="Times New Roman" w:eastAsia="宋体" w:cs="Times New Roman"/>
      <w:b/>
      <w:bCs/>
      <w:sz w:val="28"/>
      <w:szCs w:val="28"/>
    </w:rPr>
  </w:style>
  <w:style w:type="character" w:customStyle="1" w:styleId="144">
    <w:name w:val="21"/>
    <w:qFormat/>
    <w:uiPriority w:val="0"/>
    <w:rPr>
      <w:rFonts w:hint="default" w:ascii="Times New Roman" w:hAnsi="Times New Roman" w:cs="Times New Roman"/>
      <w:kern w:val="2"/>
      <w:sz w:val="18"/>
      <w:szCs w:val="18"/>
    </w:rPr>
  </w:style>
  <w:style w:type="character" w:customStyle="1" w:styleId="145">
    <w:name w:val="批注框文本 Char"/>
    <w:link w:val="26"/>
    <w:qFormat/>
    <w:uiPriority w:val="99"/>
    <w:rPr>
      <w:sz w:val="18"/>
      <w:szCs w:val="18"/>
    </w:rPr>
  </w:style>
  <w:style w:type="character" w:customStyle="1" w:styleId="146">
    <w:name w:val="19"/>
    <w:qFormat/>
    <w:uiPriority w:val="0"/>
    <w:rPr>
      <w:rFonts w:hint="default" w:ascii="Times New Roman" w:hAnsi="Times New Roman" w:cs="Times New Roman"/>
      <w:b/>
      <w:bCs/>
      <w:vanish/>
    </w:rPr>
  </w:style>
  <w:style w:type="paragraph" w:customStyle="1" w:styleId="147">
    <w:name w:val="Default"/>
    <w:qFormat/>
    <w:uiPriority w:val="0"/>
    <w:pPr>
      <w:widowControl w:val="0"/>
      <w:autoSpaceDE w:val="0"/>
      <w:autoSpaceDN w:val="0"/>
      <w:adjustRightInd w:val="0"/>
      <w:spacing w:line="360" w:lineRule="auto"/>
    </w:pPr>
    <w:rPr>
      <w:rFonts w:ascii="仿宋_GB2312" w:hAnsi="仿宋_GB2312" w:eastAsia="宋体" w:cs="仿宋_GB2312"/>
      <w:color w:val="000000"/>
      <w:sz w:val="24"/>
      <w:szCs w:val="24"/>
      <w:lang w:val="en-US" w:eastAsia="zh-CN" w:bidi="ar-SA"/>
    </w:rPr>
  </w:style>
  <w:style w:type="character" w:customStyle="1" w:styleId="148">
    <w:name w:val="NormalCharacter"/>
    <w:qFormat/>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Company>
  <Pages>66</Pages>
  <Words>46800</Words>
  <Characters>47598</Characters>
  <Lines>321</Lines>
  <Paragraphs>90</Paragraphs>
  <TotalTime>35</TotalTime>
  <ScaleCrop>false</ScaleCrop>
  <LinksUpToDate>false</LinksUpToDate>
  <CharactersWithSpaces>48910</CharactersWithSpaces>
  <Application>WPS Office_11.1.0.11636_F1E327BC-269C-435d-A152-05C5408002CA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2021-03-19T18:10:00Z</dcterms:created>
  <dc:creator>User</dc:creator>
  <cp:lastModifiedBy>童</cp:lastModifiedBy>
  <cp:lastPrinted>2021-04-17T23:25:00Z</cp:lastPrinted>
  <dcterms:modified xsi:type="dcterms:W3CDTF">2022-05-10T02:15:38Z</dcterms:modified>
  <dc:title>南通市Ⅹ项目</dc:title>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2052-11.1.0.11636</vt:lpwstr>
  </property>
  <property fmtid="{D5CDD505-2E9C-101B-9397-08002B2CF9AE}" pid="3" name="ICV">
    <vt:lpwstr>D7CB3DEBB84847129619DA3DAD096C60</vt:lpwstr>
  </property>
  <property fmtid="{D5CDD505-2E9C-101B-9397-08002B2CF9AE}" pid="4" name="commondata">
    <vt:lpwstr>eyJoZGlkIjoiNDQ3OTM1ZDcxN2JlZjZiMzRmYjVkYTZlYzdlYmY3NDUifQ==</vt:lpwstr>
  </property>
</Properties>
</file>