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Cs/>
          <w:color w:val="0D0D0D" w:themeColor="text1" w:themeTint="F2"/>
          <w:sz w:val="44"/>
          <w:szCs w:val="44"/>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13"/>
          <w14:textFill>
            <w14:solidFill>
              <w14:schemeClr w14:val="tx1">
                <w14:lumMod w14:val="95000"/>
                <w14:lumOff w14:val="5000"/>
              </w14:schemeClr>
            </w14:solidFill>
          </w14:textFill>
        </w:rPr>
      </w:pPr>
      <w:r>
        <w:rPr>
          <w:rFonts w:hint="eastAsia" w:ascii="宋体" w:hAnsi="宋体"/>
          <w:sz w:val="48"/>
          <w:szCs w:val="36"/>
        </w:rPr>
        <w:t>南通市通州区农药零差率统一配供、废弃农药包装物和农膜统一回收处理项目</w:t>
      </w:r>
    </w:p>
    <w:p>
      <w:pPr>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84"/>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84"/>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84"/>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8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84"/>
          <w14:textFill>
            <w14:solidFill>
              <w14:schemeClr w14:val="tx1">
                <w14:lumMod w14:val="95000"/>
                <w14:lumOff w14:val="5000"/>
              </w14:schemeClr>
            </w14:solidFill>
          </w14:textFill>
        </w:rPr>
        <w:t>招标文件</w:t>
      </w: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14:textFill>
            <w14:solidFill>
              <w14:schemeClr w14:val="tx1">
                <w14:lumMod w14:val="95000"/>
                <w14:lumOff w14:val="5000"/>
              </w14:schemeClr>
            </w14:solidFill>
          </w14:textFill>
        </w:rPr>
        <w:t>（资格后审）</w:t>
      </w: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rPr>
          <w:rFonts w:asciiTheme="majorEastAsia" w:hAnsiTheme="majorEastAsia" w:eastAsiaTheme="majorEastAsia"/>
          <w:color w:val="0D0D0D" w:themeColor="text1" w:themeTint="F2"/>
          <w:sz w:val="32"/>
          <w14:textFill>
            <w14:solidFill>
              <w14:schemeClr w14:val="tx1">
                <w14:lumMod w14:val="95000"/>
                <w14:lumOff w14:val="5000"/>
              </w14:schemeClr>
            </w14:solidFill>
          </w14:textFill>
        </w:rPr>
      </w:pPr>
    </w:p>
    <w:p>
      <w:pPr>
        <w:spacing w:line="480" w:lineRule="auto"/>
        <w:jc w:val="center"/>
        <w:outlineLvl w:val="0"/>
        <w:rPr>
          <w:rFonts w:ascii="宋体" w:hAnsi="宋体" w:cs="宋体"/>
          <w:bCs/>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采购人：</w:t>
      </w:r>
      <w:r>
        <w:rPr>
          <w:rFonts w:hint="eastAsia" w:ascii="宋体" w:hAnsi="宋体" w:cs="宋体"/>
          <w:bCs/>
          <w:color w:val="0D0D0D" w:themeColor="text1" w:themeTint="F2"/>
          <w:sz w:val="32"/>
          <w:szCs w:val="32"/>
          <w14:textFill>
            <w14:solidFill>
              <w14:schemeClr w14:val="tx1">
                <w14:lumMod w14:val="95000"/>
                <w14:lumOff w14:val="5000"/>
              </w14:schemeClr>
            </w14:solidFill>
          </w14:textFill>
        </w:rPr>
        <w:t>南通市通州区供销合作总社</w:t>
      </w:r>
    </w:p>
    <w:p>
      <w:pPr>
        <w:spacing w:line="480" w:lineRule="auto"/>
        <w:jc w:val="center"/>
        <w:outlineLvl w:val="0"/>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代理机构：南通市通州天元建设监理咨询有限公司</w:t>
      </w:r>
    </w:p>
    <w:p>
      <w:pPr>
        <w:spacing w:line="600" w:lineRule="exact"/>
        <w:jc w:val="center"/>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2022年5月7日</w:t>
      </w:r>
    </w:p>
    <w:p>
      <w:pPr>
        <w:spacing w:line="600" w:lineRule="exact"/>
        <w:jc w:val="center"/>
        <w:rPr>
          <w:rFonts w:asciiTheme="majorEastAsia" w:hAnsiTheme="majorEastAsia" w:eastAsiaTheme="majorEastAsia"/>
          <w:color w:val="0D0D0D" w:themeColor="text1" w:themeTint="F2"/>
          <w:sz w:val="44"/>
          <w:szCs w:val="44"/>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2353310</wp:posOffset>
                </wp:positionH>
                <wp:positionV relativeFrom="paragraph">
                  <wp:posOffset>1234440</wp:posOffset>
                </wp:positionV>
                <wp:extent cx="581025" cy="390525"/>
                <wp:effectExtent l="0" t="0" r="9525" b="9525"/>
                <wp:wrapNone/>
                <wp:docPr id="1" name="矩形 2"/>
                <wp:cNvGraphicFramePr/>
                <a:graphic xmlns:a="http://schemas.openxmlformats.org/drawingml/2006/main">
                  <a:graphicData uri="http://schemas.microsoft.com/office/word/2010/wordprocessingShape">
                    <wps:wsp>
                      <wps:cNvSpPr/>
                      <wps:spPr>
                        <a:xfrm>
                          <a:off x="0" y="0"/>
                          <a:ext cx="581025" cy="390525"/>
                        </a:xfrm>
                        <a:prstGeom prst="rect">
                          <a:avLst/>
                        </a:prstGeom>
                        <a:solidFill>
                          <a:srgbClr val="FFFFFF"/>
                        </a:solidFill>
                        <a:ln>
                          <a:noFill/>
                        </a:ln>
                        <a:effectLst/>
                      </wps:spPr>
                      <wps:txbx>
                        <w:txbxContent>
                          <w:p/>
                        </w:txbxContent>
                      </wps:txbx>
                      <wps:bodyPr upright="1"/>
                    </wps:wsp>
                  </a:graphicData>
                </a:graphic>
              </wp:anchor>
            </w:drawing>
          </mc:Choice>
          <mc:Fallback>
            <w:pict>
              <v:rect id="矩形 2" o:spid="_x0000_s1026" o:spt="1" style="position:absolute;left:0pt;margin-left:185.3pt;margin-top:97.2pt;height:30.75pt;width:45.75pt;z-index:251660288;mso-width-relative:page;mso-height-relative:page;" fillcolor="#FFFFFF" filled="t" stroked="f" coordsize="21600,21600" o:gfxdata="UEsDBAoAAAAAAIdO4kAAAAAAAAAAAAAAAAAEAAAAZHJzL1BLAwQUAAAACACHTuJAaXi61tkAAAAL&#10;AQAADwAAAGRycy9kb3ducmV2LnhtbE2PMU/DMBCFdyT+g3VIbNROmpgmjdMBqRMw0CKxXuNrEhHb&#10;IXba8O8xE4yn9+m976rdYgZ2ocn3zipIVgIY2cbp3rYK3o/7hw0wH9BqHJwlBd/kYVff3lRYane1&#10;b3Q5hJbFEutLVNCFMJac+6Yjg37lRrIxO7vJYIjn1HI94TWWm4GnQkhusLdxocORnjpqPg+zUYAy&#10;01+v5/XL8XmWWLSL2OcfQqn7u0RsgQVawh8Mv/pRHerodHKz1Z4NCtaPQkY0BkWWAYtEJtME2ElB&#10;mucF8Lri/3+ofwBQSwMEFAAAAAgAh07iQHKPCF25AQAAdwMAAA4AAABkcnMvZTJvRG9jLnhtbK1T&#10;S27bMBDdF8gdCO5jyS5cpILlLGo4m6ANkPYANEVJBPjDDG3JpynQXQ/R4xS9RoeU4qbpJotqQc2Q&#10;wzfz3gw3t6M17KQAtXc1Xy5KzpSTvtGuq/mXz/vrG84wCtcI452q+Vkhv91evdkMoVIr33vTKGAE&#10;4rAaQs37GENVFCh7ZQUufFCODlsPVkRyoSsaEAOhW1OsyvJdMXhoAnipEGl3Nx3yGRFeA+jbVku1&#10;8/JolYsTKigjIlHCXgfk21xt2yoZP7UtqshMzYlpzCslIfuQ1mK7EVUHIvRaziWI15TwgpMV2lHS&#10;C9RORMGOoP+BslqCR9/GhfS2mIhkRYjFsnyhzWMvgspcSGoMF9Hx/8HKj6cHYLqhSeDMCUsN//X1&#10;+88f39gqaTMErCjkMTzA7CGZiejYgk1/osDGrOf5oqcaI5O0ub5Zlqs1Z5KO3r4v12QTSvHncgCM&#10;d8pbloyaA7UrqyhO9xin0KeQlAu90c1eG5Md6A4fDLCToNbu8zej/xVmXAp2Pl2bEKcdlYdjTpNo&#10;TsSSFcfDOLM9+OZM+hwD6K6nCpc5RQqifmQq8+ykhj/3yX7+X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l4utbZAAAACwEAAA8AAAAAAAAAAQAgAAAAIgAAAGRycy9kb3ducmV2LnhtbFBLAQIU&#10;ABQAAAAIAIdO4kByjwhduQEAAHcDAAAOAAAAAAAAAAEAIAAAACgBAABkcnMvZTJvRG9jLnhtbFBL&#10;BQYAAAAABgAGAFkBAABTBQAAAAA=&#10;">
                <v:fill on="t" focussize="0,0"/>
                <v:stroke on="f"/>
                <v:imagedata o:title=""/>
                <o:lock v:ext="edit" aspectratio="f"/>
                <v:textbox>
                  <w:txbxContent>
                    <w:p/>
                  </w:txbxContent>
                </v:textbox>
              </v:rect>
            </w:pict>
          </mc:Fallback>
        </mc:AlternateContent>
      </w:r>
      <w:r>
        <w:rPr>
          <w:rFonts w:asciiTheme="majorEastAsia" w:hAnsiTheme="majorEastAsia" w:eastAsiaTheme="majorEastAsia"/>
          <w:color w:val="0D0D0D" w:themeColor="text1" w:themeTint="F2"/>
          <w14:textFill>
            <w14:solidFill>
              <w14:schemeClr w14:val="tx1">
                <w14:lumMod w14:val="95000"/>
                <w14:lumOff w14:val="5000"/>
              </w14:schemeClr>
            </w14:solidFill>
          </w14:textFill>
        </w:rPr>
        <w:br w:type="page"/>
      </w:r>
      <w:r>
        <w:rPr>
          <w:rFonts w:hint="eastAsia" w:asciiTheme="majorEastAsia" w:hAnsiTheme="majorEastAsia" w:eastAsiaTheme="majorEastAsia"/>
          <w:color w:val="0D0D0D" w:themeColor="text1" w:themeTint="F2"/>
          <w:sz w:val="44"/>
          <w:szCs w:val="44"/>
          <w14:textFill>
            <w14:solidFill>
              <w14:schemeClr w14:val="tx1">
                <w14:lumMod w14:val="95000"/>
                <w14:lumOff w14:val="5000"/>
              </w14:schemeClr>
            </w14:solidFill>
          </w14:textFill>
        </w:rPr>
        <w:t>招标文件备案表</w:t>
      </w:r>
    </w:p>
    <w:tbl>
      <w:tblPr>
        <w:tblStyle w:val="53"/>
        <w:tblW w:w="8973"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3" w:type="dxa"/>
          </w:tcPr>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t>招标代理：(盖章)</w:t>
            </w: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jc w:val="center"/>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t xml:space="preserve">            编制人：</w:t>
            </w:r>
          </w:p>
          <w:p>
            <w:pPr>
              <w:tabs>
                <w:tab w:val="right" w:leader="dot" w:pos="8835"/>
              </w:tabs>
              <w:spacing w:line="400" w:lineRule="exact"/>
              <w:jc w:val="center"/>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jc w:val="center"/>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jc w:val="center"/>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t xml:space="preserve">            日  期：</w:t>
            </w:r>
          </w:p>
          <w:p>
            <w:pPr>
              <w:tabs>
                <w:tab w:val="right" w:leader="dot" w:pos="8835"/>
              </w:tabs>
              <w:spacing w:line="400" w:lineRule="exact"/>
              <w:jc w:val="center"/>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3" w:type="dxa"/>
          </w:tcPr>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t>采购人：(盖章)                  法定代表人（签字）：</w:t>
            </w: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t xml:space="preserve">                                或其委托代理人（签字）：</w:t>
            </w: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t>日 期：</w:t>
            </w: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p>
            <w:pPr>
              <w:tabs>
                <w:tab w:val="right" w:leader="dot" w:pos="8835"/>
              </w:tabs>
              <w:spacing w:line="400" w:lineRule="exact"/>
              <w:ind w:firstLine="4480" w:firstLineChars="1600"/>
              <w:rPr>
                <w:rFonts w:asciiTheme="majorEastAsia" w:hAnsiTheme="majorEastAsia" w:eastAsiaTheme="majorEastAsia"/>
                <w:color w:val="0D0D0D" w:themeColor="text1" w:themeTint="F2"/>
                <w:sz w:val="28"/>
                <w:szCs w:val="28"/>
                <w14:textFill>
                  <w14:solidFill>
                    <w14:schemeClr w14:val="tx1">
                      <w14:lumMod w14:val="95000"/>
                      <w14:lumOff w14:val="5000"/>
                    </w14:schemeClr>
                  </w14:solidFill>
                </w14:textFill>
              </w:rPr>
            </w:pPr>
          </w:p>
        </w:tc>
      </w:tr>
    </w:tbl>
    <w:p>
      <w:pPr>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bookmarkStart w:id="0" w:name="_Toc120614210"/>
      <w:bookmarkStart w:id="1" w:name="_Toc479757206"/>
      <w:bookmarkStart w:id="2" w:name="_Toc523127445"/>
      <w:bookmarkStart w:id="3" w:name="_Toc20823272"/>
      <w:bookmarkStart w:id="4" w:name="_Toc513029200"/>
      <w:bookmarkStart w:id="5" w:name="_Toc16938516"/>
    </w:p>
    <w:p>
      <w:pPr>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44"/>
          <w:szCs w:val="4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44"/>
          <w:szCs w:val="44"/>
          <w14:textFill>
            <w14:solidFill>
              <w14:schemeClr w14:val="tx1">
                <w14:lumMod w14:val="95000"/>
                <w14:lumOff w14:val="5000"/>
              </w14:schemeClr>
            </w14:solidFill>
          </w14:textFill>
        </w:rPr>
        <w:t>第一章  投标邀请（招标公告）</w:t>
      </w:r>
    </w:p>
    <w:bookmarkEnd w:id="0"/>
    <w:p>
      <w:pPr>
        <w:spacing w:line="480" w:lineRule="exact"/>
        <w:jc w:val="center"/>
        <w:rPr>
          <w:rFonts w:asciiTheme="minorEastAsia" w:hAnsiTheme="minorEastAsia" w:eastAsiaTheme="minorEastAsia"/>
          <w:sz w:val="28"/>
          <w:szCs w:val="28"/>
        </w:rPr>
      </w:pPr>
      <w:bookmarkStart w:id="6" w:name="OLE_LINK1"/>
      <w:bookmarkStart w:id="7" w:name="_Toc120614211"/>
      <w:r>
        <w:rPr>
          <w:rFonts w:hint="eastAsia" w:asciiTheme="minorEastAsia" w:hAnsiTheme="minorEastAsia" w:eastAsiaTheme="minorEastAsia"/>
          <w:sz w:val="28"/>
          <w:szCs w:val="28"/>
        </w:rPr>
        <w:t>南通市通州区农药零差率统一配供、废弃农药包装物和农膜统一回收处理项目招标公告（资格后审）</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受南通市通州区供销合作总社的委托，南通市通州天元建设监理咨询有限公司就南通市通州区农药零差率统一配供、废弃农药包装物和农膜统一回收处理项目 ([项目编号:JSZC-320612-TZTY-G2022-0014])进行公开招标采购，欢迎符合条件的供应商投标。</w:t>
      </w:r>
    </w:p>
    <w:p>
      <w:pPr>
        <w:pBdr>
          <w:top w:val="single" w:color="auto" w:sz="4" w:space="1"/>
          <w:left w:val="single" w:color="auto" w:sz="4" w:space="4"/>
          <w:bottom w:val="single" w:color="auto" w:sz="4" w:space="1"/>
          <w:right w:val="single" w:color="auto" w:sz="4" w:space="4"/>
        </w:pBd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项目概况</w:t>
      </w:r>
    </w:p>
    <w:p>
      <w:pPr>
        <w:pBdr>
          <w:top w:val="single" w:color="auto" w:sz="4" w:space="1"/>
          <w:left w:val="single" w:color="auto" w:sz="4" w:space="4"/>
          <w:bottom w:val="single" w:color="auto" w:sz="4" w:space="1"/>
          <w:right w:val="single" w:color="auto" w:sz="4" w:space="4"/>
        </w:pBdr>
        <w:spacing w:line="48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南通市通州区农药零差率统一配供、废弃农药包装物和农膜统一回收处理项目</w:t>
      </w:r>
      <w:r>
        <w:rPr>
          <w:rFonts w:hint="eastAsia" w:asciiTheme="minorEastAsia" w:hAnsiTheme="minorEastAsia" w:eastAsiaTheme="minorEastAsia"/>
          <w:sz w:val="24"/>
          <w:szCs w:val="24"/>
        </w:rPr>
        <w:t>的潜在投标人可在</w:t>
      </w:r>
      <w:r>
        <w:rPr>
          <w:rFonts w:hint="eastAsia" w:asciiTheme="minorEastAsia" w:hAnsiTheme="minorEastAsia" w:eastAsiaTheme="minorEastAsia"/>
          <w:sz w:val="24"/>
          <w:szCs w:val="24"/>
          <w:u w:val="single"/>
        </w:rPr>
        <w:t>“江苏省政府采购网”自行免费下载</w:t>
      </w:r>
      <w:r>
        <w:rPr>
          <w:rFonts w:hint="eastAsia" w:asciiTheme="minorEastAsia" w:hAnsiTheme="minorEastAsia" w:eastAsiaTheme="minorEastAsia"/>
          <w:sz w:val="24"/>
          <w:szCs w:val="24"/>
        </w:rPr>
        <w:t>招标文件，并于2022</w:t>
      </w:r>
      <w:r>
        <w:rPr>
          <w:rFonts w:hint="eastAsia" w:asciiTheme="minorEastAsia" w:hAnsiTheme="minorEastAsia" w:eastAsiaTheme="minorEastAsia"/>
          <w:bCs/>
          <w:sz w:val="24"/>
          <w:szCs w:val="24"/>
          <w:u w:val="single"/>
        </w:rPr>
        <w:t>年</w:t>
      </w:r>
      <w:r>
        <w:rPr>
          <w:rFonts w:hint="eastAsia" w:asciiTheme="minorEastAsia" w:hAnsiTheme="minorEastAsia" w:eastAsiaTheme="minorEastAsia"/>
          <w:bCs/>
          <w:sz w:val="24"/>
          <w:szCs w:val="24"/>
          <w:u w:val="single"/>
          <w:lang w:val="en-US" w:eastAsia="zh-CN"/>
        </w:rPr>
        <w:t>6</w:t>
      </w:r>
      <w:r>
        <w:rPr>
          <w:rFonts w:hint="eastAsia" w:asciiTheme="minorEastAsia" w:hAnsiTheme="minorEastAsia" w:eastAsiaTheme="minorEastAsia"/>
          <w:bCs/>
          <w:sz w:val="24"/>
          <w:szCs w:val="24"/>
          <w:u w:val="single"/>
        </w:rPr>
        <w:t>月</w:t>
      </w:r>
      <w:r>
        <w:rPr>
          <w:rFonts w:hint="eastAsia" w:asciiTheme="minorEastAsia" w:hAnsiTheme="minorEastAsia" w:eastAsiaTheme="minorEastAsia"/>
          <w:bCs/>
          <w:sz w:val="24"/>
          <w:szCs w:val="24"/>
          <w:u w:val="single"/>
          <w:lang w:val="en-US" w:eastAsia="zh-CN"/>
        </w:rPr>
        <w:t>14</w:t>
      </w:r>
      <w:r>
        <w:rPr>
          <w:rFonts w:hint="eastAsia" w:asciiTheme="minorEastAsia" w:hAnsiTheme="minorEastAsia" w:eastAsiaTheme="minorEastAsia"/>
          <w:bCs/>
          <w:sz w:val="24"/>
          <w:szCs w:val="24"/>
          <w:u w:val="single"/>
        </w:rPr>
        <w:t>日</w:t>
      </w:r>
      <w:r>
        <w:rPr>
          <w:rFonts w:hint="eastAsia" w:asciiTheme="minorEastAsia" w:hAnsiTheme="minorEastAsia" w:eastAsiaTheme="minorEastAsia"/>
          <w:bCs/>
          <w:sz w:val="24"/>
          <w:szCs w:val="24"/>
          <w:u w:val="single"/>
          <w:lang w:val="en-US" w:eastAsia="zh-CN"/>
        </w:rPr>
        <w:t>9</w:t>
      </w:r>
      <w:r>
        <w:rPr>
          <w:rFonts w:hint="eastAsia" w:asciiTheme="minorEastAsia" w:hAnsiTheme="minorEastAsia" w:eastAsiaTheme="minorEastAsia"/>
          <w:bCs/>
          <w:sz w:val="24"/>
          <w:szCs w:val="24"/>
          <w:u w:val="single"/>
        </w:rPr>
        <w:t>点</w:t>
      </w:r>
      <w:r>
        <w:rPr>
          <w:rFonts w:hint="eastAsia" w:asciiTheme="minorEastAsia" w:hAnsiTheme="minorEastAsia" w:eastAsiaTheme="minorEastAsia"/>
          <w:bCs/>
          <w:sz w:val="24"/>
          <w:szCs w:val="24"/>
          <w:u w:val="single"/>
          <w:lang w:val="en-US" w:eastAsia="zh-CN"/>
        </w:rPr>
        <w:t>30</w:t>
      </w:r>
      <w:r>
        <w:rPr>
          <w:rFonts w:hint="eastAsia" w:asciiTheme="minorEastAsia" w:hAnsiTheme="minorEastAsia" w:eastAsiaTheme="minorEastAsia"/>
          <w:bCs/>
          <w:sz w:val="24"/>
          <w:szCs w:val="24"/>
          <w:u w:val="single"/>
        </w:rPr>
        <w:t>分（</w:t>
      </w:r>
      <w:r>
        <w:rPr>
          <w:rFonts w:hint="eastAsia" w:asciiTheme="minorEastAsia" w:hAnsiTheme="minorEastAsia" w:eastAsiaTheme="minorEastAsia"/>
          <w:bCs/>
          <w:sz w:val="24"/>
          <w:szCs w:val="24"/>
        </w:rPr>
        <w:t>北京时间）前递交投标</w:t>
      </w:r>
      <w:r>
        <w:rPr>
          <w:rFonts w:asciiTheme="minorEastAsia" w:hAnsiTheme="minorEastAsia" w:eastAsiaTheme="minorEastAsia"/>
          <w:bCs/>
          <w:sz w:val="24"/>
          <w:szCs w:val="24"/>
        </w:rPr>
        <w:t>文件</w:t>
      </w:r>
      <w:r>
        <w:rPr>
          <w:rFonts w:hint="eastAsia" w:asciiTheme="minorEastAsia" w:hAnsiTheme="minorEastAsia" w:eastAsiaTheme="minorEastAsia"/>
          <w:sz w:val="24"/>
          <w:szCs w:val="24"/>
        </w:rPr>
        <w:t>。</w:t>
      </w:r>
    </w:p>
    <w:p>
      <w:pPr>
        <w:pStyle w:val="3"/>
        <w:overflowPunct/>
        <w:adjustRightInd/>
        <w:spacing w:line="480" w:lineRule="exact"/>
        <w:textAlignment w:val="auto"/>
        <w:rPr>
          <w:rFonts w:cs="宋体" w:asciiTheme="minorEastAsia" w:hAnsiTheme="minorEastAsia" w:eastAsiaTheme="minorEastAsia"/>
          <w:b w:val="0"/>
          <w:sz w:val="24"/>
          <w:szCs w:val="24"/>
        </w:rPr>
      </w:pPr>
      <w:bookmarkStart w:id="8" w:name="_Toc38985263"/>
      <w:bookmarkStart w:id="9" w:name="_Toc28359079"/>
      <w:bookmarkStart w:id="10" w:name="_Toc28359002"/>
      <w:bookmarkStart w:id="11" w:name="_Toc35393621"/>
      <w:bookmarkStart w:id="12" w:name="_Toc35393790"/>
      <w:bookmarkStart w:id="13" w:name="_Hlk24379207"/>
      <w:r>
        <w:rPr>
          <w:rFonts w:hint="eastAsia" w:cs="宋体" w:asciiTheme="minorEastAsia" w:hAnsiTheme="minorEastAsia" w:eastAsiaTheme="minorEastAsia"/>
          <w:b w:val="0"/>
          <w:sz w:val="24"/>
          <w:szCs w:val="24"/>
        </w:rPr>
        <w:t>一、项目基本情况</w:t>
      </w:r>
      <w:bookmarkEnd w:id="8"/>
      <w:bookmarkEnd w:id="9"/>
      <w:bookmarkEnd w:id="10"/>
      <w:bookmarkEnd w:id="11"/>
      <w:bookmarkEnd w:id="12"/>
    </w:p>
    <w:p>
      <w:pPr>
        <w:spacing w:line="48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1.项目编号： JSZC-320612-TZTY-G2022-0014</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2.项目名称：</w:t>
      </w:r>
      <w:bookmarkEnd w:id="13"/>
      <w:r>
        <w:rPr>
          <w:rFonts w:hint="eastAsia" w:asciiTheme="minorEastAsia" w:hAnsiTheme="minorEastAsia" w:eastAsiaTheme="minorEastAsia"/>
          <w:sz w:val="24"/>
          <w:szCs w:val="24"/>
        </w:rPr>
        <w:t>南通市通州区农药零差率统一配供、废弃农药包装物和农膜统一回收处理项目</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3.2022年预算金额：人民币811万元</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项目设定最高限价，2022年度最高限价为176.6万元。含农药零差率配供、农药废弃包装物回收、废弃地膜回收等三项补贴给实施主体的费用，不含补贴给农户、配供与回收网点的费用、无害化处置费用、第三方审计费用、信息平台维护费、网点建设、回收袋、考核奖励等不可竞争费634.4万元。2023、2024年合同价以本年度中标单价计算。</w:t>
      </w:r>
    </w:p>
    <w:p>
      <w:pPr>
        <w:spacing w:line="400" w:lineRule="exact"/>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inorEastAsia" w:hAnsiTheme="minorEastAsia" w:eastAsiaTheme="minorEastAsia"/>
          <w:sz w:val="24"/>
          <w:szCs w:val="24"/>
        </w:rPr>
        <w:t>5.采购需求：</w:t>
      </w:r>
      <w:r>
        <w:rPr>
          <w:rFonts w:hint="eastAsia" w:asciiTheme="majorEastAsia" w:hAnsiTheme="majorEastAsia" w:eastAsiaTheme="majorEastAsia" w:cstheme="majorEastAsia"/>
          <w:color w:val="000000" w:themeColor="text1"/>
          <w:sz w:val="24"/>
          <w:szCs w:val="24"/>
          <w14:textFill>
            <w14:solidFill>
              <w14:schemeClr w14:val="tx1"/>
            </w14:solidFill>
          </w14:textFill>
        </w:rPr>
        <w:t>（1）采购项目概述：</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围绕农药“零差率”、全程“可追溯”、致力“惠百姓”的目标，对全区粮、油、果、蔬四大类农产品和苗木绿化用药，紧扣农药统一配送、规范经营、安全使用和农业废弃包装物分类回收、集中处理等关键环节，加强“五个统一”管理（即统一主体、统一配送、统一价格、统一回收、统一补贴），在全区推广农药统一配供体系建设，实现废弃农药包装物和废弃农膜回收率85%以上、无害化处理率100%。</w:t>
      </w:r>
    </w:p>
    <w:p>
      <w:pPr>
        <w:spacing w:line="400" w:lineRule="exact"/>
        <w:ind w:firstLine="482"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b/>
          <w:bCs/>
          <w:sz w:val="24"/>
          <w:szCs w:val="24"/>
          <w:u w:val="single"/>
        </w:rPr>
        <w:t>具体做法是：</w:t>
      </w:r>
    </w:p>
    <w:p>
      <w:pPr>
        <w:spacing w:line="400" w:lineRule="exact"/>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u w:val="single"/>
        </w:rPr>
        <w:t>（2）本项目实施范围在全区进行。</w:t>
      </w:r>
    </w:p>
    <w:p>
      <w:pPr>
        <w:spacing w:line="400" w:lineRule="exact"/>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u w:val="single"/>
        </w:rPr>
        <w:t>（3）实行“一条线经营”。农药零差率统一配供的企业，同时为实施废弃农药包装物和农膜回收处理主体（以下简称实施主体）。</w:t>
      </w:r>
    </w:p>
    <w:p>
      <w:pPr>
        <w:spacing w:line="400" w:lineRule="exact"/>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u w:val="single"/>
        </w:rPr>
        <w:t>（4）在每年生产季节前提出当季农药采购品种和数量。通过公开招标，确定供货单位。</w:t>
      </w:r>
    </w:p>
    <w:p>
      <w:pPr>
        <w:spacing w:line="400" w:lineRule="exact"/>
        <w:ind w:firstLine="480" w:firstLineChars="2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u w:val="single"/>
        </w:rPr>
        <w:t>（5）全区范围内所有取得农药经营许可证的单位和个人，有相应的经营场所和仓储用房，具备使用信息管理系统条件，交通便捷，均可申报设立农药零差率统一配供、废弃农药包装物和农膜统一回收中心网点。各镇（街道）具体负责审核推荐，原则上每个镇（街道）设置不少于1个中心网点，最多不超过5个，废弃农药包装物和农膜的回收网点原则上每个村1个，作为中心网点的分点，由实施主体和中心网点负责管理。区供销合作总社负责确认，实施主体负责与各网点签订合同，落实相关业务，并负责考核。</w:t>
      </w:r>
    </w:p>
    <w:p>
      <w:pPr>
        <w:spacing w:line="400" w:lineRule="exact"/>
        <w:ind w:firstLine="480" w:firstLineChars="200"/>
        <w:rPr>
          <w:rFonts w:asciiTheme="majorEastAsia" w:hAnsiTheme="majorEastAsia" w:eastAsiaTheme="majorEastAsia" w:cs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6）实施主体及基层网点同时承担农药统一配供、废弃农膜及农药包装物的回收工作。各基层网点统一配置相应的回收桶/袋，设置醒目的标识标牌，公示回收价格，对所在地的废弃农药包装物和农膜按规定标准进行回收。实施主体在全区范围内设置3个回收中转点，严格依法办理审批手续，落实安全措施。</w:t>
      </w:r>
    </w:p>
    <w:p>
      <w:pPr>
        <w:spacing w:line="400" w:lineRule="exact"/>
        <w:ind w:firstLine="480" w:firstLineChars="200"/>
        <w:rPr>
          <w:rFonts w:asciiTheme="majorEastAsia" w:hAnsiTheme="majorEastAsia" w:eastAsiaTheme="majorEastAsia" w:cs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7）农药零差率配供建立农资统一配供电子管理系统，各网点通过终端销售管理系统，完成对各类农户基础信息数据查验和农药销售统计，实行规范化管理。镇（街道）负责日常监管审核，区供销总社在镇（街道）审核基础上进行抽查复核，区供销总社每半年委托第三方审计一次，并将最终审核结果报区财政局，区财政局根据审核结果每半年拨付一次补助经费。</w:t>
      </w:r>
    </w:p>
    <w:p>
      <w:pPr>
        <w:spacing w:line="48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w:t>
      </w:r>
      <w:r>
        <w:rPr>
          <w:rFonts w:asciiTheme="minorEastAsia" w:hAnsiTheme="minorEastAsia" w:eastAsiaTheme="minorEastAsia"/>
          <w:color w:val="000000" w:themeColor="text1"/>
          <w:sz w:val="24"/>
          <w:szCs w:val="24"/>
          <w14:textFill>
            <w14:solidFill>
              <w14:schemeClr w14:val="tx1"/>
            </w14:solidFill>
          </w14:textFill>
        </w:rPr>
        <w:t>、合同履行期限：</w:t>
      </w:r>
      <w:r>
        <w:rPr>
          <w:rFonts w:hint="eastAsia" w:asciiTheme="minorEastAsia" w:hAnsiTheme="minorEastAsia" w:eastAsiaTheme="minorEastAsia"/>
          <w:color w:val="000000" w:themeColor="text1"/>
          <w:sz w:val="24"/>
          <w:szCs w:val="24"/>
          <w14:textFill>
            <w14:solidFill>
              <w14:schemeClr w14:val="tx1"/>
            </w14:solidFill>
          </w14:textFill>
        </w:rPr>
        <w:t>2022年5月1日—2024年12月31日。合同履行期限为三年，本次招标预算811万元为2022年度总预算金额，2023、2024年实施主体不再另行招标，具体各预算总金额届时另行商定，并签订补充合同。</w:t>
      </w:r>
    </w:p>
    <w:p>
      <w:pPr>
        <w:spacing w:line="48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w:t>
      </w:r>
      <w:r>
        <w:rPr>
          <w:rFonts w:asciiTheme="minorEastAsia" w:hAnsiTheme="minorEastAsia" w:eastAsiaTheme="minorEastAsia"/>
          <w:color w:val="000000" w:themeColor="text1"/>
          <w:sz w:val="24"/>
          <w:szCs w:val="24"/>
          <w14:textFill>
            <w14:solidFill>
              <w14:schemeClr w14:val="tx1"/>
            </w14:solidFill>
          </w14:textFill>
        </w:rPr>
        <w:t>、本项目不接受联合体投标。</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、本项目是否专门面向中小企业：否。</w:t>
      </w:r>
    </w:p>
    <w:p>
      <w:pPr>
        <w:pStyle w:val="3"/>
        <w:overflowPunct/>
        <w:adjustRightInd/>
        <w:spacing w:line="500" w:lineRule="exact"/>
        <w:textAlignment w:val="auto"/>
        <w:rPr>
          <w:rFonts w:cs="宋体" w:asciiTheme="minorEastAsia" w:hAnsiTheme="minorEastAsia" w:eastAsiaTheme="minorEastAsia"/>
          <w:b w:val="0"/>
          <w:sz w:val="24"/>
          <w:szCs w:val="24"/>
        </w:rPr>
      </w:pPr>
      <w:bookmarkStart w:id="14" w:name="_Toc28359080"/>
      <w:bookmarkStart w:id="15" w:name="_Toc35393791"/>
      <w:bookmarkStart w:id="16" w:name="_Toc35393622"/>
      <w:bookmarkStart w:id="17" w:name="_Toc38985264"/>
      <w:bookmarkStart w:id="18" w:name="_Toc28359003"/>
      <w:r>
        <w:rPr>
          <w:rFonts w:hint="eastAsia" w:cs="宋体" w:asciiTheme="minorEastAsia" w:hAnsiTheme="minorEastAsia" w:eastAsiaTheme="minorEastAsia"/>
          <w:b w:val="0"/>
          <w:sz w:val="24"/>
          <w:szCs w:val="24"/>
        </w:rPr>
        <w:t>二、申请人的资格要求：</w:t>
      </w:r>
      <w:bookmarkEnd w:id="14"/>
      <w:bookmarkEnd w:id="15"/>
      <w:bookmarkEnd w:id="16"/>
      <w:bookmarkEnd w:id="17"/>
      <w:bookmarkEnd w:id="18"/>
    </w:p>
    <w:p>
      <w:pPr>
        <w:spacing w:line="500" w:lineRule="exact"/>
        <w:ind w:firstLine="480" w:firstLineChars="200"/>
        <w:rPr>
          <w:rFonts w:asciiTheme="minorEastAsia" w:hAnsiTheme="minorEastAsia" w:eastAsiaTheme="minorEastAsia"/>
          <w:sz w:val="24"/>
          <w:szCs w:val="24"/>
        </w:rPr>
      </w:pPr>
      <w:bookmarkStart w:id="19" w:name="_Toc35393792"/>
      <w:bookmarkStart w:id="20" w:name="_Toc38985265"/>
      <w:bookmarkStart w:id="21" w:name="_Toc28359081"/>
      <w:bookmarkStart w:id="22" w:name="_Toc35393623"/>
      <w:bookmarkStart w:id="23" w:name="_Toc28359004"/>
      <w:r>
        <w:rPr>
          <w:rFonts w:hint="eastAsia" w:asciiTheme="minorEastAsia" w:hAnsiTheme="minorEastAsia" w:eastAsiaTheme="minorEastAsia"/>
          <w:sz w:val="24"/>
          <w:szCs w:val="24"/>
        </w:rPr>
        <w:t>1.满足《中华人民共和国政府采购法》第二十二条规定，并提供下列材料：</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法人或者其他组织的营业执照等证明文件，自然人的身份证明；</w:t>
      </w:r>
    </w:p>
    <w:p>
      <w:pPr>
        <w:spacing w:line="50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1.2上一年度的财务状况报告（成立不满一年不需提供）；</w:t>
      </w:r>
    </w:p>
    <w:p>
      <w:pPr>
        <w:spacing w:line="500" w:lineRule="exact"/>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1.3依法缴纳税收和社会保障资金的相关材料（提供提交投标文件截止时间前一年内至少一个月依法缴纳税收及缴纳社会保障资金的证明材料。投标人依法享受缓缴、免缴税收、社会保障资金的提供证明材料。）</w:t>
      </w:r>
      <w:r>
        <w:rPr>
          <w:rFonts w:hint="eastAsia" w:asciiTheme="minorEastAsia" w:hAnsiTheme="minorEastAsia" w:eastAsiaTheme="minorEastAsia"/>
          <w:color w:val="FF0000"/>
          <w:sz w:val="24"/>
          <w:szCs w:val="24"/>
        </w:rPr>
        <w:t>；</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1.4具备履行合同所必需的设备和专业技术能力的证明材料；</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1.5参加政府采购活动前3年内在经营活动中没有重大违法记录的书面声明；</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1.6未被“信用中国”网站（www.creditchina.gov.cn）列入失信被执行人、重大税收违法案件当事人名单、政府采购严重失信行为记录名单。（提供网页截图）</w:t>
      </w:r>
    </w:p>
    <w:p>
      <w:pPr>
        <w:spacing w:line="5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.落实政府采购政策需满足的资格要求：无。</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3.本项目的特定资格要求：</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3.1</w:t>
      </w: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农药配送企业应具备农药经营许可证</w:t>
      </w:r>
      <w:r>
        <w:rPr>
          <w:rFonts w:hint="eastAsia" w:asciiTheme="minorEastAsia" w:hAnsiTheme="minorEastAsia" w:eastAsiaTheme="minorEastAsia"/>
          <w:sz w:val="24"/>
          <w:szCs w:val="24"/>
        </w:rPr>
        <w:t>。</w:t>
      </w:r>
    </w:p>
    <w:p>
      <w:pPr>
        <w:pStyle w:val="3"/>
        <w:overflowPunct/>
        <w:adjustRightInd/>
        <w:spacing w:line="500" w:lineRule="exact"/>
        <w:textAlignment w:val="auto"/>
        <w:rPr>
          <w:rFonts w:asciiTheme="minorEastAsia" w:hAnsiTheme="minorEastAsia" w:eastAsiaTheme="minorEastAsia"/>
          <w:b w:val="0"/>
          <w:sz w:val="24"/>
          <w:szCs w:val="24"/>
        </w:rPr>
      </w:pPr>
      <w:r>
        <w:rPr>
          <w:rFonts w:hint="eastAsia" w:cs="宋体" w:asciiTheme="minorEastAsia" w:hAnsiTheme="minorEastAsia" w:eastAsiaTheme="minorEastAsia"/>
          <w:b w:val="0"/>
          <w:sz w:val="24"/>
          <w:szCs w:val="24"/>
        </w:rPr>
        <w:t>三、获取招标文件</w:t>
      </w:r>
      <w:bookmarkEnd w:id="19"/>
      <w:bookmarkEnd w:id="20"/>
      <w:bookmarkEnd w:id="21"/>
      <w:bookmarkEnd w:id="22"/>
      <w:bookmarkEnd w:id="23"/>
    </w:p>
    <w:p>
      <w:pPr>
        <w:spacing w:line="500" w:lineRule="exact"/>
        <w:ind w:firstLine="540"/>
        <w:rPr>
          <w:rFonts w:cs="宋体" w:asciiTheme="minorEastAsia" w:hAnsiTheme="minorEastAsia" w:eastAsiaTheme="minorEastAsia"/>
          <w:sz w:val="24"/>
          <w:szCs w:val="24"/>
        </w:rPr>
      </w:pPr>
      <w:bookmarkStart w:id="24" w:name="_Toc28359082"/>
      <w:bookmarkStart w:id="25" w:name="_Toc28359005"/>
      <w:bookmarkStart w:id="26" w:name="_Toc35393793"/>
      <w:bookmarkStart w:id="27" w:name="_Toc38985266"/>
      <w:bookmarkStart w:id="28" w:name="_Toc35393624"/>
      <w:r>
        <w:rPr>
          <w:rFonts w:hint="eastAsia" w:cs="宋体" w:asciiTheme="minorEastAsia" w:hAnsiTheme="minorEastAsia" w:eastAsiaTheme="minorEastAsia"/>
          <w:sz w:val="24"/>
          <w:szCs w:val="24"/>
        </w:rPr>
        <w:t>1.时间：</w:t>
      </w:r>
      <w:r>
        <w:rPr>
          <w:rFonts w:hint="eastAsia" w:cs="宋体" w:asciiTheme="minorEastAsia" w:hAnsiTheme="minorEastAsia" w:eastAsiaTheme="minorEastAsia"/>
          <w:sz w:val="24"/>
          <w:szCs w:val="24"/>
          <w:u w:val="single"/>
        </w:rPr>
        <w:t>自招标文件公告发布之日起</w:t>
      </w:r>
      <w:r>
        <w:rPr>
          <w:rFonts w:hint="eastAsia" w:cs="宋体" w:asciiTheme="minorEastAsia" w:hAnsiTheme="minorEastAsia" w:eastAsiaTheme="minorEastAsia"/>
          <w:sz w:val="24"/>
          <w:szCs w:val="24"/>
          <w:u w:val="single"/>
          <w:lang w:val="en-US" w:eastAsia="zh-CN"/>
        </w:rPr>
        <w:t>20</w:t>
      </w:r>
      <w:r>
        <w:rPr>
          <w:rFonts w:hint="eastAsia" w:cs="宋体" w:asciiTheme="minorEastAsia" w:hAnsiTheme="minorEastAsia" w:eastAsiaTheme="minorEastAsia"/>
          <w:sz w:val="24"/>
          <w:szCs w:val="24"/>
          <w:u w:val="single"/>
        </w:rPr>
        <w:t>日。</w:t>
      </w:r>
    </w:p>
    <w:p>
      <w:pPr>
        <w:spacing w:line="500" w:lineRule="exact"/>
        <w:ind w:firstLine="54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2.方式：在“江苏省政府采购网”自行免费下载招标文件。</w:t>
      </w:r>
    </w:p>
    <w:p>
      <w:pPr>
        <w:pStyle w:val="3"/>
        <w:overflowPunct/>
        <w:adjustRightInd/>
        <w:spacing w:line="500" w:lineRule="exact"/>
        <w:textAlignment w:val="auto"/>
        <w:rPr>
          <w:rFonts w:cs="宋体" w:asciiTheme="minorEastAsia" w:hAnsiTheme="minorEastAsia" w:eastAsiaTheme="minorEastAsia"/>
          <w:b w:val="0"/>
          <w:sz w:val="24"/>
          <w:szCs w:val="24"/>
        </w:rPr>
      </w:pPr>
      <w:r>
        <w:rPr>
          <w:rFonts w:hint="eastAsia" w:cs="宋体" w:asciiTheme="minorEastAsia" w:hAnsiTheme="minorEastAsia" w:eastAsiaTheme="minorEastAsia"/>
          <w:b w:val="0"/>
          <w:sz w:val="24"/>
          <w:szCs w:val="24"/>
        </w:rPr>
        <w:t>四、提交投标文件</w:t>
      </w:r>
      <w:bookmarkEnd w:id="24"/>
      <w:bookmarkEnd w:id="25"/>
      <w:r>
        <w:rPr>
          <w:rFonts w:hint="eastAsia" w:cs="宋体" w:asciiTheme="minorEastAsia" w:hAnsiTheme="minorEastAsia" w:eastAsiaTheme="minorEastAsia"/>
          <w:b w:val="0"/>
          <w:sz w:val="24"/>
          <w:szCs w:val="24"/>
        </w:rPr>
        <w:t>截止时间、开标时间和地点</w:t>
      </w:r>
      <w:bookmarkEnd w:id="26"/>
      <w:bookmarkEnd w:id="27"/>
      <w:bookmarkEnd w:id="28"/>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u w:val="single"/>
        </w:rPr>
        <w:t>1. 2022年</w:t>
      </w:r>
      <w:r>
        <w:rPr>
          <w:rFonts w:hint="eastAsia" w:asciiTheme="minorEastAsia" w:hAnsiTheme="minorEastAsia" w:eastAsiaTheme="minorEastAsia"/>
          <w:bCs/>
          <w:sz w:val="24"/>
          <w:szCs w:val="24"/>
          <w:u w:val="single"/>
          <w:lang w:val="en-US" w:eastAsia="zh-CN"/>
        </w:rPr>
        <w:t>6</w:t>
      </w:r>
      <w:r>
        <w:rPr>
          <w:rFonts w:hint="eastAsia" w:asciiTheme="minorEastAsia" w:hAnsiTheme="minorEastAsia" w:eastAsiaTheme="minorEastAsia"/>
          <w:bCs/>
          <w:sz w:val="24"/>
          <w:szCs w:val="24"/>
          <w:u w:val="single"/>
        </w:rPr>
        <w:t>月</w:t>
      </w:r>
      <w:r>
        <w:rPr>
          <w:rFonts w:hint="eastAsia" w:asciiTheme="minorEastAsia" w:hAnsiTheme="minorEastAsia" w:eastAsiaTheme="minorEastAsia"/>
          <w:bCs/>
          <w:sz w:val="24"/>
          <w:szCs w:val="24"/>
          <w:u w:val="single"/>
          <w:lang w:val="en-US" w:eastAsia="zh-CN"/>
        </w:rPr>
        <w:t>14</w:t>
      </w:r>
      <w:r>
        <w:rPr>
          <w:rFonts w:hint="eastAsia" w:asciiTheme="minorEastAsia" w:hAnsiTheme="minorEastAsia" w:eastAsiaTheme="minorEastAsia"/>
          <w:bCs/>
          <w:sz w:val="24"/>
          <w:szCs w:val="24"/>
          <w:u w:val="single"/>
        </w:rPr>
        <w:t>日</w:t>
      </w:r>
      <w:r>
        <w:rPr>
          <w:rFonts w:hint="eastAsia" w:asciiTheme="minorEastAsia" w:hAnsiTheme="minorEastAsia" w:eastAsiaTheme="minorEastAsia"/>
          <w:bCs/>
          <w:sz w:val="24"/>
          <w:szCs w:val="24"/>
          <w:u w:val="single"/>
          <w:lang w:val="en-US" w:eastAsia="zh-CN"/>
        </w:rPr>
        <w:t>9</w:t>
      </w:r>
      <w:r>
        <w:rPr>
          <w:rFonts w:hint="eastAsia" w:asciiTheme="minorEastAsia" w:hAnsiTheme="minorEastAsia" w:eastAsiaTheme="minorEastAsia"/>
          <w:bCs/>
          <w:sz w:val="24"/>
          <w:szCs w:val="24"/>
          <w:u w:val="single"/>
        </w:rPr>
        <w:t xml:space="preserve">点 </w:t>
      </w:r>
      <w:r>
        <w:rPr>
          <w:rFonts w:hint="eastAsia" w:asciiTheme="minorEastAsia" w:hAnsiTheme="minorEastAsia" w:eastAsiaTheme="minorEastAsia"/>
          <w:bCs/>
          <w:sz w:val="24"/>
          <w:szCs w:val="24"/>
          <w:u w:val="single"/>
          <w:lang w:val="en-US" w:eastAsia="zh-CN"/>
        </w:rPr>
        <w:t>30</w:t>
      </w:r>
      <w:r>
        <w:rPr>
          <w:rFonts w:hint="eastAsia" w:asciiTheme="minorEastAsia" w:hAnsiTheme="minorEastAsia" w:eastAsiaTheme="minorEastAsia"/>
          <w:bCs/>
          <w:sz w:val="24"/>
          <w:szCs w:val="24"/>
          <w:u w:val="single"/>
        </w:rPr>
        <w:t>分</w:t>
      </w:r>
      <w:r>
        <w:rPr>
          <w:rFonts w:hint="eastAsia" w:asciiTheme="minorEastAsia" w:hAnsiTheme="minorEastAsia" w:eastAsiaTheme="minorEastAsia"/>
          <w:bCs/>
          <w:sz w:val="24"/>
          <w:szCs w:val="24"/>
        </w:rPr>
        <w:t>（北京时间）</w:t>
      </w:r>
    </w:p>
    <w:p>
      <w:pPr>
        <w:spacing w:line="500" w:lineRule="exact"/>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sz w:val="24"/>
          <w:szCs w:val="24"/>
        </w:rPr>
        <w:t>2.地点：南通市通州区公共资源交易中心开标室（地址：南通市通州区碧华路197号、区政府服务中心三楼东侧）。</w:t>
      </w:r>
    </w:p>
    <w:p>
      <w:pPr>
        <w:pStyle w:val="3"/>
        <w:overflowPunct/>
        <w:adjustRightInd/>
        <w:spacing w:line="500" w:lineRule="exact"/>
        <w:textAlignment w:val="auto"/>
        <w:rPr>
          <w:rFonts w:cs="宋体" w:asciiTheme="minorEastAsia" w:hAnsiTheme="minorEastAsia" w:eastAsiaTheme="minorEastAsia"/>
          <w:b w:val="0"/>
          <w:sz w:val="24"/>
          <w:szCs w:val="24"/>
        </w:rPr>
      </w:pPr>
      <w:bookmarkStart w:id="29" w:name="_Toc28359007"/>
      <w:bookmarkStart w:id="30" w:name="_Toc35393794"/>
      <w:bookmarkStart w:id="31" w:name="_Toc28359084"/>
      <w:bookmarkStart w:id="32" w:name="_Toc38985267"/>
      <w:bookmarkStart w:id="33" w:name="_Toc35393625"/>
      <w:r>
        <w:rPr>
          <w:rFonts w:hint="eastAsia" w:cs="宋体" w:asciiTheme="minorEastAsia" w:hAnsiTheme="minorEastAsia" w:eastAsiaTheme="minorEastAsia"/>
          <w:b w:val="0"/>
          <w:sz w:val="24"/>
          <w:szCs w:val="24"/>
        </w:rPr>
        <w:t>五、公告期限</w:t>
      </w:r>
      <w:bookmarkEnd w:id="29"/>
      <w:bookmarkEnd w:id="30"/>
      <w:bookmarkEnd w:id="31"/>
      <w:bookmarkEnd w:id="32"/>
      <w:bookmarkEnd w:id="33"/>
    </w:p>
    <w:p>
      <w:pPr>
        <w:spacing w:line="50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招标公告及招标文件公告期限为2022年5月24日—2022年6月14日</w:t>
      </w:r>
      <w:r>
        <w:rPr>
          <w:rFonts w:hint="eastAsia" w:cs="宋体" w:asciiTheme="minorEastAsia" w:hAnsiTheme="minorEastAsia" w:eastAsiaTheme="minorEastAsia"/>
          <w:kern w:val="0"/>
          <w:sz w:val="24"/>
          <w:szCs w:val="24"/>
          <w:lang w:val="en-US" w:eastAsia="zh-CN"/>
        </w:rPr>
        <w:t>9</w:t>
      </w:r>
      <w:r>
        <w:rPr>
          <w:rFonts w:hint="eastAsia" w:cs="宋体" w:asciiTheme="minorEastAsia" w:hAnsiTheme="minorEastAsia" w:eastAsiaTheme="minorEastAsia"/>
          <w:kern w:val="0"/>
          <w:sz w:val="24"/>
          <w:szCs w:val="24"/>
        </w:rPr>
        <w:t>时</w:t>
      </w:r>
      <w:r>
        <w:rPr>
          <w:rFonts w:hint="eastAsia" w:cs="宋体" w:asciiTheme="minorEastAsia" w:hAnsiTheme="minorEastAsia" w:eastAsiaTheme="minorEastAsia"/>
          <w:kern w:val="0"/>
          <w:sz w:val="24"/>
          <w:szCs w:val="24"/>
          <w:lang w:val="en-US" w:eastAsia="zh-CN"/>
        </w:rPr>
        <w:t>30</w:t>
      </w:r>
      <w:r>
        <w:rPr>
          <w:rFonts w:hint="eastAsia" w:cs="宋体" w:asciiTheme="minorEastAsia" w:hAnsiTheme="minorEastAsia" w:eastAsiaTheme="minorEastAsia"/>
          <w:kern w:val="0"/>
          <w:sz w:val="24"/>
          <w:szCs w:val="24"/>
        </w:rPr>
        <w:t>分。</w:t>
      </w:r>
    </w:p>
    <w:p>
      <w:pPr>
        <w:pStyle w:val="3"/>
        <w:numPr>
          <w:ilvl w:val="0"/>
          <w:numId w:val="12"/>
        </w:numPr>
        <w:overflowPunct/>
        <w:adjustRightInd/>
        <w:spacing w:line="500" w:lineRule="exact"/>
        <w:textAlignment w:val="auto"/>
        <w:rPr>
          <w:rFonts w:cs="宋体" w:asciiTheme="minorEastAsia" w:hAnsiTheme="minorEastAsia" w:eastAsiaTheme="minorEastAsia"/>
          <w:b w:val="0"/>
          <w:sz w:val="24"/>
          <w:szCs w:val="24"/>
        </w:rPr>
      </w:pPr>
      <w:bookmarkStart w:id="34" w:name="_Toc38985268"/>
      <w:bookmarkStart w:id="35" w:name="_Toc35393626"/>
      <w:bookmarkStart w:id="36" w:name="_Toc35393795"/>
      <w:r>
        <w:rPr>
          <w:rFonts w:hint="eastAsia" w:cs="宋体" w:asciiTheme="minorEastAsia" w:hAnsiTheme="minorEastAsia" w:eastAsiaTheme="minorEastAsia"/>
          <w:b w:val="0"/>
          <w:sz w:val="24"/>
          <w:szCs w:val="24"/>
        </w:rPr>
        <w:t>其他补充事宜</w:t>
      </w:r>
      <w:bookmarkEnd w:id="34"/>
      <w:bookmarkEnd w:id="35"/>
      <w:bookmarkEnd w:id="36"/>
    </w:p>
    <w:p>
      <w:pPr>
        <w:ind w:firstLine="420" w:firstLineChars="200"/>
      </w:pPr>
      <w:r>
        <w:rPr>
          <w:rFonts w:hint="eastAsia"/>
        </w:rPr>
        <w:t>特别提醒</w:t>
      </w:r>
    </w:p>
    <w:p>
      <w:pPr>
        <w:numPr>
          <w:ilvl w:val="0"/>
          <w:numId w:val="13"/>
        </w:numPr>
        <w:adjustRightInd w:val="0"/>
        <w:snapToGrid w:val="0"/>
        <w:spacing w:line="460" w:lineRule="exact"/>
        <w:ind w:firstLine="479" w:firstLineChars="199"/>
        <w:rPr>
          <w:rFonts w:ascii="宋体" w:hAnsi="宋体"/>
          <w:b/>
          <w:bCs/>
          <w:color w:val="FF0000"/>
          <w:sz w:val="24"/>
        </w:rPr>
      </w:pPr>
      <w:bookmarkStart w:id="37" w:name="_Toc35393796"/>
      <w:bookmarkStart w:id="38" w:name="_Toc38985269"/>
      <w:bookmarkStart w:id="39" w:name="_Toc35393627"/>
      <w:bookmarkStart w:id="40" w:name="_Toc28359008"/>
      <w:bookmarkStart w:id="41" w:name="_Toc28359085"/>
      <w:r>
        <w:rPr>
          <w:rFonts w:hint="eastAsia" w:ascii="宋体" w:hAnsi="宋体"/>
          <w:b/>
          <w:bCs/>
          <w:color w:val="FF0000"/>
          <w:sz w:val="24"/>
        </w:rPr>
        <w:t>各潜在投标人应持续关注新冠肺炎疫情形势和我市、区防控最新要求，严格遵守疫情防控有关规定，积极配合疫情防控有关工作安排，自行考虑新冠肺炎疫情的不确定性风险，不得以新冠肺炎疫情原因提出异议或投诉。进入南通市通州区政务中心所有人员必须全程佩戴口罩，按要求提供苏康码、行程码、核酸检测报告（如需），保证顺利到达开标现场。</w:t>
      </w:r>
    </w:p>
    <w:p>
      <w:pPr>
        <w:numPr>
          <w:ilvl w:val="0"/>
          <w:numId w:val="13"/>
        </w:numPr>
        <w:adjustRightInd w:val="0"/>
        <w:snapToGrid w:val="0"/>
        <w:spacing w:line="460" w:lineRule="exact"/>
        <w:ind w:firstLine="479" w:firstLineChars="199"/>
        <w:rPr>
          <w:rFonts w:ascii="宋体" w:hAnsi="宋体"/>
          <w:b/>
          <w:bCs/>
          <w:color w:val="FF0000"/>
          <w:sz w:val="24"/>
        </w:rPr>
      </w:pPr>
      <w:r>
        <w:rPr>
          <w:rFonts w:hint="eastAsia" w:ascii="宋体" w:hAnsi="宋体"/>
          <w:b/>
          <w:bCs/>
          <w:color w:val="FF0000"/>
          <w:sz w:val="24"/>
        </w:rPr>
        <w:t>参加投标人员仅限授权委托人（携带身份证及授权委托书）。</w:t>
      </w:r>
    </w:p>
    <w:p>
      <w:pPr>
        <w:pStyle w:val="3"/>
        <w:overflowPunct/>
        <w:adjustRightInd/>
        <w:spacing w:line="500" w:lineRule="exact"/>
        <w:textAlignment w:val="auto"/>
        <w:rPr>
          <w:rFonts w:cs="宋体" w:asciiTheme="minorEastAsia" w:hAnsiTheme="minorEastAsia" w:eastAsiaTheme="minorEastAsia"/>
          <w:b w:val="0"/>
          <w:sz w:val="24"/>
          <w:szCs w:val="24"/>
        </w:rPr>
      </w:pPr>
      <w:r>
        <w:rPr>
          <w:rFonts w:hint="eastAsia" w:cs="宋体" w:asciiTheme="minorEastAsia" w:hAnsiTheme="minorEastAsia" w:eastAsiaTheme="minorEastAsia"/>
          <w:b w:val="0"/>
          <w:sz w:val="24"/>
          <w:szCs w:val="24"/>
        </w:rPr>
        <w:t>七、本次招标联系方式</w:t>
      </w:r>
      <w:bookmarkEnd w:id="37"/>
      <w:bookmarkEnd w:id="38"/>
      <w:bookmarkEnd w:id="39"/>
      <w:bookmarkEnd w:id="40"/>
      <w:bookmarkEnd w:id="41"/>
    </w:p>
    <w:p>
      <w:pPr>
        <w:spacing w:line="500" w:lineRule="exact"/>
        <w:ind w:firstLine="600" w:firstLineChars="2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1.采购人信息</w:t>
      </w:r>
    </w:p>
    <w:p>
      <w:pPr>
        <w:spacing w:line="500" w:lineRule="exact"/>
        <w:ind w:firstLine="600" w:firstLineChars="250"/>
        <w:jc w:val="left"/>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名称：</w:t>
      </w:r>
      <w:bookmarkStart w:id="42" w:name="_Toc28359009"/>
      <w:bookmarkStart w:id="43" w:name="_Toc28359086"/>
      <w:r>
        <w:rPr>
          <w:rFonts w:hint="eastAsia" w:cs="宋体" w:asciiTheme="minorEastAsia" w:hAnsiTheme="minorEastAsia" w:eastAsiaTheme="minorEastAsia"/>
          <w:sz w:val="24"/>
          <w:szCs w:val="24"/>
          <w:u w:val="single"/>
        </w:rPr>
        <w:t>南通市通州区供销合作总社</w:t>
      </w:r>
    </w:p>
    <w:p>
      <w:pPr>
        <w:spacing w:line="500" w:lineRule="exact"/>
        <w:ind w:firstLine="600" w:firstLineChars="250"/>
        <w:jc w:val="left"/>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地址：</w:t>
      </w:r>
      <w:r>
        <w:rPr>
          <w:rFonts w:hint="eastAsia" w:cs="宋体" w:asciiTheme="minorEastAsia" w:hAnsiTheme="minorEastAsia" w:eastAsiaTheme="minorEastAsia"/>
          <w:sz w:val="24"/>
          <w:szCs w:val="24"/>
          <w:u w:val="single"/>
        </w:rPr>
        <w:t>南通市通州区金沙镇朝阳路48号</w:t>
      </w:r>
    </w:p>
    <w:p>
      <w:pPr>
        <w:spacing w:line="500" w:lineRule="exact"/>
        <w:ind w:firstLine="600" w:firstLineChars="250"/>
        <w:jc w:val="left"/>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联系人：</w:t>
      </w:r>
      <w:r>
        <w:rPr>
          <w:rFonts w:hint="eastAsia" w:cs="宋体" w:asciiTheme="minorEastAsia" w:hAnsiTheme="minorEastAsia" w:eastAsiaTheme="minorEastAsia"/>
          <w:sz w:val="24"/>
          <w:szCs w:val="24"/>
          <w:u w:val="single"/>
        </w:rPr>
        <w:t>吴先生</w:t>
      </w:r>
    </w:p>
    <w:p>
      <w:pPr>
        <w:spacing w:line="500" w:lineRule="exact"/>
        <w:ind w:firstLine="600" w:firstLineChars="2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 话：</w:t>
      </w:r>
      <w:r>
        <w:rPr>
          <w:rFonts w:hint="eastAsia" w:cs="宋体" w:asciiTheme="minorEastAsia" w:hAnsiTheme="minorEastAsia" w:eastAsiaTheme="minorEastAsia"/>
          <w:sz w:val="24"/>
          <w:szCs w:val="24"/>
          <w:u w:val="single"/>
        </w:rPr>
        <w:t>0513-86512693</w:t>
      </w:r>
    </w:p>
    <w:p>
      <w:pPr>
        <w:spacing w:line="500" w:lineRule="exact"/>
        <w:ind w:firstLine="600" w:firstLineChars="250"/>
        <w:jc w:val="left"/>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2.</w:t>
      </w:r>
      <w:bookmarkEnd w:id="42"/>
      <w:bookmarkEnd w:id="43"/>
      <w:bookmarkStart w:id="44" w:name="_Toc28359010"/>
      <w:bookmarkStart w:id="45" w:name="_Toc28359087"/>
      <w:r>
        <w:rPr>
          <w:rFonts w:hint="eastAsia" w:cs="宋体" w:asciiTheme="minorEastAsia" w:hAnsiTheme="minorEastAsia" w:eastAsiaTheme="minorEastAsia"/>
          <w:sz w:val="24"/>
          <w:szCs w:val="24"/>
        </w:rPr>
        <w:t>代理机构信息</w:t>
      </w:r>
    </w:p>
    <w:p>
      <w:pPr>
        <w:spacing w:line="500" w:lineRule="exact"/>
        <w:ind w:firstLine="600" w:firstLineChars="250"/>
        <w:jc w:val="left"/>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 xml:space="preserve">名称: </w:t>
      </w:r>
      <w:r>
        <w:rPr>
          <w:rFonts w:hint="eastAsia" w:asciiTheme="minorEastAsia" w:hAnsiTheme="minorEastAsia" w:eastAsiaTheme="minorEastAsia"/>
          <w:sz w:val="24"/>
          <w:szCs w:val="24"/>
          <w:u w:val="single"/>
        </w:rPr>
        <w:t>南通市通州天元建设监理咨询有限公司</w:t>
      </w:r>
    </w:p>
    <w:p>
      <w:pPr>
        <w:spacing w:line="500" w:lineRule="exact"/>
        <w:ind w:firstLine="600" w:firstLineChars="250"/>
        <w:jc w:val="left"/>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地 址：</w:t>
      </w:r>
      <w:r>
        <w:rPr>
          <w:rFonts w:hint="eastAsia" w:asciiTheme="minorEastAsia" w:hAnsiTheme="minorEastAsia" w:eastAsiaTheme="minorEastAsia"/>
          <w:sz w:val="24"/>
          <w:szCs w:val="24"/>
          <w:u w:val="single"/>
        </w:rPr>
        <w:t>南通市通州区润和大厦8楼</w:t>
      </w:r>
    </w:p>
    <w:p>
      <w:pPr>
        <w:spacing w:line="500" w:lineRule="exact"/>
        <w:ind w:firstLine="600" w:firstLineChars="250"/>
        <w:jc w:val="left"/>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联系人：</w:t>
      </w:r>
      <w:r>
        <w:rPr>
          <w:rFonts w:hint="eastAsia" w:asciiTheme="minorEastAsia" w:hAnsiTheme="minorEastAsia" w:eastAsiaTheme="minorEastAsia"/>
          <w:sz w:val="24"/>
          <w:szCs w:val="24"/>
          <w:u w:val="single"/>
        </w:rPr>
        <w:t>俞振飞</w:t>
      </w:r>
    </w:p>
    <w:p>
      <w:pPr>
        <w:spacing w:line="500" w:lineRule="exact"/>
        <w:ind w:firstLine="600" w:firstLineChars="250"/>
        <w:jc w:val="left"/>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电 话：</w:t>
      </w:r>
      <w:r>
        <w:rPr>
          <w:rFonts w:hint="eastAsia" w:asciiTheme="minorEastAsia" w:hAnsiTheme="minorEastAsia" w:eastAsiaTheme="minorEastAsia"/>
          <w:sz w:val="24"/>
          <w:szCs w:val="24"/>
          <w:u w:val="single"/>
        </w:rPr>
        <w:t>0513-86516066</w:t>
      </w:r>
    </w:p>
    <w:bookmarkEnd w:id="44"/>
    <w:bookmarkEnd w:id="45"/>
    <w:p>
      <w:pPr>
        <w:pStyle w:val="3"/>
        <w:overflowPunct/>
        <w:adjustRightInd/>
        <w:spacing w:line="500" w:lineRule="exact"/>
        <w:textAlignment w:val="auto"/>
        <w:rPr>
          <w:rFonts w:cs="宋体" w:asciiTheme="minorEastAsia" w:hAnsiTheme="minorEastAsia" w:eastAsiaTheme="minorEastAsia"/>
          <w:b w:val="0"/>
          <w:sz w:val="24"/>
          <w:szCs w:val="24"/>
        </w:rPr>
      </w:pPr>
      <w:r>
        <w:rPr>
          <w:rFonts w:hint="eastAsia" w:cs="宋体" w:asciiTheme="minorEastAsia" w:hAnsiTheme="minorEastAsia" w:eastAsiaTheme="minorEastAsia"/>
          <w:b w:val="0"/>
          <w:sz w:val="24"/>
          <w:szCs w:val="24"/>
        </w:rPr>
        <w:t>八、其他</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1.潜在投标人对招标文件项目需求部分的询问、质疑请向采购人提出，由采购人负责答复。潜在投标人对招标文件的询问、质疑请向采购人提出，由采购人负责答复。</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2.投标文件制作份数要求：</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正本份数：</w:t>
      </w:r>
      <w:r>
        <w:rPr>
          <w:rFonts w:hint="eastAsia" w:asciiTheme="minorEastAsia" w:hAnsiTheme="minorEastAsia" w:eastAsiaTheme="minorEastAsia"/>
          <w:bCs/>
          <w:sz w:val="24"/>
          <w:szCs w:val="24"/>
          <w:u w:val="single"/>
        </w:rPr>
        <w:t>1</w:t>
      </w:r>
      <w:r>
        <w:rPr>
          <w:rFonts w:hint="eastAsia" w:asciiTheme="minorEastAsia" w:hAnsiTheme="minorEastAsia" w:eastAsiaTheme="minorEastAsia"/>
          <w:bCs/>
          <w:sz w:val="24"/>
          <w:szCs w:val="24"/>
        </w:rPr>
        <w:t>份   副本份数：</w:t>
      </w:r>
      <w:r>
        <w:rPr>
          <w:rFonts w:hint="eastAsia" w:asciiTheme="minorEastAsia" w:hAnsiTheme="minorEastAsia" w:eastAsiaTheme="minorEastAsia"/>
          <w:bCs/>
          <w:sz w:val="24"/>
          <w:szCs w:val="24"/>
          <w:u w:val="single"/>
        </w:rPr>
        <w:t>2</w:t>
      </w:r>
      <w:r>
        <w:rPr>
          <w:rFonts w:hint="eastAsia" w:asciiTheme="minorEastAsia" w:hAnsiTheme="minorEastAsia" w:eastAsiaTheme="minorEastAsia"/>
          <w:bCs/>
          <w:sz w:val="24"/>
          <w:szCs w:val="24"/>
        </w:rPr>
        <w:t>份</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3. 有关本次采购的事项若存在变动或修改，敬请及时关注“江苏省政府采购网”发布的更正公告。</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4.本次采购不收取投标保证金。</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5.本项目属于政府采购，交易中心不收取中标服务费。</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6.本项目招标代理费3600元，由采购人支付。</w:t>
      </w:r>
    </w:p>
    <w:p>
      <w:pPr>
        <w:widowControl/>
        <w:spacing w:line="500" w:lineRule="exact"/>
        <w:ind w:firstLine="600" w:firstLineChars="25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7.本次招标代理和采购人不收取标书工本费。</w:t>
      </w:r>
    </w:p>
    <w:p>
      <w:pPr>
        <w:widowControl/>
        <w:spacing w:line="500" w:lineRule="exact"/>
        <w:ind w:firstLine="700" w:firstLineChars="250"/>
        <w:jc w:val="left"/>
        <w:rPr>
          <w:rFonts w:asciiTheme="minorEastAsia" w:hAnsiTheme="minorEastAsia" w:eastAsiaTheme="minorEastAsia"/>
          <w:bCs/>
          <w:sz w:val="28"/>
          <w:szCs w:val="28"/>
        </w:rPr>
      </w:pPr>
    </w:p>
    <w:p>
      <w:pPr>
        <w:widowControl/>
        <w:spacing w:line="500" w:lineRule="exact"/>
        <w:ind w:firstLine="700" w:firstLineChars="250"/>
        <w:jc w:val="left"/>
        <w:rPr>
          <w:rFonts w:asciiTheme="minorEastAsia" w:hAnsiTheme="minorEastAsia" w:eastAsiaTheme="minorEastAsia"/>
          <w:bCs/>
          <w:sz w:val="28"/>
          <w:szCs w:val="28"/>
        </w:rPr>
      </w:pPr>
    </w:p>
    <w:p>
      <w:pPr>
        <w:widowControl/>
        <w:spacing w:line="500" w:lineRule="exact"/>
        <w:ind w:firstLine="700" w:firstLineChars="250"/>
        <w:jc w:val="left"/>
        <w:rPr>
          <w:rFonts w:asciiTheme="minorEastAsia" w:hAnsiTheme="minorEastAsia" w:eastAsiaTheme="minorEastAsia"/>
          <w:bCs/>
          <w:sz w:val="28"/>
          <w:szCs w:val="28"/>
        </w:rPr>
      </w:pPr>
    </w:p>
    <w:p>
      <w:pPr>
        <w:widowControl/>
        <w:spacing w:line="500" w:lineRule="exact"/>
        <w:ind w:firstLine="700" w:firstLineChars="250"/>
        <w:jc w:val="left"/>
        <w:rPr>
          <w:rFonts w:asciiTheme="minorEastAsia" w:hAnsiTheme="minorEastAsia" w:eastAsiaTheme="minorEastAsia"/>
          <w:bCs/>
          <w:sz w:val="28"/>
          <w:szCs w:val="28"/>
        </w:rPr>
      </w:pPr>
    </w:p>
    <w:p>
      <w:pPr>
        <w:widowControl/>
        <w:spacing w:line="500" w:lineRule="exact"/>
        <w:ind w:firstLine="700" w:firstLineChars="250"/>
        <w:jc w:val="left"/>
        <w:rPr>
          <w:rFonts w:asciiTheme="minorEastAsia" w:hAnsiTheme="minorEastAsia" w:eastAsiaTheme="minorEastAsia"/>
          <w:bCs/>
          <w:sz w:val="28"/>
          <w:szCs w:val="28"/>
        </w:rPr>
      </w:pPr>
    </w:p>
    <w:p>
      <w:pPr>
        <w:widowControl/>
        <w:spacing w:line="500" w:lineRule="exact"/>
        <w:ind w:firstLine="700" w:firstLineChars="250"/>
        <w:jc w:val="left"/>
        <w:rPr>
          <w:rFonts w:asciiTheme="minorEastAsia" w:hAnsiTheme="minorEastAsia" w:eastAsiaTheme="minorEastAsia"/>
          <w:bCs/>
          <w:sz w:val="28"/>
          <w:szCs w:val="28"/>
        </w:rPr>
      </w:pPr>
    </w:p>
    <w:bookmarkEnd w:id="6"/>
    <w:p>
      <w:pPr>
        <w:pStyle w:val="3"/>
        <w:rPr>
          <w:rFonts w:asciiTheme="majorEastAsia" w:hAnsiTheme="majorEastAsia" w:eastAsiaTheme="majorEastAsia"/>
          <w:b w:val="0"/>
          <w:color w:val="0D0D0D" w:themeColor="text1" w:themeTint="F2"/>
          <w:sz w:val="36"/>
          <w:szCs w:val="36"/>
          <w14:textFill>
            <w14:solidFill>
              <w14:schemeClr w14:val="tx1">
                <w14:lumMod w14:val="95000"/>
                <w14:lumOff w14:val="5000"/>
              </w14:schemeClr>
            </w14:solidFill>
          </w14:textFill>
        </w:rPr>
      </w:pPr>
    </w:p>
    <w:p/>
    <w:p>
      <w:pPr>
        <w:pStyle w:val="3"/>
        <w:ind w:firstLine="3240" w:firstLineChars="900"/>
        <w:rPr>
          <w:rFonts w:asciiTheme="majorEastAsia" w:hAnsiTheme="majorEastAsia" w:eastAsiaTheme="majorEastAsia"/>
          <w:b w:val="0"/>
          <w:bCs/>
          <w:color w:val="0D0D0D" w:themeColor="text1" w:themeTint="F2"/>
          <w:sz w:val="36"/>
          <w:szCs w:val="36"/>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36"/>
          <w:szCs w:val="36"/>
          <w14:textFill>
            <w14:solidFill>
              <w14:schemeClr w14:val="tx1">
                <w14:lumMod w14:val="95000"/>
                <w14:lumOff w14:val="5000"/>
              </w14:schemeClr>
            </w14:solidFill>
          </w14:textFill>
        </w:rPr>
        <w:t xml:space="preserve">第二章  </w:t>
      </w:r>
      <w:bookmarkEnd w:id="1"/>
      <w:bookmarkEnd w:id="2"/>
      <w:bookmarkEnd w:id="3"/>
      <w:bookmarkEnd w:id="4"/>
      <w:bookmarkEnd w:id="5"/>
      <w:bookmarkEnd w:id="7"/>
      <w:bookmarkStart w:id="46" w:name="_Toc16938518"/>
      <w:bookmarkStart w:id="47" w:name="_Toc513029202"/>
      <w:bookmarkStart w:id="48" w:name="_Toc120614213"/>
      <w:bookmarkStart w:id="49" w:name="_Toc20823274"/>
      <w:r>
        <w:rPr>
          <w:rFonts w:hint="eastAsia" w:asciiTheme="majorEastAsia" w:hAnsiTheme="majorEastAsia" w:eastAsiaTheme="majorEastAsia"/>
          <w:b w:val="0"/>
          <w:color w:val="0D0D0D" w:themeColor="text1" w:themeTint="F2"/>
          <w:sz w:val="36"/>
          <w:szCs w:val="36"/>
          <w14:textFill>
            <w14:solidFill>
              <w14:schemeClr w14:val="tx1">
                <w14:lumMod w14:val="95000"/>
                <w14:lumOff w14:val="5000"/>
              </w14:schemeClr>
            </w14:solidFill>
          </w14:textFill>
        </w:rPr>
        <w:t>投标人须知</w:t>
      </w:r>
      <w:bookmarkEnd w:id="46"/>
      <w:bookmarkEnd w:id="47"/>
      <w:bookmarkEnd w:id="48"/>
      <w:bookmarkEnd w:id="49"/>
    </w:p>
    <w:p>
      <w:pPr>
        <w:pStyle w:val="4"/>
        <w:spacing w:beforeLines="50" w:afterLines="50" w:line="400" w:lineRule="exact"/>
        <w:ind w:firstLine="372" w:firstLineChars="155"/>
        <w:jc w:val="center"/>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50" w:name="_Toc120614214"/>
      <w:bookmarkStart w:id="51" w:name="_Toc20823275"/>
      <w:bookmarkStart w:id="52" w:name="_Toc513029203"/>
      <w:bookmarkStart w:id="53" w:name="_Toc16938519"/>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一、总则</w:t>
      </w:r>
      <w:bookmarkEnd w:id="50"/>
      <w:bookmarkEnd w:id="51"/>
      <w:bookmarkEnd w:id="52"/>
      <w:bookmarkEnd w:id="53"/>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54" w:name="_Hlt16619475"/>
      <w:bookmarkEnd w:id="54"/>
      <w:bookmarkStart w:id="55" w:name="_Toc458694821"/>
      <w:bookmarkStart w:id="56" w:name="_Toc20823276"/>
      <w:bookmarkStart w:id="57" w:name="_Toc16938520"/>
      <w:bookmarkStart w:id="58" w:name="_Toc513029204"/>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w:t>
      </w:r>
      <w:bookmarkEnd w:id="55"/>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、招标方式</w:t>
      </w:r>
      <w:bookmarkEnd w:id="56"/>
      <w:bookmarkEnd w:id="57"/>
      <w:bookmarkEnd w:id="58"/>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1.1 本次招标采取公开招标方式，本招标文件仅适用于招标公告中所述项目。</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59" w:name="_Toc20823277"/>
      <w:bookmarkStart w:id="60" w:name="_Toc513029205"/>
      <w:bookmarkStart w:id="61" w:name="_Toc16938521"/>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2、合格的投标人</w:t>
      </w:r>
      <w:bookmarkEnd w:id="59"/>
      <w:bookmarkEnd w:id="60"/>
      <w:bookmarkEnd w:id="61"/>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2.1满足招标公告中供应商的资格要求的规定。</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 满足本文件实质性条款的规定。</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2.3至投标截止时间节点</w:t>
      </w:r>
      <w:bookmarkStart w:id="62" w:name="_Toc16938522"/>
      <w:bookmarkStart w:id="63" w:name="_Toc513029206"/>
      <w:bookmarkStart w:id="64" w:name="_Toc20823278"/>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未被“信用中国”网站(</w:t>
      </w:r>
      <w:r>
        <w:fldChar w:fldCharType="begin"/>
      </w:r>
      <w:r>
        <w:instrText xml:space="preserve"> HYPERLINK "http://www.creditchina.gov.cn" </w:instrText>
      </w:r>
      <w:r>
        <w:fldChar w:fldCharType="separate"/>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www.creditchina.gov.cn</w:t>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)、中华人民</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共和国</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最高人民法院网站</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fldChar w:fldCharType="begin"/>
      </w:r>
      <w:r>
        <w:instrText xml:space="preserve"> HYPERLINK "http://www.court.gov.cn/"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http://www.court.gov.cn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等渠道列入信用记录失信被执行人，未被中国政府采购网(</w:t>
      </w:r>
      <w:r>
        <w:fldChar w:fldCharType="begin"/>
      </w:r>
      <w:r>
        <w:instrText xml:space="preserve"> HYPERLINK "http://www.ccgp.gov.cn" </w:instrText>
      </w:r>
      <w:r>
        <w:fldChar w:fldCharType="separate"/>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www.ccgp.gov.cn</w:t>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)等渠道列入政府采购严重违法失信行为记录名单，未被中华人民共和国应急管理部网站</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fldChar w:fldCharType="begin"/>
      </w:r>
      <w:r>
        <w:instrText xml:space="preserve"> HYPERLINK "http://www.chinasafety.gov.cn/"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http://www.chinasafety.gov.cn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等渠道列入</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安全生产失信联合惩戒“</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黑名单</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未被国家税务总局</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网站（</w:t>
      </w:r>
      <w:r>
        <w:fldChar w:fldCharType="begin"/>
      </w:r>
      <w:r>
        <w:instrText xml:space="preserve"> HYPERLINK "http://hd.chinatax.gov.cn/xxk/"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http://hd.chinatax.gov.cn/xxk</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重大税收违法案件当事人名单，未被国家企业</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信用信息公示系统（</w:t>
      </w:r>
      <w:r>
        <w:fldChar w:fldCharType="begin"/>
      </w:r>
      <w:r>
        <w:instrText xml:space="preserve"> HYPERLINK "http://www.gsxt.gov.cn"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http://www.gsxt.gov.cn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经营异常名录、严重违法</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失信企业名单</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，未被</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全国公共资源交易平台（</w:t>
      </w:r>
      <w:r>
        <w:fldChar w:fldCharType="begin"/>
      </w:r>
      <w:r>
        <w:instrText xml:space="preserve"> HYPERLINK "http://www.ggzy.gov.cn"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http://www.ggzy.gov.cn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黑名单；</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3、适用法律</w:t>
      </w:r>
      <w:bookmarkEnd w:id="62"/>
      <w:bookmarkEnd w:id="63"/>
      <w:bookmarkEnd w:id="64"/>
    </w:p>
    <w:p>
      <w:pPr>
        <w:spacing w:line="440" w:lineRule="exact"/>
        <w:ind w:firstLine="420" w:firstLineChars="175"/>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3.1 本次招标及由此产生的合同受中华人民共和国有关的法律法规制约和保护</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65" w:name="_Toc462564067"/>
      <w:bookmarkStart w:id="66" w:name="_Toc513029207"/>
      <w:bookmarkStart w:id="67" w:name="_Toc16938523"/>
      <w:bookmarkStart w:id="68" w:name="_Toc20823279"/>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4、投标费用</w:t>
      </w:r>
      <w:bookmarkEnd w:id="65"/>
      <w:bookmarkEnd w:id="66"/>
      <w:bookmarkEnd w:id="67"/>
      <w:bookmarkEnd w:id="68"/>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4.1</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投标人应自行承担所有与参加投标有关的费用，无论投标过程中的做法和结果如何，本采购人在任何情况下均无义务和责任承担这些费用。</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4.2本项目不收取招标文件费用；本项目属于政府采购项目，交易中心不收取中标服务费；本项目招标代理费3600元由采购人支付。</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5、招标文件的约束力</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5.1</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投标人一旦参加本项目采购活动，即被认为接受了本招标文件的规定和约束并且视为自招标公告期限届满之日起知道或应当知道自身权益是否收到了损害。</w:t>
      </w:r>
    </w:p>
    <w:p>
      <w:pPr>
        <w:pStyle w:val="4"/>
        <w:spacing w:beforeLines="50" w:afterLines="50" w:line="440" w:lineRule="exact"/>
        <w:ind w:firstLine="240" w:firstLineChars="100"/>
        <w:jc w:val="center"/>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69" w:name="_Toc16938525"/>
      <w:bookmarkStart w:id="70" w:name="_Toc120614215"/>
      <w:bookmarkStart w:id="71" w:name="_Toc20823281"/>
      <w:bookmarkStart w:id="72" w:name="_Toc513029209"/>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二、招标文件</w:t>
      </w:r>
      <w:bookmarkEnd w:id="69"/>
      <w:bookmarkEnd w:id="70"/>
      <w:bookmarkEnd w:id="71"/>
      <w:bookmarkEnd w:id="72"/>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73" w:name="_Toc20823282"/>
      <w:bookmarkStart w:id="74" w:name="_Toc16938526"/>
      <w:bookmarkStart w:id="75" w:name="_Toc513029210"/>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6、招标文件构成</w:t>
      </w:r>
      <w:bookmarkEnd w:id="73"/>
      <w:bookmarkEnd w:id="74"/>
      <w:bookmarkEnd w:id="75"/>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6.1</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招标文件由以下部分组成：</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（1）投标邀请</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（2）投标人须知</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（3）合同条款及格式</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（4）项目需求</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（5）评标方法与评标标准</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（6）投标文件格式</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供应商下载招标文件后，应仔细检查招标文件的所有内容，如对采购活动事项有疑问的，应以书面形式提出询问或疑问，未在规定时间内提出询问或疑问的，视同供应商理解并接受本招标文件所有内容，并由此引起的投标损失自负。</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6.2</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5"/>
        <w:spacing w:before="0" w:after="0" w:line="440" w:lineRule="exact"/>
        <w:ind w:firstLine="480" w:firstLineChars="20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76" w:name="_Toc513029211"/>
      <w:bookmarkStart w:id="77" w:name="_Toc16938527"/>
      <w:bookmarkStart w:id="78" w:name="_Toc20823283"/>
      <w:bookmarkStart w:id="79" w:name="_Toc462564070"/>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7、招标文件的</w:t>
      </w:r>
      <w:bookmarkEnd w:id="76"/>
      <w:bookmarkEnd w:id="77"/>
      <w:bookmarkEnd w:id="78"/>
      <w:bookmarkEnd w:id="79"/>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疑问</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7.1</w:t>
      </w:r>
      <w:bookmarkStart w:id="80" w:name="_Toc20823284"/>
      <w:bookmarkStart w:id="81" w:name="_Toc462564071"/>
      <w:bookmarkStart w:id="82" w:name="_Toc16938528"/>
      <w:bookmarkStart w:id="83" w:name="_Toc513029212"/>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供应商对采购活动事项有疑问的，应当在2022年</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月</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27</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日前向采购人提出询问，采购人将在2022年</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月</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27</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日前对供应商依法提出的询问作出答复。</w:t>
      </w:r>
    </w:p>
    <w:p>
      <w:pPr>
        <w:spacing w:line="440" w:lineRule="exact"/>
        <w:ind w:left="120" w:leftChars="57"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7.2投标人认为采购文件使自己的权益受到损害的，可以在2022年</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月</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27</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日前，以书面形式向采购人提出质疑。采购人将在收到投标人的书面质疑后7个工作日内对投标人依法提出的质疑作出答复，并将通知质疑投标人和其他有关投标人，但答复内容涉及商业秘密的除外。</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7.3采购人委托招标代理机构采购的，投标人可以向招标代理机构提出质疑，招标代理机构依照《中华人民共和国政府采购法》有关规定就采购人委托授权范围内的事项作出答复。</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7.4采购人可能在2022年</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月</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30</w:t>
      </w:r>
      <w:bookmarkStart w:id="364" w:name="_GoBack"/>
      <w:bookmarkEnd w:id="364"/>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日前对已发出的招标文件进行必要的澄清或者修改，如澄清或修改时间晚于国家有关法律法规规定的，采购人将顺延提交投标文件的截止时间，并以书面形式通知所有获取招标文件的潜在投标人。</w:t>
      </w:r>
    </w:p>
    <w:p>
      <w:pPr>
        <w:spacing w:line="440" w:lineRule="exact"/>
        <w:ind w:firstLine="480" w:firstLineChars="200"/>
        <w:rPr>
          <w:rFonts w:cs="Arial"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cs="Arial"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8、招标文件的修改</w:t>
      </w:r>
      <w:bookmarkEnd w:id="80"/>
      <w:bookmarkEnd w:id="81"/>
      <w:bookmarkEnd w:id="82"/>
      <w:bookmarkEnd w:id="83"/>
      <w:r>
        <w:rPr>
          <w:rFonts w:hint="eastAsia" w:cs="Arial"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及澄清</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8.1</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在投标截止时间十五日前，采购人可以对招标文件进行修改。</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8.2</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采购人有权按照法定的要求推迟投标截止日期和开标日期。</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8.3</w:t>
      </w:r>
      <w:bookmarkStart w:id="84" w:name="_Toc120614216"/>
      <w:bookmarkStart w:id="85" w:name="_Toc513029213"/>
      <w:bookmarkStart w:id="86" w:name="_Toc20823285"/>
      <w:bookmarkStart w:id="87" w:name="_Toc16938529"/>
      <w:bookmarkStart w:id="88" w:name="_Toc462564072"/>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招标文件的修改将在南通市公共资源交易网公布，补充文件将作为招标文件的组成部分，并对投标人具有约束力。</w:t>
      </w:r>
    </w:p>
    <w:p>
      <w:pPr>
        <w:spacing w:line="440" w:lineRule="exact"/>
        <w:ind w:firstLine="480" w:firstLineChars="200"/>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三、投标文件的编制</w:t>
      </w:r>
      <w:bookmarkEnd w:id="84"/>
      <w:bookmarkEnd w:id="85"/>
      <w:bookmarkEnd w:id="86"/>
      <w:bookmarkEnd w:id="87"/>
      <w:bookmarkEnd w:id="88"/>
    </w:p>
    <w:p>
      <w:pPr>
        <w:pStyle w:val="5"/>
        <w:spacing w:before="0" w:after="0" w:line="440" w:lineRule="exact"/>
        <w:ind w:firstLine="480" w:firstLineChars="20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89" w:name="_Toc462564073"/>
      <w:bookmarkStart w:id="90" w:name="_Toc513029214"/>
      <w:bookmarkStart w:id="91" w:name="_Toc16938530"/>
      <w:bookmarkStart w:id="92" w:name="_Toc20823286"/>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9、投标文件的语言及度量衡单位</w:t>
      </w:r>
      <w:bookmarkEnd w:id="89"/>
      <w:bookmarkEnd w:id="90"/>
      <w:bookmarkEnd w:id="91"/>
      <w:bookmarkEnd w:id="92"/>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9.1</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投标人提交的投标文件以及投标人与采购人就有关投标的所有来往通知、函件和文件均应使用简体中文。</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9.2</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除技术性能另有规定外，投标文件所使用的度量衡单位，均须采用国家法定计量单位。</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93" w:name="_Toc16938531"/>
      <w:bookmarkStart w:id="94" w:name="_Toc513029215"/>
      <w:bookmarkStart w:id="95" w:name="_Toc20823287"/>
      <w:bookmarkStart w:id="96" w:name="_Toc462564074"/>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10、投标文件构成</w:t>
      </w:r>
      <w:bookmarkEnd w:id="93"/>
      <w:bookmarkEnd w:id="94"/>
      <w:bookmarkEnd w:id="95"/>
      <w:bookmarkEnd w:id="96"/>
    </w:p>
    <w:p>
      <w:pPr>
        <w:pStyle w:val="15"/>
        <w:spacing w:line="440" w:lineRule="exact"/>
        <w:rPr>
          <w:rFonts w:asciiTheme="majorEastAsia" w:hAnsiTheme="majorEastAsia" w:eastAsiaTheme="majorEastAsia"/>
          <w:color w:val="0D0D0D" w:themeColor="text1" w:themeTint="F2"/>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Cs w:val="24"/>
          <w:u w:val="single"/>
          <w14:textFill>
            <w14:solidFill>
              <w14:schemeClr w14:val="tx1">
                <w14:lumMod w14:val="95000"/>
                <w14:lumOff w14:val="5000"/>
              </w14:schemeClr>
            </w14:solidFill>
          </w14:textFill>
        </w:rPr>
        <w:t>10.1资格审查文件：</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10.1.1、法定代表人身份证明书及法定代表人身份证；</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10.1.2、法定代表人授权委托书及委托代理人身份证（如有授权）；</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10.1.3、投标人企业法人营业执照；</w:t>
      </w:r>
    </w:p>
    <w:p>
      <w:pPr>
        <w:spacing w:line="440" w:lineRule="exact"/>
        <w:ind w:firstLine="480" w:firstLineChars="200"/>
        <w:rPr>
          <w:rFonts w:asciiTheme="majorEastAsia" w:hAnsiTheme="majorEastAsia" w:eastAsiaTheme="majorEastAsia" w:cstheme="majorEastAsia"/>
          <w:color w:val="000000" w:themeColor="text1"/>
          <w:sz w:val="24"/>
          <w:szCs w:val="24"/>
          <w:u w:val="single"/>
          <w14:textFill>
            <w14:solidFill>
              <w14:schemeClr w14:val="tx1"/>
            </w14:solidFill>
          </w14:textFill>
        </w:rPr>
      </w:pPr>
      <w:r>
        <w:rPr>
          <w:rFonts w:hint="eastAsia" w:asciiTheme="majorEastAsia" w:hAnsiTheme="majorEastAsia" w:eastAsiaTheme="majorEastAsia" w:cstheme="majorEastAsia"/>
          <w:color w:val="000000" w:themeColor="text1"/>
          <w:sz w:val="24"/>
          <w:szCs w:val="24"/>
          <w:u w:val="single"/>
          <w14:textFill>
            <w14:solidFill>
              <w14:schemeClr w14:val="tx1"/>
            </w14:solidFill>
          </w14:textFill>
        </w:rPr>
        <w:t>10.1.4、农药配送企业应具备农药经营许可证（提供农药经营许可证副本复印件并加盖公章；</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w:t>
      </w: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5</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、投标人提供投标企业所在地社保机构出具的由企业为委托代理人缴纳的 2021年11月至2022年4月的养老保险缴费证明</w:t>
      </w: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及有效的劳动合同</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（注 ：如果社保不满足2021年11月至2022年4月的养老保险要求，则从新进月份或新注册月份起至今当地社保机构加盖公章社保缴费证明,法人代表参加开标无需提供养老保险缴费证明）；</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w:t>
      </w: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6</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、投标声明函；</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w:t>
      </w: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7</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有依法缴纳税收和社会保障资金的良好记录：投标人依法缴纳近一年内任意一个月税收的相关凭证的复印件，及投标人依法缴纳近一年内任意一个月社会保险的相关凭证（社会保险的凭据（专用收据或社会保险缴纳清单）），依法免税或不需要缴纳社会保障资金的投标人，应提供相应文件证明其依法免税或不需要缴纳社会保障资金。</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w:t>
      </w: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8</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、投标人资格声明；</w:t>
      </w:r>
    </w:p>
    <w:p>
      <w:pPr>
        <w:spacing w:line="440" w:lineRule="exact"/>
        <w:ind w:firstLine="480" w:firstLineChars="200"/>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10.1.</w:t>
      </w: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9</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、提供2020年度经审计的财务报告或近3个月内的银行资信证明；</w:t>
      </w:r>
    </w:p>
    <w:p>
      <w:pPr>
        <w:spacing w:line="440" w:lineRule="exact"/>
        <w:ind w:firstLine="480" w:firstLineChars="200"/>
        <w:rPr>
          <w:rFonts w:hint="default"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lang w:val="en-US" w:eastAsia="zh-CN"/>
          <w14:textFill>
            <w14:solidFill>
              <w14:schemeClr w14:val="tx1">
                <w14:lumMod w14:val="95000"/>
                <w14:lumOff w14:val="5000"/>
              </w14:schemeClr>
            </w14:solidFill>
          </w14:textFill>
        </w:rPr>
        <w:t>10.1.10、疫情期间现场投标承诺书。</w:t>
      </w:r>
    </w:p>
    <w:p>
      <w:pPr>
        <w:spacing w:line="440" w:lineRule="exact"/>
        <w:ind w:firstLine="480" w:firstLineChars="200"/>
        <w:rPr>
          <w:rFonts w:asciiTheme="majorEastAsia" w:hAnsiTheme="majorEastAsia" w:eastAsiaTheme="majorEastAsia"/>
          <w:b/>
          <w:color w:val="000000" w:themeColor="text1"/>
          <w:sz w:val="24"/>
          <w:szCs w:val="24"/>
          <w14:textFill>
            <w14:solidFill>
              <w14:schemeClr w14:val="tx1"/>
            </w14:solidFill>
          </w14:textFill>
        </w:rPr>
      </w:pPr>
      <w:r>
        <w:rPr>
          <w:rFonts w:hint="eastAsia" w:ascii="宋体" w:hAnsi="宋体" w:cs="宋体"/>
          <w:color w:val="0D0D0D" w:themeColor="text1" w:themeTint="F2"/>
          <w:kern w:val="0"/>
          <w:sz w:val="24"/>
          <w:szCs w:val="24"/>
          <w:shd w:val="clear" w:color="auto" w:fill="FFFFFF"/>
          <w14:textFill>
            <w14:solidFill>
              <w14:schemeClr w14:val="tx1">
                <w14:lumMod w14:val="95000"/>
                <w14:lumOff w14:val="5000"/>
              </w14:schemeClr>
            </w14:solidFill>
          </w14:textFill>
        </w:rPr>
        <w:t>10.2商务技术标部分</w:t>
      </w:r>
      <w:r>
        <w:rPr>
          <w:rFonts w:hint="eastAsia" w:asciiTheme="majorEastAsia" w:hAnsiTheme="majorEastAsia" w:eastAsiaTheme="majorEastAsia"/>
          <w:b/>
          <w:color w:val="000000" w:themeColor="text1"/>
          <w:sz w:val="24"/>
          <w:szCs w:val="24"/>
          <w:highlight w:val="yellow"/>
          <w14:textFill>
            <w14:solidFill>
              <w14:schemeClr w14:val="tx1"/>
            </w14:solidFill>
          </w14:textFill>
        </w:rPr>
        <w:t>（</w:t>
      </w:r>
      <w:r>
        <w:rPr>
          <w:rFonts w:hint="eastAsia" w:ascii="宋体" w:hAnsi="宋体" w:cs="宋体"/>
          <w:b/>
          <w:kern w:val="0"/>
          <w:sz w:val="24"/>
          <w:highlight w:val="yellow"/>
        </w:rPr>
        <w:t>具体编制要求及内容详见评标办法中技术标的相关要求</w:t>
      </w:r>
      <w:r>
        <w:rPr>
          <w:rFonts w:hint="eastAsia" w:asciiTheme="majorEastAsia" w:hAnsiTheme="majorEastAsia" w:eastAsiaTheme="majorEastAsia"/>
          <w:b/>
          <w:color w:val="000000" w:themeColor="text1"/>
          <w:sz w:val="24"/>
          <w:szCs w:val="24"/>
          <w:highlight w:val="yellow"/>
          <w14:textFill>
            <w14:solidFill>
              <w14:schemeClr w14:val="tx1"/>
            </w14:solidFill>
          </w14:textFill>
        </w:rPr>
        <w:t>）</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10.3价格标文件：</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10.3.1、报价函（详见投标文件格式）；</w:t>
      </w:r>
    </w:p>
    <w:p>
      <w:pPr>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10.3.2、投标报价表（详见投标文件格式）</w:t>
      </w:r>
    </w:p>
    <w:p>
      <w:pPr>
        <w:spacing w:line="440" w:lineRule="exact"/>
        <w:ind w:firstLine="480" w:firstLineChars="200"/>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10.3.3、中小企业声明函（如符合</w:t>
      </w:r>
      <w:r>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小型和微型企业</w:t>
      </w: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的需提供）；</w:t>
      </w:r>
    </w:p>
    <w:p>
      <w:pPr>
        <w:spacing w:line="440" w:lineRule="exact"/>
        <w:ind w:firstLine="480" w:firstLineChars="200"/>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10.3.4、监狱企业证明函（如符合</w:t>
      </w:r>
      <w:r>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监狱企业</w:t>
      </w: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的需提供）；</w:t>
      </w:r>
    </w:p>
    <w:p>
      <w:pPr>
        <w:spacing w:line="440" w:lineRule="exact"/>
        <w:ind w:firstLine="480" w:firstLineChars="200"/>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10.3.5、残疾人福利性单位声明函（如符合</w:t>
      </w:r>
      <w:r>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残疾人福利性单位</w:t>
      </w: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的需提供）。</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 xml:space="preserve"> 注：（</w:t>
      </w:r>
      <w:r>
        <w:rPr>
          <w:rFonts w:hint="eastAsia" w:asciiTheme="majorEastAsia" w:hAnsiTheme="majorEastAsia" w:eastAsiaTheme="majorEastAsia"/>
          <w:bCs/>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bCs/>
          <w:color w:val="0D0D0D" w:themeColor="text1" w:themeTint="F2"/>
          <w:sz w:val="24"/>
          <w:szCs w:val="24"/>
          <w:lang w:val="en-US" w:eastAsia="zh-CN"/>
          <w14:textFill>
            <w14:solidFill>
              <w14:schemeClr w14:val="tx1">
                <w14:lumMod w14:val="95000"/>
                <w14:lumOff w14:val="5000"/>
              </w14:schemeClr>
            </w14:solidFill>
          </w14:textFill>
        </w:rPr>
        <w:t>5</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）如</w:t>
      </w:r>
      <w:r>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未提供</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则不能享受</w:t>
      </w:r>
      <w:r>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小型和微型企业产品的价格给予</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10</w:t>
      </w:r>
      <w:r>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%的扣除和残疾人福利性单位及监狱企业产品的价格给予</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10</w:t>
      </w:r>
      <w:r>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%的扣除；用扣除后的价格作为有效报价参与评审</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的优惠政策。</w:t>
      </w:r>
    </w:p>
    <w:p>
      <w:pPr>
        <w:numPr>
          <w:ilvl w:val="0"/>
          <w:numId w:val="14"/>
        </w:numPr>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bookmarkStart w:id="97" w:name="_Hlt26954838"/>
      <w:bookmarkEnd w:id="97"/>
      <w:bookmarkStart w:id="98" w:name="_Hlt26668975"/>
      <w:bookmarkEnd w:id="98"/>
      <w:bookmarkStart w:id="99" w:name="_Hlt26670360"/>
      <w:bookmarkEnd w:id="99"/>
      <w:bookmarkStart w:id="100" w:name="_Toc14577355"/>
      <w:bookmarkStart w:id="101" w:name="_Toc49090508"/>
      <w:r>
        <w:rPr>
          <w:rFonts w:hint="eastAsia" w:ascii="宋体" w:hAnsi="宋体" w:cs="Arial"/>
          <w:color w:val="0D0D0D" w:themeColor="text1" w:themeTint="F2"/>
          <w:sz w:val="24"/>
          <w:szCs w:val="24"/>
          <w14:textFill>
            <w14:solidFill>
              <w14:schemeClr w14:val="tx1">
                <w14:lumMod w14:val="95000"/>
                <w14:lumOff w14:val="5000"/>
              </w14:schemeClr>
            </w14:solidFill>
          </w14:textFill>
        </w:rPr>
        <w:t>投标文件的编写、份数和签署</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11.1投标人应按本招标文件规定的要求编写。应递交的有关文件如未特别注明为原件的，可提交复印件。未按招标文件规定的格式填写、编制、制作、装订、提交投标文件，或投标文件字迹模糊不清的，该投标文件将被拒收或拒评。</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11.2投标文件的正本和全部副本均应使用不能擦去的墨料或墨水打印、书写或复印。正本必须用A4幅面纸张打印（图纸、彩页等非A4幅面的材料在每页加盖公章后可另册装订），应编制封面、目录、页码。副本可以用正本的完整复印件，否则，该投标文件将被拒收或拒评。</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11.3全套投标文件应无涂改和行间插字，有改动时，修改处应由法定代表人或授权代表签名并加盖公章。否则，该投标文件将被拒收或拒评。</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11.4投标文件应由投标人的法定代表人或者其授权委托人签字并加盖公章（合同章，投标专用章等其它类型章无效）。一个授权委托人在同一个项目中只能接受一个投标人的委托参加投标，否则该授权委托人被委托的所有投标将被拒绝。</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yellow"/>
          <w14:textFill>
            <w14:solidFill>
              <w14:schemeClr w14:val="tx1">
                <w14:lumMod w14:val="95000"/>
                <w14:lumOff w14:val="5000"/>
              </w14:schemeClr>
            </w14:solidFill>
          </w14:textFill>
        </w:rPr>
        <w:t>11.5投标人提交的投标文件应由资格审查文件、商务技术标和价格标三部分组成，投标人必须将资格审查文件、商务技术标、价格标分别装订成册。投标文件封面应标明“正本”或“副本”,“招标项目名称”,“资格审查文件”或“商务技术标”或“价格标”。正本与副本如有不一致，则以正本为准。正本壹份，副本贰份。</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11.6技术文件中不得包含报价文件的内容或投标报价信息，否则被视为无效的投标文件。</w:t>
      </w:r>
    </w:p>
    <w:p>
      <w:pPr>
        <w:pStyle w:val="5"/>
        <w:spacing w:before="0" w:after="0" w:line="440" w:lineRule="exact"/>
        <w:ind w:firstLine="360" w:firstLineChars="15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12、</w:t>
      </w:r>
      <w:bookmarkEnd w:id="100"/>
      <w:bookmarkEnd w:id="101"/>
      <w:bookmarkStart w:id="102" w:name="_Hlt26954846"/>
      <w:bookmarkEnd w:id="102"/>
      <w:bookmarkStart w:id="103" w:name="_Hlt26954731"/>
      <w:bookmarkEnd w:id="103"/>
      <w:bookmarkStart w:id="104" w:name="_Hlt26670486"/>
      <w:bookmarkEnd w:id="104"/>
      <w:bookmarkStart w:id="105" w:name="_Hlt26670482"/>
      <w:bookmarkEnd w:id="105"/>
      <w:bookmarkStart w:id="106" w:name="_Hlt26954848"/>
      <w:bookmarkEnd w:id="106"/>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投标报价</w:t>
      </w:r>
      <w:bookmarkStart w:id="107" w:name="_Toc14577359"/>
      <w:bookmarkStart w:id="108" w:name="_Toc49090510"/>
    </w:p>
    <w:p>
      <w:pPr>
        <w:spacing w:line="44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12.1投标报价要求：</w:t>
      </w:r>
    </w:p>
    <w:p>
      <w:pPr>
        <w:tabs>
          <w:tab w:val="left" w:pos="0"/>
          <w:tab w:val="left" w:pos="993"/>
          <w:tab w:val="left" w:pos="1134"/>
        </w:tabs>
        <w:adjustRightInd w:val="0"/>
        <w:snapToGrid w:val="0"/>
        <w:spacing w:line="440" w:lineRule="exact"/>
        <w:ind w:firstLine="480" w:firstLineChars="200"/>
        <w:rPr>
          <w:rFonts w:ascii="宋体" w:hAnsi="宋体" w:cs="宋体"/>
          <w:color w:val="262626"/>
          <w:sz w:val="24"/>
          <w:szCs w:val="24"/>
        </w:rPr>
      </w:pPr>
      <w:r>
        <w:rPr>
          <w:rFonts w:hint="eastAsia" w:ascii="宋体" w:hAnsi="宋体" w:cs="宋体"/>
          <w:color w:val="262626"/>
          <w:sz w:val="24"/>
          <w:szCs w:val="24"/>
        </w:rPr>
        <w:t>（1）</w:t>
      </w:r>
      <w:r>
        <w:rPr>
          <w:rFonts w:ascii="宋体" w:hAnsi="宋体" w:cs="宋体"/>
          <w:color w:val="262626"/>
          <w:sz w:val="24"/>
          <w:szCs w:val="24"/>
        </w:rPr>
        <w:t>投标人对项目的各项报价必须以招标文件、招标答疑及各补充通知为依据。</w:t>
      </w:r>
    </w:p>
    <w:p>
      <w:pPr>
        <w:tabs>
          <w:tab w:val="left" w:pos="0"/>
          <w:tab w:val="left" w:pos="993"/>
          <w:tab w:val="left" w:pos="1134"/>
        </w:tabs>
        <w:adjustRightInd w:val="0"/>
        <w:snapToGrid w:val="0"/>
        <w:spacing w:line="440" w:lineRule="exact"/>
        <w:ind w:firstLine="480" w:firstLineChars="200"/>
        <w:rPr>
          <w:rFonts w:ascii="宋体" w:hAnsi="宋体" w:cs="宋体"/>
          <w:color w:val="262626"/>
          <w:sz w:val="24"/>
          <w:szCs w:val="24"/>
        </w:rPr>
      </w:pPr>
      <w:r>
        <w:rPr>
          <w:rFonts w:hint="eastAsia" w:ascii="宋体" w:hAnsi="宋体" w:cs="宋体"/>
          <w:color w:val="262626"/>
          <w:sz w:val="24"/>
          <w:szCs w:val="24"/>
        </w:rPr>
        <w:t>（2）</w:t>
      </w:r>
      <w:r>
        <w:rPr>
          <w:rFonts w:ascii="宋体" w:hAnsi="宋体" w:cs="宋体"/>
          <w:color w:val="262626"/>
          <w:sz w:val="24"/>
          <w:szCs w:val="24"/>
        </w:rPr>
        <w:t>投标报价应是招标文件所确定的招标范围内的全部</w:t>
      </w:r>
      <w:r>
        <w:rPr>
          <w:rFonts w:hint="eastAsia" w:ascii="宋体" w:hAnsi="宋体" w:cs="宋体"/>
          <w:color w:val="262626"/>
          <w:sz w:val="24"/>
          <w:szCs w:val="24"/>
        </w:rPr>
        <w:t>招标</w:t>
      </w:r>
      <w:r>
        <w:rPr>
          <w:rFonts w:ascii="宋体" w:hAnsi="宋体" w:cs="宋体"/>
          <w:color w:val="262626"/>
          <w:sz w:val="24"/>
          <w:szCs w:val="24"/>
        </w:rPr>
        <w:t>内容的价格体现。</w:t>
      </w:r>
    </w:p>
    <w:p>
      <w:pPr>
        <w:tabs>
          <w:tab w:val="left" w:pos="0"/>
          <w:tab w:val="left" w:pos="993"/>
          <w:tab w:val="left" w:pos="1134"/>
        </w:tabs>
        <w:adjustRightInd w:val="0"/>
        <w:snapToGrid w:val="0"/>
        <w:spacing w:line="440" w:lineRule="exact"/>
        <w:ind w:firstLine="480" w:firstLineChars="200"/>
        <w:rPr>
          <w:rFonts w:ascii="宋体" w:hAnsi="宋体" w:cs="宋体"/>
          <w:color w:val="262626"/>
          <w:sz w:val="24"/>
          <w:szCs w:val="24"/>
        </w:rPr>
      </w:pPr>
      <w:r>
        <w:rPr>
          <w:rFonts w:hint="eastAsia" w:ascii="宋体" w:hAnsi="宋体" w:cs="宋体"/>
          <w:color w:val="262626"/>
          <w:sz w:val="24"/>
          <w:szCs w:val="24"/>
        </w:rPr>
        <w:t>（3）</w:t>
      </w:r>
      <w:r>
        <w:rPr>
          <w:rFonts w:ascii="宋体" w:hAnsi="宋体" w:cs="宋体"/>
          <w:color w:val="262626"/>
          <w:sz w:val="24"/>
          <w:szCs w:val="24"/>
        </w:rPr>
        <w:t>除非在合同条款中另有规定，投标人所报的合同价在合同实施期间不因价格变动而调整。</w:t>
      </w:r>
    </w:p>
    <w:p>
      <w:pPr>
        <w:tabs>
          <w:tab w:val="left" w:pos="0"/>
          <w:tab w:val="left" w:pos="993"/>
          <w:tab w:val="left" w:pos="1134"/>
        </w:tabs>
        <w:adjustRightInd w:val="0"/>
        <w:snapToGrid w:val="0"/>
        <w:spacing w:line="440" w:lineRule="exact"/>
        <w:ind w:firstLine="480" w:firstLineChars="200"/>
        <w:rPr>
          <w:rFonts w:ascii="宋体" w:hAnsi="宋体" w:cs="宋体"/>
          <w:color w:val="262626"/>
          <w:sz w:val="24"/>
          <w:szCs w:val="24"/>
        </w:rPr>
      </w:pPr>
      <w:r>
        <w:rPr>
          <w:rFonts w:hint="eastAsia" w:ascii="宋体" w:hAnsi="宋体" w:cs="宋体"/>
          <w:color w:val="262626"/>
          <w:sz w:val="24"/>
          <w:szCs w:val="24"/>
        </w:rPr>
        <w:t>（4）</w:t>
      </w:r>
      <w:r>
        <w:rPr>
          <w:rFonts w:ascii="宋体" w:hAnsi="宋体" w:cs="宋体"/>
          <w:color w:val="262626"/>
          <w:sz w:val="24"/>
          <w:szCs w:val="24"/>
        </w:rPr>
        <w:t>本招标文件项下的合同报价方式采用固定总价报价。除了合同中另有规定的以外，上述报价包括合同规定的全部责任。</w:t>
      </w:r>
    </w:p>
    <w:p>
      <w:pPr>
        <w:tabs>
          <w:tab w:val="left" w:pos="0"/>
          <w:tab w:val="left" w:pos="993"/>
          <w:tab w:val="left" w:pos="1134"/>
        </w:tabs>
        <w:adjustRightInd w:val="0"/>
        <w:snapToGrid w:val="0"/>
        <w:spacing w:line="440" w:lineRule="exact"/>
        <w:ind w:firstLine="480" w:firstLineChars="200"/>
        <w:rPr>
          <w:rFonts w:ascii="宋体" w:hAnsi="宋体" w:cs="宋体"/>
          <w:color w:val="262626"/>
          <w:sz w:val="24"/>
          <w:szCs w:val="24"/>
        </w:rPr>
      </w:pPr>
      <w:r>
        <w:rPr>
          <w:rFonts w:hint="eastAsia" w:ascii="宋体" w:hAnsi="宋体" w:cs="宋体"/>
          <w:color w:val="262626"/>
          <w:sz w:val="24"/>
          <w:szCs w:val="24"/>
        </w:rPr>
        <w:t>（5）</w:t>
      </w:r>
      <w:r>
        <w:rPr>
          <w:rFonts w:ascii="宋体" w:hAnsi="宋体" w:cs="宋体"/>
          <w:color w:val="262626"/>
          <w:sz w:val="24"/>
          <w:szCs w:val="24"/>
        </w:rPr>
        <w:t>投标人在报价时应包含</w:t>
      </w:r>
      <w:r>
        <w:rPr>
          <w:rFonts w:hint="eastAsia" w:ascii="宋体" w:hAnsi="宋体" w:cs="宋体"/>
          <w:color w:val="262626"/>
          <w:sz w:val="24"/>
          <w:szCs w:val="24"/>
        </w:rPr>
        <w:t>税金</w:t>
      </w:r>
      <w:r>
        <w:rPr>
          <w:rFonts w:ascii="宋体" w:hAnsi="宋体" w:cs="宋体"/>
          <w:color w:val="262626"/>
          <w:sz w:val="24"/>
          <w:szCs w:val="24"/>
        </w:rPr>
        <w:t>,其他所有税费应包含在合同价款中。投标人报价时应充分了解和理解政府对相关税费的规定，投标人所报税率一旦确定，在合同执行期间不再作调整。</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12.2</w:t>
      </w:r>
      <w:r>
        <w:rPr>
          <w:rFonts w:ascii="宋体" w:hAnsi="宋体" w:cs="宋体"/>
          <w:color w:val="0D0D0D" w:themeColor="text1" w:themeTint="F2"/>
          <w:sz w:val="24"/>
          <w:szCs w:val="24"/>
          <w14:textFill>
            <w14:solidFill>
              <w14:schemeClr w14:val="tx1">
                <w14:lumMod w14:val="95000"/>
                <w14:lumOff w14:val="5000"/>
              </w14:schemeClr>
            </w14:solidFill>
          </w14:textFill>
        </w:rPr>
        <w:t>投标报价均以人民币为报价的货币单位。</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12.3报价出现前后不一致的，按照下列规定修正：</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（1）投标文件中报价表（报价单）内容与投标文件技术响应中内容明细不一致的，以报价表（报价单）为准；</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（2）投标文件中涉及大写金额和小写金额不一致的，以大写金额为准；</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（3）单价金额小数点或者百分比有明显错位的，以报价表（报价单）的总价为准，并修改单价；</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（4）总价金额与按单价汇总金额不一致的，以单价金额计算结果为准。</w:t>
      </w:r>
    </w:p>
    <w:p>
      <w:pPr>
        <w:adjustRightInd w:val="0"/>
        <w:snapToGrid w:val="0"/>
        <w:spacing w:line="440" w:lineRule="exact"/>
        <w:ind w:firstLine="480" w:firstLineChars="200"/>
        <w:rPr>
          <w:rFonts w:ascii="宋体" w:hAnsi="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cs="宋体"/>
          <w:color w:val="0D0D0D" w:themeColor="text1" w:themeTint="F2"/>
          <w:sz w:val="24"/>
          <w:szCs w:val="24"/>
          <w14:textFill>
            <w14:solidFill>
              <w14:schemeClr w14:val="tx1">
                <w14:lumMod w14:val="95000"/>
                <w14:lumOff w14:val="5000"/>
              </w14:schemeClr>
            </w14:solidFill>
          </w14:textFill>
        </w:rPr>
        <w:t>同时出现两种以上不一致的，按照前款规定的顺序修正。修正后的报价应当由投标人的法定代表人或其授权的代表签字确认后产生约束力，投标人不确认的，其投标无效。</w:t>
      </w:r>
    </w:p>
    <w:p>
      <w:pPr>
        <w:spacing w:line="440" w:lineRule="exact"/>
        <w:ind w:firstLine="480" w:firstLineChars="200"/>
        <w:rPr>
          <w:rFonts w:ascii="宋体" w:hAnsi="宋体"/>
          <w:sz w:val="24"/>
        </w:rPr>
      </w:pPr>
      <w:r>
        <w:rPr>
          <w:rFonts w:hint="eastAsia" w:ascii="宋体" w:hAnsi="宋体"/>
          <w:sz w:val="24"/>
        </w:rPr>
        <w:t>12.4报价方式：</w:t>
      </w:r>
      <w:r>
        <w:rPr>
          <w:rFonts w:hint="eastAsia" w:ascii="宋体" w:hAnsi="宋体"/>
          <w:b/>
          <w:sz w:val="24"/>
          <w:u w:val="single"/>
        </w:rPr>
        <w:t>固定总价报价</w:t>
      </w:r>
      <w:r>
        <w:rPr>
          <w:rFonts w:hint="eastAsia" w:ascii="宋体" w:hAnsi="宋体"/>
          <w:sz w:val="24"/>
        </w:rPr>
        <w:t>，由投标人结合项目实际情况和自身实力进行报价。</w:t>
      </w:r>
    </w:p>
    <w:p>
      <w:pPr>
        <w:spacing w:line="440" w:lineRule="exact"/>
        <w:ind w:firstLine="352" w:firstLineChars="147"/>
        <w:rPr>
          <w:rFonts w:cs="Arial"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cs="Arial"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13、投标文件的密封和递交</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highlight w:val="yellow"/>
          <w14:textFill>
            <w14:solidFill>
              <w14:schemeClr w14:val="tx1">
                <w14:lumMod w14:val="95000"/>
                <w14:lumOff w14:val="5000"/>
              </w14:schemeClr>
            </w14:solidFill>
          </w14:textFill>
        </w:rPr>
        <w:t>13.1投标人应将资格审查文件、技术标、价格标分别密封，即：资格审查文件（正本及副本）、商务技术标（正本及副本）和价格标（正本及副本）分别封装在不同的密封袋中。密封袋封面均需标明“招标项目名称”、 “投标人名称”、“资格审查文件”或“商务技术标”或“价格标”。</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13.2投标文件密封袋封面加盖单位公章，法定代表人或授权委托人签字。</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13.3投标文件的密封袋和密封条由投标人自行准备，当一个投标袋不能满足投标文件的封装要求时，招标人允许投标人使用同规格的其他密封袋进行封装，并编号。投标文件的密封袋的封口处应由投标人用自制封条在封口处密封并以骑缝方式加盖公章。</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13.4投标人未按上述要求密封，招标人将不承担由此造成的对投标文件的误投或提前拆封的责任。</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13.5投标人应将投标文件按本招标文件要求的时间和地址送至开标地点，否则，投标将被拒绝。不接收邮寄或快递的投标。</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13.6法人代表或授权委托人须在本招标文件规定的时间、地点准时到会并出示身份证原件以示出席，否则，其投标将被拒绝。</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13.7投标人一旦递交投标文件，就意味着投标人全面接受招标文件的约束。</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13.8、投标文件的修改与撤回</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1）投标人在投标截止时间前，可以对所提交的投标文件进行修改或者撤回，并书面通知招标人，否则视为未修改或未撤回。修改的内容应为非实质性的，并按本须知要求签署、盖章、密封，并应在封套上加注“修改”或“撤回”字样，该修改作为投标文件的组成部分。</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（2）投标人在投标截止期后不得修改、撤回投标文件。</w:t>
      </w:r>
    </w:p>
    <w:p>
      <w:pPr>
        <w:spacing w:line="440" w:lineRule="exact"/>
        <w:ind w:firstLine="360" w:firstLineChars="150"/>
        <w:rPr>
          <w:rFonts w:ascii="宋体" w:hAnsi="宋体"/>
          <w:color w:val="0D0D0D" w:themeColor="text1" w:themeTint="F2"/>
          <w:sz w:val="24"/>
          <w:szCs w:val="24"/>
          <w14:textFill>
            <w14:solidFill>
              <w14:schemeClr w14:val="tx1">
                <w14:lumMod w14:val="95000"/>
                <w14:lumOff w14:val="5000"/>
              </w14:schemeClr>
            </w14:solidFill>
          </w14:textFill>
        </w:rPr>
      </w:pPr>
      <w:r>
        <w:rPr>
          <w:rFonts w:hint="eastAsia" w:ascii="宋体" w:hAnsi="宋体"/>
          <w:color w:val="0D0D0D" w:themeColor="text1" w:themeTint="F2"/>
          <w:sz w:val="24"/>
          <w:szCs w:val="24"/>
          <w14:textFill>
            <w14:solidFill>
              <w14:schemeClr w14:val="tx1">
                <w14:lumMod w14:val="95000"/>
                <w14:lumOff w14:val="5000"/>
              </w14:schemeClr>
            </w14:solidFill>
          </w14:textFill>
        </w:rPr>
        <w:t>（3）投标人撤回投标文件的，自收到投标人书面撤回通知之日起五日内退还已收取的投标保证金。投标人在投标截止期后修改投标文件的，其投标被拒绝并不予退还投标保证金。</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14、投标保证金</w:t>
      </w:r>
      <w:bookmarkEnd w:id="107"/>
      <w:bookmarkEnd w:id="108"/>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（本项目不收取投标保证金）</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109" w:name="_Hlt26954850"/>
      <w:bookmarkEnd w:id="109"/>
      <w:bookmarkStart w:id="110" w:name="_Hlt26954734"/>
      <w:bookmarkEnd w:id="110"/>
      <w:bookmarkStart w:id="111" w:name="_Hlt26670489"/>
      <w:bookmarkEnd w:id="111"/>
      <w:bookmarkStart w:id="112" w:name="_Toc49090511"/>
      <w:bookmarkStart w:id="113" w:name="_Toc14577360"/>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15、投标有效期</w:t>
      </w:r>
      <w:bookmarkEnd w:id="112"/>
      <w:bookmarkEnd w:id="113"/>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15.1</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 xml:space="preserve"> 投标有效期为采购人规定的开标之日后六十天。投标有效期比规定短的将被视为非响应性投标而予以拒绝。</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15.2</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 xml:space="preserve"> 在特殊情况下，采购人于原投标有效期满之前，可向投标人提出延长投标有效期的要求。这种要求与答复均应采用书面形式。投标人可以拒绝采购人的这一要求而放弃投标，</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采购人在接到投标人书面答复后，将在原投标有效期满后五日内</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无息退还其投标保证金</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同意延长投标有效期的投标人既不能要求也不允许修改其投标文件。第14条有关投标保证金的规定在延长期内继续有效</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，同时受投标有效期约束的所有权利与义务均延长至新的有效期</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w:t>
      </w:r>
    </w:p>
    <w:p>
      <w:pPr>
        <w:pStyle w:val="4"/>
        <w:spacing w:beforeLines="50" w:afterLines="50" w:line="440" w:lineRule="exact"/>
        <w:ind w:firstLine="360" w:firstLineChars="150"/>
        <w:jc w:val="center"/>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114" w:name="_Hlt26954852"/>
      <w:bookmarkEnd w:id="114"/>
      <w:bookmarkStart w:id="115" w:name="_Hlt26954739"/>
      <w:bookmarkEnd w:id="115"/>
      <w:bookmarkStart w:id="116" w:name="_Toc120614218"/>
      <w:bookmarkStart w:id="117" w:name="_Toc16938545"/>
      <w:bookmarkStart w:id="118" w:name="_Toc20823301"/>
      <w:bookmarkStart w:id="119" w:name="_Toc513029229"/>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四、开标与评标</w:t>
      </w:r>
      <w:bookmarkEnd w:id="116"/>
      <w:bookmarkEnd w:id="117"/>
      <w:bookmarkEnd w:id="118"/>
      <w:bookmarkEnd w:id="119"/>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120" w:name="_Toc20823302"/>
      <w:bookmarkStart w:id="121" w:name="_Toc513029230"/>
      <w:bookmarkStart w:id="122" w:name="_Toc16938546"/>
      <w:bookmarkStart w:id="123" w:name="_Toc16938547"/>
      <w:bookmarkStart w:id="124" w:name="_Toc513029231"/>
      <w:bookmarkStart w:id="125" w:name="_Toc20823303"/>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16、开标</w:t>
      </w:r>
      <w:bookmarkEnd w:id="120"/>
      <w:bookmarkEnd w:id="121"/>
      <w:bookmarkEnd w:id="122"/>
    </w:p>
    <w:p>
      <w:pPr>
        <w:pStyle w:val="5"/>
        <w:spacing w:before="0" w:after="0" w:line="440" w:lineRule="exact"/>
        <w:ind w:firstLine="360" w:firstLineChars="15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（1）开标时投标人可派授权代表参加开标会。投标人参加开标的代表应出示个人身份证原件，并应签名报到以证明其出席。</w:t>
      </w:r>
    </w:p>
    <w:p>
      <w:pPr>
        <w:pStyle w:val="5"/>
        <w:spacing w:before="0" w:after="0" w:line="440" w:lineRule="exact"/>
        <w:ind w:firstLine="360" w:firstLineChars="15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（2）开标时，由评标委员会查验投标文件密封情况，确认无误后，招标人当众宣读投标人名称、修改和撤回投标的通知，以及招标人认为合适的其他内容。</w:t>
      </w:r>
    </w:p>
    <w:p>
      <w:pPr>
        <w:pStyle w:val="5"/>
        <w:spacing w:before="0" w:after="0" w:line="440" w:lineRule="exact"/>
        <w:ind w:firstLine="360" w:firstLineChars="15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（3）在开标时没有启封和读出的投标文件，在评标时将不予考虑。没有启封和读出的投标文件将原封退回给投标人。</w:t>
      </w:r>
    </w:p>
    <w:p>
      <w:pPr>
        <w:pStyle w:val="5"/>
        <w:spacing w:before="0" w:after="0" w:line="440" w:lineRule="exact"/>
        <w:ind w:firstLine="360" w:firstLineChars="15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（4）招标人将做开标记录。</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17、评标委员会</w:t>
      </w:r>
    </w:p>
    <w:p>
      <w:pPr>
        <w:spacing w:line="440" w:lineRule="exact"/>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17.1开标后，采购人将立即组织评标委员会（以下简称评委会）进行评标。</w:t>
      </w:r>
    </w:p>
    <w:p>
      <w:pPr>
        <w:spacing w:line="440" w:lineRule="exact"/>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17.2 评委会由有关技术、经济等方面的专家组成，且人员构成符合采购有关规定。</w:t>
      </w:r>
    </w:p>
    <w:p>
      <w:pPr>
        <w:spacing w:line="440" w:lineRule="exact"/>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17.3评委会独立工作，负责评审所有投标文件并确定中标人。</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18、评标过程的保密与公正</w:t>
      </w:r>
    </w:p>
    <w:bookmarkEnd w:id="123"/>
    <w:bookmarkEnd w:id="124"/>
    <w:bookmarkEnd w:id="125"/>
    <w:p>
      <w:pPr>
        <w:spacing w:line="440" w:lineRule="exact"/>
        <w:ind w:firstLine="360" w:firstLineChars="15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18.1</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公开开标后，直至向中标的投标人授予合同时止，凡是与审查、澄清、评价和比较投标的有关资料以及授标建议等，采购人、评委、采购代理机构均不得向投标人或与评标无关的其他人员透露。</w:t>
      </w:r>
    </w:p>
    <w:p>
      <w:pPr>
        <w:spacing w:line="440" w:lineRule="exact"/>
        <w:ind w:firstLine="360" w:firstLineChars="15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18.2</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由采购人代表对投标人资格性、符合性审查，对未通过审查的供应商，应现场告知原因。</w:t>
      </w:r>
    </w:p>
    <w:p>
      <w:pPr>
        <w:spacing w:line="440" w:lineRule="exact"/>
        <w:ind w:firstLine="360" w:firstLineChars="1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18.3在评标过程中，投标人不得以任何行为影响评标过程，否则其投标文件将被作为无效投标文件。</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18.4在评标期间，采购人或采购代理机构将设专门人员与投标人联系。</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18.5采购人代表现场宣布评标结果。</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126" w:name="_Toc20823304"/>
      <w:bookmarkStart w:id="127" w:name="_Toc16938548"/>
      <w:bookmarkStart w:id="128" w:name="_Toc513029232"/>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19、投标的澄清</w:t>
      </w:r>
      <w:bookmarkEnd w:id="126"/>
      <w:bookmarkEnd w:id="127"/>
      <w:bookmarkEnd w:id="128"/>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19.</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1</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评标期间，为有助于对投标文件的审查、评价和比较，评委会有权以书面形式要求投标人对其投标文件进行澄清，但并非对每个投标人都作澄清要求。</w:t>
      </w:r>
    </w:p>
    <w:p>
      <w:pPr>
        <w:spacing w:line="440" w:lineRule="exact"/>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19.2接到评委会澄清要求的投标人应派人按评委会通知的时间和地点做出书面澄清，书面澄清的内容须由投标人法人或授权代表签署，并作为投标文件的补充部分，但投标的价格和实质性的内容不得做任何更改。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40" w:lineRule="exact"/>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19.3 接到评委会澄清要求的投标人如未按规定做出澄清，其风险由投标人自行承担。</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129" w:name="_Toc20823305"/>
      <w:bookmarkStart w:id="130" w:name="_Toc513029233"/>
      <w:bookmarkStart w:id="131" w:name="_Toc16938549"/>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20、对投标文件的初审</w:t>
      </w:r>
      <w:bookmarkEnd w:id="129"/>
      <w:bookmarkEnd w:id="130"/>
      <w:bookmarkEnd w:id="131"/>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20.1</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投标文件初审为资格性检查及符合性检查。由评委会负责实施。</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资格性检查：依据法律法规和招标文件的规定，对投标文件中的资格证明文件、投标保证金等进行审查，以确定投标供应商是否具备投标资格。</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凡在</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投标截止时间节点，已被 “信用中国”网站(</w:t>
      </w:r>
      <w:r>
        <w:fldChar w:fldCharType="begin"/>
      </w:r>
      <w:r>
        <w:instrText xml:space="preserve"> HYPERLINK "http://www.creditchina.gov.cn" </w:instrText>
      </w:r>
      <w:r>
        <w:fldChar w:fldCharType="separate"/>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www.creditchina.gov.cn</w:t>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)、中华人民</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共和国</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最高人民法院网站</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fldChar w:fldCharType="begin"/>
      </w:r>
      <w:r>
        <w:instrText xml:space="preserve"> HYPERLINK "http://www.court.gov.cn/"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http://www.court.gov.cn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等渠道列入信用记录失信被执行人，被中国政府采购网(</w:t>
      </w:r>
      <w:r>
        <w:fldChar w:fldCharType="begin"/>
      </w:r>
      <w:r>
        <w:instrText xml:space="preserve"> HYPERLINK "http://www.ccgp.gov.cn" </w:instrText>
      </w:r>
      <w:r>
        <w:fldChar w:fldCharType="separate"/>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www.ccgp.gov.cn</w:t>
      </w:r>
      <w:r>
        <w:rPr>
          <w:rStyle w:val="60"/>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)等渠道列入政府采购严重违法失信行为记录名单，被中华人民共和国应急管理部网站</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fldChar w:fldCharType="begin"/>
      </w:r>
      <w:r>
        <w:instrText xml:space="preserve"> HYPERLINK "http://www.chinasafety.gov.cn/"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http://www.chinasafety.gov.cn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等渠道列入</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安全生产失信联合惩戒“</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黑名单</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，被国家税务总局</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网站（</w:t>
      </w:r>
      <w:r>
        <w:fldChar w:fldCharType="begin"/>
      </w:r>
      <w:r>
        <w:instrText xml:space="preserve"> HYPERLINK "http://hd.chinatax.gov.cn/xxk/"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http://hd.chinatax.gov.cn/xxk</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重大税收违法案件当事人名单，被国家企业</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信用信息公示系统（</w:t>
      </w:r>
      <w:r>
        <w:fldChar w:fldCharType="begin"/>
      </w:r>
      <w:r>
        <w:instrText xml:space="preserve"> HYPERLINK "http://www.gsxt.gov.cn"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http://www.gsxt.gov.cn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经营异常名录、严重违法</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失信企业名单</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，被</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全国公共资源交易平台（</w:t>
      </w:r>
      <w:r>
        <w:fldChar w:fldCharType="begin"/>
      </w:r>
      <w:r>
        <w:instrText xml:space="preserve"> HYPERLINK "http://www.ggzy.gov.cn" </w:instrText>
      </w:r>
      <w:r>
        <w:fldChar w:fldCharType="separate"/>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http://www.ggzy.gov.cn</w:t>
      </w:r>
      <w:r>
        <w:rPr>
          <w:rStyle w:val="60"/>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黑名单的投标人，将拒绝其参加采购活动。</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符合性检查：依据招标文件的规定，从投标文件的有效性、完整性和对招标文件的响应程度进行审查，以确定是否对招标文件的实质性要求作出响应。</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20.2在详细评标之前，评委会将首先审查每份投标文件是否实质性响应了招标文件的要求。实质性响应的投标应该是与招标文件要求的全部条款、条件和规格相符，没有重大偏离或保留的投标。</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评委决定投标文件的响应性只根据投标文件本身的内容，而不寻求外部的证据。</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20.3</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如果投标文件实质上没有响应招标文件的要求，评委会将予以拒绝，投标人不得通过修改或撤销不合要求的偏离或保留而使其投标成为实质性响应的投标。</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20.4</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评委会将对确定为实质性响应的投标进行进一步审核，对投标文件中大小写金额不一致等问题的评审原则如下：</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质疑的，以中文文本为准。</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20.5</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评委会将按上述修正错误的方法修正投标文件中的投标报价，修正后的价格经投标人确认后具有约束力。如果投标人不确认的，则其投标将被拒绝，其投标保证金不予退还。</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20.6</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 xml:space="preserve">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pStyle w:val="5"/>
        <w:spacing w:before="0" w:after="0" w:line="440" w:lineRule="exact"/>
        <w:ind w:firstLine="360" w:firstLineChars="150"/>
        <w:rPr>
          <w:rFonts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pPr>
      <w:bookmarkStart w:id="132" w:name="_Toc513029234"/>
      <w:bookmarkStart w:id="133" w:name="_Toc16938550"/>
      <w:bookmarkStart w:id="134" w:name="_Toc20823306"/>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21、</w:t>
      </w:r>
      <w:bookmarkEnd w:id="132"/>
      <w:bookmarkEnd w:id="133"/>
      <w:bookmarkEnd w:id="134"/>
      <w:r>
        <w:rPr>
          <w:rFonts w:hint="eastAsia" w:asciiTheme="majorEastAsia" w:hAnsiTheme="majorEastAsia" w:eastAsiaTheme="majorEastAsia"/>
          <w:b w:val="0"/>
          <w:bCs w:val="0"/>
          <w:color w:val="0D0D0D" w:themeColor="text1" w:themeTint="F2"/>
          <w:sz w:val="24"/>
          <w:szCs w:val="24"/>
          <w14:textFill>
            <w14:solidFill>
              <w14:schemeClr w14:val="tx1">
                <w14:lumMod w14:val="95000"/>
                <w14:lumOff w14:val="5000"/>
              </w14:schemeClr>
            </w14:solidFill>
          </w14:textFill>
        </w:rPr>
        <w:t>无效投标条款和废标条款</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bookmarkStart w:id="135" w:name="_Toc20823307"/>
      <w:bookmarkStart w:id="136" w:name="_Toc513029235"/>
      <w:bookmarkStart w:id="137" w:name="_Toc16938551"/>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21.1无效投标条款</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21.1.1未按照招标文件的规定提交投标保证金的；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21.1.2投标文件未按招标文件要求签署、盖章的；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21.1.3投标人在报价时采用选择性报价；</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21.1.4不具备招标文件中规定的资格要求的；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21.1.5报价超过招标文件中规定的预算金额或者最高限价的；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21.1.6投标文件含有采购人不能接受的附加条件的;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21.1.7法律、法规和招标文件规定的其他无效情形；</w:t>
      </w:r>
    </w:p>
    <w:p>
      <w:pPr>
        <w:spacing w:line="440" w:lineRule="exact"/>
        <w:ind w:firstLine="480" w:firstLineChars="200"/>
        <w:rPr>
          <w:rFonts w:asciiTheme="majorEastAsia" w:hAnsiTheme="majorEastAsia" w:eastAsiaTheme="majorEastAsia"/>
          <w:bCs/>
          <w:i/>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21.1.8未通过符合性检查的；</w:t>
      </w:r>
    </w:p>
    <w:p>
      <w:pPr>
        <w:spacing w:line="440" w:lineRule="exact"/>
        <w:ind w:firstLine="360" w:firstLineChars="150"/>
        <w:rPr>
          <w:rFonts w:asciiTheme="majorEastAsia" w:hAnsiTheme="majorEastAsia" w:eastAsiaTheme="majorEastAsia"/>
          <w:bCs/>
          <w:i/>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 xml:space="preserve"> 21.1.9不符合招标文件中规定的其他实质性要求和条件的</w:t>
      </w:r>
      <w:r>
        <w:rPr>
          <w:rFonts w:hint="eastAsia" w:asciiTheme="majorEastAsia" w:hAnsiTheme="majorEastAsia" w:eastAsiaTheme="majorEastAsia"/>
          <w:bCs/>
          <w:i/>
          <w:color w:val="0D0D0D" w:themeColor="text1" w:themeTint="F2"/>
          <w:sz w:val="24"/>
          <w:szCs w:val="24"/>
          <w14:textFill>
            <w14:solidFill>
              <w14:schemeClr w14:val="tx1">
                <w14:lumMod w14:val="95000"/>
                <w14:lumOff w14:val="5000"/>
              </w14:schemeClr>
            </w14:solidFill>
          </w14:textFill>
        </w:rPr>
        <w:t>；</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21.1.10其他法律、法规及本招标文件规定的属无效投标的情形。</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21.1.11资格审查文件或技术标文件</w:t>
      </w:r>
      <w:r>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出现</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报价</w:t>
      </w:r>
      <w:r>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的</w:t>
      </w: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21.1.12未按招标文件要求提供投标文件；</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 xml:space="preserve">21.2废标条款：                                                                                                                                                                                                                                                                                                                                                                                                                                                                                                                                                                                                                                                                                                                                                                                                                                                                                                                                                                                                                                                                                                                                                                                                                                                                                                                                                                                                                                                                         </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21.2.1符合专业条件的供应商或者对招标文件作实质响应的供应商不足三家的；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21.2.2出现影响采购公正的违法、违规行为的；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21.2.3投标人的报价均超过预算，采购人不能支付的；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21.2.4因重大变故，采购任务取消的；</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21.2.5评标委员会认定招标文件存在歧义、 重大缺陷导致评审工作无法进行。</w:t>
      </w:r>
    </w:p>
    <w:p>
      <w:pPr>
        <w:spacing w:line="440" w:lineRule="exact"/>
        <w:ind w:left="479" w:leftChars="228"/>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21.3 投标截止时间结束后参加投标的供应商不足三家的处理：</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21.3.1投标截止后投标人不足3家或者通过资格审查或符合性审查的投标人不足3家的，除采购任务取消情形外，按照以下方式处理：</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（一）招标文件存在不合理条款或者招标程序不符合规定的，采购人、采购代理机构改正后依法重新招标；</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（二）招标文件没有不合理条款、招标程序符合规定，需要采用其他采购方式采购的，采购人应当依法报有关部门批准。</w:t>
      </w:r>
    </w:p>
    <w:p>
      <w:pPr>
        <w:spacing w:line="440" w:lineRule="exact"/>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p>
    <w:p>
      <w:pPr>
        <w:pStyle w:val="4"/>
        <w:spacing w:beforeLines="50" w:afterLines="50" w:line="440" w:lineRule="exact"/>
        <w:ind w:firstLine="360" w:firstLineChars="150"/>
        <w:jc w:val="center"/>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138" w:name="_Toc120614219"/>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五、</w:t>
      </w:r>
      <w:bookmarkEnd w:id="135"/>
      <w:bookmarkEnd w:id="136"/>
      <w:bookmarkEnd w:id="137"/>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定标</w:t>
      </w:r>
      <w:bookmarkEnd w:id="138"/>
    </w:p>
    <w:p>
      <w:pPr>
        <w:pStyle w:val="5"/>
        <w:spacing w:before="0" w:after="0" w:line="440" w:lineRule="exact"/>
        <w:ind w:firstLine="480" w:firstLineChars="20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139" w:name="_Toc513029238"/>
      <w:bookmarkStart w:id="140" w:name="_Toc16938554"/>
      <w:bookmarkStart w:id="141" w:name="_Toc20823310"/>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22、</w:t>
      </w:r>
      <w:bookmarkEnd w:id="139"/>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确定</w:t>
      </w:r>
      <w:bookmarkEnd w:id="140"/>
      <w:bookmarkEnd w:id="141"/>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中标单位</w:t>
      </w:r>
    </w:p>
    <w:p>
      <w:pPr>
        <w:spacing w:line="440" w:lineRule="exact"/>
        <w:ind w:firstLine="480" w:firstLineChars="200"/>
        <w:rPr>
          <w:rFonts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22.1评委会根据本招标文件规定评分办法与评分标准评出中标人。</w:t>
      </w:r>
    </w:p>
    <w:p>
      <w:pPr>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22.2</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采购人将在“江苏政府采购网”发布中标公告，公告期限为1个工作日。</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22.3若有充分证据证明，中标人出现下列情况之一的，一经查实，将被取消中标资格：</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22.3.1提供虚假材料谋取中标的；</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22.3.2向采购人行贿或者提供其他不正当利益的；</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22.3.3恶意竞争，投标总报价明显低于其自身合理成本且又无法提供证明的；</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22.3.4属于本文件规定的无效条件，但在评标过程中又未被评委会发现的；</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22.3.5与采购人或者其他供应商恶意串通的；</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22.3.6采取不正当手段诋毁、排挤其他供应商的；</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22.3.7不符合法律、法规的规定的。</w:t>
      </w:r>
      <w:bookmarkStart w:id="142" w:name="_Toc200451960"/>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 有下列情形之一的，视为投标人串通投标，其投标无效：</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22.4.1不同投标人的投标文件由同一单位或者个人编制；</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22.4.2不同投标人委托同一单位或者个人办理投标事宜；</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22.4.3不同投标人的投标文件载明的项目管理成员或者联系人员为同一人；</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22.4.4不同投标人的投标文件异常一致或者投标报价呈规律性差异；</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22.4.5不同投标人的投标文件相互混装；</w:t>
      </w:r>
    </w:p>
    <w:p>
      <w:pPr>
        <w:snapToGrid w:val="0"/>
        <w:spacing w:line="440" w:lineRule="exact"/>
        <w:ind w:firstLine="480" w:firstLineChars="20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22.4.6不同投标人的投标保证金从同一单位或者个人的账户转出。</w:t>
      </w:r>
    </w:p>
    <w:p>
      <w:pPr>
        <w:pStyle w:val="5"/>
        <w:spacing w:before="0" w:after="0" w:line="440" w:lineRule="exact"/>
        <w:ind w:firstLine="480" w:firstLineChars="200"/>
        <w:rPr>
          <w:rFonts w:asciiTheme="majorEastAsia" w:hAnsiTheme="majorEastAsia" w:eastAsiaTheme="majorEastAsia"/>
          <w:b w:val="0"/>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u w:val="single"/>
          <w14:textFill>
            <w14:solidFill>
              <w14:schemeClr w14:val="tx1">
                <w14:lumMod w14:val="95000"/>
                <w14:lumOff w14:val="5000"/>
              </w14:schemeClr>
            </w14:solidFill>
          </w14:textFill>
        </w:rPr>
        <w:t>23、质疑处理</w:t>
      </w:r>
      <w:bookmarkEnd w:id="142"/>
    </w:p>
    <w:p>
      <w:pPr>
        <w:snapToGrid w:val="0"/>
        <w:spacing w:line="440" w:lineRule="exact"/>
        <w:ind w:firstLine="480" w:firstLineChars="200"/>
        <w:rPr>
          <w:rFonts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23.1供应商对采购活动事项有疑问的，应当按照7.1条规定的时间前向采购人提出询问，采购人将按照7.1条规定的时间前对供应商依法提出的询问作出答复。</w:t>
      </w:r>
    </w:p>
    <w:p>
      <w:pPr>
        <w:snapToGrid w:val="0"/>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23.2</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投标人认为采购文件使自己的权益受到损害的，可以</w:t>
      </w:r>
      <w:r>
        <w:rPr>
          <w:rFonts w:hint="eastAsia" w:asciiTheme="majorEastAsia" w:hAnsiTheme="majorEastAsia" w:eastAsiaTheme="majorEastAsia"/>
          <w:bCs/>
          <w:color w:val="0D0D0D" w:themeColor="text1" w:themeTint="F2"/>
          <w:sz w:val="24"/>
          <w:szCs w:val="24"/>
          <w:u w:val="single"/>
          <w14:textFill>
            <w14:solidFill>
              <w14:schemeClr w14:val="tx1">
                <w14:lumMod w14:val="95000"/>
                <w14:lumOff w14:val="5000"/>
              </w14:schemeClr>
            </w14:solidFill>
          </w14:textFill>
        </w:rPr>
        <w:t>按照7.2条规定的时间</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前，以书面形式向采购人提出质疑。采购人将在收到投标人的书面质疑后3日内对投标人依法提出的质疑作出答复，并将通知质疑投标人和其他有关投标人，但答复内容涉及商业秘密的除外。</w:t>
      </w:r>
    </w:p>
    <w:p>
      <w:pPr>
        <w:snapToGrid w:val="0"/>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23.3采购人委托招标代理机构采购的，投标人可以向招标代理机构提出质疑，招标代理机构依照《中华人民共和国政府采购法》有关规定就采购人委托授权范围内的事项作出答复。</w:t>
      </w:r>
    </w:p>
    <w:p>
      <w:pPr>
        <w:snapToGrid w:val="0"/>
        <w:spacing w:line="440" w:lineRule="exact"/>
        <w:ind w:firstLine="480" w:firstLineChars="200"/>
        <w:rPr>
          <w:rFonts w:cs="宋体" w:asciiTheme="majorEastAsia" w:hAnsiTheme="majorEastAsia" w:eastAsiaTheme="majorEastAsia"/>
          <w:color w:val="0D0D0D" w:themeColor="text1" w:themeTint="F2"/>
          <w:kern w:val="0"/>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23.4</w:t>
      </w:r>
      <w:r>
        <w:rPr>
          <w:rFonts w:cs="宋体" w:asciiTheme="majorEastAsia" w:hAnsiTheme="majorEastAsia" w:eastAsiaTheme="majorEastAsia"/>
          <w:color w:val="0D0D0D" w:themeColor="text1" w:themeTint="F2"/>
          <w:kern w:val="0"/>
          <w:sz w:val="24"/>
          <w:szCs w:val="24"/>
          <w:u w:val="single"/>
          <w14:textFill>
            <w14:solidFill>
              <w14:schemeClr w14:val="tx1">
                <w14:lumMod w14:val="95000"/>
                <w14:lumOff w14:val="5000"/>
              </w14:schemeClr>
            </w14:solidFill>
          </w14:textFill>
        </w:rPr>
        <w:t>对采购过程提出质疑的，为各采购程序环节结束之日；</w:t>
      </w:r>
      <w:r>
        <w:rPr>
          <w:rFonts w:cs="宋体" w:asciiTheme="majorEastAsia" w:hAnsiTheme="majorEastAsia" w:eastAsiaTheme="majorEastAsia"/>
          <w:color w:val="0D0D0D" w:themeColor="text1" w:themeTint="F2"/>
          <w:kern w:val="0"/>
          <w:sz w:val="24"/>
          <w:szCs w:val="24"/>
          <w:u w:val="single"/>
          <w14:textFill>
            <w14:solidFill>
              <w14:schemeClr w14:val="tx1">
                <w14:lumMod w14:val="95000"/>
                <w14:lumOff w14:val="5000"/>
              </w14:schemeClr>
            </w14:solidFill>
          </w14:textFill>
        </w:rPr>
        <w:br w:type="textWrapping"/>
      </w:r>
      <w:r>
        <w:rPr>
          <w:rFonts w:cs="宋体" w:asciiTheme="majorEastAsia" w:hAnsiTheme="majorEastAsia" w:eastAsiaTheme="majorEastAsia"/>
          <w:color w:val="0D0D0D" w:themeColor="text1" w:themeTint="F2"/>
          <w:kern w:val="0"/>
          <w:sz w:val="24"/>
          <w:szCs w:val="24"/>
          <w14:textFill>
            <w14:solidFill>
              <w14:schemeClr w14:val="tx1">
                <w14:lumMod w14:val="95000"/>
                <w14:lumOff w14:val="5000"/>
              </w14:schemeClr>
            </w14:solidFill>
          </w14:textFill>
        </w:rPr>
        <w:t>　　</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23.5</w:t>
      </w:r>
      <w:r>
        <w:rPr>
          <w:rFonts w:cs="宋体" w:asciiTheme="majorEastAsia" w:hAnsiTheme="majorEastAsia" w:eastAsiaTheme="majorEastAsia"/>
          <w:color w:val="0D0D0D" w:themeColor="text1" w:themeTint="F2"/>
          <w:kern w:val="0"/>
          <w:sz w:val="24"/>
          <w:szCs w:val="24"/>
          <w:u w:val="single"/>
          <w14:textFill>
            <w14:solidFill>
              <w14:schemeClr w14:val="tx1">
                <w14:lumMod w14:val="95000"/>
                <w14:lumOff w14:val="5000"/>
              </w14:schemeClr>
            </w14:solidFill>
          </w14:textFill>
        </w:rPr>
        <w:t>对中标或者成交结果提出质疑的，为中标或者成交结果公告期限届满之日。</w:t>
      </w:r>
    </w:p>
    <w:p>
      <w:pPr>
        <w:snapToGrid w:val="0"/>
        <w:spacing w:line="440" w:lineRule="exact"/>
        <w:ind w:firstLine="472" w:firstLineChars="197"/>
        <w:rPr>
          <w:rFonts w:cs="宋体" w:asciiTheme="majorEastAsia" w:hAnsiTheme="majorEastAsia" w:eastAsiaTheme="majorEastAsia"/>
          <w:color w:val="0D0D0D" w:themeColor="text1" w:themeTint="F2"/>
          <w:kern w:val="0"/>
          <w:sz w:val="24"/>
          <w:szCs w:val="24"/>
          <w:u w:val="single"/>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szCs w:val="24"/>
          <w:u w:val="single"/>
          <w14:textFill>
            <w14:solidFill>
              <w14:schemeClr w14:val="tx1">
                <w14:lumMod w14:val="95000"/>
                <w14:lumOff w14:val="5000"/>
              </w14:schemeClr>
            </w14:solidFill>
          </w14:textFill>
        </w:rPr>
        <w:t>23.6质疑必须以参加投标供应商法定代表人或授权代表（投标文件中所确定的）原件送达的方式提交，未按上述要求提交的质疑函（含传真、电子邮件等）采购人有权不予受理。</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23.7未参加投标活动的供应商或在投标活动中自身权益未受到损害的供应商所提出的质疑不予受理。</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23.8质疑函应当包括下列内容：</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23.8.1质疑投标人的名称、地址、邮编、联系人、联系电话；</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23.8.2具体的质疑事项及明确的请求；</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23.8.3认为自己合法权益受到损害或可能受到损害的相关证据材料；</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23.8.4提起质疑的日期；</w:t>
      </w:r>
    </w:p>
    <w:p>
      <w:pPr>
        <w:snapToGrid w:val="0"/>
        <w:spacing w:line="440" w:lineRule="exact"/>
        <w:ind w:firstLine="480" w:firstLineChars="200"/>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23.8.5质疑函应当署名：质疑人为自然人的，应当由本人签字并附有效身份证</w:t>
      </w:r>
    </w:p>
    <w:p>
      <w:pPr>
        <w:snapToGrid w:val="0"/>
        <w:spacing w:line="440" w:lineRule="exact"/>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明；质疑人为法人或其他组织的，应当由法定代表人签字并加盖单位公章。质疑人委托代理质疑的，应当向采购人提交授权委托书，并载明委托代理的具体权限和事项。</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23.9采购人收到质疑函后，将对质疑的形式和内容进行审查，如质疑函内容、格式不符合规定，采购人将告知质疑人进行补正。</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23.10质疑人应当在法定质疑期限内进行补正并重新提交质疑函，拒不补正或者在法定期限内未重新提交质疑函的，为无效质疑，采购人有权不予受理。</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23.11对于内容、格式符合规定的质疑函，采购人应当在收到投标供应商的书面质疑后七个工作日内作出答复，并以书面形式通知质疑供应商和其他有关供应商，但答复的内容不得涉及商业秘密。</w:t>
      </w:r>
    </w:p>
    <w:p>
      <w:pPr>
        <w:snapToGrid w:val="0"/>
        <w:spacing w:line="440" w:lineRule="exact"/>
        <w:ind w:firstLine="468" w:firstLineChars="195"/>
        <w:rPr>
          <w:rFonts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23.12投标人提出书面质疑必须有理、有据，不得恶意质疑或提交虚假质疑。否则，一经查实，采购人有权依据《江苏省政府采购供应商监督管理暂行办法》的规定，扣减其诚信记录分，并报请政府采购监管部门对该投标人进行相应的行政处罚。</w:t>
      </w:r>
    </w:p>
    <w:p>
      <w:pPr>
        <w:pStyle w:val="5"/>
        <w:spacing w:before="0" w:after="0" w:line="440" w:lineRule="exact"/>
        <w:ind w:firstLine="480" w:firstLineChars="20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24、中标通知书</w:t>
      </w:r>
    </w:p>
    <w:p>
      <w:pPr>
        <w:snapToGrid w:val="0"/>
        <w:spacing w:line="440" w:lineRule="exact"/>
        <w:ind w:firstLine="600" w:firstLineChars="2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24.l中标结果确定后，采购人将向中标供应商发出中标通知书。</w:t>
      </w:r>
    </w:p>
    <w:p>
      <w:pPr>
        <w:snapToGrid w:val="0"/>
        <w:spacing w:line="440" w:lineRule="exact"/>
        <w:ind w:firstLine="600" w:firstLineChars="2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24.2 中标供应商法定代表人或授权代表（投标文件中所确定的）须到南通市通州区公共资源交易中心采购科现场签收中标通知书。</w:t>
      </w:r>
    </w:p>
    <w:p>
      <w:pPr>
        <w:snapToGrid w:val="0"/>
        <w:spacing w:line="440" w:lineRule="exact"/>
        <w:ind w:firstLine="600" w:firstLineChars="2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24.3中标通知书将是合同的一个组成部分。对采购人和中标供应商均具有法律效力。中标通知书发出后，采购人改变中标结果的，或者中标供应商放弃中标项目的，应当依法承担法律责任。</w:t>
      </w:r>
    </w:p>
    <w:p>
      <w:pPr>
        <w:pStyle w:val="4"/>
        <w:spacing w:beforeLines="50" w:afterLines="50" w:line="440" w:lineRule="exact"/>
        <w:jc w:val="center"/>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143" w:name="_Toc120614220"/>
      <w:bookmarkStart w:id="144" w:name="_Toc16938552"/>
      <w:bookmarkStart w:id="145" w:name="_Toc20823308"/>
      <w:bookmarkStart w:id="146" w:name="_Toc513029236"/>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六、合同</w:t>
      </w:r>
      <w:bookmarkEnd w:id="143"/>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签订相关事项</w:t>
      </w:r>
    </w:p>
    <w:bookmarkEnd w:id="144"/>
    <w:bookmarkEnd w:id="145"/>
    <w:bookmarkEnd w:id="146"/>
    <w:p>
      <w:pPr>
        <w:pStyle w:val="5"/>
        <w:spacing w:before="0" w:after="0" w:line="440" w:lineRule="exact"/>
        <w:ind w:firstLine="480" w:firstLineChars="200"/>
        <w:rPr>
          <w:rFonts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pPr>
      <w:bookmarkStart w:id="147" w:name="_Toc20823309"/>
      <w:bookmarkStart w:id="148" w:name="_Toc16938553"/>
      <w:bookmarkStart w:id="149" w:name="_Toc513029237"/>
      <w:r>
        <w:rPr>
          <w:rFonts w:hint="eastAsia" w:asciiTheme="majorEastAsia" w:hAnsiTheme="majorEastAsia" w:eastAsiaTheme="majorEastAsia"/>
          <w:b w:val="0"/>
          <w:color w:val="0D0D0D" w:themeColor="text1" w:themeTint="F2"/>
          <w:sz w:val="24"/>
          <w:szCs w:val="24"/>
          <w14:textFill>
            <w14:solidFill>
              <w14:schemeClr w14:val="tx1">
                <w14:lumMod w14:val="95000"/>
                <w14:lumOff w14:val="5000"/>
              </w14:schemeClr>
            </w14:solidFill>
          </w14:textFill>
        </w:rPr>
        <w:t>25、 签订合同</w:t>
      </w:r>
    </w:p>
    <w:p>
      <w:pPr>
        <w:snapToGrid w:val="0"/>
        <w:spacing w:line="440" w:lineRule="exact"/>
        <w:ind w:firstLine="600" w:firstLineChars="2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14:textFill>
            <w14:solidFill>
              <w14:schemeClr w14:val="tx1">
                <w14:lumMod w14:val="95000"/>
                <w14:lumOff w14:val="5000"/>
              </w14:schemeClr>
            </w14:solidFill>
          </w14:textFill>
        </w:rPr>
        <w:t>25</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l中标人应按中标通知书规定的时间、地点,按照招标文件确定的事项与采购人签订政府采购合同，且不得迟于中标通知书发出之日起三十日内，否则投标保证金将不予退还，由此给采购人造成损失的，中标人还应承担赔偿责任。</w:t>
      </w:r>
    </w:p>
    <w:p>
      <w:pPr>
        <w:snapToGrid w:val="0"/>
        <w:spacing w:line="440" w:lineRule="exact"/>
        <w:ind w:firstLine="600" w:firstLineChars="2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25.2招标文件、中标人的投标文件及招标过程中有关澄清、承诺文件均应作为合同附件。</w:t>
      </w:r>
    </w:p>
    <w:p>
      <w:pPr>
        <w:snapToGrid w:val="0"/>
        <w:spacing w:line="440" w:lineRule="exact"/>
        <w:ind w:firstLine="600" w:firstLineChars="250"/>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25.3 签订合同后，</w:t>
      </w:r>
      <w:r>
        <w:rPr>
          <w:rFonts w:hint="eastAsia" w:asciiTheme="majorEastAsia" w:hAnsiTheme="majorEastAsia" w:eastAsiaTheme="majorEastAsia"/>
          <w:color w:val="0D0D0D" w:themeColor="text1" w:themeTint="F2"/>
          <w:sz w:val="24"/>
          <w:szCs w:val="24"/>
          <w:u w:val="single"/>
          <w14:textFill>
            <w14:solidFill>
              <w14:schemeClr w14:val="tx1">
                <w14:lumMod w14:val="95000"/>
                <w14:lumOff w14:val="5000"/>
              </w14:schemeClr>
            </w14:solidFill>
          </w14:textFill>
        </w:rPr>
        <w:t>中标人不得将货物、服务及其他相关服务进行转包</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。未经采购人同意，中标人也不得采用分包的形式履行合同，否则采购人有权终止合同，中标人的履约保证金将不予退还。转包或分包造成采购人损失的，中标人应承担相应赔偿责任。</w:t>
      </w:r>
      <w:bookmarkEnd w:id="147"/>
      <w:bookmarkEnd w:id="148"/>
      <w:bookmarkEnd w:id="149"/>
      <w:bookmarkStart w:id="150" w:name="_Toc16938590"/>
      <w:bookmarkStart w:id="151" w:name="_Toc20823346"/>
      <w:bookmarkStart w:id="152" w:name="_Hlt16619350"/>
      <w:bookmarkStart w:id="153" w:name="_Toc120614244"/>
      <w:bookmarkStart w:id="154" w:name="_Toc479757211"/>
      <w:bookmarkStart w:id="155" w:name="_Toc462564139"/>
    </w:p>
    <w:p>
      <w:pPr>
        <w:pStyle w:val="2"/>
        <w:jc w:val="center"/>
        <w:rPr>
          <w:rFonts w:asciiTheme="majorEastAsia" w:hAnsiTheme="majorEastAsia" w:eastAsiaTheme="majorEastAsia"/>
          <w:b w:val="0"/>
          <w:bCs/>
          <w:color w:val="0D0D0D" w:themeColor="text1" w:themeTint="F2"/>
          <w14:textFill>
            <w14:solidFill>
              <w14:schemeClr w14:val="tx1">
                <w14:lumMod w14:val="95000"/>
                <w14:lumOff w14:val="5000"/>
              </w14:schemeClr>
            </w14:solidFill>
          </w14:textFill>
        </w:rPr>
      </w:pPr>
    </w:p>
    <w:p>
      <w:pPr>
        <w:pStyle w:val="2"/>
        <w:rPr>
          <w:rFonts w:asciiTheme="majorEastAsia" w:hAnsiTheme="majorEastAsia" w:eastAsiaTheme="majorEastAsia"/>
          <w:b w:val="0"/>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rPr>
          <w:rFonts w:asciiTheme="majorEastAsia" w:hAnsiTheme="majorEastAsia" w:eastAsiaTheme="majorEastAsia"/>
          <w:bCs/>
          <w:color w:val="0D0D0D" w:themeColor="text1" w:themeTint="F2"/>
          <w14:textFill>
            <w14:solidFill>
              <w14:schemeClr w14:val="tx1">
                <w14:lumMod w14:val="95000"/>
                <w14:lumOff w14:val="5000"/>
              </w14:schemeClr>
            </w14:solidFill>
          </w14:textFill>
        </w:rPr>
      </w:pPr>
    </w:p>
    <w:p>
      <w:pPr>
        <w:pStyle w:val="2"/>
        <w:jc w:val="both"/>
        <w:rPr>
          <w:rFonts w:hint="eastAsia" w:asciiTheme="majorEastAsia" w:hAnsiTheme="majorEastAsia" w:eastAsiaTheme="majorEastAsia"/>
          <w:b w:val="0"/>
          <w:bCs/>
          <w:color w:val="0D0D0D" w:themeColor="text1" w:themeTint="F2"/>
          <w14:textFill>
            <w14:solidFill>
              <w14:schemeClr w14:val="tx1">
                <w14:lumMod w14:val="95000"/>
                <w14:lumOff w14:val="5000"/>
              </w14:schemeClr>
            </w14:solidFill>
          </w14:textFill>
        </w:rPr>
      </w:pPr>
    </w:p>
    <w:p>
      <w:pPr>
        <w:pStyle w:val="2"/>
        <w:jc w:val="center"/>
        <w:rPr>
          <w:rFonts w:asciiTheme="majorEastAsia" w:hAnsiTheme="majorEastAsia" w:eastAsiaTheme="majorEastAsia"/>
          <w:b w:val="0"/>
          <w:bCs/>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b w:val="0"/>
          <w:bCs/>
          <w:color w:val="0D0D0D" w:themeColor="text1" w:themeTint="F2"/>
          <w14:textFill>
            <w14:solidFill>
              <w14:schemeClr w14:val="tx1">
                <w14:lumMod w14:val="95000"/>
                <w14:lumOff w14:val="5000"/>
              </w14:schemeClr>
            </w14:solidFill>
          </w14:textFill>
        </w:rPr>
        <w:t>第三章  合同条款及格式</w:t>
      </w:r>
    </w:p>
    <w:bookmarkEnd w:id="150"/>
    <w:bookmarkEnd w:id="151"/>
    <w:bookmarkEnd w:id="152"/>
    <w:bookmarkEnd w:id="153"/>
    <w:p>
      <w:pPr>
        <w:rPr>
          <w:rFonts w:asciiTheme="majorEastAsia" w:hAnsiTheme="majorEastAsia" w:eastAsiaTheme="majorEastAsia" w:cstheme="majorEastAsia"/>
          <w:sz w:val="24"/>
          <w:u w:val="single"/>
        </w:rPr>
      </w:pPr>
      <w:bookmarkStart w:id="156" w:name="_Toc120614281"/>
      <w:bookmarkStart w:id="157" w:name="_Toc49090575"/>
      <w:bookmarkStart w:id="158" w:name="_Toc26554093"/>
      <w:r>
        <w:rPr>
          <w:rFonts w:hint="eastAsia" w:asciiTheme="majorEastAsia" w:hAnsiTheme="majorEastAsia" w:eastAsiaTheme="majorEastAsia" w:cstheme="majorEastAsia"/>
          <w:sz w:val="24"/>
        </w:rPr>
        <w:t>合同编号：</w:t>
      </w:r>
    </w:p>
    <w:p>
      <w:pPr>
        <w:spacing w:line="480" w:lineRule="auto"/>
        <w:jc w:val="both"/>
        <w:rPr>
          <w:rFonts w:asciiTheme="majorEastAsia" w:hAnsiTheme="majorEastAsia" w:eastAsiaTheme="majorEastAsia" w:cstheme="majorEastAsia"/>
          <w:b/>
          <w:sz w:val="28"/>
          <w:szCs w:val="28"/>
        </w:rPr>
      </w:pPr>
    </w:p>
    <w:p>
      <w:pPr>
        <w:spacing w:line="480" w:lineRule="auto"/>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合同</w:t>
      </w:r>
    </w:p>
    <w:p>
      <w:pPr>
        <w:autoSpaceDE w:val="0"/>
        <w:autoSpaceDN w:val="0"/>
        <w:adjustRightInd w:val="0"/>
        <w:jc w:val="left"/>
        <w:rPr>
          <w:rFonts w:asciiTheme="majorEastAsia" w:hAnsiTheme="majorEastAsia" w:eastAsiaTheme="majorEastAsia" w:cstheme="majorEastAsia"/>
          <w:kern w:val="0"/>
          <w:sz w:val="24"/>
          <w:szCs w:val="24"/>
        </w:rPr>
      </w:pPr>
    </w:p>
    <w:p>
      <w:pPr>
        <w:autoSpaceDE w:val="0"/>
        <w:autoSpaceDN w:val="0"/>
        <w:adjustRightInd w:val="0"/>
        <w:jc w:val="left"/>
        <w:rPr>
          <w:rFonts w:asciiTheme="majorEastAsia" w:hAnsiTheme="majorEastAsia" w:eastAsiaTheme="majorEastAsia" w:cstheme="majorEastAsia"/>
          <w:kern w:val="0"/>
          <w:sz w:val="24"/>
          <w:szCs w:val="24"/>
        </w:rPr>
      </w:pPr>
    </w:p>
    <w:p>
      <w:pPr>
        <w:autoSpaceDE w:val="0"/>
        <w:autoSpaceDN w:val="0"/>
        <w:adjustRightInd w:val="0"/>
        <w:jc w:val="left"/>
        <w:rPr>
          <w:rFonts w:asciiTheme="majorEastAsia" w:hAnsiTheme="majorEastAsia" w:eastAsiaTheme="majorEastAsia" w:cstheme="majorEastAsia"/>
          <w:kern w:val="0"/>
          <w:sz w:val="24"/>
          <w:szCs w:val="24"/>
        </w:rPr>
      </w:pPr>
    </w:p>
    <w:p>
      <w:pPr>
        <w:autoSpaceDE w:val="0"/>
        <w:autoSpaceDN w:val="0"/>
        <w:adjustRightInd w:val="0"/>
        <w:jc w:val="center"/>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第一部分 合同书</w:t>
      </w:r>
    </w:p>
    <w:p>
      <w:pPr>
        <w:autoSpaceDE w:val="0"/>
        <w:autoSpaceDN w:val="0"/>
        <w:adjustRightInd w:val="0"/>
        <w:jc w:val="left"/>
        <w:rPr>
          <w:rFonts w:asciiTheme="majorEastAsia" w:hAnsiTheme="majorEastAsia" w:eastAsiaTheme="majorEastAsia" w:cstheme="majorEastAsia"/>
          <w:kern w:val="0"/>
          <w:sz w:val="24"/>
          <w:szCs w:val="24"/>
        </w:rPr>
      </w:pPr>
    </w:p>
    <w:p>
      <w:pPr>
        <w:autoSpaceDE w:val="0"/>
        <w:autoSpaceDN w:val="0"/>
        <w:adjustRightInd w:val="0"/>
        <w:jc w:val="left"/>
        <w:rPr>
          <w:rFonts w:asciiTheme="majorEastAsia" w:hAnsiTheme="majorEastAsia" w:eastAsiaTheme="majorEastAsia" w:cstheme="majorEastAsia"/>
          <w:kern w:val="0"/>
          <w:sz w:val="24"/>
          <w:szCs w:val="24"/>
        </w:rPr>
      </w:pPr>
    </w:p>
    <w:p>
      <w:pPr>
        <w:spacing w:before="120" w:line="22" w:lineRule="atLeast"/>
        <w:rPr>
          <w:rFonts w:asciiTheme="majorEastAsia" w:hAnsiTheme="majorEastAsia" w:eastAsiaTheme="majorEastAsia" w:cstheme="majorEastAsia"/>
          <w:sz w:val="24"/>
        </w:rPr>
      </w:pPr>
    </w:p>
    <w:p>
      <w:pPr>
        <w:spacing w:before="120" w:line="22" w:lineRule="atLeast"/>
        <w:ind w:left="96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项目名称：</w:t>
      </w:r>
      <w:r>
        <w:rPr>
          <w:rFonts w:hint="eastAsia" w:asciiTheme="majorEastAsia" w:hAnsiTheme="majorEastAsia" w:eastAsiaTheme="majorEastAsia" w:cstheme="majorEastAsia"/>
          <w:b/>
          <w:bCs/>
          <w:sz w:val="28"/>
          <w:szCs w:val="28"/>
          <w:u w:val="single"/>
        </w:rPr>
        <w:t>南通市通州区农药零差率统一配供、废弃农药包装物和农膜统一回收处理项目</w:t>
      </w:r>
    </w:p>
    <w:p>
      <w:pPr>
        <w:spacing w:before="120" w:line="22" w:lineRule="atLeast"/>
        <w:rPr>
          <w:rFonts w:asciiTheme="majorEastAsia" w:hAnsiTheme="majorEastAsia" w:eastAsiaTheme="majorEastAsia" w:cstheme="majorEastAsia"/>
          <w:sz w:val="28"/>
          <w:szCs w:val="28"/>
        </w:rPr>
      </w:pPr>
    </w:p>
    <w:p>
      <w:pPr>
        <w:spacing w:before="120" w:line="22" w:lineRule="atLeast"/>
        <w:rPr>
          <w:rFonts w:asciiTheme="majorEastAsia" w:hAnsiTheme="majorEastAsia" w:eastAsiaTheme="majorEastAsia" w:cstheme="majorEastAsia"/>
          <w:sz w:val="28"/>
          <w:szCs w:val="28"/>
        </w:rPr>
      </w:pPr>
    </w:p>
    <w:p>
      <w:pPr>
        <w:rPr>
          <w:rFonts w:asciiTheme="majorEastAsia" w:hAnsiTheme="majorEastAsia" w:eastAsiaTheme="majorEastAsia" w:cstheme="majorEastAsia"/>
          <w:sz w:val="28"/>
          <w:szCs w:val="28"/>
        </w:rPr>
      </w:pPr>
    </w:p>
    <w:p>
      <w:pPr>
        <w:spacing w:before="120" w:line="22" w:lineRule="atLeast"/>
        <w:ind w:left="960"/>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甲方：</w:t>
      </w:r>
      <w:r>
        <w:rPr>
          <w:rFonts w:hint="eastAsia" w:asciiTheme="majorEastAsia" w:hAnsiTheme="majorEastAsia" w:eastAsiaTheme="majorEastAsia" w:cstheme="majorEastAsia"/>
          <w:sz w:val="28"/>
          <w:szCs w:val="28"/>
          <w:u w:val="single"/>
        </w:rPr>
        <w:t>南通市通州区供销合作总社</w:t>
      </w:r>
    </w:p>
    <w:p>
      <w:pPr>
        <w:spacing w:before="120" w:line="22" w:lineRule="atLeast"/>
        <w:rPr>
          <w:rFonts w:asciiTheme="majorEastAsia" w:hAnsiTheme="majorEastAsia" w:eastAsiaTheme="majorEastAsia" w:cstheme="majorEastAsia"/>
          <w:sz w:val="28"/>
          <w:szCs w:val="28"/>
        </w:rPr>
      </w:pPr>
    </w:p>
    <w:p>
      <w:pPr>
        <w:spacing w:before="120" w:line="22" w:lineRule="atLeast"/>
        <w:ind w:left="960"/>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乙方：</w:t>
      </w:r>
    </w:p>
    <w:p>
      <w:pPr>
        <w:spacing w:before="120" w:line="22" w:lineRule="atLeast"/>
        <w:rPr>
          <w:rFonts w:asciiTheme="majorEastAsia" w:hAnsiTheme="majorEastAsia" w:eastAsiaTheme="majorEastAsia" w:cstheme="majorEastAsia"/>
          <w:sz w:val="28"/>
          <w:szCs w:val="28"/>
        </w:rPr>
      </w:pPr>
    </w:p>
    <w:p>
      <w:pPr>
        <w:spacing w:before="120" w:line="22" w:lineRule="atLeast"/>
        <w:ind w:firstLine="1120" w:firstLineChars="4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签订地：</w:t>
      </w:r>
      <w:r>
        <w:rPr>
          <w:rFonts w:hint="eastAsia" w:asciiTheme="majorEastAsia" w:hAnsiTheme="majorEastAsia" w:eastAsiaTheme="majorEastAsia" w:cstheme="majorEastAsia"/>
          <w:sz w:val="28"/>
          <w:szCs w:val="28"/>
          <w:u w:val="single"/>
        </w:rPr>
        <w:t>南通市通州区供销合作总社</w:t>
      </w:r>
    </w:p>
    <w:p>
      <w:pPr>
        <w:spacing w:before="120" w:line="22" w:lineRule="atLeast"/>
        <w:ind w:firstLine="1120" w:firstLineChars="400"/>
        <w:rPr>
          <w:rFonts w:asciiTheme="majorEastAsia" w:hAnsiTheme="majorEastAsia" w:eastAsiaTheme="majorEastAsia" w:cstheme="majorEastAsia"/>
          <w:sz w:val="28"/>
          <w:szCs w:val="28"/>
        </w:rPr>
      </w:pPr>
    </w:p>
    <w:p>
      <w:pPr>
        <w:spacing w:before="120" w:line="22" w:lineRule="atLeast"/>
        <w:ind w:firstLine="1120" w:firstLineChars="400"/>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签订日期：年月日</w:t>
      </w:r>
    </w:p>
    <w:p>
      <w:pPr>
        <w:autoSpaceDE w:val="0"/>
        <w:autoSpaceDN w:val="0"/>
        <w:adjustRightInd w:val="0"/>
        <w:spacing w:line="600" w:lineRule="exact"/>
        <w:ind w:firstLine="640"/>
        <w:jc w:val="center"/>
        <w:rPr>
          <w:rFonts w:asciiTheme="majorEastAsia" w:hAnsiTheme="majorEastAsia" w:eastAsiaTheme="majorEastAsia" w:cstheme="majorEastAsia"/>
          <w:sz w:val="28"/>
          <w:szCs w:val="28"/>
        </w:rPr>
        <w:sectPr>
          <w:headerReference r:id="rId3" w:type="default"/>
          <w:footerReference r:id="rId4" w:type="default"/>
          <w:pgSz w:w="11907" w:h="16840"/>
          <w:pgMar w:top="1474" w:right="1814" w:bottom="1474" w:left="1814" w:header="851" w:footer="851" w:gutter="0"/>
          <w:cols w:space="720" w:num="1"/>
          <w:docGrid w:linePitch="462" w:charSpace="0"/>
        </w:sectPr>
      </w:pP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年月，</w:t>
      </w:r>
      <w:r>
        <w:rPr>
          <w:rFonts w:hint="eastAsia" w:asciiTheme="majorEastAsia" w:hAnsiTheme="majorEastAsia" w:eastAsiaTheme="majorEastAsia" w:cstheme="majorEastAsia"/>
          <w:sz w:val="24"/>
          <w:u w:val="single"/>
        </w:rPr>
        <w:t>南通市通州区供销合作总社</w:t>
      </w:r>
      <w:r>
        <w:rPr>
          <w:rFonts w:hint="eastAsia" w:asciiTheme="majorEastAsia" w:hAnsiTheme="majorEastAsia" w:eastAsiaTheme="majorEastAsia" w:cstheme="majorEastAsia"/>
          <w:sz w:val="24"/>
        </w:rPr>
        <w:t>以</w:t>
      </w:r>
      <w:r>
        <w:rPr>
          <w:rFonts w:hint="eastAsia" w:asciiTheme="majorEastAsia" w:hAnsiTheme="majorEastAsia" w:eastAsiaTheme="majorEastAsia" w:cstheme="majorEastAsia"/>
          <w:sz w:val="24"/>
          <w:u w:val="single"/>
        </w:rPr>
        <w:t xml:space="preserve"> 公开招标方式</w:t>
      </w:r>
      <w:r>
        <w:rPr>
          <w:rFonts w:hint="eastAsia" w:asciiTheme="majorEastAsia" w:hAnsiTheme="majorEastAsia" w:eastAsiaTheme="majorEastAsia" w:cstheme="majorEastAsia"/>
          <w:sz w:val="24"/>
        </w:rPr>
        <w:t>对</w:t>
      </w:r>
      <w:r>
        <w:rPr>
          <w:rFonts w:hint="eastAsia" w:asciiTheme="majorEastAsia" w:hAnsiTheme="majorEastAsia" w:eastAsiaTheme="majorEastAsia" w:cstheme="majorEastAsia"/>
          <w:b/>
          <w:bCs/>
          <w:sz w:val="24"/>
          <w:u w:val="single"/>
        </w:rPr>
        <w:t>南通市通州区农药零差率统一配</w:t>
      </w:r>
      <w:r>
        <w:rPr>
          <w:rFonts w:hint="eastAsia" w:asciiTheme="majorEastAsia" w:hAnsiTheme="majorEastAsia" w:eastAsiaTheme="majorEastAsia" w:cstheme="majorEastAsia"/>
          <w:sz w:val="24"/>
        </w:rPr>
        <w:t>供、废弃农药包装物和农膜统一回收处理项目进行了采购。经评标委员会评定，为该项目中标供应商。现于中标通知书发出之日起三十日内，按照采购文件确定的事项签订本合同。</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根据《中华人民共和国民法典》、《中华人民共和国政府采购法》等相关法律法规之规定，按照平等、自愿、公平和诚实信用的原则，经</w:t>
      </w:r>
      <w:r>
        <w:rPr>
          <w:rFonts w:hint="eastAsia" w:asciiTheme="majorEastAsia" w:hAnsiTheme="majorEastAsia" w:eastAsiaTheme="majorEastAsia" w:cstheme="majorEastAsia"/>
          <w:sz w:val="24"/>
          <w:u w:val="single"/>
        </w:rPr>
        <w:t>南通市通州区供销合作总社</w:t>
      </w:r>
      <w:r>
        <w:rPr>
          <w:rFonts w:hint="eastAsia" w:asciiTheme="majorEastAsia" w:hAnsiTheme="majorEastAsia" w:eastAsiaTheme="majorEastAsia" w:cstheme="majorEastAsia"/>
          <w:sz w:val="24"/>
        </w:rPr>
        <w:t>(以下简称：甲方)和(以下简称：乙方)协商一致，约定以下合同条款，以兹共同遵守、全面履行。</w:t>
      </w:r>
    </w:p>
    <w:p>
      <w:pPr>
        <w:spacing w:line="560" w:lineRule="exact"/>
        <w:ind w:firstLine="482" w:firstLineChars="200"/>
        <w:outlineLvl w:val="0"/>
        <w:rPr>
          <w:rFonts w:asciiTheme="majorEastAsia" w:hAnsiTheme="majorEastAsia" w:eastAsiaTheme="majorEastAsia" w:cstheme="majorEastAsia"/>
          <w:sz w:val="24"/>
        </w:rPr>
      </w:pPr>
      <w:bookmarkStart w:id="159" w:name="_Toc28855"/>
      <w:bookmarkStart w:id="160" w:name="_Toc19273"/>
      <w:bookmarkStart w:id="161" w:name="_Toc22967"/>
      <w:bookmarkStart w:id="162" w:name="_Toc15367"/>
      <w:bookmarkStart w:id="163" w:name="_Toc20421"/>
      <w:r>
        <w:rPr>
          <w:rFonts w:hint="eastAsia" w:asciiTheme="majorEastAsia" w:hAnsiTheme="majorEastAsia" w:eastAsiaTheme="majorEastAsia" w:cstheme="majorEastAsia"/>
          <w:b/>
          <w:sz w:val="24"/>
        </w:rPr>
        <w:t>1.1 合同组成部分</w:t>
      </w:r>
      <w:bookmarkEnd w:id="159"/>
      <w:bookmarkEnd w:id="160"/>
      <w:bookmarkEnd w:id="161"/>
      <w:bookmarkEnd w:id="162"/>
      <w:bookmarkEnd w:id="163"/>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 本合同及其补充合同、变更协议；</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 中标通知书；</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1.1.3 投标文件（含澄清或者说明文件）；</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1.1.4 招标文件（含澄清或者修改文件）；</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1.1.5 其他相关采购文件。</w:t>
      </w:r>
    </w:p>
    <w:p>
      <w:pPr>
        <w:spacing w:line="560" w:lineRule="exact"/>
        <w:ind w:firstLine="482" w:firstLineChars="200"/>
        <w:outlineLvl w:val="0"/>
        <w:rPr>
          <w:rFonts w:asciiTheme="majorEastAsia" w:hAnsiTheme="majorEastAsia" w:eastAsiaTheme="majorEastAsia" w:cstheme="majorEastAsia"/>
          <w:b/>
          <w:sz w:val="24"/>
        </w:rPr>
      </w:pPr>
      <w:bookmarkStart w:id="164" w:name="_Toc2918"/>
      <w:bookmarkStart w:id="165" w:name="_Toc6311"/>
      <w:bookmarkStart w:id="166" w:name="_Toc18585"/>
      <w:bookmarkStart w:id="167" w:name="_Toc22185"/>
      <w:bookmarkStart w:id="168" w:name="_Toc6773"/>
      <w:r>
        <w:rPr>
          <w:rFonts w:hint="eastAsia" w:asciiTheme="majorEastAsia" w:hAnsiTheme="majorEastAsia" w:eastAsiaTheme="majorEastAsia" w:cstheme="majorEastAsia"/>
          <w:b/>
          <w:sz w:val="24"/>
        </w:rPr>
        <w:t>1.2 标的</w:t>
      </w:r>
      <w:bookmarkEnd w:id="164"/>
      <w:bookmarkEnd w:id="165"/>
      <w:bookmarkEnd w:id="166"/>
      <w:bookmarkEnd w:id="167"/>
      <w:bookmarkEnd w:id="168"/>
    </w:p>
    <w:p>
      <w:pPr>
        <w:spacing w:line="560" w:lineRule="exact"/>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1.2.1 标的名称：</w:t>
      </w:r>
      <w:r>
        <w:rPr>
          <w:rFonts w:hint="eastAsia" w:asciiTheme="majorEastAsia" w:hAnsiTheme="majorEastAsia" w:eastAsiaTheme="majorEastAsia" w:cstheme="majorEastAsia"/>
          <w:b/>
          <w:bCs/>
          <w:sz w:val="24"/>
          <w:u w:val="single"/>
        </w:rPr>
        <w:t>南通市通州区农药零差率统一配供、废弃农药包装物和农膜统一回收处理项目</w:t>
      </w:r>
      <w:r>
        <w:rPr>
          <w:rFonts w:hint="eastAsia" w:asciiTheme="majorEastAsia" w:hAnsiTheme="majorEastAsia" w:eastAsiaTheme="majorEastAsia" w:cstheme="majorEastAsia"/>
          <w:sz w:val="24"/>
        </w:rPr>
        <w:t>；</w:t>
      </w:r>
    </w:p>
    <w:p>
      <w:pPr>
        <w:spacing w:line="560" w:lineRule="exact"/>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1.2.2 标的数量：</w:t>
      </w:r>
      <w:r>
        <w:rPr>
          <w:rFonts w:hint="eastAsia" w:asciiTheme="majorEastAsia" w:hAnsiTheme="majorEastAsia" w:eastAsiaTheme="majorEastAsia" w:cstheme="majorEastAsia"/>
          <w:color w:val="auto"/>
          <w:sz w:val="24"/>
          <w:szCs w:val="21"/>
          <w:highlight w:val="none"/>
        </w:rPr>
        <w:t>实施主体配供农药品种</w:t>
      </w:r>
      <w:r>
        <w:rPr>
          <w:rFonts w:hint="eastAsia" w:asciiTheme="majorEastAsia" w:hAnsiTheme="majorEastAsia" w:eastAsiaTheme="majorEastAsia" w:cstheme="majorEastAsia"/>
          <w:sz w:val="24"/>
        </w:rPr>
        <w:t>须经区供销合作总社、区农业农村局审核批准，</w:t>
      </w:r>
      <w:r>
        <w:rPr>
          <w:rFonts w:hint="eastAsia" w:asciiTheme="majorEastAsia" w:hAnsiTheme="majorEastAsia" w:eastAsiaTheme="majorEastAsia" w:cstheme="majorEastAsia"/>
          <w:color w:val="auto"/>
          <w:sz w:val="24"/>
          <w:szCs w:val="21"/>
          <w:highlight w:val="none"/>
        </w:rPr>
        <w:t>且不少于40种，每个网点农药配供品种不少于15个，全年配供农药销售额1500万元，农药废弃包装物回收1100万件（其中瓶650万件、袋450万件），废弃地膜回收80吨。</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1.2.3 标的质量：及时配供到位、及时回收到位</w:t>
      </w:r>
      <w:r>
        <w:rPr>
          <w:rFonts w:hint="eastAsia" w:asciiTheme="majorEastAsia" w:hAnsiTheme="majorEastAsia" w:eastAsiaTheme="majorEastAsia" w:cstheme="majorEastAsia"/>
          <w:sz w:val="24"/>
          <w:u w:val="single"/>
        </w:rPr>
        <w:t>/</w:t>
      </w:r>
      <w:r>
        <w:rPr>
          <w:rFonts w:hint="eastAsia" w:asciiTheme="majorEastAsia" w:hAnsiTheme="majorEastAsia" w:eastAsiaTheme="majorEastAsia" w:cstheme="majorEastAsia"/>
          <w:sz w:val="24"/>
        </w:rPr>
        <w:t>。</w:t>
      </w:r>
    </w:p>
    <w:p>
      <w:pPr>
        <w:spacing w:line="560" w:lineRule="exact"/>
        <w:ind w:firstLine="482" w:firstLineChars="200"/>
        <w:outlineLvl w:val="0"/>
        <w:rPr>
          <w:rFonts w:asciiTheme="majorEastAsia" w:hAnsiTheme="majorEastAsia" w:eastAsiaTheme="majorEastAsia" w:cstheme="majorEastAsia"/>
          <w:bCs/>
          <w:color w:val="000000" w:themeColor="text1"/>
          <w:sz w:val="44"/>
          <w:szCs w:val="44"/>
          <w14:textFill>
            <w14:solidFill>
              <w14:schemeClr w14:val="tx1"/>
            </w14:solidFill>
          </w14:textFill>
        </w:rPr>
      </w:pPr>
      <w:bookmarkStart w:id="169" w:name="_Toc1386"/>
      <w:bookmarkStart w:id="170" w:name="_Toc21124"/>
      <w:bookmarkStart w:id="171" w:name="_Toc5635"/>
      <w:bookmarkStart w:id="172" w:name="_Toc13918"/>
      <w:bookmarkStart w:id="173" w:name="_Toc4929"/>
      <w:r>
        <w:rPr>
          <w:rFonts w:hint="eastAsia" w:asciiTheme="majorEastAsia" w:hAnsiTheme="majorEastAsia" w:eastAsiaTheme="majorEastAsia" w:cstheme="majorEastAsia"/>
          <w:b/>
          <w:sz w:val="24"/>
        </w:rPr>
        <w:t>1.3 价款</w:t>
      </w:r>
      <w:bookmarkEnd w:id="169"/>
      <w:bookmarkEnd w:id="170"/>
      <w:bookmarkEnd w:id="171"/>
      <w:bookmarkEnd w:id="172"/>
      <w:bookmarkEnd w:id="173"/>
      <w:r>
        <w:rPr>
          <w:rFonts w:hint="eastAsia" w:asciiTheme="majorEastAsia" w:hAnsiTheme="majorEastAsia" w:eastAsiaTheme="majorEastAsia" w:cstheme="majorEastAsia"/>
          <w:b/>
          <w:sz w:val="24"/>
        </w:rPr>
        <w:t>：</w:t>
      </w:r>
      <w:r>
        <w:rPr>
          <w:rFonts w:hint="eastAsia" w:asciiTheme="majorEastAsia" w:hAnsiTheme="majorEastAsia" w:eastAsiaTheme="majorEastAsia" w:cstheme="majorEastAsia"/>
          <w:sz w:val="24"/>
        </w:rPr>
        <w:t>本合同总价为：          。</w:t>
      </w:r>
      <w:r>
        <w:rPr>
          <w:rFonts w:hint="eastAsia" w:asciiTheme="minorEastAsia" w:hAnsiTheme="minorEastAsia" w:eastAsiaTheme="minorEastAsia"/>
          <w:sz w:val="24"/>
          <w:szCs w:val="24"/>
        </w:rPr>
        <w:t>2023、2024年另行签订补充协议，合同价以本年度中标单价计算。</w:t>
      </w:r>
    </w:p>
    <w:p>
      <w:pPr>
        <w:pStyle w:val="49"/>
      </w:pPr>
      <w:r>
        <w:rPr>
          <w:rFonts w:hint="eastAsia"/>
        </w:rPr>
        <w:t>通州区2022年农药零差率配供、废弃物回收处理项目</w:t>
      </w:r>
    </w:p>
    <w:tbl>
      <w:tblPr>
        <w:tblStyle w:val="53"/>
        <w:tblW w:w="9600" w:type="dxa"/>
        <w:tblInd w:w="0" w:type="dxa"/>
        <w:tblLayout w:type="autofit"/>
        <w:tblCellMar>
          <w:top w:w="0" w:type="dxa"/>
          <w:left w:w="0" w:type="dxa"/>
          <w:bottom w:w="0" w:type="dxa"/>
          <w:right w:w="0" w:type="dxa"/>
        </w:tblCellMar>
      </w:tblPr>
      <w:tblGrid>
        <w:gridCol w:w="466"/>
        <w:gridCol w:w="1107"/>
        <w:gridCol w:w="481"/>
        <w:gridCol w:w="46"/>
        <w:gridCol w:w="1328"/>
        <w:gridCol w:w="1280"/>
        <w:gridCol w:w="356"/>
        <w:gridCol w:w="594"/>
        <w:gridCol w:w="1018"/>
        <w:gridCol w:w="1275"/>
        <w:gridCol w:w="1649"/>
      </w:tblGrid>
      <w:tr>
        <w:tblPrEx>
          <w:tblCellMar>
            <w:top w:w="0" w:type="dxa"/>
            <w:left w:w="0" w:type="dxa"/>
            <w:bottom w:w="0" w:type="dxa"/>
            <w:right w:w="0" w:type="dxa"/>
          </w:tblCellMar>
        </w:tblPrEx>
        <w:trPr>
          <w:trHeight w:val="15" w:hRule="atLeast"/>
        </w:trPr>
        <w:tc>
          <w:tcPr>
            <w:tcW w:w="0" w:type="auto"/>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0" w:type="auto"/>
            <w:gridSpan w:val="2"/>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46" w:type="dxa"/>
            <w:tcBorders>
              <w:top w:val="nil"/>
              <w:left w:val="nil"/>
              <w:bottom w:val="nil"/>
              <w:right w:val="nil"/>
            </w:tcBorders>
            <w:shd w:val="clear" w:color="auto" w:fill="auto"/>
            <w:noWrap/>
            <w:tcMar>
              <w:top w:w="13" w:type="dxa"/>
              <w:left w:w="13" w:type="dxa"/>
              <w:bottom w:w="0" w:type="dxa"/>
              <w:right w:w="13" w:type="dxa"/>
            </w:tcMar>
            <w:vAlign w:val="center"/>
          </w:tcPr>
          <w:p>
            <w:pPr>
              <w:jc w:val="center"/>
              <w:rPr>
                <w:rFonts w:ascii="宋体" w:hAnsi="宋体" w:cs="宋体"/>
                <w:b/>
                <w:bCs/>
                <w:color w:val="000000"/>
                <w:sz w:val="32"/>
                <w:szCs w:val="32"/>
              </w:rPr>
            </w:pPr>
          </w:p>
        </w:tc>
        <w:tc>
          <w:tcPr>
            <w:tcW w:w="2608" w:type="dxa"/>
            <w:gridSpan w:val="2"/>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356" w:type="dxa"/>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2887" w:type="dxa"/>
            <w:gridSpan w:val="3"/>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1649" w:type="dxa"/>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0" w:type="auto"/>
            <w:vMerge w:val="restart"/>
            <w:tcBorders>
              <w:top w:val="single" w:color="auto" w:sz="4" w:space="0"/>
              <w:left w:val="single" w:color="auto" w:sz="8" w:space="0"/>
              <w:bottom w:val="single" w:color="000000"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序号</w:t>
            </w:r>
          </w:p>
        </w:tc>
        <w:tc>
          <w:tcPr>
            <w:tcW w:w="1588" w:type="dxa"/>
            <w:gridSpan w:val="2"/>
            <w:vMerge w:val="restart"/>
            <w:tcBorders>
              <w:top w:val="single" w:color="auto" w:sz="8" w:space="0"/>
              <w:left w:val="single" w:color="auto" w:sz="4" w:space="0"/>
              <w:bottom w:val="single" w:color="000000"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项目名称</w:t>
            </w:r>
          </w:p>
        </w:tc>
        <w:tc>
          <w:tcPr>
            <w:tcW w:w="2654" w:type="dxa"/>
            <w:gridSpan w:val="3"/>
            <w:tcBorders>
              <w:top w:val="single" w:color="auto" w:sz="8" w:space="0"/>
              <w:left w:val="nil"/>
              <w:bottom w:val="single" w:color="auto" w:sz="4"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配供销售额</w:t>
            </w:r>
          </w:p>
        </w:tc>
        <w:tc>
          <w:tcPr>
            <w:tcW w:w="1968" w:type="dxa"/>
            <w:gridSpan w:val="3"/>
            <w:tcBorders>
              <w:top w:val="single" w:color="auto" w:sz="8"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不可竞争费</w:t>
            </w:r>
          </w:p>
          <w:p>
            <w:pPr>
              <w:jc w:val="center"/>
              <w:rPr>
                <w:rFonts w:ascii="仿宋" w:hAnsi="仿宋" w:eastAsia="仿宋" w:cs="宋体"/>
                <w:sz w:val="15"/>
                <w:szCs w:val="15"/>
              </w:rPr>
            </w:pPr>
            <w:r>
              <w:rPr>
                <w:rFonts w:hint="eastAsia" w:ascii="仿宋" w:hAnsi="仿宋" w:eastAsia="仿宋"/>
                <w:sz w:val="15"/>
                <w:szCs w:val="15"/>
              </w:rPr>
              <w:t>（农户网点补助、其他费用）</w:t>
            </w:r>
          </w:p>
        </w:tc>
        <w:tc>
          <w:tcPr>
            <w:tcW w:w="1275"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2"/>
                <w:szCs w:val="22"/>
              </w:rPr>
            </w:pPr>
            <w:r>
              <w:rPr>
                <w:rFonts w:hint="eastAsia" w:ascii="仿宋" w:hAnsi="仿宋" w:eastAsia="仿宋"/>
                <w:sz w:val="22"/>
                <w:szCs w:val="22"/>
              </w:rPr>
              <w:t>投标报价</w:t>
            </w:r>
          </w:p>
          <w:p>
            <w:pPr>
              <w:jc w:val="center"/>
              <w:rPr>
                <w:rFonts w:ascii="仿宋" w:hAnsi="仿宋" w:eastAsia="仿宋"/>
                <w:sz w:val="15"/>
                <w:szCs w:val="15"/>
              </w:rPr>
            </w:pPr>
            <w:r>
              <w:rPr>
                <w:rFonts w:hint="eastAsia" w:ascii="仿宋" w:hAnsi="仿宋" w:eastAsia="仿宋"/>
                <w:sz w:val="15"/>
                <w:szCs w:val="15"/>
              </w:rPr>
              <w:t>（实施主体补助）</w:t>
            </w:r>
          </w:p>
        </w:tc>
        <w:tc>
          <w:tcPr>
            <w:tcW w:w="1649" w:type="dxa"/>
            <w:vMerge w:val="restart"/>
            <w:tcBorders>
              <w:top w:val="single" w:color="auto" w:sz="4" w:space="0"/>
              <w:left w:val="single" w:color="auto" w:sz="4" w:space="0"/>
              <w:bottom w:val="single" w:color="000000" w:sz="8"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trHeight w:val="402" w:hRule="atLeast"/>
        </w:trPr>
        <w:tc>
          <w:tcPr>
            <w:tcW w:w="0" w:type="auto"/>
            <w:vMerge w:val="continue"/>
            <w:tcBorders>
              <w:top w:val="single" w:color="auto" w:sz="8" w:space="0"/>
              <w:left w:val="single" w:color="auto" w:sz="8" w:space="0"/>
              <w:bottom w:val="single" w:color="auto" w:sz="4"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top w:val="single" w:color="auto" w:sz="8" w:space="0"/>
              <w:left w:val="single" w:color="auto" w:sz="4" w:space="0"/>
              <w:bottom w:val="single" w:color="000000" w:sz="8" w:space="0"/>
              <w:right w:val="single" w:color="auto" w:sz="4" w:space="0"/>
            </w:tcBorders>
            <w:vAlign w:val="center"/>
          </w:tcPr>
          <w:p>
            <w:pPr>
              <w:rPr>
                <w:rFonts w:ascii="仿宋" w:hAnsi="仿宋" w:eastAsia="仿宋" w:cs="宋体"/>
                <w:sz w:val="22"/>
                <w:szCs w:val="22"/>
              </w:rPr>
            </w:pPr>
          </w:p>
        </w:tc>
        <w:tc>
          <w:tcPr>
            <w:tcW w:w="2654" w:type="dxa"/>
            <w:gridSpan w:val="3"/>
            <w:tcBorders>
              <w:top w:val="nil"/>
              <w:left w:val="nil"/>
              <w:bottom w:val="single" w:color="auto"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15"/>
                <w:szCs w:val="15"/>
              </w:rPr>
            </w:pPr>
            <w:r>
              <w:rPr>
                <w:rFonts w:hint="eastAsia" w:ascii="仿宋" w:hAnsi="仿宋" w:eastAsia="仿宋"/>
                <w:sz w:val="15"/>
                <w:szCs w:val="15"/>
              </w:rPr>
              <w:t>（万元）</w:t>
            </w:r>
          </w:p>
        </w:tc>
        <w:tc>
          <w:tcPr>
            <w:tcW w:w="1968" w:type="dxa"/>
            <w:gridSpan w:val="3"/>
            <w:tcBorders>
              <w:top w:val="nil"/>
              <w:left w:val="nil"/>
              <w:bottom w:val="single" w:color="auto"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15"/>
                <w:szCs w:val="15"/>
              </w:rPr>
            </w:pPr>
            <w:r>
              <w:rPr>
                <w:rFonts w:hint="eastAsia" w:ascii="仿宋" w:hAnsi="仿宋" w:eastAsia="仿宋"/>
                <w:sz w:val="15"/>
                <w:szCs w:val="15"/>
              </w:rPr>
              <w:t>（万元）</w:t>
            </w:r>
          </w:p>
        </w:tc>
        <w:tc>
          <w:tcPr>
            <w:tcW w:w="1275" w:type="dxa"/>
            <w:tcBorders>
              <w:top w:val="nil"/>
              <w:left w:val="nil"/>
              <w:bottom w:val="single" w:color="auto" w:sz="8" w:space="0"/>
              <w:right w:val="single" w:color="auto" w:sz="4" w:space="0"/>
            </w:tcBorders>
            <w:shd w:val="clear" w:color="auto" w:fill="auto"/>
            <w:vAlign w:val="center"/>
          </w:tcPr>
          <w:p>
            <w:pPr>
              <w:jc w:val="center"/>
              <w:rPr>
                <w:rFonts w:ascii="仿宋" w:hAnsi="仿宋" w:eastAsia="仿宋" w:cs="宋体"/>
                <w:sz w:val="15"/>
                <w:szCs w:val="15"/>
              </w:rPr>
            </w:pPr>
            <w:r>
              <w:rPr>
                <w:rFonts w:hint="eastAsia" w:ascii="仿宋" w:hAnsi="仿宋" w:eastAsia="仿宋"/>
                <w:sz w:val="15"/>
                <w:szCs w:val="15"/>
              </w:rPr>
              <w:t>（万元）</w:t>
            </w:r>
          </w:p>
        </w:tc>
        <w:tc>
          <w:tcPr>
            <w:tcW w:w="1649" w:type="dxa"/>
            <w:vMerge w:val="continue"/>
            <w:tcBorders>
              <w:top w:val="single" w:color="auto" w:sz="8" w:space="0"/>
              <w:left w:val="single" w:color="auto" w:sz="4" w:space="0"/>
              <w:bottom w:val="single" w:color="auto" w:sz="4" w:space="0"/>
              <w:right w:val="single" w:color="auto" w:sz="8" w:space="0"/>
            </w:tcBorders>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429" w:hRule="atLeast"/>
        </w:trPr>
        <w:tc>
          <w:tcPr>
            <w:tcW w:w="0" w:type="auto"/>
            <w:vMerge w:val="restart"/>
            <w:tcBorders>
              <w:top w:val="single" w:color="auto" w:sz="4" w:space="0"/>
              <w:left w:val="single" w:color="auto" w:sz="8"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1</w:t>
            </w:r>
          </w:p>
        </w:tc>
        <w:tc>
          <w:tcPr>
            <w:tcW w:w="1588" w:type="dxa"/>
            <w:gridSpan w:val="2"/>
            <w:vMerge w:val="restart"/>
            <w:tcBorders>
              <w:top w:val="nil"/>
              <w:left w:val="single" w:color="auto" w:sz="4" w:space="0"/>
              <w:right w:val="single" w:color="auto" w:sz="4" w:space="0"/>
            </w:tcBorders>
            <w:vAlign w:val="center"/>
          </w:tcPr>
          <w:p>
            <w:pPr>
              <w:jc w:val="center"/>
              <w:rPr>
                <w:rFonts w:ascii="仿宋" w:hAnsi="仿宋" w:eastAsia="仿宋" w:cs="宋体"/>
                <w:sz w:val="22"/>
                <w:szCs w:val="22"/>
              </w:rPr>
            </w:pPr>
            <w:r>
              <w:rPr>
                <w:rFonts w:hint="eastAsia" w:ascii="仿宋" w:hAnsi="仿宋" w:eastAsia="仿宋"/>
                <w:sz w:val="22"/>
                <w:szCs w:val="22"/>
              </w:rPr>
              <w:t>农药零差率配供</w:t>
            </w:r>
          </w:p>
        </w:tc>
        <w:tc>
          <w:tcPr>
            <w:tcW w:w="2654" w:type="dxa"/>
            <w:gridSpan w:val="3"/>
            <w:vMerge w:val="restart"/>
            <w:tcBorders>
              <w:top w:val="nil"/>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1500</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180</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2"/>
                <w:szCs w:val="22"/>
              </w:rPr>
            </w:pPr>
          </w:p>
        </w:tc>
        <w:tc>
          <w:tcPr>
            <w:tcW w:w="164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15"/>
                <w:szCs w:val="15"/>
              </w:rPr>
            </w:pPr>
            <w:r>
              <w:rPr>
                <w:rFonts w:hint="eastAsia" w:ascii="仿宋" w:hAnsi="仿宋" w:eastAsia="仿宋"/>
                <w:sz w:val="15"/>
                <w:szCs w:val="15"/>
              </w:rPr>
              <w:t>网点补助12%。</w:t>
            </w:r>
          </w:p>
        </w:tc>
      </w:tr>
      <w:tr>
        <w:tblPrEx>
          <w:tblCellMar>
            <w:top w:w="0" w:type="dxa"/>
            <w:left w:w="0" w:type="dxa"/>
            <w:bottom w:w="0" w:type="dxa"/>
            <w:right w:w="0" w:type="dxa"/>
          </w:tblCellMar>
        </w:tblPrEx>
        <w:trPr>
          <w:trHeight w:val="403" w:hRule="atLeast"/>
        </w:trPr>
        <w:tc>
          <w:tcPr>
            <w:tcW w:w="0" w:type="auto"/>
            <w:vMerge w:val="continue"/>
            <w:tcBorders>
              <w:left w:val="single" w:color="auto" w:sz="8" w:space="0"/>
              <w:right w:val="single" w:color="auto" w:sz="4" w:space="0"/>
            </w:tcBorders>
            <w:vAlign w:val="center"/>
          </w:tcPr>
          <w:p>
            <w:pPr>
              <w:jc w:val="center"/>
              <w:rPr>
                <w:rFonts w:ascii="仿宋" w:hAnsi="仿宋" w:eastAsia="仿宋"/>
                <w:sz w:val="22"/>
                <w:szCs w:val="22"/>
              </w:rPr>
            </w:pPr>
          </w:p>
        </w:tc>
        <w:tc>
          <w:tcPr>
            <w:tcW w:w="1588" w:type="dxa"/>
            <w:gridSpan w:val="2"/>
            <w:vMerge w:val="continue"/>
            <w:tcBorders>
              <w:left w:val="single" w:color="auto" w:sz="4" w:space="0"/>
              <w:right w:val="single" w:color="auto" w:sz="4" w:space="0"/>
            </w:tcBorders>
            <w:vAlign w:val="center"/>
          </w:tcPr>
          <w:p>
            <w:pPr>
              <w:jc w:val="center"/>
              <w:rPr>
                <w:rFonts w:ascii="仿宋" w:hAnsi="仿宋" w:eastAsia="仿宋"/>
                <w:sz w:val="22"/>
                <w:szCs w:val="22"/>
              </w:rPr>
            </w:pPr>
          </w:p>
        </w:tc>
        <w:tc>
          <w:tcPr>
            <w:tcW w:w="2654" w:type="dxa"/>
            <w:gridSpan w:val="3"/>
            <w:vMerge w:val="continue"/>
            <w:tcBorders>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968" w:type="dxa"/>
            <w:gridSpan w:val="3"/>
            <w:tcBorders>
              <w:top w:val="single" w:color="auto"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olor w:val="FF0000"/>
                <w:sz w:val="22"/>
                <w:szCs w:val="22"/>
              </w:rPr>
            </w:pPr>
          </w:p>
        </w:tc>
        <w:tc>
          <w:tcPr>
            <w:tcW w:w="1275" w:type="dxa"/>
            <w:tcBorders>
              <w:top w:val="single" w:color="auto" w:sz="4" w:space="0"/>
              <w:left w:val="nil"/>
              <w:bottom w:val="single" w:color="000000" w:themeColor="text1" w:sz="4" w:space="0"/>
              <w:right w:val="single" w:color="auto" w:sz="4" w:space="0"/>
            </w:tcBorders>
            <w:shd w:val="clear" w:color="auto" w:fill="auto"/>
            <w:vAlign w:val="center"/>
          </w:tcPr>
          <w:p>
            <w:pPr>
              <w:adjustRightInd/>
              <w:ind w:firstLine="0"/>
              <w:jc w:val="both"/>
              <w:rPr>
                <w:rFonts w:ascii="仿宋" w:hAnsi="仿宋" w:eastAsia="仿宋"/>
                <w:color w:val="FF0000"/>
                <w:sz w:val="22"/>
                <w:szCs w:val="22"/>
                <w:u w:val="single"/>
              </w:rPr>
            </w:pPr>
            <w:r>
              <w:rPr>
                <w:rFonts w:hint="eastAsia" w:ascii="仿宋" w:hAnsi="仿宋" w:eastAsia="仿宋"/>
                <w:color w:val="FF0000"/>
                <w:sz w:val="22"/>
                <w:szCs w:val="22"/>
                <w:u w:val="single"/>
              </w:rPr>
              <w:t xml:space="preserve"> 限价120万元，报价         </w:t>
            </w:r>
          </w:p>
        </w:tc>
        <w:tc>
          <w:tcPr>
            <w:tcW w:w="1649" w:type="dxa"/>
            <w:tcBorders>
              <w:top w:val="single" w:color="auto" w:sz="4" w:space="0"/>
              <w:left w:val="single" w:color="auto" w:sz="4" w:space="0"/>
              <w:bottom w:val="single" w:color="000000" w:themeColor="text1" w:sz="4" w:space="0"/>
              <w:right w:val="single" w:color="auto" w:sz="8" w:space="0"/>
            </w:tcBorders>
            <w:vAlign w:val="center"/>
          </w:tcPr>
          <w:p>
            <w:pPr>
              <w:jc w:val="center"/>
              <w:rPr>
                <w:rFonts w:ascii="仿宋" w:hAnsi="仿宋" w:eastAsia="仿宋"/>
                <w:sz w:val="15"/>
                <w:szCs w:val="15"/>
              </w:rPr>
            </w:pPr>
            <w:r>
              <w:rPr>
                <w:rFonts w:hint="eastAsia" w:ascii="仿宋" w:hAnsi="仿宋" w:eastAsia="仿宋"/>
                <w:sz w:val="15"/>
                <w:szCs w:val="15"/>
              </w:rPr>
              <w:t>配送主体补助%。</w:t>
            </w:r>
          </w:p>
        </w:tc>
      </w:tr>
      <w:tr>
        <w:tblPrEx>
          <w:tblCellMar>
            <w:top w:w="0" w:type="dxa"/>
            <w:left w:w="0" w:type="dxa"/>
            <w:bottom w:w="0" w:type="dxa"/>
            <w:right w:w="0" w:type="dxa"/>
          </w:tblCellMar>
        </w:tblPrEx>
        <w:trPr>
          <w:trHeight w:val="645" w:hRule="atLeast"/>
        </w:trPr>
        <w:tc>
          <w:tcPr>
            <w:tcW w:w="0" w:type="auto"/>
            <w:tcBorders>
              <w:top w:val="nil"/>
              <w:left w:val="single" w:color="auto" w:sz="8" w:space="0"/>
              <w:bottom w:val="single" w:color="auto" w:sz="4"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　</w:t>
            </w:r>
          </w:p>
        </w:tc>
        <w:tc>
          <w:tcPr>
            <w:tcW w:w="1588" w:type="dxa"/>
            <w:gridSpan w:val="2"/>
            <w:tcBorders>
              <w:top w:val="single" w:color="auto" w:sz="8"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项目名称</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回收数量</w:t>
            </w:r>
          </w:p>
          <w:p>
            <w:pPr>
              <w:jc w:val="center"/>
              <w:rPr>
                <w:rFonts w:ascii="仿宋" w:hAnsi="仿宋" w:eastAsia="仿宋" w:cs="宋体"/>
                <w:sz w:val="22"/>
                <w:szCs w:val="22"/>
              </w:rPr>
            </w:pPr>
            <w:r>
              <w:rPr>
                <w:rFonts w:hint="eastAsia" w:ascii="仿宋" w:hAnsi="仿宋" w:eastAsia="仿宋"/>
                <w:sz w:val="22"/>
                <w:szCs w:val="22"/>
              </w:rPr>
              <w:t xml:space="preserve">  （万件）</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回收价格    （元/件）</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费用（万元）</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p>
        </w:tc>
        <w:tc>
          <w:tcPr>
            <w:tcW w:w="1649" w:type="dxa"/>
            <w:tcBorders>
              <w:top w:val="nil"/>
              <w:left w:val="nil"/>
              <w:bottom w:val="nil"/>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　</w:t>
            </w:r>
          </w:p>
        </w:tc>
      </w:tr>
      <w:tr>
        <w:tblPrEx>
          <w:tblCellMar>
            <w:top w:w="0" w:type="dxa"/>
            <w:left w:w="0" w:type="dxa"/>
            <w:bottom w:w="0" w:type="dxa"/>
            <w:right w:w="0" w:type="dxa"/>
          </w:tblCellMar>
        </w:tblPrEx>
        <w:trPr>
          <w:trHeight w:val="360" w:hRule="atLeast"/>
        </w:trPr>
        <w:tc>
          <w:tcPr>
            <w:tcW w:w="0" w:type="auto"/>
            <w:vMerge w:val="restart"/>
            <w:tcBorders>
              <w:top w:val="nil"/>
              <w:left w:val="single" w:color="auto" w:sz="8" w:space="0"/>
              <w:bottom w:val="single" w:color="000000"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2</w:t>
            </w:r>
          </w:p>
        </w:tc>
        <w:tc>
          <w:tcPr>
            <w:tcW w:w="1107" w:type="dxa"/>
            <w:vMerge w:val="restart"/>
            <w:tcBorders>
              <w:top w:val="nil"/>
              <w:left w:val="single" w:color="auto" w:sz="4" w:space="0"/>
              <w:bottom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农药废弃包装物回收</w:t>
            </w:r>
          </w:p>
        </w:tc>
        <w:tc>
          <w:tcPr>
            <w:tcW w:w="481"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瓶装</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650</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0.3</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195</w:t>
            </w:r>
          </w:p>
        </w:tc>
        <w:tc>
          <w:tcPr>
            <w:tcW w:w="1275" w:type="dxa"/>
            <w:tcBorders>
              <w:top w:val="nil"/>
              <w:left w:val="single" w:color="auto" w:sz="4" w:space="0"/>
              <w:bottom w:val="single" w:color="auto" w:sz="4" w:space="0"/>
              <w:right w:val="nil"/>
            </w:tcBorders>
            <w:shd w:val="clear" w:color="auto" w:fill="auto"/>
            <w:vAlign w:val="center"/>
          </w:tcPr>
          <w:p>
            <w:pPr>
              <w:jc w:val="center"/>
              <w:rPr>
                <w:rFonts w:ascii="仿宋" w:hAnsi="仿宋" w:eastAsia="仿宋" w:cs="宋体"/>
                <w:sz w:val="22"/>
                <w:szCs w:val="22"/>
              </w:rPr>
            </w:pPr>
          </w:p>
        </w:tc>
        <w:tc>
          <w:tcPr>
            <w:tcW w:w="1649" w:type="dxa"/>
            <w:vMerge w:val="restart"/>
            <w:tcBorders>
              <w:top w:val="single" w:color="auto" w:sz="4" w:space="0"/>
              <w:left w:val="single" w:color="auto" w:sz="4" w:space="0"/>
              <w:bottom w:val="nil"/>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16"/>
                <w:szCs w:val="16"/>
              </w:rPr>
            </w:pPr>
            <w:r>
              <w:rPr>
                <w:rFonts w:hint="eastAsia" w:ascii="仿宋" w:hAnsi="仿宋" w:eastAsia="仿宋"/>
                <w:sz w:val="16"/>
                <w:szCs w:val="16"/>
              </w:rPr>
              <w:t>由网点直接兑付农户，实施主体收集时即付网点费用。</w:t>
            </w:r>
          </w:p>
        </w:tc>
      </w:tr>
      <w:tr>
        <w:tblPrEx>
          <w:tblCellMar>
            <w:top w:w="0" w:type="dxa"/>
            <w:left w:w="0" w:type="dxa"/>
            <w:bottom w:w="0" w:type="dxa"/>
            <w:right w:w="0" w:type="dxa"/>
          </w:tblCellMar>
        </w:tblPrEx>
        <w:trPr>
          <w:trHeight w:val="334"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107" w:type="dxa"/>
            <w:vMerge w:val="continue"/>
            <w:tcBorders>
              <w:top w:val="nil"/>
              <w:left w:val="single" w:color="auto" w:sz="4" w:space="0"/>
              <w:bottom w:val="nil"/>
              <w:right w:val="single" w:color="auto" w:sz="4" w:space="0"/>
            </w:tcBorders>
            <w:vAlign w:val="center"/>
          </w:tcPr>
          <w:p>
            <w:pPr>
              <w:rPr>
                <w:rFonts w:ascii="仿宋" w:hAnsi="仿宋" w:eastAsia="仿宋" w:cs="宋体"/>
                <w:sz w:val="22"/>
                <w:szCs w:val="22"/>
              </w:rPr>
            </w:pPr>
          </w:p>
        </w:tc>
        <w:tc>
          <w:tcPr>
            <w:tcW w:w="481"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袋装</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450</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0.1</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45</w:t>
            </w:r>
          </w:p>
        </w:tc>
        <w:tc>
          <w:tcPr>
            <w:tcW w:w="1275" w:type="dxa"/>
            <w:tcBorders>
              <w:top w:val="nil"/>
              <w:left w:val="single" w:color="auto" w:sz="4" w:space="0"/>
              <w:bottom w:val="single" w:color="auto" w:sz="4" w:space="0"/>
              <w:right w:val="nil"/>
            </w:tcBorders>
            <w:shd w:val="clear" w:color="auto" w:fill="auto"/>
            <w:vAlign w:val="center"/>
          </w:tcPr>
          <w:p>
            <w:pPr>
              <w:jc w:val="center"/>
              <w:rPr>
                <w:rFonts w:ascii="仿宋" w:hAnsi="仿宋" w:eastAsia="仿宋" w:cs="宋体"/>
                <w:sz w:val="22"/>
                <w:szCs w:val="22"/>
              </w:rPr>
            </w:pPr>
          </w:p>
        </w:tc>
        <w:tc>
          <w:tcPr>
            <w:tcW w:w="1649" w:type="dxa"/>
            <w:vMerge w:val="continue"/>
            <w:tcBorders>
              <w:top w:val="single" w:color="auto" w:sz="4" w:space="0"/>
              <w:left w:val="single" w:color="auto" w:sz="4" w:space="0"/>
              <w:bottom w:val="nil"/>
              <w:right w:val="single" w:color="auto" w:sz="8" w:space="0"/>
            </w:tcBorders>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38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restart"/>
            <w:tcBorders>
              <w:top w:val="single" w:color="auto" w:sz="4" w:space="0"/>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回收补贴费用</w:t>
            </w:r>
          </w:p>
        </w:tc>
        <w:tc>
          <w:tcPr>
            <w:tcW w:w="1374" w:type="dxa"/>
            <w:gridSpan w:val="2"/>
            <w:vMerge w:val="restart"/>
            <w:tcBorders>
              <w:top w:val="nil"/>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1100</w:t>
            </w:r>
          </w:p>
        </w:tc>
        <w:tc>
          <w:tcPr>
            <w:tcW w:w="1280" w:type="dxa"/>
            <w:tcBorders>
              <w:top w:val="nil"/>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0.05</w:t>
            </w:r>
          </w:p>
        </w:tc>
        <w:tc>
          <w:tcPr>
            <w:tcW w:w="1968" w:type="dxa"/>
            <w:gridSpan w:val="3"/>
            <w:tcBorders>
              <w:top w:val="nil"/>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55</w:t>
            </w:r>
          </w:p>
        </w:tc>
        <w:tc>
          <w:tcPr>
            <w:tcW w:w="1275" w:type="dxa"/>
            <w:tcBorders>
              <w:top w:val="nil"/>
              <w:left w:val="single" w:color="auto" w:sz="4" w:space="0"/>
              <w:bottom w:val="single" w:color="000000" w:themeColor="text1" w:sz="4" w:space="0"/>
              <w:right w:val="nil"/>
            </w:tcBorders>
            <w:shd w:val="clear" w:color="auto" w:fill="auto"/>
            <w:vAlign w:val="center"/>
          </w:tcPr>
          <w:p>
            <w:pPr>
              <w:jc w:val="center"/>
              <w:rPr>
                <w:rFonts w:ascii="仿宋" w:hAnsi="仿宋" w:eastAsia="仿宋" w:cs="宋体"/>
                <w:sz w:val="22"/>
                <w:szCs w:val="22"/>
              </w:rPr>
            </w:pPr>
          </w:p>
        </w:tc>
        <w:tc>
          <w:tcPr>
            <w:tcW w:w="1649" w:type="dxa"/>
            <w:tcBorders>
              <w:top w:val="single" w:color="auto" w:sz="4" w:space="0"/>
              <w:left w:val="single" w:color="auto" w:sz="4" w:space="0"/>
              <w:bottom w:val="single" w:color="000000" w:themeColor="text1"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15"/>
                <w:szCs w:val="15"/>
              </w:rPr>
            </w:pPr>
            <w:r>
              <w:rPr>
                <w:rFonts w:hint="eastAsia" w:ascii="仿宋" w:hAnsi="仿宋" w:eastAsia="仿宋"/>
                <w:sz w:val="15"/>
                <w:szCs w:val="15"/>
              </w:rPr>
              <w:t>网点补贴0.05元/件</w:t>
            </w:r>
          </w:p>
        </w:tc>
      </w:tr>
      <w:tr>
        <w:tblPrEx>
          <w:tblCellMar>
            <w:top w:w="0" w:type="dxa"/>
            <w:left w:w="0" w:type="dxa"/>
            <w:bottom w:w="0" w:type="dxa"/>
            <w:right w:w="0" w:type="dxa"/>
          </w:tblCellMar>
        </w:tblPrEx>
        <w:trPr>
          <w:trHeight w:val="200"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000000" w:themeColor="text1"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0.05</w:t>
            </w:r>
          </w:p>
        </w:tc>
        <w:tc>
          <w:tcPr>
            <w:tcW w:w="1968" w:type="dxa"/>
            <w:gridSpan w:val="3"/>
            <w:tcBorders>
              <w:top w:val="single" w:color="000000" w:themeColor="text1"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75" w:type="dxa"/>
            <w:tcBorders>
              <w:top w:val="single" w:color="000000" w:themeColor="text1" w:sz="4" w:space="0"/>
              <w:left w:val="single" w:color="auto" w:sz="4" w:space="0"/>
              <w:bottom w:val="single" w:color="000000" w:themeColor="text1" w:sz="4" w:space="0"/>
              <w:right w:val="nil"/>
            </w:tcBorders>
            <w:shd w:val="clear" w:color="auto" w:fill="auto"/>
            <w:vAlign w:val="center"/>
          </w:tcPr>
          <w:p>
            <w:pPr>
              <w:jc w:val="center"/>
              <w:rPr>
                <w:rFonts w:ascii="仿宋" w:hAnsi="仿宋" w:eastAsia="仿宋"/>
                <w:color w:val="FF0000"/>
                <w:sz w:val="22"/>
                <w:szCs w:val="22"/>
              </w:rPr>
            </w:pPr>
            <w:r>
              <w:rPr>
                <w:rFonts w:hint="eastAsia" w:ascii="仿宋" w:hAnsi="仿宋" w:eastAsia="仿宋"/>
                <w:color w:val="FF0000"/>
                <w:sz w:val="22"/>
                <w:szCs w:val="22"/>
                <w:u w:val="single"/>
              </w:rPr>
              <w:t xml:space="preserve">限价55万元，报价    </w:t>
            </w:r>
          </w:p>
        </w:tc>
        <w:tc>
          <w:tcPr>
            <w:tcW w:w="1649" w:type="dxa"/>
            <w:tcBorders>
              <w:top w:val="single" w:color="000000" w:themeColor="text1" w:sz="4" w:space="0"/>
              <w:left w:val="single" w:color="auto" w:sz="4" w:space="0"/>
              <w:bottom w:val="single" w:color="000000" w:themeColor="text1"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实施主体补贴0.05元/件</w:t>
            </w:r>
          </w:p>
        </w:tc>
      </w:tr>
      <w:tr>
        <w:tblPrEx>
          <w:tblCellMar>
            <w:top w:w="0" w:type="dxa"/>
            <w:left w:w="0" w:type="dxa"/>
            <w:bottom w:w="0" w:type="dxa"/>
            <w:right w:w="0" w:type="dxa"/>
          </w:tblCellMar>
        </w:tblPrEx>
        <w:trPr>
          <w:trHeight w:val="360"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无害化处置费</w:t>
            </w:r>
          </w:p>
        </w:tc>
        <w:tc>
          <w:tcPr>
            <w:tcW w:w="1374" w:type="dxa"/>
            <w:gridSpan w:val="2"/>
            <w:tcBorders>
              <w:top w:val="single" w:color="000000" w:themeColor="text1"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220</w:t>
            </w:r>
          </w:p>
        </w:tc>
        <w:tc>
          <w:tcPr>
            <w:tcW w:w="1280" w:type="dxa"/>
            <w:tcBorders>
              <w:top w:val="single" w:color="000000" w:themeColor="text1"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4000元/吨</w:t>
            </w:r>
          </w:p>
        </w:tc>
        <w:tc>
          <w:tcPr>
            <w:tcW w:w="1968" w:type="dxa"/>
            <w:gridSpan w:val="3"/>
            <w:tcBorders>
              <w:top w:val="single" w:color="000000" w:themeColor="text1"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88</w:t>
            </w:r>
          </w:p>
        </w:tc>
        <w:tc>
          <w:tcPr>
            <w:tcW w:w="1275" w:type="dxa"/>
            <w:tcBorders>
              <w:top w:val="single" w:color="000000" w:themeColor="text1" w:sz="4" w:space="0"/>
              <w:left w:val="single" w:color="auto" w:sz="4" w:space="0"/>
              <w:bottom w:val="single" w:color="000000" w:themeColor="text1" w:sz="4" w:space="0"/>
              <w:right w:val="nil"/>
            </w:tcBorders>
            <w:shd w:val="clear" w:color="auto" w:fill="auto"/>
            <w:vAlign w:val="center"/>
          </w:tcPr>
          <w:p>
            <w:pPr>
              <w:jc w:val="center"/>
              <w:rPr>
                <w:rFonts w:ascii="仿宋" w:hAnsi="仿宋" w:eastAsia="仿宋"/>
                <w:sz w:val="15"/>
                <w:szCs w:val="15"/>
              </w:rPr>
            </w:pPr>
          </w:p>
        </w:tc>
        <w:tc>
          <w:tcPr>
            <w:tcW w:w="1649" w:type="dxa"/>
            <w:tcBorders>
              <w:top w:val="single" w:color="000000" w:themeColor="text1" w:sz="4" w:space="0"/>
              <w:left w:val="single" w:color="auto" w:sz="4" w:space="0"/>
              <w:bottom w:val="single" w:color="000000" w:themeColor="text1"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区财政按实支付</w:t>
            </w:r>
          </w:p>
        </w:tc>
      </w:tr>
      <w:tr>
        <w:tblPrEx>
          <w:tblCellMar>
            <w:top w:w="0" w:type="dxa"/>
            <w:left w:w="0" w:type="dxa"/>
            <w:bottom w:w="0" w:type="dxa"/>
            <w:right w:w="0" w:type="dxa"/>
          </w:tblCellMar>
        </w:tblPrEx>
        <w:trPr>
          <w:trHeight w:val="570" w:hRule="atLeast"/>
        </w:trPr>
        <w:tc>
          <w:tcPr>
            <w:tcW w:w="0" w:type="auto"/>
            <w:vMerge w:val="restart"/>
            <w:tcBorders>
              <w:top w:val="nil"/>
              <w:left w:val="single" w:color="auto" w:sz="8" w:space="0"/>
              <w:bottom w:val="single" w:color="000000"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3</w:t>
            </w:r>
          </w:p>
        </w:tc>
        <w:tc>
          <w:tcPr>
            <w:tcW w:w="1588"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项目名称</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回收数量</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回收价格</w:t>
            </w:r>
          </w:p>
        </w:tc>
        <w:tc>
          <w:tcPr>
            <w:tcW w:w="950"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补助标准</w:t>
            </w:r>
          </w:p>
        </w:tc>
        <w:tc>
          <w:tcPr>
            <w:tcW w:w="1018"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left"/>
              <w:rPr>
                <w:rFonts w:ascii="仿宋" w:hAnsi="仿宋" w:eastAsia="仿宋"/>
                <w:sz w:val="22"/>
                <w:szCs w:val="22"/>
              </w:rPr>
            </w:pPr>
            <w:r>
              <w:rPr>
                <w:rFonts w:hint="eastAsia" w:ascii="仿宋" w:hAnsi="仿宋" w:eastAsia="仿宋"/>
                <w:sz w:val="22"/>
                <w:szCs w:val="22"/>
              </w:rPr>
              <w:t>补助经费</w:t>
            </w:r>
          </w:p>
          <w:p>
            <w:pPr>
              <w:jc w:val="left"/>
              <w:rPr>
                <w:rFonts w:ascii="仿宋" w:hAnsi="仿宋" w:eastAsia="仿宋"/>
                <w:sz w:val="22"/>
                <w:szCs w:val="22"/>
              </w:rPr>
            </w:pPr>
            <w:r>
              <w:rPr>
                <w:rFonts w:hint="eastAsia" w:ascii="仿宋" w:hAnsi="仿宋" w:eastAsia="仿宋"/>
                <w:sz w:val="22"/>
                <w:szCs w:val="22"/>
              </w:rPr>
              <w:t>（万元）</w:t>
            </w:r>
          </w:p>
        </w:tc>
        <w:tc>
          <w:tcPr>
            <w:tcW w:w="1275"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仿宋" w:hAnsi="仿宋" w:eastAsia="仿宋"/>
                <w:sz w:val="15"/>
                <w:szCs w:val="15"/>
              </w:rPr>
            </w:pPr>
          </w:p>
          <w:p>
            <w:pPr>
              <w:jc w:val="left"/>
              <w:rPr>
                <w:rFonts w:ascii="仿宋" w:hAnsi="仿宋" w:eastAsia="仿宋"/>
                <w:sz w:val="15"/>
                <w:szCs w:val="15"/>
              </w:rPr>
            </w:pPr>
          </w:p>
        </w:tc>
        <w:tc>
          <w:tcPr>
            <w:tcW w:w="1649" w:type="dxa"/>
            <w:tcBorders>
              <w:top w:val="nil"/>
              <w:left w:val="nil"/>
              <w:bottom w:val="single" w:color="auto"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　</w:t>
            </w:r>
          </w:p>
        </w:tc>
      </w:tr>
      <w:tr>
        <w:tblPrEx>
          <w:tblCellMar>
            <w:top w:w="0" w:type="dxa"/>
            <w:left w:w="0" w:type="dxa"/>
            <w:bottom w:w="0" w:type="dxa"/>
            <w:right w:w="0" w:type="dxa"/>
          </w:tblCellMar>
        </w:tblPrEx>
        <w:trPr>
          <w:trHeight w:val="52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废弃大棚膜回收</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600吨</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市场价</w:t>
            </w:r>
          </w:p>
        </w:tc>
        <w:tc>
          <w:tcPr>
            <w:tcW w:w="950"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0.4元/公斤</w:t>
            </w:r>
          </w:p>
        </w:tc>
        <w:tc>
          <w:tcPr>
            <w:tcW w:w="1018"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24</w:t>
            </w:r>
          </w:p>
        </w:tc>
        <w:tc>
          <w:tcPr>
            <w:tcW w:w="1275" w:type="dxa"/>
            <w:tcBorders>
              <w:top w:val="nil"/>
              <w:left w:val="single" w:color="auto" w:sz="4" w:space="0"/>
              <w:bottom w:val="single" w:color="auto" w:sz="4" w:space="0"/>
              <w:right w:val="single" w:color="auto" w:sz="8" w:space="0"/>
            </w:tcBorders>
            <w:shd w:val="clear" w:color="auto" w:fill="auto"/>
            <w:vAlign w:val="center"/>
          </w:tcPr>
          <w:p>
            <w:pPr>
              <w:rPr>
                <w:rFonts w:ascii="仿宋" w:hAnsi="仿宋" w:eastAsia="仿宋"/>
                <w:sz w:val="15"/>
                <w:szCs w:val="15"/>
              </w:rPr>
            </w:pPr>
          </w:p>
        </w:tc>
        <w:tc>
          <w:tcPr>
            <w:tcW w:w="1649" w:type="dxa"/>
            <w:tcBorders>
              <w:top w:val="single" w:color="auto" w:sz="4" w:space="0"/>
              <w:left w:val="single" w:color="auto" w:sz="8" w:space="0"/>
              <w:bottom w:val="single" w:color="auto"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市场回收</w:t>
            </w:r>
          </w:p>
        </w:tc>
      </w:tr>
      <w:tr>
        <w:tblPrEx>
          <w:tblCellMar>
            <w:top w:w="0" w:type="dxa"/>
            <w:left w:w="0" w:type="dxa"/>
            <w:bottom w:w="0" w:type="dxa"/>
            <w:right w:w="0" w:type="dxa"/>
          </w:tblCellMar>
        </w:tblPrEx>
        <w:trPr>
          <w:trHeight w:val="27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restart"/>
            <w:tcBorders>
              <w:top w:val="nil"/>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废弃地膜回收</w:t>
            </w:r>
          </w:p>
        </w:tc>
        <w:tc>
          <w:tcPr>
            <w:tcW w:w="1374" w:type="dxa"/>
            <w:gridSpan w:val="2"/>
            <w:vMerge w:val="restart"/>
            <w:tcBorders>
              <w:top w:val="nil"/>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80吨</w:t>
            </w: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0.6元/公斤</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4.8</w:t>
            </w:r>
          </w:p>
        </w:tc>
        <w:tc>
          <w:tcPr>
            <w:tcW w:w="1275" w:type="dxa"/>
            <w:tcBorders>
              <w:top w:val="nil"/>
              <w:left w:val="single" w:color="auto" w:sz="4" w:space="0"/>
              <w:bottom w:val="single" w:color="auto" w:sz="4" w:space="0"/>
              <w:right w:val="single" w:color="auto" w:sz="8" w:space="0"/>
            </w:tcBorders>
            <w:shd w:val="clear" w:color="auto" w:fill="auto"/>
            <w:vAlign w:val="center"/>
          </w:tcPr>
          <w:p>
            <w:pPr>
              <w:jc w:val="center"/>
              <w:rPr>
                <w:rFonts w:ascii="仿宋" w:hAnsi="仿宋" w:eastAsia="仿宋"/>
                <w:sz w:val="15"/>
                <w:szCs w:val="15"/>
              </w:rPr>
            </w:pP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农户</w:t>
            </w:r>
          </w:p>
        </w:tc>
      </w:tr>
      <w:tr>
        <w:tblPrEx>
          <w:tblCellMar>
            <w:top w:w="0" w:type="dxa"/>
            <w:left w:w="0" w:type="dxa"/>
            <w:bottom w:w="0" w:type="dxa"/>
            <w:right w:w="0" w:type="dxa"/>
          </w:tblCellMar>
        </w:tblPrEx>
        <w:trPr>
          <w:trHeight w:val="22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0.2元/公斤</w:t>
            </w:r>
          </w:p>
        </w:tc>
        <w:tc>
          <w:tcPr>
            <w:tcW w:w="1968" w:type="dxa"/>
            <w:gridSpan w:val="3"/>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1.6</w:t>
            </w:r>
          </w:p>
        </w:tc>
        <w:tc>
          <w:tcPr>
            <w:tcW w:w="127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color w:val="FF0000"/>
                <w:sz w:val="22"/>
                <w:szCs w:val="22"/>
              </w:rPr>
            </w:pP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回收点</w:t>
            </w:r>
          </w:p>
        </w:tc>
      </w:tr>
      <w:tr>
        <w:tblPrEx>
          <w:tblCellMar>
            <w:top w:w="0" w:type="dxa"/>
            <w:left w:w="0" w:type="dxa"/>
            <w:bottom w:w="0" w:type="dxa"/>
            <w:right w:w="0" w:type="dxa"/>
          </w:tblCellMar>
        </w:tblPrEx>
        <w:trPr>
          <w:trHeight w:val="42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0.2元/公斤</w:t>
            </w:r>
          </w:p>
        </w:tc>
        <w:tc>
          <w:tcPr>
            <w:tcW w:w="1968" w:type="dxa"/>
            <w:gridSpan w:val="3"/>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7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color w:val="FF0000"/>
                <w:sz w:val="22"/>
                <w:szCs w:val="22"/>
              </w:rPr>
            </w:pPr>
            <w:r>
              <w:rPr>
                <w:rFonts w:hint="eastAsia" w:ascii="仿宋" w:hAnsi="仿宋" w:eastAsia="仿宋"/>
                <w:color w:val="FF0000"/>
                <w:sz w:val="22"/>
                <w:szCs w:val="22"/>
                <w:u w:val="single"/>
              </w:rPr>
              <w:t xml:space="preserve">限价1.6万元，报价    </w:t>
            </w: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实施主体</w:t>
            </w:r>
          </w:p>
        </w:tc>
      </w:tr>
      <w:tr>
        <w:tblPrEx>
          <w:tblCellMar>
            <w:top w:w="0" w:type="dxa"/>
            <w:left w:w="0" w:type="dxa"/>
            <w:bottom w:w="0" w:type="dxa"/>
            <w:right w:w="0" w:type="dxa"/>
          </w:tblCellMar>
        </w:tblPrEx>
        <w:trPr>
          <w:trHeight w:val="459"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1元/公斤</w:t>
            </w:r>
          </w:p>
        </w:tc>
        <w:tc>
          <w:tcPr>
            <w:tcW w:w="1968" w:type="dxa"/>
            <w:gridSpan w:val="3"/>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8</w:t>
            </w:r>
          </w:p>
        </w:tc>
        <w:tc>
          <w:tcPr>
            <w:tcW w:w="127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color w:val="FF0000"/>
                <w:sz w:val="22"/>
                <w:szCs w:val="22"/>
              </w:rPr>
            </w:pP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处置费用，按实结报</w:t>
            </w:r>
          </w:p>
        </w:tc>
      </w:tr>
      <w:tr>
        <w:tblPrEx>
          <w:tblCellMar>
            <w:top w:w="0" w:type="dxa"/>
            <w:left w:w="0" w:type="dxa"/>
            <w:bottom w:w="0" w:type="dxa"/>
            <w:right w:w="0" w:type="dxa"/>
          </w:tblCellMar>
        </w:tblPrEx>
        <w:trPr>
          <w:trHeight w:val="360"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2962" w:type="dxa"/>
            <w:gridSpan w:val="4"/>
            <w:tcBorders>
              <w:top w:val="single" w:color="auto" w:sz="4" w:space="0"/>
              <w:left w:val="nil"/>
              <w:bottom w:val="single" w:color="auto"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小计</w:t>
            </w:r>
          </w:p>
        </w:tc>
        <w:tc>
          <w:tcPr>
            <w:tcW w:w="1280" w:type="dxa"/>
            <w:tcBorders>
              <w:top w:val="single" w:color="auto" w:sz="4" w:space="0"/>
              <w:left w:val="nil"/>
              <w:bottom w:val="single" w:color="auto" w:sz="8"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2元/公斤</w:t>
            </w:r>
          </w:p>
        </w:tc>
        <w:tc>
          <w:tcPr>
            <w:tcW w:w="1968" w:type="dxa"/>
            <w:gridSpan w:val="3"/>
            <w:tcBorders>
              <w:top w:val="nil"/>
              <w:left w:val="nil"/>
              <w:bottom w:val="single" w:color="auto"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b/>
                <w:sz w:val="22"/>
                <w:szCs w:val="22"/>
              </w:rPr>
            </w:pPr>
          </w:p>
        </w:tc>
        <w:tc>
          <w:tcPr>
            <w:tcW w:w="1275" w:type="dxa"/>
            <w:tcBorders>
              <w:top w:val="nil"/>
              <w:left w:val="single" w:color="auto" w:sz="4" w:space="0"/>
              <w:bottom w:val="single" w:color="auto" w:sz="8" w:space="0"/>
              <w:right w:val="single" w:color="auto" w:sz="8" w:space="0"/>
            </w:tcBorders>
            <w:shd w:val="clear" w:color="auto" w:fill="auto"/>
            <w:vAlign w:val="center"/>
          </w:tcPr>
          <w:p>
            <w:pPr>
              <w:jc w:val="center"/>
              <w:rPr>
                <w:rFonts w:ascii="仿宋" w:hAnsi="仿宋" w:eastAsia="仿宋"/>
                <w:sz w:val="15"/>
                <w:szCs w:val="15"/>
              </w:rPr>
            </w:pPr>
          </w:p>
        </w:tc>
        <w:tc>
          <w:tcPr>
            <w:tcW w:w="1649" w:type="dxa"/>
            <w:tcBorders>
              <w:top w:val="single" w:color="auto" w:sz="4" w:space="0"/>
              <w:left w:val="single" w:color="auto" w:sz="8" w:space="0"/>
              <w:bottom w:val="single" w:color="000000" w:sz="8" w:space="0"/>
              <w:right w:val="single" w:color="auto" w:sz="8" w:space="0"/>
            </w:tcBorders>
            <w:vAlign w:val="center"/>
          </w:tcPr>
          <w:p>
            <w:pPr>
              <w:rPr>
                <w:rFonts w:ascii="仿宋" w:hAnsi="仿宋" w:eastAsia="仿宋"/>
                <w:sz w:val="15"/>
                <w:szCs w:val="15"/>
              </w:rPr>
            </w:pPr>
          </w:p>
        </w:tc>
      </w:tr>
      <w:tr>
        <w:tblPrEx>
          <w:tblCellMar>
            <w:top w:w="0" w:type="dxa"/>
            <w:left w:w="0" w:type="dxa"/>
            <w:bottom w:w="0" w:type="dxa"/>
            <w:right w:w="0" w:type="dxa"/>
          </w:tblCellMar>
        </w:tblPrEx>
        <w:trPr>
          <w:trHeight w:val="360" w:hRule="atLeast"/>
        </w:trPr>
        <w:tc>
          <w:tcPr>
            <w:tcW w:w="0" w:type="auto"/>
            <w:tcBorders>
              <w:top w:val="nil"/>
              <w:left w:val="single" w:color="auto" w:sz="8" w:space="0"/>
              <w:bottom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4</w:t>
            </w:r>
          </w:p>
        </w:tc>
        <w:tc>
          <w:tcPr>
            <w:tcW w:w="4242" w:type="dxa"/>
            <w:gridSpan w:val="5"/>
            <w:tcBorders>
              <w:top w:val="single" w:color="auto" w:sz="4" w:space="0"/>
              <w:left w:val="single" w:color="auto" w:sz="4" w:space="0"/>
              <w:bottom w:val="single" w:color="auto" w:sz="8"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第三方审计费用</w:t>
            </w:r>
          </w:p>
        </w:tc>
        <w:tc>
          <w:tcPr>
            <w:tcW w:w="1968" w:type="dxa"/>
            <w:gridSpan w:val="3"/>
            <w:vMerge w:val="restart"/>
            <w:tcBorders>
              <w:top w:val="nil"/>
              <w:left w:val="nil"/>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b/>
                <w:sz w:val="22"/>
                <w:szCs w:val="22"/>
              </w:rPr>
              <w:t>33</w:t>
            </w:r>
            <w:r>
              <w:rPr>
                <w:rFonts w:hint="eastAsia" w:ascii="仿宋" w:hAnsi="仿宋" w:eastAsia="仿宋"/>
                <w:sz w:val="22"/>
                <w:szCs w:val="22"/>
              </w:rPr>
              <w:t>万元</w:t>
            </w:r>
          </w:p>
        </w:tc>
        <w:tc>
          <w:tcPr>
            <w:tcW w:w="1275" w:type="dxa"/>
            <w:vMerge w:val="restart"/>
            <w:tcBorders>
              <w:top w:val="nil"/>
              <w:left w:val="single" w:color="auto" w:sz="4" w:space="0"/>
              <w:right w:val="nil"/>
            </w:tcBorders>
            <w:shd w:val="clear" w:color="auto" w:fill="auto"/>
            <w:vAlign w:val="center"/>
          </w:tcPr>
          <w:p>
            <w:pPr>
              <w:jc w:val="center"/>
              <w:rPr>
                <w:rFonts w:ascii="仿宋" w:hAnsi="仿宋" w:eastAsia="仿宋"/>
                <w:sz w:val="15"/>
                <w:szCs w:val="15"/>
              </w:rPr>
            </w:pPr>
          </w:p>
        </w:tc>
        <w:tc>
          <w:tcPr>
            <w:tcW w:w="1649" w:type="dxa"/>
            <w:vMerge w:val="restart"/>
            <w:tcBorders>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15"/>
                <w:szCs w:val="15"/>
              </w:rPr>
            </w:pPr>
            <w:r>
              <w:rPr>
                <w:rFonts w:hint="eastAsia" w:ascii="仿宋" w:hAnsi="仿宋" w:eastAsia="仿宋"/>
                <w:sz w:val="15"/>
                <w:szCs w:val="15"/>
              </w:rPr>
              <w:t>由区供销总社招标</w:t>
            </w:r>
          </w:p>
          <w:p>
            <w:pPr>
              <w:rPr>
                <w:rFonts w:ascii="仿宋" w:hAnsi="仿宋" w:eastAsia="仿宋"/>
                <w:sz w:val="15"/>
                <w:szCs w:val="15"/>
              </w:rPr>
            </w:pPr>
            <w:r>
              <w:rPr>
                <w:rFonts w:hint="eastAsia" w:ascii="仿宋" w:hAnsi="仿宋" w:eastAsia="仿宋"/>
                <w:sz w:val="15"/>
                <w:szCs w:val="15"/>
              </w:rPr>
              <w:t>确定实施单位，</w:t>
            </w:r>
          </w:p>
          <w:p>
            <w:pPr>
              <w:rPr>
                <w:rFonts w:ascii="仿宋" w:hAnsi="仿宋" w:eastAsia="仿宋"/>
                <w:sz w:val="15"/>
                <w:szCs w:val="15"/>
              </w:rPr>
            </w:pPr>
            <w:r>
              <w:rPr>
                <w:rFonts w:hint="eastAsia" w:ascii="仿宋" w:hAnsi="仿宋" w:eastAsia="仿宋"/>
                <w:sz w:val="15"/>
                <w:szCs w:val="15"/>
              </w:rPr>
              <w:t>经审计后按实结报</w:t>
            </w:r>
          </w:p>
          <w:p>
            <w:pPr>
              <w:rPr>
                <w:rFonts w:ascii="仿宋" w:hAnsi="仿宋" w:eastAsia="仿宋"/>
                <w:sz w:val="15"/>
                <w:szCs w:val="15"/>
              </w:rPr>
            </w:pPr>
          </w:p>
        </w:tc>
      </w:tr>
      <w:tr>
        <w:tblPrEx>
          <w:tblCellMar>
            <w:top w:w="0" w:type="dxa"/>
            <w:left w:w="0" w:type="dxa"/>
            <w:bottom w:w="0" w:type="dxa"/>
            <w:right w:w="0" w:type="dxa"/>
          </w:tblCellMar>
        </w:tblPrEx>
        <w:trPr>
          <w:trHeight w:val="360" w:hRule="atLeast"/>
        </w:trPr>
        <w:tc>
          <w:tcPr>
            <w:tcW w:w="0" w:type="auto"/>
            <w:tcBorders>
              <w:top w:val="nil"/>
              <w:left w:val="single" w:color="auto" w:sz="8" w:space="0"/>
              <w:bottom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5</w:t>
            </w:r>
          </w:p>
        </w:tc>
        <w:tc>
          <w:tcPr>
            <w:tcW w:w="4242" w:type="dxa"/>
            <w:gridSpan w:val="5"/>
            <w:tcBorders>
              <w:top w:val="single" w:color="auto" w:sz="4" w:space="0"/>
              <w:left w:val="single" w:color="auto" w:sz="4" w:space="0"/>
              <w:bottom w:val="single" w:color="auto" w:sz="8"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信息平台维护费</w:t>
            </w:r>
          </w:p>
        </w:tc>
        <w:tc>
          <w:tcPr>
            <w:tcW w:w="1968" w:type="dxa"/>
            <w:gridSpan w:val="3"/>
            <w:vMerge w:val="continue"/>
            <w:tcBorders>
              <w:left w:val="nil"/>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sz w:val="22"/>
                <w:szCs w:val="22"/>
              </w:rPr>
            </w:pPr>
          </w:p>
        </w:tc>
        <w:tc>
          <w:tcPr>
            <w:tcW w:w="1275" w:type="dxa"/>
            <w:vMerge w:val="continue"/>
            <w:tcBorders>
              <w:left w:val="single" w:color="auto" w:sz="4" w:space="0"/>
              <w:right w:val="nil"/>
            </w:tcBorders>
            <w:shd w:val="clear" w:color="auto" w:fill="auto"/>
            <w:vAlign w:val="center"/>
          </w:tcPr>
          <w:p>
            <w:pPr>
              <w:jc w:val="center"/>
              <w:rPr>
                <w:rFonts w:ascii="仿宋" w:hAnsi="仿宋" w:eastAsia="仿宋"/>
                <w:sz w:val="22"/>
                <w:szCs w:val="22"/>
              </w:rPr>
            </w:pPr>
          </w:p>
        </w:tc>
        <w:tc>
          <w:tcPr>
            <w:tcW w:w="1649" w:type="dxa"/>
            <w:vMerge w:val="continue"/>
            <w:tcBorders>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1068" w:hRule="atLeast"/>
        </w:trPr>
        <w:tc>
          <w:tcPr>
            <w:tcW w:w="0" w:type="auto"/>
            <w:tcBorders>
              <w:top w:val="nil"/>
              <w:left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6</w:t>
            </w:r>
          </w:p>
        </w:tc>
        <w:tc>
          <w:tcPr>
            <w:tcW w:w="4242" w:type="dxa"/>
            <w:gridSpan w:val="5"/>
            <w:tcBorders>
              <w:top w:val="single" w:color="auto" w:sz="4" w:space="0"/>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网点建设、回收袋、考核奖励</w:t>
            </w:r>
          </w:p>
        </w:tc>
        <w:tc>
          <w:tcPr>
            <w:tcW w:w="1968" w:type="dxa"/>
            <w:gridSpan w:val="3"/>
            <w:vMerge w:val="continue"/>
            <w:tcBorders>
              <w:left w:val="nil"/>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sz w:val="22"/>
                <w:szCs w:val="22"/>
              </w:rPr>
            </w:pPr>
          </w:p>
        </w:tc>
        <w:tc>
          <w:tcPr>
            <w:tcW w:w="1275" w:type="dxa"/>
            <w:vMerge w:val="continue"/>
            <w:tcBorders>
              <w:left w:val="single" w:color="auto" w:sz="4" w:space="0"/>
              <w:right w:val="nil"/>
            </w:tcBorders>
            <w:shd w:val="clear" w:color="auto" w:fill="auto"/>
            <w:vAlign w:val="center"/>
          </w:tcPr>
          <w:p>
            <w:pPr>
              <w:jc w:val="center"/>
              <w:rPr>
                <w:rFonts w:ascii="仿宋" w:hAnsi="仿宋" w:eastAsia="仿宋"/>
                <w:sz w:val="22"/>
                <w:szCs w:val="22"/>
              </w:rPr>
            </w:pPr>
          </w:p>
        </w:tc>
        <w:tc>
          <w:tcPr>
            <w:tcW w:w="1649" w:type="dxa"/>
            <w:vMerge w:val="continue"/>
            <w:tcBorders>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611" w:hRule="atLeast"/>
        </w:trPr>
        <w:tc>
          <w:tcPr>
            <w:tcW w:w="0" w:type="auto"/>
            <w:tcBorders>
              <w:top w:val="single" w:color="auto" w:sz="4" w:space="0"/>
              <w:left w:val="single" w:color="auto" w:sz="8" w:space="0"/>
              <w:bottom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p>
        </w:tc>
        <w:tc>
          <w:tcPr>
            <w:tcW w:w="4242" w:type="dxa"/>
            <w:gridSpan w:val="5"/>
            <w:tcBorders>
              <w:top w:val="single" w:color="auto" w:sz="4" w:space="0"/>
              <w:left w:val="single" w:color="auto" w:sz="4" w:space="0"/>
              <w:bottom w:val="single" w:color="auto" w:sz="8"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p>
        </w:tc>
        <w:tc>
          <w:tcPr>
            <w:tcW w:w="1968" w:type="dxa"/>
            <w:gridSpan w:val="3"/>
            <w:tcBorders>
              <w:top w:val="single" w:color="auto" w:sz="4" w:space="0"/>
              <w:left w:val="nil"/>
              <w:bottom w:val="single" w:color="auto"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b/>
                <w:sz w:val="15"/>
                <w:szCs w:val="15"/>
              </w:rPr>
            </w:pPr>
            <w:r>
              <w:rPr>
                <w:rFonts w:hint="eastAsia" w:ascii="仿宋" w:hAnsi="仿宋" w:eastAsia="仿宋"/>
                <w:b/>
                <w:sz w:val="15"/>
                <w:szCs w:val="15"/>
              </w:rPr>
              <w:t>不可竞争费634.4万元</w:t>
            </w:r>
          </w:p>
        </w:tc>
        <w:tc>
          <w:tcPr>
            <w:tcW w:w="292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b/>
                <w:sz w:val="24"/>
              </w:rPr>
              <w:t>投标报价</w:t>
            </w:r>
            <w:r>
              <w:rPr>
                <w:rFonts w:hint="eastAsia" w:ascii="仿宋" w:hAnsi="仿宋" w:eastAsia="仿宋"/>
                <w:b/>
                <w:sz w:val="24"/>
                <w:u w:val="single"/>
              </w:rPr>
              <w:t xml:space="preserve">          万元</w:t>
            </w:r>
          </w:p>
        </w:tc>
      </w:tr>
    </w:tbl>
    <w:p>
      <w:pPr>
        <w:widowControl/>
        <w:rPr>
          <w:rFonts w:asciiTheme="majorEastAsia" w:hAnsiTheme="majorEastAsia" w:eastAsiaTheme="majorEastAsia" w:cstheme="majorEastAsia"/>
          <w:bCs/>
          <w:color w:val="000000" w:themeColor="text1"/>
          <w:sz w:val="44"/>
          <w:szCs w:val="44"/>
          <w14:textFill>
            <w14:solidFill>
              <w14:schemeClr w14:val="tx1"/>
            </w14:solidFill>
          </w14:textFill>
        </w:rPr>
      </w:pPr>
    </w:p>
    <w:p>
      <w:pPr>
        <w:spacing w:line="560" w:lineRule="exact"/>
        <w:ind w:firstLine="482" w:firstLineChars="200"/>
        <w:outlineLvl w:val="0"/>
        <w:rPr>
          <w:rFonts w:asciiTheme="majorEastAsia" w:hAnsiTheme="majorEastAsia" w:eastAsiaTheme="majorEastAsia" w:cstheme="majorEastAsia"/>
          <w:b/>
          <w:sz w:val="24"/>
        </w:rPr>
      </w:pPr>
      <w:bookmarkStart w:id="174" w:name="_Toc30506"/>
      <w:bookmarkStart w:id="175" w:name="_Toc30158"/>
      <w:bookmarkStart w:id="176" w:name="_Toc26916"/>
      <w:bookmarkStart w:id="177" w:name="_Toc3654"/>
      <w:bookmarkStart w:id="178" w:name="_Toc14993"/>
      <w:r>
        <w:rPr>
          <w:rFonts w:hint="eastAsia" w:asciiTheme="majorEastAsia" w:hAnsiTheme="majorEastAsia" w:eastAsiaTheme="majorEastAsia" w:cstheme="majorEastAsia"/>
          <w:b/>
          <w:sz w:val="24"/>
        </w:rPr>
        <w:t>1.4 付款方式和发票开具方式</w:t>
      </w:r>
      <w:bookmarkEnd w:id="174"/>
      <w:bookmarkEnd w:id="175"/>
      <w:bookmarkEnd w:id="176"/>
      <w:bookmarkEnd w:id="177"/>
      <w:bookmarkEnd w:id="178"/>
    </w:p>
    <w:p>
      <w:pPr>
        <w:spacing w:line="560" w:lineRule="exact"/>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1.4.1付款方式：</w:t>
      </w:r>
      <w:r>
        <w:rPr>
          <w:rFonts w:hint="eastAsia" w:asciiTheme="majorEastAsia" w:hAnsiTheme="majorEastAsia" w:eastAsiaTheme="majorEastAsia" w:cstheme="majorEastAsia"/>
          <w:sz w:val="24"/>
          <w:u w:val="single"/>
        </w:rPr>
        <w:t>经第三方审计结束后。</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1.4.2 发票开具方式：。</w:t>
      </w:r>
    </w:p>
    <w:p>
      <w:pPr>
        <w:spacing w:line="560" w:lineRule="exact"/>
        <w:ind w:firstLine="482" w:firstLineChars="200"/>
        <w:outlineLvl w:val="0"/>
        <w:rPr>
          <w:rFonts w:asciiTheme="majorEastAsia" w:hAnsiTheme="majorEastAsia" w:eastAsiaTheme="majorEastAsia" w:cstheme="majorEastAsia"/>
          <w:b/>
          <w:sz w:val="24"/>
        </w:rPr>
      </w:pPr>
      <w:bookmarkStart w:id="179" w:name="_Toc31421"/>
      <w:bookmarkStart w:id="180" w:name="_Toc11108"/>
      <w:bookmarkStart w:id="181" w:name="_Toc4760"/>
      <w:bookmarkStart w:id="182" w:name="_Toc8772"/>
      <w:bookmarkStart w:id="183" w:name="_Toc3625"/>
      <w:r>
        <w:rPr>
          <w:rFonts w:hint="eastAsia" w:asciiTheme="majorEastAsia" w:hAnsiTheme="majorEastAsia" w:eastAsiaTheme="majorEastAsia" w:cstheme="majorEastAsia"/>
          <w:b/>
          <w:sz w:val="24"/>
        </w:rPr>
        <w:t>1.5 履行期限、地点和方式</w:t>
      </w:r>
      <w:bookmarkEnd w:id="179"/>
      <w:bookmarkEnd w:id="180"/>
      <w:bookmarkEnd w:id="181"/>
      <w:bookmarkEnd w:id="182"/>
      <w:bookmarkEnd w:id="183"/>
      <w:r>
        <w:rPr>
          <w:rFonts w:hint="eastAsia" w:asciiTheme="majorEastAsia" w:hAnsiTheme="majorEastAsia" w:eastAsiaTheme="majorEastAsia" w:cstheme="majorEastAsia"/>
          <w:b/>
          <w:sz w:val="24"/>
        </w:rPr>
        <w:t>及义务</w:t>
      </w:r>
    </w:p>
    <w:p>
      <w:pPr>
        <w:spacing w:line="560" w:lineRule="exact"/>
        <w:ind w:firstLine="480" w:firstLineChars="200"/>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1.5.1 履行期限：</w:t>
      </w:r>
      <w:r>
        <w:rPr>
          <w:rFonts w:hint="eastAsia" w:asciiTheme="minorEastAsia" w:hAnsiTheme="minorEastAsia" w:eastAsiaTheme="minorEastAsia"/>
          <w:color w:val="000000" w:themeColor="text1"/>
          <w:sz w:val="24"/>
          <w:szCs w:val="24"/>
          <w:u w:val="single"/>
          <w14:textFill>
            <w14:solidFill>
              <w14:schemeClr w14:val="tx1"/>
            </w14:solidFill>
          </w14:textFill>
        </w:rPr>
        <w:t>三年，2022年5月1日—2024年12月31日</w:t>
      </w:r>
      <w:r>
        <w:rPr>
          <w:rFonts w:hint="eastAsia" w:asciiTheme="majorEastAsia" w:hAnsiTheme="majorEastAsia" w:eastAsiaTheme="majorEastAsia" w:cstheme="majorEastAsia"/>
          <w:sz w:val="24"/>
        </w:rPr>
        <w:t>；</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1.5.2 履行地点：；通州区</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1.5.3 履行方式：</w:t>
      </w:r>
      <w:r>
        <w:rPr>
          <w:rFonts w:hint="eastAsia" w:asciiTheme="majorEastAsia" w:hAnsiTheme="majorEastAsia" w:eastAsiaTheme="majorEastAsia" w:cstheme="majorEastAsia"/>
          <w:sz w:val="24"/>
          <w:u w:val="single"/>
        </w:rPr>
        <w:t>可</w:t>
      </w:r>
      <w:r>
        <w:rPr>
          <w:rFonts w:hint="eastAsia" w:asciiTheme="majorEastAsia" w:hAnsiTheme="majorEastAsia" w:eastAsiaTheme="majorEastAsia" w:cstheme="majorEastAsia"/>
          <w:u w:val="single"/>
        </w:rPr>
        <w:t>以通过合同，落实网点配供</w:t>
      </w:r>
      <w:r>
        <w:rPr>
          <w:rFonts w:hint="eastAsia" w:asciiTheme="majorEastAsia" w:hAnsiTheme="majorEastAsia" w:eastAsiaTheme="majorEastAsia" w:cstheme="majorEastAsia"/>
          <w:sz w:val="24"/>
          <w:u w:val="single"/>
        </w:rPr>
        <w:t>回收职责，并进行考核奖惩</w:t>
      </w:r>
      <w:r>
        <w:rPr>
          <w:rFonts w:hint="eastAsia" w:asciiTheme="majorEastAsia" w:hAnsiTheme="majorEastAsia" w:eastAsiaTheme="majorEastAsia" w:cstheme="majorEastAsia"/>
          <w:sz w:val="24"/>
        </w:rPr>
        <w:t>。</w:t>
      </w:r>
    </w:p>
    <w:p>
      <w:pPr>
        <w:spacing w:line="560" w:lineRule="exact"/>
        <w:ind w:firstLine="482" w:firstLineChars="200"/>
        <w:rPr>
          <w:sz w:val="28"/>
          <w:szCs w:val="28"/>
        </w:rPr>
      </w:pPr>
      <w:r>
        <w:rPr>
          <w:rFonts w:hint="eastAsia" w:asciiTheme="majorEastAsia" w:hAnsiTheme="majorEastAsia" w:eastAsiaTheme="majorEastAsia" w:cstheme="majorEastAsia"/>
          <w:b/>
          <w:bCs/>
          <w:sz w:val="24"/>
        </w:rPr>
        <w:t xml:space="preserve">1.6 </w:t>
      </w:r>
      <w:r>
        <w:rPr>
          <w:rFonts w:hint="eastAsia" w:asciiTheme="majorEastAsia" w:hAnsiTheme="majorEastAsia" w:eastAsiaTheme="majorEastAsia" w:cstheme="majorEastAsia"/>
          <w:b/>
          <w:sz w:val="24"/>
        </w:rPr>
        <w:t>双方的权利、义务与责任：</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1.6.1甲方的权利、义务：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1、甲方有权要求乙方保守商业秘密的义务和及时反馈配送信息、客户意见等信息的权力。</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2、甲方有权加强销售和回收各个环节的日常监管，对存在提供虚假台帐，报表等违规行为的，立即追缴相关补贴资金，扣减押金，取消乙方的实施主体资格，情节严重构成犯罪的，移交司法机关处理。</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1.6.2 乙方的权利义务：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1、在乙方为甲方进行农药配送过程中发生下列情况乙方有拒收、拒配，并保留向市有关监管部门反馈的权利：</w:t>
      </w:r>
    </w:p>
    <w:p>
      <w:pPr>
        <w:spacing w:line="360" w:lineRule="auto"/>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A</w:t>
      </w:r>
      <w:r>
        <w:rPr>
          <w:rFonts w:hint="eastAsia" w:asciiTheme="majorEastAsia" w:hAnsiTheme="majorEastAsia" w:eastAsiaTheme="majorEastAsia" w:cstheme="majorEastAsia"/>
          <w:sz w:val="24"/>
        </w:rPr>
        <w:t>、属于《农药管理条例》第四十四条、四十五条假农药和劣质农药的有权拒收。</w:t>
      </w:r>
    </w:p>
    <w:p>
      <w:pPr>
        <w:spacing w:line="360" w:lineRule="auto"/>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B</w:t>
      </w:r>
      <w:r>
        <w:rPr>
          <w:rFonts w:hint="eastAsia" w:asciiTheme="majorEastAsia" w:hAnsiTheme="majorEastAsia" w:eastAsiaTheme="majorEastAsia" w:cstheme="majorEastAsia"/>
          <w:sz w:val="24"/>
        </w:rPr>
        <w:t>、超过产品质量保证期限的农药产品有权拒收。</w:t>
      </w:r>
    </w:p>
    <w:p>
      <w:pPr>
        <w:spacing w:line="360" w:lineRule="auto"/>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C</w:t>
      </w:r>
      <w:r>
        <w:rPr>
          <w:rFonts w:hint="eastAsia" w:asciiTheme="majorEastAsia" w:hAnsiTheme="majorEastAsia" w:eastAsiaTheme="majorEastAsia" w:cstheme="majorEastAsia"/>
          <w:sz w:val="24"/>
        </w:rPr>
        <w:t>、农药产品与产品标签或者说明书、产品质量合格证不一致的有权拒收。</w:t>
      </w:r>
    </w:p>
    <w:p>
      <w:pPr>
        <w:spacing w:line="360" w:lineRule="auto"/>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D</w:t>
      </w:r>
      <w:r>
        <w:rPr>
          <w:rFonts w:hint="eastAsia" w:asciiTheme="majorEastAsia" w:hAnsiTheme="majorEastAsia" w:eastAsiaTheme="majorEastAsia" w:cstheme="majorEastAsia"/>
          <w:sz w:val="24"/>
        </w:rPr>
        <w:t>、在配送过程中，对在库农药遇有客户投诉农药质量问题或各种媒体信息披露为不能出售的品种，乙方有停止配送的权利。</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2、有按合同规定收取财政补贴的权利。</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3、有主动配合甲方解决在农药配送各环节中的问题的义务。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4、有及时向甲方反馈其配送信息、农药信息、客户信息的义务。</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w:t>
      </w:r>
      <w:r>
        <w:rPr>
          <w:rFonts w:asciiTheme="majorEastAsia" w:hAnsiTheme="majorEastAsia" w:eastAsiaTheme="majorEastAsia" w:cstheme="majorEastAsia"/>
          <w:sz w:val="24"/>
        </w:rPr>
        <w:t>.3</w:t>
      </w:r>
      <w:r>
        <w:rPr>
          <w:rFonts w:hint="eastAsia" w:asciiTheme="majorEastAsia" w:hAnsiTheme="majorEastAsia" w:eastAsiaTheme="majorEastAsia" w:cstheme="majorEastAsia"/>
          <w:sz w:val="24"/>
        </w:rPr>
        <w:t xml:space="preserve"> 乙方的责任</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出现下列情形之一，由乙方承担相应的责任及损失：</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1、乙方经营劣质农药或假农药的按照《农药管理条例》第五十五、五十六条规定承担所有责任和经济损失，情节严重的甲方有权解除合同并承担给甲方造成的所有损失。</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2、乙方未能提供或不能完全提供配送农药产品合格证和进货发票造成验收入库延误或退厂的责任，由乙方负责。</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3、由于农药滞销造成积压致使农药过期失效造成的经济损失由乙方承担。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4、在库农药出现原箱农药短少，残损、批号混装而未标识等问题，由乙方承担。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5、由于各销售网点进货、退货而引发农药损失由乙方负责。</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6、由于乙方因配送农药的质量、品种、价格等原因造成客户投诉及农药损失的由乙方负责。</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7、正常情况下乙方延误配送农药送达需求客户，由此造成的责任损失由乙方负责解决。</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8、经乙方验收合格入库农药，因乙方储存、养护、保管不当等原因造成农药受潮、霉变、包装损坏等损失，由乙方承担。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9、在农药配送、理货上架、分拣包装、运输装卸过程中发生因乙方人为因素的农药残损、丢失及差错等责任事故造成的经济损失，由乙方承担。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10、由于乙方责任造成客户因送货超出时效、发错农药、送错地点、服务纠纷等服务态度及质量方面投诉造成责任损失，由乙方负责解决。</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11、乙方在储存、运输、使用农药过程中发生重大事故的由乙方负责。</w:t>
      </w:r>
    </w:p>
    <w:p>
      <w:pPr>
        <w:spacing w:line="560" w:lineRule="exact"/>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u w:val="single"/>
        </w:rPr>
        <w:t>1.6.4 对乙方时间进度要求：</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1、1个月内完成全年配供农药品种招标。</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2、15日内完成全区配供中心网点的合同签订。</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3、30日内完成中心网点的标识、标牌及制度建设。</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4、45日内完成中心网点配供农药上柜销售。</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5、2个月内完成回收网点正常开展回收处理工作。</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6、1个月内完成3个回收暂存点选址和设施改造。</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7、3个月内完成3个回收暂存点的环评，确保正常开展回收处理工作。</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8、1个月内与相关企业达成全年80吨废弃农膜的回收利用协议。</w:t>
      </w:r>
    </w:p>
    <w:p>
      <w:pPr>
        <w:spacing w:line="560" w:lineRule="exact"/>
        <w:ind w:firstLine="1200" w:firstLineChars="5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9、第3个月开始，将全年目标任务分解到月，并按月进度接受考核。</w:t>
      </w:r>
    </w:p>
    <w:p>
      <w:pPr>
        <w:spacing w:line="560" w:lineRule="exact"/>
        <w:ind w:firstLine="482" w:firstLineChars="200"/>
        <w:outlineLvl w:val="0"/>
        <w:rPr>
          <w:rFonts w:asciiTheme="majorEastAsia" w:hAnsiTheme="majorEastAsia" w:eastAsiaTheme="majorEastAsia" w:cstheme="majorEastAsia"/>
          <w:sz w:val="24"/>
          <w:u w:val="single"/>
        </w:rPr>
      </w:pPr>
      <w:bookmarkStart w:id="184" w:name="_Toc5698"/>
      <w:bookmarkStart w:id="185" w:name="_Toc3079"/>
      <w:bookmarkStart w:id="186" w:name="_Toc24662"/>
      <w:bookmarkStart w:id="187" w:name="_Toc2375"/>
      <w:bookmarkStart w:id="188" w:name="_Toc8586"/>
      <w:r>
        <w:rPr>
          <w:rFonts w:hint="eastAsia" w:asciiTheme="majorEastAsia" w:hAnsiTheme="majorEastAsia" w:eastAsiaTheme="majorEastAsia" w:cstheme="majorEastAsia"/>
          <w:b/>
          <w:sz w:val="24"/>
        </w:rPr>
        <w:t>1.7违约责任</w:t>
      </w:r>
      <w:bookmarkEnd w:id="184"/>
      <w:bookmarkEnd w:id="185"/>
      <w:bookmarkEnd w:id="186"/>
      <w:bookmarkEnd w:id="187"/>
      <w:bookmarkEnd w:id="188"/>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1.7.1 除不可抗力外，如果乙方没有按照本合同约定的期限、地点和方式履行，那么甲方可要求乙方支付违约金，违约金按每迟延履行一日的应提供而未提供服务价格的</w:t>
      </w:r>
      <w:r>
        <w:rPr>
          <w:rFonts w:hint="eastAsia" w:asciiTheme="majorEastAsia" w:hAnsiTheme="majorEastAsia" w:eastAsiaTheme="majorEastAsia" w:cstheme="majorEastAsia"/>
          <w:sz w:val="24"/>
          <w:u w:val="single"/>
        </w:rPr>
        <w:t>5</w:t>
      </w:r>
      <w:r>
        <w:rPr>
          <w:rFonts w:hint="eastAsia" w:asciiTheme="majorEastAsia" w:hAnsiTheme="majorEastAsia" w:eastAsiaTheme="majorEastAsia" w:cstheme="majorEastAsia"/>
          <w:sz w:val="24"/>
        </w:rPr>
        <w:t>%计算，最高限额为本合同总价的</w:t>
      </w:r>
      <w:r>
        <w:rPr>
          <w:rFonts w:hint="eastAsia" w:asciiTheme="majorEastAsia" w:hAnsiTheme="majorEastAsia" w:eastAsiaTheme="majorEastAsia" w:cstheme="majorEastAsia"/>
          <w:sz w:val="24"/>
          <w:u w:val="single"/>
        </w:rPr>
        <w:t>30</w:t>
      </w:r>
      <w:r>
        <w:rPr>
          <w:rFonts w:hint="eastAsia" w:asciiTheme="majorEastAsia" w:hAnsiTheme="majorEastAsia" w:eastAsiaTheme="majorEastAsia" w:cstheme="majorEastAsia"/>
          <w:sz w:val="24"/>
        </w:rPr>
        <w:t>%；迟延履行的违约金计算数额达到前述最高限额之日起，甲方有权在要求乙方支付违约金的同时，书面通知乙方解除本合同；</w:t>
      </w:r>
    </w:p>
    <w:p>
      <w:pPr>
        <w:spacing w:line="560" w:lineRule="exact"/>
        <w:ind w:firstLine="482" w:firstLineChars="200"/>
        <w:rPr>
          <w:rFonts w:asciiTheme="majorEastAsia" w:hAnsiTheme="majorEastAsia" w:eastAsiaTheme="majorEastAsia" w:cstheme="majorEastAsia"/>
          <w:b/>
          <w:sz w:val="24"/>
        </w:rPr>
      </w:pPr>
      <w:r>
        <w:rPr>
          <w:rFonts w:asciiTheme="majorEastAsia" w:hAnsiTheme="majorEastAsia" w:eastAsiaTheme="majorEastAsia" w:cstheme="majorEastAsia"/>
          <w:b/>
          <w:sz w:val="24"/>
        </w:rPr>
        <w:t>配供品种每少1个扣减实施主体1000元补助，配供农药量每降低1%扣减实施主体1000元补助。</w:t>
      </w:r>
    </w:p>
    <w:p>
      <w:pPr>
        <w:spacing w:line="560" w:lineRule="exact"/>
        <w:ind w:firstLine="482" w:firstLineChars="200"/>
        <w:rPr>
          <w:rFonts w:asciiTheme="majorEastAsia" w:hAnsiTheme="majorEastAsia" w:eastAsiaTheme="majorEastAsia" w:cstheme="majorEastAsia"/>
          <w:b/>
          <w:sz w:val="24"/>
        </w:rPr>
      </w:pPr>
      <w:r>
        <w:rPr>
          <w:rFonts w:asciiTheme="majorEastAsia" w:hAnsiTheme="majorEastAsia" w:eastAsiaTheme="majorEastAsia" w:cstheme="majorEastAsia"/>
          <w:b/>
          <w:sz w:val="24"/>
        </w:rPr>
        <w:t>各网点登记有交售人身份信息、交售日期、数量及交售人签名的收购台账；实施主体与回收企业签订的合同；每次解缴的废弃农膜数量清单及结算单等。对各网点回收数量首次抽查出现数量不足在3%以内的，该批按实际比例结算；抽查出现数量不足在3%－6%之间的，该批数量按90%计算；抽查出现数量不足在6%－10%之间的，该批数量按80%计算；超过10%的，该批数量按实际比例的80%计算，并直接取消回收资格；第二次出现抽查数量不足的，按上述比例的下一档结算，</w:t>
      </w:r>
      <w:r>
        <w:rPr>
          <w:rFonts w:hint="eastAsia" w:asciiTheme="majorEastAsia" w:hAnsiTheme="majorEastAsia" w:eastAsiaTheme="majorEastAsia" w:cstheme="majorEastAsia"/>
          <w:b/>
          <w:sz w:val="24"/>
        </w:rPr>
        <w:t>实施主体与其解除合同</w:t>
      </w:r>
      <w:r>
        <w:rPr>
          <w:rFonts w:asciiTheme="majorEastAsia" w:hAnsiTheme="majorEastAsia" w:eastAsiaTheme="majorEastAsia" w:cstheme="majorEastAsia"/>
          <w:b/>
          <w:sz w:val="24"/>
        </w:rPr>
        <w:t>。</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1.7.2 除不可抗力外，如果甲方没有按照本合同约定的付款方式付款，那么乙方可要求甲方支付违约金，违约金按每迟延付款一日的应付而未付款的</w:t>
      </w:r>
      <w:r>
        <w:rPr>
          <w:rFonts w:hint="eastAsia" w:asciiTheme="majorEastAsia" w:hAnsiTheme="majorEastAsia" w:eastAsiaTheme="majorEastAsia" w:cstheme="majorEastAsia"/>
          <w:sz w:val="24"/>
          <w:u w:val="single"/>
        </w:rPr>
        <w:t xml:space="preserve">0 </w:t>
      </w:r>
      <w:r>
        <w:rPr>
          <w:rFonts w:hint="eastAsia" w:asciiTheme="majorEastAsia" w:hAnsiTheme="majorEastAsia" w:eastAsiaTheme="majorEastAsia" w:cstheme="majorEastAsia"/>
          <w:sz w:val="24"/>
        </w:rPr>
        <w:t>%计算，最高限额为本合同总价的</w:t>
      </w:r>
      <w:r>
        <w:rPr>
          <w:rFonts w:hint="eastAsia" w:asciiTheme="majorEastAsia" w:hAnsiTheme="majorEastAsia" w:eastAsiaTheme="majorEastAsia" w:cstheme="majorEastAsia"/>
          <w:sz w:val="24"/>
          <w:u w:val="single"/>
        </w:rPr>
        <w:t xml:space="preserve">0 </w:t>
      </w:r>
      <w:r>
        <w:rPr>
          <w:rFonts w:hint="eastAsia" w:asciiTheme="majorEastAsia" w:hAnsiTheme="majorEastAsia" w:eastAsiaTheme="majorEastAsia" w:cstheme="majorEastAsia"/>
          <w:sz w:val="24"/>
        </w:rPr>
        <w:t>%；迟延付款的违约金计算数额达到前述最高限额之日起，乙方有权在要求甲方支付违约金的同时，书面通知甲方解除本合同；</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Theme="majorEastAsia" w:hAnsiTheme="majorEastAsia" w:eastAsiaTheme="majorEastAsia" w:cstheme="majorEastAsia"/>
          <w:b/>
          <w:sz w:val="24"/>
        </w:rPr>
      </w:pPr>
      <w:bookmarkStart w:id="189" w:name="_Toc26807"/>
      <w:bookmarkStart w:id="190" w:name="_Toc9497"/>
      <w:bookmarkStart w:id="191" w:name="_Toc18683"/>
      <w:bookmarkStart w:id="192" w:name="_Toc30329"/>
      <w:bookmarkStart w:id="193" w:name="_Toc32454"/>
      <w:r>
        <w:rPr>
          <w:rFonts w:hint="eastAsia" w:asciiTheme="majorEastAsia" w:hAnsiTheme="majorEastAsia" w:eastAsiaTheme="majorEastAsia" w:cstheme="majorEastAsia"/>
          <w:b/>
          <w:sz w:val="24"/>
        </w:rPr>
        <w:t>1.8 合同争议的解决</w:t>
      </w:r>
      <w:bookmarkEnd w:id="189"/>
      <w:bookmarkEnd w:id="190"/>
      <w:bookmarkEnd w:id="191"/>
      <w:bookmarkEnd w:id="192"/>
      <w:bookmarkEnd w:id="193"/>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本合同履行过程中发生的任何争议，双方当事人均可通过和解或者调解解决；不愿和解、调解或者和解、调解不成的，可以选择下列第种方式解决：</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1.8.1 将争议提交仲裁委员会依申请仲裁时其现行有效的仲裁规则裁决；</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1.8.2 向</w:t>
      </w:r>
      <w:r>
        <w:rPr>
          <w:rFonts w:hint="eastAsia" w:asciiTheme="majorEastAsia" w:hAnsiTheme="majorEastAsia" w:eastAsiaTheme="majorEastAsia" w:cstheme="majorEastAsia"/>
          <w:sz w:val="24"/>
          <w:u w:val="single"/>
        </w:rPr>
        <w:t xml:space="preserve">   合同履行地的人民法院名称）    </w:t>
      </w:r>
      <w:r>
        <w:rPr>
          <w:rFonts w:hint="eastAsia" w:asciiTheme="majorEastAsia" w:hAnsiTheme="majorEastAsia" w:eastAsiaTheme="majorEastAsia" w:cstheme="majorEastAsia"/>
          <w:sz w:val="24"/>
        </w:rPr>
        <w:t>人民法院起诉。</w:t>
      </w:r>
    </w:p>
    <w:p>
      <w:pPr>
        <w:spacing w:line="560" w:lineRule="exact"/>
        <w:ind w:firstLine="482" w:firstLineChars="200"/>
        <w:outlineLvl w:val="0"/>
        <w:rPr>
          <w:rFonts w:asciiTheme="majorEastAsia" w:hAnsiTheme="majorEastAsia" w:eastAsiaTheme="majorEastAsia" w:cstheme="majorEastAsia"/>
          <w:b/>
          <w:sz w:val="24"/>
        </w:rPr>
      </w:pPr>
      <w:bookmarkStart w:id="194" w:name="_Toc26227"/>
      <w:bookmarkStart w:id="195" w:name="_Toc12273"/>
      <w:bookmarkStart w:id="196" w:name="_Toc16417"/>
      <w:bookmarkStart w:id="197" w:name="_Toc23784"/>
      <w:bookmarkStart w:id="198" w:name="_Toc15827"/>
      <w:r>
        <w:rPr>
          <w:rFonts w:hint="eastAsia" w:asciiTheme="majorEastAsia" w:hAnsiTheme="majorEastAsia" w:eastAsiaTheme="majorEastAsia" w:cstheme="majorEastAsia"/>
          <w:b/>
          <w:sz w:val="24"/>
        </w:rPr>
        <w:t>1.9 合同生效</w:t>
      </w:r>
      <w:bookmarkEnd w:id="194"/>
      <w:bookmarkEnd w:id="195"/>
      <w:bookmarkEnd w:id="196"/>
      <w:bookmarkEnd w:id="197"/>
      <w:bookmarkEnd w:id="198"/>
    </w:p>
    <w:p>
      <w:pPr>
        <w:spacing w:line="560" w:lineRule="exact"/>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sz w:val="24"/>
        </w:rPr>
        <w:t>本合同自双方当事人盖章或者签字时生效。</w:t>
      </w:r>
    </w:p>
    <w:p>
      <w:pPr>
        <w:adjustRightInd w:val="0"/>
        <w:spacing w:line="560" w:lineRule="exact"/>
        <w:rPr>
          <w:rFonts w:asciiTheme="majorEastAsia" w:hAnsiTheme="majorEastAsia" w:eastAsiaTheme="majorEastAsia" w:cstheme="majorEastAsia"/>
          <w:sz w:val="24"/>
        </w:rPr>
      </w:pP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rPr>
        <w:t>甲方</w:t>
      </w: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sz w:val="24"/>
        </w:rPr>
        <w:t xml:space="preserve">      乙方</w:t>
      </w:r>
      <w:r>
        <w:rPr>
          <w:rFonts w:hint="eastAsia" w:asciiTheme="majorEastAsia" w:hAnsiTheme="majorEastAsia" w:eastAsiaTheme="majorEastAsia" w:cstheme="majorEastAsia"/>
          <w:sz w:val="24"/>
        </w:rPr>
        <w:t>：</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统一社会信用代码：                        统一社会信用代码或身份证号码：</w:t>
      </w:r>
    </w:p>
    <w:p>
      <w:pPr>
        <w:adjustRightInd w:val="0"/>
        <w:spacing w:line="560" w:lineRule="exact"/>
        <w:rPr>
          <w:rFonts w:asciiTheme="majorEastAsia" w:hAnsiTheme="majorEastAsia" w:eastAsiaTheme="majorEastAsia" w:cstheme="majorEastAsia"/>
          <w:sz w:val="24"/>
        </w:rPr>
      </w:pP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住所：                                   住所：</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法定代表人或                             法定代表人</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授权代表（签字）：                        或授权代表（签字）: </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联系人：                                 联系人：</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约定送达地址：                           约定送达地址：</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邮政编码：                               邮政编码：</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电话:                                    电话: </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传真:                                    传真:</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电子邮箱：                               电子邮箱：</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开户银行：                               开户银行： </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开户名称：                               开户名称： </w:t>
      </w:r>
    </w:p>
    <w:p>
      <w:pPr>
        <w:adjustRightInd w:val="0"/>
        <w:spacing w:line="5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开户账号：开户账号：</w:t>
      </w:r>
    </w:p>
    <w:p>
      <w:pPr>
        <w:adjustRightInd w:val="0"/>
        <w:spacing w:line="560" w:lineRule="exact"/>
        <w:ind w:firstLine="200"/>
        <w:jc w:val="cente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第二部分 合同一般条款</w:t>
      </w:r>
    </w:p>
    <w:p>
      <w:pPr>
        <w:spacing w:line="560" w:lineRule="exact"/>
        <w:ind w:firstLine="482" w:firstLineChars="200"/>
        <w:outlineLvl w:val="0"/>
        <w:rPr>
          <w:rFonts w:asciiTheme="majorEastAsia" w:hAnsiTheme="majorEastAsia" w:eastAsiaTheme="majorEastAsia" w:cstheme="majorEastAsia"/>
          <w:b/>
          <w:sz w:val="24"/>
        </w:rPr>
      </w:pPr>
      <w:bookmarkStart w:id="199" w:name="_Toc14021"/>
      <w:bookmarkStart w:id="200" w:name="_Toc5228"/>
      <w:bookmarkStart w:id="201" w:name="_Ref467379225"/>
      <w:bookmarkStart w:id="202" w:name="_Toc25079"/>
      <w:bookmarkStart w:id="203" w:name="_Ref467379101"/>
      <w:bookmarkStart w:id="204" w:name="_Toc279701240"/>
      <w:bookmarkStart w:id="205" w:name="_Ref467378404"/>
      <w:bookmarkStart w:id="206" w:name="_Ref467379195"/>
      <w:bookmarkStart w:id="207" w:name="_Ref467378499"/>
      <w:bookmarkStart w:id="208" w:name="_Ref467378463"/>
      <w:bookmarkStart w:id="209" w:name="_Ref467379214"/>
      <w:bookmarkStart w:id="210" w:name="_Ref467379205"/>
      <w:bookmarkStart w:id="211" w:name="_Toc31297"/>
      <w:bookmarkStart w:id="212" w:name="_Ref467379109"/>
      <w:bookmarkStart w:id="213" w:name="_Toc259093669"/>
      <w:bookmarkStart w:id="214" w:name="_Toc19680"/>
      <w:bookmarkStart w:id="215" w:name="_Ref467379094"/>
      <w:bookmarkStart w:id="216" w:name="_Toc487900349"/>
      <w:r>
        <w:rPr>
          <w:rFonts w:hint="eastAsia" w:asciiTheme="majorEastAsia" w:hAnsiTheme="majorEastAsia" w:eastAsiaTheme="majorEastAsia" w:cstheme="majorEastAsia"/>
          <w:b/>
          <w:sz w:val="24"/>
        </w:rPr>
        <w:t>2.1 定义</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本合同中的下列词语应按以下内容进行解释：</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2.1.2 “合同价”系指根据合同约定，中标供应商在完全履行合同义务后，采购人应支付给中标供应商的价格。</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Theme="majorEastAsia" w:hAnsiTheme="majorEastAsia" w:eastAsiaTheme="majorEastAsia" w:cstheme="majorEastAsia"/>
          <w:sz w:val="24"/>
        </w:rPr>
      </w:pPr>
      <w:bookmarkStart w:id="217" w:name="_Ref467378840"/>
      <w:r>
        <w:rPr>
          <w:rFonts w:hint="eastAsia" w:asciiTheme="majorEastAsia" w:hAnsiTheme="majorEastAsia" w:eastAsiaTheme="majorEastAsia" w:cstheme="majorEastAsia"/>
          <w:sz w:val="24"/>
        </w:rPr>
        <w:t>2.1.4 “甲方”系指与中标供应商签署合同的采购人</w:t>
      </w:r>
      <w:bookmarkEnd w:id="217"/>
      <w:r>
        <w:rPr>
          <w:rFonts w:hint="eastAsia" w:asciiTheme="majorEastAsia" w:hAnsiTheme="majorEastAsia" w:eastAsiaTheme="majorEastAsia" w:cstheme="majorEastAsia"/>
          <w:sz w:val="24"/>
        </w:rPr>
        <w:t>；采购人委托采购代理机构代表其与乙方签订合同的，采购人的授权委托书作为合同附件。</w:t>
      </w:r>
    </w:p>
    <w:p>
      <w:pPr>
        <w:spacing w:line="560" w:lineRule="exact"/>
        <w:ind w:firstLine="480" w:firstLineChars="200"/>
        <w:rPr>
          <w:rFonts w:asciiTheme="majorEastAsia" w:hAnsiTheme="majorEastAsia" w:eastAsiaTheme="majorEastAsia" w:cstheme="majorEastAsia"/>
          <w:sz w:val="24"/>
        </w:rPr>
      </w:pPr>
      <w:bookmarkStart w:id="218" w:name="_Ref467379400"/>
      <w:r>
        <w:rPr>
          <w:rFonts w:hint="eastAsia" w:asciiTheme="majorEastAsia" w:hAnsiTheme="majorEastAsia" w:eastAsiaTheme="majorEastAsia" w:cstheme="majorEastAsia"/>
          <w:sz w:val="24"/>
        </w:rPr>
        <w:t>2.1.5 “乙方”系指根据合同约定提供服务的中标供应商</w:t>
      </w:r>
      <w:bookmarkEnd w:id="218"/>
      <w:r>
        <w:rPr>
          <w:rFonts w:hint="eastAsia" w:asciiTheme="majorEastAsia" w:hAnsiTheme="majorEastAsia" w:eastAsiaTheme="majorEastAsia" w:cstheme="maj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ajorEastAsia" w:hAnsiTheme="majorEastAsia" w:eastAsiaTheme="majorEastAsia" w:cstheme="majorEastAsia"/>
          <w:sz w:val="24"/>
        </w:rPr>
      </w:pPr>
      <w:bookmarkStart w:id="219" w:name="_Ref467379436"/>
      <w:r>
        <w:rPr>
          <w:rFonts w:hint="eastAsia" w:asciiTheme="majorEastAsia" w:hAnsiTheme="majorEastAsia" w:eastAsiaTheme="majorEastAsia" w:cstheme="majorEastAsia"/>
          <w:sz w:val="24"/>
        </w:rPr>
        <w:t>2.1.6 “现场”系指合同约定提供服务的地点。</w:t>
      </w:r>
      <w:bookmarkEnd w:id="219"/>
    </w:p>
    <w:p>
      <w:pPr>
        <w:spacing w:line="560" w:lineRule="exact"/>
        <w:ind w:firstLine="482" w:firstLineChars="200"/>
        <w:outlineLvl w:val="0"/>
        <w:rPr>
          <w:rFonts w:asciiTheme="majorEastAsia" w:hAnsiTheme="majorEastAsia" w:eastAsiaTheme="majorEastAsia" w:cstheme="majorEastAsia"/>
          <w:b/>
          <w:sz w:val="24"/>
        </w:rPr>
      </w:pPr>
      <w:bookmarkStart w:id="220" w:name="_Toc31402"/>
      <w:bookmarkStart w:id="221" w:name="_Toc279701241"/>
      <w:bookmarkStart w:id="222" w:name="_Toc487900350"/>
      <w:bookmarkStart w:id="223" w:name="_Toc19539"/>
      <w:bookmarkStart w:id="224" w:name="_Toc16752"/>
      <w:bookmarkStart w:id="225" w:name="_Toc23289"/>
      <w:bookmarkStart w:id="226" w:name="_Toc3769"/>
      <w:bookmarkStart w:id="227" w:name="_Toc259093670"/>
      <w:r>
        <w:rPr>
          <w:rFonts w:hint="eastAsia" w:asciiTheme="majorEastAsia" w:hAnsiTheme="majorEastAsia" w:eastAsiaTheme="majorEastAsia" w:cstheme="majorEastAsia"/>
          <w:b/>
          <w:sz w:val="24"/>
        </w:rPr>
        <w:t>2.2 技术规范</w:t>
      </w:r>
      <w:bookmarkEnd w:id="220"/>
      <w:bookmarkEnd w:id="221"/>
      <w:bookmarkEnd w:id="222"/>
      <w:bookmarkEnd w:id="223"/>
      <w:bookmarkEnd w:id="224"/>
      <w:bookmarkEnd w:id="225"/>
      <w:bookmarkEnd w:id="226"/>
      <w:bookmarkEnd w:id="227"/>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Theme="majorEastAsia" w:hAnsiTheme="majorEastAsia" w:eastAsiaTheme="majorEastAsia" w:cstheme="majorEastAsia"/>
          <w:b/>
          <w:sz w:val="24"/>
        </w:rPr>
      </w:pPr>
      <w:bookmarkStart w:id="228" w:name="_Toc279701242"/>
      <w:bookmarkStart w:id="229" w:name="_Toc27945"/>
      <w:bookmarkStart w:id="230" w:name="_Toc4133"/>
      <w:bookmarkStart w:id="231" w:name="_Toc259093671"/>
      <w:bookmarkStart w:id="232" w:name="_Toc9161"/>
      <w:bookmarkStart w:id="233" w:name="_Toc13673"/>
      <w:bookmarkStart w:id="234" w:name="_Toc12412"/>
      <w:bookmarkStart w:id="235" w:name="_Toc487900351"/>
      <w:r>
        <w:rPr>
          <w:rFonts w:hint="eastAsia" w:asciiTheme="majorEastAsia" w:hAnsiTheme="majorEastAsia" w:eastAsiaTheme="majorEastAsia" w:cstheme="majorEastAsia"/>
          <w:b/>
          <w:sz w:val="24"/>
        </w:rPr>
        <w:t>2.3 知识产权</w:t>
      </w:r>
      <w:bookmarkEnd w:id="228"/>
      <w:bookmarkEnd w:id="229"/>
      <w:bookmarkEnd w:id="230"/>
      <w:bookmarkEnd w:id="231"/>
      <w:bookmarkEnd w:id="232"/>
      <w:bookmarkEnd w:id="233"/>
      <w:bookmarkEnd w:id="234"/>
      <w:bookmarkEnd w:id="235"/>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2.4 履约检查和问题反馈</w:t>
      </w:r>
    </w:p>
    <w:p>
      <w:pPr>
        <w:spacing w:line="560" w:lineRule="exact"/>
        <w:ind w:firstLine="480" w:firstLineChars="200"/>
        <w:rPr>
          <w:rFonts w:asciiTheme="majorEastAsia" w:hAnsiTheme="majorEastAsia" w:eastAsiaTheme="majorEastAsia" w:cstheme="majorEastAsia"/>
          <w:sz w:val="24"/>
        </w:rPr>
      </w:pPr>
      <w:bookmarkStart w:id="236" w:name="_Ref467379657"/>
      <w:r>
        <w:rPr>
          <w:rFonts w:hint="eastAsia" w:asciiTheme="majorEastAsia" w:hAnsiTheme="majorEastAsia" w:eastAsiaTheme="majorEastAsia" w:cstheme="majorEastAsia"/>
          <w:sz w:val="24"/>
        </w:rPr>
        <w:t>2.4.1</w:t>
      </w:r>
      <w:bookmarkEnd w:id="236"/>
      <w:bookmarkStart w:id="237" w:name="_Toc186431854"/>
      <w:bookmarkStart w:id="238" w:name="_Toc259093676"/>
      <w:bookmarkStart w:id="239" w:name="_Ref467379807"/>
      <w:bookmarkStart w:id="240" w:name="_Toc487900357"/>
      <w:bookmarkStart w:id="241" w:name="_Ref467379793"/>
      <w:bookmarkStart w:id="242" w:name="_Toc279701247"/>
      <w:r>
        <w:rPr>
          <w:rFonts w:hint="eastAsia" w:asciiTheme="majorEastAsia" w:hAnsiTheme="majorEastAsia" w:eastAsiaTheme="majorEastAsia" w:cstheme="majorEastAsia"/>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2.4.2 合同履行期间，甲方有权将履行过程中出现的问题反馈给乙方，双方当事人应以书面形式约定需要完善和改进的内容</w:t>
      </w:r>
      <w:bookmarkEnd w:id="237"/>
      <w:bookmarkStart w:id="243" w:name="_Toc186431855"/>
      <w:r>
        <w:rPr>
          <w:rFonts w:hint="eastAsia" w:asciiTheme="majorEastAsia" w:hAnsiTheme="majorEastAsia" w:eastAsiaTheme="majorEastAsia" w:cstheme="majorEastAsia"/>
          <w:sz w:val="24"/>
        </w:rPr>
        <w:t>。</w:t>
      </w:r>
    </w:p>
    <w:bookmarkEnd w:id="243"/>
    <w:p>
      <w:pPr>
        <w:spacing w:line="560" w:lineRule="exact"/>
        <w:ind w:firstLine="482" w:firstLineChars="200"/>
        <w:outlineLvl w:val="0"/>
        <w:rPr>
          <w:rFonts w:asciiTheme="majorEastAsia" w:hAnsiTheme="majorEastAsia" w:eastAsiaTheme="majorEastAsia" w:cstheme="majorEastAsia"/>
          <w:b/>
          <w:sz w:val="24"/>
        </w:rPr>
      </w:pPr>
      <w:bookmarkStart w:id="244" w:name="_Toc15447"/>
      <w:bookmarkStart w:id="245" w:name="_Toc22011"/>
      <w:bookmarkStart w:id="246" w:name="_Toc26555"/>
      <w:bookmarkStart w:id="247" w:name="_Toc31233"/>
      <w:bookmarkStart w:id="248" w:name="_Toc32670"/>
      <w:r>
        <w:rPr>
          <w:rFonts w:hint="eastAsia" w:asciiTheme="majorEastAsia" w:hAnsiTheme="majorEastAsia" w:eastAsiaTheme="majorEastAsia" w:cstheme="majorEastAsia"/>
          <w:b/>
          <w:sz w:val="24"/>
        </w:rPr>
        <w:t>2.5 结算方式和付款条件</w:t>
      </w:r>
      <w:bookmarkEnd w:id="238"/>
      <w:bookmarkEnd w:id="239"/>
      <w:bookmarkEnd w:id="240"/>
      <w:bookmarkEnd w:id="241"/>
      <w:bookmarkEnd w:id="242"/>
      <w:bookmarkEnd w:id="244"/>
      <w:bookmarkEnd w:id="245"/>
      <w:bookmarkEnd w:id="246"/>
      <w:bookmarkEnd w:id="247"/>
      <w:bookmarkEnd w:id="248"/>
    </w:p>
    <w:p>
      <w:pPr>
        <w:spacing w:line="360" w:lineRule="auto"/>
        <w:ind w:left="115" w:leftChars="55" w:firstLine="360" w:firstLineChars="15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2.5.1集中配送的农药实行招标价零差率销售。区财政按销售额的</w:t>
      </w:r>
      <w:r>
        <w:rPr>
          <w:rFonts w:asciiTheme="majorEastAsia" w:hAnsiTheme="majorEastAsia" w:eastAsiaTheme="majorEastAsia" w:cstheme="majorEastAsia"/>
          <w:sz w:val="24"/>
        </w:rPr>
        <w:t>20%</w:t>
      </w:r>
      <w:r>
        <w:rPr>
          <w:rFonts w:hint="eastAsia" w:asciiTheme="majorEastAsia" w:hAnsiTheme="majorEastAsia" w:eastAsiaTheme="majorEastAsia" w:cstheme="majorEastAsia"/>
          <w:sz w:val="24"/>
        </w:rPr>
        <w:t>补贴给乙方，其中基层网点12%、 配供主体8%。</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w:t>
      </w:r>
      <w:r>
        <w:rPr>
          <w:rFonts w:asciiTheme="majorEastAsia" w:hAnsiTheme="majorEastAsia" w:eastAsiaTheme="majorEastAsia" w:cstheme="majorEastAsia"/>
          <w:sz w:val="24"/>
        </w:rPr>
        <w:t>.2</w:t>
      </w:r>
      <w:r>
        <w:rPr>
          <w:rFonts w:hint="eastAsia" w:asciiTheme="majorEastAsia" w:hAnsiTheme="majorEastAsia" w:eastAsiaTheme="majorEastAsia" w:cstheme="majorEastAsia"/>
          <w:sz w:val="24"/>
        </w:rPr>
        <w:t>农药废弃包装物按瓶装</w:t>
      </w:r>
      <w:r>
        <w:rPr>
          <w:rFonts w:asciiTheme="majorEastAsia" w:hAnsiTheme="majorEastAsia" w:eastAsiaTheme="majorEastAsia" w:cstheme="majorEastAsia"/>
          <w:sz w:val="24"/>
        </w:rPr>
        <w:t>0.30</w:t>
      </w:r>
      <w:r>
        <w:rPr>
          <w:rFonts w:hint="eastAsia" w:asciiTheme="majorEastAsia" w:hAnsiTheme="majorEastAsia" w:eastAsiaTheme="majorEastAsia" w:cstheme="majorEastAsia"/>
          <w:sz w:val="24"/>
        </w:rPr>
        <w:t>元</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瓶、袋装</w:t>
      </w:r>
      <w:r>
        <w:rPr>
          <w:rFonts w:asciiTheme="majorEastAsia" w:hAnsiTheme="majorEastAsia" w:eastAsiaTheme="majorEastAsia" w:cstheme="majorEastAsia"/>
          <w:sz w:val="24"/>
        </w:rPr>
        <w:t>0.10</w:t>
      </w:r>
      <w:r>
        <w:rPr>
          <w:rFonts w:hint="eastAsia" w:asciiTheme="majorEastAsia" w:hAnsiTheme="majorEastAsia" w:eastAsiaTheme="majorEastAsia" w:cstheme="majorEastAsia"/>
          <w:sz w:val="24"/>
        </w:rPr>
        <w:t>元</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件、支装</w:t>
      </w:r>
      <w:r>
        <w:rPr>
          <w:rFonts w:asciiTheme="majorEastAsia" w:hAnsiTheme="majorEastAsia" w:eastAsiaTheme="majorEastAsia" w:cstheme="majorEastAsia"/>
          <w:sz w:val="24"/>
        </w:rPr>
        <w:t>0.05</w:t>
      </w:r>
      <w:r>
        <w:rPr>
          <w:rFonts w:hint="eastAsia" w:asciiTheme="majorEastAsia" w:hAnsiTheme="majorEastAsia" w:eastAsiaTheme="majorEastAsia" w:cstheme="majorEastAsia"/>
          <w:sz w:val="24"/>
        </w:rPr>
        <w:t>元</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件回收，对乙方及基层回收站点各按回收数量给予</w:t>
      </w:r>
      <w:r>
        <w:rPr>
          <w:rFonts w:asciiTheme="majorEastAsia" w:hAnsiTheme="majorEastAsia" w:eastAsiaTheme="majorEastAsia" w:cstheme="majorEastAsia"/>
          <w:sz w:val="24"/>
        </w:rPr>
        <w:t>0.</w:t>
      </w:r>
      <w:r>
        <w:rPr>
          <w:rFonts w:hint="eastAsia" w:asciiTheme="majorEastAsia" w:hAnsiTheme="majorEastAsia" w:eastAsiaTheme="majorEastAsia" w:cstheme="majorEastAsia"/>
          <w:sz w:val="24"/>
        </w:rPr>
        <w:t>05元</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袋（瓶</w:t>
      </w:r>
      <w:r>
        <w:rPr>
          <w:rFonts w:asciiTheme="majorEastAsia" w:hAnsiTheme="majorEastAsia" w:eastAsiaTheme="majorEastAsia" w:cstheme="majorEastAsia"/>
          <w:sz w:val="24"/>
        </w:rPr>
        <w:t>/</w:t>
      </w:r>
      <w:r>
        <w:rPr>
          <w:rFonts w:hint="eastAsia" w:asciiTheme="majorEastAsia" w:hAnsiTheme="majorEastAsia" w:eastAsiaTheme="majorEastAsia" w:cstheme="majorEastAsia"/>
          <w:sz w:val="24"/>
        </w:rPr>
        <w:t>支）补贴。</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w:t>
      </w:r>
      <w:r>
        <w:rPr>
          <w:rFonts w:asciiTheme="majorEastAsia" w:hAnsiTheme="majorEastAsia" w:eastAsiaTheme="majorEastAsia" w:cstheme="majorEastAsia"/>
          <w:sz w:val="24"/>
        </w:rPr>
        <w:t>.3</w:t>
      </w:r>
      <w:r>
        <w:rPr>
          <w:rFonts w:hint="eastAsia" w:asciiTheme="majorEastAsia" w:hAnsiTheme="majorEastAsia" w:eastAsiaTheme="majorEastAsia" w:cstheme="majorEastAsia"/>
          <w:sz w:val="24"/>
        </w:rPr>
        <w:t>农药废弃包装无害化处置费用根据市场行情变动实时调整，由区财政承担。</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w:t>
      </w:r>
      <w:r>
        <w:rPr>
          <w:rFonts w:asciiTheme="majorEastAsia" w:hAnsiTheme="majorEastAsia" w:eastAsiaTheme="majorEastAsia" w:cstheme="majorEastAsia"/>
          <w:sz w:val="24"/>
        </w:rPr>
        <w:t>.4</w:t>
      </w:r>
      <w:r>
        <w:rPr>
          <w:rFonts w:hint="eastAsia" w:asciiTheme="majorEastAsia" w:hAnsiTheme="majorEastAsia" w:eastAsiaTheme="majorEastAsia" w:cstheme="majorEastAsia"/>
          <w:sz w:val="24"/>
        </w:rPr>
        <w:t>农药销售补贴款、农药废弃包装物回收费用及处置费由第三方进行审计，区供销总社、区农业农村局、街道（镇）根据审核结果进行核查，并将最终审核结果报区财政局，区财政局根据相关财务审计报告和本意见规定确认拨付数额，每半年一次性拨付给乙方进行分配。农药废弃包装物无害化处置原则上每半年一次，由乙方负责实施，区供销社对废弃包装物进行抽检，抽检无误后统一运输至区环保局指定废弃物品处置企业进行销毁，区财政局根据相关财务审计报告和本合同规定确认拨付数额。</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w:t>
      </w:r>
      <w:r>
        <w:rPr>
          <w:rFonts w:asciiTheme="majorEastAsia" w:hAnsiTheme="majorEastAsia" w:eastAsiaTheme="majorEastAsia" w:cstheme="majorEastAsia"/>
          <w:sz w:val="24"/>
        </w:rPr>
        <w:t xml:space="preserve">.5 </w:t>
      </w:r>
      <w:r>
        <w:rPr>
          <w:rFonts w:hint="eastAsia" w:asciiTheme="majorEastAsia" w:hAnsiTheme="majorEastAsia" w:eastAsiaTheme="majorEastAsia" w:cstheme="majorEastAsia"/>
          <w:sz w:val="24"/>
        </w:rPr>
        <w:t>按照农药集中配送企业招标文书中约定，乙方应在签订本合同之后十日内向甲方交纳人民币</w:t>
      </w:r>
      <w:r>
        <w:rPr>
          <w:rFonts w:hint="eastAsia" w:asciiTheme="majorEastAsia" w:hAnsiTheme="majorEastAsia" w:eastAsiaTheme="majorEastAsia" w:cstheme="majorEastAsia"/>
          <w:b/>
          <w:sz w:val="24"/>
          <w:u w:val="single"/>
        </w:rPr>
        <w:t>万元</w:t>
      </w:r>
      <w:r>
        <w:rPr>
          <w:rFonts w:hint="eastAsia" w:asciiTheme="majorEastAsia" w:hAnsiTheme="majorEastAsia" w:eastAsiaTheme="majorEastAsia" w:cstheme="majorEastAsia"/>
          <w:sz w:val="24"/>
        </w:rPr>
        <w:t>保证金，在配送农药完成后，经第三方审计履行合同无误后返还给乙方。</w:t>
      </w:r>
    </w:p>
    <w:p>
      <w:pPr>
        <w:spacing w:line="560" w:lineRule="exact"/>
        <w:ind w:firstLine="482" w:firstLineChars="200"/>
        <w:outlineLvl w:val="0"/>
        <w:rPr>
          <w:rFonts w:asciiTheme="majorEastAsia" w:hAnsiTheme="majorEastAsia" w:eastAsiaTheme="majorEastAsia" w:cstheme="majorEastAsia"/>
          <w:b/>
          <w:sz w:val="24"/>
        </w:rPr>
      </w:pPr>
      <w:bookmarkStart w:id="249" w:name="_Ref467379852"/>
      <w:bookmarkStart w:id="250" w:name="_Toc487900358"/>
      <w:bookmarkStart w:id="251" w:name="_Toc279701248"/>
      <w:bookmarkStart w:id="252" w:name="_Toc259093677"/>
      <w:bookmarkStart w:id="253" w:name="_Ref467379923"/>
      <w:bookmarkStart w:id="254" w:name="_Ref467379863"/>
      <w:bookmarkStart w:id="255" w:name="_Toc18990"/>
      <w:bookmarkStart w:id="256" w:name="_Toc30507"/>
      <w:bookmarkStart w:id="257" w:name="_Toc13467"/>
      <w:bookmarkStart w:id="258" w:name="_Toc13154"/>
      <w:bookmarkStart w:id="259" w:name="_Toc16163"/>
      <w:r>
        <w:rPr>
          <w:rFonts w:hint="eastAsia" w:asciiTheme="majorEastAsia" w:hAnsiTheme="majorEastAsia" w:eastAsiaTheme="majorEastAsia" w:cstheme="majorEastAsia"/>
          <w:b/>
          <w:sz w:val="24"/>
        </w:rPr>
        <w:t>2.6 技术资料</w:t>
      </w:r>
      <w:bookmarkEnd w:id="249"/>
      <w:bookmarkEnd w:id="250"/>
      <w:bookmarkEnd w:id="251"/>
      <w:bookmarkEnd w:id="252"/>
      <w:bookmarkEnd w:id="253"/>
      <w:bookmarkEnd w:id="254"/>
      <w:r>
        <w:rPr>
          <w:rFonts w:hint="eastAsia" w:asciiTheme="majorEastAsia" w:hAnsiTheme="majorEastAsia" w:eastAsiaTheme="majorEastAsia" w:cstheme="majorEastAsia"/>
          <w:b/>
          <w:sz w:val="24"/>
        </w:rPr>
        <w:t>和保密义务</w:t>
      </w:r>
      <w:bookmarkEnd w:id="255"/>
      <w:bookmarkEnd w:id="256"/>
      <w:bookmarkEnd w:id="257"/>
      <w:bookmarkEnd w:id="258"/>
      <w:bookmarkEnd w:id="259"/>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2.6.1 乙方有权依据合同约定和项目需要，向甲方了解有关情况，调阅有关资料等，甲方应予积极配合；</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2.6.2 乙方有义务妥善保管和保护由甲方提供的前款信息和资料等；</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ajorEastAsia" w:hAnsiTheme="majorEastAsia" w:eastAsiaTheme="majorEastAsia" w:cstheme="majorEastAsia"/>
          <w:b/>
          <w:sz w:val="24"/>
        </w:rPr>
      </w:pPr>
      <w:bookmarkStart w:id="260" w:name="_Toc19069"/>
      <w:bookmarkStart w:id="261" w:name="_Toc487900362"/>
      <w:bookmarkStart w:id="262" w:name="_Toc259093681"/>
      <w:bookmarkStart w:id="263" w:name="_Toc279701252"/>
      <w:r>
        <w:rPr>
          <w:rFonts w:hint="eastAsia" w:asciiTheme="majorEastAsia" w:hAnsiTheme="majorEastAsia" w:eastAsiaTheme="majorEastAsia" w:cstheme="majorEastAsia"/>
          <w:b/>
          <w:sz w:val="24"/>
        </w:rPr>
        <w:t>2.7 质量保证</w:t>
      </w:r>
      <w:bookmarkEnd w:id="260"/>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2.7.1 乙方应建立和完善履行合同的内部质量保证体系，并提供相关内部规章制度给甲方，以便甲方进行监督检查；</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ajorEastAsia" w:hAnsiTheme="majorEastAsia" w:eastAsiaTheme="majorEastAsia" w:cstheme="majorEastAsia"/>
          <w:b/>
          <w:sz w:val="24"/>
        </w:rPr>
      </w:pPr>
      <w:bookmarkStart w:id="264" w:name="_Toc22267"/>
      <w:r>
        <w:rPr>
          <w:rFonts w:hint="eastAsia" w:asciiTheme="majorEastAsia" w:hAnsiTheme="majorEastAsia" w:eastAsiaTheme="majorEastAsia" w:cstheme="majorEastAsia"/>
          <w:b/>
          <w:sz w:val="24"/>
        </w:rPr>
        <w:t>2.8 延迟</w:t>
      </w:r>
      <w:bookmarkEnd w:id="261"/>
      <w:bookmarkEnd w:id="262"/>
      <w:bookmarkEnd w:id="263"/>
      <w:r>
        <w:rPr>
          <w:rFonts w:hint="eastAsia" w:asciiTheme="majorEastAsia" w:hAnsiTheme="majorEastAsia" w:eastAsiaTheme="majorEastAsia" w:cstheme="majorEastAsia"/>
          <w:b/>
          <w:sz w:val="24"/>
        </w:rPr>
        <w:t>履行</w:t>
      </w:r>
      <w:bookmarkEnd w:id="264"/>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Theme="majorEastAsia" w:hAnsiTheme="majorEastAsia" w:eastAsiaTheme="majorEastAsia" w:cstheme="majorEastAsia"/>
          <w:b/>
          <w:sz w:val="24"/>
        </w:rPr>
      </w:pPr>
      <w:bookmarkStart w:id="265" w:name="_Toc10611"/>
      <w:bookmarkStart w:id="266" w:name="_Toc487900364"/>
      <w:bookmarkStart w:id="267" w:name="_Toc259093683"/>
      <w:bookmarkStart w:id="268" w:name="_Ref467378121"/>
      <w:bookmarkStart w:id="269" w:name="_Toc279701254"/>
      <w:r>
        <w:rPr>
          <w:rFonts w:hint="eastAsia" w:asciiTheme="majorEastAsia" w:hAnsiTheme="majorEastAsia" w:eastAsiaTheme="majorEastAsia" w:cstheme="majorEastAsia"/>
          <w:b/>
          <w:sz w:val="24"/>
        </w:rPr>
        <w:t>2.9 合同变更</w:t>
      </w:r>
      <w:bookmarkEnd w:id="265"/>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2.9.1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2.9.2 合同继续履行将损害国家利益和社会公共利益的，双方当事人应当以书面形式变更合同。有过错的一方应当承担赔偿责任，双方当事人都有过错的，各自承担相应的责任。</w:t>
      </w:r>
      <w:bookmarkStart w:id="270" w:name="_Toc487900369"/>
      <w:bookmarkStart w:id="271" w:name="_Toc259093688"/>
      <w:bookmarkStart w:id="272" w:name="_Toc279701259"/>
    </w:p>
    <w:p>
      <w:pPr>
        <w:spacing w:line="560" w:lineRule="exact"/>
        <w:ind w:firstLine="482" w:firstLineChars="200"/>
        <w:outlineLvl w:val="0"/>
        <w:rPr>
          <w:rFonts w:asciiTheme="majorEastAsia" w:hAnsiTheme="majorEastAsia" w:eastAsiaTheme="majorEastAsia" w:cstheme="majorEastAsia"/>
          <w:b/>
          <w:sz w:val="24"/>
        </w:rPr>
      </w:pPr>
      <w:bookmarkStart w:id="273" w:name="_Toc21830"/>
      <w:bookmarkStart w:id="274" w:name="_Toc42"/>
      <w:bookmarkStart w:id="275" w:name="_Toc23368"/>
      <w:bookmarkStart w:id="276" w:name="_Toc26689"/>
      <w:bookmarkStart w:id="277" w:name="_Toc10663"/>
      <w:r>
        <w:rPr>
          <w:rFonts w:hint="eastAsia" w:asciiTheme="majorEastAsia" w:hAnsiTheme="majorEastAsia" w:eastAsiaTheme="majorEastAsia" w:cstheme="majorEastAsia"/>
          <w:b/>
          <w:sz w:val="24"/>
        </w:rPr>
        <w:t>2.10 合同转让</w:t>
      </w:r>
      <w:bookmarkEnd w:id="270"/>
      <w:bookmarkEnd w:id="271"/>
      <w:bookmarkEnd w:id="272"/>
      <w:r>
        <w:rPr>
          <w:rFonts w:hint="eastAsia" w:asciiTheme="majorEastAsia" w:hAnsiTheme="majorEastAsia" w:eastAsiaTheme="majorEastAsia" w:cstheme="majorEastAsia"/>
          <w:b/>
          <w:sz w:val="24"/>
        </w:rPr>
        <w:t>和分包</w:t>
      </w:r>
      <w:bookmarkEnd w:id="273"/>
      <w:bookmarkEnd w:id="274"/>
      <w:bookmarkEnd w:id="275"/>
      <w:bookmarkEnd w:id="276"/>
      <w:bookmarkEnd w:id="277"/>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Theme="majorEastAsia" w:hAnsiTheme="majorEastAsia" w:eastAsiaTheme="majorEastAsia" w:cstheme="majorEastAsia"/>
          <w:b/>
          <w:sz w:val="24"/>
        </w:rPr>
      </w:pPr>
      <w:bookmarkStart w:id="278" w:name="_Toc32494"/>
      <w:bookmarkStart w:id="279" w:name="_Toc26633"/>
      <w:bookmarkStart w:id="280" w:name="_Toc14371"/>
      <w:bookmarkStart w:id="281" w:name="_Toc25571"/>
      <w:bookmarkStart w:id="282" w:name="_Toc4720"/>
      <w:r>
        <w:rPr>
          <w:rFonts w:hint="eastAsia" w:asciiTheme="majorEastAsia" w:hAnsiTheme="majorEastAsia" w:eastAsiaTheme="majorEastAsia" w:cstheme="majorEastAsia"/>
          <w:b/>
          <w:sz w:val="24"/>
        </w:rPr>
        <w:t>2.11 不可抗力</w:t>
      </w:r>
      <w:bookmarkEnd w:id="278"/>
      <w:bookmarkEnd w:id="279"/>
      <w:bookmarkEnd w:id="280"/>
      <w:bookmarkEnd w:id="281"/>
      <w:bookmarkEnd w:id="282"/>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2.11.2 因不可抗力致使不能实现合同目的的，当事人可以解除合同；</w:t>
      </w:r>
    </w:p>
    <w:p>
      <w:pPr>
        <w:spacing w:line="560" w:lineRule="exact"/>
        <w:ind w:firstLine="482" w:firstLineChars="200"/>
        <w:outlineLvl w:val="0"/>
        <w:rPr>
          <w:rFonts w:asciiTheme="majorEastAsia" w:hAnsiTheme="majorEastAsia" w:eastAsiaTheme="majorEastAsia" w:cstheme="majorEastAsia"/>
          <w:b/>
          <w:sz w:val="24"/>
        </w:rPr>
      </w:pPr>
      <w:bookmarkStart w:id="283" w:name="_Toc279701255"/>
      <w:bookmarkStart w:id="284" w:name="_Toc24465"/>
      <w:bookmarkStart w:id="285" w:name="_Toc14115"/>
      <w:bookmarkStart w:id="286" w:name="_Toc259093684"/>
      <w:bookmarkStart w:id="287" w:name="_Toc25783"/>
      <w:bookmarkStart w:id="288" w:name="_Toc487900365"/>
      <w:bookmarkStart w:id="289" w:name="_Toc23854"/>
      <w:bookmarkStart w:id="290" w:name="_Toc3638"/>
      <w:r>
        <w:rPr>
          <w:rFonts w:hint="eastAsia" w:asciiTheme="majorEastAsia" w:hAnsiTheme="majorEastAsia" w:eastAsiaTheme="majorEastAsia" w:cstheme="majorEastAsia"/>
          <w:b/>
          <w:sz w:val="24"/>
        </w:rPr>
        <w:t>2.12 税费</w:t>
      </w:r>
      <w:bookmarkEnd w:id="283"/>
      <w:bookmarkEnd w:id="284"/>
      <w:bookmarkEnd w:id="285"/>
      <w:bookmarkEnd w:id="286"/>
      <w:bookmarkEnd w:id="287"/>
      <w:bookmarkEnd w:id="288"/>
      <w:bookmarkEnd w:id="289"/>
      <w:bookmarkEnd w:id="290"/>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与合同有关的一切税费，均按照中华人民共和国法律的相关规定缴纳。</w:t>
      </w:r>
    </w:p>
    <w:p>
      <w:pPr>
        <w:spacing w:line="560" w:lineRule="exact"/>
        <w:ind w:firstLine="482" w:firstLineChars="200"/>
        <w:outlineLvl w:val="0"/>
        <w:rPr>
          <w:rFonts w:asciiTheme="majorEastAsia" w:hAnsiTheme="majorEastAsia" w:eastAsiaTheme="majorEastAsia" w:cstheme="majorEastAsia"/>
          <w:b/>
          <w:sz w:val="24"/>
        </w:rPr>
      </w:pPr>
      <w:bookmarkStart w:id="291" w:name="_Toc14814"/>
      <w:bookmarkStart w:id="292" w:name="_Toc26883"/>
      <w:bookmarkStart w:id="293" w:name="_Toc30105"/>
      <w:bookmarkStart w:id="294" w:name="_Toc25525"/>
      <w:bookmarkStart w:id="295" w:name="_Toc487900368"/>
      <w:bookmarkStart w:id="296" w:name="_Toc259093687"/>
      <w:bookmarkStart w:id="297" w:name="_Toc7315"/>
      <w:bookmarkStart w:id="298" w:name="_Toc279701258"/>
      <w:r>
        <w:rPr>
          <w:rFonts w:hint="eastAsia" w:asciiTheme="majorEastAsia" w:hAnsiTheme="majorEastAsia" w:eastAsiaTheme="majorEastAsia" w:cstheme="majorEastAsia"/>
          <w:b/>
          <w:sz w:val="24"/>
        </w:rPr>
        <w:t>2.13 乙方破产</w:t>
      </w:r>
      <w:bookmarkEnd w:id="291"/>
      <w:bookmarkEnd w:id="292"/>
      <w:bookmarkEnd w:id="293"/>
      <w:bookmarkEnd w:id="294"/>
      <w:bookmarkEnd w:id="295"/>
      <w:bookmarkEnd w:id="296"/>
      <w:bookmarkEnd w:id="297"/>
      <w:bookmarkEnd w:id="298"/>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Theme="majorEastAsia" w:hAnsiTheme="majorEastAsia" w:eastAsiaTheme="majorEastAsia" w:cstheme="majorEastAsia"/>
          <w:b/>
          <w:sz w:val="24"/>
        </w:rPr>
      </w:pPr>
      <w:bookmarkStart w:id="299" w:name="_Toc23323"/>
      <w:bookmarkStart w:id="300" w:name="_Toc1123"/>
      <w:bookmarkStart w:id="301" w:name="_Toc2016"/>
      <w:r>
        <w:rPr>
          <w:rFonts w:hint="eastAsia" w:asciiTheme="majorEastAsia" w:hAnsiTheme="majorEastAsia" w:eastAsiaTheme="majorEastAsia" w:cstheme="majorEastAsia"/>
          <w:b/>
          <w:sz w:val="24"/>
        </w:rPr>
        <w:t>2.14 合同中止、终止</w:t>
      </w:r>
      <w:bookmarkEnd w:id="299"/>
      <w:bookmarkEnd w:id="300"/>
      <w:bookmarkEnd w:id="301"/>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2.14.1 双方当事人不得擅自中止或者终止合同；</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ajorEastAsia" w:hAnsiTheme="majorEastAsia" w:eastAsiaTheme="majorEastAsia" w:cstheme="majorEastAsia"/>
          <w:b/>
          <w:sz w:val="24"/>
        </w:rPr>
      </w:pPr>
      <w:bookmarkStart w:id="302" w:name="_Toc14525"/>
      <w:bookmarkStart w:id="303" w:name="_Toc17363"/>
      <w:bookmarkStart w:id="304" w:name="_Toc1969"/>
      <w:r>
        <w:rPr>
          <w:rFonts w:hint="eastAsia" w:asciiTheme="majorEastAsia" w:hAnsiTheme="majorEastAsia" w:eastAsiaTheme="majorEastAsia" w:cstheme="majorEastAsia"/>
          <w:b/>
          <w:sz w:val="24"/>
        </w:rPr>
        <w:t>2.15 检验和验收</w:t>
      </w:r>
      <w:bookmarkEnd w:id="302"/>
      <w:bookmarkEnd w:id="303"/>
      <w:bookmarkEnd w:id="304"/>
    </w:p>
    <w:p>
      <w:pPr>
        <w:tabs>
          <w:tab w:val="left" w:pos="360"/>
          <w:tab w:val="left" w:pos="540"/>
          <w:tab w:val="left" w:pos="1080"/>
        </w:tabs>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2.15.1 乙方按照甲方要求定期提交服务报告，甲方及时组织进行定期验收；</w:t>
      </w:r>
    </w:p>
    <w:p>
      <w:pPr>
        <w:tabs>
          <w:tab w:val="left" w:pos="360"/>
          <w:tab w:val="left" w:pos="540"/>
          <w:tab w:val="left" w:pos="1080"/>
        </w:tabs>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2.15.3 检验和验收标准、程序等具体内容以及前述验收书的效力详见相关规定。</w:t>
      </w:r>
    </w:p>
    <w:bookmarkEnd w:id="266"/>
    <w:bookmarkEnd w:id="267"/>
    <w:bookmarkEnd w:id="268"/>
    <w:bookmarkEnd w:id="269"/>
    <w:p>
      <w:pPr>
        <w:spacing w:line="560" w:lineRule="exact"/>
        <w:ind w:firstLine="482" w:firstLineChars="200"/>
        <w:outlineLvl w:val="0"/>
        <w:rPr>
          <w:rFonts w:asciiTheme="majorEastAsia" w:hAnsiTheme="majorEastAsia" w:eastAsiaTheme="majorEastAsia" w:cstheme="majorEastAsia"/>
          <w:b/>
          <w:sz w:val="24"/>
        </w:rPr>
      </w:pPr>
      <w:bookmarkStart w:id="305" w:name="_Toc487900371"/>
      <w:bookmarkStart w:id="306" w:name="_Toc279701261"/>
      <w:bookmarkStart w:id="307" w:name="_Toc259093690"/>
      <w:bookmarkStart w:id="308" w:name="_Toc9808"/>
      <w:bookmarkStart w:id="309" w:name="_Toc12666"/>
      <w:bookmarkStart w:id="310" w:name="_Toc25198"/>
      <w:bookmarkStart w:id="311" w:name="_Toc2308"/>
      <w:bookmarkStart w:id="312" w:name="_Toc31892"/>
      <w:r>
        <w:rPr>
          <w:rFonts w:hint="eastAsia" w:asciiTheme="majorEastAsia" w:hAnsiTheme="majorEastAsia" w:eastAsiaTheme="majorEastAsia" w:cstheme="majorEastAsia"/>
          <w:b/>
          <w:sz w:val="24"/>
        </w:rPr>
        <w:t>2.16 通知</w:t>
      </w:r>
      <w:bookmarkEnd w:id="305"/>
      <w:bookmarkEnd w:id="306"/>
      <w:bookmarkEnd w:id="307"/>
      <w:r>
        <w:rPr>
          <w:rFonts w:hint="eastAsia" w:asciiTheme="majorEastAsia" w:hAnsiTheme="majorEastAsia" w:eastAsiaTheme="majorEastAsia" w:cstheme="majorEastAsia"/>
          <w:b/>
          <w:sz w:val="24"/>
        </w:rPr>
        <w:t>和送达</w:t>
      </w:r>
      <w:bookmarkEnd w:id="308"/>
      <w:bookmarkEnd w:id="309"/>
      <w:bookmarkEnd w:id="310"/>
      <w:bookmarkEnd w:id="311"/>
      <w:bookmarkEnd w:id="312"/>
    </w:p>
    <w:p>
      <w:pPr>
        <w:spacing w:line="560" w:lineRule="exact"/>
        <w:ind w:firstLine="480" w:firstLineChars="200"/>
        <w:rPr>
          <w:rFonts w:asciiTheme="majorEastAsia" w:hAnsiTheme="majorEastAsia" w:eastAsiaTheme="majorEastAsia" w:cstheme="majorEastAsia"/>
          <w:sz w:val="24"/>
        </w:rPr>
      </w:pPr>
      <w:bookmarkStart w:id="313" w:name="_Toc29220"/>
      <w:bookmarkStart w:id="314" w:name="_Toc7073"/>
      <w:bookmarkStart w:id="315" w:name="_Toc259093691"/>
      <w:bookmarkStart w:id="316" w:name="_Toc487900372"/>
      <w:bookmarkStart w:id="317" w:name="_Toc279701262"/>
      <w:r>
        <w:rPr>
          <w:rFonts w:hint="eastAsia" w:asciiTheme="majorEastAsia" w:hAnsiTheme="majorEastAsia" w:eastAsiaTheme="majorEastAsia" w:cstheme="majorEastAsia"/>
          <w:sz w:val="24"/>
        </w:rPr>
        <w:t>2.16.1 任何一方因履行合同而以合同第一部分尾部所列明的发出的所有通知、文件、材料，均视为已向对方当事人送达；任何一方变更上述送达方式或者地址的，应于</w:t>
      </w:r>
      <w:r>
        <w:rPr>
          <w:rFonts w:hint="eastAsia" w:asciiTheme="majorEastAsia" w:hAnsiTheme="majorEastAsia" w:eastAsiaTheme="majorEastAsia" w:cstheme="majorEastAsia"/>
          <w:sz w:val="24"/>
          <w:u w:val="single"/>
        </w:rPr>
        <w:t xml:space="preserve"> 3</w:t>
      </w:r>
      <w:r>
        <w:rPr>
          <w:rFonts w:hint="eastAsia" w:asciiTheme="majorEastAsia" w:hAnsiTheme="majorEastAsia" w:eastAsiaTheme="majorEastAsia" w:cstheme="majorEastAsia"/>
          <w:sz w:val="24"/>
        </w:rPr>
        <w:t>个工作日内书面通知对方当事人，在对方当事人收到有关变更通知之前，变更前的约定送达方式或者地址仍视为有效。</w:t>
      </w:r>
      <w:bookmarkEnd w:id="313"/>
      <w:bookmarkEnd w:id="314"/>
    </w:p>
    <w:p>
      <w:pPr>
        <w:spacing w:line="560" w:lineRule="exact"/>
        <w:ind w:firstLine="480" w:firstLineChars="200"/>
        <w:rPr>
          <w:rFonts w:asciiTheme="majorEastAsia" w:hAnsiTheme="majorEastAsia" w:eastAsiaTheme="majorEastAsia" w:cstheme="majorEastAsia"/>
          <w:sz w:val="24"/>
        </w:rPr>
      </w:pPr>
      <w:bookmarkStart w:id="318" w:name="_Toc18401"/>
      <w:bookmarkStart w:id="319" w:name="_Toc27674"/>
      <w:r>
        <w:rPr>
          <w:rFonts w:hint="eastAsia" w:asciiTheme="majorEastAsia" w:hAnsiTheme="majorEastAsia" w:eastAsiaTheme="majorEastAsia" w:cstheme="majorEastAsia"/>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318"/>
      <w:bookmarkEnd w:id="319"/>
    </w:p>
    <w:bookmarkEnd w:id="315"/>
    <w:bookmarkEnd w:id="316"/>
    <w:bookmarkEnd w:id="317"/>
    <w:p>
      <w:pPr>
        <w:spacing w:line="560" w:lineRule="exact"/>
        <w:ind w:firstLine="482" w:firstLineChars="200"/>
        <w:outlineLvl w:val="0"/>
        <w:rPr>
          <w:rFonts w:asciiTheme="majorEastAsia" w:hAnsiTheme="majorEastAsia" w:eastAsiaTheme="majorEastAsia" w:cstheme="majorEastAsia"/>
          <w:b/>
          <w:sz w:val="24"/>
        </w:rPr>
      </w:pPr>
      <w:bookmarkStart w:id="320" w:name="_Toc12254"/>
      <w:bookmarkStart w:id="321" w:name="_Toc20808"/>
      <w:bookmarkStart w:id="322" w:name="_Toc279701263"/>
      <w:bookmarkStart w:id="323" w:name="_Toc28906"/>
      <w:bookmarkStart w:id="324" w:name="_Toc27644"/>
      <w:bookmarkStart w:id="325" w:name="_Toc259093692"/>
      <w:bookmarkStart w:id="326" w:name="_Toc487900373"/>
      <w:bookmarkStart w:id="327" w:name="_Toc5063"/>
      <w:r>
        <w:rPr>
          <w:rFonts w:hint="eastAsia" w:asciiTheme="majorEastAsia" w:hAnsiTheme="majorEastAsia" w:eastAsiaTheme="majorEastAsia" w:cstheme="majorEastAsia"/>
          <w:b/>
          <w:sz w:val="24"/>
        </w:rPr>
        <w:t>2.17 合同使用的文字和适用的法律</w:t>
      </w:r>
      <w:bookmarkEnd w:id="320"/>
      <w:bookmarkEnd w:id="321"/>
      <w:bookmarkEnd w:id="322"/>
      <w:bookmarkEnd w:id="323"/>
      <w:bookmarkEnd w:id="324"/>
      <w:bookmarkEnd w:id="325"/>
      <w:bookmarkEnd w:id="326"/>
      <w:bookmarkEnd w:id="327"/>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2.17.1 合同使用汉语书就、变更和解释；</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2.17.2 合同适用中华人民共和国法律。</w:t>
      </w:r>
    </w:p>
    <w:p>
      <w:pPr>
        <w:spacing w:line="560" w:lineRule="exact"/>
        <w:ind w:firstLine="482" w:firstLineChars="200"/>
        <w:outlineLvl w:val="0"/>
        <w:rPr>
          <w:rFonts w:asciiTheme="majorEastAsia" w:hAnsiTheme="majorEastAsia" w:eastAsiaTheme="majorEastAsia" w:cstheme="majorEastAsia"/>
          <w:b/>
          <w:sz w:val="24"/>
        </w:rPr>
      </w:pPr>
      <w:bookmarkStart w:id="328" w:name="_Toc30096"/>
      <w:bookmarkStart w:id="329" w:name="_Toc27127"/>
      <w:bookmarkStart w:id="330" w:name="_Toc1492"/>
      <w:bookmarkStart w:id="331" w:name="_Toc259093693"/>
      <w:bookmarkStart w:id="332" w:name="_Toc279701264"/>
      <w:bookmarkStart w:id="333" w:name="_Toc22266"/>
      <w:bookmarkStart w:id="334" w:name="_Toc27403"/>
      <w:bookmarkStart w:id="335" w:name="_Toc487900374"/>
      <w:r>
        <w:rPr>
          <w:rFonts w:hint="eastAsia" w:asciiTheme="majorEastAsia" w:hAnsiTheme="majorEastAsia" w:eastAsiaTheme="majorEastAsia" w:cstheme="majorEastAsia"/>
          <w:b/>
          <w:sz w:val="24"/>
        </w:rPr>
        <w:t>2.18 履约保证金</w:t>
      </w:r>
      <w:bookmarkEnd w:id="328"/>
      <w:bookmarkEnd w:id="329"/>
      <w:bookmarkEnd w:id="330"/>
      <w:bookmarkEnd w:id="331"/>
      <w:bookmarkEnd w:id="332"/>
      <w:bookmarkEnd w:id="333"/>
      <w:bookmarkEnd w:id="334"/>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2.18.1 采购文件要求乙方提交履约保证金的，乙方应按约定的方式，以支票、汇票、本票或者金融机构、担保机构出具的保函等非现金形式，提交不超过合同价10%的履约保证金；</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2.18.2 履约保证金在合同履行期间内不予退还或者应完全有效，前述约定期间届满之日起</w:t>
      </w:r>
      <w:r>
        <w:rPr>
          <w:rFonts w:hint="eastAsia" w:asciiTheme="majorEastAsia" w:hAnsiTheme="majorEastAsia" w:eastAsiaTheme="majorEastAsia" w:cstheme="majorEastAsia"/>
          <w:sz w:val="24"/>
          <w:u w:val="single"/>
        </w:rPr>
        <w:t>3</w:t>
      </w:r>
      <w:r>
        <w:rPr>
          <w:rFonts w:hint="eastAsia" w:asciiTheme="majorEastAsia" w:hAnsiTheme="majorEastAsia" w:eastAsiaTheme="majorEastAsia" w:cstheme="majorEastAsia"/>
          <w:sz w:val="24"/>
        </w:rPr>
        <w:t>个工作日内，甲方应将履约保证金退还乙方；</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35"/>
    <w:p>
      <w:pPr>
        <w:spacing w:line="56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2.19 合同份数</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本合同正本一式四份，甲、乙双方各执二份。</w:t>
      </w:r>
      <w:bookmarkStart w:id="336" w:name="_Toc331685784"/>
    </w:p>
    <w:bookmarkEnd w:id="336"/>
    <w:p>
      <w:pPr>
        <w:spacing w:line="360" w:lineRule="auto"/>
        <w:ind w:firstLine="560" w:firstLineChars="200"/>
        <w:rPr>
          <w:sz w:val="28"/>
          <w:szCs w:val="28"/>
        </w:rPr>
      </w:pPr>
    </w:p>
    <w:p>
      <w:pPr>
        <w:spacing w:line="360" w:lineRule="auto"/>
        <w:ind w:firstLine="560" w:firstLineChars="200"/>
        <w:rPr>
          <w:sz w:val="28"/>
          <w:szCs w:val="28"/>
        </w:rPr>
      </w:pP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委托方：  </w:t>
      </w:r>
      <w:r>
        <w:rPr>
          <w:rFonts w:asciiTheme="majorEastAsia" w:hAnsiTheme="majorEastAsia" w:eastAsiaTheme="majorEastAsia" w:cstheme="majorEastAsia"/>
          <w:sz w:val="24"/>
        </w:rPr>
        <w:t>(公章)</w:t>
      </w:r>
      <w:r>
        <w:rPr>
          <w:rFonts w:hint="eastAsia" w:asciiTheme="majorEastAsia" w:hAnsiTheme="majorEastAsia" w:eastAsiaTheme="majorEastAsia" w:cstheme="majorEastAsia"/>
          <w:sz w:val="24"/>
        </w:rPr>
        <w:t xml:space="preserve">                          受托方</w:t>
      </w:r>
      <w:r>
        <w:rPr>
          <w:rFonts w:asciiTheme="majorEastAsia" w:hAnsiTheme="majorEastAsia" w:eastAsiaTheme="majorEastAsia" w:cstheme="majorEastAsia"/>
          <w:sz w:val="24"/>
        </w:rPr>
        <w:t>人</w:t>
      </w:r>
      <w:r>
        <w:rPr>
          <w:rFonts w:hint="eastAsia" w:asciiTheme="majorEastAsia" w:hAnsiTheme="majorEastAsia" w:eastAsiaTheme="majorEastAsia" w:cstheme="majorEastAsia"/>
          <w:sz w:val="24"/>
        </w:rPr>
        <w:t xml:space="preserve">：  </w:t>
      </w:r>
      <w:r>
        <w:rPr>
          <w:rFonts w:asciiTheme="majorEastAsia" w:hAnsiTheme="majorEastAsia" w:eastAsiaTheme="majorEastAsia" w:cstheme="majorEastAsia"/>
          <w:sz w:val="24"/>
        </w:rPr>
        <w:t>(公章)</w:t>
      </w:r>
    </w:p>
    <w:p>
      <w:pPr>
        <w:spacing w:line="560" w:lineRule="exact"/>
        <w:ind w:firstLine="480" w:firstLineChars="200"/>
        <w:rPr>
          <w:rFonts w:asciiTheme="majorEastAsia" w:hAnsiTheme="majorEastAsia" w:eastAsiaTheme="majorEastAsia" w:cstheme="majorEastAsia"/>
          <w:sz w:val="24"/>
        </w:rPr>
      </w:pP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法定代表人或其委托代理人：                法定代表人或其委托代理人：</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（签字）                                   （签字）</w:t>
      </w: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组织机构代码：</w:t>
      </w:r>
      <w:r>
        <w:rPr>
          <w:rFonts w:asciiTheme="majorEastAsia" w:hAnsiTheme="majorEastAsia" w:eastAsiaTheme="majorEastAsia" w:cstheme="majorEastAsia"/>
          <w:sz w:val="24"/>
        </w:rPr>
        <w:t xml:space="preserve">       </w:t>
      </w:r>
      <w:r>
        <w:rPr>
          <w:rFonts w:hint="eastAsia" w:asciiTheme="majorEastAsia" w:hAnsiTheme="majorEastAsia" w:eastAsiaTheme="majorEastAsia" w:cstheme="majorEastAsia"/>
          <w:sz w:val="24"/>
        </w:rPr>
        <w:t xml:space="preserve">              组织机构代码：</w:t>
      </w:r>
      <w:r>
        <w:rPr>
          <w:rFonts w:asciiTheme="majorEastAsia" w:hAnsiTheme="majorEastAsia" w:eastAsiaTheme="majorEastAsia" w:cstheme="majorEastAsia"/>
          <w:sz w:val="24"/>
        </w:rPr>
        <w:t xml:space="preserve">   </w:t>
      </w:r>
    </w:p>
    <w:p>
      <w:pPr>
        <w:spacing w:line="560" w:lineRule="exact"/>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 xml:space="preserve">开户银行：    开户银行：   </w:t>
      </w:r>
    </w:p>
    <w:p>
      <w:pPr>
        <w:spacing w:line="560" w:lineRule="exact"/>
        <w:ind w:firstLine="480" w:firstLineChars="200"/>
        <w:rPr>
          <w:rFonts w:asciiTheme="majorEastAsia" w:hAnsiTheme="majorEastAsia" w:eastAsiaTheme="majorEastAsia" w:cstheme="majorEastAsia"/>
          <w:sz w:val="24"/>
        </w:rPr>
      </w:pPr>
      <w:r>
        <w:rPr>
          <w:rFonts w:asciiTheme="majorEastAsia" w:hAnsiTheme="majorEastAsia" w:eastAsiaTheme="majorEastAsia" w:cstheme="majorEastAsia"/>
          <w:sz w:val="24"/>
        </w:rPr>
        <w:t>账  号：       账 号：</w:t>
      </w:r>
    </w:p>
    <w:p>
      <w:pPr>
        <w:spacing w:line="560" w:lineRule="exact"/>
        <w:ind w:firstLine="480" w:firstLineChars="200"/>
        <w:rPr>
          <w:rFonts w:asciiTheme="majorEastAsia" w:hAnsiTheme="majorEastAsia" w:eastAsiaTheme="majorEastAsia" w:cstheme="majorEastAsia"/>
          <w:sz w:val="24"/>
        </w:rPr>
      </w:pPr>
    </w:p>
    <w:p>
      <w:pPr>
        <w:spacing w:line="5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签约时间：2022年月日</w:t>
      </w:r>
    </w:p>
    <w:p>
      <w:pPr>
        <w:spacing w:line="500" w:lineRule="exact"/>
        <w:rPr>
          <w:rFonts w:hAnsi="宋体"/>
          <w:color w:val="000000"/>
          <w:sz w:val="24"/>
        </w:rPr>
      </w:pPr>
    </w:p>
    <w:p>
      <w:pPr>
        <w:widowControl/>
        <w:spacing w:line="360" w:lineRule="exact"/>
        <w:ind w:left="281" w:hanging="281" w:hangingChars="100"/>
        <w:jc w:val="center"/>
        <w:rPr>
          <w:rFonts w:ascii="仿宋" w:hAnsi="仿宋" w:eastAsia="仿宋"/>
          <w:b/>
          <w:kern w:val="0"/>
          <w:sz w:val="28"/>
          <w:szCs w:val="28"/>
        </w:rPr>
      </w:pPr>
      <w:r>
        <w:rPr>
          <w:rFonts w:hint="eastAsia" w:ascii="仿宋" w:hAnsi="仿宋" w:eastAsia="仿宋"/>
          <w:b/>
          <w:kern w:val="0"/>
          <w:sz w:val="28"/>
          <w:szCs w:val="28"/>
        </w:rPr>
        <w:t>发包人保留对合同文本的修改和完善的权利。</w:t>
      </w:r>
    </w:p>
    <w:p>
      <w:pPr>
        <w:spacing w:line="320" w:lineRule="exact"/>
        <w:ind w:firstLine="482" w:firstLineChars="200"/>
        <w:rPr>
          <w:rFonts w:hAnsi="宋体"/>
          <w:b/>
          <w:color w:val="000000"/>
          <w:sz w:val="24"/>
        </w:rPr>
      </w:pPr>
    </w:p>
    <w:p>
      <w:pPr>
        <w:spacing w:line="320" w:lineRule="exact"/>
        <w:ind w:firstLine="482" w:firstLineChars="200"/>
        <w:rPr>
          <w:rFonts w:hAnsi="宋体"/>
          <w:b/>
          <w:color w:val="000000"/>
          <w:sz w:val="24"/>
        </w:rPr>
      </w:pPr>
    </w:p>
    <w:p>
      <w:pPr>
        <w:spacing w:line="600" w:lineRule="exact"/>
        <w:rPr>
          <w:rFonts w:ascii="宋体" w:hAnsi="宋体"/>
          <w:b/>
          <w:sz w:val="32"/>
          <w:szCs w:val="32"/>
        </w:rPr>
      </w:pPr>
    </w:p>
    <w:p>
      <w:pPr>
        <w:pStyle w:val="2"/>
        <w:spacing w:line="240" w:lineRule="auto"/>
        <w:jc w:val="center"/>
        <w:rPr>
          <w:rFonts w:asciiTheme="majorEastAsia" w:hAnsiTheme="majorEastAsia" w:eastAsiaTheme="majorEastAsia"/>
          <w:b w:val="0"/>
          <w:bCs/>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b w:val="0"/>
          <w:bCs/>
          <w:color w:val="0D0D0D" w:themeColor="text1" w:themeTint="F2"/>
          <w14:textFill>
            <w14:solidFill>
              <w14:schemeClr w14:val="tx1">
                <w14:lumMod w14:val="95000"/>
                <w14:lumOff w14:val="5000"/>
              </w14:schemeClr>
            </w14:solidFill>
          </w14:textFill>
        </w:rPr>
        <w:t>第四章 评标方法与评标标准</w:t>
      </w:r>
      <w:bookmarkStart w:id="337" w:name="_Toc396833722"/>
      <w:bookmarkStart w:id="338" w:name="_Toc358637059"/>
      <w:bookmarkStart w:id="339" w:name="_Toc358633669"/>
      <w:bookmarkStart w:id="340" w:name="_Toc392498221"/>
      <w:bookmarkStart w:id="341" w:name="_Toc393207967"/>
    </w:p>
    <w:bookmarkEnd w:id="337"/>
    <w:bookmarkEnd w:id="338"/>
    <w:bookmarkEnd w:id="339"/>
    <w:bookmarkEnd w:id="340"/>
    <w:bookmarkEnd w:id="341"/>
    <w:p>
      <w:pPr>
        <w:spacing w:beforeLines="35"/>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一、总则</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遵循公开、公正、公平、择优和诚实信用的原则，评审人员将本着认真、公正、诚实、廉洁的精神，进行评审工作，择优推荐中标候选人。在评审期间，评审委员及相关工作人员必须严格遵守保密规定，不得泄露评审的有关情况。</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对未中标的投标人，评审委员会不作任何原因解释。</w:t>
      </w:r>
    </w:p>
    <w:p>
      <w:pPr>
        <w:spacing w:beforeLines="35"/>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二、评审组织</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评审工作由引入人依法组建的评审委员会负责。评审委员会负责评审等工作，并向引入人提出评审意见和评审报告。</w:t>
      </w:r>
    </w:p>
    <w:p>
      <w:pPr>
        <w:spacing w:beforeLines="35"/>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三、评审程序</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1、投标文件符合性审查→投标文件评审打分→评审报告。</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2、符合性审查：对投标人所提供的资质证明文件仅负审核的责任。即使投标人提交的资质证明文件通过了审核，在评审过程中乃至确定中标合作伙伴后，如发现投标人所提供的资质业绩证明文件及其他投标内容不合法或不真实，引入人仍可取消中标资格并追究投标人的法律责任。</w:t>
      </w:r>
    </w:p>
    <w:p>
      <w:pPr>
        <w:spacing w:line="400" w:lineRule="exact"/>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资格评审标准： </w:t>
      </w:r>
    </w:p>
    <w:tbl>
      <w:tblPr>
        <w:tblStyle w:val="53"/>
        <w:tblW w:w="9516"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67"/>
        <w:gridCol w:w="2410"/>
        <w:gridCol w:w="4253"/>
        <w:gridCol w:w="22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序号</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项目内容</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合格条件</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投标申请人具备</w:t>
            </w:r>
          </w:p>
          <w:p>
            <w:pPr>
              <w:widowControl/>
              <w:spacing w:line="280" w:lineRule="exact"/>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9"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Theme="minorEastAsia" w:hAnsiTheme="minorEastAsia" w:eastAsiaTheme="minorEastAsia"/>
                <w:color w:val="0D0D0D"/>
              </w:rPr>
            </w:pPr>
            <w:r>
              <w:rPr>
                <w:rFonts w:cs="Tahoma" w:asciiTheme="minorEastAsia" w:hAnsiTheme="minorEastAsia" w:eastAsiaTheme="minorEastAsia"/>
                <w:color w:val="0D0D0D"/>
              </w:rPr>
              <w:t>1</w:t>
            </w:r>
          </w:p>
        </w:tc>
        <w:tc>
          <w:tcPr>
            <w:tcW w:w="2410"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0D0D0D"/>
              </w:rPr>
            </w:pPr>
            <w:r>
              <w:rPr>
                <w:rFonts w:hint="eastAsia" w:cs="宋体" w:asciiTheme="minorEastAsia" w:hAnsiTheme="minorEastAsia" w:eastAsiaTheme="minorEastAsia"/>
                <w:color w:val="0D0D0D"/>
              </w:rPr>
              <w:t>法人身份证明书或法人的授权委托书</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Theme="minorEastAsia" w:hAnsiTheme="minorEastAsia" w:eastAsiaTheme="minorEastAsia"/>
                <w:color w:val="0D0D0D"/>
              </w:rPr>
            </w:pPr>
            <w:r>
              <w:rPr>
                <w:rFonts w:hint="eastAsia" w:cs="宋体" w:asciiTheme="minorEastAsia" w:hAnsiTheme="minorEastAsia" w:eastAsiaTheme="minorEastAsia"/>
                <w:color w:val="0D0D0D"/>
              </w:rPr>
              <w:t>法定代表人身份证明书、授权委托书并提供委托代理人的身份证；如企业法定代表人参与投标，无需授权委托书，请提供法定代表人身份证明书及法定代表人身份证</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2</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企业法人营业执照</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工商行政管理部门颁发的法人营业执照</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3</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经营许可证</w:t>
            </w:r>
          </w:p>
        </w:tc>
        <w:tc>
          <w:tcPr>
            <w:tcW w:w="4253" w:type="dxa"/>
            <w:tcBorders>
              <w:top w:val="outset" w:color="auto" w:sz="6" w:space="0"/>
              <w:left w:val="outset" w:color="auto" w:sz="6" w:space="0"/>
              <w:bottom w:val="outset" w:color="auto" w:sz="6" w:space="0"/>
              <w:right w:val="outset" w:color="auto" w:sz="6" w:space="0"/>
            </w:tcBorders>
            <w:vAlign w:val="center"/>
          </w:tcPr>
          <w:p>
            <w:pPr>
              <w:spacing w:line="360" w:lineRule="exact"/>
              <w:rPr>
                <w:rFonts w:cs="宋体" w:asciiTheme="minorEastAsia" w:hAnsiTheme="minorEastAsia" w:eastAsiaTheme="minorEastAsia"/>
                <w:color w:val="0D0D0D"/>
              </w:rPr>
            </w:pPr>
            <w:r>
              <w:rPr>
                <w:rFonts w:hint="eastAsia" w:cs="宋体" w:asciiTheme="minorEastAsia" w:hAnsiTheme="minorEastAsia" w:eastAsiaTheme="minorEastAsia"/>
                <w:color w:val="0D0D0D"/>
              </w:rPr>
              <w:t>农药经营许可证复印件并加盖公章</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cs="宋体" w:asciiTheme="minorEastAsia" w:hAnsiTheme="minorEastAsia" w:eastAsiaTheme="minorEastAsia"/>
                <w:color w:val="0D0D0D"/>
              </w:rPr>
            </w:pPr>
            <w:r>
              <w:rPr>
                <w:rFonts w:hint="eastAsia" w:cs="宋体" w:asciiTheme="minorEastAsia" w:hAnsiTheme="minorEastAsia" w:eastAsiaTheme="minorEastAsia"/>
                <w:color w:val="0D0D0D"/>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hint="eastAsia" w:asciiTheme="minorEastAsia" w:hAnsiTheme="minorEastAsia" w:eastAsiaTheme="minorEastAsia"/>
                <w:color w:val="0D0D0D"/>
                <w:lang w:eastAsia="zh-CN"/>
              </w:rPr>
            </w:pPr>
            <w:r>
              <w:rPr>
                <w:rFonts w:hint="eastAsia" w:cs="Tahoma" w:asciiTheme="minorEastAsia" w:hAnsiTheme="minorEastAsia" w:eastAsiaTheme="minorEastAsia"/>
                <w:color w:val="0D0D0D"/>
                <w:lang w:val="en-US" w:eastAsia="zh-CN"/>
              </w:rPr>
              <w:t>4</w:t>
            </w:r>
          </w:p>
        </w:tc>
        <w:tc>
          <w:tcPr>
            <w:tcW w:w="2410"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0D0D0D"/>
              </w:rPr>
            </w:pPr>
            <w:r>
              <w:rPr>
                <w:rFonts w:hint="eastAsia" w:cs="宋体" w:asciiTheme="minorEastAsia" w:hAnsiTheme="minorEastAsia" w:eastAsiaTheme="minorEastAsia"/>
                <w:color w:val="0D0D0D"/>
              </w:rPr>
              <w:t>财务状况</w:t>
            </w:r>
          </w:p>
        </w:tc>
        <w:tc>
          <w:tcPr>
            <w:tcW w:w="425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Theme="minorEastAsia" w:hAnsiTheme="minorEastAsia" w:eastAsiaTheme="minorEastAsia"/>
                <w:color w:val="0D0D0D"/>
              </w:rPr>
            </w:pPr>
            <w:r>
              <w:rPr>
                <w:rFonts w:hint="eastAsia" w:cs="宋体" w:asciiTheme="minorEastAsia" w:hAnsiTheme="minorEastAsia" w:eastAsiaTheme="minorEastAsia"/>
                <w:color w:val="0D0D0D"/>
              </w:rPr>
              <w:t>提供</w:t>
            </w:r>
            <w:r>
              <w:rPr>
                <w:rFonts w:cs="宋体" w:asciiTheme="minorEastAsia" w:hAnsiTheme="minorEastAsia" w:eastAsiaTheme="minorEastAsia"/>
                <w:color w:val="0D0D0D"/>
              </w:rPr>
              <w:t>20</w:t>
            </w:r>
            <w:r>
              <w:rPr>
                <w:rFonts w:hint="eastAsia" w:cs="宋体" w:asciiTheme="minorEastAsia" w:hAnsiTheme="minorEastAsia" w:eastAsiaTheme="minorEastAsia"/>
                <w:color w:val="0D0D0D"/>
              </w:rPr>
              <w:t>20年度经审计的财务报告或开户银行资信证明</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34"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hint="eastAsia" w:cs="宋体" w:asciiTheme="minorEastAsia" w:hAnsiTheme="minorEastAsia" w:eastAsiaTheme="minorEastAsia"/>
                <w:color w:val="0D0D0D"/>
                <w:kern w:val="0"/>
                <w:lang w:eastAsia="zh-CN"/>
              </w:rPr>
            </w:pPr>
            <w:r>
              <w:rPr>
                <w:rFonts w:hint="eastAsia" w:cs="宋体" w:asciiTheme="minorEastAsia" w:hAnsiTheme="minorEastAsia" w:eastAsiaTheme="minorEastAsia"/>
                <w:color w:val="0D0D0D"/>
                <w:kern w:val="0"/>
                <w:lang w:val="en-US" w:eastAsia="zh-CN"/>
              </w:rPr>
              <w:t>5</w:t>
            </w:r>
          </w:p>
        </w:tc>
        <w:tc>
          <w:tcPr>
            <w:tcW w:w="2410" w:type="dxa"/>
            <w:tcBorders>
              <w:top w:val="outset" w:color="auto" w:sz="6" w:space="0"/>
              <w:left w:val="outset" w:color="auto" w:sz="6" w:space="0"/>
              <w:bottom w:val="outset" w:color="auto" w:sz="6" w:space="0"/>
              <w:right w:val="outset" w:color="auto" w:sz="6" w:space="0"/>
            </w:tcBorders>
            <w:vAlign w:val="center"/>
          </w:tcPr>
          <w:p>
            <w:pPr>
              <w:rPr>
                <w:rFonts w:cs="宋体" w:asciiTheme="minorEastAsia" w:hAnsiTheme="minorEastAsia" w:eastAsiaTheme="minorEastAsia"/>
                <w:color w:val="0D0D0D"/>
                <w:kern w:val="0"/>
              </w:rPr>
            </w:pPr>
            <w:r>
              <w:rPr>
                <w:rFonts w:hint="eastAsia" w:cs="宋体" w:asciiTheme="minorEastAsia" w:hAnsiTheme="minorEastAsia" w:eastAsiaTheme="minorEastAsia"/>
                <w:color w:val="0D0D0D"/>
                <w:kern w:val="0"/>
              </w:rPr>
              <w:t>依法缴纳税收和社会保障资金的相关材料</w:t>
            </w:r>
          </w:p>
        </w:tc>
        <w:tc>
          <w:tcPr>
            <w:tcW w:w="4253" w:type="dxa"/>
            <w:tcBorders>
              <w:top w:val="outset" w:color="auto" w:sz="6" w:space="0"/>
              <w:left w:val="outset" w:color="auto" w:sz="6" w:space="0"/>
              <w:bottom w:val="outset" w:color="auto" w:sz="6" w:space="0"/>
              <w:right w:val="outset" w:color="auto" w:sz="6" w:space="0"/>
            </w:tcBorders>
            <w:vAlign w:val="center"/>
          </w:tcPr>
          <w:p>
            <w:pPr>
              <w:spacing w:line="360" w:lineRule="exact"/>
              <w:rPr>
                <w:rFonts w:cs="宋体" w:asciiTheme="minorEastAsia" w:hAnsiTheme="minorEastAsia" w:eastAsiaTheme="minorEastAsia"/>
                <w:color w:val="0D0D0D"/>
                <w:kern w:val="0"/>
              </w:rPr>
            </w:pPr>
            <w:r>
              <w:rPr>
                <w:rFonts w:hint="eastAsia" w:cs="宋体" w:asciiTheme="minorEastAsia" w:hAnsiTheme="minorEastAsia" w:eastAsiaTheme="minorEastAsia"/>
              </w:rPr>
              <w:t>投标人依法缴纳近一年内任意一个月税收的相关凭证，及投标人依法缴纳近一年内任意一个月社会保险的相关凭证（包括社会保险的凭据（专用收据或社会保险缴纳清单），依法免税或不需要缴纳社会保障资金的投标人，应提供相应文件证明其依法免税或不需要缴纳社会保障资金）</w:t>
            </w:r>
          </w:p>
        </w:tc>
        <w:tc>
          <w:tcPr>
            <w:tcW w:w="2286" w:type="dxa"/>
            <w:tcBorders>
              <w:top w:val="outset" w:color="auto" w:sz="6" w:space="0"/>
              <w:left w:val="outset" w:color="auto" w:sz="6" w:space="0"/>
              <w:bottom w:val="outset" w:color="auto" w:sz="6" w:space="0"/>
              <w:right w:val="outset" w:color="auto" w:sz="6" w:space="0"/>
            </w:tcBorders>
            <w:vAlign w:val="center"/>
          </w:tcPr>
          <w:p>
            <w:pPr>
              <w:rPr>
                <w:rFonts w:cs="宋体" w:asciiTheme="minorEastAsia" w:hAnsiTheme="minorEastAsia" w:eastAsiaTheme="minorEastAsia"/>
                <w:color w:val="0D0D0D"/>
                <w:kern w:val="0"/>
              </w:rPr>
            </w:pPr>
            <w:r>
              <w:rPr>
                <w:rFonts w:hint="eastAsia" w:cs="Courier New" w:asciiTheme="minorEastAsia" w:hAnsiTheme="minorEastAsia" w:eastAsiaTheme="minorEastAsia"/>
                <w:color w:val="000000"/>
              </w:rPr>
              <w:t>相关凭证真实有效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908"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hint="eastAsia" w:asciiTheme="minorEastAsia" w:hAnsiTheme="minorEastAsia" w:eastAsiaTheme="minorEastAsia"/>
                <w:color w:val="0D0D0D"/>
                <w:lang w:eastAsia="zh-CN"/>
              </w:rPr>
            </w:pPr>
            <w:r>
              <w:rPr>
                <w:rFonts w:hint="eastAsia" w:cs="Tahoma" w:asciiTheme="minorEastAsia" w:hAnsiTheme="minorEastAsia" w:eastAsiaTheme="minorEastAsia"/>
                <w:color w:val="0D0D0D"/>
                <w:lang w:val="en-US" w:eastAsia="zh-CN"/>
              </w:rPr>
              <w:t>6</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劳动合同及社会保险</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Theme="minorEastAsia" w:hAnsiTheme="minorEastAsia" w:eastAsiaTheme="minorEastAsia"/>
                <w:color w:val="0D0D0D"/>
              </w:rPr>
            </w:pPr>
            <w:r>
              <w:rPr>
                <w:rFonts w:hint="eastAsia" w:cs="宋体" w:asciiTheme="minorEastAsia" w:hAnsiTheme="minorEastAsia" w:eastAsiaTheme="minorEastAsia"/>
                <w:color w:val="0D0D0D"/>
              </w:rPr>
              <w:t>委托代理人（如有）与投标人签订的有效劳动合同及投标人为委托代理人缴纳的</w:t>
            </w:r>
            <w:r>
              <w:rPr>
                <w:rFonts w:cs="宋体" w:asciiTheme="minorEastAsia" w:hAnsiTheme="minorEastAsia" w:eastAsiaTheme="minorEastAsia"/>
                <w:color w:val="0D0D0D"/>
              </w:rPr>
              <w:t>20</w:t>
            </w:r>
            <w:r>
              <w:rPr>
                <w:rFonts w:hint="eastAsia" w:cs="宋体" w:asciiTheme="minorEastAsia" w:hAnsiTheme="minorEastAsia" w:eastAsiaTheme="minorEastAsia"/>
                <w:color w:val="0D0D0D"/>
              </w:rPr>
              <w:t>21年</w:t>
            </w:r>
            <w:r>
              <w:rPr>
                <w:rFonts w:hint="eastAsia" w:cs="宋体" w:asciiTheme="minorEastAsia" w:hAnsiTheme="minorEastAsia" w:eastAsiaTheme="minorEastAsia"/>
                <w:color w:val="0D0D0D"/>
                <w:lang w:val="en-US" w:eastAsia="zh-CN"/>
              </w:rPr>
              <w:t>11</w:t>
            </w:r>
            <w:r>
              <w:rPr>
                <w:rFonts w:hint="eastAsia" w:cs="宋体" w:asciiTheme="minorEastAsia" w:hAnsiTheme="minorEastAsia" w:eastAsiaTheme="minorEastAsia"/>
                <w:color w:val="0D0D0D"/>
              </w:rPr>
              <w:t>月至</w:t>
            </w:r>
            <w:r>
              <w:rPr>
                <w:rFonts w:cs="宋体" w:asciiTheme="minorEastAsia" w:hAnsiTheme="minorEastAsia" w:eastAsiaTheme="minorEastAsia"/>
                <w:color w:val="0D0D0D"/>
              </w:rPr>
              <w:t>20</w:t>
            </w:r>
            <w:r>
              <w:rPr>
                <w:rFonts w:hint="eastAsia" w:cs="宋体" w:asciiTheme="minorEastAsia" w:hAnsiTheme="minorEastAsia" w:eastAsiaTheme="minorEastAsia"/>
                <w:color w:val="0D0D0D"/>
              </w:rPr>
              <w:t>2</w:t>
            </w:r>
            <w:r>
              <w:rPr>
                <w:rFonts w:hint="eastAsia" w:cs="宋体" w:asciiTheme="minorEastAsia" w:hAnsiTheme="minorEastAsia" w:eastAsiaTheme="minorEastAsia"/>
                <w:color w:val="0D0D0D"/>
                <w:lang w:val="en-US" w:eastAsia="zh-CN"/>
              </w:rPr>
              <w:t>2</w:t>
            </w:r>
            <w:r>
              <w:rPr>
                <w:rFonts w:hint="eastAsia" w:cs="宋体" w:asciiTheme="minorEastAsia" w:hAnsiTheme="minorEastAsia" w:eastAsiaTheme="minorEastAsia"/>
                <w:color w:val="0D0D0D"/>
              </w:rPr>
              <w:t>年</w:t>
            </w:r>
            <w:r>
              <w:rPr>
                <w:rFonts w:hint="eastAsia" w:cs="宋体" w:asciiTheme="minorEastAsia" w:hAnsiTheme="minorEastAsia" w:eastAsiaTheme="minorEastAsia"/>
                <w:color w:val="0D0D0D"/>
                <w:lang w:val="en-US" w:eastAsia="zh-CN"/>
              </w:rPr>
              <w:t>4</w:t>
            </w:r>
            <w:r>
              <w:rPr>
                <w:rFonts w:hint="eastAsia" w:cs="宋体" w:asciiTheme="minorEastAsia" w:hAnsiTheme="minorEastAsia" w:eastAsiaTheme="minorEastAsia"/>
                <w:color w:val="0D0D0D"/>
              </w:rPr>
              <w:t>月养老保险缴费证明（养老保险缴费证明需由社保机构出具），企业法定代表人参与此项不需提供</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劳动合同书</w:t>
            </w:r>
          </w:p>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养老保险缴费证明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52"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hint="eastAsia" w:cs="Tahoma" w:asciiTheme="minorEastAsia" w:hAnsiTheme="minorEastAsia" w:eastAsiaTheme="minorEastAsia"/>
                <w:color w:val="0D0D0D"/>
                <w:lang w:eastAsia="zh-CN"/>
              </w:rPr>
            </w:pPr>
            <w:r>
              <w:rPr>
                <w:rFonts w:hint="eastAsia" w:cs="Tahoma" w:asciiTheme="minorEastAsia" w:hAnsiTheme="minorEastAsia" w:eastAsiaTheme="minorEastAsia"/>
                <w:color w:val="0D0D0D"/>
                <w:lang w:val="en-US" w:eastAsia="zh-CN"/>
              </w:rPr>
              <w:t>7</w:t>
            </w:r>
          </w:p>
        </w:tc>
        <w:tc>
          <w:tcPr>
            <w:tcW w:w="2410"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0D0D0D"/>
              </w:rPr>
            </w:pPr>
            <w:r>
              <w:rPr>
                <w:rFonts w:hint="eastAsia" w:cs="宋体" w:asciiTheme="minorEastAsia" w:hAnsiTheme="minorEastAsia" w:eastAsiaTheme="minorEastAsia"/>
                <w:color w:val="0D0D0D"/>
              </w:rPr>
              <w:t>投标人资格声明</w:t>
            </w:r>
          </w:p>
        </w:tc>
        <w:tc>
          <w:tcPr>
            <w:tcW w:w="425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Theme="minorEastAsia" w:hAnsiTheme="minorEastAsia" w:eastAsiaTheme="minorEastAsia"/>
                <w:color w:val="0D0D0D"/>
              </w:rPr>
            </w:pPr>
            <w:r>
              <w:rPr>
                <w:rFonts w:hint="eastAsia" w:cs="宋体" w:asciiTheme="minorEastAsia" w:hAnsiTheme="minorEastAsia" w:eastAsiaTheme="minorEastAsia"/>
                <w:color w:val="0D0D0D"/>
              </w:rPr>
              <w:t>格式详见第六章投标文件格式</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32"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hint="eastAsia" w:cs="Tahoma" w:asciiTheme="minorEastAsia" w:hAnsiTheme="minorEastAsia" w:eastAsiaTheme="minorEastAsia"/>
                <w:color w:val="0D0D0D"/>
                <w:lang w:eastAsia="zh-CN"/>
              </w:rPr>
            </w:pPr>
            <w:r>
              <w:rPr>
                <w:rFonts w:hint="eastAsia" w:cs="Tahoma" w:asciiTheme="minorEastAsia" w:hAnsiTheme="minorEastAsia" w:eastAsiaTheme="minorEastAsia"/>
                <w:color w:val="0D0D0D"/>
                <w:lang w:val="en-US" w:eastAsia="zh-CN"/>
              </w:rPr>
              <w:t>8</w:t>
            </w:r>
          </w:p>
        </w:tc>
        <w:tc>
          <w:tcPr>
            <w:tcW w:w="2410"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0D0D0D"/>
                <w:kern w:val="0"/>
                <w:shd w:val="clear" w:color="auto" w:fill="FFFFFF"/>
              </w:rPr>
            </w:pPr>
            <w:r>
              <w:rPr>
                <w:rFonts w:hint="eastAsia" w:cs="宋体" w:asciiTheme="minorEastAsia" w:hAnsiTheme="minorEastAsia" w:eastAsiaTheme="minorEastAsia"/>
                <w:color w:val="0D0D0D"/>
                <w:kern w:val="0"/>
                <w:shd w:val="clear" w:color="auto" w:fill="FFFFFF"/>
              </w:rPr>
              <w:t>投标声明函</w:t>
            </w:r>
          </w:p>
        </w:tc>
        <w:tc>
          <w:tcPr>
            <w:tcW w:w="425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Theme="minorEastAsia" w:hAnsiTheme="minorEastAsia" w:eastAsiaTheme="minorEastAsia"/>
                <w:color w:val="0D0D0D"/>
              </w:rPr>
            </w:pPr>
            <w:r>
              <w:rPr>
                <w:rFonts w:hint="eastAsia" w:cs="宋体" w:asciiTheme="minorEastAsia" w:hAnsiTheme="minorEastAsia" w:eastAsiaTheme="minorEastAsia"/>
                <w:color w:val="0D0D0D"/>
              </w:rPr>
              <w:t>格式详见第六章投标文件格式</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asciiTheme="minorEastAsia" w:hAnsiTheme="minorEastAsia" w:eastAsiaTheme="minorEastAsia"/>
                <w:color w:val="0D0D0D"/>
              </w:rPr>
            </w:pPr>
            <w:r>
              <w:rPr>
                <w:rFonts w:hint="eastAsia" w:cs="宋体" w:asciiTheme="minorEastAsia" w:hAnsiTheme="minorEastAsia" w:eastAsiaTheme="minorEastAsia"/>
                <w:color w:val="0D0D0D"/>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15" w:hRule="atLeast"/>
          <w:tblCellSpacing w:w="0" w:type="dxa"/>
        </w:trPr>
        <w:tc>
          <w:tcPr>
            <w:tcW w:w="567"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hint="default" w:cs="Tahoma" w:asciiTheme="minorEastAsia" w:hAnsiTheme="minorEastAsia" w:eastAsiaTheme="minorEastAsia"/>
                <w:color w:val="0D0D0D"/>
                <w:lang w:val="en-US" w:eastAsia="zh-CN"/>
              </w:rPr>
            </w:pPr>
            <w:r>
              <w:rPr>
                <w:rFonts w:hint="eastAsia" w:cs="Tahoma" w:asciiTheme="minorEastAsia" w:hAnsiTheme="minorEastAsia" w:eastAsiaTheme="minorEastAsia"/>
                <w:color w:val="0D0D0D"/>
                <w:lang w:val="en-US" w:eastAsia="zh-CN"/>
              </w:rPr>
              <w:t>9</w:t>
            </w:r>
          </w:p>
        </w:tc>
        <w:tc>
          <w:tcPr>
            <w:tcW w:w="2410" w:type="dxa"/>
            <w:tcBorders>
              <w:top w:val="outset" w:color="auto" w:sz="6" w:space="0"/>
              <w:left w:val="outset" w:color="auto" w:sz="6" w:space="0"/>
              <w:bottom w:val="outset" w:color="auto" w:sz="6" w:space="0"/>
              <w:right w:val="outset" w:color="auto" w:sz="6" w:space="0"/>
            </w:tcBorders>
            <w:vAlign w:val="center"/>
          </w:tcPr>
          <w:p>
            <w:pPr>
              <w:spacing w:line="400" w:lineRule="exact"/>
              <w:rPr>
                <w:rFonts w:cs="宋体" w:asciiTheme="minorEastAsia" w:hAnsiTheme="minorEastAsia" w:eastAsiaTheme="minorEastAsia"/>
                <w:color w:val="0D0D0D"/>
                <w:highlight w:val="yellow"/>
              </w:rPr>
            </w:pPr>
            <w:r>
              <w:rPr>
                <w:rFonts w:hint="eastAsia" w:cs="宋体" w:asciiTheme="minorEastAsia" w:hAnsiTheme="minorEastAsia" w:eastAsiaTheme="minorEastAsia"/>
                <w:color w:val="0D0D0D"/>
              </w:rPr>
              <w:t>疫情期间现场投标承诺书</w:t>
            </w:r>
          </w:p>
        </w:tc>
        <w:tc>
          <w:tcPr>
            <w:tcW w:w="4253"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cs="宋体" w:asciiTheme="minorEastAsia" w:hAnsiTheme="minorEastAsia" w:eastAsiaTheme="minorEastAsia"/>
                <w:color w:val="0D0D0D"/>
              </w:rPr>
            </w:pPr>
            <w:r>
              <w:rPr>
                <w:rFonts w:hint="eastAsia" w:cs="宋体" w:asciiTheme="minorEastAsia" w:hAnsiTheme="minorEastAsia" w:eastAsiaTheme="minorEastAsia"/>
                <w:color w:val="0D0D0D"/>
              </w:rPr>
              <w:t>格式详见第六章投标文件格式</w:t>
            </w:r>
          </w:p>
        </w:tc>
        <w:tc>
          <w:tcPr>
            <w:tcW w:w="228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rPr>
                <w:rFonts w:cs="宋体" w:asciiTheme="minorEastAsia" w:hAnsiTheme="minorEastAsia" w:eastAsiaTheme="minorEastAsia"/>
                <w:color w:val="0D0D0D"/>
              </w:rPr>
            </w:pPr>
            <w:r>
              <w:rPr>
                <w:rFonts w:hint="eastAsia" w:cs="宋体" w:asciiTheme="minorEastAsia" w:hAnsiTheme="minorEastAsia" w:eastAsiaTheme="minorEastAsia"/>
                <w:color w:val="0D0D0D"/>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077" w:hRule="atLeast"/>
          <w:tblCellSpacing w:w="0" w:type="dxa"/>
        </w:trPr>
        <w:tc>
          <w:tcPr>
            <w:tcW w:w="567" w:type="dxa"/>
            <w:tcBorders>
              <w:top w:val="outset" w:color="auto" w:sz="6" w:space="0"/>
              <w:left w:val="outset" w:color="auto" w:sz="6" w:space="0"/>
              <w:bottom w:val="outset" w:color="ACA899" w:sz="6" w:space="0"/>
              <w:right w:val="outset" w:color="auto" w:sz="6" w:space="0"/>
            </w:tcBorders>
            <w:vAlign w:val="center"/>
          </w:tcPr>
          <w:p>
            <w:pPr>
              <w:spacing w:line="280" w:lineRule="exact"/>
              <w:jc w:val="center"/>
              <w:rPr>
                <w:rFonts w:hint="eastAsia" w:cs="宋体" w:asciiTheme="minorEastAsia" w:hAnsiTheme="minorEastAsia" w:eastAsiaTheme="minorEastAsia"/>
                <w:color w:val="0D0D0D"/>
                <w:kern w:val="0"/>
                <w:lang w:eastAsia="zh-CN"/>
              </w:rPr>
            </w:pPr>
            <w:r>
              <w:rPr>
                <w:rFonts w:hint="eastAsia" w:cs="宋体" w:asciiTheme="minorEastAsia" w:hAnsiTheme="minorEastAsia" w:eastAsiaTheme="minorEastAsia"/>
                <w:b/>
                <w:color w:val="0D0D0D"/>
                <w:kern w:val="0"/>
              </w:rPr>
              <w:t>1</w:t>
            </w:r>
            <w:r>
              <w:rPr>
                <w:rFonts w:hint="eastAsia" w:cs="宋体" w:asciiTheme="minorEastAsia" w:hAnsiTheme="minorEastAsia" w:eastAsiaTheme="minorEastAsia"/>
                <w:b/>
                <w:color w:val="0D0D0D"/>
                <w:kern w:val="0"/>
                <w:lang w:val="en-US" w:eastAsia="zh-CN"/>
              </w:rPr>
              <w:t>0</w:t>
            </w:r>
          </w:p>
        </w:tc>
        <w:tc>
          <w:tcPr>
            <w:tcW w:w="8949" w:type="dxa"/>
            <w:gridSpan w:val="3"/>
            <w:tcBorders>
              <w:top w:val="outset" w:color="auto" w:sz="6" w:space="0"/>
              <w:left w:val="outset" w:color="auto" w:sz="6" w:space="0"/>
              <w:bottom w:val="outset" w:color="ACA899" w:sz="6" w:space="0"/>
              <w:right w:val="outset" w:color="auto" w:sz="6" w:space="0"/>
            </w:tcBorders>
            <w:vAlign w:val="center"/>
          </w:tcPr>
          <w:p>
            <w:pPr>
              <w:spacing w:line="260" w:lineRule="exact"/>
              <w:jc w:val="left"/>
              <w:rPr>
                <w:rFonts w:cs="宋体" w:asciiTheme="minorEastAsia" w:hAnsiTheme="minorEastAsia" w:eastAsiaTheme="minorEastAsia"/>
                <w:b/>
                <w:color w:val="0D0D0D"/>
                <w:kern w:val="0"/>
              </w:rPr>
            </w:pPr>
            <w:r>
              <w:rPr>
                <w:rFonts w:hint="eastAsia" w:cs="宋体" w:asciiTheme="minorEastAsia" w:hAnsiTheme="minorEastAsia" w:eastAsiaTheme="minorEastAsia"/>
                <w:b/>
                <w:color w:val="0D0D0D"/>
                <w:kern w:val="0"/>
              </w:rPr>
              <w:t>备注：</w:t>
            </w:r>
          </w:p>
          <w:p>
            <w:pPr>
              <w:spacing w:line="260" w:lineRule="exact"/>
              <w:jc w:val="left"/>
              <w:rPr>
                <w:rFonts w:cs="宋体" w:asciiTheme="minorEastAsia" w:hAnsiTheme="minorEastAsia" w:eastAsiaTheme="minorEastAsia"/>
                <w:b/>
                <w:color w:val="0D0D0D"/>
                <w:kern w:val="0"/>
              </w:rPr>
            </w:pPr>
            <w:r>
              <w:rPr>
                <w:rFonts w:hint="eastAsia" w:cs="宋体" w:asciiTheme="minorEastAsia" w:hAnsiTheme="minorEastAsia" w:eastAsiaTheme="minorEastAsia"/>
                <w:b/>
                <w:color w:val="0D0D0D"/>
                <w:kern w:val="0"/>
              </w:rPr>
              <w:t>1、上述（1）～（</w:t>
            </w:r>
            <w:r>
              <w:rPr>
                <w:rFonts w:hint="eastAsia" w:cs="宋体" w:asciiTheme="minorEastAsia" w:hAnsiTheme="minorEastAsia" w:eastAsiaTheme="minorEastAsia"/>
                <w:b/>
                <w:color w:val="0D0D0D"/>
                <w:kern w:val="0"/>
                <w:lang w:val="en-US" w:eastAsia="zh-CN"/>
              </w:rPr>
              <w:t>9</w:t>
            </w:r>
            <w:r>
              <w:rPr>
                <w:rFonts w:hint="eastAsia" w:cs="宋体" w:asciiTheme="minorEastAsia" w:hAnsiTheme="minorEastAsia" w:eastAsiaTheme="minorEastAsia"/>
                <w:b/>
                <w:color w:val="0D0D0D"/>
                <w:kern w:val="0"/>
              </w:rPr>
              <w:t>）中任何一条不符合要求 ，则资格审查不通过；</w:t>
            </w:r>
          </w:p>
          <w:p>
            <w:pPr>
              <w:rPr>
                <w:rFonts w:cs="宋体" w:asciiTheme="minorEastAsia" w:hAnsiTheme="minorEastAsia" w:eastAsiaTheme="minorEastAsia"/>
                <w:b/>
                <w:color w:val="0D0D0D"/>
                <w:kern w:val="0"/>
              </w:rPr>
            </w:pPr>
          </w:p>
        </w:tc>
      </w:tr>
    </w:tbl>
    <w:p>
      <w:pPr>
        <w:spacing w:beforeLines="35"/>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四、评审细则</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本次评审采用综合评分法（总分100分）。评审委员会对投标人的报价、商务技术方案等方面进行评审。评审委员会根据评审情况，对各投标人的商务技术、报价进行统一打分，各投标人的技术由评审委员会在分值范围内进行独立打分。所有分值均在小数点后保留2位小数。</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每个投标人最终得分=报价分+商务技术分</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评审委员会推荐得分最高的投标人为第一中标候选人（如果得分相同，则按投标人报价从低到高顺序推荐为中标候选人；如果投标报价相同，则按投标人商务技术得分由高到低推荐中标候选人；如果商务技术得分也相同，则抽签决定），并编写评审报告。</w:t>
      </w:r>
    </w:p>
    <w:p>
      <w:pPr>
        <w:spacing w:beforeLines="35"/>
        <w:ind w:firstLine="420" w:firstLineChars="200"/>
        <w:rPr>
          <w:rFonts w:asciiTheme="minorEastAsia" w:hAnsiTheme="minorEastAsia" w:eastAsiaTheme="minorEastAsia"/>
        </w:rPr>
      </w:pPr>
      <w:r>
        <w:rPr>
          <w:rFonts w:hint="eastAsia" w:asciiTheme="minorEastAsia" w:hAnsiTheme="minorEastAsia" w:eastAsiaTheme="minorEastAsia"/>
        </w:rPr>
        <w:t>1、</w:t>
      </w:r>
      <w:r>
        <w:rPr>
          <w:rFonts w:hint="eastAsia" w:asciiTheme="majorEastAsia" w:hAnsiTheme="majorEastAsia" w:eastAsiaTheme="majorEastAsia" w:cstheme="majorEastAsia"/>
          <w:bCs/>
          <w:color w:val="000000" w:themeColor="text1"/>
          <w:sz w:val="24"/>
          <w14:textFill>
            <w14:solidFill>
              <w14:schemeClr w14:val="tx1"/>
            </w14:solidFill>
          </w14:textFill>
        </w:rPr>
        <w:t>商务技术标评分标准（70分）</w:t>
      </w:r>
    </w:p>
    <w:tbl>
      <w:tblPr>
        <w:tblStyle w:val="54"/>
        <w:tblpPr w:leftFromText="180" w:rightFromText="180" w:vertAnchor="text" w:horzAnchor="page" w:tblpX="1585" w:tblpY="466"/>
        <w:tblOverlap w:val="never"/>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970"/>
        <w:gridCol w:w="469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Pr>
          <w:p>
            <w:pPr>
              <w:spacing w:line="240" w:lineRule="auto"/>
            </w:pPr>
            <w:r>
              <w:rPr>
                <w:rFonts w:hint="eastAsia" w:asciiTheme="majorEastAsia" w:hAnsiTheme="majorEastAsia" w:eastAsiaTheme="majorEastAsia" w:cstheme="majorEastAsia"/>
              </w:rPr>
              <w:t>评分内容</w:t>
            </w:r>
          </w:p>
        </w:tc>
        <w:tc>
          <w:tcPr>
            <w:tcW w:w="970" w:type="dxa"/>
          </w:tcPr>
          <w:p>
            <w:pPr>
              <w:spacing w:line="240" w:lineRule="auto"/>
            </w:pPr>
            <w:r>
              <w:rPr>
                <w:rFonts w:hint="eastAsia" w:asciiTheme="majorEastAsia" w:hAnsiTheme="majorEastAsia" w:eastAsiaTheme="majorEastAsia" w:cstheme="majorEastAsia"/>
              </w:rPr>
              <w:t>总分值</w:t>
            </w:r>
          </w:p>
        </w:tc>
        <w:tc>
          <w:tcPr>
            <w:tcW w:w="4690" w:type="dxa"/>
          </w:tcPr>
          <w:p>
            <w:pPr>
              <w:spacing w:line="240" w:lineRule="auto"/>
              <w:jc w:val="center"/>
            </w:pPr>
            <w:r>
              <w:rPr>
                <w:rFonts w:hint="eastAsia" w:asciiTheme="majorEastAsia" w:hAnsiTheme="majorEastAsia" w:eastAsiaTheme="majorEastAsia" w:cstheme="majorEastAsia"/>
              </w:rPr>
              <w:t>评分标准</w:t>
            </w:r>
          </w:p>
        </w:tc>
        <w:tc>
          <w:tcPr>
            <w:tcW w:w="1480" w:type="dxa"/>
          </w:tcPr>
          <w:p>
            <w:pPr>
              <w:spacing w:line="240" w:lineRule="auto"/>
            </w:pPr>
            <w:r>
              <w:rPr>
                <w:rFonts w:hint="eastAsia" w:asciiTheme="majorEastAsia" w:hAnsiTheme="majorEastAsia" w:eastAsiaTheme="majorEastAsia" w:cstheme="maj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Align w:val="center"/>
          </w:tcPr>
          <w:p>
            <w:pPr>
              <w:spacing w:line="240" w:lineRule="auto"/>
              <w:jc w:val="left"/>
              <w:rPr>
                <w:rFonts w:ascii="宋体" w:hAnsi="宋体" w:cs="宋体"/>
                <w:szCs w:val="24"/>
              </w:rPr>
            </w:pPr>
            <w:r>
              <w:rPr>
                <w:rFonts w:hint="eastAsia" w:ascii="宋体" w:hAnsi="宋体" w:cs="宋体"/>
              </w:rPr>
              <w:t>企业仓库与门面总面积</w:t>
            </w:r>
          </w:p>
        </w:tc>
        <w:tc>
          <w:tcPr>
            <w:tcW w:w="970"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15</w:t>
            </w:r>
          </w:p>
        </w:tc>
        <w:tc>
          <w:tcPr>
            <w:tcW w:w="4690" w:type="dxa"/>
            <w:vAlign w:val="center"/>
          </w:tcPr>
          <w:p>
            <w:pPr>
              <w:spacing w:line="240" w:lineRule="auto"/>
              <w:jc w:val="left"/>
              <w:rPr>
                <w:rFonts w:ascii="宋体" w:hAnsi="宋体" w:cs="宋体"/>
              </w:rPr>
            </w:pPr>
            <w:r>
              <w:rPr>
                <w:rFonts w:hint="eastAsia" w:ascii="宋体" w:hAnsi="宋体" w:cs="宋体"/>
                <w:lang w:val="en-US" w:eastAsia="zh-CN"/>
              </w:rPr>
              <w:t>100</w:t>
            </w:r>
            <w:r>
              <w:rPr>
                <w:rFonts w:hint="eastAsia" w:ascii="宋体" w:hAnsi="宋体" w:cs="宋体"/>
              </w:rPr>
              <w:t>平方米≤仓库与门面总面积＜</w:t>
            </w:r>
            <w:r>
              <w:rPr>
                <w:rFonts w:hint="eastAsia" w:ascii="宋体" w:hAnsi="宋体" w:cs="宋体"/>
                <w:lang w:val="en-US" w:eastAsia="zh-CN"/>
              </w:rPr>
              <w:t>3</w:t>
            </w:r>
            <w:r>
              <w:rPr>
                <w:rFonts w:hint="eastAsia" w:ascii="宋体" w:hAnsi="宋体" w:cs="宋体"/>
              </w:rPr>
              <w:t>00平方米得</w:t>
            </w:r>
            <w:r>
              <w:rPr>
                <w:rFonts w:hint="eastAsia" w:ascii="宋体" w:hAnsi="宋体" w:cs="宋体"/>
                <w:lang w:val="en-US" w:eastAsia="zh-CN"/>
              </w:rPr>
              <w:t>3</w:t>
            </w:r>
            <w:r>
              <w:rPr>
                <w:rFonts w:hint="eastAsia" w:ascii="宋体" w:hAnsi="宋体" w:cs="宋体"/>
              </w:rPr>
              <w:t>分；</w:t>
            </w:r>
          </w:p>
          <w:p>
            <w:pPr>
              <w:spacing w:line="240" w:lineRule="auto"/>
              <w:jc w:val="left"/>
              <w:rPr>
                <w:rFonts w:ascii="宋体" w:hAnsi="宋体" w:cs="宋体"/>
              </w:rPr>
            </w:pPr>
            <w:r>
              <w:rPr>
                <w:rFonts w:hint="eastAsia" w:ascii="宋体" w:hAnsi="宋体" w:cs="宋体"/>
                <w:lang w:val="en-US" w:eastAsia="zh-CN"/>
              </w:rPr>
              <w:t>3</w:t>
            </w:r>
            <w:r>
              <w:rPr>
                <w:rFonts w:hint="eastAsia" w:ascii="宋体" w:hAnsi="宋体" w:cs="宋体"/>
              </w:rPr>
              <w:t>00平方米≤仓库与门面总面积＜</w:t>
            </w:r>
            <w:r>
              <w:rPr>
                <w:rFonts w:hint="eastAsia" w:ascii="宋体" w:hAnsi="宋体" w:cs="宋体"/>
                <w:lang w:val="en-US" w:eastAsia="zh-CN"/>
              </w:rPr>
              <w:t>50</w:t>
            </w:r>
            <w:r>
              <w:rPr>
                <w:rFonts w:hint="eastAsia" w:ascii="宋体" w:hAnsi="宋体" w:cs="宋体"/>
              </w:rPr>
              <w:t>0平方米得</w:t>
            </w:r>
            <w:r>
              <w:rPr>
                <w:rFonts w:hint="eastAsia" w:ascii="宋体" w:hAnsi="宋体" w:cs="宋体"/>
                <w:lang w:val="en-US" w:eastAsia="zh-CN"/>
              </w:rPr>
              <w:t>6</w:t>
            </w:r>
            <w:r>
              <w:rPr>
                <w:rFonts w:hint="eastAsia" w:ascii="宋体" w:hAnsi="宋体" w:cs="宋体"/>
              </w:rPr>
              <w:t>分；</w:t>
            </w:r>
          </w:p>
          <w:p>
            <w:pPr>
              <w:spacing w:line="240" w:lineRule="auto"/>
              <w:jc w:val="left"/>
              <w:rPr>
                <w:rFonts w:hint="eastAsia" w:ascii="宋体" w:hAnsi="宋体" w:cs="宋体"/>
              </w:rPr>
            </w:pPr>
            <w:r>
              <w:rPr>
                <w:rFonts w:hint="eastAsia" w:ascii="宋体" w:hAnsi="宋体" w:cs="宋体"/>
                <w:lang w:val="en-US" w:eastAsia="zh-CN"/>
              </w:rPr>
              <w:t>500</w:t>
            </w:r>
            <w:r>
              <w:rPr>
                <w:rFonts w:hint="eastAsia" w:ascii="宋体" w:hAnsi="宋体" w:cs="宋体"/>
              </w:rPr>
              <w:t>平方米≤仓库与门面总面积＜</w:t>
            </w:r>
            <w:r>
              <w:rPr>
                <w:rFonts w:hint="eastAsia" w:ascii="宋体" w:hAnsi="宋体" w:cs="宋体"/>
                <w:lang w:val="en-US" w:eastAsia="zh-CN"/>
              </w:rPr>
              <w:t>1000</w:t>
            </w:r>
            <w:r>
              <w:rPr>
                <w:rFonts w:hint="eastAsia" w:ascii="宋体" w:hAnsi="宋体" w:cs="宋体"/>
              </w:rPr>
              <w:t>平方米得</w:t>
            </w:r>
            <w:r>
              <w:rPr>
                <w:rFonts w:hint="eastAsia" w:ascii="宋体" w:hAnsi="宋体" w:cs="宋体"/>
                <w:lang w:val="en-US" w:eastAsia="zh-CN"/>
              </w:rPr>
              <w:t>9</w:t>
            </w:r>
            <w:r>
              <w:rPr>
                <w:rFonts w:hint="eastAsia" w:ascii="宋体" w:hAnsi="宋体" w:cs="宋体"/>
              </w:rPr>
              <w:t>分；</w:t>
            </w:r>
          </w:p>
          <w:p>
            <w:pPr>
              <w:spacing w:line="240" w:lineRule="auto"/>
              <w:jc w:val="left"/>
              <w:rPr>
                <w:rFonts w:hint="eastAsia" w:ascii="宋体" w:hAnsi="宋体" w:cs="宋体"/>
                <w:lang w:eastAsia="zh-CN"/>
              </w:rPr>
            </w:pPr>
            <w:r>
              <w:rPr>
                <w:rFonts w:hint="eastAsia" w:ascii="宋体" w:hAnsi="宋体" w:cs="宋体"/>
                <w:lang w:val="en-US" w:eastAsia="zh-CN"/>
              </w:rPr>
              <w:t>1000</w:t>
            </w:r>
            <w:r>
              <w:rPr>
                <w:rFonts w:hint="eastAsia" w:ascii="宋体" w:hAnsi="宋体" w:cs="宋体"/>
              </w:rPr>
              <w:t>平方米≤仓库与门面总面积＜</w:t>
            </w:r>
            <w:r>
              <w:rPr>
                <w:rFonts w:hint="eastAsia" w:ascii="宋体" w:hAnsi="宋体" w:cs="宋体"/>
                <w:lang w:val="en-US" w:eastAsia="zh-CN"/>
              </w:rPr>
              <w:t>3000</w:t>
            </w:r>
            <w:r>
              <w:rPr>
                <w:rFonts w:hint="eastAsia" w:ascii="宋体" w:hAnsi="宋体" w:cs="宋体"/>
              </w:rPr>
              <w:t>平方米得</w:t>
            </w:r>
            <w:r>
              <w:rPr>
                <w:rFonts w:hint="eastAsia" w:ascii="宋体" w:hAnsi="宋体" w:cs="宋体"/>
                <w:lang w:val="en-US" w:eastAsia="zh-CN"/>
              </w:rPr>
              <w:t>12</w:t>
            </w:r>
            <w:r>
              <w:rPr>
                <w:rFonts w:hint="eastAsia" w:ascii="宋体" w:hAnsi="宋体" w:cs="宋体"/>
              </w:rPr>
              <w:t>分</w:t>
            </w:r>
            <w:r>
              <w:rPr>
                <w:rFonts w:hint="eastAsia" w:ascii="宋体" w:hAnsi="宋体" w:cs="宋体"/>
                <w:lang w:eastAsia="zh-CN"/>
              </w:rPr>
              <w:t>；</w:t>
            </w:r>
          </w:p>
          <w:p>
            <w:pPr>
              <w:spacing w:line="240" w:lineRule="auto"/>
              <w:jc w:val="left"/>
              <w:rPr>
                <w:rFonts w:hint="eastAsia" w:ascii="宋体" w:hAnsi="宋体" w:cs="宋体"/>
                <w:lang w:eastAsia="zh-CN"/>
              </w:rPr>
            </w:pPr>
            <w:r>
              <w:rPr>
                <w:rFonts w:hint="eastAsia" w:ascii="宋体" w:hAnsi="宋体" w:cs="宋体"/>
                <w:lang w:val="en-US" w:eastAsia="zh-CN"/>
              </w:rPr>
              <w:t>3000</w:t>
            </w:r>
            <w:r>
              <w:rPr>
                <w:rFonts w:hint="eastAsia" w:ascii="宋体" w:hAnsi="宋体" w:cs="宋体"/>
              </w:rPr>
              <w:t>平方米≤仓库与门面总面积得</w:t>
            </w:r>
            <w:r>
              <w:rPr>
                <w:rFonts w:hint="eastAsia" w:ascii="宋体" w:hAnsi="宋体" w:cs="宋体"/>
                <w:lang w:val="en-US" w:eastAsia="zh-CN"/>
              </w:rPr>
              <w:t>15</w:t>
            </w:r>
            <w:r>
              <w:rPr>
                <w:rFonts w:hint="eastAsia" w:ascii="宋体" w:hAnsi="宋体" w:cs="宋体"/>
              </w:rPr>
              <w:t>分</w:t>
            </w:r>
          </w:p>
        </w:tc>
        <w:tc>
          <w:tcPr>
            <w:tcW w:w="1480" w:type="dxa"/>
            <w:vAlign w:val="center"/>
          </w:tcPr>
          <w:p>
            <w:pPr>
              <w:spacing w:line="240" w:lineRule="auto"/>
              <w:jc w:val="left"/>
              <w:rPr>
                <w:rFonts w:ascii="宋体" w:hAnsi="宋体" w:cs="宋体"/>
                <w:szCs w:val="24"/>
              </w:rPr>
            </w:pPr>
            <w:r>
              <w:rPr>
                <w:rFonts w:hint="eastAsia" w:ascii="宋体" w:hAnsi="宋体" w:cs="宋体"/>
              </w:rPr>
              <w:t>以房产证或房屋租赁协议为准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Align w:val="center"/>
          </w:tcPr>
          <w:p>
            <w:pPr>
              <w:spacing w:line="240" w:lineRule="auto"/>
              <w:jc w:val="left"/>
              <w:rPr>
                <w:rFonts w:ascii="宋体" w:hAnsi="宋体" w:cs="宋体"/>
                <w:szCs w:val="24"/>
              </w:rPr>
            </w:pPr>
            <w:r>
              <w:rPr>
                <w:rFonts w:hint="eastAsia" w:ascii="宋体" w:hAnsi="宋体" w:cs="宋体"/>
              </w:rPr>
              <w:t>企业配送车辆</w:t>
            </w:r>
          </w:p>
        </w:tc>
        <w:tc>
          <w:tcPr>
            <w:tcW w:w="970"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15</w:t>
            </w:r>
          </w:p>
        </w:tc>
        <w:tc>
          <w:tcPr>
            <w:tcW w:w="4690" w:type="dxa"/>
            <w:vAlign w:val="center"/>
          </w:tcPr>
          <w:p>
            <w:pPr>
              <w:spacing w:line="240" w:lineRule="auto"/>
              <w:jc w:val="left"/>
              <w:rPr>
                <w:rFonts w:ascii="宋体" w:hAnsi="宋体" w:cs="宋体"/>
              </w:rPr>
            </w:pPr>
            <w:r>
              <w:rPr>
                <w:rFonts w:hint="eastAsia" w:ascii="宋体" w:hAnsi="宋体" w:cs="宋体"/>
              </w:rPr>
              <w:t>企业拥有运输车辆1-2台得</w:t>
            </w:r>
            <w:r>
              <w:rPr>
                <w:rFonts w:hint="eastAsia" w:ascii="宋体" w:hAnsi="宋体" w:cs="宋体"/>
                <w:lang w:val="en-US" w:eastAsia="zh-CN"/>
              </w:rPr>
              <w:t>5</w:t>
            </w:r>
            <w:r>
              <w:rPr>
                <w:rFonts w:hint="eastAsia" w:ascii="宋体" w:hAnsi="宋体" w:cs="宋体"/>
              </w:rPr>
              <w:t>分，</w:t>
            </w:r>
          </w:p>
          <w:p>
            <w:pPr>
              <w:spacing w:line="240" w:lineRule="auto"/>
              <w:jc w:val="left"/>
              <w:rPr>
                <w:rFonts w:ascii="宋体" w:hAnsi="宋体" w:cs="宋体"/>
              </w:rPr>
            </w:pPr>
            <w:r>
              <w:rPr>
                <w:rFonts w:hint="eastAsia" w:ascii="宋体" w:hAnsi="宋体" w:cs="宋体"/>
              </w:rPr>
              <w:t>企业拥有运输车辆3-</w:t>
            </w:r>
            <w:r>
              <w:rPr>
                <w:rFonts w:hint="eastAsia" w:ascii="宋体" w:hAnsi="宋体" w:cs="宋体"/>
                <w:lang w:val="en-US" w:eastAsia="zh-CN"/>
              </w:rPr>
              <w:t>4</w:t>
            </w:r>
            <w:r>
              <w:rPr>
                <w:rFonts w:hint="eastAsia" w:ascii="宋体" w:hAnsi="宋体" w:cs="宋体"/>
              </w:rPr>
              <w:t>台得</w:t>
            </w:r>
            <w:r>
              <w:rPr>
                <w:rFonts w:hint="eastAsia" w:ascii="宋体" w:hAnsi="宋体" w:cs="宋体"/>
                <w:lang w:val="en-US" w:eastAsia="zh-CN"/>
              </w:rPr>
              <w:t>10</w:t>
            </w:r>
            <w:r>
              <w:rPr>
                <w:rFonts w:hint="eastAsia" w:ascii="宋体" w:hAnsi="宋体" w:cs="宋体"/>
              </w:rPr>
              <w:t>分，</w:t>
            </w:r>
          </w:p>
          <w:p>
            <w:pPr>
              <w:spacing w:line="240" w:lineRule="auto"/>
              <w:jc w:val="left"/>
              <w:rPr>
                <w:rFonts w:ascii="宋体" w:hAnsi="宋体" w:cs="宋体"/>
                <w:szCs w:val="24"/>
              </w:rPr>
            </w:pPr>
            <w:r>
              <w:rPr>
                <w:rFonts w:hint="eastAsia" w:ascii="宋体" w:hAnsi="宋体" w:cs="宋体"/>
              </w:rPr>
              <w:t>企业拥有运输车辆5台或以上得1</w:t>
            </w:r>
            <w:r>
              <w:rPr>
                <w:rFonts w:hint="eastAsia" w:ascii="宋体" w:hAnsi="宋体" w:cs="宋体"/>
                <w:lang w:val="en-US" w:eastAsia="zh-CN"/>
              </w:rPr>
              <w:t>5</w:t>
            </w:r>
            <w:r>
              <w:rPr>
                <w:rFonts w:hint="eastAsia" w:ascii="宋体" w:hAnsi="宋体" w:cs="宋体"/>
              </w:rPr>
              <w:t>分；</w:t>
            </w:r>
          </w:p>
        </w:tc>
        <w:tc>
          <w:tcPr>
            <w:tcW w:w="1480" w:type="dxa"/>
            <w:vAlign w:val="center"/>
          </w:tcPr>
          <w:p>
            <w:pPr>
              <w:spacing w:line="240" w:lineRule="auto"/>
              <w:jc w:val="left"/>
              <w:rPr>
                <w:rFonts w:ascii="宋体" w:hAnsi="宋体" w:cs="宋体"/>
                <w:szCs w:val="24"/>
              </w:rPr>
            </w:pPr>
            <w:r>
              <w:rPr>
                <w:rFonts w:hint="eastAsia" w:ascii="宋体" w:hAnsi="宋体" w:cs="宋体"/>
              </w:rPr>
              <w:t>以车辆行驶证为准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Align w:val="center"/>
          </w:tcPr>
          <w:p>
            <w:pPr>
              <w:spacing w:line="240" w:lineRule="auto"/>
              <w:jc w:val="left"/>
              <w:rPr>
                <w:rFonts w:ascii="宋体" w:hAnsi="宋体" w:cs="宋体"/>
                <w:szCs w:val="24"/>
              </w:rPr>
            </w:pPr>
            <w:r>
              <w:rPr>
                <w:rFonts w:hint="eastAsia" w:ascii="宋体" w:hAnsi="宋体" w:cs="宋体"/>
              </w:rPr>
              <w:t>企业是否营运作过</w:t>
            </w:r>
            <w:r>
              <w:rPr>
                <w:rFonts w:hint="eastAsia" w:ascii="宋体" w:hAnsi="宋体" w:cs="宋体"/>
                <w:lang w:eastAsia="zh-CN"/>
              </w:rPr>
              <w:t>省市区级</w:t>
            </w:r>
            <w:r>
              <w:rPr>
                <w:rFonts w:hint="eastAsia" w:ascii="宋体" w:hAnsi="宋体" w:cs="宋体"/>
              </w:rPr>
              <w:t>涉农项目</w:t>
            </w:r>
          </w:p>
        </w:tc>
        <w:tc>
          <w:tcPr>
            <w:tcW w:w="970" w:type="dxa"/>
            <w:vAlign w:val="center"/>
          </w:tcPr>
          <w:p>
            <w:pPr>
              <w:spacing w:line="240" w:lineRule="auto"/>
              <w:jc w:val="center"/>
              <w:rPr>
                <w:rFonts w:hint="default" w:ascii="宋体" w:hAnsi="宋体" w:eastAsia="宋体" w:cs="宋体"/>
                <w:szCs w:val="24"/>
                <w:lang w:val="en-US" w:eastAsia="zh-CN"/>
              </w:rPr>
            </w:pPr>
            <w:r>
              <w:rPr>
                <w:rFonts w:hint="eastAsia" w:ascii="宋体" w:hAnsi="宋体" w:cs="宋体"/>
                <w:szCs w:val="24"/>
                <w:lang w:val="en-US" w:eastAsia="zh-CN"/>
              </w:rPr>
              <w:t>15</w:t>
            </w:r>
          </w:p>
        </w:tc>
        <w:tc>
          <w:tcPr>
            <w:tcW w:w="4690" w:type="dxa"/>
            <w:vAlign w:val="center"/>
          </w:tcPr>
          <w:p>
            <w:pPr>
              <w:spacing w:line="240" w:lineRule="auto"/>
              <w:jc w:val="left"/>
              <w:rPr>
                <w:rFonts w:ascii="宋体" w:hAnsi="宋体" w:cs="宋体"/>
                <w:szCs w:val="24"/>
              </w:rPr>
            </w:pPr>
            <w:r>
              <w:rPr>
                <w:rFonts w:hint="eastAsia" w:ascii="宋体" w:hAnsi="宋体" w:cs="宋体"/>
              </w:rPr>
              <w:t>运作一次得</w:t>
            </w:r>
            <w:r>
              <w:rPr>
                <w:rFonts w:hint="eastAsia" w:ascii="宋体" w:hAnsi="宋体" w:cs="宋体"/>
                <w:lang w:val="en-US" w:eastAsia="zh-CN"/>
              </w:rPr>
              <w:t>5</w:t>
            </w:r>
            <w:r>
              <w:rPr>
                <w:rFonts w:hint="eastAsia" w:ascii="宋体" w:hAnsi="宋体" w:cs="宋体"/>
              </w:rPr>
              <w:t>分，运作二次得</w:t>
            </w:r>
            <w:r>
              <w:rPr>
                <w:rFonts w:hint="eastAsia" w:ascii="宋体" w:hAnsi="宋体" w:cs="宋体"/>
                <w:lang w:val="en-US" w:eastAsia="zh-CN"/>
              </w:rPr>
              <w:t>10</w:t>
            </w:r>
            <w:r>
              <w:rPr>
                <w:rFonts w:hint="eastAsia" w:ascii="宋体" w:hAnsi="宋体" w:cs="宋体"/>
              </w:rPr>
              <w:t>分，三次以上得1</w:t>
            </w:r>
            <w:r>
              <w:rPr>
                <w:rFonts w:hint="eastAsia" w:ascii="宋体" w:hAnsi="宋体" w:cs="宋体"/>
                <w:lang w:val="en-US" w:eastAsia="zh-CN"/>
              </w:rPr>
              <w:t>5</w:t>
            </w:r>
            <w:r>
              <w:rPr>
                <w:rFonts w:hint="eastAsia" w:ascii="宋体" w:hAnsi="宋体" w:cs="宋体"/>
              </w:rPr>
              <w:t>分；</w:t>
            </w:r>
          </w:p>
        </w:tc>
        <w:tc>
          <w:tcPr>
            <w:tcW w:w="1480" w:type="dxa"/>
            <w:vAlign w:val="center"/>
          </w:tcPr>
          <w:p>
            <w:pPr>
              <w:spacing w:line="240" w:lineRule="auto"/>
              <w:jc w:val="left"/>
              <w:rPr>
                <w:rFonts w:ascii="宋体" w:hAnsi="宋体" w:cs="宋体"/>
                <w:szCs w:val="24"/>
              </w:rPr>
            </w:pPr>
            <w:r>
              <w:rPr>
                <w:rFonts w:hint="eastAsia" w:ascii="宋体" w:hAnsi="宋体" w:cs="宋体"/>
              </w:rPr>
              <w:t>以政府文件或有关单位证明材料为准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Align w:val="center"/>
          </w:tcPr>
          <w:p>
            <w:pPr>
              <w:spacing w:line="240" w:lineRule="auto"/>
              <w:rPr>
                <w:rFonts w:ascii="宋体" w:hAnsi="宋体" w:cs="宋体"/>
                <w:sz w:val="24"/>
                <w:szCs w:val="24"/>
              </w:rPr>
            </w:pPr>
            <w:r>
              <w:rPr>
                <w:rFonts w:hint="eastAsia" w:ascii="宋体" w:hAnsi="宋体" w:cs="宋体"/>
                <w:sz w:val="24"/>
              </w:rPr>
              <w:t>企业配送制度</w:t>
            </w:r>
          </w:p>
        </w:tc>
        <w:tc>
          <w:tcPr>
            <w:tcW w:w="970" w:type="dxa"/>
            <w:vAlign w:val="center"/>
          </w:tcPr>
          <w:p>
            <w:pPr>
              <w:spacing w:line="24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c>
          <w:tcPr>
            <w:tcW w:w="4690" w:type="dxa"/>
            <w:vAlign w:val="center"/>
          </w:tcPr>
          <w:p>
            <w:pPr>
              <w:spacing w:line="240" w:lineRule="auto"/>
              <w:jc w:val="left"/>
              <w:rPr>
                <w:rFonts w:ascii="宋体" w:hAnsi="宋体" w:cs="宋体"/>
                <w:sz w:val="24"/>
                <w:szCs w:val="24"/>
              </w:rPr>
            </w:pPr>
            <w:r>
              <w:rPr>
                <w:rFonts w:hint="eastAsia" w:ascii="宋体" w:hAnsi="宋体" w:cs="宋体"/>
                <w:sz w:val="24"/>
              </w:rPr>
              <w:t>有科学合理的农药仓库管理制度（经评委评审对其可操作性、合理性、科学性酌情给分，0－</w:t>
            </w:r>
            <w:r>
              <w:rPr>
                <w:rFonts w:hint="eastAsia" w:ascii="宋体" w:hAnsi="宋体" w:cs="宋体"/>
                <w:sz w:val="24"/>
                <w:lang w:val="en-US" w:eastAsia="zh-CN"/>
              </w:rPr>
              <w:t>3</w:t>
            </w:r>
            <w:r>
              <w:rPr>
                <w:rFonts w:hint="eastAsia" w:ascii="宋体" w:hAnsi="宋体" w:cs="宋体"/>
                <w:sz w:val="24"/>
              </w:rPr>
              <w:t>分）；有科学合理的配送操作流程及管理制度（经评委评审对其可操作性、合理性、科学性酌情给分，0－</w:t>
            </w:r>
            <w:r>
              <w:rPr>
                <w:rFonts w:hint="eastAsia" w:ascii="宋体" w:hAnsi="宋体" w:cs="宋体"/>
                <w:sz w:val="24"/>
                <w:lang w:val="en-US" w:eastAsia="zh-CN"/>
              </w:rPr>
              <w:t>4</w:t>
            </w:r>
            <w:r>
              <w:rPr>
                <w:rFonts w:hint="eastAsia" w:ascii="宋体" w:hAnsi="宋体" w:cs="宋体"/>
                <w:sz w:val="24"/>
              </w:rPr>
              <w:t>分）；企业职工中有农业或农林专业大、中专或以上毕业证书的</w:t>
            </w:r>
            <w:r>
              <w:rPr>
                <w:rFonts w:hint="eastAsia" w:ascii="宋体" w:hAnsi="宋体" w:cs="宋体"/>
                <w:sz w:val="24"/>
                <w:lang w:val="en-US" w:eastAsia="zh-CN"/>
              </w:rPr>
              <w:t>每一人得2分，最高</w:t>
            </w:r>
            <w:r>
              <w:rPr>
                <w:rFonts w:hint="eastAsia" w:ascii="宋体" w:hAnsi="宋体" w:cs="宋体"/>
                <w:sz w:val="24"/>
              </w:rPr>
              <w:t>得</w:t>
            </w:r>
            <w:r>
              <w:rPr>
                <w:rFonts w:hint="eastAsia" w:ascii="宋体" w:hAnsi="宋体" w:cs="宋体"/>
                <w:sz w:val="24"/>
                <w:lang w:val="en-US" w:eastAsia="zh-CN"/>
              </w:rPr>
              <w:t>8</w:t>
            </w:r>
            <w:r>
              <w:rPr>
                <w:rFonts w:hint="eastAsia" w:ascii="宋体" w:hAnsi="宋体" w:cs="宋体"/>
                <w:sz w:val="24"/>
              </w:rPr>
              <w:t>分（企业职工提供社保部门出具的20</w:t>
            </w:r>
            <w:r>
              <w:rPr>
                <w:rFonts w:hint="eastAsia" w:ascii="宋体" w:hAnsi="宋体" w:cs="宋体"/>
                <w:sz w:val="24"/>
                <w:lang w:val="en-US" w:eastAsia="zh-CN"/>
              </w:rPr>
              <w:t>21</w:t>
            </w:r>
            <w:r>
              <w:rPr>
                <w:rFonts w:hint="eastAsia" w:ascii="宋体" w:hAnsi="宋体" w:cs="宋体"/>
                <w:sz w:val="24"/>
              </w:rPr>
              <w:t>年企业社保证明）</w:t>
            </w:r>
          </w:p>
        </w:tc>
        <w:tc>
          <w:tcPr>
            <w:tcW w:w="1480" w:type="dxa"/>
            <w:vAlign w:val="center"/>
          </w:tcPr>
          <w:p>
            <w:pPr>
              <w:spacing w:line="240" w:lineRule="auto"/>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Align w:val="center"/>
          </w:tcPr>
          <w:p>
            <w:pPr>
              <w:spacing w:line="240" w:lineRule="auto"/>
              <w:jc w:val="center"/>
              <w:rPr>
                <w:rFonts w:ascii="宋体" w:hAnsi="宋体" w:cs="宋体"/>
                <w:sz w:val="24"/>
                <w:szCs w:val="24"/>
              </w:rPr>
            </w:pPr>
            <w:r>
              <w:rPr>
                <w:rFonts w:hint="eastAsia" w:ascii="宋体" w:hAnsi="宋体" w:cs="宋体"/>
                <w:sz w:val="24"/>
              </w:rPr>
              <w:t>农药包装废弃物回收处理</w:t>
            </w:r>
          </w:p>
        </w:tc>
        <w:tc>
          <w:tcPr>
            <w:tcW w:w="970" w:type="dxa"/>
            <w:vAlign w:val="center"/>
          </w:tcPr>
          <w:p>
            <w:pPr>
              <w:spacing w:line="24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4690" w:type="dxa"/>
            <w:vAlign w:val="center"/>
          </w:tcPr>
          <w:p>
            <w:pPr>
              <w:spacing w:line="240" w:lineRule="auto"/>
              <w:jc w:val="left"/>
              <w:rPr>
                <w:rFonts w:ascii="宋体" w:hAnsi="宋体" w:cs="宋体"/>
                <w:sz w:val="24"/>
                <w:szCs w:val="24"/>
              </w:rPr>
            </w:pPr>
            <w:r>
              <w:rPr>
                <w:rFonts w:hint="eastAsia" w:ascii="宋体" w:hAnsi="宋体" w:cs="宋体"/>
                <w:sz w:val="24"/>
              </w:rPr>
              <w:t>有科学合理的回收操作流程和废弃物专用仓库管理规定（经评委评审对其可操作性、合理性、科学性酌情给分，0－</w:t>
            </w:r>
            <w:r>
              <w:rPr>
                <w:rFonts w:hint="eastAsia" w:ascii="宋体" w:hAnsi="宋体" w:cs="宋体"/>
                <w:sz w:val="24"/>
                <w:lang w:val="en-US" w:eastAsia="zh-CN"/>
              </w:rPr>
              <w:t>10</w:t>
            </w:r>
            <w:r>
              <w:rPr>
                <w:rFonts w:hint="eastAsia" w:ascii="宋体" w:hAnsi="宋体" w:cs="宋体"/>
                <w:sz w:val="24"/>
              </w:rPr>
              <w:t>分）</w:t>
            </w:r>
          </w:p>
        </w:tc>
        <w:tc>
          <w:tcPr>
            <w:tcW w:w="1480" w:type="dxa"/>
            <w:vAlign w:val="center"/>
          </w:tcPr>
          <w:p>
            <w:pPr>
              <w:spacing w:line="240" w:lineRule="auto"/>
              <w:jc w:val="left"/>
              <w:rPr>
                <w:rFonts w:ascii="宋体" w:hAnsi="宋体" w:cs="宋体"/>
              </w:rPr>
            </w:pPr>
          </w:p>
        </w:tc>
      </w:tr>
    </w:tbl>
    <w:p>
      <w:pPr>
        <w:spacing w:line="380" w:lineRule="exact"/>
        <w:ind w:firstLine="420" w:firstLineChars="200"/>
        <w:jc w:val="left"/>
        <w:rPr>
          <w:rFonts w:asciiTheme="minorEastAsia" w:hAnsiTheme="minorEastAsia" w:eastAsiaTheme="minorEastAsia"/>
        </w:rPr>
      </w:pPr>
    </w:p>
    <w:p>
      <w:pPr>
        <w:spacing w:line="380" w:lineRule="exact"/>
        <w:ind w:firstLine="480" w:firstLineChars="200"/>
        <w:jc w:val="left"/>
        <w:rPr>
          <w:rFonts w:ascii="黑体" w:hAnsi="黑体" w:eastAsia="黑体"/>
        </w:rPr>
      </w:pPr>
      <w:r>
        <w:rPr>
          <w:rFonts w:hint="eastAsia" w:asciiTheme="majorEastAsia" w:hAnsiTheme="majorEastAsia" w:eastAsiaTheme="majorEastAsia" w:cstheme="majorEastAsia"/>
          <w:bCs/>
          <w:color w:val="000000" w:themeColor="text1"/>
          <w:sz w:val="24"/>
          <w14:textFill>
            <w14:solidFill>
              <w14:schemeClr w14:val="tx1"/>
            </w14:solidFill>
          </w14:textFill>
        </w:rPr>
        <w:t>2、价格标评分标准（30分）</w:t>
      </w:r>
    </w:p>
    <w:p>
      <w:pPr>
        <w:widowControl/>
        <w:tabs>
          <w:tab w:val="left" w:pos="0"/>
          <w:tab w:val="left" w:pos="993"/>
          <w:tab w:val="left" w:pos="1134"/>
        </w:tabs>
        <w:adjustRightInd w:val="0"/>
        <w:snapToGrid w:val="0"/>
        <w:spacing w:line="360" w:lineRule="auto"/>
        <w:ind w:firstLine="480" w:firstLineChars="200"/>
        <w:rPr>
          <w:rFonts w:asciiTheme="majorEastAsia" w:hAnsiTheme="majorEastAsia" w:eastAsiaTheme="majorEastAsia" w:cstheme="majorEastAsia"/>
          <w:bCs/>
          <w:color w:val="000000" w:themeColor="text1"/>
          <w:sz w:val="24"/>
          <w14:textFill>
            <w14:solidFill>
              <w14:schemeClr w14:val="tx1"/>
            </w14:solidFill>
          </w14:textFill>
        </w:rPr>
      </w:pPr>
      <w:r>
        <w:rPr>
          <w:rFonts w:hint="eastAsia" w:asciiTheme="majorEastAsia" w:hAnsiTheme="majorEastAsia" w:eastAsiaTheme="majorEastAsia" w:cstheme="majorEastAsia"/>
          <w:bCs/>
          <w:color w:val="000000" w:themeColor="text1"/>
          <w:sz w:val="24"/>
          <w14:textFill>
            <w14:solidFill>
              <w14:schemeClr w14:val="tx1"/>
            </w14:solidFill>
          </w14:textFill>
        </w:rPr>
        <w:t>采购人设定的招标控制价：农药集中配送零差价财政补贴比例最高为20%（含配送网点补助12%）</w:t>
      </w:r>
    </w:p>
    <w:p>
      <w:pPr>
        <w:widowControl/>
        <w:tabs>
          <w:tab w:val="left" w:pos="0"/>
          <w:tab w:val="left" w:pos="993"/>
          <w:tab w:val="left" w:pos="1134"/>
        </w:tabs>
        <w:adjustRightInd w:val="0"/>
        <w:snapToGrid w:val="0"/>
        <w:spacing w:line="360" w:lineRule="auto"/>
        <w:ind w:firstLine="480" w:firstLineChars="200"/>
        <w:rPr>
          <w:rFonts w:asciiTheme="majorEastAsia" w:hAnsiTheme="majorEastAsia" w:eastAsiaTheme="majorEastAsia" w:cstheme="majorEastAsia"/>
          <w:bCs/>
          <w:color w:val="000000" w:themeColor="text1"/>
          <w:sz w:val="24"/>
          <w14:textFill>
            <w14:solidFill>
              <w14:schemeClr w14:val="tx1"/>
            </w14:solidFill>
          </w14:textFill>
        </w:rPr>
      </w:pPr>
      <w:r>
        <w:rPr>
          <w:rFonts w:hint="eastAsia" w:asciiTheme="majorEastAsia" w:hAnsiTheme="majorEastAsia" w:eastAsiaTheme="majorEastAsia" w:cstheme="majorEastAsia"/>
          <w:bCs/>
          <w:color w:val="000000" w:themeColor="text1"/>
          <w:sz w:val="24"/>
          <w14:textFill>
            <w14:solidFill>
              <w14:schemeClr w14:val="tx1"/>
            </w14:solidFill>
          </w14:textFill>
        </w:rPr>
        <w:t>a.有效投标报价的确定：不高于采购人设定的招标控制价的投标报价为有效报价，高于招标控制价为无效报价，作无效投标处理。</w:t>
      </w:r>
    </w:p>
    <w:p>
      <w:pPr>
        <w:widowControl/>
        <w:tabs>
          <w:tab w:val="left" w:pos="0"/>
          <w:tab w:val="left" w:pos="993"/>
          <w:tab w:val="left" w:pos="1134"/>
        </w:tabs>
        <w:adjustRightInd w:val="0"/>
        <w:snapToGrid w:val="0"/>
        <w:spacing w:line="360" w:lineRule="auto"/>
        <w:ind w:firstLine="480" w:firstLineChars="200"/>
        <w:rPr>
          <w:rFonts w:asciiTheme="majorEastAsia" w:hAnsiTheme="majorEastAsia" w:eastAsiaTheme="majorEastAsia" w:cstheme="majorEastAsia"/>
          <w:bCs/>
          <w:color w:val="000000" w:themeColor="text1"/>
          <w:sz w:val="24"/>
          <w14:textFill>
            <w14:solidFill>
              <w14:schemeClr w14:val="tx1"/>
            </w14:solidFill>
          </w14:textFill>
        </w:rPr>
      </w:pPr>
      <w:r>
        <w:rPr>
          <w:rFonts w:hint="eastAsia" w:asciiTheme="majorEastAsia" w:hAnsiTheme="majorEastAsia" w:eastAsiaTheme="majorEastAsia" w:cstheme="majorEastAsia"/>
          <w:bCs/>
          <w:color w:val="000000" w:themeColor="text1"/>
          <w:sz w:val="24"/>
          <w14:textFill>
            <w14:solidFill>
              <w14:schemeClr w14:val="tx1"/>
            </w14:solidFill>
          </w14:textFill>
        </w:rPr>
        <w:t>b.满足招标文件要求且投标价格最低为评标基准价，其价格分为满分30分。其他投标人的价格分按照下列公式计算（小数点保留两位）：</w:t>
      </w:r>
    </w:p>
    <w:p>
      <w:pPr>
        <w:widowControl/>
        <w:tabs>
          <w:tab w:val="left" w:pos="0"/>
          <w:tab w:val="left" w:pos="993"/>
          <w:tab w:val="left" w:pos="1134"/>
        </w:tabs>
        <w:adjustRightInd w:val="0"/>
        <w:snapToGrid w:val="0"/>
        <w:spacing w:line="360" w:lineRule="auto"/>
        <w:ind w:firstLine="480" w:firstLineChars="200"/>
        <w:rPr>
          <w:rFonts w:asciiTheme="majorEastAsia" w:hAnsiTheme="majorEastAsia" w:eastAsiaTheme="majorEastAsia" w:cstheme="majorEastAsia"/>
          <w:bCs/>
          <w:color w:val="000000" w:themeColor="text1"/>
          <w:sz w:val="24"/>
          <w14:textFill>
            <w14:solidFill>
              <w14:schemeClr w14:val="tx1"/>
            </w14:solidFill>
          </w14:textFill>
        </w:rPr>
      </w:pPr>
      <w:r>
        <w:rPr>
          <w:rFonts w:hint="eastAsia" w:asciiTheme="majorEastAsia" w:hAnsiTheme="majorEastAsia" w:eastAsiaTheme="majorEastAsia" w:cstheme="majorEastAsia"/>
          <w:bCs/>
          <w:color w:val="000000" w:themeColor="text1"/>
          <w:sz w:val="24"/>
          <w14:textFill>
            <w14:solidFill>
              <w14:schemeClr w14:val="tx1"/>
            </w14:solidFill>
          </w14:textFill>
        </w:rPr>
        <w:t>投标报价得分＝（评标基准价/投标报价）×30分</w:t>
      </w:r>
    </w:p>
    <w:p>
      <w:pPr>
        <w:spacing w:line="340" w:lineRule="exact"/>
        <w:ind w:firstLine="482" w:firstLineChars="200"/>
        <w:rPr>
          <w:rFonts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注：中小企业声明函（如符合小型和微型企业的需提供）；监狱企业证明函（如符合监狱企业的需提供）；残疾人福利性单位声明函（如符合残疾人福利性单位的需提供）。</w:t>
      </w:r>
    </w:p>
    <w:p>
      <w:pPr>
        <w:spacing w:line="340" w:lineRule="exact"/>
        <w:ind w:firstLine="482" w:firstLineChars="200"/>
        <w:rPr>
          <w:rFonts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1</w:t>
      </w:r>
      <w:r>
        <w:rPr>
          <w:rFonts w:hint="eastAsia" w:cs="宋体" w:asciiTheme="minorEastAsia" w:hAnsiTheme="minorEastAsia" w:eastAsiaTheme="minorEastAsia"/>
          <w:b/>
          <w:bCs/>
          <w:color w:val="000000"/>
          <w:sz w:val="24"/>
          <w:szCs w:val="24"/>
        </w:rPr>
        <w:t>、中小企业声明函如未提供则不能享受小型和微型企业的价格给予</w:t>
      </w:r>
      <w:r>
        <w:rPr>
          <w:rFonts w:asciiTheme="minorEastAsia" w:hAnsiTheme="minorEastAsia" w:eastAsiaTheme="minorEastAsia"/>
          <w:b/>
          <w:bCs/>
          <w:color w:val="000000"/>
          <w:sz w:val="24"/>
          <w:szCs w:val="24"/>
        </w:rPr>
        <w:t>10%</w:t>
      </w:r>
      <w:r>
        <w:rPr>
          <w:rFonts w:hint="eastAsia" w:cs="宋体" w:asciiTheme="minorEastAsia" w:hAnsiTheme="minorEastAsia" w:eastAsiaTheme="minorEastAsia"/>
          <w:b/>
          <w:bCs/>
          <w:color w:val="000000"/>
          <w:sz w:val="24"/>
          <w:szCs w:val="24"/>
        </w:rPr>
        <w:t>的扣除；用扣除后的价格作为有效报价参与评审的优惠政策。</w:t>
      </w:r>
    </w:p>
    <w:p>
      <w:pPr>
        <w:spacing w:line="340" w:lineRule="exact"/>
        <w:ind w:firstLine="482" w:firstLineChars="200"/>
        <w:rPr>
          <w:rFonts w:cs="宋体" w:asciiTheme="minorEastAsia" w:hAnsiTheme="minorEastAsia" w:eastAsiaTheme="minorEastAsia"/>
          <w:b/>
          <w:bCs/>
          <w:color w:val="000000"/>
          <w:sz w:val="24"/>
          <w:szCs w:val="24"/>
        </w:rPr>
      </w:pPr>
      <w:r>
        <w:rPr>
          <w:rFonts w:asciiTheme="minorEastAsia" w:hAnsiTheme="minorEastAsia" w:eastAsiaTheme="minorEastAsia"/>
          <w:b/>
          <w:bCs/>
          <w:color w:val="000000"/>
          <w:sz w:val="24"/>
          <w:szCs w:val="24"/>
        </w:rPr>
        <w:t>2</w:t>
      </w:r>
      <w:r>
        <w:rPr>
          <w:rFonts w:hint="eastAsia" w:cs="宋体" w:asciiTheme="minorEastAsia" w:hAnsiTheme="minorEastAsia" w:eastAsiaTheme="minorEastAsia"/>
          <w:b/>
          <w:bCs/>
          <w:color w:val="000000"/>
          <w:sz w:val="24"/>
          <w:szCs w:val="24"/>
        </w:rPr>
        <w:t>、监狱企业证明函及残疾人福利性单位声明函如未提供则不能享受残疾人福利性单位及监狱企业产品的价格给予</w:t>
      </w:r>
      <w:r>
        <w:rPr>
          <w:rFonts w:hint="eastAsia" w:asciiTheme="minorEastAsia" w:hAnsiTheme="minorEastAsia" w:eastAsiaTheme="minorEastAsia"/>
          <w:b/>
          <w:bCs/>
          <w:color w:val="000000"/>
          <w:sz w:val="24"/>
          <w:szCs w:val="24"/>
        </w:rPr>
        <w:t>10</w:t>
      </w:r>
      <w:r>
        <w:rPr>
          <w:rFonts w:asciiTheme="minorEastAsia" w:hAnsiTheme="minorEastAsia" w:eastAsiaTheme="minorEastAsia"/>
          <w:b/>
          <w:bCs/>
          <w:color w:val="000000"/>
          <w:sz w:val="24"/>
          <w:szCs w:val="24"/>
        </w:rPr>
        <w:t>%</w:t>
      </w:r>
      <w:r>
        <w:rPr>
          <w:rFonts w:hint="eastAsia" w:cs="宋体" w:asciiTheme="minorEastAsia" w:hAnsiTheme="minorEastAsia" w:eastAsiaTheme="minorEastAsia"/>
          <w:b/>
          <w:bCs/>
          <w:color w:val="000000"/>
          <w:sz w:val="24"/>
          <w:szCs w:val="24"/>
        </w:rPr>
        <w:t>的扣除；用扣除后的价格作为有效报价参与评审的优惠政策。</w:t>
      </w:r>
    </w:p>
    <w:p>
      <w:pPr>
        <w:spacing w:beforeLines="35"/>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五、定标</w:t>
      </w:r>
    </w:p>
    <w:p>
      <w:pPr>
        <w:spacing w:line="340" w:lineRule="exact"/>
        <w:ind w:firstLine="482" w:firstLineChars="200"/>
        <w:rPr>
          <w:rFonts w:asciiTheme="minorEastAsia" w:hAnsiTheme="minorEastAsia" w:eastAsiaTheme="minorEastAsia"/>
          <w:b/>
          <w:color w:val="000000"/>
          <w:sz w:val="24"/>
          <w:szCs w:val="24"/>
        </w:rPr>
      </w:pPr>
      <w:r>
        <w:rPr>
          <w:rFonts w:hint="eastAsia" w:cs="宋体" w:asciiTheme="minorEastAsia" w:hAnsiTheme="minorEastAsia" w:eastAsiaTheme="minorEastAsia"/>
          <w:b/>
          <w:color w:val="000000"/>
          <w:sz w:val="24"/>
          <w:szCs w:val="24"/>
        </w:rPr>
        <w:t>价格标得分与商务技术标得分之和为各投标人的综合得分，综合得分最高者的中标第一中标候选人；如综合得分相等，以投标报价低的优先；如投标报价也相等，则抽签确定第一中标候选人。</w:t>
      </w: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spacing w:line="380" w:lineRule="exact"/>
        <w:ind w:firstLine="420" w:firstLineChars="200"/>
        <w:jc w:val="left"/>
        <w:rPr>
          <w:rFonts w:ascii="黑体" w:hAnsi="黑体" w:eastAsia="黑体"/>
        </w:rPr>
      </w:pPr>
    </w:p>
    <w:p>
      <w:pPr>
        <w:pStyle w:val="2"/>
        <w:jc w:val="center"/>
        <w:rPr>
          <w:rFonts w:asciiTheme="majorEastAsia" w:hAnsiTheme="majorEastAsia" w:eastAsiaTheme="majorEastAsia"/>
          <w:b w:val="0"/>
          <w:bCs/>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b w:val="0"/>
          <w:bCs/>
          <w:color w:val="0D0D0D" w:themeColor="text1" w:themeTint="F2"/>
          <w14:textFill>
            <w14:solidFill>
              <w14:schemeClr w14:val="tx1">
                <w14:lumMod w14:val="95000"/>
                <w14:lumOff w14:val="5000"/>
              </w14:schemeClr>
            </w14:solidFill>
          </w14:textFill>
        </w:rPr>
        <w:t>第六章  投标</w:t>
      </w:r>
      <w:bookmarkEnd w:id="156"/>
      <w:bookmarkEnd w:id="157"/>
      <w:bookmarkEnd w:id="158"/>
      <w:r>
        <w:rPr>
          <w:rFonts w:hint="eastAsia" w:asciiTheme="majorEastAsia" w:hAnsiTheme="majorEastAsia" w:eastAsiaTheme="majorEastAsia"/>
          <w:b w:val="0"/>
          <w:bCs/>
          <w:color w:val="0D0D0D" w:themeColor="text1" w:themeTint="F2"/>
          <w14:textFill>
            <w14:solidFill>
              <w14:schemeClr w14:val="tx1">
                <w14:lumMod w14:val="95000"/>
                <w14:lumOff w14:val="5000"/>
              </w14:schemeClr>
            </w14:solidFill>
          </w14:textFill>
        </w:rPr>
        <w:t>文件格式</w:t>
      </w:r>
    </w:p>
    <w:p>
      <w:pPr>
        <w:jc w:val="center"/>
        <w:rPr>
          <w:rFonts w:asciiTheme="majorEastAsia" w:hAnsiTheme="majorEastAsia" w:eastAsiaTheme="majorEastAsia"/>
          <w:color w:val="0D0D0D" w:themeColor="text1" w:themeTint="F2"/>
          <w:sz w:val="72"/>
          <w14:textFill>
            <w14:solidFill>
              <w14:schemeClr w14:val="tx1">
                <w14:lumMod w14:val="95000"/>
                <w14:lumOff w14:val="5000"/>
              </w14:schemeClr>
            </w14:solidFill>
          </w14:textFill>
        </w:rPr>
      </w:pPr>
      <w:bookmarkStart w:id="342" w:name="_Hlt26955039"/>
      <w:bookmarkEnd w:id="342"/>
      <w:bookmarkStart w:id="343" w:name="_Hlt26671244"/>
      <w:bookmarkEnd w:id="343"/>
      <w:bookmarkStart w:id="344" w:name="_Toc26554094"/>
      <w:bookmarkStart w:id="345" w:name="_Toc120614282"/>
      <w:bookmarkStart w:id="346" w:name="_Toc49090576"/>
    </w:p>
    <w:p>
      <w:pPr>
        <w:rPr>
          <w:rFonts w:asciiTheme="majorEastAsia" w:hAnsiTheme="majorEastAsia" w:eastAsiaTheme="majorEastAsia"/>
          <w:color w:val="0D0D0D" w:themeColor="text1" w:themeTint="F2"/>
          <w:sz w:val="7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6"/>
          <w:szCs w:val="36"/>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6"/>
          <w:szCs w:val="36"/>
          <w14:textFill>
            <w14:solidFill>
              <w14:schemeClr w14:val="tx1">
                <w14:lumMod w14:val="95000"/>
                <w14:lumOff w14:val="5000"/>
              </w14:schemeClr>
            </w14:solidFill>
          </w14:textFill>
        </w:rPr>
        <w:t>投  标  文  件</w:t>
      </w:r>
    </w:p>
    <w:p>
      <w:pPr>
        <w:overflowPunct w:val="0"/>
        <w:autoSpaceDE w:val="0"/>
        <w:autoSpaceDN w:val="0"/>
        <w:adjustRightInd w:val="0"/>
        <w:ind w:left="-794" w:right="-794"/>
        <w:jc w:val="center"/>
        <w:rPr>
          <w:rFonts w:asciiTheme="majorEastAsia" w:hAnsiTheme="majorEastAsia" w:eastAsiaTheme="majorEastAsia"/>
          <w:color w:val="0D0D0D" w:themeColor="text1" w:themeTint="F2"/>
          <w:kern w:val="0"/>
          <w:sz w:val="36"/>
          <w:szCs w:val="36"/>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kern w:val="0"/>
          <w:sz w:val="36"/>
          <w:szCs w:val="36"/>
          <w14:textFill>
            <w14:solidFill>
              <w14:schemeClr w14:val="tx1">
                <w14:lumMod w14:val="95000"/>
                <w14:lumOff w14:val="5000"/>
              </w14:schemeClr>
            </w14:solidFill>
          </w14:textFill>
        </w:rPr>
        <w:t>资格审查材料/商务技术标/价格标</w:t>
      </w:r>
    </w:p>
    <w:p>
      <w:pPr>
        <w:jc w:val="center"/>
        <w:rPr>
          <w:rFonts w:asciiTheme="majorEastAsia" w:hAnsiTheme="majorEastAsia" w:eastAsiaTheme="majorEastAsia"/>
          <w:color w:val="0D0D0D" w:themeColor="text1" w:themeTint="F2"/>
          <w:sz w:val="7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7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6"/>
          <w14:textFill>
            <w14:solidFill>
              <w14:schemeClr w14:val="tx1">
                <w14:lumMod w14:val="95000"/>
                <w14:lumOff w14:val="5000"/>
              </w14:schemeClr>
            </w14:solidFill>
          </w14:textFill>
        </w:rPr>
      </w:pPr>
    </w:p>
    <w:p>
      <w:pPr>
        <w:rPr>
          <w:rFonts w:asciiTheme="majorEastAsia" w:hAnsiTheme="majorEastAsia" w:eastAsiaTheme="majorEastAsia"/>
          <w:color w:val="0D0D0D" w:themeColor="text1" w:themeTint="F2"/>
          <w:sz w:val="36"/>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6"/>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6"/>
          <w14:textFill>
            <w14:solidFill>
              <w14:schemeClr w14:val="tx1">
                <w14:lumMod w14:val="95000"/>
                <w14:lumOff w14:val="5000"/>
              </w14:schemeClr>
            </w14:solidFill>
          </w14:textFill>
        </w:rPr>
      </w:pPr>
    </w:p>
    <w:p>
      <w:pPr>
        <w:ind w:firstLine="1080" w:firstLineChars="300"/>
        <w:rPr>
          <w:rFonts w:asciiTheme="majorEastAsia" w:hAnsiTheme="majorEastAsia" w:eastAsiaTheme="majorEastAsia"/>
          <w:color w:val="0D0D0D" w:themeColor="text1" w:themeTint="F2"/>
          <w:sz w:val="36"/>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6"/>
          <w14:textFill>
            <w14:solidFill>
              <w14:schemeClr w14:val="tx1">
                <w14:lumMod w14:val="95000"/>
                <w14:lumOff w14:val="5000"/>
              </w14:schemeClr>
            </w14:solidFill>
          </w14:textFill>
        </w:rPr>
        <w:t>项 目 名 称：</w:t>
      </w:r>
    </w:p>
    <w:p>
      <w:pPr>
        <w:ind w:firstLine="1080" w:firstLineChars="300"/>
        <w:rPr>
          <w:rFonts w:asciiTheme="majorEastAsia" w:hAnsiTheme="majorEastAsia" w:eastAsiaTheme="majorEastAsia"/>
          <w:color w:val="0D0D0D" w:themeColor="text1" w:themeTint="F2"/>
          <w:sz w:val="36"/>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6"/>
          <w14:textFill>
            <w14:solidFill>
              <w14:schemeClr w14:val="tx1">
                <w14:lumMod w14:val="95000"/>
                <w14:lumOff w14:val="5000"/>
              </w14:schemeClr>
            </w14:solidFill>
          </w14:textFill>
        </w:rPr>
        <w:t>采购人名称：</w:t>
      </w:r>
    </w:p>
    <w:p>
      <w:pPr>
        <w:rPr>
          <w:rFonts w:asciiTheme="majorEastAsia" w:hAnsiTheme="majorEastAsia" w:eastAsiaTheme="majorEastAsia"/>
          <w:color w:val="0D0D0D" w:themeColor="text1" w:themeTint="F2"/>
          <w:sz w:val="36"/>
          <w:u w:val="single"/>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6"/>
          <w14:textFill>
            <w14:solidFill>
              <w14:schemeClr w14:val="tx1">
                <w14:lumMod w14:val="95000"/>
                <w14:lumOff w14:val="5000"/>
              </w14:schemeClr>
            </w14:solidFill>
          </w14:textFill>
        </w:rPr>
        <w:t xml:space="preserve">      投标人名称 ：</w:t>
      </w:r>
    </w:p>
    <w:p>
      <w:pPr>
        <w:rPr>
          <w:rFonts w:asciiTheme="majorEastAsia" w:hAnsiTheme="majorEastAsia" w:eastAsiaTheme="majorEastAsia"/>
          <w:color w:val="0D0D0D" w:themeColor="text1" w:themeTint="F2"/>
          <w:sz w:val="36"/>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6"/>
          <w14:textFill>
            <w14:solidFill>
              <w14:schemeClr w14:val="tx1">
                <w14:lumMod w14:val="95000"/>
                <w14:lumOff w14:val="5000"/>
              </w14:schemeClr>
            </w14:solidFill>
          </w14:textFill>
        </w:rPr>
        <w:t xml:space="preserve">      日      期 ：</w:t>
      </w:r>
    </w:p>
    <w:bookmarkEnd w:id="344"/>
    <w:bookmarkEnd w:id="345"/>
    <w:bookmarkEnd w:id="346"/>
    <w:p>
      <w:pPr>
        <w:keepNext/>
        <w:keepLines/>
        <w:spacing w:before="100" w:line="400" w:lineRule="exact"/>
        <w:jc w:val="center"/>
        <w:outlineLvl w:val="1"/>
        <w:rPr>
          <w:rFonts w:cs="宋体" w:asciiTheme="majorEastAsia" w:hAnsiTheme="majorEastAsia" w:eastAsiaTheme="majorEastAsia"/>
          <w:color w:val="0D0D0D" w:themeColor="text1" w:themeTint="F2"/>
          <w:sz w:val="28"/>
          <w:szCs w:val="20"/>
          <w14:textFill>
            <w14:solidFill>
              <w14:schemeClr w14:val="tx1">
                <w14:lumMod w14:val="95000"/>
                <w14:lumOff w14:val="5000"/>
              </w14:schemeClr>
            </w14:solidFill>
          </w14:textFill>
        </w:rPr>
      </w:pPr>
      <w:bookmarkStart w:id="347" w:name="_Toc120614284"/>
      <w:r>
        <w:rPr>
          <w:rFonts w:asciiTheme="majorEastAsia" w:hAnsiTheme="majorEastAsia" w:eastAsiaTheme="majorEastAsia"/>
          <w:color w:val="0D0D0D" w:themeColor="text1" w:themeTint="F2"/>
          <w14:textFill>
            <w14:solidFill>
              <w14:schemeClr w14:val="tx1">
                <w14:lumMod w14:val="95000"/>
                <w14:lumOff w14:val="5000"/>
              </w14:schemeClr>
            </w14:solidFill>
          </w14:textFill>
        </w:rPr>
        <w:br w:type="page"/>
      </w: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一、</w:t>
      </w:r>
      <w:r>
        <w:rPr>
          <w:rFonts w:hint="eastAsia" w:cs="宋体" w:asciiTheme="majorEastAsia" w:hAnsiTheme="majorEastAsia" w:eastAsiaTheme="majorEastAsia"/>
          <w:color w:val="0D0D0D" w:themeColor="text1" w:themeTint="F2"/>
          <w:sz w:val="28"/>
          <w:szCs w:val="20"/>
          <w14:textFill>
            <w14:solidFill>
              <w14:schemeClr w14:val="tx1">
                <w14:lumMod w14:val="95000"/>
                <w14:lumOff w14:val="5000"/>
              </w14:schemeClr>
            </w14:solidFill>
          </w14:textFill>
        </w:rPr>
        <w:t>法定代表人身份证明书</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投 标 人：</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单位性质：</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地    址：</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成立时间：年月日</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经营期限：</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姓    名：性     别：</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年    龄：职     务：</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系（投标人名称）的法定代表人。</w:t>
      </w:r>
    </w:p>
    <w:p>
      <w:pPr>
        <w:spacing w:line="560" w:lineRule="exact"/>
        <w:ind w:firstLine="525" w:firstLineChars="25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特此证明。</w:t>
      </w:r>
    </w:p>
    <w:p>
      <w:pPr>
        <w:spacing w:line="500" w:lineRule="exact"/>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p>
    <w:p>
      <w:pPr>
        <w:spacing w:line="500" w:lineRule="exact"/>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p>
    <w:p>
      <w:pPr>
        <w:wordWrap w:val="0"/>
        <w:spacing w:line="500" w:lineRule="exact"/>
        <w:jc w:val="right"/>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投标人：（盖单位章）</w:t>
      </w:r>
    </w:p>
    <w:p>
      <w:pPr>
        <w:wordWrap w:val="0"/>
        <w:spacing w:line="500" w:lineRule="exact"/>
        <w:ind w:right="420"/>
        <w:jc w:val="right"/>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年</w:t>
      </w: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w:t>
      </w: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月</w:t>
      </w: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w:t>
      </w: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日</w:t>
      </w:r>
    </w:p>
    <w:p>
      <w:pPr>
        <w:spacing w:line="440" w:lineRule="exact"/>
        <w:rPr>
          <w:rFonts w:asciiTheme="majorEastAsia" w:hAnsiTheme="majorEastAsia" w:eastAsiaTheme="majorEastAsia"/>
          <w:color w:val="0D0D0D" w:themeColor="text1" w:themeTint="F2"/>
          <w:sz w:val="36"/>
          <w:szCs w:val="36"/>
          <w14:textFill>
            <w14:solidFill>
              <w14:schemeClr w14:val="tx1">
                <w14:lumMod w14:val="95000"/>
                <w14:lumOff w14:val="5000"/>
              </w14:schemeClr>
            </w14:solidFill>
          </w14:textFill>
        </w:rPr>
      </w:pPr>
    </w:p>
    <w:p>
      <w:pPr>
        <w:pStyle w:val="381"/>
        <w:ind w:left="281" w:leftChars="134" w:firstLine="280" w:firstLineChars="100"/>
        <w:jc w:val="center"/>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附法定代表人身份证复印件：</w:t>
      </w:r>
      <w:r>
        <w:rPr>
          <w:rFonts w:asciiTheme="majorEastAsia" w:hAnsiTheme="majorEastAsia" w:eastAsiaTheme="majorEastAsia"/>
          <w:color w:val="0D0D0D" w:themeColor="text1" w:themeTint="F2"/>
          <w14:textFill>
            <w14:solidFill>
              <w14:schemeClr w14:val="tx1">
                <w14:lumMod w14:val="95000"/>
                <w14:lumOff w14:val="5000"/>
              </w14:schemeClr>
            </w14:solidFill>
          </w14:textFill>
        </w:rPr>
        <w:br w:type="page"/>
      </w: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二、法定代表人授权委托书</w:t>
      </w: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本授权书声明：____________（供应商名称）授权________________（被授权人的姓名）为我方就  项目采购活动的合法代理人，以本公司名义全权处理一切与该项目采购有关的事务。</w:t>
      </w: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本授权书于______年____月____日起生效，特此声明。</w:t>
      </w: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p>
    <w:p>
      <w:pPr>
        <w:pStyle w:val="381"/>
        <w:ind w:firstLine="0" w:firstLineChars="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代理人（被授权人）：_______________________</w:t>
      </w:r>
    </w:p>
    <w:p>
      <w:pPr>
        <w:pStyle w:val="381"/>
        <w:ind w:firstLine="0" w:firstLineChars="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p>
    <w:p>
      <w:pPr>
        <w:pStyle w:val="381"/>
        <w:ind w:firstLine="0" w:firstLineChars="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单位名称：_____________________________________</w:t>
      </w: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p>
    <w:p>
      <w:pPr>
        <w:pStyle w:val="381"/>
        <w:ind w:firstLine="0" w:firstLineChars="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授权单位盖章：_________________________________</w:t>
      </w: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p>
    <w:p>
      <w:pPr>
        <w:pStyle w:val="381"/>
        <w:ind w:firstLine="1080" w:firstLineChars="4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法定代表人签字</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：_____________________________________</w:t>
      </w:r>
    </w:p>
    <w:p>
      <w:pPr>
        <w:pStyle w:val="381"/>
        <w:ind w:firstLine="1080" w:firstLineChars="45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 xml:space="preserve">           日期：                    </w:t>
      </w:r>
    </w:p>
    <w:p>
      <w:pPr>
        <w:pStyle w:val="381"/>
        <w:ind w:firstLine="480"/>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p>
    <w:p>
      <w:pPr>
        <w:pStyle w:val="4"/>
        <w:rPr>
          <w:rFonts w:asciiTheme="majorEastAsia" w:hAnsiTheme="majorEastAsia" w:eastAsiaTheme="majorEastAsia"/>
          <w:b w:val="0"/>
          <w:color w:val="0D0D0D" w:themeColor="text1" w:themeTint="F2"/>
          <w14:textFill>
            <w14:solidFill>
              <w14:schemeClr w14:val="tx1">
                <w14:lumMod w14:val="95000"/>
                <w14:lumOff w14:val="5000"/>
              </w14:schemeClr>
            </w14:solidFill>
          </w14:textFill>
        </w:rPr>
      </w:pPr>
      <w:bookmarkStart w:id="348" w:name="_Hlt26671380"/>
      <w:bookmarkEnd w:id="348"/>
      <w:bookmarkStart w:id="349" w:name="_Hlt26955070"/>
      <w:bookmarkEnd w:id="349"/>
      <w:bookmarkStart w:id="350" w:name="_格式3__银行出具的资信证明"/>
      <w:bookmarkEnd w:id="350"/>
      <w:r>
        <w:rPr>
          <w:rFonts w:hint="eastAsia" w:asciiTheme="majorEastAsia" w:hAnsiTheme="majorEastAsia" w:eastAsiaTheme="majorEastAsia"/>
          <w:b w:val="0"/>
          <w:color w:val="0D0D0D" w:themeColor="text1" w:themeTint="F2"/>
          <w14:textFill>
            <w14:solidFill>
              <w14:schemeClr w14:val="tx1">
                <w14:lumMod w14:val="95000"/>
                <w14:lumOff w14:val="5000"/>
              </w14:schemeClr>
            </w14:solidFill>
          </w14:textFill>
        </w:rPr>
        <w:t>附委托代理人身份证复印件</w:t>
      </w:r>
    </w:p>
    <w:p>
      <w:pPr>
        <w:spacing w:line="360" w:lineRule="auto"/>
        <w:ind w:right="566"/>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pStyle w:val="15"/>
        <w:kinsoku w:val="0"/>
        <w:topLinePunct/>
        <w:autoSpaceDE w:val="0"/>
        <w:autoSpaceDN w:val="0"/>
        <w:snapToGrid w:val="0"/>
        <w:spacing w:line="360" w:lineRule="auto"/>
        <w:ind w:left="705" w:right="210" w:firstLine="0"/>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p>
    <w:p>
      <w:pPr>
        <w:widowControl/>
        <w:jc w:val="left"/>
        <w:rPr>
          <w:rFonts w:asciiTheme="majorEastAsia" w:hAnsiTheme="majorEastAsia" w:eastAsiaTheme="majorEastAsia"/>
          <w:color w:val="0D0D0D" w:themeColor="text1" w:themeTint="F2"/>
          <w:kern w:val="0"/>
          <w:sz w:val="36"/>
          <w:szCs w:val="36"/>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br w:type="page"/>
      </w:r>
      <w:r>
        <w:rPr>
          <w:rFonts w:hint="eastAsia" w:asciiTheme="majorEastAsia" w:hAnsiTheme="majorEastAsia" w:eastAsiaTheme="majorEastAsia"/>
          <w:color w:val="0D0D0D" w:themeColor="text1" w:themeTint="F2"/>
          <w:sz w:val="28"/>
          <w14:textFill>
            <w14:solidFill>
              <w14:schemeClr w14:val="tx1">
                <w14:lumMod w14:val="95000"/>
                <w14:lumOff w14:val="5000"/>
              </w14:schemeClr>
            </w14:solidFill>
          </w14:textFill>
        </w:rPr>
        <w:t>三、投标声明函</w:t>
      </w:r>
    </w:p>
    <w:p>
      <w:pPr>
        <w:jc w:val="left"/>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rPr>
          <w:rFonts w:asciiTheme="majorEastAsia" w:hAnsiTheme="majorEastAsia" w:eastAsiaTheme="majorEastAsia"/>
          <w:bCs/>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14:textFill>
            <w14:solidFill>
              <w14:schemeClr w14:val="tx1">
                <w14:lumMod w14:val="95000"/>
                <w14:lumOff w14:val="5000"/>
              </w14:schemeClr>
            </w14:solidFill>
          </w14:textFill>
        </w:rPr>
        <w:t>致：</w:t>
      </w:r>
      <w:r>
        <w:rPr>
          <w:rFonts w:hint="eastAsia" w:cs="宋体" w:asciiTheme="majorEastAsia" w:hAnsiTheme="majorEastAsia" w:eastAsiaTheme="majorEastAsia"/>
          <w:color w:val="0D0D0D" w:themeColor="text1" w:themeTint="F2"/>
          <w:kern w:val="0"/>
          <w:sz w:val="24"/>
          <w:szCs w:val="20"/>
          <w:u w:val="single"/>
          <w:shd w:val="clear" w:color="auto" w:fill="FFFFFF"/>
          <w14:textFill>
            <w14:solidFill>
              <w14:schemeClr w14:val="tx1">
                <w14:lumMod w14:val="95000"/>
                <w14:lumOff w14:val="5000"/>
              </w14:schemeClr>
            </w14:solidFill>
          </w14:textFill>
        </w:rPr>
        <w:t xml:space="preserve">     （采购人）      </w:t>
      </w:r>
      <w:r>
        <w:rPr>
          <w:rFonts w:hint="eastAsia" w:asciiTheme="majorEastAsia" w:hAnsiTheme="majorEastAsia" w:eastAsiaTheme="majorEastAsia"/>
          <w:bCs/>
          <w:color w:val="0D0D0D" w:themeColor="text1" w:themeTint="F2"/>
          <w:sz w:val="24"/>
          <w14:textFill>
            <w14:solidFill>
              <w14:schemeClr w14:val="tx1">
                <w14:lumMod w14:val="95000"/>
                <w14:lumOff w14:val="5000"/>
              </w14:schemeClr>
            </w14:solidFill>
          </w14:textFill>
        </w:rPr>
        <w:t xml:space="preserve">：   </w:t>
      </w:r>
    </w:p>
    <w:p>
      <w:pPr>
        <w:numPr>
          <w:ilvl w:val="1"/>
          <w:numId w:val="15"/>
        </w:numPr>
        <w:tabs>
          <w:tab w:val="left" w:pos="420"/>
          <w:tab w:val="left" w:pos="945"/>
          <w:tab w:val="left" w:pos="5382"/>
          <w:tab w:val="left" w:pos="7560"/>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bookmarkStart w:id="351" w:name="_Toc396833717"/>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我方承诺完全具备</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《中华人民共和国政府采购法》第二十二条规定的条件</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且符合、承认并承诺履行招标文件各项规定的国内法人、其他组织（不包括在港澳台地区注册成立的法人、其它组织）以及本项目招标文件规定的投标人须满足的特定条件。</w:t>
      </w:r>
    </w:p>
    <w:p>
      <w:pPr>
        <w:numPr>
          <w:ilvl w:val="1"/>
          <w:numId w:val="15"/>
        </w:numPr>
        <w:tabs>
          <w:tab w:val="left" w:pos="420"/>
          <w:tab w:val="left" w:pos="945"/>
          <w:tab w:val="left" w:pos="5382"/>
          <w:tab w:val="left" w:pos="7560"/>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我方承诺信用记录中未被“信用中国”网站(</w:t>
      </w:r>
      <w:r>
        <w:fldChar w:fldCharType="begin"/>
      </w:r>
      <w:r>
        <w:instrText xml:space="preserve"> HYPERLINK "http://www.creditchina.gov.cn" </w:instrText>
      </w:r>
      <w:r>
        <w:fldChar w:fldCharType="separate"/>
      </w:r>
      <w:r>
        <w:rPr>
          <w:rStyle w:val="60"/>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www.creditchina.gov.cn</w:t>
      </w:r>
      <w:r>
        <w:rPr>
          <w:rStyle w:val="60"/>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)、中华人民</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共和国</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最高人民法院网站</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fldChar w:fldCharType="begin"/>
      </w:r>
      <w:r>
        <w:instrText xml:space="preserve"> HYPERLINK "http://www.court.gov.cn/" </w:instrText>
      </w:r>
      <w:r>
        <w:fldChar w:fldCharType="separate"/>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http://www.court.gov.cn</w:t>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等渠道列入信用记录失信被执行人，未被中国政府采购网(</w:t>
      </w:r>
      <w:r>
        <w:fldChar w:fldCharType="begin"/>
      </w:r>
      <w:r>
        <w:instrText xml:space="preserve"> HYPERLINK "http://www.ccgp.gov.cn" </w:instrText>
      </w:r>
      <w:r>
        <w:fldChar w:fldCharType="separate"/>
      </w:r>
      <w:r>
        <w:rPr>
          <w:rStyle w:val="60"/>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www.ccgp.gov.cn</w:t>
      </w:r>
      <w:r>
        <w:rPr>
          <w:rStyle w:val="60"/>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)等渠道列入政府采购严重违法失信行为记录名单，未被中华人民共和国应急管理部网站</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fldChar w:fldCharType="begin"/>
      </w:r>
      <w:r>
        <w:instrText xml:space="preserve"> HYPERLINK "http://www.chinasafety.gov.cn/" </w:instrText>
      </w:r>
      <w:r>
        <w:fldChar w:fldCharType="separate"/>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http://www.chinasafety.gov.cn</w:t>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等渠道列入</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安全生产失信联合惩戒“</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黑名单</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 未被国家税务总局</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网站（</w:t>
      </w:r>
      <w:r>
        <w:fldChar w:fldCharType="begin"/>
      </w:r>
      <w:r>
        <w:instrText xml:space="preserve"> HYPERLINK "http://hd.chinatax.gov.cn/xxk/" </w:instrText>
      </w:r>
      <w:r>
        <w:fldChar w:fldCharType="separate"/>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http://hd.chinatax.gov.cn/xxk</w:t>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重大税收违法案件当事人名单，未被国家企业</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信用信息公示系统（</w:t>
      </w:r>
      <w:r>
        <w:fldChar w:fldCharType="begin"/>
      </w:r>
      <w:r>
        <w:instrText xml:space="preserve"> HYPERLINK "http://www.gsxt.gov.cn" </w:instrText>
      </w:r>
      <w:r>
        <w:fldChar w:fldCharType="separate"/>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http://www.gsxt.gov.cn</w:t>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经营异常名录、严重违法</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失信企业名单</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，未被</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全国公共资源交易平台（</w:t>
      </w:r>
      <w:r>
        <w:fldChar w:fldCharType="begin"/>
      </w:r>
      <w:r>
        <w:instrText xml:space="preserve"> HYPERLINK "http://www.ggzy.gov.cn" </w:instrText>
      </w:r>
      <w:r>
        <w:fldChar w:fldCharType="separate"/>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http://www.ggzy.gov.cn</w:t>
      </w:r>
      <w:r>
        <w:rPr>
          <w:rStyle w:val="60"/>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fldChar w:fldCharType="end"/>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等渠道</w:t>
      </w: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t>列入</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黑名单，否则，可将我方的投标文件按照无效投标文件处理。</w:t>
      </w:r>
    </w:p>
    <w:p>
      <w:pPr>
        <w:numPr>
          <w:ilvl w:val="1"/>
          <w:numId w:val="15"/>
        </w:numPr>
        <w:tabs>
          <w:tab w:val="left" w:pos="420"/>
          <w:tab w:val="left" w:pos="945"/>
          <w:tab w:val="left" w:pos="5382"/>
          <w:tab w:val="left" w:pos="7560"/>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我方承诺参加本次采购活动前三年内，在经营活动中没有重大违法记录，否则，可将我方的投标文件按照无效投标文件处理。</w:t>
      </w:r>
    </w:p>
    <w:p>
      <w:pPr>
        <w:numPr>
          <w:ilvl w:val="1"/>
          <w:numId w:val="15"/>
        </w:numPr>
        <w:tabs>
          <w:tab w:val="left" w:pos="420"/>
          <w:tab w:val="left" w:pos="945"/>
          <w:tab w:val="left" w:pos="5382"/>
          <w:tab w:val="left" w:pos="7560"/>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我方承诺按照本项目招标文件和相关技术标准的条件，提供货物及相关服务，并承担因货物质量或服务等引起的一切责任。</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我方对本项目招标文件（包括修改文件及有关附件）完全理解，并承诺在发生争议时，不会以对招标文件存在误解、不明为由，向你方行使任何法律上的抗辩权。</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我方投标文件有效期为自开标日起</w:t>
      </w:r>
      <w:r>
        <w:rPr>
          <w:rFonts w:hint="eastAsia" w:asciiTheme="majorEastAsia" w:hAnsiTheme="majorEastAsia" w:eastAsiaTheme="majorEastAsia"/>
          <w:color w:val="0D0D0D" w:themeColor="text1" w:themeTint="F2"/>
          <w:sz w:val="24"/>
          <w:u w:val="single"/>
          <w14:textFill>
            <w14:solidFill>
              <w14:schemeClr w14:val="tx1">
                <w14:lumMod w14:val="95000"/>
                <w14:lumOff w14:val="5000"/>
              </w14:schemeClr>
            </w14:solidFill>
          </w14:textFill>
        </w:rPr>
        <w:t>60</w:t>
      </w: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天，若中标，则投标有效期自动延续至合同履行完毕。</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我方承诺接受招标文件规定的付款方式。</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承诺投标文件中所有的资料及所作各项承诺均真实准确，所提交的营业执照/《事业单位法人证书》已依法向登记管理机关报送相应的年度报告并予以公示（或所提交的《社会团体法人登记证书》/《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委托授权(姓名：，身份证号:_________，联系电话：________)作为我方的代理人参加本项目投标，负责提交投标文件以及其它相关资料，参加开标，接受质询并予以澄清，签署、接受招投标过程中的各种法律文件，办理投标过程中的其他相关事务。</w:t>
      </w:r>
    </w:p>
    <w:p>
      <w:pPr>
        <w:numPr>
          <w:ilvl w:val="1"/>
          <w:numId w:val="15"/>
        </w:numPr>
        <w:tabs>
          <w:tab w:val="left" w:pos="525"/>
          <w:tab w:val="left" w:pos="945"/>
          <w:tab w:val="left" w:pos="5382"/>
          <w:tab w:val="clear" w:pos="562"/>
        </w:tabs>
        <w:adjustRightInd w:val="0"/>
        <w:snapToGrid w:val="0"/>
        <w:spacing w:line="360" w:lineRule="auto"/>
        <w:ind w:left="420" w:leftChars="200" w:firstLine="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我方承诺将严格遵守相关法律法规，若存在违法违规行为，将承担相应的法律后果。</w:t>
      </w:r>
    </w:p>
    <w:p>
      <w:pPr>
        <w:tabs>
          <w:tab w:val="left" w:pos="945"/>
        </w:tabs>
        <w:adjustRightInd w:val="0"/>
        <w:snapToGrid w:val="0"/>
        <w:spacing w:line="360" w:lineRule="auto"/>
        <w:ind w:left="420" w:firstLine="4320" w:firstLineChars="180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法定代表人签字或盖章：</w:t>
      </w:r>
    </w:p>
    <w:p>
      <w:pPr>
        <w:tabs>
          <w:tab w:val="left" w:pos="945"/>
        </w:tabs>
        <w:adjustRightInd w:val="0"/>
        <w:snapToGrid w:val="0"/>
        <w:spacing w:line="360" w:lineRule="auto"/>
        <w:ind w:left="420" w:firstLine="4320" w:firstLineChars="180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投标人公章：</w:t>
      </w: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14:textFill>
            <w14:solidFill>
              <w14:schemeClr w14:val="tx1">
                <w14:lumMod w14:val="95000"/>
                <w14:lumOff w14:val="5000"/>
              </w14:schemeClr>
            </w14:solidFill>
          </w14:textFill>
        </w:rPr>
        <w:t>日期：</w:t>
      </w: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adjustRightInd w:val="0"/>
        <w:snapToGrid w:val="0"/>
        <w:spacing w:line="360" w:lineRule="auto"/>
        <w:ind w:right="840" w:firstLine="4776" w:firstLineChars="1990"/>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jc w:val="center"/>
        <w:rPr>
          <w:rFonts w:ascii="宋体" w:hAnsi="宋体" w:cs="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sz w:val="28"/>
          <w:szCs w:val="28"/>
          <w14:textFill>
            <w14:solidFill>
              <w14:schemeClr w14:val="tx1">
                <w14:lumMod w14:val="95000"/>
                <w14:lumOff w14:val="5000"/>
              </w14:schemeClr>
            </w14:solidFill>
          </w14:textFill>
        </w:rPr>
        <w:t>投标人资格声明</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（1）投标人名称：                            </w:t>
      </w:r>
    </w:p>
    <w:p>
      <w:pPr>
        <w:tabs>
          <w:tab w:val="left" w:pos="4320"/>
        </w:tabs>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（2）地址：                             邮编：                   </w:t>
      </w:r>
    </w:p>
    <w:p>
      <w:pPr>
        <w:tabs>
          <w:tab w:val="left" w:pos="600"/>
          <w:tab w:val="left" w:pos="4320"/>
        </w:tabs>
        <w:spacing w:before="100" w:after="100"/>
        <w:ind w:left="158" w:leftChars="75" w:right="107" w:rightChars="51" w:firstLine="525"/>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电话：                                               </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（3）成立和/或注册日期：                         </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（4）单位性质：                                 </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（5）法定代表人或主要负责人：                    </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（6）从业人员数：</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（7）营业收入：                                  </w:t>
      </w:r>
    </w:p>
    <w:p>
      <w:pPr>
        <w:spacing w:before="100" w:after="100"/>
        <w:ind w:left="158" w:leftChars="75" w:right="107" w:rightChars="51"/>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（8）资产总额：                     </w:t>
      </w:r>
    </w:p>
    <w:p>
      <w:pPr>
        <w:spacing w:before="100" w:after="100"/>
        <w:ind w:left="568" w:leftChars="75" w:right="107" w:rightChars="51" w:hanging="410"/>
        <w:rPr>
          <w:rFonts w:ascii="宋体" w:hAnsi="宋体" w:cs="宋体"/>
          <w:color w:val="0D0D0D" w:themeColor="text1" w:themeTint="F2"/>
          <w:sz w:val="24"/>
          <w14:textFill>
            <w14:solidFill>
              <w14:schemeClr w14:val="tx1">
                <w14:lumMod w14:val="95000"/>
                <w14:lumOff w14:val="5000"/>
              </w14:schemeClr>
            </w14:solidFill>
          </w14:textFill>
        </w:rPr>
      </w:pPr>
    </w:p>
    <w:p>
      <w:pPr>
        <w:spacing w:before="100" w:after="100"/>
        <w:ind w:left="158" w:leftChars="75" w:right="107" w:rightChars="51" w:firstLine="480" w:firstLineChars="200"/>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兹证明上述声明是真实的、正确的，并提供了全部能提供的资料和数据，我们同意遵照贵方要求出示有关证明文件。</w:t>
      </w:r>
    </w:p>
    <w:p>
      <w:pPr>
        <w:spacing w:before="100" w:after="100"/>
        <w:ind w:left="158" w:leftChars="75" w:right="107" w:rightChars="51" w:firstLine="6000" w:firstLineChars="2500"/>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投标人公章：                         </w:t>
      </w:r>
    </w:p>
    <w:p>
      <w:pPr>
        <w:spacing w:before="100" w:after="100"/>
        <w:ind w:left="158" w:leftChars="75" w:right="107" w:rightChars="51" w:firstLine="1680" w:firstLineChars="700"/>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 xml:space="preserve">投标人法定代表人（主要负责人）或委托代理人签字：                          </w:t>
      </w:r>
    </w:p>
    <w:p>
      <w:pPr>
        <w:jc w:val="center"/>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日    期：    年    月    日</w:t>
      </w:r>
    </w:p>
    <w:p>
      <w:pPr>
        <w:widowControl/>
        <w:jc w:val="cente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br w:type="page"/>
      </w:r>
    </w:p>
    <w:bookmarkEnd w:id="351"/>
    <w:p>
      <w:pPr>
        <w:pStyle w:val="3"/>
        <w:ind w:firstLine="3200" w:firstLineChars="1000"/>
        <w:jc w:val="both"/>
        <w:rPr>
          <w:rFonts w:asciiTheme="majorEastAsia" w:hAnsiTheme="majorEastAsia" w:eastAsiaTheme="majorEastAsia"/>
          <w:b w:val="0"/>
          <w:bCs/>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b w:val="0"/>
          <w:color w:val="0D0D0D" w:themeColor="text1" w:themeTint="F2"/>
          <w:sz w:val="32"/>
          <w:szCs w:val="32"/>
          <w14:textFill>
            <w14:solidFill>
              <w14:schemeClr w14:val="tx1">
                <w14:lumMod w14:val="95000"/>
                <w14:lumOff w14:val="5000"/>
              </w14:schemeClr>
            </w14:solidFill>
          </w14:textFill>
        </w:rPr>
        <w:t>四、</w:t>
      </w:r>
      <w:r>
        <w:rPr>
          <w:rFonts w:hint="eastAsia" w:asciiTheme="majorEastAsia" w:hAnsiTheme="majorEastAsia" w:eastAsiaTheme="majorEastAsia"/>
          <w:b w:val="0"/>
          <w:bCs/>
          <w:color w:val="0D0D0D" w:themeColor="text1" w:themeTint="F2"/>
          <w:sz w:val="32"/>
          <w:szCs w:val="32"/>
          <w14:textFill>
            <w14:solidFill>
              <w14:schemeClr w14:val="tx1">
                <w14:lumMod w14:val="95000"/>
                <w14:lumOff w14:val="5000"/>
              </w14:schemeClr>
            </w14:solidFill>
          </w14:textFill>
        </w:rPr>
        <w:t>报价函格式</w:t>
      </w:r>
    </w:p>
    <w:p>
      <w:pPr>
        <w:rPr>
          <w:color w:val="0D0D0D" w:themeColor="text1" w:themeTint="F2"/>
          <w14:textFill>
            <w14:solidFill>
              <w14:schemeClr w14:val="tx1">
                <w14:lumMod w14:val="95000"/>
                <w14:lumOff w14:val="5000"/>
              </w14:schemeClr>
            </w14:solidFill>
          </w14:textFill>
        </w:rPr>
      </w:pPr>
    </w:p>
    <w:bookmarkEnd w:id="154"/>
    <w:bookmarkEnd w:id="155"/>
    <w:bookmarkEnd w:id="347"/>
    <w:p>
      <w:pPr>
        <w:pStyle w:val="262"/>
        <w:spacing w:before="0" w:after="0" w:line="420" w:lineRule="exact"/>
        <w:ind w:firstLineChars="200"/>
        <w:rPr>
          <w:rFonts w:asciiTheme="majorEastAsia" w:hAnsiTheme="majorEastAsia" w:eastAsiaTheme="majorEastAsia"/>
          <w:color w:val="000000" w:themeColor="text1"/>
          <w:kern w:val="2"/>
          <w:szCs w:val="21"/>
          <w:u w:val="single"/>
          <w14:textFill>
            <w14:solidFill>
              <w14:schemeClr w14:val="tx1"/>
            </w14:solidFill>
          </w14:textFill>
        </w:rPr>
      </w:pPr>
      <w:r>
        <w:rPr>
          <w:rFonts w:hint="eastAsia" w:asciiTheme="majorEastAsia" w:hAnsiTheme="majorEastAsia" w:eastAsiaTheme="majorEastAsia"/>
          <w:color w:val="000000" w:themeColor="text1"/>
          <w:kern w:val="2"/>
          <w:szCs w:val="21"/>
          <w14:textFill>
            <w14:solidFill>
              <w14:schemeClr w14:val="tx1"/>
            </w14:solidFill>
          </w14:textFill>
        </w:rPr>
        <w:t>致：</w:t>
      </w:r>
      <w:r>
        <w:rPr>
          <w:rFonts w:hint="eastAsia" w:asciiTheme="majorEastAsia" w:hAnsiTheme="majorEastAsia" w:eastAsiaTheme="majorEastAsia"/>
          <w:color w:val="000000" w:themeColor="text1"/>
          <w:kern w:val="2"/>
          <w:szCs w:val="21"/>
          <w:u w:val="single"/>
          <w14:textFill>
            <w14:solidFill>
              <w14:schemeClr w14:val="tx1"/>
            </w14:solidFill>
          </w14:textFill>
        </w:rPr>
        <w:t xml:space="preserve"> （采购人）   </w:t>
      </w:r>
    </w:p>
    <w:p>
      <w:pPr>
        <w:adjustRightInd w:val="0"/>
        <w:spacing w:line="440" w:lineRule="exact"/>
        <w:ind w:firstLine="480" w:firstLineChars="200"/>
        <w:textAlignment w:val="baseline"/>
        <w:rPr>
          <w:rFonts w:ascii="宋体" w:hAnsi="宋体"/>
          <w:color w:val="000000"/>
          <w:sz w:val="24"/>
        </w:rPr>
      </w:pPr>
      <w:bookmarkStart w:id="352" w:name="_格式2__法定代表人授权书"/>
      <w:bookmarkEnd w:id="352"/>
      <w:bookmarkStart w:id="353" w:name="_Hlt26955056"/>
      <w:bookmarkEnd w:id="353"/>
      <w:bookmarkStart w:id="354" w:name="_Hlt26955066"/>
      <w:bookmarkEnd w:id="354"/>
      <w:bookmarkStart w:id="355" w:name="_Hlt26609389"/>
      <w:bookmarkEnd w:id="355"/>
      <w:bookmarkStart w:id="356" w:name="_Hlt26580838"/>
      <w:bookmarkEnd w:id="356"/>
      <w:bookmarkStart w:id="357" w:name="_Hlt24879081"/>
      <w:bookmarkEnd w:id="357"/>
      <w:bookmarkStart w:id="358" w:name="_Hlt26782999"/>
      <w:bookmarkEnd w:id="358"/>
      <w:bookmarkStart w:id="359" w:name="_Hlt26609391"/>
      <w:bookmarkEnd w:id="359"/>
      <w:bookmarkStart w:id="360" w:name="_Hlt26671343"/>
      <w:bookmarkEnd w:id="360"/>
      <w:bookmarkStart w:id="361" w:name="_Hlt26955064"/>
      <w:bookmarkEnd w:id="361"/>
      <w:bookmarkStart w:id="362" w:name="_Hlt26671372"/>
      <w:bookmarkEnd w:id="362"/>
      <w:bookmarkStart w:id="363" w:name="_Hlt26671374"/>
      <w:bookmarkEnd w:id="363"/>
      <w:r>
        <w:rPr>
          <w:rFonts w:hint="eastAsia" w:ascii="宋体" w:hAnsi="宋体"/>
          <w:color w:val="000000"/>
          <w:sz w:val="24"/>
        </w:rPr>
        <w:t>我们收到贵单位</w:t>
      </w:r>
      <w:r>
        <w:rPr>
          <w:rFonts w:hint="eastAsia" w:ascii="宋体" w:hAnsi="宋体"/>
          <w:color w:val="000000"/>
          <w:sz w:val="24"/>
          <w:u w:val="single"/>
        </w:rPr>
        <w:t xml:space="preserve"> 　　　　　　　　　　　</w:t>
      </w:r>
      <w:r>
        <w:rPr>
          <w:rFonts w:hint="eastAsia" w:ascii="宋体" w:hAnsi="宋体"/>
          <w:color w:val="000000"/>
          <w:sz w:val="24"/>
        </w:rPr>
        <w:t>项目招标文件，经仔细阅读和研究，我们决定参加投标。</w:t>
      </w:r>
    </w:p>
    <w:p>
      <w:pPr>
        <w:spacing w:line="460" w:lineRule="exact"/>
        <w:ind w:firstLine="480"/>
        <w:rPr>
          <w:rFonts w:ascii="宋体" w:hAnsi="宋体"/>
          <w:color w:val="000000"/>
          <w:sz w:val="24"/>
        </w:rPr>
      </w:pPr>
      <w:r>
        <w:rPr>
          <w:rFonts w:hint="eastAsia" w:asciiTheme="minorEastAsia" w:hAnsiTheme="minorEastAsia" w:eastAsiaTheme="minorEastAsia"/>
          <w:color w:val="262626" w:themeColor="text1" w:themeTint="D9"/>
          <w:sz w:val="24"/>
          <w14:textFill>
            <w14:solidFill>
              <w14:schemeClr w14:val="tx1">
                <w14:lumMod w14:val="85000"/>
                <w14:lumOff w14:val="15000"/>
              </w14:schemeClr>
            </w14:solidFill>
          </w14:textFill>
        </w:rPr>
        <w:t>1、根据已收到的：</w:t>
      </w:r>
      <w:r>
        <w:rPr>
          <w:rFonts w:hint="eastAsia" w:asciiTheme="minorEastAsia" w:hAnsiTheme="minorEastAsia" w:eastAsiaTheme="minorEastAsia"/>
          <w:color w:val="262626" w:themeColor="text1" w:themeTint="D9"/>
          <w:sz w:val="24"/>
          <w:u w:val="single"/>
          <w14:textFill>
            <w14:solidFill>
              <w14:schemeClr w14:val="tx1">
                <w14:lumMod w14:val="85000"/>
                <w14:lumOff w14:val="15000"/>
              </w14:schemeClr>
            </w14:solidFill>
          </w14:textFill>
        </w:rPr>
        <w:t>　　　　　　</w:t>
      </w:r>
      <w:r>
        <w:rPr>
          <w:rFonts w:hint="eastAsia" w:asciiTheme="minorEastAsia" w:hAnsiTheme="minorEastAsia" w:eastAsiaTheme="minorEastAsia"/>
          <w:color w:val="262626" w:themeColor="text1" w:themeTint="D9"/>
          <w:sz w:val="24"/>
          <w14:textFill>
            <w14:solidFill>
              <w14:schemeClr w14:val="tx1">
                <w14:lumMod w14:val="85000"/>
                <w14:lumOff w14:val="15000"/>
              </w14:schemeClr>
            </w14:solidFill>
          </w14:textFill>
        </w:rPr>
        <w:t>招标文件（含答疑），我单位经考察现场和研究招标文件后，愿意以</w:t>
      </w:r>
      <w:r>
        <w:rPr>
          <w:rFonts w:hint="eastAsia" w:hAnsi="宋体"/>
          <w:color w:val="262626" w:themeColor="text1" w:themeTint="D9"/>
          <w:sz w:val="24"/>
          <w:u w:val="single"/>
          <w14:textFill>
            <w14:solidFill>
              <w14:schemeClr w14:val="tx1">
                <w14:lumMod w14:val="85000"/>
                <w14:lumOff w14:val="15000"/>
              </w14:schemeClr>
            </w14:solidFill>
          </w14:textFill>
        </w:rPr>
        <w:t>　　　　　</w:t>
      </w:r>
      <w:r>
        <w:rPr>
          <w:rFonts w:hint="eastAsia" w:hAnsi="宋体"/>
          <w:color w:val="262626" w:themeColor="text1" w:themeTint="D9"/>
          <w:sz w:val="24"/>
          <w14:textFill>
            <w14:solidFill>
              <w14:schemeClr w14:val="tx1">
                <w14:lumMod w14:val="85000"/>
                <w14:lumOff w14:val="15000"/>
              </w14:schemeClr>
            </w14:solidFill>
          </w14:textFill>
        </w:rPr>
        <w:t>元的投标报价（总价）</w:t>
      </w:r>
      <w:r>
        <w:rPr>
          <w:rFonts w:hint="eastAsia" w:asciiTheme="minorEastAsia" w:hAnsiTheme="minorEastAsia" w:eastAsiaTheme="minorEastAsia"/>
          <w:color w:val="262626" w:themeColor="text1" w:themeTint="D9"/>
          <w:sz w:val="24"/>
          <w14:textFill>
            <w14:solidFill>
              <w14:schemeClr w14:val="tx1">
                <w14:lumMod w14:val="85000"/>
                <w14:lumOff w14:val="15000"/>
              </w14:schemeClr>
            </w14:solidFill>
          </w14:textFill>
        </w:rPr>
        <w:t>，按招标文件的要求承接该项目。</w:t>
      </w:r>
    </w:p>
    <w:p>
      <w:pPr>
        <w:spacing w:line="4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、如果我们的投标书被接受，我们将严格履行招标文件中规定的每一项要求，按期、按质、按量履行合同的义务。</w:t>
      </w:r>
    </w:p>
    <w:p>
      <w:pPr>
        <w:adjustRightInd w:val="0"/>
        <w:spacing w:line="440" w:lineRule="exact"/>
        <w:textAlignment w:val="baseline"/>
        <w:rPr>
          <w:rFonts w:ascii="宋体" w:hAnsi="宋体"/>
          <w:color w:val="000000"/>
          <w:sz w:val="24"/>
        </w:rPr>
      </w:pPr>
      <w:r>
        <w:rPr>
          <w:rFonts w:ascii="宋体" w:hAnsi="宋体"/>
          <w:color w:val="000000"/>
          <w:sz w:val="24"/>
        </w:rPr>
        <w:t xml:space="preserve">    3</w:t>
      </w:r>
      <w:r>
        <w:rPr>
          <w:rFonts w:hint="eastAsia" w:ascii="宋体" w:hAnsi="宋体"/>
          <w:color w:val="000000"/>
          <w:sz w:val="24"/>
        </w:rPr>
        <w:t>、我们同意按招标文件中的规定，本投标书的有效期限为开标后</w:t>
      </w:r>
      <w:r>
        <w:rPr>
          <w:rFonts w:hint="eastAsia" w:ascii="宋体" w:hAnsi="宋体"/>
          <w:color w:val="000000"/>
          <w:sz w:val="24"/>
          <w:u w:val="single"/>
        </w:rPr>
        <w:t xml:space="preserve"> 60 </w:t>
      </w:r>
      <w:r>
        <w:rPr>
          <w:rFonts w:hint="eastAsia" w:ascii="宋体" w:hAnsi="宋体"/>
          <w:color w:val="000000"/>
          <w:sz w:val="24"/>
        </w:rPr>
        <w:t>天。</w:t>
      </w:r>
    </w:p>
    <w:p>
      <w:pPr>
        <w:adjustRightInd w:val="0"/>
        <w:spacing w:line="440" w:lineRule="exact"/>
        <w:textAlignment w:val="baseline"/>
        <w:rPr>
          <w:rFonts w:ascii="宋体" w:hAnsi="宋体"/>
          <w:color w:val="000000"/>
          <w:sz w:val="24"/>
        </w:rPr>
      </w:pPr>
      <w:r>
        <w:rPr>
          <w:rFonts w:ascii="宋体" w:hAnsi="宋体"/>
          <w:color w:val="000000"/>
          <w:sz w:val="24"/>
        </w:rPr>
        <w:t xml:space="preserve">    4</w:t>
      </w:r>
      <w:r>
        <w:rPr>
          <w:rFonts w:hint="eastAsia" w:ascii="宋体" w:hAnsi="宋体"/>
          <w:color w:val="000000"/>
          <w:sz w:val="24"/>
        </w:rPr>
        <w:t>、我们愿意提供招标方在招标文件中要求的所有资料。</w:t>
      </w:r>
    </w:p>
    <w:p>
      <w:pPr>
        <w:adjustRightInd w:val="0"/>
        <w:spacing w:line="440" w:lineRule="exact"/>
        <w:textAlignment w:val="baseline"/>
        <w:rPr>
          <w:rFonts w:ascii="宋体" w:hAnsi="宋体"/>
          <w:color w:val="000000"/>
          <w:sz w:val="24"/>
        </w:rPr>
      </w:pPr>
      <w:r>
        <w:rPr>
          <w:rFonts w:ascii="宋体" w:hAnsi="宋体"/>
          <w:color w:val="000000"/>
          <w:sz w:val="24"/>
        </w:rPr>
        <w:t xml:space="preserve">    5</w:t>
      </w:r>
      <w:r>
        <w:rPr>
          <w:rFonts w:hint="eastAsia" w:ascii="宋体" w:hAnsi="宋体"/>
          <w:color w:val="000000"/>
          <w:sz w:val="24"/>
        </w:rPr>
        <w:t>、我们认为你们有权决定中标者，还认为你们有权接受或拒绝所有的投标者。</w:t>
      </w:r>
    </w:p>
    <w:p>
      <w:pPr>
        <w:adjustRightInd w:val="0"/>
        <w:spacing w:line="440" w:lineRule="exact"/>
        <w:textAlignment w:val="baseline"/>
        <w:rPr>
          <w:rFonts w:ascii="宋体" w:hAnsi="宋体"/>
          <w:color w:val="000000"/>
          <w:sz w:val="24"/>
        </w:rPr>
      </w:pPr>
      <w:r>
        <w:rPr>
          <w:rFonts w:ascii="宋体" w:hAnsi="宋体"/>
          <w:color w:val="000000"/>
          <w:sz w:val="24"/>
        </w:rPr>
        <w:t xml:space="preserve">    6</w:t>
      </w:r>
      <w:r>
        <w:rPr>
          <w:rFonts w:hint="eastAsia" w:ascii="宋体" w:hAnsi="宋体"/>
          <w:color w:val="000000"/>
          <w:sz w:val="24"/>
        </w:rPr>
        <w:t>、</w:t>
      </w:r>
      <w:r>
        <w:rPr>
          <w:color w:val="000000"/>
          <w:sz w:val="24"/>
          <w:szCs w:val="24"/>
        </w:rPr>
        <w:t>我们完全理解贵方不一定要接受最低报价的投标或收到的任何投标。</w:t>
      </w:r>
    </w:p>
    <w:p>
      <w:pPr>
        <w:adjustRightInd w:val="0"/>
        <w:spacing w:line="440" w:lineRule="exact"/>
        <w:textAlignment w:val="baseline"/>
        <w:rPr>
          <w:rFonts w:ascii="宋体" w:hAnsi="宋体"/>
          <w:color w:val="000000"/>
          <w:sz w:val="24"/>
        </w:rPr>
      </w:pPr>
      <w:r>
        <w:rPr>
          <w:rFonts w:ascii="宋体" w:hAnsi="宋体"/>
          <w:color w:val="000000"/>
          <w:sz w:val="24"/>
        </w:rPr>
        <w:t xml:space="preserve">    7</w:t>
      </w:r>
      <w:r>
        <w:rPr>
          <w:rFonts w:hint="eastAsia" w:ascii="宋体" w:hAnsi="宋体"/>
          <w:color w:val="000000"/>
          <w:sz w:val="24"/>
        </w:rPr>
        <w:t>、我们承诺该项投标在开标后的全过程中保持有效，不作任何更改和变动。</w:t>
      </w:r>
    </w:p>
    <w:p>
      <w:pPr>
        <w:adjustRightInd w:val="0"/>
        <w:spacing w:line="440" w:lineRule="exact"/>
        <w:ind w:firstLine="480"/>
        <w:textAlignment w:val="baseline"/>
        <w:rPr>
          <w:rFonts w:ascii="宋体" w:hAnsi="宋体"/>
          <w:color w:val="000000"/>
          <w:sz w:val="24"/>
        </w:rPr>
      </w:pPr>
      <w:r>
        <w:rPr>
          <w:rFonts w:ascii="宋体" w:hAnsi="宋体"/>
          <w:color w:val="000000"/>
          <w:sz w:val="24"/>
        </w:rPr>
        <w:t>8</w:t>
      </w:r>
      <w:r>
        <w:rPr>
          <w:rFonts w:hint="eastAsia" w:ascii="宋体" w:hAnsi="宋体"/>
          <w:color w:val="000000"/>
          <w:sz w:val="24"/>
        </w:rPr>
        <w:t>、我们愿意按招标文件的规定交纳</w:t>
      </w:r>
      <w:r>
        <w:rPr>
          <w:rFonts w:hint="eastAsia" w:ascii="宋体" w:hAnsi="宋体"/>
          <w:color w:val="000000"/>
          <w:sz w:val="24"/>
          <w:u w:val="single"/>
        </w:rPr>
        <w:t xml:space="preserve"> / </w:t>
      </w:r>
      <w:r>
        <w:rPr>
          <w:rFonts w:hint="eastAsia" w:ascii="宋体" w:hAnsi="宋体"/>
          <w:color w:val="000000"/>
          <w:sz w:val="24"/>
        </w:rPr>
        <w:t>元的投标保证金；</w:t>
      </w:r>
    </w:p>
    <w:p>
      <w:pPr>
        <w:adjustRightInd w:val="0"/>
        <w:spacing w:line="440" w:lineRule="exact"/>
        <w:ind w:firstLine="480"/>
        <w:textAlignment w:val="baseline"/>
        <w:rPr>
          <w:rFonts w:ascii="宋体" w:hAnsi="宋体"/>
          <w:color w:val="000000"/>
          <w:sz w:val="24"/>
        </w:rPr>
      </w:pPr>
      <w:r>
        <w:rPr>
          <w:rFonts w:hint="eastAsia" w:ascii="宋体" w:hAnsi="宋体"/>
          <w:color w:val="000000"/>
          <w:sz w:val="24"/>
        </w:rPr>
        <w:t>9、如果我们中标，我们愿意在签订合同时按</w:t>
      </w:r>
      <w:r>
        <w:rPr>
          <w:rFonts w:hint="eastAsia" w:ascii="宋体" w:hAnsi="宋体"/>
          <w:color w:val="000000"/>
          <w:sz w:val="24"/>
          <w:u w:val="single"/>
        </w:rPr>
        <w:t>合同金额的4.5</w:t>
      </w:r>
      <w:r>
        <w:rPr>
          <w:rFonts w:ascii="宋体" w:hAnsi="宋体"/>
          <w:color w:val="000000"/>
          <w:sz w:val="24"/>
          <w:u w:val="single"/>
        </w:rPr>
        <w:t>%</w:t>
      </w:r>
      <w:r>
        <w:rPr>
          <w:rFonts w:hint="eastAsia" w:ascii="宋体" w:hAnsi="宋体"/>
          <w:color w:val="000000"/>
          <w:sz w:val="24"/>
        </w:rPr>
        <w:t>支付履约保证金；</w:t>
      </w:r>
    </w:p>
    <w:p>
      <w:pPr>
        <w:adjustRightInd w:val="0"/>
        <w:spacing w:line="440" w:lineRule="exact"/>
        <w:ind w:firstLine="420"/>
        <w:textAlignment w:val="baseline"/>
        <w:rPr>
          <w:rFonts w:ascii="宋体" w:hAnsi="宋体"/>
          <w:color w:val="000000"/>
          <w:sz w:val="24"/>
        </w:rPr>
      </w:pPr>
      <w:r>
        <w:rPr>
          <w:rFonts w:ascii="宋体" w:hAnsi="宋体"/>
          <w:color w:val="000000"/>
          <w:sz w:val="24"/>
        </w:rPr>
        <w:t>1</w:t>
      </w:r>
      <w:r>
        <w:rPr>
          <w:rFonts w:hint="eastAsia" w:ascii="宋体" w:hAnsi="宋体"/>
          <w:color w:val="000000"/>
          <w:sz w:val="24"/>
        </w:rPr>
        <w:t>0、综合说明：</w:t>
      </w:r>
    </w:p>
    <w:p>
      <w:pPr>
        <w:adjustRightInd w:val="0"/>
        <w:spacing w:line="440" w:lineRule="exact"/>
        <w:ind w:firstLine="420"/>
        <w:textAlignment w:val="baseline"/>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）伴随服务及配合措施；</w:t>
      </w:r>
    </w:p>
    <w:p>
      <w:pPr>
        <w:adjustRightInd w:val="0"/>
        <w:spacing w:line="440" w:lineRule="exact"/>
        <w:ind w:firstLine="420"/>
        <w:textAlignment w:val="baseline"/>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）要求甲方提供的配合；</w:t>
      </w:r>
    </w:p>
    <w:p>
      <w:pPr>
        <w:adjustRightInd w:val="0"/>
        <w:spacing w:line="440" w:lineRule="exact"/>
        <w:ind w:firstLine="420"/>
        <w:textAlignment w:val="baseline"/>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）对招标文件有不同意见的偏离说明；</w:t>
      </w:r>
    </w:p>
    <w:p>
      <w:pPr>
        <w:adjustRightInd w:val="0"/>
        <w:spacing w:line="440" w:lineRule="exact"/>
        <w:ind w:firstLine="420"/>
        <w:textAlignment w:val="baseline"/>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）其它说明。</w:t>
      </w:r>
    </w:p>
    <w:p>
      <w:pPr>
        <w:adjustRightInd w:val="0"/>
        <w:spacing w:line="440" w:lineRule="exact"/>
        <w:ind w:firstLine="480" w:firstLineChars="200"/>
        <w:textAlignment w:val="baseline"/>
        <w:rPr>
          <w:rFonts w:ascii="宋体" w:hAnsi="宋体"/>
          <w:color w:val="000000"/>
          <w:sz w:val="24"/>
        </w:rPr>
      </w:pPr>
      <w:r>
        <w:rPr>
          <w:rFonts w:hint="eastAsia" w:ascii="宋体" w:hAnsi="宋体"/>
          <w:color w:val="000000"/>
          <w:sz w:val="24"/>
        </w:rPr>
        <w:t>所有有关标书的函电，请按下列地址联系：</w:t>
      </w:r>
    </w:p>
    <w:p>
      <w:pPr>
        <w:adjustRightInd w:val="0"/>
        <w:spacing w:line="440" w:lineRule="exact"/>
        <w:ind w:firstLine="480" w:firstLineChars="200"/>
        <w:textAlignment w:val="baseline"/>
        <w:rPr>
          <w:rFonts w:ascii="宋体" w:hAnsi="宋体"/>
          <w:color w:val="000000"/>
          <w:sz w:val="24"/>
        </w:rPr>
      </w:pPr>
      <w:r>
        <w:rPr>
          <w:rFonts w:hint="eastAsia" w:ascii="宋体" w:hAnsi="宋体"/>
          <w:color w:val="000000"/>
          <w:sz w:val="24"/>
        </w:rPr>
        <w:t>单位：                         联系人：</w:t>
      </w:r>
    </w:p>
    <w:p>
      <w:pPr>
        <w:adjustRightInd w:val="0"/>
        <w:spacing w:line="440" w:lineRule="exact"/>
        <w:ind w:firstLine="480" w:firstLineChars="200"/>
        <w:textAlignment w:val="baseline"/>
        <w:rPr>
          <w:rFonts w:ascii="宋体" w:hAnsi="宋体"/>
          <w:color w:val="000000"/>
          <w:sz w:val="24"/>
        </w:rPr>
      </w:pPr>
      <w:r>
        <w:rPr>
          <w:rFonts w:hint="eastAsia" w:ascii="宋体" w:hAnsi="宋体"/>
          <w:color w:val="000000"/>
          <w:sz w:val="24"/>
        </w:rPr>
        <w:t>地址：                         邮政编码：</w:t>
      </w:r>
    </w:p>
    <w:p>
      <w:pPr>
        <w:adjustRightInd w:val="0"/>
        <w:spacing w:line="440" w:lineRule="exact"/>
        <w:ind w:firstLine="480" w:firstLineChars="200"/>
        <w:textAlignment w:val="baseline"/>
        <w:rPr>
          <w:rFonts w:ascii="宋体" w:hAnsi="宋体"/>
          <w:color w:val="000000"/>
          <w:sz w:val="24"/>
        </w:rPr>
      </w:pPr>
      <w:r>
        <w:rPr>
          <w:rFonts w:hint="eastAsia" w:ascii="宋体" w:hAnsi="宋体"/>
          <w:color w:val="000000"/>
          <w:sz w:val="24"/>
        </w:rPr>
        <w:t>联系电话：                     传真：</w:t>
      </w:r>
    </w:p>
    <w:p>
      <w:pPr>
        <w:adjustRightInd w:val="0"/>
        <w:spacing w:line="360" w:lineRule="exact"/>
        <w:textAlignment w:val="baseline"/>
        <w:rPr>
          <w:rFonts w:ascii="宋体" w:hAnsi="宋体"/>
          <w:color w:val="000000"/>
          <w:sz w:val="24"/>
        </w:rPr>
      </w:pPr>
    </w:p>
    <w:p>
      <w:pPr>
        <w:adjustRightInd w:val="0"/>
        <w:spacing w:line="360" w:lineRule="exact"/>
        <w:ind w:firstLine="480" w:firstLineChars="200"/>
        <w:textAlignment w:val="baseline"/>
        <w:rPr>
          <w:rFonts w:ascii="宋体" w:hAnsi="宋体"/>
          <w:color w:val="000000"/>
          <w:sz w:val="24"/>
        </w:rPr>
      </w:pPr>
      <w:r>
        <w:rPr>
          <w:rFonts w:hint="eastAsia" w:ascii="宋体" w:hAnsi="宋体"/>
          <w:color w:val="000000"/>
          <w:sz w:val="24"/>
        </w:rPr>
        <w:t>投标单位：（单位盖章）</w:t>
      </w:r>
    </w:p>
    <w:p>
      <w:pPr>
        <w:adjustRightInd w:val="0"/>
        <w:spacing w:line="360" w:lineRule="exact"/>
        <w:ind w:firstLine="480" w:firstLineChars="200"/>
        <w:textAlignment w:val="baseline"/>
        <w:rPr>
          <w:rFonts w:ascii="宋体" w:hAnsi="宋体"/>
          <w:color w:val="000000"/>
          <w:sz w:val="24"/>
        </w:rPr>
      </w:pPr>
    </w:p>
    <w:p>
      <w:pPr>
        <w:adjustRightInd w:val="0"/>
        <w:spacing w:line="360" w:lineRule="exact"/>
        <w:ind w:firstLine="480" w:firstLineChars="200"/>
        <w:textAlignment w:val="baseline"/>
        <w:rPr>
          <w:rFonts w:ascii="宋体" w:hAnsi="宋体"/>
          <w:color w:val="000000"/>
          <w:sz w:val="24"/>
        </w:rPr>
      </w:pPr>
      <w:r>
        <w:rPr>
          <w:rFonts w:hint="eastAsia" w:ascii="宋体" w:hAnsi="宋体"/>
          <w:color w:val="000000"/>
          <w:sz w:val="24"/>
        </w:rPr>
        <w:t>法定代表人或授权代理人（签字或盖章）：</w:t>
      </w:r>
    </w:p>
    <w:p>
      <w:pPr>
        <w:adjustRightInd w:val="0"/>
        <w:spacing w:line="360" w:lineRule="exact"/>
        <w:ind w:firstLine="5220" w:firstLineChars="2175"/>
        <w:textAlignment w:val="baseline"/>
        <w:rPr>
          <w:rFonts w:ascii="宋体" w:hAnsi="宋体"/>
          <w:color w:val="000000"/>
          <w:sz w:val="24"/>
        </w:rPr>
      </w:pPr>
    </w:p>
    <w:p>
      <w:pPr>
        <w:adjustRightInd w:val="0"/>
        <w:spacing w:line="360" w:lineRule="exact"/>
        <w:ind w:firstLine="5220" w:firstLineChars="2175"/>
        <w:textAlignment w:val="baseline"/>
        <w:rPr>
          <w:rFonts w:ascii="宋体" w:hAnsi="宋体"/>
          <w:color w:val="000000"/>
          <w:sz w:val="24"/>
        </w:rPr>
      </w:pPr>
      <w:r>
        <w:rPr>
          <w:rFonts w:hint="eastAsia" w:ascii="宋体" w:hAnsi="宋体"/>
          <w:color w:val="000000"/>
          <w:sz w:val="24"/>
        </w:rPr>
        <w:t>年月日</w:t>
      </w:r>
    </w:p>
    <w:p>
      <w:pPr>
        <w:pStyle w:val="49"/>
      </w:pPr>
      <w:r>
        <w:rPr>
          <w:rFonts w:hint="eastAsia"/>
        </w:rPr>
        <w:t>五、投标报价表</w:t>
      </w:r>
    </w:p>
    <w:tbl>
      <w:tblPr>
        <w:tblStyle w:val="53"/>
        <w:tblW w:w="9600" w:type="dxa"/>
        <w:tblInd w:w="0" w:type="dxa"/>
        <w:tblLayout w:type="autofit"/>
        <w:tblCellMar>
          <w:top w:w="0" w:type="dxa"/>
          <w:left w:w="0" w:type="dxa"/>
          <w:bottom w:w="0" w:type="dxa"/>
          <w:right w:w="0" w:type="dxa"/>
        </w:tblCellMar>
      </w:tblPr>
      <w:tblGrid>
        <w:gridCol w:w="466"/>
        <w:gridCol w:w="1107"/>
        <w:gridCol w:w="481"/>
        <w:gridCol w:w="46"/>
        <w:gridCol w:w="1328"/>
        <w:gridCol w:w="1280"/>
        <w:gridCol w:w="356"/>
        <w:gridCol w:w="594"/>
        <w:gridCol w:w="1018"/>
        <w:gridCol w:w="1275"/>
        <w:gridCol w:w="1649"/>
      </w:tblGrid>
      <w:tr>
        <w:tblPrEx>
          <w:tblCellMar>
            <w:top w:w="0" w:type="dxa"/>
            <w:left w:w="0" w:type="dxa"/>
            <w:bottom w:w="0" w:type="dxa"/>
            <w:right w:w="0" w:type="dxa"/>
          </w:tblCellMar>
        </w:tblPrEx>
        <w:trPr>
          <w:trHeight w:val="15" w:hRule="atLeast"/>
        </w:trPr>
        <w:tc>
          <w:tcPr>
            <w:tcW w:w="0" w:type="auto"/>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0" w:type="auto"/>
            <w:gridSpan w:val="2"/>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46" w:type="dxa"/>
            <w:tcBorders>
              <w:top w:val="nil"/>
              <w:left w:val="nil"/>
              <w:bottom w:val="nil"/>
              <w:right w:val="nil"/>
            </w:tcBorders>
            <w:shd w:val="clear" w:color="auto" w:fill="auto"/>
            <w:noWrap/>
            <w:tcMar>
              <w:top w:w="13" w:type="dxa"/>
              <w:left w:w="13" w:type="dxa"/>
              <w:bottom w:w="0" w:type="dxa"/>
              <w:right w:w="13" w:type="dxa"/>
            </w:tcMar>
            <w:vAlign w:val="center"/>
          </w:tcPr>
          <w:p>
            <w:pPr>
              <w:jc w:val="center"/>
              <w:rPr>
                <w:rFonts w:ascii="宋体" w:hAnsi="宋体" w:cs="宋体"/>
                <w:b/>
                <w:bCs/>
                <w:color w:val="000000"/>
                <w:sz w:val="32"/>
                <w:szCs w:val="32"/>
              </w:rPr>
            </w:pPr>
          </w:p>
        </w:tc>
        <w:tc>
          <w:tcPr>
            <w:tcW w:w="2608" w:type="dxa"/>
            <w:gridSpan w:val="2"/>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356" w:type="dxa"/>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2887" w:type="dxa"/>
            <w:gridSpan w:val="3"/>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c>
          <w:tcPr>
            <w:tcW w:w="1649" w:type="dxa"/>
            <w:tcBorders>
              <w:top w:val="nil"/>
              <w:left w:val="nil"/>
              <w:bottom w:val="nil"/>
              <w:right w:val="nil"/>
            </w:tcBorders>
            <w:shd w:val="clear" w:color="auto" w:fill="auto"/>
            <w:noWrap/>
            <w:tcMar>
              <w:top w:w="13" w:type="dxa"/>
              <w:left w:w="13" w:type="dxa"/>
              <w:bottom w:w="0" w:type="dxa"/>
              <w:right w:w="13"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2" w:hRule="atLeast"/>
        </w:trPr>
        <w:tc>
          <w:tcPr>
            <w:tcW w:w="0" w:type="auto"/>
            <w:vMerge w:val="restart"/>
            <w:tcBorders>
              <w:top w:val="single" w:color="auto" w:sz="4" w:space="0"/>
              <w:left w:val="single" w:color="auto" w:sz="8" w:space="0"/>
              <w:bottom w:val="single" w:color="000000"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序号</w:t>
            </w:r>
          </w:p>
        </w:tc>
        <w:tc>
          <w:tcPr>
            <w:tcW w:w="1588" w:type="dxa"/>
            <w:gridSpan w:val="2"/>
            <w:vMerge w:val="restart"/>
            <w:tcBorders>
              <w:top w:val="single" w:color="auto" w:sz="8" w:space="0"/>
              <w:left w:val="single" w:color="auto" w:sz="4" w:space="0"/>
              <w:bottom w:val="single" w:color="000000"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项目名称</w:t>
            </w:r>
          </w:p>
        </w:tc>
        <w:tc>
          <w:tcPr>
            <w:tcW w:w="2654" w:type="dxa"/>
            <w:gridSpan w:val="3"/>
            <w:tcBorders>
              <w:top w:val="single" w:color="auto" w:sz="8" w:space="0"/>
              <w:left w:val="nil"/>
              <w:bottom w:val="single" w:color="auto" w:sz="4"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配供销售额</w:t>
            </w:r>
          </w:p>
        </w:tc>
        <w:tc>
          <w:tcPr>
            <w:tcW w:w="1968" w:type="dxa"/>
            <w:gridSpan w:val="3"/>
            <w:tcBorders>
              <w:top w:val="single" w:color="auto" w:sz="8"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不可竞争费</w:t>
            </w:r>
          </w:p>
          <w:p>
            <w:pPr>
              <w:jc w:val="center"/>
              <w:rPr>
                <w:rFonts w:ascii="仿宋" w:hAnsi="仿宋" w:eastAsia="仿宋" w:cs="宋体"/>
                <w:sz w:val="15"/>
                <w:szCs w:val="15"/>
              </w:rPr>
            </w:pPr>
            <w:r>
              <w:rPr>
                <w:rFonts w:hint="eastAsia" w:ascii="仿宋" w:hAnsi="仿宋" w:eastAsia="仿宋"/>
                <w:sz w:val="15"/>
                <w:szCs w:val="15"/>
              </w:rPr>
              <w:t>（农户网点补助、其他费用）</w:t>
            </w:r>
          </w:p>
        </w:tc>
        <w:tc>
          <w:tcPr>
            <w:tcW w:w="1275" w:type="dxa"/>
            <w:tcBorders>
              <w:top w:val="single" w:color="auto" w:sz="8" w:space="0"/>
              <w:left w:val="nil"/>
              <w:bottom w:val="single" w:color="auto" w:sz="4" w:space="0"/>
              <w:right w:val="single" w:color="auto" w:sz="4" w:space="0"/>
            </w:tcBorders>
            <w:shd w:val="clear" w:color="auto" w:fill="auto"/>
            <w:vAlign w:val="center"/>
          </w:tcPr>
          <w:p>
            <w:pPr>
              <w:jc w:val="center"/>
              <w:rPr>
                <w:rFonts w:ascii="仿宋" w:hAnsi="仿宋" w:eastAsia="仿宋"/>
                <w:sz w:val="22"/>
                <w:szCs w:val="22"/>
              </w:rPr>
            </w:pPr>
            <w:r>
              <w:rPr>
                <w:rFonts w:hint="eastAsia" w:ascii="仿宋" w:hAnsi="仿宋" w:eastAsia="仿宋"/>
                <w:sz w:val="22"/>
                <w:szCs w:val="22"/>
              </w:rPr>
              <w:t>投标报价</w:t>
            </w:r>
          </w:p>
          <w:p>
            <w:pPr>
              <w:jc w:val="center"/>
              <w:rPr>
                <w:rFonts w:ascii="仿宋" w:hAnsi="仿宋" w:eastAsia="仿宋"/>
                <w:sz w:val="15"/>
                <w:szCs w:val="15"/>
              </w:rPr>
            </w:pPr>
            <w:r>
              <w:rPr>
                <w:rFonts w:hint="eastAsia" w:ascii="仿宋" w:hAnsi="仿宋" w:eastAsia="仿宋"/>
                <w:sz w:val="15"/>
                <w:szCs w:val="15"/>
              </w:rPr>
              <w:t>（实施主体补助）</w:t>
            </w:r>
          </w:p>
        </w:tc>
        <w:tc>
          <w:tcPr>
            <w:tcW w:w="1649" w:type="dxa"/>
            <w:vMerge w:val="restart"/>
            <w:tcBorders>
              <w:top w:val="single" w:color="auto" w:sz="4" w:space="0"/>
              <w:left w:val="single" w:color="auto" w:sz="4" w:space="0"/>
              <w:bottom w:val="single" w:color="000000" w:sz="8"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备注</w:t>
            </w:r>
          </w:p>
        </w:tc>
      </w:tr>
      <w:tr>
        <w:tblPrEx>
          <w:tblCellMar>
            <w:top w:w="0" w:type="dxa"/>
            <w:left w:w="0" w:type="dxa"/>
            <w:bottom w:w="0" w:type="dxa"/>
            <w:right w:w="0" w:type="dxa"/>
          </w:tblCellMar>
        </w:tblPrEx>
        <w:trPr>
          <w:trHeight w:val="402" w:hRule="atLeast"/>
        </w:trPr>
        <w:tc>
          <w:tcPr>
            <w:tcW w:w="0" w:type="auto"/>
            <w:vMerge w:val="continue"/>
            <w:tcBorders>
              <w:top w:val="single" w:color="auto" w:sz="8" w:space="0"/>
              <w:left w:val="single" w:color="auto" w:sz="8" w:space="0"/>
              <w:bottom w:val="single" w:color="auto" w:sz="4"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top w:val="single" w:color="auto" w:sz="8" w:space="0"/>
              <w:left w:val="single" w:color="auto" w:sz="4" w:space="0"/>
              <w:bottom w:val="single" w:color="000000" w:sz="8" w:space="0"/>
              <w:right w:val="single" w:color="auto" w:sz="4" w:space="0"/>
            </w:tcBorders>
            <w:vAlign w:val="center"/>
          </w:tcPr>
          <w:p>
            <w:pPr>
              <w:rPr>
                <w:rFonts w:ascii="仿宋" w:hAnsi="仿宋" w:eastAsia="仿宋" w:cs="宋体"/>
                <w:sz w:val="22"/>
                <w:szCs w:val="22"/>
              </w:rPr>
            </w:pPr>
          </w:p>
        </w:tc>
        <w:tc>
          <w:tcPr>
            <w:tcW w:w="2654" w:type="dxa"/>
            <w:gridSpan w:val="3"/>
            <w:tcBorders>
              <w:top w:val="nil"/>
              <w:left w:val="nil"/>
              <w:bottom w:val="single" w:color="auto"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15"/>
                <w:szCs w:val="15"/>
              </w:rPr>
            </w:pPr>
            <w:r>
              <w:rPr>
                <w:rFonts w:hint="eastAsia" w:ascii="仿宋" w:hAnsi="仿宋" w:eastAsia="仿宋"/>
                <w:sz w:val="15"/>
                <w:szCs w:val="15"/>
              </w:rPr>
              <w:t>（万元）</w:t>
            </w:r>
          </w:p>
        </w:tc>
        <w:tc>
          <w:tcPr>
            <w:tcW w:w="1968" w:type="dxa"/>
            <w:gridSpan w:val="3"/>
            <w:tcBorders>
              <w:top w:val="nil"/>
              <w:left w:val="nil"/>
              <w:bottom w:val="single" w:color="auto"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15"/>
                <w:szCs w:val="15"/>
              </w:rPr>
            </w:pPr>
            <w:r>
              <w:rPr>
                <w:rFonts w:hint="eastAsia" w:ascii="仿宋" w:hAnsi="仿宋" w:eastAsia="仿宋"/>
                <w:sz w:val="15"/>
                <w:szCs w:val="15"/>
              </w:rPr>
              <w:t>（万元）</w:t>
            </w:r>
          </w:p>
        </w:tc>
        <w:tc>
          <w:tcPr>
            <w:tcW w:w="1275" w:type="dxa"/>
            <w:tcBorders>
              <w:top w:val="nil"/>
              <w:left w:val="nil"/>
              <w:bottom w:val="single" w:color="auto" w:sz="8" w:space="0"/>
              <w:right w:val="single" w:color="auto" w:sz="4" w:space="0"/>
            </w:tcBorders>
            <w:shd w:val="clear" w:color="auto" w:fill="auto"/>
            <w:vAlign w:val="center"/>
          </w:tcPr>
          <w:p>
            <w:pPr>
              <w:jc w:val="center"/>
              <w:rPr>
                <w:rFonts w:ascii="仿宋" w:hAnsi="仿宋" w:eastAsia="仿宋" w:cs="宋体"/>
                <w:sz w:val="15"/>
                <w:szCs w:val="15"/>
              </w:rPr>
            </w:pPr>
            <w:r>
              <w:rPr>
                <w:rFonts w:hint="eastAsia" w:ascii="仿宋" w:hAnsi="仿宋" w:eastAsia="仿宋"/>
                <w:sz w:val="15"/>
                <w:szCs w:val="15"/>
              </w:rPr>
              <w:t>（万元）</w:t>
            </w:r>
          </w:p>
        </w:tc>
        <w:tc>
          <w:tcPr>
            <w:tcW w:w="1649" w:type="dxa"/>
            <w:vMerge w:val="continue"/>
            <w:tcBorders>
              <w:top w:val="single" w:color="auto" w:sz="8" w:space="0"/>
              <w:left w:val="single" w:color="auto" w:sz="4" w:space="0"/>
              <w:bottom w:val="single" w:color="auto" w:sz="4" w:space="0"/>
              <w:right w:val="single" w:color="auto" w:sz="8" w:space="0"/>
            </w:tcBorders>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429" w:hRule="atLeast"/>
        </w:trPr>
        <w:tc>
          <w:tcPr>
            <w:tcW w:w="0" w:type="auto"/>
            <w:vMerge w:val="restart"/>
            <w:tcBorders>
              <w:top w:val="single" w:color="auto" w:sz="4" w:space="0"/>
              <w:left w:val="single" w:color="auto" w:sz="8" w:space="0"/>
              <w:right w:val="single" w:color="auto" w:sz="4" w:space="0"/>
            </w:tcBorders>
            <w:vAlign w:val="center"/>
          </w:tcPr>
          <w:p>
            <w:pPr>
              <w:jc w:val="center"/>
              <w:rPr>
                <w:rFonts w:ascii="仿宋" w:hAnsi="仿宋" w:eastAsia="仿宋"/>
                <w:sz w:val="22"/>
                <w:szCs w:val="22"/>
              </w:rPr>
            </w:pPr>
            <w:r>
              <w:rPr>
                <w:rFonts w:hint="eastAsia" w:ascii="仿宋" w:hAnsi="仿宋" w:eastAsia="仿宋"/>
                <w:sz w:val="22"/>
                <w:szCs w:val="22"/>
              </w:rPr>
              <w:t>1</w:t>
            </w:r>
          </w:p>
        </w:tc>
        <w:tc>
          <w:tcPr>
            <w:tcW w:w="1588" w:type="dxa"/>
            <w:gridSpan w:val="2"/>
            <w:vMerge w:val="restart"/>
            <w:tcBorders>
              <w:top w:val="nil"/>
              <w:left w:val="single" w:color="auto" w:sz="4" w:space="0"/>
              <w:right w:val="single" w:color="auto" w:sz="4" w:space="0"/>
            </w:tcBorders>
            <w:vAlign w:val="center"/>
          </w:tcPr>
          <w:p>
            <w:pPr>
              <w:jc w:val="center"/>
              <w:rPr>
                <w:rFonts w:ascii="仿宋" w:hAnsi="仿宋" w:eastAsia="仿宋" w:cs="宋体"/>
                <w:sz w:val="22"/>
                <w:szCs w:val="22"/>
              </w:rPr>
            </w:pPr>
            <w:r>
              <w:rPr>
                <w:rFonts w:hint="eastAsia" w:ascii="仿宋" w:hAnsi="仿宋" w:eastAsia="仿宋"/>
                <w:sz w:val="22"/>
                <w:szCs w:val="22"/>
              </w:rPr>
              <w:t>农药零差率配供</w:t>
            </w:r>
          </w:p>
        </w:tc>
        <w:tc>
          <w:tcPr>
            <w:tcW w:w="2654" w:type="dxa"/>
            <w:gridSpan w:val="3"/>
            <w:vMerge w:val="restart"/>
            <w:tcBorders>
              <w:top w:val="nil"/>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1500</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180</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2"/>
                <w:szCs w:val="22"/>
              </w:rPr>
            </w:pPr>
          </w:p>
        </w:tc>
        <w:tc>
          <w:tcPr>
            <w:tcW w:w="164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 w:val="15"/>
                <w:szCs w:val="15"/>
              </w:rPr>
            </w:pPr>
            <w:r>
              <w:rPr>
                <w:rFonts w:hint="eastAsia" w:ascii="仿宋" w:hAnsi="仿宋" w:eastAsia="仿宋"/>
                <w:sz w:val="15"/>
                <w:szCs w:val="15"/>
              </w:rPr>
              <w:t>网点补助12%。</w:t>
            </w:r>
          </w:p>
        </w:tc>
      </w:tr>
      <w:tr>
        <w:tblPrEx>
          <w:tblCellMar>
            <w:top w:w="0" w:type="dxa"/>
            <w:left w:w="0" w:type="dxa"/>
            <w:bottom w:w="0" w:type="dxa"/>
            <w:right w:w="0" w:type="dxa"/>
          </w:tblCellMar>
        </w:tblPrEx>
        <w:trPr>
          <w:trHeight w:val="403" w:hRule="atLeast"/>
        </w:trPr>
        <w:tc>
          <w:tcPr>
            <w:tcW w:w="0" w:type="auto"/>
            <w:vMerge w:val="continue"/>
            <w:tcBorders>
              <w:left w:val="single" w:color="auto" w:sz="8" w:space="0"/>
              <w:right w:val="single" w:color="auto" w:sz="4" w:space="0"/>
            </w:tcBorders>
            <w:vAlign w:val="center"/>
          </w:tcPr>
          <w:p>
            <w:pPr>
              <w:jc w:val="center"/>
              <w:rPr>
                <w:rFonts w:ascii="仿宋" w:hAnsi="仿宋" w:eastAsia="仿宋"/>
                <w:sz w:val="22"/>
                <w:szCs w:val="22"/>
              </w:rPr>
            </w:pPr>
          </w:p>
        </w:tc>
        <w:tc>
          <w:tcPr>
            <w:tcW w:w="1588" w:type="dxa"/>
            <w:gridSpan w:val="2"/>
            <w:vMerge w:val="continue"/>
            <w:tcBorders>
              <w:left w:val="single" w:color="auto" w:sz="4" w:space="0"/>
              <w:right w:val="single" w:color="auto" w:sz="4" w:space="0"/>
            </w:tcBorders>
            <w:vAlign w:val="center"/>
          </w:tcPr>
          <w:p>
            <w:pPr>
              <w:jc w:val="center"/>
              <w:rPr>
                <w:rFonts w:ascii="仿宋" w:hAnsi="仿宋" w:eastAsia="仿宋"/>
                <w:sz w:val="22"/>
                <w:szCs w:val="22"/>
              </w:rPr>
            </w:pPr>
          </w:p>
        </w:tc>
        <w:tc>
          <w:tcPr>
            <w:tcW w:w="2654" w:type="dxa"/>
            <w:gridSpan w:val="3"/>
            <w:vMerge w:val="continue"/>
            <w:tcBorders>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968" w:type="dxa"/>
            <w:gridSpan w:val="3"/>
            <w:tcBorders>
              <w:top w:val="single" w:color="auto"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olor w:val="FF0000"/>
                <w:sz w:val="22"/>
                <w:szCs w:val="22"/>
              </w:rPr>
            </w:pPr>
          </w:p>
        </w:tc>
        <w:tc>
          <w:tcPr>
            <w:tcW w:w="1275" w:type="dxa"/>
            <w:tcBorders>
              <w:top w:val="single" w:color="auto" w:sz="4" w:space="0"/>
              <w:left w:val="nil"/>
              <w:bottom w:val="single" w:color="000000" w:themeColor="text1" w:sz="4" w:space="0"/>
              <w:right w:val="single" w:color="auto" w:sz="4" w:space="0"/>
            </w:tcBorders>
            <w:shd w:val="clear" w:color="auto" w:fill="auto"/>
            <w:vAlign w:val="center"/>
          </w:tcPr>
          <w:p>
            <w:pPr>
              <w:rPr>
                <w:rFonts w:ascii="仿宋" w:hAnsi="仿宋" w:eastAsia="仿宋"/>
                <w:color w:val="FF0000"/>
                <w:sz w:val="22"/>
                <w:szCs w:val="22"/>
                <w:u w:val="single"/>
              </w:rPr>
            </w:pPr>
            <w:r>
              <w:rPr>
                <w:rFonts w:hint="eastAsia" w:ascii="仿宋" w:hAnsi="仿宋" w:eastAsia="仿宋"/>
                <w:color w:val="FF0000"/>
                <w:sz w:val="22"/>
                <w:szCs w:val="22"/>
                <w:u w:val="single"/>
              </w:rPr>
              <w:t xml:space="preserve"> 限价120万元，报价         </w:t>
            </w:r>
          </w:p>
        </w:tc>
        <w:tc>
          <w:tcPr>
            <w:tcW w:w="1649" w:type="dxa"/>
            <w:tcBorders>
              <w:top w:val="single" w:color="auto" w:sz="4" w:space="0"/>
              <w:left w:val="single" w:color="auto" w:sz="4" w:space="0"/>
              <w:bottom w:val="single" w:color="000000" w:themeColor="text1" w:sz="4" w:space="0"/>
              <w:right w:val="single" w:color="auto" w:sz="8" w:space="0"/>
            </w:tcBorders>
            <w:vAlign w:val="center"/>
          </w:tcPr>
          <w:p>
            <w:pPr>
              <w:jc w:val="center"/>
              <w:rPr>
                <w:rFonts w:ascii="仿宋" w:hAnsi="仿宋" w:eastAsia="仿宋"/>
                <w:sz w:val="15"/>
                <w:szCs w:val="15"/>
              </w:rPr>
            </w:pPr>
            <w:r>
              <w:rPr>
                <w:rFonts w:hint="eastAsia" w:ascii="仿宋" w:hAnsi="仿宋" w:eastAsia="仿宋"/>
                <w:sz w:val="15"/>
                <w:szCs w:val="15"/>
              </w:rPr>
              <w:t>配送主体补助%。</w:t>
            </w:r>
          </w:p>
        </w:tc>
      </w:tr>
      <w:tr>
        <w:tblPrEx>
          <w:tblCellMar>
            <w:top w:w="0" w:type="dxa"/>
            <w:left w:w="0" w:type="dxa"/>
            <w:bottom w:w="0" w:type="dxa"/>
            <w:right w:w="0" w:type="dxa"/>
          </w:tblCellMar>
        </w:tblPrEx>
        <w:trPr>
          <w:trHeight w:val="645" w:hRule="atLeast"/>
        </w:trPr>
        <w:tc>
          <w:tcPr>
            <w:tcW w:w="0" w:type="auto"/>
            <w:tcBorders>
              <w:top w:val="nil"/>
              <w:left w:val="single" w:color="auto" w:sz="8" w:space="0"/>
              <w:bottom w:val="single" w:color="auto" w:sz="4"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　</w:t>
            </w:r>
          </w:p>
        </w:tc>
        <w:tc>
          <w:tcPr>
            <w:tcW w:w="1588" w:type="dxa"/>
            <w:gridSpan w:val="2"/>
            <w:tcBorders>
              <w:top w:val="single" w:color="auto" w:sz="8"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项目名称</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回收数量</w:t>
            </w:r>
          </w:p>
          <w:p>
            <w:pPr>
              <w:jc w:val="center"/>
              <w:rPr>
                <w:rFonts w:ascii="仿宋" w:hAnsi="仿宋" w:eastAsia="仿宋" w:cs="宋体"/>
                <w:sz w:val="22"/>
                <w:szCs w:val="22"/>
              </w:rPr>
            </w:pPr>
            <w:r>
              <w:rPr>
                <w:rFonts w:hint="eastAsia" w:ascii="仿宋" w:hAnsi="仿宋" w:eastAsia="仿宋"/>
                <w:sz w:val="22"/>
                <w:szCs w:val="22"/>
              </w:rPr>
              <w:t xml:space="preserve">  （万件）</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回收价格    （元/件）</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费用（万元）</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2"/>
                <w:szCs w:val="22"/>
              </w:rPr>
            </w:pPr>
          </w:p>
        </w:tc>
        <w:tc>
          <w:tcPr>
            <w:tcW w:w="1649" w:type="dxa"/>
            <w:tcBorders>
              <w:top w:val="nil"/>
              <w:left w:val="nil"/>
              <w:bottom w:val="nil"/>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　</w:t>
            </w:r>
          </w:p>
        </w:tc>
      </w:tr>
      <w:tr>
        <w:tblPrEx>
          <w:tblCellMar>
            <w:top w:w="0" w:type="dxa"/>
            <w:left w:w="0" w:type="dxa"/>
            <w:bottom w:w="0" w:type="dxa"/>
            <w:right w:w="0" w:type="dxa"/>
          </w:tblCellMar>
        </w:tblPrEx>
        <w:trPr>
          <w:trHeight w:val="360" w:hRule="atLeast"/>
        </w:trPr>
        <w:tc>
          <w:tcPr>
            <w:tcW w:w="0" w:type="auto"/>
            <w:vMerge w:val="restart"/>
            <w:tcBorders>
              <w:top w:val="nil"/>
              <w:left w:val="single" w:color="auto" w:sz="8" w:space="0"/>
              <w:bottom w:val="single" w:color="000000"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2</w:t>
            </w:r>
          </w:p>
        </w:tc>
        <w:tc>
          <w:tcPr>
            <w:tcW w:w="1107" w:type="dxa"/>
            <w:vMerge w:val="restart"/>
            <w:tcBorders>
              <w:top w:val="nil"/>
              <w:left w:val="single" w:color="auto" w:sz="4" w:space="0"/>
              <w:bottom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农药废弃包装物回收</w:t>
            </w:r>
          </w:p>
        </w:tc>
        <w:tc>
          <w:tcPr>
            <w:tcW w:w="481"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瓶装</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650</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0.3</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195</w:t>
            </w:r>
          </w:p>
        </w:tc>
        <w:tc>
          <w:tcPr>
            <w:tcW w:w="1275" w:type="dxa"/>
            <w:tcBorders>
              <w:top w:val="nil"/>
              <w:left w:val="single" w:color="auto" w:sz="4" w:space="0"/>
              <w:bottom w:val="single" w:color="auto" w:sz="4" w:space="0"/>
              <w:right w:val="nil"/>
            </w:tcBorders>
            <w:shd w:val="clear" w:color="auto" w:fill="auto"/>
            <w:vAlign w:val="center"/>
          </w:tcPr>
          <w:p>
            <w:pPr>
              <w:jc w:val="center"/>
              <w:rPr>
                <w:rFonts w:ascii="仿宋" w:hAnsi="仿宋" w:eastAsia="仿宋" w:cs="宋体"/>
                <w:sz w:val="22"/>
                <w:szCs w:val="22"/>
              </w:rPr>
            </w:pPr>
          </w:p>
        </w:tc>
        <w:tc>
          <w:tcPr>
            <w:tcW w:w="1649" w:type="dxa"/>
            <w:vMerge w:val="restart"/>
            <w:tcBorders>
              <w:top w:val="single" w:color="auto" w:sz="4" w:space="0"/>
              <w:left w:val="single" w:color="auto" w:sz="4" w:space="0"/>
              <w:bottom w:val="nil"/>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16"/>
                <w:szCs w:val="16"/>
              </w:rPr>
            </w:pPr>
            <w:r>
              <w:rPr>
                <w:rFonts w:hint="eastAsia" w:ascii="仿宋" w:hAnsi="仿宋" w:eastAsia="仿宋"/>
                <w:sz w:val="16"/>
                <w:szCs w:val="16"/>
              </w:rPr>
              <w:t>由网点直接兑付农户，实施主体收集时即付网点费用。</w:t>
            </w:r>
          </w:p>
        </w:tc>
      </w:tr>
      <w:tr>
        <w:tblPrEx>
          <w:tblCellMar>
            <w:top w:w="0" w:type="dxa"/>
            <w:left w:w="0" w:type="dxa"/>
            <w:bottom w:w="0" w:type="dxa"/>
            <w:right w:w="0" w:type="dxa"/>
          </w:tblCellMar>
        </w:tblPrEx>
        <w:trPr>
          <w:trHeight w:val="334"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107" w:type="dxa"/>
            <w:vMerge w:val="continue"/>
            <w:tcBorders>
              <w:top w:val="nil"/>
              <w:left w:val="single" w:color="auto" w:sz="4" w:space="0"/>
              <w:bottom w:val="nil"/>
              <w:right w:val="single" w:color="auto" w:sz="4" w:space="0"/>
            </w:tcBorders>
            <w:vAlign w:val="center"/>
          </w:tcPr>
          <w:p>
            <w:pPr>
              <w:rPr>
                <w:rFonts w:ascii="仿宋" w:hAnsi="仿宋" w:eastAsia="仿宋" w:cs="宋体"/>
                <w:sz w:val="22"/>
                <w:szCs w:val="22"/>
              </w:rPr>
            </w:pPr>
          </w:p>
        </w:tc>
        <w:tc>
          <w:tcPr>
            <w:tcW w:w="481"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袋装</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450</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0.1</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45</w:t>
            </w:r>
          </w:p>
        </w:tc>
        <w:tc>
          <w:tcPr>
            <w:tcW w:w="1275" w:type="dxa"/>
            <w:tcBorders>
              <w:top w:val="nil"/>
              <w:left w:val="single" w:color="auto" w:sz="4" w:space="0"/>
              <w:bottom w:val="single" w:color="auto" w:sz="4" w:space="0"/>
              <w:right w:val="nil"/>
            </w:tcBorders>
            <w:shd w:val="clear" w:color="auto" w:fill="auto"/>
            <w:vAlign w:val="center"/>
          </w:tcPr>
          <w:p>
            <w:pPr>
              <w:jc w:val="center"/>
              <w:rPr>
                <w:rFonts w:ascii="仿宋" w:hAnsi="仿宋" w:eastAsia="仿宋" w:cs="宋体"/>
                <w:sz w:val="22"/>
                <w:szCs w:val="22"/>
              </w:rPr>
            </w:pPr>
          </w:p>
        </w:tc>
        <w:tc>
          <w:tcPr>
            <w:tcW w:w="1649" w:type="dxa"/>
            <w:vMerge w:val="continue"/>
            <w:tcBorders>
              <w:top w:val="single" w:color="auto" w:sz="4" w:space="0"/>
              <w:left w:val="single" w:color="auto" w:sz="4" w:space="0"/>
              <w:bottom w:val="nil"/>
              <w:right w:val="single" w:color="auto" w:sz="8" w:space="0"/>
            </w:tcBorders>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38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restart"/>
            <w:tcBorders>
              <w:top w:val="single" w:color="auto" w:sz="4" w:space="0"/>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回收补贴费用</w:t>
            </w:r>
          </w:p>
        </w:tc>
        <w:tc>
          <w:tcPr>
            <w:tcW w:w="1374" w:type="dxa"/>
            <w:gridSpan w:val="2"/>
            <w:vMerge w:val="restart"/>
            <w:tcBorders>
              <w:top w:val="nil"/>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1100</w:t>
            </w:r>
          </w:p>
        </w:tc>
        <w:tc>
          <w:tcPr>
            <w:tcW w:w="1280" w:type="dxa"/>
            <w:tcBorders>
              <w:top w:val="nil"/>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0.05</w:t>
            </w:r>
          </w:p>
        </w:tc>
        <w:tc>
          <w:tcPr>
            <w:tcW w:w="1968" w:type="dxa"/>
            <w:gridSpan w:val="3"/>
            <w:tcBorders>
              <w:top w:val="nil"/>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55</w:t>
            </w:r>
          </w:p>
        </w:tc>
        <w:tc>
          <w:tcPr>
            <w:tcW w:w="1275" w:type="dxa"/>
            <w:tcBorders>
              <w:top w:val="nil"/>
              <w:left w:val="single" w:color="auto" w:sz="4" w:space="0"/>
              <w:bottom w:val="single" w:color="000000" w:themeColor="text1" w:sz="4" w:space="0"/>
              <w:right w:val="nil"/>
            </w:tcBorders>
            <w:shd w:val="clear" w:color="auto" w:fill="auto"/>
            <w:vAlign w:val="center"/>
          </w:tcPr>
          <w:p>
            <w:pPr>
              <w:jc w:val="center"/>
              <w:rPr>
                <w:rFonts w:ascii="仿宋" w:hAnsi="仿宋" w:eastAsia="仿宋" w:cs="宋体"/>
                <w:sz w:val="22"/>
                <w:szCs w:val="22"/>
              </w:rPr>
            </w:pPr>
          </w:p>
        </w:tc>
        <w:tc>
          <w:tcPr>
            <w:tcW w:w="1649" w:type="dxa"/>
            <w:tcBorders>
              <w:top w:val="single" w:color="auto" w:sz="4" w:space="0"/>
              <w:left w:val="single" w:color="auto" w:sz="4" w:space="0"/>
              <w:bottom w:val="single" w:color="000000" w:themeColor="text1"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cs="宋体"/>
                <w:sz w:val="15"/>
                <w:szCs w:val="15"/>
              </w:rPr>
            </w:pPr>
            <w:r>
              <w:rPr>
                <w:rFonts w:hint="eastAsia" w:ascii="仿宋" w:hAnsi="仿宋" w:eastAsia="仿宋"/>
                <w:sz w:val="15"/>
                <w:szCs w:val="15"/>
              </w:rPr>
              <w:t>网点补贴0.05元/件</w:t>
            </w:r>
          </w:p>
        </w:tc>
      </w:tr>
      <w:tr>
        <w:trPr>
          <w:trHeight w:val="200"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000000" w:themeColor="text1"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0.05</w:t>
            </w:r>
          </w:p>
        </w:tc>
        <w:tc>
          <w:tcPr>
            <w:tcW w:w="1968" w:type="dxa"/>
            <w:gridSpan w:val="3"/>
            <w:tcBorders>
              <w:top w:val="single" w:color="000000" w:themeColor="text1"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75" w:type="dxa"/>
            <w:tcBorders>
              <w:top w:val="single" w:color="000000" w:themeColor="text1" w:sz="4" w:space="0"/>
              <w:left w:val="single" w:color="auto" w:sz="4" w:space="0"/>
              <w:bottom w:val="single" w:color="000000" w:themeColor="text1" w:sz="4" w:space="0"/>
              <w:right w:val="nil"/>
            </w:tcBorders>
            <w:shd w:val="clear" w:color="auto" w:fill="auto"/>
            <w:vAlign w:val="center"/>
          </w:tcPr>
          <w:p>
            <w:pPr>
              <w:jc w:val="center"/>
              <w:rPr>
                <w:rFonts w:ascii="仿宋" w:hAnsi="仿宋" w:eastAsia="仿宋"/>
                <w:color w:val="FF0000"/>
                <w:sz w:val="22"/>
                <w:szCs w:val="22"/>
              </w:rPr>
            </w:pPr>
            <w:r>
              <w:rPr>
                <w:rFonts w:hint="eastAsia" w:ascii="仿宋" w:hAnsi="仿宋" w:eastAsia="仿宋"/>
                <w:color w:val="FF0000"/>
                <w:sz w:val="22"/>
                <w:szCs w:val="22"/>
                <w:u w:val="single"/>
              </w:rPr>
              <w:t xml:space="preserve">限价55万元，报价    </w:t>
            </w:r>
          </w:p>
        </w:tc>
        <w:tc>
          <w:tcPr>
            <w:tcW w:w="1649" w:type="dxa"/>
            <w:tcBorders>
              <w:top w:val="single" w:color="000000" w:themeColor="text1" w:sz="4" w:space="0"/>
              <w:left w:val="single" w:color="auto" w:sz="4" w:space="0"/>
              <w:bottom w:val="single" w:color="000000" w:themeColor="text1"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实施主体补贴0.05元/件</w:t>
            </w:r>
          </w:p>
        </w:tc>
      </w:tr>
      <w:tr>
        <w:tblPrEx>
          <w:tblCellMar>
            <w:top w:w="0" w:type="dxa"/>
            <w:left w:w="0" w:type="dxa"/>
            <w:bottom w:w="0" w:type="dxa"/>
            <w:right w:w="0" w:type="dxa"/>
          </w:tblCellMar>
        </w:tblPrEx>
        <w:trPr>
          <w:trHeight w:val="360"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无害化处置费</w:t>
            </w:r>
          </w:p>
        </w:tc>
        <w:tc>
          <w:tcPr>
            <w:tcW w:w="1374" w:type="dxa"/>
            <w:gridSpan w:val="2"/>
            <w:tcBorders>
              <w:top w:val="single" w:color="000000" w:themeColor="text1"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220</w:t>
            </w:r>
          </w:p>
        </w:tc>
        <w:tc>
          <w:tcPr>
            <w:tcW w:w="1280" w:type="dxa"/>
            <w:tcBorders>
              <w:top w:val="single" w:color="000000" w:themeColor="text1"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4000元/吨</w:t>
            </w:r>
          </w:p>
        </w:tc>
        <w:tc>
          <w:tcPr>
            <w:tcW w:w="1968" w:type="dxa"/>
            <w:gridSpan w:val="3"/>
            <w:tcBorders>
              <w:top w:val="single" w:color="000000" w:themeColor="text1" w:sz="4" w:space="0"/>
              <w:left w:val="nil"/>
              <w:bottom w:val="single" w:color="000000" w:themeColor="text1"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88</w:t>
            </w:r>
          </w:p>
        </w:tc>
        <w:tc>
          <w:tcPr>
            <w:tcW w:w="1275" w:type="dxa"/>
            <w:tcBorders>
              <w:top w:val="single" w:color="000000" w:themeColor="text1" w:sz="4" w:space="0"/>
              <w:left w:val="single" w:color="auto" w:sz="4" w:space="0"/>
              <w:bottom w:val="single" w:color="000000" w:themeColor="text1" w:sz="4" w:space="0"/>
              <w:right w:val="nil"/>
            </w:tcBorders>
            <w:shd w:val="clear" w:color="auto" w:fill="auto"/>
            <w:vAlign w:val="center"/>
          </w:tcPr>
          <w:p>
            <w:pPr>
              <w:jc w:val="center"/>
              <w:rPr>
                <w:rFonts w:ascii="仿宋" w:hAnsi="仿宋" w:eastAsia="仿宋"/>
                <w:sz w:val="15"/>
                <w:szCs w:val="15"/>
              </w:rPr>
            </w:pPr>
          </w:p>
        </w:tc>
        <w:tc>
          <w:tcPr>
            <w:tcW w:w="1649" w:type="dxa"/>
            <w:tcBorders>
              <w:top w:val="single" w:color="000000" w:themeColor="text1" w:sz="4" w:space="0"/>
              <w:left w:val="single" w:color="auto" w:sz="4" w:space="0"/>
              <w:bottom w:val="single" w:color="000000" w:themeColor="text1"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区财政按实支付</w:t>
            </w:r>
          </w:p>
        </w:tc>
      </w:tr>
      <w:tr>
        <w:tblPrEx>
          <w:tblCellMar>
            <w:top w:w="0" w:type="dxa"/>
            <w:left w:w="0" w:type="dxa"/>
            <w:bottom w:w="0" w:type="dxa"/>
            <w:right w:w="0" w:type="dxa"/>
          </w:tblCellMar>
        </w:tblPrEx>
        <w:trPr>
          <w:trHeight w:val="570" w:hRule="atLeast"/>
        </w:trPr>
        <w:tc>
          <w:tcPr>
            <w:tcW w:w="0" w:type="auto"/>
            <w:vMerge w:val="restart"/>
            <w:tcBorders>
              <w:top w:val="nil"/>
              <w:left w:val="single" w:color="auto" w:sz="8" w:space="0"/>
              <w:bottom w:val="single" w:color="000000"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3</w:t>
            </w:r>
          </w:p>
        </w:tc>
        <w:tc>
          <w:tcPr>
            <w:tcW w:w="1588"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项目名称</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回收数量</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回收价格</w:t>
            </w:r>
          </w:p>
        </w:tc>
        <w:tc>
          <w:tcPr>
            <w:tcW w:w="950"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补助标准</w:t>
            </w:r>
          </w:p>
        </w:tc>
        <w:tc>
          <w:tcPr>
            <w:tcW w:w="1018"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left"/>
              <w:rPr>
                <w:rFonts w:ascii="仿宋" w:hAnsi="仿宋" w:eastAsia="仿宋"/>
                <w:sz w:val="22"/>
                <w:szCs w:val="22"/>
              </w:rPr>
            </w:pPr>
            <w:r>
              <w:rPr>
                <w:rFonts w:hint="eastAsia" w:ascii="仿宋" w:hAnsi="仿宋" w:eastAsia="仿宋"/>
                <w:sz w:val="22"/>
                <w:szCs w:val="22"/>
              </w:rPr>
              <w:t>补助经费</w:t>
            </w:r>
          </w:p>
          <w:p>
            <w:pPr>
              <w:jc w:val="left"/>
              <w:rPr>
                <w:rFonts w:ascii="仿宋" w:hAnsi="仿宋" w:eastAsia="仿宋"/>
                <w:sz w:val="22"/>
                <w:szCs w:val="22"/>
              </w:rPr>
            </w:pPr>
            <w:r>
              <w:rPr>
                <w:rFonts w:hint="eastAsia" w:ascii="仿宋" w:hAnsi="仿宋" w:eastAsia="仿宋"/>
                <w:sz w:val="22"/>
                <w:szCs w:val="22"/>
              </w:rPr>
              <w:t>（万元）</w:t>
            </w:r>
          </w:p>
        </w:tc>
        <w:tc>
          <w:tcPr>
            <w:tcW w:w="1275"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ascii="仿宋" w:hAnsi="仿宋" w:eastAsia="仿宋"/>
                <w:sz w:val="15"/>
                <w:szCs w:val="15"/>
              </w:rPr>
            </w:pPr>
          </w:p>
          <w:p>
            <w:pPr>
              <w:jc w:val="left"/>
              <w:rPr>
                <w:rFonts w:ascii="仿宋" w:hAnsi="仿宋" w:eastAsia="仿宋"/>
                <w:sz w:val="15"/>
                <w:szCs w:val="15"/>
              </w:rPr>
            </w:pPr>
          </w:p>
        </w:tc>
        <w:tc>
          <w:tcPr>
            <w:tcW w:w="1649" w:type="dxa"/>
            <w:tcBorders>
              <w:top w:val="nil"/>
              <w:left w:val="nil"/>
              <w:bottom w:val="single" w:color="auto"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　</w:t>
            </w:r>
          </w:p>
        </w:tc>
      </w:tr>
      <w:tr>
        <w:tblPrEx>
          <w:tblCellMar>
            <w:top w:w="0" w:type="dxa"/>
            <w:left w:w="0" w:type="dxa"/>
            <w:bottom w:w="0" w:type="dxa"/>
            <w:right w:w="0" w:type="dxa"/>
          </w:tblCellMar>
        </w:tblPrEx>
        <w:trPr>
          <w:trHeight w:val="52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废弃大棚膜回收</w:t>
            </w:r>
          </w:p>
        </w:tc>
        <w:tc>
          <w:tcPr>
            <w:tcW w:w="1374"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600吨</w:t>
            </w:r>
          </w:p>
        </w:tc>
        <w:tc>
          <w:tcPr>
            <w:tcW w:w="1280"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市场价</w:t>
            </w:r>
          </w:p>
        </w:tc>
        <w:tc>
          <w:tcPr>
            <w:tcW w:w="950" w:type="dxa"/>
            <w:gridSpan w:val="2"/>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0.4元/公斤</w:t>
            </w:r>
          </w:p>
        </w:tc>
        <w:tc>
          <w:tcPr>
            <w:tcW w:w="1018" w:type="dxa"/>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24</w:t>
            </w:r>
          </w:p>
        </w:tc>
        <w:tc>
          <w:tcPr>
            <w:tcW w:w="1275" w:type="dxa"/>
            <w:tcBorders>
              <w:top w:val="nil"/>
              <w:left w:val="single" w:color="auto" w:sz="4" w:space="0"/>
              <w:bottom w:val="single" w:color="auto" w:sz="4" w:space="0"/>
              <w:right w:val="single" w:color="auto" w:sz="8" w:space="0"/>
            </w:tcBorders>
            <w:shd w:val="clear" w:color="auto" w:fill="auto"/>
            <w:vAlign w:val="center"/>
          </w:tcPr>
          <w:p>
            <w:pPr>
              <w:rPr>
                <w:rFonts w:ascii="仿宋" w:hAnsi="仿宋" w:eastAsia="仿宋"/>
                <w:sz w:val="15"/>
                <w:szCs w:val="15"/>
              </w:rPr>
            </w:pPr>
          </w:p>
        </w:tc>
        <w:tc>
          <w:tcPr>
            <w:tcW w:w="1649" w:type="dxa"/>
            <w:tcBorders>
              <w:top w:val="single" w:color="auto" w:sz="4" w:space="0"/>
              <w:left w:val="single" w:color="auto" w:sz="8" w:space="0"/>
              <w:bottom w:val="single" w:color="auto" w:sz="4" w:space="0"/>
              <w:right w:val="single" w:color="auto" w:sz="8" w:space="0"/>
            </w:tcBorders>
            <w:shd w:val="clear" w:color="auto" w:fill="auto"/>
            <w:tcMar>
              <w:top w:w="13" w:type="dxa"/>
              <w:left w:w="13" w:type="dxa"/>
              <w:bottom w:w="0" w:type="dxa"/>
              <w:right w:w="13" w:type="dxa"/>
            </w:tcMar>
            <w:vAlign w:val="center"/>
          </w:tcPr>
          <w:p>
            <w:pPr>
              <w:jc w:val="center"/>
              <w:rPr>
                <w:rFonts w:ascii="仿宋" w:hAnsi="仿宋" w:eastAsia="仿宋"/>
                <w:sz w:val="15"/>
                <w:szCs w:val="15"/>
              </w:rPr>
            </w:pPr>
            <w:r>
              <w:rPr>
                <w:rFonts w:hint="eastAsia" w:ascii="仿宋" w:hAnsi="仿宋" w:eastAsia="仿宋"/>
                <w:sz w:val="15"/>
                <w:szCs w:val="15"/>
              </w:rPr>
              <w:t>市场回收</w:t>
            </w:r>
          </w:p>
        </w:tc>
      </w:tr>
      <w:tr>
        <w:tblPrEx>
          <w:tblCellMar>
            <w:top w:w="0" w:type="dxa"/>
            <w:left w:w="0" w:type="dxa"/>
            <w:bottom w:w="0" w:type="dxa"/>
            <w:right w:w="0" w:type="dxa"/>
          </w:tblCellMar>
        </w:tblPrEx>
        <w:trPr>
          <w:trHeight w:val="27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restart"/>
            <w:tcBorders>
              <w:top w:val="nil"/>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cs="宋体"/>
                <w:sz w:val="22"/>
                <w:szCs w:val="22"/>
              </w:rPr>
            </w:pPr>
            <w:r>
              <w:rPr>
                <w:rFonts w:hint="eastAsia" w:ascii="仿宋" w:hAnsi="仿宋" w:eastAsia="仿宋"/>
                <w:sz w:val="22"/>
                <w:szCs w:val="22"/>
              </w:rPr>
              <w:t>废弃地膜回收</w:t>
            </w:r>
          </w:p>
        </w:tc>
        <w:tc>
          <w:tcPr>
            <w:tcW w:w="1374" w:type="dxa"/>
            <w:gridSpan w:val="2"/>
            <w:vMerge w:val="restart"/>
            <w:tcBorders>
              <w:top w:val="nil"/>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80吨</w:t>
            </w: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0.6元/公斤</w:t>
            </w:r>
          </w:p>
        </w:tc>
        <w:tc>
          <w:tcPr>
            <w:tcW w:w="1968" w:type="dxa"/>
            <w:gridSpan w:val="3"/>
            <w:tcBorders>
              <w:top w:val="nil"/>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4.8</w:t>
            </w:r>
          </w:p>
        </w:tc>
        <w:tc>
          <w:tcPr>
            <w:tcW w:w="1275" w:type="dxa"/>
            <w:tcBorders>
              <w:top w:val="nil"/>
              <w:left w:val="single" w:color="auto" w:sz="4" w:space="0"/>
              <w:bottom w:val="single" w:color="auto" w:sz="4" w:space="0"/>
              <w:right w:val="single" w:color="auto" w:sz="8" w:space="0"/>
            </w:tcBorders>
            <w:shd w:val="clear" w:color="auto" w:fill="auto"/>
            <w:vAlign w:val="center"/>
          </w:tcPr>
          <w:p>
            <w:pPr>
              <w:jc w:val="center"/>
              <w:rPr>
                <w:rFonts w:ascii="仿宋" w:hAnsi="仿宋" w:eastAsia="仿宋"/>
                <w:sz w:val="15"/>
                <w:szCs w:val="15"/>
              </w:rPr>
            </w:pP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农户</w:t>
            </w:r>
          </w:p>
        </w:tc>
      </w:tr>
      <w:tr>
        <w:tblPrEx>
          <w:tblCellMar>
            <w:top w:w="0" w:type="dxa"/>
            <w:left w:w="0" w:type="dxa"/>
            <w:bottom w:w="0" w:type="dxa"/>
            <w:right w:w="0" w:type="dxa"/>
          </w:tblCellMar>
        </w:tblPrEx>
        <w:trPr>
          <w:trHeight w:val="22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0.2元/公斤</w:t>
            </w:r>
          </w:p>
        </w:tc>
        <w:tc>
          <w:tcPr>
            <w:tcW w:w="1968" w:type="dxa"/>
            <w:gridSpan w:val="3"/>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1.6</w:t>
            </w:r>
          </w:p>
        </w:tc>
        <w:tc>
          <w:tcPr>
            <w:tcW w:w="127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color w:val="FF0000"/>
                <w:sz w:val="22"/>
                <w:szCs w:val="22"/>
              </w:rPr>
            </w:pP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回收点</w:t>
            </w:r>
          </w:p>
        </w:tc>
      </w:tr>
      <w:tr>
        <w:trPr>
          <w:trHeight w:val="425"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0.2元/公斤</w:t>
            </w:r>
          </w:p>
        </w:tc>
        <w:tc>
          <w:tcPr>
            <w:tcW w:w="1968" w:type="dxa"/>
            <w:gridSpan w:val="3"/>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7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color w:val="FF0000"/>
                <w:sz w:val="22"/>
                <w:szCs w:val="22"/>
              </w:rPr>
            </w:pPr>
            <w:r>
              <w:rPr>
                <w:rFonts w:hint="eastAsia" w:ascii="仿宋" w:hAnsi="仿宋" w:eastAsia="仿宋"/>
                <w:color w:val="FF0000"/>
                <w:sz w:val="22"/>
                <w:szCs w:val="22"/>
                <w:u w:val="single"/>
              </w:rPr>
              <w:t xml:space="preserve">限价1.6万元，报价    </w:t>
            </w: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实施主体</w:t>
            </w:r>
          </w:p>
        </w:tc>
      </w:tr>
      <w:tr>
        <w:tblPrEx>
          <w:tblCellMar>
            <w:top w:w="0" w:type="dxa"/>
            <w:left w:w="0" w:type="dxa"/>
            <w:bottom w:w="0" w:type="dxa"/>
            <w:right w:w="0" w:type="dxa"/>
          </w:tblCellMar>
        </w:tblPrEx>
        <w:trPr>
          <w:trHeight w:val="459"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1588" w:type="dxa"/>
            <w:gridSpan w:val="2"/>
            <w:vMerge w:val="continue"/>
            <w:tcBorders>
              <w:left w:val="nil"/>
              <w:bottom w:val="single" w:color="auto" w:sz="4" w:space="0"/>
              <w:right w:val="single" w:color="auto" w:sz="4" w:space="0"/>
            </w:tcBorders>
            <w:shd w:val="clear" w:color="auto" w:fill="auto"/>
            <w:tcMar>
              <w:top w:w="13" w:type="dxa"/>
              <w:left w:w="13" w:type="dxa"/>
              <w:bottom w:w="0" w:type="dxa"/>
              <w:right w:w="13" w:type="dxa"/>
            </w:tcMar>
            <w:vAlign w:val="center"/>
          </w:tcPr>
          <w:p>
            <w:pPr>
              <w:rPr>
                <w:rFonts w:ascii="仿宋" w:hAnsi="仿宋" w:eastAsia="仿宋"/>
                <w:sz w:val="22"/>
                <w:szCs w:val="22"/>
              </w:rPr>
            </w:pPr>
          </w:p>
        </w:tc>
        <w:tc>
          <w:tcPr>
            <w:tcW w:w="1374" w:type="dxa"/>
            <w:gridSpan w:val="2"/>
            <w:vMerge w:val="continue"/>
            <w:tcBorders>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p>
        </w:tc>
        <w:tc>
          <w:tcPr>
            <w:tcW w:w="1280" w:type="dxa"/>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cs="宋体"/>
                <w:sz w:val="22"/>
                <w:szCs w:val="22"/>
              </w:rPr>
              <w:t>1元/公斤</w:t>
            </w:r>
          </w:p>
        </w:tc>
        <w:tc>
          <w:tcPr>
            <w:tcW w:w="1968" w:type="dxa"/>
            <w:gridSpan w:val="3"/>
            <w:tcBorders>
              <w:top w:val="single" w:color="auto" w:sz="4" w:space="0"/>
              <w:left w:val="nil"/>
              <w:bottom w:val="single" w:color="auto" w:sz="4"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sz w:val="22"/>
                <w:szCs w:val="22"/>
              </w:rPr>
              <w:t>8</w:t>
            </w:r>
          </w:p>
        </w:tc>
        <w:tc>
          <w:tcPr>
            <w:tcW w:w="127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color w:val="FF0000"/>
                <w:sz w:val="22"/>
                <w:szCs w:val="22"/>
              </w:rPr>
            </w:pPr>
          </w:p>
        </w:tc>
        <w:tc>
          <w:tcPr>
            <w:tcW w:w="1649" w:type="dxa"/>
            <w:tcBorders>
              <w:top w:val="single" w:color="auto" w:sz="4" w:space="0"/>
              <w:left w:val="single" w:color="auto" w:sz="8" w:space="0"/>
              <w:bottom w:val="single" w:color="auto" w:sz="4" w:space="0"/>
              <w:right w:val="single" w:color="auto" w:sz="8" w:space="0"/>
            </w:tcBorders>
            <w:vAlign w:val="center"/>
          </w:tcPr>
          <w:p>
            <w:pPr>
              <w:rPr>
                <w:rFonts w:ascii="仿宋" w:hAnsi="仿宋" w:eastAsia="仿宋"/>
                <w:sz w:val="15"/>
                <w:szCs w:val="15"/>
              </w:rPr>
            </w:pPr>
            <w:r>
              <w:rPr>
                <w:rFonts w:hint="eastAsia" w:ascii="仿宋" w:hAnsi="仿宋" w:eastAsia="仿宋"/>
                <w:sz w:val="15"/>
                <w:szCs w:val="15"/>
              </w:rPr>
              <w:t>处置费用，按实结报</w:t>
            </w:r>
          </w:p>
        </w:tc>
      </w:tr>
      <w:tr>
        <w:tblPrEx>
          <w:tblCellMar>
            <w:top w:w="0" w:type="dxa"/>
            <w:left w:w="0" w:type="dxa"/>
            <w:bottom w:w="0" w:type="dxa"/>
            <w:right w:w="0" w:type="dxa"/>
          </w:tblCellMar>
        </w:tblPrEx>
        <w:trPr>
          <w:trHeight w:val="360" w:hRule="atLeast"/>
        </w:trPr>
        <w:tc>
          <w:tcPr>
            <w:tcW w:w="0" w:type="auto"/>
            <w:vMerge w:val="continue"/>
            <w:tcBorders>
              <w:top w:val="nil"/>
              <w:left w:val="single" w:color="auto" w:sz="8" w:space="0"/>
              <w:bottom w:val="single" w:color="000000" w:sz="8" w:space="0"/>
              <w:right w:val="single" w:color="auto" w:sz="4" w:space="0"/>
            </w:tcBorders>
            <w:vAlign w:val="center"/>
          </w:tcPr>
          <w:p>
            <w:pPr>
              <w:rPr>
                <w:rFonts w:ascii="仿宋" w:hAnsi="仿宋" w:eastAsia="仿宋" w:cs="宋体"/>
                <w:sz w:val="22"/>
                <w:szCs w:val="22"/>
              </w:rPr>
            </w:pPr>
          </w:p>
        </w:tc>
        <w:tc>
          <w:tcPr>
            <w:tcW w:w="2962" w:type="dxa"/>
            <w:gridSpan w:val="4"/>
            <w:tcBorders>
              <w:top w:val="single" w:color="auto" w:sz="4" w:space="0"/>
              <w:left w:val="nil"/>
              <w:bottom w:val="single" w:color="auto"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cs="宋体"/>
                <w:sz w:val="22"/>
                <w:szCs w:val="22"/>
              </w:rPr>
            </w:pPr>
            <w:r>
              <w:rPr>
                <w:rFonts w:hint="eastAsia" w:ascii="仿宋" w:hAnsi="仿宋" w:eastAsia="仿宋"/>
                <w:sz w:val="22"/>
                <w:szCs w:val="22"/>
              </w:rPr>
              <w:t>小计</w:t>
            </w:r>
          </w:p>
        </w:tc>
        <w:tc>
          <w:tcPr>
            <w:tcW w:w="1280" w:type="dxa"/>
            <w:tcBorders>
              <w:top w:val="single" w:color="auto" w:sz="4" w:space="0"/>
              <w:left w:val="nil"/>
              <w:bottom w:val="single" w:color="auto" w:sz="8" w:space="0"/>
              <w:right w:val="single" w:color="auto" w:sz="4" w:space="0"/>
            </w:tcBorders>
            <w:shd w:val="clear" w:color="auto" w:fill="auto"/>
            <w:vAlign w:val="center"/>
          </w:tcPr>
          <w:p>
            <w:pPr>
              <w:jc w:val="center"/>
              <w:rPr>
                <w:rFonts w:ascii="仿宋" w:hAnsi="仿宋" w:eastAsia="仿宋" w:cs="宋体"/>
                <w:sz w:val="22"/>
                <w:szCs w:val="22"/>
              </w:rPr>
            </w:pPr>
            <w:r>
              <w:rPr>
                <w:rFonts w:hint="eastAsia" w:ascii="仿宋" w:hAnsi="仿宋" w:eastAsia="仿宋" w:cs="宋体"/>
                <w:sz w:val="22"/>
                <w:szCs w:val="22"/>
              </w:rPr>
              <w:t>2元/公斤</w:t>
            </w:r>
          </w:p>
        </w:tc>
        <w:tc>
          <w:tcPr>
            <w:tcW w:w="1968" w:type="dxa"/>
            <w:gridSpan w:val="3"/>
            <w:tcBorders>
              <w:top w:val="nil"/>
              <w:left w:val="nil"/>
              <w:bottom w:val="single" w:color="auto" w:sz="8" w:space="0"/>
              <w:right w:val="single" w:color="auto" w:sz="4" w:space="0"/>
            </w:tcBorders>
            <w:shd w:val="clear" w:color="auto" w:fill="auto"/>
            <w:tcMar>
              <w:top w:w="13" w:type="dxa"/>
              <w:left w:w="13" w:type="dxa"/>
              <w:bottom w:w="0" w:type="dxa"/>
              <w:right w:w="13" w:type="dxa"/>
            </w:tcMar>
            <w:vAlign w:val="center"/>
          </w:tcPr>
          <w:p>
            <w:pPr>
              <w:jc w:val="center"/>
              <w:rPr>
                <w:rFonts w:ascii="仿宋" w:hAnsi="仿宋" w:eastAsia="仿宋"/>
                <w:b/>
                <w:sz w:val="22"/>
                <w:szCs w:val="22"/>
              </w:rPr>
            </w:pPr>
          </w:p>
        </w:tc>
        <w:tc>
          <w:tcPr>
            <w:tcW w:w="1275" w:type="dxa"/>
            <w:tcBorders>
              <w:top w:val="nil"/>
              <w:left w:val="single" w:color="auto" w:sz="4" w:space="0"/>
              <w:bottom w:val="single" w:color="auto" w:sz="8" w:space="0"/>
              <w:right w:val="single" w:color="auto" w:sz="8" w:space="0"/>
            </w:tcBorders>
            <w:shd w:val="clear" w:color="auto" w:fill="auto"/>
            <w:vAlign w:val="center"/>
          </w:tcPr>
          <w:p>
            <w:pPr>
              <w:jc w:val="center"/>
              <w:rPr>
                <w:rFonts w:ascii="仿宋" w:hAnsi="仿宋" w:eastAsia="仿宋"/>
                <w:sz w:val="15"/>
                <w:szCs w:val="15"/>
              </w:rPr>
            </w:pPr>
          </w:p>
        </w:tc>
        <w:tc>
          <w:tcPr>
            <w:tcW w:w="1649" w:type="dxa"/>
            <w:tcBorders>
              <w:top w:val="single" w:color="auto" w:sz="4" w:space="0"/>
              <w:left w:val="single" w:color="auto" w:sz="8" w:space="0"/>
              <w:bottom w:val="single" w:color="000000" w:sz="8" w:space="0"/>
              <w:right w:val="single" w:color="auto" w:sz="8" w:space="0"/>
            </w:tcBorders>
            <w:vAlign w:val="center"/>
          </w:tcPr>
          <w:p>
            <w:pPr>
              <w:rPr>
                <w:rFonts w:ascii="仿宋" w:hAnsi="仿宋" w:eastAsia="仿宋"/>
                <w:sz w:val="15"/>
                <w:szCs w:val="15"/>
              </w:rPr>
            </w:pPr>
          </w:p>
        </w:tc>
      </w:tr>
      <w:tr>
        <w:tblPrEx>
          <w:tblCellMar>
            <w:top w:w="0" w:type="dxa"/>
            <w:left w:w="0" w:type="dxa"/>
            <w:bottom w:w="0" w:type="dxa"/>
            <w:right w:w="0" w:type="dxa"/>
          </w:tblCellMar>
        </w:tblPrEx>
        <w:trPr>
          <w:trHeight w:val="360" w:hRule="atLeast"/>
        </w:trPr>
        <w:tc>
          <w:tcPr>
            <w:tcW w:w="0" w:type="auto"/>
            <w:tcBorders>
              <w:top w:val="nil"/>
              <w:left w:val="single" w:color="auto" w:sz="8" w:space="0"/>
              <w:bottom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4</w:t>
            </w:r>
          </w:p>
        </w:tc>
        <w:tc>
          <w:tcPr>
            <w:tcW w:w="4242" w:type="dxa"/>
            <w:gridSpan w:val="5"/>
            <w:tcBorders>
              <w:top w:val="single" w:color="auto" w:sz="4" w:space="0"/>
              <w:left w:val="single" w:color="auto" w:sz="4" w:space="0"/>
              <w:bottom w:val="single" w:color="auto" w:sz="8"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第三方审计费用</w:t>
            </w:r>
          </w:p>
        </w:tc>
        <w:tc>
          <w:tcPr>
            <w:tcW w:w="1968" w:type="dxa"/>
            <w:gridSpan w:val="3"/>
            <w:vMerge w:val="restart"/>
            <w:tcBorders>
              <w:top w:val="nil"/>
              <w:left w:val="nil"/>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sz w:val="22"/>
                <w:szCs w:val="22"/>
              </w:rPr>
            </w:pPr>
            <w:r>
              <w:rPr>
                <w:rFonts w:hint="eastAsia" w:ascii="仿宋" w:hAnsi="仿宋" w:eastAsia="仿宋"/>
                <w:b/>
                <w:sz w:val="22"/>
                <w:szCs w:val="22"/>
              </w:rPr>
              <w:t>33</w:t>
            </w:r>
            <w:r>
              <w:rPr>
                <w:rFonts w:hint="eastAsia" w:ascii="仿宋" w:hAnsi="仿宋" w:eastAsia="仿宋"/>
                <w:sz w:val="22"/>
                <w:szCs w:val="22"/>
              </w:rPr>
              <w:t>万元</w:t>
            </w:r>
          </w:p>
        </w:tc>
        <w:tc>
          <w:tcPr>
            <w:tcW w:w="1275" w:type="dxa"/>
            <w:vMerge w:val="restart"/>
            <w:tcBorders>
              <w:top w:val="nil"/>
              <w:left w:val="single" w:color="auto" w:sz="4" w:space="0"/>
              <w:right w:val="nil"/>
            </w:tcBorders>
            <w:shd w:val="clear" w:color="auto" w:fill="auto"/>
            <w:vAlign w:val="center"/>
          </w:tcPr>
          <w:p>
            <w:pPr>
              <w:jc w:val="center"/>
              <w:rPr>
                <w:rFonts w:ascii="仿宋" w:hAnsi="仿宋" w:eastAsia="仿宋"/>
                <w:sz w:val="15"/>
                <w:szCs w:val="15"/>
              </w:rPr>
            </w:pPr>
          </w:p>
        </w:tc>
        <w:tc>
          <w:tcPr>
            <w:tcW w:w="1649" w:type="dxa"/>
            <w:vMerge w:val="restart"/>
            <w:tcBorders>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15"/>
                <w:szCs w:val="15"/>
              </w:rPr>
            </w:pPr>
            <w:r>
              <w:rPr>
                <w:rFonts w:hint="eastAsia" w:ascii="仿宋" w:hAnsi="仿宋" w:eastAsia="仿宋"/>
                <w:sz w:val="15"/>
                <w:szCs w:val="15"/>
              </w:rPr>
              <w:t>由区供销总社招标</w:t>
            </w:r>
          </w:p>
          <w:p>
            <w:pPr>
              <w:rPr>
                <w:rFonts w:ascii="仿宋" w:hAnsi="仿宋" w:eastAsia="仿宋"/>
                <w:sz w:val="15"/>
                <w:szCs w:val="15"/>
              </w:rPr>
            </w:pPr>
            <w:r>
              <w:rPr>
                <w:rFonts w:hint="eastAsia" w:ascii="仿宋" w:hAnsi="仿宋" w:eastAsia="仿宋"/>
                <w:sz w:val="15"/>
                <w:szCs w:val="15"/>
              </w:rPr>
              <w:t>确定实施单位，</w:t>
            </w:r>
          </w:p>
          <w:p>
            <w:pPr>
              <w:rPr>
                <w:rFonts w:ascii="仿宋" w:hAnsi="仿宋" w:eastAsia="仿宋"/>
                <w:sz w:val="15"/>
                <w:szCs w:val="15"/>
              </w:rPr>
            </w:pPr>
            <w:r>
              <w:rPr>
                <w:rFonts w:hint="eastAsia" w:ascii="仿宋" w:hAnsi="仿宋" w:eastAsia="仿宋"/>
                <w:sz w:val="15"/>
                <w:szCs w:val="15"/>
              </w:rPr>
              <w:t>经审计后按实结报</w:t>
            </w:r>
          </w:p>
          <w:p>
            <w:pPr>
              <w:rPr>
                <w:rFonts w:ascii="仿宋" w:hAnsi="仿宋" w:eastAsia="仿宋"/>
                <w:sz w:val="15"/>
                <w:szCs w:val="15"/>
              </w:rPr>
            </w:pPr>
          </w:p>
        </w:tc>
      </w:tr>
      <w:tr>
        <w:tblPrEx>
          <w:tblCellMar>
            <w:top w:w="0" w:type="dxa"/>
            <w:left w:w="0" w:type="dxa"/>
            <w:bottom w:w="0" w:type="dxa"/>
            <w:right w:w="0" w:type="dxa"/>
          </w:tblCellMar>
        </w:tblPrEx>
        <w:trPr>
          <w:trHeight w:val="360" w:hRule="atLeast"/>
        </w:trPr>
        <w:tc>
          <w:tcPr>
            <w:tcW w:w="0" w:type="auto"/>
            <w:tcBorders>
              <w:top w:val="nil"/>
              <w:left w:val="single" w:color="auto" w:sz="8" w:space="0"/>
              <w:bottom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5</w:t>
            </w:r>
          </w:p>
        </w:tc>
        <w:tc>
          <w:tcPr>
            <w:tcW w:w="4242" w:type="dxa"/>
            <w:gridSpan w:val="5"/>
            <w:tcBorders>
              <w:top w:val="single" w:color="auto" w:sz="4" w:space="0"/>
              <w:left w:val="single" w:color="auto" w:sz="4" w:space="0"/>
              <w:bottom w:val="single" w:color="auto" w:sz="8"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信息平台维护费</w:t>
            </w:r>
          </w:p>
        </w:tc>
        <w:tc>
          <w:tcPr>
            <w:tcW w:w="1968" w:type="dxa"/>
            <w:gridSpan w:val="3"/>
            <w:vMerge w:val="continue"/>
            <w:tcBorders>
              <w:left w:val="nil"/>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sz w:val="22"/>
                <w:szCs w:val="22"/>
              </w:rPr>
            </w:pPr>
          </w:p>
        </w:tc>
        <w:tc>
          <w:tcPr>
            <w:tcW w:w="1275" w:type="dxa"/>
            <w:vMerge w:val="continue"/>
            <w:tcBorders>
              <w:left w:val="single" w:color="auto" w:sz="4" w:space="0"/>
              <w:right w:val="nil"/>
            </w:tcBorders>
            <w:shd w:val="clear" w:color="auto" w:fill="auto"/>
            <w:vAlign w:val="center"/>
          </w:tcPr>
          <w:p>
            <w:pPr>
              <w:jc w:val="center"/>
              <w:rPr>
                <w:rFonts w:ascii="仿宋" w:hAnsi="仿宋" w:eastAsia="仿宋"/>
                <w:sz w:val="22"/>
                <w:szCs w:val="22"/>
              </w:rPr>
            </w:pPr>
          </w:p>
        </w:tc>
        <w:tc>
          <w:tcPr>
            <w:tcW w:w="1649" w:type="dxa"/>
            <w:vMerge w:val="continue"/>
            <w:tcBorders>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1068" w:hRule="atLeast"/>
        </w:trPr>
        <w:tc>
          <w:tcPr>
            <w:tcW w:w="0" w:type="auto"/>
            <w:tcBorders>
              <w:top w:val="nil"/>
              <w:left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6</w:t>
            </w:r>
          </w:p>
        </w:tc>
        <w:tc>
          <w:tcPr>
            <w:tcW w:w="4242" w:type="dxa"/>
            <w:gridSpan w:val="5"/>
            <w:tcBorders>
              <w:top w:val="single" w:color="auto" w:sz="4" w:space="0"/>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r>
              <w:rPr>
                <w:rFonts w:hint="eastAsia" w:ascii="仿宋" w:hAnsi="仿宋" w:eastAsia="仿宋"/>
                <w:sz w:val="22"/>
                <w:szCs w:val="22"/>
              </w:rPr>
              <w:t>网点建设、回收袋、考核奖励</w:t>
            </w:r>
          </w:p>
        </w:tc>
        <w:tc>
          <w:tcPr>
            <w:tcW w:w="1968" w:type="dxa"/>
            <w:gridSpan w:val="3"/>
            <w:vMerge w:val="continue"/>
            <w:tcBorders>
              <w:left w:val="nil"/>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sz w:val="22"/>
                <w:szCs w:val="22"/>
              </w:rPr>
            </w:pPr>
          </w:p>
        </w:tc>
        <w:tc>
          <w:tcPr>
            <w:tcW w:w="1275" w:type="dxa"/>
            <w:vMerge w:val="continue"/>
            <w:tcBorders>
              <w:left w:val="single" w:color="auto" w:sz="4" w:space="0"/>
              <w:right w:val="nil"/>
            </w:tcBorders>
            <w:shd w:val="clear" w:color="auto" w:fill="auto"/>
            <w:vAlign w:val="center"/>
          </w:tcPr>
          <w:p>
            <w:pPr>
              <w:jc w:val="center"/>
              <w:rPr>
                <w:rFonts w:ascii="仿宋" w:hAnsi="仿宋" w:eastAsia="仿宋"/>
                <w:sz w:val="22"/>
                <w:szCs w:val="22"/>
              </w:rPr>
            </w:pPr>
          </w:p>
        </w:tc>
        <w:tc>
          <w:tcPr>
            <w:tcW w:w="1649" w:type="dxa"/>
            <w:vMerge w:val="continue"/>
            <w:tcBorders>
              <w:left w:val="single" w:color="auto" w:sz="4"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cs="宋体"/>
                <w:sz w:val="22"/>
                <w:szCs w:val="22"/>
              </w:rPr>
            </w:pPr>
          </w:p>
        </w:tc>
      </w:tr>
      <w:tr>
        <w:tblPrEx>
          <w:tblCellMar>
            <w:top w:w="0" w:type="dxa"/>
            <w:left w:w="0" w:type="dxa"/>
            <w:bottom w:w="0" w:type="dxa"/>
            <w:right w:w="0" w:type="dxa"/>
          </w:tblCellMar>
        </w:tblPrEx>
        <w:trPr>
          <w:trHeight w:val="611" w:hRule="atLeast"/>
        </w:trPr>
        <w:tc>
          <w:tcPr>
            <w:tcW w:w="0" w:type="auto"/>
            <w:tcBorders>
              <w:top w:val="single" w:color="auto" w:sz="4" w:space="0"/>
              <w:left w:val="single" w:color="auto" w:sz="8" w:space="0"/>
              <w:bottom w:val="single" w:color="auto" w:sz="8" w:space="0"/>
              <w:right w:val="nil"/>
            </w:tcBorders>
            <w:shd w:val="clear" w:color="auto" w:fill="auto"/>
            <w:noWrap/>
            <w:tcMar>
              <w:top w:w="13" w:type="dxa"/>
              <w:left w:w="13" w:type="dxa"/>
              <w:bottom w:w="0" w:type="dxa"/>
              <w:right w:w="13" w:type="dxa"/>
            </w:tcMar>
            <w:vAlign w:val="center"/>
          </w:tcPr>
          <w:p>
            <w:pPr>
              <w:rPr>
                <w:rFonts w:ascii="仿宋" w:hAnsi="仿宋" w:eastAsia="仿宋"/>
                <w:sz w:val="22"/>
                <w:szCs w:val="22"/>
              </w:rPr>
            </w:pPr>
          </w:p>
        </w:tc>
        <w:tc>
          <w:tcPr>
            <w:tcW w:w="4242" w:type="dxa"/>
            <w:gridSpan w:val="5"/>
            <w:tcBorders>
              <w:top w:val="single" w:color="auto" w:sz="4" w:space="0"/>
              <w:left w:val="single" w:color="auto" w:sz="4" w:space="0"/>
              <w:bottom w:val="single" w:color="auto" w:sz="8" w:space="0"/>
              <w:right w:val="single" w:color="auto" w:sz="4" w:space="0"/>
            </w:tcBorders>
            <w:shd w:val="clear" w:color="auto" w:fill="auto"/>
            <w:noWrap/>
            <w:tcMar>
              <w:top w:w="13" w:type="dxa"/>
              <w:left w:w="13" w:type="dxa"/>
              <w:bottom w:w="0" w:type="dxa"/>
              <w:right w:w="13" w:type="dxa"/>
            </w:tcMar>
            <w:vAlign w:val="center"/>
          </w:tcPr>
          <w:p>
            <w:pPr>
              <w:rPr>
                <w:rFonts w:ascii="仿宋" w:hAnsi="仿宋" w:eastAsia="仿宋"/>
                <w:sz w:val="22"/>
                <w:szCs w:val="22"/>
              </w:rPr>
            </w:pPr>
          </w:p>
        </w:tc>
        <w:tc>
          <w:tcPr>
            <w:tcW w:w="1968" w:type="dxa"/>
            <w:gridSpan w:val="3"/>
            <w:tcBorders>
              <w:top w:val="single" w:color="auto" w:sz="4" w:space="0"/>
              <w:left w:val="nil"/>
              <w:bottom w:val="single" w:color="auto" w:sz="8" w:space="0"/>
              <w:right w:val="single" w:color="auto" w:sz="4" w:space="0"/>
            </w:tcBorders>
            <w:shd w:val="clear" w:color="auto" w:fill="auto"/>
            <w:noWrap/>
            <w:tcMar>
              <w:top w:w="13" w:type="dxa"/>
              <w:left w:w="13" w:type="dxa"/>
              <w:bottom w:w="0" w:type="dxa"/>
              <w:right w:w="13" w:type="dxa"/>
            </w:tcMar>
            <w:vAlign w:val="center"/>
          </w:tcPr>
          <w:p>
            <w:pPr>
              <w:jc w:val="center"/>
              <w:rPr>
                <w:rFonts w:ascii="仿宋" w:hAnsi="仿宋" w:eastAsia="仿宋"/>
                <w:b/>
                <w:sz w:val="15"/>
                <w:szCs w:val="15"/>
              </w:rPr>
            </w:pPr>
            <w:r>
              <w:rPr>
                <w:rFonts w:hint="eastAsia" w:ascii="仿宋" w:hAnsi="仿宋" w:eastAsia="仿宋"/>
                <w:b/>
                <w:sz w:val="15"/>
                <w:szCs w:val="15"/>
              </w:rPr>
              <w:t>不可竞争费634.4万元</w:t>
            </w:r>
          </w:p>
        </w:tc>
        <w:tc>
          <w:tcPr>
            <w:tcW w:w="292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rPr>
                <w:rFonts w:ascii="仿宋" w:hAnsi="仿宋" w:eastAsia="仿宋" w:cs="宋体"/>
                <w:sz w:val="24"/>
              </w:rPr>
            </w:pPr>
            <w:r>
              <w:rPr>
                <w:rFonts w:hint="eastAsia" w:ascii="仿宋" w:hAnsi="仿宋" w:eastAsia="仿宋"/>
                <w:b/>
                <w:sz w:val="24"/>
              </w:rPr>
              <w:t>投标报价</w:t>
            </w:r>
            <w:r>
              <w:rPr>
                <w:rFonts w:hint="eastAsia" w:ascii="仿宋" w:hAnsi="仿宋" w:eastAsia="仿宋"/>
                <w:b/>
                <w:sz w:val="24"/>
                <w:u w:val="single"/>
              </w:rPr>
              <w:t xml:space="preserve">          万元</w:t>
            </w:r>
          </w:p>
        </w:tc>
      </w:tr>
    </w:tbl>
    <w:p>
      <w:pPr>
        <w:ind w:firstLine="6080" w:firstLineChars="1900"/>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投标人（盖章）：</w:t>
      </w:r>
    </w:p>
    <w:p>
      <w:pPr>
        <w:ind w:firstLine="6080" w:firstLineChars="1900"/>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日期：</w:t>
      </w:r>
    </w:p>
    <w:p>
      <w:pPr>
        <w:jc w:val="center"/>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p>
    <w:p>
      <w:pPr>
        <w:ind w:firstLine="6080" w:firstLineChars="1900"/>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p>
    <w:p>
      <w:pPr>
        <w:ind w:firstLine="6080" w:firstLineChars="1900"/>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六、中小企业声明函</w:t>
      </w:r>
    </w:p>
    <w:p>
      <w:pPr>
        <w:jc w:val="left"/>
        <w:rPr>
          <w:rFonts w:asciiTheme="majorEastAsia" w:hAnsiTheme="majorEastAsia" w:eastAsiaTheme="majorEastAsia"/>
          <w:color w:val="0D0D0D" w:themeColor="text1" w:themeTint="F2"/>
          <w:sz w:val="24"/>
          <w14:textFill>
            <w14:solidFill>
              <w14:schemeClr w14:val="tx1">
                <w14:lumMod w14:val="95000"/>
                <w14:lumOff w14:val="5000"/>
              </w14:schemeClr>
            </w14:solidFill>
          </w14:textFill>
        </w:rPr>
      </w:pPr>
    </w:p>
    <w:p>
      <w:pPr>
        <w:widowControl/>
        <w:adjustRightInd w:val="0"/>
        <w:snapToGrid w:val="0"/>
        <w:spacing w:line="360" w:lineRule="auto"/>
        <w:ind w:left="142" w:firstLine="480" w:firstLineChars="2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本公司郑重声明，根据《政府采购促进中小企业发展暂行办法》（财库[2011]181号）的规定，本公司为_________（请填写：中型、小型、微型）企业。即，本公司同时满足以下条件：</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1.根据《工业和信息化部、国家统计局、国家发展和改革委员会、财政部关于印发中小企业划型标准规定的通知》（工信部联企业[2011]300号）规定的划分标准，本公司为__________（请填写：中型、小型、微型）企业。</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2.本公司参加单位的项目采购活动提供本企业制造的货物，由本企业承担工程、提供服务，或者提供其他_________（请填写：中型、小型、微型）企业制造的货物。本条所称货物不包括使用大型企业注册商标的货物。</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本公司对上述声明的真实性负责。如有虚假，将依法承担相应责任。</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ight="480"/>
        <w:jc w:val="center"/>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xml:space="preserve">                                   投标人</w:t>
      </w:r>
      <w:r>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公章：</w:t>
      </w:r>
    </w:p>
    <w:p>
      <w:pPr>
        <w:widowControl/>
        <w:adjustRightInd w:val="0"/>
        <w:snapToGrid w:val="0"/>
        <w:spacing w:line="360" w:lineRule="auto"/>
        <w:ind w:left="141" w:leftChars="67" w:firstLine="6000" w:firstLineChars="25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日期：</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备注：1、投标人若不提供本声明函的，将不能享受政府采购扶持中小微型企业的政策。</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xml:space="preserve">     2、中小企业（含中型、小型、微型企业，下同）应当同时符合以下条件：</w:t>
      </w:r>
    </w:p>
    <w:p>
      <w:pPr>
        <w:widowControl/>
        <w:adjustRightInd w:val="0"/>
        <w:snapToGrid w:val="0"/>
        <w:spacing w:line="360" w:lineRule="auto"/>
        <w:ind w:left="141" w:leftChars="67" w:firstLine="840" w:firstLineChars="35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（一）符合中小企业划分标准；</w:t>
      </w:r>
    </w:p>
    <w:p>
      <w:pPr>
        <w:widowControl/>
        <w:adjustRightInd w:val="0"/>
        <w:snapToGrid w:val="0"/>
        <w:spacing w:line="360" w:lineRule="auto"/>
        <w:ind w:left="141" w:leftChars="67" w:firstLine="840" w:firstLineChars="35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（二）提供本企业制造的货物、承担的工程或者服务，或者提供其他中小企业制造的货物。本项所称货物不包括使用大型企业注册商标的货物。</w:t>
      </w:r>
    </w:p>
    <w:p>
      <w:pPr>
        <w:widowControl/>
        <w:adjustRightInd w:val="0"/>
        <w:snapToGrid w:val="0"/>
        <w:spacing w:line="360" w:lineRule="auto"/>
        <w:ind w:left="141" w:leftChars="67" w:firstLine="480" w:firstLineChars="2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3、小型、微型企业提供中型企业制造的货物的，视同为中型企业。</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jc w:val="center"/>
        <w:rPr>
          <w:rFonts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七、残疾人福利性单位声明函</w:t>
      </w:r>
    </w:p>
    <w:p>
      <w:pPr>
        <w:spacing w:line="588" w:lineRule="exact"/>
        <w:rPr>
          <w:rFonts w:asciiTheme="majorEastAsia" w:hAnsiTheme="majorEastAsia" w:eastAsiaTheme="majorEastAsia"/>
          <w:color w:val="0D0D0D" w:themeColor="text1" w:themeTint="F2"/>
          <w:spacing w:val="6"/>
          <w:sz w:val="24"/>
          <w14:textFill>
            <w14:solidFill>
              <w14:schemeClr w14:val="tx1">
                <w14:lumMod w14:val="95000"/>
                <w14:lumOff w14:val="5000"/>
              </w14:schemeClr>
            </w14:solidFill>
          </w14:textFill>
        </w:rPr>
      </w:pPr>
    </w:p>
    <w:p>
      <w:pPr>
        <w:widowControl/>
        <w:adjustRightInd w:val="0"/>
        <w:snapToGrid w:val="0"/>
        <w:spacing w:line="360" w:lineRule="auto"/>
        <w:ind w:left="142" w:firstLine="480" w:firstLineChars="2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360" w:lineRule="auto"/>
        <w:ind w:left="142" w:firstLine="480" w:firstLineChars="2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本单位对上述声明的真实性负责。如有虚假，将依法承担相应责任。</w:t>
      </w:r>
    </w:p>
    <w:p>
      <w:pPr>
        <w:widowControl/>
        <w:adjustRightInd w:val="0"/>
        <w:snapToGrid w:val="0"/>
        <w:spacing w:line="360" w:lineRule="auto"/>
        <w:ind w:left="142" w:firstLine="480" w:firstLineChars="2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left="142" w:firstLine="480" w:firstLineChars="200"/>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jc w:val="center"/>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xml:space="preserve">                   投标人公章：</w:t>
      </w:r>
    </w:p>
    <w:p>
      <w:pPr>
        <w:jc w:val="center"/>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xml:space="preserve">             日期：</w:t>
      </w:r>
    </w:p>
    <w:p>
      <w:pPr>
        <w:rPr>
          <w:rFonts w:asciiTheme="majorEastAsia" w:hAnsiTheme="majorEastAsia" w:eastAsiaTheme="majorEastAsia"/>
          <w:color w:val="0D0D0D" w:themeColor="text1" w:themeTint="F2"/>
          <w:sz w:val="28"/>
          <w14:textFill>
            <w14:solidFill>
              <w14:schemeClr w14:val="tx1">
                <w14:lumMod w14:val="95000"/>
                <w14:lumOff w14:val="5000"/>
              </w14:schemeClr>
            </w14:solidFill>
          </w14:textFill>
        </w:rPr>
      </w:pPr>
    </w:p>
    <w:p>
      <w:pPr>
        <w:pStyle w:val="47"/>
        <w:shd w:val="clear" w:color="auto" w:fill="FFFFFF"/>
        <w:spacing w:before="0" w:beforeAutospacing="0" w:after="0" w:afterAutospacing="0" w:line="560" w:lineRule="atLeast"/>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享受政府采购支持政策的残疾人福利性单位应当同时满足以下条件：</w:t>
      </w:r>
    </w:p>
    <w:p>
      <w:pPr>
        <w:pStyle w:val="47"/>
        <w:shd w:val="clear" w:color="auto" w:fill="FFFFFF"/>
        <w:spacing w:before="0" w:beforeAutospacing="0" w:after="0" w:afterAutospacing="0" w:line="560" w:lineRule="atLeast"/>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（一）安置的残疾人占本单位在职职工人数的比例不低于25%（含25%），并且安置的残疾人人数不少于10人（含10人）；</w:t>
      </w:r>
    </w:p>
    <w:p>
      <w:pPr>
        <w:pStyle w:val="47"/>
        <w:shd w:val="clear" w:color="auto" w:fill="FFFFFF"/>
        <w:spacing w:before="0" w:beforeAutospacing="0" w:after="0" w:afterAutospacing="0" w:line="560" w:lineRule="atLeast"/>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（二）依法与安置的每位残疾人签订了一年以上（含一年）的劳动合同或服务协议；</w:t>
      </w:r>
    </w:p>
    <w:p>
      <w:pPr>
        <w:pStyle w:val="47"/>
        <w:shd w:val="clear" w:color="auto" w:fill="FFFFFF"/>
        <w:spacing w:before="0" w:beforeAutospacing="0" w:after="0" w:afterAutospacing="0" w:line="560" w:lineRule="atLeast"/>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（三）为安置的每位残疾人按月足额缴纳了基本养老保险、基本医疗保险、失业保险、工伤保险和生育保险等社会保险费；</w:t>
      </w:r>
    </w:p>
    <w:p>
      <w:pPr>
        <w:pStyle w:val="47"/>
        <w:shd w:val="clear" w:color="auto" w:fill="FFFFFF"/>
        <w:spacing w:before="0" w:beforeAutospacing="0" w:after="0" w:afterAutospacing="0" w:line="560" w:lineRule="atLeast"/>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（四）通过银行等金融机构向安置的每位残疾人，按月支付了不低于单位所在区县适用的经省级人民政府批准的月最低工资标准的工资；</w:t>
      </w:r>
    </w:p>
    <w:p>
      <w:pPr>
        <w:pStyle w:val="47"/>
        <w:shd w:val="clear" w:color="auto" w:fill="FFFFFF"/>
        <w:spacing w:before="0" w:beforeAutospacing="0" w:after="0" w:afterAutospacing="0" w:line="560" w:lineRule="atLeast"/>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　　（五）提供本单位制造的货物、承担的工程或者服务（以下简称产品），或者提供其他残疾人福利性单位制造的货物（不包括使用非残疾人福利性单位注册商标的货物）。</w:t>
      </w:r>
    </w:p>
    <w:p>
      <w:pPr>
        <w:pStyle w:val="47"/>
        <w:shd w:val="clear" w:color="auto" w:fill="FFFFFF"/>
        <w:spacing w:before="0" w:beforeAutospacing="0" w:after="0" w:afterAutospacing="0" w:line="560" w:lineRule="atLeast"/>
        <w:ind w:firstLine="480"/>
        <w:textAlignment w:val="baseline"/>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line="360" w:lineRule="auto"/>
        <w:jc w:val="center"/>
        <w:rPr>
          <w:rFonts w:cs="宋体" w:asciiTheme="majorEastAsia" w:hAnsiTheme="majorEastAsia" w:eastAsiaTheme="majorEastAsia"/>
          <w:color w:val="0D0D0D" w:themeColor="text1" w:themeTint="F2"/>
          <w:kern w:val="0"/>
          <w:sz w:val="32"/>
          <w:szCs w:val="32"/>
          <w14:textFill>
            <w14:solidFill>
              <w14:schemeClr w14:val="tx1">
                <w14:lumMod w14:val="95000"/>
                <w14:lumOff w14:val="5000"/>
              </w14:schemeClr>
            </w14:solidFill>
          </w14:textFill>
        </w:rPr>
      </w:pPr>
      <w:r>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page"/>
      </w:r>
      <w:r>
        <w:rPr>
          <w:rFonts w:hint="eastAsia" w:cs="宋体" w:asciiTheme="majorEastAsia" w:hAnsiTheme="majorEastAsia" w:eastAsiaTheme="majorEastAsia"/>
          <w:color w:val="0D0D0D" w:themeColor="text1" w:themeTint="F2"/>
          <w:kern w:val="0"/>
          <w:sz w:val="32"/>
          <w:szCs w:val="32"/>
          <w14:textFill>
            <w14:solidFill>
              <w14:schemeClr w14:val="tx1">
                <w14:lumMod w14:val="95000"/>
                <w14:lumOff w14:val="5000"/>
              </w14:schemeClr>
            </w14:solidFill>
          </w14:textFill>
        </w:rPr>
        <w:t>八、中小企业划型标准规定</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各行业划型标准为：</w:t>
      </w:r>
    </w:p>
    <w:p>
      <w:pPr>
        <w:widowControl/>
        <w:adjustRightInd w:val="0"/>
        <w:snapToGrid w:val="0"/>
        <w:spacing w:line="360" w:lineRule="auto"/>
        <w:ind w:left="141" w:leftChars="67"/>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（一）农、林、牧、渔业。营业收入20000万元以下的为中小微型企业。其中，营业收入500万元及以上的为中型企业，营业收入50万元及以上的为小型企业，营业收入50万元以下的为微型企业。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br w:type="textWrapping"/>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　　（十六）其他未列明行业。从业人员300人以下的为中小微型企业。其中，从业人员100人及以上的为中型企业；从业人员10人及以上的为小型企业；从业人员10人以下的为微型企业。</w:t>
      </w:r>
    </w:p>
    <w:p>
      <w:pPr>
        <w:jc w:val="center"/>
        <w:rPr>
          <w:rFonts w:cs="宋体"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pPr>
      <w:r>
        <w:rPr>
          <w:rFonts w:cs="宋体" w:asciiTheme="majorEastAsia" w:hAnsiTheme="majorEastAsia" w:eastAsiaTheme="majorEastAsia"/>
          <w:color w:val="0D0D0D" w:themeColor="text1" w:themeTint="F2"/>
          <w:sz w:val="24"/>
          <w14:textFill>
            <w14:solidFill>
              <w14:schemeClr w14:val="tx1">
                <w14:lumMod w14:val="95000"/>
                <w14:lumOff w14:val="5000"/>
              </w14:schemeClr>
            </w14:solidFill>
          </w14:textFill>
        </w:rPr>
        <w:br w:type="page"/>
      </w:r>
      <w:r>
        <w:rPr>
          <w:rFonts w:hint="eastAsia" w:cs="宋体" w:asciiTheme="majorEastAsia" w:hAnsiTheme="majorEastAsia" w:eastAsiaTheme="majorEastAsia"/>
          <w:color w:val="0D0D0D" w:themeColor="text1" w:themeTint="F2"/>
          <w:sz w:val="32"/>
          <w:szCs w:val="32"/>
          <w14:textFill>
            <w14:solidFill>
              <w14:schemeClr w14:val="tx1">
                <w14:lumMod w14:val="95000"/>
                <w14:lumOff w14:val="5000"/>
              </w14:schemeClr>
            </w14:solidFill>
          </w14:textFill>
        </w:rPr>
        <w:t>监狱企业证明函</w:t>
      </w:r>
    </w:p>
    <w:p>
      <w:pPr>
        <w:widowControl/>
        <w:spacing w:beforeLines="50" w:afterLines="50" w:line="480" w:lineRule="exact"/>
        <w:ind w:firstLine="645"/>
        <w:jc w:val="left"/>
        <w:outlineLvl w:val="2"/>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根据《财政部 司法部关于政府采购支持监狱企业发展有关问题的通知》（财库[2014]68号）的规定，</w:t>
      </w:r>
      <w:r>
        <w:rPr>
          <w:rFonts w:hint="eastAsia" w:cs="宋体" w:asciiTheme="majorEastAsia" w:hAnsiTheme="majorEastAsia" w:eastAsiaTheme="majorEastAsia"/>
          <w:color w:val="0D0D0D" w:themeColor="text1" w:themeTint="F2"/>
          <w:kern w:val="0"/>
          <w:sz w:val="24"/>
          <w:u w:val="single"/>
          <w14:textFill>
            <w14:solidFill>
              <w14:schemeClr w14:val="tx1">
                <w14:lumMod w14:val="95000"/>
                <w14:lumOff w14:val="5000"/>
              </w14:schemeClr>
            </w14:solidFill>
          </w14:textFill>
        </w:rPr>
        <w:t xml:space="preserve">          （填写供应商法定全称）</w:t>
      </w: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为监狱企业。</w:t>
      </w:r>
    </w:p>
    <w:p>
      <w:pPr>
        <w:widowControl/>
        <w:spacing w:beforeLines="50" w:afterLines="50" w:line="480" w:lineRule="exact"/>
        <w:ind w:firstLine="645"/>
        <w:jc w:val="left"/>
        <w:outlineLvl w:val="2"/>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特此声明。</w:t>
      </w:r>
    </w:p>
    <w:p>
      <w:pPr>
        <w:widowControl/>
        <w:spacing w:beforeLines="50" w:afterLines="50" w:line="480" w:lineRule="exact"/>
        <w:ind w:firstLine="1440" w:firstLineChars="600"/>
        <w:jc w:val="left"/>
        <w:outlineLvl w:val="2"/>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p>
    <w:p>
      <w:pPr>
        <w:widowControl/>
        <w:spacing w:beforeLines="50" w:afterLines="50" w:line="480" w:lineRule="exact"/>
        <w:ind w:firstLine="1440" w:firstLineChars="600"/>
        <w:jc w:val="left"/>
        <w:outlineLvl w:val="2"/>
        <w:rPr>
          <w:rFonts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pPr>
      <w:r>
        <w:rPr>
          <w:rFonts w:hint="eastAsia" w:cs="宋体" w:asciiTheme="majorEastAsia" w:hAnsiTheme="majorEastAsia" w:eastAsiaTheme="majorEastAsia"/>
          <w:color w:val="0D0D0D" w:themeColor="text1" w:themeTint="F2"/>
          <w:kern w:val="0"/>
          <w:sz w:val="24"/>
          <w14:textFill>
            <w14:solidFill>
              <w14:schemeClr w14:val="tx1">
                <w14:lumMod w14:val="95000"/>
                <w14:lumOff w14:val="5000"/>
              </w14:schemeClr>
            </w14:solidFill>
          </w14:textFill>
        </w:rPr>
        <w:t>省级以上监狱管理局、戒毒管理局（含新疆生产建设兵团）（盖章）：</w:t>
      </w: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widowControl/>
        <w:jc w:val="left"/>
        <w:rPr>
          <w:rFonts w:ascii="宋体" w:hAnsi="宋体"/>
          <w:color w:val="0D0D0D" w:themeColor="text1" w:themeTint="F2"/>
          <w14:textFill>
            <w14:solidFill>
              <w14:schemeClr w14:val="tx1">
                <w14:lumMod w14:val="95000"/>
                <w14:lumOff w14:val="5000"/>
              </w14:schemeClr>
            </w14:solidFill>
          </w14:textFill>
        </w:rPr>
      </w:pPr>
    </w:p>
    <w:p>
      <w:pPr>
        <w:spacing w:line="60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九、疫情期间现场投标承诺书</w:t>
      </w:r>
    </w:p>
    <w:p>
      <w:pPr>
        <w:spacing w:line="600" w:lineRule="exact"/>
        <w:rPr>
          <w:rFonts w:ascii="宋体" w:hAnsi="宋体" w:cs="宋体"/>
          <w:sz w:val="28"/>
          <w:szCs w:val="28"/>
          <w:u w:val="single"/>
        </w:rPr>
      </w:pPr>
    </w:p>
    <w:p>
      <w:pPr>
        <w:spacing w:line="600" w:lineRule="exact"/>
        <w:rPr>
          <w:rFonts w:ascii="宋体" w:hAnsi="宋体" w:cs="宋体"/>
          <w:sz w:val="24"/>
          <w:szCs w:val="24"/>
        </w:rPr>
      </w:pPr>
      <w:r>
        <w:rPr>
          <w:rFonts w:hint="eastAsia" w:ascii="宋体" w:hAnsi="宋体" w:cs="宋体"/>
          <w:sz w:val="24"/>
          <w:szCs w:val="24"/>
          <w:u w:val="single"/>
        </w:rPr>
        <w:t xml:space="preserve">         （招标人名称）            </w:t>
      </w:r>
      <w:r>
        <w:rPr>
          <w:rFonts w:hint="eastAsia" w:ascii="宋体" w:hAnsi="宋体" w:cs="宋体"/>
          <w:sz w:val="24"/>
          <w:szCs w:val="24"/>
        </w:rPr>
        <w:t>：</w:t>
      </w:r>
    </w:p>
    <w:p>
      <w:pPr>
        <w:spacing w:line="600" w:lineRule="exact"/>
        <w:ind w:firstLine="480" w:firstLineChars="200"/>
        <w:rPr>
          <w:rFonts w:ascii="宋体" w:hAnsi="宋体" w:cs="宋体"/>
          <w:sz w:val="24"/>
          <w:szCs w:val="24"/>
        </w:rPr>
      </w:pPr>
      <w:r>
        <w:rPr>
          <w:rFonts w:hint="eastAsia" w:ascii="宋体" w:hAnsi="宋体" w:cs="宋体"/>
          <w:sz w:val="24"/>
          <w:szCs w:val="24"/>
        </w:rPr>
        <w:t>我单位授权</w:t>
      </w:r>
      <w:r>
        <w:rPr>
          <w:rFonts w:hint="eastAsia" w:ascii="宋体" w:hAnsi="宋体" w:cs="宋体"/>
          <w:sz w:val="24"/>
          <w:szCs w:val="24"/>
          <w:u w:val="single"/>
        </w:rPr>
        <w:t xml:space="preserve">（委托人姓名）         </w:t>
      </w:r>
      <w:r>
        <w:rPr>
          <w:rFonts w:hint="eastAsia" w:ascii="宋体" w:hAnsi="宋体" w:cs="宋体"/>
          <w:sz w:val="24"/>
          <w:szCs w:val="24"/>
        </w:rPr>
        <w:t>（身份证号：手机号：）参与年月日贵方</w:t>
      </w:r>
      <w:r>
        <w:rPr>
          <w:rFonts w:hint="eastAsia" w:ascii="宋体" w:hAnsi="宋体" w:cs="宋体"/>
          <w:sz w:val="24"/>
          <w:szCs w:val="24"/>
          <w:u w:val="single"/>
        </w:rPr>
        <w:t xml:space="preserve">             （项目名称）          </w:t>
      </w:r>
      <w:r>
        <w:rPr>
          <w:rFonts w:hint="eastAsia" w:ascii="宋体" w:hAnsi="宋体" w:cs="宋体"/>
          <w:sz w:val="24"/>
          <w:szCs w:val="24"/>
        </w:rPr>
        <w:t>项目的现场投标，将途经（地区、地区、地区）。现承诺：</w:t>
      </w:r>
    </w:p>
    <w:p>
      <w:pPr>
        <w:spacing w:line="600" w:lineRule="exact"/>
        <w:ind w:firstLine="480" w:firstLineChars="200"/>
        <w:rPr>
          <w:rFonts w:ascii="宋体" w:hAnsi="宋体" w:cs="宋体"/>
          <w:sz w:val="24"/>
          <w:szCs w:val="24"/>
        </w:rPr>
      </w:pPr>
      <w:r>
        <w:rPr>
          <w:rFonts w:hint="eastAsia" w:ascii="宋体" w:hAnsi="宋体" w:cs="宋体"/>
          <w:sz w:val="24"/>
          <w:szCs w:val="24"/>
        </w:rPr>
        <w:t>1、授权委托人及其他参与标书制作人员近14天内无新冠肺炎疫情中高风险地区旅居或经停史，且不属于密接者（中高风险地区依据国家、江苏省、南通市、通州区等各级疫情防控机构近期发布的公告）。</w:t>
      </w:r>
    </w:p>
    <w:p>
      <w:pPr>
        <w:spacing w:line="600" w:lineRule="exact"/>
        <w:ind w:firstLine="480" w:firstLineChars="200"/>
        <w:rPr>
          <w:rFonts w:ascii="宋体" w:hAnsi="宋体" w:cs="宋体"/>
          <w:sz w:val="24"/>
          <w:szCs w:val="24"/>
        </w:rPr>
      </w:pPr>
      <w:r>
        <w:rPr>
          <w:rFonts w:hint="eastAsia" w:ascii="宋体" w:hAnsi="宋体" w:cs="宋体"/>
          <w:sz w:val="24"/>
          <w:szCs w:val="24"/>
        </w:rPr>
        <w:t>2、授权委托人近3天内已进行核酸检测且为阴性。</w:t>
      </w:r>
    </w:p>
    <w:p>
      <w:pPr>
        <w:spacing w:line="600" w:lineRule="exact"/>
        <w:ind w:firstLine="480" w:firstLineChars="200"/>
        <w:rPr>
          <w:rFonts w:ascii="宋体" w:hAnsi="宋体" w:cs="宋体"/>
          <w:sz w:val="24"/>
          <w:szCs w:val="24"/>
        </w:rPr>
      </w:pPr>
      <w:r>
        <w:rPr>
          <w:rFonts w:hint="eastAsia" w:ascii="宋体" w:hAnsi="宋体" w:cs="宋体"/>
          <w:sz w:val="24"/>
          <w:szCs w:val="24"/>
        </w:rPr>
        <w:t>3、授权委托人已接种过新冠肺炎疫苗。</w:t>
      </w:r>
    </w:p>
    <w:p>
      <w:pPr>
        <w:spacing w:line="600" w:lineRule="exact"/>
        <w:ind w:firstLine="480" w:firstLineChars="200"/>
        <w:rPr>
          <w:rFonts w:ascii="宋体" w:hAnsi="宋体" w:cs="宋体"/>
          <w:sz w:val="24"/>
          <w:szCs w:val="24"/>
        </w:rPr>
      </w:pPr>
      <w:r>
        <w:rPr>
          <w:rFonts w:hint="eastAsia" w:ascii="宋体" w:hAnsi="宋体" w:cs="宋体"/>
          <w:sz w:val="24"/>
          <w:szCs w:val="24"/>
        </w:rPr>
        <w:t>4、授权委托人两码齐全（</w:t>
      </w:r>
      <w:r>
        <w:rPr>
          <w:rFonts w:hint="eastAsia" w:ascii="宋体" w:hAnsi="宋体" w:cs="宋体"/>
          <w:bCs/>
          <w:sz w:val="24"/>
          <w:szCs w:val="24"/>
        </w:rPr>
        <w:t>行程码</w:t>
      </w:r>
      <w:r>
        <w:rPr>
          <w:rFonts w:hint="eastAsia" w:ascii="宋体" w:hAnsi="宋体" w:cs="宋体"/>
          <w:sz w:val="24"/>
          <w:szCs w:val="24"/>
        </w:rPr>
        <w:t>、</w:t>
      </w:r>
      <w:r>
        <w:rPr>
          <w:rFonts w:hint="eastAsia" w:ascii="宋体" w:hAnsi="宋体" w:cs="宋体"/>
          <w:bCs/>
          <w:sz w:val="24"/>
          <w:szCs w:val="24"/>
        </w:rPr>
        <w:t>健康码</w:t>
      </w:r>
      <w:r>
        <w:rPr>
          <w:rFonts w:hint="eastAsia" w:ascii="宋体" w:hAnsi="宋体" w:cs="宋体"/>
          <w:sz w:val="24"/>
          <w:szCs w:val="24"/>
        </w:rPr>
        <w:t>），达到招标人及交易中心疫情防控相关要求，并服从招标人及交易中心疫情防控管理。</w:t>
      </w:r>
    </w:p>
    <w:p>
      <w:pPr>
        <w:spacing w:line="600" w:lineRule="exact"/>
        <w:ind w:firstLine="480" w:firstLineChars="200"/>
        <w:rPr>
          <w:rFonts w:ascii="宋体" w:hAnsi="宋体" w:cs="宋体"/>
          <w:sz w:val="24"/>
          <w:szCs w:val="24"/>
        </w:rPr>
      </w:pPr>
      <w:r>
        <w:rPr>
          <w:rFonts w:hint="eastAsia" w:ascii="宋体" w:hAnsi="宋体" w:cs="宋体"/>
          <w:sz w:val="24"/>
          <w:szCs w:val="24"/>
        </w:rPr>
        <w:t>以上承诺真实有效，如因承诺情况与实际不符导致新冠疫情传播，我单位承担相应责任。</w:t>
      </w:r>
    </w:p>
    <w:p>
      <w:pPr>
        <w:spacing w:line="600" w:lineRule="exact"/>
        <w:ind w:firstLine="480" w:firstLineChars="200"/>
        <w:rPr>
          <w:rFonts w:ascii="宋体" w:hAnsi="宋体" w:cs="宋体"/>
          <w:sz w:val="24"/>
          <w:szCs w:val="24"/>
        </w:rPr>
      </w:pPr>
      <w:r>
        <w:rPr>
          <w:rFonts w:hint="eastAsia" w:ascii="宋体" w:hAnsi="宋体" w:cs="宋体"/>
          <w:sz w:val="24"/>
          <w:szCs w:val="24"/>
        </w:rPr>
        <w:t>特此承诺。</w:t>
      </w:r>
    </w:p>
    <w:p>
      <w:pPr>
        <w:wordWrap w:val="0"/>
        <w:spacing w:line="600" w:lineRule="exact"/>
        <w:ind w:firstLine="480" w:firstLineChars="200"/>
        <w:jc w:val="right"/>
        <w:rPr>
          <w:rFonts w:ascii="宋体" w:hAnsi="宋体" w:cs="宋体"/>
          <w:sz w:val="24"/>
          <w:szCs w:val="24"/>
          <w:u w:val="single"/>
        </w:rPr>
      </w:pPr>
      <w:r>
        <w:rPr>
          <w:rFonts w:hint="eastAsia" w:ascii="宋体" w:hAnsi="宋体" w:cs="宋体"/>
          <w:sz w:val="24"/>
          <w:szCs w:val="24"/>
          <w:u w:val="single"/>
        </w:rPr>
        <w:t xml:space="preserve">    （投标单位名称、公章）         </w:t>
      </w:r>
    </w:p>
    <w:p>
      <w:pPr>
        <w:wordWrap w:val="0"/>
        <w:spacing w:line="600" w:lineRule="exact"/>
        <w:ind w:firstLine="480" w:firstLineChars="200"/>
        <w:jc w:val="right"/>
        <w:rPr>
          <w:rFonts w:ascii="宋体" w:hAnsi="宋体" w:cs="宋体"/>
          <w:sz w:val="24"/>
          <w:szCs w:val="24"/>
          <w:u w:val="single"/>
        </w:rPr>
      </w:pPr>
      <w:r>
        <w:rPr>
          <w:rFonts w:hint="eastAsia" w:ascii="宋体" w:hAnsi="宋体" w:cs="宋体"/>
          <w:sz w:val="24"/>
          <w:szCs w:val="24"/>
          <w:u w:val="single"/>
        </w:rPr>
        <w:t xml:space="preserve">法定代表人签字：                   </w:t>
      </w:r>
    </w:p>
    <w:p>
      <w:pPr>
        <w:wordWrap w:val="0"/>
        <w:spacing w:line="600" w:lineRule="exact"/>
        <w:ind w:firstLine="480" w:firstLineChars="200"/>
        <w:jc w:val="right"/>
        <w:rPr>
          <w:rFonts w:ascii="宋体" w:hAnsi="宋体" w:cs="宋体"/>
          <w:sz w:val="24"/>
          <w:szCs w:val="24"/>
          <w:u w:val="single"/>
        </w:rPr>
      </w:pPr>
      <w:r>
        <w:rPr>
          <w:rFonts w:hint="eastAsia" w:ascii="宋体" w:hAnsi="宋体" w:cs="宋体"/>
          <w:sz w:val="24"/>
          <w:szCs w:val="24"/>
          <w:u w:val="single"/>
        </w:rPr>
        <w:t xml:space="preserve">授权委托人签字：                   </w:t>
      </w:r>
    </w:p>
    <w:p>
      <w:pPr>
        <w:spacing w:line="600" w:lineRule="exact"/>
        <w:ind w:firstLine="480" w:firstLineChars="200"/>
        <w:jc w:val="right"/>
        <w:rPr>
          <w:rFonts w:ascii="宋体" w:hAnsi="宋体" w:cs="宋体"/>
          <w:sz w:val="24"/>
          <w:szCs w:val="24"/>
          <w:u w:val="single"/>
        </w:rPr>
      </w:pPr>
    </w:p>
    <w:p>
      <w:pPr>
        <w:spacing w:line="600" w:lineRule="exact"/>
        <w:ind w:firstLine="480" w:firstLineChars="200"/>
        <w:jc w:val="right"/>
        <w:rPr>
          <w:rFonts w:ascii="宋体" w:hAnsi="宋体" w:cs="宋体"/>
          <w:sz w:val="24"/>
          <w:szCs w:val="24"/>
        </w:rPr>
      </w:pPr>
      <w:r>
        <w:rPr>
          <w:rFonts w:hint="eastAsia" w:ascii="宋体" w:hAnsi="宋体" w:cs="宋体"/>
          <w:sz w:val="24"/>
          <w:szCs w:val="24"/>
        </w:rPr>
        <w:t>年月日</w:t>
      </w:r>
    </w:p>
    <w:p>
      <w:pPr>
        <w:widowControl/>
        <w:jc w:val="left"/>
        <w:rPr>
          <w:rFonts w:ascii="宋体" w:hAnsi="宋体"/>
          <w:color w:val="0D0D0D" w:themeColor="text1" w:themeTint="F2"/>
          <w:sz w:val="24"/>
          <w:szCs w:val="24"/>
          <w14:textFill>
            <w14:solidFill>
              <w14:schemeClr w14:val="tx1">
                <w14:lumMod w14:val="95000"/>
                <w14:lumOff w14:val="5000"/>
              </w14:schemeClr>
            </w14:solidFill>
          </w14:textFill>
        </w:rPr>
      </w:pPr>
    </w:p>
    <w:sectPr>
      <w:footerReference r:id="rId8" w:type="first"/>
      <w:headerReference r:id="rId5" w:type="default"/>
      <w:footerReference r:id="rId6" w:type="default"/>
      <w:footerReference r:id="rId7" w:type="even"/>
      <w:pgSz w:w="11906" w:h="16838"/>
      <w:pgMar w:top="1418" w:right="1588" w:bottom="1418" w:left="1365" w:header="851" w:footer="907" w:gutter="0"/>
      <w:pgNumType w:start="21"/>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20</w:t>
                    </w:r>
                    <w:r>
                      <w:fldChar w:fldCharType="end"/>
                    </w:r>
                  </w:p>
                </w:txbxContent>
              </v:textbox>
            </v:shape>
          </w:pict>
        </mc:Fallback>
      </mc:AlternateContent>
    </w:r>
  </w:p>
  <w:p>
    <w:pPr>
      <w:pStyle w:val="3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241"/>
      <w:lvlText w:val="附录%1."/>
      <w:lvlJc w:val="left"/>
      <w:pPr>
        <w:tabs>
          <w:tab w:val="left" w:pos="907"/>
        </w:tabs>
        <w:ind w:left="907" w:hanging="907"/>
      </w:pPr>
      <w:rPr>
        <w:rFonts w:hint="eastAsia"/>
      </w:rPr>
    </w:lvl>
  </w:abstractNum>
  <w:abstractNum w:abstractNumId="1">
    <w:nsid w:val="139517CB"/>
    <w:multiLevelType w:val="singleLevel"/>
    <w:tmpl w:val="139517CB"/>
    <w:lvl w:ilvl="0" w:tentative="0">
      <w:start w:val="6"/>
      <w:numFmt w:val="chineseCounting"/>
      <w:suff w:val="nothing"/>
      <w:lvlText w:val="%1、"/>
      <w:lvlJc w:val="left"/>
      <w:rPr>
        <w:rFonts w:hint="eastAsia"/>
      </w:rPr>
    </w:lvl>
  </w:abstractNum>
  <w:abstractNum w:abstractNumId="2">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59"/>
      <w:lvlText w:val="%2)"/>
      <w:lvlJc w:val="left"/>
      <w:pPr>
        <w:tabs>
          <w:tab w:val="left" w:pos="1260"/>
        </w:tabs>
        <w:ind w:left="1260" w:hanging="420"/>
      </w:pPr>
    </w:lvl>
    <w:lvl w:ilvl="2" w:tentative="0">
      <w:start w:val="1"/>
      <w:numFmt w:val="lowerRoman"/>
      <w:pStyle w:val="258"/>
      <w:lvlText w:val="%3."/>
      <w:lvlJc w:val="right"/>
      <w:pPr>
        <w:tabs>
          <w:tab w:val="left" w:pos="1680"/>
        </w:tabs>
        <w:ind w:left="1680" w:hanging="420"/>
      </w:pPr>
    </w:lvl>
    <w:lvl w:ilvl="3" w:tentative="0">
      <w:start w:val="1"/>
      <w:numFmt w:val="decimal"/>
      <w:pStyle w:val="257"/>
      <w:lvlText w:val="%4."/>
      <w:lvlJc w:val="left"/>
      <w:pPr>
        <w:tabs>
          <w:tab w:val="left" w:pos="2100"/>
        </w:tabs>
        <w:ind w:left="2100" w:hanging="420"/>
      </w:pPr>
    </w:lvl>
    <w:lvl w:ilvl="4" w:tentative="0">
      <w:start w:val="1"/>
      <w:numFmt w:val="lowerLetter"/>
      <w:pStyle w:val="256"/>
      <w:lvlText w:val="%5)"/>
      <w:lvlJc w:val="left"/>
      <w:pPr>
        <w:tabs>
          <w:tab w:val="left" w:pos="2520"/>
        </w:tabs>
        <w:ind w:left="2520" w:hanging="420"/>
      </w:pPr>
    </w:lvl>
    <w:lvl w:ilvl="5" w:tentative="0">
      <w:start w:val="1"/>
      <w:numFmt w:val="lowerRoman"/>
      <w:pStyle w:val="255"/>
      <w:lvlText w:val="%6."/>
      <w:lvlJc w:val="right"/>
      <w:pPr>
        <w:tabs>
          <w:tab w:val="left" w:pos="2940"/>
        </w:tabs>
        <w:ind w:left="2940" w:hanging="420"/>
      </w:pPr>
    </w:lvl>
    <w:lvl w:ilvl="6" w:tentative="0">
      <w:start w:val="1"/>
      <w:numFmt w:val="decimal"/>
      <w:pStyle w:val="254"/>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0E20D84"/>
    <w:multiLevelType w:val="singleLevel"/>
    <w:tmpl w:val="30E20D84"/>
    <w:lvl w:ilvl="0" w:tentative="0">
      <w:start w:val="1"/>
      <w:numFmt w:val="decimal"/>
      <w:pStyle w:val="344"/>
      <w:lvlText w:val="(%1)"/>
      <w:lvlJc w:val="left"/>
      <w:pPr>
        <w:tabs>
          <w:tab w:val="left" w:pos="960"/>
        </w:tabs>
        <w:ind w:left="960" w:hanging="465"/>
      </w:pPr>
      <w:rPr>
        <w:rFonts w:hint="default"/>
      </w:rPr>
    </w:lvl>
  </w:abstractNum>
  <w:abstractNum w:abstractNumId="4">
    <w:nsid w:val="32DE3AB4"/>
    <w:multiLevelType w:val="multilevel"/>
    <w:tmpl w:val="32DE3AB4"/>
    <w:lvl w:ilvl="0" w:tentative="0">
      <w:start w:val="1"/>
      <w:numFmt w:val="chineseCountingThousand"/>
      <w:lvlText w:val="（%1）"/>
      <w:lvlJc w:val="left"/>
      <w:pPr>
        <w:tabs>
          <w:tab w:val="left" w:pos="1325"/>
        </w:tabs>
        <w:ind w:left="1325" w:hanging="425"/>
      </w:pPr>
      <w:rPr>
        <w:rFonts w:hint="default" w:ascii="Times New Roman" w:hAnsi="Times New Roman" w:cs="Times New Roman"/>
        <w:color w:val="auto"/>
      </w:rPr>
    </w:lvl>
    <w:lvl w:ilvl="1" w:tentative="0">
      <w:start w:val="1"/>
      <w:numFmt w:val="decimal"/>
      <w:lvlText w:val="%2、"/>
      <w:lvlJc w:val="left"/>
      <w:pPr>
        <w:tabs>
          <w:tab w:val="left" w:pos="562"/>
        </w:tabs>
        <w:ind w:left="562" w:hanging="420"/>
      </w:pPr>
    </w:lvl>
    <w:lvl w:ilvl="2" w:tentative="0">
      <w:start w:val="1"/>
      <w:numFmt w:val="ideographEnclosedCircle"/>
      <w:lvlText w:val="%3"/>
      <w:lvlJc w:val="left"/>
      <w:pPr>
        <w:ind w:left="168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EC507A0"/>
    <w:multiLevelType w:val="singleLevel"/>
    <w:tmpl w:val="3EC507A0"/>
    <w:lvl w:ilvl="0" w:tentative="0">
      <w:start w:val="1"/>
      <w:numFmt w:val="decimal"/>
      <w:suff w:val="nothing"/>
      <w:lvlText w:val="%1、"/>
      <w:lvlJc w:val="left"/>
    </w:lvl>
  </w:abstractNum>
  <w:abstractNum w:abstractNumId="6">
    <w:nsid w:val="420C153B"/>
    <w:multiLevelType w:val="multilevel"/>
    <w:tmpl w:val="420C153B"/>
    <w:lvl w:ilvl="0" w:tentative="0">
      <w:start w:val="1"/>
      <w:numFmt w:val="decimal"/>
      <w:pStyle w:val="1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4C0C1BFB"/>
    <w:multiLevelType w:val="singleLevel"/>
    <w:tmpl w:val="4C0C1BFB"/>
    <w:lvl w:ilvl="0" w:tentative="0">
      <w:start w:val="1"/>
      <w:numFmt w:val="decimal"/>
      <w:pStyle w:val="27"/>
      <w:lvlText w:val="（%1）"/>
      <w:lvlJc w:val="left"/>
      <w:pPr>
        <w:tabs>
          <w:tab w:val="left" w:pos="810"/>
        </w:tabs>
        <w:ind w:left="810" w:hanging="810"/>
      </w:pPr>
      <w:rPr>
        <w:rFonts w:hint="eastAsia"/>
      </w:rPr>
    </w:lvl>
  </w:abstractNum>
  <w:abstractNum w:abstractNumId="8">
    <w:nsid w:val="52584875"/>
    <w:multiLevelType w:val="multilevel"/>
    <w:tmpl w:val="52584875"/>
    <w:lvl w:ilvl="0" w:tentative="0">
      <w:start w:val="1"/>
      <w:numFmt w:val="japaneseCounting"/>
      <w:pStyle w:val="122"/>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45ECAF6"/>
    <w:multiLevelType w:val="singleLevel"/>
    <w:tmpl w:val="545ECAF6"/>
    <w:lvl w:ilvl="0" w:tentative="0">
      <w:start w:val="11"/>
      <w:numFmt w:val="decimal"/>
      <w:suff w:val="nothing"/>
      <w:lvlText w:val="%1、"/>
      <w:lvlJc w:val="left"/>
    </w:lvl>
  </w:abstractNum>
  <w:abstractNum w:abstractNumId="10">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34"/>
      <w:suff w:val="nothing"/>
      <w:lvlText w:val=""/>
      <w:lvlJc w:val="left"/>
      <w:pPr>
        <w:ind w:left="0" w:firstLine="0"/>
      </w:pPr>
      <w:rPr>
        <w:rFonts w:hint="eastAsia"/>
      </w:rPr>
    </w:lvl>
    <w:lvl w:ilvl="8" w:tentative="0">
      <w:start w:val="1"/>
      <w:numFmt w:val="none"/>
      <w:pStyle w:val="294"/>
      <w:suff w:val="nothing"/>
      <w:lvlText w:val=""/>
      <w:lvlJc w:val="left"/>
      <w:pPr>
        <w:ind w:left="0" w:firstLine="0"/>
      </w:pPr>
      <w:rPr>
        <w:rFonts w:hint="eastAsia"/>
      </w:rPr>
    </w:lvl>
  </w:abstractNum>
  <w:abstractNum w:abstractNumId="11">
    <w:nsid w:val="622E4B26"/>
    <w:multiLevelType w:val="multilevel"/>
    <w:tmpl w:val="622E4B26"/>
    <w:lvl w:ilvl="0" w:tentative="0">
      <w:start w:val="1"/>
      <w:numFmt w:val="japaneseCounting"/>
      <w:pStyle w:val="144"/>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FBA05F3"/>
    <w:multiLevelType w:val="singleLevel"/>
    <w:tmpl w:val="6FBA05F3"/>
    <w:lvl w:ilvl="0" w:tentative="0">
      <w:start w:val="1"/>
      <w:numFmt w:val="japaneseCounting"/>
      <w:pStyle w:val="316"/>
      <w:lvlText w:val="第%1章"/>
      <w:lvlJc w:val="left"/>
      <w:pPr>
        <w:tabs>
          <w:tab w:val="left" w:pos="1440"/>
        </w:tabs>
        <w:ind w:left="1440" w:hanging="1440"/>
      </w:pPr>
      <w:rPr>
        <w:rFonts w:hint="eastAsia" w:ascii="黑体" w:eastAsia="黑体"/>
        <w:b w:val="0"/>
        <w:sz w:val="36"/>
      </w:rPr>
    </w:lvl>
  </w:abstractNum>
  <w:abstractNum w:abstractNumId="13">
    <w:nsid w:val="7CB57642"/>
    <w:multiLevelType w:val="singleLevel"/>
    <w:tmpl w:val="7CB57642"/>
    <w:lvl w:ilvl="0" w:tentative="0">
      <w:start w:val="1"/>
      <w:numFmt w:val="decimal"/>
      <w:pStyle w:val="93"/>
      <w:lvlText w:val="%1、"/>
      <w:lvlJc w:val="left"/>
      <w:pPr>
        <w:tabs>
          <w:tab w:val="left" w:pos="1050"/>
        </w:tabs>
        <w:ind w:left="1050" w:hanging="720"/>
      </w:pPr>
      <w:rPr>
        <w:rFonts w:ascii="Times New Roman" w:hAnsi="Times New Roman" w:eastAsia="Times New Roman" w:cs="Times New Roman"/>
      </w:rPr>
    </w:lvl>
  </w:abstractNum>
  <w:abstractNum w:abstractNumId="14">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495"/>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7"/>
  </w:num>
  <w:num w:numId="2">
    <w:abstractNumId w:val="13"/>
  </w:num>
  <w:num w:numId="3">
    <w:abstractNumId w:val="8"/>
  </w:num>
  <w:num w:numId="4">
    <w:abstractNumId w:val="11"/>
  </w:num>
  <w:num w:numId="5">
    <w:abstractNumId w:val="6"/>
  </w:num>
  <w:num w:numId="6">
    <w:abstractNumId w:val="0"/>
  </w:num>
  <w:num w:numId="7">
    <w:abstractNumId w:val="2"/>
  </w:num>
  <w:num w:numId="8">
    <w:abstractNumId w:val="10"/>
  </w:num>
  <w:num w:numId="9">
    <w:abstractNumId w:val="12"/>
  </w:num>
  <w:num w:numId="10">
    <w:abstractNumId w:val="3"/>
  </w:num>
  <w:num w:numId="11">
    <w:abstractNumId w:val="14"/>
  </w:num>
  <w:num w:numId="12">
    <w:abstractNumId w:val="1"/>
  </w:num>
  <w:num w:numId="13">
    <w:abstractNumId w:val="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E0YWRjNGIwZGQ3NDFkNWM2NDRkZWJkNGEzYjkifQ=="/>
  </w:docVars>
  <w:rsids>
    <w:rsidRoot w:val="002F530D"/>
    <w:rsid w:val="0000113A"/>
    <w:rsid w:val="00001665"/>
    <w:rsid w:val="00001740"/>
    <w:rsid w:val="00001E1D"/>
    <w:rsid w:val="00002760"/>
    <w:rsid w:val="000041F1"/>
    <w:rsid w:val="0000588E"/>
    <w:rsid w:val="000066DA"/>
    <w:rsid w:val="00006FA7"/>
    <w:rsid w:val="0000745D"/>
    <w:rsid w:val="0001028A"/>
    <w:rsid w:val="0001148A"/>
    <w:rsid w:val="00011A8C"/>
    <w:rsid w:val="000128B1"/>
    <w:rsid w:val="00013338"/>
    <w:rsid w:val="00013CA0"/>
    <w:rsid w:val="00013DB5"/>
    <w:rsid w:val="00013DD1"/>
    <w:rsid w:val="000153AD"/>
    <w:rsid w:val="000156AF"/>
    <w:rsid w:val="00020AC9"/>
    <w:rsid w:val="0002156E"/>
    <w:rsid w:val="00023FDF"/>
    <w:rsid w:val="00027EDE"/>
    <w:rsid w:val="0003098F"/>
    <w:rsid w:val="00036731"/>
    <w:rsid w:val="00036CB3"/>
    <w:rsid w:val="000408C6"/>
    <w:rsid w:val="000423A9"/>
    <w:rsid w:val="00043160"/>
    <w:rsid w:val="00045B42"/>
    <w:rsid w:val="00045DA9"/>
    <w:rsid w:val="00050CF4"/>
    <w:rsid w:val="00051431"/>
    <w:rsid w:val="00052C28"/>
    <w:rsid w:val="00053EFF"/>
    <w:rsid w:val="000547CC"/>
    <w:rsid w:val="00055C78"/>
    <w:rsid w:val="00055EEF"/>
    <w:rsid w:val="00057148"/>
    <w:rsid w:val="000575F2"/>
    <w:rsid w:val="00057FBA"/>
    <w:rsid w:val="0006062C"/>
    <w:rsid w:val="00064B1A"/>
    <w:rsid w:val="00070366"/>
    <w:rsid w:val="00070937"/>
    <w:rsid w:val="00071671"/>
    <w:rsid w:val="0007274D"/>
    <w:rsid w:val="00074D09"/>
    <w:rsid w:val="00076069"/>
    <w:rsid w:val="00076444"/>
    <w:rsid w:val="00077C10"/>
    <w:rsid w:val="00080F27"/>
    <w:rsid w:val="00082614"/>
    <w:rsid w:val="00082B3B"/>
    <w:rsid w:val="000839AF"/>
    <w:rsid w:val="00083AB1"/>
    <w:rsid w:val="00085217"/>
    <w:rsid w:val="00086ED2"/>
    <w:rsid w:val="00087E83"/>
    <w:rsid w:val="0009033B"/>
    <w:rsid w:val="00091E1F"/>
    <w:rsid w:val="000941FA"/>
    <w:rsid w:val="0009450B"/>
    <w:rsid w:val="00094CED"/>
    <w:rsid w:val="0009607F"/>
    <w:rsid w:val="000966B9"/>
    <w:rsid w:val="00096BE3"/>
    <w:rsid w:val="00097481"/>
    <w:rsid w:val="000974C0"/>
    <w:rsid w:val="000A104D"/>
    <w:rsid w:val="000A5EF1"/>
    <w:rsid w:val="000A5FB6"/>
    <w:rsid w:val="000A620B"/>
    <w:rsid w:val="000A6CAA"/>
    <w:rsid w:val="000B01F5"/>
    <w:rsid w:val="000B17CB"/>
    <w:rsid w:val="000B1B8F"/>
    <w:rsid w:val="000B51C1"/>
    <w:rsid w:val="000B7115"/>
    <w:rsid w:val="000C0E35"/>
    <w:rsid w:val="000C24BB"/>
    <w:rsid w:val="000C3268"/>
    <w:rsid w:val="000C35BD"/>
    <w:rsid w:val="000C45F3"/>
    <w:rsid w:val="000C50F6"/>
    <w:rsid w:val="000D03CC"/>
    <w:rsid w:val="000D0528"/>
    <w:rsid w:val="000D0F3D"/>
    <w:rsid w:val="000D1741"/>
    <w:rsid w:val="000D1F91"/>
    <w:rsid w:val="000D39F7"/>
    <w:rsid w:val="000D3C10"/>
    <w:rsid w:val="000D3C7E"/>
    <w:rsid w:val="000D4036"/>
    <w:rsid w:val="000D57F6"/>
    <w:rsid w:val="000D69A6"/>
    <w:rsid w:val="000D79CA"/>
    <w:rsid w:val="000E0C48"/>
    <w:rsid w:val="000E10DA"/>
    <w:rsid w:val="000E2B4B"/>
    <w:rsid w:val="000E384E"/>
    <w:rsid w:val="000E5AD5"/>
    <w:rsid w:val="000E6998"/>
    <w:rsid w:val="000E6CB6"/>
    <w:rsid w:val="000E6F5C"/>
    <w:rsid w:val="000F0750"/>
    <w:rsid w:val="000F1143"/>
    <w:rsid w:val="000F2D86"/>
    <w:rsid w:val="000F33CC"/>
    <w:rsid w:val="000F3AD2"/>
    <w:rsid w:val="000F3B4A"/>
    <w:rsid w:val="000F4607"/>
    <w:rsid w:val="000F4F18"/>
    <w:rsid w:val="000F6098"/>
    <w:rsid w:val="000F659F"/>
    <w:rsid w:val="000F743D"/>
    <w:rsid w:val="001008CE"/>
    <w:rsid w:val="001023A8"/>
    <w:rsid w:val="00102F3B"/>
    <w:rsid w:val="001064B7"/>
    <w:rsid w:val="00106C31"/>
    <w:rsid w:val="0011107A"/>
    <w:rsid w:val="001116B1"/>
    <w:rsid w:val="00111732"/>
    <w:rsid w:val="001131A0"/>
    <w:rsid w:val="00113C4D"/>
    <w:rsid w:val="0011469F"/>
    <w:rsid w:val="00114C3E"/>
    <w:rsid w:val="00116CEF"/>
    <w:rsid w:val="0011738F"/>
    <w:rsid w:val="001175CA"/>
    <w:rsid w:val="00120461"/>
    <w:rsid w:val="00122B3B"/>
    <w:rsid w:val="0012543C"/>
    <w:rsid w:val="0013132B"/>
    <w:rsid w:val="00131B74"/>
    <w:rsid w:val="00131BB9"/>
    <w:rsid w:val="0013252B"/>
    <w:rsid w:val="00133BDD"/>
    <w:rsid w:val="00134C4A"/>
    <w:rsid w:val="00137A77"/>
    <w:rsid w:val="0014033D"/>
    <w:rsid w:val="001441B2"/>
    <w:rsid w:val="00144470"/>
    <w:rsid w:val="00144512"/>
    <w:rsid w:val="0014552C"/>
    <w:rsid w:val="00147316"/>
    <w:rsid w:val="00147545"/>
    <w:rsid w:val="001509E5"/>
    <w:rsid w:val="0015155D"/>
    <w:rsid w:val="001517F6"/>
    <w:rsid w:val="00153140"/>
    <w:rsid w:val="00153B5D"/>
    <w:rsid w:val="00155555"/>
    <w:rsid w:val="00155793"/>
    <w:rsid w:val="0015666C"/>
    <w:rsid w:val="001568BA"/>
    <w:rsid w:val="00157837"/>
    <w:rsid w:val="00157E07"/>
    <w:rsid w:val="00160BD8"/>
    <w:rsid w:val="0016248D"/>
    <w:rsid w:val="0016275D"/>
    <w:rsid w:val="00162C0A"/>
    <w:rsid w:val="001644F6"/>
    <w:rsid w:val="00165BB8"/>
    <w:rsid w:val="00166273"/>
    <w:rsid w:val="00166975"/>
    <w:rsid w:val="00171AFB"/>
    <w:rsid w:val="00171EE4"/>
    <w:rsid w:val="0017272F"/>
    <w:rsid w:val="0017317D"/>
    <w:rsid w:val="001765C2"/>
    <w:rsid w:val="001766DB"/>
    <w:rsid w:val="00180079"/>
    <w:rsid w:val="00181B70"/>
    <w:rsid w:val="00183010"/>
    <w:rsid w:val="0018433B"/>
    <w:rsid w:val="00184748"/>
    <w:rsid w:val="00185D00"/>
    <w:rsid w:val="00186576"/>
    <w:rsid w:val="00187BA3"/>
    <w:rsid w:val="00187E9B"/>
    <w:rsid w:val="00190B9B"/>
    <w:rsid w:val="001917F7"/>
    <w:rsid w:val="001923BA"/>
    <w:rsid w:val="00195835"/>
    <w:rsid w:val="00195D60"/>
    <w:rsid w:val="00197267"/>
    <w:rsid w:val="001A1953"/>
    <w:rsid w:val="001A1BE4"/>
    <w:rsid w:val="001A30C9"/>
    <w:rsid w:val="001A31AB"/>
    <w:rsid w:val="001A377F"/>
    <w:rsid w:val="001A5B28"/>
    <w:rsid w:val="001A6755"/>
    <w:rsid w:val="001A7076"/>
    <w:rsid w:val="001B0A1B"/>
    <w:rsid w:val="001B1578"/>
    <w:rsid w:val="001B15F8"/>
    <w:rsid w:val="001B1F19"/>
    <w:rsid w:val="001B27EC"/>
    <w:rsid w:val="001B3A85"/>
    <w:rsid w:val="001B402B"/>
    <w:rsid w:val="001B4444"/>
    <w:rsid w:val="001B5B4A"/>
    <w:rsid w:val="001B6B90"/>
    <w:rsid w:val="001C3DC7"/>
    <w:rsid w:val="001C4D20"/>
    <w:rsid w:val="001C6D0E"/>
    <w:rsid w:val="001C7200"/>
    <w:rsid w:val="001D1456"/>
    <w:rsid w:val="001D2832"/>
    <w:rsid w:val="001D3D48"/>
    <w:rsid w:val="001D47AB"/>
    <w:rsid w:val="001D70B4"/>
    <w:rsid w:val="001E5F4E"/>
    <w:rsid w:val="001E7319"/>
    <w:rsid w:val="001F0508"/>
    <w:rsid w:val="001F18F9"/>
    <w:rsid w:val="001F2B02"/>
    <w:rsid w:val="001F3479"/>
    <w:rsid w:val="001F3AF7"/>
    <w:rsid w:val="001F3B29"/>
    <w:rsid w:val="001F3FFB"/>
    <w:rsid w:val="001F4C10"/>
    <w:rsid w:val="001F4C1B"/>
    <w:rsid w:val="001F5D02"/>
    <w:rsid w:val="001F719F"/>
    <w:rsid w:val="00201070"/>
    <w:rsid w:val="00201FF0"/>
    <w:rsid w:val="002037F0"/>
    <w:rsid w:val="0021067F"/>
    <w:rsid w:val="00212DA2"/>
    <w:rsid w:val="00213BB6"/>
    <w:rsid w:val="00216F15"/>
    <w:rsid w:val="00220426"/>
    <w:rsid w:val="00220462"/>
    <w:rsid w:val="00220F8F"/>
    <w:rsid w:val="002230BC"/>
    <w:rsid w:val="00224239"/>
    <w:rsid w:val="00225494"/>
    <w:rsid w:val="00225AE5"/>
    <w:rsid w:val="0023160B"/>
    <w:rsid w:val="00236BEE"/>
    <w:rsid w:val="00236CC5"/>
    <w:rsid w:val="00237773"/>
    <w:rsid w:val="0024045D"/>
    <w:rsid w:val="00242055"/>
    <w:rsid w:val="00243126"/>
    <w:rsid w:val="002443BF"/>
    <w:rsid w:val="00246D94"/>
    <w:rsid w:val="00246EC5"/>
    <w:rsid w:val="00247EF8"/>
    <w:rsid w:val="002510BC"/>
    <w:rsid w:val="0025277C"/>
    <w:rsid w:val="00252F06"/>
    <w:rsid w:val="00254DEF"/>
    <w:rsid w:val="00255D08"/>
    <w:rsid w:val="0025670E"/>
    <w:rsid w:val="00260FA2"/>
    <w:rsid w:val="002629BF"/>
    <w:rsid w:val="002629CC"/>
    <w:rsid w:val="00264765"/>
    <w:rsid w:val="00264847"/>
    <w:rsid w:val="00266903"/>
    <w:rsid w:val="00266D81"/>
    <w:rsid w:val="002710B8"/>
    <w:rsid w:val="00271F5C"/>
    <w:rsid w:val="00274632"/>
    <w:rsid w:val="00275317"/>
    <w:rsid w:val="002754B8"/>
    <w:rsid w:val="00275849"/>
    <w:rsid w:val="00277E68"/>
    <w:rsid w:val="002800A4"/>
    <w:rsid w:val="00280168"/>
    <w:rsid w:val="002812D8"/>
    <w:rsid w:val="00284880"/>
    <w:rsid w:val="002864A8"/>
    <w:rsid w:val="00286817"/>
    <w:rsid w:val="00286A30"/>
    <w:rsid w:val="00291706"/>
    <w:rsid w:val="0029183D"/>
    <w:rsid w:val="00293D1F"/>
    <w:rsid w:val="002944F5"/>
    <w:rsid w:val="00295354"/>
    <w:rsid w:val="002A0188"/>
    <w:rsid w:val="002A08D5"/>
    <w:rsid w:val="002A1C3B"/>
    <w:rsid w:val="002A2378"/>
    <w:rsid w:val="002A34A7"/>
    <w:rsid w:val="002A53DD"/>
    <w:rsid w:val="002A58CB"/>
    <w:rsid w:val="002A5E53"/>
    <w:rsid w:val="002A6967"/>
    <w:rsid w:val="002A7330"/>
    <w:rsid w:val="002A7808"/>
    <w:rsid w:val="002A79AE"/>
    <w:rsid w:val="002B078F"/>
    <w:rsid w:val="002B07E5"/>
    <w:rsid w:val="002B09F3"/>
    <w:rsid w:val="002B14B3"/>
    <w:rsid w:val="002B2142"/>
    <w:rsid w:val="002B51F1"/>
    <w:rsid w:val="002B550E"/>
    <w:rsid w:val="002B694E"/>
    <w:rsid w:val="002C0EA9"/>
    <w:rsid w:val="002C2519"/>
    <w:rsid w:val="002C2D22"/>
    <w:rsid w:val="002C31AD"/>
    <w:rsid w:val="002C3579"/>
    <w:rsid w:val="002C5C46"/>
    <w:rsid w:val="002D385D"/>
    <w:rsid w:val="002D3A38"/>
    <w:rsid w:val="002D4AC9"/>
    <w:rsid w:val="002D5CB2"/>
    <w:rsid w:val="002D5FF3"/>
    <w:rsid w:val="002D7024"/>
    <w:rsid w:val="002E1D88"/>
    <w:rsid w:val="002E1ED7"/>
    <w:rsid w:val="002E2B78"/>
    <w:rsid w:val="002E344D"/>
    <w:rsid w:val="002E3E8E"/>
    <w:rsid w:val="002E4A48"/>
    <w:rsid w:val="002E584A"/>
    <w:rsid w:val="002E5B2C"/>
    <w:rsid w:val="002E7272"/>
    <w:rsid w:val="002F32FA"/>
    <w:rsid w:val="002F349E"/>
    <w:rsid w:val="002F3BED"/>
    <w:rsid w:val="002F45F0"/>
    <w:rsid w:val="002F47C4"/>
    <w:rsid w:val="002F5154"/>
    <w:rsid w:val="002F530D"/>
    <w:rsid w:val="00300A4A"/>
    <w:rsid w:val="00306DBD"/>
    <w:rsid w:val="003110FC"/>
    <w:rsid w:val="003125BE"/>
    <w:rsid w:val="003139B4"/>
    <w:rsid w:val="003159EB"/>
    <w:rsid w:val="003161E8"/>
    <w:rsid w:val="00317D9F"/>
    <w:rsid w:val="003200BB"/>
    <w:rsid w:val="003203E2"/>
    <w:rsid w:val="00320998"/>
    <w:rsid w:val="003220CD"/>
    <w:rsid w:val="00324423"/>
    <w:rsid w:val="003260B8"/>
    <w:rsid w:val="0033045F"/>
    <w:rsid w:val="0033322D"/>
    <w:rsid w:val="00333EAC"/>
    <w:rsid w:val="003344C3"/>
    <w:rsid w:val="0033536F"/>
    <w:rsid w:val="00336AD4"/>
    <w:rsid w:val="00341042"/>
    <w:rsid w:val="00341363"/>
    <w:rsid w:val="003414F5"/>
    <w:rsid w:val="003427C0"/>
    <w:rsid w:val="00344120"/>
    <w:rsid w:val="00344214"/>
    <w:rsid w:val="00344DBC"/>
    <w:rsid w:val="00345155"/>
    <w:rsid w:val="00346B53"/>
    <w:rsid w:val="00346D34"/>
    <w:rsid w:val="00347127"/>
    <w:rsid w:val="003508C6"/>
    <w:rsid w:val="00351A21"/>
    <w:rsid w:val="00351B01"/>
    <w:rsid w:val="00352EA2"/>
    <w:rsid w:val="003551D6"/>
    <w:rsid w:val="00355524"/>
    <w:rsid w:val="00356BFD"/>
    <w:rsid w:val="00361C60"/>
    <w:rsid w:val="0036326C"/>
    <w:rsid w:val="0036343D"/>
    <w:rsid w:val="00364D6E"/>
    <w:rsid w:val="00365DD8"/>
    <w:rsid w:val="00366664"/>
    <w:rsid w:val="00366EC1"/>
    <w:rsid w:val="0036769E"/>
    <w:rsid w:val="00367815"/>
    <w:rsid w:val="00370780"/>
    <w:rsid w:val="00370B68"/>
    <w:rsid w:val="0037179A"/>
    <w:rsid w:val="00372BEF"/>
    <w:rsid w:val="0037358D"/>
    <w:rsid w:val="00374858"/>
    <w:rsid w:val="0037492E"/>
    <w:rsid w:val="00374A11"/>
    <w:rsid w:val="00374AB0"/>
    <w:rsid w:val="0037606B"/>
    <w:rsid w:val="003762A7"/>
    <w:rsid w:val="0037649E"/>
    <w:rsid w:val="00377EAD"/>
    <w:rsid w:val="00381ECE"/>
    <w:rsid w:val="003820B8"/>
    <w:rsid w:val="00382187"/>
    <w:rsid w:val="00382C03"/>
    <w:rsid w:val="003837FF"/>
    <w:rsid w:val="00385733"/>
    <w:rsid w:val="0038582D"/>
    <w:rsid w:val="0038679D"/>
    <w:rsid w:val="00390853"/>
    <w:rsid w:val="003911D4"/>
    <w:rsid w:val="00391677"/>
    <w:rsid w:val="00391795"/>
    <w:rsid w:val="00392CF6"/>
    <w:rsid w:val="00395829"/>
    <w:rsid w:val="00396160"/>
    <w:rsid w:val="003A27CD"/>
    <w:rsid w:val="003A2BEA"/>
    <w:rsid w:val="003A3082"/>
    <w:rsid w:val="003A42D8"/>
    <w:rsid w:val="003A56B8"/>
    <w:rsid w:val="003A5780"/>
    <w:rsid w:val="003A6427"/>
    <w:rsid w:val="003B30D6"/>
    <w:rsid w:val="003B5726"/>
    <w:rsid w:val="003B5B24"/>
    <w:rsid w:val="003B5C02"/>
    <w:rsid w:val="003B6D6E"/>
    <w:rsid w:val="003B7E52"/>
    <w:rsid w:val="003C052C"/>
    <w:rsid w:val="003C3496"/>
    <w:rsid w:val="003C3B84"/>
    <w:rsid w:val="003C4A8C"/>
    <w:rsid w:val="003C4B6B"/>
    <w:rsid w:val="003C6F02"/>
    <w:rsid w:val="003C7904"/>
    <w:rsid w:val="003D11F4"/>
    <w:rsid w:val="003D18C3"/>
    <w:rsid w:val="003D21F2"/>
    <w:rsid w:val="003D4921"/>
    <w:rsid w:val="003D51B7"/>
    <w:rsid w:val="003D5855"/>
    <w:rsid w:val="003D6D19"/>
    <w:rsid w:val="003D6F29"/>
    <w:rsid w:val="003D76E9"/>
    <w:rsid w:val="003E0120"/>
    <w:rsid w:val="003E023C"/>
    <w:rsid w:val="003E09F3"/>
    <w:rsid w:val="003E2581"/>
    <w:rsid w:val="003E2936"/>
    <w:rsid w:val="003E637C"/>
    <w:rsid w:val="003E6B63"/>
    <w:rsid w:val="003E6BFA"/>
    <w:rsid w:val="003F0C33"/>
    <w:rsid w:val="003F0C91"/>
    <w:rsid w:val="003F3050"/>
    <w:rsid w:val="003F48B7"/>
    <w:rsid w:val="003F6629"/>
    <w:rsid w:val="003F6B0F"/>
    <w:rsid w:val="003F72C6"/>
    <w:rsid w:val="003F756A"/>
    <w:rsid w:val="00402B60"/>
    <w:rsid w:val="00402DE5"/>
    <w:rsid w:val="0040656E"/>
    <w:rsid w:val="00407798"/>
    <w:rsid w:val="0040783B"/>
    <w:rsid w:val="004101E4"/>
    <w:rsid w:val="00411906"/>
    <w:rsid w:val="0041210B"/>
    <w:rsid w:val="004129FC"/>
    <w:rsid w:val="00414178"/>
    <w:rsid w:val="004145DB"/>
    <w:rsid w:val="00414C86"/>
    <w:rsid w:val="00415CAA"/>
    <w:rsid w:val="00421077"/>
    <w:rsid w:val="0042156E"/>
    <w:rsid w:val="00421E22"/>
    <w:rsid w:val="00424C8A"/>
    <w:rsid w:val="00425207"/>
    <w:rsid w:val="00425571"/>
    <w:rsid w:val="00427464"/>
    <w:rsid w:val="00427533"/>
    <w:rsid w:val="00427F79"/>
    <w:rsid w:val="00430457"/>
    <w:rsid w:val="00430DF5"/>
    <w:rsid w:val="004310FC"/>
    <w:rsid w:val="004323B7"/>
    <w:rsid w:val="00432D13"/>
    <w:rsid w:val="00432EF2"/>
    <w:rsid w:val="00434102"/>
    <w:rsid w:val="00434304"/>
    <w:rsid w:val="004352AB"/>
    <w:rsid w:val="0044079B"/>
    <w:rsid w:val="0044275D"/>
    <w:rsid w:val="004428BD"/>
    <w:rsid w:val="00443209"/>
    <w:rsid w:val="004442ED"/>
    <w:rsid w:val="00444DE0"/>
    <w:rsid w:val="00446E01"/>
    <w:rsid w:val="00447B1C"/>
    <w:rsid w:val="00450890"/>
    <w:rsid w:val="00450C84"/>
    <w:rsid w:val="004514FA"/>
    <w:rsid w:val="00451C38"/>
    <w:rsid w:val="00453A4D"/>
    <w:rsid w:val="004567F8"/>
    <w:rsid w:val="00456985"/>
    <w:rsid w:val="0045720A"/>
    <w:rsid w:val="00461A17"/>
    <w:rsid w:val="004620E3"/>
    <w:rsid w:val="0046250A"/>
    <w:rsid w:val="004626E7"/>
    <w:rsid w:val="00463857"/>
    <w:rsid w:val="004648AB"/>
    <w:rsid w:val="00465987"/>
    <w:rsid w:val="004663EA"/>
    <w:rsid w:val="00466DB0"/>
    <w:rsid w:val="00470ACE"/>
    <w:rsid w:val="004753D7"/>
    <w:rsid w:val="00476CD7"/>
    <w:rsid w:val="00476D4B"/>
    <w:rsid w:val="004804F8"/>
    <w:rsid w:val="004807F3"/>
    <w:rsid w:val="004813D4"/>
    <w:rsid w:val="00481E91"/>
    <w:rsid w:val="004830A0"/>
    <w:rsid w:val="00484752"/>
    <w:rsid w:val="00484A73"/>
    <w:rsid w:val="004860E8"/>
    <w:rsid w:val="00486D5A"/>
    <w:rsid w:val="004911A2"/>
    <w:rsid w:val="00492E7A"/>
    <w:rsid w:val="0049384E"/>
    <w:rsid w:val="004942FD"/>
    <w:rsid w:val="00496B6F"/>
    <w:rsid w:val="004A040E"/>
    <w:rsid w:val="004A179D"/>
    <w:rsid w:val="004A1C44"/>
    <w:rsid w:val="004A2696"/>
    <w:rsid w:val="004A5D9F"/>
    <w:rsid w:val="004A69BD"/>
    <w:rsid w:val="004A7939"/>
    <w:rsid w:val="004A7C0A"/>
    <w:rsid w:val="004B02B7"/>
    <w:rsid w:val="004B06A3"/>
    <w:rsid w:val="004B1809"/>
    <w:rsid w:val="004B50BD"/>
    <w:rsid w:val="004B510D"/>
    <w:rsid w:val="004C0163"/>
    <w:rsid w:val="004C05F2"/>
    <w:rsid w:val="004C105F"/>
    <w:rsid w:val="004C17E5"/>
    <w:rsid w:val="004C3FCD"/>
    <w:rsid w:val="004C4E9F"/>
    <w:rsid w:val="004C5DA7"/>
    <w:rsid w:val="004C7EF4"/>
    <w:rsid w:val="004D0451"/>
    <w:rsid w:val="004D0E7A"/>
    <w:rsid w:val="004D0FF8"/>
    <w:rsid w:val="004D1FB6"/>
    <w:rsid w:val="004D242B"/>
    <w:rsid w:val="004D2BD9"/>
    <w:rsid w:val="004D3595"/>
    <w:rsid w:val="004D378A"/>
    <w:rsid w:val="004D3D20"/>
    <w:rsid w:val="004D552E"/>
    <w:rsid w:val="004D7C3A"/>
    <w:rsid w:val="004E4BBC"/>
    <w:rsid w:val="004E78C8"/>
    <w:rsid w:val="004F094C"/>
    <w:rsid w:val="004F0CB2"/>
    <w:rsid w:val="004F38C1"/>
    <w:rsid w:val="004F4289"/>
    <w:rsid w:val="004F4DC4"/>
    <w:rsid w:val="004F5FFC"/>
    <w:rsid w:val="004F72B0"/>
    <w:rsid w:val="004F72FD"/>
    <w:rsid w:val="004F73D7"/>
    <w:rsid w:val="0050030D"/>
    <w:rsid w:val="00503D49"/>
    <w:rsid w:val="00503E7B"/>
    <w:rsid w:val="0050456F"/>
    <w:rsid w:val="0050614D"/>
    <w:rsid w:val="00512129"/>
    <w:rsid w:val="00514C5F"/>
    <w:rsid w:val="00516A3A"/>
    <w:rsid w:val="005176AE"/>
    <w:rsid w:val="00517EA6"/>
    <w:rsid w:val="0052040F"/>
    <w:rsid w:val="00520EAC"/>
    <w:rsid w:val="005217C0"/>
    <w:rsid w:val="00522B5A"/>
    <w:rsid w:val="00523521"/>
    <w:rsid w:val="00523D31"/>
    <w:rsid w:val="00523D57"/>
    <w:rsid w:val="00525A29"/>
    <w:rsid w:val="005269A7"/>
    <w:rsid w:val="00530769"/>
    <w:rsid w:val="00531FF4"/>
    <w:rsid w:val="0053200F"/>
    <w:rsid w:val="00535254"/>
    <w:rsid w:val="00535BF7"/>
    <w:rsid w:val="00535C3C"/>
    <w:rsid w:val="00536148"/>
    <w:rsid w:val="005367B7"/>
    <w:rsid w:val="0053690B"/>
    <w:rsid w:val="00541A3A"/>
    <w:rsid w:val="00541C80"/>
    <w:rsid w:val="00542587"/>
    <w:rsid w:val="00543043"/>
    <w:rsid w:val="005434A1"/>
    <w:rsid w:val="00544505"/>
    <w:rsid w:val="00545C45"/>
    <w:rsid w:val="005474C8"/>
    <w:rsid w:val="00551303"/>
    <w:rsid w:val="00554F4B"/>
    <w:rsid w:val="005551F2"/>
    <w:rsid w:val="005552A6"/>
    <w:rsid w:val="00555E4D"/>
    <w:rsid w:val="0055601C"/>
    <w:rsid w:val="00556C8E"/>
    <w:rsid w:val="00557C89"/>
    <w:rsid w:val="00560CF3"/>
    <w:rsid w:val="0056189B"/>
    <w:rsid w:val="00563F13"/>
    <w:rsid w:val="005640AA"/>
    <w:rsid w:val="00564623"/>
    <w:rsid w:val="00564913"/>
    <w:rsid w:val="0056520E"/>
    <w:rsid w:val="0056568C"/>
    <w:rsid w:val="00565758"/>
    <w:rsid w:val="005671E1"/>
    <w:rsid w:val="00571C0F"/>
    <w:rsid w:val="00572912"/>
    <w:rsid w:val="00573295"/>
    <w:rsid w:val="00574286"/>
    <w:rsid w:val="005758C4"/>
    <w:rsid w:val="00575AA5"/>
    <w:rsid w:val="005760B7"/>
    <w:rsid w:val="00581F07"/>
    <w:rsid w:val="005820C2"/>
    <w:rsid w:val="00583A3F"/>
    <w:rsid w:val="0058533B"/>
    <w:rsid w:val="005855CF"/>
    <w:rsid w:val="00585653"/>
    <w:rsid w:val="00590051"/>
    <w:rsid w:val="00590266"/>
    <w:rsid w:val="005906E8"/>
    <w:rsid w:val="00590D8C"/>
    <w:rsid w:val="005915F1"/>
    <w:rsid w:val="00593C28"/>
    <w:rsid w:val="00595410"/>
    <w:rsid w:val="00596708"/>
    <w:rsid w:val="0059751D"/>
    <w:rsid w:val="005A014E"/>
    <w:rsid w:val="005A0EF7"/>
    <w:rsid w:val="005A1241"/>
    <w:rsid w:val="005A3DD9"/>
    <w:rsid w:val="005A4AF9"/>
    <w:rsid w:val="005A680C"/>
    <w:rsid w:val="005B0ADB"/>
    <w:rsid w:val="005B0B14"/>
    <w:rsid w:val="005B2D40"/>
    <w:rsid w:val="005B3C27"/>
    <w:rsid w:val="005B49BB"/>
    <w:rsid w:val="005B67A3"/>
    <w:rsid w:val="005B6B82"/>
    <w:rsid w:val="005B7AFF"/>
    <w:rsid w:val="005C01CE"/>
    <w:rsid w:val="005C43AE"/>
    <w:rsid w:val="005C50C6"/>
    <w:rsid w:val="005C5EDA"/>
    <w:rsid w:val="005C5F2C"/>
    <w:rsid w:val="005C747D"/>
    <w:rsid w:val="005C7B3C"/>
    <w:rsid w:val="005D0253"/>
    <w:rsid w:val="005D0F39"/>
    <w:rsid w:val="005D2198"/>
    <w:rsid w:val="005D316D"/>
    <w:rsid w:val="005D3210"/>
    <w:rsid w:val="005D33F6"/>
    <w:rsid w:val="005D3B1D"/>
    <w:rsid w:val="005D3BA2"/>
    <w:rsid w:val="005D445D"/>
    <w:rsid w:val="005E0D61"/>
    <w:rsid w:val="005E119F"/>
    <w:rsid w:val="005E13C8"/>
    <w:rsid w:val="005E1EE3"/>
    <w:rsid w:val="005E3880"/>
    <w:rsid w:val="005E5DBC"/>
    <w:rsid w:val="005E7BDE"/>
    <w:rsid w:val="005F01B3"/>
    <w:rsid w:val="005F1F94"/>
    <w:rsid w:val="005F223B"/>
    <w:rsid w:val="005F26B4"/>
    <w:rsid w:val="005F4DE5"/>
    <w:rsid w:val="005F5E25"/>
    <w:rsid w:val="005F657A"/>
    <w:rsid w:val="005F7515"/>
    <w:rsid w:val="0060056A"/>
    <w:rsid w:val="006023DB"/>
    <w:rsid w:val="006047F7"/>
    <w:rsid w:val="00606A62"/>
    <w:rsid w:val="00607D79"/>
    <w:rsid w:val="0061009C"/>
    <w:rsid w:val="0061065A"/>
    <w:rsid w:val="0061087F"/>
    <w:rsid w:val="00610A13"/>
    <w:rsid w:val="00612E60"/>
    <w:rsid w:val="00613911"/>
    <w:rsid w:val="006144D3"/>
    <w:rsid w:val="00614E40"/>
    <w:rsid w:val="00615B78"/>
    <w:rsid w:val="00620163"/>
    <w:rsid w:val="0062198B"/>
    <w:rsid w:val="00622667"/>
    <w:rsid w:val="00622CD6"/>
    <w:rsid w:val="0062307F"/>
    <w:rsid w:val="006259E2"/>
    <w:rsid w:val="00631979"/>
    <w:rsid w:val="00631CC1"/>
    <w:rsid w:val="00631E49"/>
    <w:rsid w:val="00632A36"/>
    <w:rsid w:val="006344D5"/>
    <w:rsid w:val="00634FBF"/>
    <w:rsid w:val="00636060"/>
    <w:rsid w:val="006367AF"/>
    <w:rsid w:val="0063764E"/>
    <w:rsid w:val="006378E7"/>
    <w:rsid w:val="00644B2B"/>
    <w:rsid w:val="006460DF"/>
    <w:rsid w:val="00647203"/>
    <w:rsid w:val="00650B6C"/>
    <w:rsid w:val="00652838"/>
    <w:rsid w:val="00653047"/>
    <w:rsid w:val="00653F28"/>
    <w:rsid w:val="0065431A"/>
    <w:rsid w:val="00655C2A"/>
    <w:rsid w:val="0065771D"/>
    <w:rsid w:val="0066095C"/>
    <w:rsid w:val="0066145F"/>
    <w:rsid w:val="006623E0"/>
    <w:rsid w:val="00664433"/>
    <w:rsid w:val="00666A39"/>
    <w:rsid w:val="00673B37"/>
    <w:rsid w:val="00674534"/>
    <w:rsid w:val="00674F05"/>
    <w:rsid w:val="00675C63"/>
    <w:rsid w:val="0067622D"/>
    <w:rsid w:val="0068291E"/>
    <w:rsid w:val="006858EE"/>
    <w:rsid w:val="00685D71"/>
    <w:rsid w:val="00686315"/>
    <w:rsid w:val="006866E2"/>
    <w:rsid w:val="00687981"/>
    <w:rsid w:val="00687BD9"/>
    <w:rsid w:val="00691849"/>
    <w:rsid w:val="00691D62"/>
    <w:rsid w:val="00692B84"/>
    <w:rsid w:val="00693636"/>
    <w:rsid w:val="00693D3F"/>
    <w:rsid w:val="00694C7C"/>
    <w:rsid w:val="0069574E"/>
    <w:rsid w:val="0069609F"/>
    <w:rsid w:val="00696492"/>
    <w:rsid w:val="006973F1"/>
    <w:rsid w:val="006A0307"/>
    <w:rsid w:val="006A2B10"/>
    <w:rsid w:val="006A5B57"/>
    <w:rsid w:val="006A5C81"/>
    <w:rsid w:val="006A75CE"/>
    <w:rsid w:val="006B047E"/>
    <w:rsid w:val="006B4B95"/>
    <w:rsid w:val="006B6A90"/>
    <w:rsid w:val="006B6F01"/>
    <w:rsid w:val="006C05F4"/>
    <w:rsid w:val="006C0790"/>
    <w:rsid w:val="006C081F"/>
    <w:rsid w:val="006C53D1"/>
    <w:rsid w:val="006C5A3B"/>
    <w:rsid w:val="006C6138"/>
    <w:rsid w:val="006C6334"/>
    <w:rsid w:val="006C6367"/>
    <w:rsid w:val="006C6E78"/>
    <w:rsid w:val="006C6EC8"/>
    <w:rsid w:val="006D05B7"/>
    <w:rsid w:val="006D08A7"/>
    <w:rsid w:val="006D0C48"/>
    <w:rsid w:val="006D0E53"/>
    <w:rsid w:val="006D1DF3"/>
    <w:rsid w:val="006D2D27"/>
    <w:rsid w:val="006D3B6B"/>
    <w:rsid w:val="006D5BBB"/>
    <w:rsid w:val="006D7739"/>
    <w:rsid w:val="006D7A45"/>
    <w:rsid w:val="006D7A50"/>
    <w:rsid w:val="006E0449"/>
    <w:rsid w:val="006E13B8"/>
    <w:rsid w:val="006E2723"/>
    <w:rsid w:val="006E3B81"/>
    <w:rsid w:val="006E436C"/>
    <w:rsid w:val="006E4A69"/>
    <w:rsid w:val="006E5481"/>
    <w:rsid w:val="006E55A9"/>
    <w:rsid w:val="006E6F5D"/>
    <w:rsid w:val="006E710D"/>
    <w:rsid w:val="006E7EEE"/>
    <w:rsid w:val="006F1484"/>
    <w:rsid w:val="006F2015"/>
    <w:rsid w:val="006F2901"/>
    <w:rsid w:val="006F5FD0"/>
    <w:rsid w:val="006F72CC"/>
    <w:rsid w:val="006F78A4"/>
    <w:rsid w:val="00700050"/>
    <w:rsid w:val="00700381"/>
    <w:rsid w:val="007024F5"/>
    <w:rsid w:val="00704C16"/>
    <w:rsid w:val="007050E0"/>
    <w:rsid w:val="00705FEB"/>
    <w:rsid w:val="00707E2C"/>
    <w:rsid w:val="00710EEC"/>
    <w:rsid w:val="007113B0"/>
    <w:rsid w:val="00713462"/>
    <w:rsid w:val="00713D62"/>
    <w:rsid w:val="00713DD4"/>
    <w:rsid w:val="00713EC8"/>
    <w:rsid w:val="00714EF3"/>
    <w:rsid w:val="00715D0F"/>
    <w:rsid w:val="00717181"/>
    <w:rsid w:val="00717CEE"/>
    <w:rsid w:val="00717F72"/>
    <w:rsid w:val="00720035"/>
    <w:rsid w:val="00720D0D"/>
    <w:rsid w:val="00722A76"/>
    <w:rsid w:val="00722FE9"/>
    <w:rsid w:val="0072374B"/>
    <w:rsid w:val="00723DBE"/>
    <w:rsid w:val="00724496"/>
    <w:rsid w:val="007246BC"/>
    <w:rsid w:val="00724ECF"/>
    <w:rsid w:val="00725DC4"/>
    <w:rsid w:val="00727FFC"/>
    <w:rsid w:val="00730A84"/>
    <w:rsid w:val="00733221"/>
    <w:rsid w:val="00734FAD"/>
    <w:rsid w:val="007364BD"/>
    <w:rsid w:val="00736F79"/>
    <w:rsid w:val="007373D0"/>
    <w:rsid w:val="007379B1"/>
    <w:rsid w:val="00744919"/>
    <w:rsid w:val="00744E79"/>
    <w:rsid w:val="00745419"/>
    <w:rsid w:val="00745DA9"/>
    <w:rsid w:val="007475FD"/>
    <w:rsid w:val="00752B97"/>
    <w:rsid w:val="007530CA"/>
    <w:rsid w:val="007533C6"/>
    <w:rsid w:val="00753C73"/>
    <w:rsid w:val="00753ED1"/>
    <w:rsid w:val="00754538"/>
    <w:rsid w:val="00754955"/>
    <w:rsid w:val="00754BC3"/>
    <w:rsid w:val="0075566C"/>
    <w:rsid w:val="00755DC3"/>
    <w:rsid w:val="00755FDC"/>
    <w:rsid w:val="00756975"/>
    <w:rsid w:val="00760891"/>
    <w:rsid w:val="00760CB2"/>
    <w:rsid w:val="0076110D"/>
    <w:rsid w:val="00761278"/>
    <w:rsid w:val="00763D62"/>
    <w:rsid w:val="00764735"/>
    <w:rsid w:val="0076669E"/>
    <w:rsid w:val="00766CC8"/>
    <w:rsid w:val="00770FDE"/>
    <w:rsid w:val="00771BA8"/>
    <w:rsid w:val="00772183"/>
    <w:rsid w:val="00774462"/>
    <w:rsid w:val="0077502A"/>
    <w:rsid w:val="00775695"/>
    <w:rsid w:val="00777EEF"/>
    <w:rsid w:val="00780690"/>
    <w:rsid w:val="00780CE6"/>
    <w:rsid w:val="00780E8C"/>
    <w:rsid w:val="00780EE6"/>
    <w:rsid w:val="00781A52"/>
    <w:rsid w:val="00782DEC"/>
    <w:rsid w:val="00782FBF"/>
    <w:rsid w:val="00786CEC"/>
    <w:rsid w:val="00786DEB"/>
    <w:rsid w:val="0079025D"/>
    <w:rsid w:val="00790354"/>
    <w:rsid w:val="00791D35"/>
    <w:rsid w:val="00792B72"/>
    <w:rsid w:val="0079383F"/>
    <w:rsid w:val="00794282"/>
    <w:rsid w:val="007951CD"/>
    <w:rsid w:val="007953D4"/>
    <w:rsid w:val="0079670E"/>
    <w:rsid w:val="007968DF"/>
    <w:rsid w:val="00796EC4"/>
    <w:rsid w:val="00797947"/>
    <w:rsid w:val="007A14B8"/>
    <w:rsid w:val="007A21DD"/>
    <w:rsid w:val="007A2878"/>
    <w:rsid w:val="007A3907"/>
    <w:rsid w:val="007A40CD"/>
    <w:rsid w:val="007A4CBC"/>
    <w:rsid w:val="007A5C36"/>
    <w:rsid w:val="007A5DAF"/>
    <w:rsid w:val="007A6457"/>
    <w:rsid w:val="007A7773"/>
    <w:rsid w:val="007B1910"/>
    <w:rsid w:val="007B26F5"/>
    <w:rsid w:val="007B4711"/>
    <w:rsid w:val="007B48FE"/>
    <w:rsid w:val="007B4CC1"/>
    <w:rsid w:val="007B6D23"/>
    <w:rsid w:val="007B7F61"/>
    <w:rsid w:val="007C05CE"/>
    <w:rsid w:val="007C1BF4"/>
    <w:rsid w:val="007C2367"/>
    <w:rsid w:val="007C2B13"/>
    <w:rsid w:val="007C33E7"/>
    <w:rsid w:val="007C46AE"/>
    <w:rsid w:val="007C4E19"/>
    <w:rsid w:val="007C4E42"/>
    <w:rsid w:val="007C509A"/>
    <w:rsid w:val="007C729B"/>
    <w:rsid w:val="007C78E1"/>
    <w:rsid w:val="007D1749"/>
    <w:rsid w:val="007D1EF6"/>
    <w:rsid w:val="007D346B"/>
    <w:rsid w:val="007D38D0"/>
    <w:rsid w:val="007D6C73"/>
    <w:rsid w:val="007E1CF3"/>
    <w:rsid w:val="007E1EA9"/>
    <w:rsid w:val="007E2617"/>
    <w:rsid w:val="007E34EF"/>
    <w:rsid w:val="007E3B09"/>
    <w:rsid w:val="007E416E"/>
    <w:rsid w:val="007F27D7"/>
    <w:rsid w:val="007F284B"/>
    <w:rsid w:val="007F37F9"/>
    <w:rsid w:val="007F4A06"/>
    <w:rsid w:val="007F6B17"/>
    <w:rsid w:val="007F6BB6"/>
    <w:rsid w:val="007F72E1"/>
    <w:rsid w:val="00800285"/>
    <w:rsid w:val="00800805"/>
    <w:rsid w:val="00801592"/>
    <w:rsid w:val="008055A3"/>
    <w:rsid w:val="00805F53"/>
    <w:rsid w:val="008065A4"/>
    <w:rsid w:val="0080706C"/>
    <w:rsid w:val="00807EEE"/>
    <w:rsid w:val="00810454"/>
    <w:rsid w:val="008115CC"/>
    <w:rsid w:val="00812278"/>
    <w:rsid w:val="0081290A"/>
    <w:rsid w:val="00813793"/>
    <w:rsid w:val="00813822"/>
    <w:rsid w:val="0081567B"/>
    <w:rsid w:val="00817D92"/>
    <w:rsid w:val="008200CD"/>
    <w:rsid w:val="00821156"/>
    <w:rsid w:val="00822306"/>
    <w:rsid w:val="00823C11"/>
    <w:rsid w:val="00825CA1"/>
    <w:rsid w:val="00826BC3"/>
    <w:rsid w:val="00827227"/>
    <w:rsid w:val="00827836"/>
    <w:rsid w:val="008309E7"/>
    <w:rsid w:val="00831EBF"/>
    <w:rsid w:val="008349FE"/>
    <w:rsid w:val="00834EF8"/>
    <w:rsid w:val="00835099"/>
    <w:rsid w:val="00836609"/>
    <w:rsid w:val="00840088"/>
    <w:rsid w:val="00840B2A"/>
    <w:rsid w:val="008420BE"/>
    <w:rsid w:val="0084388C"/>
    <w:rsid w:val="00845F06"/>
    <w:rsid w:val="008466E6"/>
    <w:rsid w:val="0084672E"/>
    <w:rsid w:val="00847AE2"/>
    <w:rsid w:val="008532DC"/>
    <w:rsid w:val="00853C0F"/>
    <w:rsid w:val="00854901"/>
    <w:rsid w:val="00855E11"/>
    <w:rsid w:val="0085664D"/>
    <w:rsid w:val="00857C14"/>
    <w:rsid w:val="00860909"/>
    <w:rsid w:val="00860F9A"/>
    <w:rsid w:val="00861D7B"/>
    <w:rsid w:val="0086254F"/>
    <w:rsid w:val="00863EB6"/>
    <w:rsid w:val="00864D21"/>
    <w:rsid w:val="008659BE"/>
    <w:rsid w:val="00867515"/>
    <w:rsid w:val="00867F22"/>
    <w:rsid w:val="00867F56"/>
    <w:rsid w:val="0087091E"/>
    <w:rsid w:val="0087137C"/>
    <w:rsid w:val="00871B68"/>
    <w:rsid w:val="00872904"/>
    <w:rsid w:val="00872FBD"/>
    <w:rsid w:val="00872FD2"/>
    <w:rsid w:val="00873CB6"/>
    <w:rsid w:val="00874A0C"/>
    <w:rsid w:val="00874B1C"/>
    <w:rsid w:val="00875EC0"/>
    <w:rsid w:val="00876A30"/>
    <w:rsid w:val="00880312"/>
    <w:rsid w:val="00880FD5"/>
    <w:rsid w:val="008812B0"/>
    <w:rsid w:val="00882AA1"/>
    <w:rsid w:val="0088639A"/>
    <w:rsid w:val="0088739C"/>
    <w:rsid w:val="00887D17"/>
    <w:rsid w:val="00891D06"/>
    <w:rsid w:val="00893A26"/>
    <w:rsid w:val="00893CC4"/>
    <w:rsid w:val="00894BC4"/>
    <w:rsid w:val="0089656F"/>
    <w:rsid w:val="008967D1"/>
    <w:rsid w:val="00896CBB"/>
    <w:rsid w:val="0089704D"/>
    <w:rsid w:val="008973AA"/>
    <w:rsid w:val="008A0FD6"/>
    <w:rsid w:val="008A275E"/>
    <w:rsid w:val="008A27FA"/>
    <w:rsid w:val="008A311D"/>
    <w:rsid w:val="008A3906"/>
    <w:rsid w:val="008A5A30"/>
    <w:rsid w:val="008B0244"/>
    <w:rsid w:val="008B26EB"/>
    <w:rsid w:val="008B3024"/>
    <w:rsid w:val="008B3ACA"/>
    <w:rsid w:val="008B468B"/>
    <w:rsid w:val="008B4E42"/>
    <w:rsid w:val="008B54DD"/>
    <w:rsid w:val="008B5D77"/>
    <w:rsid w:val="008B66B1"/>
    <w:rsid w:val="008B69CE"/>
    <w:rsid w:val="008C0030"/>
    <w:rsid w:val="008C0846"/>
    <w:rsid w:val="008C239E"/>
    <w:rsid w:val="008C2431"/>
    <w:rsid w:val="008C78AA"/>
    <w:rsid w:val="008C7DA6"/>
    <w:rsid w:val="008D2D72"/>
    <w:rsid w:val="008D30C0"/>
    <w:rsid w:val="008D3A86"/>
    <w:rsid w:val="008D3B3B"/>
    <w:rsid w:val="008D3C84"/>
    <w:rsid w:val="008D4071"/>
    <w:rsid w:val="008D627E"/>
    <w:rsid w:val="008D7053"/>
    <w:rsid w:val="008D72DC"/>
    <w:rsid w:val="008E0108"/>
    <w:rsid w:val="008E0AD5"/>
    <w:rsid w:val="008E12F3"/>
    <w:rsid w:val="008E7BCF"/>
    <w:rsid w:val="008F07B9"/>
    <w:rsid w:val="008F3573"/>
    <w:rsid w:val="008F52B8"/>
    <w:rsid w:val="008F614C"/>
    <w:rsid w:val="008F7DFE"/>
    <w:rsid w:val="009010F0"/>
    <w:rsid w:val="00901ECF"/>
    <w:rsid w:val="00902778"/>
    <w:rsid w:val="009061C0"/>
    <w:rsid w:val="009103B9"/>
    <w:rsid w:val="00910A13"/>
    <w:rsid w:val="009122B1"/>
    <w:rsid w:val="00912EE5"/>
    <w:rsid w:val="00916266"/>
    <w:rsid w:val="00920485"/>
    <w:rsid w:val="0092060B"/>
    <w:rsid w:val="00921276"/>
    <w:rsid w:val="00923C7D"/>
    <w:rsid w:val="0092415F"/>
    <w:rsid w:val="00926DFE"/>
    <w:rsid w:val="00931E74"/>
    <w:rsid w:val="00934AC6"/>
    <w:rsid w:val="009361FA"/>
    <w:rsid w:val="0094141C"/>
    <w:rsid w:val="0094154D"/>
    <w:rsid w:val="00941790"/>
    <w:rsid w:val="00941AD3"/>
    <w:rsid w:val="00942645"/>
    <w:rsid w:val="00942B51"/>
    <w:rsid w:val="0094300B"/>
    <w:rsid w:val="00943E67"/>
    <w:rsid w:val="0094439D"/>
    <w:rsid w:val="00945289"/>
    <w:rsid w:val="009459B9"/>
    <w:rsid w:val="00947A9F"/>
    <w:rsid w:val="00953B55"/>
    <w:rsid w:val="00953D1B"/>
    <w:rsid w:val="00956DD1"/>
    <w:rsid w:val="009578BA"/>
    <w:rsid w:val="00960677"/>
    <w:rsid w:val="00961A95"/>
    <w:rsid w:val="00961C1A"/>
    <w:rsid w:val="009639FD"/>
    <w:rsid w:val="0096449B"/>
    <w:rsid w:val="00965C75"/>
    <w:rsid w:val="00966E84"/>
    <w:rsid w:val="00966EF6"/>
    <w:rsid w:val="009705AE"/>
    <w:rsid w:val="00971416"/>
    <w:rsid w:val="009719E1"/>
    <w:rsid w:val="0097263D"/>
    <w:rsid w:val="00972A0E"/>
    <w:rsid w:val="00972D02"/>
    <w:rsid w:val="00973C12"/>
    <w:rsid w:val="00973D18"/>
    <w:rsid w:val="00973EAC"/>
    <w:rsid w:val="00980042"/>
    <w:rsid w:val="00981CC0"/>
    <w:rsid w:val="00982D53"/>
    <w:rsid w:val="009837BB"/>
    <w:rsid w:val="0098438C"/>
    <w:rsid w:val="00984A29"/>
    <w:rsid w:val="00984DC7"/>
    <w:rsid w:val="009864FE"/>
    <w:rsid w:val="0098799B"/>
    <w:rsid w:val="00987B46"/>
    <w:rsid w:val="0099161B"/>
    <w:rsid w:val="00993A76"/>
    <w:rsid w:val="009943D9"/>
    <w:rsid w:val="00996138"/>
    <w:rsid w:val="009A05C1"/>
    <w:rsid w:val="009A0B5B"/>
    <w:rsid w:val="009A1A1F"/>
    <w:rsid w:val="009A1B2B"/>
    <w:rsid w:val="009A3153"/>
    <w:rsid w:val="009A327D"/>
    <w:rsid w:val="009A3F28"/>
    <w:rsid w:val="009A4038"/>
    <w:rsid w:val="009A73CC"/>
    <w:rsid w:val="009B0F2D"/>
    <w:rsid w:val="009B1438"/>
    <w:rsid w:val="009B1514"/>
    <w:rsid w:val="009B2802"/>
    <w:rsid w:val="009B37A1"/>
    <w:rsid w:val="009B5252"/>
    <w:rsid w:val="009B52A9"/>
    <w:rsid w:val="009B5F70"/>
    <w:rsid w:val="009B640B"/>
    <w:rsid w:val="009B652B"/>
    <w:rsid w:val="009B65E5"/>
    <w:rsid w:val="009B71F0"/>
    <w:rsid w:val="009B77E8"/>
    <w:rsid w:val="009C1771"/>
    <w:rsid w:val="009C1924"/>
    <w:rsid w:val="009C1938"/>
    <w:rsid w:val="009C2123"/>
    <w:rsid w:val="009C4E4D"/>
    <w:rsid w:val="009C571B"/>
    <w:rsid w:val="009C61FD"/>
    <w:rsid w:val="009C795A"/>
    <w:rsid w:val="009C79E5"/>
    <w:rsid w:val="009D1126"/>
    <w:rsid w:val="009D1354"/>
    <w:rsid w:val="009D16D5"/>
    <w:rsid w:val="009D1D05"/>
    <w:rsid w:val="009D53BD"/>
    <w:rsid w:val="009E0539"/>
    <w:rsid w:val="009E05CC"/>
    <w:rsid w:val="009E0BE3"/>
    <w:rsid w:val="009E16BF"/>
    <w:rsid w:val="009E1916"/>
    <w:rsid w:val="009E31C0"/>
    <w:rsid w:val="009E338A"/>
    <w:rsid w:val="009E4DBE"/>
    <w:rsid w:val="009E5BDB"/>
    <w:rsid w:val="009E734E"/>
    <w:rsid w:val="009E771B"/>
    <w:rsid w:val="009F11D2"/>
    <w:rsid w:val="009F1F97"/>
    <w:rsid w:val="009F23F2"/>
    <w:rsid w:val="009F27C5"/>
    <w:rsid w:val="009F3222"/>
    <w:rsid w:val="009F35E7"/>
    <w:rsid w:val="009F37D4"/>
    <w:rsid w:val="009F4107"/>
    <w:rsid w:val="009F5B19"/>
    <w:rsid w:val="009F60E5"/>
    <w:rsid w:val="00A00F64"/>
    <w:rsid w:val="00A00FBE"/>
    <w:rsid w:val="00A0386E"/>
    <w:rsid w:val="00A038D5"/>
    <w:rsid w:val="00A03D66"/>
    <w:rsid w:val="00A044DF"/>
    <w:rsid w:val="00A04C63"/>
    <w:rsid w:val="00A0532B"/>
    <w:rsid w:val="00A05388"/>
    <w:rsid w:val="00A053B4"/>
    <w:rsid w:val="00A054E9"/>
    <w:rsid w:val="00A0551C"/>
    <w:rsid w:val="00A07E48"/>
    <w:rsid w:val="00A07E8C"/>
    <w:rsid w:val="00A11049"/>
    <w:rsid w:val="00A11F73"/>
    <w:rsid w:val="00A124EB"/>
    <w:rsid w:val="00A12C26"/>
    <w:rsid w:val="00A12E86"/>
    <w:rsid w:val="00A13A39"/>
    <w:rsid w:val="00A14474"/>
    <w:rsid w:val="00A15B09"/>
    <w:rsid w:val="00A167C4"/>
    <w:rsid w:val="00A17564"/>
    <w:rsid w:val="00A204A1"/>
    <w:rsid w:val="00A209EB"/>
    <w:rsid w:val="00A2112D"/>
    <w:rsid w:val="00A22461"/>
    <w:rsid w:val="00A228D3"/>
    <w:rsid w:val="00A230A6"/>
    <w:rsid w:val="00A230A9"/>
    <w:rsid w:val="00A2396E"/>
    <w:rsid w:val="00A23FBF"/>
    <w:rsid w:val="00A25840"/>
    <w:rsid w:val="00A25C53"/>
    <w:rsid w:val="00A27328"/>
    <w:rsid w:val="00A27A4B"/>
    <w:rsid w:val="00A304CD"/>
    <w:rsid w:val="00A30CA4"/>
    <w:rsid w:val="00A3157F"/>
    <w:rsid w:val="00A319B4"/>
    <w:rsid w:val="00A32DCB"/>
    <w:rsid w:val="00A36C8A"/>
    <w:rsid w:val="00A42F53"/>
    <w:rsid w:val="00A43C9A"/>
    <w:rsid w:val="00A44059"/>
    <w:rsid w:val="00A513A1"/>
    <w:rsid w:val="00A51A2C"/>
    <w:rsid w:val="00A5336B"/>
    <w:rsid w:val="00A53A6A"/>
    <w:rsid w:val="00A552B0"/>
    <w:rsid w:val="00A56642"/>
    <w:rsid w:val="00A5707D"/>
    <w:rsid w:val="00A574F2"/>
    <w:rsid w:val="00A579A7"/>
    <w:rsid w:val="00A6133A"/>
    <w:rsid w:val="00A61687"/>
    <w:rsid w:val="00A655FD"/>
    <w:rsid w:val="00A669D5"/>
    <w:rsid w:val="00A67CA4"/>
    <w:rsid w:val="00A701B8"/>
    <w:rsid w:val="00A70295"/>
    <w:rsid w:val="00A7036F"/>
    <w:rsid w:val="00A71621"/>
    <w:rsid w:val="00A72008"/>
    <w:rsid w:val="00A72591"/>
    <w:rsid w:val="00A7288B"/>
    <w:rsid w:val="00A72B6A"/>
    <w:rsid w:val="00A72E83"/>
    <w:rsid w:val="00A72EFB"/>
    <w:rsid w:val="00A7399F"/>
    <w:rsid w:val="00A73F7C"/>
    <w:rsid w:val="00A7542F"/>
    <w:rsid w:val="00A754A4"/>
    <w:rsid w:val="00A81973"/>
    <w:rsid w:val="00A82960"/>
    <w:rsid w:val="00A8411B"/>
    <w:rsid w:val="00A8488C"/>
    <w:rsid w:val="00A8514B"/>
    <w:rsid w:val="00A86FC8"/>
    <w:rsid w:val="00A875BD"/>
    <w:rsid w:val="00A906A5"/>
    <w:rsid w:val="00A90844"/>
    <w:rsid w:val="00A90A74"/>
    <w:rsid w:val="00A91045"/>
    <w:rsid w:val="00A91D07"/>
    <w:rsid w:val="00A92690"/>
    <w:rsid w:val="00A9470B"/>
    <w:rsid w:val="00A9515A"/>
    <w:rsid w:val="00A96418"/>
    <w:rsid w:val="00AA05D0"/>
    <w:rsid w:val="00AA1B80"/>
    <w:rsid w:val="00AA26FD"/>
    <w:rsid w:val="00AA2804"/>
    <w:rsid w:val="00AA2C9F"/>
    <w:rsid w:val="00AA2FF0"/>
    <w:rsid w:val="00AA5EFE"/>
    <w:rsid w:val="00AA6049"/>
    <w:rsid w:val="00AA64CB"/>
    <w:rsid w:val="00AA6535"/>
    <w:rsid w:val="00AA668E"/>
    <w:rsid w:val="00AA6B92"/>
    <w:rsid w:val="00AA6BCD"/>
    <w:rsid w:val="00AB1226"/>
    <w:rsid w:val="00AB1894"/>
    <w:rsid w:val="00AB2B46"/>
    <w:rsid w:val="00AB5093"/>
    <w:rsid w:val="00AB5530"/>
    <w:rsid w:val="00AB7408"/>
    <w:rsid w:val="00AC0B3A"/>
    <w:rsid w:val="00AC0CC7"/>
    <w:rsid w:val="00AC0E6E"/>
    <w:rsid w:val="00AC110F"/>
    <w:rsid w:val="00AC467E"/>
    <w:rsid w:val="00AC5AA8"/>
    <w:rsid w:val="00AD090B"/>
    <w:rsid w:val="00AD202F"/>
    <w:rsid w:val="00AD5794"/>
    <w:rsid w:val="00AD60D4"/>
    <w:rsid w:val="00AD638E"/>
    <w:rsid w:val="00AE0BDD"/>
    <w:rsid w:val="00AE39E6"/>
    <w:rsid w:val="00AE3FC1"/>
    <w:rsid w:val="00AE50DD"/>
    <w:rsid w:val="00AE5475"/>
    <w:rsid w:val="00AE650D"/>
    <w:rsid w:val="00AE6D42"/>
    <w:rsid w:val="00AE7D4A"/>
    <w:rsid w:val="00AF1555"/>
    <w:rsid w:val="00AF22BF"/>
    <w:rsid w:val="00AF28F1"/>
    <w:rsid w:val="00AF3298"/>
    <w:rsid w:val="00AF4D4D"/>
    <w:rsid w:val="00AF5A46"/>
    <w:rsid w:val="00AF6192"/>
    <w:rsid w:val="00AF7DD7"/>
    <w:rsid w:val="00AF7E86"/>
    <w:rsid w:val="00B007A4"/>
    <w:rsid w:val="00B020A7"/>
    <w:rsid w:val="00B03EE2"/>
    <w:rsid w:val="00B04024"/>
    <w:rsid w:val="00B05113"/>
    <w:rsid w:val="00B0526D"/>
    <w:rsid w:val="00B0553A"/>
    <w:rsid w:val="00B05693"/>
    <w:rsid w:val="00B05CE9"/>
    <w:rsid w:val="00B0679A"/>
    <w:rsid w:val="00B06958"/>
    <w:rsid w:val="00B10583"/>
    <w:rsid w:val="00B1164C"/>
    <w:rsid w:val="00B11BD7"/>
    <w:rsid w:val="00B200AA"/>
    <w:rsid w:val="00B200F8"/>
    <w:rsid w:val="00B2131B"/>
    <w:rsid w:val="00B22295"/>
    <w:rsid w:val="00B22AD4"/>
    <w:rsid w:val="00B22B6B"/>
    <w:rsid w:val="00B233C4"/>
    <w:rsid w:val="00B23B66"/>
    <w:rsid w:val="00B23ED8"/>
    <w:rsid w:val="00B24608"/>
    <w:rsid w:val="00B2543B"/>
    <w:rsid w:val="00B2570A"/>
    <w:rsid w:val="00B27D38"/>
    <w:rsid w:val="00B30723"/>
    <w:rsid w:val="00B30B36"/>
    <w:rsid w:val="00B33044"/>
    <w:rsid w:val="00B34A6E"/>
    <w:rsid w:val="00B36C25"/>
    <w:rsid w:val="00B41BFC"/>
    <w:rsid w:val="00B43916"/>
    <w:rsid w:val="00B43A5D"/>
    <w:rsid w:val="00B441F7"/>
    <w:rsid w:val="00B46890"/>
    <w:rsid w:val="00B46942"/>
    <w:rsid w:val="00B46FF4"/>
    <w:rsid w:val="00B4700B"/>
    <w:rsid w:val="00B47763"/>
    <w:rsid w:val="00B51179"/>
    <w:rsid w:val="00B51897"/>
    <w:rsid w:val="00B52965"/>
    <w:rsid w:val="00B5315F"/>
    <w:rsid w:val="00B5340B"/>
    <w:rsid w:val="00B538CD"/>
    <w:rsid w:val="00B53FE1"/>
    <w:rsid w:val="00B5506E"/>
    <w:rsid w:val="00B56209"/>
    <w:rsid w:val="00B57C30"/>
    <w:rsid w:val="00B602B3"/>
    <w:rsid w:val="00B6103D"/>
    <w:rsid w:val="00B616EB"/>
    <w:rsid w:val="00B65F2D"/>
    <w:rsid w:val="00B70706"/>
    <w:rsid w:val="00B70D9C"/>
    <w:rsid w:val="00B727C6"/>
    <w:rsid w:val="00B727ED"/>
    <w:rsid w:val="00B73F13"/>
    <w:rsid w:val="00B75007"/>
    <w:rsid w:val="00B75021"/>
    <w:rsid w:val="00B750AF"/>
    <w:rsid w:val="00B7570B"/>
    <w:rsid w:val="00B7655F"/>
    <w:rsid w:val="00B77573"/>
    <w:rsid w:val="00B77917"/>
    <w:rsid w:val="00B80122"/>
    <w:rsid w:val="00B82738"/>
    <w:rsid w:val="00B84558"/>
    <w:rsid w:val="00B84846"/>
    <w:rsid w:val="00B860D1"/>
    <w:rsid w:val="00B86285"/>
    <w:rsid w:val="00B9188B"/>
    <w:rsid w:val="00B93D7C"/>
    <w:rsid w:val="00B9459A"/>
    <w:rsid w:val="00B97021"/>
    <w:rsid w:val="00B9795B"/>
    <w:rsid w:val="00BA0134"/>
    <w:rsid w:val="00BA2892"/>
    <w:rsid w:val="00BA3C7A"/>
    <w:rsid w:val="00BA4C52"/>
    <w:rsid w:val="00BA5380"/>
    <w:rsid w:val="00BA5B47"/>
    <w:rsid w:val="00BA681E"/>
    <w:rsid w:val="00BA6FB7"/>
    <w:rsid w:val="00BA7FA0"/>
    <w:rsid w:val="00BB11CC"/>
    <w:rsid w:val="00BB1E64"/>
    <w:rsid w:val="00BB22C9"/>
    <w:rsid w:val="00BB2440"/>
    <w:rsid w:val="00BB2C16"/>
    <w:rsid w:val="00BB3273"/>
    <w:rsid w:val="00BB3397"/>
    <w:rsid w:val="00BB39EE"/>
    <w:rsid w:val="00BB480D"/>
    <w:rsid w:val="00BB49A3"/>
    <w:rsid w:val="00BB4BB0"/>
    <w:rsid w:val="00BB67FE"/>
    <w:rsid w:val="00BB71FA"/>
    <w:rsid w:val="00BB7458"/>
    <w:rsid w:val="00BB7C92"/>
    <w:rsid w:val="00BC19FA"/>
    <w:rsid w:val="00BC2F66"/>
    <w:rsid w:val="00BC3853"/>
    <w:rsid w:val="00BC3B50"/>
    <w:rsid w:val="00BC4C67"/>
    <w:rsid w:val="00BC61C0"/>
    <w:rsid w:val="00BC68A3"/>
    <w:rsid w:val="00BC7E43"/>
    <w:rsid w:val="00BD100D"/>
    <w:rsid w:val="00BD1A82"/>
    <w:rsid w:val="00BD249D"/>
    <w:rsid w:val="00BD256A"/>
    <w:rsid w:val="00BD2BB7"/>
    <w:rsid w:val="00BD34BC"/>
    <w:rsid w:val="00BD6F07"/>
    <w:rsid w:val="00BD72B6"/>
    <w:rsid w:val="00BE0498"/>
    <w:rsid w:val="00BE04A3"/>
    <w:rsid w:val="00BE06C8"/>
    <w:rsid w:val="00BE0E53"/>
    <w:rsid w:val="00BE193B"/>
    <w:rsid w:val="00BE2CCB"/>
    <w:rsid w:val="00BE3488"/>
    <w:rsid w:val="00BE3EBF"/>
    <w:rsid w:val="00BE4B05"/>
    <w:rsid w:val="00BE57B0"/>
    <w:rsid w:val="00BE589E"/>
    <w:rsid w:val="00BF4813"/>
    <w:rsid w:val="00BF6B9B"/>
    <w:rsid w:val="00C00180"/>
    <w:rsid w:val="00C00CF6"/>
    <w:rsid w:val="00C01A22"/>
    <w:rsid w:val="00C02CC2"/>
    <w:rsid w:val="00C0540F"/>
    <w:rsid w:val="00C055B5"/>
    <w:rsid w:val="00C05C89"/>
    <w:rsid w:val="00C06A5E"/>
    <w:rsid w:val="00C13C65"/>
    <w:rsid w:val="00C163AC"/>
    <w:rsid w:val="00C21A9A"/>
    <w:rsid w:val="00C21B34"/>
    <w:rsid w:val="00C21E7C"/>
    <w:rsid w:val="00C2384C"/>
    <w:rsid w:val="00C24237"/>
    <w:rsid w:val="00C24838"/>
    <w:rsid w:val="00C2587C"/>
    <w:rsid w:val="00C26166"/>
    <w:rsid w:val="00C26EEB"/>
    <w:rsid w:val="00C30D3C"/>
    <w:rsid w:val="00C32900"/>
    <w:rsid w:val="00C3320A"/>
    <w:rsid w:val="00C333C0"/>
    <w:rsid w:val="00C33B99"/>
    <w:rsid w:val="00C34FDF"/>
    <w:rsid w:val="00C3587D"/>
    <w:rsid w:val="00C36B08"/>
    <w:rsid w:val="00C378E4"/>
    <w:rsid w:val="00C37CAF"/>
    <w:rsid w:val="00C37ED6"/>
    <w:rsid w:val="00C400BF"/>
    <w:rsid w:val="00C40B87"/>
    <w:rsid w:val="00C41261"/>
    <w:rsid w:val="00C42925"/>
    <w:rsid w:val="00C43464"/>
    <w:rsid w:val="00C44CBB"/>
    <w:rsid w:val="00C45C1A"/>
    <w:rsid w:val="00C4610F"/>
    <w:rsid w:val="00C4619C"/>
    <w:rsid w:val="00C47767"/>
    <w:rsid w:val="00C5202E"/>
    <w:rsid w:val="00C52C5E"/>
    <w:rsid w:val="00C5383D"/>
    <w:rsid w:val="00C54104"/>
    <w:rsid w:val="00C55FEC"/>
    <w:rsid w:val="00C57687"/>
    <w:rsid w:val="00C602B6"/>
    <w:rsid w:val="00C606C1"/>
    <w:rsid w:val="00C609C0"/>
    <w:rsid w:val="00C60D19"/>
    <w:rsid w:val="00C61278"/>
    <w:rsid w:val="00C62774"/>
    <w:rsid w:val="00C71839"/>
    <w:rsid w:val="00C74936"/>
    <w:rsid w:val="00C75ADC"/>
    <w:rsid w:val="00C7664F"/>
    <w:rsid w:val="00C76771"/>
    <w:rsid w:val="00C77410"/>
    <w:rsid w:val="00C804DF"/>
    <w:rsid w:val="00C81E2F"/>
    <w:rsid w:val="00C83363"/>
    <w:rsid w:val="00C83F43"/>
    <w:rsid w:val="00C85A0B"/>
    <w:rsid w:val="00C862B9"/>
    <w:rsid w:val="00C86872"/>
    <w:rsid w:val="00C870CA"/>
    <w:rsid w:val="00C9015B"/>
    <w:rsid w:val="00C90618"/>
    <w:rsid w:val="00C92770"/>
    <w:rsid w:val="00C94809"/>
    <w:rsid w:val="00C94EF4"/>
    <w:rsid w:val="00C96EE8"/>
    <w:rsid w:val="00CA01E8"/>
    <w:rsid w:val="00CA1633"/>
    <w:rsid w:val="00CA3352"/>
    <w:rsid w:val="00CA4688"/>
    <w:rsid w:val="00CA4BBB"/>
    <w:rsid w:val="00CA4F11"/>
    <w:rsid w:val="00CA75EA"/>
    <w:rsid w:val="00CB05CD"/>
    <w:rsid w:val="00CB0D24"/>
    <w:rsid w:val="00CB1CC8"/>
    <w:rsid w:val="00CB26D4"/>
    <w:rsid w:val="00CB2D11"/>
    <w:rsid w:val="00CB2E5E"/>
    <w:rsid w:val="00CB4AFD"/>
    <w:rsid w:val="00CB4BEB"/>
    <w:rsid w:val="00CB4F89"/>
    <w:rsid w:val="00CB7502"/>
    <w:rsid w:val="00CB7518"/>
    <w:rsid w:val="00CB7C41"/>
    <w:rsid w:val="00CC0A8C"/>
    <w:rsid w:val="00CC0BD8"/>
    <w:rsid w:val="00CC16F4"/>
    <w:rsid w:val="00CC2885"/>
    <w:rsid w:val="00CC2CA7"/>
    <w:rsid w:val="00CC7C76"/>
    <w:rsid w:val="00CD28D1"/>
    <w:rsid w:val="00CD3A0E"/>
    <w:rsid w:val="00CD3A16"/>
    <w:rsid w:val="00CD3A3F"/>
    <w:rsid w:val="00CD4338"/>
    <w:rsid w:val="00CD503A"/>
    <w:rsid w:val="00CD5C85"/>
    <w:rsid w:val="00CD62E7"/>
    <w:rsid w:val="00CD6D72"/>
    <w:rsid w:val="00CE1B80"/>
    <w:rsid w:val="00CE1BF5"/>
    <w:rsid w:val="00CE298E"/>
    <w:rsid w:val="00CE3FD6"/>
    <w:rsid w:val="00CE503E"/>
    <w:rsid w:val="00CE65FA"/>
    <w:rsid w:val="00CE69DD"/>
    <w:rsid w:val="00CF055D"/>
    <w:rsid w:val="00CF07E6"/>
    <w:rsid w:val="00CF1B69"/>
    <w:rsid w:val="00CF3308"/>
    <w:rsid w:val="00CF3FEF"/>
    <w:rsid w:val="00CF4A2C"/>
    <w:rsid w:val="00CF7123"/>
    <w:rsid w:val="00D02190"/>
    <w:rsid w:val="00D033B8"/>
    <w:rsid w:val="00D042E7"/>
    <w:rsid w:val="00D04430"/>
    <w:rsid w:val="00D05562"/>
    <w:rsid w:val="00D06A4C"/>
    <w:rsid w:val="00D07603"/>
    <w:rsid w:val="00D07A66"/>
    <w:rsid w:val="00D1345A"/>
    <w:rsid w:val="00D1389D"/>
    <w:rsid w:val="00D13C98"/>
    <w:rsid w:val="00D1446C"/>
    <w:rsid w:val="00D149B2"/>
    <w:rsid w:val="00D15A3C"/>
    <w:rsid w:val="00D163EC"/>
    <w:rsid w:val="00D166CB"/>
    <w:rsid w:val="00D16D70"/>
    <w:rsid w:val="00D20094"/>
    <w:rsid w:val="00D214A4"/>
    <w:rsid w:val="00D21657"/>
    <w:rsid w:val="00D21668"/>
    <w:rsid w:val="00D218A6"/>
    <w:rsid w:val="00D22ADB"/>
    <w:rsid w:val="00D22D2B"/>
    <w:rsid w:val="00D22F7D"/>
    <w:rsid w:val="00D23CC9"/>
    <w:rsid w:val="00D24BDA"/>
    <w:rsid w:val="00D25452"/>
    <w:rsid w:val="00D25718"/>
    <w:rsid w:val="00D258BD"/>
    <w:rsid w:val="00D26078"/>
    <w:rsid w:val="00D2677D"/>
    <w:rsid w:val="00D30800"/>
    <w:rsid w:val="00D322AC"/>
    <w:rsid w:val="00D32C8F"/>
    <w:rsid w:val="00D36487"/>
    <w:rsid w:val="00D4222B"/>
    <w:rsid w:val="00D4277F"/>
    <w:rsid w:val="00D42A62"/>
    <w:rsid w:val="00D43C33"/>
    <w:rsid w:val="00D46825"/>
    <w:rsid w:val="00D479AD"/>
    <w:rsid w:val="00D518C8"/>
    <w:rsid w:val="00D5371B"/>
    <w:rsid w:val="00D5398A"/>
    <w:rsid w:val="00D54FB5"/>
    <w:rsid w:val="00D5507E"/>
    <w:rsid w:val="00D56B24"/>
    <w:rsid w:val="00D5748F"/>
    <w:rsid w:val="00D576E0"/>
    <w:rsid w:val="00D60815"/>
    <w:rsid w:val="00D6154D"/>
    <w:rsid w:val="00D64C16"/>
    <w:rsid w:val="00D66D6B"/>
    <w:rsid w:val="00D67556"/>
    <w:rsid w:val="00D675FB"/>
    <w:rsid w:val="00D67C9C"/>
    <w:rsid w:val="00D70360"/>
    <w:rsid w:val="00D72B7A"/>
    <w:rsid w:val="00D72F5A"/>
    <w:rsid w:val="00D73162"/>
    <w:rsid w:val="00D76DAE"/>
    <w:rsid w:val="00D772A7"/>
    <w:rsid w:val="00D7781F"/>
    <w:rsid w:val="00D77EE4"/>
    <w:rsid w:val="00D77F46"/>
    <w:rsid w:val="00D81A2A"/>
    <w:rsid w:val="00D81A64"/>
    <w:rsid w:val="00D81EB6"/>
    <w:rsid w:val="00D8247C"/>
    <w:rsid w:val="00D828A6"/>
    <w:rsid w:val="00D8412D"/>
    <w:rsid w:val="00D844C8"/>
    <w:rsid w:val="00D862C0"/>
    <w:rsid w:val="00D87E3A"/>
    <w:rsid w:val="00D94902"/>
    <w:rsid w:val="00D95FD1"/>
    <w:rsid w:val="00DA06C2"/>
    <w:rsid w:val="00DA0A47"/>
    <w:rsid w:val="00DA1BBB"/>
    <w:rsid w:val="00DA238C"/>
    <w:rsid w:val="00DA265C"/>
    <w:rsid w:val="00DA2DF7"/>
    <w:rsid w:val="00DA314F"/>
    <w:rsid w:val="00DA4B14"/>
    <w:rsid w:val="00DA509A"/>
    <w:rsid w:val="00DA5D47"/>
    <w:rsid w:val="00DA6346"/>
    <w:rsid w:val="00DA641E"/>
    <w:rsid w:val="00DA6919"/>
    <w:rsid w:val="00DA7ADC"/>
    <w:rsid w:val="00DB02D7"/>
    <w:rsid w:val="00DB0787"/>
    <w:rsid w:val="00DB1F91"/>
    <w:rsid w:val="00DB25A6"/>
    <w:rsid w:val="00DB26A7"/>
    <w:rsid w:val="00DB2BCC"/>
    <w:rsid w:val="00DB3E1D"/>
    <w:rsid w:val="00DB5B88"/>
    <w:rsid w:val="00DB742D"/>
    <w:rsid w:val="00DB7512"/>
    <w:rsid w:val="00DC0B9B"/>
    <w:rsid w:val="00DC2C4F"/>
    <w:rsid w:val="00DC2D24"/>
    <w:rsid w:val="00DC46DD"/>
    <w:rsid w:val="00DC62E7"/>
    <w:rsid w:val="00DD0024"/>
    <w:rsid w:val="00DD0262"/>
    <w:rsid w:val="00DD1E69"/>
    <w:rsid w:val="00DD272F"/>
    <w:rsid w:val="00DD2981"/>
    <w:rsid w:val="00DD2BE6"/>
    <w:rsid w:val="00DD2FB2"/>
    <w:rsid w:val="00DD3D25"/>
    <w:rsid w:val="00DD4660"/>
    <w:rsid w:val="00DE2B05"/>
    <w:rsid w:val="00DE30DD"/>
    <w:rsid w:val="00DE312A"/>
    <w:rsid w:val="00DE3612"/>
    <w:rsid w:val="00DE4CAF"/>
    <w:rsid w:val="00DE4F62"/>
    <w:rsid w:val="00DF0B4A"/>
    <w:rsid w:val="00DF0BEB"/>
    <w:rsid w:val="00DF0C9F"/>
    <w:rsid w:val="00DF137A"/>
    <w:rsid w:val="00DF4298"/>
    <w:rsid w:val="00DF45E3"/>
    <w:rsid w:val="00DF6B5F"/>
    <w:rsid w:val="00DF7FA9"/>
    <w:rsid w:val="00E01AB8"/>
    <w:rsid w:val="00E01D55"/>
    <w:rsid w:val="00E02330"/>
    <w:rsid w:val="00E04460"/>
    <w:rsid w:val="00E0500C"/>
    <w:rsid w:val="00E05193"/>
    <w:rsid w:val="00E05E1A"/>
    <w:rsid w:val="00E05E48"/>
    <w:rsid w:val="00E05ED0"/>
    <w:rsid w:val="00E13E85"/>
    <w:rsid w:val="00E154CF"/>
    <w:rsid w:val="00E157F4"/>
    <w:rsid w:val="00E17243"/>
    <w:rsid w:val="00E202A8"/>
    <w:rsid w:val="00E2104A"/>
    <w:rsid w:val="00E2302B"/>
    <w:rsid w:val="00E23355"/>
    <w:rsid w:val="00E23D82"/>
    <w:rsid w:val="00E24FD4"/>
    <w:rsid w:val="00E27E04"/>
    <w:rsid w:val="00E305D3"/>
    <w:rsid w:val="00E3137F"/>
    <w:rsid w:val="00E32021"/>
    <w:rsid w:val="00E32448"/>
    <w:rsid w:val="00E33167"/>
    <w:rsid w:val="00E33A78"/>
    <w:rsid w:val="00E33C82"/>
    <w:rsid w:val="00E34465"/>
    <w:rsid w:val="00E35AD9"/>
    <w:rsid w:val="00E36563"/>
    <w:rsid w:val="00E369EA"/>
    <w:rsid w:val="00E372AA"/>
    <w:rsid w:val="00E406F4"/>
    <w:rsid w:val="00E41765"/>
    <w:rsid w:val="00E42C18"/>
    <w:rsid w:val="00E42CD0"/>
    <w:rsid w:val="00E46FE6"/>
    <w:rsid w:val="00E4736E"/>
    <w:rsid w:val="00E50B17"/>
    <w:rsid w:val="00E523D6"/>
    <w:rsid w:val="00E52BF1"/>
    <w:rsid w:val="00E52FD3"/>
    <w:rsid w:val="00E57BD8"/>
    <w:rsid w:val="00E6008C"/>
    <w:rsid w:val="00E60AD9"/>
    <w:rsid w:val="00E60BFE"/>
    <w:rsid w:val="00E6186E"/>
    <w:rsid w:val="00E62EF0"/>
    <w:rsid w:val="00E64ACA"/>
    <w:rsid w:val="00E64E8A"/>
    <w:rsid w:val="00E654CA"/>
    <w:rsid w:val="00E65681"/>
    <w:rsid w:val="00E66285"/>
    <w:rsid w:val="00E66314"/>
    <w:rsid w:val="00E7022D"/>
    <w:rsid w:val="00E71E80"/>
    <w:rsid w:val="00E720E4"/>
    <w:rsid w:val="00E725A5"/>
    <w:rsid w:val="00E72AF5"/>
    <w:rsid w:val="00E72D95"/>
    <w:rsid w:val="00E7311E"/>
    <w:rsid w:val="00E75BF7"/>
    <w:rsid w:val="00E75D42"/>
    <w:rsid w:val="00E77020"/>
    <w:rsid w:val="00E772CC"/>
    <w:rsid w:val="00E77E29"/>
    <w:rsid w:val="00E80360"/>
    <w:rsid w:val="00E81800"/>
    <w:rsid w:val="00E8238A"/>
    <w:rsid w:val="00E86079"/>
    <w:rsid w:val="00E86440"/>
    <w:rsid w:val="00E87D7E"/>
    <w:rsid w:val="00E94C22"/>
    <w:rsid w:val="00E95BB6"/>
    <w:rsid w:val="00E96947"/>
    <w:rsid w:val="00E96960"/>
    <w:rsid w:val="00E972DD"/>
    <w:rsid w:val="00EA1D75"/>
    <w:rsid w:val="00EA23D0"/>
    <w:rsid w:val="00EA2565"/>
    <w:rsid w:val="00EA3742"/>
    <w:rsid w:val="00EA631D"/>
    <w:rsid w:val="00EA6680"/>
    <w:rsid w:val="00EA69E2"/>
    <w:rsid w:val="00EA74FF"/>
    <w:rsid w:val="00EB0801"/>
    <w:rsid w:val="00EB09F7"/>
    <w:rsid w:val="00EB1288"/>
    <w:rsid w:val="00EB1806"/>
    <w:rsid w:val="00EB3C28"/>
    <w:rsid w:val="00EB5111"/>
    <w:rsid w:val="00EB5B83"/>
    <w:rsid w:val="00EB6781"/>
    <w:rsid w:val="00EB6E25"/>
    <w:rsid w:val="00EC02FF"/>
    <w:rsid w:val="00EC11D4"/>
    <w:rsid w:val="00EC1591"/>
    <w:rsid w:val="00EC2F6E"/>
    <w:rsid w:val="00EC3F5B"/>
    <w:rsid w:val="00EC406A"/>
    <w:rsid w:val="00EC46CA"/>
    <w:rsid w:val="00EC4FDC"/>
    <w:rsid w:val="00EC671D"/>
    <w:rsid w:val="00EC767A"/>
    <w:rsid w:val="00ED253E"/>
    <w:rsid w:val="00ED28B4"/>
    <w:rsid w:val="00ED2B43"/>
    <w:rsid w:val="00ED3265"/>
    <w:rsid w:val="00ED49B8"/>
    <w:rsid w:val="00ED51CA"/>
    <w:rsid w:val="00ED5DA2"/>
    <w:rsid w:val="00ED5EB3"/>
    <w:rsid w:val="00ED6654"/>
    <w:rsid w:val="00EE1123"/>
    <w:rsid w:val="00EE48E9"/>
    <w:rsid w:val="00EE4AEB"/>
    <w:rsid w:val="00EE4CAA"/>
    <w:rsid w:val="00EE4DA2"/>
    <w:rsid w:val="00EE4E13"/>
    <w:rsid w:val="00EE4F83"/>
    <w:rsid w:val="00EE6294"/>
    <w:rsid w:val="00EE644D"/>
    <w:rsid w:val="00EE677A"/>
    <w:rsid w:val="00EE7F5E"/>
    <w:rsid w:val="00EF0504"/>
    <w:rsid w:val="00EF06B1"/>
    <w:rsid w:val="00EF08B3"/>
    <w:rsid w:val="00EF100D"/>
    <w:rsid w:val="00EF1393"/>
    <w:rsid w:val="00EF13A3"/>
    <w:rsid w:val="00EF3815"/>
    <w:rsid w:val="00EF41C1"/>
    <w:rsid w:val="00EF47AE"/>
    <w:rsid w:val="00EF4BCA"/>
    <w:rsid w:val="00EF78E8"/>
    <w:rsid w:val="00F0201A"/>
    <w:rsid w:val="00F033E8"/>
    <w:rsid w:val="00F036B6"/>
    <w:rsid w:val="00F03DBA"/>
    <w:rsid w:val="00F04B14"/>
    <w:rsid w:val="00F06F75"/>
    <w:rsid w:val="00F07E9E"/>
    <w:rsid w:val="00F10718"/>
    <w:rsid w:val="00F11E64"/>
    <w:rsid w:val="00F137E2"/>
    <w:rsid w:val="00F227C3"/>
    <w:rsid w:val="00F23536"/>
    <w:rsid w:val="00F246A1"/>
    <w:rsid w:val="00F268A2"/>
    <w:rsid w:val="00F27968"/>
    <w:rsid w:val="00F27B04"/>
    <w:rsid w:val="00F3008E"/>
    <w:rsid w:val="00F30499"/>
    <w:rsid w:val="00F30AE7"/>
    <w:rsid w:val="00F319F0"/>
    <w:rsid w:val="00F32A0F"/>
    <w:rsid w:val="00F34742"/>
    <w:rsid w:val="00F35EC2"/>
    <w:rsid w:val="00F41753"/>
    <w:rsid w:val="00F427B4"/>
    <w:rsid w:val="00F42AA9"/>
    <w:rsid w:val="00F45BA4"/>
    <w:rsid w:val="00F46879"/>
    <w:rsid w:val="00F46AFB"/>
    <w:rsid w:val="00F508FD"/>
    <w:rsid w:val="00F512CC"/>
    <w:rsid w:val="00F51386"/>
    <w:rsid w:val="00F5245A"/>
    <w:rsid w:val="00F527B5"/>
    <w:rsid w:val="00F52C59"/>
    <w:rsid w:val="00F52E32"/>
    <w:rsid w:val="00F5372B"/>
    <w:rsid w:val="00F54173"/>
    <w:rsid w:val="00F54857"/>
    <w:rsid w:val="00F55E82"/>
    <w:rsid w:val="00F565C8"/>
    <w:rsid w:val="00F56FFA"/>
    <w:rsid w:val="00F573B2"/>
    <w:rsid w:val="00F61C11"/>
    <w:rsid w:val="00F62C85"/>
    <w:rsid w:val="00F65E7D"/>
    <w:rsid w:val="00F663B6"/>
    <w:rsid w:val="00F66995"/>
    <w:rsid w:val="00F67775"/>
    <w:rsid w:val="00F71603"/>
    <w:rsid w:val="00F71B7E"/>
    <w:rsid w:val="00F72132"/>
    <w:rsid w:val="00F74157"/>
    <w:rsid w:val="00F743CD"/>
    <w:rsid w:val="00F7466D"/>
    <w:rsid w:val="00F7527B"/>
    <w:rsid w:val="00F753C8"/>
    <w:rsid w:val="00F770C6"/>
    <w:rsid w:val="00F77734"/>
    <w:rsid w:val="00F77951"/>
    <w:rsid w:val="00F779A6"/>
    <w:rsid w:val="00F8319C"/>
    <w:rsid w:val="00F84AD4"/>
    <w:rsid w:val="00F85AB5"/>
    <w:rsid w:val="00F90D98"/>
    <w:rsid w:val="00F912CD"/>
    <w:rsid w:val="00F916E5"/>
    <w:rsid w:val="00F92237"/>
    <w:rsid w:val="00F92D3C"/>
    <w:rsid w:val="00F94FB7"/>
    <w:rsid w:val="00F95633"/>
    <w:rsid w:val="00F95F07"/>
    <w:rsid w:val="00F96DB1"/>
    <w:rsid w:val="00F974B7"/>
    <w:rsid w:val="00FA1F3A"/>
    <w:rsid w:val="00FA6565"/>
    <w:rsid w:val="00FB0B28"/>
    <w:rsid w:val="00FB15C4"/>
    <w:rsid w:val="00FB2035"/>
    <w:rsid w:val="00FB2E43"/>
    <w:rsid w:val="00FB4437"/>
    <w:rsid w:val="00FB4CE2"/>
    <w:rsid w:val="00FB584B"/>
    <w:rsid w:val="00FB6765"/>
    <w:rsid w:val="00FB6E96"/>
    <w:rsid w:val="00FB7C5C"/>
    <w:rsid w:val="00FC256D"/>
    <w:rsid w:val="00FC272B"/>
    <w:rsid w:val="00FC423F"/>
    <w:rsid w:val="00FC5230"/>
    <w:rsid w:val="00FC6089"/>
    <w:rsid w:val="00FD0197"/>
    <w:rsid w:val="00FD038F"/>
    <w:rsid w:val="00FD2397"/>
    <w:rsid w:val="00FD2FAC"/>
    <w:rsid w:val="00FD30C9"/>
    <w:rsid w:val="00FD4E45"/>
    <w:rsid w:val="00FD571E"/>
    <w:rsid w:val="00FD5A5A"/>
    <w:rsid w:val="00FD6C49"/>
    <w:rsid w:val="00FD7449"/>
    <w:rsid w:val="00FD79E8"/>
    <w:rsid w:val="00FD7FD4"/>
    <w:rsid w:val="00FE120D"/>
    <w:rsid w:val="00FE5AF9"/>
    <w:rsid w:val="00FE5B12"/>
    <w:rsid w:val="00FE5C07"/>
    <w:rsid w:val="00FE6B8E"/>
    <w:rsid w:val="00FE6C64"/>
    <w:rsid w:val="00FF0399"/>
    <w:rsid w:val="00FF27CC"/>
    <w:rsid w:val="00FF2BB0"/>
    <w:rsid w:val="00FF2C54"/>
    <w:rsid w:val="00FF2EC1"/>
    <w:rsid w:val="00FF3294"/>
    <w:rsid w:val="00FF3C9D"/>
    <w:rsid w:val="00FF3CA6"/>
    <w:rsid w:val="00FF76E3"/>
    <w:rsid w:val="02515BFB"/>
    <w:rsid w:val="04BF358A"/>
    <w:rsid w:val="05C658AE"/>
    <w:rsid w:val="06484D30"/>
    <w:rsid w:val="08274BDD"/>
    <w:rsid w:val="0A0454E4"/>
    <w:rsid w:val="0C03291F"/>
    <w:rsid w:val="0E2A5230"/>
    <w:rsid w:val="0E3E472B"/>
    <w:rsid w:val="0F25318C"/>
    <w:rsid w:val="10FD39C4"/>
    <w:rsid w:val="12C20C34"/>
    <w:rsid w:val="1381012B"/>
    <w:rsid w:val="14E663F7"/>
    <w:rsid w:val="16743355"/>
    <w:rsid w:val="18DD0B8B"/>
    <w:rsid w:val="18FC28D5"/>
    <w:rsid w:val="1AA560A8"/>
    <w:rsid w:val="1B8A5F6D"/>
    <w:rsid w:val="1CF26BD8"/>
    <w:rsid w:val="1DD503D8"/>
    <w:rsid w:val="1E1361D3"/>
    <w:rsid w:val="20E93E14"/>
    <w:rsid w:val="20EA172D"/>
    <w:rsid w:val="21A640C7"/>
    <w:rsid w:val="227F706B"/>
    <w:rsid w:val="233412D9"/>
    <w:rsid w:val="249A133B"/>
    <w:rsid w:val="253B3A73"/>
    <w:rsid w:val="25551BC9"/>
    <w:rsid w:val="25650797"/>
    <w:rsid w:val="28123DA1"/>
    <w:rsid w:val="28A1280D"/>
    <w:rsid w:val="28B60BD0"/>
    <w:rsid w:val="28CE3BDE"/>
    <w:rsid w:val="29BB5270"/>
    <w:rsid w:val="2C1D0F66"/>
    <w:rsid w:val="2CFC0198"/>
    <w:rsid w:val="2DCA4B60"/>
    <w:rsid w:val="3084323D"/>
    <w:rsid w:val="32C52039"/>
    <w:rsid w:val="351F6237"/>
    <w:rsid w:val="381C404E"/>
    <w:rsid w:val="383C4C76"/>
    <w:rsid w:val="389E2A7B"/>
    <w:rsid w:val="39A82ECA"/>
    <w:rsid w:val="3A1E0019"/>
    <w:rsid w:val="40957496"/>
    <w:rsid w:val="409F5F96"/>
    <w:rsid w:val="42434ED9"/>
    <w:rsid w:val="42607843"/>
    <w:rsid w:val="42AD55F7"/>
    <w:rsid w:val="42C33C42"/>
    <w:rsid w:val="43B12BB1"/>
    <w:rsid w:val="47A3647D"/>
    <w:rsid w:val="48A82638"/>
    <w:rsid w:val="49B00543"/>
    <w:rsid w:val="4AB11B7E"/>
    <w:rsid w:val="4B282FF6"/>
    <w:rsid w:val="4BE92450"/>
    <w:rsid w:val="4C6E37DF"/>
    <w:rsid w:val="4DA609CA"/>
    <w:rsid w:val="4F5B6DA6"/>
    <w:rsid w:val="4FD37DF5"/>
    <w:rsid w:val="4FFB34C0"/>
    <w:rsid w:val="5060129E"/>
    <w:rsid w:val="51036FC5"/>
    <w:rsid w:val="519662AC"/>
    <w:rsid w:val="51E11F6A"/>
    <w:rsid w:val="52B24C07"/>
    <w:rsid w:val="550F5BEF"/>
    <w:rsid w:val="555516E9"/>
    <w:rsid w:val="56280052"/>
    <w:rsid w:val="57C6512C"/>
    <w:rsid w:val="59684158"/>
    <w:rsid w:val="5B9404C9"/>
    <w:rsid w:val="5EFD59EE"/>
    <w:rsid w:val="61724524"/>
    <w:rsid w:val="62C47657"/>
    <w:rsid w:val="66270CF6"/>
    <w:rsid w:val="66276940"/>
    <w:rsid w:val="669250FB"/>
    <w:rsid w:val="689C61F9"/>
    <w:rsid w:val="69A35766"/>
    <w:rsid w:val="6A8F51DF"/>
    <w:rsid w:val="6B5E2426"/>
    <w:rsid w:val="6D664E58"/>
    <w:rsid w:val="6F3B10F2"/>
    <w:rsid w:val="70100A5C"/>
    <w:rsid w:val="706202C3"/>
    <w:rsid w:val="708003C8"/>
    <w:rsid w:val="70F06AF5"/>
    <w:rsid w:val="71B81246"/>
    <w:rsid w:val="728D5BA8"/>
    <w:rsid w:val="73AD01B1"/>
    <w:rsid w:val="74422B2C"/>
    <w:rsid w:val="766859FA"/>
    <w:rsid w:val="76EE1E42"/>
    <w:rsid w:val="787C4A86"/>
    <w:rsid w:val="79546568"/>
    <w:rsid w:val="79AA715C"/>
    <w:rsid w:val="79EE71EC"/>
    <w:rsid w:val="7A3D3E5A"/>
    <w:rsid w:val="7A9423A8"/>
    <w:rsid w:val="7AF56F0F"/>
    <w:rsid w:val="7B4231CA"/>
    <w:rsid w:val="7C071BFE"/>
    <w:rsid w:val="7DB13281"/>
    <w:rsid w:val="7DEB290F"/>
    <w:rsid w:val="7E0E55E6"/>
    <w:rsid w:val="7E355268"/>
    <w:rsid w:val="7F161B3F"/>
    <w:rsid w:val="7F3475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2"/>
    <w:qFormat/>
    <w:uiPriority w:val="9"/>
    <w:pPr>
      <w:keepNext/>
      <w:keepLines/>
      <w:spacing w:before="340" w:after="330" w:line="578" w:lineRule="auto"/>
      <w:outlineLvl w:val="0"/>
    </w:pPr>
    <w:rPr>
      <w:rFonts w:eastAsia="楷体_GB2312"/>
      <w:b/>
      <w:kern w:val="44"/>
      <w:sz w:val="44"/>
      <w:szCs w:val="20"/>
    </w:rPr>
  </w:style>
  <w:style w:type="paragraph" w:styleId="3">
    <w:name w:val="heading 2"/>
    <w:basedOn w:val="1"/>
    <w:next w:val="1"/>
    <w:link w:val="63"/>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4">
    <w:name w:val="heading 3"/>
    <w:basedOn w:val="1"/>
    <w:next w:val="1"/>
    <w:link w:val="64"/>
    <w:qFormat/>
    <w:uiPriority w:val="0"/>
    <w:pPr>
      <w:keepNext/>
      <w:keepLines/>
      <w:adjustRightInd w:val="0"/>
      <w:jc w:val="left"/>
      <w:textAlignment w:val="baseline"/>
      <w:outlineLvl w:val="2"/>
    </w:pPr>
    <w:rPr>
      <w:rFonts w:eastAsia="楷体_GB2312"/>
      <w:b/>
      <w:sz w:val="26"/>
      <w:szCs w:val="20"/>
    </w:rPr>
  </w:style>
  <w:style w:type="paragraph" w:styleId="5">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6"/>
    <w:qFormat/>
    <w:uiPriority w:val="0"/>
    <w:pPr>
      <w:keepNext/>
      <w:keepLines/>
      <w:spacing w:before="280" w:after="290" w:line="376" w:lineRule="auto"/>
      <w:outlineLvl w:val="4"/>
    </w:pPr>
    <w:rPr>
      <w:rFonts w:ascii="Calibri" w:hAnsi="Calibri" w:eastAsia="仿宋"/>
      <w:b/>
      <w:bCs/>
      <w:sz w:val="28"/>
      <w:szCs w:val="28"/>
    </w:rPr>
  </w:style>
  <w:style w:type="paragraph" w:styleId="7">
    <w:name w:val="heading 6"/>
    <w:basedOn w:val="1"/>
    <w:next w:val="1"/>
    <w:link w:val="67"/>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68"/>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6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39"/>
    <w:pPr>
      <w:ind w:left="1260"/>
      <w:jc w:val="left"/>
    </w:pPr>
  </w:style>
  <w:style w:type="paragraph" w:styleId="13">
    <w:name w:val="List Number 2"/>
    <w:basedOn w:val="1"/>
    <w:qFormat/>
    <w:uiPriority w:val="0"/>
    <w:pPr>
      <w:tabs>
        <w:tab w:val="left" w:pos="400"/>
        <w:tab w:val="left" w:pos="840"/>
      </w:tabs>
      <w:adjustRightInd w:val="0"/>
      <w:ind w:firstLine="400"/>
      <w:jc w:val="left"/>
    </w:pPr>
    <w:rPr>
      <w:kern w:val="0"/>
    </w:rPr>
  </w:style>
  <w:style w:type="paragraph" w:styleId="14">
    <w:name w:val="List Number"/>
    <w:basedOn w:val="1"/>
    <w:link w:val="161"/>
    <w:qFormat/>
    <w:uiPriority w:val="0"/>
    <w:pPr>
      <w:widowControl/>
      <w:tabs>
        <w:tab w:val="left" w:pos="400"/>
      </w:tabs>
      <w:adjustRightInd w:val="0"/>
      <w:ind w:firstLine="400"/>
      <w:jc w:val="left"/>
    </w:pPr>
    <w:rPr>
      <w:rFonts w:ascii="宋体"/>
      <w:kern w:val="0"/>
    </w:rPr>
  </w:style>
  <w:style w:type="paragraph" w:styleId="15">
    <w:name w:val="Normal Indent"/>
    <w:basedOn w:val="1"/>
    <w:link w:val="71"/>
    <w:qFormat/>
    <w:uiPriority w:val="0"/>
    <w:pPr>
      <w:adjustRightInd w:val="0"/>
      <w:spacing w:line="360" w:lineRule="atLeast"/>
      <w:ind w:firstLine="482"/>
      <w:textAlignment w:val="baseline"/>
    </w:pPr>
    <w:rPr>
      <w:kern w:val="0"/>
      <w:sz w:val="24"/>
    </w:rPr>
  </w:style>
  <w:style w:type="paragraph" w:styleId="16">
    <w:name w:val="caption"/>
    <w:basedOn w:val="1"/>
    <w:next w:val="1"/>
    <w:qFormat/>
    <w:uiPriority w:val="0"/>
    <w:rPr>
      <w:rFonts w:ascii="Cambria" w:hAnsi="Cambria" w:eastAsia="黑体"/>
      <w:sz w:val="20"/>
      <w:szCs w:val="20"/>
    </w:rPr>
  </w:style>
  <w:style w:type="paragraph" w:styleId="17">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18">
    <w:name w:val="Document Map"/>
    <w:basedOn w:val="1"/>
    <w:link w:val="220"/>
    <w:qFormat/>
    <w:uiPriority w:val="0"/>
    <w:pPr>
      <w:shd w:val="clear" w:color="auto" w:fill="000080"/>
    </w:pPr>
  </w:style>
  <w:style w:type="paragraph" w:styleId="19">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0">
    <w:name w:val="annotation text"/>
    <w:basedOn w:val="1"/>
    <w:link w:val="216"/>
    <w:unhideWhenUsed/>
    <w:qFormat/>
    <w:uiPriority w:val="0"/>
    <w:pPr>
      <w:jc w:val="left"/>
    </w:pPr>
  </w:style>
  <w:style w:type="paragraph" w:styleId="21">
    <w:name w:val="Body Text 3"/>
    <w:basedOn w:val="1"/>
    <w:link w:val="230"/>
    <w:qFormat/>
    <w:uiPriority w:val="0"/>
    <w:rPr>
      <w:rFonts w:ascii="仿宋_GB2312" w:hAnsi="Arial" w:eastAsia="仿宋_GB2312"/>
      <w:sz w:val="32"/>
      <w:szCs w:val="32"/>
    </w:rPr>
  </w:style>
  <w:style w:type="paragraph" w:styleId="22">
    <w:name w:val="Body Text"/>
    <w:basedOn w:val="1"/>
    <w:link w:val="219"/>
    <w:qFormat/>
    <w:uiPriority w:val="0"/>
    <w:rPr>
      <w:rFonts w:ascii="楷体_GB2312" w:hAnsi="Arial" w:eastAsia="楷体_GB2312"/>
      <w:sz w:val="28"/>
      <w:szCs w:val="28"/>
    </w:rPr>
  </w:style>
  <w:style w:type="paragraph" w:styleId="23">
    <w:name w:val="Body Text Indent"/>
    <w:basedOn w:val="1"/>
    <w:link w:val="222"/>
    <w:unhideWhenUsed/>
    <w:qFormat/>
    <w:uiPriority w:val="0"/>
    <w:pPr>
      <w:spacing w:after="120"/>
      <w:ind w:left="420" w:leftChars="200"/>
    </w:pPr>
  </w:style>
  <w:style w:type="paragraph" w:styleId="24">
    <w:name w:val="List Number 3"/>
    <w:basedOn w:val="1"/>
    <w:qFormat/>
    <w:uiPriority w:val="0"/>
    <w:pPr>
      <w:widowControl/>
      <w:tabs>
        <w:tab w:val="left" w:pos="400"/>
        <w:tab w:val="left" w:pos="1260"/>
      </w:tabs>
      <w:ind w:firstLine="400"/>
      <w:jc w:val="left"/>
    </w:pPr>
    <w:rPr>
      <w:rFonts w:ascii="宋体"/>
      <w:kern w:val="0"/>
    </w:rPr>
  </w:style>
  <w:style w:type="paragraph" w:styleId="25">
    <w:name w:val="List 2"/>
    <w:basedOn w:val="1"/>
    <w:qFormat/>
    <w:uiPriority w:val="0"/>
    <w:pPr>
      <w:ind w:left="100" w:leftChars="200" w:hanging="200" w:hangingChars="200"/>
    </w:pPr>
  </w:style>
  <w:style w:type="paragraph" w:styleId="26">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7">
    <w:name w:val="List Bullet 2"/>
    <w:basedOn w:val="1"/>
    <w:qFormat/>
    <w:uiPriority w:val="0"/>
    <w:pPr>
      <w:numPr>
        <w:ilvl w:val="0"/>
        <w:numId w:val="1"/>
      </w:numPr>
      <w:tabs>
        <w:tab w:val="left" w:pos="780"/>
      </w:tabs>
      <w:contextualSpacing/>
    </w:pPr>
    <w:rPr>
      <w:szCs w:val="24"/>
    </w:rPr>
  </w:style>
  <w:style w:type="paragraph" w:styleId="28">
    <w:name w:val="toc 5"/>
    <w:basedOn w:val="1"/>
    <w:next w:val="1"/>
    <w:qFormat/>
    <w:uiPriority w:val="39"/>
    <w:pPr>
      <w:ind w:left="840"/>
      <w:jc w:val="left"/>
    </w:pPr>
  </w:style>
  <w:style w:type="paragraph" w:styleId="2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30">
    <w:name w:val="Plain Text"/>
    <w:basedOn w:val="1"/>
    <w:link w:val="81"/>
    <w:qFormat/>
    <w:uiPriority w:val="0"/>
    <w:rPr>
      <w:rFonts w:ascii="宋体" w:hAnsi="Courier New" w:cs="Courier New"/>
    </w:rPr>
  </w:style>
  <w:style w:type="paragraph" w:styleId="31">
    <w:name w:val="toc 8"/>
    <w:basedOn w:val="1"/>
    <w:next w:val="1"/>
    <w:qFormat/>
    <w:uiPriority w:val="39"/>
    <w:pPr>
      <w:ind w:left="1470"/>
      <w:jc w:val="left"/>
    </w:pPr>
  </w:style>
  <w:style w:type="paragraph" w:styleId="32">
    <w:name w:val="Date"/>
    <w:basedOn w:val="1"/>
    <w:next w:val="1"/>
    <w:link w:val="221"/>
    <w:qFormat/>
    <w:uiPriority w:val="0"/>
    <w:rPr>
      <w:sz w:val="24"/>
      <w:szCs w:val="24"/>
    </w:rPr>
  </w:style>
  <w:style w:type="paragraph" w:styleId="33">
    <w:name w:val="Body Text Indent 2"/>
    <w:basedOn w:val="1"/>
    <w:link w:val="229"/>
    <w:qFormat/>
    <w:uiPriority w:val="0"/>
    <w:pPr>
      <w:ind w:left="630" w:firstLine="645"/>
    </w:pPr>
    <w:rPr>
      <w:rFonts w:ascii="Arial" w:hAnsi="Arial" w:eastAsia="仿宋_GB2312" w:cs="Arial"/>
      <w:sz w:val="32"/>
      <w:szCs w:val="32"/>
    </w:rPr>
  </w:style>
  <w:style w:type="paragraph" w:styleId="34">
    <w:name w:val="Balloon Text"/>
    <w:basedOn w:val="1"/>
    <w:link w:val="215"/>
    <w:qFormat/>
    <w:uiPriority w:val="0"/>
    <w:rPr>
      <w:sz w:val="18"/>
      <w:szCs w:val="18"/>
    </w:rPr>
  </w:style>
  <w:style w:type="paragraph" w:styleId="35">
    <w:name w:val="footer"/>
    <w:basedOn w:val="1"/>
    <w:link w:val="79"/>
    <w:unhideWhenUsed/>
    <w:qFormat/>
    <w:uiPriority w:val="99"/>
    <w:pPr>
      <w:tabs>
        <w:tab w:val="center" w:pos="4153"/>
        <w:tab w:val="right" w:pos="8306"/>
      </w:tabs>
      <w:snapToGrid w:val="0"/>
      <w:jc w:val="left"/>
    </w:pPr>
    <w:rPr>
      <w:sz w:val="18"/>
      <w:szCs w:val="18"/>
    </w:rPr>
  </w:style>
  <w:style w:type="paragraph" w:styleId="36">
    <w:name w:val="header"/>
    <w:basedOn w:val="1"/>
    <w:link w:val="78"/>
    <w:unhideWhenUsed/>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link w:val="107"/>
    <w:qFormat/>
    <w:uiPriority w:val="0"/>
    <w:pPr>
      <w:spacing w:before="360"/>
      <w:jc w:val="left"/>
    </w:pPr>
    <w:rPr>
      <w:rFonts w:ascii="Arial" w:hAnsi="Arial" w:cs="Arial"/>
      <w:b/>
      <w:bCs/>
      <w:caps/>
      <w:sz w:val="24"/>
    </w:rPr>
  </w:style>
  <w:style w:type="paragraph" w:styleId="38">
    <w:name w:val="toc 4"/>
    <w:basedOn w:val="1"/>
    <w:next w:val="1"/>
    <w:qFormat/>
    <w:uiPriority w:val="39"/>
    <w:pPr>
      <w:ind w:left="630"/>
      <w:jc w:val="left"/>
    </w:pPr>
  </w:style>
  <w:style w:type="paragraph" w:styleId="39">
    <w:name w:val="Subtitle"/>
    <w:basedOn w:val="1"/>
    <w:next w:val="1"/>
    <w:link w:val="228"/>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0">
    <w:name w:val="List"/>
    <w:basedOn w:val="1"/>
    <w:qFormat/>
    <w:uiPriority w:val="0"/>
    <w:pPr>
      <w:ind w:left="200" w:hanging="200" w:hangingChars="200"/>
    </w:pPr>
  </w:style>
  <w:style w:type="paragraph" w:styleId="41">
    <w:name w:val="toc 6"/>
    <w:basedOn w:val="1"/>
    <w:next w:val="1"/>
    <w:qFormat/>
    <w:uiPriority w:val="39"/>
    <w:pPr>
      <w:ind w:left="1050"/>
      <w:jc w:val="left"/>
    </w:pPr>
  </w:style>
  <w:style w:type="paragraph" w:styleId="42">
    <w:name w:val="Body Text Indent 3"/>
    <w:basedOn w:val="1"/>
    <w:link w:val="218"/>
    <w:qFormat/>
    <w:uiPriority w:val="0"/>
    <w:pPr>
      <w:ind w:left="645" w:firstLine="645"/>
    </w:pPr>
    <w:rPr>
      <w:rFonts w:ascii="Arial" w:hAnsi="Arial" w:eastAsia="仿宋_GB2312" w:cs="Arial"/>
      <w:color w:val="FFFF00"/>
      <w:sz w:val="32"/>
      <w:szCs w:val="32"/>
    </w:rPr>
  </w:style>
  <w:style w:type="paragraph" w:styleId="43">
    <w:name w:val="table of figures"/>
    <w:basedOn w:val="1"/>
    <w:next w:val="1"/>
    <w:semiHidden/>
    <w:qFormat/>
    <w:uiPriority w:val="0"/>
    <w:pPr>
      <w:ind w:left="840" w:hanging="420"/>
    </w:pPr>
  </w:style>
  <w:style w:type="paragraph" w:styleId="44">
    <w:name w:val="toc 2"/>
    <w:basedOn w:val="1"/>
    <w:next w:val="1"/>
    <w:qFormat/>
    <w:uiPriority w:val="0"/>
    <w:pPr>
      <w:spacing w:before="240"/>
      <w:jc w:val="left"/>
    </w:pPr>
    <w:rPr>
      <w:b/>
      <w:bCs/>
      <w:sz w:val="20"/>
      <w:szCs w:val="20"/>
    </w:rPr>
  </w:style>
  <w:style w:type="paragraph" w:styleId="45">
    <w:name w:val="toc 9"/>
    <w:basedOn w:val="1"/>
    <w:next w:val="1"/>
    <w:qFormat/>
    <w:uiPriority w:val="39"/>
    <w:pPr>
      <w:ind w:left="1680"/>
      <w:jc w:val="left"/>
    </w:pPr>
  </w:style>
  <w:style w:type="paragraph" w:styleId="46">
    <w:name w:val="Body Text 2"/>
    <w:basedOn w:val="1"/>
    <w:link w:val="227"/>
    <w:qFormat/>
    <w:uiPriority w:val="0"/>
    <w:pPr>
      <w:widowControl/>
      <w:jc w:val="center"/>
    </w:pPr>
    <w:rPr>
      <w:rFonts w:ascii="楷体_GB2312" w:eastAsia="楷体_GB2312"/>
      <w:sz w:val="28"/>
      <w:szCs w:val="28"/>
    </w:rPr>
  </w:style>
  <w:style w:type="paragraph" w:styleId="4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qFormat/>
    <w:uiPriority w:val="0"/>
    <w:pPr>
      <w:spacing w:line="240" w:lineRule="atLeast"/>
    </w:pPr>
    <w:rPr>
      <w:b/>
      <w:bCs/>
    </w:rPr>
  </w:style>
  <w:style w:type="paragraph" w:styleId="49">
    <w:name w:val="Title"/>
    <w:basedOn w:val="1"/>
    <w:next w:val="1"/>
    <w:link w:val="72"/>
    <w:qFormat/>
    <w:uiPriority w:val="0"/>
    <w:pPr>
      <w:spacing w:before="240" w:after="60"/>
      <w:jc w:val="center"/>
      <w:outlineLvl w:val="0"/>
    </w:pPr>
    <w:rPr>
      <w:rFonts w:ascii="Cambria" w:hAnsi="Cambria"/>
      <w:b/>
      <w:bCs/>
      <w:sz w:val="32"/>
      <w:szCs w:val="32"/>
    </w:rPr>
  </w:style>
  <w:style w:type="paragraph" w:styleId="50">
    <w:name w:val="annotation subject"/>
    <w:basedOn w:val="20"/>
    <w:next w:val="20"/>
    <w:link w:val="217"/>
    <w:qFormat/>
    <w:uiPriority w:val="0"/>
    <w:rPr>
      <w:b/>
      <w:bCs/>
    </w:rPr>
  </w:style>
  <w:style w:type="paragraph" w:styleId="51">
    <w:name w:val="Body Text First Indent"/>
    <w:basedOn w:val="1"/>
    <w:link w:val="226"/>
    <w:qFormat/>
    <w:uiPriority w:val="0"/>
    <w:pPr>
      <w:spacing w:line="360" w:lineRule="auto"/>
      <w:ind w:firstLine="200" w:firstLineChars="200"/>
    </w:pPr>
    <w:rPr>
      <w:rFonts w:ascii="仿宋_GB2312" w:eastAsia="仿宋_GB2312"/>
      <w:sz w:val="30"/>
      <w:szCs w:val="30"/>
    </w:rPr>
  </w:style>
  <w:style w:type="paragraph" w:styleId="52">
    <w:name w:val="Body Text First Indent 2"/>
    <w:basedOn w:val="23"/>
    <w:link w:val="223"/>
    <w:qFormat/>
    <w:uiPriority w:val="0"/>
    <w:pPr>
      <w:spacing w:after="0" w:line="360" w:lineRule="auto"/>
      <w:ind w:left="0" w:leftChars="0" w:firstLine="420" w:firstLineChars="200"/>
    </w:pPr>
    <w:rPr>
      <w:rFonts w:ascii="宋体" w:hAnsi="宋体"/>
      <w:szCs w:val="20"/>
    </w:rPr>
  </w:style>
  <w:style w:type="table" w:styleId="54">
    <w:name w:val="Table Grid"/>
    <w:basedOn w:val="5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99"/>
    <w:rPr>
      <w:color w:val="800080"/>
      <w:u w:val="single"/>
    </w:rPr>
  </w:style>
  <w:style w:type="character" w:styleId="59">
    <w:name w:val="Emphasis"/>
    <w:qFormat/>
    <w:uiPriority w:val="0"/>
    <w:rPr>
      <w:rFonts w:ascii="Arial" w:hAnsi="Arial"/>
      <w:b/>
      <w:spacing w:val="-10"/>
      <w:sz w:val="18"/>
      <w:lang w:eastAsia="zh-CN"/>
    </w:rPr>
  </w:style>
  <w:style w:type="character" w:styleId="60">
    <w:name w:val="Hyperlink"/>
    <w:qFormat/>
    <w:uiPriority w:val="99"/>
    <w:rPr>
      <w:color w:val="0000FF"/>
      <w:u w:val="single"/>
    </w:rPr>
  </w:style>
  <w:style w:type="character" w:styleId="61">
    <w:name w:val="annotation reference"/>
    <w:qFormat/>
    <w:uiPriority w:val="0"/>
    <w:rPr>
      <w:sz w:val="21"/>
      <w:szCs w:val="21"/>
    </w:rPr>
  </w:style>
  <w:style w:type="character" w:customStyle="1" w:styleId="62">
    <w:name w:val="标题 1 Char"/>
    <w:basedOn w:val="55"/>
    <w:link w:val="2"/>
    <w:qFormat/>
    <w:uiPriority w:val="9"/>
    <w:rPr>
      <w:rFonts w:eastAsia="楷体_GB2312"/>
      <w:b/>
      <w:kern w:val="44"/>
      <w:sz w:val="44"/>
    </w:rPr>
  </w:style>
  <w:style w:type="character" w:customStyle="1" w:styleId="63">
    <w:name w:val="标题 2 Char"/>
    <w:basedOn w:val="55"/>
    <w:link w:val="3"/>
    <w:qFormat/>
    <w:uiPriority w:val="0"/>
    <w:rPr>
      <w:rFonts w:ascii="宋体" w:hAnsi="宋体" w:eastAsia="楷体_GB2312"/>
      <w:b/>
      <w:kern w:val="2"/>
      <w:sz w:val="26"/>
    </w:rPr>
  </w:style>
  <w:style w:type="character" w:customStyle="1" w:styleId="64">
    <w:name w:val="标题 3 Char"/>
    <w:basedOn w:val="55"/>
    <w:link w:val="4"/>
    <w:qFormat/>
    <w:uiPriority w:val="0"/>
    <w:rPr>
      <w:rFonts w:eastAsia="楷体_GB2312"/>
      <w:b/>
      <w:kern w:val="2"/>
      <w:sz w:val="26"/>
    </w:rPr>
  </w:style>
  <w:style w:type="character" w:customStyle="1" w:styleId="65">
    <w:name w:val="标题 4 Char"/>
    <w:basedOn w:val="55"/>
    <w:link w:val="5"/>
    <w:qFormat/>
    <w:uiPriority w:val="0"/>
    <w:rPr>
      <w:rFonts w:ascii="Arial" w:hAnsi="Arial" w:eastAsia="黑体"/>
      <w:b/>
      <w:bCs/>
      <w:kern w:val="2"/>
      <w:sz w:val="28"/>
      <w:szCs w:val="28"/>
    </w:rPr>
  </w:style>
  <w:style w:type="character" w:customStyle="1" w:styleId="66">
    <w:name w:val="标题 5 Char"/>
    <w:basedOn w:val="55"/>
    <w:link w:val="6"/>
    <w:qFormat/>
    <w:uiPriority w:val="0"/>
    <w:rPr>
      <w:rFonts w:ascii="Calibri" w:hAnsi="Calibri" w:eastAsia="仿宋"/>
      <w:b/>
      <w:bCs/>
      <w:kern w:val="2"/>
      <w:sz w:val="28"/>
      <w:szCs w:val="28"/>
    </w:rPr>
  </w:style>
  <w:style w:type="character" w:customStyle="1" w:styleId="67">
    <w:name w:val="标题 6 Char"/>
    <w:basedOn w:val="55"/>
    <w:link w:val="7"/>
    <w:qFormat/>
    <w:uiPriority w:val="0"/>
    <w:rPr>
      <w:rFonts w:ascii="Arial" w:hAnsi="Arial" w:eastAsia="黑体"/>
      <w:b/>
      <w:bCs/>
      <w:kern w:val="2"/>
      <w:sz w:val="24"/>
      <w:szCs w:val="24"/>
    </w:rPr>
  </w:style>
  <w:style w:type="character" w:customStyle="1" w:styleId="68">
    <w:name w:val="标题 7 Char"/>
    <w:basedOn w:val="55"/>
    <w:link w:val="8"/>
    <w:qFormat/>
    <w:uiPriority w:val="0"/>
    <w:rPr>
      <w:b/>
      <w:bCs/>
      <w:kern w:val="2"/>
      <w:sz w:val="24"/>
      <w:szCs w:val="24"/>
    </w:rPr>
  </w:style>
  <w:style w:type="character" w:customStyle="1" w:styleId="69">
    <w:name w:val="标题 8 Char"/>
    <w:basedOn w:val="55"/>
    <w:link w:val="9"/>
    <w:qFormat/>
    <w:uiPriority w:val="0"/>
    <w:rPr>
      <w:rFonts w:ascii="Arial" w:hAnsi="Arial" w:eastAsia="黑体"/>
      <w:kern w:val="2"/>
      <w:sz w:val="24"/>
      <w:szCs w:val="24"/>
    </w:rPr>
  </w:style>
  <w:style w:type="character" w:customStyle="1" w:styleId="70">
    <w:name w:val="标题 9 Char"/>
    <w:basedOn w:val="55"/>
    <w:link w:val="10"/>
    <w:qFormat/>
    <w:uiPriority w:val="0"/>
    <w:rPr>
      <w:rFonts w:ascii="Arial" w:hAnsi="Arial" w:eastAsia="黑体"/>
      <w:kern w:val="2"/>
      <w:sz w:val="21"/>
      <w:szCs w:val="21"/>
    </w:rPr>
  </w:style>
  <w:style w:type="character" w:customStyle="1" w:styleId="71">
    <w:name w:val="正文缩进 Char"/>
    <w:link w:val="15"/>
    <w:qFormat/>
    <w:uiPriority w:val="99"/>
    <w:rPr>
      <w:sz w:val="24"/>
      <w:szCs w:val="24"/>
    </w:rPr>
  </w:style>
  <w:style w:type="character" w:customStyle="1" w:styleId="72">
    <w:name w:val="标题 Char"/>
    <w:basedOn w:val="55"/>
    <w:link w:val="49"/>
    <w:qFormat/>
    <w:uiPriority w:val="0"/>
    <w:rPr>
      <w:rFonts w:ascii="Cambria" w:hAnsi="Cambria"/>
      <w:b/>
      <w:bCs/>
      <w:kern w:val="2"/>
      <w:sz w:val="32"/>
      <w:szCs w:val="32"/>
    </w:rPr>
  </w:style>
  <w:style w:type="paragraph" w:styleId="73">
    <w:name w:val="No Spacing"/>
    <w:link w:val="74"/>
    <w:qFormat/>
    <w:uiPriority w:val="0"/>
    <w:rPr>
      <w:rFonts w:ascii="Calibri" w:hAnsi="Calibri" w:eastAsia="宋体" w:cs="Times New Roman"/>
      <w:sz w:val="22"/>
      <w:szCs w:val="22"/>
      <w:lang w:val="en-US" w:eastAsia="zh-CN" w:bidi="ar-SA"/>
    </w:rPr>
  </w:style>
  <w:style w:type="character" w:customStyle="1" w:styleId="74">
    <w:name w:val="无间隔 Char"/>
    <w:basedOn w:val="55"/>
    <w:link w:val="73"/>
    <w:qFormat/>
    <w:uiPriority w:val="0"/>
    <w:rPr>
      <w:rFonts w:ascii="Calibri" w:hAnsi="Calibri"/>
      <w:sz w:val="22"/>
      <w:szCs w:val="22"/>
    </w:rPr>
  </w:style>
  <w:style w:type="paragraph" w:styleId="75">
    <w:name w:val="List Paragraph"/>
    <w:basedOn w:val="1"/>
    <w:link w:val="571"/>
    <w:qFormat/>
    <w:uiPriority w:val="34"/>
    <w:pPr>
      <w:ind w:firstLine="420" w:firstLineChars="200"/>
    </w:pPr>
    <w:rPr>
      <w:rFonts w:ascii="Calibri" w:hAnsi="Calibri"/>
      <w:szCs w:val="22"/>
    </w:rPr>
  </w:style>
  <w:style w:type="paragraph" w:customStyle="1" w:styleId="76">
    <w:name w:val="TOC 标题1"/>
    <w:basedOn w:val="2"/>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77">
    <w:name w:val="列出段落3"/>
    <w:basedOn w:val="1"/>
    <w:qFormat/>
    <w:uiPriority w:val="0"/>
    <w:pPr>
      <w:ind w:firstLine="420" w:firstLineChars="200"/>
    </w:pPr>
    <w:rPr>
      <w:rFonts w:ascii="Calibri" w:hAnsi="Calibri"/>
      <w:kern w:val="0"/>
      <w:sz w:val="20"/>
      <w:szCs w:val="20"/>
    </w:rPr>
  </w:style>
  <w:style w:type="character" w:customStyle="1" w:styleId="78">
    <w:name w:val="页眉 Char"/>
    <w:basedOn w:val="55"/>
    <w:link w:val="36"/>
    <w:qFormat/>
    <w:uiPriority w:val="0"/>
    <w:rPr>
      <w:kern w:val="2"/>
      <w:sz w:val="18"/>
      <w:szCs w:val="18"/>
    </w:rPr>
  </w:style>
  <w:style w:type="character" w:customStyle="1" w:styleId="79">
    <w:name w:val="页脚 Char"/>
    <w:basedOn w:val="55"/>
    <w:link w:val="35"/>
    <w:qFormat/>
    <w:uiPriority w:val="99"/>
    <w:rPr>
      <w:kern w:val="2"/>
      <w:sz w:val="18"/>
      <w:szCs w:val="18"/>
    </w:rPr>
  </w:style>
  <w:style w:type="character" w:customStyle="1" w:styleId="80">
    <w:name w:val="书籍标题1"/>
    <w:qFormat/>
    <w:uiPriority w:val="0"/>
    <w:rPr>
      <w:i/>
      <w:iCs/>
      <w:smallCaps/>
      <w:spacing w:val="5"/>
    </w:rPr>
  </w:style>
  <w:style w:type="character" w:customStyle="1" w:styleId="81">
    <w:name w:val="纯文本 Char"/>
    <w:link w:val="30"/>
    <w:qFormat/>
    <w:uiPriority w:val="0"/>
    <w:rPr>
      <w:rFonts w:ascii="宋体" w:hAnsi="Courier New" w:cs="Courier New"/>
      <w:kern w:val="2"/>
      <w:sz w:val="21"/>
      <w:szCs w:val="21"/>
    </w:rPr>
  </w:style>
  <w:style w:type="character" w:customStyle="1" w:styleId="82">
    <w:name w:val="日期 Char"/>
    <w:qFormat/>
    <w:uiPriority w:val="0"/>
    <w:rPr>
      <w:kern w:val="2"/>
      <w:sz w:val="24"/>
      <w:szCs w:val="24"/>
    </w:rPr>
  </w:style>
  <w:style w:type="character" w:customStyle="1" w:styleId="83">
    <w:name w:val="二级目录 Char"/>
    <w:link w:val="84"/>
    <w:qFormat/>
    <w:uiPriority w:val="0"/>
    <w:rPr>
      <w:b/>
      <w:kern w:val="2"/>
      <w:sz w:val="30"/>
      <w:szCs w:val="28"/>
    </w:rPr>
  </w:style>
  <w:style w:type="paragraph" w:customStyle="1" w:styleId="84">
    <w:name w:val="二级目录"/>
    <w:next w:val="1"/>
    <w:link w:val="83"/>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85">
    <w:name w:val="Char Char"/>
    <w:qFormat/>
    <w:uiPriority w:val="0"/>
    <w:rPr>
      <w:rFonts w:ascii="Times New Roman" w:hAnsi="Times New Roman" w:eastAsia="宋体"/>
      <w:kern w:val="2"/>
      <w:sz w:val="21"/>
      <w:szCs w:val="22"/>
      <w:lang w:val="en-US" w:eastAsia="zh-CN" w:bidi="ar-SA"/>
    </w:rPr>
  </w:style>
  <w:style w:type="character" w:customStyle="1" w:styleId="86">
    <w:name w:val="rainbow_normallink"/>
    <w:qFormat/>
    <w:uiPriority w:val="0"/>
  </w:style>
  <w:style w:type="character" w:customStyle="1" w:styleId="87">
    <w:name w:val="a0031"/>
    <w:qFormat/>
    <w:uiPriority w:val="0"/>
    <w:rPr>
      <w:rFonts w:hint="default" w:ascii="ˎ̥" w:hAnsi="ˎ̥"/>
      <w:color w:val="000000"/>
      <w:sz w:val="18"/>
      <w:szCs w:val="18"/>
    </w:rPr>
  </w:style>
  <w:style w:type="character" w:customStyle="1" w:styleId="88">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89">
    <w:name w:val="批注主题 Char"/>
    <w:qFormat/>
    <w:uiPriority w:val="0"/>
    <w:rPr>
      <w:b/>
      <w:bCs/>
      <w:kern w:val="2"/>
      <w:sz w:val="21"/>
      <w:szCs w:val="21"/>
    </w:rPr>
  </w:style>
  <w:style w:type="character" w:customStyle="1" w:styleId="90">
    <w:name w:val="页眉 Char1"/>
    <w:semiHidden/>
    <w:qFormat/>
    <w:uiPriority w:val="99"/>
    <w:rPr>
      <w:rFonts w:ascii="Times New Roman" w:hAnsi="Times New Roman" w:eastAsia="宋体" w:cs="Times New Roman"/>
      <w:sz w:val="18"/>
      <w:szCs w:val="18"/>
    </w:rPr>
  </w:style>
  <w:style w:type="character" w:customStyle="1" w:styleId="91">
    <w:name w:val="正文文本缩进 2 Char1"/>
    <w:semiHidden/>
    <w:qFormat/>
    <w:uiPriority w:val="99"/>
    <w:rPr>
      <w:rFonts w:ascii="Times New Roman" w:hAnsi="Times New Roman" w:eastAsia="宋体" w:cs="Times New Roman"/>
      <w:szCs w:val="24"/>
    </w:rPr>
  </w:style>
  <w:style w:type="character" w:customStyle="1" w:styleId="92">
    <w:name w:val="Item List Char"/>
    <w:link w:val="93"/>
    <w:qFormat/>
    <w:uiPriority w:val="0"/>
    <w:rPr>
      <w:rFonts w:ascii="Arial" w:hAnsi="Arial"/>
      <w:sz w:val="21"/>
      <w:szCs w:val="21"/>
    </w:rPr>
  </w:style>
  <w:style w:type="paragraph" w:customStyle="1" w:styleId="93">
    <w:name w:val="Item List"/>
    <w:link w:val="92"/>
    <w:qFormat/>
    <w:uiPriority w:val="0"/>
    <w:pPr>
      <w:numPr>
        <w:ilvl w:val="0"/>
        <w:numId w:val="2"/>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94">
    <w:name w:val="Figure Description Char"/>
    <w:link w:val="95"/>
    <w:qFormat/>
    <w:uiPriority w:val="0"/>
    <w:rPr>
      <w:rFonts w:ascii="Arial" w:hAnsi="Arial" w:eastAsia="黑体"/>
      <w:sz w:val="18"/>
      <w:szCs w:val="18"/>
    </w:rPr>
  </w:style>
  <w:style w:type="paragraph" w:customStyle="1" w:styleId="95">
    <w:name w:val="Figure Description"/>
    <w:next w:val="1"/>
    <w:link w:val="94"/>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96">
    <w:name w:val="五级标题 Char"/>
    <w:link w:val="97"/>
    <w:qFormat/>
    <w:uiPriority w:val="0"/>
    <w:rPr>
      <w:rFonts w:ascii="Calibri" w:hAnsi="Calibri"/>
      <w:b/>
      <w:kern w:val="2"/>
      <w:sz w:val="24"/>
      <w:szCs w:val="22"/>
    </w:rPr>
  </w:style>
  <w:style w:type="paragraph" w:customStyle="1" w:styleId="97">
    <w:name w:val="五级标题"/>
    <w:basedOn w:val="1"/>
    <w:link w:val="96"/>
    <w:qFormat/>
    <w:uiPriority w:val="0"/>
    <w:pPr>
      <w:spacing w:line="360" w:lineRule="auto"/>
    </w:pPr>
    <w:rPr>
      <w:rFonts w:ascii="Calibri" w:hAnsi="Calibri"/>
      <w:b/>
      <w:sz w:val="24"/>
      <w:szCs w:val="22"/>
    </w:rPr>
  </w:style>
  <w:style w:type="character" w:customStyle="1" w:styleId="98">
    <w:name w:val="style251"/>
    <w:qFormat/>
    <w:uiPriority w:val="0"/>
    <w:rPr>
      <w:sz w:val="20"/>
      <w:szCs w:val="20"/>
    </w:rPr>
  </w:style>
  <w:style w:type="character" w:customStyle="1" w:styleId="99">
    <w:name w:val="ssss Char1"/>
    <w:link w:val="100"/>
    <w:qFormat/>
    <w:uiPriority w:val="0"/>
    <w:rPr>
      <w:kern w:val="2"/>
      <w:sz w:val="24"/>
      <w:szCs w:val="24"/>
    </w:rPr>
  </w:style>
  <w:style w:type="paragraph" w:customStyle="1" w:styleId="100">
    <w:name w:val="ssss"/>
    <w:basedOn w:val="1"/>
    <w:link w:val="99"/>
    <w:qFormat/>
    <w:uiPriority w:val="0"/>
    <w:pPr>
      <w:spacing w:line="360" w:lineRule="auto"/>
      <w:ind w:firstLine="480" w:firstLineChars="200"/>
    </w:pPr>
    <w:rPr>
      <w:sz w:val="24"/>
      <w:szCs w:val="24"/>
    </w:rPr>
  </w:style>
  <w:style w:type="character" w:customStyle="1" w:styleId="101">
    <w:name w:val="Char Char38"/>
    <w:qFormat/>
    <w:uiPriority w:val="0"/>
    <w:rPr>
      <w:rFonts w:eastAsia="宋体"/>
      <w:b/>
      <w:bCs/>
      <w:spacing w:val="-20"/>
      <w:kern w:val="2"/>
      <w:sz w:val="21"/>
      <w:szCs w:val="24"/>
      <w:lang w:val="en-US" w:eastAsia="zh-CN" w:bidi="ar-SA"/>
    </w:rPr>
  </w:style>
  <w:style w:type="character" w:customStyle="1" w:styleId="102">
    <w:name w:val="二级标题 Char"/>
    <w:link w:val="103"/>
    <w:qFormat/>
    <w:uiPriority w:val="0"/>
    <w:rPr>
      <w:rFonts w:ascii="Calibri" w:hAnsi="Calibri"/>
      <w:b/>
      <w:kern w:val="2"/>
      <w:sz w:val="24"/>
      <w:szCs w:val="22"/>
    </w:rPr>
  </w:style>
  <w:style w:type="paragraph" w:customStyle="1" w:styleId="103">
    <w:name w:val="二级标题"/>
    <w:basedOn w:val="1"/>
    <w:link w:val="102"/>
    <w:qFormat/>
    <w:uiPriority w:val="0"/>
    <w:pPr>
      <w:spacing w:line="360" w:lineRule="auto"/>
    </w:pPr>
    <w:rPr>
      <w:rFonts w:ascii="Calibri" w:hAnsi="Calibri"/>
      <w:b/>
      <w:sz w:val="24"/>
      <w:szCs w:val="22"/>
    </w:rPr>
  </w:style>
  <w:style w:type="character" w:customStyle="1" w:styleId="104">
    <w:name w:val="titletext11"/>
    <w:qFormat/>
    <w:uiPriority w:val="0"/>
    <w:rPr>
      <w:b/>
      <w:bCs/>
      <w:color w:val="C50B1E"/>
    </w:rPr>
  </w:style>
  <w:style w:type="character" w:customStyle="1" w:styleId="105">
    <w:name w:val="titletext2s1"/>
    <w:qFormat/>
    <w:uiPriority w:val="0"/>
    <w:rPr>
      <w:b/>
      <w:bCs/>
      <w:color w:val="000000"/>
    </w:rPr>
  </w:style>
  <w:style w:type="character" w:customStyle="1" w:styleId="106">
    <w:name w:val="明显参考1"/>
    <w:qFormat/>
    <w:uiPriority w:val="0"/>
    <w:rPr>
      <w:smallCaps/>
      <w:spacing w:val="5"/>
      <w:u w:val="single"/>
    </w:rPr>
  </w:style>
  <w:style w:type="character" w:customStyle="1" w:styleId="107">
    <w:name w:val="目录 1 Char"/>
    <w:link w:val="37"/>
    <w:qFormat/>
    <w:uiPriority w:val="0"/>
    <w:rPr>
      <w:rFonts w:ascii="Arial" w:hAnsi="Arial" w:cs="Arial"/>
      <w:b/>
      <w:bCs/>
      <w:caps/>
      <w:kern w:val="2"/>
      <w:sz w:val="24"/>
      <w:szCs w:val="24"/>
    </w:rPr>
  </w:style>
  <w:style w:type="character" w:customStyle="1" w:styleId="108">
    <w:name w:val="标题 Char1"/>
    <w:qFormat/>
    <w:uiPriority w:val="10"/>
    <w:rPr>
      <w:rFonts w:ascii="Cambria" w:hAnsi="Cambria" w:eastAsia="宋体" w:cs="Times New Roman"/>
      <w:b/>
      <w:bCs/>
      <w:sz w:val="32"/>
      <w:szCs w:val="32"/>
    </w:rPr>
  </w:style>
  <w:style w:type="character" w:customStyle="1" w:styleId="109">
    <w:name w:val="Table Text Char"/>
    <w:link w:val="110"/>
    <w:qFormat/>
    <w:locked/>
    <w:uiPriority w:val="0"/>
    <w:rPr>
      <w:rFonts w:ascii="Arial" w:hAnsi="Arial"/>
      <w:color w:val="000000"/>
      <w:kern w:val="2"/>
      <w:sz w:val="18"/>
      <w:szCs w:val="21"/>
    </w:rPr>
  </w:style>
  <w:style w:type="paragraph" w:customStyle="1" w:styleId="110">
    <w:name w:val="Table Text"/>
    <w:basedOn w:val="1"/>
    <w:link w:val="109"/>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11">
    <w:name w:val="Table Text Char1 Char"/>
    <w:qFormat/>
    <w:uiPriority w:val="0"/>
    <w:rPr>
      <w:rFonts w:eastAsia="宋体"/>
      <w:sz w:val="21"/>
      <w:szCs w:val="24"/>
      <w:lang w:val="en-US" w:eastAsia="zh-CN" w:bidi="ar-SA"/>
    </w:rPr>
  </w:style>
  <w:style w:type="character" w:customStyle="1" w:styleId="112">
    <w:name w:val="正文缩进2格 Char"/>
    <w:link w:val="113"/>
    <w:qFormat/>
    <w:uiPriority w:val="0"/>
    <w:rPr>
      <w:rFonts w:ascii="仿宋_GB2312" w:hAnsi="宋体" w:eastAsia="仿宋_GB2312"/>
      <w:kern w:val="2"/>
      <w:sz w:val="31"/>
      <w:szCs w:val="28"/>
    </w:rPr>
  </w:style>
  <w:style w:type="paragraph" w:customStyle="1" w:styleId="113">
    <w:name w:val="正文缩进2格"/>
    <w:basedOn w:val="1"/>
    <w:link w:val="112"/>
    <w:qFormat/>
    <w:uiPriority w:val="0"/>
    <w:pPr>
      <w:spacing w:line="600" w:lineRule="exact"/>
      <w:ind w:firstLine="639" w:firstLineChars="206"/>
    </w:pPr>
    <w:rPr>
      <w:rFonts w:ascii="仿宋_GB2312" w:hAnsi="宋体" w:eastAsia="仿宋_GB2312"/>
      <w:sz w:val="31"/>
      <w:szCs w:val="28"/>
    </w:rPr>
  </w:style>
  <w:style w:type="character" w:customStyle="1" w:styleId="114">
    <w:name w:val="明显引用 Char"/>
    <w:qFormat/>
    <w:uiPriority w:val="0"/>
    <w:rPr>
      <w:rFonts w:ascii="宋体" w:hAnsi="Calibri"/>
      <w:b/>
      <w:bCs/>
      <w:i/>
      <w:iCs/>
      <w:sz w:val="24"/>
      <w:szCs w:val="24"/>
      <w:lang w:eastAsia="en-US" w:bidi="en-US"/>
    </w:rPr>
  </w:style>
  <w:style w:type="paragraph" w:styleId="115">
    <w:name w:val="Intense Quote"/>
    <w:basedOn w:val="1"/>
    <w:next w:val="1"/>
    <w:link w:val="502"/>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16">
    <w:name w:val="question-title2"/>
    <w:qFormat/>
    <w:uiPriority w:val="0"/>
  </w:style>
  <w:style w:type="character" w:customStyle="1" w:styleId="117">
    <w:name w:val="tt21"/>
    <w:qFormat/>
    <w:uiPriority w:val="0"/>
    <w:rPr>
      <w:rFonts w:ascii="宋体" w:hAnsi="宋体"/>
      <w:b/>
      <w:bCs/>
      <w:sz w:val="32"/>
      <w:szCs w:val="18"/>
    </w:rPr>
  </w:style>
  <w:style w:type="character" w:customStyle="1" w:styleId="118">
    <w:name w:val="标题 6 字符"/>
    <w:qFormat/>
    <w:uiPriority w:val="9"/>
    <w:rPr>
      <w:rFonts w:ascii="等线 Light" w:hAnsi="等线 Light" w:eastAsia="等线 Light"/>
      <w:b/>
      <w:bCs/>
      <w:kern w:val="2"/>
      <w:sz w:val="24"/>
      <w:szCs w:val="24"/>
    </w:rPr>
  </w:style>
  <w:style w:type="character" w:customStyle="1" w:styleId="119">
    <w:name w:val="页脚 字符"/>
    <w:qFormat/>
    <w:uiPriority w:val="99"/>
    <w:rPr>
      <w:rFonts w:ascii="Times New Roman" w:hAnsi="Times New Roman"/>
      <w:kern w:val="2"/>
      <w:sz w:val="18"/>
      <w:szCs w:val="18"/>
    </w:rPr>
  </w:style>
  <w:style w:type="character" w:customStyle="1" w:styleId="120">
    <w:name w:val="样式5 Char"/>
    <w:link w:val="121"/>
    <w:qFormat/>
    <w:uiPriority w:val="0"/>
    <w:rPr>
      <w:rFonts w:ascii="Cambria" w:hAnsi="Cambria"/>
      <w:b/>
      <w:bCs/>
      <w:sz w:val="26"/>
      <w:szCs w:val="26"/>
      <w:lang w:eastAsia="en-US" w:bidi="en-US"/>
    </w:rPr>
  </w:style>
  <w:style w:type="paragraph" w:customStyle="1" w:styleId="121">
    <w:name w:val="样式5"/>
    <w:basedOn w:val="122"/>
    <w:link w:val="120"/>
    <w:qFormat/>
    <w:uiPriority w:val="0"/>
    <w:pPr>
      <w:numPr>
        <w:numId w:val="0"/>
      </w:numPr>
      <w:tabs>
        <w:tab w:val="left" w:pos="420"/>
      </w:tabs>
    </w:pPr>
  </w:style>
  <w:style w:type="paragraph" w:customStyle="1" w:styleId="122">
    <w:name w:val="样式4"/>
    <w:basedOn w:val="15"/>
    <w:link w:val="128"/>
    <w:qFormat/>
    <w:uiPriority w:val="0"/>
    <w:pPr>
      <w:widowControl/>
      <w:numPr>
        <w:ilvl w:val="0"/>
        <w:numId w:val="3"/>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23">
    <w:name w:val="四级标题 Char"/>
    <w:link w:val="124"/>
    <w:qFormat/>
    <w:uiPriority w:val="0"/>
    <w:rPr>
      <w:rFonts w:ascii="Calibri" w:hAnsi="Calibri"/>
      <w:b/>
      <w:kern w:val="2"/>
      <w:sz w:val="24"/>
      <w:szCs w:val="22"/>
    </w:rPr>
  </w:style>
  <w:style w:type="paragraph" w:customStyle="1" w:styleId="124">
    <w:name w:val="四级标题"/>
    <w:basedOn w:val="1"/>
    <w:link w:val="123"/>
    <w:qFormat/>
    <w:uiPriority w:val="0"/>
    <w:pPr>
      <w:spacing w:line="360" w:lineRule="auto"/>
    </w:pPr>
    <w:rPr>
      <w:rFonts w:ascii="Calibri" w:hAnsi="Calibri"/>
      <w:b/>
      <w:sz w:val="24"/>
      <w:szCs w:val="22"/>
    </w:rPr>
  </w:style>
  <w:style w:type="character" w:customStyle="1" w:styleId="125">
    <w:name w:val="html_tag1"/>
    <w:qFormat/>
    <w:uiPriority w:val="0"/>
    <w:rPr>
      <w:color w:val="0000FF"/>
    </w:rPr>
  </w:style>
  <w:style w:type="character" w:customStyle="1" w:styleId="126">
    <w:name w:val="text4"/>
    <w:qFormat/>
    <w:uiPriority w:val="0"/>
  </w:style>
  <w:style w:type="character" w:customStyle="1" w:styleId="127">
    <w:name w:val="批注框文本 Char1"/>
    <w:qFormat/>
    <w:uiPriority w:val="99"/>
    <w:rPr>
      <w:kern w:val="2"/>
      <w:sz w:val="18"/>
      <w:szCs w:val="18"/>
    </w:rPr>
  </w:style>
  <w:style w:type="character" w:customStyle="1" w:styleId="128">
    <w:name w:val="样式4 Char"/>
    <w:link w:val="122"/>
    <w:qFormat/>
    <w:uiPriority w:val="0"/>
    <w:rPr>
      <w:rFonts w:ascii="Cambria" w:hAnsi="Cambria"/>
      <w:b/>
      <w:bCs/>
      <w:sz w:val="26"/>
      <w:szCs w:val="26"/>
      <w:lang w:eastAsia="en-US" w:bidi="en-US"/>
    </w:rPr>
  </w:style>
  <w:style w:type="character" w:customStyle="1" w:styleId="129">
    <w:name w:val="正文首行缩进 2 Char"/>
    <w:qFormat/>
    <w:uiPriority w:val="0"/>
    <w:rPr>
      <w:rFonts w:ascii="宋体" w:hAnsi="宋体"/>
      <w:kern w:val="2"/>
      <w:sz w:val="21"/>
    </w:rPr>
  </w:style>
  <w:style w:type="character" w:customStyle="1" w:styleId="130">
    <w:name w:val="正文 1 Char Char"/>
    <w:link w:val="131"/>
    <w:qFormat/>
    <w:uiPriority w:val="0"/>
    <w:rPr>
      <w:rFonts w:ascii="宋体" w:hAnsi="宋体"/>
      <w:color w:val="000000"/>
      <w:sz w:val="24"/>
      <w:szCs w:val="24"/>
    </w:rPr>
  </w:style>
  <w:style w:type="paragraph" w:customStyle="1" w:styleId="131">
    <w:name w:val="正文 1 Char"/>
    <w:basedOn w:val="1"/>
    <w:link w:val="130"/>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32">
    <w:name w:val="明显强调1"/>
    <w:qFormat/>
    <w:uiPriority w:val="0"/>
    <w:rPr>
      <w:b/>
      <w:bCs/>
    </w:rPr>
  </w:style>
  <w:style w:type="character" w:customStyle="1" w:styleId="133">
    <w:name w:val="明显引用 Char1"/>
    <w:qFormat/>
    <w:uiPriority w:val="30"/>
    <w:rPr>
      <w:rFonts w:ascii="Times New Roman" w:hAnsi="Times New Roman" w:eastAsia="宋体" w:cs="Times New Roman"/>
      <w:b/>
      <w:bCs/>
      <w:i/>
      <w:iCs/>
      <w:color w:val="4F81BD"/>
      <w:szCs w:val="24"/>
    </w:rPr>
  </w:style>
  <w:style w:type="character" w:customStyle="1" w:styleId="134">
    <w:name w:val="title-061"/>
    <w:qFormat/>
    <w:uiPriority w:val="0"/>
    <w:rPr>
      <w:rFonts w:hint="default" w:ascii="Arial" w:hAnsi="Arial" w:cs="Arial"/>
      <w:b/>
      <w:bCs/>
      <w:color w:val="545CFF"/>
      <w:sz w:val="17"/>
      <w:szCs w:val="17"/>
    </w:rPr>
  </w:style>
  <w:style w:type="character" w:customStyle="1" w:styleId="135">
    <w:name w:val="标题 3.1 Char"/>
    <w:link w:val="136"/>
    <w:qFormat/>
    <w:locked/>
    <w:uiPriority w:val="0"/>
    <w:rPr>
      <w:rFonts w:ascii="宋体" w:hAnsi="宋体"/>
      <w:b/>
      <w:bCs/>
      <w:color w:val="000000"/>
      <w:kern w:val="2"/>
      <w:sz w:val="32"/>
      <w:szCs w:val="32"/>
    </w:rPr>
  </w:style>
  <w:style w:type="paragraph" w:customStyle="1" w:styleId="136">
    <w:name w:val="标题 3.1"/>
    <w:basedOn w:val="4"/>
    <w:link w:val="135"/>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37">
    <w:name w:val="普通文字 Char Char1"/>
    <w:qFormat/>
    <w:uiPriority w:val="0"/>
    <w:rPr>
      <w:rFonts w:ascii="宋体" w:hAnsi="Courier New" w:cs="Courier New"/>
      <w:kern w:val="2"/>
      <w:sz w:val="21"/>
      <w:szCs w:val="21"/>
    </w:rPr>
  </w:style>
  <w:style w:type="character" w:customStyle="1" w:styleId="138">
    <w:name w:val="引用 Char"/>
    <w:qFormat/>
    <w:uiPriority w:val="29"/>
    <w:rPr>
      <w:rFonts w:ascii="宋体" w:hAnsi="Calibri"/>
      <w:i/>
      <w:iCs/>
      <w:sz w:val="24"/>
      <w:szCs w:val="24"/>
      <w:lang w:eastAsia="en-US" w:bidi="en-US"/>
    </w:rPr>
  </w:style>
  <w:style w:type="paragraph" w:styleId="139">
    <w:name w:val="Quote"/>
    <w:basedOn w:val="1"/>
    <w:next w:val="1"/>
    <w:link w:val="315"/>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0">
    <w:name w:val="font5 Char"/>
    <w:qFormat/>
    <w:uiPriority w:val="0"/>
    <w:rPr>
      <w:rFonts w:ascii="宋体" w:hAnsi="宋体" w:eastAsia="宋体"/>
      <w:sz w:val="28"/>
      <w:szCs w:val="28"/>
      <w:lang w:val="en-US" w:eastAsia="zh-CN" w:bidi="ar-SA"/>
    </w:rPr>
  </w:style>
  <w:style w:type="character" w:customStyle="1" w:styleId="141">
    <w:name w:val="样式 ssss + 宋体 五号1 Char"/>
    <w:link w:val="142"/>
    <w:qFormat/>
    <w:uiPriority w:val="0"/>
    <w:rPr>
      <w:rFonts w:ascii="宋体" w:hAnsi="宋体"/>
      <w:kern w:val="2"/>
      <w:sz w:val="24"/>
      <w:szCs w:val="24"/>
    </w:rPr>
  </w:style>
  <w:style w:type="paragraph" w:customStyle="1" w:styleId="142">
    <w:name w:val="样式 ssss + 宋体 五号1"/>
    <w:basedOn w:val="100"/>
    <w:link w:val="141"/>
    <w:qFormat/>
    <w:uiPriority w:val="0"/>
    <w:rPr>
      <w:rFonts w:ascii="宋体" w:hAnsi="宋体"/>
    </w:rPr>
  </w:style>
  <w:style w:type="character" w:customStyle="1" w:styleId="143">
    <w:name w:val="样式7 Char"/>
    <w:link w:val="144"/>
    <w:qFormat/>
    <w:uiPriority w:val="0"/>
    <w:rPr>
      <w:rFonts w:ascii="Cambria" w:hAnsi="Cambria"/>
      <w:b/>
      <w:bCs/>
      <w:sz w:val="24"/>
      <w:szCs w:val="24"/>
      <w:lang w:eastAsia="en-US" w:bidi="en-US"/>
    </w:rPr>
  </w:style>
  <w:style w:type="paragraph" w:customStyle="1" w:styleId="144">
    <w:name w:val="样式7"/>
    <w:basedOn w:val="4"/>
    <w:link w:val="143"/>
    <w:qFormat/>
    <w:uiPriority w:val="0"/>
    <w:pPr>
      <w:keepNext w:val="0"/>
      <w:keepLines w:val="0"/>
      <w:widowControl/>
      <w:numPr>
        <w:ilvl w:val="0"/>
        <w:numId w:val="4"/>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45">
    <w:name w:val="阴影"/>
    <w:qFormat/>
    <w:uiPriority w:val="0"/>
    <w:rPr>
      <w:color w:val="0000FF"/>
      <w:shd w:val="pct10" w:color="auto" w:fill="auto"/>
    </w:rPr>
  </w:style>
  <w:style w:type="character" w:customStyle="1" w:styleId="146">
    <w:name w:val="Char Char36"/>
    <w:qFormat/>
    <w:uiPriority w:val="0"/>
    <w:rPr>
      <w:rFonts w:eastAsia="宋体"/>
      <w:kern w:val="2"/>
      <w:sz w:val="24"/>
      <w:lang w:val="en-US" w:eastAsia="zh-CN" w:bidi="ar-SA"/>
    </w:rPr>
  </w:style>
  <w:style w:type="character" w:customStyle="1" w:styleId="147">
    <w:name w:val="nei_title1"/>
    <w:qFormat/>
    <w:uiPriority w:val="0"/>
    <w:rPr>
      <w:b/>
      <w:bCs/>
      <w:color w:val="CC0000"/>
    </w:rPr>
  </w:style>
  <w:style w:type="character" w:customStyle="1" w:styleId="148">
    <w:name w:val="apple-converted-space"/>
    <w:basedOn w:val="55"/>
    <w:qFormat/>
    <w:uiPriority w:val="0"/>
  </w:style>
  <w:style w:type="character" w:customStyle="1" w:styleId="149">
    <w:name w:val="font21"/>
    <w:qFormat/>
    <w:uiPriority w:val="0"/>
    <w:rPr>
      <w:rFonts w:hint="eastAsia" w:ascii="微软雅黑" w:hAnsi="微软雅黑" w:eastAsia="微软雅黑" w:cs="微软雅黑"/>
      <w:b/>
      <w:color w:val="FF0000"/>
      <w:sz w:val="16"/>
      <w:szCs w:val="16"/>
      <w:u w:val="none"/>
    </w:rPr>
  </w:style>
  <w:style w:type="character" w:customStyle="1" w:styleId="150">
    <w:name w:val="批注框文本 Char"/>
    <w:qFormat/>
    <w:uiPriority w:val="0"/>
    <w:rPr>
      <w:kern w:val="2"/>
      <w:sz w:val="18"/>
      <w:szCs w:val="18"/>
    </w:rPr>
  </w:style>
  <w:style w:type="character" w:customStyle="1" w:styleId="151">
    <w:name w:val="正文文本 2 Char"/>
    <w:qFormat/>
    <w:uiPriority w:val="0"/>
    <w:rPr>
      <w:rFonts w:ascii="楷体_GB2312" w:eastAsia="楷体_GB2312"/>
      <w:kern w:val="2"/>
      <w:sz w:val="28"/>
      <w:szCs w:val="28"/>
    </w:rPr>
  </w:style>
  <w:style w:type="character" w:customStyle="1" w:styleId="152">
    <w:name w:val="subheader1"/>
    <w:qFormat/>
    <w:uiPriority w:val="0"/>
    <w:rPr>
      <w:rFonts w:hint="default" w:ascii="Arial" w:hAnsi="Arial" w:cs="Arial"/>
      <w:b/>
      <w:bCs/>
      <w:color w:val="003366"/>
      <w:sz w:val="17"/>
      <w:szCs w:val="17"/>
    </w:rPr>
  </w:style>
  <w:style w:type="character" w:customStyle="1" w:styleId="153">
    <w:name w:val="正文标准 Char"/>
    <w:link w:val="154"/>
    <w:qFormat/>
    <w:uiPriority w:val="0"/>
    <w:rPr>
      <w:kern w:val="2"/>
      <w:sz w:val="24"/>
      <w:szCs w:val="21"/>
    </w:rPr>
  </w:style>
  <w:style w:type="paragraph" w:customStyle="1" w:styleId="154">
    <w:name w:val="正文标准"/>
    <w:basedOn w:val="1"/>
    <w:link w:val="153"/>
    <w:qFormat/>
    <w:uiPriority w:val="0"/>
    <w:pPr>
      <w:spacing w:line="360" w:lineRule="auto"/>
      <w:ind w:firstLine="200" w:firstLineChars="200"/>
    </w:pPr>
    <w:rPr>
      <w:sz w:val="24"/>
    </w:rPr>
  </w:style>
  <w:style w:type="character" w:customStyle="1" w:styleId="155">
    <w:name w:val="批注文字 Char"/>
    <w:qFormat/>
    <w:uiPriority w:val="0"/>
    <w:rPr>
      <w:kern w:val="2"/>
      <w:sz w:val="21"/>
      <w:szCs w:val="21"/>
    </w:rPr>
  </w:style>
  <w:style w:type="character" w:customStyle="1" w:styleId="156">
    <w:name w:val="正文文本缩进 3 Char"/>
    <w:qFormat/>
    <w:uiPriority w:val="0"/>
    <w:rPr>
      <w:rFonts w:ascii="Arial" w:hAnsi="Arial" w:eastAsia="仿宋_GB2312" w:cs="Arial"/>
      <w:color w:val="FFFF00"/>
      <w:kern w:val="2"/>
      <w:sz w:val="32"/>
      <w:szCs w:val="32"/>
    </w:rPr>
  </w:style>
  <w:style w:type="character" w:customStyle="1" w:styleId="157">
    <w:name w:val="列出段落 Char"/>
    <w:link w:val="158"/>
    <w:qFormat/>
    <w:locked/>
    <w:uiPriority w:val="34"/>
    <w:rPr>
      <w:rFonts w:ascii="Calibri" w:hAnsi="Calibri"/>
      <w:sz w:val="24"/>
      <w:szCs w:val="24"/>
      <w:lang w:eastAsia="en-US" w:bidi="en-US"/>
    </w:rPr>
  </w:style>
  <w:style w:type="paragraph" w:customStyle="1" w:styleId="158">
    <w:name w:val="列出段落11"/>
    <w:basedOn w:val="1"/>
    <w:link w:val="157"/>
    <w:qFormat/>
    <w:uiPriority w:val="34"/>
    <w:pPr>
      <w:widowControl/>
      <w:ind w:left="720"/>
      <w:contextualSpacing/>
      <w:jc w:val="left"/>
    </w:pPr>
    <w:rPr>
      <w:rFonts w:ascii="Calibri" w:hAnsi="Calibri"/>
      <w:kern w:val="0"/>
      <w:sz w:val="24"/>
      <w:szCs w:val="24"/>
      <w:lang w:eastAsia="en-US" w:bidi="en-US"/>
    </w:rPr>
  </w:style>
  <w:style w:type="character" w:customStyle="1" w:styleId="159">
    <w:name w:val="No Spacing Char"/>
    <w:link w:val="160"/>
    <w:qFormat/>
    <w:uiPriority w:val="0"/>
    <w:rPr>
      <w:rFonts w:ascii="Calibri" w:hAnsi="Calibri" w:eastAsia="Calibri"/>
      <w:sz w:val="22"/>
      <w:szCs w:val="22"/>
    </w:rPr>
  </w:style>
  <w:style w:type="paragraph" w:customStyle="1" w:styleId="160">
    <w:name w:val="No Spacing1"/>
    <w:basedOn w:val="1"/>
    <w:link w:val="159"/>
    <w:qFormat/>
    <w:uiPriority w:val="0"/>
    <w:pPr>
      <w:widowControl/>
      <w:jc w:val="left"/>
    </w:pPr>
    <w:rPr>
      <w:rFonts w:ascii="Calibri" w:hAnsi="Calibri" w:eastAsia="Calibri"/>
      <w:kern w:val="0"/>
      <w:sz w:val="22"/>
      <w:szCs w:val="22"/>
    </w:rPr>
  </w:style>
  <w:style w:type="character" w:customStyle="1" w:styleId="161">
    <w:name w:val="列表编号 Char"/>
    <w:link w:val="14"/>
    <w:qFormat/>
    <w:uiPriority w:val="0"/>
    <w:rPr>
      <w:rFonts w:ascii="宋体"/>
      <w:sz w:val="21"/>
      <w:szCs w:val="21"/>
    </w:rPr>
  </w:style>
  <w:style w:type="character" w:customStyle="1" w:styleId="162">
    <w:name w:val="样式1 Char Char"/>
    <w:qFormat/>
    <w:uiPriority w:val="0"/>
    <w:rPr>
      <w:rFonts w:ascii="宋体" w:hAnsi="宋体" w:eastAsia="宋体" w:cs="Times New Roman"/>
      <w:snapToGrid/>
      <w:kern w:val="2"/>
      <w:sz w:val="28"/>
      <w:szCs w:val="24"/>
    </w:rPr>
  </w:style>
  <w:style w:type="character" w:customStyle="1" w:styleId="163">
    <w:name w:val="Char Char34"/>
    <w:qFormat/>
    <w:uiPriority w:val="0"/>
    <w:rPr>
      <w:rFonts w:ascii="Calibri" w:eastAsia="宋体"/>
      <w:b/>
      <w:bCs/>
      <w:i/>
      <w:iCs/>
      <w:kern w:val="2"/>
      <w:sz w:val="26"/>
      <w:szCs w:val="26"/>
      <w:lang w:val="en-US" w:eastAsia="zh-CN" w:bidi="ar-SA"/>
    </w:rPr>
  </w:style>
  <w:style w:type="character" w:customStyle="1" w:styleId="164">
    <w:name w:val="不明显参考1"/>
    <w:qFormat/>
    <w:uiPriority w:val="31"/>
    <w:rPr>
      <w:smallCaps/>
    </w:rPr>
  </w:style>
  <w:style w:type="character" w:customStyle="1" w:styleId="165">
    <w:name w:val="zw1"/>
    <w:qFormat/>
    <w:uiPriority w:val="0"/>
    <w:rPr>
      <w:color w:val="000000"/>
      <w:sz w:val="20"/>
      <w:szCs w:val="20"/>
      <w:u w:val="none"/>
    </w:rPr>
  </w:style>
  <w:style w:type="character" w:customStyle="1" w:styleId="166">
    <w:name w:val="FA正文 Char"/>
    <w:link w:val="167"/>
    <w:qFormat/>
    <w:uiPriority w:val="0"/>
    <w:rPr>
      <w:rFonts w:ascii="宋体" w:hAnsi="宋体"/>
      <w:kern w:val="2"/>
      <w:sz w:val="28"/>
      <w:szCs w:val="28"/>
    </w:rPr>
  </w:style>
  <w:style w:type="paragraph" w:customStyle="1" w:styleId="167">
    <w:name w:val="FA正文"/>
    <w:basedOn w:val="1"/>
    <w:link w:val="166"/>
    <w:qFormat/>
    <w:uiPriority w:val="0"/>
    <w:pPr>
      <w:tabs>
        <w:tab w:val="left" w:pos="3375"/>
      </w:tabs>
      <w:spacing w:line="440" w:lineRule="atLeast"/>
      <w:ind w:firstLine="538" w:firstLineChars="192"/>
    </w:pPr>
    <w:rPr>
      <w:rFonts w:ascii="宋体" w:hAnsi="宋体"/>
      <w:sz w:val="28"/>
      <w:szCs w:val="28"/>
    </w:rPr>
  </w:style>
  <w:style w:type="character" w:customStyle="1" w:styleId="168">
    <w:name w:val="样式1 Char"/>
    <w:link w:val="169"/>
    <w:qFormat/>
    <w:uiPriority w:val="0"/>
    <w:rPr>
      <w:rFonts w:ascii="宋体" w:hAnsi="宋体"/>
      <w:sz w:val="21"/>
      <w:szCs w:val="21"/>
    </w:rPr>
  </w:style>
  <w:style w:type="paragraph" w:customStyle="1" w:styleId="169">
    <w:name w:val="样式1"/>
    <w:basedOn w:val="1"/>
    <w:link w:val="168"/>
    <w:qFormat/>
    <w:uiPriority w:val="0"/>
    <w:pPr>
      <w:numPr>
        <w:ilvl w:val="0"/>
        <w:numId w:val="5"/>
      </w:numPr>
      <w:adjustRightInd w:val="0"/>
      <w:textAlignment w:val="baseline"/>
    </w:pPr>
    <w:rPr>
      <w:rFonts w:ascii="宋体" w:hAnsi="宋体"/>
      <w:kern w:val="0"/>
    </w:rPr>
  </w:style>
  <w:style w:type="character" w:customStyle="1" w:styleId="170">
    <w:name w:val="Char Char35"/>
    <w:qFormat/>
    <w:uiPriority w:val="0"/>
    <w:rPr>
      <w:rFonts w:eastAsia="宋体"/>
      <w:kern w:val="2"/>
      <w:sz w:val="24"/>
      <w:lang w:val="en-US" w:eastAsia="zh-CN" w:bidi="ar-SA"/>
    </w:rPr>
  </w:style>
  <w:style w:type="character" w:customStyle="1" w:styleId="171">
    <w:name w:val="表格 Char Char"/>
    <w:link w:val="172"/>
    <w:qFormat/>
    <w:uiPriority w:val="0"/>
    <w:rPr>
      <w:rFonts w:ascii="Arial" w:hAnsi="Arial"/>
      <w:kern w:val="2"/>
      <w:sz w:val="24"/>
      <w:szCs w:val="24"/>
    </w:rPr>
  </w:style>
  <w:style w:type="paragraph" w:customStyle="1" w:styleId="172">
    <w:name w:val="表格"/>
    <w:basedOn w:val="1"/>
    <w:link w:val="171"/>
    <w:qFormat/>
    <w:uiPriority w:val="0"/>
    <w:rPr>
      <w:rFonts w:ascii="Arial" w:hAnsi="Arial"/>
      <w:sz w:val="24"/>
      <w:szCs w:val="24"/>
    </w:rPr>
  </w:style>
  <w:style w:type="character" w:customStyle="1" w:styleId="173">
    <w:name w:val="副标题 Char"/>
    <w:qFormat/>
    <w:uiPriority w:val="11"/>
    <w:rPr>
      <w:rFonts w:ascii="Cambria" w:hAnsi="Cambria"/>
      <w:i/>
      <w:iCs/>
      <w:spacing w:val="13"/>
      <w:sz w:val="24"/>
      <w:szCs w:val="24"/>
      <w:lang w:eastAsia="en-US" w:bidi="en-US"/>
    </w:rPr>
  </w:style>
  <w:style w:type="character" w:customStyle="1" w:styleId="174">
    <w:name w:val="Table Text Char2"/>
    <w:qFormat/>
    <w:uiPriority w:val="0"/>
    <w:rPr>
      <w:rFonts w:eastAsia="宋体"/>
      <w:b/>
      <w:bCs/>
      <w:sz w:val="21"/>
      <w:szCs w:val="24"/>
      <w:lang w:val="en-US" w:eastAsia="zh-CN" w:bidi="ar-SA"/>
    </w:rPr>
  </w:style>
  <w:style w:type="character" w:customStyle="1" w:styleId="175">
    <w:name w:val="不明显强调1"/>
    <w:qFormat/>
    <w:uiPriority w:val="19"/>
    <w:rPr>
      <w:i/>
      <w:iCs/>
    </w:rPr>
  </w:style>
  <w:style w:type="character" w:customStyle="1" w:styleId="176">
    <w:name w:val="标题3 Char Char"/>
    <w:link w:val="177"/>
    <w:qFormat/>
    <w:uiPriority w:val="0"/>
    <w:rPr>
      <w:rFonts w:ascii="宋体" w:hAnsi="宋体"/>
      <w:b/>
      <w:bCs/>
      <w:kern w:val="2"/>
      <w:sz w:val="28"/>
      <w:szCs w:val="28"/>
    </w:rPr>
  </w:style>
  <w:style w:type="paragraph" w:customStyle="1" w:styleId="177">
    <w:name w:val="标题3 Char"/>
    <w:basedOn w:val="4"/>
    <w:link w:val="176"/>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78">
    <w:name w:val="正文文本缩进 Char"/>
    <w:qFormat/>
    <w:locked/>
    <w:uiPriority w:val="0"/>
    <w:rPr>
      <w:rFonts w:ascii="楷体_GB2312" w:eastAsia="楷体_GB2312"/>
      <w:kern w:val="2"/>
      <w:sz w:val="32"/>
      <w:szCs w:val="32"/>
    </w:rPr>
  </w:style>
  <w:style w:type="character" w:customStyle="1" w:styleId="179">
    <w:name w:val="一级标题 Char"/>
    <w:link w:val="180"/>
    <w:qFormat/>
    <w:uiPriority w:val="0"/>
    <w:rPr>
      <w:b/>
      <w:bCs/>
      <w:kern w:val="44"/>
      <w:sz w:val="32"/>
      <w:szCs w:val="44"/>
    </w:rPr>
  </w:style>
  <w:style w:type="paragraph" w:customStyle="1" w:styleId="180">
    <w:name w:val="一级标题"/>
    <w:basedOn w:val="2"/>
    <w:link w:val="179"/>
    <w:qFormat/>
    <w:uiPriority w:val="0"/>
    <w:pPr>
      <w:spacing w:beforeLines="50" w:after="0" w:line="360" w:lineRule="atLeast"/>
    </w:pPr>
    <w:rPr>
      <w:rFonts w:eastAsia="宋体"/>
      <w:bCs/>
      <w:sz w:val="32"/>
      <w:szCs w:val="44"/>
    </w:rPr>
  </w:style>
  <w:style w:type="character" w:customStyle="1" w:styleId="181">
    <w:name w:val="正文文本 Char1"/>
    <w:semiHidden/>
    <w:qFormat/>
    <w:uiPriority w:val="99"/>
    <w:rPr>
      <w:rFonts w:ascii="Times New Roman" w:hAnsi="Times New Roman" w:eastAsia="宋体" w:cs="Times New Roman"/>
      <w:szCs w:val="24"/>
    </w:rPr>
  </w:style>
  <w:style w:type="character" w:customStyle="1" w:styleId="182">
    <w:name w:val="正文（绿盟科技） Char"/>
    <w:link w:val="183"/>
    <w:qFormat/>
    <w:uiPriority w:val="0"/>
    <w:rPr>
      <w:rFonts w:ascii="Arial" w:hAnsi="Arial"/>
      <w:sz w:val="21"/>
      <w:szCs w:val="21"/>
    </w:rPr>
  </w:style>
  <w:style w:type="paragraph" w:customStyle="1" w:styleId="183">
    <w:name w:val="正文（绿盟科技）"/>
    <w:link w:val="182"/>
    <w:qFormat/>
    <w:uiPriority w:val="0"/>
    <w:pPr>
      <w:spacing w:line="300" w:lineRule="auto"/>
    </w:pPr>
    <w:rPr>
      <w:rFonts w:ascii="Arial" w:hAnsi="Arial" w:eastAsia="宋体" w:cs="Times New Roman"/>
      <w:sz w:val="21"/>
      <w:szCs w:val="21"/>
      <w:lang w:val="en-US" w:eastAsia="zh-CN" w:bidi="ar-SA"/>
    </w:rPr>
  </w:style>
  <w:style w:type="character" w:customStyle="1" w:styleId="184">
    <w:name w:val="A7"/>
    <w:unhideWhenUsed/>
    <w:qFormat/>
    <w:uiPriority w:val="99"/>
    <w:rPr>
      <w:rFonts w:hint="eastAsia" w:ascii="Museo Sans For Dell" w:hAnsi="Museo Sans For Dell" w:eastAsia="Museo Sans For Dell"/>
      <w:color w:val="221E1F"/>
      <w:sz w:val="16"/>
    </w:rPr>
  </w:style>
  <w:style w:type="character" w:customStyle="1" w:styleId="185">
    <w:name w:val="html_txt1"/>
    <w:qFormat/>
    <w:uiPriority w:val="0"/>
    <w:rPr>
      <w:color w:val="000000"/>
    </w:rPr>
  </w:style>
  <w:style w:type="character" w:customStyle="1" w:styleId="186">
    <w:name w:val="word141"/>
    <w:qFormat/>
    <w:uiPriority w:val="0"/>
    <w:rPr>
      <w:color w:val="0066CC"/>
      <w:sz w:val="20"/>
      <w:szCs w:val="20"/>
    </w:rPr>
  </w:style>
  <w:style w:type="character" w:customStyle="1" w:styleId="187">
    <w:name w:val="正文首行缩进 Char"/>
    <w:qFormat/>
    <w:uiPriority w:val="0"/>
    <w:rPr>
      <w:rFonts w:ascii="仿宋_GB2312" w:eastAsia="仿宋_GB2312"/>
      <w:kern w:val="2"/>
      <w:sz w:val="30"/>
      <w:szCs w:val="30"/>
    </w:rPr>
  </w:style>
  <w:style w:type="character" w:customStyle="1" w:styleId="188">
    <w:name w:val="文档结构图 Char"/>
    <w:qFormat/>
    <w:uiPriority w:val="0"/>
    <w:rPr>
      <w:kern w:val="2"/>
      <w:sz w:val="21"/>
      <w:szCs w:val="21"/>
      <w:shd w:val="clear" w:color="auto" w:fill="000080"/>
    </w:rPr>
  </w:style>
  <w:style w:type="character" w:customStyle="1" w:styleId="189">
    <w:name w:val="walkinnet"/>
    <w:qFormat/>
    <w:uiPriority w:val="0"/>
    <w:rPr>
      <w:color w:val="000000"/>
    </w:rPr>
  </w:style>
  <w:style w:type="character" w:customStyle="1" w:styleId="190">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91">
    <w:name w:val="样式6 Char"/>
    <w:link w:val="192"/>
    <w:qFormat/>
    <w:uiPriority w:val="0"/>
    <w:rPr>
      <w:rFonts w:ascii="Cambria" w:hAnsi="Cambria"/>
      <w:b/>
      <w:bCs/>
      <w:sz w:val="26"/>
      <w:szCs w:val="26"/>
      <w:lang w:eastAsia="en-US" w:bidi="en-US"/>
    </w:rPr>
  </w:style>
  <w:style w:type="paragraph" w:customStyle="1" w:styleId="192">
    <w:name w:val="样式6"/>
    <w:basedOn w:val="121"/>
    <w:link w:val="191"/>
    <w:qFormat/>
    <w:uiPriority w:val="0"/>
  </w:style>
  <w:style w:type="character" w:customStyle="1" w:styleId="193">
    <w:name w:val="正文文本 Char"/>
    <w:qFormat/>
    <w:uiPriority w:val="0"/>
    <w:rPr>
      <w:rFonts w:ascii="楷体_GB2312" w:hAnsi="Arial" w:eastAsia="楷体_GB2312"/>
      <w:kern w:val="2"/>
      <w:sz w:val="28"/>
      <w:szCs w:val="28"/>
    </w:rPr>
  </w:style>
  <w:style w:type="character" w:customStyle="1" w:styleId="194">
    <w:name w:val="文档结构图 Char1"/>
    <w:qFormat/>
    <w:uiPriority w:val="99"/>
    <w:rPr>
      <w:rFonts w:ascii="宋体"/>
      <w:kern w:val="2"/>
      <w:sz w:val="18"/>
      <w:szCs w:val="18"/>
    </w:rPr>
  </w:style>
  <w:style w:type="character" w:customStyle="1" w:styleId="195">
    <w:name w:val="页脚 Char1"/>
    <w:semiHidden/>
    <w:qFormat/>
    <w:uiPriority w:val="99"/>
    <w:rPr>
      <w:rFonts w:ascii="Times New Roman" w:hAnsi="Times New Roman" w:eastAsia="宋体" w:cs="Times New Roman"/>
      <w:sz w:val="18"/>
      <w:szCs w:val="18"/>
    </w:rPr>
  </w:style>
  <w:style w:type="character" w:customStyle="1" w:styleId="196">
    <w:name w:val="unnamed1"/>
    <w:qFormat/>
    <w:uiPriority w:val="0"/>
  </w:style>
  <w:style w:type="character" w:customStyle="1" w:styleId="197">
    <w:name w:val="style3"/>
    <w:qFormat/>
    <w:uiPriority w:val="0"/>
  </w:style>
  <w:style w:type="character" w:customStyle="1" w:styleId="198">
    <w:name w:val="Char Char12"/>
    <w:qFormat/>
    <w:uiPriority w:val="0"/>
    <w:rPr>
      <w:rFonts w:ascii="Times New Roman" w:hAnsi="Times New Roman"/>
      <w:b/>
      <w:bCs/>
      <w:iCs/>
      <w:sz w:val="24"/>
      <w:szCs w:val="28"/>
      <w:lang w:eastAsia="zh-CN"/>
    </w:rPr>
  </w:style>
  <w:style w:type="character" w:customStyle="1" w:styleId="199">
    <w:name w:val="页眉 字符"/>
    <w:qFormat/>
    <w:uiPriority w:val="99"/>
    <w:rPr>
      <w:rFonts w:ascii="Times New Roman" w:hAnsi="Times New Roman"/>
      <w:kern w:val="2"/>
      <w:sz w:val="18"/>
      <w:szCs w:val="18"/>
    </w:rPr>
  </w:style>
  <w:style w:type="character" w:customStyle="1" w:styleId="200">
    <w:name w:val="apple-style-span"/>
    <w:basedOn w:val="55"/>
    <w:qFormat/>
    <w:uiPriority w:val="0"/>
  </w:style>
  <w:style w:type="character" w:customStyle="1" w:styleId="201">
    <w:name w:val="about1"/>
    <w:qFormat/>
    <w:uiPriority w:val="0"/>
    <w:rPr>
      <w:rFonts w:hint="default" w:ascii="ˎ̥" w:hAnsi="ˎ̥"/>
      <w:sz w:val="18"/>
      <w:szCs w:val="18"/>
    </w:rPr>
  </w:style>
  <w:style w:type="character" w:customStyle="1" w:styleId="202">
    <w:name w:val="三级标题 Char"/>
    <w:link w:val="203"/>
    <w:qFormat/>
    <w:uiPriority w:val="0"/>
    <w:rPr>
      <w:rFonts w:ascii="Calibri" w:hAnsi="Calibri"/>
      <w:b/>
      <w:kern w:val="2"/>
      <w:sz w:val="24"/>
      <w:szCs w:val="22"/>
    </w:rPr>
  </w:style>
  <w:style w:type="paragraph" w:customStyle="1" w:styleId="203">
    <w:name w:val="三级标题"/>
    <w:basedOn w:val="1"/>
    <w:link w:val="202"/>
    <w:qFormat/>
    <w:uiPriority w:val="0"/>
    <w:pPr>
      <w:spacing w:line="360" w:lineRule="auto"/>
    </w:pPr>
    <w:rPr>
      <w:rFonts w:ascii="Calibri" w:hAnsi="Calibri"/>
      <w:b/>
      <w:sz w:val="24"/>
      <w:szCs w:val="22"/>
    </w:rPr>
  </w:style>
  <w:style w:type="character" w:customStyle="1" w:styleId="204">
    <w:name w:val="正文文本缩进 2 Char"/>
    <w:qFormat/>
    <w:uiPriority w:val="0"/>
    <w:rPr>
      <w:rFonts w:ascii="Arial" w:hAnsi="Arial" w:eastAsia="仿宋_GB2312" w:cs="Arial"/>
      <w:kern w:val="2"/>
      <w:sz w:val="32"/>
      <w:szCs w:val="32"/>
    </w:rPr>
  </w:style>
  <w:style w:type="character" w:customStyle="1" w:styleId="205">
    <w:name w:val="表身 Char Char"/>
    <w:link w:val="206"/>
    <w:qFormat/>
    <w:uiPriority w:val="0"/>
    <w:rPr>
      <w:sz w:val="18"/>
    </w:rPr>
  </w:style>
  <w:style w:type="paragraph" w:customStyle="1" w:styleId="206">
    <w:name w:val="表身 Char"/>
    <w:link w:val="205"/>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07">
    <w:name w:val="style2611"/>
    <w:qFormat/>
    <w:uiPriority w:val="0"/>
    <w:rPr>
      <w:sz w:val="18"/>
      <w:szCs w:val="18"/>
    </w:rPr>
  </w:style>
  <w:style w:type="character" w:customStyle="1" w:styleId="208">
    <w:name w:val="样式2 Char"/>
    <w:link w:val="209"/>
    <w:qFormat/>
    <w:uiPriority w:val="0"/>
    <w:rPr>
      <w:rFonts w:eastAsia="楷体"/>
      <w:b/>
      <w:kern w:val="2"/>
      <w:sz w:val="28"/>
      <w:szCs w:val="28"/>
    </w:rPr>
  </w:style>
  <w:style w:type="paragraph" w:customStyle="1" w:styleId="209">
    <w:name w:val="样式2"/>
    <w:basedOn w:val="7"/>
    <w:link w:val="208"/>
    <w:qFormat/>
    <w:uiPriority w:val="0"/>
    <w:pPr>
      <w:keepLines w:val="0"/>
      <w:spacing w:after="240" w:line="240" w:lineRule="auto"/>
      <w:jc w:val="left"/>
    </w:pPr>
    <w:rPr>
      <w:rFonts w:ascii="Times New Roman" w:hAnsi="Times New Roman" w:eastAsia="楷体"/>
      <w:bCs w:val="0"/>
      <w:sz w:val="28"/>
      <w:szCs w:val="28"/>
    </w:rPr>
  </w:style>
  <w:style w:type="character" w:customStyle="1" w:styleId="210">
    <w:name w:val="v151"/>
    <w:qFormat/>
    <w:uiPriority w:val="0"/>
    <w:rPr>
      <w:sz w:val="18"/>
      <w:szCs w:val="18"/>
    </w:rPr>
  </w:style>
  <w:style w:type="character" w:customStyle="1" w:styleId="211">
    <w:name w:val="font"/>
    <w:qFormat/>
    <w:uiPriority w:val="0"/>
  </w:style>
  <w:style w:type="character" w:customStyle="1" w:styleId="212">
    <w:name w:val="副标题 Char1"/>
    <w:qFormat/>
    <w:uiPriority w:val="0"/>
    <w:rPr>
      <w:rFonts w:ascii="Cambria" w:hAnsi="Cambria" w:cs="Times New Roman"/>
      <w:b/>
      <w:bCs/>
      <w:kern w:val="28"/>
      <w:sz w:val="32"/>
      <w:szCs w:val="32"/>
    </w:rPr>
  </w:style>
  <w:style w:type="character" w:customStyle="1" w:styleId="213">
    <w:name w:val="明显引用 Char2"/>
    <w:qFormat/>
    <w:uiPriority w:val="30"/>
    <w:rPr>
      <w:b/>
      <w:bCs/>
      <w:i/>
      <w:iCs/>
      <w:color w:val="4F81BD"/>
      <w:kern w:val="2"/>
      <w:sz w:val="21"/>
      <w:szCs w:val="21"/>
    </w:rPr>
  </w:style>
  <w:style w:type="character" w:customStyle="1" w:styleId="214">
    <w:name w:val="引用 Char1"/>
    <w:qFormat/>
    <w:uiPriority w:val="29"/>
    <w:rPr>
      <w:i/>
      <w:iCs/>
      <w:color w:val="000000"/>
      <w:kern w:val="2"/>
      <w:sz w:val="21"/>
      <w:szCs w:val="21"/>
    </w:rPr>
  </w:style>
  <w:style w:type="character" w:customStyle="1" w:styleId="215">
    <w:name w:val="批注框文本 Char2"/>
    <w:basedOn w:val="55"/>
    <w:link w:val="34"/>
    <w:semiHidden/>
    <w:qFormat/>
    <w:uiPriority w:val="99"/>
    <w:rPr>
      <w:kern w:val="2"/>
      <w:sz w:val="18"/>
      <w:szCs w:val="18"/>
    </w:rPr>
  </w:style>
  <w:style w:type="character" w:customStyle="1" w:styleId="216">
    <w:name w:val="批注文字 Char1"/>
    <w:basedOn w:val="55"/>
    <w:link w:val="20"/>
    <w:semiHidden/>
    <w:qFormat/>
    <w:uiPriority w:val="99"/>
    <w:rPr>
      <w:kern w:val="2"/>
      <w:sz w:val="21"/>
      <w:szCs w:val="21"/>
    </w:rPr>
  </w:style>
  <w:style w:type="character" w:customStyle="1" w:styleId="217">
    <w:name w:val="批注主题 Char1"/>
    <w:basedOn w:val="216"/>
    <w:link w:val="50"/>
    <w:semiHidden/>
    <w:qFormat/>
    <w:uiPriority w:val="99"/>
    <w:rPr>
      <w:b/>
      <w:bCs/>
      <w:kern w:val="2"/>
      <w:sz w:val="21"/>
      <w:szCs w:val="21"/>
    </w:rPr>
  </w:style>
  <w:style w:type="character" w:customStyle="1" w:styleId="218">
    <w:name w:val="正文文本缩进 3 Char1"/>
    <w:basedOn w:val="55"/>
    <w:link w:val="42"/>
    <w:semiHidden/>
    <w:qFormat/>
    <w:uiPriority w:val="99"/>
    <w:rPr>
      <w:kern w:val="2"/>
      <w:sz w:val="16"/>
      <w:szCs w:val="16"/>
    </w:rPr>
  </w:style>
  <w:style w:type="character" w:customStyle="1" w:styleId="219">
    <w:name w:val="正文文本 Char2"/>
    <w:basedOn w:val="55"/>
    <w:link w:val="22"/>
    <w:semiHidden/>
    <w:qFormat/>
    <w:uiPriority w:val="99"/>
    <w:rPr>
      <w:kern w:val="2"/>
      <w:sz w:val="21"/>
      <w:szCs w:val="21"/>
    </w:rPr>
  </w:style>
  <w:style w:type="character" w:customStyle="1" w:styleId="220">
    <w:name w:val="文档结构图 Char2"/>
    <w:basedOn w:val="55"/>
    <w:link w:val="18"/>
    <w:semiHidden/>
    <w:qFormat/>
    <w:uiPriority w:val="99"/>
    <w:rPr>
      <w:rFonts w:ascii="宋体"/>
      <w:kern w:val="2"/>
      <w:sz w:val="18"/>
      <w:szCs w:val="18"/>
    </w:rPr>
  </w:style>
  <w:style w:type="character" w:customStyle="1" w:styleId="221">
    <w:name w:val="日期 Char1"/>
    <w:basedOn w:val="55"/>
    <w:link w:val="32"/>
    <w:semiHidden/>
    <w:qFormat/>
    <w:uiPriority w:val="99"/>
    <w:rPr>
      <w:kern w:val="2"/>
      <w:sz w:val="21"/>
      <w:szCs w:val="21"/>
    </w:rPr>
  </w:style>
  <w:style w:type="character" w:customStyle="1" w:styleId="222">
    <w:name w:val="正文文本缩进 Char1"/>
    <w:basedOn w:val="55"/>
    <w:link w:val="23"/>
    <w:semiHidden/>
    <w:qFormat/>
    <w:uiPriority w:val="99"/>
    <w:rPr>
      <w:kern w:val="2"/>
      <w:sz w:val="21"/>
      <w:szCs w:val="21"/>
    </w:rPr>
  </w:style>
  <w:style w:type="character" w:customStyle="1" w:styleId="223">
    <w:name w:val="正文首行缩进 2 Char1"/>
    <w:basedOn w:val="222"/>
    <w:link w:val="52"/>
    <w:semiHidden/>
    <w:qFormat/>
    <w:uiPriority w:val="99"/>
    <w:rPr>
      <w:kern w:val="2"/>
      <w:sz w:val="21"/>
      <w:szCs w:val="21"/>
    </w:rPr>
  </w:style>
  <w:style w:type="character" w:customStyle="1" w:styleId="224">
    <w:name w:val="纯文本 Char1"/>
    <w:basedOn w:val="55"/>
    <w:link w:val="225"/>
    <w:qFormat/>
    <w:uiPriority w:val="0"/>
    <w:rPr>
      <w:rFonts w:ascii="宋体" w:hAnsi="Courier New" w:cs="Courier New"/>
      <w:kern w:val="2"/>
      <w:sz w:val="21"/>
      <w:szCs w:val="21"/>
    </w:rPr>
  </w:style>
  <w:style w:type="paragraph" w:customStyle="1" w:styleId="225">
    <w:name w:val="纯文本1"/>
    <w:basedOn w:val="1"/>
    <w:link w:val="224"/>
    <w:qFormat/>
    <w:uiPriority w:val="0"/>
    <w:rPr>
      <w:rFonts w:ascii="宋体" w:hAnsi="Courier New" w:cs="Courier New"/>
    </w:rPr>
  </w:style>
  <w:style w:type="character" w:customStyle="1" w:styleId="226">
    <w:name w:val="正文首行缩进 Char1"/>
    <w:basedOn w:val="219"/>
    <w:link w:val="51"/>
    <w:semiHidden/>
    <w:qFormat/>
    <w:uiPriority w:val="99"/>
    <w:rPr>
      <w:kern w:val="2"/>
      <w:sz w:val="21"/>
      <w:szCs w:val="21"/>
    </w:rPr>
  </w:style>
  <w:style w:type="character" w:customStyle="1" w:styleId="227">
    <w:name w:val="正文文本 2 Char1"/>
    <w:basedOn w:val="55"/>
    <w:link w:val="46"/>
    <w:semiHidden/>
    <w:qFormat/>
    <w:uiPriority w:val="99"/>
    <w:rPr>
      <w:kern w:val="2"/>
      <w:sz w:val="21"/>
      <w:szCs w:val="21"/>
    </w:rPr>
  </w:style>
  <w:style w:type="character" w:customStyle="1" w:styleId="228">
    <w:name w:val="副标题 Char2"/>
    <w:basedOn w:val="55"/>
    <w:link w:val="39"/>
    <w:qFormat/>
    <w:uiPriority w:val="0"/>
    <w:rPr>
      <w:rFonts w:asciiTheme="majorHAnsi" w:hAnsiTheme="majorHAnsi" w:cstheme="majorBidi"/>
      <w:b/>
      <w:bCs/>
      <w:kern w:val="28"/>
      <w:sz w:val="32"/>
      <w:szCs w:val="32"/>
    </w:rPr>
  </w:style>
  <w:style w:type="character" w:customStyle="1" w:styleId="229">
    <w:name w:val="正文文本缩进 2 Char2"/>
    <w:basedOn w:val="55"/>
    <w:link w:val="33"/>
    <w:semiHidden/>
    <w:qFormat/>
    <w:uiPriority w:val="99"/>
    <w:rPr>
      <w:kern w:val="2"/>
      <w:sz w:val="21"/>
      <w:szCs w:val="21"/>
    </w:rPr>
  </w:style>
  <w:style w:type="character" w:customStyle="1" w:styleId="230">
    <w:name w:val="正文文本 3 Char"/>
    <w:basedOn w:val="55"/>
    <w:link w:val="21"/>
    <w:qFormat/>
    <w:uiPriority w:val="0"/>
    <w:rPr>
      <w:rFonts w:ascii="仿宋_GB2312" w:hAnsi="Arial" w:eastAsia="仿宋_GB2312"/>
      <w:kern w:val="2"/>
      <w:sz w:val="32"/>
      <w:szCs w:val="32"/>
    </w:rPr>
  </w:style>
  <w:style w:type="paragraph" w:customStyle="1" w:styleId="231">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3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33">
    <w:name w:val="列表内容"/>
    <w:basedOn w:val="1"/>
    <w:next w:val="1"/>
    <w:qFormat/>
    <w:uiPriority w:val="0"/>
    <w:pPr>
      <w:widowControl/>
      <w:tabs>
        <w:tab w:val="left" w:pos="900"/>
      </w:tabs>
      <w:ind w:left="900" w:hanging="420"/>
      <w:jc w:val="left"/>
    </w:pPr>
    <w:rPr>
      <w:kern w:val="0"/>
      <w:sz w:val="18"/>
      <w:szCs w:val="24"/>
    </w:rPr>
  </w:style>
  <w:style w:type="paragraph" w:customStyle="1" w:styleId="234">
    <w:name w:val="Char Char 字元 字元 字元 Char Char Char Char"/>
    <w:basedOn w:val="1"/>
    <w:qFormat/>
    <w:uiPriority w:val="0"/>
    <w:pPr>
      <w:adjustRightInd w:val="0"/>
      <w:spacing w:line="360" w:lineRule="auto"/>
    </w:pPr>
    <w:rPr>
      <w:kern w:val="0"/>
      <w:sz w:val="24"/>
      <w:szCs w:val="20"/>
    </w:rPr>
  </w:style>
  <w:style w:type="paragraph" w:customStyle="1" w:styleId="235">
    <w:name w:val="Char Char2 Char Char Char Char"/>
    <w:basedOn w:val="1"/>
    <w:qFormat/>
    <w:uiPriority w:val="0"/>
    <w:rPr>
      <w:rFonts w:ascii="Tahoma" w:hAnsi="Tahoma"/>
      <w:sz w:val="24"/>
      <w:szCs w:val="20"/>
    </w:rPr>
  </w:style>
  <w:style w:type="paragraph" w:customStyle="1" w:styleId="236">
    <w:name w:val="_Style 8"/>
    <w:basedOn w:val="1"/>
    <w:qFormat/>
    <w:uiPriority w:val="0"/>
    <w:rPr>
      <w:sz w:val="24"/>
      <w:szCs w:val="20"/>
    </w:rPr>
  </w:style>
  <w:style w:type="paragraph" w:customStyle="1" w:styleId="237">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38">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39">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0">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41">
    <w:name w:val="附录1"/>
    <w:qFormat/>
    <w:uiPriority w:val="0"/>
    <w:pPr>
      <w:numPr>
        <w:ilvl w:val="0"/>
        <w:numId w:val="6"/>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42">
    <w:name w:val="Char Char Char Char Char Char"/>
    <w:basedOn w:val="1"/>
    <w:qFormat/>
    <w:uiPriority w:val="0"/>
    <w:pPr>
      <w:adjustRightInd w:val="0"/>
      <w:spacing w:line="360" w:lineRule="auto"/>
    </w:pPr>
    <w:rPr>
      <w:kern w:val="0"/>
      <w:sz w:val="24"/>
      <w:szCs w:val="20"/>
    </w:rPr>
  </w:style>
  <w:style w:type="paragraph" w:customStyle="1" w:styleId="243">
    <w:name w:val="TableENHyphenBullets_Stibo_Grayed"/>
    <w:basedOn w:val="244"/>
    <w:next w:val="1"/>
    <w:qFormat/>
    <w:uiPriority w:val="0"/>
    <w:pPr>
      <w:tabs>
        <w:tab w:val="left" w:pos="360"/>
        <w:tab w:val="left" w:pos="720"/>
      </w:tabs>
    </w:pPr>
    <w:rPr>
      <w:color w:val="999999"/>
      <w:szCs w:val="20"/>
    </w:rPr>
  </w:style>
  <w:style w:type="paragraph" w:customStyle="1" w:styleId="244">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6">
    <w:name w:val="4"/>
    <w:basedOn w:val="1"/>
    <w:next w:val="42"/>
    <w:qFormat/>
    <w:uiPriority w:val="0"/>
    <w:pPr>
      <w:spacing w:line="360" w:lineRule="auto"/>
      <w:ind w:firstLine="420"/>
    </w:pPr>
    <w:rPr>
      <w:color w:val="FF0000"/>
      <w:sz w:val="24"/>
      <w:szCs w:val="24"/>
    </w:rPr>
  </w:style>
  <w:style w:type="paragraph" w:customStyle="1" w:styleId="24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9">
    <w:name w:val="正文1"/>
    <w:basedOn w:val="1"/>
    <w:qFormat/>
    <w:uiPriority w:val="0"/>
    <w:pPr>
      <w:widowControl/>
      <w:topLinePunct/>
      <w:spacing w:beforeLines="50" w:afterLines="50" w:line="300" w:lineRule="auto"/>
      <w:ind w:left="420"/>
    </w:pPr>
    <w:rPr>
      <w:szCs w:val="24"/>
    </w:rPr>
  </w:style>
  <w:style w:type="paragraph" w:customStyle="1" w:styleId="25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1">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52">
    <w:name w:val="表格标题1"/>
    <w:basedOn w:val="1"/>
    <w:qFormat/>
    <w:uiPriority w:val="0"/>
    <w:pPr>
      <w:spacing w:line="400" w:lineRule="exact"/>
      <w:jc w:val="center"/>
    </w:pPr>
    <w:rPr>
      <w:rFonts w:ascii="Arial" w:hAnsi="Arial" w:cs="宋体"/>
      <w:b/>
      <w:bCs/>
    </w:rPr>
  </w:style>
  <w:style w:type="paragraph" w:customStyle="1" w:styleId="253">
    <w:name w:val="EST-List 8"/>
    <w:basedOn w:val="254"/>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54">
    <w:name w:val="EST-List 7"/>
    <w:basedOn w:val="255"/>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55">
    <w:name w:val="EST-List 6"/>
    <w:basedOn w:val="256"/>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56">
    <w:name w:val="EST-List 5"/>
    <w:basedOn w:val="257"/>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57">
    <w:name w:val="EST-List 4"/>
    <w:basedOn w:val="258"/>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58">
    <w:name w:val="EST-List 3"/>
    <w:basedOn w:val="259"/>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59">
    <w:name w:val="EST-List 2"/>
    <w:basedOn w:val="1"/>
    <w:qFormat/>
    <w:uiPriority w:val="0"/>
    <w:pPr>
      <w:keepLines/>
      <w:widowControl/>
      <w:numPr>
        <w:ilvl w:val="1"/>
        <w:numId w:val="7"/>
      </w:numPr>
      <w:spacing w:before="60" w:after="60"/>
      <w:jc w:val="left"/>
    </w:pPr>
    <w:rPr>
      <w:kern w:val="0"/>
      <w:sz w:val="20"/>
      <w:szCs w:val="24"/>
    </w:rPr>
  </w:style>
  <w:style w:type="paragraph" w:customStyle="1" w:styleId="260">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62">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5">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6">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67">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68">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69">
    <w:name w:val="Body Text(ch)"/>
    <w:basedOn w:val="1"/>
    <w:next w:val="22"/>
    <w:qFormat/>
    <w:uiPriority w:val="0"/>
    <w:pPr>
      <w:spacing w:after="120"/>
    </w:pPr>
    <w:rPr>
      <w:rFonts w:ascii="宋体" w:hAnsi="Arial"/>
      <w:bCs/>
      <w:iCs/>
      <w:szCs w:val="24"/>
    </w:rPr>
  </w:style>
  <w:style w:type="paragraph" w:customStyle="1" w:styleId="27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1">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72">
    <w:name w:val="Char Char1"/>
    <w:basedOn w:val="1"/>
    <w:qFormat/>
    <w:uiPriority w:val="0"/>
    <w:pPr>
      <w:widowControl/>
      <w:snapToGrid w:val="0"/>
      <w:spacing w:after="160"/>
      <w:ind w:firstLine="300"/>
      <w:jc w:val="left"/>
    </w:pPr>
    <w:rPr>
      <w:rFonts w:ascii="Calibri" w:hAnsi="宋体" w:cs="Arial"/>
      <w:sz w:val="16"/>
    </w:rPr>
  </w:style>
  <w:style w:type="paragraph" w:customStyle="1" w:styleId="2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5">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76">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列出段落1"/>
    <w:basedOn w:val="1"/>
    <w:qFormat/>
    <w:uiPriority w:val="0"/>
    <w:pPr>
      <w:ind w:firstLine="420" w:firstLineChars="200"/>
    </w:pPr>
    <w:rPr>
      <w:rFonts w:ascii="Calibri" w:hAnsi="Calibri"/>
      <w:szCs w:val="22"/>
    </w:rPr>
  </w:style>
  <w:style w:type="paragraph" w:customStyle="1" w:styleId="2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79">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0">
    <w:name w:val="TableText"/>
    <w:qFormat/>
    <w:uiPriority w:val="0"/>
    <w:rPr>
      <w:rFonts w:ascii="Helvetica" w:hAnsi="Helvetica" w:eastAsia="宋体" w:cs="Times New Roman"/>
      <w:sz w:val="18"/>
      <w:szCs w:val="24"/>
      <w:lang w:val="en-US" w:eastAsia="en-US" w:bidi="ar-SA"/>
    </w:rPr>
  </w:style>
  <w:style w:type="paragraph" w:customStyle="1" w:styleId="28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2">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8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8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6">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87">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8">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0">
    <w:name w:val="subtitle 2"/>
    <w:basedOn w:val="1"/>
    <w:qFormat/>
    <w:uiPriority w:val="0"/>
    <w:pPr>
      <w:adjustRightInd w:val="0"/>
      <w:spacing w:before="240" w:after="240" w:line="312" w:lineRule="atLeast"/>
    </w:pPr>
    <w:rPr>
      <w:rFonts w:eastAsia="黑体"/>
      <w:kern w:val="0"/>
      <w:sz w:val="24"/>
      <w:szCs w:val="20"/>
    </w:rPr>
  </w:style>
  <w:style w:type="paragraph" w:customStyle="1" w:styleId="291">
    <w:name w:val="Char1"/>
    <w:basedOn w:val="1"/>
    <w:qFormat/>
    <w:uiPriority w:val="0"/>
    <w:pPr>
      <w:tabs>
        <w:tab w:val="left" w:pos="840"/>
      </w:tabs>
      <w:ind w:left="840" w:hanging="420"/>
    </w:pPr>
    <w:rPr>
      <w:sz w:val="24"/>
      <w:szCs w:val="24"/>
    </w:rPr>
  </w:style>
  <w:style w:type="paragraph" w:customStyle="1" w:styleId="292">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293">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4">
    <w:name w:val="表号"/>
    <w:basedOn w:val="1"/>
    <w:next w:val="51"/>
    <w:qFormat/>
    <w:uiPriority w:val="0"/>
    <w:pPr>
      <w:keepNext/>
      <w:keepLines/>
      <w:numPr>
        <w:ilvl w:val="8"/>
        <w:numId w:val="8"/>
      </w:numPr>
      <w:autoSpaceDE w:val="0"/>
      <w:autoSpaceDN w:val="0"/>
      <w:adjustRightInd w:val="0"/>
      <w:spacing w:line="360" w:lineRule="auto"/>
      <w:jc w:val="center"/>
    </w:pPr>
    <w:rPr>
      <w:rFonts w:ascii="Arial" w:hAnsi="Arial"/>
      <w:kern w:val="0"/>
      <w:sz w:val="18"/>
      <w:szCs w:val="18"/>
    </w:rPr>
  </w:style>
  <w:style w:type="paragraph" w:customStyle="1" w:styleId="295">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296">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97">
    <w:name w:val="proddesc1"/>
    <w:basedOn w:val="1"/>
    <w:qFormat/>
    <w:uiPriority w:val="0"/>
    <w:pPr>
      <w:widowControl/>
      <w:spacing w:before="75"/>
      <w:jc w:val="left"/>
    </w:pPr>
    <w:rPr>
      <w:rFonts w:ascii="宋体" w:hAnsi="宋体" w:cs="宋体"/>
      <w:kern w:val="0"/>
      <w:sz w:val="24"/>
      <w:szCs w:val="24"/>
    </w:rPr>
  </w:style>
  <w:style w:type="paragraph" w:customStyle="1" w:styleId="298">
    <w:name w:val="BulletStyle1_Stibo_Grayed"/>
    <w:basedOn w:val="299"/>
    <w:qFormat/>
    <w:uiPriority w:val="0"/>
    <w:pPr>
      <w:tabs>
        <w:tab w:val="left" w:pos="720"/>
      </w:tabs>
    </w:pPr>
    <w:rPr>
      <w:color w:val="999999"/>
    </w:rPr>
  </w:style>
  <w:style w:type="paragraph" w:customStyle="1" w:styleId="299">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0">
    <w:name w:val="标题2"/>
    <w:basedOn w:val="3"/>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01">
    <w:name w:val="文本框样式1"/>
    <w:basedOn w:val="1"/>
    <w:qFormat/>
    <w:uiPriority w:val="0"/>
    <w:pPr>
      <w:spacing w:before="60" w:line="180" w:lineRule="exact"/>
      <w:jc w:val="center"/>
    </w:pPr>
  </w:style>
  <w:style w:type="paragraph" w:customStyle="1" w:styleId="302">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3">
    <w:name w:val="标书内容"/>
    <w:basedOn w:val="1"/>
    <w:qFormat/>
    <w:uiPriority w:val="0"/>
    <w:pPr>
      <w:widowControl/>
      <w:spacing w:line="360" w:lineRule="auto"/>
      <w:ind w:firstLine="200" w:firstLineChars="200"/>
      <w:jc w:val="left"/>
    </w:pPr>
    <w:rPr>
      <w:szCs w:val="20"/>
    </w:rPr>
  </w:style>
  <w:style w:type="paragraph" w:customStyle="1" w:styleId="304">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05">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07">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0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09">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0">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1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13">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15">
    <w:name w:val="引用 Char2"/>
    <w:basedOn w:val="55"/>
    <w:link w:val="139"/>
    <w:qFormat/>
    <w:uiPriority w:val="99"/>
    <w:rPr>
      <w:i/>
      <w:iCs/>
      <w:color w:val="000000" w:themeColor="text1"/>
      <w:kern w:val="2"/>
      <w:sz w:val="21"/>
      <w:szCs w:val="21"/>
      <w14:textFill>
        <w14:solidFill>
          <w14:schemeClr w14:val="tx1"/>
        </w14:solidFill>
      </w14:textFill>
    </w:rPr>
  </w:style>
  <w:style w:type="paragraph" w:customStyle="1" w:styleId="316">
    <w:name w:val="正文-带编号1)"/>
    <w:basedOn w:val="1"/>
    <w:qFormat/>
    <w:uiPriority w:val="0"/>
    <w:pPr>
      <w:numPr>
        <w:ilvl w:val="0"/>
        <w:numId w:val="9"/>
      </w:numPr>
      <w:spacing w:line="400" w:lineRule="exact"/>
    </w:pPr>
    <w:rPr>
      <w:rFonts w:ascii="Arial" w:hAnsi="Arial"/>
      <w:szCs w:val="24"/>
    </w:rPr>
  </w:style>
  <w:style w:type="paragraph" w:customStyle="1" w:styleId="317">
    <w:name w:val="二级1.1"/>
    <w:basedOn w:val="3"/>
    <w:next w:val="3"/>
    <w:qFormat/>
    <w:uiPriority w:val="0"/>
    <w:pPr>
      <w:overflowPunct/>
      <w:adjustRightInd/>
      <w:spacing w:beforeLines="50"/>
      <w:jc w:val="both"/>
      <w:textAlignment w:val="auto"/>
    </w:pPr>
    <w:rPr>
      <w:rFonts w:ascii="Arial" w:hAnsi="Arial" w:eastAsia="宋体"/>
      <w:bCs/>
      <w:sz w:val="28"/>
      <w:szCs w:val="32"/>
    </w:rPr>
  </w:style>
  <w:style w:type="paragraph" w:customStyle="1" w:styleId="318">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19">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0">
    <w:name w:val="font11"/>
    <w:basedOn w:val="1"/>
    <w:qFormat/>
    <w:uiPriority w:val="0"/>
    <w:pPr>
      <w:widowControl/>
      <w:spacing w:before="100" w:beforeAutospacing="1" w:after="100" w:afterAutospacing="1"/>
      <w:jc w:val="left"/>
    </w:pPr>
    <w:rPr>
      <w:kern w:val="0"/>
      <w:sz w:val="20"/>
      <w:szCs w:val="20"/>
    </w:rPr>
  </w:style>
  <w:style w:type="paragraph" w:customStyle="1" w:styleId="321">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22">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23">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6">
    <w:name w:val="Char Char Char Char Char Char Char Char Char Char"/>
    <w:basedOn w:val="1"/>
    <w:qFormat/>
    <w:uiPriority w:val="0"/>
    <w:pPr>
      <w:adjustRightInd w:val="0"/>
      <w:spacing w:line="360" w:lineRule="auto"/>
    </w:pPr>
    <w:rPr>
      <w:kern w:val="0"/>
      <w:sz w:val="24"/>
      <w:szCs w:val="20"/>
    </w:rPr>
  </w:style>
  <w:style w:type="paragraph" w:customStyle="1" w:styleId="327">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28">
    <w:name w:val="xl71"/>
    <w:basedOn w:val="1"/>
    <w:qFormat/>
    <w:uiPriority w:val="0"/>
    <w:pPr>
      <w:widowControl/>
      <w:spacing w:before="100" w:beforeAutospacing="1" w:after="100" w:afterAutospacing="1"/>
      <w:jc w:val="left"/>
    </w:pPr>
    <w:rPr>
      <w:kern w:val="0"/>
      <w:sz w:val="18"/>
      <w:szCs w:val="18"/>
    </w:rPr>
  </w:style>
  <w:style w:type="paragraph" w:customStyle="1" w:styleId="32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0">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3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2">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33">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34">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35">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36">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7">
    <w:name w:val="Char"/>
    <w:basedOn w:val="18"/>
    <w:qFormat/>
    <w:uiPriority w:val="0"/>
    <w:rPr>
      <w:rFonts w:ascii="Tahoma" w:hAnsi="Tahoma"/>
      <w:sz w:val="24"/>
      <w:szCs w:val="24"/>
    </w:rPr>
  </w:style>
  <w:style w:type="paragraph" w:customStyle="1" w:styleId="338">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3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0">
    <w:name w:val="样式 标题 1H1Normal + Font: HelveticaBoldSpace Before 12 ptNot ..."/>
    <w:basedOn w:val="2"/>
    <w:next w:val="2"/>
    <w:qFormat/>
    <w:uiPriority w:val="0"/>
    <w:pPr>
      <w:spacing w:before="100" w:beforeAutospacing="1" w:after="100" w:afterAutospacing="1" w:line="0" w:lineRule="atLeast"/>
    </w:pPr>
    <w:rPr>
      <w:rFonts w:ascii="黑体" w:hAnsi="黑体" w:eastAsia="黑体"/>
      <w:b w:val="0"/>
      <w:sz w:val="28"/>
      <w:szCs w:val="44"/>
    </w:rPr>
  </w:style>
  <w:style w:type="paragraph" w:customStyle="1" w:styleId="341">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2">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43">
    <w:name w:val="table_1stline"/>
    <w:basedOn w:val="1"/>
    <w:qFormat/>
    <w:uiPriority w:val="0"/>
    <w:pPr>
      <w:widowControl/>
      <w:spacing w:before="120"/>
      <w:jc w:val="left"/>
    </w:pPr>
    <w:rPr>
      <w:bCs/>
      <w:kern w:val="0"/>
      <w:sz w:val="20"/>
      <w:szCs w:val="20"/>
      <w:lang w:val="de-DE" w:eastAsia="de-DE"/>
    </w:rPr>
  </w:style>
  <w:style w:type="paragraph" w:customStyle="1" w:styleId="344">
    <w:name w:val="SANGFOR_6_1级编号"/>
    <w:basedOn w:val="345"/>
    <w:qFormat/>
    <w:uiPriority w:val="0"/>
    <w:pPr>
      <w:numPr>
        <w:ilvl w:val="0"/>
        <w:numId w:val="10"/>
      </w:numPr>
      <w:tabs>
        <w:tab w:val="left" w:pos="420"/>
      </w:tabs>
      <w:ind w:firstLine="0" w:firstLineChars="0"/>
    </w:pPr>
  </w:style>
  <w:style w:type="paragraph" w:customStyle="1" w:styleId="345">
    <w:name w:val="SANGFOR_6_正文"/>
    <w:basedOn w:val="1"/>
    <w:qFormat/>
    <w:uiPriority w:val="0"/>
    <w:pPr>
      <w:spacing w:line="360" w:lineRule="auto"/>
      <w:ind w:right="210" w:firstLine="420" w:firstLineChars="200"/>
    </w:pPr>
    <w:rPr>
      <w:szCs w:val="24"/>
    </w:rPr>
  </w:style>
  <w:style w:type="paragraph" w:customStyle="1" w:styleId="346">
    <w:name w:val="Char Char2 Char Char Char Char Char Char Char"/>
    <w:basedOn w:val="1"/>
    <w:qFormat/>
    <w:uiPriority w:val="0"/>
    <w:rPr>
      <w:rFonts w:ascii="Tahoma" w:hAnsi="Tahoma"/>
      <w:sz w:val="24"/>
      <w:szCs w:val="20"/>
    </w:rPr>
  </w:style>
  <w:style w:type="paragraph" w:customStyle="1" w:styleId="347">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48">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49">
    <w:name w:val="table_lines"/>
    <w:basedOn w:val="1"/>
    <w:qFormat/>
    <w:uiPriority w:val="0"/>
    <w:pPr>
      <w:widowControl/>
      <w:jc w:val="left"/>
    </w:pPr>
    <w:rPr>
      <w:kern w:val="0"/>
      <w:sz w:val="20"/>
      <w:szCs w:val="20"/>
      <w:lang w:val="de-DE" w:eastAsia="de-DE"/>
    </w:rPr>
  </w:style>
  <w:style w:type="paragraph" w:customStyle="1" w:styleId="350">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2">
    <w:name w:val="Char Char Char Char"/>
    <w:basedOn w:val="18"/>
    <w:qFormat/>
    <w:uiPriority w:val="0"/>
    <w:pPr>
      <w:adjustRightInd w:val="0"/>
      <w:snapToGrid w:val="0"/>
      <w:spacing w:line="360" w:lineRule="auto"/>
    </w:pPr>
    <w:rPr>
      <w:rFonts w:ascii="Tahoma" w:hAnsi="Tahoma"/>
      <w:sz w:val="24"/>
      <w:szCs w:val="24"/>
    </w:rPr>
  </w:style>
  <w:style w:type="paragraph" w:customStyle="1" w:styleId="353">
    <w:name w:val="表格文字"/>
    <w:next w:val="1"/>
    <w:qFormat/>
    <w:uiPriority w:val="0"/>
    <w:rPr>
      <w:rFonts w:ascii="Times New Roman" w:hAnsi="Times New Roman" w:eastAsia="宋体" w:cs="Times New Roman"/>
      <w:sz w:val="21"/>
      <w:lang w:val="en-US" w:eastAsia="zh-CN" w:bidi="ar-SA"/>
    </w:rPr>
  </w:style>
  <w:style w:type="paragraph" w:customStyle="1" w:styleId="354">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55">
    <w:name w:val="段落"/>
    <w:basedOn w:val="1"/>
    <w:qFormat/>
    <w:uiPriority w:val="0"/>
    <w:pPr>
      <w:spacing w:before="120" w:after="120" w:line="0" w:lineRule="atLeast"/>
      <w:ind w:firstLine="567"/>
    </w:pPr>
    <w:rPr>
      <w:sz w:val="28"/>
      <w:szCs w:val="20"/>
    </w:rPr>
  </w:style>
  <w:style w:type="paragraph" w:customStyle="1" w:styleId="356">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57">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58">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9">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0">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2">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6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4">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65">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66">
    <w:name w:val="Char Char Char Char1"/>
    <w:basedOn w:val="18"/>
    <w:qFormat/>
    <w:uiPriority w:val="0"/>
    <w:pPr>
      <w:adjustRightInd w:val="0"/>
      <w:snapToGrid w:val="0"/>
      <w:spacing w:line="360" w:lineRule="auto"/>
    </w:pPr>
    <w:rPr>
      <w:rFonts w:ascii="Tahoma" w:hAnsi="Tahoma"/>
      <w:sz w:val="24"/>
      <w:szCs w:val="24"/>
    </w:rPr>
  </w:style>
  <w:style w:type="paragraph" w:customStyle="1" w:styleId="367">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69">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0">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2">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4">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75">
    <w:name w:val="font16"/>
    <w:basedOn w:val="1"/>
    <w:qFormat/>
    <w:uiPriority w:val="0"/>
    <w:pPr>
      <w:widowControl/>
      <w:spacing w:before="100" w:beforeAutospacing="1" w:after="100" w:afterAutospacing="1"/>
      <w:jc w:val="left"/>
    </w:pPr>
    <w:rPr>
      <w:kern w:val="0"/>
      <w:sz w:val="20"/>
      <w:szCs w:val="20"/>
    </w:rPr>
  </w:style>
  <w:style w:type="paragraph" w:customStyle="1" w:styleId="376">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7">
    <w:name w:val="框下空行"/>
    <w:basedOn w:val="378"/>
    <w:next w:val="378"/>
    <w:qFormat/>
    <w:uiPriority w:val="0"/>
    <w:pPr>
      <w:spacing w:before="0" w:after="0" w:line="240" w:lineRule="exact"/>
    </w:pPr>
  </w:style>
  <w:style w:type="paragraph" w:customStyle="1" w:styleId="378">
    <w:name w:val="正文 1"/>
    <w:basedOn w:val="1"/>
    <w:qFormat/>
    <w:uiPriority w:val="0"/>
    <w:pPr>
      <w:widowControl/>
      <w:adjustRightInd w:val="0"/>
      <w:snapToGrid w:val="0"/>
      <w:spacing w:before="80" w:after="80" w:line="360" w:lineRule="auto"/>
      <w:ind w:left="1418"/>
    </w:pPr>
    <w:rPr>
      <w:szCs w:val="20"/>
    </w:rPr>
  </w:style>
  <w:style w:type="paragraph" w:customStyle="1" w:styleId="379">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0">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81">
    <w:name w:val="Char2"/>
    <w:basedOn w:val="1"/>
    <w:qFormat/>
    <w:uiPriority w:val="0"/>
    <w:pPr>
      <w:tabs>
        <w:tab w:val="left" w:pos="360"/>
      </w:tabs>
      <w:ind w:firstLine="200" w:firstLineChars="200"/>
    </w:pPr>
    <w:rPr>
      <w:sz w:val="28"/>
      <w:szCs w:val="30"/>
    </w:rPr>
  </w:style>
  <w:style w:type="paragraph" w:customStyle="1" w:styleId="382">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83">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8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8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7">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88">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8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0">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9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39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93">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394">
    <w:name w:val="Char Char Char"/>
    <w:basedOn w:val="1"/>
    <w:qFormat/>
    <w:uiPriority w:val="0"/>
    <w:rPr>
      <w:rFonts w:ascii="Arial" w:hAnsi="Arial" w:cs="Arial"/>
      <w:szCs w:val="24"/>
    </w:rPr>
  </w:style>
  <w:style w:type="paragraph" w:customStyle="1" w:styleId="395">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7">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8">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9">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0">
    <w:name w:val="TableBulletStyle1_Stibo_Grayed"/>
    <w:basedOn w:val="401"/>
    <w:next w:val="403"/>
    <w:qFormat/>
    <w:uiPriority w:val="0"/>
    <w:pPr>
      <w:tabs>
        <w:tab w:val="left" w:pos="360"/>
        <w:tab w:val="left" w:pos="720"/>
      </w:tabs>
    </w:pPr>
    <w:rPr>
      <w:color w:val="999999"/>
      <w:szCs w:val="20"/>
    </w:rPr>
  </w:style>
  <w:style w:type="paragraph" w:customStyle="1" w:styleId="401">
    <w:name w:val="TableBulletStyle1"/>
    <w:next w:val="402"/>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02">
    <w:name w:val="TableBulletStyle1_NoBullet"/>
    <w:next w:val="401"/>
    <w:qFormat/>
    <w:uiPriority w:val="0"/>
    <w:pPr>
      <w:tabs>
        <w:tab w:val="left" w:pos="720"/>
      </w:tabs>
      <w:ind w:left="720"/>
    </w:pPr>
    <w:rPr>
      <w:rFonts w:ascii="Helvetica" w:hAnsi="Helvetica" w:eastAsia="宋体" w:cs="Times New Roman"/>
      <w:szCs w:val="2"/>
      <w:lang w:val="en-US" w:eastAsia="en-US" w:bidi="ar-SA"/>
    </w:rPr>
  </w:style>
  <w:style w:type="paragraph" w:customStyle="1" w:styleId="403">
    <w:name w:val="TableBulletStyle1_NB_Stibo_Grayed"/>
    <w:basedOn w:val="402"/>
    <w:next w:val="400"/>
    <w:qFormat/>
    <w:uiPriority w:val="0"/>
    <w:rPr>
      <w:color w:val="999999"/>
      <w:szCs w:val="20"/>
    </w:rPr>
  </w:style>
  <w:style w:type="paragraph" w:customStyle="1" w:styleId="404">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05">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06">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07">
    <w:name w:val="缺省文本"/>
    <w:basedOn w:val="1"/>
    <w:qFormat/>
    <w:uiPriority w:val="0"/>
    <w:pPr>
      <w:autoSpaceDE w:val="0"/>
      <w:autoSpaceDN w:val="0"/>
      <w:adjustRightInd w:val="0"/>
      <w:jc w:val="left"/>
    </w:pPr>
    <w:rPr>
      <w:kern w:val="0"/>
      <w:sz w:val="24"/>
      <w:szCs w:val="24"/>
    </w:rPr>
  </w:style>
  <w:style w:type="paragraph" w:customStyle="1" w:styleId="408">
    <w:name w:val="Figure"/>
    <w:basedOn w:val="1"/>
    <w:next w:val="95"/>
    <w:qFormat/>
    <w:uiPriority w:val="0"/>
    <w:pPr>
      <w:keepNext/>
      <w:widowControl/>
      <w:snapToGrid w:val="0"/>
      <w:spacing w:before="80" w:after="80" w:line="300" w:lineRule="auto"/>
      <w:ind w:left="1134"/>
      <w:jc w:val="center"/>
    </w:pPr>
    <w:rPr>
      <w:rFonts w:ascii="Arial" w:hAnsi="Arial" w:cs="Arial"/>
      <w:kern w:val="0"/>
    </w:rPr>
  </w:style>
  <w:style w:type="paragraph" w:customStyle="1" w:styleId="409">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0">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11">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1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3">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14">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15">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16">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18">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1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0">
    <w:name w:val="样式17"/>
    <w:basedOn w:val="16"/>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21">
    <w:name w:val="normal bullet"/>
    <w:basedOn w:val="1"/>
    <w:qFormat/>
    <w:uiPriority w:val="0"/>
    <w:pPr>
      <w:tabs>
        <w:tab w:val="left" w:pos="5656"/>
      </w:tabs>
      <w:spacing w:before="100" w:beforeAutospacing="1" w:after="100" w:afterAutospacing="1"/>
    </w:pPr>
    <w:rPr>
      <w:sz w:val="24"/>
      <w:szCs w:val="24"/>
    </w:rPr>
  </w:style>
  <w:style w:type="paragraph" w:customStyle="1" w:styleId="422">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23">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4">
    <w:name w:val="正文（首行不缩进）"/>
    <w:basedOn w:val="1"/>
    <w:qFormat/>
    <w:uiPriority w:val="0"/>
    <w:pPr>
      <w:autoSpaceDE w:val="0"/>
      <w:autoSpaceDN w:val="0"/>
      <w:adjustRightInd w:val="0"/>
      <w:spacing w:line="360" w:lineRule="auto"/>
      <w:jc w:val="left"/>
    </w:pPr>
    <w:rPr>
      <w:kern w:val="0"/>
      <w:szCs w:val="20"/>
    </w:rPr>
  </w:style>
  <w:style w:type="paragraph" w:customStyle="1" w:styleId="425">
    <w:name w:val="表格表头"/>
    <w:basedOn w:val="426"/>
    <w:next w:val="426"/>
    <w:qFormat/>
    <w:uiPriority w:val="0"/>
    <w:pPr>
      <w:tabs>
        <w:tab w:val="left" w:pos="420"/>
      </w:tabs>
    </w:pPr>
    <w:rPr>
      <w:b/>
    </w:rPr>
  </w:style>
  <w:style w:type="paragraph" w:customStyle="1" w:styleId="426">
    <w:name w:val="表格正文"/>
    <w:basedOn w:val="1"/>
    <w:qFormat/>
    <w:uiPriority w:val="0"/>
    <w:pPr>
      <w:tabs>
        <w:tab w:val="left" w:pos="420"/>
      </w:tabs>
      <w:spacing w:before="60" w:after="60"/>
    </w:pPr>
    <w:rPr>
      <w:szCs w:val="20"/>
    </w:rPr>
  </w:style>
  <w:style w:type="paragraph" w:customStyle="1" w:styleId="42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8">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29">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1">
    <w:name w:val="Char1 Char Char Char Char Char Char"/>
    <w:basedOn w:val="1"/>
    <w:qFormat/>
    <w:uiPriority w:val="0"/>
    <w:pPr>
      <w:spacing w:line="360" w:lineRule="auto"/>
    </w:pPr>
    <w:rPr>
      <w:rFonts w:ascii="Tahoma" w:hAnsi="Tahoma"/>
      <w:sz w:val="24"/>
      <w:szCs w:val="20"/>
    </w:rPr>
  </w:style>
  <w:style w:type="paragraph" w:customStyle="1" w:styleId="43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33">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34">
    <w:name w:val="图号"/>
    <w:basedOn w:val="1"/>
    <w:qFormat/>
    <w:uiPriority w:val="0"/>
    <w:pPr>
      <w:numPr>
        <w:ilvl w:val="7"/>
        <w:numId w:val="8"/>
      </w:numPr>
      <w:autoSpaceDE w:val="0"/>
      <w:autoSpaceDN w:val="0"/>
      <w:adjustRightInd w:val="0"/>
      <w:spacing w:before="105" w:line="360" w:lineRule="auto"/>
      <w:jc w:val="center"/>
    </w:pPr>
    <w:rPr>
      <w:rFonts w:ascii="Arial" w:hAnsi="Arial"/>
      <w:kern w:val="0"/>
      <w:sz w:val="18"/>
      <w:szCs w:val="18"/>
    </w:rPr>
  </w:style>
  <w:style w:type="paragraph" w:customStyle="1" w:styleId="435">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36">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3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38">
    <w:name w:val="EST-List 9"/>
    <w:basedOn w:val="253"/>
    <w:qFormat/>
    <w:uiPriority w:val="0"/>
    <w:pPr>
      <w:tabs>
        <w:tab w:val="left" w:pos="3240"/>
        <w:tab w:val="left" w:pos="4380"/>
        <w:tab w:val="left" w:pos="4620"/>
        <w:tab w:val="clear" w:pos="2880"/>
        <w:tab w:val="clear" w:pos="3960"/>
      </w:tabs>
    </w:pPr>
  </w:style>
  <w:style w:type="paragraph" w:customStyle="1" w:styleId="439">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41">
    <w:name w:val="xl81"/>
    <w:basedOn w:val="1"/>
    <w:qFormat/>
    <w:uiPriority w:val="0"/>
    <w:pPr>
      <w:widowControl/>
      <w:spacing w:before="100" w:beforeAutospacing="1" w:after="100" w:afterAutospacing="1"/>
      <w:jc w:val="center"/>
    </w:pPr>
    <w:rPr>
      <w:kern w:val="0"/>
      <w:sz w:val="18"/>
      <w:szCs w:val="18"/>
    </w:rPr>
  </w:style>
  <w:style w:type="paragraph" w:customStyle="1" w:styleId="442">
    <w:name w:val="图片"/>
    <w:basedOn w:val="1"/>
    <w:next w:val="22"/>
    <w:qFormat/>
    <w:uiPriority w:val="0"/>
    <w:pPr>
      <w:adjustRightInd w:val="0"/>
      <w:jc w:val="center"/>
    </w:pPr>
    <w:rPr>
      <w:szCs w:val="24"/>
    </w:rPr>
  </w:style>
  <w:style w:type="paragraph" w:customStyle="1" w:styleId="443">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44">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4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6">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47">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48">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4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0">
    <w:name w:val="子标题"/>
    <w:basedOn w:val="1"/>
    <w:next w:val="22"/>
    <w:qFormat/>
    <w:uiPriority w:val="0"/>
    <w:pPr>
      <w:adjustRightInd w:val="0"/>
      <w:spacing w:beforeLines="50" w:afterLines="20"/>
      <w:jc w:val="left"/>
      <w:outlineLvl w:val="5"/>
    </w:pPr>
    <w:rPr>
      <w:rFonts w:ascii="黑体" w:eastAsia="黑体"/>
      <w:kern w:val="0"/>
    </w:rPr>
  </w:style>
  <w:style w:type="paragraph" w:customStyle="1" w:styleId="4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52">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54">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55">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56">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7">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58">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59">
    <w:name w:val="正文 2"/>
    <w:basedOn w:val="131"/>
    <w:qFormat/>
    <w:uiPriority w:val="0"/>
    <w:pPr>
      <w:ind w:left="780" w:leftChars="0" w:hanging="360"/>
    </w:pPr>
    <w:rPr>
      <w:b/>
    </w:rPr>
  </w:style>
  <w:style w:type="paragraph" w:customStyle="1" w:styleId="460">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6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3">
    <w:name w:val="默认段落字体 Para Char"/>
    <w:basedOn w:val="1"/>
    <w:qFormat/>
    <w:uiPriority w:val="0"/>
    <w:rPr>
      <w:rFonts w:ascii="Arial" w:hAnsi="Arial" w:cs="Arial"/>
      <w:szCs w:val="24"/>
    </w:rPr>
  </w:style>
  <w:style w:type="paragraph" w:customStyle="1" w:styleId="464">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5">
    <w:name w:val="正文缩进4格"/>
    <w:basedOn w:val="113"/>
    <w:qFormat/>
    <w:uiPriority w:val="0"/>
    <w:pPr>
      <w:ind w:left="2" w:firstLine="538" w:firstLineChars="192"/>
    </w:pPr>
    <w:rPr>
      <w:color w:val="000000"/>
      <w:sz w:val="28"/>
    </w:rPr>
  </w:style>
  <w:style w:type="paragraph" w:customStyle="1" w:styleId="46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7">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9">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1">
    <w:name w:val="TableText_Stibo_Grayed"/>
    <w:basedOn w:val="280"/>
    <w:qFormat/>
    <w:uiPriority w:val="0"/>
  </w:style>
  <w:style w:type="paragraph" w:customStyle="1" w:styleId="472">
    <w:name w:val="_Style 16"/>
    <w:basedOn w:val="1"/>
    <w:qFormat/>
    <w:uiPriority w:val="0"/>
    <w:pPr>
      <w:widowControl/>
      <w:spacing w:line="400" w:lineRule="exact"/>
      <w:jc w:val="center"/>
    </w:pPr>
    <w:rPr>
      <w:szCs w:val="20"/>
    </w:rPr>
  </w:style>
  <w:style w:type="paragraph" w:customStyle="1" w:styleId="473">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74">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75">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7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7">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78">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79">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0">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8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82">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3">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8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85">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6">
    <w:name w:val="Lb2"/>
    <w:basedOn w:val="474"/>
    <w:qFormat/>
    <w:uiPriority w:val="0"/>
    <w:pPr>
      <w:tabs>
        <w:tab w:val="left" w:pos="425"/>
        <w:tab w:val="left" w:pos="600"/>
        <w:tab w:val="left" w:pos="1080"/>
        <w:tab w:val="left" w:pos="1440"/>
        <w:tab w:val="clear" w:pos="300"/>
      </w:tabs>
      <w:ind w:left="360"/>
    </w:pPr>
  </w:style>
  <w:style w:type="paragraph" w:customStyle="1" w:styleId="487">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8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89">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0">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492">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493">
    <w:name w:val="无缩进正文"/>
    <w:basedOn w:val="1"/>
    <w:next w:val="1"/>
    <w:qFormat/>
    <w:uiPriority w:val="0"/>
    <w:pPr>
      <w:spacing w:line="360" w:lineRule="auto"/>
    </w:pPr>
    <w:rPr>
      <w:sz w:val="24"/>
      <w:szCs w:val="20"/>
    </w:rPr>
  </w:style>
  <w:style w:type="paragraph" w:customStyle="1" w:styleId="494">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495">
    <w:name w:val="Lb3"/>
    <w:basedOn w:val="486"/>
    <w:qFormat/>
    <w:uiPriority w:val="0"/>
    <w:pPr>
      <w:numPr>
        <w:ilvl w:val="2"/>
        <w:numId w:val="11"/>
      </w:numPr>
      <w:tabs>
        <w:tab w:val="left" w:pos="900"/>
        <w:tab w:val="left" w:pos="1800"/>
        <w:tab w:val="clear" w:pos="600"/>
        <w:tab w:val="clear" w:pos="907"/>
      </w:tabs>
      <w:ind w:left="720"/>
    </w:pPr>
  </w:style>
  <w:style w:type="paragraph" w:customStyle="1" w:styleId="49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97">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49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99">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图题"/>
    <w:basedOn w:val="378"/>
    <w:qFormat/>
    <w:uiPriority w:val="0"/>
    <w:pPr>
      <w:spacing w:before="0" w:after="120"/>
      <w:jc w:val="center"/>
    </w:pPr>
    <w:rPr>
      <w:rFonts w:ascii="Arial" w:hAnsi="Arial" w:eastAsia="黑体"/>
      <w:sz w:val="18"/>
    </w:rPr>
  </w:style>
  <w:style w:type="character" w:customStyle="1" w:styleId="502">
    <w:name w:val="明显引用 Char3"/>
    <w:basedOn w:val="55"/>
    <w:link w:val="115"/>
    <w:qFormat/>
    <w:uiPriority w:val="99"/>
    <w:rPr>
      <w:b/>
      <w:bCs/>
      <w:i/>
      <w:iCs/>
      <w:color w:val="4F81BD" w:themeColor="accent1"/>
      <w:kern w:val="2"/>
      <w:sz w:val="21"/>
      <w:szCs w:val="21"/>
      <w14:textFill>
        <w14:solidFill>
          <w14:schemeClr w14:val="accent1"/>
        </w14:solidFill>
      </w14:textFill>
    </w:rPr>
  </w:style>
  <w:style w:type="paragraph" w:customStyle="1" w:styleId="503">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04">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5">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0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07">
    <w:name w:val="3级"/>
    <w:basedOn w:val="4"/>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08">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09">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1">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1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3">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4">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15">
    <w:name w:val="Char Char Char Char Char Char1"/>
    <w:basedOn w:val="1"/>
    <w:qFormat/>
    <w:uiPriority w:val="0"/>
    <w:pPr>
      <w:adjustRightInd w:val="0"/>
      <w:spacing w:line="360" w:lineRule="auto"/>
    </w:pPr>
    <w:rPr>
      <w:kern w:val="0"/>
      <w:sz w:val="24"/>
      <w:szCs w:val="20"/>
    </w:rPr>
  </w:style>
  <w:style w:type="paragraph" w:customStyle="1" w:styleId="5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17">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18">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9">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0">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1">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22">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23">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24">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25">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26">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27">
    <w:name w:val="font13"/>
    <w:basedOn w:val="1"/>
    <w:qFormat/>
    <w:uiPriority w:val="0"/>
    <w:pPr>
      <w:widowControl/>
      <w:spacing w:before="100" w:beforeAutospacing="1" w:after="100" w:afterAutospacing="1"/>
      <w:jc w:val="left"/>
    </w:pPr>
    <w:rPr>
      <w:b/>
      <w:bCs/>
      <w:kern w:val="0"/>
      <w:sz w:val="20"/>
      <w:szCs w:val="20"/>
    </w:rPr>
  </w:style>
  <w:style w:type="paragraph" w:customStyle="1" w:styleId="528">
    <w:name w:val="Char1 Char Char Char"/>
    <w:basedOn w:val="1"/>
    <w:qFormat/>
    <w:uiPriority w:val="0"/>
    <w:pPr>
      <w:spacing w:line="360" w:lineRule="auto"/>
    </w:pPr>
    <w:rPr>
      <w:sz w:val="24"/>
      <w:szCs w:val="20"/>
    </w:rPr>
  </w:style>
  <w:style w:type="paragraph" w:customStyle="1" w:styleId="52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0">
    <w:name w:val="图注"/>
    <w:basedOn w:val="501"/>
    <w:qFormat/>
    <w:uiPriority w:val="0"/>
    <w:pPr>
      <w:spacing w:after="0" w:line="300" w:lineRule="auto"/>
      <w:jc w:val="left"/>
    </w:pPr>
    <w:rPr>
      <w:rFonts w:ascii="Times New Roman" w:hAnsi="Times New Roman" w:eastAsia="楷体_GB2312"/>
    </w:rPr>
  </w:style>
  <w:style w:type="paragraph" w:customStyle="1" w:styleId="531">
    <w:name w:val="xl72"/>
    <w:basedOn w:val="1"/>
    <w:qFormat/>
    <w:uiPriority w:val="0"/>
    <w:pPr>
      <w:widowControl/>
      <w:spacing w:before="100" w:beforeAutospacing="1" w:after="100" w:afterAutospacing="1"/>
      <w:jc w:val="left"/>
    </w:pPr>
    <w:rPr>
      <w:kern w:val="0"/>
      <w:sz w:val="24"/>
      <w:szCs w:val="24"/>
    </w:rPr>
  </w:style>
  <w:style w:type="paragraph" w:customStyle="1" w:styleId="532">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3">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4">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35">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6">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37">
    <w:name w:val="段"/>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38">
    <w:name w:val="正文缩进 Char1"/>
    <w:link w:val="539"/>
    <w:qFormat/>
    <w:uiPriority w:val="0"/>
    <w:rPr>
      <w:rFonts w:ascii="宋体"/>
      <w:sz w:val="24"/>
    </w:rPr>
  </w:style>
  <w:style w:type="paragraph" w:customStyle="1" w:styleId="539">
    <w:name w:val="正文缩进1"/>
    <w:basedOn w:val="1"/>
    <w:link w:val="538"/>
    <w:qFormat/>
    <w:uiPriority w:val="0"/>
    <w:pPr>
      <w:autoSpaceDE w:val="0"/>
      <w:autoSpaceDN w:val="0"/>
      <w:adjustRightInd w:val="0"/>
      <w:ind w:firstLine="420"/>
      <w:jc w:val="left"/>
    </w:pPr>
    <w:rPr>
      <w:rFonts w:ascii="宋体"/>
      <w:kern w:val="0"/>
      <w:sz w:val="24"/>
      <w:szCs w:val="20"/>
    </w:rPr>
  </w:style>
  <w:style w:type="paragraph" w:customStyle="1" w:styleId="540">
    <w:name w:val="索引 11"/>
    <w:basedOn w:val="1"/>
    <w:next w:val="1"/>
    <w:qFormat/>
    <w:uiPriority w:val="0"/>
    <w:pPr>
      <w:spacing w:line="360" w:lineRule="auto"/>
    </w:pPr>
    <w:rPr>
      <w:rFonts w:ascii="仿宋_GB2312" w:eastAsia="仿宋_GB2312"/>
      <w:sz w:val="24"/>
      <w:szCs w:val="20"/>
    </w:rPr>
  </w:style>
  <w:style w:type="paragraph" w:customStyle="1" w:styleId="541">
    <w:name w:val="Char Char Char Char Char Char Char Char2"/>
    <w:basedOn w:val="1"/>
    <w:qFormat/>
    <w:uiPriority w:val="0"/>
    <w:pPr>
      <w:snapToGrid w:val="0"/>
      <w:spacing w:line="520" w:lineRule="exact"/>
      <w:ind w:firstLine="560" w:firstLineChars="200"/>
    </w:pPr>
    <w:rPr>
      <w:szCs w:val="20"/>
    </w:rPr>
  </w:style>
  <w:style w:type="paragraph" w:customStyle="1" w:styleId="54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43">
    <w:name w:val="不明显强调2"/>
    <w:qFormat/>
    <w:uiPriority w:val="19"/>
    <w:rPr>
      <w:i/>
      <w:iCs/>
    </w:rPr>
  </w:style>
  <w:style w:type="character" w:customStyle="1" w:styleId="544">
    <w:name w:val="Char Char2"/>
    <w:qFormat/>
    <w:uiPriority w:val="0"/>
    <w:rPr>
      <w:rFonts w:ascii="Times New Roman" w:hAnsi="Times New Roman" w:eastAsia="宋体"/>
      <w:kern w:val="2"/>
      <w:sz w:val="21"/>
      <w:szCs w:val="22"/>
      <w:lang w:val="en-US" w:eastAsia="zh-CN" w:bidi="ar-SA"/>
    </w:rPr>
  </w:style>
  <w:style w:type="character" w:customStyle="1" w:styleId="545">
    <w:name w:val="书籍标题2"/>
    <w:qFormat/>
    <w:uiPriority w:val="0"/>
    <w:rPr>
      <w:i/>
      <w:iCs/>
      <w:smallCaps/>
      <w:spacing w:val="5"/>
    </w:rPr>
  </w:style>
  <w:style w:type="character" w:customStyle="1" w:styleId="546">
    <w:name w:val="不明显参考2"/>
    <w:qFormat/>
    <w:uiPriority w:val="31"/>
    <w:rPr>
      <w:smallCaps/>
    </w:rPr>
  </w:style>
  <w:style w:type="character" w:customStyle="1" w:styleId="547">
    <w:name w:val="明显参考2"/>
    <w:qFormat/>
    <w:uiPriority w:val="0"/>
    <w:rPr>
      <w:smallCaps/>
      <w:spacing w:val="5"/>
      <w:u w:val="single"/>
    </w:rPr>
  </w:style>
  <w:style w:type="character" w:customStyle="1" w:styleId="548">
    <w:name w:val="明显强调2"/>
    <w:qFormat/>
    <w:uiPriority w:val="0"/>
    <w:rPr>
      <w:b/>
      <w:bCs/>
    </w:rPr>
  </w:style>
  <w:style w:type="paragraph" w:customStyle="1" w:styleId="549">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0">
    <w:name w:val="List Paragraph1"/>
    <w:basedOn w:val="1"/>
    <w:qFormat/>
    <w:uiPriority w:val="0"/>
    <w:pPr>
      <w:ind w:firstLine="420" w:firstLineChars="200"/>
    </w:pPr>
    <w:rPr>
      <w:rFonts w:ascii="Calibri" w:hAnsi="Calibri"/>
      <w:szCs w:val="22"/>
    </w:rPr>
  </w:style>
  <w:style w:type="paragraph" w:customStyle="1" w:styleId="551">
    <w:name w:val="TOC 标题2"/>
    <w:basedOn w:val="2"/>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52">
    <w:name w:val="Char Char 字元 字元 字元 Char Char Char Char1"/>
    <w:basedOn w:val="1"/>
    <w:qFormat/>
    <w:uiPriority w:val="0"/>
    <w:pPr>
      <w:adjustRightInd w:val="0"/>
      <w:spacing w:line="360" w:lineRule="auto"/>
    </w:pPr>
    <w:rPr>
      <w:kern w:val="0"/>
      <w:sz w:val="24"/>
      <w:szCs w:val="20"/>
    </w:rPr>
  </w:style>
  <w:style w:type="paragraph" w:customStyle="1" w:styleId="553">
    <w:name w:val="Char Char Char Char Char Char2"/>
    <w:basedOn w:val="1"/>
    <w:qFormat/>
    <w:uiPriority w:val="0"/>
    <w:pPr>
      <w:adjustRightInd w:val="0"/>
      <w:spacing w:line="360" w:lineRule="auto"/>
    </w:pPr>
    <w:rPr>
      <w:kern w:val="0"/>
      <w:sz w:val="24"/>
      <w:szCs w:val="20"/>
    </w:rPr>
  </w:style>
  <w:style w:type="paragraph" w:customStyle="1" w:styleId="554">
    <w:name w:val="Char Char2 Char Char Char Char Char Char Char1"/>
    <w:basedOn w:val="1"/>
    <w:qFormat/>
    <w:uiPriority w:val="0"/>
    <w:rPr>
      <w:rFonts w:ascii="Tahoma" w:hAnsi="Tahoma"/>
      <w:sz w:val="24"/>
      <w:szCs w:val="20"/>
    </w:rPr>
  </w:style>
  <w:style w:type="paragraph" w:customStyle="1" w:styleId="555">
    <w:name w:val="Char3"/>
    <w:basedOn w:val="1"/>
    <w:qFormat/>
    <w:uiPriority w:val="0"/>
    <w:rPr>
      <w:rFonts w:ascii="Tahoma" w:hAnsi="Tahoma"/>
      <w:sz w:val="24"/>
      <w:szCs w:val="20"/>
    </w:rPr>
  </w:style>
  <w:style w:type="paragraph" w:customStyle="1" w:styleId="556">
    <w:name w:val="Char Char2 Char Char Char Char1"/>
    <w:basedOn w:val="1"/>
    <w:qFormat/>
    <w:uiPriority w:val="0"/>
    <w:rPr>
      <w:rFonts w:ascii="Tahoma" w:hAnsi="Tahoma"/>
      <w:sz w:val="24"/>
      <w:szCs w:val="20"/>
    </w:rPr>
  </w:style>
  <w:style w:type="paragraph" w:customStyle="1" w:styleId="557">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58">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59">
    <w:name w:val="小标题"/>
    <w:basedOn w:val="1"/>
    <w:qFormat/>
    <w:uiPriority w:val="0"/>
    <w:pPr>
      <w:spacing w:line="360" w:lineRule="auto"/>
    </w:pPr>
    <w:rPr>
      <w:rFonts w:eastAsia="黑体"/>
      <w:b/>
      <w:bCs/>
      <w:sz w:val="28"/>
      <w:szCs w:val="24"/>
      <w:bdr w:val="single" w:color="auto" w:sz="4" w:space="0"/>
    </w:rPr>
  </w:style>
  <w:style w:type="paragraph" w:customStyle="1" w:styleId="560">
    <w:name w:val="Char Char Char Char2"/>
    <w:basedOn w:val="1"/>
    <w:qFormat/>
    <w:uiPriority w:val="0"/>
    <w:rPr>
      <w:rFonts w:ascii="Tahoma" w:hAnsi="Tahoma"/>
      <w:sz w:val="24"/>
      <w:szCs w:val="20"/>
    </w:rPr>
  </w:style>
  <w:style w:type="paragraph" w:customStyle="1" w:styleId="561">
    <w:name w:val="Header2"/>
    <w:basedOn w:val="1"/>
    <w:qFormat/>
    <w:uiPriority w:val="0"/>
    <w:pPr>
      <w:tabs>
        <w:tab w:val="left" w:pos="480"/>
      </w:tabs>
      <w:ind w:left="480" w:hanging="480"/>
    </w:pPr>
    <w:rPr>
      <w:szCs w:val="24"/>
    </w:rPr>
  </w:style>
  <w:style w:type="paragraph" w:customStyle="1" w:styleId="562">
    <w:name w:val="Char Char Char1"/>
    <w:basedOn w:val="1"/>
    <w:qFormat/>
    <w:uiPriority w:val="0"/>
    <w:rPr>
      <w:rFonts w:ascii="Arial" w:hAnsi="Arial" w:cs="Arial"/>
      <w:szCs w:val="24"/>
    </w:rPr>
  </w:style>
  <w:style w:type="paragraph" w:customStyle="1" w:styleId="563">
    <w:name w:val="无间隔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64">
    <w:name w:val="正文缩进 字符"/>
    <w:qFormat/>
    <w:locked/>
    <w:uiPriority w:val="0"/>
    <w:rPr>
      <w:kern w:val="2"/>
      <w:sz w:val="21"/>
    </w:rPr>
  </w:style>
  <w:style w:type="character" w:customStyle="1" w:styleId="565">
    <w:name w:val="Plain Text Char Char"/>
    <w:link w:val="566"/>
    <w:qFormat/>
    <w:uiPriority w:val="0"/>
    <w:rPr>
      <w:rFonts w:ascii="宋体" w:hAnsi="Courier New" w:eastAsia="楷体_GB2312"/>
      <w:kern w:val="2"/>
      <w:sz w:val="26"/>
    </w:rPr>
  </w:style>
  <w:style w:type="paragraph" w:customStyle="1" w:styleId="566">
    <w:name w:val="纯文本2"/>
    <w:basedOn w:val="1"/>
    <w:link w:val="565"/>
    <w:qFormat/>
    <w:uiPriority w:val="0"/>
    <w:pPr>
      <w:adjustRightInd w:val="0"/>
      <w:textAlignment w:val="baseline"/>
    </w:pPr>
    <w:rPr>
      <w:rFonts w:ascii="宋体" w:hAnsi="Courier New" w:eastAsia="楷体_GB2312"/>
      <w:sz w:val="26"/>
      <w:szCs w:val="20"/>
    </w:rPr>
  </w:style>
  <w:style w:type="character" w:customStyle="1" w:styleId="567">
    <w:name w:val="纯文本 字符"/>
    <w:qFormat/>
    <w:locked/>
    <w:uiPriority w:val="0"/>
    <w:rPr>
      <w:rFonts w:ascii="宋体" w:hAnsi="Courier New" w:eastAsia="宋体"/>
      <w:kern w:val="2"/>
      <w:sz w:val="21"/>
      <w:lang w:val="en-US" w:eastAsia="zh-CN" w:bidi="ar-SA"/>
    </w:rPr>
  </w:style>
  <w:style w:type="paragraph" w:customStyle="1" w:styleId="568">
    <w:name w:val="black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69">
    <w:name w:val="my正文"/>
    <w:basedOn w:val="23"/>
    <w:qFormat/>
    <w:uiPriority w:val="0"/>
    <w:pPr>
      <w:spacing w:line="360" w:lineRule="auto"/>
      <w:ind w:firstLine="540" w:firstLineChars="225"/>
    </w:pPr>
    <w:rPr>
      <w:rFonts w:ascii="宋体" w:hAnsi="宋体"/>
      <w:kern w:val="0"/>
      <w:sz w:val="24"/>
      <w:szCs w:val="20"/>
    </w:rPr>
  </w:style>
  <w:style w:type="character" w:customStyle="1" w:styleId="570">
    <w:name w:val="mini-outputtext1"/>
    <w:basedOn w:val="55"/>
    <w:qFormat/>
    <w:uiPriority w:val="0"/>
  </w:style>
  <w:style w:type="character" w:customStyle="1" w:styleId="571">
    <w:name w:val="列出段落 Char1"/>
    <w:link w:val="75"/>
    <w:qFormat/>
    <w:locked/>
    <w:uiPriority w:val="34"/>
    <w:rPr>
      <w:rFonts w:ascii="Calibri" w:hAnsi="Calibri" w:eastAsia="宋体" w:cs="Times New Roman"/>
      <w:kern w:val="2"/>
      <w:sz w:val="21"/>
      <w:szCs w:val="22"/>
    </w:rPr>
  </w:style>
  <w:style w:type="paragraph" w:customStyle="1" w:styleId="572">
    <w:name w:val="正文_0"/>
    <w:qFormat/>
    <w:uiPriority w:val="0"/>
    <w:pPr>
      <w:widowControl w:val="0"/>
      <w:jc w:val="both"/>
    </w:pPr>
    <w:rPr>
      <w:rFonts w:ascii="Calibri" w:hAnsi="Calibri" w:eastAsia="宋体" w:cs="Times New Roman"/>
      <w:kern w:val="2"/>
      <w:sz w:val="21"/>
      <w:szCs w:val="22"/>
      <w:lang w:val="en-US" w:eastAsia="zh-CN" w:bidi="ar-SA"/>
    </w:rPr>
  </w:style>
  <w:style w:type="table" w:customStyle="1" w:styleId="573">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574">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257E7-CE67-44B8-8A3F-CEF7D492066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26561</Words>
  <Characters>28868</Characters>
  <Lines>249</Lines>
  <Paragraphs>70</Paragraphs>
  <TotalTime>3</TotalTime>
  <ScaleCrop>false</ScaleCrop>
  <LinksUpToDate>false</LinksUpToDate>
  <CharactersWithSpaces>32038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2022-03-18T07:05:00Z</dcterms:created>
  <dc:creator>微软用户</dc:creator>
  <cp:lastModifiedBy>Z.</cp:lastModifiedBy>
  <cp:lastPrinted>2022-05-10T00:18:00Z</cp:lastPrinted>
  <dcterms:modified xsi:type="dcterms:W3CDTF">2022-05-24T00:10:43Z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FE2A0F366AD048ABB9EB7FA9C4FB8B7C</vt:lpwstr>
  </property>
  <property fmtid="{D5CDD505-2E9C-101B-9397-08002B2CF9AE}" pid="4" name="commondata">
    <vt:lpwstr>eyJoZGlkIjoiYTEzODI4MjBkMWRmNzAzNWU2OGI1NTY2NTc2YmIxOWMifQ==</vt:lpwstr>
  </property>
</Properties>
</file>