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江苏科技大学食堂风味特色窗口合作经营项目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（细点、水饺、面条、拉面类）</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招标人：江苏科技大学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招标代理机构：中通服咨询设计研究院有限公司</w:t>
      </w:r>
      <w:r/>
    </w:p>
    <w:p>
      <w:pPr>
        <w:ind w:left="0" w:right="0" w:firstLine="0"/>
        <w:jc w:val="center"/>
        <w:spacing w:before="0" w:after="0"/>
        <w:rPr>
          <w:rFonts w:ascii="FangSong" w:hAnsi="FangSong" w:eastAsia="FangSong" w:cs="FangSong"/>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2023年6月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highlight w:val="none"/>
        </w:rPr>
      </w:r>
      <w:r>
        <w:rPr>
          <w:rFonts w:ascii="FangSong" w:hAnsi="FangSong" w:eastAsia="FangSong" w:cs="FangSong"/>
          <w:b/>
          <w:color w:val="000000"/>
          <w:sz w:val="36"/>
          <w:highlight w:val="none"/>
        </w:rPr>
      </w:r>
    </w:p>
    <w:p>
      <w:pPr>
        <w:pStyle w:val="63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rPr>
          <w:rFonts w:ascii="FangSong" w:hAnsi="FangSong" w:eastAsia="FangSong" w:cs="FangSong"/>
          <w:color w:val="000000"/>
          <w:sz w:val="24"/>
          <w:u w:val="single"/>
        </w:rPr>
        <w:t xml:space="preserve">江苏科技大学食堂风味特色窗口合作经营（细点、水饺、面条、拉面类）</w:t>
      </w:r>
      <w:r>
        <w:rPr>
          <w:rFonts w:ascii="FangSong" w:hAnsi="FangSong" w:eastAsia="FangSong" w:cs="FangSong"/>
          <w:color w:val="000000"/>
          <w:sz w:val="24"/>
        </w:rPr>
        <w:t xml:space="preserve">招标项目的潜在投标人应在</w:t>
      </w:r>
      <w:r>
        <w:rPr>
          <w:rFonts w:ascii="FangSong" w:hAnsi="FangSong" w:eastAsia="FangSong" w:cs="FangSong"/>
          <w:color w:val="000000"/>
          <w:sz w:val="24"/>
          <w:u w:val="single"/>
        </w:rPr>
        <w:t xml:space="preserve">中通服咨询设计研究院有限公司</w:t>
      </w:r>
      <w:r>
        <w:rPr>
          <w:rFonts w:ascii="FangSong" w:hAnsi="FangSong" w:eastAsia="FangSong" w:cs="FangSong"/>
          <w:color w:val="000000"/>
          <w:sz w:val="24"/>
        </w:rPr>
        <w:t xml:space="preserve">获取招标文件，并于</w:t>
      </w:r>
      <w:r>
        <w:rPr>
          <w:rFonts w:ascii="FangSong" w:hAnsi="FangSong" w:eastAsia="FangSong" w:cs="FangSong"/>
          <w:color w:val="000000"/>
          <w:sz w:val="24"/>
          <w:u w:val="single"/>
        </w:rPr>
        <w:t xml:space="preserve">2023年7月12日09点00分（</w:t>
      </w:r>
      <w:r>
        <w:rPr>
          <w:rFonts w:ascii="FangSong" w:hAnsi="FangSong" w:eastAsia="FangSong" w:cs="FangSong"/>
          <w:color w:val="000000"/>
          <w:sz w:val="24"/>
        </w:rPr>
        <w:t xml:space="preserve">北京时间）前递交投标文件。</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1.项目编号：WZ-2023048；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2.项目名称：江苏科技大学食堂风味特色窗口合作经营项目（细点、水饺、面条、拉面类）；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3.采购需求：本项目分为11个标段，采购食堂风味特色窗口合作经营，经营类别包括细点类、水饺类、面条类、拉面类：</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6"/>
        <w:gridCol w:w="3181"/>
        <w:gridCol w:w="2712"/>
      </w:tblGrid>
      <w:tr>
        <w:trPr>
          <w:trHeight w:val="90"/>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标段号</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窗口位置</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主要经营品种</w:t>
            </w:r>
            <w:r/>
          </w:p>
        </w:tc>
      </w:tr>
      <w:tr>
        <w:trPr>
          <w:trHeight w:val="9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各式早点、细点等品种</w:t>
            </w:r>
            <w:r/>
          </w:p>
        </w:tc>
      </w:tr>
      <w:tr>
        <w:trPr>
          <w:trHeight w:val="9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标段2</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各式早点、细点等品种</w:t>
            </w:r>
            <w:r/>
          </w:p>
        </w:tc>
      </w:tr>
      <w:tr>
        <w:trPr>
          <w:trHeight w:val="11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标段3</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长山校区东食堂一楼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各式早点、细点等品种</w:t>
            </w:r>
            <w:r/>
          </w:p>
        </w:tc>
      </w:tr>
      <w:tr>
        <w:trPr>
          <w:trHeight w:val="113"/>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标段4</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长山校区东食堂一楼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各式早点、细点等品种</w:t>
            </w:r>
            <w:r/>
          </w:p>
        </w:tc>
      </w:tr>
      <w:tr>
        <w:trPr>
          <w:trHeight w:val="11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标段5</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梦溪校区东苑餐厅</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各式早点、细点等品种</w:t>
            </w:r>
            <w:r/>
          </w:p>
        </w:tc>
      </w:tr>
      <w:tr>
        <w:trPr>
          <w:trHeight w:val="11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标段6</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梦溪校区学生食堂</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各式早点、细点等品种</w:t>
            </w:r>
            <w:r/>
          </w:p>
        </w:tc>
      </w:tr>
      <w:tr>
        <w:trPr>
          <w:trHeight w:val="11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水饺系列</w:t>
            </w:r>
            <w:r/>
          </w:p>
        </w:tc>
      </w:tr>
      <w:tr>
        <w:trPr>
          <w:trHeight w:val="11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标段8</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面条系列</w:t>
            </w:r>
            <w:r/>
          </w:p>
        </w:tc>
      </w:tr>
      <w:tr>
        <w:trPr>
          <w:trHeight w:val="11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标段9</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长山校区东食堂一楼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面条系列</w:t>
            </w:r>
            <w:r/>
          </w:p>
        </w:tc>
      </w:tr>
      <w:tr>
        <w:trPr>
          <w:trHeight w:val="11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标段10</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长山校区东食堂二楼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拉面系列</w:t>
            </w:r>
            <w:r/>
          </w:p>
        </w:tc>
      </w:tr>
      <w:tr>
        <w:trPr>
          <w:trHeight w:val="11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标段11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梦溪校区东苑餐厅</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面条系列</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4.招标期限：三年（自2023年8月起至2026年7月止）；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5.合同签订：一年签订一次，每年进行考核淘汰，视履约情况决定是否续签；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6.项目整体预算金额：500万元；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7.投标原则：投标人可对任意标段进行投标报名；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8.开、评标顺序：按标段顺序依次进行；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9.中标候选人原则：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共11个标段，按照标段顺序依次评标，每个标段推荐1名中标候选人，投标人只能被推选为其中1个标段作为中标候选人，已被推选为中标候选人的投标人，可参与后续标段的评审，但不再作为后续标段的中标候选人被推荐。10.本项目不接受联合体投标。</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二、投标人的资格要求：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2.1投标人具备有效的营业执照，且经营范围须体现与本次采购需求相关的内容描述；（提供营业执照复印件并加盖单位公章）；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2.2投标人须信用良好，不得存在被“信用中国”网站（www.creditchina.gov.cn）列入失信被执行人或重大税收违法案件当事人名单等情形；（提供“信用中国”网站查询截图）；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2.3投标人参加政府采购活动前3年内在经营活动中没有重大违法记录的书面声明；（提供加盖单位公章的承诺书原件）；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3.本项目的特定资格要求：无。</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rPr>
          <w:rFonts w:ascii="FangSong" w:hAnsi="FangSong" w:eastAsia="FangSong" w:cs="FangSong"/>
          <w:color w:val="000000"/>
          <w:sz w:val="24"/>
          <w:u w:val="single"/>
        </w:rPr>
        <w:t xml:space="preserve">2023年6月20日</w:t>
      </w:r>
      <w:r>
        <w:rPr>
          <w:rFonts w:ascii="FangSong" w:hAnsi="FangSong" w:eastAsia="FangSong" w:cs="FangSong"/>
          <w:color w:val="000000"/>
          <w:sz w:val="24"/>
        </w:rPr>
        <w:t xml:space="preserve">至</w:t>
      </w:r>
      <w:r>
        <w:rPr>
          <w:rFonts w:ascii="FangSong" w:hAnsi="FangSong" w:eastAsia="FangSong" w:cs="FangSong"/>
          <w:color w:val="000000"/>
          <w:sz w:val="24"/>
          <w:u w:val="single"/>
        </w:rPr>
        <w:t xml:space="preserve">2023年6月27日</w:t>
      </w:r>
      <w:r>
        <w:rPr>
          <w:rFonts w:ascii="FangSong" w:hAnsi="FangSong" w:eastAsia="FangSong" w:cs="FangSong"/>
          <w:color w:val="000000"/>
          <w:sz w:val="24"/>
        </w:rPr>
        <w:t xml:space="preserve">，每天上午</w:t>
      </w:r>
      <w:r>
        <w:rPr>
          <w:rFonts w:ascii="FangSong" w:hAnsi="FangSong" w:eastAsia="FangSong" w:cs="FangSong"/>
          <w:color w:val="000000"/>
          <w:sz w:val="24"/>
          <w:u w:val="single"/>
        </w:rPr>
        <w:t xml:space="preserve">9时00分</w:t>
      </w:r>
      <w:r>
        <w:rPr>
          <w:rFonts w:ascii="FangSong" w:hAnsi="FangSong" w:eastAsia="FangSong" w:cs="FangSong"/>
          <w:color w:val="000000"/>
          <w:sz w:val="24"/>
        </w:rPr>
        <w:t xml:space="preserve">至</w:t>
      </w:r>
      <w:r>
        <w:rPr>
          <w:rFonts w:ascii="FangSong" w:hAnsi="FangSong" w:eastAsia="FangSong" w:cs="FangSong"/>
          <w:color w:val="000000"/>
          <w:sz w:val="24"/>
          <w:u w:val="single"/>
        </w:rPr>
        <w:t xml:space="preserve">下午17时00分</w:t>
      </w:r>
      <w:r>
        <w:rPr>
          <w:rFonts w:ascii="FangSong" w:hAnsi="FangSong" w:eastAsia="FangSong" w:cs="FangSong"/>
          <w:color w:val="000000"/>
          <w:sz w:val="24"/>
        </w:rPr>
        <w:t xml:space="preserve">（北京时间，法定节假日除外）；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地点：江苏省镇江市京口区梦溪路2号A6楼二楼第一会议室；</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方式：经办人须携带</w:t>
      </w:r>
      <w:r>
        <w:rPr>
          <w:rFonts w:ascii="FangSong" w:hAnsi="FangSong" w:eastAsia="FangSong" w:cs="FangSong"/>
          <w:b/>
          <w:color w:val="000000"/>
          <w:sz w:val="24"/>
        </w:rPr>
        <w:t xml:space="preserve">本人身份证复印件及营业执照复印件</w:t>
      </w:r>
      <w:r>
        <w:rPr>
          <w:rFonts w:ascii="FangSong" w:hAnsi="FangSong" w:eastAsia="FangSong" w:cs="FangSong"/>
          <w:color w:val="000000"/>
          <w:sz w:val="24"/>
        </w:rPr>
        <w:t xml:space="preserve">（均加盖单位公章）进行</w:t>
      </w:r>
      <w:r>
        <w:rPr>
          <w:rFonts w:ascii="FangSong" w:hAnsi="FangSong" w:eastAsia="FangSong" w:cs="FangSong"/>
          <w:b/>
          <w:color w:val="000000"/>
          <w:sz w:val="24"/>
        </w:rPr>
        <w:t xml:space="preserve">现场报名</w:t>
      </w:r>
      <w:r>
        <w:rPr>
          <w:rFonts w:ascii="FangSong" w:hAnsi="FangSong" w:eastAsia="FangSong" w:cs="FangSong"/>
          <w:color w:val="000000"/>
          <w:sz w:val="24"/>
        </w:rPr>
        <w:t xml:space="preserve">；</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售价：报名1个标段缴纳300元，在此基础上，如增加其他标段的报名，按照100元/标段另计。</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投标文件截止时间、开标时间：</w:t>
      </w:r>
      <w:r>
        <w:rPr>
          <w:rFonts w:ascii="FangSong" w:hAnsi="FangSong" w:eastAsia="FangSong" w:cs="FangSong"/>
          <w:color w:val="000000"/>
          <w:sz w:val="24"/>
          <w:u w:val="single"/>
        </w:rPr>
        <w:t xml:space="preserve">2023年7月12日09点00分</w:t>
      </w:r>
      <w:r>
        <w:rPr>
          <w:rFonts w:ascii="FangSong" w:hAnsi="FangSong" w:eastAsia="FangSong" w:cs="FangSong"/>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地点：江苏省镇江市京口区梦溪路2号A6楼二楼第一会议室。</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六、其他补充事宜</w:t>
      </w:r>
      <w:r/>
    </w:p>
    <w:p>
      <w:pPr>
        <w:ind w:left="0" w:right="0" w:firstLine="54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招标文件。</w:t>
      </w:r>
      <w:r/>
    </w:p>
    <w:p>
      <w:pPr>
        <w:pStyle w:val="63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江苏科技大学</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江苏省镇江市京口区梦溪路2号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0511-84400336</w:t>
      </w:r>
      <w:r>
        <w:rPr>
          <w:rFonts w:ascii="FangSong" w:hAnsi="FangSong" w:eastAsia="FangSong" w:cs="FangSong"/>
          <w:color w:val="000000"/>
          <w:sz w:val="24"/>
        </w:rPr>
        <w:t xml:space="preserve">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中通服咨询设计研究院有限公司</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rPr>
          <w:rFonts w:ascii="FangSong" w:hAnsi="FangSong" w:eastAsia="FangSong" w:cs="FangSong"/>
          <w:color w:val="000000"/>
          <w:sz w:val="24"/>
          <w:u w:val="single"/>
        </w:rPr>
        <w:t xml:space="preserve">南京市建邺区楠溪江东街58号</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15952027799（报名）、15301580836、19951762792</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w:t>
      </w:r>
      <w:r>
        <w:rPr>
          <w:rFonts w:ascii="FangSong" w:hAnsi="FangSong" w:eastAsia="FangSong" w:cs="FangSong"/>
          <w:color w:val="000000"/>
          <w:sz w:val="24"/>
          <w:u w:val="single"/>
        </w:rPr>
        <w:t xml:space="preserve">李晨裔（报名）、吴鑫乐、郑春雅、徐磊、李谦、夏宜宁、朱晓琦、周明珠、陈沭、朱闵远</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rPr>
          <w:rFonts w:ascii="FangSong" w:hAnsi="FangSong" w:eastAsia="FangSong" w:cs="FangSong"/>
          <w:color w:val="000000"/>
          <w:sz w:val="24"/>
          <w:u w:val="single"/>
        </w:rPr>
        <w:t xml:space="preserve">15952027799（报名）、15301580836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第二章投标人须知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前附表</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2030"/>
        <w:gridCol w:w="5754"/>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江苏科技大学食堂风味特色窗口合作经营项目（细点、水饺、面条、拉面类）</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江苏科技大学</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公开招标</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标段划分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本项目分为11个标段</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现场勘查时间地点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时间点1：2023年6月28日上午09点00分（北京时间）时间点2：2023年6月28日下午15点00分（北京时间）</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地点1：长山校区西食堂一楼</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地点2：梦溪校区学生食堂一楼</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联系人及电话：</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王老师，15951282248（长山校区）</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桂老师，15952802185（梦溪校区）</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1、上述两个时间点投标人可根据自身情况任意选择，未按时到达踏勘现场或未到达踏勘现场的，招标人将不再另行组织踏勘。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2、一旦投标人中标，中标人不得以不完全了解现场为由，而提出额外的赔偿、补偿、增加费用等要求，对此招标人不予采纳。</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履约保证金金额：</w:t>
            </w:r>
            <w:r>
              <w:rPr>
                <w:rFonts w:ascii="FangSong" w:hAnsi="FangSong" w:eastAsia="FangSong" w:cs="FangSong"/>
                <w:color w:val="000000"/>
                <w:sz w:val="24"/>
                <w:u w:val="single"/>
              </w:rPr>
              <w:t xml:space="preserve">人民币20000元整</w:t>
            </w:r>
            <w:r>
              <w:rPr>
                <w:rFonts w:ascii="FangSong" w:hAnsi="FangSong" w:eastAsia="FangSong" w:cs="FangSong"/>
                <w:color w:val="000000"/>
                <w:sz w:val="24"/>
              </w:rPr>
              <w:t xml:space="preserve">（大写人民币贰万圆整）</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收款单位：江苏科技大学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收款账号：381006717010149000338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开户银行：交行镇江江科大支行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1、中标人在接到中标通知书后，须缴纳履约保证金贰万元整。凭中标通知书和履约保证金缴费凭证方可签订合作协议。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2、本项目执行结束后，中标人提供相关资料申请，五个工作日内等额无息退还。</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投标截止日后90日内有效</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三年（自2023年8月起至2026年7月止）</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招标文件售价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报名1个标段缴纳300元，在此基础上，如增加其他标段的报名，按照100元/标段另计</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一套正本，四套副本。开标一览表根据标段号进行单独封装。</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投标文件必须装订成册且密封完好</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投标文件递交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送达地点：江苏省镇江市京口区梦溪路2号A6楼二楼第一会议室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投标截止时间：2023年7月12日上午9时00分整</w:t>
            </w:r>
            <w:r/>
          </w:p>
        </w:tc>
      </w:tr>
      <w:tr>
        <w:trPr>
          <w:trHeight w:val="1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时间：2023年7月12日上午9时00分整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地址：江苏省镇江市京口区梦溪路2号A6楼二楼第一会议室</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综合评分法</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投标人须在领取中标通知书前向招标代理服务机构一次性缴纳中标服务费（1400元/标段），未按时缴纳中标服务费的投标人，自行承担法律后果。</w:t>
            </w:r>
            <w:r/>
          </w:p>
        </w:tc>
      </w:tr>
    </w:tbl>
    <w:p>
      <w:pPr>
        <w:ind w:left="0" w:right="0" w:firstLine="436"/>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本次招标采取公开招标方式，本招标文件仅适用于招标公告中所述项目。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满足本文件实质性条款的规定。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本次招标及由此产生的合同受中华人民共和国有关的法律法规制约和保护。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4.1投标人应自行承担所有与参加投标有关的费用，无论投标过程中的做法和结果如何，招标代理机构和采购人在任何情况下均无义务和责任承担这些费用。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w:t>
      </w:r>
      <w:r>
        <w:rPr>
          <w:rFonts w:ascii="FangSong" w:hAnsi="FangSong" w:eastAsia="FangSong" w:cs="FangSong"/>
          <w:color w:val="000000"/>
          <w:sz w:val="24"/>
        </w:rPr>
        <w:t xml:space="preserve">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5.1投标人一旦参加本项目采购活动，即被认为接受了本招标文件的规定和约束。</w:t>
      </w:r>
      <w:r/>
    </w:p>
    <w:p>
      <w:pPr>
        <w:ind w:left="0" w:right="0" w:firstLine="281"/>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（1）招标公告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（3）合同主要条款</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（4）项目要求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（5）评标方法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请仔细检查招标文件是否齐全，如有缺漏请立即与招标代理机构联系解决。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7.1任何要求对招标文件进行澄清的投标人，应在投标文件接收截止期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前按招标文件的通讯地址，以书面形式通知招标代理机构。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8.1在投标截止时间前，招标代理机构可以对招标文件进行修改。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招标代理机构有权按照法定的要求推迟投标截止日期和开标日期。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招标文件的补充文件将作为招标文件的组成部分，并对投标人具有约束力。</w:t>
      </w:r>
      <w:r/>
    </w:p>
    <w:p>
      <w:pPr>
        <w:ind w:left="0" w:right="0" w:firstLine="422"/>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9.1投标人提交的投标文件以及投标人与招标代理机构就有关投标的所有来往通知、函件和文件均应使用简体中文。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9.2除技术性能另有规定外，投标文件所使用的度量衡单位，均须采用国家法定计量单位。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10.1投标人编写的投标文件应包括投标函、开标一览表（报价表）、法定代表人授权委托书、法人或者其他组织的营业执照等证明文件，自然人的身份证明等部分。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10.2投标人应将投标文件按顺序装订成册，并编制投标文件资料目录。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11、证明投标人资格及符合招标文件规定的文件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11.1投标人应按要求提交资格证明文件及符合招标文件规定的文件。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11.2投标人应提交证明其有资格参加投标和中标后有能力独立履行合同的文件。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11.3投标人除必须具有履行合同所需提供的服务能力外，还必须具备相应的财务、技术方面的能力。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11.4投标人应提交根据合同要求提供符合招标文件规定的证明文件。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11.5证明投标人所提与招标文件的要求相一致的文件可以是文字资料和数据。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12、相关费用要求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12.1含税投标报价中应包括人员服务和优惠、利润、税金、政策性文件规定及中标后所含的风险、责任等所有可能影响到项目运行正常，配置组成与功能完整，可交付使用的因素。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12.2其它费用处理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招标文件未列明，而投标人认为必需的费用也需列入报价。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12.3投标货币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投标文件中的报价无特殊规定的采用人民币报价，以元为单位标注。招标文件中另有规定的按规定执行。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13、合作要求响应及偏离表、合同条款响应及偏离表及投标说明。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对招标文件中的合作要求与合同条款要求逐项作出响应或偏离，并说明原因。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投标人认为需要的其他技术文件或说明。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14、服务承诺及服务人员架构、情况介绍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14.1投标人的服务承诺应按不低于招标文件中要求的标准。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14.2提供投标人有关服务的管理制度、服务机构的分布情况、服务人员的数量、素质、技术水平及服务的反应能力。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15.1投标人应按照招标文件中提供的格式完整、正确填写投标函、开标一览表。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16、履约保证金</w:t>
        <w:br/>
        <w:t xml:space="preserve">16.1中标人在接到中标通知书后，须缴纳履约保证金贰万元整。凭中标通知书和履约保证金缴费凭证方可签订合作协议。</w:t>
        <w:br/>
        <w:t xml:space="preserve">16.2本项目执行结束后，中标人提供相关资料申请，五个工作日内等额无息退还。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17.1投标有效期为招标代理机构规定的开标之日后</w:t>
      </w:r>
      <w:r>
        <w:rPr>
          <w:rFonts w:ascii="FangSong" w:hAnsi="FangSong" w:eastAsia="FangSong" w:cs="FangSong"/>
          <w:b/>
          <w:color w:val="000000"/>
          <w:sz w:val="24"/>
          <w:u w:val="single"/>
        </w:rPr>
        <w:t xml:space="preserve">九十（90）天</w:t>
      </w:r>
      <w:r>
        <w:rPr>
          <w:rFonts w:ascii="FangSong" w:hAnsi="FangSong" w:eastAsia="FangSong" w:cs="FangSong"/>
          <w:color w:val="000000"/>
          <w:sz w:val="24"/>
        </w:rPr>
        <w:t xml:space="preserve">。投标有效期比规定短的将被视为非响应性投标而予以拒绝。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18、投标文件份数和签署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18.1投标人应严格按照招标公告要求的份数准备投标文件，每份投标文件须清楚地标明“正本”或“副本”字样。一旦正本和副本不符，以正本为准。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投标文件正本中，除采购文件规定的可提交复印件外，其他文件均须提交原件，文字材料需打印或用不褪色墨水书写。投标文件的正本须经法定代表人或授权代表签署和加盖投标人公章。本采购文件所表述（指定）的公章是指法定名称章，如投标人须使用合同专用章或业务专用章等对投标文件进行签署，则须提供文件证明专用章与单位章效力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18.3除投标人对错处做必要修改外，投标文件不得行间插字、涂改或增删。如有修改错漏处，必须由投标文件签署人签字或盖章。</w:t>
      </w:r>
      <w:r/>
    </w:p>
    <w:p>
      <w:pPr>
        <w:ind w:left="0" w:right="0" w:firstLine="422"/>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19、投标文件的密封和标记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19.1投标人应将投标文件正本和所有副本密封，不论投标人中标与否，投标文件均不退回。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19.2密封的投标文件应：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19.2.1所有封袋上都应写明招标人名称和项目名称以及投标人的名称。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19.2.2所有封袋上都应加盖投标人公章和法人代表或者委托人的印章或签字。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19.2.3未按要求密封和加写标记，招标代理机构对误投或过早启封概不负责。对由此造成提前开封的投标文件，招标代理机构将予以拒绝，作无效投标处理。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20、投标截止日期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20.1招标代理机构收到投标文件的时间不得迟于招标公告中规定的截止时间。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20.2招标代理机构可以按照规定，通过修改招标文件酌情延长投标截止日期，在此情况下，投标人的所有权利和义务以及投标人受制的截止日期均应以延长后新的截止日期为准。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21.1招标代理机构拒绝接收在其规定的投标截止时间后递交的任何投标文件。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22.1投标人在递交投标文件后，可以修改或撤回其投标文件，但这种修改和撤回，必须在规定的投标截止时间前，以书面形式通知招标代理机构，修改或撤回其投标文件。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22.3在投标截止时间之后，投标人不得对其投标文件作任何修改。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22.4在投标截止时间至招标文件中规定的投标有效期满之间的这段时间内，投标人不得撤回其投标。</w:t>
      </w:r>
      <w:r/>
    </w:p>
    <w:p>
      <w:pPr>
        <w:ind w:left="0" w:right="0" w:firstLine="422"/>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23.1招标代理机构将在招标公告中规定的时间和地点组织公开开标。投标人应委派投标人代表准时参加，参加开标的代表需签名以证明其出席。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23.2开标仪式由招标代理机构组织，采购人代表、投标人代表等参加。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23.3按照规定同意撤回的投标将不予开封。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 开标时由投标人推选的代表查验投标文件密封情况，确认无误后，招标代理机构当众拆封宣读每份投标文件中“开标一览表”的内容，未列入开标一览表的内容一律不在开标时宣读。开标时未宣读的投标报价信息，不得在评标时采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23.5 招标代理机构将指定专人负责开标记录并存档备查，各投标人需仔细核对开标记录相关内容并签字确认。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23.6 投标人在报价时不允许采用选择性报价，否则将被视为无效投标。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24.1开标后，招标代理机构将立即组织评标委员会（以下简称评委会）进行评标。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 评委会由采购人代表和有关技术、经济等方面的专家组成，且人员构成符合有关规定。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24.3评委会独立工作，负责评审所有投标文件并确定中标侯选人。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25.1开标后，直至向中标的投标人授予合同时止，凡是与审查、澄清、评价和比较投标的有关资料以及授标建议等，采购人、评委、招标代理机构均不得向投标人或与评标无关的其他人员透露。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25.3在评标期间，招标代理机构将设专门人员与投标人联系。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 招标代理机构和评标委员会不向落标的投标人解释未中标原因，也不公布评标过程中的相关细节。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26.1评标期间，为有助于对投标文件的审查、评价和比较，评委会有权以书面形式要求投标人对其投标文件进行澄清，但并非对每个投标人都作澄清要求。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 接到评委会澄清要求的投标人如未按规定做出澄清，其风险由投标人自行承担。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27.2评委会将按上述修正错误的方法调整投标文件中的投标报价，调整后的价格应对投标人具有约束力。如果投标人不接受修正后的价格，则其投标将被拒绝。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27.3评委会将允许修正投标文件中不构成重大偏离的、微小的、非正规的、不一致的或不规则的地方，但这些修改不能影响任何投标人相应的名次排列。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28、无效投标条款、重新招标</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28.1无效投标条款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28.1.1未按照招标文件规定要求密封、签署、盖章的。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28.1.2投标人在报价时采用选择性报价的。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28.1.3投标人不具备招标文件中规定资格要求的。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28.1.4未通过符合性检查的。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28.1.5投标人的投标报价高出招标文件规定的最高限价的。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28.1.6投标人未能完全响应招标文件有关招标内容及服务要求的。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28.1.7不符合招标文件中规定的其他实质性要求和条件的（本招标文件中有下划线部分为实质性要求和条件）。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28.1.8投标文件含有采购人不能接受的附加条件的。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28.1.9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28.1.10其他法律、法规及本招标文件规定的属无效投标的情形。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28.2.1投标截止时间止，投标人少于3个的；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28.2.2经评标委员会评审后否决所有投标的；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28.2.3法律、法规规定的其他重新招标的情形。</w:t>
      </w:r>
      <w:r/>
    </w:p>
    <w:p>
      <w:pPr>
        <w:ind w:left="0" w:right="0" w:firstLine="422"/>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29.1评委会根据本招标文件规定评分办法与评分标准向采购人推荐出中标候选人。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29.2采购人应根据评委会推荐的中标候选人确定中标人。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29.3.2向采购人、招标代理机构行贿或者提供其他不正当利益的。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29.3.3恶意竞争，投标总报价明显低于其自身合理成本且又无法提供证明的。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29.3.4属于本文件规定的无效条件，但在评标过程中又未被评委会发现的。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29.3.5与采购人或者其他供应商恶意串通的。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29.3.6采取不正当手段诋毁、排挤其他供应商的。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29.3.7不符合法律、法规的规定的。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29.4.3 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29.4.5不同投标人的投标文件相互混装。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29.4.6不同投标人的投标保证金从同一单位或者个人的账户转出。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30.l中标结果确定后，招标代理机构将向中标供应商发出中标通知书。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30.2 中标供应商收到中标通知书后，须立即以书面形式回复招标代理机构，确认中标通知书已收到。若无书面回复，则公告后视同中标人已经知悉并同意接受。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l中标人应按中标通知书规定的时间、地点，按照招标文件确定的事项与采购人签订合同，且不得迟于中标通知书发出之日起三十日内，否则履约保证金将不予退还，由此给采购人造成损失的，中标人还应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31.2招标文件、中标人的投标文件及招标过程中有关澄清、承诺文件均应作为合同附件。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31.3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32.1详见投标人须知前附表。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第三章合同主要条款</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合同条款仅为参考格式，具体内容可由甲乙双方在实际签订时另行协商确定，最终内容以甲方通过法律审查的文本为准。</w:t>
      </w:r>
      <w:r/>
    </w:p>
    <w:p>
      <w:pPr>
        <w:ind w:left="0"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 </w:t>
      </w:r>
      <w:r/>
    </w:p>
    <w:p>
      <w:pPr>
        <w:ind w:left="0"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法人代表或委托代理人：</w:t>
      </w:r>
      <w:r/>
    </w:p>
    <w:p>
      <w:pPr>
        <w:ind w:left="0"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经办人：身份证号码：</w:t>
      </w:r>
      <w:r/>
    </w:p>
    <w:p>
      <w:pPr>
        <w:ind w:left="0"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p>
    <w:p>
      <w:pPr>
        <w:ind w:left="0"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法人代表：</w:t>
      </w:r>
      <w:r/>
    </w:p>
    <w:p>
      <w:pPr>
        <w:ind w:left="0" w:right="0" w:firstLine="0"/>
        <w:jc w:val="both"/>
        <w:spacing w:before="0" w:after="312"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经办人：身份证号码：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满足学校食堂多元化就餐需求，丰富伙食品种，做好优质服务，规范合作双方行为，依据《中华人民共和国合同法》及国家相关法律法规，甲乙双方本着公平公正，互惠互利，加强协作，共同发展的宗旨，经双方协商一致，签订本协议，以兹共同遵守。</w:t>
      </w:r>
      <w:r/>
    </w:p>
    <w:p>
      <w:pPr>
        <w:ind w:left="0" w:right="0" w:firstLine="561"/>
        <w:jc w:val="both"/>
        <w:spacing w:before="156"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第一条协议项目及协议性质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1.经营项目：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2.协议性质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本协议为风味特色项目承揽，属合作协议，不属劳务派遣，甲方与乙方无派遣关系，且与乙方员工无用工关系和劳动关系。</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第二条合作地点及范围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本协议合作地点位于江苏科技大学XXXX校区，地址为镇江市XXXX。</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2.经营范围</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经营XXXX。</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第三条质量标准</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生产经营的产品质量、价格标准以双方协商标准为准。</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第四条考核及奖惩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1.考核内容和标准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考核内容包括：基础管理考核、服务质量考核、伙食意见考核、供应生产考核、安全管理考核五部分组成，并按照考核标准对应的任务区域进行现场考核，具体考核标准见附件《食堂风味特色窗口考核表》。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2.考核奖惩</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（1）85分以上，按商定的标准发放承揽费。</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（2）低于85分的，每低于1分扣除200元。</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（3）连续2个月考核低于85分的，每低1分双倍扣除。</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（4）95分以上者给予一定的奖励，奖励额度各部门根据具体情况与中心商讨确定。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（5）乙方在经营过程中，如超出经营范围，甲方有权对乙方进行处罚（50元/次-2000元/次），并限期纠正、改进，如不整改的甲方可以采取必要措施直至终止协议。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（6）因乙方责任发生安全责任事故造成的各种损失，由乙方全额承担。重大事故按照相关法律规定追究相应的法律责任。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b/>
          <w:color w:val="000000"/>
          <w:sz w:val="24"/>
        </w:rPr>
        <w:t xml:space="preserve">第五条合作期限</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本协议合作期XXXX，即自20XX年XX月XX日至20XX年XX月XX日止。</w:t>
      </w:r>
      <w:r/>
    </w:p>
    <w:p>
      <w:pPr>
        <w:ind w:left="0" w:right="0" w:firstLine="241"/>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第六条合作费用及结算标准</w:t>
      </w:r>
      <w:r>
        <w:rPr>
          <w:rFonts w:ascii="FangSong" w:hAnsi="FangSong" w:eastAsia="FangSong" w:cs="FangSong"/>
          <w:color w:val="000000"/>
          <w:sz w:val="24"/>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每月经营毛利率一般控制在XX以内，合作费用比例控制在XX以内，合作费用结算比例根据每月经营毛利率和合同毛利率上限对比情况，进行同幅度下降。（注：毛利率=毛利/营业收入，毛利=营业收入-直接成本，直接成本=采购成本+水电气费用）</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2.乙方经营毛利率超过XX时，按毛利率XX结算合作费用。</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3.毛利去除合作费用之后的剩余部分用于食堂公用费用和政策性支出。</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4.乙方必须提供正式税务发票给甲方进行合作费用结算。</w:t>
      </w:r>
      <w:r/>
    </w:p>
    <w:p>
      <w:pPr>
        <w:ind w:left="0" w:right="0" w:firstLine="241"/>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第七条甲方权利与义务</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1.甲方根据《江苏科技大学食堂风味特色窗口管理办法》对乙方进行管理考核。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2.根据考核结果，进行奖惩，核定应支付给乙方的合作费用。</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3.甲方委托食堂主任对本协议的履行、监督、考核进行日常管理，发现问题及时通知乙方整改，如整改不到位食堂主任可视情况采取必要措施。</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4.甲方有义务将乙方作业区域内的客户投诉及时通报并协助乙方处理，核实客户投诉，判定投诉是否属实，并与乙方进行沟通和确认；对乙方进行处理。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5.甲方应按考核结果按月支付乙方合作费用，开学当月如实际经营不足10天，则与次月合并结算。</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6.甲方为乙方提供与经营服务相关的财务服务。</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7.甲方负责乙方水、电、气正常供应，水、电、气费用根据《饮服中心水电费、燃气费分摊管理办法》分摊，由乙方承担。</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8.甲方根据乙方的请购，及时组织各类生产原料的采购供给。甲方如发现乙方自行采购原料，甲方有权责令其停止并予以经济处罚，若再次发现类似情况或造成不良后果的，甲方可终止乙方经营权。</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9.甲方协助乙方处理经营中发生矛盾纠纷的调解工作，维护乙方的合法经营权。</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10.项目合作协议到期，自行终止。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第八条乙方的权利与义务</w:t>
      </w:r>
      <w:r/>
    </w:p>
    <w:p>
      <w:pPr>
        <w:ind w:left="0" w:right="0" w:firstLine="567"/>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1.按照法律法规的要求，乙方必须具有相应的资质要求和安全生产条件。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2.乙方必须遵守《食品安全法》等国家的法律法规以及学校的各项管理规定，不得有违法乱纪行为，否则，由此产生的一切法律后果和责任均由乙方承担。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负责按照合作协议的内容和任务量招聘、录用员工，并自主签订、终止和解除劳动协议。乙方录用人员要进行岗前培训，经培训合格且通过甲方认证，办理劳动用工备案登记后方可进入岗位作业，女士超过55岁，男士超过65岁的，不得使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4.乙方自行负责对其员工薪酬标准进行确定和考核，以及劳动保护、职业危害防护和社会保险的办理。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5.乙方对其内部的招聘、工资、社会保险、工伤等劳动用工事项，必须符合法律法规的要求，并承担用工的全部责任。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6.乙方按照甲方任务标准自行组织具体的生产经营管理。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7.乙方负责维护和管理甲方提供的机械设备，安全合理使用，如有因保管不善造成丢失，需要按照重置价格承担赔偿责任，经营期内乙方自行购置的设备等，期满乙方自行处置。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8.乙方对甲方提出的质量问题要及时进行整改。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9.乙方按考核结果按月从甲方取得合作费用，并按时向员工发放薪酬。</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10.乙方必须遵守双方约定的品种和价格，增加新品种及其定价必须经甲方批准确认。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11.乙方必须在甲方规定的场所、时间和经营范围内提供生产和服务，不得随意关停。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12.乙方员工必须持有效健康证上岗。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13.乙方负责经营过程中的全部经营费用，包括人员工资、保险、福利、水电汽费用，小型维修费（单价在200元以下），体检健康证费等。乙方对经营过程中发生的一切债权债务负全责。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14.乙方必须参加甲方必要的会议、活动，乙方不得借故缺席，乙方必须做好职工思想政治工作，定期召开工作例会，管理好自身职工。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15.乙方必须严格遵守甲方的各项管理规定，填写各类记录表单，接受甲方监督和考核奖惩。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16.乙方所用人员的工作服、帽、围裙由甲方统一配备，费用由乙方负担。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17.乙方必须依法用工，为员工购买雇主责任险（保额不低于人民币50万元）。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18.乙方需缴纳</w:t>
      </w:r>
      <w:r>
        <w:rPr>
          <w:rFonts w:ascii="FangSong" w:hAnsi="FangSong" w:eastAsia="FangSong" w:cs="FangSong"/>
          <w:b/>
          <w:color w:val="000000"/>
          <w:sz w:val="24"/>
        </w:rPr>
        <w:t xml:space="preserve">X</w:t>
      </w:r>
      <w:r>
        <w:rPr>
          <w:rFonts w:ascii="FangSong" w:hAnsi="FangSong" w:eastAsia="FangSong" w:cs="FangSong"/>
          <w:color w:val="000000"/>
          <w:sz w:val="24"/>
        </w:rPr>
        <w:t xml:space="preserve">万元人民币作为承揽项目的押金。</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第九条协议的解除和终止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w:t>
      </w:r>
      <w:r>
        <w:rPr>
          <w:rFonts w:ascii="FangSong" w:hAnsi="FangSong" w:eastAsia="FangSong" w:cs="FangSong"/>
          <w:color w:val="000000"/>
          <w:sz w:val="24"/>
        </w:rPr>
        <w:t xml:space="preserve">.甲方加强对乙方运营管理考核，年度考核85分以上的单位，续签合作协议，85分以下的退出合作。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2.乙方不得采用现金、支付宝、微信等个人收款方式收取销售额，违反查实后，一次扣除承揽费用1000元，两次以上取消协议。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3.乙方在合作期间出现下列情况之一的，立即终止合作协议：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（1）未履行相关法律法规、标准以及合作协议文本中的规定，导致经营管理混乱。</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（2）拒绝接受有关部门和后勤集团安排的各类检查、监督且情节严重影响恶劣。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（3）发生食物中毒事故或安全生产责任事故。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（4）因伙食质量、食品卫生、服务质量等问题而引起学生罢餐等群体事件，造成恶劣影响。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（5）弄虚作假、不按合同约定范围经营、有转包分包行为，经学校规劝整改无效且情节严重。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（6）一年内师生有效投诉超过5次，造成恶劣影响。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（7）饮服中心月度考核连续两次75分以下。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（8）因自身原因导致经营状况较差，连续六个月出现亏损，不能正常经营或有效履约。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3.协议期内任何一方不得无故单方面终止协议，出现无法履行协议的情况须提前解约时，应提前一个月以书面形式通知对方，否则须向对方支付正常月度合作费用10％的违约金。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4.根据第九条第2款的规定，由甲方终止本协议的，乙方应在15个工作日内做好以下工作，否则视为违约。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为确保乙方现场服务人员的合法权益，避免乙方与员工劳动争议纠纷对甲方的影响，乙方应及时与员工结算薪资。经甲方确认，在乙方与员工薪资现场结算完毕后，甲方向乙方支付最后一个月度的承揽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（2）若因乙方对员工离职、薪资结算等处理不当，对甲方造成不良影响及后果的，乙方应向甲方支付金额为正常月度合作费用50％的违约金，甲方据此可在最后一个月度的合作费用中扣除此违约金。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b/>
          <w:color w:val="000000"/>
          <w:sz w:val="24"/>
        </w:rPr>
        <w:t xml:space="preserve"> 第十条其他事宜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1.其他未尽事宜，双方可签订补充协议。发生争议的，由双方协商解决，协商不能达成一致的，可向甲方所在地的人民法院提起诉讼。</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2.本协议、补充协议、附件的每页均需盖章。补充协议、附件与本协议具有同等法律效力。本协议附件自本协议签章之日起一并生效。</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3.本协议一式叁份，甲方贰份、乙方壹份，自双方签字盖章之日起生效，均具同等法律效力。</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附件一：《饮服中心水电费、燃气费分摊管理办法》</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附件二：《食堂风味特色窗口考核评分表》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甲方(盖章)：                          乙方(盖章)：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甲方法定代表人(签字)：                乙方法定代表人(签字)：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甲方经办人（签字）：乙方经办人（签字）：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签订日期：签订日期：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附件一：饮服中心水电费、燃气费分摊管理办法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饮服中心所属各餐厅、部门实行班组化管理，经济运行独立核算，相关水电气费用均纳入成本列支。由于各班组及公共部位未完全配置相关的独立计量表，各班组及公共部位所消耗的水电（如电梯、照明、排油烟排风系统、就餐厅空调、保洁等）无法准确计量。现本着相对公平、合理的原则，制定本管理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一、正常经营月份（3—6月、9—12月）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按当月水电气实际发生数全额分摊到各班组，具体办法为：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单体建筑含多个餐厅、部门的情况下，根据水电中心给出的单体建筑水电费总额，按照各餐厅、部门的营业额比例，分摊到该建筑的各餐厅、部门（西食堂分摊到西苑学生餐厅、西苑风味餐厅、集中保障部，东食堂分摊到东苑学生餐厅、东苑风味餐厅、 东苑教工餐厅），然后再由该餐厅、部门进行各经营班组二次分摊。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2.单体建筑为独立餐厅、部门的情况下，根据水电中心提供的单体水电费总额，由该餐厅、部门进行各经营班组直接分摊。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餐厅、部门根据所应承担的水电费总额加上所属经营班组及公用班组燃气费总额，合计出当月各餐厅、部门能源消耗总额，再除以各餐厅、部门当月营业额，计算出各餐厅、部门当月能耗比，以此作为依据，分摊各班组的水电、燃气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4.销售班组，如水果、糕点根据合同约定，不进行能耗分摊。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生产班组，需首先将有独立抄表计量的燃气费计入各班组，再将公用部分（如蒸煮间、洗碗间等）燃气费按照营业额比例分摊到各班组，最后依据该餐厅、部门的当月能耗比差额分摊水电费，使各生产班组的能耗比基本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6.有其它约定分摊方式的班组，按照约定执行。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二、非正常经营月份（1—2、7—8月）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按第一条1、2、3步骤，计算出1—2月、7—8月各餐厅、部门能耗比。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1.能耗比在5%以内（含5%），按照第一条4、5、6条款的方式分摊。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2.能耗比超出5%时, 以能耗比5%按照第一条4、5、6条款的方式分摊，5%以上部分的能耗由各餐厅、部门的公用组承担。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三、每月水电、燃气抄表时间相对固定，以实际抄表数计入当月。</w:t>
      </w:r>
      <w:r>
        <w:rPr>
          <w:rFonts w:ascii="FangSong" w:hAnsi="FangSong" w:eastAsia="FangSong" w:cs="FangSong"/>
          <w:color w:val="000000"/>
          <w:sz w:val="28"/>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附件二：食堂风味特色窗口考核评分表</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部门：班组：年月日</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9"/>
        <w:gridCol w:w="3666"/>
        <w:gridCol w:w="960"/>
        <w:gridCol w:w="2905"/>
        <w:gridCol w:w="928"/>
      </w:tblGrid>
      <w:tr>
        <w:trPr>
          <w:trHeight w:val="1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存在问题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础</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员工着装是否规范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现场是否按7S要求进行管理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各项生产记录是否填写完整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是否准时参加中心部门的各项管理会议并传达到位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用工是否超龄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用工是否符合法律规范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员工是否先领健康证后上岗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员工上岗前是否进行岗前培训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3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是否按三声微笑服务要求提供服务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窗口服务时违规收款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菜肴是否符合质价相符的原则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新品种是否经中心审核批准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集团满意率测试是否达到85%以上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9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是否按约定的价格出售食品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伙</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窗口是否收到师生投诉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网络是否接收到舆情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学生座谈会是否接收到意见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窗口服务时是否发生口角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是否遭到重复投诉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提供服务时因态度欠佳引起投诉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1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脱离工作岗位影响服务质量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是否按规定的时间开餐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是否按规定的时间停止供应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供应期间是否出现断档现象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食堂有特殊接待时是否服从调整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班组负责人是否参加生产经营工作（每周不少于5次）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食品生产加工环节是否按食品安全法要求进行管理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是否进行安全生产培训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是否私自购买原料并投入生产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是否按照设备的操作规程进行操作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是否出现员工私自携带原料或者食品出食堂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bl>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注：每月累计考核一次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1.85分以上，满额发放业务承揽费。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2.低于85分的，每低于1分扣除200元。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3.连续2个月考核低于85分的，每低1分双倍扣除。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4.95分以上者给予一定的奖励，每次奖励200-500元。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5.饮服中心月度考核连续两次75分以下，提前终止合同。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6.乙方发生重大责任事故或影响较大的违纪违法行为时，提前终止合同。</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7.本表作为考核依据，最终解释权归饮服中心。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第四章项目要求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1.项目要素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1.1细点类</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2030"/>
        <w:gridCol w:w="1484"/>
        <w:gridCol w:w="1482"/>
        <w:gridCol w:w="2192"/>
      </w:tblGrid>
      <w:tr>
        <w:trPr>
          <w:trHeight w:val="437"/>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标段号</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窗口位置</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主要经营品种</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综合毛利率</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经营服务费比例区间</w:t>
            </w:r>
            <w:r/>
          </w:p>
        </w:tc>
      </w:tr>
      <w:tr>
        <w:trPr>
          <w:trHeight w:val="43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各式早点、细点等品种</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3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标段2</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各式早点、细点等品种</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3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标段3</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长山校区东食堂一楼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各式早点、细点等品种</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3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标段4</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长山校区东食堂一楼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各式早点、细点等品种</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3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标段5</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梦溪校区东苑餐厅</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各式早点、细点等品种</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3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标段6</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梦溪校区学生食堂</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各式早点、细点等品种</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35%-38%</w:t>
            </w:r>
            <w:r/>
          </w:p>
        </w:tc>
      </w:tr>
      <w:tr>
        <w:trPr>
          <w:trHeight w:val="157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71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1.场所基础设备已配置，少量特殊设备根据生产需要自行购置。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2.综合毛利率=综合毛利/营业收入，综合毛利=营业收入-直接成本，直接成本=采购成本+水电气费+班组设备维修费。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3.投标人所报经营服务费比例须在上述经营服务费比例区间内</w:t>
            </w:r>
            <w:r>
              <w:rPr>
                <w:rFonts w:ascii="FangSong" w:hAnsi="FangSong" w:eastAsia="FangSong" w:cs="FangSong"/>
                <w:b/>
                <w:color w:val="333333"/>
                <w:sz w:val="24"/>
              </w:rPr>
              <w:t xml:space="preserve">。</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1.2水饺、面条、拉面类</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7"/>
        <w:gridCol w:w="1991"/>
        <w:gridCol w:w="1667"/>
        <w:gridCol w:w="1262"/>
        <w:gridCol w:w="2196"/>
      </w:tblGrid>
      <w:tr>
        <w:trPr>
          <w:trHeight w:val="469"/>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标段号</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窗口位置</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主要经营品种</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综合毛利率</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21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经营服务费比例区间</w:t>
            </w:r>
            <w:r/>
          </w:p>
        </w:tc>
      </w:tr>
      <w:tr>
        <w:trPr>
          <w:trHeight w:val="46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9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水饺系列</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6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标段8</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9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长山校区西食堂二楼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面条系列</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6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标段9</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9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长山校区东食堂一楼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面条系列</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46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标段10</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9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长山校区东食堂二楼</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拉面系列</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32%-35%</w:t>
            </w:r>
            <w:r/>
          </w:p>
        </w:tc>
      </w:tr>
      <w:tr>
        <w:trPr>
          <w:trHeight w:val="46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标段11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9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梦溪校区东苑餐厅</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面条系列</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47%</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1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4"/>
              </w:rPr>
              <w:t xml:space="preserve">27%-30%</w:t>
            </w:r>
            <w:r/>
          </w:p>
        </w:tc>
      </w:tr>
      <w:tr>
        <w:trPr>
          <w:trHeight w:val="137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71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1.场所基础设备已配置，少量特殊设备根据生产需要自行购置。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2.综合毛利率=综合毛利/营业收入，综合毛利=营业收入-直接成本，直接成本=采购成本+水电气费+班组设备维修费。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3.投标人所报经营服务费比例须在上述经营服务费比例区间内。</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2.合作要求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2.1合作方资产运行良好，无任何违法行为，无食品卫生安全、消防安全、债务纠纷及其他责任事故记录。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2.2合作方应熟悉了解高等学校办学规律、学生生活规律，认知高等学校餐饮服务的公益性、保障性、时效性、阶段性等特征，注重社会效益，履行服务育人职责。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2.3合作方对所提供的材料内容、证明均须真实、合法，并负相应的法律责任。如有虚假，一经发现取消报名资格，如选定合作经营，则取消选定合作经营资格或终止合作经营协议。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2.4合作方须自觉遵守国家法律法规和相关政策，遵守《食品安全法》、《学校食品安全与营养健康管理规定》等相关的食品安全法律法规和规章制度。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2.5合作方必须无条件接受市场监督管理部门、学校、集团有关职能部门对食品卫生安全、经营范围、销售价格、服务态度等方面的监督检查。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2.6合作方不准以任何形式向其他单位转包或分包，未经管理方同意，不得经营规定范围以外得其他任何品种和项目。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2.7合作方必须委派项目负责人（法定代表人、被授权委托人）现场开展日常生产和管理工作。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2.8合作方一律使用学校统一安装的一卡通收费系统，刷卡收费，严禁使用现金、支付宝、微信等其他方式收费。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2.9合作方必须购买食品安全责任险，必须依法用工，为员工购买雇主责任险，合作方的用工人员必须经管理方审核后方可使用。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2.10合作方在接到中标通知后，需交纳履约保证金贰万元整，凭中标通知书和履约保证金缴费收据签订合作协议。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2.11合同签订时，执行招标方规定的综合毛利率和合作方中标的经营服务费比例。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经营服务费按月结算。当月实际毛利率达到或超过综合毛利率时，按合同约定的经营服务费比例结算；当月实际毛利率未达到综合毛利率时，对比实际毛利率和综合毛利率的差值，经营服务费结算比例同幅度下降。（注：综合毛利率=综合毛利/营业收入，综合毛利=营业收入-直接成本，直接成本=采购成本+水电气费+班组设备维修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食堂风味特色窗口实行“四统一”管理即：伙食物资由集团统一配送，不得自行采购，以确保其质量；供应价格由集团统一定价，明码标价，以确保不同校区、不同食堂，价格一致，维护师生的消费利益；收支账目统一核算，严格控制毛利率，确保财务透明，质价相符；从日常的“职工教育、仪表仪容、文明用语”到“食品质量、检查监控、供应稳定、工作贯标”等均统一工作标准，开展长效管理。</w:t>
      </w:r>
      <w:r/>
    </w:p>
    <w:p>
      <w:pPr>
        <w:pStyle w:val="63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第五章评标方法</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431"/>
        <w:gridCol w:w="6988"/>
      </w:tblGrid>
      <w:tr>
        <w:trPr>
          <w:trHeight w:val="84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评标项目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评分要求</w:t>
            </w:r>
            <w:r/>
          </w:p>
        </w:tc>
      </w:tr>
      <w:tr>
        <w:trPr>
          <w:trHeight w:val="1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经营服务费比例（30分）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在经营服务费区间内报价（含上下限），以该标段经营服务费比例下限为基准值，报价高于基准值的，按一定比例相应扣减得分。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1.报价等于基准值的，得30分；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2.报价高于基准值每0.1%扣0.4分。</w:t>
            </w:r>
            <w:r/>
          </w:p>
        </w:tc>
      </w:tr>
      <w:tr>
        <w:trPr>
          <w:trHeight w:val="1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（12分</w:t>
            </w: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有效业绩（6分）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2020年1月1日以来，有餐饮经营或实体店经营管理经验且经营期不低于1年的业绩，每具备一份业绩得2分，最高得6分。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1.一份完整的业绩包括：（1）经营期不低于1年的合同复印件或营业场所证明（营业执照复印件及相应营业场所门面照片）；（2）数额较大的3张发票或银行出纳单3次交易记录复印件。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2.合同性质的业绩以合同为准，不限定主体重复性。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上述所有证明材料均须提供复印件并加盖单位公章。</w:t>
            </w:r>
            <w:r/>
          </w:p>
        </w:tc>
      </w:tr>
      <w:tr>
        <w:trPr>
          <w:trHeight w:val="114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有效评价（6分）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2020年1月1日以来，对以上业绩提供有效的合作方优良评价，每提供一份有效评价得2分，最高得6分。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上述所有证明材料均须提供复印件并加盖单位公章。</w:t>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服务方案（16分）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服务管理方案针对性强、内容合理全面得16分；服务管理方案针对性较强、内容相对合理、较全面得12分；服务管理方案针对性一般、内容不够合理、不够全面得8分；服务管理方案针对性较差、不合理，不全面得4分；未提供方案不得分。</w:t>
            </w:r>
            <w:r/>
          </w:p>
        </w:tc>
      </w:tr>
      <w:tr>
        <w:trPr>
          <w:trHeight w:val="14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项目团队资质（9分）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项目负责人应具有较丰富的餐饮管理工作经验，需提供从事餐饮管理工作连续两年以上的相关证明，两年以上每增加一年得1分，最高不超过3分。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项目团队中每有一人获得人力资源和社会保障局颁发的职业资格证书（与本项目相关）得1分，最高不超过3分；（单人持多证按一证计算，以单项最高等级计分）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项目团队中每有一人获得市级以上餐饮比赛荣誉证书得1分，最高不超过3分；（单人荣获多个荣誉的，只按单项最高荣誉计分）</w:t>
            </w:r>
            <w:r/>
          </w:p>
        </w:tc>
      </w:tr>
      <w:tr>
        <w:trPr>
          <w:trHeight w:val="1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内部管理规章制度（8分）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的内部管理规章制度针对性强、内容合理全面得8分；管理规章制度针对性较强、内容相对合理、较全面得6分；管理规章制度针对性一般、内容不够合理、不够全面得4分；管理规章制度针对性较差、不合理，不全面得2分；未提供方案不得分。</w:t>
            </w:r>
            <w:r/>
          </w:p>
        </w:tc>
      </w:tr>
      <w:tr>
        <w:trPr>
          <w:trHeight w:val="125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突发事件应急处理（8分）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的突发事件的应急预案针对性强、内容合理全面得8分；突发事件的应急预案对性较强、内容相对合理、较全面得6分；突发事件的应急预案针对性一般、内容不够合理、不够全面得4分；突发事件的应急预案针对性较差、不合理，不全面得2分；未提供方案不得分。</w:t>
            </w:r>
            <w:r/>
          </w:p>
        </w:tc>
      </w:tr>
      <w:tr>
        <w:trPr>
          <w:trHeight w:val="9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创新经营服务亮点及措施（4分）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针对创新经营服务亮点及措施针对性强、内容合理全面得4分；针对性强、内容合理全面得3分；针对性较强、内容相对合理、较全面得2分；针对性一般、内容不够合理、不够全面得1分；未提供方案不得分。</w:t>
            </w:r>
            <w:r/>
          </w:p>
        </w:tc>
      </w:tr>
      <w:tr>
        <w:trPr>
          <w:trHeight w:val="9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进退场方案（4分）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评委对投标人进退场方案比较，优得4分，良得3分，中得2分，一般得1分，差得0分。</w:t>
            </w:r>
            <w:r/>
          </w:p>
        </w:tc>
      </w:tr>
      <w:tr>
        <w:trPr>
          <w:trHeight w:val="3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其他实质性服务承诺（4分）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评委对投标人其它实质性服务承诺比较，优得4分，良得3分，中得2分，一般得1分，无其他实质性服务承诺得0分。</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综合评价（5分）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投标文件制作规范情况（3分）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编制完整、格式规范、装订整齐，目录索引清晰明了、符合招标文件要求的，得3分；投标文件编制相对完整、格式相对规范、装订相对整齐，目录索引相对清晰明了的，得2分；投标文件编制不规范，内容混乱不清晰的，得1分。</w:t>
            </w:r>
            <w:r/>
          </w:p>
        </w:tc>
      </w:tr>
      <w:tr>
        <w:trPr>
          <w:trHeight w:val="2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品牌价值（2分）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社会知名品牌项目。根据投标人提供行业内所获奖项、认证等进行评分，是社会知名品牌项目得1分，非社会知名品牌项目不得分。</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加盟品牌项目。是加盟品牌项目得1分，非加盟品牌项目不得分。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1.以上各项评分内容，如投标人未提供相对应内容，评标委员会不受最低评分标准限制，可予以零分计算。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总分计算。由评标委员会成员对每一份投标文件进行独立评分，然后取算术平均值（保留小数点两位）。计算每个投标人的实际得分（最终价格标得分+技术商务标得分），并按得分高低排出名次评标委员会按照评审后得分由高到低的顺序排列，推荐中标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此表需要编入投标文件中，并附上相应页码。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4.以上材料均须按要求提供相关材料并加盖公章，原件备查。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本项目共11个标段，按照标段顺序依次评标，每个标段推荐1名中标候选人，投标人只能被推选为其中1个标段作为中标候选人，已被推选为中标候选人的投标人，可参与后续标段的评审，但不再作为后续标段的中标候选人被推荐。</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封面：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江苏科技大学食堂风味特色窗口合作经营项目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（细点、水饺、面条、拉面类）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（正或副本）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投 标 文 件</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（标段×）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3" w:right="0" w:hanging="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投标人（公章）：</w:t>
      </w:r>
      <w:r/>
    </w:p>
    <w:p>
      <w:pPr>
        <w:ind w:left="3" w:right="0" w:hanging="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法定代表人或委托代理人（签字或盖章）：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日期：__________年________月_______日</w:t>
      </w:r>
      <w:r/>
    </w:p>
    <w:p>
      <w:pPr>
        <w:ind w:left="0" w:right="0" w:firstLine="20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0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w:t>
      </w:r>
      <w:r>
        <w:rPr>
          <w:rFonts w:ascii="FangSong" w:hAnsi="FangSong" w:eastAsia="FangSong" w:cs="FangSong"/>
          <w:color w:val="000000"/>
          <w:sz w:val="24"/>
          <w:u w:val="single"/>
        </w:rPr>
        <w:t xml:space="preserve">江苏科技大学食堂风味特色窗口合作经营项目（细点、水饺、面条、拉面类）（项目编号：WZ-2023048）</w:t>
      </w:r>
      <w:r>
        <w:rPr>
          <w:rFonts w:ascii="FangSong" w:hAnsi="FangSong" w:eastAsia="FangSong" w:cs="FangSong"/>
          <w:color w:val="000000"/>
          <w:sz w:val="24"/>
        </w:rPr>
        <w:t xml:space="preserve">招标文件，</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（授权代表全名）代表</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（投标人名称）在此提交下列文件正本一份，副本四份：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签字人以此函申明并同意承诺如下</w:t>
      </w:r>
      <w:r>
        <w:rPr>
          <w:rFonts w:ascii="FangSong" w:hAnsi="FangSong" w:eastAsia="FangSong" w:cs="FangSong"/>
          <w:color w:val="000000"/>
          <w:sz w:val="24"/>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我方愿意遵守招标文件的要求，提供招标所需服务的全部/部分，详见开标一览表（报价表）及明细表和投标文件的其他内容。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我方投标文件的有效期为自开标之日起</w:t>
      </w:r>
      <w:r>
        <w:rPr>
          <w:rFonts w:ascii="FangSong" w:hAnsi="FangSong" w:eastAsia="FangSong" w:cs="FangSong"/>
          <w:color w:val="000000"/>
          <w:sz w:val="24"/>
          <w:u w:val="single"/>
        </w:rPr>
        <w:t xml:space="preserve">90</w:t>
      </w:r>
      <w:r>
        <w:rPr>
          <w:rFonts w:ascii="FangSong" w:hAnsi="FangSong" w:eastAsia="FangSong" w:cs="FangSong"/>
          <w:color w:val="000000"/>
          <w:sz w:val="24"/>
        </w:rPr>
        <w:t xml:space="preserve">日历日，在这期间，本投标文件将始终对我方具有约束力，并可随时被接受。如果中标，在这以后直至买卖合同开始生效止，本投标文件一直有效。</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我方投标报价：详见开标一览表。</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我方本次投标的服务时间为：满足招标文件要求。</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我方愿意向采购人提供任何与本次招标有关的资料，并对其真实性、合法性、有效性负责。</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我方愿意履行自己在投标文件中承诺的全部责任。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我方承诺在收到中标通知书后，在中标通知书规定的期限内与你方签订合同。</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投标人（盖章）：</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开标一览表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05"/>
        <w:gridCol w:w="4406"/>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标段（）</w:t>
            </w:r>
            <w:r/>
          </w:p>
        </w:tc>
      </w:tr>
      <w:tr>
        <w:trPr>
          <w:trHeight w:val="8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（经营服务费比例）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tc>
      </w:tr>
    </w:tbl>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投标人（盖章）：</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本授权委托书声明：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本人</w:t>
      </w:r>
      <w:r>
        <w:rPr>
          <w:rFonts w:ascii="FangSong" w:hAnsi="FangSong" w:eastAsia="FangSong" w:cs="FangSong"/>
          <w:color w:val="000000"/>
          <w:sz w:val="24"/>
          <w:u w:val="single"/>
        </w:rPr>
        <w:t xml:space="preserve"> （姓名） </w:t>
      </w:r>
      <w:r>
        <w:rPr>
          <w:rFonts w:ascii="FangSong" w:hAnsi="FangSong" w:eastAsia="FangSong" w:cs="FangSong"/>
          <w:color w:val="000000"/>
          <w:sz w:val="24"/>
        </w:rPr>
        <w:t xml:space="preserve">系</w:t>
      </w:r>
      <w:r>
        <w:rPr>
          <w:rFonts w:ascii="FangSong" w:hAnsi="FangSong" w:eastAsia="FangSong" w:cs="FangSong"/>
          <w:color w:val="000000"/>
          <w:sz w:val="24"/>
          <w:u w:val="single"/>
        </w:rPr>
        <w:t xml:space="preserve">（投标人全称）</w:t>
      </w:r>
      <w:r>
        <w:rPr>
          <w:rFonts w:ascii="FangSong" w:hAnsi="FangSong" w:eastAsia="FangSong" w:cs="FangSong"/>
          <w:color w:val="000000"/>
          <w:sz w:val="24"/>
        </w:rPr>
        <w:t xml:space="preserve">的法定代表人，现授权委托我单位正式员工</w:t>
      </w:r>
      <w:r>
        <w:rPr>
          <w:rFonts w:ascii="FangSong" w:hAnsi="FangSong" w:eastAsia="FangSong" w:cs="FangSong"/>
          <w:color w:val="000000"/>
          <w:sz w:val="24"/>
          <w:u w:val="single"/>
        </w:rPr>
        <w:t xml:space="preserve">（受委托人姓名）</w:t>
      </w:r>
      <w:r>
        <w:rPr>
          <w:rFonts w:ascii="FangSong" w:hAnsi="FangSong" w:eastAsia="FangSong" w:cs="FangSong"/>
          <w:color w:val="000000"/>
          <w:sz w:val="24"/>
        </w:rPr>
        <w:t xml:space="preserve">为我单位受委托人，以我单位的名义参加</w:t>
      </w:r>
      <w:r>
        <w:rPr>
          <w:rFonts w:ascii="FangSong" w:hAnsi="FangSong" w:eastAsia="FangSong" w:cs="FangSong"/>
          <w:color w:val="000000"/>
          <w:sz w:val="24"/>
          <w:u w:val="single"/>
        </w:rPr>
        <w:t xml:space="preserve">项目</w:t>
      </w:r>
      <w:r>
        <w:rPr>
          <w:rFonts w:ascii="FangSong" w:hAnsi="FangSong" w:eastAsia="FangSong" w:cs="FangSong"/>
          <w:color w:val="000000"/>
          <w:sz w:val="24"/>
        </w:rPr>
        <w:t xml:space="preserve">的投标活动。该受委托人招投标过程中及合同谈判、签约过程中所签署的一切文件和处理与之有关的一切事务，我均予以承认。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受委托人无权再次委托。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受委托人提交本授权委托书同时附其身份证复印件一份。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本委托书有效期：自年月日至年月日</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法定代表人签名或盖章：受委托人签名或盖章：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性别：                                       性别：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                                       年龄：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                                    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身份证号码：                                身份证号码：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1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法定代表人身份证扫描件正反面：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受委托人身份证扫描件正反面：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（说明：如是法定代表人参加投标，本格式不需提供。如是非法人的其他组织参加投标，参照本格式执行。）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项目要求偏离表</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2347"/>
        <w:gridCol w:w="896"/>
        <w:gridCol w:w="747"/>
        <w:gridCol w:w="1672"/>
        <w:gridCol w:w="1979"/>
      </w:tblGrid>
      <w:tr>
        <w:trPr>
          <w:trHeight w:val="267"/>
        </w:trPr>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2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3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采购文件条目号</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偏离说明</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420" w:right="-61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420"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420"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2、如对项目要求无任何偏离，投标人仅需在本偏离表中填写“无偏离”即可。当本表为空时，视为投标文件对合作要求全部满足，无偏离。</w:t>
      </w:r>
      <w:r/>
    </w:p>
    <w:p>
      <w:pPr>
        <w:ind w:left="420"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3、如对合作要求存在偏离，投标人需对存在的偏离逐条做出说明。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投标人（盖章）：</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2"/>
        <w:gridCol w:w="2186"/>
        <w:gridCol w:w="1511"/>
        <w:gridCol w:w="1551"/>
        <w:gridCol w:w="1431"/>
        <w:gridCol w:w="1733"/>
      </w:tblGrid>
      <w:tr>
        <w:trPr>
          <w:trHeight w:val="176"/>
        </w:trPr>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469"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4715"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29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采购文件条目号</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偏离说明</w:t>
            </w:r>
            <w:r/>
          </w:p>
        </w:tc>
      </w:tr>
      <w:tr>
        <w:trPr>
          <w:trHeight w:val="29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216"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216"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216"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2、如对合同条款无任何偏离，投标人仅需在本偏离表中填写“无偏离”即可。当本表为空时，视为投标文件对服务要求全部满足，无偏离。</w:t>
      </w:r>
      <w:r/>
    </w:p>
    <w:p>
      <w:pPr>
        <w:ind w:left="216" w:right="19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3、如对合同条款存在偏离，投标人需对合同条款存在的偏离逐条做出说明。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投标人（盖章）：</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经营服务方案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（投标人自行组织材料）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投标人依据招标人提供的项目要求等其他内容，充分编制方案。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1"/>
        <w:gridCol w:w="1678"/>
        <w:gridCol w:w="2521"/>
        <w:gridCol w:w="1859"/>
        <w:gridCol w:w="1139"/>
      </w:tblGrid>
      <w:tr>
        <w:trPr>
          <w:trHeight w:val="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业主单位及联系方式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项目合同价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说明：请投标单位根据本格式要求如实填写业绩情况表，并附业绩相关证明材料。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格式八：</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承诺函</w:t>
      </w:r>
      <w:r/>
    </w:p>
    <w:p>
      <w:pPr>
        <w:ind w:left="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致：江苏科技大学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我公司（本人）对以下内容进行承诺：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1、我公司（本人）参加政府采购活动前3年内在经营活动中没有重大违法记录。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2、我公司（本人）资产运行良好，无任何违法行为，无食品卫生安全、消防安全、债务纠纷及其他责任事故记录。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3、我公司（本人）熟悉了解高等学校办学规律、学生生活规律，认知高等学校餐饮服务的公益性、保障性、时效性、阶段性等特征，注重社会效益，履行服务育人职责。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4、我公司（本人）对所提供的材料内容、证明均真实、合法，并负相应的法律责任。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5、我公司（本人）自觉遵守国家法律法规和相关政策，遵守《食品安全法》、《学校食品安全与营养健康管理规定》等相关的食品安全法律法规和规章制度。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6、我公司（本人）无条件接受市场监督管理部门、学校、集团有关职能部门对食品卫生安全、经营范围、销售价格、服务态度等方面的监督检查。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7、我公司（本人）不以任何形式向其他单位转包或分包，未经管理方同意，不经营规定范围以外的其他任何品种和项目。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8、我公司（本人）一律使用学校统一安装的一卡通收费系统，刷卡收费，绝不使用现金、支付宝、微信等其他方式收费。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9、我公司（本人）承诺购买食品安全责任险，依法用工，为员工购买雇主责任险，我公司（本人）的用工人员须经管理方审核后方可使用。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11、我公司（本人）在接到中标通知书后，承诺交纳履约保证金贰万元整。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12、我公司（本人）承诺按招标方规定的综合毛利率和中标的经营服务费比例与采购人签订合同。</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投标人（盖章）：</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格式九：</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其他材料</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FangSong">
    <w:panose1 w:val="0201060906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10"/>
    <w:next w:val="810"/>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basedOn w:val="810"/>
    <w:next w:val="810"/>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basedOn w:val="810"/>
    <w:next w:val="810"/>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basedOn w:val="810"/>
    <w:next w:val="810"/>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basedOn w:val="810"/>
    <w:next w:val="810"/>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basedOn w:val="810"/>
    <w:next w:val="810"/>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basedOn w:val="810"/>
    <w:next w:val="810"/>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basedOn w:val="810"/>
    <w:next w:val="810"/>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basedOn w:val="810"/>
    <w:next w:val="810"/>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Title"/>
    <w:basedOn w:val="810"/>
    <w:next w:val="810"/>
    <w:link w:val="653"/>
    <w:uiPriority w:val="10"/>
    <w:qFormat/>
    <w:pPr>
      <w:contextualSpacing/>
      <w:spacing w:before="300" w:after="200"/>
    </w:pPr>
    <w:rPr>
      <w:sz w:val="48"/>
      <w:szCs w:val="48"/>
    </w:rPr>
  </w:style>
  <w:style w:type="character" w:styleId="653">
    <w:name w:val="Title Char"/>
    <w:link w:val="652"/>
    <w:uiPriority w:val="10"/>
    <w:rPr>
      <w:sz w:val="48"/>
      <w:szCs w:val="48"/>
    </w:rPr>
  </w:style>
  <w:style w:type="paragraph" w:styleId="654">
    <w:name w:val="Subtitle"/>
    <w:basedOn w:val="810"/>
    <w:next w:val="810"/>
    <w:link w:val="655"/>
    <w:uiPriority w:val="11"/>
    <w:qFormat/>
    <w:pPr>
      <w:spacing w:before="200" w:after="200"/>
    </w:pPr>
    <w:rPr>
      <w:sz w:val="24"/>
      <w:szCs w:val="24"/>
    </w:rPr>
  </w:style>
  <w:style w:type="character" w:styleId="655">
    <w:name w:val="Subtitle Char"/>
    <w:link w:val="654"/>
    <w:uiPriority w:val="11"/>
    <w:rPr>
      <w:sz w:val="24"/>
      <w:szCs w:val="24"/>
    </w:rPr>
  </w:style>
  <w:style w:type="paragraph" w:styleId="656">
    <w:name w:val="Quote"/>
    <w:basedOn w:val="810"/>
    <w:next w:val="810"/>
    <w:link w:val="657"/>
    <w:uiPriority w:val="29"/>
    <w:qFormat/>
    <w:pPr>
      <w:ind w:left="720" w:right="720"/>
    </w:pPr>
    <w:rPr>
      <w:i/>
    </w:rPr>
  </w:style>
  <w:style w:type="character" w:styleId="657">
    <w:name w:val="Quote Char"/>
    <w:link w:val="656"/>
    <w:uiPriority w:val="29"/>
    <w:rPr>
      <w:i/>
    </w:rPr>
  </w:style>
  <w:style w:type="paragraph" w:styleId="658">
    <w:name w:val="Intense Quote"/>
    <w:basedOn w:val="810"/>
    <w:next w:val="810"/>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9">
    <w:name w:val="Intense Quote Char"/>
    <w:link w:val="658"/>
    <w:uiPriority w:val="30"/>
    <w:rPr>
      <w:i/>
    </w:rPr>
  </w:style>
  <w:style w:type="paragraph" w:styleId="660">
    <w:name w:val="Header"/>
    <w:basedOn w:val="810"/>
    <w:link w:val="661"/>
    <w:uiPriority w:val="99"/>
    <w:unhideWhenUsed/>
    <w:pPr>
      <w:spacing w:after="0" w:line="240" w:lineRule="auto"/>
      <w:tabs>
        <w:tab w:val="center" w:pos="7143" w:leader="none"/>
        <w:tab w:val="right" w:pos="14287" w:leader="none"/>
      </w:tabs>
    </w:pPr>
  </w:style>
  <w:style w:type="character" w:styleId="661">
    <w:name w:val="Header Char"/>
    <w:link w:val="660"/>
    <w:uiPriority w:val="99"/>
  </w:style>
  <w:style w:type="paragraph" w:styleId="662">
    <w:name w:val="Footer"/>
    <w:basedOn w:val="810"/>
    <w:link w:val="665"/>
    <w:uiPriority w:val="99"/>
    <w:unhideWhenUsed/>
    <w:pPr>
      <w:spacing w:after="0" w:line="240" w:lineRule="auto"/>
      <w:tabs>
        <w:tab w:val="center" w:pos="7143" w:leader="none"/>
        <w:tab w:val="right" w:pos="14287" w:leader="none"/>
      </w:tabs>
    </w:pPr>
  </w:style>
  <w:style w:type="character" w:styleId="663">
    <w:name w:val="Footer Char"/>
    <w:link w:val="662"/>
    <w:uiPriority w:val="99"/>
  </w:style>
  <w:style w:type="paragraph" w:styleId="664">
    <w:name w:val="Caption"/>
    <w:basedOn w:val="810"/>
    <w:next w:val="810"/>
    <w:uiPriority w:val="35"/>
    <w:semiHidden/>
    <w:unhideWhenUsed/>
    <w:qFormat/>
    <w:pPr>
      <w:spacing w:line="276" w:lineRule="auto"/>
    </w:pPr>
    <w:rPr>
      <w:b/>
      <w:bCs/>
      <w:color w:val="4f81bd" w:themeColor="accent1"/>
      <w:sz w:val="18"/>
      <w:szCs w:val="18"/>
    </w:rPr>
  </w:style>
  <w:style w:type="character" w:styleId="665">
    <w:name w:val="Caption Char"/>
    <w:basedOn w:val="664"/>
    <w:link w:val="662"/>
    <w:uiPriority w:val="99"/>
  </w:style>
  <w:style w:type="table" w:styleId="666">
    <w:name w:val="Table Grid"/>
    <w:basedOn w:val="8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7">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8">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5">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6">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7">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8">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9">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0">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2">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3">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4">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5">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6">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7">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6">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7">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8">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9">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0">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1">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3">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4">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5">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6">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7">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8">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0">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1">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2">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3">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4">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7">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1">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2">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4">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5">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6">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7">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8">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9">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1">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2">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3">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4">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5">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6">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8">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9">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0">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1">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2">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3">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5">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6">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7">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8">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9">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0">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9">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0">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1">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2">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3">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4">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5">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6">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7">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8">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9">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0">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1">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2">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3">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4">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5">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6">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7">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8">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9">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0">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1">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2">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3">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4">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5">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6">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7">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8">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9">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0">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1">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2">
    <w:name w:val="Hyperlink"/>
    <w:uiPriority w:val="99"/>
    <w:unhideWhenUsed/>
    <w:rPr>
      <w:color w:val="0000ff" w:themeColor="hyperlink"/>
      <w:u w:val="single"/>
    </w:rPr>
  </w:style>
  <w:style w:type="paragraph" w:styleId="793">
    <w:name w:val="footnote text"/>
    <w:basedOn w:val="810"/>
    <w:link w:val="794"/>
    <w:uiPriority w:val="99"/>
    <w:semiHidden/>
    <w:unhideWhenUsed/>
    <w:pPr>
      <w:spacing w:after="40" w:line="240" w:lineRule="auto"/>
    </w:pPr>
    <w:rPr>
      <w:sz w:val="18"/>
    </w:rPr>
  </w:style>
  <w:style w:type="character" w:styleId="794">
    <w:name w:val="Footnote Text Char"/>
    <w:link w:val="793"/>
    <w:uiPriority w:val="99"/>
    <w:rPr>
      <w:sz w:val="18"/>
    </w:rPr>
  </w:style>
  <w:style w:type="character" w:styleId="795">
    <w:name w:val="footnote reference"/>
    <w:uiPriority w:val="99"/>
    <w:unhideWhenUsed/>
    <w:rPr>
      <w:vertAlign w:val="superscript"/>
    </w:rPr>
  </w:style>
  <w:style w:type="paragraph" w:styleId="796">
    <w:name w:val="endnote text"/>
    <w:basedOn w:val="810"/>
    <w:link w:val="797"/>
    <w:uiPriority w:val="99"/>
    <w:semiHidden/>
    <w:unhideWhenUsed/>
    <w:pPr>
      <w:spacing w:after="0" w:line="240" w:lineRule="auto"/>
    </w:pPr>
    <w:rPr>
      <w:sz w:val="20"/>
    </w:rPr>
  </w:style>
  <w:style w:type="character" w:styleId="797">
    <w:name w:val="Endnote Text Char"/>
    <w:link w:val="796"/>
    <w:uiPriority w:val="99"/>
    <w:rPr>
      <w:sz w:val="20"/>
    </w:rPr>
  </w:style>
  <w:style w:type="character" w:styleId="798">
    <w:name w:val="endnote reference"/>
    <w:uiPriority w:val="99"/>
    <w:semiHidden/>
    <w:unhideWhenUsed/>
    <w:rPr>
      <w:vertAlign w:val="superscript"/>
    </w:rPr>
  </w:style>
  <w:style w:type="paragraph" w:styleId="799">
    <w:name w:val="toc 1"/>
    <w:basedOn w:val="810"/>
    <w:next w:val="810"/>
    <w:uiPriority w:val="39"/>
    <w:unhideWhenUsed/>
    <w:pPr>
      <w:ind w:left="0" w:right="0" w:firstLine="0"/>
      <w:spacing w:after="57"/>
    </w:pPr>
  </w:style>
  <w:style w:type="paragraph" w:styleId="800">
    <w:name w:val="toc 2"/>
    <w:basedOn w:val="810"/>
    <w:next w:val="810"/>
    <w:uiPriority w:val="39"/>
    <w:unhideWhenUsed/>
    <w:pPr>
      <w:ind w:left="283" w:right="0" w:firstLine="0"/>
      <w:spacing w:after="57"/>
    </w:pPr>
  </w:style>
  <w:style w:type="paragraph" w:styleId="801">
    <w:name w:val="toc 3"/>
    <w:basedOn w:val="810"/>
    <w:next w:val="810"/>
    <w:uiPriority w:val="39"/>
    <w:unhideWhenUsed/>
    <w:pPr>
      <w:ind w:left="567" w:right="0" w:firstLine="0"/>
      <w:spacing w:after="57"/>
    </w:pPr>
  </w:style>
  <w:style w:type="paragraph" w:styleId="802">
    <w:name w:val="toc 4"/>
    <w:basedOn w:val="810"/>
    <w:next w:val="810"/>
    <w:uiPriority w:val="39"/>
    <w:unhideWhenUsed/>
    <w:pPr>
      <w:ind w:left="850" w:right="0" w:firstLine="0"/>
      <w:spacing w:after="57"/>
    </w:pPr>
  </w:style>
  <w:style w:type="paragraph" w:styleId="803">
    <w:name w:val="toc 5"/>
    <w:basedOn w:val="810"/>
    <w:next w:val="810"/>
    <w:uiPriority w:val="39"/>
    <w:unhideWhenUsed/>
    <w:pPr>
      <w:ind w:left="1134" w:right="0" w:firstLine="0"/>
      <w:spacing w:after="57"/>
    </w:pPr>
  </w:style>
  <w:style w:type="paragraph" w:styleId="804">
    <w:name w:val="toc 6"/>
    <w:basedOn w:val="810"/>
    <w:next w:val="810"/>
    <w:uiPriority w:val="39"/>
    <w:unhideWhenUsed/>
    <w:pPr>
      <w:ind w:left="1417" w:right="0" w:firstLine="0"/>
      <w:spacing w:after="57"/>
    </w:pPr>
  </w:style>
  <w:style w:type="paragraph" w:styleId="805">
    <w:name w:val="toc 7"/>
    <w:basedOn w:val="810"/>
    <w:next w:val="810"/>
    <w:uiPriority w:val="39"/>
    <w:unhideWhenUsed/>
    <w:pPr>
      <w:ind w:left="1701" w:right="0" w:firstLine="0"/>
      <w:spacing w:after="57"/>
    </w:pPr>
  </w:style>
  <w:style w:type="paragraph" w:styleId="806">
    <w:name w:val="toc 8"/>
    <w:basedOn w:val="810"/>
    <w:next w:val="810"/>
    <w:uiPriority w:val="39"/>
    <w:unhideWhenUsed/>
    <w:pPr>
      <w:ind w:left="1984" w:right="0" w:firstLine="0"/>
      <w:spacing w:after="57"/>
    </w:pPr>
  </w:style>
  <w:style w:type="paragraph" w:styleId="807">
    <w:name w:val="toc 9"/>
    <w:basedOn w:val="810"/>
    <w:next w:val="810"/>
    <w:uiPriority w:val="39"/>
    <w:unhideWhenUsed/>
    <w:pPr>
      <w:ind w:left="2268" w:right="0" w:firstLine="0"/>
      <w:spacing w:after="57"/>
    </w:pPr>
  </w:style>
  <w:style w:type="paragraph" w:styleId="808">
    <w:name w:val="TOC Heading"/>
    <w:uiPriority w:val="39"/>
    <w:unhideWhenUsed/>
  </w:style>
  <w:style w:type="paragraph" w:styleId="809">
    <w:name w:val="table of figures"/>
    <w:basedOn w:val="810"/>
    <w:next w:val="810"/>
    <w:uiPriority w:val="99"/>
    <w:unhideWhenUsed/>
    <w:pPr>
      <w:spacing w:after="0" w:afterAutospacing="0"/>
    </w:pPr>
  </w:style>
  <w:style w:type="paragraph" w:styleId="810" w:default="1">
    <w:name w:val="Normal"/>
    <w:qFormat/>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paragraph" w:styleId="813">
    <w:name w:val="No Spacing"/>
    <w:basedOn w:val="810"/>
    <w:uiPriority w:val="1"/>
    <w:qFormat/>
    <w:pPr>
      <w:spacing w:after="0" w:line="240" w:lineRule="auto"/>
    </w:pPr>
  </w:style>
  <w:style w:type="paragraph" w:styleId="814">
    <w:name w:val="List Paragraph"/>
    <w:basedOn w:val="810"/>
    <w:uiPriority w:val="34"/>
    <w:qFormat/>
    <w:pPr>
      <w:contextualSpacing/>
      <w:ind w:left="720"/>
    </w:pPr>
  </w:style>
  <w:style w:type="character" w:styleId="815"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陈沭</cp:lastModifiedBy>
  <cp:revision>2</cp:revision>
  <dcterms:modified xsi:type="dcterms:W3CDTF">2023-06-16T07:20:06Z</dcterms:modified>
</cp:coreProperties>
</file>