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rPr>
          <w:rFonts w:ascii="仿宋" w:hAnsi="仿宋" w:eastAsia="仿宋" w:cs="仿宋"/>
          <w:color w:val="auto"/>
        </w:rPr>
      </w:pPr>
      <w:r>
        <w:rPr>
          <w:rFonts w:ascii="仿宋" w:hAnsi="仿宋" w:eastAsia="仿宋" w:cs="仿宋"/>
          <w:color w:val="auto"/>
        </w:rPr>
      </w:r>
      <w:r/>
    </w:p>
    <w:p>
      <w:pPr>
        <w:pStyle w:val="834"/>
        <w:jc w:val="center"/>
        <w:spacing w:line="360" w:lineRule="auto"/>
        <w:rPr>
          <w:rFonts w:ascii="仿宋" w:hAnsi="仿宋" w:eastAsia="仿宋" w:cs="仿宋"/>
          <w:b/>
          <w:bCs/>
          <w:color w:val="auto"/>
          <w:sz w:val="72"/>
        </w:rPr>
      </w:pPr>
      <w:r>
        <w:rPr>
          <w:rFonts w:hint="eastAsia" w:ascii="仿宋" w:hAnsi="仿宋" w:eastAsia="仿宋" w:cs="仿宋"/>
          <w:b/>
          <w:bCs/>
          <w:color w:val="auto"/>
          <w:sz w:val="72"/>
        </w:rPr>
        <w:t xml:space="preserve">招   标   文   件</w:t>
      </w:r>
      <w:r/>
    </w:p>
    <w:p>
      <w:pPr>
        <w:pStyle w:val="834"/>
        <w:jc w:val="center"/>
        <w:spacing w:line="360" w:lineRule="auto"/>
        <w:rPr>
          <w:rFonts w:ascii="仿宋" w:hAnsi="仿宋" w:eastAsia="仿宋" w:cs="仿宋"/>
          <w:color w:val="auto"/>
          <w:sz w:val="32"/>
        </w:rPr>
      </w:pPr>
      <w:r>
        <w:rPr>
          <w:rFonts w:ascii="仿宋" w:hAnsi="仿宋" w:eastAsia="仿宋" w:cs="仿宋"/>
          <w:color w:val="auto"/>
          <w:sz w:val="32"/>
        </w:rPr>
      </w:r>
      <w:r/>
    </w:p>
    <w:p>
      <w:pPr>
        <w:pStyle w:val="834"/>
        <w:jc w:val="center"/>
        <w:spacing w:line="360" w:lineRule="auto"/>
        <w:rPr>
          <w:rFonts w:ascii="仿宋" w:hAnsi="仿宋" w:eastAsia="仿宋" w:cs="仿宋"/>
          <w:color w:val="auto"/>
          <w:sz w:val="32"/>
        </w:rPr>
      </w:pPr>
      <w:r>
        <w:rPr>
          <w:rFonts w:ascii="仿宋" w:hAnsi="仿宋" w:eastAsia="仿宋" w:cs="仿宋"/>
          <w:color w:val="auto"/>
          <w:sz w:val="32"/>
        </w:rPr>
      </w:r>
      <w:r/>
    </w:p>
    <w:p>
      <w:pPr>
        <w:pStyle w:val="834"/>
        <w:jc w:val="center"/>
        <w:spacing w:line="360" w:lineRule="auto"/>
        <w:rPr>
          <w:rFonts w:ascii="仿宋" w:hAnsi="仿宋" w:eastAsia="仿宋" w:cs="仿宋"/>
          <w:b/>
          <w:color w:val="auto"/>
          <w:sz w:val="32"/>
        </w:rPr>
      </w:pPr>
      <w:r>
        <w:rPr>
          <w:rFonts w:ascii="仿宋" w:hAnsi="仿宋" w:eastAsia="仿宋" w:cs="仿宋"/>
          <w:b/>
          <w:color w:val="auto"/>
          <w:sz w:val="32"/>
        </w:rPr>
      </w:r>
      <w:r/>
    </w:p>
    <w:p>
      <w:pPr>
        <w:pStyle w:val="834"/>
        <w:rPr>
          <w:rFonts w:ascii="仿宋" w:hAnsi="仿宋" w:eastAsia="仿宋" w:cs="仿宋"/>
          <w:color w:val="auto"/>
        </w:rPr>
      </w:pPr>
      <w:r>
        <w:rPr>
          <w:rFonts w:ascii="仿宋" w:hAnsi="仿宋" w:eastAsia="仿宋" w:cs="仿宋"/>
          <w:color w:val="auto"/>
        </w:rPr>
      </w:r>
      <w:r/>
    </w:p>
    <w:p>
      <w:pPr>
        <w:pStyle w:val="834"/>
        <w:spacing w:line="360" w:lineRule="auto"/>
        <w:rPr>
          <w:rFonts w:ascii="仿宋" w:hAnsi="仿宋" w:eastAsia="仿宋" w:cs="仿宋"/>
          <w:b/>
          <w:color w:val="auto"/>
          <w:sz w:val="32"/>
        </w:rPr>
      </w:pPr>
      <w:r>
        <w:rPr>
          <w:rFonts w:ascii="仿宋" w:hAnsi="仿宋" w:eastAsia="仿宋" w:cs="仿宋"/>
          <w:b/>
          <w:color w:val="auto"/>
          <w:sz w:val="32"/>
        </w:rPr>
      </w:r>
      <w:r/>
    </w:p>
    <w:p>
      <w:pPr>
        <w:pStyle w:val="834"/>
        <w:jc w:val="center"/>
        <w:spacing w:line="360" w:lineRule="auto"/>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 xml:space="preserve">标书编号：</w:t>
      </w:r>
      <w:r>
        <w:rPr>
          <w:rFonts w:hint="eastAsia" w:ascii="仿宋" w:hAnsi="仿宋" w:eastAsia="仿宋" w:cs="仿宋"/>
          <w:b/>
          <w:color w:val="auto"/>
          <w:sz w:val="32"/>
          <w:szCs w:val="32"/>
          <w:lang w:eastAsia="zh-CN"/>
        </w:rPr>
        <w:t xml:space="preserve">JSZC-321182-JJGS-G2023-0044</w:t>
      </w:r>
      <w:r/>
    </w:p>
    <w:p>
      <w:pPr>
        <w:pStyle w:val="834"/>
        <w:jc w:val="center"/>
        <w:spacing w:line="360" w:lineRule="auto"/>
        <w:rPr>
          <w:rFonts w:ascii="仿宋" w:hAnsi="仿宋" w:eastAsia="仿宋" w:cs="仿宋"/>
          <w:color w:val="auto"/>
          <w:sz w:val="32"/>
        </w:rPr>
      </w:pPr>
      <w:r>
        <w:rPr>
          <w:rFonts w:ascii="仿宋" w:hAnsi="仿宋" w:eastAsia="仿宋" w:cs="仿宋"/>
          <w:color w:val="auto"/>
          <w:sz w:val="32"/>
        </w:rPr>
      </w:r>
      <w:r/>
    </w:p>
    <w:p>
      <w:pPr>
        <w:pStyle w:val="834"/>
        <w:jc w:val="center"/>
        <w:spacing w:line="360" w:lineRule="auto"/>
        <w:rPr>
          <w:rFonts w:ascii="仿宋" w:hAnsi="仿宋" w:eastAsia="仿宋" w:cs="仿宋"/>
          <w:color w:val="auto"/>
          <w:sz w:val="32"/>
        </w:rPr>
      </w:pPr>
      <w:r>
        <w:rPr>
          <w:rFonts w:ascii="仿宋" w:hAnsi="仿宋" w:eastAsia="仿宋" w:cs="仿宋"/>
          <w:color w:val="auto"/>
          <w:sz w:val="32"/>
        </w:rPr>
      </w:r>
      <w:r/>
    </w:p>
    <w:p>
      <w:pPr>
        <w:pStyle w:val="834"/>
        <w:spacing w:line="360" w:lineRule="auto"/>
        <w:rPr>
          <w:rFonts w:ascii="仿宋" w:hAnsi="仿宋" w:eastAsia="仿宋" w:cs="仿宋"/>
          <w:color w:val="auto"/>
          <w:sz w:val="32"/>
          <w:szCs w:val="32"/>
        </w:rPr>
      </w:pPr>
      <w:r>
        <w:rPr>
          <w:rFonts w:ascii="仿宋" w:hAnsi="仿宋" w:eastAsia="仿宋" w:cs="仿宋"/>
          <w:color w:val="auto"/>
          <w:sz w:val="32"/>
          <w:szCs w:val="32"/>
        </w:rPr>
      </w:r>
      <w:r/>
    </w:p>
    <w:p>
      <w:pPr>
        <w:pStyle w:val="834"/>
        <w:jc w:val="center"/>
        <w:spacing w:line="360" w:lineRule="auto"/>
        <w:rPr>
          <w:rFonts w:hint="eastAsia" w:ascii="仿宋" w:hAnsi="仿宋" w:eastAsia="仿宋" w:cs="仿宋"/>
          <w:color w:val="auto"/>
          <w:sz w:val="32"/>
          <w:szCs w:val="32"/>
          <w:lang w:eastAsia="zh-CN"/>
        </w:rPr>
        <w:outlineLvl w:val="0"/>
      </w:pPr>
      <w:r/>
      <w:bookmarkStart w:id="0" w:name="_Toc12198"/>
      <w:r>
        <w:rPr>
          <w:rFonts w:hint="eastAsia" w:ascii="仿宋" w:hAnsi="仿宋" w:eastAsia="仿宋" w:cs="仿宋"/>
          <w:b/>
          <w:color w:val="auto"/>
          <w:sz w:val="30"/>
          <w:szCs w:val="30"/>
        </w:rPr>
        <w:t xml:space="preserve">项目名称：</w:t>
      </w:r>
      <w:bookmarkEnd w:id="0"/>
      <w:r>
        <w:rPr>
          <w:rFonts w:hint="eastAsia" w:ascii="仿宋" w:hAnsi="仿宋" w:eastAsia="仿宋" w:cs="仿宋"/>
          <w:b/>
          <w:color w:val="auto"/>
          <w:sz w:val="30"/>
          <w:szCs w:val="30"/>
          <w:lang w:eastAsia="zh-CN"/>
        </w:rPr>
        <w:t xml:space="preserve">扬中市公办中小学、幼儿园食堂猪肉采购服务供应商项目</w:t>
      </w:r>
      <w:r/>
    </w:p>
    <w:p>
      <w:pPr>
        <w:pStyle w:val="834"/>
        <w:jc w:val="center"/>
        <w:spacing w:line="360" w:lineRule="auto"/>
        <w:rPr>
          <w:rFonts w:ascii="仿宋" w:hAnsi="仿宋" w:eastAsia="仿宋" w:cs="仿宋"/>
          <w:b/>
          <w:bCs/>
          <w:color w:val="auto"/>
          <w:sz w:val="44"/>
        </w:rPr>
      </w:pPr>
      <w:r>
        <w:rPr>
          <w:rFonts w:ascii="仿宋" w:hAnsi="仿宋" w:eastAsia="仿宋" w:cs="仿宋"/>
          <w:b/>
          <w:bCs/>
          <w:color w:val="auto"/>
          <w:sz w:val="44"/>
        </w:rPr>
      </w:r>
      <w:r/>
    </w:p>
    <w:p>
      <w:pPr>
        <w:pStyle w:val="834"/>
        <w:jc w:val="center"/>
        <w:spacing w:line="360" w:lineRule="auto"/>
        <w:rPr>
          <w:rFonts w:ascii="仿宋" w:hAnsi="仿宋" w:eastAsia="仿宋" w:cs="仿宋"/>
          <w:b/>
          <w:bCs/>
          <w:color w:val="auto"/>
          <w:sz w:val="44"/>
        </w:rPr>
      </w:pPr>
      <w:r>
        <w:rPr>
          <w:rFonts w:ascii="仿宋" w:hAnsi="仿宋" w:eastAsia="仿宋" w:cs="仿宋"/>
          <w:b/>
          <w:bCs/>
          <w:color w:val="auto"/>
          <w:sz w:val="44"/>
        </w:rPr>
      </w:r>
      <w:r/>
    </w:p>
    <w:p>
      <w:pPr>
        <w:pStyle w:val="835"/>
        <w:rPr>
          <w:rFonts w:ascii="仿宋" w:hAnsi="仿宋" w:eastAsia="仿宋" w:cs="仿宋"/>
          <w:color w:val="auto"/>
        </w:rPr>
      </w:pPr>
      <w:r>
        <w:rPr>
          <w:rFonts w:ascii="仿宋" w:hAnsi="仿宋" w:eastAsia="仿宋" w:cs="仿宋"/>
          <w:color w:val="auto"/>
        </w:rPr>
      </w:r>
      <w:r/>
    </w:p>
    <w:p>
      <w:pPr>
        <w:pStyle w:val="1095"/>
        <w:rPr>
          <w:rFonts w:ascii="仿宋" w:hAnsi="仿宋" w:eastAsia="仿宋" w:cs="仿宋"/>
          <w:color w:val="auto"/>
        </w:rPr>
      </w:pPr>
      <w:r>
        <w:rPr>
          <w:rFonts w:ascii="仿宋" w:hAnsi="仿宋" w:eastAsia="仿宋" w:cs="仿宋"/>
          <w:color w:val="auto"/>
        </w:rPr>
      </w:r>
      <w:r/>
    </w:p>
    <w:p>
      <w:pPr>
        <w:pStyle w:val="834"/>
        <w:jc w:val="center"/>
        <w:spacing w:line="360" w:lineRule="auto"/>
        <w:rPr>
          <w:rFonts w:ascii="仿宋" w:hAnsi="仿宋" w:eastAsia="仿宋" w:cs="仿宋"/>
          <w:b/>
          <w:bCs/>
          <w:color w:val="auto"/>
          <w:sz w:val="44"/>
        </w:rPr>
        <w:outlineLvl w:val="0"/>
      </w:pPr>
      <w:r/>
      <w:bookmarkStart w:id="1" w:name="_Toc4670"/>
      <w:r>
        <w:rPr>
          <w:rFonts w:hint="eastAsia" w:ascii="仿宋" w:hAnsi="仿宋" w:eastAsia="仿宋" w:cs="仿宋"/>
          <w:b/>
          <w:bCs/>
          <w:color w:val="auto"/>
          <w:sz w:val="44"/>
        </w:rPr>
        <w:t xml:space="preserve">江苏金居工程项目管理有限公司</w:t>
      </w:r>
      <w:bookmarkEnd w:id="1"/>
      <w:r/>
      <w:r/>
    </w:p>
    <w:p>
      <w:pPr>
        <w:pStyle w:val="834"/>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中国·扬中</w:t>
      </w:r>
      <w:r/>
    </w:p>
    <w:p>
      <w:pPr>
        <w:pStyle w:val="834"/>
        <w:jc w:val="center"/>
        <w:spacing w:line="360" w:lineRule="auto"/>
        <w:rPr>
          <w:rFonts w:ascii="仿宋" w:hAnsi="仿宋" w:eastAsia="仿宋" w:cs="仿宋"/>
          <w:color w:val="auto"/>
        </w:rPr>
      </w:pPr>
      <w:r>
        <w:rPr>
          <w:rFonts w:hint="eastAsia" w:ascii="仿宋" w:hAnsi="仿宋" w:eastAsia="仿宋" w:cs="仿宋"/>
          <w:b/>
          <w:bCs/>
          <w:color w:val="auto"/>
          <w:sz w:val="32"/>
          <w:szCs w:val="32"/>
        </w:rPr>
        <w:t xml:space="preserve">二〇二三年八月</w:t>
      </w:r>
      <w:r/>
    </w:p>
    <w:p>
      <w:pPr>
        <w:pStyle w:val="834"/>
        <w:spacing w:line="360" w:lineRule="auto"/>
        <w:rPr>
          <w:rFonts w:ascii="仿宋" w:hAnsi="仿宋" w:eastAsia="仿宋" w:cs="仿宋"/>
          <w:color w:val="auto"/>
        </w:rPr>
        <w:sectPr>
          <w:headerReference w:type="default" r:id="rId9"/>
          <w:headerReference w:type="first" r:id="rId10"/>
          <w:footerReference w:type="first" r:id="rId12"/>
          <w:footnotePr/>
          <w:endnotePr/>
          <w:type w:val="nextPage"/>
          <w:pgSz w:w="11906" w:h="16838" w:orient="portrait"/>
          <w:pgMar w:top="1440" w:right="1800" w:bottom="1440" w:left="1800" w:header="851" w:footer="992" w:gutter="0"/>
          <w:pgNumType w:start="0"/>
          <w:cols w:num="1" w:sep="0" w:space="1701" w:equalWidth="1"/>
          <w:docGrid w:linePitch="360"/>
          <w:titlePg/>
        </w:sectPr>
      </w:pPr>
      <w:r>
        <w:rPr>
          <w:rFonts w:ascii="仿宋" w:hAnsi="仿宋" w:eastAsia="仿宋" w:cs="仿宋"/>
          <w:color w:val="auto"/>
        </w:rPr>
      </w:r>
      <w:r/>
    </w:p>
    <w:p>
      <w:pPr>
        <w:pStyle w:val="834"/>
        <w:jc w:val="center"/>
        <w:spacing w:line="360" w:lineRule="auto"/>
        <w:rPr>
          <w:rFonts w:ascii="仿宋" w:hAnsi="仿宋" w:eastAsia="仿宋" w:cs="仿宋"/>
          <w:b/>
          <w:bCs/>
          <w:color w:val="auto"/>
          <w:sz w:val="44"/>
          <w:szCs w:val="44"/>
        </w:rPr>
        <w:outlineLvl w:val="0"/>
      </w:pPr>
      <w:r/>
      <w:bookmarkStart w:id="2" w:name="_Toc10799"/>
      <w:r>
        <w:rPr>
          <w:rFonts w:hint="eastAsia" w:ascii="仿宋" w:hAnsi="仿宋" w:eastAsia="仿宋" w:cs="仿宋"/>
          <w:b/>
          <w:bCs/>
          <w:color w:val="auto"/>
          <w:sz w:val="44"/>
          <w:szCs w:val="44"/>
        </w:rPr>
        <w:t xml:space="preserve">招标文件目录</w:t>
      </w:r>
      <w:bookmarkEnd w:id="2"/>
      <w:r/>
      <w:r/>
    </w:p>
    <w:sdt>
      <w:sdtPr>
        <w15:appearance w15:val="boundingBox"/>
        <w15:color w:val="dbdbdb"/>
        <w:id w:val="147464453"/>
        <w:docPartObj>
          <w:docPartGallery w:val="Table of Contents"/>
          <w:docPartUnique w:val="true"/>
        </w:docPartObj>
        <w:rPr>
          <w:rFonts w:hint="eastAsia" w:ascii="仿宋" w:hAnsi="仿宋" w:eastAsia="仿宋" w:cs="仿宋"/>
          <w:color w:val="auto"/>
          <w:sz w:val="21"/>
          <w:szCs w:val="22"/>
        </w:rPr>
      </w:sdtPr>
      <w:sdtContent>
        <w:p>
          <w:pPr>
            <w:jc w:val="center"/>
            <w:rPr>
              <w:rFonts w:ascii="仿宋" w:hAnsi="仿宋" w:eastAsia="仿宋" w:cs="仿宋"/>
              <w:color w:val="auto"/>
            </w:rPr>
          </w:pPr>
          <w:r/>
          <w:bookmarkStart w:id="3" w:name="_Toc31614"/>
          <w:r/>
          <w:bookmarkStart w:id="4" w:name="_Toc5899"/>
          <w:r/>
          <w:bookmarkStart w:id="5" w:name="_Toc3970"/>
          <w:r/>
          <w:bookmarkStart w:id="6" w:name="_Toc8840"/>
          <w:r/>
          <w:bookmarkStart w:id="7" w:name="_Toc22255"/>
          <w:r/>
          <w:bookmarkStart w:id="8" w:name="_Toc3813"/>
          <w:r/>
          <w:bookmarkStart w:id="9" w:name="_Toc14188"/>
          <w:r/>
          <w:bookmarkStart w:id="10" w:name="_Toc7475"/>
          <w:r/>
          <w:bookmarkStart w:id="11" w:name="_Toc17836"/>
          <w:r/>
          <w:bookmarkStart w:id="12" w:name="_Toc32012"/>
          <w:r/>
          <w:bookmarkStart w:id="13" w:name="_Toc23007"/>
          <w:r/>
          <w:bookmarkStart w:id="14" w:name="_Toc28612"/>
          <w:r/>
          <w:r/>
        </w:p>
        <w:p>
          <w:pPr>
            <w:pStyle w:val="1109"/>
            <w:spacing w:line="480" w:lineRule="auto"/>
            <w:tabs>
              <w:tab w:val="right" w:pos="8300" w:leader="dot"/>
            </w:tabs>
            <w:rPr>
              <w:rFonts w:ascii="仿宋" w:hAnsi="仿宋" w:eastAsia="仿宋" w:cs="仿宋"/>
              <w:color w:val="auto"/>
              <w:sz w:val="28"/>
              <w:szCs w:val="28"/>
            </w:rPr>
          </w:pPr>
          <w:r>
            <w:rPr>
              <w:rFonts w:hint="eastAsia" w:ascii="仿宋" w:hAnsi="仿宋" w:eastAsia="仿宋" w:cs="仿宋"/>
              <w:b/>
              <w:color w:val="auto"/>
              <w:sz w:val="44"/>
              <w:szCs w:val="44"/>
            </w:rPr>
            <w:fldChar w:fldCharType="begin"/>
          </w:r>
          <w:r>
            <w:rPr>
              <w:rFonts w:hint="eastAsia" w:ascii="仿宋" w:hAnsi="仿宋" w:eastAsia="仿宋" w:cs="仿宋"/>
              <w:b/>
              <w:color w:val="auto"/>
              <w:sz w:val="44"/>
              <w:szCs w:val="44"/>
            </w:rPr>
            <w:instrText xml:space="preserve">TOC \o "1-1" \h \u </w:instrText>
          </w:r>
          <w:r>
            <w:rPr>
              <w:rFonts w:hint="eastAsia" w:ascii="仿宋" w:hAnsi="仿宋" w:eastAsia="仿宋" w:cs="仿宋"/>
              <w:b/>
              <w:color w:val="auto"/>
              <w:sz w:val="44"/>
              <w:szCs w:val="44"/>
            </w:rPr>
            <w:fldChar w:fldCharType="separate"/>
          </w:r>
          <w:r>
            <w:rPr>
              <w:color w:val="auto"/>
            </w:rPr>
            <w:fldChar w:fldCharType="begin"/>
          </w:r>
          <w:r>
            <w:rPr>
              <w:color w:val="auto"/>
            </w:rPr>
            <w:instrText xml:space="preserve"> HYPERLINK \l "_Toc12678" </w:instrText>
          </w:r>
          <w:r>
            <w:rPr>
              <w:color w:val="auto"/>
            </w:rPr>
            <w:fldChar w:fldCharType="separate"/>
          </w:r>
          <w:r>
            <w:rPr>
              <w:rFonts w:hint="eastAsia" w:ascii="仿宋" w:hAnsi="仿宋" w:eastAsia="仿宋" w:cs="仿宋"/>
              <w:color w:val="auto"/>
              <w:sz w:val="28"/>
              <w:szCs w:val="28"/>
            </w:rPr>
            <w:t xml:space="preserve">第一部分 投标邀请书</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_Toc12678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"_Toc24166" </w:instrText>
          </w:r>
          <w:r>
            <w:rPr>
              <w:color w:val="auto"/>
            </w:rPr>
            <w:fldChar w:fldCharType="separate"/>
          </w:r>
          <w:r>
            <w:rPr>
              <w:rFonts w:hint="eastAsia" w:ascii="仿宋" w:hAnsi="仿宋" w:eastAsia="仿宋" w:cs="仿宋"/>
              <w:color w:val="auto"/>
              <w:sz w:val="28"/>
              <w:szCs w:val="28"/>
            </w:rPr>
            <w:t xml:space="preserve">第二部分 投标人须知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_Toc24166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11</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"_Toc12048" </w:instrText>
          </w:r>
          <w:r>
            <w:rPr>
              <w:color w:val="auto"/>
            </w:rPr>
            <w:fldChar w:fldCharType="separate"/>
          </w:r>
          <w:r>
            <w:rPr>
              <w:rFonts w:hint="eastAsia" w:ascii="仿宋" w:hAnsi="仿宋" w:eastAsia="仿宋" w:cs="仿宋"/>
              <w:color w:val="auto"/>
              <w:sz w:val="28"/>
              <w:szCs w:val="28"/>
            </w:rPr>
            <w:t xml:space="preserve">第三部分 合同条款及格式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_Toc12048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36</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"_Toc4321" </w:instrText>
          </w:r>
          <w:r>
            <w:rPr>
              <w:color w:val="auto"/>
            </w:rPr>
            <w:fldChar w:fldCharType="separate"/>
          </w:r>
          <w:r>
            <w:rPr>
              <w:rFonts w:hint="eastAsia" w:ascii="仿宋" w:hAnsi="仿宋" w:eastAsia="仿宋" w:cs="仿宋"/>
              <w:color w:val="auto"/>
              <w:sz w:val="28"/>
              <w:szCs w:val="28"/>
            </w:rPr>
            <w:t xml:space="preserve">第四部分 招标需求及基本服务要求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_Toc4321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50</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"_Toc8942" </w:instrText>
          </w:r>
          <w:r>
            <w:rPr>
              <w:color w:val="auto"/>
            </w:rPr>
            <w:fldChar w:fldCharType="separate"/>
          </w:r>
          <w:r>
            <w:rPr>
              <w:rFonts w:hint="eastAsia" w:ascii="仿宋" w:hAnsi="仿宋" w:eastAsia="仿宋" w:cs="仿宋"/>
              <w:color w:val="auto"/>
              <w:sz w:val="28"/>
              <w:szCs w:val="28"/>
            </w:rPr>
            <w:t xml:space="preserve">第五部分 投标响应书（格式）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_Toc8942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55</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400"/>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"_Toc28022" </w:instrText>
          </w:r>
          <w:r>
            <w:rPr>
              <w:color w:val="auto"/>
            </w:rPr>
            <w:fldChar w:fldCharType="separate"/>
          </w:r>
          <w:r>
            <w:rPr>
              <w:rFonts w:hint="eastAsia" w:ascii="仿宋" w:hAnsi="仿宋" w:eastAsia="仿宋" w:cs="仿宋"/>
              <w:bCs/>
              <w:color w:val="auto"/>
              <w:sz w:val="28"/>
              <w:szCs w:val="28"/>
            </w:rPr>
            <w:t xml:space="preserve">投标响应单位相关信息一览表（格式）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_Toc28022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63</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400"/>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"_Toc22079" </w:instrText>
          </w:r>
          <w:r>
            <w:rPr>
              <w:color w:val="auto"/>
            </w:rPr>
            <w:fldChar w:fldCharType="separate"/>
          </w:r>
          <w:r>
            <w:rPr>
              <w:rFonts w:hint="eastAsia" w:ascii="仿宋" w:hAnsi="仿宋" w:eastAsia="仿宋" w:cs="仿宋"/>
              <w:bCs/>
              <w:color w:val="auto"/>
              <w:sz w:val="28"/>
              <w:szCs w:val="28"/>
            </w:rPr>
            <w:t xml:space="preserve">开标一览表（格式）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_Toc22079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65</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400"/>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"_Toc9076" </w:instrText>
          </w:r>
          <w:r>
            <w:rPr>
              <w:color w:val="auto"/>
            </w:rPr>
            <w:fldChar w:fldCharType="separate"/>
          </w:r>
          <w:r>
            <w:rPr>
              <w:rFonts w:hint="eastAsia" w:ascii="仿宋" w:hAnsi="仿宋" w:eastAsia="仿宋" w:cs="仿宋"/>
              <w:color w:val="auto"/>
              <w:sz w:val="28"/>
              <w:szCs w:val="28"/>
            </w:rPr>
            <w:t xml:space="preserve">报价明细表</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_Toc9076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66</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400"/>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"_Toc17178" </w:instrText>
          </w:r>
          <w:r>
            <w:rPr>
              <w:color w:val="auto"/>
            </w:rPr>
            <w:fldChar w:fldCharType="separate"/>
          </w:r>
          <w:r>
            <w:rPr>
              <w:rFonts w:hint="eastAsia" w:ascii="仿宋" w:hAnsi="仿宋" w:eastAsia="仿宋" w:cs="仿宋"/>
              <w:bCs/>
              <w:color w:val="auto"/>
              <w:sz w:val="28"/>
              <w:szCs w:val="28"/>
            </w:rPr>
            <w:t xml:space="preserve">法定代表人资格证明书</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_Toc17178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66</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400"/>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"_Toc13452" </w:instrText>
          </w:r>
          <w:r>
            <w:rPr>
              <w:color w:val="auto"/>
            </w:rPr>
            <w:fldChar w:fldCharType="separate"/>
          </w:r>
          <w:r>
            <w:rPr>
              <w:rFonts w:hint="eastAsia" w:ascii="仿宋" w:hAnsi="仿宋" w:eastAsia="仿宋" w:cs="仿宋"/>
              <w:bCs/>
              <w:color w:val="auto"/>
              <w:sz w:val="28"/>
              <w:szCs w:val="28"/>
            </w:rPr>
            <w:t xml:space="preserve">法定代表人授权书（格式）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_Toc13452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68</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400"/>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"_Toc31864" </w:instrText>
          </w:r>
          <w:r>
            <w:rPr>
              <w:color w:val="auto"/>
            </w:rPr>
            <w:fldChar w:fldCharType="separate"/>
          </w:r>
          <w:r>
            <w:rPr>
              <w:rFonts w:hint="eastAsia" w:ascii="仿宋" w:hAnsi="仿宋" w:eastAsia="仿宋" w:cs="仿宋"/>
              <w:color w:val="auto"/>
              <w:sz w:val="28"/>
              <w:szCs w:val="28"/>
            </w:rPr>
            <w:t xml:space="preserve">中小企业声明函（服务）</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_Toc31864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69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400"/>
            <w:spacing w:line="480" w:lineRule="auto"/>
            <w:tabs>
              <w:tab w:val="right" w:pos="8300" w:leader="dot"/>
            </w:tabs>
            <w:rPr>
              <w:rFonts w:ascii="仿宋" w:hAnsi="仿宋" w:eastAsia="仿宋" w:cs="仿宋"/>
              <w:color w:val="auto"/>
              <w:sz w:val="28"/>
              <w:szCs w:val="28"/>
            </w:rPr>
          </w:pPr>
          <w:r>
            <w:rPr>
              <w:color w:val="auto"/>
            </w:rPr>
            <w:fldChar w:fldCharType="begin"/>
          </w:r>
          <w:r>
            <w:rPr>
              <w:color w:val="auto"/>
            </w:rPr>
            <w:instrText xml:space="preserve"> HYPERLINK \l "_Toc26525" </w:instrText>
          </w:r>
          <w:r>
            <w:rPr>
              <w:color w:val="auto"/>
            </w:rPr>
            <w:fldChar w:fldCharType="separate"/>
          </w:r>
          <w:r>
            <w:rPr>
              <w:rFonts w:hint="eastAsia" w:ascii="仿宋" w:hAnsi="仿宋" w:eastAsia="仿宋" w:cs="仿宋"/>
              <w:color w:val="auto"/>
              <w:sz w:val="28"/>
              <w:szCs w:val="28"/>
            </w:rPr>
            <w:t xml:space="preserve">残疾人福利性单位声明函（格式）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_Toc26525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70</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1109"/>
            <w:ind w:firstLine="280"/>
            <w:spacing w:line="480" w:lineRule="auto"/>
            <w:tabs>
              <w:tab w:val="right" w:pos="8300" w:leader="dot"/>
            </w:tabs>
            <w:rPr>
              <w:rFonts w:ascii="仿宋" w:hAnsi="仿宋" w:eastAsia="仿宋" w:cs="仿宋"/>
              <w:color w:val="auto"/>
              <w:sz w:val="28"/>
              <w:szCs w:val="28"/>
            </w:rPr>
          </w:pPr>
          <w:r>
            <w:rPr>
              <w:rFonts w:hint="eastAsia" w:ascii="仿宋" w:hAnsi="仿宋" w:eastAsia="仿宋" w:cs="仿宋"/>
              <w:color w:val="auto"/>
              <w:sz w:val="28"/>
              <w:szCs w:val="28"/>
            </w:rPr>
            <w:t xml:space="preserve">特别说明</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_Toc26525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70</w:t>
          </w:r>
          <w:r>
            <w:rPr>
              <w:rFonts w:hint="eastAsia" w:ascii="仿宋" w:hAnsi="仿宋" w:eastAsia="仿宋" w:cs="仿宋"/>
              <w:color w:val="auto"/>
              <w:sz w:val="28"/>
              <w:szCs w:val="28"/>
            </w:rPr>
            <w:fldChar w:fldCharType="end"/>
          </w:r>
          <w:r/>
        </w:p>
        <w:p>
          <w:pPr>
            <w:pStyle w:val="834"/>
            <w:jc w:val="center"/>
            <w:spacing w:line="480" w:lineRule="auto"/>
            <w:rPr>
              <w:rFonts w:ascii="仿宋" w:hAnsi="仿宋" w:eastAsia="仿宋" w:cs="仿宋"/>
              <w:b/>
              <w:color w:val="auto"/>
              <w:sz w:val="44"/>
              <w:szCs w:val="44"/>
            </w:rPr>
          </w:pPr>
          <w:r>
            <w:rPr>
              <w:rFonts w:hint="eastAsia" w:ascii="仿宋" w:hAnsi="仿宋" w:eastAsia="仿宋" w:cs="仿宋"/>
              <w:color w:val="auto"/>
              <w:szCs w:val="44"/>
            </w:rPr>
            <w:fldChar w:fldCharType="end"/>
          </w:r>
          <w:r/>
        </w:p>
      </w:sdtContent>
    </w:sdt>
    <w:p>
      <w:pPr>
        <w:pStyle w:val="834"/>
        <w:jc w:val="center"/>
        <w:spacing w:line="360" w:lineRule="auto"/>
        <w:rPr>
          <w:rFonts w:ascii="仿宋" w:hAnsi="仿宋" w:eastAsia="仿宋" w:cs="仿宋"/>
          <w:b/>
          <w:color w:val="auto"/>
          <w:sz w:val="44"/>
          <w:szCs w:val="44"/>
        </w:rPr>
      </w:pPr>
      <w:r>
        <w:rPr>
          <w:rFonts w:ascii="仿宋" w:hAnsi="仿宋" w:eastAsia="仿宋" w:cs="仿宋"/>
          <w:b/>
          <w:color w:val="auto"/>
          <w:sz w:val="44"/>
          <w:szCs w:val="44"/>
        </w:rPr>
      </w:r>
      <w:r/>
    </w:p>
    <w:p>
      <w:pPr>
        <w:pStyle w:val="834"/>
        <w:spacing w:line="360" w:lineRule="auto"/>
        <w:rPr>
          <w:rFonts w:ascii="仿宋" w:hAnsi="仿宋" w:eastAsia="仿宋" w:cs="仿宋"/>
          <w:b/>
          <w:color w:val="auto"/>
          <w:sz w:val="44"/>
          <w:szCs w:val="44"/>
        </w:rPr>
        <w:outlineLvl w:val="0"/>
      </w:pPr>
      <w:r/>
      <w:bookmarkStart w:id="15" w:name="_Toc12678"/>
      <w:r/>
      <w:r/>
    </w:p>
    <w:p>
      <w:pPr>
        <w:pStyle w:val="834"/>
        <w:jc w:val="center"/>
        <w:spacing w:line="360" w:lineRule="auto"/>
        <w:rPr>
          <w:rFonts w:ascii="仿宋" w:hAnsi="仿宋" w:eastAsia="仿宋" w:cs="仿宋"/>
          <w:color w:val="auto"/>
          <w:sz w:val="44"/>
          <w:szCs w:val="44"/>
          <w:u w:val="single"/>
        </w:rPr>
        <w:outlineLvl w:val="0"/>
      </w:pPr>
      <w:r>
        <w:rPr>
          <w:rFonts w:hint="eastAsia" w:ascii="仿宋" w:hAnsi="仿宋" w:eastAsia="仿宋" w:cs="仿宋"/>
          <w:b/>
          <w:color w:val="auto"/>
          <w:sz w:val="44"/>
          <w:szCs w:val="44"/>
        </w:rPr>
        <w:t xml:space="preserve">第一部分  投标邀请书</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r/>
    </w:p>
    <w:tbl>
      <w:tblPr>
        <w:tblStyle w:val="801"/>
        <w:tblW w:w="90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7"/>
      </w:tblGrid>
      <w:tr>
        <w:trPr>
          <w:trHeight w:val="916"/>
        </w:trPr>
        <w:tc>
          <w:tcPr>
            <w:tcW w:w="9087" w:type="dxa"/>
            <w:textDirection w:val="lrTb"/>
            <w:noWrap w:val="false"/>
          </w:tcPr>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项目概况：</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u w:val="single"/>
                <w:lang w:eastAsia="zh-CN"/>
              </w:rPr>
              <w:t xml:space="preserve">扬中市公办中小学、幼儿园食堂猪肉采购服务供应商项目</w:t>
            </w:r>
            <w:r>
              <w:rPr>
                <w:rFonts w:hint="eastAsia" w:ascii="仿宋" w:hAnsi="仿宋" w:eastAsia="仿宋" w:cs="仿宋"/>
                <w:color w:val="auto"/>
                <w:sz w:val="28"/>
                <w:szCs w:val="28"/>
              </w:rPr>
              <w:t xml:space="preserve">的潜在供应商应在</w:t>
            </w:r>
            <w:r>
              <w:rPr>
                <w:rFonts w:hint="eastAsia" w:ascii="仿宋" w:hAnsi="仿宋" w:eastAsia="仿宋" w:cs="仿宋"/>
                <w:color w:val="auto"/>
                <w:sz w:val="28"/>
                <w:szCs w:val="28"/>
                <w:u w:val="single"/>
              </w:rPr>
              <w:t xml:space="preserve">http://jszfcg.jscz.gov.cn/jszc/login</w:t>
            </w:r>
            <w:r>
              <w:rPr>
                <w:rFonts w:hint="eastAsia" w:ascii="仿宋" w:hAnsi="仿宋" w:eastAsia="仿宋" w:cs="仿宋"/>
                <w:color w:val="auto"/>
                <w:sz w:val="28"/>
                <w:szCs w:val="28"/>
              </w:rPr>
              <w:t xml:space="preserve">获取采购文件，</w:t>
            </w:r>
            <w:r>
              <w:rPr>
                <w:rFonts w:hint="eastAsia" w:ascii="仿宋" w:hAnsi="仿宋" w:eastAsia="仿宋" w:cs="仿宋"/>
                <w:b/>
                <w:bCs/>
                <w:color w:val="auto"/>
                <w:sz w:val="28"/>
                <w:szCs w:val="28"/>
              </w:rPr>
              <w:t xml:space="preserve">并于</w:t>
            </w:r>
            <w:r>
              <w:rPr>
                <w:rFonts w:hint="eastAsia" w:ascii="仿宋" w:hAnsi="仿宋" w:eastAsia="仿宋" w:cs="仿宋"/>
                <w:b/>
                <w:bCs/>
                <w:color w:val="auto"/>
                <w:sz w:val="28"/>
                <w:szCs w:val="28"/>
                <w:u w:val="single"/>
              </w:rPr>
              <w:t xml:space="preserve">2023年9月</w:t>
            </w:r>
            <w:r>
              <w:rPr>
                <w:rFonts w:hint="eastAsia" w:ascii="仿宋" w:hAnsi="仿宋" w:eastAsia="仿宋" w:cs="仿宋"/>
                <w:b/>
                <w:bCs/>
                <w:color w:val="auto"/>
                <w:sz w:val="28"/>
                <w:szCs w:val="28"/>
                <w:u w:val="single"/>
                <w:lang w:val="en-US" w:eastAsia="zh-CN"/>
              </w:rPr>
              <w:t xml:space="preserve">12</w:t>
            </w:r>
            <w:r>
              <w:rPr>
                <w:rFonts w:hint="eastAsia" w:ascii="仿宋" w:hAnsi="仿宋" w:eastAsia="仿宋" w:cs="仿宋"/>
                <w:b/>
                <w:bCs/>
                <w:color w:val="auto"/>
                <w:sz w:val="28"/>
                <w:szCs w:val="28"/>
                <w:u w:val="single"/>
              </w:rPr>
              <w:t xml:space="preserve">日9点00分（北京时间）</w:t>
            </w:r>
            <w:r>
              <w:rPr>
                <w:rFonts w:hint="eastAsia" w:ascii="仿宋" w:hAnsi="仿宋" w:eastAsia="仿宋" w:cs="仿宋"/>
                <w:b/>
                <w:bCs/>
                <w:color w:val="auto"/>
                <w:sz w:val="28"/>
                <w:szCs w:val="28"/>
              </w:rPr>
              <w:t xml:space="preserve">前递交投标响应文件。</w:t>
            </w:r>
            <w:r/>
          </w:p>
        </w:tc>
      </w:tr>
    </w:tbl>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项目基本情况</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JSZC-321182-JJGS-G2023-0044</w:t>
      </w:r>
      <w:r>
        <w:rPr>
          <w:rFonts w:hint="eastAsia" w:ascii="仿宋" w:hAnsi="仿宋" w:eastAsia="仿宋" w:cs="仿宋"/>
          <w:color w:val="auto"/>
          <w:sz w:val="28"/>
          <w:szCs w:val="28"/>
        </w:rPr>
        <w:t xml:space="preserve">。 </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扬中市公办中小学、幼儿园食堂猪肉采购服务供应商项目</w:t>
      </w:r>
      <w:r>
        <w:rPr>
          <w:rFonts w:hint="eastAsia" w:ascii="仿宋" w:hAnsi="仿宋" w:eastAsia="仿宋" w:cs="仿宋"/>
          <w:color w:val="auto"/>
          <w:sz w:val="28"/>
          <w:szCs w:val="28"/>
        </w:rPr>
        <w:t xml:space="preserve">。</w:t>
      </w:r>
      <w:r/>
    </w:p>
    <w:p>
      <w:pPr>
        <w:pStyle w:val="834"/>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采购预算：1350万元。</w:t>
      </w:r>
      <w:r/>
    </w:p>
    <w:p>
      <w:pPr>
        <w:pStyle w:val="834"/>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最高限价：1350万元。</w:t>
      </w:r>
      <w:r/>
    </w:p>
    <w:p>
      <w:pPr>
        <w:pStyle w:val="834"/>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采购需求:为提高我市在校学生用餐质量，保障学生身心健康成长，维护学生合法权益，依据《中华人民共和国教育法》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《中华人民共和国食品安全法》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《中小学幼儿园安全管理办法》等法律法规，落实《江苏省教育厅 江苏省财政厅关于加强中小学食堂财务管理的意见》（苏教财〔2010〕108号）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《江苏省教育厅关于进一步加强中小学食堂管理切实维护师生权益的通知》（苏教财〔2013〕10号）和扬中市教育局《关于进一步规范学校食堂财务管理的通知》（扬教办〔2018〕34号）精神，对全市公办中小学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幼儿园食堂猪肉采购服务供应商项目进行公开招标，具体详见招标文件第四部分采购需求。</w:t>
      </w:r>
      <w:r/>
    </w:p>
    <w:p>
      <w:pPr>
        <w:pStyle w:val="834"/>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合同履行期限：1年。</w:t>
      </w:r>
      <w:r/>
    </w:p>
    <w:p>
      <w:pPr>
        <w:pStyle w:val="834"/>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本次采购确定的供应商数量：3名,第一中标候选人承担全年40%的配送量，第二中标候选人承担全年35%的配送量，第三中标候选人承担全年25%的配送量，具体分配比例按上一年度学生数量进行。</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采购方式：公开招标。</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本项目不接受联合体投标。</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申请人的资格要求：</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满足《中华人民共和国政府采购法》第二十二条规定，并提供证明材料(包括但不限于)：</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A.具有独立承担民事责任的能力（提供法人或者其他组织的营业执照等证明文件）；</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B.法定代表人/负责人授权委托书或法定代表人身份证明（原件）；</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C.具有良好的商业信誉和健全的财务会计制度（提供上一年度企业财务审计报告，或近一年内的财务报表（不少于三个月,每月提供一份）；事业单位提供上一年度财务报表）；</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D.具有履行合同所必需的设备和专业技术能力(投标响应单位相关信息一览表【见投标响应文件（格式）】）；</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E.提供参加本次政府采购活动前三年内，在经营活动中没有重大违法记录的承诺函（见投标响应文件第8条）；</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F.具有工商注册所在地相关部门提供的企业纳税的证明材料（</w:t>
      </w:r>
      <w:r>
        <w:rPr>
          <w:rFonts w:hint="eastAsia" w:ascii="仿宋" w:hAnsi="仿宋" w:eastAsia="仿宋" w:cs="仿宋"/>
          <w:color w:val="auto"/>
          <w:sz w:val="28"/>
          <w:szCs w:val="28"/>
          <w:lang w:val="zh-TW" w:eastAsia="zh-TW"/>
        </w:rPr>
        <w:t xml:space="preserve">参加本次政府采购活动前6个月内任一个月的缴税证明</w:t>
      </w:r>
      <w:r>
        <w:rPr>
          <w:rFonts w:hint="eastAsia" w:ascii="仿宋" w:hAnsi="仿宋" w:eastAsia="仿宋" w:cs="仿宋"/>
          <w:color w:val="auto"/>
          <w:sz w:val="28"/>
          <w:szCs w:val="28"/>
          <w:lang w:val="zh-TW"/>
        </w:rPr>
        <w:t xml:space="preserve">，事业单位请提供相关证明材料</w:t>
      </w:r>
      <w:r>
        <w:rPr>
          <w:rFonts w:hint="eastAsia" w:ascii="仿宋" w:hAnsi="仿宋" w:eastAsia="仿宋" w:cs="仿宋"/>
          <w:color w:val="auto"/>
          <w:sz w:val="28"/>
          <w:szCs w:val="28"/>
        </w:rPr>
        <w:t xml:space="preserve">）；</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G.具有工商注册所在地相关部门提供的社保缴费良好记录的证明材料（</w:t>
      </w:r>
      <w:r>
        <w:rPr>
          <w:rFonts w:hint="eastAsia" w:ascii="仿宋" w:hAnsi="仿宋" w:eastAsia="仿宋" w:cs="仿宋"/>
          <w:color w:val="auto"/>
          <w:sz w:val="28"/>
          <w:szCs w:val="28"/>
          <w:lang w:val="zh-TW" w:eastAsia="zh-TW"/>
        </w:rPr>
        <w:t xml:space="preserve">参加本次政府采购活动前6个月内任一个月</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lang w:val="zh-TW" w:eastAsia="zh-TW"/>
        </w:rPr>
        <w:t xml:space="preserve">缴社会保险费证明</w:t>
      </w:r>
      <w:r>
        <w:rPr>
          <w:rFonts w:hint="eastAsia" w:ascii="仿宋" w:hAnsi="仿宋" w:eastAsia="仿宋" w:cs="仿宋"/>
          <w:color w:val="auto"/>
          <w:sz w:val="28"/>
          <w:szCs w:val="28"/>
        </w:rPr>
        <w:t xml:space="preserve">）；</w:t>
      </w:r>
      <w:r/>
    </w:p>
    <w:p>
      <w:pPr>
        <w:pStyle w:val="834"/>
        <w:ind w:firstLine="560"/>
        <w:spacing w:line="360" w:lineRule="auto"/>
        <w:rPr>
          <w:rFonts w:ascii="仿宋" w:hAnsi="仿宋" w:eastAsia="仿宋" w:cs="仿宋"/>
          <w:color w:val="auto"/>
        </w:rPr>
      </w:pPr>
      <w:r>
        <w:rPr>
          <w:rFonts w:hint="eastAsia" w:ascii="仿宋" w:hAnsi="仿宋" w:eastAsia="仿宋" w:cs="仿宋"/>
          <w:color w:val="auto"/>
          <w:sz w:val="28"/>
          <w:szCs w:val="28"/>
        </w:rPr>
        <w:t xml:space="preserve">H.供应商未被列入失信被执行人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重大税收违法案件当事人名单</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政府采购严重违法失信行为记录名单（以资格审查结束前“‘信用中国’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‘中国政府采购’”查询结果为准）。</w:t>
      </w:r>
      <w:r/>
    </w:p>
    <w:p>
      <w:pPr>
        <w:pStyle w:val="834"/>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注：①按扬财购〔2022〕17号《关于进一步降低政府采购活动成本减轻政府采购供应商负担的通知》本项目申请人的资格条件采取“信用承诺制”，资格要求第C至第G项，供应商可选择提供资格承诺函（格式见附件），在响应文件中无需再提供与上述五项相关的证明材料即可参加采购活动。</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②供应商可自行选择是否提供承诺函，若不提供承诺函的，应按招标文件要求提供相应的证明材料。</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③供应商应当遵循诚实信用原则，不得作虚假承诺。供应商承诺不实的，属于提供虚假材料谋取中标</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成交，应承担相应的法律责任。</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落实政府采购政策需满足的资格要求：</w:t>
      </w:r>
      <w:r/>
    </w:p>
    <w:p>
      <w:pPr>
        <w:pStyle w:val="834"/>
        <w:ind w:firstLine="560"/>
        <w:spacing w:line="360" w:lineRule="auto"/>
        <w:rPr>
          <w:rFonts w:ascii="仿宋" w:hAnsi="仿宋" w:eastAsia="仿宋" w:cs="仿宋"/>
          <w:color w:val="auto"/>
          <w:sz w:val="44"/>
          <w:szCs w:val="44"/>
        </w:rPr>
      </w:pPr>
      <w:r>
        <w:rPr>
          <w:rFonts w:hint="eastAsia" w:ascii="仿宋" w:hAnsi="仿宋" w:eastAsia="仿宋" w:cs="仿宋"/>
          <w:color w:val="auto"/>
          <w:sz w:val="28"/>
          <w:szCs w:val="28"/>
        </w:rPr>
        <w:t xml:space="preserve">①本项目为面向所有供应商采购项目； </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②依据工业和信息化部等四部委制定的《中小企业划型标准规定》，本项目对应的中小企业划分标准所属行业为批发业。</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本项目的特定资格要求：无。</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获取招标文件：本项目采用网上注册登记方式</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潜在供应商访问电子招标投标交易平台的网络地址和方法：</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（1）登录http://jszfcg.jscz.gov.cn/jszc/login;或进入扬中政府采购网（http://www.yzzfcg.cn/）首页点击“苏采云”进入系统。</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（2）获取招标文件的方式：</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“苏采云”系统用户注册--获取“CA数字证书”--CA绑定与登录--网上报名--下载招标文件(后缀名为.kedt”)。</w:t>
      </w:r>
      <w:r/>
    </w:p>
    <w:p>
      <w:pPr>
        <w:pStyle w:val="834"/>
        <w:ind w:left="559"/>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（3）时间：公告发布之日起至2023年9月</w:t>
      </w:r>
      <w:r>
        <w:rPr>
          <w:rFonts w:hint="eastAsia" w:ascii="仿宋" w:hAnsi="仿宋" w:eastAsia="仿宋" w:cs="仿宋"/>
          <w:b/>
          <w:bCs/>
          <w:color w:val="auto"/>
          <w:sz w:val="28"/>
          <w:szCs w:val="28"/>
          <w:lang w:val="en-US" w:eastAsia="zh-CN"/>
        </w:rPr>
        <w:t xml:space="preserve">12</w:t>
      </w:r>
      <w:r>
        <w:rPr>
          <w:rFonts w:hint="eastAsia" w:ascii="仿宋" w:hAnsi="仿宋" w:eastAsia="仿宋" w:cs="仿宋"/>
          <w:b/>
          <w:bCs/>
          <w:color w:val="auto"/>
          <w:sz w:val="28"/>
          <w:szCs w:val="28"/>
        </w:rPr>
        <w:t xml:space="preserve">日9:00。</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“CA数字证书”的获取</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供应商需办理CA锁，“苏采云”系统目前仅支持“苏采云”系统下的国信CA，省内各地区办理的“苏采云”系统下的国信CA全省通用。客户端工具及供应商操作手册扬中政府采购网（http://www.yzzfcg.cn/）首页“资料下载”--下载《江苏省政府采购交易系统（苏采云）供应商操作手册及政府采购客户端》。</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招标文件(后缀名为“. kedt”)</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pStyle w:val="834"/>
        <w:ind w:firstLine="560"/>
        <w:spacing w:line="360" w:lineRule="auto"/>
        <w:rPr>
          <w:rFonts w:ascii="仿宋" w:hAnsi="仿宋" w:eastAsia="仿宋" w:cs="仿宋"/>
          <w:b/>
          <w:bCs/>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采购代理机构将数据电文形式的招标文件加载至电子招标投标交易平台，供潜在供应商下载或者查阅，</w:t>
      </w:r>
      <w:r>
        <w:rPr>
          <w:rFonts w:hint="eastAsia" w:ascii="仿宋" w:hAnsi="仿宋" w:eastAsia="仿宋" w:cs="仿宋"/>
          <w:b/>
          <w:bCs/>
          <w:color w:val="auto"/>
          <w:sz w:val="28"/>
          <w:szCs w:val="28"/>
        </w:rPr>
        <w:t xml:space="preserve">各供应商应在规定的时间内完成招标文件的下载，逾期可能会造成招标文件无法下载以及投标响应文件无法上传的情形，由此导致的后果由各供应商自行承担。</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苏采云系统使用谷歌浏览器参与不见面开标。</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售价:免费</w:t>
      </w:r>
      <w:r/>
    </w:p>
    <w:p>
      <w:pPr>
        <w:pStyle w:val="834"/>
        <w:ind w:firstLine="562"/>
        <w:spacing w:line="360" w:lineRule="auto"/>
        <w:rPr>
          <w:rFonts w:ascii="仿宋" w:hAnsi="仿宋" w:eastAsia="仿宋" w:cs="仿宋"/>
          <w:color w:val="auto"/>
          <w:sz w:val="28"/>
          <w:szCs w:val="28"/>
        </w:rPr>
      </w:pPr>
      <w:r>
        <w:rPr>
          <w:rFonts w:hint="eastAsia" w:ascii="仿宋" w:hAnsi="仿宋" w:eastAsia="仿宋" w:cs="仿宋"/>
          <w:b/>
          <w:bCs/>
          <w:color w:val="auto"/>
          <w:sz w:val="28"/>
          <w:szCs w:val="28"/>
        </w:rPr>
        <w:t xml:space="preserve">注：</w:t>
      </w:r>
      <w:r>
        <w:rPr>
          <w:color w:val="auto"/>
        </w:rPr>
        <w:fldChar w:fldCharType="begin"/>
      </w:r>
      <w:r>
        <w:rPr>
          <w:color w:val="auto"/>
        </w:rPr>
        <w:instrText xml:space="preserve"> HYPERLINK "mailto:" </w:instrText>
      </w:r>
      <w:r>
        <w:rPr>
          <w:color w:val="auto"/>
        </w:rPr>
        <w:fldChar w:fldCharType="separate"/>
      </w:r>
      <w:r>
        <w:rPr>
          <w:rFonts w:hint="eastAsia" w:ascii="仿宋" w:hAnsi="仿宋" w:eastAsia="仿宋" w:cs="仿宋"/>
          <w:b/>
          <w:bCs/>
          <w:color w:val="auto"/>
          <w:sz w:val="28"/>
          <w:szCs w:val="28"/>
        </w:rPr>
        <w:t xml:space="preserve">“苏采云”系统目前在试运行期间，各供应商按以上要求获取招标文件后，还须将供应商信息表（详见本公告附件）加盖单位公章发至517254416@qq.com后，招标代理机构将招标文件等系统可能无法上传的资料发至潜在供应商提供的“供应商信息表”中的电子邮箱（联系人：张梦雅；联系电话：18795986963）。</w:t>
      </w:r>
      <w:r>
        <w:rPr>
          <w:rFonts w:hint="eastAsia" w:ascii="仿宋" w:hAnsi="仿宋" w:eastAsia="仿宋" w:cs="仿宋"/>
          <w:b/>
          <w:bCs/>
          <w:color w:val="auto"/>
          <w:sz w:val="28"/>
          <w:szCs w:val="28"/>
        </w:rPr>
        <w:fldChar w:fldCharType="end"/>
      </w:r>
      <w:r/>
    </w:p>
    <w:p>
      <w:pPr>
        <w:pStyle w:val="834"/>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四</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投标响应文件提交</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提交首次投标响应文件时间：</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（1）线上递交投标响应文件时间：2023年9月</w:t>
      </w:r>
      <w:r>
        <w:rPr>
          <w:rFonts w:hint="eastAsia" w:ascii="仿宋" w:hAnsi="仿宋" w:eastAsia="仿宋" w:cs="仿宋"/>
          <w:b/>
          <w:bCs/>
          <w:color w:val="auto"/>
          <w:sz w:val="28"/>
          <w:szCs w:val="28"/>
          <w:lang w:val="en-US" w:eastAsia="zh-CN"/>
        </w:rPr>
        <w:t xml:space="preserve">12</w:t>
      </w:r>
      <w:r>
        <w:rPr>
          <w:rFonts w:hint="eastAsia" w:ascii="仿宋" w:hAnsi="仿宋" w:eastAsia="仿宋" w:cs="仿宋"/>
          <w:b/>
          <w:bCs/>
          <w:color w:val="auto"/>
          <w:sz w:val="28"/>
          <w:szCs w:val="28"/>
        </w:rPr>
        <w:t xml:space="preserve">日9:00；</w:t>
      </w:r>
      <w:r/>
    </w:p>
    <w:p>
      <w:pPr>
        <w:pStyle w:val="834"/>
        <w:ind w:firstLine="562"/>
        <w:spacing w:line="360" w:lineRule="auto"/>
        <w:rPr>
          <w:rFonts w:ascii="仿宋" w:hAnsi="仿宋" w:eastAsia="仿宋" w:cs="仿宋"/>
          <w:b/>
          <w:bCs/>
          <w:color w:val="auto"/>
          <w:sz w:val="28"/>
          <w:szCs w:val="28"/>
          <w:highlight w:val="yellow"/>
        </w:rPr>
      </w:pPr>
      <w:r>
        <w:rPr>
          <w:rFonts w:hint="eastAsia" w:ascii="仿宋" w:hAnsi="仿宋" w:eastAsia="仿宋" w:cs="仿宋"/>
          <w:b/>
          <w:bCs/>
          <w:color w:val="auto"/>
          <w:sz w:val="28"/>
          <w:szCs w:val="28"/>
        </w:rPr>
        <w:t xml:space="preserve">（2）线下现场递交投标响应文件时间：2023年9月</w:t>
      </w:r>
      <w:r>
        <w:rPr>
          <w:rFonts w:hint="eastAsia" w:ascii="仿宋" w:hAnsi="仿宋" w:eastAsia="仿宋" w:cs="仿宋"/>
          <w:b/>
          <w:bCs/>
          <w:color w:val="auto"/>
          <w:sz w:val="28"/>
          <w:szCs w:val="28"/>
          <w:lang w:val="en-US" w:eastAsia="zh-CN"/>
        </w:rPr>
        <w:t xml:space="preserve">12</w:t>
      </w:r>
      <w:r>
        <w:rPr>
          <w:rFonts w:hint="eastAsia" w:ascii="仿宋" w:hAnsi="仿宋" w:eastAsia="仿宋" w:cs="仿宋"/>
          <w:b/>
          <w:bCs/>
          <w:color w:val="auto"/>
          <w:sz w:val="28"/>
          <w:szCs w:val="28"/>
        </w:rPr>
        <w:t xml:space="preserve">日8:30—9:00（北京时间）。</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提交首次投标响应文件地点：</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（1）线上地点：将后缀名为“.kedt”的投标文件导入政府采购客户端工具--制作投标文件--导出加密的投标文件(后缀名为zip) --通过“苏采云”系统上传投标响应文件。具体详见《江苏省政府采购管理交易系统(苏采云)供应商操作手册》。</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（2）线下地点：扬中市公共资源交易中心（扬子中路168号，标室安排查看一楼显示屏）。</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供应商需递交密封的纸质投标响应文件，正</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副本份数及要求详见招标文件。邮寄选择递交投标响应文件具体要求如下：</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①邮寄递交地点：江苏省镇江扬中市中电大道688号浩云湾27幢04室；</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②接收人：张梦雅；</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③联系方式：18795986963；</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④邮寄递交投标响应文件，邮寄件须在外包装显著位置注明标识</w:t>
      </w:r>
      <w:r>
        <w:rPr>
          <w:rFonts w:hint="eastAsia" w:ascii="仿宋" w:hAnsi="仿宋" w:eastAsia="仿宋" w:cs="仿宋"/>
          <w:b/>
          <w:bCs/>
          <w:color w:val="auto"/>
          <w:sz w:val="28"/>
          <w:szCs w:val="28"/>
        </w:rPr>
        <w:t xml:space="preserve">（项目编号</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项目名称）</w:t>
      </w:r>
      <w:r>
        <w:rPr>
          <w:rFonts w:hint="eastAsia" w:ascii="仿宋" w:hAnsi="仿宋" w:eastAsia="仿宋" w:cs="仿宋"/>
          <w:color w:val="auto"/>
          <w:sz w:val="28"/>
          <w:szCs w:val="28"/>
        </w:rPr>
        <w:t xml:space="preserve">，无标识或标识模糊不清的，不予接收。通过邮寄方式递交投标响应文件须在投标响应截止时间前送达并由接收人签收，外包装破损的邮寄件不予接收。投标人应充分考寄件速度并自行承担邮寄件损失或损毁的一切风险。</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⑤采用邮寄方式递交投标响应文件的，供应商应充分考虑邮寄带来的各种不可预见的风险，投标人代表须在开标当日保持通讯畅通。</w:t>
      </w:r>
      <w:r/>
    </w:p>
    <w:p>
      <w:pPr>
        <w:pStyle w:val="834"/>
        <w:ind w:firstLine="560"/>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3</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首次投标响应文件提交的截止时间：2023年9月</w:t>
      </w:r>
      <w:r>
        <w:rPr>
          <w:rFonts w:hint="eastAsia" w:ascii="仿宋" w:hAnsi="仿宋" w:eastAsia="仿宋" w:cs="仿宋"/>
          <w:b/>
          <w:bCs/>
          <w:color w:val="auto"/>
          <w:sz w:val="28"/>
          <w:szCs w:val="28"/>
          <w:lang w:val="en-US" w:eastAsia="zh-CN"/>
        </w:rPr>
        <w:t xml:space="preserve">12</w:t>
      </w:r>
      <w:r>
        <w:rPr>
          <w:rFonts w:hint="eastAsia" w:ascii="仿宋" w:hAnsi="仿宋" w:eastAsia="仿宋" w:cs="仿宋"/>
          <w:b/>
          <w:bCs/>
          <w:color w:val="auto"/>
          <w:sz w:val="28"/>
          <w:szCs w:val="28"/>
        </w:rPr>
        <w:t xml:space="preserve">日9:00，在截止时间后送达及上传至“苏采云”系统的投标响应文件为无效文件，将被拒收。</w:t>
      </w:r>
      <w:r/>
    </w:p>
    <w:p>
      <w:pPr>
        <w:pStyle w:val="834"/>
        <w:ind w:firstLine="560"/>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4</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首次投标响应文件开启时间：2023年9月</w:t>
      </w:r>
      <w:r>
        <w:rPr>
          <w:rFonts w:hint="eastAsia" w:ascii="仿宋" w:hAnsi="仿宋" w:eastAsia="仿宋" w:cs="仿宋"/>
          <w:b/>
          <w:bCs/>
          <w:color w:val="auto"/>
          <w:sz w:val="28"/>
          <w:szCs w:val="28"/>
          <w:lang w:val="en-US" w:eastAsia="zh-CN"/>
        </w:rPr>
        <w:t xml:space="preserve">12</w:t>
      </w:r>
      <w:r>
        <w:rPr>
          <w:rFonts w:hint="eastAsia" w:ascii="仿宋" w:hAnsi="仿宋" w:eastAsia="仿宋" w:cs="仿宋"/>
          <w:b/>
          <w:bCs/>
          <w:color w:val="auto"/>
          <w:sz w:val="28"/>
          <w:szCs w:val="28"/>
        </w:rPr>
        <w:t xml:space="preserve">日9:00。    </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首次响应文件开启地点：“苏采云”系统（网址：http://jszfcg.jsczt.cn/）“开标大厅”或扬中政府采购网（http://www.yzzfcg.cn/）首页点击“苏采云”进入系统“开标大厅”。</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本项目采用远程不见面交易模式，通过不见面交易系统及相应的配套硬件设备（摄像头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话筒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麦克风等）完成远程解密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开标现场异议及回复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开标唱标等交互环节。</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不见面交易相关要求和说明如下：</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（1）不见面开标项目的时间均以国家授时中心发布的时间为准；</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（2）开标当日，投标人不必抵达开标现场，仅需在任意地点通过“苏采云”系统（网址：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ascii="仿宋" w:hAnsi="仿宋" w:eastAsia="仿宋" w:cs="仿宋"/>
          <w:color w:val="auto"/>
          <w:sz w:val="28"/>
          <w:szCs w:val="28"/>
        </w:rPr>
        <w:t xml:space="preserve">http://jszfcg.jsczt.cn/）“开标大厅”或扬中政府采购网（http://www.yzzfcg.cn/）首页点击“苏采云”进入系统“开标大厅”参与开标过程；</w:t>
      </w:r>
      <w:r>
        <w:rPr>
          <w:rFonts w:hint="eastAsia" w:ascii="仿宋" w:hAnsi="仿宋" w:eastAsia="仿宋" w:cs="仿宋"/>
          <w:color w:val="auto"/>
          <w:sz w:val="28"/>
          <w:szCs w:val="28"/>
        </w:rPr>
        <w:fldChar w:fldCharType="end"/>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（3）未按时加入开标会议区并完成登录操作的或未能在开标会议区内全程参与交互的，视为放弃交互和放弃对开评标全过程提疑的权利，投标人将无法看到解密指令</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异议回复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唱标等实时情况，并承担由此导致的一切后果；</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未按操作手册要求配置软硬件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解密锁发生故障或用错</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故意不在要求时限内完成解密等自身原因，导致投标文件在规定时间内未能解密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解密失败或解密超时，视为投标人撤销其投标文件；因网上平台发生故障，导致无法按时完成投标文件解密或开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评标工作无法进行的，可根据实际情况相应延迟解密时间或调整开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评标时间（友情提示：若投标人已领取副锁（含多把副锁）请注意正副锁的使用差别）。本项目在限定的解密时间内，只要有一家投标人解密成功，即视为网上招投标平台运行无故障。</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（5）因投标人自身软硬件配备不齐全或发生故障等问题而导致在交互过程中出现不稳定或中断等情况的，由投标人自身承担一切后果。</w:t>
      </w:r>
      <w:r/>
    </w:p>
    <w:p>
      <w:pPr>
        <w:pStyle w:val="834"/>
        <w:numPr>
          <w:ilvl w:val="0"/>
          <w:numId w:val="5"/>
        </w:numPr>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特别说明：</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（1）本项目采用线上线下双轨制，即投标人投标文件除了从政府采购客户端工具制作通过“苏采云”系统提交外，还需提供与线上内容一致的纸质文件，如出现线上与线下内容不一致的，以线上文档为准。</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任何单位和个人不得在开标前开启响应文件。电子响应文件与纸质响应文件内容应当一致，若电子响应文件与纸质响应文件内容不一致的，以电子响应文件为准，纸质响应文件之间内容不同的，以正本为准。</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（3）本公司不接受不按要求密封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未盖公章</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份数不够的响应文件。在截止时间后送达的响应文件为无效文件，将被拒收。</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（4）响应文件正</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副本均不退还。</w:t>
      </w:r>
      <w:r/>
    </w:p>
    <w:p>
      <w:pPr>
        <w:pStyle w:val="834"/>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五</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公告期限：自本公告发布之日起5个工作日。</w:t>
      </w:r>
      <w:r/>
    </w:p>
    <w:p>
      <w:pPr>
        <w:pStyle w:val="834"/>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六</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其他补充事宜</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现场勘察：</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（1）采购人不组织现场踏勘，供应商可自行组织对现场及其周围环境进行踏勘，以便供应商自行查明或核实有关编制投标响应文件和签订合同所必需的资料。</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（2）现场踏勘期间，供应商承担自身的费用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责任和风险。如果发生人身伤亡</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财物或其他损失，除国家法律法规有规定的之外，采购人均不负责。</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本项目需要落实的政府采购政策：财政部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工业和信息化部关于印发《政府采购促进中小企业发展管理办法》的通知（财库〔2020〕46号)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残疾人福利性单位政策</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监狱企业发展政策（具体表述详见文件）。</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投标保证金：本项目不缴纳投标保证金，招标文件中所有与投标保证金有关的条款均不作要求。</w:t>
      </w:r>
      <w:r/>
    </w:p>
    <w:p>
      <w:pPr>
        <w:pStyle w:val="834"/>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七</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凡对本次采购提出询问，请按以下方式联系。</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采购人信息</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u w:val="single"/>
        </w:rPr>
        <w:t xml:space="preserve">扬中市教育局</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镇江市扬中市中电大道8号</w:t>
      </w:r>
      <w:r/>
    </w:p>
    <w:p>
      <w:pPr>
        <w:pStyle w:val="834"/>
        <w:ind w:firstLine="560"/>
        <w:spacing w:line="36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联系人：</w:t>
      </w:r>
      <w:r>
        <w:rPr>
          <w:rFonts w:hint="eastAsia" w:ascii="仿宋" w:hAnsi="仿宋" w:eastAsia="仿宋" w:cs="仿宋"/>
          <w:color w:val="auto"/>
          <w:sz w:val="28"/>
          <w:szCs w:val="28"/>
          <w:u w:val="single"/>
        </w:rPr>
        <w:t xml:space="preserve">郭吉林</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13921565798      </w:t>
      </w:r>
      <w:r>
        <w:rPr>
          <w:rFonts w:hint="eastAsia" w:ascii="仿宋" w:hAnsi="仿宋" w:eastAsia="仿宋" w:cs="仿宋"/>
          <w:color w:val="auto"/>
          <w:sz w:val="28"/>
          <w:szCs w:val="28"/>
        </w:rPr>
        <w:t xml:space="preserve">   </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采购代理机构信息</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u w:val="single"/>
        </w:rPr>
        <w:t xml:space="preserve">江苏金居工程项目管理有限公司</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扬中市中电大道688号浩云湾27幢04室</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18952986855</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项目联系方式</w:t>
      </w:r>
      <w:r/>
    </w:p>
    <w:p>
      <w:pPr>
        <w:pStyle w:val="834"/>
        <w:ind w:firstLine="560"/>
        <w:spacing w:line="36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项目联系人：</w:t>
      </w:r>
      <w:r>
        <w:rPr>
          <w:rFonts w:hint="eastAsia" w:ascii="仿宋" w:hAnsi="仿宋" w:eastAsia="仿宋" w:cs="仿宋"/>
          <w:color w:val="auto"/>
          <w:sz w:val="28"/>
          <w:szCs w:val="28"/>
          <w:u w:val="single"/>
        </w:rPr>
        <w:t xml:space="preserve">蔡惠娟</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电话：</w:t>
      </w:r>
      <w:r>
        <w:rPr>
          <w:rFonts w:hint="eastAsia" w:ascii="仿宋" w:hAnsi="仿宋" w:eastAsia="仿宋" w:cs="仿宋"/>
          <w:color w:val="auto"/>
          <w:sz w:val="28"/>
          <w:szCs w:val="28"/>
          <w:u w:val="single"/>
        </w:rPr>
        <w:t xml:space="preserve">18952986855</w:t>
      </w:r>
      <w:r>
        <w:rPr>
          <w:rFonts w:hint="eastAsia" w:ascii="仿宋" w:hAnsi="仿宋" w:eastAsia="仿宋" w:cs="仿宋"/>
          <w:color w:val="auto"/>
          <w:sz w:val="28"/>
          <w:szCs w:val="28"/>
        </w:rPr>
        <w:t xml:space="preserve">           </w:t>
      </w:r>
      <w:r/>
    </w:p>
    <w:p>
      <w:pPr>
        <w:pStyle w:val="834"/>
        <w:ind w:firstLine="560"/>
        <w:jc w:val="right"/>
        <w:spacing w:line="360" w:lineRule="auto"/>
        <w:rPr>
          <w:rFonts w:ascii="仿宋" w:hAnsi="仿宋" w:eastAsia="仿宋" w:cs="仿宋"/>
          <w:color w:val="auto"/>
          <w:sz w:val="30"/>
          <w:szCs w:val="30"/>
        </w:rPr>
      </w:pPr>
      <w:r>
        <w:rPr>
          <w:rFonts w:ascii="仿宋" w:hAnsi="仿宋" w:eastAsia="仿宋" w:cs="仿宋"/>
          <w:color w:val="auto"/>
          <w:sz w:val="30"/>
          <w:szCs w:val="30"/>
        </w:rPr>
      </w:r>
      <w:r/>
    </w:p>
    <w:p>
      <w:pPr>
        <w:pStyle w:val="834"/>
        <w:ind w:firstLine="560"/>
        <w:jc w:val="right"/>
        <w:spacing w:line="360" w:lineRule="auto"/>
        <w:rPr>
          <w:rFonts w:ascii="仿宋" w:hAnsi="仿宋" w:eastAsia="仿宋" w:cs="仿宋"/>
          <w:color w:val="auto"/>
          <w:sz w:val="30"/>
          <w:szCs w:val="30"/>
        </w:rPr>
      </w:pPr>
      <w:r>
        <w:rPr>
          <w:rFonts w:hint="eastAsia" w:ascii="仿宋" w:hAnsi="仿宋" w:eastAsia="仿宋" w:cs="仿宋"/>
          <w:color w:val="auto"/>
          <w:sz w:val="30"/>
          <w:szCs w:val="30"/>
        </w:rPr>
        <w:t xml:space="preserve">江苏金居工程项目管理有限公司</w:t>
      </w:r>
      <w:r/>
    </w:p>
    <w:p>
      <w:pPr>
        <w:pStyle w:val="834"/>
        <w:ind w:firstLine="560"/>
        <w:jc w:val="right"/>
        <w:spacing w:line="360" w:lineRule="auto"/>
        <w:rPr>
          <w:rFonts w:ascii="仿宋" w:hAnsi="仿宋" w:eastAsia="仿宋" w:cs="仿宋"/>
          <w:b/>
          <w:color w:val="auto"/>
          <w:sz w:val="44"/>
          <w:szCs w:val="44"/>
        </w:rPr>
      </w:pPr>
      <w:r>
        <w:rPr>
          <w:rFonts w:hint="eastAsia" w:ascii="仿宋" w:hAnsi="仿宋" w:eastAsia="仿宋" w:cs="仿宋"/>
          <w:color w:val="auto"/>
          <w:sz w:val="30"/>
          <w:szCs w:val="30"/>
        </w:rPr>
        <w:t xml:space="preserve">二0二三年八月</w:t>
      </w:r>
      <w:r>
        <w:rPr>
          <w:rFonts w:hint="eastAsia" w:ascii="仿宋" w:hAnsi="仿宋" w:eastAsia="仿宋" w:cs="仿宋"/>
          <w:color w:val="auto"/>
          <w:sz w:val="30"/>
          <w:szCs w:val="30"/>
          <w:lang w:eastAsia="zh-CN"/>
        </w:rPr>
        <w:t xml:space="preserve">十八</w:t>
      </w:r>
      <w:r>
        <w:rPr>
          <w:rFonts w:hint="eastAsia" w:ascii="仿宋" w:hAnsi="仿宋" w:eastAsia="仿宋" w:cs="仿宋"/>
          <w:color w:val="auto"/>
          <w:sz w:val="30"/>
          <w:szCs w:val="30"/>
        </w:rPr>
        <w:t xml:space="preserve">日</w:t>
      </w:r>
      <w:bookmarkStart w:id="16" w:name="_Toc15747"/>
      <w:r/>
      <w:bookmarkStart w:id="17" w:name="_Toc24166"/>
      <w:r/>
      <w:bookmarkStart w:id="18" w:name="_Toc17564"/>
      <w:r/>
      <w:bookmarkStart w:id="19" w:name="_Toc17150"/>
      <w:r/>
      <w:bookmarkStart w:id="20" w:name="_Toc29052"/>
      <w:r/>
      <w:bookmarkStart w:id="21" w:name="_Toc19040"/>
      <w:r/>
      <w:bookmarkStart w:id="22" w:name="_Toc31707"/>
      <w:r/>
      <w:bookmarkStart w:id="23" w:name="_Toc28603"/>
      <w:r/>
      <w:bookmarkStart w:id="24" w:name="_Toc23077"/>
      <w:r/>
      <w:bookmarkStart w:id="25" w:name="_Toc5989"/>
      <w:r/>
      <w:bookmarkStart w:id="26" w:name="_Toc4639"/>
      <w:r/>
      <w:bookmarkStart w:id="27" w:name="_Toc24543"/>
      <w:r/>
      <w:bookmarkStart w:id="28" w:name="_Toc11082"/>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5"/>
        <w:rPr>
          <w:rFonts w:ascii="仿宋" w:hAnsi="仿宋" w:eastAsia="仿宋" w:cs="仿宋"/>
          <w:color w:val="auto"/>
          <w:sz w:val="44"/>
          <w:szCs w:val="44"/>
        </w:rPr>
      </w:pPr>
      <w:r>
        <w:rPr>
          <w:rFonts w:ascii="仿宋" w:hAnsi="仿宋" w:eastAsia="仿宋" w:cs="仿宋"/>
          <w:color w:val="auto"/>
          <w:sz w:val="44"/>
          <w:szCs w:val="44"/>
        </w:rPr>
      </w:r>
      <w:r/>
    </w:p>
    <w:p>
      <w:pPr>
        <w:pStyle w:val="834"/>
        <w:rPr>
          <w:rFonts w:ascii="仿宋" w:hAnsi="仿宋" w:eastAsia="仿宋" w:cs="仿宋"/>
          <w:color w:val="auto"/>
        </w:rPr>
      </w:pPr>
      <w:r>
        <w:rPr>
          <w:rFonts w:ascii="仿宋" w:hAnsi="仿宋" w:eastAsia="仿宋" w:cs="仿宋"/>
          <w:color w:val="auto"/>
        </w:rPr>
      </w:r>
      <w:r/>
    </w:p>
    <w:p>
      <w:pPr>
        <w:pStyle w:val="834"/>
        <w:spacing w:line="360" w:lineRule="auto"/>
        <w:rPr>
          <w:rFonts w:ascii="仿宋" w:hAnsi="仿宋" w:eastAsia="仿宋" w:cs="仿宋"/>
          <w:b/>
          <w:color w:val="auto"/>
          <w:sz w:val="44"/>
          <w:szCs w:val="44"/>
        </w:rPr>
        <w:outlineLvl w:val="0"/>
      </w:pPr>
      <w:r>
        <w:rPr>
          <w:rFonts w:ascii="仿宋" w:hAnsi="仿宋" w:eastAsia="仿宋" w:cs="仿宋"/>
          <w:b/>
          <w:color w:val="auto"/>
          <w:sz w:val="44"/>
          <w:szCs w:val="44"/>
        </w:rPr>
      </w:r>
      <w:r/>
    </w:p>
    <w:p>
      <w:pPr>
        <w:pStyle w:val="834"/>
        <w:jc w:val="center"/>
        <w:spacing w:line="360" w:lineRule="auto"/>
        <w:rPr>
          <w:rFonts w:ascii="仿宋" w:hAnsi="仿宋" w:eastAsia="仿宋" w:cs="仿宋"/>
          <w:b/>
          <w:color w:val="auto"/>
          <w:sz w:val="44"/>
          <w:szCs w:val="44"/>
        </w:rPr>
        <w:outlineLvl w:val="0"/>
      </w:pPr>
      <w:r>
        <w:rPr>
          <w:rFonts w:hint="eastAsia" w:ascii="仿宋" w:hAnsi="仿宋" w:eastAsia="仿宋" w:cs="仿宋"/>
          <w:b/>
          <w:color w:val="auto"/>
          <w:sz w:val="44"/>
          <w:szCs w:val="44"/>
        </w:rPr>
        <w:t xml:space="preserve">第二部分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834"/>
        <w:jc w:val="center"/>
        <w:spacing w:line="360" w:lineRule="auto"/>
        <w:rPr>
          <w:rFonts w:ascii="仿宋" w:hAnsi="仿宋" w:eastAsia="仿宋" w:cs="仿宋"/>
          <w:b/>
          <w:color w:val="auto"/>
          <w:sz w:val="36"/>
          <w:szCs w:val="36"/>
        </w:rPr>
        <w:outlineLvl w:val="1"/>
      </w:pPr>
      <w:r/>
      <w:bookmarkStart w:id="29" w:name="_Toc18919"/>
      <w:r/>
      <w:bookmarkStart w:id="30" w:name="_Toc786"/>
      <w:r/>
      <w:bookmarkStart w:id="31" w:name="_Toc19236"/>
      <w:r/>
      <w:bookmarkStart w:id="32" w:name="_Toc14901"/>
      <w:r/>
      <w:bookmarkStart w:id="33" w:name="_Toc28702"/>
      <w:r/>
      <w:bookmarkStart w:id="34" w:name="_Toc22351"/>
      <w:r/>
      <w:bookmarkStart w:id="35" w:name="_Toc30242"/>
      <w:r/>
      <w:bookmarkStart w:id="36" w:name="_Toc5446"/>
      <w:r/>
      <w:bookmarkStart w:id="37" w:name="_Toc6992"/>
      <w:r/>
      <w:bookmarkStart w:id="38" w:name="_Toc23104"/>
      <w:r/>
      <w:bookmarkStart w:id="39" w:name="_Toc2686"/>
      <w:r/>
      <w:bookmarkStart w:id="40" w:name="_Toc19763"/>
      <w:r>
        <w:rPr>
          <w:rFonts w:hint="eastAsia" w:ascii="仿宋" w:hAnsi="仿宋" w:eastAsia="仿宋" w:cs="仿宋"/>
          <w:b/>
          <w:color w:val="auto"/>
          <w:sz w:val="36"/>
          <w:szCs w:val="36"/>
        </w:rPr>
        <w:t xml:space="preserve">一</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总则</w:t>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适用范围</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1.1本招标文件仅适用于本次招标文件中叙述的</w:t>
      </w:r>
      <w:r>
        <w:rPr>
          <w:rFonts w:hint="eastAsia" w:ascii="仿宋" w:hAnsi="仿宋" w:eastAsia="仿宋" w:cs="仿宋"/>
          <w:color w:val="auto"/>
          <w:sz w:val="28"/>
          <w:szCs w:val="28"/>
          <w:u w:val="single"/>
          <w:lang w:eastAsia="zh-CN"/>
        </w:rPr>
        <w:t xml:space="preserve">扬中市公办中小学、幼儿园食堂猪肉采购服务供应商项目</w:t>
      </w:r>
      <w:r>
        <w:rPr>
          <w:rFonts w:hint="eastAsia" w:ascii="仿宋" w:hAnsi="仿宋" w:eastAsia="仿宋" w:cs="仿宋"/>
          <w:color w:val="auto"/>
          <w:sz w:val="28"/>
          <w:szCs w:val="28"/>
        </w:rPr>
        <w:t xml:space="preserve">的采购。</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本次采购方式</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合格的投标人</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2.1本次采购采取公开招标方式；</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2.2合格的投标人必须是完全符合投标邀请书中规定的准入条件且报名成功的投标人。</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3</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投标费用</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3.1投标人应自行承担所有与参加投标有关的费用。不论投标的结果如何，江苏金居工程项目管理有限公司（以下简称代理机构）在任何情况下均无义务和责任承担这些费用。</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3.2招标文件免费获取。</w:t>
      </w:r>
      <w:r/>
    </w:p>
    <w:p>
      <w:pPr>
        <w:pStyle w:val="834"/>
        <w:ind w:firstLine="562"/>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4</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适用法律及约束力</w:t>
      </w:r>
      <w:r>
        <w:rPr>
          <w:rFonts w:hint="eastAsia" w:ascii="仿宋" w:hAnsi="仿宋" w:eastAsia="仿宋" w:cs="仿宋"/>
          <w:b/>
          <w:color w:val="auto"/>
          <w:sz w:val="28"/>
          <w:szCs w:val="28"/>
        </w:rPr>
        <w:tab/>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4.1根据《政府采购促进中小企业发展管理办法》要求，小型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微型企业在评审时享受扶持政策。中小企业划型标准见《关于印发中小企业划型标准规定的通知》（工信部联企业[2011]300号）。</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4.2根据《财政部 司法部关于政府采购支持监狱企业发展有关问题的通知》（财库〔2014〕68号）要求，监狱和戒毒企业视同小型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微型企业，享受与小型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微型企业产品价格同比例扣除的优惠政策。监狱和戒毒企业应当提供由省级以上监狱管理局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戒毒管理局（含新疆生产建设兵团）出具的属于监狱企业的证明文件。</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4.3根据《关于促进残疾人就业政府采购政策的通知》（财库〔2017〕141号）要求，残疾人福利性单位视同小型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微型企业，享受与小型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微型企业产品价格同比例扣除的优惠政策。残疾人福利性单位属于小型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微型企业的，不重复享受政策。符合条件的残疾人福利性单位应当提供《残疾人福利性单位声明函》，并对声明的真实性负责。</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4.4强制采购信息安全产品，信息安全产品指国家质检总局国家认监委《信息安全产品强制性认证目录》，并获得强制性产品认证证书的产品。</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4.5根据《财政部 发展改革委 生态环境部 市场监管总局关于调整优化节能产品 环境标志产品政府采购执行机制的通知》（财库〔2019〕9号）的规定，对政府采购节能产品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环境标志产品实施品目清单管理。供应商所投产品属于品目清单范围的，依据国家确定的认证机构出具的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处于有效期之内的节能产品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环境标志产品认证证书，对获得证书的产品实施政府优先采购或强制采购。</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4.6本项目中涉及商品包装和快递包装的，参考《财政部办公厅关于印发《商品包装政府采购需求标准（试行）》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《快递包装政府采购需求标准（试行）》的通知》（财办库〔2020〕123号）规定的包装需求标准。</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4.7 根据国家扶持中小企业的有关政策，采购项目中标人在履约过程中如遇到资金困难，凭中标通知书在相关金融机构办理授信申请，相关事宜请查阅“镇江市公共资源交易服务平台---政府采购”网站。</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4.8本次招标及由本次招标产生的合同受中华人民共和国法律制约和保护。</w:t>
      </w:r>
      <w:r/>
    </w:p>
    <w:p>
      <w:pPr>
        <w:pStyle w:val="834"/>
        <w:ind w:firstLine="537"/>
        <w:spacing w:line="360" w:lineRule="auto"/>
        <w:rPr>
          <w:rFonts w:ascii="仿宋" w:hAnsi="仿宋" w:eastAsia="仿宋" w:cs="仿宋"/>
          <w:b/>
          <w:color w:val="auto"/>
          <w:sz w:val="28"/>
          <w:szCs w:val="28"/>
        </w:rPr>
      </w:pPr>
      <w:r>
        <w:rPr>
          <w:rFonts w:hint="eastAsia" w:ascii="仿宋" w:hAnsi="仿宋" w:eastAsia="仿宋" w:cs="仿宋"/>
          <w:color w:val="auto"/>
          <w:sz w:val="28"/>
          <w:szCs w:val="28"/>
        </w:rPr>
        <w:t xml:space="preserve">4.9供应商一旦领取了本招标文件并参加投标，即被认为接受了本招标文件的规定和约束。</w:t>
      </w:r>
      <w:r/>
    </w:p>
    <w:p>
      <w:pPr>
        <w:pStyle w:val="834"/>
        <w:spacing w:line="360" w:lineRule="auto"/>
        <w:rPr>
          <w:rFonts w:ascii="仿宋" w:hAnsi="仿宋" w:eastAsia="仿宋" w:cs="仿宋"/>
          <w:b/>
          <w:color w:val="auto"/>
          <w:sz w:val="36"/>
          <w:szCs w:val="36"/>
        </w:rPr>
        <w:outlineLvl w:val="1"/>
      </w:pPr>
      <w:r/>
      <w:bookmarkStart w:id="41" w:name="_Toc6712"/>
      <w:r/>
      <w:bookmarkStart w:id="42" w:name="_Toc24933"/>
      <w:r/>
      <w:bookmarkStart w:id="43" w:name="_Toc6215"/>
      <w:r/>
      <w:bookmarkStart w:id="44" w:name="_Toc26789"/>
      <w:r/>
      <w:bookmarkStart w:id="45" w:name="_Toc26006"/>
      <w:r/>
      <w:bookmarkStart w:id="46" w:name="_Toc30367"/>
      <w:r/>
      <w:bookmarkStart w:id="47" w:name="_Toc9461"/>
      <w:r/>
      <w:bookmarkStart w:id="48" w:name="_Toc32333"/>
      <w:r/>
      <w:bookmarkStart w:id="49" w:name="_Toc32254"/>
      <w:r/>
      <w:bookmarkStart w:id="50" w:name="_Toc24492"/>
      <w:r/>
      <w:bookmarkStart w:id="51" w:name="_Toc7500"/>
      <w:r/>
      <w:bookmarkStart w:id="52" w:name="_Toc15370"/>
      <w:r>
        <w:rPr>
          <w:rFonts w:hint="eastAsia" w:ascii="仿宋" w:hAnsi="仿宋" w:eastAsia="仿宋" w:cs="仿宋"/>
          <w:b/>
          <w:color w:val="auto"/>
          <w:sz w:val="36"/>
          <w:szCs w:val="36"/>
        </w:rPr>
        <w:t xml:space="preserve">二</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招标文件</w:t>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834"/>
        <w:ind w:firstLine="561"/>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5</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招标文件构成</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5.1招标文件包括：</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5.1.1 投标邀请书；</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5.1.2 投标人须知；</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5.1.3 合同条款及格式；</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5.1.4 招标需求；</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5.1.5 投标书（格式）；</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5.2投标人应认真阅读招标文件中所有的事项</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格式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条款和规范等要求，并且按要求和规定编制投标文件及提交全部资料，对招标文件在各方面都作出实质性响应。没有实质上响应招标文件要求的投标将视作无效投标，其风险应由投标人承担。</w:t>
      </w:r>
      <w:r/>
    </w:p>
    <w:p>
      <w:pPr>
        <w:pStyle w:val="834"/>
        <w:ind w:firstLine="540"/>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招标文件的澄清和修改</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6.1任何要求对招标文件进行澄清的潜在投标人，应及时联系项目联系人。</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6.2按照权责相一致原则，投标人提出的对于招标文件主要商务</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技术指标的相关澄清</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修改要求，由采购人负责答复并视情况作出澄清或修改的决定。</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6.3采购人或者采购代理机构可以对已发出的招标文件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投标邀请书进行必要的澄清或者修改，但不改变采购标的和资格要求。澄清或者修改将在“江苏政府采购网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扬中政府采购网”网站上发布澄清公告，澄清或者修改的内容为招标文件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投标邀请书的组成部分。</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6.4澄清或者修改的内容可能影响投标文件编制的，采购人或者采购代理机构将在提交截止时间至少15日前，在“江苏政府采购网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扬中政府采购网”网站上通知所有已获取招标文件的潜在投标人；不足15日的，采购人或者采购代理机构将顺延提交投标文件的截止时间。投标人应及时自行登录网站查看相应内容。</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6.5如澄清或修改公告有重新发布招标文件的，投标人应下载最新发布的招标文件制作投标文件。因投标人自身原因未能及时获取的，一切后果由投标人自行承担。</w:t>
      </w:r>
      <w:r/>
    </w:p>
    <w:p>
      <w:pPr>
        <w:pStyle w:val="834"/>
        <w:spacing w:line="360" w:lineRule="auto"/>
        <w:rPr>
          <w:rFonts w:ascii="仿宋" w:hAnsi="仿宋" w:eastAsia="仿宋" w:cs="仿宋"/>
          <w:b/>
          <w:color w:val="auto"/>
          <w:sz w:val="36"/>
          <w:szCs w:val="36"/>
        </w:rPr>
        <w:outlineLvl w:val="1"/>
      </w:pPr>
      <w:r/>
      <w:bookmarkStart w:id="53" w:name="_Toc5327"/>
      <w:r/>
      <w:bookmarkStart w:id="54" w:name="_Toc19819"/>
      <w:r/>
      <w:bookmarkStart w:id="55" w:name="_Toc31097"/>
      <w:r/>
      <w:bookmarkStart w:id="56" w:name="_Toc20719"/>
      <w:r/>
      <w:bookmarkStart w:id="57" w:name="_Toc27333"/>
      <w:r/>
      <w:bookmarkStart w:id="58" w:name="_Toc23801"/>
      <w:r/>
      <w:bookmarkStart w:id="59" w:name="_Toc8916"/>
      <w:r/>
      <w:bookmarkStart w:id="60" w:name="_Toc28465"/>
      <w:r/>
      <w:bookmarkStart w:id="61" w:name="_Toc23691"/>
      <w:r/>
      <w:bookmarkStart w:id="62" w:name="_Toc16286"/>
      <w:r/>
      <w:bookmarkStart w:id="63" w:name="_Toc31506"/>
      <w:r/>
      <w:bookmarkStart w:id="64" w:name="_Toc4340"/>
      <w:r>
        <w:rPr>
          <w:rFonts w:hint="eastAsia" w:ascii="仿宋" w:hAnsi="仿宋" w:eastAsia="仿宋" w:cs="仿宋"/>
          <w:b/>
          <w:color w:val="auto"/>
          <w:sz w:val="36"/>
          <w:szCs w:val="36"/>
        </w:rPr>
        <w:t xml:space="preserve">三</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投标文件的编制</w:t>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7</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投标文件的组成</w:t>
      </w:r>
      <w:r/>
    </w:p>
    <w:p>
      <w:pPr>
        <w:ind w:firstLine="719"/>
        <w:jc w:val="both"/>
        <w:spacing w:line="360" w:lineRule="auto"/>
        <w:rPr>
          <w:rFonts w:ascii="仿宋" w:hAnsi="仿宋" w:eastAsia="仿宋" w:cs="仿宋"/>
          <w:color w:val="auto"/>
          <w:sz w:val="28"/>
        </w:rPr>
      </w:pPr>
      <w:r>
        <w:rPr>
          <w:rFonts w:hint="eastAsia" w:ascii="仿宋" w:hAnsi="仿宋" w:eastAsia="仿宋" w:cs="仿宋"/>
          <w:color w:val="auto"/>
          <w:sz w:val="28"/>
        </w:rPr>
        <w:t xml:space="preserve">7.1 投标函</w:t>
      </w:r>
      <w:r/>
    </w:p>
    <w:p>
      <w:pPr>
        <w:ind w:firstLine="719"/>
        <w:jc w:val="both"/>
        <w:spacing w:line="360" w:lineRule="auto"/>
        <w:rPr>
          <w:rFonts w:ascii="仿宋" w:hAnsi="仿宋" w:eastAsia="仿宋" w:cs="仿宋"/>
          <w:color w:val="auto"/>
          <w:sz w:val="28"/>
        </w:rPr>
      </w:pPr>
      <w:r>
        <w:rPr>
          <w:rFonts w:hint="eastAsia" w:ascii="仿宋" w:hAnsi="仿宋" w:eastAsia="仿宋" w:cs="仿宋"/>
          <w:color w:val="auto"/>
          <w:sz w:val="28"/>
        </w:rPr>
        <w:t xml:space="preserve">7.2 投标人廉政承诺</w:t>
      </w:r>
      <w:r/>
    </w:p>
    <w:p>
      <w:pPr>
        <w:ind w:firstLine="719"/>
        <w:jc w:val="both"/>
        <w:spacing w:line="360" w:lineRule="auto"/>
        <w:rPr>
          <w:rFonts w:ascii="仿宋" w:hAnsi="仿宋" w:eastAsia="仿宋" w:cs="仿宋"/>
          <w:color w:val="auto"/>
          <w:sz w:val="28"/>
        </w:rPr>
      </w:pPr>
      <w:r>
        <w:rPr>
          <w:rFonts w:hint="eastAsia" w:ascii="仿宋" w:hAnsi="仿宋" w:eastAsia="仿宋" w:cs="仿宋"/>
          <w:color w:val="auto"/>
          <w:sz w:val="28"/>
        </w:rPr>
        <w:t xml:space="preserve">7.3 实施方案</w:t>
      </w:r>
      <w:r/>
    </w:p>
    <w:p>
      <w:pPr>
        <w:ind w:firstLine="719"/>
        <w:jc w:val="both"/>
        <w:spacing w:line="360" w:lineRule="auto"/>
        <w:rPr>
          <w:rFonts w:ascii="仿宋" w:hAnsi="仿宋" w:eastAsia="仿宋" w:cs="仿宋"/>
          <w:color w:val="auto"/>
          <w:sz w:val="28"/>
        </w:rPr>
      </w:pPr>
      <w:r>
        <w:rPr>
          <w:rFonts w:hint="eastAsia" w:ascii="仿宋" w:hAnsi="仿宋" w:eastAsia="仿宋" w:cs="仿宋"/>
          <w:color w:val="auto"/>
          <w:sz w:val="28"/>
        </w:rPr>
        <w:t xml:space="preserve">7.4 资格证明文件</w:t>
      </w:r>
      <w:r/>
    </w:p>
    <w:p>
      <w:pPr>
        <w:ind w:firstLine="719"/>
        <w:jc w:val="both"/>
        <w:spacing w:line="360" w:lineRule="auto"/>
        <w:rPr>
          <w:rFonts w:ascii="仿宋" w:hAnsi="仿宋" w:eastAsia="仿宋" w:cs="仿宋"/>
          <w:color w:val="auto"/>
          <w:sz w:val="28"/>
        </w:rPr>
      </w:pPr>
      <w:r>
        <w:rPr>
          <w:rFonts w:hint="eastAsia" w:ascii="仿宋" w:hAnsi="仿宋" w:eastAsia="仿宋" w:cs="仿宋"/>
          <w:color w:val="auto"/>
          <w:sz w:val="28"/>
        </w:rPr>
        <w:t xml:space="preserve">7.5附件</w:t>
      </w:r>
      <w:r/>
    </w:p>
    <w:p>
      <w:pPr>
        <w:ind w:firstLine="719"/>
        <w:jc w:val="both"/>
        <w:spacing w:line="360" w:lineRule="auto"/>
        <w:rPr>
          <w:rFonts w:ascii="仿宋" w:hAnsi="仿宋" w:eastAsia="仿宋" w:cs="仿宋"/>
          <w:color w:val="auto"/>
          <w:sz w:val="28"/>
          <w:szCs w:val="28"/>
        </w:rPr>
      </w:pPr>
      <w:r>
        <w:rPr>
          <w:rFonts w:hint="eastAsia" w:ascii="仿宋" w:hAnsi="仿宋" w:eastAsia="仿宋" w:cs="仿宋"/>
          <w:color w:val="auto"/>
          <w:sz w:val="28"/>
        </w:rPr>
        <w:t xml:space="preserve">7.6按招标文件要求投标人所能提交的其他文件</w:t>
      </w:r>
      <w:r/>
    </w:p>
    <w:p>
      <w:pPr>
        <w:pStyle w:val="834"/>
        <w:ind w:firstLine="540"/>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8</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投标文件的编制说明</w:t>
      </w:r>
      <w:r/>
    </w:p>
    <w:p>
      <w:pPr>
        <w:pStyle w:val="834"/>
        <w:ind w:firstLine="540"/>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供应商应仔细阅读招标文件，了解招标文件的要求。在完全了解采购要求后，编制投标响应文件。</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8.1投标响应承诺函</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投标人应完整地按照投标响应承诺函格式和内容填写，并按要求盖章和签字。</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8.2投标人廉政承诺</w:t>
      </w:r>
      <w:r/>
    </w:p>
    <w:p>
      <w:pPr>
        <w:ind w:firstLine="537"/>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投标人廉政承诺应完全切实可行，对参加本项目的投标活动全过程作出相应的廉政承诺。</w:t>
      </w:r>
      <w:r/>
    </w:p>
    <w:p>
      <w:pPr>
        <w:ind w:firstLine="537"/>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8.3实施方案</w:t>
      </w:r>
      <w:r/>
    </w:p>
    <w:p>
      <w:pPr>
        <w:ind w:firstLine="537"/>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投标人应根据本项目具体类型，明确服务需求，准确分析，制订实施方案，方案中应确定本项目服务的重点及难点，有针对性地提出相应的措施。</w:t>
      </w:r>
      <w:r/>
    </w:p>
    <w:p>
      <w:pPr>
        <w:pStyle w:val="834"/>
        <w:ind w:firstLine="537"/>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8.4资格证明文件（如复印件均应加盖投标单位公章）</w:t>
      </w:r>
      <w:r/>
    </w:p>
    <w:p>
      <w:pPr>
        <w:pStyle w:val="834"/>
        <w:ind w:firstLine="537"/>
        <w:spacing w:line="360" w:lineRule="auto"/>
        <w:rPr>
          <w:rFonts w:ascii="仿宋" w:hAnsi="仿宋" w:eastAsia="仿宋" w:cs="仿宋"/>
          <w:b/>
          <w:bCs/>
          <w:color w:val="auto"/>
          <w:sz w:val="28"/>
          <w:szCs w:val="28"/>
        </w:rPr>
      </w:pPr>
      <w:r>
        <w:rPr>
          <w:rFonts w:hint="eastAsia" w:ascii="仿宋" w:hAnsi="仿宋" w:eastAsia="仿宋" w:cs="仿宋"/>
          <w:color w:val="auto"/>
          <w:sz w:val="28"/>
          <w:szCs w:val="28"/>
        </w:rPr>
        <w:t xml:space="preserve">（1）具有独立承担民事责任的能力（提供法人或者其他组织的营业执照等证明文件）；</w:t>
      </w:r>
      <w:r/>
    </w:p>
    <w:p>
      <w:pPr>
        <w:pStyle w:val="834"/>
        <w:ind w:firstLine="537"/>
        <w:spacing w:line="360" w:lineRule="auto"/>
        <w:rPr>
          <w:rFonts w:ascii="仿宋" w:hAnsi="仿宋" w:eastAsia="仿宋" w:cs="仿宋"/>
          <w:b/>
          <w:bCs/>
          <w:color w:val="auto"/>
          <w:sz w:val="28"/>
          <w:szCs w:val="28"/>
        </w:rPr>
      </w:pPr>
      <w:r>
        <w:rPr>
          <w:rFonts w:hint="eastAsia" w:ascii="仿宋" w:hAnsi="仿宋" w:eastAsia="仿宋" w:cs="仿宋"/>
          <w:color w:val="auto"/>
          <w:sz w:val="28"/>
          <w:szCs w:val="28"/>
        </w:rPr>
        <w:t xml:space="preserve">（2）法定代表人/负责人授权委托书或法定代表人身份证明（原件）；</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（4）具有履行合同所必需的设备和专业技术能力(投标响应单位相关信息一览表【见投标响应文件（格式）】）/资格承诺函；</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（5）提供参加本次政府采购活动前三年内，在经营活动中没有重大违法记录的承诺函（见投标响应承诺函第8条）/资格承诺函</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（6）具有工商注册所在地相关部门提供的企业纳税的证明材料（参加本次政府采购活动前6个月内任一个月的缴税证明，事业单位请提供相关证明材料）/资格承诺函；</w:t>
      </w:r>
      <w:r/>
    </w:p>
    <w:p>
      <w:pPr>
        <w:pStyle w:val="834"/>
        <w:ind w:firstLine="537"/>
        <w:spacing w:line="360" w:lineRule="auto"/>
        <w:rPr>
          <w:rFonts w:ascii="仿宋" w:hAnsi="仿宋" w:eastAsia="仿宋" w:cs="仿宋"/>
          <w:b/>
          <w:bCs/>
          <w:color w:val="auto"/>
          <w:sz w:val="28"/>
          <w:szCs w:val="28"/>
        </w:rPr>
      </w:pPr>
      <w:r>
        <w:rPr>
          <w:rFonts w:hint="eastAsia" w:ascii="仿宋" w:hAnsi="仿宋" w:eastAsia="仿宋" w:cs="仿宋"/>
          <w:color w:val="auto"/>
          <w:sz w:val="28"/>
          <w:szCs w:val="28"/>
        </w:rPr>
        <w:t xml:space="preserve">（7）具有工商注册所在地相关部门提供的社保缴费良好记录的证明材料（参加本次政府采购活动前6个月内任一个月的缴社会保险费证明）/资格承诺函；</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（8）信用查询结果。</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8.5附件（投标文件的补充材料，如果有，请提供。）</w:t>
      </w:r>
      <w:r/>
    </w:p>
    <w:p>
      <w:pPr>
        <w:pStyle w:val="834"/>
        <w:ind w:firstLine="560"/>
        <w:spacing w:line="360" w:lineRule="auto"/>
        <w:rPr>
          <w:rFonts w:ascii="仿宋" w:hAnsi="仿宋" w:eastAsia="仿宋" w:cs="仿宋"/>
          <w:color w:val="auto"/>
          <w:sz w:val="28"/>
          <w:szCs w:val="28"/>
          <w:lang w:val="zh-TW" w:eastAsia="zh-TW"/>
        </w:rPr>
      </w:pPr>
      <w:r>
        <w:rPr>
          <w:rFonts w:hint="eastAsia" w:ascii="仿宋" w:hAnsi="仿宋" w:eastAsia="仿宋" w:cs="仿宋"/>
          <w:color w:val="auto"/>
          <w:sz w:val="28"/>
          <w:szCs w:val="28"/>
          <w:lang w:val="zh-TW" w:eastAsia="zh-TW"/>
        </w:rPr>
        <w:t xml:space="preserve">①投标单位资格声明；</w:t>
      </w:r>
      <w:r/>
    </w:p>
    <w:p>
      <w:pPr>
        <w:pStyle w:val="834"/>
        <w:ind w:firstLine="560"/>
        <w:spacing w:line="360" w:lineRule="auto"/>
        <w:rPr>
          <w:rFonts w:ascii="仿宋" w:hAnsi="仿宋" w:eastAsia="仿宋" w:cs="仿宋"/>
          <w:color w:val="auto"/>
          <w:sz w:val="28"/>
          <w:szCs w:val="28"/>
          <w:lang w:val="zh-TW" w:eastAsia="zh-TW"/>
        </w:rPr>
      </w:pPr>
      <w:r>
        <w:rPr>
          <w:rFonts w:hint="eastAsia" w:ascii="仿宋" w:hAnsi="仿宋" w:eastAsia="仿宋" w:cs="仿宋"/>
          <w:color w:val="auto"/>
          <w:sz w:val="28"/>
          <w:szCs w:val="28"/>
          <w:lang w:val="zh-TW" w:eastAsia="zh-TW"/>
        </w:rPr>
        <w:t xml:space="preserve">②评分规则中涉及得分项的相关证明材料；</w:t>
      </w:r>
      <w:r/>
    </w:p>
    <w:p>
      <w:pPr>
        <w:pStyle w:val="834"/>
        <w:ind w:firstLine="560"/>
        <w:spacing w:line="360" w:lineRule="auto"/>
        <w:rPr>
          <w:rFonts w:ascii="仿宋" w:hAnsi="仿宋" w:eastAsia="仿宋" w:cs="仿宋"/>
          <w:color w:val="auto"/>
          <w:sz w:val="28"/>
          <w:szCs w:val="28"/>
          <w:lang w:val="zh-TW" w:eastAsia="zh-TW"/>
        </w:rPr>
      </w:pPr>
      <w:r>
        <w:rPr>
          <w:rFonts w:hint="eastAsia" w:ascii="仿宋" w:hAnsi="仿宋" w:eastAsia="仿宋" w:cs="仿宋"/>
          <w:color w:val="auto"/>
          <w:sz w:val="28"/>
          <w:szCs w:val="28"/>
          <w:lang w:val="zh-TW" w:eastAsia="zh-TW"/>
        </w:rPr>
        <w:t xml:space="preserve">③中小企业声明函；</w:t>
      </w:r>
      <w:r/>
    </w:p>
    <w:p>
      <w:pPr>
        <w:pStyle w:val="834"/>
        <w:ind w:firstLine="560"/>
        <w:spacing w:line="360" w:lineRule="auto"/>
        <w:rPr>
          <w:rFonts w:ascii="仿宋" w:hAnsi="仿宋" w:eastAsia="仿宋" w:cs="仿宋"/>
          <w:color w:val="auto"/>
          <w:sz w:val="28"/>
          <w:szCs w:val="28"/>
          <w:lang w:val="zh-TW"/>
        </w:rPr>
      </w:pPr>
      <w:r>
        <w:rPr>
          <w:rFonts w:hint="eastAsia" w:ascii="仿宋" w:hAnsi="仿宋" w:eastAsia="仿宋" w:cs="仿宋"/>
          <w:color w:val="auto"/>
          <w:sz w:val="28"/>
          <w:szCs w:val="28"/>
          <w:lang w:val="zh-TW" w:eastAsia="zh-TW"/>
        </w:rPr>
        <w:t xml:space="preserve">④残疾人福利性单位声明函</w:t>
      </w:r>
      <w:r>
        <w:rPr>
          <w:rFonts w:hint="eastAsia" w:ascii="仿宋" w:hAnsi="仿宋" w:eastAsia="仿宋" w:cs="仿宋"/>
          <w:color w:val="auto"/>
          <w:sz w:val="28"/>
          <w:szCs w:val="28"/>
          <w:lang w:val="zh-TW"/>
        </w:rPr>
        <w:t xml:space="preserve">。</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各投标人须对本项目所要求提供的所有证明材料的原件及复印件的真实性负责，若被查出提供虚假材料的，自愿接受有关处理，并承担法律责任；如已中标的，自动放弃中标资格；给招标人造成损失的，依法承担赔偿责任。</w:t>
      </w:r>
      <w:r/>
    </w:p>
    <w:p>
      <w:pPr>
        <w:pStyle w:val="834"/>
        <w:ind w:firstLine="562"/>
        <w:spacing w:line="360" w:lineRule="auto"/>
        <w:rPr>
          <w:rFonts w:ascii="仿宋" w:hAnsi="仿宋" w:eastAsia="仿宋" w:cs="仿宋"/>
          <w:color w:val="auto"/>
          <w:sz w:val="28"/>
          <w:szCs w:val="28"/>
        </w:rPr>
      </w:pPr>
      <w:r>
        <w:rPr>
          <w:rFonts w:hint="eastAsia" w:ascii="仿宋" w:hAnsi="仿宋" w:eastAsia="仿宋" w:cs="仿宋"/>
          <w:b/>
          <w:color w:val="auto"/>
          <w:sz w:val="28"/>
          <w:szCs w:val="28"/>
        </w:rPr>
        <w:t xml:space="preserve">9</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投标文件份数</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签署和密封</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9.1本项目采用线上线下双轨制，即投标人投标响应文件除了从政府采购客户端工具制作通过“苏采云”系统提交外，还需提供与线上内容一致的纸质文件，如出现线上与线下内容不一致的，以线上电子文件为准。</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9.2电子响应文件要求</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（1）供应商应当通过“苏采云”系统提交数据电文形式的投标响应文件（即电子投标）。供应商未按规定提交加密的投标响应文件，“苏采云”系统应当拒收并提示。</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（2）供应商应对CA证书妥善保管，如被他人盗用参与本次投标，因此带来的后果均由供应商自行承担。</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（3）供应商应当对《招标文件》提出的要求和条件作出实质性响应，并在电子投标系统逐条应答。</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（4）供应商应对要求提供的资格证明文件（如资质证书</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资格证书）</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技术资料（如白皮书</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彩页</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手册</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检测报告等）扫描上传至投标系统。</w:t>
      </w:r>
      <w:r/>
    </w:p>
    <w:p>
      <w:pPr>
        <w:pStyle w:val="834"/>
        <w:ind w:firstLine="560"/>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（5）在编制投标文件过程中，符合性审查内容各投标响应供应商上传相应的承诺函，承诺函内容及格式自拟。</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9.3投标人应准备一式二份投标文件（一份正本</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一份副本），并清楚地标明“正本”或“副本”。一旦正本和副本不符，以正本为准。</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9.4投标文件的正本和所有的副本建议正反打印或印刷，编制目录，装订成册，标注页码。授权代表须将以书面形式出具的“法人代表授权证书”（原件）附在投标文件中。</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9.5除投标人对错处做必要修改外，投标文件不得行间插字、涂改或增删，如有修改错漏处，必须由投标人法人代表或其授权代表签字或盖章。</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9.6投标文件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开标一览表须密封,在封口处加盖印章标记。</w:t>
      </w:r>
      <w:r/>
    </w:p>
    <w:p>
      <w:pPr>
        <w:pStyle w:val="834"/>
        <w:ind w:firstLine="560"/>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9.7仅提供电子投标文件或纸质投标文件的，视为未按招标文件要求递交投标文件，其投标作无效响应处理。</w:t>
      </w:r>
      <w:r/>
    </w:p>
    <w:p>
      <w:pPr>
        <w:pStyle w:val="834"/>
        <w:ind w:firstLine="561"/>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10</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投标语言及度量衡单位</w:t>
      </w:r>
      <w:r/>
    </w:p>
    <w:p>
      <w:pPr>
        <w:pStyle w:val="834"/>
        <w:ind w:firstLine="561"/>
        <w:spacing w:line="360" w:lineRule="auto"/>
        <w:tabs>
          <w:tab w:val="left" w:pos="379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10.1投标人的投标文件以及投标人就有关投标的所有来往函电均应使用中文。</w:t>
      </w:r>
      <w:r/>
    </w:p>
    <w:p>
      <w:pPr>
        <w:pStyle w:val="834"/>
        <w:ind w:firstLine="561"/>
        <w:spacing w:line="360" w:lineRule="auto"/>
        <w:tabs>
          <w:tab w:val="left" w:pos="379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10.2投标文件中所使用的计量单位除招标文件中有特殊规定外，一律使用法定计量单位。</w:t>
      </w:r>
      <w:r/>
    </w:p>
    <w:p>
      <w:pPr>
        <w:pStyle w:val="834"/>
        <w:ind w:firstLine="562"/>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11</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投标报价部分</w:t>
      </w:r>
      <w:r/>
    </w:p>
    <w:p>
      <w:pPr>
        <w:pStyle w:val="834"/>
        <w:ind w:firstLine="562"/>
        <w:spacing w:line="360" w:lineRule="auto"/>
        <w:rPr>
          <w:rFonts w:ascii="仿宋" w:hAnsi="仿宋" w:eastAsia="仿宋" w:cs="仿宋"/>
          <w:b/>
          <w:bCs/>
          <w:color w:val="auto"/>
          <w:sz w:val="28"/>
          <w:szCs w:val="28"/>
        </w:rPr>
      </w:pPr>
      <w:r/>
      <w:bookmarkStart w:id="65" w:name="_Toc24144"/>
      <w:r/>
      <w:bookmarkStart w:id="66" w:name="_Toc30455"/>
      <w:r/>
      <w:bookmarkStart w:id="67" w:name="_Toc14207"/>
      <w:r/>
      <w:bookmarkStart w:id="68" w:name="_Toc6652"/>
      <w:r/>
      <w:bookmarkStart w:id="69" w:name="_Toc335"/>
      <w:r/>
      <w:bookmarkStart w:id="70" w:name="_Toc16338"/>
      <w:r/>
      <w:bookmarkStart w:id="71" w:name="_Toc29075"/>
      <w:r/>
      <w:bookmarkStart w:id="72" w:name="_Toc17482"/>
      <w:r>
        <w:rPr>
          <w:rFonts w:hint="eastAsia" w:ascii="仿宋" w:hAnsi="仿宋" w:eastAsia="仿宋" w:cs="仿宋"/>
          <w:b/>
          <w:bCs/>
          <w:color w:val="auto"/>
          <w:sz w:val="28"/>
          <w:szCs w:val="28"/>
        </w:rPr>
        <w:t xml:space="preserve">11.1投标人按投标响应报价表格式和内容填写，主要填报本项目的总报价及整体基准价下浮率。</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11.2投标人应报本项目所产生的所有费用，投标人所需填报的总报价仅用于“苏采云”系统计算投标报价得分，总报价=采购预算*（1-下浮率），总报价不作为最终结算的依据。若投标人所报总价与下浮率不一致的，作无效响应处理。总报价与下浮率若有小数位的，则小数点后保留两位。</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11.3投标报价的下浮率处于【0%-100%（含）】的，为有效投标下浮率报价。超出此范围的报价为无效投标报价，作无效响应处理。</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11.4投标人所报的投标报价应是完成该产品的全部合同内容的价格体现。应包括投标人为完成合同规定的全部工作须支付或发生的费用(包括食材价格</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食材损耗</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包装</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运输到供货现场和装卸</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二次搬运</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保险</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检测费及其他各类费用等)和拟获得的利润</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应交纳的各种税费及其他完成本次项目的一切所需费用，投标人所报价格应为含税价。投标人应充分考虑各种费用</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市场风险</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责任</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合同主要条款和付款条件等。</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11.5投标人应按本招标文件的要求格式编制投标文件。</w:t>
      </w:r>
      <w:r/>
    </w:p>
    <w:p>
      <w:pPr>
        <w:pStyle w:val="834"/>
        <w:spacing w:line="360" w:lineRule="auto"/>
        <w:rPr>
          <w:rFonts w:ascii="仿宋" w:hAnsi="仿宋" w:eastAsia="仿宋" w:cs="仿宋"/>
          <w:b/>
          <w:color w:val="auto"/>
          <w:sz w:val="36"/>
          <w:szCs w:val="36"/>
        </w:rPr>
        <w:outlineLvl w:val="1"/>
      </w:pPr>
      <w:r/>
      <w:bookmarkStart w:id="73" w:name="_Toc14066"/>
      <w:r/>
      <w:bookmarkStart w:id="74" w:name="_Toc3270"/>
      <w:r/>
      <w:bookmarkStart w:id="75" w:name="_Toc29151"/>
      <w:r/>
      <w:bookmarkStart w:id="76" w:name="_Toc1895"/>
      <w:r>
        <w:rPr>
          <w:rFonts w:hint="eastAsia" w:ascii="仿宋" w:hAnsi="仿宋" w:eastAsia="仿宋" w:cs="仿宋"/>
          <w:b/>
          <w:color w:val="auto"/>
          <w:sz w:val="36"/>
          <w:szCs w:val="36"/>
        </w:rPr>
        <w:t xml:space="preserve">四</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开标与评标</w:t>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pStyle w:val="834"/>
        <w:ind w:firstLine="561"/>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12</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开标及评标委员会组成 </w:t>
      </w:r>
      <w:r/>
    </w:p>
    <w:p>
      <w:pPr>
        <w:pStyle w:val="834"/>
        <w:ind w:firstLine="561"/>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12.1本项目采用远程不见面交易模式，通过不见面交易系统及相应的配套硬件设备（摄像头</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话筒</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麦克风等）完成远程解密</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开标现场异议及回复</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开标唱标等交互环节，具体表述详见本招标文件“投标邀请书”。</w:t>
      </w:r>
      <w:r/>
    </w:p>
    <w:p>
      <w:pPr>
        <w:pStyle w:val="834"/>
        <w:ind w:firstLine="561"/>
        <w:spacing w:line="360" w:lineRule="auto"/>
        <w:rPr>
          <w:rFonts w:ascii="仿宋" w:hAnsi="仿宋" w:eastAsia="仿宋" w:cs="仿宋"/>
          <w:b/>
          <w:color w:val="auto"/>
          <w:sz w:val="28"/>
          <w:szCs w:val="28"/>
        </w:rPr>
      </w:pPr>
      <w:r>
        <w:rPr>
          <w:rFonts w:hint="eastAsia" w:ascii="仿宋" w:hAnsi="仿宋" w:eastAsia="仿宋" w:cs="仿宋"/>
          <w:color w:val="auto"/>
          <w:sz w:val="28"/>
          <w:szCs w:val="28"/>
        </w:rPr>
        <w:t xml:space="preserve">12.2评标委员会将由七人或七人以上单数的技术专家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经济专家等专家组成。</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12.3按照规定，同意撤回的投标文件将不予开封。</w:t>
      </w:r>
      <w:r/>
    </w:p>
    <w:p>
      <w:pPr>
        <w:pStyle w:val="834"/>
        <w:ind w:firstLine="561"/>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13</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供应商资格审查</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符合性审查</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13.1开标后，招标人将依法对供应商的资格进行审查。资格审查的内容如下：</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（1）具有独立承担民事责任的能力（提供法人或者其他组织的营业执照等证明文件）；</w:t>
      </w:r>
      <w:r/>
    </w:p>
    <w:p>
      <w:pPr>
        <w:pStyle w:val="834"/>
        <w:ind w:firstLine="561"/>
        <w:spacing w:line="360" w:lineRule="auto"/>
        <w:rPr>
          <w:rFonts w:ascii="仿宋" w:hAnsi="仿宋" w:eastAsia="仿宋" w:cs="仿宋"/>
          <w:b/>
          <w:bCs/>
          <w:color w:val="auto"/>
          <w:sz w:val="28"/>
          <w:szCs w:val="28"/>
        </w:rPr>
      </w:pPr>
      <w:r>
        <w:rPr>
          <w:rFonts w:hint="eastAsia" w:ascii="仿宋" w:hAnsi="仿宋" w:eastAsia="仿宋" w:cs="仿宋"/>
          <w:color w:val="auto"/>
          <w:sz w:val="28"/>
          <w:szCs w:val="28"/>
        </w:rPr>
        <w:t xml:space="preserve">（2）法定代表人/负责人授权委托书或法定代表人身份证明（原件）；</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（4）具有履行合同所必需的设备和专业技术能力(投标响应单位相关信息一览表【见投标响应文件（格式）】）/资格承诺函；</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（5）提供参加本次政府采购活动前三年内，在经营活动中没有重大违法记录的承诺函（见投标响应承诺函第8条）/资格承诺函；</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（6）具有工商注册所在地相关部门提供的企业纳税的证明材料（参加本次政府采购活动前6个月内任一个月的缴税证明，事业单位请提供相关证明材料）/资格承诺函；</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（7）具有工商注册所在地相关部门提供的社保缴费良好记录的证明材料（参加本次政府采购活动前6个月内任一个月的缴社会保险费证明）/资格承诺函；</w:t>
      </w:r>
      <w:r/>
    </w:p>
    <w:p>
      <w:pPr>
        <w:pStyle w:val="834"/>
        <w:ind w:firstLine="537"/>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（8）信用查询结果。</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13.2供应商符合性审查：评标委员会应当对投标文件进行符合性审查，审查内容主要是投标文件的有效性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完整性和对招标文件的响应程度，以确定是否满足招标文件的实质性要求。</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（1）投标文件有效性</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①投标文件签署</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盖章（含投标函，开标一览表，法定代表人身份证明书和法人授权委托书）；</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②投标报价；</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③无效投标情形的判定和处理；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④法律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法规和招标文件规定的其他资格证明材料。</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（2）投标文件完整性：投标文件内容完整性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齐全性；</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（3）对招标文件响应程度：审查投标文件与招标文件要求的主要条款</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条件和技术规格是否相符，是否存在重大偏离或保留。</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审查投标文件与招标文件要求的主要条款</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条件和技术规格是否相符，是否存在重大偏离或保留。所谓重大偏离或保留系指影响到招标文件规定的服务范围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质量和性能的，或者在实质上与招标文件不一致，有限制采购方权利和投标方义务的规定，而纠正这些偏离或保留将会对其他实质上响应招标文件的投标方的竞争地位产生不公正的影响（重大偏离或保留的认定须经评标委员会半数以上同意）。评标委员会决定投标文件的响应性只根据投标文件本身的内容，而不寻求外部的证据。</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13.3无效投标的情形，供应商存在下列情况之一的，其投标无效：</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（1）未按规定由供应商的法定代表人签字或盖章；或其授权委托代理人未按规定签字；或未加盖供应商公章的；或签字人未经法定代表人有效授权委托的；</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（2）单位负责人为同一人或者存在直接控股</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管理关系的不同供应商参加同一合同项下的政府采购活动的；</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（3）不具备招标文件中规定的资格条件的；</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（4）“信用中国”网站（www.creditchina.gov.cn）</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中国政府采购网（www.ccgp.gov.cn）查询结果为失信被执行人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重大税收违法案件当事人名单</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政府采购严重违法失信行为的；</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（5）最终下浮率报价超过最高限价的；</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评标委员会认为供应商的报价明显低于其他通过符合性审查供应商的报价，有可能不能诚信履约的，要求供应商在评标现场合理的时间内提供书面说明，必要时提交相关证明材料，供应商不能证明其报价合理性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（7）投标人提交的是可选择报价的；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（8）投标文件中提供了虚假或失实资料的；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（9）不同投标人的投标文件出现了评委会认为不应当雷同的；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（10）投标文件含有招标人不能接受的附加条件的;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（11）投标人存在串通投标情形的；</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（12）未按招标文件要求递交投标响应文件的；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（13）投标人所报总价与下浮率不一致的，作无效响应处理。</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（14）不符合法律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法规和招标文件规定的其它实质性条款（须经评标委员会半数以上同意）。</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13.4对供应商未通过资格性审查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符合性审查的原因，招标人将在现场告知，并以书面方式请未通过供应商给予确认。</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13.5投标文件报价出现前后不一致的，按照下列规定修正：</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（1）投标文件中开标一览表（报价表）内容与投标文件中相应内容不一致的，以开标一览表（报价表）为准；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（2）大写金额和小写金额不一致的，以大写金额为准；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（3）单价金额小数点或者百分比有明显错位的，以开标一览表的总价为准，并修改单价；</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（4）总价金额与按单价汇总金额不一致的，以单价金额计算结果为准。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同时出现两种以上不一致的，按照上述规定的顺序修正。修正后的报价经供应商法定代表人或其授权委托代理人签字确认后产生约束力，供应商不确认的，其投标无效。</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13.6评标委员会将按上述修正错误的方法修正投标文件中的投标响应报价，修正后的价格应对供应商具有约束力。如果供应商不接受修正后的价格，则其投标响应将被拒绝。</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13.7评标委员会将允许修改投标文件中不构成重大偏离的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微小的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非正规的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不一致的或不规则的地方，但这些修改不能影响任何供应商相应的名次排列。</w:t>
      </w:r>
      <w:r/>
    </w:p>
    <w:p>
      <w:pPr>
        <w:pStyle w:val="834"/>
        <w:ind w:firstLine="561"/>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14</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投标文件的澄清</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14.1在评标期间，为有助于对投标文件的审查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评价和比较，评委会有权要求投标人对其投标文件中含义不明确</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同类问题表述不一致或者有明显文字和计算错误的内容进行澄清。但并非对每个投标人都作澄清要求。</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14.2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14.3接到评委会澄清要求的投标人如未按第14.2条的规定做出澄清，将视为放弃该权利。</w:t>
      </w:r>
      <w:r/>
    </w:p>
    <w:p>
      <w:pPr>
        <w:pStyle w:val="834"/>
        <w:ind w:firstLine="561"/>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15</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评审及中标</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15.1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15.2评委会将依据下列评标标准进行评标，本评标标准的总分为100分。按评审后得分由高到低顺序排列。得分相同的，由评标委员会根据服务方案的优劣确定中标候选人。投标文件满足招标文件全部实质性要求，且按照评审因素的量化指标评审得分最高的前三名投标人为中标候选人。</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15.3评分计算办法：评分计算得分均保留两位小数，评标项目每项最高得分均不得超过该项设定的总分值，最低分为0分。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15.4综合评分法评价的主要内容有：投标报价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技术部分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投标人综合实力及产品评价等。</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15.5综合评分各因素所占权重为：</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15.5.1报价评价                         30%  </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15.5.2技术部分                         50%  </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15.5.3投标人综合实力及产品评价         20%  </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15.6评分办法</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15.6.1报价评价（30分）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综合评分法中的价格分采用低价优先法计算，即满足招标文件要求且投标价格最低的投标报价为评标基准价，其价格分为满分30分。其他投标人的价格分统一按照下列公式计算：</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投标报价得分=(评标基准价／投标报价)×30</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注：投标人应报本项目所产生的所有费用，投标人所需填报的总报价仅用于“苏采云”系统计算投标报价得分，总报价=采购预算*（1-下浮率），总报价不作为最终结算的依据。若投标人所报总价与下浮率不一致的，作无效响应处理。总报价与下浮率若有小数位的，则小数点后保留两位。</w:t>
      </w:r>
      <w:r/>
    </w:p>
    <w:p>
      <w:pPr>
        <w:ind w:firstLine="562"/>
        <w:jc w:val="both"/>
        <w:spacing w:line="360" w:lineRule="auto"/>
        <w:widowControl w:val="off"/>
        <w:rPr>
          <w:rFonts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另：（1）根据财政部、工业和信息化部关于印发《政府采购促进中小企业发展管理办法》的通知（财库〔2020〕46号)</w:t>
      </w:r>
      <w:r>
        <w:rPr>
          <w:rFonts w:hint="eastAsia" w:ascii="仿宋" w:hAnsi="仿宋" w:eastAsia="仿宋" w:cs="仿宋"/>
          <w:b/>
          <w:bCs/>
          <w:color w:val="auto"/>
          <w:sz w:val="28"/>
          <w:szCs w:val="28"/>
          <w:lang w:val="zh-CN" w:eastAsia="zh-CN"/>
        </w:rPr>
        <w:t xml:space="preserve">、</w:t>
      </w:r>
      <w:r>
        <w:rPr>
          <w:rFonts w:hint="eastAsia" w:ascii="仿宋" w:hAnsi="仿宋" w:eastAsia="仿宋" w:cs="仿宋"/>
          <w:b/>
          <w:bCs/>
          <w:color w:val="auto"/>
          <w:sz w:val="28"/>
          <w:szCs w:val="28"/>
          <w:lang w:val="zh-CN"/>
        </w:rPr>
        <w:t xml:space="preserve">《关于进一步加大政府采购支持中小企业力度的通知》（财库【2022】19号）的规定：</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①如响应单位属于小型或微型企业，且提供该企业的货物或服务或者提供其他小型或微型企业制造的货物的，对其报价给予</w:t>
      </w: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zh-CN"/>
        </w:rPr>
        <w:t xml:space="preserve">0%的扣除，按扣除后的价格参与价格评审。</w:t>
      </w:r>
      <w:r/>
    </w:p>
    <w:p>
      <w:pPr>
        <w:jc w:val="both"/>
        <w:spacing w:line="360" w:lineRule="auto"/>
        <w:widowControl w:val="off"/>
        <w:rPr>
          <w:rFonts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    ②中小企业划分标准详见“《工业和信息化部</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lang w:val="zh-CN"/>
        </w:rPr>
        <w:t xml:space="preserve">国家统计局</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lang w:val="zh-CN"/>
        </w:rPr>
        <w:t xml:space="preserve">国家发展和改革委员会、财政部关于印发中小企业划型标准规定的通知》（工信部联企业[2011]300号）”。</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③各响应单位若为小型或微型企业，则必须提供《中小企业声明函》。未在响应文件中提供《中小企业声明函》的，不享受促进中小微企业发展的相关政府采购政策。</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④以上规定未尽事项，按《政府采购促进中小企业发展管理办法》等有关制度规定执行。</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（2）残疾人福利性单位政策：</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①根据《关于促进残疾人就业政府采购政策的通知》（财库〔2017〕141号）规定，响应单位若为残疾人福利性单位的，视同小型企业，享受评审中价格扣除等促进中小企业发展的政府采购政策。残疾人福利性单位属于小型、微型企业的，不重复享受政策。</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②符合《关于促进残疾人就业政府采购政策的通知》（财库〔2017〕141号）规定条件的残疾人福利性单位在参加政府采购活动时，应当提供《残疾人福利性单位声明函》。</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rPr>
        <w:t xml:space="preserve">  </w:t>
      </w:r>
      <w:r>
        <w:rPr>
          <w:rFonts w:hint="eastAsia" w:ascii="仿宋" w:hAnsi="仿宋" w:eastAsia="仿宋" w:cs="仿宋"/>
          <w:b/>
          <w:bCs/>
          <w:color w:val="auto"/>
          <w:sz w:val="28"/>
          <w:szCs w:val="28"/>
          <w:lang w:val="zh-CN"/>
        </w:rPr>
        <w:t xml:space="preserve">（3）监狱企业发展政策：</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①根据《关于政府采购支持监狱企业发展有关问题的通知》（财库〔2014〕68号）规定，响应单位若为监狱企业的，视同小型企业，享受评审中价格扣除等政府采购促进中小企业发展的政府采购政策。</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lang w:val="zh-CN"/>
        </w:rPr>
        <w:t xml:space="preserve">   ②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仿宋" w:hAnsi="仿宋" w:eastAsia="仿宋" w:cs="仿宋"/>
          <w:b/>
          <w:bCs/>
          <w:color w:val="auto"/>
          <w:sz w:val="28"/>
          <w:szCs w:val="28"/>
          <w:lang w:val="zh-CN"/>
        </w:rPr>
        <w:br/>
      </w:r>
      <w:r>
        <w:rPr>
          <w:rFonts w:hint="eastAsia" w:ascii="仿宋" w:hAnsi="仿宋" w:eastAsia="仿宋" w:cs="仿宋"/>
          <w:b/>
          <w:bCs/>
          <w:color w:val="auto"/>
          <w:sz w:val="28"/>
          <w:szCs w:val="28"/>
        </w:rPr>
        <w:t xml:space="preserve">   </w:t>
      </w:r>
      <w:r>
        <w:rPr>
          <w:rFonts w:hint="eastAsia" w:ascii="仿宋" w:hAnsi="仿宋" w:eastAsia="仿宋" w:cs="仿宋"/>
          <w:b/>
          <w:bCs/>
          <w:color w:val="auto"/>
          <w:sz w:val="28"/>
          <w:szCs w:val="28"/>
          <w:lang w:val="zh-CN"/>
        </w:rPr>
        <w:t xml:space="preserve">（4）供应商提供的《中小企业声明函》、《残疾人福利性单位声明函》与事实不符的，依照《政府采购法》第七十七条第一款的规定追究法律责任。</w:t>
      </w:r>
      <w:r/>
    </w:p>
    <w:p>
      <w:pPr>
        <w:numPr>
          <w:ilvl w:val="0"/>
          <w:numId w:val="6"/>
        </w:numPr>
        <w:ind w:firstLine="562"/>
        <w:jc w:val="both"/>
        <w:spacing w:line="360" w:lineRule="auto"/>
        <w:widowControl w:val="off"/>
        <w:rPr>
          <w:rFonts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成交供应商为小微企业或残疾人福利性企业的，《中小企业声明函》、《残疾人福利性单位声明函》随成交结果同时公告，接受社会监督。</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15.6.2技术部分（50分）</w:t>
      </w:r>
      <w:r/>
    </w:p>
    <w:p>
      <w:pPr>
        <w:pStyle w:val="834"/>
        <w:numPr>
          <w:ilvl w:val="0"/>
          <w:numId w:val="7"/>
        </w:numPr>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质量安全方案（15分）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投标人必须建有一系列保证食品安全的制度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实施方案和考核办法。方案中包括但不限于安全防患管理制度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卫生保障制度（从业人员健康管理制度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原料采购查验管理制度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卫生管理制度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食品包装</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存储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运输管理制度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问题食品召回管理制度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质量投诉及可追溯管理制度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质量保证及服务保障承诺）等。根据应答情况比较得分。概述特别详细，总体安排科学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合理的得15分；方案考虑较为细致，稍有欠缺的得1</w:t>
      </w:r>
      <w:r>
        <w:rPr>
          <w:rFonts w:ascii="仿宋" w:hAnsi="仿宋" w:eastAsia="仿宋" w:cs="仿宋"/>
          <w:color w:val="auto"/>
          <w:sz w:val="28"/>
          <w:szCs w:val="28"/>
        </w:rPr>
        <w:t xml:space="preserve">2</w:t>
      </w:r>
      <w:r>
        <w:rPr>
          <w:rFonts w:hint="eastAsia" w:ascii="仿宋" w:hAnsi="仿宋" w:eastAsia="仿宋" w:cs="仿宋"/>
          <w:color w:val="auto"/>
          <w:sz w:val="28"/>
          <w:szCs w:val="28"/>
        </w:rPr>
        <w:t xml:space="preserve">分；概述方案过于简单，对于项目实施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部署不周全的得</w:t>
      </w:r>
      <w:r>
        <w:rPr>
          <w:rFonts w:ascii="仿宋" w:hAnsi="仿宋" w:eastAsia="仿宋" w:cs="仿宋"/>
          <w:color w:val="auto"/>
          <w:sz w:val="28"/>
          <w:szCs w:val="28"/>
        </w:rPr>
        <w:t xml:space="preserve">9</w:t>
      </w:r>
      <w:r>
        <w:rPr>
          <w:rFonts w:hint="eastAsia" w:ascii="仿宋" w:hAnsi="仿宋" w:eastAsia="仿宋" w:cs="仿宋"/>
          <w:color w:val="auto"/>
          <w:sz w:val="28"/>
          <w:szCs w:val="28"/>
        </w:rPr>
        <w:t xml:space="preserve">分，方案较差的得</w:t>
      </w:r>
      <w:r>
        <w:rPr>
          <w:rFonts w:ascii="仿宋" w:hAnsi="仿宋" w:eastAsia="仿宋" w:cs="仿宋"/>
          <w:color w:val="auto"/>
          <w:sz w:val="28"/>
          <w:szCs w:val="28"/>
        </w:rPr>
        <w:t xml:space="preserve">6</w:t>
      </w:r>
      <w:r>
        <w:rPr>
          <w:rFonts w:hint="eastAsia" w:ascii="仿宋" w:hAnsi="仿宋" w:eastAsia="仿宋" w:cs="仿宋"/>
          <w:color w:val="auto"/>
          <w:sz w:val="28"/>
          <w:szCs w:val="28"/>
        </w:rPr>
        <w:t xml:space="preserve">分。</w:t>
      </w:r>
      <w:r/>
    </w:p>
    <w:p>
      <w:pPr>
        <w:pStyle w:val="834"/>
        <w:ind w:firstLine="561"/>
        <w:spacing w:line="360" w:lineRule="auto"/>
        <w:rPr>
          <w:rFonts w:ascii="仿宋" w:hAnsi="仿宋" w:eastAsia="仿宋" w:cs="仿宋"/>
          <w:color w:val="auto"/>
          <w:sz w:val="28"/>
          <w:szCs w:val="28"/>
          <w:lang w:val="zh-CN"/>
        </w:rPr>
      </w:pPr>
      <w:r>
        <w:rPr>
          <w:rFonts w:hint="eastAsia" w:ascii="仿宋" w:hAnsi="仿宋" w:eastAsia="仿宋" w:cs="仿宋"/>
          <w:color w:val="auto"/>
          <w:sz w:val="28"/>
          <w:szCs w:val="28"/>
        </w:rPr>
        <w:t xml:space="preserve">（2）配送服务方案</w:t>
      </w: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11分</w:t>
      </w:r>
      <w:r>
        <w:rPr>
          <w:rFonts w:hint="eastAsia" w:ascii="仿宋" w:hAnsi="仿宋" w:eastAsia="仿宋" w:cs="仿宋"/>
          <w:color w:val="auto"/>
          <w:sz w:val="28"/>
          <w:szCs w:val="28"/>
          <w:lang w:val="zh-CN"/>
        </w:rPr>
        <w:t xml:space="preserve">）</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投标人必须有能力提供长期服务，有必要的运输工具，有一定的食材批量采购及配送能力，有针对本项目的采购要求，制定科学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合理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优质的供货配送服务方案，供货配送服务方案中包括但不限于车辆配置</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人员安排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服务流程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特色服务</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安全保障等各项因素综合评分。根据应答情况综合评定：方案全面</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合理，具有针对性，科学合理具备可执行性的得11分；方案考虑的较为全面，但仍具备可行性的得8分；方案过于简单，对于项目实施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部署不周全的得5分，方案较差的得2分。</w:t>
      </w:r>
      <w:r/>
    </w:p>
    <w:p>
      <w:pPr>
        <w:pStyle w:val="834"/>
        <w:ind w:firstLine="561"/>
        <w:spacing w:line="360" w:lineRule="auto"/>
        <w:rPr>
          <w:rFonts w:ascii="仿宋" w:hAnsi="仿宋" w:eastAsia="仿宋" w:cs="仿宋"/>
          <w:color w:val="auto"/>
          <w:sz w:val="28"/>
          <w:szCs w:val="28"/>
          <w:lang w:val="zh-CN"/>
        </w:rPr>
      </w:pPr>
      <w:r>
        <w:rPr>
          <w:rFonts w:hint="eastAsia" w:ascii="仿宋" w:hAnsi="仿宋" w:eastAsia="仿宋" w:cs="仿宋"/>
          <w:color w:val="auto"/>
          <w:sz w:val="28"/>
          <w:szCs w:val="28"/>
        </w:rPr>
        <w:t xml:space="preserve">（3）应急预案(8分)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lang w:val="zh-CN"/>
        </w:rPr>
        <w:t xml:space="preserve">须有能力应对突发事件应急预案，包括但不仅限于配送遭遇恶劣天气，学校临时要求补货、停水停电、车辆损坏、人员食物中毒等突发事件，根据应答情况横向比较得分：方案全面</w:t>
      </w:r>
      <w:r>
        <w:rPr>
          <w:rFonts w:hint="eastAsia" w:ascii="仿宋" w:hAnsi="仿宋" w:eastAsia="仿宋" w:cs="仿宋"/>
          <w:color w:val="auto"/>
          <w:sz w:val="28"/>
          <w:szCs w:val="28"/>
          <w:lang w:val="zh-CN" w:eastAsia="zh-CN"/>
        </w:rPr>
        <w:t xml:space="preserve">、</w:t>
      </w:r>
      <w:r>
        <w:rPr>
          <w:rFonts w:hint="eastAsia" w:ascii="仿宋" w:hAnsi="仿宋" w:eastAsia="仿宋" w:cs="仿宋"/>
          <w:color w:val="auto"/>
          <w:sz w:val="28"/>
          <w:szCs w:val="28"/>
          <w:lang w:val="zh-CN"/>
        </w:rPr>
        <w:t xml:space="preserve">合理，具有针对性，科学合理具备可执行性的得</w:t>
      </w:r>
      <w:r>
        <w:rPr>
          <w:rFonts w:hint="eastAsia" w:ascii="仿宋" w:hAnsi="仿宋" w:eastAsia="仿宋" w:cs="仿宋"/>
          <w:color w:val="auto"/>
          <w:sz w:val="28"/>
          <w:szCs w:val="28"/>
        </w:rPr>
        <w:t xml:space="preserve">8</w:t>
      </w:r>
      <w:r>
        <w:rPr>
          <w:rFonts w:hint="eastAsia" w:ascii="仿宋" w:hAnsi="仿宋" w:eastAsia="仿宋" w:cs="仿宋"/>
          <w:color w:val="auto"/>
          <w:sz w:val="28"/>
          <w:szCs w:val="28"/>
          <w:lang w:val="zh-CN"/>
        </w:rPr>
        <w:t xml:space="preserve">分；方案考虑的较为全面，但仍具备可行性的得</w:t>
      </w:r>
      <w:r>
        <w:rPr>
          <w:rFonts w:ascii="仿宋" w:hAnsi="仿宋" w:eastAsia="仿宋" w:cs="仿宋"/>
          <w:color w:val="auto"/>
          <w:sz w:val="28"/>
          <w:szCs w:val="28"/>
        </w:rPr>
        <w:t xml:space="preserve">6</w:t>
      </w:r>
      <w:r>
        <w:rPr>
          <w:rFonts w:hint="eastAsia" w:ascii="仿宋" w:hAnsi="仿宋" w:eastAsia="仿宋" w:cs="仿宋"/>
          <w:color w:val="auto"/>
          <w:sz w:val="28"/>
          <w:szCs w:val="28"/>
          <w:lang w:val="zh-CN"/>
        </w:rPr>
        <w:t xml:space="preserve">分，方案过于简单，对于项目实施</w:t>
      </w:r>
      <w:r>
        <w:rPr>
          <w:rFonts w:hint="eastAsia" w:ascii="仿宋" w:hAnsi="仿宋" w:eastAsia="仿宋" w:cs="仿宋"/>
          <w:color w:val="auto"/>
          <w:sz w:val="28"/>
          <w:szCs w:val="28"/>
          <w:lang w:val="zh-CN" w:eastAsia="zh-CN"/>
        </w:rPr>
        <w:t xml:space="preserve">、</w:t>
      </w:r>
      <w:r>
        <w:rPr>
          <w:rFonts w:hint="eastAsia" w:ascii="仿宋" w:hAnsi="仿宋" w:eastAsia="仿宋" w:cs="仿宋"/>
          <w:color w:val="auto"/>
          <w:sz w:val="28"/>
          <w:szCs w:val="28"/>
          <w:lang w:val="zh-CN"/>
        </w:rPr>
        <w:t xml:space="preserve">部署不周全的得</w:t>
      </w:r>
      <w:r>
        <w:rPr>
          <w:rFonts w:ascii="仿宋" w:hAnsi="仿宋" w:eastAsia="仿宋" w:cs="仿宋"/>
          <w:color w:val="auto"/>
          <w:sz w:val="28"/>
          <w:szCs w:val="28"/>
        </w:rPr>
        <w:t xml:space="preserve">4</w:t>
      </w:r>
      <w:r>
        <w:rPr>
          <w:rFonts w:hint="eastAsia" w:ascii="仿宋" w:hAnsi="仿宋" w:eastAsia="仿宋" w:cs="仿宋"/>
          <w:color w:val="auto"/>
          <w:sz w:val="28"/>
          <w:szCs w:val="28"/>
          <w:lang w:val="zh-CN"/>
        </w:rPr>
        <w:t xml:space="preserve">分，方案较差的得</w:t>
      </w:r>
      <w:r>
        <w:rPr>
          <w:rFonts w:ascii="仿宋" w:hAnsi="仿宋" w:eastAsia="仿宋" w:cs="仿宋"/>
          <w:color w:val="auto"/>
          <w:sz w:val="28"/>
          <w:szCs w:val="28"/>
        </w:rPr>
        <w:t xml:space="preserve">2</w:t>
      </w:r>
      <w:r>
        <w:rPr>
          <w:rFonts w:hint="eastAsia" w:ascii="仿宋" w:hAnsi="仿宋" w:eastAsia="仿宋" w:cs="仿宋"/>
          <w:color w:val="auto"/>
          <w:sz w:val="28"/>
          <w:szCs w:val="28"/>
          <w:lang w:val="zh-CN"/>
        </w:rPr>
        <w:t xml:space="preserve">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（4）往期案例分析方案（8分）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评标委员会根据投标文件中提供的承担过往期案例分析进行综合评价，对往期案例分析有针对性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分析详尽的，且有与本项目服务内容相关的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规模相当的证明材料支撑的得8分；仅对案例进行简单分析的得5分；往期未做过类似案例但针对本项目有经验分析的得3分；本项最高得8分。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（5）售后服务方案（6分）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评标委员会根据投标文件中提供的售后服务方案综合评定，包括但不限于配送时效性（服务响应时间）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售后服务承诺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其他增值服务等，投标人售后服务内容科学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合理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售后服务系统完善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针对性强，能够充分满足招标人的需求的得6分；比较科学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合理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售后服务系统完善，能够满足招标人的需求的得4分；投标人售后服务及质量保障内容一般的得2分，售后服务方案较差1分；</w:t>
      </w:r>
      <w:r/>
    </w:p>
    <w:p>
      <w:pPr>
        <w:pStyle w:val="834"/>
        <w:numPr>
          <w:ilvl w:val="0"/>
          <w:numId w:val="6"/>
        </w:num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服务承诺（2分）</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①投标人需承诺，在履行本项目的全部过程中，凡出现因质量或配送运输引发的安全事故，投标方将承担全部法律责任和赔偿所有经济损失的计1分。</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注：提供承诺函加盖公章装订至投标文件相应位置并原件扫描上传至“苏采云”系统相应位置，承诺函格式自拟。</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②投标人需承诺，在履行本项目的全部过程中，因存在质量问题或因质量原因发生的食品安全事故，生产企业主要负责人和相关主管人员必须到现场指导</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处理，慰问师生及家属，做好安抚工作和善后处理的得1分。</w:t>
      </w:r>
      <w:r/>
    </w:p>
    <w:p>
      <w:pPr>
        <w:pStyle w:val="834"/>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注：提供承诺函加盖公章装订至投标文件相应位置并原件扫描上传至“苏采云”系统相应位置，承诺函格式自拟。</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15.6.3投标人综合实力及产品评价（20分）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15.6.3.1企业荣誉（4分）</w:t>
      </w:r>
      <w:r/>
    </w:p>
    <w:p>
      <w:pPr>
        <w:pStyle w:val="834"/>
        <w:ind w:firstLine="561"/>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b/>
          <w:bCs/>
          <w:color w:val="auto"/>
          <w:sz w:val="28"/>
          <w:szCs w:val="28"/>
        </w:rPr>
        <w:t xml:space="preserve">或投标人所投产品生产商</w:t>
      </w:r>
      <w:r>
        <w:rPr>
          <w:rFonts w:hint="eastAsia" w:ascii="仿宋" w:hAnsi="仿宋" w:eastAsia="仿宋" w:cs="仿宋"/>
          <w:color w:val="auto"/>
          <w:sz w:val="28"/>
          <w:szCs w:val="28"/>
        </w:rPr>
        <w:t xml:space="preserve">自2019年1月1日以来，获得过省级及以上相关部门颁发的荣誉证明，每有一个得2分，最高得4分；市级及以下相关部门颁发的每有一个得1分，最高得2分；本项最高得4分。</w:t>
      </w:r>
      <w:r/>
    </w:p>
    <w:p>
      <w:pPr>
        <w:ind w:firstLine="562"/>
        <w:jc w:val="both"/>
        <w:spacing w:line="360" w:lineRule="auto"/>
        <w:widowControl w:val="off"/>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注：提供荣誉证书或证明材料加盖公章装订至投标文件相应位置并原件扫描件上传至“苏采云”系统相应位置。</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15.6.3.2认证证书（8分）</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b/>
          <w:bCs/>
          <w:color w:val="auto"/>
          <w:sz w:val="28"/>
          <w:szCs w:val="28"/>
        </w:rPr>
        <w:t xml:space="preserve">或投标人所投产品生产商</w:t>
      </w:r>
      <w:r>
        <w:rPr>
          <w:rFonts w:hint="eastAsia" w:ascii="仿宋" w:hAnsi="仿宋" w:eastAsia="仿宋" w:cs="仿宋"/>
          <w:color w:val="auto"/>
          <w:sz w:val="28"/>
          <w:szCs w:val="28"/>
        </w:rPr>
        <w:t xml:space="preserve">具有有效期内的质量管理体系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环境管理体系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职业健康安全管理体系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食品安全管理体系认证证书的每有个得2分，认证范围需与本项目有关，本项最高得8分；</w:t>
      </w:r>
      <w:r/>
    </w:p>
    <w:p>
      <w:pPr>
        <w:ind w:firstLine="562"/>
        <w:jc w:val="both"/>
        <w:spacing w:line="360" w:lineRule="auto"/>
        <w:widowControl w:val="off"/>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注：提供有效期内的证书加盖公章装订至投标文件相应位置并原件扫描件上传至“苏采云”系统相应位置。</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15.6.3.3投标人或</w:t>
      </w:r>
      <w:r>
        <w:rPr>
          <w:rFonts w:hint="eastAsia" w:ascii="仿宋" w:hAnsi="仿宋" w:eastAsia="仿宋" w:cs="仿宋"/>
          <w:b/>
          <w:bCs/>
          <w:color w:val="auto"/>
          <w:sz w:val="28"/>
          <w:szCs w:val="28"/>
        </w:rPr>
        <w:t xml:space="preserve">投标人所投产品生产商</w:t>
      </w:r>
      <w:r>
        <w:rPr>
          <w:rFonts w:hint="eastAsia" w:ascii="仿宋" w:hAnsi="仿宋" w:eastAsia="仿宋" w:cs="仿宋"/>
          <w:color w:val="auto"/>
          <w:sz w:val="28"/>
          <w:szCs w:val="28"/>
        </w:rPr>
        <w:t xml:space="preserve">具有动物检疫合格证明书、肉品品质检验合格证及非洲猪瘟检测证明的每有1个得1分，本项最高得3分。</w:t>
      </w:r>
      <w:r/>
    </w:p>
    <w:p>
      <w:pPr>
        <w:ind w:firstLine="562"/>
        <w:jc w:val="both"/>
        <w:spacing w:line="360" w:lineRule="auto"/>
        <w:widowControl w:val="off"/>
        <w:rPr>
          <w:rFonts w:ascii="仿宋" w:hAnsi="仿宋" w:eastAsia="仿宋" w:cs="仿宋"/>
          <w:color w:val="auto"/>
          <w:sz w:val="28"/>
          <w:szCs w:val="28"/>
        </w:rPr>
      </w:pPr>
      <w:r>
        <w:rPr>
          <w:rFonts w:hint="eastAsia" w:ascii="仿宋" w:hAnsi="仿宋" w:eastAsia="仿宋" w:cs="仿宋"/>
          <w:b/>
          <w:bCs/>
          <w:color w:val="auto"/>
          <w:sz w:val="28"/>
          <w:szCs w:val="28"/>
        </w:rPr>
        <w:t xml:space="preserve">注：提供证明材料加盖公章装订至投标文件相应位置并原件扫描件上传至“苏采云”系统相应位置。</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15.6.3.4</w:t>
      </w:r>
      <w:r>
        <w:rPr>
          <w:rFonts w:hint="eastAsia" w:ascii="仿宋" w:hAnsi="仿宋" w:eastAsia="仿宋" w:cs="仿宋"/>
          <w:color w:val="auto"/>
          <w:sz w:val="28"/>
          <w:szCs w:val="28"/>
        </w:rPr>
        <w:t xml:space="preserve">拟投入本项目其他人员（3分）</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投标人须承诺，若中标后拟派项目团队所有成员必须是投标人的正式员工，且不少于3人，提供承诺函及证明材料的得3分，未提供承诺函或证明材料不足的则本项不得分。</w:t>
      </w:r>
      <w:r/>
    </w:p>
    <w:p>
      <w:pPr>
        <w:ind w:firstLine="562"/>
        <w:jc w:val="both"/>
        <w:spacing w:line="360" w:lineRule="auto"/>
        <w:widowControl w:val="off"/>
        <w:rPr>
          <w:rFonts w:ascii="仿宋" w:hAnsi="仿宋" w:eastAsia="仿宋" w:cs="仿宋"/>
          <w:color w:val="auto"/>
          <w:sz w:val="28"/>
          <w:szCs w:val="28"/>
        </w:rPr>
      </w:pPr>
      <w:r>
        <w:rPr>
          <w:rFonts w:hint="eastAsia" w:ascii="仿宋" w:hAnsi="仿宋" w:eastAsia="仿宋" w:cs="仿宋"/>
          <w:b/>
          <w:bCs/>
          <w:color w:val="auto"/>
          <w:sz w:val="28"/>
          <w:szCs w:val="28"/>
        </w:rPr>
        <w:t xml:space="preserve">注：提供承诺函</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健康证复印件</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劳动合同</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投标人近6个月以来连续3个月为以上人员缴纳的社保证明加盖公章装订至投标文件相应位置并原件扫描上传至“苏采云”系统相应位置，承诺函格式自拟。</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15.6.3.5配送工具（2分）</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①投标人自有食品配送服务运输车辆的每有1辆，得1分，最高得1分；租赁的有一台得0.5分，最高得0.5分；本项最高得1分；</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②投标人自有冷链车辆的每有1辆，得1分，最高得1分；租赁的有一台得0.5分，最高得0.5分；本项最高得1分；</w:t>
      </w:r>
      <w:r/>
    </w:p>
    <w:p>
      <w:pPr>
        <w:ind w:firstLine="560"/>
        <w:jc w:val="both"/>
        <w:spacing w:line="360" w:lineRule="auto"/>
        <w:widowControl w:val="off"/>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注：投标人拟投入车辆为自有车辆的，需提供自2018年5月1日（时间以购车发票时间为准）以来车辆的行驶证</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购车发票</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机动车登记证书。投标人拟投入车辆为租赁车辆的，需提供租赁缴费发票</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租赁合同及车辆行驶证。</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15.7相同品牌产品的处理原则</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15.7.1使用综合评分法的采购项目，提供相同品牌产品且通过资格审查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性审查的不同投标人参加同一合同项下投标的，按一家投标人计算，评审后得分最高的同品牌投标人获得中标人推荐资格；评审得分相同的，由招标人委托评标委员会按照技术部分优劣顺序确定三个投标人获得中标人推荐资格，其他同品牌投标人不作为中标候选人（本项目核心产品为扬中市公办中小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幼儿园食堂猪肉供应商服务）。</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15.7.2非单一产品采购项目，招标人应当根据采购项目技术构成</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产品价格比重等合理确定核心产品，并在招标文件中载明。多家投标人提供的核心产品品牌相同的，按上述两个条款规定处理。</w:t>
      </w:r>
      <w:r/>
    </w:p>
    <w:p>
      <w:pPr>
        <w:pStyle w:val="834"/>
        <w:ind w:firstLine="561"/>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16</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评标过程的保密</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16.1在宣布中标结果之前，凡属于审查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澄清</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评价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比较投标文件和中标意向等有关信息，相关当事人均不得泄露给任何投标人或与评审工作无关的人员。</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16.2投标人不得探听上述信息，不得以任何行为影响评标过程，否则其投标文件将被作无效处理。 </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16.3在评审期间，代理机构将有专门人员与投标人进行联络。 </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16.4代理机构和评审委员会不向未中标的投标人解释未中标原因，也不公布评审过程中的相关细节。</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16.5评标委员会名单在开标前确定，并在招标结果确定前保密。</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17</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废标的确认</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17.1在评标过程中出现下列情况之一的应予废标：</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17.1.1出现影响公正的违法</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违规行为的；</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17.1.2现场实质性响应招标文件的供应商不足五家；</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17.1.3因重大变故采购任务取消的；</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废标后，招标人将废标理由通知所有投标人。</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18</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变更采购方式或重新招标</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18.1</w:t>
      </w:r>
      <w:r>
        <w:rPr>
          <w:rFonts w:hint="eastAsia" w:ascii="仿宋" w:hAnsi="仿宋" w:eastAsia="仿宋" w:cs="仿宋"/>
          <w:bCs/>
          <w:color w:val="auto"/>
          <w:sz w:val="28"/>
          <w:szCs w:val="28"/>
        </w:rPr>
        <w:t xml:space="preserve">开标现场及评标期间出现供应商，或实质性响应招标文件的供应商不足五家的处理办法：</w:t>
      </w:r>
      <w:r>
        <w:rPr>
          <w:rFonts w:hint="eastAsia" w:ascii="仿宋" w:hAnsi="仿宋" w:eastAsia="仿宋" w:cs="仿宋"/>
          <w:color w:val="auto"/>
          <w:sz w:val="28"/>
          <w:szCs w:val="28"/>
        </w:rPr>
        <w:t xml:space="preserve">代理机构报经政府采购监管部门批准，可以变更采购方式或重新采购。</w:t>
      </w:r>
      <w:r/>
    </w:p>
    <w:p>
      <w:pPr>
        <w:pStyle w:val="834"/>
        <w:spacing w:line="360" w:lineRule="auto"/>
        <w:rPr>
          <w:rFonts w:ascii="仿宋" w:hAnsi="仿宋" w:eastAsia="仿宋" w:cs="仿宋"/>
          <w:b/>
          <w:color w:val="auto"/>
          <w:sz w:val="36"/>
          <w:szCs w:val="36"/>
        </w:rPr>
        <w:outlineLvl w:val="1"/>
      </w:pPr>
      <w:r/>
      <w:bookmarkStart w:id="77" w:name="_Toc31297"/>
      <w:r/>
      <w:bookmarkStart w:id="78" w:name="_Toc20155"/>
      <w:r/>
      <w:bookmarkStart w:id="79" w:name="_Toc7729"/>
      <w:r/>
      <w:bookmarkStart w:id="80" w:name="_Toc24403"/>
      <w:r/>
      <w:bookmarkStart w:id="81" w:name="_Toc2939"/>
      <w:r/>
      <w:bookmarkStart w:id="82" w:name="_Toc7089"/>
      <w:r/>
      <w:bookmarkStart w:id="83" w:name="_Toc4633"/>
      <w:r/>
      <w:bookmarkStart w:id="84" w:name="_Toc4263"/>
      <w:r/>
      <w:bookmarkStart w:id="85" w:name="_Toc20419"/>
      <w:r/>
      <w:bookmarkStart w:id="86" w:name="_Toc20694"/>
      <w:r/>
      <w:bookmarkStart w:id="87" w:name="_Toc24889"/>
      <w:r/>
      <w:bookmarkStart w:id="88" w:name="_Toc21281"/>
      <w:r>
        <w:rPr>
          <w:rFonts w:hint="eastAsia" w:ascii="仿宋" w:hAnsi="仿宋" w:eastAsia="仿宋" w:cs="仿宋"/>
          <w:b/>
          <w:color w:val="auto"/>
          <w:sz w:val="36"/>
          <w:szCs w:val="36"/>
        </w:rPr>
        <w:t xml:space="preserve">五</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定标</w:t>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19</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确定中标单位</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19.1评标委员会将根据招标文件规定的评标方法采取综合评分法，按得分高低推荐5名中标候选人。</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19.2项目招标领导小组，根据评标委员会推荐的中标候选人顺序，遵循公开透明</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公平竞争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公正和诚实信用原则，最终确定排名前三的为中标人。</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19.3中标人确定后，中标结果将在“江苏政府采购网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扬中政府采购网”进行公示，公示时间为1个工作日。</w:t>
      </w:r>
      <w:r/>
    </w:p>
    <w:p>
      <w:pPr>
        <w:pStyle w:val="834"/>
        <w:ind w:firstLine="560"/>
        <w:spacing w:line="360" w:lineRule="auto"/>
        <w:shd w:val="clear" w:color="auto" w:fill="ffffff"/>
        <w:rPr>
          <w:rFonts w:ascii="仿宋" w:hAnsi="仿宋" w:eastAsia="仿宋" w:cs="仿宋"/>
          <w:color w:val="auto"/>
          <w:sz w:val="28"/>
          <w:szCs w:val="28"/>
        </w:rPr>
      </w:pPr>
      <w:r>
        <w:rPr>
          <w:rFonts w:hint="eastAsia" w:ascii="仿宋" w:hAnsi="仿宋" w:eastAsia="仿宋" w:cs="仿宋"/>
          <w:color w:val="auto"/>
          <w:sz w:val="28"/>
          <w:szCs w:val="28"/>
        </w:rPr>
        <w:t xml:space="preserve">19.4若有充分证据证明，中标人出现下列情况之一的，一经查实，将被取消中标资格：</w:t>
      </w:r>
      <w:r/>
    </w:p>
    <w:p>
      <w:pPr>
        <w:pStyle w:val="834"/>
        <w:ind w:firstLine="560"/>
        <w:spacing w:line="360" w:lineRule="auto"/>
        <w:shd w:val="clear" w:color="auto" w:fill="ffffff"/>
        <w:rPr>
          <w:rFonts w:ascii="仿宋" w:hAnsi="仿宋" w:eastAsia="仿宋" w:cs="仿宋"/>
          <w:color w:val="auto"/>
          <w:sz w:val="28"/>
          <w:szCs w:val="28"/>
        </w:rPr>
      </w:pPr>
      <w:r>
        <w:rPr>
          <w:rFonts w:hint="eastAsia" w:ascii="仿宋" w:hAnsi="仿宋" w:eastAsia="仿宋" w:cs="仿宋"/>
          <w:color w:val="auto"/>
          <w:sz w:val="28"/>
          <w:szCs w:val="28"/>
        </w:rPr>
        <w:t xml:space="preserve">（1）提供虚假材料谋取中标的；</w:t>
      </w:r>
      <w:r/>
    </w:p>
    <w:p>
      <w:pPr>
        <w:pStyle w:val="834"/>
        <w:ind w:firstLine="560"/>
        <w:spacing w:line="360" w:lineRule="auto"/>
        <w:shd w:val="clear" w:color="auto" w:fill="ffffff"/>
        <w:rPr>
          <w:rFonts w:ascii="仿宋" w:hAnsi="仿宋" w:eastAsia="仿宋" w:cs="仿宋"/>
          <w:color w:val="auto"/>
          <w:sz w:val="28"/>
          <w:szCs w:val="28"/>
        </w:rPr>
      </w:pPr>
      <w:r>
        <w:rPr>
          <w:rFonts w:hint="eastAsia" w:ascii="仿宋" w:hAnsi="仿宋" w:eastAsia="仿宋" w:cs="仿宋"/>
          <w:color w:val="auto"/>
          <w:sz w:val="28"/>
          <w:szCs w:val="28"/>
        </w:rPr>
        <w:t xml:space="preserve">（2）与评审专家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招标人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其他投标人或者代理机构工作人员恶意串通的；</w:t>
      </w:r>
      <w:r/>
    </w:p>
    <w:p>
      <w:pPr>
        <w:pStyle w:val="834"/>
        <w:ind w:firstLine="560"/>
        <w:spacing w:line="360" w:lineRule="auto"/>
        <w:shd w:val="clear" w:color="auto" w:fill="ffffff"/>
        <w:rPr>
          <w:rFonts w:ascii="仿宋" w:hAnsi="仿宋" w:eastAsia="仿宋" w:cs="仿宋"/>
          <w:color w:val="auto"/>
          <w:sz w:val="28"/>
          <w:szCs w:val="28"/>
        </w:rPr>
      </w:pPr>
      <w:r>
        <w:rPr>
          <w:rFonts w:hint="eastAsia" w:ascii="仿宋" w:hAnsi="仿宋" w:eastAsia="仿宋" w:cs="仿宋"/>
          <w:color w:val="auto"/>
          <w:sz w:val="28"/>
          <w:szCs w:val="28"/>
        </w:rPr>
        <w:t xml:space="preserve">（3）向评审专家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招标人或代理机构工作人员行贿或者提供其他不正当利益的；</w:t>
      </w:r>
      <w:r/>
    </w:p>
    <w:p>
      <w:pPr>
        <w:pStyle w:val="834"/>
        <w:ind w:firstLine="560"/>
        <w:spacing w:line="360" w:lineRule="auto"/>
        <w:shd w:val="clear" w:color="auto" w:fill="ffffff"/>
        <w:rPr>
          <w:rFonts w:ascii="仿宋" w:hAnsi="仿宋" w:eastAsia="仿宋" w:cs="仿宋"/>
          <w:color w:val="auto"/>
          <w:sz w:val="28"/>
          <w:szCs w:val="28"/>
        </w:rPr>
      </w:pPr>
      <w:r>
        <w:rPr>
          <w:rFonts w:hint="eastAsia" w:ascii="仿宋" w:hAnsi="仿宋" w:eastAsia="仿宋" w:cs="仿宋"/>
          <w:color w:val="auto"/>
          <w:sz w:val="28"/>
          <w:szCs w:val="28"/>
        </w:rPr>
        <w:t xml:space="preserve">（4）不满足本招标文件规定的实质性要求，但在评标过程中又未被评委会发现的；</w:t>
      </w:r>
      <w:r/>
    </w:p>
    <w:p>
      <w:pPr>
        <w:pStyle w:val="834"/>
        <w:ind w:firstLine="560"/>
        <w:spacing w:line="360" w:lineRule="auto"/>
        <w:shd w:val="clear" w:color="auto" w:fill="ffffff"/>
        <w:rPr>
          <w:rFonts w:ascii="仿宋" w:hAnsi="仿宋" w:eastAsia="仿宋" w:cs="仿宋"/>
          <w:color w:val="auto"/>
          <w:sz w:val="28"/>
          <w:szCs w:val="28"/>
        </w:rPr>
      </w:pPr>
      <w:r>
        <w:rPr>
          <w:rFonts w:hint="eastAsia" w:ascii="仿宋" w:hAnsi="仿宋" w:eastAsia="仿宋" w:cs="仿宋"/>
          <w:color w:val="auto"/>
          <w:sz w:val="28"/>
          <w:szCs w:val="28"/>
        </w:rPr>
        <w:t xml:space="preserve">（5）不符合法律</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法规的规定的其他情形。</w:t>
      </w:r>
      <w:r/>
    </w:p>
    <w:p>
      <w:pPr>
        <w:pStyle w:val="834"/>
        <w:ind w:firstLine="560"/>
        <w:spacing w:line="360" w:lineRule="auto"/>
        <w:shd w:val="clear" w:color="auto" w:fill="ffffff"/>
        <w:rPr>
          <w:rFonts w:ascii="仿宋" w:hAnsi="仿宋" w:eastAsia="仿宋" w:cs="仿宋"/>
          <w:color w:val="auto"/>
          <w:sz w:val="28"/>
          <w:szCs w:val="28"/>
        </w:rPr>
      </w:pPr>
      <w:r>
        <w:rPr>
          <w:rFonts w:hint="eastAsia" w:ascii="仿宋" w:hAnsi="仿宋" w:eastAsia="仿宋" w:cs="仿宋"/>
          <w:color w:val="auto"/>
          <w:sz w:val="28"/>
          <w:szCs w:val="28"/>
        </w:rPr>
        <w:t xml:space="preserve">在此情况下一经认定，报经项目招标领导小组批准，可授予下一中标候选人中标资格，或重新招标。</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20</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中标决定和中标通知书</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20.1采购人或者采购代理机构应当在中标供应商确定后2个工作日内，在省级以上财政部门指定的政府采购信息发布媒体上公告中标结果，同时向中标供应商发出中标通知书，并将招标文件随中标结果同时公告。</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20.2中标通知书将是合同的一个组成部分。</w:t>
      </w:r>
      <w:r/>
    </w:p>
    <w:p>
      <w:pPr>
        <w:pStyle w:val="834"/>
        <w:ind w:firstLine="560"/>
        <w:spacing w:line="360" w:lineRule="auto"/>
        <w:rPr>
          <w:rFonts w:ascii="仿宋" w:hAnsi="仿宋" w:eastAsia="仿宋" w:cs="仿宋"/>
          <w:b/>
          <w:bCs/>
          <w:color w:val="auto"/>
          <w:sz w:val="28"/>
          <w:szCs w:val="28"/>
        </w:rPr>
      </w:pPr>
      <w:r>
        <w:rPr>
          <w:rFonts w:hint="eastAsia" w:ascii="仿宋" w:hAnsi="仿宋" w:eastAsia="仿宋" w:cs="仿宋"/>
          <w:color w:val="auto"/>
          <w:sz w:val="28"/>
          <w:szCs w:val="28"/>
        </w:rPr>
        <w:t xml:space="preserve">20.3中标后，任何一方均不得对其投标文件中中标价等实质性条款作出任何改变。</w:t>
      </w:r>
      <w:r/>
    </w:p>
    <w:p>
      <w:pPr>
        <w:pStyle w:val="834"/>
        <w:spacing w:line="360" w:lineRule="auto"/>
        <w:rPr>
          <w:rFonts w:ascii="仿宋" w:hAnsi="仿宋" w:eastAsia="仿宋" w:cs="仿宋"/>
          <w:b/>
          <w:color w:val="auto"/>
          <w:sz w:val="36"/>
          <w:szCs w:val="36"/>
        </w:rPr>
        <w:outlineLvl w:val="1"/>
      </w:pPr>
      <w:r/>
      <w:bookmarkStart w:id="89" w:name="_Toc19441"/>
      <w:r/>
      <w:bookmarkStart w:id="90" w:name="_Toc29546"/>
      <w:r/>
      <w:bookmarkStart w:id="91" w:name="_Toc2871"/>
      <w:r/>
      <w:bookmarkStart w:id="92" w:name="_Toc28008"/>
      <w:r/>
      <w:bookmarkStart w:id="93" w:name="_Toc1510"/>
      <w:r/>
      <w:bookmarkStart w:id="94" w:name="_Toc14921"/>
      <w:r/>
      <w:bookmarkStart w:id="95" w:name="_Toc30834"/>
      <w:r/>
      <w:bookmarkStart w:id="96" w:name="_Toc11804"/>
      <w:r>
        <w:rPr>
          <w:rFonts w:hint="eastAsia" w:ascii="仿宋" w:hAnsi="仿宋" w:eastAsia="仿宋" w:cs="仿宋"/>
          <w:b/>
          <w:color w:val="auto"/>
          <w:sz w:val="36"/>
          <w:szCs w:val="36"/>
        </w:rPr>
        <w:t xml:space="preserve">六</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授予合同</w:t>
      </w:r>
      <w:bookmarkEnd w:id="89"/>
      <w:r/>
      <w:bookmarkEnd w:id="90"/>
      <w:r/>
      <w:bookmarkEnd w:id="91"/>
      <w:r/>
      <w:bookmarkEnd w:id="92"/>
      <w:r/>
      <w:bookmarkEnd w:id="93"/>
      <w:r/>
      <w:bookmarkEnd w:id="94"/>
      <w:r/>
      <w:bookmarkEnd w:id="95"/>
      <w:r/>
      <w:bookmarkEnd w:id="96"/>
      <w:r/>
      <w:r/>
    </w:p>
    <w:p>
      <w:pPr>
        <w:pStyle w:val="834"/>
        <w:ind w:firstLine="562"/>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21</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合同授予标准</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21.1评标委员会将根据招标文件规定的评标方法采取综合评分法，按得分高低推荐5名中标候选人。</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21.2项目招标领导小组，根据评标委员会推荐的中标候选人顺序，遵循公开透明</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公平竞争</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公正和诚实信用原则，确定3名中标人。</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21.3如发现投标人在投标响应文件中有弄虚作假行为或其它不正当竞争行为的，将取消其中标资格。</w:t>
      </w:r>
      <w:r/>
    </w:p>
    <w:p>
      <w:pPr>
        <w:pStyle w:val="834"/>
        <w:ind w:firstLine="562"/>
        <w:spacing w:line="360" w:lineRule="auto"/>
        <w:tabs>
          <w:tab w:val="left" w:pos="379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22</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签订合同及相关费用</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22.1合同签订时间：招标人应当自中标通知书发出之日起15日内，按照招标文件和中标人投标文件的规定，与中标人签订书面合同。</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22.2招标代理费</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22.2.1招标代理服务费及采购需求咨询费收费标准：经采购人及招标代理双方协商确定招标代理服务费按壹拾伍万叁仟元计取，第一中标候选人支付陆万壹仟贰佰元，第二中标候选人支付伍万叁仟伍佰伍拾元，第三中标候选人支付叁万捌仟贰佰伍拾元；</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22.2.2招标代理费收取方式：由中标人领取中标通知书时一次性付清；中标人如果未按规定缴纳上述费用，采购人或采购代理机构保留诉讼的权利。中标人需要开代理费发票的，需由中标人缴纳费用后，代理机构将发票开具给中标人。</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22.3招标文件</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中标人的投标响应文件</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补充文件</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答辩记录等，均为签订合同的依据和合同不可分割的组成部分。</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22.4中标人如果不按规定签订合同，代理机构将取消该中标结果。在此情况下项目招标领导小组可授予下一中标候选人，或重新招标。</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22.5合同具体条款见合同样本，合同的各项条款是招标文件的组成部分。</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22.6代理机构自政府采购合同签订之日起2个工作日内，将合同在扬中政府采购网</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江苏政府采购网上公告。</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23</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货物和服务的追加</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减少和添购</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23.1政府采购合同履行中，需追加与合同标的相同服务的，在不改变价格水平</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合同及其他条款的前提下，可以与中标人协商签订补充合同，但所有补充合同的采购金额不得超过原合同采购金额的百分之十。</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23.2采购结束后，招标人若由于各种客观原因，必须对采购项目所牵涉的服务进行适当的减少时，在双方协商一致的前提下，可以按照招标采购时的价格水平做相应的调减，并据此签订补充合同。</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23.3项目结束后，招标人若由于各种客观原因，必须对采购项目所牵涉的服务进行适当的添购时，由于须保证原有采购项目一致性或者服务配套的要求，且添购资金总额不超过原合同采购金额的百分之十，经政府采购监督管理部门批准，可以继续从中标人处按照单一来源采购的方式进行添购，且所牵涉服务的价格水平不得超过本次公开招标的水平且低于当时的社会平均价。服务的添购，应在本次政府采购合同的基础上，另行签订服务的添购合同。</w:t>
      </w:r>
      <w:r/>
    </w:p>
    <w:p>
      <w:pPr>
        <w:pStyle w:val="834"/>
        <w:spacing w:line="360" w:lineRule="auto"/>
        <w:rPr>
          <w:rFonts w:ascii="仿宋" w:hAnsi="仿宋" w:eastAsia="仿宋" w:cs="仿宋"/>
          <w:b/>
          <w:color w:val="auto"/>
          <w:sz w:val="36"/>
          <w:szCs w:val="36"/>
        </w:rPr>
        <w:outlineLvl w:val="1"/>
      </w:pPr>
      <w:r/>
      <w:bookmarkStart w:id="97" w:name="_Toc19421"/>
      <w:r/>
      <w:bookmarkStart w:id="98" w:name="_Toc1107"/>
      <w:r/>
      <w:bookmarkStart w:id="99" w:name="_Toc2214"/>
      <w:r/>
      <w:bookmarkStart w:id="100" w:name="_Toc17775"/>
      <w:r/>
      <w:bookmarkStart w:id="101" w:name="_Toc6519"/>
      <w:r/>
      <w:bookmarkStart w:id="102" w:name="_Toc27802"/>
      <w:r/>
      <w:bookmarkStart w:id="103" w:name="_Toc32065"/>
      <w:r/>
      <w:bookmarkStart w:id="104" w:name="_Toc17759"/>
      <w:r/>
      <w:bookmarkStart w:id="105" w:name="_Toc31832"/>
      <w:r/>
      <w:bookmarkStart w:id="106" w:name="_Toc964"/>
      <w:r/>
      <w:bookmarkStart w:id="107" w:name="_Toc28962"/>
      <w:r/>
      <w:bookmarkStart w:id="108" w:name="_Toc22977"/>
      <w:r>
        <w:rPr>
          <w:rFonts w:hint="eastAsia" w:ascii="仿宋" w:hAnsi="仿宋" w:eastAsia="仿宋" w:cs="仿宋"/>
          <w:b/>
          <w:color w:val="auto"/>
          <w:sz w:val="36"/>
          <w:szCs w:val="36"/>
        </w:rPr>
        <w:t xml:space="preserve">七</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询问</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质疑</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投诉</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pStyle w:val="834"/>
        <w:ind w:firstLine="562"/>
        <w:spacing w:line="360" w:lineRule="auto"/>
        <w:rPr>
          <w:rFonts w:ascii="仿宋" w:hAnsi="仿宋" w:eastAsia="仿宋" w:cs="仿宋"/>
          <w:b/>
          <w:color w:val="auto"/>
          <w:sz w:val="52"/>
          <w:szCs w:val="52"/>
        </w:rPr>
      </w:pPr>
      <w:r>
        <w:rPr>
          <w:rFonts w:hint="eastAsia" w:ascii="仿宋" w:hAnsi="仿宋" w:eastAsia="仿宋" w:cs="仿宋"/>
          <w:b/>
          <w:color w:val="auto"/>
          <w:sz w:val="28"/>
          <w:szCs w:val="28"/>
        </w:rPr>
        <w:t xml:space="preserve">24</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询问</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24.1供应商对采购活动事项有疑问的，可以向采购人或采购代理机构提出询问，采购人或采购代理机构将依法作出答复，但答复的内容不涉及商业秘密。</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25</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质疑</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25.1质疑供应商是指直接参加本项目采购活动的供应商；供应商认为招标文件</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招标过程和中标结果使自己的合法权益受到损害的，可以在知道或者应当知道其权益受到损害之日起七个工作日内，将质疑文件原件送达采购人或采购代理机构。对招标文件提出质疑的，自供应商获得招标文件之日起计算；对招标过程提出质疑的，自招标程序环节结束之日起计算；对中标结果提出质疑的，自中标结果公告届满之日起计算。</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25.2供应商应按照“谁主张</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谁举证”的原则对质疑内容提供相关证明材料，并对质疑内容的真实性承担责任。供应商不得虚假质疑和恶意质疑，如通过捏造事实</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伪造证明材料等方式提出质疑，阻碍采购活动正常进行的，属于严重不良行为，代理机构将提请财政部门将其列入不良行为记录名单，并依法予以处罚。</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25.3供应商应当在法定质疑期内一次性提出针对同一采购程序 </w:t>
      </w:r>
      <w:r/>
    </w:p>
    <w:p>
      <w:pPr>
        <w:pStyle w:val="834"/>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环节的质疑。供应商如在法定期限内对同一采购程序环节提出多次质 疑的，招标组织方将只对供应商第一次质疑作出答复。供应商如对采购需求提出质疑，除向招标组织方提交质疑文件外，还应当向采购人提交质疑文件，采购人负责处理和答复涉及采购需求的质疑内容。</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25.4质疑流程及注意事项见“镇江市公共资源交易服务平台—政府采购”网站下载中心。</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25.5采购人或采购代理机构在收到供应商的书面质疑后将及时组织调查核实，在七个工作日内作出答复，并以书面或在网站公告形式通知质疑供应商和其他有关供应商，答复的内容不涉及商业秘密。</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26</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投诉</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26.1质疑投标人对招标人或代理机构的答复不满意，以及招标人或代理机构未在规定的时间内作出答复的，可以在答复期满后十五个工作日内向采购项目同级财政部门投诉。</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26.2质疑供应商对采购人或代理机构的答复不满意，以及采购人或代理机构未在规定的时间内作出答复的，可以在答复期满后十五个工作日内向采购项目同级财政部门投诉，具体流程详见“扬中政府采购”--http://www.yzzfcg.cn/--首页“办事指南”--政府采购投诉处理流程说明。</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26.3投诉事项联系方式</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联系人：扬中市财政局政府采购管理科</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联系电话：0511-88328201</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联系地址：建设西路369号</w:t>
      </w:r>
      <w:bookmarkStart w:id="109" w:name="_Toc30709"/>
      <w:r/>
      <w:bookmarkStart w:id="110" w:name="_Toc9940"/>
      <w:r/>
      <w:bookmarkStart w:id="111" w:name="_Toc1540"/>
      <w:r/>
      <w:bookmarkStart w:id="112" w:name="_Toc14811"/>
      <w:r/>
      <w:bookmarkStart w:id="113" w:name="_Toc28986"/>
      <w:r/>
      <w:bookmarkStart w:id="114" w:name="_Toc1687"/>
      <w:r/>
      <w:bookmarkStart w:id="115" w:name="_Toc10124"/>
      <w:r/>
      <w:bookmarkStart w:id="116" w:name="_Toc7941"/>
      <w:r/>
      <w:r/>
    </w:p>
    <w:p>
      <w:pPr>
        <w:pStyle w:val="834"/>
        <w:spacing w:line="360" w:lineRule="auto"/>
        <w:rPr>
          <w:rFonts w:ascii="仿宋" w:hAnsi="仿宋" w:eastAsia="仿宋" w:cs="仿宋"/>
          <w:b/>
          <w:color w:val="auto"/>
          <w:sz w:val="36"/>
          <w:szCs w:val="36"/>
        </w:rPr>
        <w:outlineLvl w:val="1"/>
      </w:pPr>
      <w:r/>
      <w:bookmarkStart w:id="117" w:name="_Toc17184"/>
      <w:r/>
      <w:bookmarkStart w:id="118" w:name="_Toc3745"/>
      <w:r/>
      <w:bookmarkStart w:id="119" w:name="_Toc18937"/>
      <w:r/>
      <w:bookmarkStart w:id="120" w:name="_Toc4803"/>
      <w:r>
        <w:rPr>
          <w:rFonts w:hint="eastAsia" w:ascii="仿宋" w:hAnsi="仿宋" w:eastAsia="仿宋" w:cs="仿宋"/>
          <w:b/>
          <w:color w:val="auto"/>
          <w:sz w:val="36"/>
          <w:szCs w:val="36"/>
        </w:rPr>
        <w:t xml:space="preserve">八</w:t>
      </w:r>
      <w:r>
        <w:rPr>
          <w:rFonts w:hint="eastAsia" w:ascii="仿宋" w:hAnsi="仿宋" w:eastAsia="仿宋" w:cs="仿宋"/>
          <w:b/>
          <w:color w:val="auto"/>
          <w:sz w:val="36"/>
          <w:szCs w:val="36"/>
          <w:lang w:eastAsia="zh-CN"/>
        </w:rPr>
        <w:t xml:space="preserve">.</w:t>
      </w:r>
      <w:r>
        <w:rPr>
          <w:rFonts w:hint="eastAsia" w:ascii="仿宋" w:hAnsi="仿宋" w:eastAsia="仿宋" w:cs="仿宋"/>
          <w:b/>
          <w:color w:val="auto"/>
          <w:sz w:val="36"/>
          <w:szCs w:val="36"/>
        </w:rPr>
        <w:t xml:space="preserve">诚实信用和解释权</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27</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诚实信用</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27.1投标人之间不得相互串通投标报价，不得妨碍其他投标人的公平竞争，不得损害招标人和其他投标人的合法权益。</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27.2投标人不得以向代理机构工作人员</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评标委员会成员行贿或者采取其他不正当手段谋取中标。经查实投标人有此行为的，将在</w:t>
      </w:r>
      <w:r>
        <w:rPr>
          <w:rFonts w:hint="eastAsia" w:ascii="仿宋" w:hAnsi="仿宋" w:eastAsia="仿宋" w:cs="仿宋"/>
          <w:color w:val="auto"/>
          <w:sz w:val="28"/>
          <w:szCs w:val="28"/>
        </w:rPr>
        <w:t xml:space="preserve">“江苏政府采购网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扬中政府采购网”</w:t>
      </w:r>
      <w:r>
        <w:rPr>
          <w:rFonts w:hint="eastAsia" w:ascii="仿宋" w:hAnsi="仿宋" w:eastAsia="仿宋" w:cs="仿宋"/>
          <w:bCs/>
          <w:color w:val="auto"/>
          <w:sz w:val="28"/>
          <w:szCs w:val="28"/>
        </w:rPr>
        <w:t xml:space="preserve">公告，政府采购管理部门将投标人列入不良行为记录名单，按照《政府采购法》有关规定处理。</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27.3投标人不得虚假承诺，否则，按照提供虚假材料谋取中标成交处理。</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27.4投标人应自觉遵守开标</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评标纪律，扰乱开标评标现场秩序的，属于失信行为，根据《江苏省政府采购投标人监督管理暂行办法》，失信行为将被记入投标人诚信档案。</w:t>
      </w:r>
      <w:r/>
    </w:p>
    <w:p>
      <w:pPr>
        <w:pStyle w:val="834"/>
        <w:ind w:firstLine="560"/>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27.5根据《财政部关于在政府采购活动中查询及使用信息记录有关问题的通知》（财库〔2016〕125号）</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江苏省财政厅《关于做好政府采购信用信息查询使用及登记等工作的通知》（苏财购〔2016〕50号）等文件精神，评标委员会在项目评审时对参加本项目的各投标人进行信用记录查询，信用记录查询渠道为“信用中国”网站（</w:t>
      </w:r>
      <w:r>
        <w:rPr>
          <w:rFonts w:hint="eastAsia" w:ascii="仿宋" w:hAnsi="仿宋" w:eastAsia="仿宋" w:cs="仿宋"/>
          <w:bCs/>
          <w:color w:val="auto"/>
          <w:sz w:val="28"/>
          <w:szCs w:val="28"/>
        </w:rPr>
        <mc:AlternateContent>
          <mc:Choice Requires="wpg">
            <w:drawing>
              <wp:inline xmlns:wp="http://schemas.openxmlformats.org/drawingml/2006/wordprocessingDrawing" distT="0" distB="0" distL="0" distR="0">
                <wp:extent cx="190500" cy="142240"/>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191004" cy="142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pt;height:11.2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bCs/>
          <w:color w:val="auto"/>
          <w:sz w:val="28"/>
          <w:szCs w:val="28"/>
        </w:rPr>
        <w:t xml:space="preserve">www.creditchina.gov.cn），信用记录查询截止时间为资格审查结束时，信用信息查询记录及证据留存的具体方式为打印或网页截图。对存在失信信息的投标人（列入失信被执行人</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重大税收违法案件当事人名单</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政府采购严重违法失信行为记录名单及其他不符合《中华人民共和国政府采购法》第二十二条规定条件的投标人）应当拒绝其参与政府采购活动。 </w:t>
      </w:r>
      <w:r/>
    </w:p>
    <w:p>
      <w:pPr>
        <w:pStyle w:val="834"/>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28</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解释权</w:t>
      </w:r>
      <w:r/>
    </w:p>
    <w:p>
      <w:pPr>
        <w:pStyle w:val="834"/>
        <w:ind w:firstLine="560"/>
        <w:spacing w:line="360" w:lineRule="auto"/>
        <w:rPr>
          <w:rFonts w:ascii="仿宋" w:hAnsi="仿宋" w:eastAsia="仿宋" w:cs="仿宋"/>
          <w:b/>
          <w:color w:val="auto"/>
          <w:sz w:val="44"/>
          <w:szCs w:val="44"/>
        </w:rPr>
      </w:pPr>
      <w:r>
        <w:rPr>
          <w:rFonts w:hint="eastAsia" w:ascii="仿宋" w:hAnsi="仿宋" w:eastAsia="仿宋" w:cs="仿宋"/>
          <w:bCs/>
          <w:color w:val="auto"/>
          <w:sz w:val="28"/>
          <w:szCs w:val="28"/>
        </w:rPr>
        <w:t xml:space="preserve">28.1除相关法律</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法规规定外，本招标文件的解释权归江苏金居工程项目管理有限公司所有。</w:t>
      </w:r>
      <w:bookmarkStart w:id="121" w:name="_Toc5454"/>
      <w:r/>
      <w:bookmarkStart w:id="122" w:name="_Toc12048"/>
      <w:r/>
      <w:bookmarkStart w:id="123" w:name="_Toc11183"/>
      <w:r/>
      <w:bookmarkStart w:id="124" w:name="_Toc3671"/>
      <w:r/>
      <w:bookmarkStart w:id="125" w:name="_Toc1795"/>
      <w:r/>
      <w:bookmarkStart w:id="126" w:name="_Toc32731"/>
      <w:r/>
      <w:bookmarkStart w:id="127" w:name="_Toc19696"/>
      <w:r/>
      <w:bookmarkStart w:id="128" w:name="_Toc3053"/>
      <w:r/>
      <w:bookmarkStart w:id="129" w:name="_Toc15864"/>
      <w:r/>
      <w:bookmarkStart w:id="130" w:name="_Toc1"/>
      <w:r/>
      <w:bookmarkStart w:id="131" w:name="_Toc14617"/>
      <w:r/>
      <w:bookmarkStart w:id="132" w:name="_Toc30668"/>
      <w:r/>
      <w:bookmarkStart w:id="133" w:name="_Toc1245"/>
      <w:r/>
      <w:r/>
    </w:p>
    <w:p>
      <w:pPr>
        <w:pStyle w:val="834"/>
        <w:jc w:val="center"/>
        <w:spacing w:line="840" w:lineRule="exact"/>
        <w:rPr>
          <w:rFonts w:hint="eastAsia" w:ascii="仿宋" w:hAnsi="仿宋" w:eastAsia="仿宋" w:cs="仿宋"/>
          <w:b/>
          <w:color w:val="auto"/>
          <w:sz w:val="44"/>
          <w:szCs w:val="44"/>
        </w:rPr>
        <w:outlineLvl w:val="0"/>
      </w:pPr>
      <w:r>
        <w:rPr>
          <w:rFonts w:hint="eastAsia" w:ascii="仿宋" w:hAnsi="仿宋" w:eastAsia="仿宋" w:cs="仿宋"/>
          <w:b/>
          <w:color w:val="auto"/>
          <w:sz w:val="44"/>
          <w:szCs w:val="44"/>
        </w:rPr>
      </w:r>
      <w:r/>
    </w:p>
    <w:p>
      <w:pPr>
        <w:pStyle w:val="834"/>
        <w:jc w:val="center"/>
        <w:spacing w:line="840" w:lineRule="exact"/>
        <w:rPr>
          <w:rFonts w:hint="eastAsia" w:ascii="仿宋" w:hAnsi="仿宋" w:eastAsia="仿宋" w:cs="仿宋"/>
          <w:b/>
          <w:color w:val="auto"/>
          <w:sz w:val="44"/>
          <w:szCs w:val="44"/>
        </w:rPr>
        <w:outlineLvl w:val="0"/>
      </w:pPr>
      <w:r>
        <w:rPr>
          <w:rFonts w:hint="eastAsia" w:ascii="仿宋" w:hAnsi="仿宋" w:eastAsia="仿宋" w:cs="仿宋"/>
          <w:b/>
          <w:color w:val="auto"/>
          <w:sz w:val="44"/>
          <w:szCs w:val="44"/>
        </w:rPr>
      </w:r>
      <w:r/>
    </w:p>
    <w:p>
      <w:pPr>
        <w:pStyle w:val="834"/>
        <w:jc w:val="center"/>
        <w:spacing w:line="840" w:lineRule="exact"/>
        <w:rPr>
          <w:rFonts w:ascii="仿宋" w:hAnsi="仿宋" w:eastAsia="仿宋" w:cs="仿宋"/>
          <w:color w:val="auto"/>
          <w:sz w:val="44"/>
          <w:szCs w:val="44"/>
        </w:rPr>
        <w:outlineLvl w:val="0"/>
      </w:pPr>
      <w:r>
        <w:rPr>
          <w:rFonts w:hint="eastAsia" w:ascii="仿宋" w:hAnsi="仿宋" w:eastAsia="仿宋" w:cs="仿宋"/>
          <w:b/>
          <w:color w:val="auto"/>
          <w:sz w:val="44"/>
          <w:szCs w:val="44"/>
        </w:rPr>
        <w:t xml:space="preserve">第三部分  合同条款及格式</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pStyle w:val="834"/>
        <w:rPr>
          <w:rFonts w:ascii="仿宋" w:hAnsi="仿宋" w:eastAsia="仿宋" w:cs="仿宋"/>
          <w:b/>
          <w:bCs/>
          <w:color w:val="auto"/>
          <w:position w:val="120"/>
          <w:sz w:val="32"/>
          <w:szCs w:val="32"/>
        </w:rPr>
      </w:pPr>
      <w:r>
        <w:rPr>
          <w:rFonts w:hint="eastAsia" w:ascii="仿宋" w:hAnsi="仿宋" w:eastAsia="仿宋" w:cs="仿宋"/>
          <w:b/>
          <w:bCs/>
          <w:color w:val="auto"/>
          <w:position w:val="12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3642360</wp:posOffset>
                </wp:positionH>
                <wp:positionV relativeFrom="paragraph">
                  <wp:posOffset>-13335</wp:posOffset>
                </wp:positionV>
                <wp:extent cx="1581785" cy="647700"/>
                <wp:effectExtent l="4445" t="4445" r="13970" b="14604"/>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581785" cy="647700"/>
                        </a:xfrm>
                        <a:prstGeom prst="rect">
                          <a:avLst/>
                        </a:prstGeom>
                        <a:solidFill>
                          <a:srgbClr val="FFFFFF"/>
                        </a:solidFill>
                        <a:ln>
                          <a:solidFill>
                            <a:srgbClr val="000000"/>
                          </a:solidFill>
                        </a:ln>
                        <a:effectLst/>
                      </wps:spPr>
                      <wps:txbx>
                        <w:txbxContent>
                          <w:p>
                            <w:pPr>
                              <w:pStyle w:val="834"/>
                              <w:jc w:val="center"/>
                              <w:spacing w:line="720" w:lineRule="exact"/>
                              <w:widowControl/>
                              <w:rPr>
                                <w:rFonts w:ascii="仿宋_GB2312" w:hAnsi="Cambria" w:eastAsia="仿宋_GB2312"/>
                                <w:sz w:val="32"/>
                                <w:szCs w:val="32"/>
                              </w:rPr>
                            </w:pPr>
                            <w:r>
                              <w:rPr>
                                <w:rFonts w:ascii="仿宋_GB2312" w:hAnsi="Cambria" w:eastAsia="仿宋_GB2312"/>
                                <w:sz w:val="32"/>
                                <w:szCs w:val="32"/>
                              </w:rPr>
                              <w:t xml:space="preserve">合同备案章</w:t>
                            </w:r>
                            <w:r/>
                          </w:p>
                          <w:p>
                            <w:pPr>
                              <w:pStyle w:val="834"/>
                              <w:jc w:val="center"/>
                              <w:rPr>
                                <w:rFonts w:ascii="仿宋_GB2312" w:hAnsi="Cambria" w:eastAsia="仿宋_GB2312"/>
                                <w:sz w:val="24"/>
                              </w:rPr>
                            </w:pPr>
                            <w:r>
                              <w:rPr>
                                <w:rFonts w:ascii="仿宋_GB2312" w:hAnsi="Cambria" w:eastAsia="仿宋_GB2312"/>
                                <w:sz w:val="24"/>
                              </w:rPr>
                            </w:r>
                            <w:r/>
                          </w:p>
                          <w:p>
                            <w:pPr>
                              <w:pStyle w:val="834"/>
                              <w:jc w:val="center"/>
                              <w:rPr>
                                <w:rFonts w:ascii="仿宋_GB2312" w:hAnsi="Cambria" w:eastAsia="仿宋_GB2312"/>
                                <w:sz w:val="24"/>
                              </w:rPr>
                            </w:pPr>
                            <w:r>
                              <w:rPr>
                                <w:rFonts w:ascii="仿宋_GB2312" w:hAnsi="Cambria" w:eastAsia="仿宋_GB2312"/>
                                <w:sz w:val="24"/>
                              </w:rPr>
                              <w:t xml:space="preserve">合同备案章</w:t>
                            </w:r>
                            <w:r/>
                          </w:p>
                          <w:p>
                            <w:pPr>
                              <w:pStyle w:val="834"/>
                              <w:jc w:val="center"/>
                              <w:rPr>
                                <w:rFonts w:ascii="仿宋_GB2312" w:hAnsi="Cambria" w:eastAsia="仿宋_GB2312"/>
                                <w:sz w:val="24"/>
                              </w:rPr>
                            </w:pPr>
                            <w:r>
                              <w:rPr>
                                <w:rFonts w:ascii="仿宋_GB2312" w:hAnsi="Cambria" w:eastAsia="仿宋_GB2312"/>
                                <w:sz w:val="24"/>
                              </w:rPr>
                            </w:r>
                            <w:r/>
                          </w:p>
                          <w:p>
                            <w:pPr>
                              <w:pStyle w:val="834"/>
                            </w:pPr>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86.8pt;mso-position-horizontal:absolute;mso-position-vertical-relative:text;margin-top:-1.1pt;mso-position-vertical:absolute;width:124.5pt;height:51.0pt;mso-wrap-distance-left:9.0pt;mso-wrap-distance-top:0.0pt;mso-wrap-distance-right:9.0pt;mso-wrap-distance-bottom:0.0pt;visibility:visible;" fillcolor="#FFFFFF" strokecolor="#000000">
                <v:textbox inset="0,0,0,0">
                  <w:txbxContent>
                    <w:p>
                      <w:pPr>
                        <w:pStyle w:val="834"/>
                        <w:jc w:val="center"/>
                        <w:spacing w:line="720" w:lineRule="exact"/>
                        <w:widowControl/>
                        <w:rPr>
                          <w:rFonts w:ascii="仿宋_GB2312" w:hAnsi="Cambria" w:eastAsia="仿宋_GB2312"/>
                          <w:sz w:val="32"/>
                          <w:szCs w:val="32"/>
                        </w:rPr>
                      </w:pPr>
                      <w:r>
                        <w:rPr>
                          <w:rFonts w:ascii="仿宋_GB2312" w:hAnsi="Cambria" w:eastAsia="仿宋_GB2312"/>
                          <w:sz w:val="32"/>
                          <w:szCs w:val="32"/>
                        </w:rPr>
                        <w:t xml:space="preserve">合同备案章</w:t>
                      </w:r>
                      <w:r/>
                    </w:p>
                    <w:p>
                      <w:pPr>
                        <w:pStyle w:val="834"/>
                        <w:jc w:val="center"/>
                        <w:rPr>
                          <w:rFonts w:ascii="仿宋_GB2312" w:hAnsi="Cambria" w:eastAsia="仿宋_GB2312"/>
                          <w:sz w:val="24"/>
                        </w:rPr>
                      </w:pPr>
                      <w:r>
                        <w:rPr>
                          <w:rFonts w:ascii="仿宋_GB2312" w:hAnsi="Cambria" w:eastAsia="仿宋_GB2312"/>
                          <w:sz w:val="24"/>
                        </w:rPr>
                      </w:r>
                      <w:r/>
                    </w:p>
                    <w:p>
                      <w:pPr>
                        <w:pStyle w:val="834"/>
                        <w:jc w:val="center"/>
                        <w:rPr>
                          <w:rFonts w:ascii="仿宋_GB2312" w:hAnsi="Cambria" w:eastAsia="仿宋_GB2312"/>
                          <w:sz w:val="24"/>
                        </w:rPr>
                      </w:pPr>
                      <w:r>
                        <w:rPr>
                          <w:rFonts w:ascii="仿宋_GB2312" w:hAnsi="Cambria" w:eastAsia="仿宋_GB2312"/>
                          <w:sz w:val="24"/>
                        </w:rPr>
                        <w:t xml:space="preserve">合同备案章</w:t>
                      </w:r>
                      <w:r/>
                    </w:p>
                    <w:p>
                      <w:pPr>
                        <w:pStyle w:val="834"/>
                        <w:jc w:val="center"/>
                        <w:rPr>
                          <w:rFonts w:ascii="仿宋_GB2312" w:hAnsi="Cambria" w:eastAsia="仿宋_GB2312"/>
                          <w:sz w:val="24"/>
                        </w:rPr>
                      </w:pPr>
                      <w:r>
                        <w:rPr>
                          <w:rFonts w:ascii="仿宋_GB2312" w:hAnsi="Cambria" w:eastAsia="仿宋_GB2312"/>
                          <w:sz w:val="24"/>
                        </w:rPr>
                      </w:r>
                      <w:r/>
                    </w:p>
                    <w:p>
                      <w:pPr>
                        <w:pStyle w:val="834"/>
                      </w:pPr>
                      <w:r/>
                      <w:r/>
                    </w:p>
                  </w:txbxContent>
                </v:textbox>
              </v:shape>
            </w:pict>
          </mc:Fallback>
        </mc:AlternateContent>
      </w:r>
      <w:r>
        <w:rPr>
          <w:rFonts w:hint="eastAsia" w:ascii="仿宋" w:hAnsi="仿宋" w:eastAsia="仿宋" w:cs="仿宋"/>
          <w:b/>
          <w:bCs/>
          <w:color w:val="auto"/>
          <w:position w:val="120"/>
          <w:sz w:val="32"/>
          <w:szCs w:val="32"/>
        </w:rPr>
        <w:t xml:space="preserve">合同编号：YZCJJ2023-047</w:t>
      </w:r>
      <w:r/>
    </w:p>
    <w:p>
      <w:pPr>
        <w:pStyle w:val="833"/>
        <w:rPr>
          <w:rFonts w:ascii="仿宋" w:hAnsi="仿宋" w:eastAsia="仿宋" w:cs="仿宋"/>
          <w:color w:val="auto"/>
        </w:rPr>
      </w:pPr>
      <w:r>
        <w:rPr>
          <w:rFonts w:ascii="仿宋" w:hAnsi="仿宋" w:eastAsia="仿宋" w:cs="仿宋"/>
          <w:color w:val="auto"/>
        </w:rPr>
      </w:r>
      <w:r/>
    </w:p>
    <w:p>
      <w:pPr>
        <w:pStyle w:val="834"/>
        <w:jc w:val="center"/>
        <w:rPr>
          <w:rFonts w:ascii="仿宋" w:hAnsi="仿宋" w:eastAsia="仿宋" w:cs="仿宋"/>
          <w:b/>
          <w:bCs/>
          <w:color w:val="auto"/>
          <w:sz w:val="84"/>
          <w:szCs w:val="84"/>
        </w:rPr>
      </w:pPr>
      <w:r>
        <w:rPr>
          <w:rFonts w:hint="eastAsia" w:ascii="仿宋" w:hAnsi="仿宋" w:eastAsia="仿宋" w:cs="仿宋"/>
          <w:b/>
          <w:bCs/>
          <w:color w:val="auto"/>
          <w:sz w:val="84"/>
          <w:szCs w:val="84"/>
        </w:rPr>
        <w:t xml:space="preserve">扬中市政府采购合同</w:t>
      </w:r>
      <w:r/>
    </w:p>
    <w:p>
      <w:pPr>
        <w:pStyle w:val="834"/>
        <w:jc w:val="left"/>
        <w:spacing w:line="480" w:lineRule="exact"/>
        <w:rPr>
          <w:rFonts w:ascii="仿宋" w:hAnsi="仿宋" w:eastAsia="仿宋" w:cs="仿宋"/>
          <w:color w:val="auto"/>
          <w:sz w:val="32"/>
          <w:szCs w:val="32"/>
        </w:rPr>
      </w:pPr>
      <w:r>
        <w:rPr>
          <w:rFonts w:ascii="仿宋" w:hAnsi="仿宋" w:eastAsia="仿宋" w:cs="仿宋"/>
          <w:color w:val="auto"/>
          <w:sz w:val="32"/>
          <w:szCs w:val="32"/>
        </w:rPr>
      </w:r>
      <w:r/>
    </w:p>
    <w:p>
      <w:pPr>
        <w:pStyle w:val="834"/>
        <w:ind w:firstLine="710"/>
        <w:jc w:val="left"/>
        <w:spacing w:line="480" w:lineRule="exact"/>
        <w:rPr>
          <w:rFonts w:ascii="仿宋" w:hAnsi="仿宋" w:eastAsia="仿宋" w:cs="仿宋"/>
          <w:b/>
          <w:bCs/>
          <w:color w:val="auto"/>
          <w:sz w:val="32"/>
          <w:szCs w:val="32"/>
          <w:u w:val="single"/>
        </w:rPr>
      </w:pPr>
      <w:r>
        <w:rPr>
          <w:rFonts w:hint="eastAsia" w:ascii="仿宋" w:hAnsi="仿宋" w:eastAsia="仿宋" w:cs="仿宋"/>
          <w:b/>
          <w:bCs/>
          <w:color w:val="auto"/>
          <w:sz w:val="32"/>
          <w:szCs w:val="32"/>
        </w:rPr>
        <w:t xml:space="preserve">项目名称：</w:t>
      </w:r>
      <w:r>
        <w:rPr>
          <w:rFonts w:hint="eastAsia" w:ascii="仿宋" w:hAnsi="仿宋" w:eastAsia="仿宋" w:cs="仿宋"/>
          <w:b/>
          <w:bCs/>
          <w:color w:val="auto"/>
          <w:sz w:val="32"/>
          <w:szCs w:val="32"/>
          <w:u w:val="single"/>
        </w:rPr>
        <w:t xml:space="preserve">                                   </w:t>
      </w:r>
      <w:r/>
    </w:p>
    <w:p>
      <w:pPr>
        <w:pStyle w:val="833"/>
        <w:spacing w:line="480" w:lineRule="exact"/>
        <w:rPr>
          <w:rFonts w:ascii="仿宋" w:hAnsi="仿宋" w:eastAsia="仿宋" w:cs="仿宋"/>
          <w:b/>
          <w:bCs/>
          <w:color w:val="auto"/>
          <w:sz w:val="32"/>
          <w:szCs w:val="32"/>
          <w:u w:val="single"/>
        </w:rPr>
      </w:pPr>
      <w:r>
        <w:rPr>
          <w:rFonts w:ascii="仿宋" w:hAnsi="仿宋" w:eastAsia="仿宋" w:cs="仿宋"/>
          <w:b/>
          <w:bCs/>
          <w:color w:val="auto"/>
          <w:sz w:val="32"/>
          <w:szCs w:val="32"/>
          <w:u w:val="single"/>
        </w:rPr>
      </w:r>
      <w:r/>
    </w:p>
    <w:p>
      <w:pPr>
        <w:pStyle w:val="834"/>
        <w:jc w:val="left"/>
        <w:spacing w:line="4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pStyle w:val="839"/>
        <w:rPr>
          <w:rFonts w:ascii="仿宋" w:hAnsi="仿宋" w:eastAsia="仿宋" w:cs="仿宋"/>
          <w:color w:val="auto"/>
          <w:sz w:val="32"/>
          <w:szCs w:val="32"/>
        </w:rPr>
      </w:pPr>
      <w:r>
        <w:rPr>
          <w:rFonts w:ascii="仿宋" w:hAnsi="仿宋" w:eastAsia="仿宋" w:cs="仿宋"/>
          <w:color w:val="auto"/>
          <w:sz w:val="32"/>
          <w:szCs w:val="32"/>
        </w:rPr>
      </w:r>
      <w:r/>
    </w:p>
    <w:p>
      <w:pPr>
        <w:pStyle w:val="834"/>
        <w:ind w:firstLine="710"/>
        <w:jc w:val="left"/>
        <w:spacing w:line="480" w:lineRule="exact"/>
        <w:rPr>
          <w:rFonts w:ascii="仿宋" w:hAnsi="仿宋" w:eastAsia="仿宋" w:cs="仿宋"/>
          <w:b/>
          <w:bCs/>
          <w:color w:val="auto"/>
          <w:sz w:val="32"/>
          <w:szCs w:val="32"/>
          <w:u w:val="single"/>
        </w:rPr>
      </w:pPr>
      <w:r>
        <w:rPr>
          <w:rFonts w:hint="eastAsia" w:ascii="仿宋" w:hAnsi="仿宋" w:eastAsia="仿宋" w:cs="仿宋"/>
          <w:b/>
          <w:bCs/>
          <w:color w:val="auto"/>
          <w:sz w:val="32"/>
          <w:szCs w:val="32"/>
        </w:rPr>
        <w:t xml:space="preserve">项目编号：</w:t>
      </w:r>
      <w:r>
        <w:rPr>
          <w:rFonts w:hint="eastAsia" w:ascii="仿宋" w:hAnsi="仿宋" w:eastAsia="仿宋" w:cs="仿宋"/>
          <w:b/>
          <w:bCs/>
          <w:color w:val="auto"/>
          <w:sz w:val="32"/>
          <w:szCs w:val="32"/>
          <w:u w:val="single"/>
        </w:rPr>
        <w:t xml:space="preserve">                                   </w:t>
      </w:r>
      <w:r/>
    </w:p>
    <w:p>
      <w:pPr>
        <w:pStyle w:val="834"/>
        <w:ind w:firstLine="710"/>
        <w:jc w:val="left"/>
        <w:spacing w:line="480" w:lineRule="exact"/>
        <w:rPr>
          <w:rFonts w:ascii="仿宋" w:hAnsi="仿宋" w:eastAsia="仿宋" w:cs="仿宋"/>
          <w:b/>
          <w:bCs/>
          <w:color w:val="auto"/>
          <w:sz w:val="32"/>
          <w:szCs w:val="32"/>
          <w:u w:val="single"/>
        </w:rPr>
      </w:pPr>
      <w:r>
        <w:rPr>
          <w:rFonts w:ascii="仿宋" w:hAnsi="仿宋" w:eastAsia="仿宋" w:cs="仿宋"/>
          <w:b/>
          <w:bCs/>
          <w:color w:val="auto"/>
          <w:sz w:val="32"/>
          <w:szCs w:val="32"/>
          <w:u w:val="single"/>
        </w:rPr>
      </w:r>
      <w:r/>
    </w:p>
    <w:p>
      <w:pPr>
        <w:pStyle w:val="839"/>
        <w:rPr>
          <w:rFonts w:ascii="仿宋" w:hAnsi="仿宋" w:eastAsia="仿宋" w:cs="仿宋"/>
          <w:color w:val="auto"/>
          <w:sz w:val="32"/>
          <w:szCs w:val="32"/>
        </w:rPr>
      </w:pPr>
      <w:r>
        <w:rPr>
          <w:rFonts w:ascii="仿宋" w:hAnsi="仿宋" w:eastAsia="仿宋" w:cs="仿宋"/>
          <w:color w:val="auto"/>
          <w:sz w:val="32"/>
          <w:szCs w:val="32"/>
        </w:rPr>
      </w:r>
      <w:r/>
    </w:p>
    <w:p>
      <w:pPr>
        <w:pStyle w:val="834"/>
        <w:ind w:firstLine="710"/>
        <w:jc w:val="left"/>
        <w:spacing w:line="4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pStyle w:val="834"/>
        <w:ind w:firstLine="710"/>
        <w:jc w:val="left"/>
        <w:spacing w:line="480" w:lineRule="exact"/>
        <w:rPr>
          <w:rFonts w:ascii="仿宋" w:hAnsi="仿宋" w:eastAsia="仿宋" w:cs="仿宋"/>
          <w:b/>
          <w:bCs/>
          <w:color w:val="auto"/>
          <w:sz w:val="32"/>
          <w:szCs w:val="32"/>
          <w:u w:val="single"/>
        </w:rPr>
      </w:pPr>
      <w:r>
        <w:rPr>
          <w:rFonts w:hint="eastAsia" w:ascii="仿宋" w:hAnsi="仿宋" w:eastAsia="仿宋" w:cs="仿宋"/>
          <w:b/>
          <w:bCs/>
          <w:color w:val="auto"/>
          <w:sz w:val="32"/>
          <w:szCs w:val="32"/>
        </w:rPr>
        <w:t xml:space="preserve">采购单位：</w:t>
      </w:r>
      <w:r>
        <w:rPr>
          <w:rFonts w:hint="eastAsia" w:ascii="仿宋" w:hAnsi="仿宋" w:eastAsia="仿宋" w:cs="仿宋"/>
          <w:b/>
          <w:bCs/>
          <w:color w:val="auto"/>
          <w:sz w:val="32"/>
          <w:szCs w:val="32"/>
          <w:u w:val="single"/>
        </w:rPr>
        <w:t xml:space="preserve">                                   </w:t>
      </w:r>
      <w:r/>
    </w:p>
    <w:p>
      <w:pPr>
        <w:pStyle w:val="834"/>
        <w:ind w:firstLine="710"/>
        <w:jc w:val="left"/>
        <w:spacing w:line="480" w:lineRule="exact"/>
        <w:rPr>
          <w:rFonts w:ascii="仿宋" w:hAnsi="仿宋" w:eastAsia="仿宋" w:cs="仿宋"/>
          <w:b/>
          <w:bCs/>
          <w:color w:val="auto"/>
          <w:sz w:val="32"/>
          <w:szCs w:val="32"/>
          <w:u w:val="single"/>
        </w:rPr>
      </w:pPr>
      <w:r>
        <w:rPr>
          <w:rFonts w:ascii="仿宋" w:hAnsi="仿宋" w:eastAsia="仿宋" w:cs="仿宋"/>
          <w:b/>
          <w:bCs/>
          <w:color w:val="auto"/>
          <w:sz w:val="32"/>
          <w:szCs w:val="32"/>
          <w:u w:val="single"/>
        </w:rPr>
      </w:r>
      <w:r/>
    </w:p>
    <w:p>
      <w:pPr>
        <w:pStyle w:val="834"/>
        <w:ind w:firstLine="710"/>
        <w:jc w:val="left"/>
        <w:spacing w:line="4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pStyle w:val="839"/>
        <w:rPr>
          <w:rFonts w:ascii="仿宋" w:hAnsi="仿宋" w:eastAsia="仿宋" w:cs="仿宋"/>
          <w:color w:val="auto"/>
          <w:sz w:val="32"/>
          <w:szCs w:val="32"/>
        </w:rPr>
      </w:pPr>
      <w:r>
        <w:rPr>
          <w:rFonts w:ascii="仿宋" w:hAnsi="仿宋" w:eastAsia="仿宋" w:cs="仿宋"/>
          <w:color w:val="auto"/>
          <w:sz w:val="32"/>
          <w:szCs w:val="32"/>
        </w:rPr>
      </w:r>
      <w:r/>
    </w:p>
    <w:p>
      <w:pPr>
        <w:pStyle w:val="834"/>
        <w:ind w:firstLine="710"/>
        <w:jc w:val="left"/>
        <w:spacing w:line="48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中标单位：</w:t>
      </w:r>
      <w:r>
        <w:rPr>
          <w:rFonts w:hint="eastAsia" w:ascii="仿宋" w:hAnsi="仿宋" w:eastAsia="仿宋" w:cs="仿宋"/>
          <w:b/>
          <w:bCs/>
          <w:color w:val="auto"/>
          <w:sz w:val="32"/>
          <w:szCs w:val="32"/>
          <w:u w:val="single"/>
        </w:rPr>
        <w:t xml:space="preserve">                                   </w:t>
      </w:r>
      <w:r/>
    </w:p>
    <w:p>
      <w:pPr>
        <w:pStyle w:val="833"/>
        <w:spacing w:line="4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pStyle w:val="834"/>
        <w:jc w:val="center"/>
        <w:spacing w:line="4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pStyle w:val="834"/>
        <w:spacing w:line="4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pStyle w:val="834"/>
        <w:jc w:val="center"/>
        <w:spacing w:line="48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江苏金居工程项目管理有限公司</w:t>
      </w:r>
      <w:r/>
    </w:p>
    <w:p>
      <w:pPr>
        <w:pStyle w:val="834"/>
        <w:jc w:val="center"/>
        <w:spacing w:line="480" w:lineRule="exact"/>
        <w:rPr>
          <w:rFonts w:ascii="仿宋" w:hAnsi="仿宋" w:eastAsia="仿宋" w:cs="仿宋"/>
          <w:b/>
          <w:color w:val="auto"/>
          <w:sz w:val="32"/>
          <w:szCs w:val="32"/>
        </w:rPr>
      </w:pPr>
      <w:r>
        <w:rPr>
          <w:rFonts w:hint="eastAsia" w:ascii="仿宋" w:hAnsi="仿宋" w:eastAsia="仿宋" w:cs="仿宋"/>
          <w:b/>
          <w:bCs/>
          <w:color w:val="auto"/>
          <w:sz w:val="32"/>
          <w:szCs w:val="32"/>
        </w:rPr>
        <w:t xml:space="preserve">二○二三年    月    日</w:t>
      </w:r>
      <w:r/>
    </w:p>
    <w:p>
      <w:pPr>
        <w:pStyle w:val="834"/>
        <w:jc w:val="center"/>
        <w:spacing w:line="480" w:lineRule="exact"/>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 xml:space="preserve">扬中市公办中小学、幼儿园食堂猪肉采购服务供应商项目</w:t>
      </w:r>
      <w:r/>
    </w:p>
    <w:p>
      <w:pPr>
        <w:pStyle w:val="834"/>
        <w:jc w:val="center"/>
        <w:spacing w:line="480" w:lineRule="exact"/>
        <w:rPr>
          <w:rFonts w:ascii="仿宋" w:hAnsi="仿宋" w:eastAsia="仿宋" w:cs="仿宋"/>
          <w:b/>
          <w:bCs/>
          <w:color w:val="auto"/>
          <w:sz w:val="32"/>
          <w:szCs w:val="32"/>
        </w:rPr>
      </w:pPr>
      <w:r>
        <w:rPr>
          <w:rFonts w:hint="eastAsia" w:ascii="仿宋" w:hAnsi="仿宋" w:eastAsia="仿宋" w:cs="仿宋"/>
          <w:b/>
          <w:bCs/>
          <w:color w:val="auto"/>
          <w:sz w:val="32"/>
          <w:szCs w:val="32"/>
        </w:rPr>
        <w:t xml:space="preserve">合同</w:t>
      </w:r>
      <w:r/>
    </w:p>
    <w:p>
      <w:pPr>
        <w:pStyle w:val="834"/>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扬政采[2023]JJ第047号</w:t>
      </w:r>
      <w:r/>
    </w:p>
    <w:p>
      <w:pPr>
        <w:pStyle w:val="834"/>
        <w:ind w:firstLine="3640"/>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（简称甲方）</w:t>
      </w:r>
      <w:r/>
    </w:p>
    <w:p>
      <w:pPr>
        <w:pStyle w:val="834"/>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订立合同双方：   </w:t>
      </w:r>
      <w:r/>
    </w:p>
    <w:p>
      <w:pPr>
        <w:pStyle w:val="834"/>
        <w:ind w:left="6581" w:hanging="602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（简称乙方）</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根据《中华人民共和国民法典》</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《中华人民共和国政府采购法》规定，甲方</w:t>
      </w:r>
      <w:r>
        <w:rPr>
          <w:rFonts w:hint="eastAsia" w:ascii="仿宋" w:hAnsi="仿宋" w:eastAsia="仿宋" w:cs="仿宋"/>
          <w:color w:val="auto"/>
          <w:sz w:val="28"/>
          <w:szCs w:val="28"/>
          <w:u w:val="single"/>
          <w:lang w:eastAsia="zh-CN"/>
        </w:rPr>
        <w:t xml:space="preserve">扬中市公办中小学、幼儿园食堂猪肉采购服务供应商项目</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JSZC-321182-JJGS-G2023-0044</w:t>
      </w:r>
      <w:r>
        <w:rPr>
          <w:rFonts w:hint="eastAsia" w:ascii="仿宋" w:hAnsi="仿宋" w:eastAsia="仿宋" w:cs="仿宋"/>
          <w:color w:val="auto"/>
          <w:sz w:val="28"/>
          <w:szCs w:val="28"/>
        </w:rPr>
        <w:t xml:space="preserve">】实行公开招标方式采购。本着公开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公正和择优的原则，经专家评委严格评审并推荐</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招标领导小组研究决定乙方为中标人。现签订正式合同，有关条款如下：</w:t>
      </w:r>
      <w:r/>
    </w:p>
    <w:p>
      <w:pPr>
        <w:numPr>
          <w:ilvl w:val="0"/>
          <w:numId w:val="8"/>
        </w:numPr>
        <w:jc w:val="both"/>
        <w:spacing w:line="360" w:lineRule="auto"/>
        <w:rPr>
          <w:rFonts w:ascii="仿宋" w:hAnsi="仿宋" w:eastAsia="仿宋" w:cs="仿宋"/>
          <w:color w:val="auto"/>
          <w:sz w:val="28"/>
          <w:szCs w:val="28"/>
        </w:rPr>
      </w:pPr>
      <w:r/>
      <w:bookmarkStart w:id="134" w:name="_Toc8409"/>
      <w:r>
        <w:rPr>
          <w:rFonts w:hint="eastAsia" w:ascii="仿宋" w:hAnsi="仿宋" w:eastAsia="仿宋" w:cs="仿宋"/>
          <w:color w:val="auto"/>
          <w:sz w:val="28"/>
          <w:szCs w:val="28"/>
        </w:rPr>
        <w:t xml:space="preserve">项目内容</w:t>
      </w:r>
      <w:bookmarkEnd w:id="134"/>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1.1项目品种</w:t>
      </w:r>
      <w:r/>
    </w:p>
    <w:tbl>
      <w:tblPr>
        <w:tblStyle w:val="801"/>
        <w:tblW w:w="890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6"/>
        <w:gridCol w:w="1107"/>
        <w:gridCol w:w="937"/>
        <w:gridCol w:w="937"/>
        <w:gridCol w:w="880"/>
        <w:gridCol w:w="1230"/>
        <w:gridCol w:w="2926"/>
      </w:tblGrid>
      <w:tr>
        <w:trPr>
          <w:trHeight w:val="680"/>
        </w:trPr>
        <w:tc>
          <w:tcPr>
            <w:shd w:val="clear" w:color="auto" w:fill="ffffff"/>
            <w:tcMar>
              <w:left w:w="113" w:type="dxa"/>
              <w:right w:w="113" w:type="dxa"/>
            </w:tcMar>
            <w:tcW w:w="886" w:type="dxa"/>
            <w:vAlign w:val="center"/>
            <w:textDirection w:val="lrTb"/>
            <w:noWrap w:val="false"/>
          </w:tcPr>
          <w:p>
            <w:pPr>
              <w:jc w:val="center"/>
              <w:spacing w:line="420" w:lineRule="exact"/>
              <w:rPr>
                <w:rFonts w:ascii="仿宋" w:hAnsi="仿宋" w:eastAsia="仿宋" w:cs="仿宋"/>
                <w:color w:val="auto"/>
                <w:sz w:val="28"/>
                <w:szCs w:val="28"/>
              </w:rPr>
            </w:pPr>
            <w:r/>
            <w:bookmarkStart w:id="135" w:name="_Toc5111"/>
            <w:r>
              <w:rPr>
                <w:rFonts w:hint="eastAsia" w:ascii="仿宋" w:hAnsi="仿宋" w:eastAsia="仿宋" w:cs="仿宋"/>
                <w:color w:val="auto"/>
                <w:sz w:val="28"/>
                <w:szCs w:val="28"/>
              </w:rPr>
              <w:t xml:space="preserve">序号</w:t>
            </w:r>
            <w:r/>
          </w:p>
        </w:tc>
        <w:tc>
          <w:tcPr>
            <w:shd w:val="clear" w:color="auto" w:fill="ffffff"/>
            <w:tcMar>
              <w:left w:w="113" w:type="dxa"/>
              <w:right w:w="113" w:type="dxa"/>
            </w:tcMar>
            <w:tcW w:w="1107"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种类</w:t>
            </w:r>
            <w:r/>
          </w:p>
        </w:tc>
        <w:tc>
          <w:tcPr>
            <w:shd w:val="clear" w:color="auto" w:fill="ffffff"/>
            <w:tcMar>
              <w:left w:w="113" w:type="dxa"/>
              <w:right w:w="113" w:type="dxa"/>
            </w:tcMar>
            <w:tcW w:w="937"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w:t>
            </w:r>
            <w:r/>
          </w:p>
        </w:tc>
        <w:tc>
          <w:tcPr>
            <w:shd w:val="clear" w:color="auto" w:fill="ffffff"/>
            <w:tcMar>
              <w:left w:w="113" w:type="dxa"/>
              <w:right w:w="113" w:type="dxa"/>
            </w:tcMar>
            <w:tcW w:w="937"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品种</w:t>
            </w:r>
            <w:r/>
          </w:p>
        </w:tc>
        <w:tc>
          <w:tcPr>
            <w:shd w:val="clear" w:color="auto" w:fill="ffffff"/>
            <w:tcMar>
              <w:left w:w="113" w:type="dxa"/>
              <w:right w:w="113" w:type="dxa"/>
            </w:tcMar>
            <w:tcW w:w="880"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品牌</w:t>
            </w:r>
            <w:r/>
          </w:p>
        </w:tc>
        <w:tc>
          <w:tcPr>
            <w:shd w:val="clear" w:color="auto" w:fill="ffffff"/>
            <w:tcMar>
              <w:left w:w="113" w:type="dxa"/>
              <w:right w:w="113" w:type="dxa"/>
            </w:tcMar>
            <w:tcW w:w="1230"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下浮率</w:t>
            </w:r>
            <w:r/>
          </w:p>
        </w:tc>
        <w:tc>
          <w:tcPr>
            <w:shd w:val="clear" w:color="auto" w:fill="ffffff"/>
            <w:tcMar>
              <w:left w:w="113" w:type="dxa"/>
              <w:right w:w="113" w:type="dxa"/>
            </w:tcMar>
            <w:tcW w:w="2926"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质量标准及要求</w:t>
            </w:r>
            <w:r/>
          </w:p>
        </w:tc>
      </w:tr>
      <w:tr>
        <w:trPr>
          <w:trHeight w:val="1470"/>
        </w:trPr>
        <w:tc>
          <w:tcPr>
            <w:shd w:val="clear" w:color="auto" w:fill="ffffff"/>
            <w:tcMar>
              <w:left w:w="113" w:type="dxa"/>
              <w:right w:w="113" w:type="dxa"/>
            </w:tcMar>
            <w:tcW w:w="886"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shd w:val="clear" w:color="auto" w:fill="ffffff"/>
            <w:tcMar>
              <w:left w:w="113" w:type="dxa"/>
              <w:right w:w="113" w:type="dxa"/>
            </w:tcMar>
            <w:tcW w:w="1107"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鲜猪肉</w:t>
            </w:r>
            <w:r/>
          </w:p>
        </w:tc>
        <w:tc>
          <w:tcPr>
            <w:shd w:val="clear" w:color="auto" w:fill="ffffff"/>
            <w:tcMar>
              <w:left w:w="113" w:type="dxa"/>
              <w:right w:w="113" w:type="dxa"/>
            </w:tcMar>
            <w:tcW w:w="937" w:type="dxa"/>
            <w:vAlign w:val="center"/>
            <w:textDirection w:val="lrTb"/>
            <w:noWrap w:val="false"/>
          </w:tcPr>
          <w:p>
            <w:pPr>
              <w:ind w:firstLine="280"/>
              <w:jc w:val="both"/>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斤</w:t>
            </w:r>
            <w:r/>
          </w:p>
        </w:tc>
        <w:tc>
          <w:tcPr>
            <w:shd w:val="clear" w:color="auto" w:fill="ffffff"/>
            <w:tcMar>
              <w:left w:w="113" w:type="dxa"/>
              <w:right w:w="113" w:type="dxa"/>
            </w:tcMar>
            <w:tcW w:w="937" w:type="dxa"/>
            <w:vAlign w:val="center"/>
            <w:textDirection w:val="lrTb"/>
            <w:noWrap w:val="false"/>
          </w:tcPr>
          <w:p>
            <w:pPr>
              <w:ind w:firstLine="560"/>
              <w:jc w:val="center"/>
              <w:spacing w:line="420" w:lineRule="exact"/>
              <w:rPr>
                <w:rFonts w:ascii="仿宋" w:hAnsi="仿宋" w:eastAsia="仿宋" w:cs="仿宋"/>
                <w:color w:val="auto"/>
                <w:sz w:val="28"/>
                <w:szCs w:val="28"/>
              </w:rPr>
            </w:pPr>
            <w:r>
              <w:rPr>
                <w:rFonts w:ascii="仿宋" w:hAnsi="仿宋" w:eastAsia="仿宋" w:cs="仿宋"/>
                <w:color w:val="auto"/>
                <w:sz w:val="28"/>
                <w:szCs w:val="28"/>
              </w:rPr>
            </w:r>
            <w:r/>
          </w:p>
        </w:tc>
        <w:tc>
          <w:tcPr>
            <w:shd w:val="clear" w:color="auto" w:fill="ffffff"/>
            <w:tcMar>
              <w:left w:w="113" w:type="dxa"/>
              <w:right w:w="113" w:type="dxa"/>
            </w:tcMar>
            <w:tcW w:w="880" w:type="dxa"/>
            <w:vAlign w:val="center"/>
            <w:textDirection w:val="lrTb"/>
            <w:noWrap w:val="false"/>
          </w:tcPr>
          <w:p>
            <w:pPr>
              <w:ind w:firstLine="560"/>
              <w:jc w:val="center"/>
              <w:spacing w:line="420" w:lineRule="exact"/>
              <w:rPr>
                <w:rFonts w:ascii="仿宋" w:hAnsi="仿宋" w:eastAsia="仿宋" w:cs="仿宋"/>
                <w:color w:val="auto"/>
                <w:sz w:val="28"/>
                <w:szCs w:val="28"/>
              </w:rPr>
            </w:pPr>
            <w:r>
              <w:rPr>
                <w:rFonts w:ascii="仿宋" w:hAnsi="仿宋" w:eastAsia="仿宋" w:cs="仿宋"/>
                <w:color w:val="auto"/>
                <w:sz w:val="28"/>
                <w:szCs w:val="28"/>
              </w:rPr>
            </w:r>
            <w:r/>
          </w:p>
        </w:tc>
        <w:tc>
          <w:tcPr>
            <w:shd w:val="clear" w:color="auto" w:fill="ffffff"/>
            <w:tcMar>
              <w:left w:w="113" w:type="dxa"/>
              <w:right w:w="113" w:type="dxa"/>
            </w:tcMar>
            <w:tcW w:w="1230" w:type="dxa"/>
            <w:vAlign w:val="center"/>
            <w:textDirection w:val="lrTb"/>
            <w:noWrap w:val="false"/>
          </w:tcPr>
          <w:p>
            <w:pPr>
              <w:ind w:firstLine="560"/>
              <w:jc w:val="center"/>
              <w:spacing w:line="420" w:lineRule="exact"/>
              <w:rPr>
                <w:rFonts w:ascii="仿宋" w:hAnsi="仿宋" w:eastAsia="仿宋" w:cs="仿宋"/>
                <w:color w:val="auto"/>
                <w:sz w:val="28"/>
                <w:szCs w:val="28"/>
              </w:rPr>
            </w:pPr>
            <w:r>
              <w:rPr>
                <w:rFonts w:ascii="仿宋" w:hAnsi="仿宋" w:eastAsia="仿宋" w:cs="仿宋"/>
                <w:color w:val="auto"/>
                <w:sz w:val="28"/>
                <w:szCs w:val="28"/>
              </w:rPr>
            </w:r>
            <w:r/>
          </w:p>
        </w:tc>
        <w:tc>
          <w:tcPr>
            <w:shd w:val="clear" w:color="auto" w:fill="ffffff"/>
            <w:tcMar>
              <w:left w:w="113" w:type="dxa"/>
              <w:right w:w="113" w:type="dxa"/>
            </w:tcMar>
            <w:tcW w:w="2926" w:type="dxa"/>
            <w:vAlign w:val="center"/>
            <w:textDirection w:val="lrTb"/>
            <w:noWrap w:val="false"/>
          </w:tcPr>
          <w:p>
            <w:pPr>
              <w:jc w:val="center"/>
              <w:spacing w:line="4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符合GB2707-2016标准，提供动物检疫合格证（产品B）原件到用户。</w:t>
            </w:r>
            <w:r/>
          </w:p>
        </w:tc>
      </w:tr>
    </w:tbl>
    <w:p>
      <w:pPr>
        <w:jc w:val="both"/>
        <w:spacing w:line="360" w:lineRule="auto"/>
        <w:rPr>
          <w:rFonts w:ascii="仿宋" w:hAnsi="仿宋" w:eastAsia="仿宋" w:cs="仿宋"/>
          <w:color w:val="auto"/>
          <w:sz w:val="28"/>
          <w:szCs w:val="28"/>
        </w:rPr>
      </w:pPr>
      <w:r>
        <w:rPr>
          <w:rFonts w:ascii="仿宋" w:hAnsi="仿宋" w:eastAsia="仿宋" w:cs="仿宋"/>
          <w:color w:val="auto"/>
          <w:sz w:val="28"/>
          <w:szCs w:val="28"/>
        </w:rPr>
      </w:r>
      <w:r/>
    </w:p>
    <w:p>
      <w:pPr>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二</w:t>
      </w:r>
      <w:bookmarkEnd w:id="135"/>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合同标的数量质量要求</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服务期限</w:t>
      </w:r>
      <w:r/>
    </w:p>
    <w:p>
      <w:pPr>
        <w:ind w:firstLine="560"/>
        <w:jc w:val="both"/>
        <w:spacing w:line="360" w:lineRule="auto"/>
        <w:rPr>
          <w:rFonts w:ascii="仿宋" w:hAnsi="仿宋" w:eastAsia="仿宋" w:cs="仿宋"/>
          <w:color w:val="auto"/>
          <w:sz w:val="28"/>
          <w:szCs w:val="28"/>
        </w:rPr>
      </w:pPr>
      <w:r/>
      <w:bookmarkStart w:id="136" w:name="_Toc15215"/>
      <w:r>
        <w:rPr>
          <w:rFonts w:hint="eastAsia" w:ascii="仿宋" w:hAnsi="仿宋" w:eastAsia="仿宋" w:cs="仿宋"/>
          <w:color w:val="auto"/>
          <w:sz w:val="28"/>
          <w:szCs w:val="28"/>
        </w:rPr>
        <w:t xml:space="preserve">2.1产品质量要求</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为保证学生身体健康成长，所有产品的质量要求为同类产品中综合质量优良产品。中标单位应严格遵守《食品安全法》和《动物检疫法》等相关规定，严格保证食品质量符合国家相关产品质量标准，符合国家各级强制性规范的要求。</w:t>
      </w:r>
      <w:r/>
    </w:p>
    <w:tbl>
      <w:tblPr>
        <w:tblStyle w:val="801"/>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6"/>
        <w:gridCol w:w="6984"/>
      </w:tblGrid>
      <w:tr>
        <w:trPr>
          <w:trHeight w:val="2284"/>
        </w:trPr>
        <w:tc>
          <w:tcPr>
            <w:tcW w:w="1886" w:type="dxa"/>
            <w:vAlign w:val="center"/>
            <w:textDirection w:val="lrTb"/>
            <w:noWrap w:val="false"/>
          </w:tcPr>
          <w:p>
            <w:pPr>
              <w:jc w:val="both"/>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鲜肉（猪肉）</w:t>
            </w:r>
            <w:r/>
          </w:p>
        </w:tc>
        <w:tc>
          <w:tcPr>
            <w:tcW w:w="6984" w:type="dxa"/>
            <w:textDirection w:val="lrTb"/>
            <w:noWrap w:val="false"/>
          </w:tcPr>
          <w:p>
            <w:pPr>
              <w:jc w:val="both"/>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无注水；色泽：肌肉有光泽，颜色均匀，脂肪乳白色；组织状态：纤维清晰，有坚韧性，指压后凹陷立即恢复，肉质紧密，有坚韧性；粘度：外表湿润，不粘手，切面有渗出液，不粘手；气味：具有肉类固有的气味，无异味，无霉烂变质；具有动物产品检疫合格证明</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肉品品质检验合格证明供现场查验。</w:t>
            </w:r>
            <w:r/>
          </w:p>
        </w:tc>
      </w:tr>
    </w:tbl>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2.2在中标后如出现因食用其提供的食品导致食物中毒的事故发生，中标人应对此承担一切法律责任。一经发现供应以下食品，除全部退货外，将立即取消供货资格，中标单位并承担由此造成的经济责任和法律责任：</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（1）腐败变质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油脂酸败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霉变</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生虫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污秽不洁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混有异物或者其他感官性状异常，对人体健康有害的；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（2）含有毒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有害物质或者被有害物质污染，对人体健康有害的；含有严重超出标准限量的农药残留</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兽药残留</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重金属</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污染物质以及其他危害人体健康的；</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（3）含有致病性寄生虫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微生物或者微生物含量超过国家限定标准的；</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（4）未经动物检疫部门检疫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检验或者检疫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检验不合格的肉类及其制品；</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（5）病死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毒死或者死因不明的禽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水产动物等及其制品；</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（6）掺假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掺杂</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伪造，影响营养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卫生的；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（7）用非食品原料加工的，加入非食品用化学物质或者将非食品当作食品的；</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（8）超过保质期限的。</w:t>
      </w:r>
      <w:r/>
    </w:p>
    <w:p>
      <w:pPr>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服务期限：1年。</w:t>
      </w:r>
      <w:bookmarkEnd w:id="136"/>
      <w:r/>
      <w:r/>
    </w:p>
    <w:p>
      <w:pPr>
        <w:jc w:val="both"/>
        <w:spacing w:line="360" w:lineRule="auto"/>
        <w:widowControl w:val="off"/>
        <w:rPr>
          <w:rFonts w:ascii="仿宋" w:hAnsi="仿宋" w:eastAsia="仿宋" w:cs="仿宋"/>
          <w:color w:val="auto"/>
          <w:sz w:val="28"/>
          <w:szCs w:val="28"/>
        </w:rPr>
      </w:pPr>
      <w:r/>
      <w:bookmarkStart w:id="137" w:name="_Toc32127"/>
      <w:r>
        <w:rPr>
          <w:rFonts w:hint="eastAsia" w:ascii="仿宋" w:hAnsi="仿宋" w:eastAsia="仿宋" w:cs="仿宋"/>
          <w:color w:val="auto"/>
          <w:sz w:val="28"/>
          <w:szCs w:val="28"/>
        </w:rPr>
        <w:t xml:space="preserve">四</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服务内容及服务要求</w:t>
      </w:r>
      <w:bookmarkEnd w:id="137"/>
      <w:r/>
      <w:r/>
    </w:p>
    <w:p>
      <w:pPr>
        <w:ind w:firstLine="560"/>
        <w:jc w:val="both"/>
        <w:spacing w:line="360" w:lineRule="auto"/>
        <w:widowControl w:val="off"/>
        <w:rPr>
          <w:rFonts w:ascii="仿宋" w:hAnsi="仿宋" w:eastAsia="仿宋" w:cs="仿宋"/>
          <w:color w:val="auto"/>
          <w:sz w:val="28"/>
          <w:szCs w:val="28"/>
          <w:lang w:val="zh-TW"/>
        </w:rPr>
      </w:pPr>
      <w:r>
        <w:rPr>
          <w:rFonts w:hint="eastAsia" w:ascii="仿宋" w:hAnsi="仿宋" w:eastAsia="仿宋" w:cs="仿宋"/>
          <w:color w:val="auto"/>
          <w:sz w:val="28"/>
          <w:szCs w:val="28"/>
          <w:lang w:val="zh-TW"/>
        </w:rPr>
        <w:t xml:space="preserve">本合同所提供服务详见招标文件及响应文件相应响应及承诺（乙方必须完全实现招标文件中的采购要求，如有不足或缺陷，由乙方自行负责弥补，甲方不承担任何相关费用）。</w:t>
      </w:r>
      <w:r/>
    </w:p>
    <w:p>
      <w:pPr>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五</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付款及交货 </w:t>
      </w:r>
      <w:r/>
    </w:p>
    <w:p>
      <w:pPr>
        <w:ind w:firstLine="560"/>
        <w:jc w:val="both"/>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5.1甲方自收到发票之日起15日内付至当年合同价的10%（本项目预付款比例为合同金额的10%，预付款支付金额为   万元）；剩余</w:t>
      </w:r>
      <w:r>
        <w:rPr>
          <w:rFonts w:hint="eastAsia" w:ascii="仿宋" w:hAnsi="仿宋" w:eastAsia="仿宋" w:cs="仿宋"/>
          <w:color w:val="auto"/>
          <w:sz w:val="28"/>
          <w:szCs w:val="28"/>
          <w:highlight w:val="none"/>
          <w:lang w:val="zh-TW"/>
        </w:rPr>
        <w:t xml:space="preserve">款项甲方按每月实际发生进行结算</w:t>
      </w:r>
      <w:r>
        <w:rPr>
          <w:rFonts w:hint="eastAsia" w:ascii="仿宋" w:hAnsi="仿宋" w:eastAsia="仿宋" w:cs="仿宋"/>
          <w:color w:val="auto"/>
          <w:sz w:val="28"/>
          <w:szCs w:val="28"/>
          <w:highlight w:val="none"/>
        </w:rPr>
        <w:t xml:space="preserve">；</w:t>
      </w:r>
      <w:r/>
    </w:p>
    <w:p>
      <w:pPr>
        <w:ind w:firstLine="560"/>
        <w:jc w:val="both"/>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乙方每次配送须向采购学校提供一式四份的送货清单，并在清单上注明配送品种的品名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数量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价格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日期，开具的发票必须与实际货物内容一致，开具的发票商户名必须与中标商家一致，与各配送学校按月结算。</w:t>
      </w:r>
      <w:r/>
    </w:p>
    <w:p>
      <w:pPr>
        <w:ind w:firstLine="560"/>
        <w:jc w:val="both"/>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月供货金额 (含税价) =月实际供货量*月度供应物资结算价格。</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5.2</w:t>
      </w:r>
      <w:r>
        <w:rPr>
          <w:rFonts w:hint="eastAsia" w:ascii="仿宋" w:hAnsi="仿宋" w:eastAsia="仿宋" w:cs="仿宋"/>
          <w:color w:val="auto"/>
          <w:sz w:val="28"/>
          <w:szCs w:val="28"/>
          <w:lang w:val="zh-TW"/>
        </w:rPr>
        <w:t xml:space="preserve">乙方应当自合同签订之日起按约定开具预付款发票，</w:t>
      </w:r>
      <w:r>
        <w:rPr>
          <w:rFonts w:hint="eastAsia" w:ascii="仿宋" w:hAnsi="仿宋" w:eastAsia="仿宋" w:cs="仿宋"/>
          <w:color w:val="auto"/>
          <w:sz w:val="28"/>
          <w:szCs w:val="28"/>
        </w:rPr>
        <w:t xml:space="preserve">甲方</w:t>
      </w:r>
      <w:r>
        <w:rPr>
          <w:rFonts w:hint="eastAsia" w:ascii="仿宋" w:hAnsi="仿宋" w:eastAsia="仿宋" w:cs="仿宋"/>
          <w:color w:val="auto"/>
          <w:sz w:val="28"/>
          <w:szCs w:val="28"/>
          <w:lang w:val="zh-TW"/>
        </w:rPr>
        <w:t xml:space="preserve">自收到发票之日起</w:t>
      </w:r>
      <w:r>
        <w:rPr>
          <w:rFonts w:hint="eastAsia" w:ascii="仿宋" w:hAnsi="仿宋" w:eastAsia="仿宋" w:cs="仿宋"/>
          <w:color w:val="auto"/>
          <w:sz w:val="28"/>
          <w:szCs w:val="28"/>
        </w:rPr>
        <w:t xml:space="preserve">15日内完成预付款支付。因乙方未开具预付款发票导致甲方未及时完成预付款支付的，由乙方承担相关责任。乙方需与甲方项目负责人确定好开具发票时间，并在发票开具后第一时间送达至甲方项目负责人手中。</w:t>
      </w:r>
      <w:r/>
    </w:p>
    <w:p>
      <w:pPr>
        <w:ind w:firstLine="560"/>
        <w:jc w:val="both"/>
        <w:spacing w:line="360" w:lineRule="auto"/>
        <w:rPr>
          <w:rFonts w:ascii="仿宋" w:hAnsi="仿宋" w:eastAsia="仿宋" w:cs="仿宋"/>
          <w:color w:val="auto"/>
          <w:sz w:val="28"/>
          <w:szCs w:val="28"/>
          <w:lang w:val="zh-TW"/>
        </w:rPr>
      </w:pPr>
      <w:r>
        <w:rPr>
          <w:rFonts w:hint="eastAsia" w:ascii="仿宋" w:hAnsi="仿宋" w:eastAsia="仿宋" w:cs="仿宋"/>
          <w:color w:val="auto"/>
          <w:sz w:val="28"/>
          <w:szCs w:val="28"/>
          <w:lang w:val="zh-TW"/>
        </w:rPr>
        <w:t xml:space="preserve">甲方开票信息：</w:t>
      </w:r>
      <w:r/>
    </w:p>
    <w:p>
      <w:pPr>
        <w:ind w:firstLine="560"/>
        <w:jc w:val="both"/>
        <w:spacing w:line="360" w:lineRule="auto"/>
        <w:rPr>
          <w:rFonts w:ascii="仿宋" w:hAnsi="仿宋" w:eastAsia="仿宋" w:cs="仿宋"/>
          <w:color w:val="auto"/>
          <w:sz w:val="28"/>
          <w:szCs w:val="28"/>
          <w:lang w:val="zh-TW"/>
        </w:rPr>
      </w:pPr>
      <w:r>
        <w:rPr>
          <w:rFonts w:hint="eastAsia" w:ascii="仿宋" w:hAnsi="仿宋" w:eastAsia="仿宋" w:cs="仿宋"/>
          <w:color w:val="auto"/>
          <w:sz w:val="28"/>
          <w:szCs w:val="28"/>
          <w:lang w:val="zh-TW"/>
        </w:rPr>
        <w:t xml:space="preserve">乙方开票信息：</w:t>
      </w:r>
      <w:r/>
    </w:p>
    <w:p>
      <w:pPr>
        <w:jc w:val="both"/>
        <w:spacing w:line="360" w:lineRule="auto"/>
        <w:rPr>
          <w:rFonts w:ascii="仿宋" w:hAnsi="仿宋" w:eastAsia="仿宋" w:cs="仿宋"/>
          <w:color w:val="auto"/>
          <w:sz w:val="28"/>
          <w:szCs w:val="28"/>
        </w:rPr>
      </w:pPr>
      <w:r/>
      <w:bookmarkStart w:id="138" w:name="_Toc1884"/>
      <w:r>
        <w:rPr>
          <w:rFonts w:hint="eastAsia" w:ascii="仿宋" w:hAnsi="仿宋" w:eastAsia="仿宋" w:cs="仿宋"/>
          <w:color w:val="auto"/>
          <w:sz w:val="28"/>
          <w:szCs w:val="28"/>
        </w:rPr>
        <w:t xml:space="preserve">六</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合同标的技术参数</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服务要求</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6.1标准和要求</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必须是经检验检疫合格的肉制品，且符合国家标准《GB 2707-2016 食品安全国家标准鲜（冻）畜</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禽产品》。</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6.2交货时间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地点</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（1）每天早上在规定时间内送到指定地点；</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（2）送货车辆整洁，司乘及其他送货人员必须提供健康证，严格按学校指定的校园路线行驶，不得影响学校正常教育教学。</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6.3验收</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（1）肉类在送达学校食堂时需要主动提供本批次的动物检疫合格证明书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肉品品质检验合格证及非洲猪瘟检测证明；</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（2）货物到达现场后，乙方应在学校2名工作人员在场情况下当面接受检验，提供产品合格证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装箱单，共同清点</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检查外观</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查验标签</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包装和封口，并做好进货记录（如实记录猪肉的名称</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规格</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数量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生产批号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保质期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供货者名称及联系方式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进货日期等内容），双方签字确认。</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（3）乙方应保证货物到达用户所在地完好无损，如有缺漏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损坏，由供应商负责调换</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补齐或赔偿。</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（4）乙方提供货物未达到招标文件要求的，如属不合格或劣质产品，且对采购人造成损失的，由乙方承担一切责任，并赔偿所造成的损失。</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6.4乙方应向各供货学校提供每学期第一个月所供第一批次产品的检测报告，检测报告需经国家认可的第三方检测机构出具，检测费用由乙方承担。</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七</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违约责任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解决方式</w:t>
      </w:r>
      <w:r/>
    </w:p>
    <w:p>
      <w:pPr>
        <w:ind w:firstLine="56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7.1乙方不按期完成合同约定的内容，应向甲方支付违约金，除甲方或不可抗力造成原因外，延时供货且影响学生正常就餐，甲方根据考核细则对乙方进行处罚。</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7.2非因甲方原因，乙方不履行本合同规定的义务，致使工作延误，甲方有权要求其强制履行或解除合同，并要求乙方等额赔偿由此造成的一切损失。</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7.3本项目不得转让分包，如有发生，乙方无条件清理退场，所造成的一切损失由乙方负责。</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7.4凡经相关部门认定，如因供货商所提供的原料原因造成采购方食堂出现食物中毒等卫生事故的，中标人除必须承担全部的法律责任外，还要全额承担因食物中毒发生造成后果的一切费用。立即停止中标人供货，并暂扣当月所有供应原料的货款作为供方的赔偿预付款。</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7.5扬中市教育局将定期或不定期地组织专人对供货商所供货物的质量送质检部门抽检，若发现货物质量检测结果与采购文件质量标准不符，采购方有权酌情予以罚款</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解除合同等处罚。</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7.6凡定量包装货品应符合相关规定，足量供应。如有供应货物串规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短斤少两的，一经查实，均需按当月总釆购量的3倍误差值作为供方向需方支付的违约金。</w:t>
      </w:r>
      <w:r/>
    </w:p>
    <w:p>
      <w:p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7.7在中标供应商供货过程中，如发现以次充好使用过期猪肉现象，或未按学校要求及时提供所供货物溯源的相关凭证，甲方有权强制解除合同。如发现假冒伪劣现象，依法追究法律责任，扣除违约金，并解除合同。</w:t>
      </w:r>
      <w:r/>
    </w:p>
    <w:p>
      <w:pPr>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其他商务要求 </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8.1本合同签定后，学校与供应商有关供货方面的合同纠纷或特殊情况，甲方有权协同学校与乙方共同解决。</w:t>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8.2本项目服务期满后，甲方将依据对乙方服务能力</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服务水平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服务质量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考核和项目具体情况，续签下年度供货服务合同或重新组织招标。</w:t>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8.3因涉及全市公办中小学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幼儿园食堂猪肉配送,扬中市教育局综合考虑各方利益后，中标供应商须承诺服从扬中市教育局的安排。</w:t>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8.4供应商须承诺中标后，所提供货物与采购文件要求及所提供样品一致。</w:t>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8.5遵循学校各项规章制度，送货地点为学校指定位置，同时在现场服从学校安排。</w:t>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8.6 7*24小时的售后支持服务，响应时间不超过2小时。</w:t>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8.7验证中标产品技术指标的真实性和价格优势，扬中市教育局有权委托第三方对中标产品进行监测，或根据采购人的实际成交价格进行判断，若发现中标产品的技术指标与测试结果偏差较大，或价格与市场平均价相比缺乏优势，或存在虚假采购现象，我方可否决该中标产品。</w:t>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8.8选方需要与用户签订“反商业贿赂协议”（见附件），该协议为合同签订的前置重要条件。</w:t>
      </w:r>
      <w:bookmarkEnd w:id="138"/>
      <w:r/>
      <w:r/>
    </w:p>
    <w:p>
      <w:pPr>
        <w:jc w:val="both"/>
        <w:keepLines w:val="0"/>
        <w:keepNext w:val="0"/>
        <w:pageBreakBefore w:val="0"/>
        <w:spacing w:line="360" w:lineRule="auto"/>
        <w:widowControl w:val="off"/>
        <w:rPr>
          <w:rFonts w:ascii="仿宋" w:hAnsi="仿宋" w:eastAsia="仿宋" w:cs="仿宋"/>
          <w:color w:val="auto"/>
          <w:sz w:val="28"/>
          <w:szCs w:val="28"/>
        </w:rPr>
      </w:pPr>
      <w:r/>
      <w:bookmarkStart w:id="139" w:name="_Toc223"/>
      <w:r>
        <w:rPr>
          <w:rFonts w:hint="eastAsia" w:ascii="仿宋" w:hAnsi="仿宋" w:eastAsia="仿宋" w:cs="仿宋"/>
          <w:color w:val="auto"/>
          <w:sz w:val="28"/>
          <w:szCs w:val="28"/>
        </w:rPr>
        <w:t xml:space="preserve">九</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不可抗力</w:t>
      </w:r>
      <w:bookmarkEnd w:id="139"/>
      <w:r/>
      <w:r/>
    </w:p>
    <w:p>
      <w:pPr>
        <w:ind w:firstLine="560"/>
        <w:jc w:val="both"/>
        <w:keepLines w:val="0"/>
        <w:keepNext w:val="0"/>
        <w:pageBreakBefore w:val="0"/>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9.1如果双方由于不可抗拒力的任何事故（须经双方认同），致使影响合同履行时，履行合同的期限应予延长，延长期限相当于事故影响的时间。</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9.2本条所述的“不可抗力”系指那些乙方无法控制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不可预见的事件，但不包括乙方的违约或疏忽。这些事件包括：战争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严重火灾</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洪水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台风</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地震以及其它甲方和乙方商定的事件。</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9.3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违约责任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争议处理</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10.1甲方招标文件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乙方响应文件未尽事宜，甲乙双方可另行签订补充协议。</w:t>
      </w:r>
      <w:r/>
    </w:p>
    <w:p>
      <w:pPr>
        <w:ind w:firstLine="560"/>
        <w:jc w:val="both"/>
        <w:spacing w:line="360" w:lineRule="auto"/>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10.2甲乙双方在合同履行过程中若发生争议，应通过友好协商方式解决，如协商不成，可向甲方住所地人民法院提起诉讼。</w:t>
      </w:r>
      <w:r/>
    </w:p>
    <w:p>
      <w:pPr>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十一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其他事项</w:t>
      </w:r>
      <w:r/>
    </w:p>
    <w:p>
      <w:pPr>
        <w:ind w:firstLine="560"/>
        <w:jc w:val="both"/>
        <w:spacing w:line="360" w:lineRule="auto"/>
        <w:rPr>
          <w:rFonts w:ascii="仿宋" w:hAnsi="仿宋" w:eastAsia="仿宋" w:cs="仿宋"/>
          <w:color w:val="auto"/>
          <w:sz w:val="28"/>
          <w:szCs w:val="28"/>
          <w:lang w:val="zh-TW" w:eastAsia="zh-TW"/>
        </w:rPr>
      </w:pPr>
      <w:r>
        <w:rPr>
          <w:rFonts w:hint="eastAsia" w:ascii="仿宋" w:hAnsi="仿宋" w:eastAsia="仿宋" w:cs="仿宋"/>
          <w:color w:val="auto"/>
          <w:sz w:val="28"/>
          <w:szCs w:val="28"/>
        </w:rPr>
        <w:t xml:space="preserve">11.1</w:t>
      </w:r>
      <w:r>
        <w:rPr>
          <w:rFonts w:hint="eastAsia" w:ascii="仿宋" w:hAnsi="仿宋" w:eastAsia="仿宋" w:cs="仿宋"/>
          <w:color w:val="auto"/>
          <w:sz w:val="28"/>
          <w:szCs w:val="28"/>
          <w:lang w:val="zh-TW" w:eastAsia="zh-TW"/>
        </w:rPr>
        <w:t xml:space="preserve">甲方招标文件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zh-TW" w:eastAsia="zh-TW"/>
        </w:rPr>
        <w:t xml:space="preserve">乙方响应文件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zh-TW" w:eastAsia="zh-TW"/>
        </w:rPr>
        <w:t xml:space="preserve">会议记录均为本合同的组成部分，具有同等法律效力。</w:t>
      </w:r>
      <w:r/>
    </w:p>
    <w:p>
      <w:pPr>
        <w:ind w:firstLine="560"/>
        <w:jc w:val="both"/>
        <w:spacing w:line="360" w:lineRule="auto"/>
        <w:rPr>
          <w:rFonts w:ascii="仿宋" w:hAnsi="仿宋" w:eastAsia="仿宋" w:cs="仿宋"/>
          <w:color w:val="auto"/>
          <w:sz w:val="28"/>
          <w:szCs w:val="28"/>
          <w:lang w:val="zh-TW" w:eastAsia="zh-TW"/>
        </w:rPr>
      </w:pPr>
      <w:r>
        <w:rPr>
          <w:rFonts w:hint="eastAsia" w:ascii="仿宋" w:hAnsi="仿宋" w:eastAsia="仿宋" w:cs="仿宋"/>
          <w:color w:val="auto"/>
          <w:sz w:val="28"/>
          <w:szCs w:val="28"/>
        </w:rPr>
        <w:t xml:space="preserve">11.2</w:t>
      </w:r>
      <w:r>
        <w:rPr>
          <w:rFonts w:hint="eastAsia" w:ascii="仿宋" w:hAnsi="仿宋" w:eastAsia="仿宋" w:cs="仿宋"/>
          <w:color w:val="auto"/>
          <w:sz w:val="28"/>
          <w:szCs w:val="28"/>
          <w:lang w:val="zh-TW" w:eastAsia="zh-TW"/>
        </w:rPr>
        <w:t xml:space="preserve">若合同期内实际成交量（产品型号</w:t>
      </w:r>
      <w:r>
        <w:rPr>
          <w:rFonts w:hint="eastAsia" w:ascii="仿宋" w:hAnsi="仿宋" w:eastAsia="仿宋" w:cs="仿宋"/>
          <w:color w:val="auto"/>
          <w:sz w:val="28"/>
          <w:szCs w:val="28"/>
          <w:lang w:val="zh-TW" w:eastAsia="zh-CN"/>
        </w:rPr>
        <w:t xml:space="preserve">.</w:t>
      </w:r>
      <w:r>
        <w:rPr>
          <w:rFonts w:hint="eastAsia" w:ascii="仿宋" w:hAnsi="仿宋" w:eastAsia="仿宋" w:cs="仿宋"/>
          <w:color w:val="auto"/>
          <w:sz w:val="28"/>
          <w:szCs w:val="28"/>
          <w:lang w:val="zh-TW" w:eastAsia="zh-TW"/>
        </w:rPr>
        <w:t xml:space="preserve">技术参数</w:t>
      </w:r>
      <w:r>
        <w:rPr>
          <w:rFonts w:hint="eastAsia" w:ascii="仿宋" w:hAnsi="仿宋" w:eastAsia="仿宋" w:cs="仿宋"/>
          <w:color w:val="auto"/>
          <w:sz w:val="28"/>
          <w:szCs w:val="28"/>
          <w:lang w:val="zh-TW" w:eastAsia="zh-CN"/>
        </w:rPr>
        <w:t xml:space="preserve">.</w:t>
      </w:r>
      <w:r>
        <w:rPr>
          <w:rFonts w:hint="eastAsia" w:ascii="仿宋" w:hAnsi="仿宋" w:eastAsia="仿宋" w:cs="仿宋"/>
          <w:color w:val="auto"/>
          <w:sz w:val="28"/>
          <w:szCs w:val="28"/>
          <w:lang w:val="zh-TW" w:eastAsia="zh-TW"/>
        </w:rPr>
        <w:t xml:space="preserve">服务要求）与本合同内容发生偏离，签订补充合同（协议），须经政府采购管理科备案后方可签订，且补充合同的采购金额不得超过本合同采购金额的10%。 </w:t>
      </w:r>
      <w:r/>
    </w:p>
    <w:p>
      <w:pPr>
        <w:ind w:firstLine="560"/>
        <w:jc w:val="both"/>
        <w:spacing w:line="360" w:lineRule="auto"/>
        <w:rPr>
          <w:rFonts w:ascii="仿宋" w:hAnsi="仿宋" w:eastAsia="仿宋" w:cs="仿宋"/>
          <w:color w:val="auto"/>
          <w:sz w:val="28"/>
          <w:szCs w:val="28"/>
          <w:lang w:val="zh-TW" w:eastAsia="zh-TW"/>
        </w:rPr>
      </w:pPr>
      <w:r>
        <w:rPr>
          <w:rFonts w:hint="eastAsia" w:ascii="仿宋" w:hAnsi="仿宋" w:eastAsia="仿宋" w:cs="仿宋"/>
          <w:color w:val="auto"/>
          <w:sz w:val="28"/>
          <w:szCs w:val="28"/>
        </w:rPr>
        <w:t xml:space="preserve">11.3</w:t>
      </w:r>
      <w:r>
        <w:rPr>
          <w:rFonts w:hint="eastAsia" w:ascii="仿宋" w:hAnsi="仿宋" w:eastAsia="仿宋" w:cs="仿宋"/>
          <w:color w:val="auto"/>
          <w:sz w:val="28"/>
          <w:szCs w:val="28"/>
          <w:lang w:val="zh-TW" w:eastAsia="zh-TW"/>
        </w:rPr>
        <w:t xml:space="preserve">本合同经各方签字盖章即生效，并自签订之日起七个工作日内，政府采购代理机构须将合同报政府采购监督管理部门备案，加盖“扬中市政府采购备案章”。</w:t>
      </w:r>
      <w:r/>
    </w:p>
    <w:p>
      <w:pPr>
        <w:ind w:firstLine="560"/>
        <w:jc w:val="both"/>
        <w:spacing w:line="360" w:lineRule="auto"/>
        <w:rPr>
          <w:rFonts w:ascii="仿宋" w:hAnsi="仿宋" w:eastAsia="仿宋" w:cs="仿宋"/>
          <w:color w:val="auto"/>
          <w:sz w:val="28"/>
          <w:szCs w:val="28"/>
          <w:lang w:val="zh-TW" w:eastAsia="zh-TW"/>
        </w:rPr>
      </w:pPr>
      <w:r>
        <w:rPr>
          <w:rFonts w:hint="eastAsia" w:ascii="仿宋" w:hAnsi="仿宋" w:eastAsia="仿宋" w:cs="仿宋"/>
          <w:color w:val="auto"/>
          <w:sz w:val="28"/>
          <w:szCs w:val="28"/>
        </w:rPr>
        <w:t xml:space="preserve">11.4</w:t>
      </w:r>
      <w:r>
        <w:rPr>
          <w:rFonts w:hint="eastAsia" w:ascii="仿宋" w:hAnsi="仿宋" w:eastAsia="仿宋" w:cs="仿宋"/>
          <w:color w:val="auto"/>
          <w:sz w:val="28"/>
          <w:szCs w:val="28"/>
          <w:lang w:val="zh-TW" w:eastAsia="zh-TW"/>
        </w:rPr>
        <w:t xml:space="preserve">本合同一式</w:t>
      </w:r>
      <w:r>
        <w:rPr>
          <w:rFonts w:hint="eastAsia" w:ascii="仿宋" w:hAnsi="仿宋" w:eastAsia="仿宋" w:cs="仿宋"/>
          <w:color w:val="auto"/>
          <w:sz w:val="28"/>
          <w:szCs w:val="28"/>
          <w:lang w:val="zh-TW"/>
        </w:rPr>
        <w:t xml:space="preserve">陆</w:t>
      </w:r>
      <w:r>
        <w:rPr>
          <w:rFonts w:hint="eastAsia" w:ascii="仿宋" w:hAnsi="仿宋" w:eastAsia="仿宋" w:cs="仿宋"/>
          <w:color w:val="auto"/>
          <w:sz w:val="28"/>
          <w:szCs w:val="28"/>
          <w:lang w:val="zh-TW" w:eastAsia="zh-TW"/>
        </w:rPr>
        <w:t xml:space="preserve">份，甲方</w:t>
      </w:r>
      <w:r>
        <w:rPr>
          <w:rFonts w:hint="eastAsia" w:ascii="仿宋" w:hAnsi="仿宋" w:eastAsia="仿宋" w:cs="仿宋"/>
          <w:color w:val="auto"/>
          <w:sz w:val="28"/>
          <w:szCs w:val="28"/>
          <w:lang w:val="zh-TW" w:eastAsia="zh-CN"/>
        </w:rPr>
        <w:t xml:space="preserve">、</w:t>
      </w:r>
      <w:r>
        <w:rPr>
          <w:rFonts w:hint="eastAsia" w:ascii="仿宋" w:hAnsi="仿宋" w:eastAsia="仿宋" w:cs="仿宋"/>
          <w:color w:val="auto"/>
          <w:sz w:val="28"/>
          <w:szCs w:val="28"/>
          <w:lang w:val="zh-TW" w:eastAsia="zh-TW"/>
        </w:rPr>
        <w:t xml:space="preserve">乙方</w:t>
      </w:r>
      <w:r>
        <w:rPr>
          <w:rFonts w:hint="eastAsia" w:ascii="仿宋" w:hAnsi="仿宋" w:eastAsia="仿宋" w:cs="仿宋"/>
          <w:color w:val="auto"/>
          <w:sz w:val="28"/>
          <w:szCs w:val="28"/>
          <w:lang w:val="zh-TW"/>
        </w:rPr>
        <w:t xml:space="preserve">各执贰份</w:t>
      </w:r>
      <w:r>
        <w:rPr>
          <w:rFonts w:hint="eastAsia" w:ascii="仿宋" w:hAnsi="仿宋" w:eastAsia="仿宋" w:cs="仿宋"/>
          <w:color w:val="auto"/>
          <w:sz w:val="28"/>
          <w:szCs w:val="28"/>
          <w:lang w:val="zh-TW" w:eastAsia="zh-CN"/>
        </w:rPr>
        <w:t xml:space="preserve">、</w:t>
      </w:r>
      <w:r>
        <w:rPr>
          <w:rFonts w:hint="eastAsia" w:ascii="仿宋" w:hAnsi="仿宋" w:eastAsia="仿宋" w:cs="仿宋"/>
          <w:color w:val="auto"/>
          <w:sz w:val="28"/>
          <w:szCs w:val="28"/>
          <w:lang w:val="zh-TW" w:eastAsia="zh-TW"/>
        </w:rPr>
        <w:t xml:space="preserve">政府采购代理机构</w:t>
      </w:r>
      <w:r>
        <w:rPr>
          <w:rFonts w:hint="eastAsia" w:ascii="仿宋" w:hAnsi="仿宋" w:eastAsia="仿宋" w:cs="仿宋"/>
          <w:color w:val="auto"/>
          <w:sz w:val="28"/>
          <w:szCs w:val="28"/>
          <w:lang w:val="zh-TW" w:eastAsia="zh-CN"/>
        </w:rPr>
        <w:t xml:space="preserve">、</w:t>
      </w:r>
      <w:r>
        <w:rPr>
          <w:rFonts w:hint="eastAsia" w:ascii="仿宋" w:hAnsi="仿宋" w:eastAsia="仿宋" w:cs="仿宋"/>
          <w:color w:val="auto"/>
          <w:sz w:val="28"/>
          <w:szCs w:val="28"/>
          <w:lang w:val="zh-TW" w:eastAsia="zh-TW"/>
        </w:rPr>
        <w:t xml:space="preserve">政府采购监督管理部门各执</w:t>
      </w:r>
      <w:r>
        <w:rPr>
          <w:rFonts w:hint="eastAsia" w:ascii="仿宋" w:hAnsi="仿宋" w:eastAsia="仿宋" w:cs="仿宋"/>
          <w:color w:val="auto"/>
          <w:sz w:val="28"/>
          <w:szCs w:val="28"/>
        </w:rPr>
        <w:t xml:space="preserve">壹</w:t>
      </w:r>
      <w:r>
        <w:rPr>
          <w:rFonts w:hint="eastAsia" w:ascii="仿宋" w:hAnsi="仿宋" w:eastAsia="仿宋" w:cs="仿宋"/>
          <w:color w:val="auto"/>
          <w:sz w:val="28"/>
          <w:szCs w:val="28"/>
          <w:lang w:val="zh-TW" w:eastAsia="zh-TW"/>
        </w:rPr>
        <w:t xml:space="preserve">份。</w:t>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以下无正文。</w:t>
      </w:r>
      <w:r/>
    </w:p>
    <w:p>
      <w:pP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甲方（公章）：                    乙方（公章）：</w:t>
      </w:r>
      <w:r/>
    </w:p>
    <w:p>
      <w:pPr>
        <w:spacing w:line="360" w:lineRule="auto"/>
        <w:rPr>
          <w:rFonts w:ascii="仿宋" w:hAnsi="仿宋" w:eastAsia="仿宋" w:cs="仿宋"/>
          <w:bCs/>
          <w:color w:val="auto"/>
          <w:sz w:val="28"/>
          <w:szCs w:val="28"/>
        </w:rPr>
      </w:pPr>
      <w:r>
        <w:rPr>
          <w:rFonts w:hint="eastAsia" w:ascii="仿宋" w:hAnsi="仿宋" w:eastAsia="仿宋" w:cs="仿宋"/>
          <w:b/>
          <w:color w:val="auto"/>
          <w:sz w:val="28"/>
          <w:szCs w:val="28"/>
        </w:rPr>
        <w:t xml:space="preserve">地址：                            地址：</w:t>
      </w:r>
      <w:r/>
    </w:p>
    <w:p>
      <w:pPr>
        <w:spacing w:line="360" w:lineRule="auto"/>
        <w:rPr>
          <w:rFonts w:ascii="仿宋" w:hAnsi="仿宋" w:eastAsia="仿宋" w:cs="仿宋"/>
          <w:bCs/>
          <w:color w:val="auto"/>
          <w:sz w:val="28"/>
          <w:szCs w:val="28"/>
        </w:rPr>
      </w:pPr>
      <w:r>
        <w:rPr>
          <w:rFonts w:hint="eastAsia" w:ascii="仿宋" w:hAnsi="仿宋" w:eastAsia="仿宋" w:cs="仿宋"/>
          <w:b/>
          <w:color w:val="auto"/>
          <w:sz w:val="28"/>
          <w:szCs w:val="28"/>
        </w:rPr>
        <w:t xml:space="preserve">法定代表人或授权代表：            法定代表人或授权代表：</w:t>
      </w:r>
      <w:r/>
    </w:p>
    <w:p>
      <w:pPr>
        <w:spacing w:line="360" w:lineRule="auto"/>
        <w:rPr>
          <w:rFonts w:ascii="仿宋" w:hAnsi="仿宋" w:eastAsia="仿宋" w:cs="仿宋"/>
          <w:bCs/>
          <w:color w:val="auto"/>
          <w:sz w:val="28"/>
          <w:szCs w:val="28"/>
        </w:rPr>
      </w:pPr>
      <w:r>
        <w:rPr>
          <w:rFonts w:hint="eastAsia" w:ascii="仿宋" w:hAnsi="仿宋" w:eastAsia="仿宋" w:cs="仿宋"/>
          <w:b/>
          <w:color w:val="auto"/>
          <w:sz w:val="28"/>
          <w:szCs w:val="28"/>
        </w:rPr>
        <w:t xml:space="preserve">签约日期：   年    月   日      签约日期：   年    月   日</w:t>
      </w:r>
      <w:r/>
    </w:p>
    <w:p>
      <w:pP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代理机构（公章）：         </w:t>
      </w:r>
      <w:r/>
    </w:p>
    <w:p>
      <w:pP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地    址：扬中市中电大道688号浩云湾27幢104室江苏金居 </w:t>
      </w:r>
      <w:r/>
    </w:p>
    <w:p>
      <w:pPr>
        <w:spacing w:line="360" w:lineRule="auto"/>
        <w:rPr>
          <w:rFonts w:ascii="仿宋" w:hAnsi="仿宋" w:eastAsia="仿宋" w:cs="仿宋"/>
          <w:b/>
          <w:bCs/>
          <w:color w:val="auto"/>
          <w:sz w:val="28"/>
          <w:szCs w:val="28"/>
        </w:rPr>
      </w:pPr>
      <w:r>
        <w:rPr>
          <w:rFonts w:hint="eastAsia" w:ascii="仿宋" w:hAnsi="仿宋" w:eastAsia="仿宋" w:cs="仿宋"/>
          <w:b/>
          <w:color w:val="auto"/>
          <w:sz w:val="28"/>
          <w:szCs w:val="28"/>
        </w:rPr>
        <w:t xml:space="preserve">经办人：</w:t>
      </w:r>
      <w:r/>
    </w:p>
    <w:p>
      <w:pPr>
        <w:spacing w:line="360" w:lineRule="auto"/>
        <w:rPr>
          <w:rFonts w:ascii="仿宋" w:hAnsi="仿宋" w:eastAsia="仿宋" w:cs="仿宋"/>
          <w:b/>
          <w:bCs/>
          <w:color w:val="auto"/>
          <w:sz w:val="24"/>
          <w:szCs w:val="24"/>
        </w:rPr>
      </w:pPr>
      <w:r>
        <w:rPr>
          <w:rFonts w:hint="eastAsia" w:ascii="仿宋" w:hAnsi="仿宋" w:eastAsia="仿宋" w:cs="仿宋"/>
          <w:b/>
          <w:color w:val="auto"/>
          <w:sz w:val="28"/>
          <w:szCs w:val="28"/>
        </w:rPr>
        <w:t xml:space="preserve">日期：    年   月   日</w:t>
      </w:r>
      <w:r/>
    </w:p>
    <w:p>
      <w:pPr>
        <w:rPr>
          <w:rFonts w:ascii="仿宋" w:hAnsi="仿宋" w:eastAsia="仿宋" w:cs="仿宋"/>
          <w:b/>
          <w:color w:val="auto"/>
          <w:sz w:val="44"/>
          <w:szCs w:val="44"/>
        </w:rPr>
      </w:pPr>
      <w:r/>
      <w:bookmarkStart w:id="140" w:name="_Toc4213"/>
      <w:r/>
      <w:bookmarkStart w:id="141" w:name="_Toc3054"/>
      <w:r/>
      <w:bookmarkStart w:id="142" w:name="_Toc26056"/>
      <w:r/>
      <w:bookmarkStart w:id="143" w:name="_Toc24794"/>
      <w:r/>
      <w:bookmarkStart w:id="144" w:name="_Toc8287"/>
      <w:r/>
      <w:bookmarkStart w:id="145" w:name="_Toc11307"/>
      <w:r/>
      <w:bookmarkStart w:id="146" w:name="_Toc6397"/>
      <w:r/>
      <w:bookmarkStart w:id="147" w:name="_Toc24733"/>
      <w:r>
        <w:rPr>
          <w:rFonts w:hint="eastAsia" w:ascii="仿宋" w:hAnsi="仿宋" w:eastAsia="仿宋" w:cs="仿宋"/>
          <w:b/>
          <w:color w:val="auto"/>
          <w:sz w:val="44"/>
          <w:szCs w:val="44"/>
        </w:rPr>
        <w:br w:type="page" w:clear="all"/>
      </w:r>
      <w:r/>
    </w:p>
    <w:p>
      <w:pPr>
        <w:jc w:val="both"/>
        <w:spacing w:before="100" w:beforeAutospacing="1" w:after="100" w:afterAutospacing="1"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附件1：扬中市公办中小学</w:t>
      </w:r>
      <w:r>
        <w:rPr>
          <w:rFonts w:hint="eastAsia" w:ascii="仿宋" w:hAnsi="仿宋" w:eastAsia="仿宋" w:cs="仿宋"/>
          <w:color w:val="auto"/>
          <w:sz w:val="28"/>
          <w:szCs w:val="28"/>
          <w:lang w:eastAsia="zh-CN"/>
        </w:rPr>
        <w:t xml:space="preserve">、</w:t>
      </w:r>
      <w:r>
        <w:rPr>
          <w:rFonts w:hint="eastAsia" w:ascii="仿宋" w:hAnsi="仿宋" w:eastAsia="仿宋" w:cs="仿宋"/>
          <w:b/>
          <w:color w:val="auto"/>
          <w:sz w:val="28"/>
          <w:szCs w:val="28"/>
        </w:rPr>
        <w:t xml:space="preserve">幼儿园食堂</w:t>
      </w:r>
      <w:r>
        <w:rPr>
          <w:rFonts w:hint="eastAsia" w:ascii="仿宋" w:hAnsi="仿宋" w:eastAsia="仿宋" w:cs="仿宋"/>
          <w:b/>
          <w:color w:val="auto"/>
          <w:sz w:val="28"/>
          <w:szCs w:val="28"/>
          <w:lang w:eastAsia="zh-CN"/>
        </w:rPr>
        <w:t xml:space="preserve">猪肉</w:t>
      </w:r>
      <w:r>
        <w:rPr>
          <w:rFonts w:hint="eastAsia" w:ascii="仿宋" w:hAnsi="仿宋" w:eastAsia="仿宋" w:cs="仿宋"/>
          <w:b/>
          <w:color w:val="auto"/>
          <w:sz w:val="28"/>
          <w:szCs w:val="28"/>
        </w:rPr>
        <w:t xml:space="preserve">采购服务供应商项目反商业贿赂条约</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甲方（用户）：扬中市教育局 </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乙方（供应方）：</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为认真贯彻党中央</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国务院关于大抓源头治理，标本兼治的精神。推进廉政建设，预防和减少经济犯罪以及违纪</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违法行为的发生，为保护双方利益与工作人员权益，落实反商业贿赂法，甲</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乙双方在签订合同的同时，自愿签订本协议：</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乙方在经营过程中，严禁向甲方工作人员进行商业贿赂。凡以现金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礼金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礼券</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纪念品等形式与甲方工作人员往来，皆视为商业贿赂行为。严禁乙方与甲方工作人员进行各类消费。一经查实任一违规现象，甲方除严肃处理甲方相关责任人外，将立即停止与乙方的供货合同取消其供货资质，通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扣除全部违约金，并由乙方承担给甲方造成的一切损失。</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对于甲方工作人员索要乙方礼品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礼金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有偿服务的，鼓励乙方向有关部门举报。一经查实，将给予乙方相应金额的3倍奖励，并作为下一期采购的优先单位。</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甲</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乙双方应加强对所属工作人员的廉政和遵纪守法教育，鼓励做廉政</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遵纪</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守法的模范。与行贿受贿违纪违法行为作斗争，确保集中采购公开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公正。</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四</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此协议一式贰份，甲</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乙各持壹份，以加强监督。</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五</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本协议双方签字即生效。</w:t>
      </w:r>
      <w:r/>
    </w:p>
    <w:p>
      <w:pPr>
        <w:ind w:firstLine="8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甲方盖章（用户）：    乙方盖章（配送方）：      </w:t>
      </w:r>
      <w:r/>
    </w:p>
    <w:p>
      <w:pPr>
        <w:ind w:firstLine="168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代表签字：         代表签字：           </w:t>
      </w:r>
      <w:r/>
    </w:p>
    <w:p>
      <w:pPr>
        <w:pStyle w:val="833"/>
        <w:ind w:firstLine="140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年  月   日         年  月   日</w:t>
      </w:r>
      <w:r/>
    </w:p>
    <w:p>
      <w:pPr>
        <w:jc w:val="both"/>
        <w:spacing w:before="100" w:beforeAutospacing="1" w:after="100" w:afterAutospacing="1"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附件2：考核细则</w:t>
      </w:r>
      <w:r/>
    </w:p>
    <w:p>
      <w:pPr>
        <w:pStyle w:val="791"/>
        <w:jc w:val="center"/>
        <w:spacing w:before="120" w:after="120" w:line="360" w:lineRule="auto"/>
        <w:tabs>
          <w:tab w:val="left" w:pos="42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学校食堂采购服务供应商评价办法</w:t>
      </w:r>
      <w:r/>
    </w:p>
    <w:p>
      <w:pPr>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1.月度评价 </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学校后勤管理处室每月对现有供应商绩效评价一次，主要对质量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价格</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交货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服务及其他方面进行评价。</w:t>
      </w:r>
      <w:r/>
    </w:p>
    <w:p>
      <w:pPr>
        <w:ind w:firstLine="562"/>
        <w:spacing w:line="360" w:lineRule="auto"/>
        <w:rPr>
          <w:rFonts w:ascii="仿宋" w:hAnsi="仿宋" w:eastAsia="仿宋" w:cs="仿宋"/>
          <w:color w:val="auto"/>
          <w:sz w:val="28"/>
          <w:szCs w:val="28"/>
        </w:rPr>
      </w:pPr>
      <w:r>
        <w:rPr>
          <w:rFonts w:hint="eastAsia" w:ascii="仿宋" w:hAnsi="仿宋" w:eastAsia="仿宋" w:cs="仿宋"/>
          <w:b/>
          <w:color w:val="auto"/>
          <w:sz w:val="28"/>
          <w:szCs w:val="28"/>
        </w:rPr>
        <w:t xml:space="preserve">2.年度评价</w:t>
      </w:r>
      <w:r>
        <w:rPr>
          <w:rFonts w:hint="eastAsia" w:ascii="仿宋" w:hAnsi="仿宋" w:eastAsia="仿宋" w:cs="仿宋"/>
          <w:color w:val="auto"/>
          <w:sz w:val="28"/>
          <w:szCs w:val="28"/>
        </w:rPr>
        <w:t xml:space="preserve"> </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由校长室牵头，各处室共同参与，结合学校总务处月度评价结果，对供应商进行年度绩效综合评价。评价程序参照月度评价方式执行。</w:t>
      </w:r>
      <w:r/>
    </w:p>
    <w:p>
      <w:pPr>
        <w:ind w:firstLine="562"/>
        <w:spacing w:line="360" w:lineRule="auto"/>
        <w:rPr>
          <w:rFonts w:ascii="仿宋" w:hAnsi="仿宋" w:eastAsia="仿宋" w:cs="仿宋"/>
          <w:color w:val="auto"/>
          <w:sz w:val="28"/>
          <w:szCs w:val="28"/>
        </w:rPr>
      </w:pPr>
      <w:r>
        <w:rPr>
          <w:rFonts w:hint="eastAsia" w:ascii="仿宋" w:hAnsi="仿宋" w:eastAsia="仿宋" w:cs="仿宋"/>
          <w:b/>
          <w:color w:val="auto"/>
          <w:sz w:val="28"/>
          <w:szCs w:val="28"/>
        </w:rPr>
        <w:t xml:space="preserve">3.评价办法</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（月度评价平均得分＋年度评价综合得分）/2＝供应商年度绩效评价得分。</w:t>
      </w:r>
      <w:r/>
    </w:p>
    <w:p>
      <w:pPr>
        <w:ind w:firstLine="562"/>
        <w:spacing w:line="360" w:lineRule="auto"/>
        <w:rPr>
          <w:rFonts w:ascii="仿宋" w:hAnsi="仿宋" w:eastAsia="仿宋" w:cs="仿宋"/>
          <w:color w:val="auto"/>
          <w:sz w:val="28"/>
          <w:szCs w:val="28"/>
        </w:rPr>
      </w:pPr>
      <w:r>
        <w:rPr>
          <w:rFonts w:hint="eastAsia" w:ascii="仿宋" w:hAnsi="仿宋" w:eastAsia="仿宋" w:cs="仿宋"/>
          <w:b/>
          <w:color w:val="auto"/>
          <w:sz w:val="28"/>
          <w:szCs w:val="28"/>
        </w:rPr>
        <w:t xml:space="preserve">4.等级分类</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得分90.1~100分者为A级    得分80.1~90分者为B级 </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得分60.1~80分者为C级     得分60分以下者为D级</w:t>
      </w:r>
      <w:r/>
    </w:p>
    <w:p>
      <w:pPr>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5.评价与维护</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A级供应商为优秀供应商，是学校战略性的合作伙伴，为优先选用的供应商。</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B级供应商为良好供应商，是学校一般性合作伙伴，由学校总务处提请供应商改善不足。</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C级供应商为问题供应商，是需要学校总务处帮助改善的供应商，由学校总务处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食堂等部门予以辅导，三月内未能达到B类(含B类)以上予以淘汰。</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D级供应商为不合格供应商，予以淘汰。</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被淘汰供应商再进入《合格供应商名单》，需要至少一年后且重新经过供应商调查评估。</w:t>
      </w:r>
      <w:r/>
    </w:p>
    <w:p>
      <w:pPr>
        <w:spacing w:line="360" w:lineRule="auto"/>
        <w:rPr>
          <w:rFonts w:ascii="仿宋" w:hAnsi="仿宋" w:eastAsia="仿宋" w:cs="仿宋"/>
          <w:color w:val="auto"/>
          <w:sz w:val="28"/>
          <w:szCs w:val="24"/>
        </w:rPr>
      </w:pPr>
      <w:r>
        <w:rPr>
          <w:rFonts w:hint="eastAsia" w:ascii="仿宋" w:hAnsi="仿宋" w:eastAsia="仿宋" w:cs="仿宋"/>
          <w:color w:val="auto"/>
          <w:sz w:val="28"/>
          <w:szCs w:val="24"/>
        </w:rPr>
        <w:br w:type="page" w:clear="all"/>
      </w:r>
      <w:r/>
    </w:p>
    <w:p>
      <w:pPr>
        <w:rPr>
          <w:rFonts w:ascii="仿宋" w:hAnsi="仿宋" w:eastAsia="仿宋" w:cs="仿宋"/>
          <w:color w:val="auto"/>
          <w:sz w:val="24"/>
          <w:szCs w:val="24"/>
        </w:rPr>
      </w:pPr>
      <w:r>
        <w:rPr>
          <w:rFonts w:ascii="仿宋" w:hAnsi="仿宋" w:eastAsia="仿宋" w:cs="仿宋"/>
          <w:color w:val="auto"/>
          <w:sz w:val="24"/>
          <w:szCs w:val="24"/>
        </w:rPr>
      </w:r>
      <w:r/>
    </w:p>
    <w:p>
      <w:pPr>
        <w:ind w:firstLine="643"/>
        <w:jc w:val="center"/>
        <w:tabs>
          <w:tab w:val="left" w:pos="5715" w:leader="none"/>
        </w:tabs>
        <w:rPr>
          <w:rFonts w:ascii="仿宋" w:hAnsi="仿宋" w:eastAsia="仿宋" w:cs="仿宋"/>
          <w:b/>
          <w:bCs/>
          <w:color w:val="auto"/>
          <w:sz w:val="32"/>
          <w:szCs w:val="32"/>
        </w:rPr>
      </w:pPr>
      <w:r>
        <w:rPr>
          <w:rFonts w:hint="eastAsia" w:ascii="仿宋" w:hAnsi="仿宋" w:eastAsia="仿宋" w:cs="仿宋"/>
          <w:b/>
          <w:bCs/>
          <w:color w:val="auto"/>
          <w:sz w:val="32"/>
          <w:szCs w:val="32"/>
        </w:rPr>
        <w:t xml:space="preserve">食堂采购服务供应商月度评分表</w:t>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                                                       年    月   日     </w:t>
      </w:r>
      <w:r/>
    </w:p>
    <w:p>
      <w:pPr>
        <w:rPr>
          <w:rFonts w:ascii="仿宋" w:hAnsi="仿宋" w:eastAsia="仿宋" w:cs="仿宋"/>
          <w:b/>
          <w:bCs/>
          <w:color w:val="auto"/>
          <w:sz w:val="24"/>
          <w:szCs w:val="24"/>
        </w:rPr>
      </w:pPr>
      <w:r>
        <w:rPr>
          <w:rFonts w:hint="eastAsia" w:ascii="仿宋" w:hAnsi="仿宋" w:eastAsia="仿宋" w:cs="仿宋"/>
          <w:b/>
          <w:color w:val="auto"/>
          <w:sz w:val="24"/>
          <w:szCs w:val="24"/>
        </w:rPr>
        <w:t xml:space="preserve"> </w:t>
      </w:r>
      <w:r/>
    </w:p>
    <w:tbl>
      <w:tblPr>
        <w:tblStyle w:val="801"/>
        <w:tblW w:w="911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326"/>
        <w:gridCol w:w="916"/>
        <w:gridCol w:w="775"/>
        <w:gridCol w:w="961"/>
        <w:gridCol w:w="1427"/>
        <w:gridCol w:w="1300"/>
        <w:gridCol w:w="975"/>
        <w:gridCol w:w="811"/>
      </w:tblGrid>
      <w:tr>
        <w:trPr>
          <w:trHeight w:val="594"/>
        </w:trPr>
        <w:tc>
          <w:tcPr>
            <w:tcW w:w="1627" w:type="dxa"/>
            <w:vAlign w:val="center"/>
            <w:textDirection w:val="lrTb"/>
            <w:noWrap w:val="false"/>
          </w:tcPr>
          <w:p>
            <w:pPr>
              <w:rPr>
                <w:rFonts w:ascii="仿宋" w:hAnsi="仿宋" w:eastAsia="仿宋" w:cs="仿宋"/>
                <w:b/>
                <w:color w:val="auto"/>
                <w:sz w:val="24"/>
                <w:szCs w:val="24"/>
              </w:rPr>
            </w:pPr>
            <w:r>
              <w:rPr>
                <w:rFonts w:hint="eastAsia" w:ascii="仿宋" w:hAnsi="仿宋" w:eastAsia="仿宋" w:cs="仿宋"/>
                <w:b/>
                <w:color w:val="auto"/>
                <w:sz w:val="24"/>
                <w:szCs w:val="24"/>
              </w:rPr>
              <w:t xml:space="preserve">供应商名称</w:t>
            </w:r>
            <w:r/>
          </w:p>
        </w:tc>
        <w:tc>
          <w:tcPr>
            <w:gridSpan w:val="4"/>
            <w:tcW w:w="2978"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1427" w:type="dxa"/>
            <w:vAlign w:val="center"/>
            <w:textDirection w:val="lrTb"/>
            <w:noWrap w:val="false"/>
          </w:tcPr>
          <w:p>
            <w:pPr>
              <w:ind w:firstLine="118"/>
              <w:rPr>
                <w:rFonts w:ascii="仿宋" w:hAnsi="仿宋" w:eastAsia="仿宋" w:cs="仿宋"/>
                <w:b/>
                <w:color w:val="auto"/>
                <w:sz w:val="24"/>
                <w:szCs w:val="24"/>
              </w:rPr>
            </w:pPr>
            <w:r>
              <w:rPr>
                <w:rFonts w:hint="eastAsia" w:ascii="仿宋" w:hAnsi="仿宋" w:eastAsia="仿宋" w:cs="仿宋"/>
                <w:b/>
                <w:color w:val="auto"/>
                <w:sz w:val="24"/>
                <w:szCs w:val="24"/>
              </w:rPr>
              <w:t xml:space="preserve">供应食材</w:t>
            </w:r>
            <w:r/>
          </w:p>
        </w:tc>
        <w:tc>
          <w:tcPr>
            <w:gridSpan w:val="3"/>
            <w:tcW w:w="3086"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94"/>
        </w:trPr>
        <w:tc>
          <w:tcPr>
            <w:tcW w:w="1627" w:type="dxa"/>
            <w:vAlign w:val="center"/>
            <w:textDirection w:val="lrTb"/>
            <w:noWrap w:val="false"/>
          </w:tcPr>
          <w:p>
            <w:pPr>
              <w:rPr>
                <w:rFonts w:ascii="仿宋" w:hAnsi="仿宋" w:eastAsia="仿宋" w:cs="仿宋"/>
                <w:b/>
                <w:color w:val="auto"/>
                <w:sz w:val="24"/>
                <w:szCs w:val="24"/>
              </w:rPr>
            </w:pPr>
            <w:r>
              <w:rPr>
                <w:rFonts w:hint="eastAsia" w:ascii="仿宋" w:hAnsi="仿宋" w:eastAsia="仿宋" w:cs="仿宋"/>
                <w:b/>
                <w:color w:val="auto"/>
                <w:sz w:val="24"/>
                <w:szCs w:val="24"/>
              </w:rPr>
              <w:t xml:space="preserve">联  系 人</w:t>
            </w:r>
            <w:r/>
          </w:p>
        </w:tc>
        <w:tc>
          <w:tcPr>
            <w:gridSpan w:val="4"/>
            <w:tcW w:w="2978"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1427" w:type="dxa"/>
            <w:vAlign w:val="center"/>
            <w:textDirection w:val="lrTb"/>
            <w:noWrap w:val="false"/>
          </w:tcPr>
          <w:p>
            <w:pPr>
              <w:ind w:firstLine="118"/>
              <w:rPr>
                <w:rFonts w:ascii="仿宋" w:hAnsi="仿宋" w:eastAsia="仿宋" w:cs="仿宋"/>
                <w:b/>
                <w:color w:val="auto"/>
                <w:sz w:val="24"/>
                <w:szCs w:val="24"/>
              </w:rPr>
            </w:pPr>
            <w:r>
              <w:rPr>
                <w:rFonts w:hint="eastAsia" w:ascii="仿宋" w:hAnsi="仿宋" w:eastAsia="仿宋" w:cs="仿宋"/>
                <w:b/>
                <w:color w:val="auto"/>
                <w:sz w:val="24"/>
                <w:szCs w:val="24"/>
              </w:rPr>
              <w:t xml:space="preserve">联系电话</w:t>
            </w:r>
            <w:r/>
          </w:p>
        </w:tc>
        <w:tc>
          <w:tcPr>
            <w:gridSpan w:val="3"/>
            <w:tcW w:w="3086"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94"/>
        </w:trPr>
        <w:tc>
          <w:tcPr>
            <w:tcW w:w="162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评价项目</w:t>
            </w:r>
            <w:r/>
          </w:p>
        </w:tc>
        <w:tc>
          <w:tcPr>
            <w:gridSpan w:val="2"/>
            <w:tcW w:w="1242"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评价内容</w:t>
            </w:r>
            <w:r/>
          </w:p>
        </w:tc>
        <w:tc>
          <w:tcPr>
            <w:tcW w:w="7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满分</w:t>
            </w:r>
            <w:r/>
          </w:p>
        </w:tc>
        <w:tc>
          <w:tcPr>
            <w:tcW w:w="961"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得分</w:t>
            </w:r>
            <w:r/>
          </w:p>
        </w:tc>
        <w:tc>
          <w:tcPr>
            <w:tcW w:w="142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评价项目</w:t>
            </w:r>
            <w:r/>
          </w:p>
        </w:tc>
        <w:tc>
          <w:tcPr>
            <w:tcW w:w="1300"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评价内容</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满分</w:t>
            </w:r>
            <w:r/>
          </w:p>
        </w:tc>
        <w:tc>
          <w:tcPr>
            <w:tcW w:w="811"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得分</w:t>
            </w:r>
            <w:r/>
          </w:p>
        </w:tc>
      </w:tr>
      <w:tr>
        <w:trPr>
          <w:trHeight w:val="507"/>
        </w:trPr>
        <w:tc>
          <w:tcPr>
            <w:tcW w:w="1627"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质量</w:t>
            </w:r>
            <w:r/>
          </w:p>
          <w:p>
            <w:pPr>
              <w:jc w:val="center"/>
              <w:rPr>
                <w:rFonts w:ascii="仿宋" w:hAnsi="仿宋" w:eastAsia="仿宋" w:cs="仿宋"/>
                <w:b/>
                <w:color w:val="auto"/>
                <w:sz w:val="24"/>
                <w:szCs w:val="24"/>
              </w:rPr>
            </w:pPr>
            <w:r>
              <w:rPr>
                <w:rFonts w:hint="eastAsia" w:ascii="仿宋" w:hAnsi="仿宋" w:eastAsia="仿宋" w:cs="仿宋"/>
                <w:b/>
                <w:bCs/>
                <w:color w:val="auto"/>
                <w:sz w:val="24"/>
                <w:szCs w:val="24"/>
              </w:rPr>
              <w:t xml:space="preserve">评价</w:t>
            </w:r>
            <w:r/>
          </w:p>
        </w:tc>
        <w:tc>
          <w:tcPr>
            <w:gridSpan w:val="2"/>
            <w:tcW w:w="1242"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到货质量</w:t>
            </w:r>
            <w:r/>
          </w:p>
        </w:tc>
        <w:tc>
          <w:tcPr>
            <w:tcW w:w="775"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40</w:t>
            </w:r>
            <w:r/>
          </w:p>
        </w:tc>
        <w:tc>
          <w:tcPr>
            <w:tcW w:w="961"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1427"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价格</w:t>
            </w:r>
            <w:r/>
          </w:p>
          <w:p>
            <w:pPr>
              <w:jc w:val="center"/>
              <w:rPr>
                <w:rFonts w:ascii="仿宋" w:hAnsi="仿宋" w:eastAsia="仿宋" w:cs="仿宋"/>
                <w:b/>
                <w:color w:val="auto"/>
                <w:sz w:val="24"/>
                <w:szCs w:val="24"/>
              </w:rPr>
            </w:pPr>
            <w:r>
              <w:rPr>
                <w:rFonts w:hint="eastAsia" w:ascii="仿宋" w:hAnsi="仿宋" w:eastAsia="仿宋" w:cs="仿宋"/>
                <w:b/>
                <w:bCs/>
                <w:color w:val="auto"/>
                <w:sz w:val="24"/>
                <w:szCs w:val="24"/>
              </w:rPr>
              <w:t xml:space="preserve">评价</w:t>
            </w:r>
            <w:r/>
          </w:p>
        </w:tc>
        <w:tc>
          <w:tcPr>
            <w:tcW w:w="1300"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公平合理</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20</w:t>
            </w:r>
            <w:r/>
          </w:p>
        </w:tc>
        <w:tc>
          <w:tcPr>
            <w:tcW w:w="811"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24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775"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96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4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300"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尚属公平</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15</w:t>
            </w:r>
            <w:r/>
          </w:p>
        </w:tc>
        <w:tc>
          <w:tcPr>
            <w:tcW w:w="81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242"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775"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96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1427"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1300"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稍微偏高</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10</w:t>
            </w:r>
            <w:r/>
          </w:p>
        </w:tc>
        <w:tc>
          <w:tcPr>
            <w:tcW w:w="81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24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775"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96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4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300"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不合理</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0</w:t>
            </w:r>
            <w:r/>
          </w:p>
        </w:tc>
        <w:tc>
          <w:tcPr>
            <w:tcW w:w="81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交货</w:t>
            </w:r>
            <w:r/>
          </w:p>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评价</w:t>
            </w:r>
            <w:r/>
          </w:p>
        </w:tc>
        <w:tc>
          <w:tcPr>
            <w:gridSpan w:val="2"/>
            <w:tcW w:w="1242"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如期交货</w:t>
            </w:r>
            <w:r/>
          </w:p>
        </w:tc>
        <w:tc>
          <w:tcPr>
            <w:tcW w:w="775"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20</w:t>
            </w:r>
            <w:r/>
          </w:p>
        </w:tc>
        <w:tc>
          <w:tcPr>
            <w:tcW w:w="961" w:type="dxa"/>
            <w:vAlign w:val="center"/>
            <w:vMerge w:val="restart"/>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427"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退货</w:t>
            </w:r>
            <w:r/>
          </w:p>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换货</w:t>
            </w:r>
            <w:r/>
          </w:p>
        </w:tc>
        <w:tc>
          <w:tcPr>
            <w:tcW w:w="1300"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按期更换</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8</w:t>
            </w:r>
            <w:r/>
          </w:p>
        </w:tc>
        <w:tc>
          <w:tcPr>
            <w:tcW w:w="811"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24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775"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96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4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300"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偶尔拖延</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5</w:t>
            </w:r>
            <w:r/>
          </w:p>
        </w:tc>
        <w:tc>
          <w:tcPr>
            <w:tcW w:w="81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242"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延迟交货</w:t>
            </w:r>
            <w:r/>
          </w:p>
        </w:tc>
        <w:tc>
          <w:tcPr>
            <w:tcW w:w="775"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-2/次</w:t>
            </w:r>
            <w:r/>
          </w:p>
        </w:tc>
        <w:tc>
          <w:tcPr>
            <w:tcW w:w="96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4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300"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经常拖延</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2</w:t>
            </w:r>
            <w:r/>
          </w:p>
        </w:tc>
        <w:tc>
          <w:tcPr>
            <w:tcW w:w="81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24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775"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96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4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300"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置之不理</w:t>
            </w:r>
            <w:r/>
          </w:p>
        </w:tc>
        <w:tc>
          <w:tcPr>
            <w:tcW w:w="975"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0</w:t>
            </w:r>
            <w:r/>
          </w:p>
        </w:tc>
        <w:tc>
          <w:tcPr>
            <w:tcW w:w="81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意见</w:t>
            </w:r>
            <w:r/>
          </w:p>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处理</w:t>
            </w:r>
            <w:r/>
          </w:p>
        </w:tc>
        <w:tc>
          <w:tcPr>
            <w:gridSpan w:val="2"/>
            <w:tcW w:w="124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诚意改善</w:t>
            </w:r>
            <w:r/>
          </w:p>
        </w:tc>
        <w:tc>
          <w:tcPr>
            <w:tcW w:w="775"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961" w:type="dxa"/>
            <w:vAlign w:val="center"/>
            <w:vMerge w:val="restart"/>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2727"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其他评价</w:t>
            </w:r>
            <w:r/>
          </w:p>
        </w:tc>
        <w:tc>
          <w:tcPr>
            <w:tcW w:w="975"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6</w:t>
            </w:r>
            <w:r/>
          </w:p>
        </w:tc>
        <w:tc>
          <w:tcPr>
            <w:tcW w:w="811"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507"/>
        </w:trPr>
        <w:tc>
          <w:tcPr>
            <w:tcW w:w="16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24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置之不理</w:t>
            </w:r>
            <w:r/>
          </w:p>
        </w:tc>
        <w:tc>
          <w:tcPr>
            <w:tcW w:w="775"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-2/次</w:t>
            </w:r>
            <w:r/>
          </w:p>
        </w:tc>
        <w:tc>
          <w:tcPr>
            <w:tcW w:w="96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272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975"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81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trHeight w:val="2778"/>
        </w:trPr>
        <w:tc>
          <w:tcPr>
            <w:gridSpan w:val="2"/>
            <w:tcW w:w="1953" w:type="dxa"/>
            <w:textDirection w:val="lrTb"/>
            <w:noWrap w:val="false"/>
          </w:tcPr>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评定总分：   </w:t>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2652" w:type="dxa"/>
            <w:textDirection w:val="lrTb"/>
            <w:noWrap w:val="false"/>
          </w:tcPr>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评定人（签名）：</w:t>
            </w:r>
            <w:r/>
          </w:p>
        </w:tc>
        <w:tc>
          <w:tcPr>
            <w:gridSpan w:val="4"/>
            <w:tcW w:w="4513" w:type="dxa"/>
            <w:vAlign w:val="center"/>
            <w:textDirection w:val="lrTb"/>
            <w:noWrap w:val="false"/>
          </w:tcPr>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评定意见：</w:t>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□建议纳入合格供方；□不建议纳入合格供方</w:t>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后勤处室负责人：             </w:t>
            </w:r>
            <w:r/>
          </w:p>
          <w:p>
            <w:pPr>
              <w:ind w:firstLine="3360"/>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ind w:firstLine="3360"/>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年   月    日</w:t>
            </w:r>
            <w:r/>
          </w:p>
        </w:tc>
      </w:tr>
    </w:tbl>
    <w:p>
      <w:pPr>
        <w:spacing w:line="360" w:lineRule="auto"/>
        <w:rPr>
          <w:rFonts w:ascii="仿宋" w:hAnsi="仿宋" w:eastAsia="仿宋" w:cs="仿宋"/>
          <w:color w:val="auto"/>
          <w:sz w:val="24"/>
          <w:szCs w:val="24"/>
        </w:rPr>
      </w:pPr>
      <w:r>
        <w:rPr>
          <w:rFonts w:hint="eastAsia" w:ascii="仿宋" w:hAnsi="仿宋" w:eastAsia="仿宋" w:cs="仿宋"/>
          <w:b/>
          <w:bCs/>
          <w:color w:val="auto"/>
          <w:sz w:val="24"/>
          <w:szCs w:val="24"/>
        </w:rPr>
        <w:t xml:space="preserve">注：质量评价</w:t>
      </w:r>
      <w:r>
        <w:rPr>
          <w:rFonts w:hint="eastAsia" w:ascii="仿宋" w:hAnsi="仿宋" w:eastAsia="仿宋" w:cs="仿宋"/>
          <w:color w:val="auto"/>
          <w:sz w:val="24"/>
          <w:szCs w:val="24"/>
        </w:rPr>
        <w:t xml:space="preserve">：由仓库依据到货验收的批次合格率评分，每月一次。</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a.计算：到货批次合格率＝检验合格批数/总交验批数×100％</w:t>
      </w:r>
      <w:r/>
    </w:p>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b.评分：得分＝40×交货批次合格率</w:t>
      </w:r>
      <w:r/>
    </w:p>
    <w:p>
      <w:pPr>
        <w:ind w:firstLine="562"/>
        <w:jc w:val="center"/>
        <w:tabs>
          <w:tab w:val="left" w:pos="5715" w:leader="none"/>
        </w:tabs>
        <w:rPr>
          <w:rFonts w:ascii="仿宋" w:hAnsi="仿宋" w:eastAsia="仿宋" w:cs="仿宋"/>
          <w:b/>
          <w:bCs/>
          <w:color w:val="auto"/>
          <w:sz w:val="24"/>
          <w:szCs w:val="24"/>
        </w:rPr>
      </w:pPr>
      <w:r>
        <w:rPr>
          <w:rFonts w:hint="eastAsia" w:ascii="仿宋" w:hAnsi="仿宋" w:eastAsia="仿宋" w:cs="仿宋"/>
          <w:b/>
          <w:bCs/>
          <w:color w:val="auto"/>
          <w:sz w:val="28"/>
          <w:szCs w:val="28"/>
        </w:rPr>
        <w:br w:type="page" w:clear="all"/>
      </w:r>
      <w:r>
        <w:rPr>
          <w:rFonts w:hint="eastAsia" w:ascii="仿宋" w:hAnsi="仿宋" w:eastAsia="仿宋" w:cs="仿宋"/>
          <w:b/>
          <w:bCs/>
          <w:color w:val="auto"/>
          <w:sz w:val="32"/>
          <w:szCs w:val="32"/>
        </w:rPr>
        <w:t xml:space="preserve">食堂采购服务供应商年度评分表</w:t>
      </w:r>
      <w:r/>
    </w:p>
    <w:p>
      <w:pPr>
        <w:jc w:val="right"/>
        <w:rPr>
          <w:rFonts w:ascii="仿宋" w:hAnsi="仿宋" w:eastAsia="仿宋" w:cs="仿宋"/>
          <w:b/>
          <w:color w:val="auto"/>
          <w:sz w:val="24"/>
          <w:szCs w:val="24"/>
        </w:rPr>
      </w:pPr>
      <w:r>
        <w:rPr>
          <w:rFonts w:hint="eastAsia" w:ascii="仿宋" w:hAnsi="仿宋" w:eastAsia="仿宋" w:cs="仿宋"/>
          <w:b/>
          <w:color w:val="auto"/>
          <w:sz w:val="24"/>
          <w:szCs w:val="24"/>
        </w:rPr>
        <w:t xml:space="preserve">                                                      年  月   日     </w:t>
      </w:r>
      <w:r/>
    </w:p>
    <w:p>
      <w:pPr>
        <w:rPr>
          <w:rFonts w:ascii="仿宋" w:hAnsi="仿宋" w:eastAsia="仿宋" w:cs="仿宋"/>
          <w:b/>
          <w:bCs/>
          <w:color w:val="auto"/>
          <w:sz w:val="24"/>
          <w:szCs w:val="24"/>
        </w:rPr>
      </w:pPr>
      <w:r>
        <w:rPr>
          <w:rFonts w:hint="eastAsia" w:ascii="仿宋" w:hAnsi="仿宋" w:eastAsia="仿宋" w:cs="仿宋"/>
          <w:b/>
          <w:color w:val="auto"/>
          <w:sz w:val="24"/>
          <w:szCs w:val="24"/>
        </w:rPr>
        <w:t xml:space="preserve"> </w:t>
      </w:r>
      <w:r/>
    </w:p>
    <w:tbl>
      <w:tblPr>
        <w:tblStyle w:val="801"/>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477"/>
        <w:gridCol w:w="56"/>
        <w:gridCol w:w="624"/>
        <w:gridCol w:w="1002"/>
        <w:gridCol w:w="851"/>
        <w:gridCol w:w="212"/>
        <w:gridCol w:w="1108"/>
        <w:gridCol w:w="242"/>
        <w:gridCol w:w="1081"/>
        <w:gridCol w:w="907"/>
        <w:gridCol w:w="810"/>
      </w:tblGrid>
      <w:tr>
        <w:trPr>
          <w:jc w:val="center"/>
          <w:trHeight w:val="591"/>
        </w:trPr>
        <w:tc>
          <w:tcPr>
            <w:gridSpan w:val="2"/>
            <w:tcW w:w="1807" w:type="dxa"/>
            <w:vAlign w:val="center"/>
            <w:textDirection w:val="lrTb"/>
            <w:noWrap w:val="false"/>
          </w:tcPr>
          <w:p>
            <w:pPr>
              <w:rPr>
                <w:rFonts w:ascii="仿宋" w:hAnsi="仿宋" w:eastAsia="仿宋" w:cs="仿宋"/>
                <w:b/>
                <w:color w:val="auto"/>
                <w:sz w:val="24"/>
                <w:szCs w:val="24"/>
              </w:rPr>
            </w:pPr>
            <w:r>
              <w:rPr>
                <w:rFonts w:hint="eastAsia" w:ascii="仿宋" w:hAnsi="仿宋" w:eastAsia="仿宋" w:cs="仿宋"/>
                <w:b/>
                <w:color w:val="auto"/>
                <w:sz w:val="24"/>
                <w:szCs w:val="24"/>
              </w:rPr>
              <w:t xml:space="preserve">供应商名称</w:t>
            </w:r>
            <w:r/>
          </w:p>
        </w:tc>
        <w:tc>
          <w:tcPr>
            <w:gridSpan w:val="5"/>
            <w:tcW w:w="2745"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c>
          <w:tcPr>
            <w:gridSpan w:val="2"/>
            <w:tcW w:w="1350" w:type="dxa"/>
            <w:vAlign w:val="center"/>
            <w:textDirection w:val="lrTb"/>
            <w:noWrap w:val="false"/>
          </w:tcPr>
          <w:p>
            <w:pPr>
              <w:ind w:firstLine="118"/>
              <w:rPr>
                <w:rFonts w:ascii="仿宋" w:hAnsi="仿宋" w:eastAsia="仿宋" w:cs="仿宋"/>
                <w:b/>
                <w:color w:val="auto"/>
                <w:sz w:val="24"/>
                <w:szCs w:val="24"/>
              </w:rPr>
            </w:pPr>
            <w:r>
              <w:rPr>
                <w:rFonts w:hint="eastAsia" w:ascii="仿宋" w:hAnsi="仿宋" w:eastAsia="仿宋" w:cs="仿宋"/>
                <w:b/>
                <w:color w:val="auto"/>
                <w:sz w:val="24"/>
                <w:szCs w:val="24"/>
              </w:rPr>
              <w:t xml:space="preserve">供应食材</w:t>
            </w:r>
            <w:r/>
          </w:p>
        </w:tc>
        <w:tc>
          <w:tcPr>
            <w:gridSpan w:val="3"/>
            <w:tcW w:w="2798"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91"/>
        </w:trPr>
        <w:tc>
          <w:tcPr>
            <w:gridSpan w:val="2"/>
            <w:tcW w:w="1807" w:type="dxa"/>
            <w:vAlign w:val="center"/>
            <w:textDirection w:val="lrTb"/>
            <w:noWrap w:val="false"/>
          </w:tcPr>
          <w:p>
            <w:pPr>
              <w:rPr>
                <w:rFonts w:ascii="仿宋" w:hAnsi="仿宋" w:eastAsia="仿宋" w:cs="仿宋"/>
                <w:b/>
                <w:color w:val="auto"/>
                <w:sz w:val="24"/>
                <w:szCs w:val="24"/>
              </w:rPr>
            </w:pPr>
            <w:r>
              <w:rPr>
                <w:rFonts w:hint="eastAsia" w:ascii="仿宋" w:hAnsi="仿宋" w:eastAsia="仿宋" w:cs="仿宋"/>
                <w:b/>
                <w:color w:val="auto"/>
                <w:sz w:val="24"/>
                <w:szCs w:val="24"/>
              </w:rPr>
              <w:t xml:space="preserve">联  系 人</w:t>
            </w:r>
            <w:r/>
          </w:p>
        </w:tc>
        <w:tc>
          <w:tcPr>
            <w:gridSpan w:val="5"/>
            <w:tcW w:w="2745"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c>
          <w:tcPr>
            <w:gridSpan w:val="2"/>
            <w:tcW w:w="1350" w:type="dxa"/>
            <w:vAlign w:val="center"/>
            <w:textDirection w:val="lrTb"/>
            <w:noWrap w:val="false"/>
          </w:tcPr>
          <w:p>
            <w:pPr>
              <w:ind w:firstLine="118"/>
              <w:rPr>
                <w:rFonts w:ascii="仿宋" w:hAnsi="仿宋" w:eastAsia="仿宋" w:cs="仿宋"/>
                <w:b/>
                <w:color w:val="auto"/>
                <w:sz w:val="24"/>
                <w:szCs w:val="24"/>
              </w:rPr>
            </w:pPr>
            <w:r>
              <w:rPr>
                <w:rFonts w:hint="eastAsia" w:ascii="仿宋" w:hAnsi="仿宋" w:eastAsia="仿宋" w:cs="仿宋"/>
                <w:b/>
                <w:color w:val="auto"/>
                <w:sz w:val="24"/>
                <w:szCs w:val="24"/>
              </w:rPr>
              <w:t xml:space="preserve">联系电话</w:t>
            </w:r>
            <w:r/>
          </w:p>
        </w:tc>
        <w:tc>
          <w:tcPr>
            <w:gridSpan w:val="3"/>
            <w:tcW w:w="2798" w:type="dxa"/>
            <w:vAlign w:val="center"/>
            <w:textDirection w:val="lrTb"/>
            <w:noWrap w:val="false"/>
          </w:tcPr>
          <w:p>
            <w:pPr>
              <w:ind w:firstLine="422"/>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91"/>
        </w:trPr>
        <w:tc>
          <w:tcPr>
            <w:tcW w:w="1330"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评价项目</w:t>
            </w:r>
            <w:r/>
          </w:p>
        </w:tc>
        <w:tc>
          <w:tcPr>
            <w:gridSpan w:val="3"/>
            <w:tcW w:w="115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评价内容</w:t>
            </w:r>
            <w:r/>
          </w:p>
        </w:tc>
        <w:tc>
          <w:tcPr>
            <w:tcW w:w="1002"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满分</w:t>
            </w:r>
            <w:r/>
          </w:p>
        </w:tc>
        <w:tc>
          <w:tcPr>
            <w:tcW w:w="851"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得分</w:t>
            </w:r>
            <w:r/>
          </w:p>
        </w:tc>
        <w:tc>
          <w:tcPr>
            <w:gridSpan w:val="2"/>
            <w:tcW w:w="1320"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评价项目</w:t>
            </w:r>
            <w:r/>
          </w:p>
        </w:tc>
        <w:tc>
          <w:tcPr>
            <w:gridSpan w:val="2"/>
            <w:tcW w:w="1323"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评价内容</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满分</w:t>
            </w:r>
            <w:r/>
          </w:p>
        </w:tc>
        <w:tc>
          <w:tcPr>
            <w:tcW w:w="810"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得分</w:t>
            </w:r>
            <w:r/>
          </w:p>
        </w:tc>
      </w:tr>
      <w:tr>
        <w:trPr>
          <w:jc w:val="center"/>
          <w:trHeight w:val="506"/>
        </w:trPr>
        <w:tc>
          <w:tcPr>
            <w:tcW w:w="1330"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质量</w:t>
            </w:r>
            <w:r/>
          </w:p>
          <w:p>
            <w:pPr>
              <w:jc w:val="center"/>
              <w:rPr>
                <w:rFonts w:ascii="仿宋" w:hAnsi="仿宋" w:eastAsia="仿宋" w:cs="仿宋"/>
                <w:b/>
                <w:color w:val="auto"/>
                <w:sz w:val="24"/>
                <w:szCs w:val="24"/>
              </w:rPr>
            </w:pPr>
            <w:r>
              <w:rPr>
                <w:rFonts w:hint="eastAsia" w:ascii="仿宋" w:hAnsi="仿宋" w:eastAsia="仿宋" w:cs="仿宋"/>
                <w:b/>
                <w:bCs/>
                <w:color w:val="auto"/>
                <w:sz w:val="24"/>
                <w:szCs w:val="24"/>
              </w:rPr>
              <w:t xml:space="preserve">评价</w:t>
            </w:r>
            <w:r/>
          </w:p>
        </w:tc>
        <w:tc>
          <w:tcPr>
            <w:gridSpan w:val="3"/>
            <w:tcW w:w="1157"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到货质量</w:t>
            </w:r>
            <w:r/>
          </w:p>
        </w:tc>
        <w:tc>
          <w:tcPr>
            <w:tcW w:w="1002"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40</w:t>
            </w:r>
            <w:r/>
          </w:p>
        </w:tc>
        <w:tc>
          <w:tcPr>
            <w:tcW w:w="851"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gridSpan w:val="2"/>
            <w:tcW w:w="1320"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价格</w:t>
            </w:r>
            <w:r/>
          </w:p>
          <w:p>
            <w:pPr>
              <w:jc w:val="center"/>
              <w:rPr>
                <w:rFonts w:ascii="仿宋" w:hAnsi="仿宋" w:eastAsia="仿宋" w:cs="仿宋"/>
                <w:b/>
                <w:color w:val="auto"/>
                <w:sz w:val="24"/>
                <w:szCs w:val="24"/>
              </w:rPr>
            </w:pPr>
            <w:r>
              <w:rPr>
                <w:rFonts w:hint="eastAsia" w:ascii="仿宋" w:hAnsi="仿宋" w:eastAsia="仿宋" w:cs="仿宋"/>
                <w:b/>
                <w:bCs/>
                <w:color w:val="auto"/>
                <w:sz w:val="24"/>
                <w:szCs w:val="24"/>
              </w:rPr>
              <w:t xml:space="preserve">评价</w:t>
            </w:r>
            <w:r/>
          </w:p>
        </w:tc>
        <w:tc>
          <w:tcPr>
            <w:gridSpan w:val="2"/>
            <w:tcW w:w="1323"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公平合理</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20</w:t>
            </w:r>
            <w:r/>
          </w:p>
        </w:tc>
        <w:tc>
          <w:tcPr>
            <w:tcW w:w="810"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115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00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85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3"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尚属公平</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15</w:t>
            </w:r>
            <w:r/>
          </w:p>
        </w:tc>
        <w:tc>
          <w:tcPr>
            <w:tcW w:w="81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1157"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1002"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851"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gridSpan w:val="2"/>
            <w:tcW w:w="132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gridSpan w:val="2"/>
            <w:tcW w:w="1323"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稍微偏高</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10</w:t>
            </w:r>
            <w:r/>
          </w:p>
        </w:tc>
        <w:tc>
          <w:tcPr>
            <w:tcW w:w="81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115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00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85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3"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color w:val="auto"/>
                <w:sz w:val="24"/>
                <w:szCs w:val="24"/>
              </w:rPr>
              <w:t xml:space="preserve">不合理</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0</w:t>
            </w:r>
            <w:r/>
          </w:p>
        </w:tc>
        <w:tc>
          <w:tcPr>
            <w:tcW w:w="81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交货</w:t>
            </w:r>
            <w:r/>
          </w:p>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评价</w:t>
            </w:r>
            <w:r/>
          </w:p>
        </w:tc>
        <w:tc>
          <w:tcPr>
            <w:gridSpan w:val="3"/>
            <w:tcW w:w="1157"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如期交货</w:t>
            </w:r>
            <w:r/>
          </w:p>
        </w:tc>
        <w:tc>
          <w:tcPr>
            <w:tcW w:w="1002"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20</w:t>
            </w:r>
            <w:r/>
          </w:p>
        </w:tc>
        <w:tc>
          <w:tcPr>
            <w:tcW w:w="851" w:type="dxa"/>
            <w:vAlign w:val="center"/>
            <w:vMerge w:val="restart"/>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0"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退货</w:t>
            </w:r>
            <w:r/>
          </w:p>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换货</w:t>
            </w:r>
            <w:r/>
          </w:p>
        </w:tc>
        <w:tc>
          <w:tcPr>
            <w:gridSpan w:val="2"/>
            <w:tcW w:w="1323"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按期更换</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8</w:t>
            </w:r>
            <w:r/>
          </w:p>
        </w:tc>
        <w:tc>
          <w:tcPr>
            <w:tcW w:w="810"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115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00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85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3"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偶尔拖延</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5</w:t>
            </w:r>
            <w:r/>
          </w:p>
        </w:tc>
        <w:tc>
          <w:tcPr>
            <w:tcW w:w="81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1157"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延迟交货</w:t>
            </w:r>
            <w:r/>
          </w:p>
        </w:tc>
        <w:tc>
          <w:tcPr>
            <w:tcW w:w="1002"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-2/次</w:t>
            </w:r>
            <w:r/>
          </w:p>
        </w:tc>
        <w:tc>
          <w:tcPr>
            <w:tcW w:w="85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3"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经常拖延</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2</w:t>
            </w:r>
            <w:r/>
          </w:p>
        </w:tc>
        <w:tc>
          <w:tcPr>
            <w:tcW w:w="81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1157"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1002"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85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2"/>
            <w:tcW w:w="1323"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置之不理</w:t>
            </w:r>
            <w:r/>
          </w:p>
        </w:tc>
        <w:tc>
          <w:tcPr>
            <w:tcW w:w="90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0</w:t>
            </w:r>
            <w:r/>
          </w:p>
        </w:tc>
        <w:tc>
          <w:tcPr>
            <w:tcW w:w="81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restart"/>
            <w:textDirection w:val="lrTb"/>
            <w:noWrap w:val="false"/>
          </w:tcPr>
          <w:p>
            <w:pPr>
              <w:jc w:val="center"/>
              <w:rPr>
                <w:rFonts w:ascii="仿宋" w:hAnsi="仿宋" w:eastAsia="仿宋" w:cs="仿宋"/>
                <w:b/>
                <w:bCs/>
                <w:color w:val="auto"/>
                <w:sz w:val="24"/>
                <w:szCs w:val="24"/>
              </w:rPr>
            </w:pPr>
            <w:r>
              <w:rPr>
                <w:rFonts w:hint="eastAsia" w:ascii="仿宋" w:hAnsi="仿宋" w:eastAsia="仿宋" w:cs="仿宋"/>
                <w:b/>
                <w:bCs/>
                <w:color w:val="auto"/>
                <w:sz w:val="24"/>
                <w:szCs w:val="24"/>
              </w:rPr>
              <w:t xml:space="preserve">意见</w:t>
            </w:r>
            <w:r/>
          </w:p>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处理</w:t>
            </w:r>
            <w:r/>
          </w:p>
        </w:tc>
        <w:tc>
          <w:tcPr>
            <w:gridSpan w:val="3"/>
            <w:tcW w:w="115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诚意改善</w:t>
            </w:r>
            <w:r/>
          </w:p>
        </w:tc>
        <w:tc>
          <w:tcPr>
            <w:tcW w:w="100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851" w:type="dxa"/>
            <w:vAlign w:val="center"/>
            <w:vMerge w:val="restart"/>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4"/>
            <w:tcW w:w="2643"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b/>
                <w:bCs/>
                <w:color w:val="auto"/>
                <w:sz w:val="24"/>
                <w:szCs w:val="24"/>
              </w:rPr>
              <w:t xml:space="preserve">其他评价</w:t>
            </w:r>
            <w:r/>
          </w:p>
        </w:tc>
        <w:tc>
          <w:tcPr>
            <w:tcW w:w="907" w:type="dxa"/>
            <w:vAlign w:val="center"/>
            <w:vMerge w:val="restart"/>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6</w:t>
            </w:r>
            <w:r/>
          </w:p>
        </w:tc>
        <w:tc>
          <w:tcPr>
            <w:tcW w:w="810" w:type="dxa"/>
            <w:vAlign w:val="center"/>
            <w:vMerge w:val="restart"/>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506"/>
        </w:trPr>
        <w:tc>
          <w:tcPr>
            <w:tcW w:w="1330"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115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置之不理</w:t>
            </w:r>
            <w:r/>
          </w:p>
        </w:tc>
        <w:tc>
          <w:tcPr>
            <w:tcW w:w="100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rPr>
              <w:t xml:space="preserve">-2/次</w:t>
            </w:r>
            <w:r/>
          </w:p>
        </w:tc>
        <w:tc>
          <w:tcPr>
            <w:tcW w:w="851"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4"/>
            <w:tcW w:w="2643"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907"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c>
          <w:tcPr>
            <w:tcW w:w="810" w:type="dxa"/>
            <w:vAlign w:val="center"/>
            <w:vMerge w:val="continue"/>
            <w:textDirection w:val="lrTb"/>
            <w:noWrap w:val="false"/>
          </w:tcPr>
          <w:p>
            <w:pPr>
              <w:jc w:val="center"/>
              <w:rPr>
                <w:rFonts w:ascii="仿宋" w:hAnsi="仿宋" w:eastAsia="仿宋" w:cs="仿宋"/>
                <w:b/>
                <w:color w:val="auto"/>
                <w:sz w:val="24"/>
                <w:szCs w:val="24"/>
              </w:rPr>
            </w:pPr>
            <w:r>
              <w:rPr>
                <w:rFonts w:ascii="仿宋" w:hAnsi="仿宋" w:eastAsia="仿宋" w:cs="仿宋"/>
                <w:b/>
                <w:color w:val="auto"/>
                <w:sz w:val="24"/>
                <w:szCs w:val="24"/>
              </w:rPr>
            </w:r>
            <w:r/>
          </w:p>
        </w:tc>
      </w:tr>
      <w:tr>
        <w:trPr>
          <w:jc w:val="center"/>
          <w:trHeight w:val="2220"/>
        </w:trPr>
        <w:tc>
          <w:tcPr>
            <w:gridSpan w:val="3"/>
            <w:tcW w:w="1863" w:type="dxa"/>
            <w:textDirection w:val="lrTb"/>
            <w:noWrap w:val="false"/>
          </w:tcPr>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评定总分：   </w:t>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tc>
        <w:tc>
          <w:tcPr>
            <w:gridSpan w:val="3"/>
            <w:tcW w:w="2477" w:type="dxa"/>
            <w:textDirection w:val="lrTb"/>
            <w:noWrap w:val="false"/>
          </w:tcPr>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评定人（签名）：</w:t>
            </w:r>
            <w:r/>
          </w:p>
        </w:tc>
        <w:tc>
          <w:tcPr>
            <w:gridSpan w:val="6"/>
            <w:tcW w:w="4360" w:type="dxa"/>
            <w:vAlign w:val="center"/>
            <w:textDirection w:val="lrTb"/>
            <w:noWrap w:val="false"/>
          </w:tcPr>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评定意见：</w:t>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□建议纳入合格供方；□不建议纳入合格供方</w:t>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后勤处室负责人：  </w:t>
            </w:r>
            <w:r/>
          </w:p>
          <w:p>
            <w:pP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jc w:val="right"/>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 年   月    日</w:t>
            </w:r>
            <w:r/>
          </w:p>
        </w:tc>
      </w:tr>
      <w:tr>
        <w:trPr>
          <w:jc w:val="center"/>
          <w:trHeight w:val="2405"/>
        </w:trPr>
        <w:tc>
          <w:tcPr>
            <w:gridSpan w:val="6"/>
            <w:tcW w:w="4340" w:type="dxa"/>
            <w:vAlign w:val="center"/>
            <w:textDirection w:val="lrTb"/>
            <w:noWrap w:val="false"/>
          </w:tcPr>
          <w:p>
            <w:pPr>
              <w:jc w:val="both"/>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分管校长意见：</w:t>
            </w:r>
            <w:r/>
          </w:p>
          <w:p>
            <w:pPr>
              <w:jc w:val="cente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jc w:val="cente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ind w:left="400" w:firstLine="720"/>
              <w:jc w:val="both"/>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签名： </w:t>
            </w:r>
            <w:r/>
          </w:p>
          <w:p>
            <w:pPr>
              <w:jc w:val="right"/>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                      </w:t>
            </w:r>
            <w:r/>
          </w:p>
          <w:p>
            <w:pPr>
              <w:jc w:val="right"/>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 年  月   日</w:t>
            </w:r>
            <w:r/>
          </w:p>
        </w:tc>
        <w:tc>
          <w:tcPr>
            <w:gridSpan w:val="6"/>
            <w:tcW w:w="4360" w:type="dxa"/>
            <w:vAlign w:val="center"/>
            <w:textDirection w:val="lrTb"/>
            <w:noWrap w:val="false"/>
          </w:tcPr>
          <w:p>
            <w:pPr>
              <w:jc w:val="both"/>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校长审批：</w:t>
            </w:r>
            <w:r/>
          </w:p>
          <w:p>
            <w:pPr>
              <w:jc w:val="cente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jc w:val="cente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jc w:val="both"/>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签名：</w:t>
            </w:r>
            <w:r/>
          </w:p>
          <w:p>
            <w:pPr>
              <w:ind w:firstLine="2880"/>
              <w:jc w:val="center"/>
              <w:spacing w:line="260" w:lineRule="exact"/>
              <w:rPr>
                <w:rFonts w:ascii="仿宋" w:hAnsi="仿宋" w:eastAsia="仿宋" w:cs="仿宋"/>
                <w:color w:val="auto"/>
                <w:sz w:val="24"/>
                <w:szCs w:val="24"/>
              </w:rPr>
            </w:pPr>
            <w:r>
              <w:rPr>
                <w:rFonts w:ascii="仿宋" w:hAnsi="仿宋" w:eastAsia="仿宋" w:cs="仿宋"/>
                <w:color w:val="auto"/>
                <w:sz w:val="24"/>
                <w:szCs w:val="24"/>
              </w:rPr>
            </w:r>
            <w:r/>
          </w:p>
          <w:p>
            <w:pPr>
              <w:ind w:firstLine="2880"/>
              <w:jc w:val="center"/>
              <w:spacing w:line="2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年   月   日</w:t>
            </w:r>
            <w:r/>
          </w:p>
        </w:tc>
      </w:tr>
    </w:tbl>
    <w:p>
      <w:pPr>
        <w:pStyle w:val="833"/>
        <w:rPr>
          <w:rFonts w:ascii="仿宋" w:hAnsi="仿宋" w:eastAsia="仿宋" w:cs="仿宋"/>
          <w:b/>
          <w:color w:val="auto"/>
          <w:sz w:val="28"/>
          <w:szCs w:val="28"/>
          <w:highlight w:val="yellow"/>
        </w:rPr>
      </w:pPr>
      <w:r>
        <w:rPr>
          <w:rFonts w:ascii="仿宋" w:hAnsi="仿宋" w:eastAsia="仿宋" w:cs="仿宋"/>
          <w:b/>
          <w:color w:val="auto"/>
          <w:sz w:val="28"/>
          <w:szCs w:val="28"/>
          <w:highlight w:val="yellow"/>
        </w:rPr>
      </w:r>
      <w:r/>
    </w:p>
    <w:p>
      <w:pPr>
        <w:pStyle w:val="833"/>
        <w:rPr>
          <w:rFonts w:ascii="仿宋" w:hAnsi="仿宋" w:eastAsia="仿宋" w:cs="仿宋"/>
          <w:b/>
          <w:color w:val="auto"/>
          <w:sz w:val="28"/>
          <w:szCs w:val="28"/>
          <w:highlight w:val="yellow"/>
        </w:rPr>
      </w:pPr>
      <w:r>
        <w:rPr>
          <w:rFonts w:ascii="仿宋" w:hAnsi="仿宋" w:eastAsia="仿宋" w:cs="仿宋"/>
          <w:b/>
          <w:color w:val="auto"/>
          <w:sz w:val="28"/>
          <w:szCs w:val="28"/>
          <w:highlight w:val="yellow"/>
        </w:rPr>
      </w:r>
      <w:r/>
    </w:p>
    <w:p>
      <w:pPr>
        <w:pStyle w:val="834"/>
        <w:numPr>
          <w:ilvl w:val="0"/>
          <w:numId w:val="9"/>
        </w:numPr>
        <w:jc w:val="center"/>
        <w:spacing w:line="360" w:lineRule="auto"/>
        <w:rPr>
          <w:rFonts w:ascii="仿宋" w:hAnsi="仿宋" w:eastAsia="仿宋" w:cs="仿宋"/>
          <w:b/>
          <w:color w:val="auto"/>
          <w:sz w:val="44"/>
          <w:szCs w:val="44"/>
        </w:rPr>
        <w:outlineLvl w:val="0"/>
      </w:pPr>
      <w:r>
        <w:rPr>
          <w:rFonts w:hint="eastAsia" w:ascii="仿宋" w:hAnsi="仿宋" w:eastAsia="仿宋" w:cs="仿宋"/>
          <w:b/>
          <w:color w:val="auto"/>
          <w:sz w:val="44"/>
          <w:szCs w:val="44"/>
        </w:rPr>
        <w:t xml:space="preserve"> </w:t>
      </w:r>
      <w:bookmarkEnd w:id="140"/>
      <w:r/>
      <w:bookmarkEnd w:id="141"/>
      <w:r/>
      <w:bookmarkEnd w:id="142"/>
      <w:r/>
      <w:bookmarkEnd w:id="143"/>
      <w:r/>
      <w:bookmarkEnd w:id="144"/>
      <w:r/>
      <w:bookmarkStart w:id="148" w:name="_Toc17991"/>
      <w:r/>
      <w:bookmarkStart w:id="149" w:name="_Toc30655"/>
      <w:r/>
      <w:bookmarkStart w:id="150" w:name="_Toc4321"/>
      <w:r/>
      <w:bookmarkStart w:id="151" w:name="_Toc25325"/>
      <w:r/>
      <w:bookmarkStart w:id="152" w:name="_Toc19573"/>
      <w:r>
        <w:rPr>
          <w:rFonts w:hint="eastAsia" w:ascii="仿宋" w:hAnsi="仿宋" w:eastAsia="仿宋" w:cs="仿宋"/>
          <w:b/>
          <w:color w:val="auto"/>
          <w:sz w:val="44"/>
          <w:szCs w:val="44"/>
        </w:rPr>
        <w:t xml:space="preserve">招标需求及</w:t>
      </w:r>
      <w:bookmarkEnd w:id="145"/>
      <w:r/>
      <w:bookmarkEnd w:id="146"/>
      <w:r/>
      <w:bookmarkEnd w:id="147"/>
      <w:r>
        <w:rPr>
          <w:rFonts w:hint="eastAsia" w:ascii="仿宋" w:hAnsi="仿宋" w:eastAsia="仿宋" w:cs="仿宋"/>
          <w:b/>
          <w:color w:val="auto"/>
          <w:sz w:val="44"/>
          <w:szCs w:val="44"/>
        </w:rPr>
        <w:t xml:space="preserve">基本服务要求</w:t>
      </w:r>
      <w:bookmarkEnd w:id="148"/>
      <w:r/>
      <w:bookmarkEnd w:id="149"/>
      <w:r/>
      <w:bookmarkEnd w:id="150"/>
      <w:r/>
      <w:bookmarkEnd w:id="151"/>
      <w:r/>
      <w:bookmarkEnd w:id="152"/>
      <w:r/>
      <w:r/>
    </w:p>
    <w:p>
      <w:pPr>
        <w:pStyle w:val="833"/>
        <w:rPr>
          <w:rFonts w:ascii="仿宋" w:hAnsi="仿宋" w:eastAsia="仿宋" w:cs="仿宋"/>
          <w:color w:val="auto"/>
        </w:rPr>
      </w:pPr>
      <w:r/>
      <w:bookmarkStart w:id="153" w:name="_Toc2988"/>
      <w:r/>
      <w:bookmarkStart w:id="154" w:name="_Toc22773"/>
      <w:r/>
      <w:bookmarkStart w:id="155" w:name="_Toc32232"/>
      <w:r/>
      <w:bookmarkStart w:id="156" w:name="_Toc23671"/>
      <w:r/>
      <w:bookmarkStart w:id="157" w:name="_Toc785"/>
      <w:r/>
      <w:bookmarkStart w:id="158" w:name="_Toc5222"/>
      <w:r/>
      <w:bookmarkStart w:id="159" w:name="_Toc29699"/>
      <w:r/>
      <w:bookmarkStart w:id="160" w:name="_Toc1441"/>
      <w:r/>
      <w:bookmarkStart w:id="161" w:name="_Toc21717"/>
      <w:r/>
      <w:bookmarkStart w:id="162" w:name="_Toc31936"/>
      <w:r/>
      <w:bookmarkStart w:id="163" w:name="_Toc19163"/>
      <w:r/>
      <w:bookmarkStart w:id="164" w:name="_Toc3493"/>
      <w:r/>
      <w:bookmarkStart w:id="165" w:name="_Toc22809"/>
      <w:r/>
      <w:r/>
    </w:p>
    <w:p>
      <w:pPr>
        <w:pStyle w:val="833"/>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项目背景</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为提高我市在校学生用餐质量，保障学生身心健康成长，维护学生合法权益，依据《中华人民共和国教育法》</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《中华人民共和国食品安全法》</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《中小学幼儿园安全管理办法》等法律法规，落实《江苏省教育厅 江苏省财政厅关于加强中小学食堂财务管理的意见》（苏教财〔2010〕108号）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《江苏省教育厅关于进一步加强中小学食堂管理切实维护师生权益的通知》（苏教财〔2013〕10号）和扬中市教育局《关于进一步规范学校食堂财务管理的通知》（扬教办〔2018〕34号）精神，对全市公办中小学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幼儿园食堂猪肉采购服务供应商项目进行公开招标。</w:t>
      </w:r>
      <w:r/>
    </w:p>
    <w:p>
      <w:pPr>
        <w:pStyle w:val="833"/>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本次采购项目</w:t>
      </w:r>
      <w:r/>
    </w:p>
    <w:tbl>
      <w:tblPr>
        <w:tblStyle w:val="801"/>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50"/>
        <w:gridCol w:w="2910"/>
        <w:gridCol w:w="2910"/>
      </w:tblGrid>
      <w:tr>
        <w:trPr>
          <w:jc w:val="center"/>
          <w:trHeight w:val="90"/>
        </w:trPr>
        <w:tc>
          <w:tcPr>
            <w:shd w:val="clear" w:color="auto" w:fill="ffffff"/>
            <w:tcMar>
              <w:left w:w="113" w:type="dxa"/>
              <w:right w:w="113" w:type="dxa"/>
            </w:tcMar>
            <w:tcW w:w="2050"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项目内容</w:t>
            </w:r>
            <w:r/>
          </w:p>
        </w:tc>
        <w:tc>
          <w:tcPr>
            <w:shd w:val="clear" w:color="auto" w:fill="ffffff"/>
            <w:tcMar>
              <w:left w:w="113" w:type="dxa"/>
              <w:right w:w="113" w:type="dxa"/>
            </w:tcMar>
            <w:tcW w:w="2910"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标准</w:t>
            </w:r>
            <w:r/>
          </w:p>
        </w:tc>
        <w:tc>
          <w:tcPr>
            <w:shd w:val="clear" w:color="auto" w:fill="ffffff"/>
            <w:tcMar>
              <w:left w:w="113" w:type="dxa"/>
              <w:right w:w="113" w:type="dxa"/>
            </w:tcMar>
            <w:tcW w:w="2910"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jc w:val="center"/>
          <w:trHeight w:val="619"/>
        </w:trPr>
        <w:tc>
          <w:tcPr>
            <w:shd w:val="clear" w:color="auto" w:fill="ffffff"/>
            <w:tcMar>
              <w:left w:w="113" w:type="dxa"/>
              <w:right w:w="113" w:type="dxa"/>
            </w:tcMar>
            <w:tcW w:w="2050"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猪肉</w:t>
            </w:r>
            <w:r/>
          </w:p>
        </w:tc>
        <w:tc>
          <w:tcPr>
            <w:shd w:val="clear" w:color="auto" w:fill="ffffff"/>
            <w:tcMar>
              <w:left w:w="113" w:type="dxa"/>
              <w:right w:w="113" w:type="dxa"/>
            </w:tcMar>
            <w:tcW w:w="2910"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鲜肉</w:t>
            </w:r>
            <w:r/>
          </w:p>
        </w:tc>
        <w:tc>
          <w:tcPr>
            <w:shd w:val="clear" w:color="auto" w:fill="ffffff"/>
            <w:tcMar>
              <w:left w:w="113" w:type="dxa"/>
              <w:right w:w="113" w:type="dxa"/>
            </w:tcMar>
            <w:tcW w:w="2910"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bl>
    <w:p>
      <w:pPr>
        <w:pStyle w:val="833"/>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注：1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投标产品应当是本国产品。</w:t>
      </w:r>
      <w:r/>
    </w:p>
    <w:p>
      <w:pPr>
        <w:pStyle w:val="833"/>
        <w:numPr>
          <w:ilvl w:val="0"/>
          <w:numId w:val="0"/>
        </w:numPr>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以</w:t>
      </w:r>
      <w:r>
        <w:rPr>
          <w:rFonts w:ascii="仿宋" w:hAnsi="仿宋" w:eastAsia="仿宋" w:cs="仿宋"/>
          <w:color w:val="auto"/>
          <w:sz w:val="28"/>
          <w:szCs w:val="28"/>
          <w:highlight w:val="none"/>
        </w:rPr>
        <w:t xml:space="preserve">镇江市发展和改革委员会</w:t>
      </w:r>
      <w:r>
        <w:rPr>
          <w:rFonts w:hint="eastAsia" w:ascii="仿宋" w:hAnsi="仿宋" w:eastAsia="仿宋" w:cs="仿宋"/>
          <w:color w:val="auto"/>
          <w:sz w:val="28"/>
          <w:szCs w:val="28"/>
          <w:highlight w:val="none"/>
        </w:rPr>
        <w:t xml:space="preserve">官方网站（网址：</w:t>
      </w:r>
      <w:r>
        <w:rPr>
          <w:color w:val="auto"/>
          <w:highlight w:val="none"/>
        </w:rPr>
        <w:fldChar w:fldCharType="begin"/>
      </w:r>
      <w:r>
        <w:rPr>
          <w:color w:val="auto"/>
          <w:highlight w:val="none"/>
        </w:rPr>
        <w:instrText xml:space="preserve"> HYPERLINK "http://fgw.zhenjiang.gov.cn/" </w:instrText>
      </w:r>
      <w:r>
        <w:rPr>
          <w:color w:val="auto"/>
          <w:highlight w:val="none"/>
        </w:rPr>
        <w:fldChar w:fldCharType="separate"/>
      </w:r>
      <w:r>
        <w:rPr>
          <w:rFonts w:ascii="仿宋" w:hAnsi="仿宋" w:eastAsia="仿宋" w:cs="仿宋"/>
          <w:color w:val="auto"/>
          <w:sz w:val="28"/>
          <w:szCs w:val="28"/>
          <w:highlight w:val="none"/>
        </w:rPr>
        <w:t xml:space="preserve"> zhenjiang.gov.cn)</w:t>
      </w:r>
      <w:r>
        <w:rPr>
          <w:rFonts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公布的投标截止时间（不含当日）前7</w:t>
      </w:r>
      <w:r>
        <w:rPr>
          <w:rFonts w:hint="eastAsia" w:ascii="仿宋" w:hAnsi="仿宋" w:eastAsia="仿宋" w:cs="仿宋"/>
          <w:color w:val="auto"/>
          <w:sz w:val="28"/>
          <w:szCs w:val="28"/>
          <w:highlight w:val="none"/>
          <w:lang w:eastAsia="zh-CN"/>
        </w:rPr>
        <w:t xml:space="preserve">次</w:t>
      </w:r>
      <w:r>
        <w:rPr>
          <w:rFonts w:hint="eastAsia" w:ascii="仿宋" w:hAnsi="仿宋" w:eastAsia="仿宋" w:cs="仿宋"/>
          <w:color w:val="auto"/>
          <w:sz w:val="28"/>
          <w:szCs w:val="28"/>
          <w:highlight w:val="none"/>
        </w:rPr>
        <w:t xml:space="preserve">鲜猪肉（肋条肉）价格作为基准价，供应商报</w:t>
      </w:r>
      <w:r>
        <w:rPr>
          <w:rFonts w:hint="eastAsia" w:ascii="仿宋" w:hAnsi="仿宋" w:eastAsia="仿宋" w:cs="仿宋"/>
          <w:color w:val="auto"/>
          <w:sz w:val="28"/>
          <w:szCs w:val="28"/>
        </w:rPr>
        <w:t xml:space="preserve">基准价下浮率，开始供货前，由招标人每周一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周四各公布一次基准价，投标人结算价=基准价×（1-下浮率）×猪肉基准价对应各猪肉品种上下浮动比例。</w:t>
      </w:r>
      <w:r/>
    </w:p>
    <w:tbl>
      <w:tblPr>
        <w:tblStyle w:val="801"/>
        <w:tblW w:w="7925" w:type="dxa"/>
        <w:jc w:val="center"/>
        <w:tblLayout w:type="fixed"/>
        <w:tblCellMar>
          <w:left w:w="108" w:type="dxa"/>
          <w:top w:w="0" w:type="dxa"/>
          <w:right w:w="108" w:type="dxa"/>
          <w:bottom w:w="0" w:type="dxa"/>
        </w:tblCellMar>
        <w:tblLook w:val="04A0" w:firstRow="1" w:lastRow="0" w:firstColumn="1" w:lastColumn="0" w:noHBand="0" w:noVBand="1"/>
      </w:tblPr>
      <w:tblGrid>
        <w:gridCol w:w="2525"/>
        <w:gridCol w:w="1812"/>
        <w:gridCol w:w="1938"/>
        <w:gridCol w:w="1650"/>
      </w:tblGrid>
      <w:tr>
        <w:trPr>
          <w:jc w:val="center"/>
          <w:trHeight w:val="285"/>
        </w:trPr>
        <w:tc>
          <w:tcPr>
            <w:gridSpan w:val="4"/>
            <w:shd w:val="clear" w:color="auto" w:fill="auto"/>
            <w:tcBorders>
              <w:top w:val="single" w:color="000000" w:sz="4" w:space="0"/>
              <w:left w:val="single" w:color="000000" w:sz="4" w:space="0"/>
              <w:right w:val="single" w:color="000000" w:sz="4" w:space="0"/>
            </w:tcBorders>
            <w:tcW w:w="7925" w:type="dxa"/>
            <w:vAlign w:val="center"/>
            <w:textDirection w:val="lrTb"/>
            <w:noWrap w:val="false"/>
          </w:tcPr>
          <w:p>
            <w:pPr>
              <w:jc w:val="center"/>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猪肉基准价对应各猪肉品种上浮或下降比例表</w:t>
            </w:r>
            <w:r/>
          </w:p>
        </w:tc>
      </w:tr>
      <w:tr>
        <w:trPr>
          <w:jc w:val="center"/>
          <w:trHeight w:val="285"/>
        </w:trPr>
        <w:tc>
          <w:tcPr>
            <w:shd w:val="clear" w:color="auto" w:fill="auto"/>
            <w:tcBorders>
              <w:top w:val="single" w:color="000000" w:sz="4" w:space="0"/>
              <w:left w:val="single" w:color="000000" w:sz="4" w:space="0"/>
              <w:right w:val="single" w:color="000000" w:sz="4" w:space="0"/>
            </w:tcBorders>
            <w:tcW w:w="2525" w:type="dxa"/>
            <w:vAlign w:val="center"/>
            <w:vMerge w:val="restart"/>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品名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0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价格区间</w:t>
            </w:r>
            <w:r/>
          </w:p>
        </w:tc>
      </w:tr>
      <w:tr>
        <w:trPr>
          <w:jc w:val="center"/>
          <w:trHeight w:val="285"/>
        </w:trPr>
        <w:tc>
          <w:tcPr>
            <w:shd w:val="clear" w:color="auto" w:fill="auto"/>
            <w:tcBorders>
              <w:left w:val="single" w:color="000000" w:sz="4" w:space="0"/>
              <w:right w:val="single" w:color="000000" w:sz="4" w:space="0"/>
            </w:tcBorders>
            <w:tcW w:w="2525" w:type="dxa"/>
            <w:vAlign w:val="center"/>
            <w:vMerge w:val="continue"/>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10至14.9元/斤</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15至19.9元/斤</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20以上的/斤</w:t>
            </w:r>
            <w:r/>
          </w:p>
        </w:tc>
      </w:tr>
      <w:tr>
        <w:trPr>
          <w:jc w:val="center"/>
          <w:trHeight w:val="285"/>
        </w:trPr>
        <w:tc>
          <w:tcPr>
            <w:shd w:val="clear" w:color="auto" w:fill="auto"/>
            <w:tcBorders>
              <w:left w:val="single" w:color="000000" w:sz="4" w:space="0"/>
              <w:bottom w:val="single" w:color="000000" w:sz="4" w:space="0"/>
              <w:right w:val="single" w:color="000000" w:sz="4" w:space="0"/>
            </w:tcBorders>
            <w:tcW w:w="2525" w:type="dxa"/>
            <w:vAlign w:val="center"/>
            <w:vMerge w:val="continue"/>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系数</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系数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系数</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鲜猪肉(肋条肉)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带皮前夹肉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不带皮前夹肉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带皮后腿肉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不带皮后腿肉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带皮五花肉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w:t>
            </w:r>
            <w:bookmarkStart w:id="355" w:name="_GoBack"/>
            <w:r>
              <w:rPr>
                <w:rFonts w:hint="eastAsia" w:ascii="仿宋" w:hAnsi="仿宋" w:eastAsia="仿宋" w:cs="仿宋"/>
                <w:color w:val="auto"/>
                <w:sz w:val="28"/>
                <w:szCs w:val="28"/>
                <w:lang w:bidi="ar"/>
              </w:rPr>
              <w:t xml:space="preserve">.</w:t>
            </w:r>
            <w:bookmarkEnd w:id="355"/>
            <w:r>
              <w:rPr>
                <w:rFonts w:hint="eastAsia" w:ascii="仿宋" w:hAnsi="仿宋" w:eastAsia="仿宋" w:cs="仿宋"/>
                <w:color w:val="auto"/>
                <w:sz w:val="28"/>
                <w:szCs w:val="28"/>
                <w:lang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不带皮五花肉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精肉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肉末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大排</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1.15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小排</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仔排</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统骨（不带肉）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统骨（带肉）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肥肉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爪子</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1.35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板油</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0.75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肚心</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lang w:bidi="ar"/>
              </w:rPr>
              <w:t xml:space="preserve">1.6</w:t>
            </w:r>
            <w:r/>
          </w:p>
        </w:tc>
      </w:tr>
    </w:tbl>
    <w:p>
      <w:pPr>
        <w:pStyle w:val="833"/>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具体技术要求 </w:t>
      </w:r>
      <w:r/>
    </w:p>
    <w:p>
      <w:pPr>
        <w:pStyle w:val="833"/>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猪肉：必须是经检验检疫合格的肉制品，且符合国家标准《GB 2707-2016 食品安全国家标准鲜（冻）畜</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禽产品》和《中华人民共和国食品安全法》要求及有效的《检验报告》。</w:t>
      </w:r>
      <w:r/>
    </w:p>
    <w:p>
      <w:pPr>
        <w:pStyle w:val="833"/>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四</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产品质量要求</w:t>
      </w:r>
      <w:r/>
    </w:p>
    <w:p>
      <w:pPr>
        <w:pStyle w:val="833"/>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为保证学生身体健康成长，所有产品的质量要求为同类产品中综合质量优良产品。中标单位应严格遵守《食品安全法》和《动物检疫法》等相关规定，严格保证食品质量符合国家相关产品质量标准，符合国家各级强制性规范的要求。</w:t>
      </w:r>
      <w:r/>
    </w:p>
    <w:tbl>
      <w:tblPr>
        <w:tblStyle w:val="80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7076"/>
      </w:tblGrid>
      <w:tr>
        <w:trPr/>
        <w:tc>
          <w:tcPr>
            <w:tcW w:w="1452"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品种</w:t>
            </w:r>
            <w:r/>
          </w:p>
        </w:tc>
        <w:tc>
          <w:tcPr>
            <w:tcW w:w="7076"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质量要求</w:t>
            </w:r>
            <w:r/>
          </w:p>
        </w:tc>
      </w:tr>
      <w:tr>
        <w:trPr>
          <w:trHeight w:val="1325"/>
        </w:trPr>
        <w:tc>
          <w:tcPr>
            <w:tcW w:w="1452" w:type="dxa"/>
            <w:vAlign w:val="center"/>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鲜肉（猪肉）</w:t>
            </w:r>
            <w:r/>
          </w:p>
        </w:tc>
        <w:tc>
          <w:tcPr>
            <w:tcW w:w="7076" w:type="dxa"/>
            <w:textDirection w:val="lrTb"/>
            <w:noWrap w:val="false"/>
          </w:tcPr>
          <w:p>
            <w:pPr>
              <w:pStyle w:val="833"/>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无注水；色泽：肌肉有光泽，颜色均匀，脂肪乳白色；组织状态：纤维清晰，有坚韧性，指压后凹陷立即恢复，肉质紧密，有坚韧性；粘度：外表湿润，不粘手，切面有渗出液，不粘手；气味：具有肉类固有的气味，无异味，无霉烂变质；具有动物产品检疫合格证明</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肉品品质检验合格证明供现场查验。</w:t>
            </w:r>
            <w:r/>
          </w:p>
        </w:tc>
      </w:tr>
    </w:tbl>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在中标后如出现因食用其提供的食品导致食物中毒的事故发生，中标人应对此承担一切法律责任。一经发现供应以下食品，除全部退货外，将立即取消供货资格，扣除违约金，中标单位并承担由此造成的经济责任和法律责任：</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腐败变质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油脂酸败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霉变</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生虫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污秽不洁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混有异物或者其他感官性状异常，对人体健康有害的；</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含有毒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有害物质或者被有害物质污染，对人体健康有害的；含有严重超出标准限量的农药残留</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兽药残留</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重金属</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污染物质以及其他危害人体健康的；</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含有致病性寄生虫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微生物或者微生物含量超过国家限定标准的；</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未经动物检疫部门检疫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检验或者检疫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检验不合格的肉类及其制品；</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病死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毒死或者死因不明的禽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水产动物等及其制品；</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掺假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掺杂</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伪造，影响营养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卫生的；</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用非食品原料加工的，加入非食品用化学物质或者将非食品当作食品的；</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超过保质期限的。</w:t>
      </w:r>
      <w:r/>
    </w:p>
    <w:p>
      <w:pPr>
        <w:pStyle w:val="833"/>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五</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供货要求 </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交货配送</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（1）交货方式为每天定时供货，供货方必须在与学校约定的具体时间内把指定货物送至指定地点，部分品种按照投标文件和合同要求提供服务，生产日期符合采购人要求，供货时剩余保质期不少于三分之二。</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（2）供货方应能按甲方要求及时补货。</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（3）提前或推迟送货，食堂有权拒绝验收签单。</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（4）每日及每批次提供的原料，必须经学校负责人验收签单后</w:t>
      </w:r>
      <w:r/>
    </w:p>
    <w:p>
      <w:pPr>
        <w:pStyle w:val="833"/>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才能视为有效，否则均视为无效供货。</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（5）供货方必须对每日及每批次提供的食品提供其相关单位的检验检疫证等相关证明，否则学校有权拒绝验收签单。</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（6）规格包装的产品交付时，必须原包装完好无损，不得临近有效期，否则学校有权拒收。</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（7）供货方运输工具进入单位，必须接受学校保安统一管理， 发生任何人员与设施损伤，均由供货方承担责任。送货车辆整洁，司乘及其他送货人员必须提供健康证，严格按学校指定的校园路线行驶，不得影响学校正常教育教学。</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售后服务</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供货方需免费指导各学校正确使用其产品，部分品种按照约定提供现场加工服务。</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供货时间：合同期内按双方约定时间准时供货。</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供货方式：由中标人负责运送至招标人的指定地点， 部分品种需现场加工，运费及现场加工费用由中标人承担。</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肉类制品，帮助剁块</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绞肉现场绞制等；肉类(含大排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小排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纯精肉)：猪肉：精瘦肉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前腿肉，五花肉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小排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仔排</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猪手（带筋），符合GB2707-200标准，色泽正常，无异味，无注水）；投标时须提供正规大品牌的正品肉类销售授权书或其他证明文件，近期检验检疫证明文件。碎肉类需整片送货，经现场验收合格后按要求加工。</w:t>
      </w:r>
      <w:r/>
    </w:p>
    <w:p>
      <w:pPr>
        <w:pStyle w:val="806"/>
        <w:ind w:firstLine="562"/>
        <w:spacing w:line="360" w:lineRule="auto"/>
        <w:rPr>
          <w:rFonts w:ascii="仿宋" w:hAnsi="仿宋" w:eastAsia="仿宋" w:cs="仿宋"/>
          <w:b/>
          <w:bCs/>
          <w:color w:val="auto"/>
          <w:szCs w:val="28"/>
        </w:rPr>
      </w:pPr>
      <w:r>
        <w:rPr>
          <w:rFonts w:hint="eastAsia" w:ascii="仿宋" w:hAnsi="仿宋" w:eastAsia="仿宋" w:cs="仿宋"/>
          <w:b/>
          <w:bCs/>
          <w:color w:val="auto"/>
          <w:szCs w:val="28"/>
        </w:rPr>
        <w:t xml:space="preserve">注：供货质量严格按照《中华人民共和国食品安全法》标准及行业有关规定执行，符合国家食品卫生标准。如在服务过程中有新的国家或行业标准出台，则按最新标准执行。</w:t>
      </w:r>
      <w:r/>
    </w:p>
    <w:p>
      <w:pPr>
        <w:pStyle w:val="833"/>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六</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验收要求 </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在送达学校食堂时需要主动提供本批次的动物检疫合格证明书</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肉品品质检验合格证及非洲猪瘟检测证明（如有）；</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货物到达现场后，供应商应在学校2名工作人员在场情况下当面接受检验，提供产品合格证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装箱单，共同清点</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检查外观</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查验标签</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包装和封口，并做好进货记录（如实记录猪肉的名称</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规格</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数量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生产批号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保质期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供货者名称及联系方式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进货日期等内容），双方签字确认。</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供应商应保证货物到达用户所在地完好无损，如有缺漏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损坏，由供应商负责调换</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补齐或赔偿。</w:t>
      </w:r>
      <w:r/>
    </w:p>
    <w:p>
      <w:pPr>
        <w:pStyle w:val="833"/>
        <w:ind w:firstLine="560"/>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供应商提供货物未达到招标文件要求的，如属不合格或劣质产品，且对采购人造成损失的，由供应商承担一切责任，并赔偿所造成的损失。</w:t>
      </w:r>
      <w:r/>
    </w:p>
    <w:p>
      <w:pPr>
        <w:pStyle w:val="806"/>
        <w:ind w:firstLine="0"/>
        <w:jc w:val="both"/>
        <w:spacing w:line="360" w:lineRule="auto"/>
        <w:rPr>
          <w:rFonts w:ascii="仿宋" w:hAnsi="仿宋" w:eastAsia="仿宋" w:cs="仿宋"/>
          <w:color w:val="auto"/>
          <w:szCs w:val="28"/>
        </w:rPr>
      </w:pPr>
      <w:r>
        <w:rPr>
          <w:rFonts w:hint="eastAsia" w:ascii="仿宋" w:hAnsi="仿宋" w:eastAsia="仿宋" w:cs="仿宋"/>
          <w:color w:val="auto"/>
          <w:szCs w:val="28"/>
        </w:rPr>
        <w:t xml:space="preserve">七</w:t>
      </w:r>
      <w:r>
        <w:rPr>
          <w:rFonts w:hint="eastAsia" w:ascii="仿宋" w:hAnsi="仿宋" w:eastAsia="仿宋" w:cs="仿宋"/>
          <w:color w:val="auto"/>
          <w:szCs w:val="28"/>
          <w:lang w:eastAsia="zh-CN"/>
        </w:rPr>
        <w:t xml:space="preserve">.</w:t>
      </w:r>
      <w:r>
        <w:rPr>
          <w:rFonts w:hint="eastAsia" w:ascii="仿宋" w:hAnsi="仿宋" w:eastAsia="仿宋" w:cs="仿宋"/>
          <w:color w:val="auto"/>
          <w:szCs w:val="28"/>
        </w:rPr>
        <w:t xml:space="preserve">基本服务要求</w:t>
      </w:r>
      <w:r/>
    </w:p>
    <w:p>
      <w:pPr>
        <w:pStyle w:val="806"/>
        <w:ind w:firstLine="560"/>
        <w:jc w:val="both"/>
        <w:spacing w:line="360" w:lineRule="auto"/>
        <w:rPr>
          <w:rFonts w:ascii="仿宋" w:hAnsi="仿宋" w:eastAsia="仿宋" w:cs="仿宋"/>
          <w:color w:val="auto"/>
          <w:szCs w:val="28"/>
        </w:rPr>
      </w:pPr>
      <w:r>
        <w:rPr>
          <w:rFonts w:hint="eastAsia" w:ascii="仿宋" w:hAnsi="仿宋" w:eastAsia="仿宋" w:cs="仿宋"/>
          <w:color w:val="auto"/>
          <w:szCs w:val="28"/>
        </w:rPr>
        <w:t xml:space="preserve">1</w:t>
      </w:r>
      <w:r>
        <w:rPr>
          <w:rFonts w:hint="eastAsia" w:ascii="仿宋" w:hAnsi="仿宋" w:eastAsia="仿宋" w:cs="仿宋"/>
          <w:color w:val="auto"/>
          <w:szCs w:val="28"/>
          <w:lang w:eastAsia="zh-CN"/>
        </w:rPr>
        <w:t xml:space="preserve">.</w:t>
      </w:r>
      <w:r>
        <w:rPr>
          <w:rFonts w:hint="eastAsia" w:ascii="仿宋" w:hAnsi="仿宋" w:eastAsia="仿宋" w:cs="仿宋"/>
          <w:color w:val="auto"/>
          <w:szCs w:val="28"/>
        </w:rPr>
        <w:t xml:space="preserve">中标人应保证所供的项目服务</w:t>
      </w:r>
      <w:r>
        <w:rPr>
          <w:rFonts w:hint="eastAsia" w:ascii="仿宋" w:hAnsi="仿宋" w:eastAsia="仿宋" w:cs="仿宋"/>
          <w:color w:val="auto"/>
          <w:sz w:val="28"/>
          <w:szCs w:val="28"/>
          <w:lang w:eastAsia="zh-CN"/>
        </w:rPr>
        <w:t xml:space="preserve">、</w:t>
      </w:r>
      <w:r>
        <w:rPr>
          <w:rFonts w:hint="eastAsia" w:ascii="仿宋" w:hAnsi="仿宋" w:eastAsia="仿宋" w:cs="仿宋"/>
          <w:color w:val="auto"/>
          <w:szCs w:val="28"/>
        </w:rPr>
        <w:t xml:space="preserve">货物必须遵守国家颁布标准和有关规定。</w:t>
      </w:r>
      <w:r/>
    </w:p>
    <w:p>
      <w:pPr>
        <w:pStyle w:val="806"/>
        <w:ind w:firstLine="560"/>
        <w:jc w:val="both"/>
        <w:spacing w:line="360" w:lineRule="auto"/>
        <w:rPr>
          <w:rFonts w:ascii="仿宋" w:hAnsi="仿宋" w:eastAsia="仿宋" w:cs="仿宋"/>
          <w:color w:val="auto"/>
          <w:szCs w:val="28"/>
        </w:rPr>
      </w:pPr>
      <w:r>
        <w:rPr>
          <w:rFonts w:hint="eastAsia" w:ascii="仿宋" w:hAnsi="仿宋" w:eastAsia="仿宋" w:cs="仿宋"/>
          <w:color w:val="auto"/>
          <w:szCs w:val="28"/>
        </w:rPr>
        <w:t xml:space="preserve">2</w:t>
      </w:r>
      <w:r>
        <w:rPr>
          <w:rFonts w:hint="eastAsia" w:ascii="仿宋" w:hAnsi="仿宋" w:eastAsia="仿宋" w:cs="仿宋"/>
          <w:color w:val="auto"/>
          <w:szCs w:val="28"/>
          <w:lang w:eastAsia="zh-CN"/>
        </w:rPr>
        <w:t xml:space="preserve">.</w:t>
      </w:r>
      <w:r>
        <w:rPr>
          <w:rFonts w:hint="eastAsia" w:ascii="仿宋" w:hAnsi="仿宋" w:eastAsia="仿宋" w:cs="仿宋"/>
          <w:color w:val="auto"/>
          <w:szCs w:val="28"/>
        </w:rPr>
        <w:t xml:space="preserve">须按招标人采购要求将项目的所有工作内容在规定的时间内实施完毕。</w:t>
      </w:r>
      <w:r/>
    </w:p>
    <w:p>
      <w:pPr>
        <w:pStyle w:val="806"/>
        <w:ind w:firstLine="560"/>
        <w:jc w:val="both"/>
        <w:spacing w:line="360" w:lineRule="auto"/>
        <w:widowControl w:val="off"/>
        <w:rPr>
          <w:rFonts w:ascii="仿宋" w:hAnsi="仿宋" w:eastAsia="仿宋" w:cs="仿宋"/>
          <w:color w:val="auto"/>
          <w:szCs w:val="28"/>
        </w:rPr>
      </w:pPr>
      <w:r>
        <w:rPr>
          <w:rFonts w:hint="eastAsia" w:ascii="仿宋" w:hAnsi="仿宋" w:eastAsia="仿宋" w:cs="仿宋"/>
          <w:color w:val="auto"/>
          <w:szCs w:val="28"/>
        </w:rPr>
        <w:t xml:space="preserve">3</w:t>
      </w:r>
      <w:r>
        <w:rPr>
          <w:rFonts w:hint="eastAsia" w:ascii="仿宋" w:hAnsi="仿宋" w:eastAsia="仿宋" w:cs="仿宋"/>
          <w:color w:val="auto"/>
          <w:szCs w:val="28"/>
          <w:lang w:eastAsia="zh-CN"/>
        </w:rPr>
        <w:t xml:space="preserve">.</w:t>
      </w:r>
      <w:r>
        <w:rPr>
          <w:rFonts w:hint="eastAsia" w:ascii="仿宋" w:hAnsi="仿宋" w:eastAsia="仿宋" w:cs="仿宋"/>
          <w:color w:val="auto"/>
          <w:szCs w:val="28"/>
        </w:rPr>
        <w:t xml:space="preserve">在货物配送过程中产生的一切安全责任事故由中标人承担，招标人不承担由此带来的一切经济</w:t>
      </w:r>
      <w:r>
        <w:rPr>
          <w:rFonts w:hint="eastAsia" w:ascii="仿宋" w:hAnsi="仿宋" w:eastAsia="仿宋" w:cs="仿宋"/>
          <w:color w:val="auto"/>
          <w:sz w:val="28"/>
          <w:szCs w:val="28"/>
          <w:lang w:eastAsia="zh-CN"/>
        </w:rPr>
        <w:t xml:space="preserve">、</w:t>
      </w:r>
      <w:r>
        <w:rPr>
          <w:rFonts w:hint="eastAsia" w:ascii="仿宋" w:hAnsi="仿宋" w:eastAsia="仿宋" w:cs="仿宋"/>
          <w:color w:val="auto"/>
          <w:szCs w:val="28"/>
        </w:rPr>
        <w:t xml:space="preserve">法律责任。</w:t>
      </w:r>
      <w:r/>
    </w:p>
    <w:p>
      <w:pPr>
        <w:pStyle w:val="834"/>
        <w:jc w:val="center"/>
        <w:spacing w:line="480" w:lineRule="exact"/>
        <w:rPr>
          <w:rFonts w:ascii="仿宋" w:hAnsi="仿宋" w:eastAsia="仿宋" w:cs="仿宋"/>
          <w:color w:val="auto"/>
          <w:sz w:val="32"/>
          <w:szCs w:val="32"/>
        </w:rPr>
        <w:outlineLvl w:val="0"/>
      </w:pPr>
      <w:r/>
      <w:bookmarkStart w:id="166" w:name="_Toc6404"/>
      <w:r/>
      <w:bookmarkStart w:id="167" w:name="_Toc17530"/>
      <w:r/>
      <w:bookmarkStart w:id="168" w:name="_Toc8942"/>
      <w:r>
        <w:rPr>
          <w:rFonts w:hint="eastAsia" w:ascii="仿宋" w:hAnsi="仿宋" w:eastAsia="仿宋" w:cs="仿宋"/>
          <w:b/>
          <w:color w:val="auto"/>
          <w:sz w:val="44"/>
          <w:szCs w:val="44"/>
        </w:rPr>
        <w:t xml:space="preserve">第五部分  </w:t>
      </w:r>
      <w:bookmarkEnd w:id="153"/>
      <w:r/>
      <w:bookmarkStart w:id="169" w:name="_Toc18828"/>
      <w:r>
        <w:rPr>
          <w:rFonts w:hint="eastAsia" w:ascii="仿宋" w:hAnsi="仿宋" w:eastAsia="仿宋" w:cs="仿宋"/>
          <w:b/>
          <w:color w:val="auto"/>
          <w:sz w:val="44"/>
          <w:szCs w:val="44"/>
        </w:rPr>
        <w:t xml:space="preserve">投标响应书（格式）</w:t>
      </w:r>
      <w:bookmarkEnd w:id="154"/>
      <w:r/>
      <w:bookmarkEnd w:id="155"/>
      <w:r/>
      <w:bookmarkEnd w:id="156"/>
      <w:r/>
      <w:bookmarkEnd w:id="157"/>
      <w:r/>
      <w:bookmarkEnd w:id="158"/>
      <w:r/>
      <w:bookmarkEnd w:id="159"/>
      <w:r/>
      <w:bookmarkEnd w:id="160"/>
      <w:r/>
      <w:bookmarkEnd w:id="161"/>
      <w:r/>
      <w:bookmarkEnd w:id="162"/>
      <w:r/>
      <w:bookmarkEnd w:id="166"/>
      <w:r/>
      <w:bookmarkEnd w:id="167"/>
      <w:r/>
      <w:bookmarkEnd w:id="168"/>
      <w:r/>
      <w:bookmarkEnd w:id="169"/>
      <w:r/>
      <w:r/>
    </w:p>
    <w:p>
      <w:pPr>
        <w:pStyle w:val="834"/>
        <w:spacing w:line="480" w:lineRule="exact"/>
        <w:rPr>
          <w:rFonts w:ascii="仿宋" w:hAnsi="仿宋" w:eastAsia="仿宋" w:cs="仿宋"/>
          <w:color w:val="auto"/>
          <w:sz w:val="36"/>
        </w:rPr>
      </w:pPr>
      <w:r>
        <w:rPr>
          <w:rFonts w:ascii="仿宋" w:hAnsi="仿宋" w:eastAsia="仿宋" w:cs="仿宋"/>
          <w:color w:val="auto"/>
          <w:sz w:val="36"/>
        </w:rPr>
      </w:r>
      <w:r/>
    </w:p>
    <w:p>
      <w:pPr>
        <w:pStyle w:val="834"/>
        <w:spacing w:line="480" w:lineRule="exact"/>
        <w:rPr>
          <w:rFonts w:ascii="仿宋" w:hAnsi="仿宋" w:eastAsia="仿宋" w:cs="仿宋"/>
          <w:color w:val="auto"/>
          <w:sz w:val="36"/>
        </w:rPr>
      </w:pPr>
      <w:r>
        <w:rPr>
          <w:rFonts w:ascii="仿宋" w:hAnsi="仿宋" w:eastAsia="仿宋" w:cs="仿宋"/>
          <w:color w:val="auto"/>
          <w:sz w:val="36"/>
        </w:rPr>
      </w:r>
      <w:r/>
    </w:p>
    <w:p>
      <w:pPr>
        <w:pStyle w:val="834"/>
        <w:spacing w:line="480" w:lineRule="exact"/>
        <w:rPr>
          <w:rFonts w:ascii="仿宋" w:hAnsi="仿宋" w:eastAsia="仿宋" w:cs="仿宋"/>
          <w:b/>
          <w:bCs/>
          <w:color w:val="auto"/>
          <w:sz w:val="72"/>
          <w:szCs w:val="72"/>
        </w:rPr>
      </w:pPr>
      <w:r>
        <w:rPr>
          <w:rFonts w:ascii="仿宋" w:hAnsi="仿宋" w:eastAsia="仿宋" w:cs="仿宋"/>
          <w:b/>
          <w:bCs/>
          <w:color w:val="auto"/>
          <w:sz w:val="72"/>
          <w:szCs w:val="72"/>
        </w:rPr>
      </w:r>
      <w:r/>
    </w:p>
    <w:p>
      <w:pPr>
        <w:pStyle w:val="834"/>
        <w:spacing w:line="360" w:lineRule="auto"/>
        <w:rPr>
          <w:rFonts w:ascii="仿宋" w:hAnsi="仿宋" w:eastAsia="仿宋" w:cs="仿宋"/>
          <w:b/>
          <w:bCs/>
          <w:color w:val="auto"/>
          <w:sz w:val="72"/>
          <w:szCs w:val="72"/>
        </w:rPr>
      </w:pPr>
      <w:r>
        <w:rPr>
          <w:rFonts w:ascii="仿宋" w:hAnsi="仿宋" w:eastAsia="仿宋" w:cs="仿宋"/>
          <w:b/>
          <w:bCs/>
          <w:color w:val="auto"/>
          <w:sz w:val="72"/>
          <w:szCs w:val="72"/>
        </w:rPr>
      </w:r>
      <w:r/>
    </w:p>
    <w:p>
      <w:pPr>
        <w:pStyle w:val="834"/>
        <w:jc w:val="center"/>
        <w:spacing w:line="360" w:lineRule="auto"/>
        <w:rPr>
          <w:rFonts w:ascii="仿宋" w:hAnsi="仿宋" w:eastAsia="仿宋" w:cs="仿宋"/>
          <w:b/>
          <w:bCs/>
          <w:color w:val="auto"/>
          <w:sz w:val="72"/>
          <w:szCs w:val="72"/>
        </w:rPr>
      </w:pPr>
      <w:r>
        <w:rPr>
          <w:rFonts w:hint="eastAsia" w:ascii="仿宋" w:hAnsi="仿宋" w:eastAsia="仿宋" w:cs="仿宋"/>
          <w:b/>
          <w:bCs/>
          <w:color w:val="auto"/>
          <w:sz w:val="72"/>
          <w:szCs w:val="72"/>
        </w:rPr>
        <w:t xml:space="preserve">投  标  书</w:t>
      </w:r>
      <w:r/>
    </w:p>
    <w:p>
      <w:pPr>
        <w:pStyle w:val="834"/>
        <w:ind w:firstLine="1540"/>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firstLine="1540"/>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jc w:val="center"/>
        <w:spacing w:line="480" w:lineRule="exact"/>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 xml:space="preserve">标书编号：</w:t>
      </w:r>
      <w:r>
        <w:rPr>
          <w:rFonts w:hint="eastAsia" w:ascii="仿宋" w:hAnsi="仿宋" w:eastAsia="仿宋" w:cs="仿宋"/>
          <w:b/>
          <w:color w:val="auto"/>
          <w:sz w:val="30"/>
          <w:szCs w:val="30"/>
          <w:lang w:eastAsia="zh-CN"/>
        </w:rPr>
        <w:t xml:space="preserve">JSZC-321182-JJGS-G2023-0044</w:t>
      </w:r>
      <w:r/>
    </w:p>
    <w:p>
      <w:pPr>
        <w:pStyle w:val="834"/>
        <w:ind w:firstLine="4216"/>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4"/>
        <w:ind w:firstLine="4216"/>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4"/>
        <w:ind w:firstLine="4216"/>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9"/>
        <w:rPr>
          <w:rFonts w:ascii="仿宋" w:hAnsi="仿宋" w:eastAsia="仿宋" w:cs="仿宋"/>
          <w:color w:val="auto"/>
        </w:rPr>
      </w:pPr>
      <w:r>
        <w:rPr>
          <w:rFonts w:ascii="仿宋" w:hAnsi="仿宋" w:eastAsia="仿宋" w:cs="仿宋"/>
          <w:color w:val="auto"/>
        </w:rPr>
      </w:r>
      <w:r/>
    </w:p>
    <w:p>
      <w:pPr>
        <w:pStyle w:val="834"/>
        <w:ind w:firstLine="4216"/>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4"/>
        <w:jc w:val="center"/>
        <w:spacing w:line="480" w:lineRule="exact"/>
        <w:rPr>
          <w:rFonts w:hint="eastAsia" w:ascii="仿宋" w:hAnsi="仿宋" w:eastAsia="仿宋" w:cs="仿宋"/>
          <w:color w:val="auto"/>
          <w:sz w:val="30"/>
          <w:szCs w:val="30"/>
          <w:lang w:eastAsia="zh-CN"/>
        </w:rPr>
      </w:pPr>
      <w:r>
        <w:rPr>
          <w:rFonts w:hint="eastAsia" w:ascii="仿宋" w:hAnsi="仿宋" w:eastAsia="仿宋" w:cs="仿宋"/>
          <w:b/>
          <w:color w:val="auto"/>
          <w:sz w:val="30"/>
          <w:szCs w:val="30"/>
        </w:rPr>
        <w:t xml:space="preserve">项目名称：</w:t>
      </w:r>
      <w:r>
        <w:rPr>
          <w:rFonts w:hint="eastAsia" w:ascii="仿宋" w:hAnsi="仿宋" w:eastAsia="仿宋" w:cs="仿宋"/>
          <w:b/>
          <w:color w:val="auto"/>
          <w:sz w:val="30"/>
          <w:szCs w:val="30"/>
          <w:lang w:eastAsia="zh-CN"/>
        </w:rPr>
        <w:t xml:space="preserve">扬中市公办中小学、幼儿园食堂猪肉采购服务供应商项目</w:t>
      </w:r>
      <w:r/>
    </w:p>
    <w:p>
      <w:pPr>
        <w:pStyle w:val="834"/>
        <w:ind w:left="1808" w:hanging="1245"/>
        <w:jc w:val="center"/>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4"/>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4"/>
        <w:ind w:firstLine="1827"/>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4"/>
        <w:ind w:firstLine="1827"/>
        <w:spacing w:line="480" w:lineRule="exact"/>
        <w:rPr>
          <w:rFonts w:ascii="仿宋" w:hAnsi="仿宋" w:eastAsia="仿宋" w:cs="仿宋"/>
          <w:b/>
          <w:color w:val="auto"/>
          <w:sz w:val="30"/>
          <w:szCs w:val="30"/>
        </w:rPr>
      </w:pPr>
      <w:r>
        <w:rPr>
          <w:rFonts w:ascii="仿宋" w:hAnsi="仿宋" w:eastAsia="仿宋" w:cs="仿宋"/>
          <w:b/>
          <w:color w:val="auto"/>
          <w:sz w:val="30"/>
          <w:szCs w:val="30"/>
        </w:rPr>
      </w:r>
      <w:r/>
    </w:p>
    <w:p>
      <w:pPr>
        <w:pStyle w:val="834"/>
        <w:ind w:firstLine="2207"/>
        <w:spacing w:line="480" w:lineRule="exact"/>
        <w:rPr>
          <w:rFonts w:ascii="仿宋" w:hAnsi="仿宋" w:eastAsia="仿宋" w:cs="仿宋"/>
          <w:b/>
          <w:color w:val="auto"/>
          <w:sz w:val="30"/>
          <w:szCs w:val="30"/>
        </w:rPr>
      </w:pPr>
      <w:r>
        <w:rPr>
          <w:rFonts w:hint="eastAsia" w:ascii="仿宋" w:hAnsi="仿宋" w:eastAsia="仿宋" w:cs="仿宋"/>
          <w:b/>
          <w:color w:val="auto"/>
          <w:sz w:val="30"/>
          <w:szCs w:val="30"/>
        </w:rPr>
        <w:t xml:space="preserve">投标人：</w:t>
      </w:r>
      <w:r/>
    </w:p>
    <w:p>
      <w:pPr>
        <w:pStyle w:val="834"/>
        <w:spacing w:line="480" w:lineRule="exact"/>
        <w:rPr>
          <w:rFonts w:ascii="仿宋" w:hAnsi="仿宋" w:eastAsia="仿宋" w:cs="仿宋"/>
          <w:b/>
          <w:color w:val="auto"/>
          <w:sz w:val="30"/>
          <w:szCs w:val="30"/>
        </w:rPr>
      </w:pPr>
      <w:r>
        <w:rPr>
          <w:rFonts w:ascii="仿宋" w:hAnsi="仿宋" w:eastAsia="仿宋" w:cs="仿宋"/>
          <w:b/>
          <w:color w:val="auto"/>
          <w:sz w:val="30"/>
          <w:szCs w:val="30"/>
        </w:rPr>
      </w:r>
      <w:r/>
    </w:p>
    <w:p>
      <w:pPr>
        <w:pStyle w:val="834"/>
        <w:ind w:firstLine="1827"/>
        <w:spacing w:line="480" w:lineRule="exact"/>
        <w:rPr>
          <w:rFonts w:ascii="仿宋" w:hAnsi="仿宋" w:eastAsia="仿宋" w:cs="仿宋"/>
          <w:b/>
          <w:color w:val="auto"/>
          <w:sz w:val="30"/>
          <w:szCs w:val="30"/>
        </w:rPr>
      </w:pPr>
      <w:r>
        <w:rPr>
          <w:rFonts w:ascii="仿宋" w:hAnsi="仿宋" w:eastAsia="仿宋" w:cs="仿宋"/>
          <w:b/>
          <w:color w:val="auto"/>
          <w:sz w:val="30"/>
          <w:szCs w:val="30"/>
        </w:rPr>
      </w:r>
      <w:r/>
    </w:p>
    <w:p>
      <w:pPr>
        <w:pStyle w:val="834"/>
        <w:ind w:firstLine="1827"/>
        <w:jc w:val="left"/>
        <w:spacing w:line="480" w:lineRule="exact"/>
        <w:rPr>
          <w:rFonts w:ascii="仿宋" w:hAnsi="仿宋" w:eastAsia="仿宋" w:cs="仿宋"/>
          <w:b/>
          <w:bCs/>
          <w:color w:val="auto"/>
          <w:sz w:val="36"/>
          <w:szCs w:val="36"/>
        </w:rPr>
      </w:pPr>
      <w:r>
        <w:rPr>
          <w:rFonts w:hint="eastAsia" w:ascii="仿宋" w:hAnsi="仿宋" w:eastAsia="仿宋" w:cs="仿宋"/>
          <w:b/>
          <w:color w:val="auto"/>
          <w:sz w:val="30"/>
          <w:szCs w:val="30"/>
        </w:rPr>
        <w:t xml:space="preserve">       二○二三年   月    日</w:t>
      </w:r>
      <w:bookmarkStart w:id="170" w:name="_Toc22786"/>
      <w:r/>
      <w:bookmarkStart w:id="171" w:name="_Toc31702"/>
      <w:r/>
      <w:bookmarkStart w:id="172" w:name="_Toc16638"/>
      <w:r/>
      <w:bookmarkStart w:id="173" w:name="_Toc10629"/>
      <w:r/>
      <w:bookmarkStart w:id="174" w:name="_Toc9400"/>
      <w:r/>
      <w:bookmarkStart w:id="175" w:name="_Toc19293"/>
      <w:r/>
      <w:bookmarkStart w:id="176" w:name="_Toc3217"/>
      <w:r/>
      <w:r/>
    </w:p>
    <w:p>
      <w:pPr>
        <w:pStyle w:val="834"/>
        <w:ind w:left="2880"/>
        <w:spacing w:line="480" w:lineRule="exact"/>
        <w:rPr>
          <w:rFonts w:ascii="仿宋" w:hAnsi="仿宋" w:eastAsia="仿宋" w:cs="仿宋"/>
          <w:b/>
          <w:bCs/>
          <w:color w:val="auto"/>
          <w:sz w:val="36"/>
          <w:szCs w:val="36"/>
        </w:rPr>
        <w:outlineLvl w:val="1"/>
      </w:pPr>
      <w:r/>
      <w:bookmarkStart w:id="177" w:name="_Toc20599"/>
      <w:r/>
      <w:bookmarkStart w:id="178" w:name="_Toc20579"/>
      <w:r>
        <w:rPr>
          <w:rFonts w:hint="eastAsia" w:ascii="仿宋" w:hAnsi="仿宋" w:eastAsia="仿宋" w:cs="仿宋"/>
          <w:b/>
          <w:bCs/>
          <w:color w:val="auto"/>
          <w:sz w:val="36"/>
          <w:szCs w:val="36"/>
        </w:rPr>
        <w:t xml:space="preserve">一</w:t>
      </w:r>
      <w:r>
        <w:rPr>
          <w:rFonts w:hint="eastAsia" w:ascii="仿宋" w:hAnsi="仿宋" w:eastAsia="仿宋" w:cs="仿宋"/>
          <w:b/>
          <w:bCs/>
          <w:color w:val="auto"/>
          <w:sz w:val="36"/>
          <w:szCs w:val="36"/>
          <w:lang w:eastAsia="zh-CN"/>
        </w:rPr>
        <w:t xml:space="preserve">.</w:t>
      </w:r>
      <w:r>
        <w:rPr>
          <w:rFonts w:hint="eastAsia" w:ascii="仿宋" w:hAnsi="仿宋" w:eastAsia="仿宋" w:cs="仿宋"/>
          <w:b/>
          <w:bCs/>
          <w:color w:val="auto"/>
          <w:sz w:val="36"/>
          <w:szCs w:val="36"/>
        </w:rPr>
        <w:t xml:space="preserve">投标函（格式）</w:t>
      </w:r>
      <w:bookmarkEnd w:id="163"/>
      <w:r/>
      <w:bookmarkEnd w:id="164"/>
      <w:r/>
      <w:bookmarkEnd w:id="165"/>
      <w:r/>
      <w:bookmarkEnd w:id="170"/>
      <w:r/>
      <w:bookmarkEnd w:id="171"/>
      <w:r/>
      <w:bookmarkEnd w:id="172"/>
      <w:r/>
      <w:bookmarkEnd w:id="173"/>
      <w:r/>
      <w:bookmarkEnd w:id="174"/>
      <w:r/>
      <w:bookmarkEnd w:id="175"/>
      <w:r/>
      <w:bookmarkEnd w:id="176"/>
      <w:r/>
      <w:bookmarkEnd w:id="177"/>
      <w:r/>
      <w:bookmarkEnd w:id="178"/>
      <w:r/>
      <w:r/>
    </w:p>
    <w:p>
      <w:pPr>
        <w:pStyle w:val="834"/>
        <w:spacing w:line="360" w:lineRule="auto"/>
        <w:rPr>
          <w:rFonts w:ascii="仿宋" w:hAnsi="仿宋" w:eastAsia="仿宋" w:cs="仿宋"/>
          <w:color w:val="auto"/>
          <w:sz w:val="28"/>
          <w:szCs w:val="28"/>
        </w:rPr>
      </w:pPr>
      <w:r>
        <w:rPr>
          <w:rFonts w:ascii="仿宋" w:hAnsi="仿宋" w:eastAsia="仿宋" w:cs="仿宋"/>
          <w:color w:val="auto"/>
          <w:sz w:val="28"/>
          <w:szCs w:val="28"/>
        </w:rPr>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致：江苏金居工程项目管理有限公司</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根据贵方项目名称：</w:t>
      </w:r>
      <w:r>
        <w:rPr>
          <w:rFonts w:hint="eastAsia" w:ascii="仿宋" w:hAnsi="仿宋" w:eastAsia="仿宋" w:cs="仿宋"/>
          <w:color w:val="auto"/>
          <w:sz w:val="28"/>
          <w:szCs w:val="28"/>
          <w:lang w:eastAsia="zh-CN"/>
        </w:rPr>
        <w:t xml:space="preserve">扬中市公办中小学、幼儿园食堂猪肉采购服务供应商项目</w:t>
      </w:r>
      <w:r>
        <w:rPr>
          <w:rFonts w:hint="eastAsia" w:ascii="仿宋" w:hAnsi="仿宋" w:eastAsia="仿宋" w:cs="仿宋"/>
          <w:color w:val="auto"/>
          <w:sz w:val="28"/>
          <w:szCs w:val="28"/>
        </w:rPr>
        <w:t xml:space="preserve">【招标编号：</w:t>
      </w:r>
      <w:r>
        <w:rPr>
          <w:rFonts w:hint="eastAsia" w:ascii="仿宋" w:hAnsi="仿宋" w:eastAsia="仿宋" w:cs="仿宋"/>
          <w:color w:val="auto"/>
          <w:sz w:val="28"/>
          <w:szCs w:val="28"/>
          <w:lang w:eastAsia="zh-CN"/>
        </w:rPr>
        <w:t xml:space="preserve">JSZC-321182-JJGS-G2023-0044</w:t>
      </w:r>
      <w:r>
        <w:rPr>
          <w:rFonts w:hint="eastAsia" w:ascii="仿宋" w:hAnsi="仿宋" w:eastAsia="仿宋" w:cs="仿宋"/>
          <w:color w:val="auto"/>
          <w:sz w:val="28"/>
          <w:szCs w:val="28"/>
        </w:rPr>
        <w:t xml:space="preserve">】招标文件，正式授权下述签字人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（姓名和职务）代表投标人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（投标响应单位的名称），提交下述文件正本一式壹份，副本一式壹份。</w:t>
      </w:r>
      <w:r/>
    </w:p>
    <w:p>
      <w:pPr>
        <w:ind w:firstLine="719"/>
        <w:spacing w:line="360" w:lineRule="auto"/>
        <w:rPr>
          <w:rFonts w:ascii="仿宋" w:hAnsi="仿宋" w:eastAsia="仿宋" w:cs="仿宋"/>
          <w:color w:val="auto"/>
          <w:sz w:val="28"/>
        </w:rPr>
      </w:pPr>
      <w:r>
        <w:rPr>
          <w:rFonts w:hint="eastAsia" w:ascii="仿宋" w:hAnsi="仿宋" w:eastAsia="仿宋" w:cs="仿宋"/>
          <w:color w:val="auto"/>
          <w:sz w:val="28"/>
        </w:rPr>
        <w:t xml:space="preserve">1</w:t>
      </w:r>
      <w:r>
        <w:rPr>
          <w:rFonts w:hint="eastAsia" w:ascii="仿宋" w:hAnsi="仿宋" w:eastAsia="仿宋" w:cs="仿宋"/>
          <w:color w:val="auto"/>
          <w:sz w:val="28"/>
          <w:lang w:eastAsia="zh-CN"/>
        </w:rPr>
        <w:t xml:space="preserve">.</w:t>
      </w:r>
      <w:r>
        <w:rPr>
          <w:rFonts w:hint="eastAsia" w:ascii="仿宋" w:hAnsi="仿宋" w:eastAsia="仿宋" w:cs="仿宋"/>
          <w:color w:val="auto"/>
          <w:sz w:val="28"/>
        </w:rPr>
        <w:t xml:space="preserve">投标函</w:t>
      </w:r>
      <w:r/>
    </w:p>
    <w:p>
      <w:pPr>
        <w:ind w:firstLine="719"/>
        <w:spacing w:line="360" w:lineRule="auto"/>
        <w:rPr>
          <w:rFonts w:ascii="仿宋" w:hAnsi="仿宋" w:eastAsia="仿宋" w:cs="仿宋"/>
          <w:color w:val="auto"/>
          <w:sz w:val="28"/>
        </w:rPr>
      </w:pPr>
      <w:r>
        <w:rPr>
          <w:rFonts w:hint="eastAsia" w:ascii="仿宋" w:hAnsi="仿宋" w:eastAsia="仿宋" w:cs="仿宋"/>
          <w:color w:val="auto"/>
          <w:sz w:val="28"/>
        </w:rPr>
        <w:t xml:space="preserve">2</w:t>
      </w:r>
      <w:r>
        <w:rPr>
          <w:rFonts w:hint="eastAsia" w:ascii="仿宋" w:hAnsi="仿宋" w:eastAsia="仿宋" w:cs="仿宋"/>
          <w:color w:val="auto"/>
          <w:sz w:val="28"/>
          <w:lang w:eastAsia="zh-CN"/>
        </w:rPr>
        <w:t xml:space="preserve">.</w:t>
      </w:r>
      <w:r>
        <w:rPr>
          <w:rFonts w:hint="eastAsia" w:ascii="仿宋" w:hAnsi="仿宋" w:eastAsia="仿宋" w:cs="仿宋"/>
          <w:color w:val="auto"/>
          <w:sz w:val="28"/>
        </w:rPr>
        <w:t xml:space="preserve">投标人廉政承诺</w:t>
      </w:r>
      <w:r/>
    </w:p>
    <w:p>
      <w:pPr>
        <w:ind w:firstLine="719"/>
        <w:spacing w:line="360" w:lineRule="auto"/>
        <w:rPr>
          <w:rFonts w:ascii="仿宋" w:hAnsi="仿宋" w:eastAsia="仿宋" w:cs="仿宋"/>
          <w:color w:val="auto"/>
          <w:sz w:val="28"/>
        </w:rPr>
      </w:pPr>
      <w:r>
        <w:rPr>
          <w:rFonts w:hint="eastAsia" w:ascii="仿宋" w:hAnsi="仿宋" w:eastAsia="仿宋" w:cs="仿宋"/>
          <w:color w:val="auto"/>
          <w:sz w:val="28"/>
        </w:rPr>
        <w:t xml:space="preserve">3</w:t>
      </w:r>
      <w:r>
        <w:rPr>
          <w:rFonts w:hint="eastAsia" w:ascii="仿宋" w:hAnsi="仿宋" w:eastAsia="仿宋" w:cs="仿宋"/>
          <w:color w:val="auto"/>
          <w:sz w:val="28"/>
          <w:lang w:eastAsia="zh-CN"/>
        </w:rPr>
        <w:t xml:space="preserve">.</w:t>
      </w:r>
      <w:r>
        <w:rPr>
          <w:rFonts w:hint="eastAsia" w:ascii="仿宋" w:hAnsi="仿宋" w:eastAsia="仿宋" w:cs="仿宋"/>
          <w:color w:val="auto"/>
          <w:sz w:val="28"/>
        </w:rPr>
        <w:t xml:space="preserve">实施方案</w:t>
      </w:r>
      <w:r/>
    </w:p>
    <w:p>
      <w:pPr>
        <w:ind w:firstLine="719"/>
        <w:spacing w:line="360" w:lineRule="auto"/>
        <w:rPr>
          <w:rFonts w:ascii="仿宋" w:hAnsi="仿宋" w:eastAsia="仿宋" w:cs="仿宋"/>
          <w:color w:val="auto"/>
          <w:sz w:val="28"/>
        </w:rPr>
      </w:pPr>
      <w:r>
        <w:rPr>
          <w:rFonts w:hint="eastAsia" w:ascii="仿宋" w:hAnsi="仿宋" w:eastAsia="仿宋" w:cs="仿宋"/>
          <w:color w:val="auto"/>
          <w:sz w:val="28"/>
        </w:rPr>
        <w:t xml:space="preserve">4</w:t>
      </w:r>
      <w:r>
        <w:rPr>
          <w:rFonts w:hint="eastAsia" w:ascii="仿宋" w:hAnsi="仿宋" w:eastAsia="仿宋" w:cs="仿宋"/>
          <w:color w:val="auto"/>
          <w:sz w:val="28"/>
          <w:lang w:eastAsia="zh-CN"/>
        </w:rPr>
        <w:t xml:space="preserve">.</w:t>
      </w:r>
      <w:r>
        <w:rPr>
          <w:rFonts w:hint="eastAsia" w:ascii="仿宋" w:hAnsi="仿宋" w:eastAsia="仿宋" w:cs="仿宋"/>
          <w:color w:val="auto"/>
          <w:sz w:val="28"/>
        </w:rPr>
        <w:t xml:space="preserve">资格证明文件</w:t>
      </w:r>
      <w:r/>
    </w:p>
    <w:p>
      <w:pPr>
        <w:ind w:firstLine="719"/>
        <w:spacing w:line="360" w:lineRule="auto"/>
        <w:rPr>
          <w:rFonts w:ascii="仿宋" w:hAnsi="仿宋" w:eastAsia="仿宋" w:cs="仿宋"/>
          <w:color w:val="auto"/>
          <w:sz w:val="28"/>
        </w:rPr>
      </w:pPr>
      <w:r>
        <w:rPr>
          <w:rFonts w:hint="eastAsia" w:ascii="仿宋" w:hAnsi="仿宋" w:eastAsia="仿宋" w:cs="仿宋"/>
          <w:color w:val="auto"/>
          <w:sz w:val="28"/>
        </w:rPr>
        <w:t xml:space="preserve">5</w:t>
      </w:r>
      <w:r>
        <w:rPr>
          <w:rFonts w:hint="eastAsia" w:ascii="仿宋" w:hAnsi="仿宋" w:eastAsia="仿宋" w:cs="仿宋"/>
          <w:color w:val="auto"/>
          <w:sz w:val="28"/>
          <w:lang w:eastAsia="zh-CN"/>
        </w:rPr>
        <w:t xml:space="preserve">.</w:t>
      </w:r>
      <w:r>
        <w:rPr>
          <w:rFonts w:hint="eastAsia" w:ascii="仿宋" w:hAnsi="仿宋" w:eastAsia="仿宋" w:cs="仿宋"/>
          <w:color w:val="auto"/>
          <w:sz w:val="28"/>
        </w:rPr>
        <w:t xml:space="preserve">附件</w:t>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据此函，签字人兹宣布同意如下：</w:t>
      </w:r>
      <w:r/>
    </w:p>
    <w:p>
      <w:pPr>
        <w:pStyle w:val="834"/>
        <w:ind w:firstLine="72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（1）按招标文件规定，我方确认本项目所有详细分项包括各种税费及交付使用前的所有费用。</w:t>
      </w:r>
      <w:r/>
    </w:p>
    <w:p>
      <w:pPr>
        <w:pStyle w:val="834"/>
        <w:ind w:firstLine="6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（2）我们完全理解贵方不一定接受最低报价的投标响应或收到的任何投标响应。</w:t>
      </w:r>
      <w:r/>
    </w:p>
    <w:p>
      <w:pPr>
        <w:pStyle w:val="834"/>
        <w:ind w:firstLine="6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（3）我们已详细审核全部招标文件及其有效补充文件，我们知道必须放弃提出含糊不清或误解的问题的权利。</w:t>
      </w:r>
      <w:r/>
    </w:p>
    <w:p>
      <w:pPr>
        <w:pStyle w:val="834"/>
        <w:ind w:firstLine="6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（4）我们同意从规定的投标日期起遵循本投标响应文件，并在规定的投标响应有效期满之前均具有约束力。</w:t>
      </w:r>
      <w:r/>
    </w:p>
    <w:p>
      <w:pPr>
        <w:pStyle w:val="833"/>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（5）如果在投标后规定的投标响应有效期内撤回投标响应文件，一切后果有我们自行负责。</w:t>
      </w:r>
      <w:r/>
    </w:p>
    <w:p>
      <w:pPr>
        <w:pStyle w:val="833"/>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（6）同意向贵方提供贵方要求的与投标有关的任何证据资料。</w:t>
      </w:r>
      <w:r/>
    </w:p>
    <w:p>
      <w:pPr>
        <w:pStyle w:val="833"/>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（7）一旦我方被宣布中标，我们将根据招标文件的规定，严格按照《民法典》履行自己的责任和义务，完成项目交付甲方验收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使用，为甲方做好服务。</w:t>
      </w:r>
      <w:r/>
    </w:p>
    <w:p>
      <w:pPr>
        <w:pStyle w:val="834"/>
        <w:ind w:firstLine="606"/>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（8）本公司承诺：参加本次政府采购活动前三年内，在经营活动中没有重大违法记录。</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（9）与本投标响应有关的正式通讯地址为：</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地址：</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邮编：</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电话：</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传真：</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投标人授权代表姓名(签字)：</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投标单位名称：</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公章：</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pStyle w:val="834"/>
        <w:jc w:val="center"/>
        <w:spacing w:line="480" w:lineRule="exact"/>
        <w:rPr>
          <w:rFonts w:ascii="仿宋" w:hAnsi="仿宋" w:eastAsia="仿宋" w:cs="仿宋"/>
          <w:b/>
          <w:bCs/>
          <w:color w:val="auto"/>
          <w:sz w:val="36"/>
          <w:szCs w:val="36"/>
        </w:rPr>
      </w:pPr>
      <w:r/>
      <w:bookmarkStart w:id="179" w:name="_Toc16331"/>
      <w:r/>
      <w:bookmarkStart w:id="180" w:name="_Toc10031"/>
      <w:r/>
      <w:bookmarkStart w:id="181" w:name="_Toc7934"/>
      <w:r/>
      <w:bookmarkStart w:id="182" w:name="_Toc2475"/>
      <w:r/>
      <w:bookmarkStart w:id="183" w:name="_Toc22986"/>
      <w:r/>
      <w:bookmarkStart w:id="184" w:name="_Toc32676"/>
      <w:r/>
      <w:bookmarkStart w:id="185" w:name="_Toc17497"/>
      <w:r/>
      <w:bookmarkStart w:id="186" w:name="_Toc12195"/>
      <w:r/>
      <w:bookmarkStart w:id="187" w:name="_Toc29803"/>
      <w:r/>
      <w:bookmarkStart w:id="188" w:name="_Toc2764"/>
      <w:r/>
      <w:bookmarkStart w:id="189" w:name="_Toc23613"/>
      <w:r/>
      <w:bookmarkStart w:id="190" w:name="_Toc27151"/>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5"/>
        <w:rPr>
          <w:rFonts w:ascii="仿宋" w:hAnsi="仿宋" w:eastAsia="仿宋" w:cs="仿宋"/>
          <w:color w:val="auto"/>
        </w:rPr>
      </w:pPr>
      <w:r>
        <w:rPr>
          <w:rFonts w:ascii="仿宋" w:hAnsi="仿宋" w:eastAsia="仿宋" w:cs="仿宋"/>
          <w:color w:val="auto"/>
        </w:rPr>
      </w:r>
      <w:r/>
    </w:p>
    <w:p>
      <w:pPr>
        <w:pStyle w:val="834"/>
        <w:rPr>
          <w:rFonts w:ascii="仿宋" w:hAnsi="仿宋" w:eastAsia="仿宋" w:cs="仿宋"/>
          <w:color w:val="auto"/>
        </w:rPr>
      </w:pPr>
      <w:r>
        <w:rPr>
          <w:rFonts w:ascii="仿宋" w:hAnsi="仿宋" w:eastAsia="仿宋" w:cs="仿宋"/>
          <w:color w:val="auto"/>
        </w:rPr>
      </w:r>
      <w:r/>
    </w:p>
    <w:p>
      <w:pPr>
        <w:pStyle w:val="834"/>
        <w:jc w:val="center"/>
        <w:spacing w:line="480" w:lineRule="exact"/>
        <w:rPr>
          <w:rFonts w:ascii="仿宋" w:hAnsi="仿宋" w:eastAsia="仿宋" w:cs="仿宋"/>
          <w:b/>
          <w:bCs/>
          <w:color w:val="auto"/>
          <w:sz w:val="36"/>
          <w:szCs w:val="36"/>
        </w:rPr>
        <w:outlineLvl w:val="1"/>
      </w:pPr>
      <w:r>
        <w:rPr>
          <w:rFonts w:ascii="仿宋" w:hAnsi="仿宋" w:eastAsia="仿宋" w:cs="仿宋"/>
          <w:b/>
          <w:bCs/>
          <w:color w:val="auto"/>
          <w:sz w:val="36"/>
          <w:szCs w:val="36"/>
        </w:rPr>
      </w:r>
      <w:r/>
    </w:p>
    <w:p>
      <w:pPr>
        <w:pStyle w:val="835"/>
        <w:rPr>
          <w:rFonts w:ascii="仿宋" w:hAnsi="仿宋" w:eastAsia="仿宋" w:cs="仿宋"/>
          <w:color w:val="auto"/>
          <w:sz w:val="36"/>
          <w:szCs w:val="36"/>
        </w:rPr>
      </w:pPr>
      <w:r>
        <w:rPr>
          <w:rFonts w:ascii="仿宋" w:hAnsi="仿宋" w:eastAsia="仿宋" w:cs="仿宋"/>
          <w:color w:val="auto"/>
          <w:sz w:val="36"/>
          <w:szCs w:val="36"/>
        </w:rPr>
      </w:r>
      <w:r/>
    </w:p>
    <w:p>
      <w:pPr>
        <w:pStyle w:val="834"/>
        <w:rPr>
          <w:rFonts w:ascii="仿宋" w:hAnsi="仿宋" w:eastAsia="仿宋" w:cs="仿宋"/>
          <w:b/>
          <w:bCs/>
          <w:color w:val="auto"/>
          <w:sz w:val="36"/>
          <w:szCs w:val="36"/>
        </w:rPr>
      </w:pPr>
      <w:r>
        <w:rPr>
          <w:rFonts w:ascii="仿宋" w:hAnsi="仿宋" w:eastAsia="仿宋" w:cs="仿宋"/>
          <w:b/>
          <w:bCs/>
          <w:color w:val="auto"/>
          <w:sz w:val="36"/>
          <w:szCs w:val="36"/>
        </w:rPr>
      </w:r>
      <w:r/>
    </w:p>
    <w:p>
      <w:pPr>
        <w:pStyle w:val="835"/>
        <w:rPr>
          <w:rFonts w:ascii="仿宋" w:hAnsi="仿宋" w:eastAsia="仿宋" w:cs="仿宋"/>
          <w:color w:val="auto"/>
          <w:sz w:val="36"/>
          <w:szCs w:val="36"/>
        </w:rPr>
      </w:pPr>
      <w:r>
        <w:rPr>
          <w:rFonts w:ascii="仿宋" w:hAnsi="仿宋" w:eastAsia="仿宋" w:cs="仿宋"/>
          <w:color w:val="auto"/>
          <w:sz w:val="36"/>
          <w:szCs w:val="36"/>
        </w:rPr>
      </w:r>
      <w:r/>
    </w:p>
    <w:p>
      <w:pPr>
        <w:pStyle w:val="834"/>
        <w:rPr>
          <w:color w:val="auto"/>
        </w:rPr>
      </w:pPr>
      <w:r>
        <w:rPr>
          <w:color w:val="auto"/>
        </w:rPr>
      </w:r>
      <w:r/>
    </w:p>
    <w:p>
      <w:pPr>
        <w:pStyle w:val="834"/>
        <w:spacing w:line="480" w:lineRule="exact"/>
        <w:rPr>
          <w:rFonts w:ascii="仿宋" w:hAnsi="仿宋" w:eastAsia="仿宋" w:cs="仿宋"/>
          <w:b/>
          <w:bCs/>
          <w:color w:val="auto"/>
          <w:sz w:val="36"/>
          <w:szCs w:val="36"/>
        </w:rPr>
        <w:outlineLvl w:val="1"/>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outlineLvl w:val="1"/>
      </w:pPr>
      <w:r>
        <w:rPr>
          <w:rFonts w:hint="eastAsia" w:ascii="仿宋" w:hAnsi="仿宋" w:eastAsia="仿宋" w:cs="仿宋"/>
          <w:b/>
          <w:bCs/>
          <w:color w:val="auto"/>
          <w:sz w:val="36"/>
          <w:szCs w:val="36"/>
        </w:rPr>
        <w:t xml:space="preserve">二</w:t>
      </w:r>
      <w:r>
        <w:rPr>
          <w:rFonts w:hint="eastAsia" w:ascii="仿宋" w:hAnsi="仿宋" w:eastAsia="仿宋" w:cs="仿宋"/>
          <w:b/>
          <w:bCs/>
          <w:color w:val="auto"/>
          <w:sz w:val="36"/>
          <w:szCs w:val="36"/>
          <w:lang w:eastAsia="zh-CN"/>
        </w:rPr>
        <w:t xml:space="preserve">.</w:t>
      </w:r>
      <w:r>
        <w:rPr>
          <w:rFonts w:hint="eastAsia" w:ascii="仿宋" w:hAnsi="仿宋" w:eastAsia="仿宋" w:cs="仿宋"/>
          <w:b/>
          <w:bCs/>
          <w:color w:val="auto"/>
          <w:sz w:val="36"/>
          <w:szCs w:val="36"/>
        </w:rPr>
        <w:t xml:space="preserve">投标人廉政承诺</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pStyle w:val="834"/>
        <w:ind w:firstLine="719"/>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扬中市纪委</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市监委：</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本单位在参与本项目招标过程中，将遵守法律法规，遵循公平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公正和诚实信用的原则，并作出以下廉政承诺：</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不馈赠礼品</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礼金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有价证券；</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不报销应由招标人或相关人员支付的费用；</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不以变相让利形式为招标人及相关人员购物或提供其它不正当利益；</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四</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不就本次交易实质性内容进行私下商谈或达成默契；</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五</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不以各种形式进行串标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陪标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围标或以其它方式弄虚作假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骗取中标；</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六</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不擅自改变招标约定的技术规范；</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七</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不发生其它有损国家</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集体利益和他人合法权益的行为；</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八</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中标后，签订《廉政合同》，如有不廉政行为，愿意按照《扬中市招投标大市场廉政监管办法》接受处理。</w:t>
      </w:r>
      <w:r/>
    </w:p>
    <w:p>
      <w:pPr>
        <w:pStyle w:val="834"/>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834"/>
        <w:ind w:firstLine="64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单                位：</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法人代表或授权委托人：</w:t>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联    系    电    话：</w:t>
      </w:r>
      <w:r/>
    </w:p>
    <w:p>
      <w:pPr>
        <w:pStyle w:val="834"/>
        <w:ind w:firstLine="64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firstLine="64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firstLine="64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年    月     日</w:t>
      </w:r>
      <w:r/>
    </w:p>
    <w:p>
      <w:pPr>
        <w:pStyle w:val="834"/>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5"/>
        <w:ind w:left="0" w:firstLine="0"/>
        <w:rPr>
          <w:rFonts w:ascii="仿宋" w:hAnsi="仿宋" w:eastAsia="仿宋" w:cs="仿宋"/>
          <w:color w:val="auto"/>
        </w:rPr>
      </w:pPr>
      <w:r/>
      <w:bookmarkStart w:id="191" w:name="_Toc29373"/>
      <w:r/>
      <w:bookmarkStart w:id="192" w:name="_Toc28222"/>
      <w:r/>
      <w:bookmarkStart w:id="193" w:name="_Toc12603"/>
      <w:r/>
      <w:bookmarkStart w:id="194" w:name="_Toc28936"/>
      <w:r/>
      <w:bookmarkStart w:id="195" w:name="_Toc4266"/>
      <w:r/>
      <w:bookmarkStart w:id="196" w:name="_Toc791"/>
      <w:r/>
      <w:bookmarkStart w:id="197" w:name="_Toc545"/>
      <w:r/>
      <w:bookmarkStart w:id="198" w:name="_Toc7149"/>
      <w:r/>
      <w:r/>
    </w:p>
    <w:p>
      <w:pPr>
        <w:ind w:left="510"/>
        <w:jc w:val="center"/>
        <w:spacing w:line="453" w:lineRule="atLeast"/>
        <w:rPr>
          <w:rFonts w:ascii="仿宋" w:hAnsi="仿宋" w:eastAsia="仿宋" w:cs="仿宋"/>
          <w:b/>
          <w:bCs/>
          <w:color w:val="auto"/>
          <w:sz w:val="36"/>
          <w:szCs w:val="36"/>
        </w:rPr>
      </w:pPr>
      <w:r/>
      <w:bookmarkStart w:id="199" w:name="_Toc26563"/>
      <w:r/>
      <w:bookmarkStart w:id="200" w:name="_Toc23441"/>
      <w:r/>
      <w:r/>
    </w:p>
    <w:p>
      <w:pPr>
        <w:ind w:left="510"/>
        <w:jc w:val="center"/>
        <w:spacing w:line="453" w:lineRule="atLeast"/>
        <w:rPr>
          <w:rFonts w:ascii="仿宋" w:hAnsi="仿宋" w:eastAsia="仿宋" w:cs="仿宋"/>
          <w:color w:val="auto"/>
          <w:sz w:val="36"/>
          <w:szCs w:val="36"/>
        </w:rPr>
      </w:pPr>
      <w:r>
        <w:rPr>
          <w:rFonts w:hint="eastAsia" w:ascii="仿宋" w:hAnsi="仿宋" w:eastAsia="仿宋" w:cs="仿宋"/>
          <w:b/>
          <w:bCs/>
          <w:color w:val="auto"/>
          <w:sz w:val="36"/>
          <w:szCs w:val="36"/>
        </w:rPr>
        <w:t xml:space="preserve">三</w:t>
      </w:r>
      <w:bookmarkEnd w:id="191"/>
      <w:r/>
      <w:bookmarkEnd w:id="192"/>
      <w:r/>
      <w:bookmarkEnd w:id="193"/>
      <w:r/>
      <w:bookmarkEnd w:id="194"/>
      <w:r/>
      <w:bookmarkEnd w:id="195"/>
      <w:r/>
      <w:bookmarkEnd w:id="196"/>
      <w:r/>
      <w:bookmarkEnd w:id="197"/>
      <w:r/>
      <w:bookmarkEnd w:id="198"/>
      <w:r/>
      <w:bookmarkEnd w:id="199"/>
      <w:r/>
      <w:bookmarkEnd w:id="200"/>
      <w:r>
        <w:rPr>
          <w:rFonts w:hint="eastAsia" w:ascii="仿宋" w:hAnsi="仿宋" w:eastAsia="仿宋" w:cs="仿宋"/>
          <w:b/>
          <w:bCs/>
          <w:color w:val="auto"/>
          <w:sz w:val="36"/>
          <w:szCs w:val="36"/>
          <w:lang w:eastAsia="zh-CN"/>
        </w:rPr>
        <w:t xml:space="preserve">.</w:t>
      </w:r>
      <w:r>
        <w:rPr>
          <w:rFonts w:hint="eastAsia" w:ascii="仿宋" w:hAnsi="仿宋" w:eastAsia="仿宋" w:cs="仿宋"/>
          <w:color w:val="auto"/>
          <w:sz w:val="36"/>
          <w:szCs w:val="36"/>
        </w:rPr>
        <w:t xml:space="preserve">实施方案（格式自定）</w:t>
      </w:r>
      <w:r/>
    </w:p>
    <w:p>
      <w:pPr>
        <w:pStyle w:val="803"/>
        <w:ind w:firstLine="0"/>
        <w:spacing w:line="360" w:lineRule="auto"/>
        <w:rPr>
          <w:rFonts w:ascii="仿宋" w:hAnsi="仿宋" w:eastAsia="仿宋" w:cs="仿宋"/>
          <w:color w:val="auto"/>
          <w:sz w:val="28"/>
          <w:szCs w:val="28"/>
        </w:rPr>
      </w:pPr>
      <w:r/>
      <w:bookmarkStart w:id="201" w:name="_Toc92252638"/>
      <w:r/>
      <w:bookmarkStart w:id="202" w:name="_Toc92168050"/>
      <w:r/>
      <w:bookmarkEnd w:id="201"/>
      <w:r/>
      <w:bookmarkEnd w:id="202"/>
      <w:r/>
      <w:r/>
    </w:p>
    <w:p>
      <w:pPr>
        <w:ind w:firstLine="562"/>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投标人应根据本项目具体类型，根据招标文件评分办法中的各项标准，明确服务需求，准确分析，制订实施方案。</w:t>
      </w:r>
      <w:r/>
    </w:p>
    <w:p>
      <w:pPr>
        <w:pStyle w:val="834"/>
        <w:ind w:firstLine="640"/>
        <w:spacing w:line="48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pStyle w:val="834"/>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firstLine="562"/>
        <w:spacing w:line="360" w:lineRule="auto"/>
        <w:rPr>
          <w:rFonts w:ascii="仿宋" w:hAnsi="仿宋" w:eastAsia="仿宋" w:cs="仿宋"/>
          <w:b/>
          <w:bCs/>
          <w:color w:val="auto"/>
          <w:sz w:val="28"/>
          <w:szCs w:val="28"/>
        </w:rPr>
      </w:pPr>
      <w:r/>
      <w:bookmarkStart w:id="203" w:name="_Toc662"/>
      <w:r/>
      <w:r/>
    </w:p>
    <w:p>
      <w:pPr>
        <w:pStyle w:val="834"/>
        <w:ind w:firstLine="562"/>
        <w:spacing w:line="360" w:lineRule="auto"/>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4"/>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p>
    <w:p>
      <w:pPr>
        <w:pStyle w:val="835"/>
        <w:rPr>
          <w:rFonts w:ascii="仿宋" w:hAnsi="仿宋" w:eastAsia="仿宋" w:cs="仿宋"/>
          <w:color w:val="auto"/>
        </w:rPr>
      </w:pPr>
      <w:r>
        <w:rPr>
          <w:rFonts w:ascii="仿宋" w:hAnsi="仿宋" w:eastAsia="仿宋" w:cs="仿宋"/>
          <w:color w:val="auto"/>
        </w:rPr>
      </w:r>
      <w:bookmarkEnd w:id="203"/>
      <w:r/>
      <w:r/>
    </w:p>
    <w:p>
      <w:pPr>
        <w:pStyle w:val="833"/>
        <w:rPr>
          <w:rFonts w:ascii="仿宋" w:hAnsi="仿宋" w:eastAsia="仿宋" w:cs="仿宋"/>
          <w:color w:val="auto"/>
        </w:rPr>
      </w:pPr>
      <w:r/>
      <w:bookmarkStart w:id="204" w:name="_Toc30218"/>
      <w:r/>
      <w:bookmarkStart w:id="205" w:name="_Toc329"/>
      <w:r/>
      <w:bookmarkStart w:id="206" w:name="_Toc26546"/>
      <w:r/>
      <w:r/>
    </w:p>
    <w:p>
      <w:pPr>
        <w:rPr>
          <w:rFonts w:ascii="仿宋" w:hAnsi="仿宋" w:eastAsia="仿宋" w:cs="仿宋"/>
          <w:b/>
          <w:color w:val="auto"/>
          <w:sz w:val="28"/>
          <w:szCs w:val="28"/>
        </w:rPr>
      </w:pPr>
      <w:r>
        <w:rPr>
          <w:rFonts w:ascii="仿宋" w:hAnsi="仿宋" w:eastAsia="仿宋" w:cs="仿宋"/>
          <w:b/>
          <w:color w:val="auto"/>
          <w:sz w:val="28"/>
          <w:szCs w:val="28"/>
        </w:rPr>
      </w:r>
      <w:bookmarkEnd w:id="204"/>
      <w:r/>
      <w:bookmarkEnd w:id="205"/>
      <w:r/>
      <w:bookmarkEnd w:id="206"/>
      <w:r/>
      <w:r/>
    </w:p>
    <w:p>
      <w:pPr>
        <w:pStyle w:val="834"/>
        <w:jc w:val="center"/>
        <w:spacing w:line="360" w:lineRule="auto"/>
        <w:rPr>
          <w:rFonts w:ascii="仿宋" w:hAnsi="仿宋" w:eastAsia="仿宋" w:cs="仿宋"/>
          <w:color w:val="auto"/>
          <w:sz w:val="28"/>
          <w:szCs w:val="28"/>
        </w:rPr>
        <w:outlineLvl w:val="1"/>
      </w:pPr>
      <w:r/>
      <w:bookmarkStart w:id="207" w:name="_Toc25550"/>
      <w:r/>
      <w:bookmarkStart w:id="208" w:name="_Toc32221"/>
      <w:r/>
      <w:bookmarkStart w:id="209" w:name="_Toc32322"/>
      <w:r/>
      <w:bookmarkStart w:id="210" w:name="_Toc25930"/>
      <w:r/>
      <w:bookmarkStart w:id="211" w:name="_Toc30866"/>
      <w:r/>
      <w:bookmarkStart w:id="212" w:name="_Toc6498"/>
      <w:r/>
      <w:bookmarkStart w:id="213" w:name="_Toc5811"/>
      <w:r/>
      <w:bookmarkStart w:id="214" w:name="_Toc27403"/>
      <w:r/>
      <w:bookmarkStart w:id="215" w:name="_Toc27580"/>
      <w:r/>
      <w:bookmarkStart w:id="216" w:name="_Toc7680"/>
      <w:r>
        <w:rPr>
          <w:rFonts w:hint="eastAsia" w:ascii="仿宋" w:hAnsi="仿宋" w:eastAsia="仿宋" w:cs="仿宋"/>
          <w:color w:val="auto"/>
          <w:sz w:val="36"/>
          <w:szCs w:val="36"/>
        </w:rPr>
        <w:t xml:space="preserve">四</w:t>
      </w:r>
      <w:r>
        <w:rPr>
          <w:rFonts w:hint="eastAsia" w:ascii="仿宋" w:hAnsi="仿宋" w:eastAsia="仿宋" w:cs="仿宋"/>
          <w:color w:val="auto"/>
          <w:sz w:val="36"/>
          <w:szCs w:val="36"/>
          <w:lang w:eastAsia="zh-CN"/>
        </w:rPr>
        <w:t xml:space="preserve">.</w:t>
      </w:r>
      <w:r>
        <w:rPr>
          <w:rFonts w:hint="eastAsia" w:ascii="仿宋" w:hAnsi="仿宋" w:eastAsia="仿宋" w:cs="仿宋"/>
          <w:color w:val="auto"/>
          <w:sz w:val="36"/>
          <w:szCs w:val="36"/>
        </w:rPr>
        <w:t xml:space="preserve">资格证明文件</w:t>
      </w:r>
      <w:bookmarkEnd w:id="207"/>
      <w:r/>
      <w:bookmarkEnd w:id="208"/>
      <w:r/>
      <w:bookmarkEnd w:id="209"/>
      <w:r/>
      <w:bookmarkEnd w:id="210"/>
      <w:r/>
      <w:bookmarkEnd w:id="211"/>
      <w:r/>
      <w:bookmarkEnd w:id="212"/>
      <w:r/>
      <w:bookmarkEnd w:id="213"/>
      <w:r/>
      <w:bookmarkEnd w:id="214"/>
      <w:r/>
      <w:bookmarkEnd w:id="215"/>
      <w:r/>
      <w:bookmarkEnd w:id="216"/>
      <w:r/>
      <w:r/>
    </w:p>
    <w:p>
      <w:pPr>
        <w:pStyle w:val="834"/>
        <w:ind w:firstLine="560"/>
        <w:spacing w:line="560" w:lineRule="exact"/>
        <w:rPr>
          <w:rFonts w:ascii="仿宋" w:hAnsi="仿宋" w:eastAsia="仿宋" w:cs="仿宋"/>
          <w:color w:val="auto"/>
          <w:sz w:val="28"/>
          <w:szCs w:val="28"/>
        </w:rPr>
      </w:pPr>
      <w:r/>
      <w:bookmarkStart w:id="217" w:name="_Toc104"/>
      <w:r/>
      <w:bookmarkStart w:id="218" w:name="_Toc18334"/>
      <w:r/>
      <w:bookmarkStart w:id="219" w:name="_Toc14602"/>
      <w:r/>
      <w:bookmarkStart w:id="220" w:name="_Toc24780"/>
      <w:r>
        <w:rPr>
          <w:rFonts w:hint="eastAsia" w:ascii="仿宋" w:hAnsi="仿宋" w:eastAsia="仿宋" w:cs="仿宋"/>
          <w:color w:val="auto"/>
          <w:sz w:val="28"/>
          <w:szCs w:val="28"/>
        </w:rPr>
        <w:t xml:space="preserve">（1）具有独立承担民事责任的能力（提供法人或者其他组织的营业执照等证明文件）；</w:t>
      </w:r>
      <w:r/>
    </w:p>
    <w:p>
      <w:pPr>
        <w:pStyle w:val="834"/>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（2）法定代表人/负责人授权委托书或法定代表人身份证明（原件）；</w:t>
      </w:r>
      <w:r/>
    </w:p>
    <w:p>
      <w:pPr>
        <w:pStyle w:val="834"/>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pStyle w:val="834"/>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（4）具有履行合同所必需的设备和专业技术能力(投标响应单位相关信息一览表【见投标响应文件（格式）】）/资格承诺函；</w:t>
      </w:r>
      <w:r/>
    </w:p>
    <w:p>
      <w:pPr>
        <w:pStyle w:val="834"/>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（5）提供参加本次政府采购活动前三年内，在经营活动中没有重大违法记录的承诺函（见投标响应承诺函第8条）/资格承诺函；</w:t>
      </w:r>
      <w:r/>
    </w:p>
    <w:p>
      <w:pPr>
        <w:pStyle w:val="834"/>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（6）具有工商注册所在地相关部门提供的企业纳税的证明材料（参加本次政府采购活动前6个月内任一个月的缴税证明，事业单位请提供相关证明材料）/资格承诺函；</w:t>
      </w:r>
      <w:r/>
    </w:p>
    <w:p>
      <w:pPr>
        <w:pStyle w:val="834"/>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（7）具有工商注册所在地相关部门提供的社保缴费良好记录的证明材料（参加本次政府采购活动前6个月内任一个月的缴社会保险费证明）/资格承诺函；</w:t>
      </w:r>
      <w:r/>
    </w:p>
    <w:p>
      <w:pPr>
        <w:pStyle w:val="834"/>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（8）信用查询结果。</w:t>
      </w:r>
      <w:r/>
    </w:p>
    <w:p>
      <w:pPr>
        <w:pStyle w:val="834"/>
        <w:spacing w:line="56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注：①</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按扬财购〔2022〕17号《关于进一步降低政府采购活动成本减轻政府采购供应商负担的通知》本项目申请人的资格条件采取“信用承诺制”，资格要求第（3）至第（7）项，供应商可选择提供资格承诺函（格式见附件），在响应文件中无需再提供与上述五项相关的证明材料即可参加采购活动。</w:t>
      </w:r>
      <w:r/>
    </w:p>
    <w:p>
      <w:pPr>
        <w:pStyle w:val="834"/>
        <w:ind w:firstLine="562"/>
        <w:spacing w:line="56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②</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供应商可自行选择是否提供承诺函，若不提供承诺函的，应按招标文件要求提供相应的证明材料。</w:t>
      </w:r>
      <w:r/>
    </w:p>
    <w:p>
      <w:pPr>
        <w:pStyle w:val="834"/>
        <w:ind w:firstLine="562"/>
        <w:spacing w:line="56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③</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供应商应当遵循诚实信用原则，不得作虚假承诺。供应商承诺不实的，属于提供虚假材料谋取中标</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rPr>
        <w:t xml:space="preserve">成交，应承担相应的法律责任。</w:t>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5"/>
        <w:rPr>
          <w:rFonts w:ascii="仿宋" w:hAnsi="仿宋" w:eastAsia="仿宋" w:cs="仿宋"/>
          <w:color w:val="auto"/>
          <w:sz w:val="36"/>
          <w:szCs w:val="36"/>
        </w:rPr>
      </w:pPr>
      <w:r>
        <w:rPr>
          <w:rFonts w:ascii="仿宋" w:hAnsi="仿宋" w:eastAsia="仿宋" w:cs="仿宋"/>
          <w:color w:val="auto"/>
          <w:sz w:val="36"/>
          <w:szCs w:val="36"/>
        </w:rPr>
      </w:r>
      <w:r/>
    </w:p>
    <w:p>
      <w:pPr>
        <w:pStyle w:val="834"/>
        <w:rPr>
          <w:rFonts w:ascii="仿宋" w:hAnsi="仿宋" w:eastAsia="仿宋" w:cs="仿宋"/>
          <w:color w:val="auto"/>
        </w:rPr>
      </w:pPr>
      <w:r>
        <w:rPr>
          <w:rFonts w:ascii="仿宋" w:hAnsi="仿宋" w:eastAsia="仿宋" w:cs="仿宋"/>
          <w:color w:val="auto"/>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outlineLvl w:val="2"/>
      </w:pPr>
      <w:r/>
      <w:bookmarkStart w:id="221" w:name="_Toc23524"/>
      <w:r/>
      <w:bookmarkStart w:id="222" w:name="_Toc6876"/>
      <w:r/>
      <w:bookmarkStart w:id="223" w:name="_Toc27273"/>
      <w:r/>
      <w:bookmarkStart w:id="224" w:name="_Toc8636"/>
      <w:r/>
      <w:r/>
    </w:p>
    <w:p>
      <w:pPr>
        <w:pStyle w:val="834"/>
        <w:jc w:val="center"/>
        <w:spacing w:line="480" w:lineRule="exact"/>
        <w:rPr>
          <w:rFonts w:ascii="仿宋" w:hAnsi="仿宋" w:eastAsia="仿宋" w:cs="仿宋"/>
          <w:b/>
          <w:bCs/>
          <w:color w:val="auto"/>
          <w:sz w:val="36"/>
          <w:szCs w:val="36"/>
        </w:rPr>
        <w:outlineLvl w:val="2"/>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outlineLvl w:val="2"/>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outlineLvl w:val="2"/>
      </w:pPr>
      <w:r>
        <w:rPr>
          <w:rFonts w:hint="eastAsia" w:ascii="仿宋" w:hAnsi="仿宋" w:eastAsia="仿宋" w:cs="仿宋"/>
          <w:b/>
          <w:bCs/>
          <w:color w:val="auto"/>
          <w:sz w:val="36"/>
          <w:szCs w:val="36"/>
        </w:rPr>
        <w:t xml:space="preserve">资格承诺函（格式）</w:t>
      </w:r>
      <w:bookmarkEnd w:id="221"/>
      <w:r/>
      <w:bookmarkEnd w:id="222"/>
      <w:r/>
      <w:bookmarkEnd w:id="223"/>
      <w:r/>
      <w:bookmarkEnd w:id="224"/>
      <w:r/>
      <w:r/>
    </w:p>
    <w:p>
      <w:pPr>
        <w:pStyle w:val="834"/>
        <w:ind w:left="560" w:hanging="56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left="560" w:hanging="560"/>
        <w:spacing w:line="360" w:lineRule="auto"/>
        <w:rPr>
          <w:rFonts w:ascii="仿宋" w:hAnsi="仿宋" w:eastAsia="仿宋" w:cs="仿宋"/>
          <w:color w:val="auto"/>
          <w:sz w:val="28"/>
          <w:szCs w:val="28"/>
        </w:rPr>
        <w:outlineLvl w:val="2"/>
      </w:pPr>
      <w:r/>
      <w:bookmarkStart w:id="225" w:name="_Toc27117"/>
      <w:r/>
      <w:bookmarkStart w:id="226" w:name="_Toc3184"/>
      <w:r/>
      <w:bookmarkStart w:id="227" w:name="_Toc22112"/>
      <w:r/>
      <w:bookmarkStart w:id="228" w:name="_Toc681"/>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rPr>
        <w:t xml:space="preserve">采购代理机构）</w:t>
      </w:r>
      <w:bookmarkEnd w:id="225"/>
      <w:r/>
      <w:bookmarkEnd w:id="226"/>
      <w:r/>
      <w:bookmarkEnd w:id="227"/>
      <w:r/>
      <w:bookmarkEnd w:id="228"/>
      <w:r>
        <w:rPr>
          <w:rFonts w:hint="eastAsia" w:ascii="仿宋" w:hAnsi="仿宋" w:eastAsia="仿宋" w:cs="仿宋"/>
          <w:color w:val="auto"/>
          <w:sz w:val="28"/>
          <w:szCs w:val="28"/>
        </w:rPr>
        <w:t xml:space="preserve">   </w:t>
      </w:r>
      <w:r/>
    </w:p>
    <w:p>
      <w:pPr>
        <w:pStyle w:val="834"/>
        <w:ind w:firstLine="560"/>
        <w:spacing w:line="360" w:lineRule="auto"/>
        <w:rPr>
          <w:rFonts w:ascii="仿宋" w:hAnsi="仿宋" w:eastAsia="仿宋" w:cs="仿宋"/>
          <w:color w:val="auto"/>
          <w:sz w:val="28"/>
          <w:szCs w:val="28"/>
        </w:rPr>
        <w:outlineLvl w:val="2"/>
      </w:pPr>
      <w:r/>
      <w:bookmarkStart w:id="229" w:name="_Toc9812"/>
      <w:r/>
      <w:bookmarkStart w:id="230" w:name="_Toc32140"/>
      <w:r/>
      <w:bookmarkStart w:id="231" w:name="_Toc13447"/>
      <w:r/>
      <w:bookmarkStart w:id="232" w:name="_Toc29400"/>
      <w:r>
        <w:rPr>
          <w:rFonts w:hint="eastAsia" w:ascii="仿宋" w:hAnsi="仿宋" w:eastAsia="仿宋" w:cs="仿宋"/>
          <w:color w:val="auto"/>
          <w:sz w:val="28"/>
          <w:szCs w:val="28"/>
        </w:rPr>
        <w:t xml:space="preserve">我单位参与</w:t>
      </w:r>
      <w:r>
        <w:rPr>
          <w:rFonts w:hint="eastAsia" w:ascii="仿宋" w:hAnsi="仿宋" w:eastAsia="仿宋" w:cs="仿宋"/>
          <w:color w:val="auto"/>
          <w:sz w:val="28"/>
          <w:szCs w:val="28"/>
          <w:u w:val="single"/>
        </w:rPr>
        <w:t xml:space="preserve">      （项目名称）（项目编号：     ）   </w:t>
      </w:r>
      <w:r>
        <w:rPr>
          <w:rFonts w:hint="eastAsia" w:ascii="仿宋" w:hAnsi="仿宋" w:eastAsia="仿宋" w:cs="仿宋"/>
          <w:color w:val="auto"/>
          <w:sz w:val="28"/>
          <w:szCs w:val="28"/>
        </w:rPr>
        <w:t xml:space="preserve">项目的政府采购活动，现承诺如下：</w:t>
      </w:r>
      <w:bookmarkEnd w:id="229"/>
      <w:r/>
      <w:bookmarkEnd w:id="230"/>
      <w:r/>
      <w:bookmarkEnd w:id="231"/>
      <w:r/>
      <w:bookmarkEnd w:id="232"/>
      <w:r/>
      <w:r/>
    </w:p>
    <w:p>
      <w:pPr>
        <w:pStyle w:val="834"/>
        <w:ind w:firstLine="561"/>
        <w:spacing w:line="360" w:lineRule="auto"/>
        <w:rPr>
          <w:rFonts w:ascii="仿宋" w:hAnsi="仿宋" w:eastAsia="仿宋" w:cs="仿宋"/>
          <w:color w:val="auto"/>
          <w:sz w:val="28"/>
          <w:szCs w:val="28"/>
        </w:rPr>
        <w:outlineLvl w:val="2"/>
      </w:pPr>
      <w:r/>
      <w:bookmarkStart w:id="233" w:name="_Toc25818"/>
      <w:r/>
      <w:bookmarkStart w:id="234" w:name="_Toc16310"/>
      <w:r/>
      <w:bookmarkStart w:id="235" w:name="_Toc16499"/>
      <w:r/>
      <w:bookmarkStart w:id="236" w:name="_Toc7615"/>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我方具有良好的商业信誉和健全的财务会计制度。</w:t>
      </w:r>
      <w:bookmarkEnd w:id="233"/>
      <w:r/>
      <w:bookmarkEnd w:id="234"/>
      <w:r/>
      <w:bookmarkEnd w:id="235"/>
      <w:r/>
      <w:bookmarkEnd w:id="236"/>
      <w:r/>
      <w:r/>
    </w:p>
    <w:p>
      <w:pPr>
        <w:pStyle w:val="834"/>
        <w:ind w:firstLine="561"/>
        <w:spacing w:line="360" w:lineRule="auto"/>
        <w:rPr>
          <w:rFonts w:ascii="仿宋" w:hAnsi="仿宋" w:eastAsia="仿宋" w:cs="仿宋"/>
          <w:color w:val="auto"/>
          <w:sz w:val="28"/>
          <w:szCs w:val="28"/>
        </w:rPr>
        <w:outlineLvl w:val="2"/>
      </w:pPr>
      <w:r/>
      <w:bookmarkStart w:id="237" w:name="_Toc1102"/>
      <w:r/>
      <w:bookmarkStart w:id="238" w:name="_Toc15352"/>
      <w:r/>
      <w:bookmarkStart w:id="239" w:name="_Toc9162"/>
      <w:r/>
      <w:bookmarkStart w:id="240" w:name="_Toc3326"/>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我方具有履行合同所必需的设备和专业技术能力。</w:t>
      </w:r>
      <w:bookmarkEnd w:id="237"/>
      <w:r/>
      <w:bookmarkEnd w:id="238"/>
      <w:r/>
      <w:bookmarkEnd w:id="239"/>
      <w:r/>
      <w:bookmarkEnd w:id="240"/>
      <w:r/>
      <w:r/>
    </w:p>
    <w:p>
      <w:pPr>
        <w:pStyle w:val="834"/>
        <w:ind w:firstLine="561"/>
        <w:spacing w:line="360" w:lineRule="auto"/>
        <w:rPr>
          <w:rFonts w:ascii="仿宋" w:hAnsi="仿宋" w:eastAsia="仿宋" w:cs="仿宋"/>
          <w:color w:val="auto"/>
          <w:sz w:val="28"/>
          <w:szCs w:val="28"/>
        </w:rPr>
        <w:outlineLvl w:val="2"/>
      </w:pPr>
      <w:r/>
      <w:bookmarkStart w:id="241" w:name="_Toc4202"/>
      <w:r/>
      <w:bookmarkStart w:id="242" w:name="_Toc13922"/>
      <w:r/>
      <w:bookmarkStart w:id="243" w:name="_Toc29755"/>
      <w:r/>
      <w:bookmarkStart w:id="244" w:name="_Toc27297"/>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我方具有依法缴纳税收和社会保障资金的良好记录。</w:t>
      </w:r>
      <w:bookmarkEnd w:id="241"/>
      <w:r/>
      <w:bookmarkEnd w:id="242"/>
      <w:r/>
      <w:bookmarkEnd w:id="243"/>
      <w:r/>
      <w:bookmarkEnd w:id="244"/>
      <w:r/>
      <w:r/>
    </w:p>
    <w:p>
      <w:pPr>
        <w:pStyle w:val="834"/>
        <w:ind w:firstLine="561"/>
        <w:spacing w:line="360" w:lineRule="auto"/>
        <w:rPr>
          <w:rFonts w:ascii="仿宋" w:hAnsi="仿宋" w:eastAsia="仿宋" w:cs="仿宋"/>
          <w:color w:val="auto"/>
          <w:sz w:val="28"/>
          <w:szCs w:val="28"/>
        </w:rPr>
        <w:outlineLvl w:val="2"/>
      </w:pPr>
      <w:r/>
      <w:bookmarkStart w:id="245" w:name="_Toc14918"/>
      <w:r/>
      <w:bookmarkStart w:id="246" w:name="_Toc5013"/>
      <w:r/>
      <w:bookmarkStart w:id="247" w:name="_Toc4258"/>
      <w:r/>
      <w:bookmarkStart w:id="248" w:name="_Toc28912"/>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我方参加本项目采购活动前三年内，在经营活动中没有重大违法记录。</w:t>
      </w:r>
      <w:bookmarkEnd w:id="245"/>
      <w:r/>
      <w:bookmarkEnd w:id="246"/>
      <w:r/>
      <w:bookmarkEnd w:id="247"/>
      <w:r/>
      <w:bookmarkEnd w:id="248"/>
      <w:r/>
      <w:r/>
    </w:p>
    <w:p>
      <w:pPr>
        <w:pStyle w:val="834"/>
        <w:ind w:left="618" w:hanging="218"/>
        <w:spacing w:line="360" w:lineRule="auto"/>
        <w:rPr>
          <w:rFonts w:ascii="仿宋" w:hAnsi="仿宋" w:eastAsia="仿宋" w:cs="仿宋"/>
          <w:color w:val="auto"/>
          <w:sz w:val="28"/>
          <w:szCs w:val="28"/>
        </w:rPr>
        <w:outlineLvl w:val="2"/>
      </w:pPr>
      <w:r/>
      <w:bookmarkStart w:id="249" w:name="_Toc14006"/>
      <w:r/>
      <w:bookmarkStart w:id="250" w:name="_Toc29563"/>
      <w:r/>
      <w:bookmarkStart w:id="251" w:name="_Toc22663"/>
      <w:r/>
      <w:bookmarkStart w:id="252" w:name="_Toc9896"/>
      <w:r>
        <w:rPr>
          <w:rFonts w:hint="eastAsia" w:ascii="仿宋" w:hAnsi="仿宋" w:eastAsia="仿宋" w:cs="仿宋"/>
          <w:color w:val="auto"/>
          <w:sz w:val="28"/>
          <w:szCs w:val="28"/>
        </w:rPr>
        <w:t xml:space="preserve">若我单位承诺不实，自愿承担提供虚假材料谋取中标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成交的法</w:t>
      </w:r>
      <w:bookmarkEnd w:id="249"/>
      <w:r/>
      <w:bookmarkEnd w:id="250"/>
      <w:r/>
      <w:bookmarkEnd w:id="251"/>
      <w:r/>
      <w:bookmarkEnd w:id="252"/>
      <w:r/>
      <w:r/>
    </w:p>
    <w:p>
      <w:pPr>
        <w:pStyle w:val="834"/>
        <w:spacing w:line="360" w:lineRule="auto"/>
        <w:rPr>
          <w:rFonts w:ascii="仿宋" w:hAnsi="仿宋" w:eastAsia="仿宋" w:cs="仿宋"/>
          <w:color w:val="auto"/>
          <w:sz w:val="28"/>
          <w:szCs w:val="28"/>
        </w:rPr>
        <w:outlineLvl w:val="2"/>
      </w:pPr>
      <w:r/>
      <w:bookmarkStart w:id="253" w:name="_Toc15794"/>
      <w:r/>
      <w:bookmarkStart w:id="254" w:name="_Toc2554"/>
      <w:r/>
      <w:bookmarkStart w:id="255" w:name="_Toc26106"/>
      <w:r/>
      <w:bookmarkStart w:id="256" w:name="_Toc24079"/>
      <w:r>
        <w:rPr>
          <w:rFonts w:hint="eastAsia" w:ascii="仿宋" w:hAnsi="仿宋" w:eastAsia="仿宋" w:cs="仿宋"/>
          <w:color w:val="auto"/>
          <w:sz w:val="28"/>
          <w:szCs w:val="28"/>
        </w:rPr>
        <w:t xml:space="preserve">律责任。</w:t>
      </w:r>
      <w:bookmarkEnd w:id="253"/>
      <w:r/>
      <w:bookmarkEnd w:id="254"/>
      <w:r/>
      <w:bookmarkEnd w:id="255"/>
      <w:r/>
      <w:bookmarkEnd w:id="256"/>
      <w:r/>
      <w:r/>
    </w:p>
    <w:p>
      <w:pPr>
        <w:pStyle w:val="834"/>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834"/>
        <w:spacing w:line="480" w:lineRule="exact"/>
        <w:rPr>
          <w:rFonts w:ascii="仿宋" w:hAnsi="仿宋" w:eastAsia="仿宋" w:cs="仿宋"/>
          <w:color w:val="auto"/>
          <w:sz w:val="28"/>
          <w:szCs w:val="28"/>
        </w:rPr>
        <w:outlineLvl w:val="2"/>
      </w:pPr>
      <w:r/>
      <w:bookmarkStart w:id="257" w:name="_Toc13504"/>
      <w:r/>
      <w:bookmarkStart w:id="258" w:name="_Toc19003"/>
      <w:r/>
      <w:bookmarkStart w:id="259" w:name="_Toc5967"/>
      <w:r/>
      <w:bookmarkStart w:id="260" w:name="_Toc3542"/>
      <w:r>
        <w:rPr>
          <w:rFonts w:hint="eastAsia" w:ascii="仿宋" w:hAnsi="仿宋" w:eastAsia="仿宋" w:cs="仿宋"/>
          <w:color w:val="auto"/>
          <w:sz w:val="28"/>
          <w:szCs w:val="28"/>
        </w:rPr>
        <w:t xml:space="preserve">投标（响应）供应商（全称并盖章）：</w:t>
      </w:r>
      <w:bookmarkEnd w:id="257"/>
      <w:r/>
      <w:bookmarkEnd w:id="258"/>
      <w:r/>
      <w:bookmarkEnd w:id="259"/>
      <w:r/>
      <w:bookmarkEnd w:id="260"/>
      <w:r/>
      <w:r/>
    </w:p>
    <w:p>
      <w:pPr>
        <w:pStyle w:val="834"/>
        <w:spacing w:line="480" w:lineRule="exact"/>
        <w:rPr>
          <w:rFonts w:ascii="仿宋" w:hAnsi="仿宋" w:eastAsia="仿宋" w:cs="仿宋"/>
          <w:color w:val="auto"/>
          <w:sz w:val="28"/>
          <w:szCs w:val="28"/>
        </w:rPr>
        <w:outlineLvl w:val="2"/>
      </w:pPr>
      <w:r/>
      <w:bookmarkStart w:id="261" w:name="_Toc1153"/>
      <w:r/>
      <w:bookmarkStart w:id="262" w:name="_Toc32610"/>
      <w:r/>
      <w:bookmarkStart w:id="263" w:name="_Toc4049"/>
      <w:r/>
      <w:bookmarkStart w:id="264" w:name="_Toc11874"/>
      <w:r>
        <w:rPr>
          <w:rFonts w:hint="eastAsia" w:ascii="仿宋" w:hAnsi="仿宋" w:eastAsia="仿宋" w:cs="仿宋"/>
          <w:color w:val="auto"/>
          <w:sz w:val="28"/>
          <w:szCs w:val="28"/>
        </w:rPr>
        <w:t xml:space="preserve">供应商法定代表人或授权代表（签字或签章）：</w:t>
      </w:r>
      <w:bookmarkEnd w:id="261"/>
      <w:r/>
      <w:bookmarkEnd w:id="262"/>
      <w:r/>
      <w:bookmarkEnd w:id="263"/>
      <w:r/>
      <w:bookmarkEnd w:id="264"/>
      <w:r/>
      <w:r/>
    </w:p>
    <w:p>
      <w:pPr>
        <w:pStyle w:val="834"/>
        <w:spacing w:line="480" w:lineRule="exact"/>
        <w:rPr>
          <w:rFonts w:ascii="仿宋" w:hAnsi="仿宋" w:eastAsia="仿宋" w:cs="仿宋"/>
          <w:color w:val="auto"/>
          <w:sz w:val="28"/>
          <w:szCs w:val="28"/>
        </w:rPr>
        <w:outlineLvl w:val="2"/>
      </w:pPr>
      <w:r/>
      <w:bookmarkStart w:id="265" w:name="_Toc464"/>
      <w:r/>
      <w:bookmarkStart w:id="266" w:name="_Toc29929"/>
      <w:r/>
      <w:bookmarkStart w:id="267" w:name="_Toc11181"/>
      <w:r/>
      <w:bookmarkStart w:id="268" w:name="_Toc13602"/>
      <w:r>
        <w:rPr>
          <w:rFonts w:hint="eastAsia" w:ascii="仿宋" w:hAnsi="仿宋" w:eastAsia="仿宋" w:cs="仿宋"/>
          <w:color w:val="auto"/>
          <w:sz w:val="28"/>
          <w:szCs w:val="28"/>
        </w:rPr>
        <w:t xml:space="preserve">日期：</w:t>
      </w:r>
      <w:bookmarkEnd w:id="265"/>
      <w:r/>
      <w:bookmarkEnd w:id="266"/>
      <w:r/>
      <w:bookmarkEnd w:id="267"/>
      <w:r/>
      <w:bookmarkEnd w:id="268"/>
      <w:r/>
      <w:r/>
    </w:p>
    <w:p>
      <w:pPr>
        <w:pStyle w:val="834"/>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spacing w:line="480" w:lineRule="exact"/>
        <w:rPr>
          <w:rFonts w:ascii="仿宋" w:hAnsi="仿宋" w:eastAsia="仿宋" w:cs="仿宋"/>
          <w:b/>
          <w:bCs/>
          <w:color w:val="auto"/>
          <w:sz w:val="24"/>
          <w:szCs w:val="24"/>
        </w:rPr>
        <w:outlineLvl w:val="2"/>
      </w:pPr>
      <w:r/>
      <w:bookmarkStart w:id="269" w:name="_Toc4946"/>
      <w:r/>
      <w:bookmarkStart w:id="270" w:name="_Toc31748"/>
      <w:r/>
      <w:bookmarkStart w:id="271" w:name="_Toc25451"/>
      <w:r/>
      <w:bookmarkStart w:id="272" w:name="_Toc19139"/>
      <w:r>
        <w:rPr>
          <w:rFonts w:hint="eastAsia" w:ascii="仿宋" w:hAnsi="仿宋" w:eastAsia="仿宋" w:cs="仿宋"/>
          <w:b/>
          <w:bCs/>
          <w:color w:val="auto"/>
          <w:sz w:val="24"/>
          <w:szCs w:val="24"/>
        </w:rPr>
        <w:t xml:space="preserve">说明：1.供应商可自行选择是否提供本承诺函，若不提供本承诺函的，应按采购文件要求提供相应的证明材料。</w:t>
      </w:r>
      <w:bookmarkEnd w:id="269"/>
      <w:r/>
      <w:bookmarkEnd w:id="270"/>
      <w:r/>
      <w:bookmarkEnd w:id="271"/>
      <w:r/>
      <w:bookmarkEnd w:id="272"/>
      <w:r/>
      <w:r/>
    </w:p>
    <w:p>
      <w:pPr>
        <w:pStyle w:val="834"/>
        <w:spacing w:line="480" w:lineRule="exact"/>
        <w:rPr>
          <w:rFonts w:ascii="仿宋" w:hAnsi="仿宋" w:eastAsia="仿宋" w:cs="仿宋"/>
          <w:b/>
          <w:bCs/>
          <w:color w:val="auto"/>
          <w:sz w:val="24"/>
          <w:szCs w:val="24"/>
        </w:rPr>
        <w:outlineLvl w:val="2"/>
      </w:pPr>
      <w:r>
        <w:rPr>
          <w:rFonts w:hint="eastAsia" w:ascii="仿宋" w:hAnsi="仿宋" w:eastAsia="仿宋" w:cs="仿宋"/>
          <w:b/>
          <w:bCs/>
          <w:color w:val="auto"/>
          <w:sz w:val="24"/>
          <w:szCs w:val="24"/>
        </w:rPr>
        <w:t xml:space="preserve">      </w:t>
      </w:r>
      <w:bookmarkStart w:id="273" w:name="_Toc9114"/>
      <w:r/>
      <w:bookmarkStart w:id="274" w:name="_Toc13539"/>
      <w:r/>
      <w:bookmarkStart w:id="275" w:name="_Toc23973"/>
      <w:r/>
      <w:bookmarkStart w:id="276" w:name="_Toc1470"/>
      <w:r>
        <w:rPr>
          <w:rFonts w:hint="eastAsia" w:ascii="仿宋" w:hAnsi="仿宋" w:eastAsia="仿宋" w:cs="仿宋"/>
          <w:b/>
          <w:bCs/>
          <w:color w:val="auto"/>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273"/>
      <w:r/>
      <w:bookmarkEnd w:id="274"/>
      <w:r/>
      <w:bookmarkEnd w:id="275"/>
      <w:r/>
      <w:bookmarkEnd w:id="276"/>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4"/>
        <w:jc w:val="center"/>
        <w:spacing w:line="480" w:lineRule="exact"/>
        <w:rPr>
          <w:rFonts w:ascii="仿宋" w:hAnsi="仿宋" w:eastAsia="仿宋" w:cs="仿宋"/>
          <w:b/>
          <w:bCs/>
          <w:color w:val="auto"/>
          <w:sz w:val="36"/>
          <w:szCs w:val="36"/>
        </w:rPr>
        <w:outlineLvl w:val="1"/>
      </w:pPr>
      <w:r/>
      <w:bookmarkStart w:id="277" w:name="_Toc21596"/>
      <w:r/>
      <w:bookmarkStart w:id="278" w:name="_Toc488"/>
      <w:r/>
      <w:bookmarkStart w:id="279" w:name="_Toc10170"/>
      <w:r/>
      <w:bookmarkStart w:id="280" w:name="_Toc17578"/>
      <w:r/>
      <w:bookmarkStart w:id="281" w:name="_Toc31586"/>
      <w:r/>
      <w:bookmarkStart w:id="282" w:name="_Toc15213"/>
      <w:r/>
      <w:bookmarkStart w:id="283" w:name="_Toc17669"/>
      <w:r/>
      <w:bookmarkStart w:id="284" w:name="_Toc16651"/>
      <w:r/>
      <w:r/>
    </w:p>
    <w:p>
      <w:pPr>
        <w:pStyle w:val="834"/>
        <w:jc w:val="center"/>
        <w:spacing w:line="480" w:lineRule="exact"/>
        <w:rPr>
          <w:rFonts w:ascii="仿宋" w:hAnsi="仿宋" w:eastAsia="仿宋" w:cs="仿宋"/>
          <w:b/>
          <w:bCs/>
          <w:color w:val="auto"/>
          <w:sz w:val="36"/>
          <w:szCs w:val="36"/>
        </w:rPr>
        <w:outlineLvl w:val="1"/>
      </w:pPr>
      <w:r>
        <w:rPr>
          <w:rFonts w:hint="eastAsia" w:ascii="仿宋" w:hAnsi="仿宋" w:eastAsia="仿宋" w:cs="仿宋"/>
          <w:b/>
          <w:bCs/>
          <w:color w:val="auto"/>
          <w:sz w:val="36"/>
          <w:szCs w:val="36"/>
        </w:rPr>
        <w:t xml:space="preserve">五</w:t>
      </w:r>
      <w:r>
        <w:rPr>
          <w:rFonts w:hint="eastAsia" w:ascii="仿宋" w:hAnsi="仿宋" w:eastAsia="仿宋" w:cs="仿宋"/>
          <w:b/>
          <w:bCs/>
          <w:color w:val="auto"/>
          <w:sz w:val="36"/>
          <w:szCs w:val="36"/>
          <w:lang w:eastAsia="zh-CN"/>
        </w:rPr>
        <w:t xml:space="preserve">.</w:t>
      </w:r>
      <w:r>
        <w:rPr>
          <w:rFonts w:hint="eastAsia" w:ascii="仿宋" w:hAnsi="仿宋" w:eastAsia="仿宋" w:cs="仿宋"/>
          <w:b/>
          <w:bCs/>
          <w:color w:val="auto"/>
          <w:sz w:val="36"/>
          <w:szCs w:val="36"/>
        </w:rPr>
        <w:t xml:space="preserve">附件</w:t>
      </w:r>
      <w:bookmarkEnd w:id="217"/>
      <w:r/>
      <w:bookmarkEnd w:id="218"/>
      <w:r/>
      <w:bookmarkEnd w:id="219"/>
      <w:r/>
      <w:bookmarkEnd w:id="220"/>
      <w:r/>
      <w:bookmarkEnd w:id="277"/>
      <w:r/>
      <w:bookmarkEnd w:id="278"/>
      <w:r/>
      <w:bookmarkEnd w:id="279"/>
      <w:r/>
      <w:bookmarkEnd w:id="280"/>
      <w:r/>
      <w:bookmarkEnd w:id="281"/>
      <w:r/>
      <w:bookmarkEnd w:id="282"/>
      <w:r/>
      <w:bookmarkEnd w:id="283"/>
      <w:r/>
      <w:bookmarkEnd w:id="284"/>
      <w:r/>
      <w:r/>
    </w:p>
    <w:p>
      <w:pPr>
        <w:pStyle w:val="834"/>
        <w:jc w:val="center"/>
        <w:spacing w:line="480" w:lineRule="exact"/>
        <w:rPr>
          <w:rFonts w:ascii="仿宋" w:hAnsi="仿宋" w:eastAsia="仿宋" w:cs="仿宋"/>
          <w:b/>
          <w:bCs/>
          <w:color w:val="auto"/>
          <w:sz w:val="36"/>
          <w:szCs w:val="36"/>
        </w:rPr>
        <w:outlineLvl w:val="0"/>
      </w:pPr>
      <w:r/>
      <w:bookmarkStart w:id="285" w:name="_Toc28022"/>
      <w:r/>
      <w:bookmarkStart w:id="286" w:name="_Toc4303"/>
      <w:r/>
      <w:bookmarkStart w:id="287" w:name="_Toc28620"/>
      <w:r/>
      <w:bookmarkStart w:id="288" w:name="_Toc8115"/>
      <w:r/>
      <w:bookmarkStart w:id="289" w:name="_Toc32351"/>
      <w:r/>
      <w:bookmarkStart w:id="290" w:name="_Toc8346"/>
      <w:r/>
      <w:bookmarkStart w:id="291" w:name="_Toc20407"/>
      <w:r/>
      <w:bookmarkStart w:id="292" w:name="_Toc10757"/>
      <w:r/>
      <w:bookmarkStart w:id="293" w:name="_Toc21010"/>
      <w:r/>
      <w:bookmarkStart w:id="294" w:name="_Toc21036"/>
      <w:r/>
      <w:bookmarkStart w:id="295" w:name="_Toc3188"/>
      <w:r/>
      <w:bookmarkStart w:id="296" w:name="_Toc18655"/>
      <w:r/>
      <w:bookmarkStart w:id="297" w:name="_Toc14216"/>
      <w:r>
        <w:rPr>
          <w:rFonts w:hint="eastAsia" w:ascii="仿宋" w:hAnsi="仿宋" w:eastAsia="仿宋" w:cs="仿宋"/>
          <w:b/>
          <w:bCs/>
          <w:color w:val="auto"/>
          <w:sz w:val="36"/>
          <w:szCs w:val="36"/>
        </w:rPr>
        <w:t xml:space="preserve">投标响应单位相关信息一览表（格式）</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tbl>
      <w:tblPr>
        <w:tblStyle w:val="801"/>
        <w:tblW w:w="83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02"/>
        <w:gridCol w:w="1797"/>
        <w:gridCol w:w="1079"/>
        <w:gridCol w:w="192"/>
        <w:gridCol w:w="516"/>
        <w:gridCol w:w="693"/>
        <w:gridCol w:w="813"/>
        <w:gridCol w:w="569"/>
        <w:gridCol w:w="531"/>
        <w:gridCol w:w="1085"/>
      </w:tblGrid>
      <w:tr>
        <w:trPr>
          <w:trHeight w:val="506"/>
        </w:trPr>
        <w:tc>
          <w:tcPr>
            <w:gridSpan w:val="2"/>
            <w:shd w:val="clear" w:color="auto" w:fill="d9d9d9"/>
            <w:tcW w:w="106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一</w:t>
            </w:r>
            <w:r/>
          </w:p>
        </w:tc>
        <w:tc>
          <w:tcPr>
            <w:gridSpan w:val="9"/>
            <w:shd w:val="clear" w:color="auto" w:fill="d9d9d9"/>
            <w:tcW w:w="727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公司基本信息</w:t>
            </w:r>
            <w:r/>
          </w:p>
        </w:tc>
      </w:tr>
      <w:tr>
        <w:trPr>
          <w:trHeight w:val="506"/>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797" w:type="dxa"/>
            <w:vAlign w:val="center"/>
            <w:textDirection w:val="lrTb"/>
            <w:noWrap w:val="false"/>
          </w:tcPr>
          <w:p>
            <w:pPr>
              <w:pStyle w:val="995"/>
              <w:ind w:firstLine="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公司名称</w:t>
            </w:r>
            <w:r/>
          </w:p>
        </w:tc>
        <w:tc>
          <w:tcPr>
            <w:gridSpan w:val="8"/>
            <w:tcW w:w="547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455"/>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注册资金</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公司地址</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460"/>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从业人数</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法定代表人</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467"/>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开户银行</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账号</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467"/>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项目联系人</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9</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联系电话</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467"/>
        </w:trPr>
        <w:tc>
          <w:tcPr>
            <w:gridSpan w:val="2"/>
            <w:shd w:val="clear" w:color="auto" w:fill="d9d9d9"/>
            <w:tcW w:w="106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二</w:t>
            </w:r>
            <w:r/>
          </w:p>
        </w:tc>
        <w:tc>
          <w:tcPr>
            <w:gridSpan w:val="9"/>
            <w:shd w:val="clear" w:color="auto" w:fill="d9d9d9"/>
            <w:tcW w:w="727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公司财务状况</w:t>
            </w:r>
            <w:r/>
          </w:p>
        </w:tc>
      </w:tr>
      <w:tr>
        <w:trPr>
          <w:trHeight w:val="467"/>
        </w:trPr>
        <w:tc>
          <w:tcPr>
            <w:gridSpan w:val="2"/>
            <w:tcW w:w="106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（一）</w:t>
            </w:r>
            <w:r/>
          </w:p>
        </w:tc>
        <w:tc>
          <w:tcPr>
            <w:gridSpan w:val="9"/>
            <w:tcW w:w="727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 财务状况</w:t>
            </w:r>
            <w:r/>
          </w:p>
        </w:tc>
      </w:tr>
      <w:tr>
        <w:trPr>
          <w:trHeight w:val="682"/>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营业收入（万）：</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利润总额（万）</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763"/>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年末“固定资产合计”（万）</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年末“流动资产”余额（万）</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772"/>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年末“短期负债”余额（万）</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6</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年末“长期负债”余额（万）</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768"/>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7</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年末“资产总计”余额（万）</w:t>
            </w:r>
            <w:r/>
          </w:p>
        </w:tc>
        <w:tc>
          <w:tcPr>
            <w:tcW w:w="1079"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2"/>
            <w:tcW w:w="708"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8</w:t>
            </w:r>
            <w:r/>
          </w:p>
        </w:tc>
        <w:tc>
          <w:tcPr>
            <w:gridSpan w:val="3"/>
            <w:tcW w:w="2075"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年末“货币资金”余额（万）</w:t>
            </w:r>
            <w:r/>
          </w:p>
        </w:tc>
        <w:tc>
          <w:tcPr>
            <w:gridSpan w:val="2"/>
            <w:tcW w:w="1616"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547"/>
        </w:trPr>
        <w:tc>
          <w:tcPr>
            <w:gridSpan w:val="2"/>
            <w:shd w:val="clear" w:color="auto" w:fill="d9d9d9"/>
            <w:tcW w:w="106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三</w:t>
            </w:r>
            <w:r/>
          </w:p>
        </w:tc>
        <w:tc>
          <w:tcPr>
            <w:gridSpan w:val="9"/>
            <w:shd w:val="clear" w:color="auto" w:fill="d9d9d9"/>
            <w:tcW w:w="727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投标人其他信息</w:t>
            </w:r>
            <w:r/>
          </w:p>
        </w:tc>
      </w:tr>
      <w:tr>
        <w:trPr>
          <w:trHeight w:val="1015"/>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公司取得的相关资质及等级：</w:t>
            </w:r>
            <w:r/>
          </w:p>
        </w:tc>
        <w:tc>
          <w:tcPr>
            <w:gridSpan w:val="8"/>
            <w:tcW w:w="5478" w:type="dxa"/>
            <w:vAlign w:val="center"/>
            <w:textDirection w:val="lrTb"/>
            <w:noWrap w:val="false"/>
          </w:tcPr>
          <w:p>
            <w:pPr>
              <w:pStyle w:val="995"/>
              <w:ind w:firstLine="0"/>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1086"/>
        </w:trPr>
        <w:tc>
          <w:tcPr>
            <w:gridSpan w:val="2"/>
            <w:tcW w:w="1060"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1797" w:type="dxa"/>
            <w:vAlign w:val="center"/>
            <w:textDirection w:val="lrTb"/>
            <w:noWrap w:val="false"/>
          </w:tcPr>
          <w:p>
            <w:pPr>
              <w:pStyle w:val="995"/>
              <w:ind w:firstLine="0"/>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公司获得的荣誉及表彰情况</w:t>
            </w:r>
            <w:r/>
          </w:p>
        </w:tc>
        <w:tc>
          <w:tcPr>
            <w:gridSpan w:val="8"/>
            <w:tcW w:w="5478" w:type="dxa"/>
            <w:vAlign w:val="center"/>
            <w:textDirection w:val="lrTb"/>
            <w:noWrap w:val="false"/>
          </w:tcPr>
          <w:p>
            <w:pPr>
              <w:pStyle w:val="995"/>
              <w:ind w:firstLine="0"/>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trHeight w:val="557"/>
        </w:trPr>
        <w:tc>
          <w:tcPr>
            <w:gridSpan w:val="2"/>
            <w:shd w:val="clear" w:color="auto" w:fill="bfbfbf"/>
            <w:tcW w:w="106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四</w:t>
            </w:r>
            <w:r/>
          </w:p>
        </w:tc>
        <w:tc>
          <w:tcPr>
            <w:gridSpan w:val="9"/>
            <w:shd w:val="clear" w:color="auto" w:fill="bfbfbf"/>
            <w:tcW w:w="727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提供本项目服务所必须的专业设备一览表（必填） </w:t>
            </w:r>
            <w:r/>
          </w:p>
        </w:tc>
      </w:tr>
      <w:tr>
        <w:trPr>
          <w:trHeight w:val="459"/>
        </w:trPr>
        <w:tc>
          <w:tcPr>
            <w:shd w:val="clear" w:color="auto" w:fill="ffffff"/>
            <w:tcW w:w="758"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序号</w:t>
            </w:r>
            <w:r/>
          </w:p>
        </w:tc>
        <w:tc>
          <w:tcPr>
            <w:gridSpan w:val="4"/>
            <w:shd w:val="clear" w:color="auto" w:fill="ffffff"/>
            <w:tcW w:w="337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品牌</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型号及主要参数配置简述</w:t>
            </w:r>
            <w:r/>
          </w:p>
        </w:tc>
        <w:tc>
          <w:tcPr>
            <w:gridSpan w:val="2"/>
            <w:shd w:val="clear" w:color="auto" w:fill="ffffff"/>
            <w:tcW w:w="1209"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购置年份</w:t>
            </w:r>
            <w:r/>
          </w:p>
        </w:tc>
        <w:tc>
          <w:tcPr>
            <w:shd w:val="clear" w:color="auto" w:fill="ffffff"/>
            <w:tcW w:w="813"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价格</w:t>
            </w:r>
            <w:r/>
          </w:p>
        </w:tc>
        <w:tc>
          <w:tcPr>
            <w:gridSpan w:val="2"/>
            <w:shd w:val="clear" w:color="auto" w:fill="ffffff"/>
            <w:tcW w:w="110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数量</w:t>
            </w:r>
            <w:r/>
          </w:p>
        </w:tc>
        <w:tc>
          <w:tcPr>
            <w:shd w:val="clear" w:color="auto" w:fill="ffffff"/>
            <w:tcW w:w="108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用途</w:t>
            </w:r>
            <w:r/>
          </w:p>
        </w:tc>
      </w:tr>
      <w:tr>
        <w:trPr>
          <w:trHeight w:val="483"/>
        </w:trPr>
        <w:tc>
          <w:tcPr>
            <w:shd w:val="clear" w:color="auto" w:fill="ffffff"/>
            <w:tcW w:w="758"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1</w:t>
            </w:r>
            <w:r/>
          </w:p>
        </w:tc>
        <w:tc>
          <w:tcPr>
            <w:gridSpan w:val="4"/>
            <w:shd w:val="clear" w:color="auto" w:fill="ffffff"/>
            <w:tcW w:w="337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209"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813"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10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108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r>
      <w:tr>
        <w:trPr>
          <w:trHeight w:val="546"/>
        </w:trPr>
        <w:tc>
          <w:tcPr>
            <w:shd w:val="clear" w:color="auto" w:fill="ffffff"/>
            <w:tcW w:w="758"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w:t>
            </w:r>
            <w:r/>
          </w:p>
        </w:tc>
        <w:tc>
          <w:tcPr>
            <w:gridSpan w:val="4"/>
            <w:shd w:val="clear" w:color="auto" w:fill="ffffff"/>
            <w:tcW w:w="337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209"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813"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10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108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r>
      <w:tr>
        <w:trPr>
          <w:trHeight w:val="560"/>
        </w:trPr>
        <w:tc>
          <w:tcPr>
            <w:shd w:val="clear" w:color="auto" w:fill="ffffff"/>
            <w:tcW w:w="758"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3</w:t>
            </w:r>
            <w:r/>
          </w:p>
        </w:tc>
        <w:tc>
          <w:tcPr>
            <w:gridSpan w:val="4"/>
            <w:shd w:val="clear" w:color="auto" w:fill="ffffff"/>
            <w:tcW w:w="337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209"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813"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10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108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r>
      <w:tr>
        <w:trPr>
          <w:trHeight w:val="553"/>
        </w:trPr>
        <w:tc>
          <w:tcPr>
            <w:shd w:val="clear" w:color="auto" w:fill="ffffff"/>
            <w:tcW w:w="758"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w:t>
            </w:r>
            <w:r/>
          </w:p>
        </w:tc>
        <w:tc>
          <w:tcPr>
            <w:gridSpan w:val="4"/>
            <w:shd w:val="clear" w:color="auto" w:fill="ffffff"/>
            <w:tcW w:w="337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209"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813"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gridSpan w:val="2"/>
            <w:shd w:val="clear" w:color="auto" w:fill="ffffff"/>
            <w:tcW w:w="110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c>
          <w:tcPr>
            <w:shd w:val="clear" w:color="auto" w:fill="ffffff"/>
            <w:tcW w:w="108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r>
      <w:tr>
        <w:trPr>
          <w:trHeight w:val="575"/>
        </w:trPr>
        <w:tc>
          <w:tcPr>
            <w:gridSpan w:val="2"/>
            <w:shd w:val="clear" w:color="auto" w:fill="bfbfbf"/>
            <w:tcW w:w="1060"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五</w:t>
            </w:r>
            <w:r/>
          </w:p>
        </w:tc>
        <w:tc>
          <w:tcPr>
            <w:gridSpan w:val="9"/>
            <w:shd w:val="clear" w:color="auto" w:fill="bfbfbf"/>
            <w:tcW w:w="7275" w:type="dxa"/>
            <w:vAlign w:val="center"/>
            <w:textDirection w:val="lrTb"/>
            <w:noWrap w:val="false"/>
          </w:tcPr>
          <w:p>
            <w:pPr>
              <w:pStyle w:val="995"/>
              <w:ind w:firstLine="0"/>
              <w:jc w:val="cente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提供本项目服务所必须的专业技术能力（必填）</w:t>
            </w:r>
            <w:r/>
          </w:p>
        </w:tc>
      </w:tr>
      <w:tr>
        <w:trPr>
          <w:trHeight w:val="1420"/>
        </w:trPr>
        <w:tc>
          <w:tcPr>
            <w:gridSpan w:val="11"/>
            <w:shd w:val="clear" w:color="auto" w:fill="ffffff"/>
            <w:tcW w:w="8335" w:type="dxa"/>
            <w:vAlign w:val="center"/>
            <w:textDirection w:val="lrTb"/>
            <w:noWrap w:val="false"/>
          </w:tcPr>
          <w:p>
            <w:pPr>
              <w:pStyle w:val="995"/>
              <w:ind w:firstLine="0"/>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 </w:t>
            </w:r>
            <w:r/>
          </w:p>
          <w:p>
            <w:pPr>
              <w:pStyle w:val="995"/>
              <w:ind w:firstLine="0"/>
              <w:spacing w:line="360" w:lineRule="auto"/>
              <w:rPr>
                <w:rFonts w:ascii="仿宋" w:hAnsi="仿宋" w:eastAsia="仿宋" w:cs="仿宋"/>
                <w:b/>
                <w:color w:val="auto"/>
                <w:sz w:val="28"/>
                <w:szCs w:val="28"/>
              </w:rPr>
            </w:pPr>
            <w:r>
              <w:rPr>
                <w:rFonts w:ascii="仿宋" w:hAnsi="仿宋" w:eastAsia="仿宋" w:cs="仿宋"/>
                <w:b/>
                <w:color w:val="auto"/>
                <w:sz w:val="28"/>
                <w:szCs w:val="28"/>
              </w:rPr>
            </w:r>
            <w:r/>
          </w:p>
          <w:p>
            <w:pPr>
              <w:pStyle w:val="995"/>
              <w:ind w:firstLine="0"/>
              <w:spacing w:line="360" w:lineRule="auto"/>
              <w:rPr>
                <w:rFonts w:ascii="仿宋" w:hAnsi="仿宋" w:eastAsia="仿宋" w:cs="仿宋"/>
                <w:b/>
                <w:color w:val="auto"/>
                <w:sz w:val="28"/>
                <w:szCs w:val="28"/>
              </w:rPr>
            </w:pPr>
            <w:r>
              <w:rPr>
                <w:rFonts w:ascii="仿宋" w:hAnsi="仿宋" w:eastAsia="仿宋" w:cs="仿宋"/>
                <w:b/>
                <w:color w:val="auto"/>
                <w:sz w:val="28"/>
                <w:szCs w:val="28"/>
              </w:rPr>
            </w:r>
            <w:r/>
          </w:p>
          <w:p>
            <w:pPr>
              <w:pStyle w:val="995"/>
              <w:ind w:firstLine="0"/>
              <w:spacing w:line="360" w:lineRule="auto"/>
              <w:rPr>
                <w:rFonts w:ascii="仿宋" w:hAnsi="仿宋" w:eastAsia="仿宋" w:cs="仿宋"/>
                <w:b/>
                <w:color w:val="auto"/>
                <w:sz w:val="28"/>
                <w:szCs w:val="28"/>
              </w:rPr>
            </w:pPr>
            <w:r>
              <w:rPr>
                <w:rFonts w:ascii="仿宋" w:hAnsi="仿宋" w:eastAsia="仿宋" w:cs="仿宋"/>
                <w:b/>
                <w:color w:val="auto"/>
                <w:sz w:val="28"/>
                <w:szCs w:val="28"/>
              </w:rPr>
            </w:r>
            <w:r/>
          </w:p>
          <w:p>
            <w:pPr>
              <w:pStyle w:val="995"/>
              <w:ind w:firstLine="0"/>
              <w:spacing w:line="360" w:lineRule="auto"/>
              <w:rPr>
                <w:rFonts w:ascii="仿宋" w:hAnsi="仿宋" w:eastAsia="仿宋" w:cs="仿宋"/>
                <w:b/>
                <w:color w:val="auto"/>
                <w:sz w:val="28"/>
                <w:szCs w:val="28"/>
              </w:rPr>
            </w:pPr>
            <w:r>
              <w:rPr>
                <w:rFonts w:ascii="仿宋" w:hAnsi="仿宋" w:eastAsia="仿宋" w:cs="仿宋"/>
                <w:b/>
                <w:color w:val="auto"/>
                <w:sz w:val="28"/>
                <w:szCs w:val="28"/>
              </w:rPr>
            </w:r>
            <w:r/>
          </w:p>
        </w:tc>
      </w:tr>
    </w:tbl>
    <w:p>
      <w:pPr>
        <w:pStyle w:val="834"/>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法定代表人或授权代表签字：</w:t>
      </w:r>
      <w:r>
        <w:rPr>
          <w:rFonts w:hint="eastAsia" w:ascii="仿宋" w:hAnsi="仿宋" w:eastAsia="仿宋" w:cs="仿宋"/>
          <w:color w:val="auto"/>
          <w:sz w:val="28"/>
          <w:szCs w:val="28"/>
          <w:u w:val="single"/>
        </w:rPr>
        <w:t xml:space="preserve">                  </w:t>
      </w:r>
      <w:r/>
    </w:p>
    <w:p>
      <w:pPr>
        <w:pStyle w:val="834"/>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法定代表人或授权代表的职务：</w:t>
      </w:r>
      <w:r>
        <w:rPr>
          <w:rFonts w:hint="eastAsia" w:ascii="仿宋" w:hAnsi="仿宋" w:eastAsia="仿宋" w:cs="仿宋"/>
          <w:color w:val="auto"/>
          <w:sz w:val="28"/>
          <w:szCs w:val="28"/>
          <w:u w:val="single"/>
        </w:rPr>
        <w:t xml:space="preserve">                </w:t>
      </w:r>
      <w:r/>
    </w:p>
    <w:p>
      <w:pPr>
        <w:pStyle w:val="834"/>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电话号和传真号：</w:t>
      </w:r>
      <w:r>
        <w:rPr>
          <w:rFonts w:hint="eastAsia" w:ascii="仿宋" w:hAnsi="仿宋" w:eastAsia="仿宋" w:cs="仿宋"/>
          <w:color w:val="auto"/>
          <w:sz w:val="28"/>
          <w:szCs w:val="28"/>
          <w:u w:val="single"/>
        </w:rPr>
        <w:t xml:space="preserve">                </w:t>
      </w:r>
      <w:r/>
    </w:p>
    <w:p>
      <w:pPr>
        <w:pStyle w:val="834"/>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公    章：</w:t>
      </w:r>
      <w:r>
        <w:rPr>
          <w:rFonts w:hint="eastAsia" w:ascii="仿宋" w:hAnsi="仿宋" w:eastAsia="仿宋" w:cs="仿宋"/>
          <w:color w:val="auto"/>
          <w:sz w:val="28"/>
          <w:szCs w:val="28"/>
          <w:u w:val="single"/>
        </w:rPr>
        <w:t xml:space="preserve">                      </w:t>
      </w:r>
      <w:r/>
    </w:p>
    <w:p>
      <w:pPr>
        <w:pStyle w:val="834"/>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日    期：</w:t>
      </w:r>
      <w:r>
        <w:rPr>
          <w:rFonts w:hint="eastAsia" w:ascii="仿宋" w:hAnsi="仿宋" w:eastAsia="仿宋" w:cs="仿宋"/>
          <w:color w:val="auto"/>
          <w:sz w:val="28"/>
          <w:szCs w:val="28"/>
          <w:u w:val="single"/>
        </w:rPr>
        <w:t xml:space="preserve">                      </w:t>
      </w:r>
      <w:r/>
    </w:p>
    <w:p>
      <w:pPr>
        <w:pStyle w:val="834"/>
        <w:spacing w:line="480" w:lineRule="exact"/>
        <w:rPr>
          <w:rFonts w:ascii="仿宋" w:hAnsi="仿宋" w:eastAsia="仿宋" w:cs="仿宋"/>
          <w:color w:val="auto"/>
          <w:sz w:val="28"/>
          <w:szCs w:val="28"/>
          <w:u w:val="single"/>
        </w:rPr>
      </w:pPr>
      <w:r>
        <w:rPr>
          <w:rFonts w:ascii="仿宋" w:hAnsi="仿宋" w:eastAsia="仿宋" w:cs="仿宋"/>
          <w:color w:val="auto"/>
          <w:sz w:val="28"/>
          <w:szCs w:val="28"/>
          <w:u w:val="single"/>
        </w:rPr>
      </w:r>
      <w:r/>
    </w:p>
    <w:p>
      <w:pPr>
        <w:pStyle w:val="834"/>
        <w:jc w:val="center"/>
        <w:spacing w:line="480" w:lineRule="exact"/>
        <w:rPr>
          <w:rFonts w:ascii="仿宋" w:hAnsi="仿宋" w:eastAsia="仿宋" w:cs="仿宋"/>
          <w:b/>
          <w:bCs/>
          <w:color w:val="auto"/>
          <w:sz w:val="36"/>
          <w:szCs w:val="36"/>
        </w:rPr>
      </w:pPr>
      <w:r/>
      <w:bookmarkStart w:id="298" w:name="_Toc25275"/>
      <w:r/>
      <w:bookmarkStart w:id="299" w:name="_Toc16629"/>
      <w:r/>
      <w:bookmarkStart w:id="300" w:name="_Toc12300"/>
      <w:r/>
      <w:bookmarkStart w:id="301" w:name="_Toc20967"/>
      <w:r/>
      <w:bookmarkStart w:id="302" w:name="_Toc29149"/>
      <w:r/>
      <w:bookmarkStart w:id="303" w:name="_Toc1909"/>
      <w:r/>
      <w:bookmarkStart w:id="304" w:name="_Toc25723"/>
      <w:r/>
      <w:bookmarkStart w:id="305" w:name="_Toc32102"/>
      <w:r/>
      <w:r/>
    </w:p>
    <w:p>
      <w:pPr>
        <w:pStyle w:val="834"/>
        <w:jc w:val="center"/>
        <w:spacing w:line="48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outlineLvl w:val="0"/>
      </w:pPr>
      <w:r/>
      <w:bookmarkStart w:id="306" w:name="_Toc27326"/>
      <w:r/>
      <w:bookmarkStart w:id="307" w:name="_Toc22079"/>
      <w:r/>
      <w:bookmarkStart w:id="308" w:name="_Toc29587"/>
      <w:r/>
      <w:bookmarkStart w:id="309" w:name="_Toc9822"/>
      <w:r/>
      <w:bookmarkStart w:id="310" w:name="_Toc25698"/>
      <w:r>
        <w:rPr>
          <w:rFonts w:hint="eastAsia" w:ascii="仿宋" w:hAnsi="仿宋" w:eastAsia="仿宋" w:cs="仿宋"/>
          <w:b/>
          <w:bCs/>
          <w:color w:val="auto"/>
          <w:sz w:val="36"/>
          <w:szCs w:val="36"/>
        </w:rPr>
        <w:t xml:space="preserve">开标一览表（格式）</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pStyle w:val="834"/>
        <w:jc w:val="lef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投标人名称：</w:t>
      </w:r>
      <w:r/>
    </w:p>
    <w:tbl>
      <w:tblPr>
        <w:tblStyle w:val="801"/>
        <w:tblW w:w="7983" w:type="dxa"/>
        <w:tblInd w:w="180" w:type="dxa"/>
        <w:tblLayout w:type="fixed"/>
        <w:tblCellMar>
          <w:left w:w="108" w:type="dxa"/>
          <w:top w:w="0" w:type="dxa"/>
          <w:right w:w="108" w:type="dxa"/>
          <w:bottom w:w="0" w:type="dxa"/>
        </w:tblCellMar>
        <w:tblLook w:val="04A0" w:firstRow="1" w:lastRow="0" w:firstColumn="1" w:lastColumn="0" w:noHBand="0" w:noVBand="1"/>
      </w:tblPr>
      <w:tblGrid>
        <w:gridCol w:w="2901"/>
        <w:gridCol w:w="5082"/>
      </w:tblGrid>
      <w:tr>
        <w:trPr>
          <w:trHeight w:val="1495"/>
        </w:trPr>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项目名称</w:t>
            </w:r>
            <w:r/>
          </w:p>
        </w:tc>
        <w:tc>
          <w:tcPr>
            <w:tcBorders>
              <w:top w:val="single" w:color="000000" w:sz="4" w:space="0"/>
              <w:left w:val="none" w:color="000000" w:sz="4" w:space="0"/>
              <w:bottom w:val="single" w:color="000000" w:sz="4" w:space="0"/>
              <w:right w:val="single" w:color="000000" w:sz="4" w:space="0"/>
            </w:tcBorders>
            <w:tcW w:w="5082" w:type="dxa"/>
            <w:vAlign w:val="bottom"/>
            <w:textDirection w:val="lrTb"/>
            <w:noWrap w:val="false"/>
          </w:tcPr>
          <w:p>
            <w:pPr>
              <w:pStyle w:val="834"/>
              <w:spacing w:line="480" w:lineRule="exact"/>
              <w:rPr>
                <w:rFonts w:ascii="仿宋" w:hAnsi="仿宋" w:eastAsia="仿宋" w:cs="仿宋"/>
                <w:color w:val="auto"/>
                <w:sz w:val="28"/>
                <w:szCs w:val="28"/>
              </w:rPr>
            </w:pPr>
            <w:r>
              <w:rPr>
                <w:rFonts w:ascii="仿宋" w:hAnsi="仿宋" w:eastAsia="仿宋" w:cs="仿宋"/>
                <w:color w:val="auto"/>
                <w:sz w:val="28"/>
                <w:szCs w:val="28"/>
              </w:rPr>
            </w:r>
            <w:r/>
          </w:p>
        </w:tc>
      </w:tr>
      <w:tr>
        <w:trPr>
          <w:trHeight w:val="703"/>
        </w:trPr>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投标总价</w:t>
            </w:r>
            <w:r/>
          </w:p>
        </w:tc>
        <w:tc>
          <w:tcPr>
            <w:tcBorders>
              <w:top w:val="single" w:color="000000" w:sz="4" w:space="0"/>
              <w:left w:val="single" w:color="000000" w:sz="4" w:space="0"/>
              <w:bottom w:val="single" w:color="000000" w:sz="4" w:space="0"/>
              <w:right w:val="single" w:color="000000" w:sz="4" w:space="0"/>
            </w:tcBorders>
            <w:tcW w:w="5082" w:type="dxa"/>
            <w:textDirection w:val="lrTb"/>
            <w:noWrap w:val="false"/>
          </w:tcPr>
          <w:p>
            <w:pPr>
              <w:pStyle w:val="834"/>
              <w:jc w:val="left"/>
              <w:spacing w:line="480" w:lineRule="exact"/>
              <w:rPr>
                <w:rFonts w:ascii="仿宋" w:hAnsi="仿宋" w:eastAsia="仿宋" w:cs="仿宋"/>
                <w:color w:val="auto"/>
                <w:sz w:val="28"/>
                <w:szCs w:val="28"/>
              </w:rPr>
            </w:pPr>
            <w:r>
              <w:rPr>
                <w:rFonts w:ascii="仿宋" w:hAnsi="仿宋" w:eastAsia="仿宋" w:cs="仿宋"/>
                <w:color w:val="auto"/>
                <w:sz w:val="28"/>
                <w:szCs w:val="28"/>
              </w:rPr>
            </w:r>
            <w:r/>
          </w:p>
        </w:tc>
      </w:tr>
      <w:tr>
        <w:trPr>
          <w:trHeight w:val="628"/>
        </w:trPr>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整体基准价下浮率</w:t>
            </w:r>
            <w:r/>
          </w:p>
        </w:tc>
        <w:tc>
          <w:tcPr>
            <w:tcBorders>
              <w:top w:val="single" w:color="000000" w:sz="4" w:space="0"/>
              <w:left w:val="single" w:color="000000" w:sz="4" w:space="0"/>
              <w:bottom w:val="single" w:color="000000" w:sz="4" w:space="0"/>
              <w:right w:val="single" w:color="000000" w:sz="4" w:space="0"/>
            </w:tcBorders>
            <w:tcW w:w="5082" w:type="dxa"/>
            <w:textDirection w:val="lrTb"/>
            <w:noWrap w:val="false"/>
          </w:tcPr>
          <w:p>
            <w:pPr>
              <w:pStyle w:val="834"/>
              <w:jc w:val="left"/>
              <w:spacing w:line="480" w:lineRule="exact"/>
              <w:rPr>
                <w:rFonts w:ascii="仿宋" w:hAnsi="仿宋" w:eastAsia="仿宋" w:cs="仿宋"/>
                <w:color w:val="auto"/>
                <w:sz w:val="28"/>
                <w:szCs w:val="28"/>
              </w:rPr>
            </w:pPr>
            <w:r>
              <w:rPr>
                <w:rFonts w:ascii="仿宋" w:hAnsi="仿宋" w:eastAsia="仿宋" w:cs="仿宋"/>
                <w:color w:val="auto"/>
                <w:sz w:val="28"/>
                <w:szCs w:val="28"/>
              </w:rPr>
            </w:r>
            <w:r/>
          </w:p>
        </w:tc>
      </w:tr>
      <w:tr>
        <w:trPr>
          <w:trHeight w:val="800"/>
        </w:trPr>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标书份数</w:t>
            </w:r>
            <w:r/>
          </w:p>
        </w:tc>
        <w:tc>
          <w:tcPr>
            <w:tcBorders>
              <w:top w:val="single" w:color="000000" w:sz="4" w:space="0"/>
              <w:left w:val="single" w:color="000000" w:sz="4" w:space="0"/>
              <w:bottom w:val="single" w:color="000000" w:sz="4" w:space="0"/>
              <w:right w:val="single" w:color="000000" w:sz="4" w:space="0"/>
            </w:tcBorders>
            <w:tcW w:w="5082" w:type="dxa"/>
            <w:textDirection w:val="lrTb"/>
            <w:noWrap w:val="false"/>
          </w:tcPr>
          <w:p>
            <w:pPr>
              <w:pStyle w:val="834"/>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正本：1份</w:t>
            </w:r>
            <w:r/>
          </w:p>
          <w:p>
            <w:pPr>
              <w:pStyle w:val="834"/>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副本：1份</w:t>
            </w:r>
            <w:r/>
          </w:p>
        </w:tc>
      </w:tr>
      <w:tr>
        <w:trPr>
          <w:trHeight w:val="786"/>
        </w:trPr>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服务期限</w:t>
            </w:r>
            <w:r/>
          </w:p>
        </w:tc>
        <w:tc>
          <w:tcPr>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tc>
      </w:tr>
      <w:tr>
        <w:trPr>
          <w:trHeight w:val="786"/>
        </w:trPr>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品牌</w:t>
            </w:r>
            <w:r/>
          </w:p>
        </w:tc>
        <w:tc>
          <w:tcPr>
            <w:tcBorders>
              <w:top w:val="single" w:color="000000" w:sz="4" w:space="0"/>
              <w:left w:val="single" w:color="000000" w:sz="4" w:space="0"/>
              <w:bottom w:val="single" w:color="000000" w:sz="4" w:space="0"/>
              <w:right w:val="single" w:color="000000" w:sz="4" w:space="0"/>
            </w:tcBorders>
            <w:tcW w:w="5082" w:type="dxa"/>
            <w:vAlign w:val="center"/>
            <w:textDirection w:val="lrTb"/>
            <w:noWrap w:val="false"/>
          </w:tcPr>
          <w:p>
            <w:pPr>
              <w:pStyle w:val="834"/>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tc>
      </w:tr>
    </w:tbl>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注：1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投标响应总报价包括项目分项报价明细清单的总价及所有相关费用</w:t>
      </w:r>
      <w:r>
        <w:rPr>
          <w:rFonts w:hint="eastAsia" w:ascii="仿宋" w:hAnsi="仿宋" w:eastAsia="仿宋" w:cs="仿宋"/>
          <w:b/>
          <w:bCs/>
          <w:color w:val="auto"/>
          <w:sz w:val="28"/>
          <w:szCs w:val="28"/>
        </w:rPr>
        <w:t xml:space="preserve">（推荐使用Google浏览器）。</w:t>
      </w:r>
      <w:r/>
    </w:p>
    <w:p>
      <w:pPr>
        <w:pStyle w:val="834"/>
        <w:numPr>
          <w:ilvl w:val="0"/>
          <w:numId w:val="10"/>
        </w:num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纸质开标一览表须与报价明细表一起单独密封，在投标截止时间前与投标文件分别递交。</w:t>
      </w:r>
      <w:r/>
    </w:p>
    <w:p>
      <w:pPr>
        <w:pStyle w:val="834"/>
        <w:numPr>
          <w:ilvl w:val="0"/>
          <w:numId w:val="10"/>
        </w:num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投标人应报本项目所产生的所有费用，投标人所需填报的总报价仅用于“苏采云”系统计算投标报价得分，总报价=采购预算*（1-下浮率），总报价不作为最终结算的依据。</w:t>
      </w:r>
      <w:r>
        <w:rPr>
          <w:rFonts w:hint="eastAsia" w:ascii="仿宋" w:hAnsi="仿宋" w:eastAsia="仿宋" w:cs="仿宋"/>
          <w:b/>
          <w:bCs/>
          <w:color w:val="ff0000"/>
          <w:sz w:val="28"/>
          <w:szCs w:val="28"/>
        </w:rPr>
        <w:t xml:space="preserve">若投标人所报总价与下浮率不一致的，作无效响应处理。</w:t>
      </w:r>
      <w:r>
        <w:rPr>
          <w:rFonts w:hint="eastAsia" w:ascii="仿宋" w:hAnsi="仿宋" w:eastAsia="仿宋" w:cs="仿宋"/>
          <w:color w:val="auto"/>
          <w:sz w:val="28"/>
          <w:szCs w:val="28"/>
        </w:rPr>
        <w:t xml:space="preserve">若有小数位的，则小数点后保留两位。</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投标单位名称（公章）：</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授权代表（签字）：</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联系电话：</w:t>
      </w:r>
      <w:r/>
    </w:p>
    <w:p>
      <w:pPr>
        <w:pStyle w:val="834"/>
        <w:rPr>
          <w:rFonts w:ascii="仿宋" w:hAnsi="仿宋" w:eastAsia="仿宋" w:cs="仿宋"/>
          <w:b/>
          <w:bCs/>
          <w:color w:val="auto"/>
          <w:sz w:val="36"/>
          <w:szCs w:val="36"/>
        </w:rPr>
      </w:pPr>
      <w:r>
        <w:rPr>
          <w:rFonts w:hint="eastAsia" w:ascii="仿宋" w:hAnsi="仿宋" w:eastAsia="仿宋" w:cs="仿宋"/>
          <w:color w:val="auto"/>
          <w:sz w:val="28"/>
          <w:szCs w:val="28"/>
        </w:rPr>
        <w:t xml:space="preserve">日期：    年  月   日</w:t>
      </w:r>
      <w:bookmarkStart w:id="311" w:name="_Toc654"/>
      <w:r/>
      <w:bookmarkStart w:id="312" w:name="_Toc29414"/>
      <w:r/>
      <w:bookmarkStart w:id="313" w:name="_Toc19235"/>
      <w:r/>
      <w:bookmarkStart w:id="314" w:name="_Toc7741"/>
      <w:r/>
      <w:bookmarkStart w:id="315" w:name="_Toc22055"/>
      <w:r/>
      <w:bookmarkStart w:id="316" w:name="_Toc7865"/>
      <w:r/>
      <w:bookmarkStart w:id="317" w:name="_Toc32633"/>
      <w:r/>
      <w:bookmarkStart w:id="318" w:name="_Toc10231"/>
      <w:r/>
      <w:r/>
    </w:p>
    <w:p>
      <w:pPr>
        <w:jc w:val="center"/>
        <w:spacing w:line="402" w:lineRule="atLeast"/>
        <w:rPr>
          <w:rFonts w:ascii="仿宋" w:hAnsi="仿宋" w:eastAsia="仿宋" w:cs="仿宋"/>
          <w:color w:val="auto"/>
          <w:sz w:val="36"/>
        </w:rPr>
        <w:outlineLvl w:val="0"/>
      </w:pPr>
      <w:r/>
      <w:bookmarkStart w:id="319" w:name="_Toc9076"/>
      <w:r>
        <w:rPr>
          <w:rFonts w:hint="eastAsia" w:ascii="仿宋" w:hAnsi="仿宋" w:eastAsia="仿宋" w:cs="仿宋"/>
          <w:color w:val="auto"/>
          <w:sz w:val="36"/>
        </w:rPr>
        <w:t xml:space="preserve">报价明细表</w:t>
      </w:r>
      <w:bookmarkEnd w:id="319"/>
      <w:r/>
      <w:r/>
    </w:p>
    <w:tbl>
      <w:tblPr>
        <w:tblStyle w:val="801"/>
        <w:tblW w:w="8339" w:type="dxa"/>
        <w:jc w:val="center"/>
        <w:tblLayout w:type="fixed"/>
        <w:tblCellMar>
          <w:left w:w="108" w:type="dxa"/>
          <w:top w:w="0" w:type="dxa"/>
          <w:right w:w="108" w:type="dxa"/>
          <w:bottom w:w="0" w:type="dxa"/>
        </w:tblCellMar>
        <w:tblLook w:val="04A0" w:firstRow="1" w:lastRow="0" w:firstColumn="1" w:lastColumn="0" w:noHBand="0" w:noVBand="1"/>
      </w:tblPr>
      <w:tblGrid>
        <w:gridCol w:w="2088"/>
        <w:gridCol w:w="1648"/>
        <w:gridCol w:w="1722"/>
        <w:gridCol w:w="1597"/>
        <w:gridCol w:w="1284"/>
      </w:tblGrid>
      <w:tr>
        <w:trPr>
          <w:jc w:val="center"/>
          <w:trHeight w:val="285"/>
        </w:trPr>
        <w:tc>
          <w:tcPr>
            <w:shd w:val="clear" w:color="auto" w:fill="auto"/>
            <w:tcBorders>
              <w:top w:val="single" w:color="000000" w:sz="4" w:space="0"/>
              <w:left w:val="single" w:color="000000" w:sz="4" w:space="0"/>
              <w:right w:val="single" w:color="000000" w:sz="4" w:space="0"/>
            </w:tcBorders>
            <w:tcW w:w="2088" w:type="dxa"/>
            <w:vAlign w:val="center"/>
            <w:vMerge w:val="restart"/>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品名</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51" w:type="dxa"/>
            <w:vAlign w:val="center"/>
            <w:textDirection w:val="lrTb"/>
            <w:noWrap w:val="false"/>
          </w:tcPr>
          <w:p>
            <w:pPr>
              <w:jc w:val="center"/>
              <w:rPr>
                <w:rFonts w:ascii="仿宋" w:hAnsi="仿宋" w:eastAsia="仿宋" w:cs="仿宋"/>
                <w:color w:val="auto"/>
                <w:sz w:val="24"/>
                <w:szCs w:val="24"/>
                <w:lang w:bidi="ar"/>
              </w:rPr>
            </w:pPr>
            <w:r>
              <w:rPr>
                <w:rFonts w:hint="eastAsia" w:ascii="仿宋" w:hAnsi="仿宋" w:eastAsia="仿宋" w:cs="仿宋"/>
                <w:color w:val="auto"/>
                <w:sz w:val="24"/>
                <w:szCs w:val="24"/>
                <w:lang w:bidi="ar"/>
              </w:rPr>
              <w:t xml:space="preserve">价格区间</w:t>
            </w:r>
            <w:r/>
          </w:p>
        </w:tc>
      </w:tr>
      <w:tr>
        <w:trPr>
          <w:jc w:val="center"/>
          <w:trHeight w:val="536"/>
        </w:trPr>
        <w:tc>
          <w:tcPr>
            <w:shd w:val="clear" w:color="auto" w:fill="auto"/>
            <w:tcBorders>
              <w:left w:val="single" w:color="000000" w:sz="4" w:space="0"/>
              <w:right w:val="single" w:color="000000" w:sz="4" w:space="0"/>
            </w:tcBorders>
            <w:tcW w:w="2088"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10至14.9元/斤</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15至19.9元/斤</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20以上的/斤</w:t>
            </w:r>
            <w:r/>
          </w:p>
        </w:tc>
        <w:tc>
          <w:tcPr>
            <w:shd w:val="clear" w:color="auto" w:fill="auto"/>
            <w:tcBorders>
              <w:top w:val="single" w:color="000000" w:sz="4" w:space="0"/>
              <w:left w:val="single" w:color="000000" w:sz="4" w:space="0"/>
              <w:right w:val="single" w:color="000000" w:sz="4" w:space="0"/>
            </w:tcBorders>
            <w:tcW w:w="1284" w:type="dxa"/>
            <w:vAlign w:val="center"/>
            <w:vMerge w:val="restart"/>
            <w:textDirection w:val="lrTb"/>
            <w:noWrap w:val="false"/>
          </w:tcPr>
          <w:p>
            <w:pPr>
              <w:jc w:val="center"/>
              <w:rPr>
                <w:rFonts w:ascii="仿宋" w:hAnsi="仿宋" w:eastAsia="仿宋" w:cs="仿宋"/>
                <w:color w:val="auto"/>
                <w:sz w:val="24"/>
                <w:szCs w:val="24"/>
                <w:lang w:bidi="ar"/>
              </w:rPr>
            </w:pPr>
            <w:r>
              <w:rPr>
                <w:rFonts w:hint="eastAsia" w:ascii="仿宋" w:hAnsi="仿宋" w:eastAsia="仿宋" w:cs="仿宋"/>
                <w:color w:val="auto"/>
                <w:sz w:val="24"/>
                <w:szCs w:val="24"/>
                <w:lang w:bidi="ar"/>
              </w:rPr>
              <w:t xml:space="preserve">整体下浮率（%）</w:t>
            </w:r>
            <w:r/>
          </w:p>
        </w:tc>
      </w:tr>
      <w:tr>
        <w:trPr>
          <w:jc w:val="center"/>
          <w:trHeight w:val="333"/>
        </w:trPr>
        <w:tc>
          <w:tcPr>
            <w:shd w:val="clear" w:color="auto" w:fill="auto"/>
            <w:tcBorders>
              <w:left w:val="single" w:color="000000" w:sz="4" w:space="0"/>
              <w:bottom w:val="single" w:color="000000" w:sz="4" w:space="0"/>
              <w:right w:val="single" w:color="000000" w:sz="4" w:space="0"/>
            </w:tcBorders>
            <w:tcW w:w="2088" w:type="dxa"/>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系数</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系数</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系数</w:t>
            </w:r>
            <w:r/>
          </w:p>
        </w:tc>
        <w:tc>
          <w:tcPr>
            <w:shd w:val="clear" w:color="auto" w:fill="auto"/>
            <w:tcBorders>
              <w:left w:val="single" w:color="000000" w:sz="4" w:space="0"/>
              <w:bottom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536"/>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lang w:bidi="ar"/>
              </w:rPr>
            </w:pPr>
            <w:r>
              <w:rPr>
                <w:rFonts w:hint="eastAsia" w:ascii="仿宋" w:hAnsi="仿宋" w:eastAsia="仿宋" w:cs="仿宋"/>
                <w:color w:val="auto"/>
                <w:sz w:val="24"/>
                <w:szCs w:val="24"/>
                <w:lang w:bidi="ar"/>
              </w:rPr>
              <w:t xml:space="preserve">鲜猪肉(肋条肉)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lang w:bidi="ar"/>
              </w:rPr>
            </w:pPr>
            <w:r>
              <w:rPr>
                <w:rFonts w:hint="eastAsia" w:ascii="仿宋" w:hAnsi="仿宋" w:eastAsia="仿宋" w:cs="仿宋"/>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lang w:bidi="ar"/>
              </w:rPr>
            </w:pPr>
            <w:r>
              <w:rPr>
                <w:rFonts w:hint="eastAsia" w:ascii="仿宋" w:hAnsi="仿宋" w:eastAsia="仿宋" w:cs="仿宋"/>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lang w:bidi="ar"/>
              </w:rPr>
            </w:pPr>
            <w:r>
              <w:rPr>
                <w:rFonts w:hint="eastAsia" w:ascii="仿宋" w:hAnsi="仿宋" w:eastAsia="仿宋" w:cs="仿宋"/>
                <w:color w:val="auto"/>
                <w:sz w:val="24"/>
                <w:szCs w:val="24"/>
                <w:lang w:bidi="ar"/>
              </w:rPr>
              <w:t xml:space="preserve">1.0</w:t>
            </w:r>
            <w:r/>
          </w:p>
        </w:tc>
        <w:tc>
          <w:tcPr>
            <w:shd w:val="clear" w:color="auto" w:fill="auto"/>
            <w:tcBorders>
              <w:top w:val="single" w:color="000000" w:sz="4" w:space="0"/>
              <w:left w:val="single" w:color="000000" w:sz="4" w:space="0"/>
              <w:right w:val="single" w:color="000000" w:sz="4" w:space="0"/>
            </w:tcBorders>
            <w:tcW w:w="1284" w:type="dxa"/>
            <w:vAlign w:val="center"/>
            <w:vMerge w:val="restart"/>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带皮前夹肉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1.08</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不带皮前夹肉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带皮后腿肉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1.05</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不带皮后腿肉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1.08</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带皮五花肉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不带皮五花肉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精肉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肉末</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1.05</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大排</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1.15</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小排</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仔排</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1.4</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统骨（不带肉）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0.7</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统骨（带肉）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肥肉</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0.75</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爪子</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1.35</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板油</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0.75</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0.75</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肚心</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1.6</w:t>
            </w:r>
            <w:r/>
          </w:p>
        </w:tc>
        <w:tc>
          <w:tcPr>
            <w:shd w:val="clear" w:color="auto" w:fill="auto"/>
            <w:tcBorders>
              <w:left w:val="single" w:color="000000" w:sz="4" w:space="0"/>
              <w:bottom w:val="single" w:color="000000" w:sz="4" w:space="0"/>
              <w:right w:val="single" w:color="000000" w:sz="4" w:space="0"/>
            </w:tcBorders>
            <w:tcW w:w="1284" w:type="dxa"/>
            <w:vAlign w:val="center"/>
            <w:vMerge w:val="continue"/>
            <w:textDirection w:val="lrTb"/>
            <w:noWrap w:val="false"/>
          </w:tcPr>
          <w:p>
            <w:pPr>
              <w:jc w:val="center"/>
              <w:rPr>
                <w:rFonts w:ascii="仿宋" w:hAnsi="仿宋" w:eastAsia="仿宋" w:cs="仿宋"/>
                <w:color w:val="auto"/>
                <w:sz w:val="24"/>
                <w:szCs w:val="24"/>
                <w:lang w:bidi="ar"/>
              </w:rPr>
            </w:pPr>
            <w:r>
              <w:rPr>
                <w:rFonts w:ascii="仿宋" w:hAnsi="仿宋" w:eastAsia="仿宋" w:cs="仿宋"/>
                <w:color w:val="auto"/>
                <w:sz w:val="24"/>
                <w:szCs w:val="24"/>
                <w:lang w:bidi="ar"/>
              </w:rPr>
            </w:r>
            <w:r/>
          </w:p>
        </w:tc>
      </w:tr>
    </w:tbl>
    <w:p>
      <w:pPr>
        <w:jc w:val="both"/>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注：</w:t>
      </w:r>
      <w:bookmarkStart w:id="320" w:name="_Toc11490"/>
      <w:r/>
      <w:bookmarkStart w:id="321" w:name="_Toc2309"/>
      <w:r/>
      <w:bookmarkStart w:id="322" w:name="_Toc32203"/>
      <w:r/>
      <w:bookmarkStart w:id="323" w:name="_Toc2253"/>
      <w:r/>
      <w:bookmarkStart w:id="324" w:name="_Toc17178"/>
      <w:r>
        <w:rPr>
          <w:rFonts w:hint="eastAsia" w:ascii="仿宋" w:hAnsi="仿宋" w:eastAsia="仿宋" w:cs="仿宋"/>
          <w:color w:val="auto"/>
          <w:sz w:val="28"/>
          <w:szCs w:val="28"/>
        </w:rPr>
        <w:t xml:space="preserve">投标报价以镇江市发展和改革委员会官方网站（网址：</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"http://fgw.zhenjiang.gov.cn/"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 zhenjiang.gov.cn)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公布的投标截止时间（不含当日）前</w:t>
      </w:r>
      <w:r>
        <w:rPr>
          <w:rFonts w:hint="eastAsia" w:ascii="仿宋" w:hAnsi="仿宋" w:eastAsia="仿宋" w:cs="仿宋"/>
          <w:color w:val="auto"/>
          <w:sz w:val="28"/>
          <w:szCs w:val="28"/>
          <w:lang w:val="en-US" w:eastAsia="zh-CN"/>
        </w:rPr>
        <w:t xml:space="preserve">7次</w:t>
      </w:r>
      <w:r>
        <w:rPr>
          <w:rFonts w:hint="eastAsia" w:ascii="仿宋" w:hAnsi="仿宋" w:eastAsia="仿宋" w:cs="仿宋"/>
          <w:color w:val="auto"/>
          <w:sz w:val="28"/>
          <w:szCs w:val="28"/>
        </w:rPr>
        <w:t xml:space="preserve">鲜猪肉（肋条肉）价格作为基准价，供应商报基准价下浮率，开始供货前，由招标人每周一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周四各公布一次基准价，投标人结算价=基准价×（1-下浮率）×猪肉基准价对应各猪肉品种上下浮动比例。</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投标单位名称（公章）：</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授权代表（签字）：</w:t>
      </w:r>
      <w:r/>
    </w:p>
    <w:p>
      <w:pPr>
        <w:pStyle w:val="83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联系电话：</w:t>
      </w:r>
      <w:r/>
    </w:p>
    <w:p>
      <w:pPr>
        <w:pStyle w:val="834"/>
        <w:rPr>
          <w:rFonts w:ascii="仿宋" w:hAnsi="仿宋" w:eastAsia="仿宋" w:cs="仿宋"/>
          <w:b/>
          <w:bCs/>
          <w:color w:val="auto"/>
          <w:sz w:val="36"/>
          <w:szCs w:val="36"/>
        </w:rPr>
      </w:pPr>
      <w:r>
        <w:rPr>
          <w:rFonts w:hint="eastAsia" w:ascii="仿宋" w:hAnsi="仿宋" w:eastAsia="仿宋" w:cs="仿宋"/>
          <w:color w:val="auto"/>
          <w:sz w:val="28"/>
          <w:szCs w:val="28"/>
        </w:rPr>
        <w:t xml:space="preserve">日期：    年  月   日</w:t>
      </w:r>
      <w:r/>
    </w:p>
    <w:p>
      <w:pPr>
        <w:pStyle w:val="834"/>
        <w:jc w:val="center"/>
        <w:spacing w:line="480" w:lineRule="exact"/>
        <w:rPr>
          <w:rFonts w:ascii="仿宋" w:hAnsi="仿宋" w:eastAsia="仿宋" w:cs="仿宋"/>
          <w:b/>
          <w:bCs/>
          <w:color w:val="auto"/>
          <w:sz w:val="36"/>
          <w:szCs w:val="36"/>
        </w:rPr>
        <w:outlineLvl w:val="0"/>
      </w:pPr>
      <w:r>
        <w:rPr>
          <w:rFonts w:ascii="仿宋" w:hAnsi="仿宋" w:eastAsia="仿宋" w:cs="仿宋"/>
          <w:b/>
          <w:bCs/>
          <w:color w:val="auto"/>
          <w:sz w:val="36"/>
          <w:szCs w:val="36"/>
        </w:rPr>
      </w:r>
      <w:r/>
    </w:p>
    <w:p>
      <w:pPr>
        <w:pStyle w:val="834"/>
        <w:jc w:val="center"/>
        <w:spacing w:line="480" w:lineRule="exac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pStyle w:val="834"/>
        <w:jc w:val="center"/>
        <w:spacing w:line="480" w:lineRule="exact"/>
        <w:rPr>
          <w:rFonts w:ascii="仿宋" w:hAnsi="仿宋" w:eastAsia="仿宋" w:cs="仿宋"/>
          <w:b/>
          <w:bCs/>
          <w:color w:val="auto"/>
          <w:sz w:val="36"/>
          <w:szCs w:val="36"/>
        </w:rPr>
        <w:outlineLvl w:val="0"/>
      </w:pPr>
      <w:r>
        <w:rPr>
          <w:rFonts w:hint="eastAsia" w:ascii="仿宋" w:hAnsi="仿宋" w:eastAsia="仿宋" w:cs="仿宋"/>
          <w:b/>
          <w:bCs/>
          <w:color w:val="auto"/>
          <w:sz w:val="36"/>
          <w:szCs w:val="36"/>
        </w:rPr>
        <w:t xml:space="preserve">法定代表人资格证明书</w:t>
      </w:r>
      <w:bookmarkEnd w:id="311"/>
      <w:r/>
      <w:bookmarkEnd w:id="312"/>
      <w:r/>
      <w:bookmarkEnd w:id="313"/>
      <w:r/>
      <w:bookmarkEnd w:id="314"/>
      <w:r/>
      <w:bookmarkEnd w:id="315"/>
      <w:r/>
      <w:bookmarkEnd w:id="316"/>
      <w:r/>
      <w:bookmarkEnd w:id="317"/>
      <w:r/>
      <w:bookmarkEnd w:id="318"/>
      <w:r/>
      <w:bookmarkEnd w:id="320"/>
      <w:r/>
      <w:bookmarkEnd w:id="321"/>
      <w:r/>
      <w:bookmarkEnd w:id="322"/>
      <w:r/>
      <w:bookmarkEnd w:id="323"/>
      <w:r/>
      <w:bookmarkEnd w:id="324"/>
      <w:r/>
      <w:r/>
    </w:p>
    <w:p>
      <w:pPr>
        <w:pStyle w:val="834"/>
        <w:spacing w:line="480" w:lineRule="exact"/>
        <w:rPr>
          <w:rFonts w:ascii="仿宋" w:hAnsi="仿宋" w:eastAsia="仿宋" w:cs="仿宋"/>
          <w:b/>
          <w:color w:val="auto"/>
          <w:sz w:val="28"/>
          <w:szCs w:val="28"/>
        </w:rPr>
      </w:pPr>
      <w:r>
        <w:rPr>
          <w:rFonts w:ascii="仿宋" w:hAnsi="仿宋" w:eastAsia="仿宋" w:cs="仿宋"/>
          <w:b/>
          <w:color w:val="auto"/>
          <w:sz w:val="28"/>
          <w:szCs w:val="28"/>
        </w:rPr>
      </w:r>
      <w:r/>
    </w:p>
    <w:p>
      <w:pPr>
        <w:pStyle w:val="834"/>
        <w:ind w:firstLine="612"/>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单位名称：</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p>
    <w:p>
      <w:pPr>
        <w:pStyle w:val="834"/>
        <w:ind w:firstLine="610"/>
        <w:spacing w:line="36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单位性质：</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p>
    <w:p>
      <w:pPr>
        <w:pStyle w:val="834"/>
        <w:ind w:firstLine="610"/>
        <w:spacing w:line="36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地    址：</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p>
    <w:p>
      <w:pPr>
        <w:pStyle w:val="834"/>
        <w:ind w:firstLine="61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834"/>
        <w:ind w:firstLine="610"/>
        <w:spacing w:line="36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经营期限：</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p>
    <w:p>
      <w:pPr>
        <w:pStyle w:val="834"/>
        <w:ind w:firstLine="61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姓    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年龄：</w:t>
      </w:r>
      <w:r/>
    </w:p>
    <w:p>
      <w:pPr>
        <w:pStyle w:val="834"/>
        <w:ind w:firstLine="610"/>
        <w:spacing w:line="36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身份证号码：</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p>
    <w:p>
      <w:pPr>
        <w:pStyle w:val="834"/>
        <w:ind w:firstLine="61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系</w:t>
      </w:r>
      <w:r>
        <w:rPr>
          <w:rFonts w:hint="eastAsia" w:ascii="仿宋" w:hAnsi="仿宋" w:eastAsia="仿宋" w:cs="仿宋"/>
          <w:color w:val="auto"/>
          <w:sz w:val="28"/>
          <w:szCs w:val="28"/>
          <w:u w:val="single"/>
        </w:rPr>
        <w:t xml:space="preserve">          （投标人单位名称）         </w:t>
      </w:r>
      <w:r>
        <w:rPr>
          <w:rFonts w:hint="eastAsia" w:ascii="仿宋" w:hAnsi="仿宋" w:eastAsia="仿宋" w:cs="仿宋"/>
          <w:color w:val="auto"/>
          <w:sz w:val="28"/>
          <w:szCs w:val="28"/>
        </w:rPr>
        <w:t xml:space="preserve">的法定代表人。</w:t>
      </w:r>
      <w:r/>
    </w:p>
    <w:p>
      <w:pPr>
        <w:pStyle w:val="834"/>
        <w:ind w:firstLine="61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特此证明。</w:t>
      </w:r>
      <w:r/>
    </w:p>
    <w:p>
      <w:pPr>
        <w:pStyle w:val="834"/>
        <w:ind w:firstLine="610"/>
        <w:spacing w:line="360" w:lineRule="auto"/>
        <w:rPr>
          <w:rFonts w:ascii="仿宋" w:hAnsi="仿宋" w:eastAsia="仿宋" w:cs="仿宋"/>
          <w:color w:val="auto"/>
          <w:sz w:val="28"/>
          <w:szCs w:val="28"/>
        </w:rPr>
      </w:pPr>
      <w:r>
        <w:rPr>
          <w:rFonts w:hint="eastAsia" w:ascii="仿宋" w:hAnsi="仿宋" w:eastAsia="仿宋" w:cs="仿宋"/>
          <w:color w:val="auto"/>
          <w:sz w:val="28"/>
          <w:szCs w:val="28"/>
          <w:u w:val="single"/>
        </w:rPr>
        <w:t xml:space="preserve">          附身份证复印件                                   </w:t>
      </w:r>
      <w:r/>
    </w:p>
    <w:p>
      <w:pPr>
        <w:pStyle w:val="834"/>
        <w:ind w:firstLine="560"/>
        <w:spacing w:line="480" w:lineRule="exact"/>
        <w:tabs>
          <w:tab w:val="left" w:pos="720" w:leader="none"/>
          <w:tab w:val="left" w:pos="900" w:leader="none"/>
        </w:tabs>
        <w:rPr>
          <w:rFonts w:ascii="仿宋" w:hAnsi="仿宋" w:eastAsia="仿宋" w:cs="仿宋"/>
          <w:color w:val="auto"/>
          <w:sz w:val="28"/>
          <w:szCs w:val="28"/>
        </w:rPr>
      </w:pPr>
      <w:r>
        <w:rPr>
          <w:rFonts w:ascii="仿宋" w:hAnsi="仿宋" w:eastAsia="仿宋" w:cs="仿宋"/>
          <w:color w:val="auto"/>
          <w:sz w:val="28"/>
          <w:szCs w:val="28"/>
        </w:rPr>
      </w:r>
      <w:r/>
    </w:p>
    <w:p>
      <w:pPr>
        <w:pStyle w:val="834"/>
        <w:ind w:firstLine="560"/>
        <w:spacing w:line="480" w:lineRule="exact"/>
        <w:tabs>
          <w:tab w:val="left" w:pos="720" w:leader="none"/>
          <w:tab w:val="left" w:pos="900" w:leader="none"/>
        </w:tabs>
        <w:rPr>
          <w:rFonts w:ascii="仿宋" w:hAnsi="仿宋" w:eastAsia="仿宋" w:cs="仿宋"/>
          <w:color w:val="auto"/>
          <w:sz w:val="28"/>
          <w:szCs w:val="28"/>
        </w:rPr>
      </w:pPr>
      <w:r>
        <w:rPr>
          <w:rFonts w:ascii="仿宋" w:hAnsi="仿宋" w:eastAsia="仿宋" w:cs="仿宋"/>
          <w:color w:val="auto"/>
          <w:sz w:val="28"/>
          <w:szCs w:val="28"/>
        </w:rPr>
      </w:r>
      <w:r/>
    </w:p>
    <w:p>
      <w:pPr>
        <w:pStyle w:val="834"/>
        <w:jc w:val="right"/>
        <w:spacing w:line="360" w:lineRule="auto"/>
        <w:tabs>
          <w:tab w:val="left" w:pos="720" w:leader="none"/>
          <w:tab w:val="left" w:pos="900" w:leader="none"/>
        </w:tabs>
        <w:rPr>
          <w:rFonts w:ascii="仿宋" w:hAnsi="仿宋" w:eastAsia="仿宋" w:cs="仿宋"/>
          <w:color w:val="auto"/>
          <w:sz w:val="28"/>
          <w:szCs w:val="28"/>
          <w:u w:val="single"/>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（盖公章）</w:t>
      </w:r>
      <w:r/>
    </w:p>
    <w:p>
      <w:pPr>
        <w:pStyle w:val="834"/>
        <w:jc w:val="center"/>
        <w:spacing w:line="360" w:lineRule="auto"/>
        <w:tabs>
          <w:tab w:val="left" w:pos="720" w:leader="none"/>
          <w:tab w:val="left" w:pos="90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法定代表人签名：</w:t>
      </w:r>
      <w:r>
        <w:rPr>
          <w:rFonts w:hint="eastAsia" w:ascii="仿宋" w:hAnsi="仿宋" w:eastAsia="仿宋" w:cs="仿宋"/>
          <w:color w:val="auto"/>
          <w:sz w:val="28"/>
          <w:szCs w:val="28"/>
          <w:u w:val="single"/>
        </w:rPr>
        <w:t xml:space="preserve">             　   </w:t>
      </w:r>
      <w:r/>
    </w:p>
    <w:p>
      <w:pPr>
        <w:pStyle w:val="834"/>
        <w:jc w:val="center"/>
        <w:spacing w:line="360" w:lineRule="auto"/>
        <w:tabs>
          <w:tab w:val="left" w:pos="720" w:leader="none"/>
          <w:tab w:val="left" w:pos="90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834"/>
        <w:ind w:firstLine="5180"/>
        <w:spacing w:line="480" w:lineRule="exact"/>
        <w:tabs>
          <w:tab w:val="left" w:pos="720" w:leader="none"/>
          <w:tab w:val="left" w:pos="900" w:leader="none"/>
        </w:tabs>
        <w:rPr>
          <w:rFonts w:ascii="仿宋" w:hAnsi="仿宋" w:eastAsia="仿宋" w:cs="仿宋"/>
          <w:color w:val="auto"/>
          <w:sz w:val="28"/>
          <w:szCs w:val="28"/>
        </w:rPr>
      </w:pPr>
      <w:r>
        <w:rPr>
          <w:rFonts w:ascii="仿宋" w:hAnsi="仿宋" w:eastAsia="仿宋" w:cs="仿宋"/>
          <w:color w:val="auto"/>
          <w:sz w:val="28"/>
          <w:szCs w:val="28"/>
        </w:rPr>
      </w:r>
      <w:r/>
    </w:p>
    <w:p>
      <w:pPr>
        <w:pStyle w:val="834"/>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jc w:val="cente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5"/>
        <w:rPr>
          <w:rFonts w:ascii="仿宋" w:hAnsi="仿宋" w:eastAsia="仿宋" w:cs="仿宋"/>
          <w:color w:val="auto"/>
        </w:rPr>
      </w:pPr>
      <w:r>
        <w:rPr>
          <w:rFonts w:ascii="仿宋" w:hAnsi="仿宋" w:eastAsia="仿宋" w:cs="仿宋"/>
          <w:color w:val="auto"/>
        </w:rPr>
      </w:r>
      <w:r/>
    </w:p>
    <w:p>
      <w:pPr>
        <w:pStyle w:val="834"/>
        <w:rPr>
          <w:rFonts w:ascii="仿宋" w:hAnsi="仿宋" w:eastAsia="仿宋" w:cs="仿宋"/>
          <w:color w:val="auto"/>
          <w:sz w:val="28"/>
          <w:szCs w:val="28"/>
        </w:rPr>
      </w:pPr>
      <w:r>
        <w:rPr>
          <w:rFonts w:ascii="仿宋" w:hAnsi="仿宋" w:eastAsia="仿宋" w:cs="仿宋"/>
          <w:color w:val="auto"/>
          <w:sz w:val="28"/>
          <w:szCs w:val="28"/>
        </w:rPr>
      </w:r>
      <w:r/>
    </w:p>
    <w:p>
      <w:pPr>
        <w:pStyle w:val="834"/>
        <w:rPr>
          <w:rFonts w:ascii="仿宋" w:hAnsi="仿宋" w:eastAsia="仿宋" w:cs="仿宋"/>
          <w:color w:val="auto"/>
        </w:rPr>
      </w:pPr>
      <w:r>
        <w:rPr>
          <w:rFonts w:ascii="仿宋" w:hAnsi="仿宋" w:eastAsia="仿宋" w:cs="仿宋"/>
          <w:color w:val="auto"/>
        </w:rPr>
      </w:r>
      <w:r/>
    </w:p>
    <w:p>
      <w:pPr>
        <w:pStyle w:val="834"/>
        <w:jc w:val="center"/>
        <w:rPr>
          <w:rFonts w:ascii="仿宋" w:hAnsi="仿宋" w:eastAsia="仿宋" w:cs="仿宋"/>
          <w:b/>
          <w:bCs/>
          <w:color w:val="auto"/>
          <w:sz w:val="36"/>
          <w:szCs w:val="36"/>
        </w:rPr>
      </w:pPr>
      <w:r/>
      <w:bookmarkStart w:id="325" w:name="_Toc8543"/>
      <w:r/>
      <w:bookmarkStart w:id="326" w:name="_Toc14193"/>
      <w:r/>
      <w:bookmarkStart w:id="327" w:name="_Toc8381"/>
      <w:r/>
      <w:bookmarkStart w:id="328" w:name="_Toc4776"/>
      <w:r/>
      <w:bookmarkStart w:id="329" w:name="_Toc1133"/>
      <w:r/>
      <w:bookmarkStart w:id="330" w:name="_Toc13452"/>
      <w:r/>
      <w:bookmarkStart w:id="331" w:name="_Toc25952"/>
      <w:r/>
      <w:bookmarkStart w:id="332" w:name="_Toc32092"/>
      <w:r/>
      <w:bookmarkStart w:id="333" w:name="_Toc3172"/>
      <w:r/>
      <w:bookmarkStart w:id="334" w:name="_Toc25780"/>
      <w:r/>
      <w:bookmarkStart w:id="335" w:name="_Toc29364"/>
      <w:r/>
      <w:bookmarkStart w:id="336" w:name="_Toc16068"/>
      <w:r/>
      <w:bookmarkStart w:id="337" w:name="_Toc7566"/>
      <w:r/>
      <w:r/>
    </w:p>
    <w:p>
      <w:pPr>
        <w:pStyle w:val="834"/>
        <w:jc w:val="center"/>
        <w:rPr>
          <w:rFonts w:ascii="仿宋" w:hAnsi="仿宋" w:eastAsia="仿宋" w:cs="仿宋"/>
          <w:b/>
          <w:bCs/>
          <w:color w:val="auto"/>
          <w:sz w:val="36"/>
          <w:szCs w:val="36"/>
        </w:rPr>
      </w:pPr>
      <w:r>
        <w:rPr>
          <w:rFonts w:ascii="仿宋" w:hAnsi="仿宋" w:eastAsia="仿宋" w:cs="仿宋"/>
          <w:b/>
          <w:bCs/>
          <w:color w:val="auto"/>
          <w:sz w:val="36"/>
          <w:szCs w:val="36"/>
        </w:rPr>
      </w:r>
      <w:r/>
    </w:p>
    <w:p>
      <w:pPr>
        <w:pStyle w:val="834"/>
        <w:jc w:val="center"/>
        <w:rPr>
          <w:rFonts w:ascii="仿宋" w:hAnsi="仿宋" w:eastAsia="仿宋" w:cs="仿宋"/>
          <w:b/>
          <w:bCs/>
          <w:color w:val="auto"/>
          <w:sz w:val="36"/>
          <w:szCs w:val="36"/>
        </w:rPr>
      </w:pPr>
      <w:r>
        <w:rPr>
          <w:rFonts w:hint="eastAsia" w:ascii="仿宋" w:hAnsi="仿宋" w:eastAsia="仿宋" w:cs="仿宋"/>
          <w:b/>
          <w:bCs/>
          <w:color w:val="auto"/>
          <w:sz w:val="36"/>
          <w:szCs w:val="36"/>
        </w:rPr>
        <w:t xml:space="preserve">法定代表人授权书（格式）</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pStyle w:val="834"/>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本授权书声明：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公司（社会组织）的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（法定代表人姓名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职务）代表本公司（社会组织）授权</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（被授权人的姓名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职务）为本公司（社会组织）的合法授权委托人，就参加</w:t>
      </w:r>
      <w:r>
        <w:rPr>
          <w:rFonts w:hint="eastAsia" w:ascii="仿宋" w:hAnsi="仿宋" w:eastAsia="仿宋" w:cs="仿宋"/>
          <w:color w:val="auto"/>
          <w:sz w:val="28"/>
          <w:szCs w:val="28"/>
          <w:lang w:eastAsia="zh-CN"/>
        </w:rPr>
        <w:t xml:space="preserve">扬中市公办中小学、幼儿园食堂猪肉采购服务供应商项目</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JSZC-321182-JJGS-G2023-0044</w:t>
      </w:r>
      <w:r>
        <w:rPr>
          <w:rFonts w:hint="eastAsia" w:ascii="仿宋" w:hAnsi="仿宋" w:eastAsia="仿宋" w:cs="仿宋"/>
          <w:color w:val="auto"/>
          <w:sz w:val="28"/>
          <w:szCs w:val="28"/>
        </w:rPr>
        <w:t xml:space="preserve">]的投标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签订合同，以及合同的执行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完成和保修，以本公司名义处理一切与之有关的事务。本授权书于  年   月   日签字生效，特此声明。</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法定代表人签字（或印鉴章）：</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职    务：</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单位名称：</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地    址：</w:t>
      </w:r>
      <w:r/>
    </w:p>
    <w:p>
      <w:pPr>
        <w:pStyle w:val="834"/>
        <w:ind w:left="5678" w:hanging="4093"/>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联系电话：</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授权委托人（被授权人）签字：</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职    务：</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单位名称：</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地    址：</w:t>
      </w:r>
      <w:r/>
    </w:p>
    <w:p>
      <w:pPr>
        <w:pStyle w:val="834"/>
        <w:ind w:left="5680" w:hanging="5074"/>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联系电话：</w:t>
      </w:r>
      <w:r/>
    </w:p>
    <w:p>
      <w:pPr>
        <w:pStyle w:val="834"/>
        <w:ind w:left="5674" w:hanging="4915"/>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公司（工厂）名称（公章）：</w:t>
      </w:r>
      <w:r/>
    </w:p>
    <w:p>
      <w:pPr>
        <w:pStyle w:val="834"/>
        <w:ind w:left="5674" w:hanging="4915"/>
        <w:spacing w:line="360" w:lineRule="auto"/>
        <w:rPr>
          <w:rFonts w:ascii="仿宋" w:hAnsi="仿宋" w:eastAsia="仿宋" w:cs="仿宋"/>
          <w:color w:val="auto"/>
          <w:sz w:val="28"/>
          <w:szCs w:val="28"/>
        </w:rPr>
      </w:pPr>
      <w:r>
        <w:rPr>
          <w:rFonts w:hint="eastAsia" w:ascii="仿宋" w:hAnsi="仿宋" w:eastAsia="仿宋" w:cs="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3451225</wp:posOffset>
                </wp:positionH>
                <wp:positionV relativeFrom="paragraph">
                  <wp:posOffset>271145</wp:posOffset>
                </wp:positionV>
                <wp:extent cx="2057400" cy="1386840"/>
                <wp:effectExtent l="4445" t="4445" r="14604" b="18415"/>
                <wp:wrapNone/>
                <wp:docPr id="5" name="矩形 8"/>
                <wp:cNvGraphicFramePr/>
                <a:graphic xmlns:a="http://schemas.openxmlformats.org/drawingml/2006/main">
                  <a:graphicData uri="http://schemas.microsoft.com/office/word/2010/wordprocessingShape">
                    <wps:wsp>
                      <wps:cNvPr id="0" name=""/>
                      <wps:cNvSpPr/>
                      <wps:spPr bwMode="auto">
                        <a:xfrm>
                          <a:off x="0" y="0"/>
                          <a:ext cx="2057400" cy="1386840"/>
                        </a:xfrm>
                        <a:prstGeom prst="rect">
                          <a:avLst/>
                        </a:prstGeom>
                        <a:solidFill>
                          <a:srgbClr val="FFFFFF"/>
                        </a:solidFill>
                        <a:ln>
                          <a:solidFill>
                            <a:srgbClr val="000000"/>
                          </a:solidFill>
                        </a:ln>
                        <a:effectLst/>
                      </wps:spPr>
                      <wps:txbx>
                        <w:txbxContent>
                          <w:p>
                            <w:pPr>
                              <w:pStyle w:val="834"/>
                            </w:pPr>
                            <w:r/>
                            <w:r/>
                          </w:p>
                          <w:p>
                            <w:pPr>
                              <w:pStyle w:val="834"/>
                            </w:pPr>
                            <w:r/>
                            <w:r/>
                          </w:p>
                        </w:txbxContent>
                      </wps:txbx>
                      <wps:bodyPr wrap="square" upright="1"/>
                    </wps:wsp>
                  </a:graphicData>
                </a:graphic>
              </wp:anchor>
            </w:drawing>
          </mc:Choice>
          <mc:Fallback>
            <w:pict>
              <v:shape id="shape 4" o:spid="_x0000_s4" o:spt="1" type="#_x0000_t1" style="position:absolute;z-index:251660288;o:allowoverlap:true;o:allowincell:true;mso-position-horizontal-relative:text;margin-left:271.8pt;mso-position-horizontal:absolute;mso-position-vertical-relative:text;margin-top:21.3pt;mso-position-vertical:absolute;width:162.0pt;height:109.2pt;mso-wrap-distance-left:9.0pt;mso-wrap-distance-top:0.0pt;mso-wrap-distance-right:9.0pt;mso-wrap-distance-bottom:0.0pt;visibility:visible;" fillcolor="#FFFFFF" strokecolor="#000000">
                <v:textbox inset="0,0,0,0">
                  <w:txbxContent>
                    <w:p>
                      <w:pPr>
                        <w:pStyle w:val="834"/>
                      </w:pPr>
                      <w:r/>
                      <w:r/>
                    </w:p>
                    <w:p>
                      <w:pPr>
                        <w:pStyle w:val="834"/>
                      </w:pPr>
                      <w:r/>
                      <w:r/>
                    </w:p>
                  </w:txbxContent>
                </v:textbox>
              </v:shape>
            </w:pict>
          </mc:Fallback>
        </mc:AlternateContent>
      </w:r>
      <w:r>
        <w:rPr>
          <w:rFonts w:hint="eastAsia" w:ascii="仿宋" w:hAnsi="仿宋" w:eastAsia="仿宋" w:cs="仿宋"/>
          <w:color w:val="auto"/>
          <w:sz w:val="28"/>
          <w:szCs w:val="28"/>
        </w:rPr>
        <w:t xml:space="preserve">法定代表人身份证复印件：         授权委托人身份证复印件：</w:t>
      </w:r>
      <w:r>
        <w:rPr>
          <w:rFonts w:hint="eastAsia" w:ascii="仿宋" w:hAnsi="仿宋" w:eastAsia="仿宋" w:cs="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481965</wp:posOffset>
                </wp:positionH>
                <wp:positionV relativeFrom="paragraph">
                  <wp:posOffset>262890</wp:posOffset>
                </wp:positionV>
                <wp:extent cx="2057400" cy="1386840"/>
                <wp:effectExtent l="4445" t="4445" r="14604" b="18415"/>
                <wp:wrapNone/>
                <wp:docPr id="6" name="矩形 9"/>
                <wp:cNvGraphicFramePr/>
                <a:graphic xmlns:a="http://schemas.openxmlformats.org/drawingml/2006/main">
                  <a:graphicData uri="http://schemas.microsoft.com/office/word/2010/wordprocessingShape">
                    <wps:wsp>
                      <wps:cNvPr id="0" name=""/>
                      <wps:cNvSpPr/>
                      <wps:spPr bwMode="auto">
                        <a:xfrm>
                          <a:off x="0" y="0"/>
                          <a:ext cx="2057400" cy="1386840"/>
                        </a:xfrm>
                        <a:prstGeom prst="rect">
                          <a:avLst/>
                        </a:prstGeom>
                        <a:solidFill>
                          <a:srgbClr val="FFFFFF"/>
                        </a:solidFill>
                        <a:ln>
                          <a:solidFill>
                            <a:srgbClr val="000000"/>
                          </a:solidFill>
                        </a:ln>
                        <a:effectLst/>
                      </wps:spPr>
                      <wps:txbx>
                        <w:txbxContent>
                          <w:p>
                            <w:pPr>
                              <w:pStyle w:val="834"/>
                            </w:pPr>
                            <w:r/>
                            <w:r/>
                          </w:p>
                          <w:p>
                            <w:pPr>
                              <w:pStyle w:val="834"/>
                            </w:pPr>
                            <w:r/>
                            <w:r/>
                          </w:p>
                        </w:txbxContent>
                      </wps:txbx>
                      <wps:bodyPr wrap="square" upright="1"/>
                    </wps:wsp>
                  </a:graphicData>
                </a:graphic>
              </wp:anchor>
            </w:drawing>
          </mc:Choice>
          <mc:Fallback>
            <w:pict>
              <v:shape id="shape 5" o:spid="_x0000_s5" o:spt="1" type="#_x0000_t1" style="position:absolute;z-index:251659264;o:allowoverlap:true;o:allowincell:true;mso-position-horizontal-relative:text;margin-left:37.9pt;mso-position-horizontal:absolute;mso-position-vertical-relative:text;margin-top:20.7pt;mso-position-vertical:absolute;width:162.0pt;height:109.2pt;mso-wrap-distance-left:9.0pt;mso-wrap-distance-top:0.0pt;mso-wrap-distance-right:9.0pt;mso-wrap-distance-bottom:0.0pt;visibility:visible;" fillcolor="#FFFFFF" strokecolor="#000000">
                <v:textbox inset="0,0,0,0">
                  <w:txbxContent>
                    <w:p>
                      <w:pPr>
                        <w:pStyle w:val="834"/>
                      </w:pPr>
                      <w:r/>
                      <w:r/>
                    </w:p>
                    <w:p>
                      <w:pPr>
                        <w:pStyle w:val="834"/>
                      </w:pPr>
                      <w:r/>
                      <w:r/>
                    </w:p>
                  </w:txbxContent>
                </v:textbox>
              </v:shape>
            </w:pict>
          </mc:Fallback>
        </mc:AlternateContent>
      </w:r>
      <w:r/>
    </w:p>
    <w:p>
      <w:pPr>
        <w:pStyle w:val="834"/>
        <w:ind w:left="5680" w:hanging="5074"/>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834"/>
        <w:ind w:left="5669" w:hanging="1893"/>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left="5669" w:hanging="1893"/>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pStyle w:val="834"/>
        <w:jc w:val="righ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二○二三年   月   日</w:t>
      </w:r>
      <w:r/>
    </w:p>
    <w:p>
      <w:pPr>
        <w:pStyle w:val="992"/>
        <w:jc w:val="center"/>
        <w:rPr>
          <w:rFonts w:ascii="仿宋" w:hAnsi="仿宋" w:eastAsia="仿宋" w:cs="仿宋"/>
          <w:color w:val="auto"/>
          <w:sz w:val="36"/>
          <w:szCs w:val="36"/>
        </w:rPr>
        <w:outlineLvl w:val="0"/>
      </w:pPr>
      <w:r/>
      <w:bookmarkStart w:id="338" w:name="_Toc14994"/>
      <w:r/>
      <w:bookmarkStart w:id="339" w:name="_Toc15728"/>
      <w:r/>
      <w:bookmarkStart w:id="340" w:name="_Toc24965"/>
      <w:r/>
      <w:bookmarkStart w:id="341" w:name="_Toc25174"/>
      <w:r/>
      <w:bookmarkStart w:id="342" w:name="_Toc15460"/>
      <w:r/>
      <w:bookmarkStart w:id="343" w:name="_Toc7000"/>
      <w:r/>
      <w:bookmarkStart w:id="344" w:name="_Toc6456"/>
      <w:r/>
      <w:bookmarkStart w:id="345" w:name="_Toc18090"/>
      <w:r/>
      <w:bookmarkStart w:id="346" w:name="_Toc31864"/>
      <w:r>
        <w:rPr>
          <w:rFonts w:hint="eastAsia" w:ascii="仿宋" w:hAnsi="仿宋" w:eastAsia="仿宋" w:cs="仿宋"/>
          <w:color w:val="auto"/>
          <w:sz w:val="36"/>
          <w:szCs w:val="36"/>
        </w:rPr>
        <w:t xml:space="preserve">中小企业声明函（服务）</w:t>
      </w:r>
      <w:bookmarkEnd w:id="338"/>
      <w:r/>
      <w:bookmarkEnd w:id="339"/>
      <w:r/>
      <w:bookmarkEnd w:id="340"/>
      <w:r/>
      <w:bookmarkEnd w:id="341"/>
      <w:r/>
      <w:bookmarkEnd w:id="342"/>
      <w:r/>
      <w:bookmarkEnd w:id="343"/>
      <w:r/>
      <w:bookmarkEnd w:id="344"/>
      <w:r/>
      <w:bookmarkEnd w:id="345"/>
      <w:r/>
      <w:bookmarkEnd w:id="346"/>
      <w:r/>
      <w:r/>
    </w:p>
    <w:p>
      <w:pPr>
        <w:pStyle w:val="834"/>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本公司（联合体）郑重声明，根据《政府采购促进中小企业发展管理办法》（财库﹝2020﹞46 号）的规定，本公司（联合体）参加</w:t>
      </w:r>
      <w:r>
        <w:rPr>
          <w:rFonts w:hint="eastAsia" w:ascii="仿宋" w:hAnsi="仿宋" w:eastAsia="仿宋" w:cs="仿宋"/>
          <w:color w:val="auto"/>
          <w:sz w:val="28"/>
          <w:szCs w:val="28"/>
          <w:u w:val="single"/>
        </w:rPr>
        <w:t xml:space="preserve">扬中市教育局</w:t>
      </w:r>
      <w:r>
        <w:rPr>
          <w:rFonts w:hint="eastAsia" w:ascii="仿宋" w:hAnsi="仿宋" w:eastAsia="仿宋" w:cs="仿宋"/>
          <w:color w:val="auto"/>
          <w:sz w:val="28"/>
          <w:szCs w:val="28"/>
        </w:rPr>
        <w:t xml:space="preserve">（单位名称）的</w:t>
      </w:r>
      <w:r>
        <w:rPr>
          <w:rFonts w:hint="eastAsia" w:ascii="仿宋" w:hAnsi="仿宋" w:eastAsia="仿宋" w:cs="仿宋"/>
          <w:color w:val="auto"/>
          <w:sz w:val="28"/>
          <w:szCs w:val="28"/>
          <w:u w:val="single"/>
          <w:lang w:eastAsia="zh-CN"/>
        </w:rPr>
        <w:t xml:space="preserve">扬中市公办中小学、幼儿园食堂猪肉采购服务供应商项目</w:t>
      </w:r>
      <w:r>
        <w:rPr>
          <w:rFonts w:hint="eastAsia" w:ascii="仿宋" w:hAnsi="仿宋" w:eastAsia="仿宋" w:cs="仿宋"/>
          <w:color w:val="auto"/>
          <w:sz w:val="28"/>
          <w:szCs w:val="28"/>
        </w:rPr>
        <w:t xml:space="preserve">（项目名称）采购活动，服务全部由符合政策要求的中小企业承接。相关企业（含联合体中的中小企业</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签订分包意向协议的中小企业）的具体情况如下：</w:t>
      </w:r>
      <w:r/>
    </w:p>
    <w:p>
      <w:pPr>
        <w:pStyle w:val="836"/>
        <w:ind w:firstLine="560"/>
        <w:jc w:val="left"/>
        <w:spacing w:line="460" w:lineRule="exact"/>
        <w:widowControl w:val="off"/>
        <w:rPr>
          <w:rFonts w:ascii="仿宋" w:hAnsi="仿宋" w:eastAsia="仿宋" w:cs="仿宋"/>
          <w:color w:val="auto"/>
          <w:sz w:val="28"/>
          <w:szCs w:val="28"/>
          <w:u w:val="single"/>
        </w:rPr>
      </w:pPr>
      <w:r>
        <w:rPr>
          <w:rFonts w:hint="eastAsia" w:ascii="仿宋" w:hAnsi="仿宋" w:eastAsia="仿宋" w:cs="仿宋"/>
          <w:color w:val="auto"/>
          <w:sz w:val="28"/>
          <w:szCs w:val="28"/>
        </w:rPr>
        <w:t xml:space="preserve">1. </w:t>
      </w:r>
      <w:r>
        <w:rPr>
          <w:rFonts w:hint="eastAsia" w:ascii="仿宋" w:hAnsi="仿宋" w:eastAsia="仿宋" w:cs="仿宋"/>
          <w:color w:val="auto"/>
          <w:sz w:val="28"/>
          <w:szCs w:val="28"/>
          <w:u w:val="single"/>
          <w:lang w:eastAsia="zh-CN"/>
        </w:rPr>
        <w:t xml:space="preserve">扬中市公办中小学、幼儿园食堂猪肉采购服务供应商项目</w:t>
      </w:r>
      <w:r>
        <w:rPr>
          <w:rFonts w:hint="eastAsia" w:ascii="仿宋" w:hAnsi="仿宋" w:eastAsia="仿宋" w:cs="仿宋"/>
          <w:color w:val="auto"/>
          <w:sz w:val="28"/>
          <w:szCs w:val="28"/>
        </w:rPr>
        <w:t xml:space="preserve"> ，属于</w:t>
      </w:r>
      <w:r>
        <w:rPr>
          <w:rFonts w:hint="eastAsia" w:ascii="仿宋" w:hAnsi="仿宋" w:eastAsia="仿宋" w:cs="仿宋"/>
          <w:color w:val="auto"/>
          <w:sz w:val="28"/>
          <w:szCs w:val="28"/>
          <w:u w:val="single"/>
        </w:rPr>
        <w:t xml:space="preserve">批发业</w:t>
      </w:r>
      <w:r>
        <w:rPr>
          <w:rFonts w:hint="eastAsia" w:ascii="仿宋" w:hAnsi="仿宋" w:eastAsia="仿宋" w:cs="仿宋"/>
          <w:color w:val="auto"/>
          <w:sz w:val="28"/>
          <w:szCs w:val="28"/>
        </w:rPr>
        <w:t xml:space="preserve">；承建（承接）企业为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人，营业收入为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万元，属于</w:t>
      </w:r>
      <w:r>
        <w:rPr>
          <w:rFonts w:hint="eastAsia" w:ascii="仿宋" w:hAnsi="仿宋" w:eastAsia="仿宋" w:cs="仿宋"/>
          <w:color w:val="auto"/>
          <w:sz w:val="28"/>
          <w:szCs w:val="28"/>
          <w:u w:val="single"/>
        </w:rPr>
        <w:t xml:space="preserve">（中型企业</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rPr>
        <w:t xml:space="preserve">小型企业</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rPr>
        <w:t xml:space="preserve">微型企业）</w:t>
      </w:r>
      <w:r>
        <w:rPr>
          <w:rFonts w:hint="eastAsia" w:ascii="仿宋" w:hAnsi="仿宋" w:eastAsia="仿宋" w:cs="仿宋"/>
          <w:color w:val="auto"/>
          <w:sz w:val="28"/>
          <w:szCs w:val="28"/>
        </w:rPr>
        <w:t xml:space="preserve">；</w:t>
      </w:r>
      <w:r/>
    </w:p>
    <w:p>
      <w:pPr>
        <w:pStyle w:val="834"/>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 </w:t>
      </w:r>
      <w:r>
        <w:rPr>
          <w:rFonts w:hint="eastAsia" w:ascii="仿宋" w:hAnsi="仿宋" w:eastAsia="仿宋" w:cs="仿宋"/>
          <w:color w:val="auto"/>
          <w:sz w:val="28"/>
          <w:szCs w:val="28"/>
          <w:u w:val="single"/>
          <w:lang w:eastAsia="zh-CN"/>
        </w:rPr>
        <w:t xml:space="preserve">扬中市公办中小学、幼儿园食堂猪肉采购服务供应商项目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，属于</w:t>
      </w:r>
      <w:r>
        <w:rPr>
          <w:rFonts w:hint="eastAsia" w:ascii="仿宋" w:hAnsi="仿宋" w:eastAsia="仿宋" w:cs="仿宋"/>
          <w:color w:val="auto"/>
          <w:sz w:val="28"/>
          <w:szCs w:val="28"/>
          <w:u w:val="single"/>
        </w:rPr>
        <w:t xml:space="preserve">批发业</w:t>
      </w:r>
      <w:r>
        <w:rPr>
          <w:rFonts w:hint="eastAsia" w:ascii="仿宋" w:hAnsi="仿宋" w:eastAsia="仿宋" w:cs="仿宋"/>
          <w:color w:val="auto"/>
          <w:sz w:val="28"/>
          <w:szCs w:val="28"/>
        </w:rPr>
        <w:t xml:space="preserve">；承建（承接）企业为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人，营业收入为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万元，属于</w:t>
      </w:r>
      <w:r>
        <w:rPr>
          <w:rFonts w:hint="eastAsia" w:ascii="仿宋" w:hAnsi="仿宋" w:eastAsia="仿宋" w:cs="仿宋"/>
          <w:color w:val="auto"/>
          <w:sz w:val="28"/>
          <w:szCs w:val="28"/>
          <w:u w:val="single"/>
        </w:rPr>
        <w:t xml:space="preserve">（中型企业</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rPr>
        <w:t xml:space="preserve">小型企业</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rPr>
        <w:t xml:space="preserve">微型企业）</w:t>
      </w:r>
      <w:r>
        <w:rPr>
          <w:rFonts w:hint="eastAsia" w:ascii="仿宋" w:hAnsi="仿宋" w:eastAsia="仿宋" w:cs="仿宋"/>
          <w:color w:val="auto"/>
          <w:sz w:val="28"/>
          <w:szCs w:val="28"/>
        </w:rPr>
        <w:t xml:space="preserve">；</w:t>
      </w:r>
      <w:r/>
    </w:p>
    <w:p>
      <w:pPr>
        <w:pStyle w:val="834"/>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w:t>
      </w:r>
      <w:r/>
    </w:p>
    <w:p>
      <w:pPr>
        <w:pStyle w:val="834"/>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pStyle w:val="834"/>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pStyle w:val="834"/>
        <w:ind w:firstLine="448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企业名称（盖章）：</w:t>
      </w:r>
      <w:r/>
    </w:p>
    <w:p>
      <w:pPr>
        <w:pStyle w:val="834"/>
        <w:ind w:firstLine="448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日期：</w:t>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3"/>
        <w:rPr>
          <w:rFonts w:ascii="仿宋" w:hAnsi="仿宋" w:eastAsia="仿宋" w:cs="仿宋"/>
          <w:color w:val="auto"/>
          <w:sz w:val="28"/>
          <w:szCs w:val="28"/>
        </w:rPr>
      </w:pPr>
      <w:r>
        <w:rPr>
          <w:rFonts w:ascii="仿宋" w:hAnsi="仿宋" w:eastAsia="仿宋" w:cs="仿宋"/>
          <w:color w:val="auto"/>
          <w:sz w:val="28"/>
          <w:szCs w:val="28"/>
        </w:rPr>
      </w:r>
      <w:r/>
    </w:p>
    <w:p>
      <w:pPr>
        <w:pStyle w:val="834"/>
        <w:rPr>
          <w:rFonts w:ascii="仿宋" w:hAnsi="仿宋" w:eastAsia="仿宋" w:cs="仿宋"/>
          <w:b/>
          <w:bCs/>
          <w:color w:val="auto"/>
          <w:sz w:val="28"/>
          <w:szCs w:val="28"/>
        </w:rPr>
      </w:pPr>
      <w:r>
        <w:rPr>
          <w:rFonts w:hint="eastAsia" w:ascii="仿宋" w:hAnsi="仿宋" w:eastAsia="仿宋" w:cs="仿宋"/>
          <w:b/>
          <w:bCs/>
          <w:color w:val="auto"/>
          <w:sz w:val="28"/>
          <w:szCs w:val="28"/>
        </w:rPr>
        <w:t xml:space="preserve">从业人员</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营业收入</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资产总额填报上一年度数据，无上一年度数据的新成立企业可不填报。  </w:t>
      </w:r>
      <w:r/>
    </w:p>
    <w:p>
      <w:pPr>
        <w:pStyle w:val="992"/>
        <w:jc w:val="center"/>
        <w:rPr>
          <w:rFonts w:ascii="仿宋" w:hAnsi="仿宋" w:eastAsia="仿宋" w:cs="仿宋"/>
          <w:color w:val="auto"/>
          <w:sz w:val="36"/>
          <w:szCs w:val="36"/>
        </w:rPr>
        <w:outlineLvl w:val="0"/>
      </w:pPr>
      <w:r/>
      <w:bookmarkStart w:id="347" w:name="_Toc2192"/>
      <w:r/>
      <w:bookmarkStart w:id="348" w:name="_Toc7841"/>
      <w:r/>
      <w:bookmarkStart w:id="349" w:name="_Toc26525"/>
      <w:r/>
      <w:bookmarkStart w:id="350" w:name="_Toc7051"/>
      <w:r/>
      <w:bookmarkStart w:id="351" w:name="_Toc22359"/>
      <w:r/>
      <w:bookmarkStart w:id="352" w:name="_Toc4046"/>
      <w:r/>
      <w:bookmarkStart w:id="353" w:name="_Toc26310"/>
      <w:r/>
      <w:bookmarkStart w:id="354" w:name="_Toc5906"/>
      <w:r>
        <w:rPr>
          <w:rFonts w:hint="eastAsia" w:ascii="仿宋" w:hAnsi="仿宋" w:eastAsia="仿宋" w:cs="仿宋"/>
          <w:color w:val="auto"/>
          <w:sz w:val="36"/>
          <w:szCs w:val="36"/>
        </w:rPr>
        <w:t xml:space="preserve">残疾人福利性单位声明函（格式）</w:t>
      </w:r>
      <w:bookmarkEnd w:id="347"/>
      <w:r/>
      <w:bookmarkEnd w:id="348"/>
      <w:r/>
      <w:bookmarkEnd w:id="349"/>
      <w:r/>
      <w:bookmarkEnd w:id="350"/>
      <w:r/>
      <w:bookmarkEnd w:id="351"/>
      <w:r/>
      <w:bookmarkEnd w:id="352"/>
      <w:r/>
      <w:bookmarkEnd w:id="353"/>
      <w:r/>
      <w:bookmarkEnd w:id="354"/>
      <w:r/>
      <w:r/>
    </w:p>
    <w:p>
      <w:pPr>
        <w:pStyle w:val="834"/>
        <w:ind w:firstLine="560"/>
        <w:spacing w:line="588"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60"/>
        <w:spacing w:line="588"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834"/>
        <w:ind w:firstLine="560"/>
        <w:spacing w:line="588"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firstLine="560"/>
        <w:spacing w:line="588" w:lineRule="exact"/>
        <w:rPr>
          <w:rFonts w:ascii="仿宋" w:hAnsi="仿宋" w:eastAsia="仿宋" w:cs="仿宋"/>
          <w:color w:val="auto"/>
          <w:sz w:val="28"/>
          <w:szCs w:val="28"/>
        </w:rPr>
      </w:pPr>
      <w:r>
        <w:rPr>
          <w:rFonts w:ascii="仿宋" w:hAnsi="仿宋" w:eastAsia="仿宋" w:cs="仿宋"/>
          <w:color w:val="auto"/>
          <w:sz w:val="28"/>
          <w:szCs w:val="28"/>
        </w:rPr>
      </w:r>
      <w:r/>
    </w:p>
    <w:p>
      <w:pPr>
        <w:pStyle w:val="834"/>
        <w:ind w:right="1560" w:firstLine="560"/>
        <w:jc w:val="center"/>
        <w:spacing w:line="588" w:lineRule="exact"/>
        <w:tabs>
          <w:tab w:val="left" w:pos="486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单位名称（盖章）：</w:t>
      </w:r>
      <w:r/>
    </w:p>
    <w:p>
      <w:pPr>
        <w:pStyle w:val="834"/>
        <w:ind w:right="1560" w:firstLine="560"/>
        <w:jc w:val="center"/>
        <w:spacing w:line="588" w:lineRule="exact"/>
        <w:tabs>
          <w:tab w:val="left" w:pos="486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日  期：</w:t>
      </w:r>
      <w:r/>
    </w:p>
    <w:p>
      <w:pPr>
        <w:pStyle w:val="834"/>
        <w:ind w:right="1560" w:firstLine="560"/>
        <w:jc w:val="center"/>
        <w:spacing w:line="588" w:lineRule="exact"/>
        <w:tabs>
          <w:tab w:val="left" w:pos="4860" w:leader="none"/>
        </w:tabs>
        <w:rPr>
          <w:rFonts w:ascii="仿宋" w:hAnsi="仿宋" w:eastAsia="仿宋" w:cs="仿宋"/>
          <w:color w:val="auto"/>
          <w:sz w:val="28"/>
          <w:szCs w:val="28"/>
        </w:rPr>
      </w:pPr>
      <w:r>
        <w:rPr>
          <w:rFonts w:ascii="仿宋" w:hAnsi="仿宋" w:eastAsia="仿宋" w:cs="仿宋"/>
          <w:color w:val="auto"/>
          <w:sz w:val="28"/>
          <w:szCs w:val="28"/>
        </w:rPr>
      </w:r>
      <w:r/>
    </w:p>
    <w:p>
      <w:pPr>
        <w:pStyle w:val="834"/>
        <w:ind w:right="1560" w:firstLine="560"/>
        <w:jc w:val="center"/>
        <w:spacing w:line="588" w:lineRule="exact"/>
        <w:tabs>
          <w:tab w:val="left" w:pos="4860" w:leader="none"/>
        </w:tabs>
        <w:rPr>
          <w:rFonts w:ascii="仿宋" w:hAnsi="仿宋" w:eastAsia="仿宋" w:cs="仿宋"/>
          <w:color w:val="auto"/>
          <w:sz w:val="28"/>
          <w:szCs w:val="28"/>
        </w:rPr>
      </w:pPr>
      <w:r>
        <w:rPr>
          <w:rFonts w:ascii="仿宋" w:hAnsi="仿宋" w:eastAsia="仿宋" w:cs="仿宋"/>
          <w:color w:val="auto"/>
          <w:sz w:val="28"/>
          <w:szCs w:val="28"/>
        </w:rPr>
      </w:r>
      <w:r/>
    </w:p>
    <w:p>
      <w:pPr>
        <w:pStyle w:val="834"/>
        <w:ind w:firstLine="4760"/>
        <w:spacing w:line="360" w:lineRule="auto"/>
        <w:rPr>
          <w:rFonts w:ascii="仿宋" w:hAnsi="仿宋" w:eastAsia="仿宋" w:cs="仿宋"/>
          <w:color w:val="auto"/>
          <w:sz w:val="28"/>
        </w:rPr>
      </w:pPr>
      <w:r>
        <w:rPr>
          <w:rFonts w:ascii="仿宋" w:hAnsi="仿宋" w:eastAsia="仿宋" w:cs="仿宋"/>
          <w:color w:val="auto"/>
          <w:sz w:val="28"/>
        </w:rPr>
      </w:r>
      <w:r/>
    </w:p>
    <w:p>
      <w:pPr>
        <w:pStyle w:val="834"/>
        <w:ind w:firstLine="4760"/>
        <w:jc w:val="left"/>
        <w:spacing w:line="360" w:lineRule="auto"/>
        <w:rPr>
          <w:rFonts w:ascii="仿宋" w:hAnsi="仿宋" w:eastAsia="仿宋" w:cs="仿宋"/>
          <w:color w:val="auto"/>
          <w:sz w:val="28"/>
        </w:rPr>
      </w:pPr>
      <w:r>
        <w:rPr>
          <w:rFonts w:ascii="仿宋" w:hAnsi="仿宋" w:eastAsia="仿宋" w:cs="仿宋"/>
          <w:color w:val="auto"/>
          <w:sz w:val="28"/>
        </w:rPr>
      </w:r>
      <w:r/>
    </w:p>
    <w:p>
      <w:pPr>
        <w:pStyle w:val="834"/>
        <w:ind w:firstLine="4760"/>
        <w:jc w:val="left"/>
        <w:spacing w:line="360" w:lineRule="auto"/>
        <w:rPr>
          <w:rFonts w:ascii="仿宋" w:hAnsi="仿宋" w:eastAsia="仿宋" w:cs="仿宋"/>
          <w:color w:val="auto"/>
          <w:sz w:val="28"/>
        </w:rPr>
      </w:pPr>
      <w:r>
        <w:rPr>
          <w:rFonts w:ascii="仿宋" w:hAnsi="仿宋" w:eastAsia="仿宋" w:cs="仿宋"/>
          <w:color w:val="auto"/>
          <w:sz w:val="28"/>
        </w:rPr>
      </w:r>
      <w:r/>
    </w:p>
    <w:p>
      <w:pPr>
        <w:pStyle w:val="834"/>
        <w:rPr>
          <w:rFonts w:ascii="仿宋" w:hAnsi="仿宋" w:eastAsia="仿宋" w:cs="仿宋"/>
          <w:color w:val="auto"/>
          <w:sz w:val="28"/>
        </w:rPr>
      </w:pPr>
      <w:r>
        <w:rPr>
          <w:rFonts w:ascii="仿宋" w:hAnsi="仿宋" w:eastAsia="仿宋" w:cs="仿宋"/>
          <w:color w:val="auto"/>
          <w:sz w:val="28"/>
        </w:rPr>
      </w:r>
      <w:r/>
    </w:p>
    <w:p>
      <w:pPr>
        <w:pStyle w:val="833"/>
        <w:rPr>
          <w:rFonts w:ascii="仿宋" w:hAnsi="仿宋" w:eastAsia="仿宋" w:cs="仿宋"/>
          <w:color w:val="auto"/>
          <w:sz w:val="28"/>
        </w:rPr>
      </w:pPr>
      <w:r>
        <w:rPr>
          <w:rFonts w:ascii="仿宋" w:hAnsi="仿宋" w:eastAsia="仿宋" w:cs="仿宋"/>
          <w:color w:val="auto"/>
          <w:sz w:val="28"/>
        </w:rPr>
      </w:r>
      <w:r/>
    </w:p>
    <w:p>
      <w:pPr>
        <w:pStyle w:val="834"/>
        <w:spacing w:line="360" w:lineRule="auto"/>
        <w:rPr>
          <w:rFonts w:ascii="仿宋" w:hAnsi="仿宋" w:eastAsia="仿宋" w:cs="仿宋"/>
          <w:b/>
          <w:color w:val="auto"/>
          <w:sz w:val="36"/>
          <w:szCs w:val="36"/>
        </w:rPr>
      </w:pPr>
      <w:r>
        <w:rPr>
          <w:rFonts w:ascii="仿宋" w:hAnsi="仿宋" w:eastAsia="仿宋" w:cs="仿宋"/>
          <w:b/>
          <w:color w:val="auto"/>
          <w:sz w:val="36"/>
          <w:szCs w:val="36"/>
        </w:rPr>
      </w:r>
      <w:r/>
    </w:p>
    <w:p>
      <w:pPr>
        <w:pStyle w:val="835"/>
        <w:rPr>
          <w:rFonts w:ascii="仿宋" w:hAnsi="仿宋" w:eastAsia="仿宋" w:cs="仿宋"/>
          <w:color w:val="auto"/>
        </w:rPr>
        <w:outlineLvl w:val="9"/>
      </w:pPr>
      <w:r>
        <w:rPr>
          <w:rFonts w:ascii="仿宋" w:hAnsi="仿宋" w:eastAsia="仿宋" w:cs="仿宋"/>
          <w:color w:val="auto"/>
        </w:rPr>
      </w:r>
      <w:r/>
    </w:p>
    <w:p>
      <w:pPr>
        <w:pStyle w:val="834"/>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注：若供应商非残疾人福利性，则无需填本表。</w:t>
      </w:r>
      <w:r/>
    </w:p>
    <w:p>
      <w:pPr>
        <w:pStyle w:val="834"/>
        <w:ind w:firstLine="560"/>
        <w:jc w:val="center"/>
        <w:spacing w:line="588" w:lineRule="exact"/>
        <w:rPr>
          <w:rFonts w:ascii="仿宋" w:hAnsi="仿宋" w:eastAsia="仿宋" w:cs="仿宋"/>
          <w:b/>
          <w:bCs/>
          <w:color w:val="auto"/>
          <w:sz w:val="36"/>
          <w:szCs w:val="36"/>
        </w:rPr>
      </w:pPr>
      <w:r>
        <w:rPr>
          <w:rFonts w:hint="eastAsia" w:ascii="仿宋" w:hAnsi="仿宋" w:eastAsia="仿宋" w:cs="仿宋"/>
          <w:b/>
          <w:bCs/>
          <w:color w:val="auto"/>
          <w:sz w:val="36"/>
          <w:szCs w:val="36"/>
        </w:rPr>
        <w:t xml:space="preserve">特别说明</w:t>
      </w:r>
      <w:r/>
    </w:p>
    <w:p>
      <w:pPr>
        <w:pStyle w:val="834"/>
        <w:spacing w:line="588" w:lineRule="exact"/>
        <w:rPr>
          <w:rFonts w:ascii="仿宋" w:hAnsi="仿宋" w:eastAsia="仿宋" w:cs="仿宋"/>
          <w:b/>
          <w:bCs/>
          <w:color w:val="auto"/>
          <w:sz w:val="30"/>
          <w:szCs w:val="30"/>
        </w:rPr>
      </w:pPr>
      <w:r>
        <w:rPr>
          <w:rFonts w:hint="eastAsia" w:ascii="仿宋" w:hAnsi="仿宋" w:eastAsia="仿宋" w:cs="仿宋"/>
          <w:b/>
          <w:bCs/>
          <w:color w:val="auto"/>
          <w:sz w:val="30"/>
          <w:szCs w:val="30"/>
        </w:rPr>
        <w:t xml:space="preserve">各投标人：</w:t>
      </w:r>
      <w:r/>
    </w:p>
    <w:p>
      <w:pPr>
        <w:pStyle w:val="834"/>
        <w:ind w:firstLine="560"/>
        <w:spacing w:line="588"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鉴于本项目服务周期长</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采购品种较多，现对招标有关事项做如下特别说明：</w:t>
      </w:r>
      <w:r/>
    </w:p>
    <w:p>
      <w:pPr>
        <w:pStyle w:val="834"/>
        <w:numPr>
          <w:ilvl w:val="0"/>
          <w:numId w:val="0"/>
        </w:numPr>
        <w:ind w:firstLine="562"/>
        <w:keepLines w:val="0"/>
        <w:keepNext w:val="0"/>
        <w:pageBreakBefore w:val="0"/>
        <w:spacing w:line="588" w:lineRule="exact"/>
        <w:widowControl w:val="off"/>
        <w:rPr>
          <w:rFonts w:ascii="仿宋" w:hAnsi="仿宋" w:eastAsia="仿宋" w:cs="仿宋"/>
          <w:b/>
          <w:bCs/>
          <w:color w:val="auto"/>
          <w:sz w:val="28"/>
          <w:szCs w:val="28"/>
        </w:rPr>
        <w:outlineLvl w:val="9"/>
      </w:pPr>
      <w:r>
        <w:rPr>
          <w:rFonts w:hint="eastAsia" w:ascii="仿宋" w:hAnsi="仿宋" w:eastAsia="仿宋" w:cs="仿宋"/>
          <w:b/>
          <w:bCs/>
          <w:color w:val="auto"/>
          <w:sz w:val="28"/>
          <w:szCs w:val="28"/>
          <w:lang w:val="en-US" w:eastAsia="zh-CN"/>
        </w:rPr>
        <w:t xml:space="preserve">1.</w:t>
      </w:r>
      <w:r>
        <w:rPr>
          <w:rFonts w:hint="eastAsia" w:ascii="仿宋" w:hAnsi="仿宋" w:eastAsia="仿宋" w:cs="仿宋"/>
          <w:b/>
          <w:bCs/>
          <w:color w:val="auto"/>
          <w:sz w:val="28"/>
          <w:szCs w:val="28"/>
        </w:rPr>
        <w:t xml:space="preserve">各投标人在投标前应做好充分的现场勘察，了解服务单位的具体情况，一旦中标，除与扬中市教育局（以下简称招标人）签订合同外，还需与所有服务单位（本次服务的中小学</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幼儿园）签订供货合同，合同格式详见本招标文件附件（由招标人统一印刷签订）。</w:t>
      </w:r>
      <w:r/>
    </w:p>
    <w:p>
      <w:pPr>
        <w:pStyle w:val="834"/>
        <w:numPr>
          <w:ilvl w:val="0"/>
          <w:numId w:val="0"/>
        </w:numPr>
        <w:ind w:firstLine="562"/>
        <w:keepLines w:val="0"/>
        <w:keepNext w:val="0"/>
        <w:pageBreakBefore w:val="0"/>
        <w:spacing w:line="588" w:lineRule="exact"/>
        <w:widowControl w:val="off"/>
        <w:rPr>
          <w:rFonts w:ascii="仿宋" w:hAnsi="仿宋" w:eastAsia="仿宋" w:cs="仿宋"/>
          <w:b/>
          <w:bCs/>
          <w:color w:val="auto"/>
          <w:sz w:val="28"/>
          <w:szCs w:val="28"/>
        </w:rPr>
        <w:outlineLvl w:val="9"/>
      </w:pPr>
      <w:r>
        <w:rPr>
          <w:rFonts w:hint="eastAsia" w:ascii="仿宋" w:hAnsi="仿宋" w:eastAsia="仿宋" w:cs="仿宋"/>
          <w:b/>
          <w:bCs/>
          <w:color w:val="auto"/>
          <w:sz w:val="28"/>
          <w:szCs w:val="28"/>
          <w:lang w:val="en-US" w:eastAsia="zh-CN"/>
        </w:rPr>
        <w:t xml:space="preserve">2.</w:t>
      </w:r>
      <w:r>
        <w:rPr>
          <w:rFonts w:hint="eastAsia" w:ascii="仿宋" w:hAnsi="仿宋" w:eastAsia="仿宋" w:cs="仿宋"/>
          <w:b/>
          <w:bCs/>
          <w:color w:val="auto"/>
          <w:sz w:val="28"/>
          <w:szCs w:val="28"/>
        </w:rPr>
        <w:t xml:space="preserve">本项目最终结算时的单价=招标人公布的基准价*猪肉各品种定价系数（招标文件中公布）*（1-中标下浮率）。</w:t>
      </w:r>
      <w:r/>
    </w:p>
    <w:p>
      <w:pPr>
        <w:pStyle w:val="834"/>
        <w:numPr>
          <w:ilvl w:val="0"/>
          <w:numId w:val="0"/>
        </w:numPr>
        <w:ind w:firstLine="562"/>
        <w:keepLines w:val="0"/>
        <w:keepNext w:val="0"/>
        <w:pageBreakBefore w:val="0"/>
        <w:spacing w:line="588" w:lineRule="exact"/>
        <w:widowControl w:val="off"/>
        <w:rPr>
          <w:rFonts w:ascii="仿宋" w:hAnsi="仿宋" w:eastAsia="仿宋" w:cs="仿宋"/>
          <w:b/>
          <w:bCs/>
          <w:color w:val="auto"/>
          <w:sz w:val="28"/>
          <w:szCs w:val="28"/>
        </w:rPr>
        <w:outlineLvl w:val="9"/>
      </w:pPr>
      <w:r>
        <w:rPr>
          <w:rFonts w:hint="eastAsia" w:ascii="仿宋" w:hAnsi="仿宋" w:eastAsia="仿宋" w:cs="仿宋"/>
          <w:b/>
          <w:bCs/>
          <w:color w:val="auto"/>
          <w:sz w:val="28"/>
          <w:szCs w:val="28"/>
          <w:lang w:val="en-US" w:eastAsia="zh-CN"/>
        </w:rPr>
        <w:t xml:space="preserve">3.</w:t>
      </w:r>
      <w:r>
        <w:rPr>
          <w:rFonts w:hint="eastAsia" w:ascii="仿宋" w:hAnsi="仿宋" w:eastAsia="仿宋" w:cs="仿宋"/>
          <w:b/>
          <w:bCs/>
          <w:color w:val="auto"/>
          <w:sz w:val="28"/>
          <w:szCs w:val="28"/>
        </w:rPr>
        <w:t xml:space="preserve">投标人所报总价仅作为“苏采云”计算报价得分所用，无其他实质性意义，请各投标人根据整体下浮率参照本项目采购预算计算总报价。例：若投标人所报基准价下浮率为10%，则其测算的总报价=1350万元（本项目采购预算）*（1-10%）=1215.00万元。注意若有小数位的，则小数点后保留两位。</w:t>
      </w:r>
      <w:r/>
    </w:p>
    <w:p>
      <w:pPr>
        <w:pStyle w:val="835"/>
        <w:rPr>
          <w:rFonts w:ascii="仿宋" w:hAnsi="仿宋" w:eastAsia="仿宋" w:cs="仿宋"/>
          <w:color w:val="auto"/>
        </w:rPr>
      </w:pPr>
      <w:r>
        <w:rPr>
          <w:rFonts w:ascii="仿宋" w:hAnsi="仿宋" w:eastAsia="仿宋" w:cs="仿宋"/>
          <w:color w:val="auto"/>
        </w:rPr>
      </w:r>
      <w:r/>
    </w:p>
    <w:p>
      <w:pPr>
        <w:pStyle w:val="835"/>
        <w:rPr>
          <w:rFonts w:ascii="仿宋" w:hAnsi="仿宋" w:eastAsia="仿宋" w:cs="仿宋"/>
          <w:color w:val="auto"/>
        </w:rPr>
      </w:pPr>
      <w:r>
        <w:rPr>
          <w:rFonts w:ascii="仿宋" w:hAnsi="仿宋" w:eastAsia="仿宋" w:cs="仿宋"/>
          <w:color w:val="auto"/>
        </w:rPr>
      </w:r>
      <w:r/>
    </w:p>
    <w:sectPr>
      <w:headerReference w:type="default" r:id="rId11"/>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Calibri">
    <w:panose1 w:val="020F0502020204030204"/>
  </w:font>
  <w:font w:name="微软雅黑">
    <w:panose1 w:val="020B0503020204020204"/>
  </w:font>
  <w:font w:name="仿宋">
    <w:panose1 w:val="02010609060101010101"/>
  </w:font>
  <w:font w:name="仿宋_GB2312">
    <w:panose1 w:val="02010609060101010101"/>
  </w:font>
  <w:font w:name="黑体">
    <w:panose1 w:val="02010609060101010101"/>
  </w:font>
  <w:font w:name="方正仿宋简体">
    <w:panose1 w:val="020B0503020202020204"/>
  </w:font>
  <w:font w:name="Tahoma">
    <w:panose1 w:val="020B0604030504040204"/>
  </w:font>
  <w:font w:name="楷体_GB2312">
    <w:panose1 w:val="02010609060101010101"/>
  </w:font>
  <w:font w:name="长城仿宋">
    <w:panose1 w:val="020B0503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left" w:pos="2924"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3"/>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2"/>
                            <w:tabs>
                              <w:tab w:val="clear" w:pos="4153" w:leader="none"/>
                              <w:tab w:val="clear" w:pos="8306" w:leader="none"/>
                            </w:tabs>
                          </w:pPr>
                          <w:r/>
                          <w:r/>
                        </w:p>
                        <w:p>
                          <w:pPr>
                            <w:pStyle w:val="834"/>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r/>
                  </w:p>
                  <w:p>
                    <w:pPr>
                      <w:pStyle w:val="8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tabs>
        <w:tab w:val="center" w:pos="4153" w:leader="none"/>
        <w:tab w:val="clear" w:pos="7143" w:leader="none"/>
        <w:tab w:val="right" w:pos="8306" w:leader="none"/>
        <w:tab w:val="clear" w:pos="14287" w:leader="none"/>
      </w:tabs>
      <w:rPr>
        <w:rFonts w:ascii="楷体" w:hAnsi="楷体" w:eastAsia="楷体" w:cs="楷体"/>
        <w:sz w:val="28"/>
        <w:szCs w:val="28"/>
      </w:rPr>
    </w:pPr>
    <w:r>
      <w:rPr>
        <w:rFonts w:ascii="楷体" w:hAnsi="楷体" w:eastAsia="楷体" w:cs="楷体"/>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8"/>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decimal"/>
      <w:pStyle w:val="106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0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isLgl w:val="false"/>
      <w:suff w:val="nothing"/>
      <w:lvlText w:val="%1、"/>
      <w:lvlJc w:val="left"/>
      <w:pPr>
        <w:ind w:left="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部分"/>
      <w:lvlJc w:val="left"/>
      <w:pPr>
        <w:ind w:left="200"/>
      </w:p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num w:numId="1">
    <w:abstractNumId w:val="2"/>
  </w:num>
  <w:num w:numId="2">
    <w:abstractNumId w:val="1"/>
  </w:num>
  <w:num w:numId="3">
    <w:abstractNumId w:val="7"/>
  </w:num>
  <w:num w:numId="4">
    <w:abstractNumId w:val="0"/>
  </w:num>
  <w:num w:numId="5">
    <w:abstractNumId w:val="4"/>
  </w:num>
  <w:num w:numId="6">
    <w:abstractNumId w:val="5"/>
  </w:num>
  <w:num w:numId="7">
    <w:abstractNumId w:val="6"/>
  </w:num>
  <w:num w:numId="8">
    <w:abstractNumId w:val="3"/>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800"/>
    <w:link w:val="791"/>
    <w:uiPriority w:val="9"/>
    <w:rPr>
      <w:rFonts w:ascii="Arial" w:hAnsi="Arial" w:eastAsia="Arial" w:cs="Arial"/>
      <w:sz w:val="40"/>
      <w:szCs w:val="40"/>
    </w:rPr>
  </w:style>
  <w:style w:type="character" w:styleId="754">
    <w:name w:val="Heading 2 Char"/>
    <w:basedOn w:val="800"/>
    <w:link w:val="792"/>
    <w:uiPriority w:val="9"/>
    <w:rPr>
      <w:rFonts w:ascii="Arial" w:hAnsi="Arial" w:eastAsia="Arial" w:cs="Arial"/>
      <w:sz w:val="34"/>
    </w:rPr>
  </w:style>
  <w:style w:type="character" w:styleId="755">
    <w:name w:val="Heading 3 Char"/>
    <w:basedOn w:val="800"/>
    <w:link w:val="793"/>
    <w:uiPriority w:val="9"/>
    <w:rPr>
      <w:rFonts w:ascii="Arial" w:hAnsi="Arial" w:eastAsia="Arial" w:cs="Arial"/>
      <w:sz w:val="30"/>
      <w:szCs w:val="30"/>
    </w:rPr>
  </w:style>
  <w:style w:type="character" w:styleId="756">
    <w:name w:val="Heading 4 Char"/>
    <w:basedOn w:val="800"/>
    <w:link w:val="794"/>
    <w:uiPriority w:val="9"/>
    <w:rPr>
      <w:rFonts w:ascii="Arial" w:hAnsi="Arial" w:eastAsia="Arial" w:cs="Arial"/>
      <w:b/>
      <w:bCs/>
      <w:sz w:val="26"/>
      <w:szCs w:val="26"/>
    </w:rPr>
  </w:style>
  <w:style w:type="character" w:styleId="757">
    <w:name w:val="Heading 5 Char"/>
    <w:basedOn w:val="800"/>
    <w:link w:val="795"/>
    <w:uiPriority w:val="9"/>
    <w:rPr>
      <w:rFonts w:ascii="Arial" w:hAnsi="Arial" w:eastAsia="Arial" w:cs="Arial"/>
      <w:b/>
      <w:bCs/>
      <w:sz w:val="24"/>
      <w:szCs w:val="24"/>
    </w:rPr>
  </w:style>
  <w:style w:type="character" w:styleId="758">
    <w:name w:val="Heading 6 Char"/>
    <w:basedOn w:val="800"/>
    <w:link w:val="796"/>
    <w:uiPriority w:val="9"/>
    <w:rPr>
      <w:rFonts w:ascii="Arial" w:hAnsi="Arial" w:eastAsia="Arial" w:cs="Arial"/>
      <w:b/>
      <w:bCs/>
      <w:sz w:val="22"/>
      <w:szCs w:val="22"/>
    </w:rPr>
  </w:style>
  <w:style w:type="character" w:styleId="759">
    <w:name w:val="Heading 7 Char"/>
    <w:basedOn w:val="800"/>
    <w:link w:val="797"/>
    <w:uiPriority w:val="9"/>
    <w:rPr>
      <w:rFonts w:ascii="Arial" w:hAnsi="Arial" w:eastAsia="Arial" w:cs="Arial"/>
      <w:b/>
      <w:bCs/>
      <w:i/>
      <w:iCs/>
      <w:sz w:val="22"/>
      <w:szCs w:val="22"/>
    </w:rPr>
  </w:style>
  <w:style w:type="character" w:styleId="760">
    <w:name w:val="Heading 8 Char"/>
    <w:basedOn w:val="800"/>
    <w:link w:val="798"/>
    <w:uiPriority w:val="9"/>
    <w:rPr>
      <w:rFonts w:ascii="Arial" w:hAnsi="Arial" w:eastAsia="Arial" w:cs="Arial"/>
      <w:i/>
      <w:iCs/>
      <w:sz w:val="22"/>
      <w:szCs w:val="22"/>
    </w:rPr>
  </w:style>
  <w:style w:type="character" w:styleId="761">
    <w:name w:val="Heading 9 Char"/>
    <w:basedOn w:val="800"/>
    <w:link w:val="799"/>
    <w:uiPriority w:val="9"/>
    <w:rPr>
      <w:rFonts w:ascii="Arial" w:hAnsi="Arial" w:eastAsia="Arial" w:cs="Arial"/>
      <w:i/>
      <w:iCs/>
      <w:sz w:val="21"/>
      <w:szCs w:val="21"/>
    </w:rPr>
  </w:style>
  <w:style w:type="character" w:styleId="762">
    <w:name w:val="Title Char"/>
    <w:basedOn w:val="800"/>
    <w:link w:val="824"/>
    <w:uiPriority w:val="10"/>
    <w:rPr>
      <w:sz w:val="48"/>
      <w:szCs w:val="48"/>
    </w:rPr>
  </w:style>
  <w:style w:type="character" w:styleId="763">
    <w:name w:val="Subtitle Char"/>
    <w:basedOn w:val="800"/>
    <w:link w:val="817"/>
    <w:uiPriority w:val="11"/>
    <w:rPr>
      <w:sz w:val="24"/>
      <w:szCs w:val="24"/>
    </w:rPr>
  </w:style>
  <w:style w:type="character" w:styleId="764">
    <w:name w:val="Quote Char"/>
    <w:link w:val="855"/>
    <w:uiPriority w:val="29"/>
    <w:rPr>
      <w:i/>
    </w:rPr>
  </w:style>
  <w:style w:type="character" w:styleId="765">
    <w:name w:val="Intense Quote Char"/>
    <w:link w:val="857"/>
    <w:uiPriority w:val="30"/>
    <w:rPr>
      <w:i/>
    </w:rPr>
  </w:style>
  <w:style w:type="character" w:styleId="766">
    <w:name w:val="Header Char"/>
    <w:basedOn w:val="800"/>
    <w:link w:val="814"/>
    <w:uiPriority w:val="99"/>
  </w:style>
  <w:style w:type="character" w:styleId="767">
    <w:name w:val="Caption Char"/>
    <w:basedOn w:val="804"/>
    <w:link w:val="813"/>
    <w:uiPriority w:val="99"/>
  </w:style>
  <w:style w:type="table" w:styleId="768">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7">
    <w:name w:val="Footnote Text Char"/>
    <w:link w:val="818"/>
    <w:uiPriority w:val="99"/>
    <w:rPr>
      <w:sz w:val="18"/>
    </w:rPr>
  </w:style>
  <w:style w:type="character" w:styleId="788">
    <w:name w:val="Endnote Text Char"/>
    <w:link w:val="811"/>
    <w:uiPriority w:val="99"/>
    <w:rPr>
      <w:sz w:val="20"/>
    </w:rPr>
  </w:style>
  <w:style w:type="paragraph" w:styleId="789">
    <w:name w:val="TOC Heading"/>
    <w:uiPriority w:val="39"/>
    <w:unhideWhenUsed/>
  </w:style>
  <w:style w:type="paragraph" w:styleId="790" w:default="1">
    <w:name w:val="Normal"/>
    <w:uiPriority w:val="0"/>
    <w:qFormat/>
    <w:rPr>
      <w:rFonts w:ascii="Times New Roman" w:hAnsi="Times New Roman" w:eastAsia="宋体" w:cs="Times New Roman"/>
      <w:lang w:val="en-US" w:eastAsia="zh-CN" w:bidi="ar-SA"/>
    </w:rPr>
  </w:style>
  <w:style w:type="paragraph" w:styleId="791">
    <w:name w:val="Heading 1"/>
    <w:basedOn w:val="790"/>
    <w:next w:val="790"/>
    <w:link w:val="842"/>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43"/>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44"/>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45"/>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next w:val="790"/>
    <w:link w:val="846"/>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6">
    <w:name w:val="Heading 6"/>
    <w:next w:val="790"/>
    <w:link w:val="84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7">
    <w:name w:val="Heading 7"/>
    <w:next w:val="790"/>
    <w:link w:val="848"/>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8">
    <w:name w:val="Heading 8"/>
    <w:next w:val="790"/>
    <w:link w:val="84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9">
    <w:name w:val="Heading 9"/>
    <w:next w:val="790"/>
    <w:link w:val="85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00" w:default="1">
    <w:name w:val="Default Paragraph Font"/>
    <w:uiPriority w:val="1"/>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2520"/>
    </w:pPr>
  </w:style>
  <w:style w:type="paragraph" w:styleId="803">
    <w:name w:val="Normal Indent"/>
    <w:basedOn w:val="790"/>
    <w:uiPriority w:val="0"/>
    <w:qFormat/>
    <w:pPr>
      <w:ind w:firstLine="420"/>
      <w:spacing w:line="856" w:lineRule="atLeast"/>
    </w:pPr>
    <w:rPr>
      <w:color w:val="000000"/>
    </w:rPr>
  </w:style>
  <w:style w:type="paragraph" w:styleId="804">
    <w:name w:val="Caption"/>
    <w:next w:val="790"/>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5">
    <w:name w:val="annotation text"/>
    <w:basedOn w:val="790"/>
    <w:link w:val="1111"/>
    <w:uiPriority w:val="99"/>
    <w:semiHidden/>
    <w:unhideWhenUsed/>
    <w:qFormat/>
  </w:style>
  <w:style w:type="paragraph" w:styleId="806">
    <w:name w:val="Body Text"/>
    <w:basedOn w:val="790"/>
    <w:uiPriority w:val="0"/>
    <w:qFormat/>
    <w:pPr>
      <w:ind w:firstLine="419"/>
      <w:spacing w:line="929" w:lineRule="atLeast"/>
    </w:pPr>
    <w:rPr>
      <w:rFonts w:ascii="楷体_GB2312" w:eastAsia="楷体_GB2312"/>
      <w:sz w:val="28"/>
    </w:rPr>
  </w:style>
  <w:style w:type="paragraph" w:styleId="807">
    <w:name w:val="Body Text Indent"/>
    <w:basedOn w:val="790"/>
    <w:uiPriority w:val="99"/>
    <w:qFormat/>
    <w:pPr>
      <w:ind w:left="570"/>
      <w:spacing w:line="520" w:lineRule="exact"/>
    </w:pPr>
    <w:rPr>
      <w:rFonts w:ascii="方正仿宋简体" w:hAnsi="创艺简仿宋" w:eastAsia="方正仿宋简体"/>
    </w:rPr>
  </w:style>
  <w:style w:type="paragraph" w:styleId="808">
    <w:name w:val="toc 5"/>
    <w:basedOn w:val="790"/>
    <w:next w:val="790"/>
    <w:uiPriority w:val="39"/>
    <w:unhideWhenUsed/>
    <w:qFormat/>
    <w:pPr>
      <w:ind w:left="1680"/>
    </w:pPr>
  </w:style>
  <w:style w:type="paragraph" w:styleId="809">
    <w:name w:val="toc 3"/>
    <w:basedOn w:val="790"/>
    <w:next w:val="790"/>
    <w:uiPriority w:val="39"/>
    <w:unhideWhenUsed/>
    <w:qFormat/>
    <w:pPr>
      <w:ind w:left="840"/>
    </w:pPr>
  </w:style>
  <w:style w:type="paragraph" w:styleId="810">
    <w:name w:val="toc 8"/>
    <w:basedOn w:val="790"/>
    <w:next w:val="790"/>
    <w:uiPriority w:val="39"/>
    <w:unhideWhenUsed/>
    <w:qFormat/>
    <w:pPr>
      <w:ind w:left="2940"/>
    </w:pPr>
  </w:style>
  <w:style w:type="paragraph" w:styleId="811">
    <w:name w:val="endnote text"/>
    <w:link w:val="988"/>
    <w:uiPriority w:val="99"/>
    <w:semiHidden/>
    <w:unhideWhenUsed/>
    <w:qFormat/>
    <w:rPr>
      <w:rFonts w:ascii="Times New Roman" w:hAnsi="Times New Roman" w:eastAsia="宋体" w:cs="Times New Roman"/>
      <w:lang w:val="en-US" w:eastAsia="zh-CN" w:bidi="ar-SA"/>
    </w:rPr>
  </w:style>
  <w:style w:type="paragraph" w:styleId="812">
    <w:name w:val="Balloon Text"/>
    <w:basedOn w:val="790"/>
    <w:link w:val="1107"/>
    <w:uiPriority w:val="99"/>
    <w:semiHidden/>
    <w:unhideWhenUsed/>
    <w:qFormat/>
    <w:rPr>
      <w:sz w:val="18"/>
      <w:szCs w:val="18"/>
    </w:rPr>
  </w:style>
  <w:style w:type="paragraph" w:styleId="813">
    <w:name w:val="Footer"/>
    <w:basedOn w:val="790"/>
    <w:link w:val="861"/>
    <w:uiPriority w:val="99"/>
    <w:unhideWhenUsed/>
    <w:qFormat/>
    <w:pPr>
      <w:tabs>
        <w:tab w:val="center" w:pos="7143" w:leader="none"/>
        <w:tab w:val="right" w:pos="14287" w:leader="none"/>
      </w:tabs>
    </w:pPr>
  </w:style>
  <w:style w:type="paragraph" w:styleId="814">
    <w:name w:val="Header"/>
    <w:basedOn w:val="790"/>
    <w:link w:val="859"/>
    <w:uiPriority w:val="99"/>
    <w:unhideWhenUsed/>
    <w:qFormat/>
    <w:pPr>
      <w:tabs>
        <w:tab w:val="center" w:pos="7143" w:leader="none"/>
        <w:tab w:val="right" w:pos="14287" w:leader="none"/>
      </w:tabs>
    </w:pPr>
  </w:style>
  <w:style w:type="paragraph" w:styleId="815">
    <w:name w:val="toc 1"/>
    <w:basedOn w:val="790"/>
    <w:next w:val="790"/>
    <w:uiPriority w:val="39"/>
    <w:unhideWhenUsed/>
    <w:qFormat/>
  </w:style>
  <w:style w:type="paragraph" w:styleId="816">
    <w:name w:val="toc 4"/>
    <w:basedOn w:val="790"/>
    <w:next w:val="790"/>
    <w:uiPriority w:val="39"/>
    <w:unhideWhenUsed/>
    <w:qFormat/>
    <w:pPr>
      <w:ind w:left="1260"/>
    </w:pPr>
  </w:style>
  <w:style w:type="paragraph" w:styleId="817">
    <w:name w:val="Subtitle"/>
    <w:link w:val="854"/>
    <w:uiPriority w:val="11"/>
    <w:qFormat/>
    <w:pPr>
      <w:spacing w:before="200" w:after="200"/>
    </w:pPr>
    <w:rPr>
      <w:rFonts w:ascii="Times New Roman" w:hAnsi="Times New Roman" w:eastAsia="宋体" w:cs="Times New Roman"/>
      <w:sz w:val="24"/>
      <w:szCs w:val="24"/>
      <w:lang w:val="en-US" w:eastAsia="zh-CN" w:bidi="ar-SA"/>
    </w:rPr>
  </w:style>
  <w:style w:type="paragraph" w:styleId="818">
    <w:name w:val="footnote text"/>
    <w:link w:val="987"/>
    <w:uiPriority w:val="99"/>
    <w:semiHidden/>
    <w:unhideWhenUsed/>
    <w:qFormat/>
    <w:pPr>
      <w:spacing w:after="40"/>
    </w:pPr>
    <w:rPr>
      <w:rFonts w:ascii="Times New Roman" w:hAnsi="Times New Roman" w:eastAsia="宋体" w:cs="Times New Roman"/>
      <w:sz w:val="18"/>
      <w:lang w:val="en-US" w:eastAsia="zh-CN" w:bidi="ar-SA"/>
    </w:rPr>
  </w:style>
  <w:style w:type="paragraph" w:styleId="819">
    <w:name w:val="toc 6"/>
    <w:basedOn w:val="790"/>
    <w:next w:val="790"/>
    <w:uiPriority w:val="39"/>
    <w:unhideWhenUsed/>
    <w:qFormat/>
    <w:pPr>
      <w:ind w:left="2100"/>
    </w:pPr>
  </w:style>
  <w:style w:type="paragraph" w:styleId="820">
    <w:name w:val="table of figures"/>
    <w:next w:val="790"/>
    <w:uiPriority w:val="99"/>
    <w:unhideWhenUsed/>
    <w:qFormat/>
    <w:rPr>
      <w:rFonts w:ascii="Times New Roman" w:hAnsi="Times New Roman" w:eastAsia="宋体" w:cs="Times New Roman"/>
      <w:lang w:val="en-US" w:eastAsia="zh-CN" w:bidi="ar-SA"/>
    </w:rPr>
  </w:style>
  <w:style w:type="paragraph" w:styleId="821">
    <w:name w:val="toc 2"/>
    <w:basedOn w:val="790"/>
    <w:next w:val="790"/>
    <w:uiPriority w:val="39"/>
    <w:unhideWhenUsed/>
    <w:qFormat/>
    <w:pPr>
      <w:ind w:left="420"/>
    </w:pPr>
  </w:style>
  <w:style w:type="paragraph" w:styleId="822">
    <w:name w:val="toc 9"/>
    <w:basedOn w:val="790"/>
    <w:next w:val="790"/>
    <w:uiPriority w:val="39"/>
    <w:unhideWhenUsed/>
    <w:qFormat/>
    <w:pPr>
      <w:ind w:left="3360"/>
    </w:pPr>
  </w:style>
  <w:style w:type="paragraph" w:styleId="823">
    <w:name w:val="Normal (Web)"/>
    <w:basedOn w:val="790"/>
    <w:uiPriority w:val="99"/>
    <w:semiHidden/>
    <w:unhideWhenUsed/>
    <w:qFormat/>
    <w:rPr>
      <w:sz w:val="24"/>
    </w:rPr>
  </w:style>
  <w:style w:type="paragraph" w:styleId="824">
    <w:name w:val="Title"/>
    <w:link w:val="853"/>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5">
    <w:name w:val="annotation subject"/>
    <w:basedOn w:val="805"/>
    <w:next w:val="805"/>
    <w:link w:val="1112"/>
    <w:uiPriority w:val="99"/>
    <w:semiHidden/>
    <w:unhideWhenUsed/>
    <w:qFormat/>
    <w:rPr>
      <w:b/>
      <w:bCs/>
    </w:r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Strong"/>
    <w:basedOn w:val="800"/>
    <w:uiPriority w:val="22"/>
    <w:qFormat/>
    <w:rPr>
      <w:rFonts w:ascii="Times New Roman" w:hAnsi="Times New Roman" w:eastAsia="宋体" w:cs="Times New Roman"/>
      <w:b/>
      <w:bCs/>
    </w:rPr>
  </w:style>
  <w:style w:type="character" w:styleId="828">
    <w:name w:val="endnote reference"/>
    <w:uiPriority w:val="99"/>
    <w:semiHidden/>
    <w:unhideWhenUsed/>
    <w:qFormat/>
    <w:rPr>
      <w:vertAlign w:val="superscript"/>
    </w:rPr>
  </w:style>
  <w:style w:type="character" w:styleId="829">
    <w:name w:val="FollowedHyperlink"/>
    <w:basedOn w:val="800"/>
    <w:uiPriority w:val="99"/>
    <w:semiHidden/>
    <w:unhideWhenUsed/>
    <w:qFormat/>
    <w:rPr>
      <w:color w:val="333333"/>
      <w:u w:val="none"/>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annotation reference"/>
    <w:basedOn w:val="800"/>
    <w:uiPriority w:val="99"/>
    <w:semiHidden/>
    <w:unhideWhenUsed/>
    <w:qFormat/>
    <w:rPr>
      <w:sz w:val="21"/>
      <w:szCs w:val="21"/>
    </w:rPr>
  </w:style>
  <w:style w:type="character" w:styleId="832">
    <w:name w:val="footnote reference"/>
    <w:uiPriority w:val="99"/>
    <w:unhideWhenUsed/>
    <w:qFormat/>
    <w:rPr>
      <w:vertAlign w:val="superscript"/>
    </w:rPr>
  </w:style>
  <w:style w:type="paragraph" w:styleId="833" w:customStyle="1">
    <w:name w:val="footer1"/>
    <w:basedOn w:val="834"/>
    <w:uiPriority w:val="0"/>
    <w:qFormat/>
    <w:pPr>
      <w:jc w:val="left"/>
      <w:tabs>
        <w:tab w:val="center" w:pos="4153" w:leader="none"/>
        <w:tab w:val="right" w:pos="8306" w:leader="none"/>
      </w:tabs>
    </w:pPr>
    <w:rPr>
      <w:sz w:val="18"/>
    </w:rPr>
  </w:style>
  <w:style w:type="paragraph" w:styleId="834" w:customStyle="1">
    <w:name w:val="正文111"/>
    <w:next w:val="835"/>
    <w:link w:val="1066"/>
    <w:uiPriority w:val="0"/>
    <w:qFormat/>
    <w:pPr>
      <w:jc w:val="both"/>
      <w:widowControl w:val="off"/>
    </w:pPr>
    <w:rPr>
      <w:rFonts w:ascii="Times New Roman" w:hAnsi="Times New Roman" w:eastAsia="宋体" w:cs="Times New Roman"/>
      <w:sz w:val="21"/>
      <w:szCs w:val="22"/>
      <w:lang w:val="en-US" w:eastAsia="zh-CN" w:bidi="ar-SA"/>
    </w:rPr>
  </w:style>
  <w:style w:type="paragraph" w:styleId="835" w:customStyle="1">
    <w:name w:val="标题 41"/>
    <w:basedOn w:val="836"/>
    <w:next w:val="834"/>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836" w:customStyle="1">
    <w:name w:val="正文11"/>
    <w:next w:val="833"/>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837" w:customStyle="1">
    <w:name w:val="正文缩进1"/>
    <w:basedOn w:val="834"/>
    <w:uiPriority w:val="0"/>
    <w:qFormat/>
    <w:pPr>
      <w:ind w:firstLine="419"/>
      <w:spacing w:line="782" w:lineRule="atLeast"/>
    </w:pPr>
  </w:style>
  <w:style w:type="paragraph" w:styleId="838" w:customStyle="1">
    <w:name w:val="Default"/>
    <w:uiPriority w:val="0"/>
    <w:qFormat/>
    <w:pPr>
      <w:widowControl w:val="off"/>
    </w:pPr>
    <w:rPr>
      <w:rFonts w:ascii="仿宋" w:hAnsi="Times New Roman" w:eastAsia="仿宋" w:cs="Times New Roman"/>
      <w:color w:val="000000"/>
      <w:sz w:val="24"/>
      <w:szCs w:val="24"/>
      <w:lang w:val="en-US" w:eastAsia="zh-CN" w:bidi="ar-SA"/>
    </w:rPr>
  </w:style>
  <w:style w:type="paragraph" w:styleId="839" w:customStyle="1">
    <w:name w:val="正文1"/>
    <w:basedOn w:val="836"/>
    <w:next w:val="840"/>
    <w:uiPriority w:val="0"/>
    <w:qFormat/>
    <w:rPr>
      <w:rFonts w:ascii="Calibri" w:hAnsi="Calibri"/>
    </w:rPr>
  </w:style>
  <w:style w:type="paragraph" w:styleId="840" w:customStyle="1">
    <w:name w:val="文本块1"/>
    <w:basedOn w:val="834"/>
    <w:uiPriority w:val="0"/>
    <w:qFormat/>
  </w:style>
  <w:style w:type="paragraph" w:styleId="841" w:customStyle="1">
    <w:name w:val="UserStyle_0"/>
    <w:basedOn w:val="790"/>
    <w:uiPriority w:val="0"/>
    <w:qFormat/>
    <w:pPr>
      <w:spacing w:line="856" w:lineRule="atLeast"/>
      <w:tabs>
        <w:tab w:val="center" w:pos="4153" w:leader="none"/>
        <w:tab w:val="right" w:pos="8306" w:leader="none"/>
      </w:tabs>
    </w:pPr>
    <w:rPr>
      <w:color w:val="000000"/>
      <w:sz w:val="18"/>
    </w:rPr>
  </w:style>
  <w:style w:type="character" w:styleId="842" w:customStyle="1">
    <w:name w:val="标题 1 字符"/>
    <w:link w:val="791"/>
    <w:uiPriority w:val="9"/>
    <w:qFormat/>
    <w:rPr>
      <w:rFonts w:ascii="Arial" w:hAnsi="Arial" w:eastAsia="Arial" w:cs="Arial"/>
      <w:sz w:val="40"/>
      <w:szCs w:val="40"/>
    </w:rPr>
  </w:style>
  <w:style w:type="character" w:styleId="843" w:customStyle="1">
    <w:name w:val="标题 2 字符"/>
    <w:link w:val="792"/>
    <w:uiPriority w:val="9"/>
    <w:qFormat/>
    <w:rPr>
      <w:rFonts w:ascii="Arial" w:hAnsi="Arial" w:eastAsia="Arial" w:cs="Arial"/>
      <w:sz w:val="34"/>
    </w:rPr>
  </w:style>
  <w:style w:type="character" w:styleId="844" w:customStyle="1">
    <w:name w:val="标题 3 字符"/>
    <w:link w:val="793"/>
    <w:uiPriority w:val="9"/>
    <w:qFormat/>
    <w:rPr>
      <w:rFonts w:ascii="Arial" w:hAnsi="Arial" w:eastAsia="Arial" w:cs="Arial"/>
      <w:sz w:val="30"/>
      <w:szCs w:val="30"/>
    </w:rPr>
  </w:style>
  <w:style w:type="character" w:styleId="845" w:customStyle="1">
    <w:name w:val="标题 4 字符"/>
    <w:link w:val="794"/>
    <w:uiPriority w:val="9"/>
    <w:qFormat/>
    <w:rPr>
      <w:rFonts w:ascii="Arial" w:hAnsi="Arial" w:eastAsia="Arial" w:cs="Arial"/>
      <w:b/>
      <w:bCs/>
      <w:sz w:val="26"/>
      <w:szCs w:val="26"/>
    </w:rPr>
  </w:style>
  <w:style w:type="character" w:styleId="846" w:customStyle="1">
    <w:name w:val="标题 5 字符"/>
    <w:link w:val="795"/>
    <w:uiPriority w:val="9"/>
    <w:qFormat/>
    <w:rPr>
      <w:rFonts w:ascii="Arial" w:hAnsi="Arial" w:eastAsia="Arial" w:cs="Arial"/>
      <w:b/>
      <w:bCs/>
      <w:sz w:val="24"/>
      <w:szCs w:val="24"/>
    </w:rPr>
  </w:style>
  <w:style w:type="character" w:styleId="847" w:customStyle="1">
    <w:name w:val="标题 6 字符"/>
    <w:link w:val="796"/>
    <w:uiPriority w:val="9"/>
    <w:qFormat/>
    <w:rPr>
      <w:rFonts w:ascii="Arial" w:hAnsi="Arial" w:eastAsia="Arial" w:cs="Arial"/>
      <w:b/>
      <w:bCs/>
      <w:sz w:val="22"/>
      <w:szCs w:val="22"/>
    </w:rPr>
  </w:style>
  <w:style w:type="character" w:styleId="848" w:customStyle="1">
    <w:name w:val="标题 7 字符"/>
    <w:link w:val="797"/>
    <w:uiPriority w:val="9"/>
    <w:qFormat/>
    <w:rPr>
      <w:rFonts w:ascii="Arial" w:hAnsi="Arial" w:eastAsia="Arial" w:cs="Arial"/>
      <w:b/>
      <w:bCs/>
      <w:i/>
      <w:iCs/>
      <w:sz w:val="22"/>
      <w:szCs w:val="22"/>
    </w:rPr>
  </w:style>
  <w:style w:type="character" w:styleId="849" w:customStyle="1">
    <w:name w:val="标题 8 字符"/>
    <w:link w:val="798"/>
    <w:uiPriority w:val="9"/>
    <w:qFormat/>
    <w:rPr>
      <w:rFonts w:ascii="Arial" w:hAnsi="Arial" w:eastAsia="Arial" w:cs="Arial"/>
      <w:i/>
      <w:iCs/>
      <w:sz w:val="22"/>
      <w:szCs w:val="22"/>
    </w:rPr>
  </w:style>
  <w:style w:type="character" w:styleId="850" w:customStyle="1">
    <w:name w:val="标题 9 字符"/>
    <w:link w:val="799"/>
    <w:uiPriority w:val="9"/>
    <w:qFormat/>
    <w:rPr>
      <w:rFonts w:ascii="Arial" w:hAnsi="Arial" w:eastAsia="Arial" w:cs="Arial"/>
      <w:i/>
      <w:iCs/>
      <w:sz w:val="21"/>
      <w:szCs w:val="21"/>
    </w:rPr>
  </w:style>
  <w:style w:type="paragraph" w:styleId="851">
    <w:name w:val="List Paragraph"/>
    <w:uiPriority w:val="34"/>
    <w:qFormat/>
    <w:pPr>
      <w:contextualSpacing/>
      <w:ind w:left="720"/>
    </w:pPr>
    <w:rPr>
      <w:rFonts w:ascii="Times New Roman" w:hAnsi="Times New Roman" w:eastAsia="宋体" w:cs="Times New Roman"/>
      <w:lang w:val="en-US" w:eastAsia="zh-CN" w:bidi="ar-SA"/>
    </w:rPr>
  </w:style>
  <w:style w:type="paragraph" w:styleId="852">
    <w:name w:val="No Spacing"/>
    <w:uiPriority w:val="1"/>
    <w:qFormat/>
    <w:rPr>
      <w:rFonts w:ascii="Times New Roman" w:hAnsi="Times New Roman" w:eastAsia="宋体" w:cs="Times New Roman"/>
      <w:lang w:val="en-US" w:eastAsia="zh-CN" w:bidi="ar-SA"/>
    </w:rPr>
  </w:style>
  <w:style w:type="character" w:styleId="853" w:customStyle="1">
    <w:name w:val="标题 字符"/>
    <w:link w:val="824"/>
    <w:uiPriority w:val="10"/>
    <w:qFormat/>
    <w:rPr>
      <w:sz w:val="48"/>
      <w:szCs w:val="48"/>
    </w:rPr>
  </w:style>
  <w:style w:type="character" w:styleId="854" w:customStyle="1">
    <w:name w:val="副标题 字符"/>
    <w:link w:val="817"/>
    <w:uiPriority w:val="11"/>
    <w:qFormat/>
    <w:rPr>
      <w:sz w:val="24"/>
      <w:szCs w:val="24"/>
    </w:rPr>
  </w:style>
  <w:style w:type="paragraph" w:styleId="855">
    <w:name w:val="Quote"/>
    <w:link w:val="856"/>
    <w:uiPriority w:val="29"/>
    <w:qFormat/>
    <w:pPr>
      <w:ind w:left="720" w:right="720"/>
    </w:pPr>
    <w:rPr>
      <w:rFonts w:ascii="Times New Roman" w:hAnsi="Times New Roman" w:eastAsia="宋体" w:cs="Times New Roman"/>
      <w:i/>
      <w:lang w:val="en-US" w:eastAsia="zh-CN" w:bidi="ar-SA"/>
    </w:rPr>
  </w:style>
  <w:style w:type="character" w:styleId="856" w:customStyle="1">
    <w:name w:val="引用 字符"/>
    <w:link w:val="855"/>
    <w:uiPriority w:val="29"/>
    <w:qFormat/>
    <w:rPr>
      <w:i/>
    </w:rPr>
  </w:style>
  <w:style w:type="paragraph" w:styleId="857">
    <w:name w:val="Intense Quote"/>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58" w:customStyle="1">
    <w:name w:val="明显引用 字符"/>
    <w:link w:val="857"/>
    <w:uiPriority w:val="30"/>
    <w:qFormat/>
    <w:rPr>
      <w:i/>
    </w:rPr>
  </w:style>
  <w:style w:type="character" w:styleId="859" w:customStyle="1">
    <w:name w:val="页眉 字符"/>
    <w:link w:val="814"/>
    <w:uiPriority w:val="99"/>
    <w:qFormat/>
  </w:style>
  <w:style w:type="character" w:styleId="860" w:customStyle="1">
    <w:name w:val="Footer Char"/>
    <w:uiPriority w:val="99"/>
    <w:qFormat/>
  </w:style>
  <w:style w:type="character" w:styleId="861" w:customStyle="1">
    <w:name w:val="页脚 字符"/>
    <w:link w:val="813"/>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字符"/>
    <w:link w:val="818"/>
    <w:uiPriority w:val="99"/>
    <w:qFormat/>
    <w:rPr>
      <w:sz w:val="18"/>
    </w:rPr>
  </w:style>
  <w:style w:type="character" w:styleId="988" w:customStyle="1">
    <w:name w:val="尾注文本 字符"/>
    <w:link w:val="811"/>
    <w:uiPriority w:val="99"/>
    <w:qFormat/>
    <w:rPr>
      <w:sz w:val="20"/>
    </w:rPr>
  </w:style>
  <w:style w:type="paragraph" w:styleId="989" w:customStyle="1">
    <w:name w:val="TOC 标题1"/>
    <w:uiPriority w:val="39"/>
    <w:unhideWhenUsed/>
    <w:qFormat/>
    <w:rPr>
      <w:rFonts w:ascii="Times New Roman" w:hAnsi="Times New Roman" w:eastAsia="宋体" w:cs="Times New Roman"/>
      <w:lang w:val="en-US" w:eastAsia="zh-CN" w:bidi="ar-SA"/>
    </w:rPr>
  </w:style>
  <w:style w:type="paragraph" w:styleId="990" w:customStyle="1">
    <w:name w:val="标题 11"/>
    <w:basedOn w:val="834"/>
    <w:next w:val="834"/>
    <w:link w:val="1001"/>
    <w:uiPriority w:val="0"/>
    <w:qFormat/>
    <w:pPr>
      <w:keepLines/>
      <w:keepNext/>
      <w:spacing w:before="340" w:after="330" w:line="578" w:lineRule="auto"/>
      <w:outlineLvl w:val="0"/>
    </w:pPr>
    <w:rPr>
      <w:b/>
      <w:bCs/>
      <w:sz w:val="44"/>
      <w:szCs w:val="44"/>
    </w:rPr>
  </w:style>
  <w:style w:type="paragraph" w:styleId="991" w:customStyle="1">
    <w:name w:val="标题 21"/>
    <w:basedOn w:val="834"/>
    <w:next w:val="834"/>
    <w:link w:val="1002"/>
    <w:uiPriority w:val="0"/>
    <w:qFormat/>
    <w:pPr>
      <w:keepLines/>
      <w:keepNext/>
      <w:spacing w:before="260" w:after="260" w:line="416" w:lineRule="auto"/>
      <w:outlineLvl w:val="1"/>
    </w:pPr>
    <w:rPr>
      <w:rFonts w:ascii="Arial" w:hAnsi="Arial" w:eastAsia="黑体"/>
      <w:b/>
      <w:bCs/>
      <w:sz w:val="32"/>
      <w:szCs w:val="32"/>
    </w:rPr>
  </w:style>
  <w:style w:type="paragraph" w:styleId="992" w:customStyle="1">
    <w:name w:val="标题 31"/>
    <w:basedOn w:val="834"/>
    <w:next w:val="834"/>
    <w:uiPriority w:val="0"/>
    <w:qFormat/>
    <w:pPr>
      <w:keepLines/>
      <w:keepNext/>
      <w:spacing w:before="260" w:after="260" w:line="416" w:lineRule="auto"/>
      <w:outlineLvl w:val="2"/>
    </w:pPr>
    <w:rPr>
      <w:b/>
      <w:bCs/>
      <w:sz w:val="32"/>
      <w:szCs w:val="32"/>
    </w:rPr>
  </w:style>
  <w:style w:type="paragraph" w:styleId="993" w:customStyle="1">
    <w:name w:val="标题 51"/>
    <w:basedOn w:val="834"/>
    <w:next w:val="834"/>
    <w:uiPriority w:val="0"/>
    <w:qFormat/>
    <w:pPr>
      <w:ind w:left="1008" w:hanging="1008"/>
      <w:keepLines/>
      <w:keepNext/>
      <w:spacing w:before="280" w:after="290" w:line="376" w:lineRule="auto"/>
      <w:tabs>
        <w:tab w:val="left" w:pos="1008" w:leader="none"/>
      </w:tabs>
      <w:outlineLvl w:val="4"/>
    </w:pPr>
    <w:rPr>
      <w:b/>
      <w:bCs/>
      <w:sz w:val="28"/>
      <w:szCs w:val="28"/>
    </w:rPr>
  </w:style>
  <w:style w:type="paragraph" w:styleId="994" w:customStyle="1">
    <w:name w:val="标题 61"/>
    <w:basedOn w:val="834"/>
    <w:next w:val="995"/>
    <w:uiPriority w:val="0"/>
    <w:qFormat/>
    <w:pPr>
      <w:ind w:left="1152" w:hanging="1152"/>
      <w:keepLines/>
      <w:keepNext/>
      <w:spacing w:before="120" w:after="120" w:line="400" w:lineRule="exact"/>
      <w:tabs>
        <w:tab w:val="left" w:pos="1152" w:leader="none"/>
      </w:tabs>
      <w:outlineLvl w:val="5"/>
    </w:pPr>
    <w:rPr>
      <w:rFonts w:ascii="Arial" w:hAnsi="Arial"/>
      <w:b/>
      <w:sz w:val="24"/>
      <w:szCs w:val="24"/>
    </w:rPr>
  </w:style>
  <w:style w:type="paragraph" w:styleId="995" w:customStyle="1">
    <w:name w:val="正文缩进11"/>
    <w:basedOn w:val="834"/>
    <w:uiPriority w:val="0"/>
    <w:qFormat/>
    <w:pPr>
      <w:ind w:firstLine="420"/>
    </w:pPr>
    <w:rPr>
      <w:sz w:val="24"/>
      <w:szCs w:val="24"/>
    </w:rPr>
  </w:style>
  <w:style w:type="paragraph" w:styleId="996" w:customStyle="1">
    <w:name w:val="标题 71"/>
    <w:basedOn w:val="834"/>
    <w:next w:val="834"/>
    <w:uiPriority w:val="0"/>
    <w:qFormat/>
    <w:pPr>
      <w:ind w:left="1296" w:hanging="1296"/>
      <w:keepLines/>
      <w:keepNext/>
      <w:spacing w:before="240" w:after="64" w:line="320" w:lineRule="auto"/>
      <w:tabs>
        <w:tab w:val="left" w:pos="1296" w:leader="none"/>
      </w:tabs>
      <w:outlineLvl w:val="6"/>
    </w:pPr>
    <w:rPr>
      <w:b/>
      <w:bCs/>
      <w:sz w:val="24"/>
      <w:szCs w:val="24"/>
    </w:rPr>
  </w:style>
  <w:style w:type="paragraph" w:styleId="997" w:customStyle="1">
    <w:name w:val="标题 81"/>
    <w:basedOn w:val="834"/>
    <w:next w:val="834"/>
    <w:uiPriority w:val="0"/>
    <w:qFormat/>
    <w:pPr>
      <w:ind w:left="1440" w:hanging="1440"/>
      <w:keepLines/>
      <w:keepNext/>
      <w:spacing w:before="240" w:after="64" w:line="320" w:lineRule="auto"/>
      <w:tabs>
        <w:tab w:val="left" w:pos="1440" w:leader="none"/>
      </w:tabs>
      <w:outlineLvl w:val="7"/>
    </w:pPr>
    <w:rPr>
      <w:rFonts w:ascii="Arial" w:hAnsi="Arial" w:eastAsia="黑体"/>
      <w:sz w:val="24"/>
      <w:szCs w:val="24"/>
    </w:rPr>
  </w:style>
  <w:style w:type="paragraph" w:styleId="998" w:customStyle="1">
    <w:name w:val="标题 91"/>
    <w:basedOn w:val="834"/>
    <w:next w:val="834"/>
    <w:uiPriority w:val="0"/>
    <w:qFormat/>
    <w:pPr>
      <w:ind w:left="1584" w:hanging="1584"/>
      <w:keepLines/>
      <w:keepNext/>
      <w:spacing w:before="240" w:after="64" w:line="320" w:lineRule="auto"/>
      <w:tabs>
        <w:tab w:val="left" w:pos="1584" w:leader="none"/>
      </w:tabs>
      <w:outlineLvl w:val="8"/>
    </w:pPr>
    <w:rPr>
      <w:rFonts w:ascii="Arial" w:hAnsi="Arial" w:eastAsia="黑体"/>
      <w:szCs w:val="21"/>
    </w:rPr>
  </w:style>
  <w:style w:type="character" w:styleId="999" w:customStyle="1">
    <w:name w:val="默认段落字体1"/>
    <w:uiPriority w:val="0"/>
    <w:qFormat/>
  </w:style>
  <w:style w:type="table" w:styleId="1000" w:customStyle="1">
    <w:name w:val="普通表格1"/>
    <w:uiPriority w:val="0"/>
    <w:qFormat/>
    <w:tblPr>
      <w:tblCellMar>
        <w:left w:w="0" w:type="dxa"/>
        <w:top w:w="0" w:type="dxa"/>
        <w:right w:w="0" w:type="dxa"/>
        <w:bottom w:w="0" w:type="dxa"/>
      </w:tblCellMar>
    </w:tblPr>
  </w:style>
  <w:style w:type="character" w:styleId="1001" w:customStyle="1">
    <w:name w:val="标题 1 Char"/>
    <w:link w:val="990"/>
    <w:uiPriority w:val="0"/>
    <w:qFormat/>
    <w:rPr>
      <w:rFonts w:eastAsia="宋体"/>
      <w:b/>
      <w:bCs/>
      <w:sz w:val="44"/>
      <w:szCs w:val="44"/>
      <w:lang w:val="en-US" w:eastAsia="zh-CN" w:bidi="ar-SA"/>
    </w:rPr>
  </w:style>
  <w:style w:type="character" w:styleId="1002" w:customStyle="1">
    <w:name w:val="标题 2 Char"/>
    <w:link w:val="991"/>
    <w:uiPriority w:val="0"/>
    <w:qFormat/>
    <w:rPr>
      <w:rFonts w:ascii="Arial" w:hAnsi="Arial" w:eastAsia="黑体"/>
      <w:b/>
      <w:bCs/>
      <w:sz w:val="32"/>
      <w:szCs w:val="32"/>
      <w:lang w:val="en-US" w:eastAsia="zh-CN" w:bidi="ar-SA"/>
    </w:rPr>
  </w:style>
  <w:style w:type="paragraph" w:styleId="1003" w:customStyle="1">
    <w:name w:val="列表项目符号1"/>
    <w:basedOn w:val="834"/>
    <w:uiPriority w:val="0"/>
    <w:qFormat/>
    <w:pPr>
      <w:numPr>
        <w:ilvl w:val="0"/>
        <w:numId w:val="1"/>
      </w:numPr>
      <w:tabs>
        <w:tab w:val="left" w:pos="420" w:leader="none"/>
      </w:tabs>
    </w:pPr>
    <w:rPr>
      <w:sz w:val="24"/>
      <w:szCs w:val="20"/>
    </w:rPr>
  </w:style>
  <w:style w:type="paragraph" w:styleId="1004" w:customStyle="1">
    <w:name w:val="文档结构图1"/>
    <w:basedOn w:val="834"/>
    <w:link w:val="1005"/>
    <w:uiPriority w:val="0"/>
    <w:semiHidden/>
    <w:qFormat/>
    <w:pPr>
      <w:shd w:val="clear" w:color="auto" w:fill="000080"/>
    </w:pPr>
    <w:rPr>
      <w:sz w:val="20"/>
      <w:szCs w:val="24"/>
    </w:rPr>
  </w:style>
  <w:style w:type="character" w:styleId="1005" w:customStyle="1">
    <w:name w:val="文档结构图 Char"/>
    <w:link w:val="1004"/>
    <w:uiPriority w:val="0"/>
    <w:semiHidden/>
    <w:qFormat/>
    <w:rPr>
      <w:rFonts w:ascii="Times New Roman" w:hAnsi="Times New Roman" w:eastAsia="宋体"/>
      <w:sz w:val="24"/>
      <w:szCs w:val="24"/>
      <w:shd w:val="clear" w:color="auto" w:fill="000080"/>
    </w:rPr>
  </w:style>
  <w:style w:type="paragraph" w:styleId="1006" w:customStyle="1">
    <w:name w:val="批注文字1"/>
    <w:basedOn w:val="834"/>
    <w:link w:val="1007"/>
    <w:uiPriority w:val="0"/>
    <w:semiHidden/>
    <w:qFormat/>
    <w:pPr>
      <w:jc w:val="left"/>
    </w:pPr>
    <w:rPr>
      <w:sz w:val="20"/>
      <w:szCs w:val="24"/>
    </w:rPr>
  </w:style>
  <w:style w:type="character" w:styleId="1007" w:customStyle="1">
    <w:name w:val="批注文字 Char"/>
    <w:link w:val="1006"/>
    <w:uiPriority w:val="0"/>
    <w:semiHidden/>
    <w:qFormat/>
    <w:rPr>
      <w:rFonts w:ascii="Times New Roman" w:hAnsi="Times New Roman" w:eastAsia="宋体"/>
      <w:sz w:val="24"/>
      <w:szCs w:val="24"/>
    </w:rPr>
  </w:style>
  <w:style w:type="paragraph" w:styleId="1008" w:customStyle="1">
    <w:name w:val="正文文本1"/>
    <w:basedOn w:val="834"/>
    <w:next w:val="1009"/>
    <w:link w:val="1011"/>
    <w:uiPriority w:val="0"/>
    <w:qFormat/>
    <w:pPr>
      <w:spacing w:after="120"/>
    </w:pPr>
  </w:style>
  <w:style w:type="paragraph" w:styleId="1009" w:customStyle="1">
    <w:name w:val="正文首行缩进1"/>
    <w:basedOn w:val="1008"/>
    <w:next w:val="1010"/>
    <w:uiPriority w:val="0"/>
    <w:qFormat/>
    <w:pPr>
      <w:ind w:firstLine="420"/>
      <w:spacing w:line="360" w:lineRule="auto"/>
    </w:pPr>
    <w:rPr>
      <w:sz w:val="24"/>
      <w:szCs w:val="20"/>
    </w:rPr>
  </w:style>
  <w:style w:type="paragraph" w:styleId="1010" w:customStyle="1">
    <w:name w:val="正文首行缩进 21"/>
    <w:basedOn w:val="1008"/>
    <w:next w:val="834"/>
    <w:uiPriority w:val="0"/>
    <w:qFormat/>
    <w:pPr>
      <w:ind w:firstLine="200"/>
      <w:spacing w:after="0" w:line="360" w:lineRule="auto"/>
    </w:pPr>
  </w:style>
  <w:style w:type="character" w:styleId="1011" w:customStyle="1">
    <w:name w:val="正文文本 Char"/>
    <w:link w:val="1008"/>
    <w:uiPriority w:val="0"/>
    <w:semiHidden/>
    <w:qFormat/>
  </w:style>
  <w:style w:type="paragraph" w:styleId="1012" w:customStyle="1">
    <w:name w:val="正文文本缩进1"/>
    <w:basedOn w:val="834"/>
    <w:link w:val="1013"/>
    <w:uiPriority w:val="0"/>
    <w:qFormat/>
    <w:pPr>
      <w:ind w:left="420"/>
      <w:spacing w:after="120"/>
    </w:pPr>
    <w:rPr>
      <w:sz w:val="20"/>
      <w:szCs w:val="24"/>
    </w:rPr>
  </w:style>
  <w:style w:type="character" w:styleId="1013" w:customStyle="1">
    <w:name w:val="正文文本缩进 Char"/>
    <w:link w:val="1012"/>
    <w:uiPriority w:val="0"/>
    <w:qFormat/>
    <w:rPr>
      <w:rFonts w:ascii="Times New Roman" w:hAnsi="Times New Roman" w:eastAsia="宋体"/>
      <w:sz w:val="24"/>
      <w:szCs w:val="24"/>
    </w:rPr>
  </w:style>
  <w:style w:type="paragraph" w:styleId="1014" w:customStyle="1">
    <w:name w:val="索引 41"/>
    <w:basedOn w:val="834"/>
    <w:next w:val="834"/>
    <w:uiPriority w:val="0"/>
    <w:semiHidden/>
    <w:qFormat/>
    <w:pPr>
      <w:ind w:left="1260"/>
    </w:pPr>
    <w:rPr>
      <w:rFonts w:ascii="Calibri" w:hAnsi="Calibri" w:eastAsia="Calibri"/>
      <w:sz w:val="20"/>
      <w:szCs w:val="20"/>
      <w:lang w:val="zh-CN"/>
    </w:rPr>
  </w:style>
  <w:style w:type="paragraph" w:styleId="1015" w:customStyle="1">
    <w:name w:val="目录 31"/>
    <w:basedOn w:val="834"/>
    <w:next w:val="834"/>
    <w:uiPriority w:val="0"/>
    <w:qFormat/>
    <w:pPr>
      <w:ind w:left="840"/>
    </w:pPr>
    <w:rPr>
      <w:sz w:val="24"/>
      <w:szCs w:val="24"/>
    </w:rPr>
  </w:style>
  <w:style w:type="paragraph" w:styleId="1016" w:customStyle="1">
    <w:name w:val="纯文本1"/>
    <w:basedOn w:val="834"/>
    <w:link w:val="1017"/>
    <w:uiPriority w:val="0"/>
    <w:qFormat/>
    <w:pPr>
      <w:jc w:val="left"/>
      <w:spacing w:before="100" w:beforeAutospacing="1" w:after="100" w:afterAutospacing="1"/>
      <w:widowControl/>
    </w:pPr>
    <w:rPr>
      <w:rFonts w:ascii="宋体" w:hAnsi="宋体"/>
      <w:sz w:val="24"/>
      <w:szCs w:val="24"/>
    </w:rPr>
  </w:style>
  <w:style w:type="character" w:styleId="1017" w:customStyle="1">
    <w:name w:val="纯文本 Char"/>
    <w:link w:val="1016"/>
    <w:uiPriority w:val="0"/>
    <w:qFormat/>
    <w:rPr>
      <w:rFonts w:ascii="宋体" w:hAnsi="宋体" w:eastAsia="宋体"/>
      <w:sz w:val="24"/>
      <w:szCs w:val="24"/>
      <w:lang w:val="en-US" w:eastAsia="zh-CN" w:bidi="ar-SA"/>
    </w:rPr>
  </w:style>
  <w:style w:type="paragraph" w:styleId="1018" w:customStyle="1">
    <w:name w:val="日期1"/>
    <w:basedOn w:val="834"/>
    <w:next w:val="834"/>
    <w:uiPriority w:val="0"/>
    <w:qFormat/>
    <w:pPr>
      <w:ind w:left="100"/>
    </w:pPr>
  </w:style>
  <w:style w:type="paragraph" w:styleId="1019" w:customStyle="1">
    <w:name w:val="正文文本缩进 21"/>
    <w:basedOn w:val="834"/>
    <w:uiPriority w:val="0"/>
    <w:qFormat/>
    <w:pPr>
      <w:ind w:left="420"/>
      <w:spacing w:after="120" w:line="480" w:lineRule="auto"/>
    </w:pPr>
    <w:rPr>
      <w:sz w:val="24"/>
      <w:szCs w:val="24"/>
    </w:rPr>
  </w:style>
  <w:style w:type="paragraph" w:styleId="1020" w:customStyle="1">
    <w:name w:val="批注框文本1"/>
    <w:basedOn w:val="834"/>
    <w:link w:val="1021"/>
    <w:uiPriority w:val="0"/>
    <w:semiHidden/>
    <w:qFormat/>
    <w:rPr>
      <w:sz w:val="18"/>
      <w:szCs w:val="18"/>
    </w:rPr>
  </w:style>
  <w:style w:type="character" w:styleId="1021" w:customStyle="1">
    <w:name w:val="批注框文本 Char"/>
    <w:link w:val="1020"/>
    <w:uiPriority w:val="0"/>
    <w:semiHidden/>
    <w:qFormat/>
    <w:rPr>
      <w:rFonts w:ascii="Times New Roman" w:hAnsi="Times New Roman" w:eastAsia="宋体"/>
      <w:sz w:val="18"/>
      <w:szCs w:val="18"/>
    </w:rPr>
  </w:style>
  <w:style w:type="paragraph" w:styleId="1022" w:customStyle="1">
    <w:name w:val="页脚1"/>
    <w:basedOn w:val="834"/>
    <w:link w:val="1023"/>
    <w:uiPriority w:val="0"/>
    <w:qFormat/>
    <w:pPr>
      <w:jc w:val="left"/>
      <w:tabs>
        <w:tab w:val="center" w:pos="4153" w:leader="none"/>
        <w:tab w:val="right" w:pos="8306" w:leader="none"/>
      </w:tabs>
    </w:pPr>
    <w:rPr>
      <w:sz w:val="18"/>
      <w:szCs w:val="18"/>
    </w:rPr>
  </w:style>
  <w:style w:type="character" w:styleId="1023" w:customStyle="1">
    <w:name w:val="页脚 Char"/>
    <w:link w:val="1022"/>
    <w:uiPriority w:val="0"/>
    <w:semiHidden/>
    <w:qFormat/>
    <w:rPr>
      <w:sz w:val="18"/>
      <w:szCs w:val="18"/>
    </w:rPr>
  </w:style>
  <w:style w:type="paragraph" w:styleId="1024" w:customStyle="1">
    <w:name w:val="页眉1"/>
    <w:basedOn w:val="834"/>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semiHidden/>
    <w:qFormat/>
    <w:rPr>
      <w:sz w:val="18"/>
      <w:szCs w:val="18"/>
    </w:rPr>
  </w:style>
  <w:style w:type="paragraph" w:styleId="1026" w:customStyle="1">
    <w:name w:val="目录 11"/>
    <w:basedOn w:val="834"/>
    <w:next w:val="834"/>
    <w:uiPriority w:val="0"/>
    <w:qFormat/>
    <w:rPr>
      <w:sz w:val="24"/>
      <w:szCs w:val="24"/>
    </w:rPr>
  </w:style>
  <w:style w:type="paragraph" w:styleId="1027" w:customStyle="1">
    <w:name w:val="目录 21"/>
    <w:basedOn w:val="834"/>
    <w:next w:val="834"/>
    <w:uiPriority w:val="0"/>
    <w:qFormat/>
    <w:pPr>
      <w:ind w:left="420"/>
    </w:pPr>
    <w:rPr>
      <w:sz w:val="24"/>
      <w:szCs w:val="24"/>
    </w:rPr>
  </w:style>
  <w:style w:type="paragraph" w:styleId="1028" w:customStyle="1">
    <w:name w:val="普通(网站)1"/>
    <w:basedOn w:val="834"/>
    <w:uiPriority w:val="0"/>
    <w:qFormat/>
    <w:pPr>
      <w:jc w:val="left"/>
      <w:spacing w:before="100" w:beforeAutospacing="1" w:after="100" w:afterAutospacing="1"/>
      <w:widowControl/>
    </w:pPr>
    <w:rPr>
      <w:rFonts w:ascii="宋体" w:hAnsi="宋体"/>
      <w:sz w:val="24"/>
      <w:szCs w:val="24"/>
    </w:rPr>
  </w:style>
  <w:style w:type="paragraph" w:styleId="1029" w:customStyle="1">
    <w:name w:val="标题1"/>
    <w:basedOn w:val="834"/>
    <w:next w:val="834"/>
    <w:uiPriority w:val="0"/>
    <w:qFormat/>
    <w:pPr>
      <w:jc w:val="center"/>
      <w:spacing w:before="240" w:after="60"/>
      <w:outlineLvl w:val="0"/>
    </w:pPr>
    <w:rPr>
      <w:rFonts w:ascii="Cambria" w:hAnsi="Cambria"/>
      <w:b/>
      <w:bCs/>
      <w:sz w:val="32"/>
      <w:szCs w:val="32"/>
    </w:rPr>
  </w:style>
  <w:style w:type="paragraph" w:styleId="1030" w:customStyle="1">
    <w:name w:val="批注主题1"/>
    <w:basedOn w:val="1006"/>
    <w:next w:val="1006"/>
    <w:link w:val="1031"/>
    <w:uiPriority w:val="0"/>
    <w:semiHidden/>
    <w:qFormat/>
    <w:rPr>
      <w:b/>
      <w:bCs/>
    </w:rPr>
  </w:style>
  <w:style w:type="character" w:styleId="1031" w:customStyle="1">
    <w:name w:val="批注主题 Char"/>
    <w:link w:val="1030"/>
    <w:uiPriority w:val="0"/>
    <w:semiHidden/>
    <w:qFormat/>
    <w:rPr>
      <w:rFonts w:ascii="Times New Roman" w:hAnsi="Times New Roman" w:eastAsia="宋体"/>
      <w:b/>
      <w:bCs/>
      <w:sz w:val="24"/>
      <w:szCs w:val="24"/>
    </w:rPr>
  </w:style>
  <w:style w:type="table" w:styleId="1032" w:customStyle="1">
    <w:name w:val="网格型1"/>
    <w:basedOn w:val="1000"/>
    <w:uiPriority w:val="0"/>
    <w:qFormat/>
    <w:pPr>
      <w:jc w:val="both"/>
      <w:widowControl w:val="off"/>
    </w:pPr>
    <w:tblPr/>
  </w:style>
  <w:style w:type="character" w:styleId="1033" w:customStyle="1">
    <w:name w:val="要点1"/>
    <w:uiPriority w:val="0"/>
    <w:qFormat/>
    <w:rPr>
      <w:rFonts w:ascii="Tahoma" w:hAnsi="Tahoma"/>
      <w:b/>
      <w:bCs/>
      <w:sz w:val="24"/>
      <w:szCs w:val="20"/>
    </w:rPr>
  </w:style>
  <w:style w:type="character" w:styleId="1034" w:customStyle="1">
    <w:name w:val="页码1"/>
    <w:uiPriority w:val="0"/>
    <w:qFormat/>
  </w:style>
  <w:style w:type="character" w:styleId="1035" w:customStyle="1">
    <w:name w:val="已访问的超链接1"/>
    <w:uiPriority w:val="0"/>
    <w:qFormat/>
    <w:rPr>
      <w:color w:val="800080"/>
      <w:u w:val="none"/>
    </w:rPr>
  </w:style>
  <w:style w:type="character" w:styleId="1036" w:customStyle="1">
    <w:name w:val="强调1"/>
    <w:uiPriority w:val="0"/>
    <w:qFormat/>
    <w:rPr>
      <w:rFonts w:ascii="Tahoma" w:hAnsi="Tahoma"/>
      <w:sz w:val="24"/>
      <w:szCs w:val="20"/>
    </w:rPr>
  </w:style>
  <w:style w:type="character" w:styleId="1037" w:customStyle="1">
    <w:name w:val="HTML 定义1"/>
    <w:uiPriority w:val="0"/>
    <w:qFormat/>
  </w:style>
  <w:style w:type="character" w:styleId="1038" w:customStyle="1">
    <w:name w:val="HTML 打字机1"/>
    <w:uiPriority w:val="0"/>
    <w:qFormat/>
    <w:rPr>
      <w:rFonts w:ascii="monospace" w:hAnsi="monospace" w:eastAsia="monospace"/>
      <w:sz w:val="20"/>
    </w:rPr>
  </w:style>
  <w:style w:type="character" w:styleId="1039" w:customStyle="1">
    <w:name w:val="HTML 缩写1"/>
    <w:uiPriority w:val="0"/>
    <w:qFormat/>
  </w:style>
  <w:style w:type="character" w:styleId="1040" w:customStyle="1">
    <w:name w:val="HTML 变量1"/>
    <w:uiPriority w:val="0"/>
    <w:qFormat/>
  </w:style>
  <w:style w:type="character" w:styleId="1041" w:customStyle="1">
    <w:name w:val="超链接1"/>
    <w:uiPriority w:val="0"/>
    <w:qFormat/>
    <w:rPr>
      <w:color w:val="0000ff"/>
      <w:u w:val="none"/>
    </w:rPr>
  </w:style>
  <w:style w:type="character" w:styleId="1042" w:customStyle="1">
    <w:name w:val="HTML 代码1"/>
    <w:uiPriority w:val="0"/>
    <w:qFormat/>
    <w:rPr>
      <w:rFonts w:ascii="monospace" w:hAnsi="monospace" w:eastAsia="monospace"/>
      <w:sz w:val="20"/>
    </w:rPr>
  </w:style>
  <w:style w:type="character" w:styleId="1043" w:customStyle="1">
    <w:name w:val="批注引用1"/>
    <w:uiPriority w:val="0"/>
    <w:semiHidden/>
    <w:qFormat/>
    <w:rPr>
      <w:sz w:val="21"/>
      <w:szCs w:val="21"/>
    </w:rPr>
  </w:style>
  <w:style w:type="character" w:styleId="1044" w:customStyle="1">
    <w:name w:val="HTML 引文1"/>
    <w:uiPriority w:val="0"/>
    <w:qFormat/>
  </w:style>
  <w:style w:type="character" w:styleId="1045" w:customStyle="1">
    <w:name w:val="HTML 键盘1"/>
    <w:uiPriority w:val="0"/>
    <w:qFormat/>
    <w:rPr>
      <w:rFonts w:ascii="monospace" w:hAnsi="monospace" w:eastAsia="monospace"/>
      <w:sz w:val="20"/>
    </w:rPr>
  </w:style>
  <w:style w:type="character" w:styleId="1046" w:customStyle="1">
    <w:name w:val="HTML 样本1"/>
    <w:uiPriority w:val="0"/>
    <w:qFormat/>
    <w:rPr>
      <w:rFonts w:ascii="monospace" w:hAnsi="monospace" w:eastAsia="monospace"/>
    </w:rPr>
  </w:style>
  <w:style w:type="character" w:styleId="1047" w:customStyle="1">
    <w:name w:val="info"/>
    <w:uiPriority w:val="0"/>
    <w:qFormat/>
  </w:style>
  <w:style w:type="character" w:styleId="1048" w:customStyle="1">
    <w:name w:val="apple-converted-space"/>
    <w:uiPriority w:val="0"/>
    <w:qFormat/>
  </w:style>
  <w:style w:type="character" w:styleId="1049" w:customStyle="1">
    <w:name w:val="style44"/>
    <w:uiPriority w:val="0"/>
    <w:qFormat/>
  </w:style>
  <w:style w:type="character" w:styleId="1050" w:customStyle="1">
    <w:name w:val="hover"/>
    <w:uiPriority w:val="0"/>
    <w:qFormat/>
    <w:rPr>
      <w:shd w:val="clear" w:color="auto" w:fill="eeeeee"/>
    </w:rPr>
  </w:style>
  <w:style w:type="character" w:styleId="1051" w:customStyle="1">
    <w:name w:val="old"/>
    <w:uiPriority w:val="0"/>
    <w:qFormat/>
    <w:rPr>
      <w:color w:val="999999"/>
    </w:rPr>
  </w:style>
  <w:style w:type="character" w:styleId="1052" w:customStyle="1">
    <w:name w:val="param-name"/>
    <w:uiPriority w:val="0"/>
    <w:qFormat/>
  </w:style>
  <w:style w:type="character" w:styleId="1053" w:customStyle="1">
    <w:name w:val="glyphicon"/>
    <w:uiPriority w:val="0"/>
    <w:qFormat/>
  </w:style>
  <w:style w:type="character" w:styleId="1054" w:customStyle="1">
    <w:name w:val="样式 正文文本缩进 + 左  0 字符 Char"/>
    <w:link w:val="1055"/>
    <w:uiPriority w:val="0"/>
    <w:qFormat/>
    <w:rPr>
      <w:rFonts w:ascii="Times New Roman" w:hAnsi="Times New Roman" w:eastAsia="宋体"/>
      <w:sz w:val="24"/>
      <w:szCs w:val="20"/>
    </w:rPr>
  </w:style>
  <w:style w:type="paragraph" w:styleId="1055" w:customStyle="1">
    <w:name w:val="样式 正文文本缩进 + 左  0 字符"/>
    <w:basedOn w:val="1012"/>
    <w:link w:val="1054"/>
    <w:uiPriority w:val="0"/>
    <w:qFormat/>
    <w:pPr>
      <w:ind w:left="0" w:firstLine="250"/>
      <w:spacing w:after="0" w:line="360" w:lineRule="auto"/>
    </w:pPr>
    <w:rPr>
      <w:sz w:val="24"/>
      <w:szCs w:val="20"/>
    </w:rPr>
  </w:style>
  <w:style w:type="character" w:styleId="1056" w:customStyle="1">
    <w:name w:val="flname8"/>
    <w:uiPriority w:val="0"/>
    <w:qFormat/>
  </w:style>
  <w:style w:type="character" w:styleId="1057" w:customStyle="1">
    <w:name w:val="f31"/>
    <w:uiPriority w:val="0"/>
    <w:qFormat/>
    <w:rPr>
      <w:rFonts w:ascii="宋体" w:hAnsi="宋体" w:eastAsia="宋体"/>
      <w:color w:val="000000"/>
      <w:sz w:val="20"/>
      <w:szCs w:val="20"/>
    </w:rPr>
  </w:style>
  <w:style w:type="character" w:styleId="1058" w:customStyle="1">
    <w:name w:val="hover1"/>
    <w:uiPriority w:val="0"/>
    <w:qFormat/>
    <w:rPr>
      <w:shd w:val="clear" w:color="auto" w:fill="eeeeee"/>
    </w:rPr>
  </w:style>
  <w:style w:type="character" w:styleId="1059" w:customStyle="1">
    <w:name w:val="hour_pm"/>
    <w:uiPriority w:val="0"/>
    <w:qFormat/>
  </w:style>
  <w:style w:type="character" w:styleId="1060" w:customStyle="1">
    <w:name w:val="Table Text Char1"/>
    <w:link w:val="1061"/>
    <w:uiPriority w:val="0"/>
    <w:qFormat/>
    <w:rPr>
      <w:rFonts w:ascii="Arial" w:hAnsi="Arial"/>
      <w:sz w:val="18"/>
      <w:szCs w:val="18"/>
      <w:lang w:val="en-US" w:eastAsia="zh-CN" w:bidi="ar-SA"/>
    </w:rPr>
  </w:style>
  <w:style w:type="paragraph" w:styleId="1061" w:customStyle="1">
    <w:name w:val="Table Text"/>
    <w:link w:val="1060"/>
    <w:uiPriority w:val="0"/>
    <w:qFormat/>
    <w:pPr>
      <w:spacing w:before="80" w:after="80"/>
    </w:pPr>
    <w:rPr>
      <w:rFonts w:ascii="Arial" w:hAnsi="Arial" w:eastAsia="宋体" w:cs="Times New Roman"/>
      <w:sz w:val="18"/>
      <w:szCs w:val="18"/>
      <w:lang w:val="en-US" w:eastAsia="zh-CN" w:bidi="ar-SA"/>
    </w:rPr>
  </w:style>
  <w:style w:type="character" w:styleId="1062" w:customStyle="1">
    <w:name w:val="样式 正文缩进 + 首行缩进:  2 字符 Char"/>
    <w:link w:val="1063"/>
    <w:uiPriority w:val="0"/>
    <w:qFormat/>
    <w:rPr>
      <w:rFonts w:ascii="Times New Roman" w:hAnsi="Times New Roman" w:eastAsia="宋体"/>
      <w:sz w:val="24"/>
      <w:szCs w:val="20"/>
    </w:rPr>
  </w:style>
  <w:style w:type="paragraph" w:styleId="1063" w:customStyle="1">
    <w:name w:val="样式 正文缩进 + 首行缩进:  2 字符"/>
    <w:basedOn w:val="995"/>
    <w:link w:val="1062"/>
    <w:uiPriority w:val="0"/>
    <w:qFormat/>
    <w:pPr>
      <w:ind w:firstLine="200"/>
      <w:spacing w:line="360" w:lineRule="auto"/>
    </w:pPr>
    <w:rPr>
      <w:szCs w:val="20"/>
    </w:rPr>
  </w:style>
  <w:style w:type="character" w:styleId="1064" w:customStyle="1">
    <w:name w:val="Char Char10"/>
    <w:uiPriority w:val="0"/>
    <w:qFormat/>
    <w:rPr>
      <w:rFonts w:ascii="Tahoma" w:hAnsi="Tahoma"/>
      <w:b/>
      <w:bCs/>
      <w:sz w:val="44"/>
      <w:szCs w:val="44"/>
    </w:rPr>
  </w:style>
  <w:style w:type="character" w:styleId="1065" w:customStyle="1">
    <w:name w:val="param-name param-explain"/>
    <w:uiPriority w:val="0"/>
    <w:qFormat/>
  </w:style>
  <w:style w:type="character" w:styleId="1066" w:customStyle="1">
    <w:name w:val="hour_am"/>
    <w:link w:val="834"/>
    <w:uiPriority w:val="0"/>
    <w:qFormat/>
  </w:style>
  <w:style w:type="paragraph" w:styleId="1067" w:customStyle="1">
    <w:name w:val="Char1 Char Char Char"/>
    <w:basedOn w:val="834"/>
    <w:uiPriority w:val="0"/>
    <w:qFormat/>
    <w:rPr>
      <w:rFonts w:ascii="Tahoma" w:hAnsi="Tahoma"/>
      <w:sz w:val="24"/>
      <w:szCs w:val="20"/>
    </w:rPr>
  </w:style>
  <w:style w:type="paragraph" w:styleId="1068" w:customStyle="1">
    <w:name w:val="reader-word-layer reader-word-s49-23"/>
    <w:basedOn w:val="834"/>
    <w:uiPriority w:val="0"/>
    <w:qFormat/>
    <w:pPr>
      <w:jc w:val="left"/>
      <w:spacing w:before="100" w:beforeAutospacing="1" w:after="100" w:afterAutospacing="1"/>
      <w:widowControl/>
    </w:pPr>
    <w:rPr>
      <w:rFonts w:ascii="宋体" w:hAnsi="宋体"/>
      <w:sz w:val="24"/>
      <w:szCs w:val="24"/>
    </w:rPr>
  </w:style>
  <w:style w:type="paragraph" w:styleId="1069" w:customStyle="1">
    <w:name w:val="小标题"/>
    <w:basedOn w:val="1008"/>
    <w:uiPriority w:val="0"/>
    <w:qFormat/>
    <w:pPr>
      <w:numPr>
        <w:ilvl w:val="0"/>
        <w:numId w:val="2"/>
      </w:numPr>
      <w:spacing w:before="60" w:after="60" w:line="360" w:lineRule="auto"/>
      <w:tabs>
        <w:tab w:val="left" w:pos="480" w:leader="none"/>
      </w:tabs>
    </w:pPr>
    <w:rPr>
      <w:rFonts w:eastAsia="黑体"/>
      <w:color w:val="000000"/>
      <w:sz w:val="24"/>
      <w:szCs w:val="20"/>
    </w:rPr>
  </w:style>
  <w:style w:type="paragraph" w:styleId="1070" w:customStyle="1">
    <w:name w:val="msonospacing"/>
    <w:basedOn w:val="834"/>
    <w:uiPriority w:val="0"/>
    <w:qFormat/>
    <w:rPr>
      <w:szCs w:val="24"/>
      <w:lang w:bidi="en-US"/>
    </w:rPr>
  </w:style>
  <w:style w:type="paragraph" w:styleId="1071" w:customStyle="1">
    <w:name w:val="列出段落1"/>
    <w:basedOn w:val="834"/>
    <w:uiPriority w:val="0"/>
    <w:qFormat/>
    <w:pPr>
      <w:ind w:firstLine="420"/>
    </w:pPr>
  </w:style>
  <w:style w:type="paragraph" w:styleId="1072" w:customStyle="1">
    <w:name w:val="正文 A"/>
    <w:uiPriority w:val="0"/>
    <w:qFormat/>
    <w:pPr>
      <w:jc w:val="both"/>
      <w:widowControl w:val="off"/>
      <w:framePr w:wrap="around" w:vAnchor="margin" w:hAnchor="text" w:yAlign="top"/>
    </w:pPr>
    <w:rPr>
      <w:rFonts w:ascii="Calibri" w:hAnsi="Calibri" w:eastAsia="Calibri" w:cs="Times New Roman"/>
      <w:color w:val="000000"/>
      <w:sz w:val="21"/>
      <w:szCs w:val="21"/>
      <w:lang w:val="en-US" w:eastAsia="zh-CN" w:bidi="ar-SA"/>
    </w:rPr>
  </w:style>
  <w:style w:type="paragraph" w:styleId="1073" w:customStyle="1">
    <w:name w:val="Char Char Char"/>
    <w:basedOn w:val="834"/>
    <w:uiPriority w:val="0"/>
    <w:qFormat/>
    <w:pPr>
      <w:numPr>
        <w:ilvl w:val="0"/>
        <w:numId w:val="3"/>
      </w:numPr>
      <w:ind w:left="0" w:firstLine="0"/>
      <w:tabs>
        <w:tab w:val="left" w:pos="360" w:leader="none"/>
      </w:tabs>
    </w:pPr>
    <w:rPr>
      <w:rFonts w:ascii="Tahoma" w:hAnsi="Tahoma"/>
      <w:sz w:val="24"/>
      <w:szCs w:val="20"/>
    </w:rPr>
  </w:style>
  <w:style w:type="paragraph" w:styleId="1074" w:customStyle="1">
    <w:name w:val="reader-word-layer reader-word-s49-22 reader-word-s49-24"/>
    <w:basedOn w:val="834"/>
    <w:uiPriority w:val="0"/>
    <w:qFormat/>
    <w:pPr>
      <w:jc w:val="left"/>
      <w:spacing w:before="100" w:beforeAutospacing="1" w:after="100" w:afterAutospacing="1"/>
      <w:widowControl/>
    </w:pPr>
    <w:rPr>
      <w:rFonts w:ascii="宋体" w:hAnsi="宋体"/>
      <w:sz w:val="24"/>
      <w:szCs w:val="24"/>
    </w:rPr>
  </w:style>
  <w:style w:type="paragraph" w:styleId="1075" w:customStyle="1">
    <w:name w:val="p15"/>
    <w:basedOn w:val="834"/>
    <w:uiPriority w:val="0"/>
    <w:qFormat/>
    <w:pPr>
      <w:ind w:firstLine="420"/>
      <w:widowControl/>
    </w:pPr>
    <w:rPr>
      <w:szCs w:val="21"/>
    </w:rPr>
  </w:style>
  <w:style w:type="paragraph" w:styleId="1076" w:customStyle="1">
    <w:name w:val="Terminal-type"/>
    <w:uiPriority w:val="0"/>
    <w:qFormat/>
    <w:pPr>
      <w:ind w:left="1678"/>
      <w:spacing w:line="0" w:lineRule="atLeast"/>
    </w:pPr>
    <w:rPr>
      <w:rFonts w:ascii="Courier New" w:hAnsi="Courier New" w:eastAsia="宋体" w:cs="Times New Roman"/>
      <w:sz w:val="17"/>
      <w:lang w:val="en-US" w:eastAsia="zh-CN" w:bidi="ar-SA"/>
    </w:rPr>
  </w:style>
  <w:style w:type="paragraph" w:styleId="1077" w:customStyle="1">
    <w:name w:val="No Spacing1"/>
    <w:uiPriority w:val="0"/>
    <w:qFormat/>
    <w:pPr>
      <w:jc w:val="both"/>
      <w:widowControl w:val="off"/>
    </w:pPr>
    <w:rPr>
      <w:rFonts w:ascii="Times New Roman" w:hAnsi="Times New Roman" w:eastAsia="宋体" w:cs="Times New Roman"/>
      <w:sz w:val="21"/>
      <w:szCs w:val="22"/>
      <w:lang w:val="en-US" w:eastAsia="zh-CN" w:bidi="ar-SA"/>
    </w:rPr>
  </w:style>
  <w:style w:type="paragraph" w:styleId="1078" w:customStyle="1">
    <w:name w:val="reader-word-layer reader-word-s49-16 reader-word-s49-21"/>
    <w:basedOn w:val="834"/>
    <w:uiPriority w:val="0"/>
    <w:qFormat/>
    <w:pPr>
      <w:jc w:val="left"/>
      <w:spacing w:before="100" w:beforeAutospacing="1" w:after="100" w:afterAutospacing="1"/>
      <w:widowControl/>
    </w:pPr>
    <w:rPr>
      <w:rFonts w:ascii="宋体" w:hAnsi="宋体"/>
      <w:sz w:val="24"/>
      <w:szCs w:val="24"/>
    </w:rPr>
  </w:style>
  <w:style w:type="paragraph" w:styleId="1079" w:customStyle="1">
    <w:name w:val="reader-word-layer reader-word-s49-21 reader-word-s49-25"/>
    <w:basedOn w:val="834"/>
    <w:uiPriority w:val="0"/>
    <w:qFormat/>
    <w:pPr>
      <w:jc w:val="left"/>
      <w:spacing w:before="100" w:beforeAutospacing="1" w:after="100" w:afterAutospacing="1"/>
      <w:widowControl/>
    </w:pPr>
    <w:rPr>
      <w:rFonts w:ascii="宋体" w:hAnsi="宋体"/>
      <w:sz w:val="24"/>
      <w:szCs w:val="24"/>
    </w:rPr>
  </w:style>
  <w:style w:type="paragraph" w:styleId="1080" w:customStyle="1">
    <w:name w:val="无间隔1"/>
    <w:uiPriority w:val="0"/>
    <w:qFormat/>
    <w:pPr>
      <w:jc w:val="both"/>
      <w:widowControl w:val="off"/>
    </w:pPr>
    <w:rPr>
      <w:rFonts w:ascii="Times New Roman" w:hAnsi="Times New Roman" w:eastAsia="宋体" w:cs="Times New Roman"/>
      <w:sz w:val="24"/>
      <w:szCs w:val="24"/>
      <w:lang w:val="en-US" w:eastAsia="zh-CN" w:bidi="ar-SA"/>
    </w:rPr>
  </w:style>
  <w:style w:type="paragraph" w:styleId="1081" w:customStyle="1">
    <w:name w:val="p0"/>
    <w:basedOn w:val="834"/>
    <w:uiPriority w:val="0"/>
    <w:qFormat/>
    <w:pPr>
      <w:widowControl/>
    </w:pPr>
    <w:rPr>
      <w:szCs w:val="21"/>
    </w:rPr>
  </w:style>
  <w:style w:type="paragraph" w:styleId="1082" w:customStyle="1">
    <w:name w:val="标题3"/>
    <w:basedOn w:val="992"/>
    <w:uiPriority w:val="0"/>
    <w:qFormat/>
    <w:pPr>
      <w:keepLines w:val="0"/>
      <w:keepNext w:val="0"/>
      <w:spacing w:before="0" w:after="0" w:line="360" w:lineRule="auto"/>
    </w:pPr>
    <w:rPr>
      <w:rFonts w:eastAsia="仿宋_GB2312"/>
      <w:b w:val="0"/>
      <w:sz w:val="30"/>
    </w:rPr>
  </w:style>
  <w:style w:type="paragraph" w:styleId="1083" w:customStyle="1">
    <w:name w:val="Char Char1 Char Char Char Char Char Char"/>
    <w:basedOn w:val="834"/>
    <w:uiPriority w:val="0"/>
    <w:qFormat/>
    <w:rPr>
      <w:rFonts w:ascii="Tahoma" w:hAnsi="Tahoma"/>
      <w:sz w:val="24"/>
      <w:szCs w:val="24"/>
    </w:rPr>
  </w:style>
  <w:style w:type="paragraph" w:styleId="1084" w:customStyle="1">
    <w:name w:val="正文 +小四"/>
    <w:basedOn w:val="834"/>
    <w:uiPriority w:val="0"/>
    <w:qFormat/>
    <w:pPr>
      <w:spacing w:line="360" w:lineRule="auto"/>
    </w:pPr>
    <w:rPr>
      <w:sz w:val="20"/>
      <w:szCs w:val="20"/>
    </w:rPr>
  </w:style>
  <w:style w:type="paragraph" w:styleId="1085" w:customStyle="1">
    <w:name w:val="Char1 Char Char Char1"/>
    <w:basedOn w:val="834"/>
    <w:uiPriority w:val="0"/>
    <w:qFormat/>
    <w:rPr>
      <w:rFonts w:ascii="Tahoma" w:hAnsi="Tahoma"/>
      <w:sz w:val="24"/>
      <w:szCs w:val="20"/>
    </w:rPr>
  </w:style>
  <w:style w:type="paragraph" w:styleId="1086" w:customStyle="1">
    <w:name w:val="reader-word-layer reader-word-s49-22"/>
    <w:basedOn w:val="834"/>
    <w:uiPriority w:val="0"/>
    <w:qFormat/>
    <w:pPr>
      <w:jc w:val="left"/>
      <w:spacing w:before="100" w:beforeAutospacing="1" w:after="100" w:afterAutospacing="1"/>
      <w:widowControl/>
    </w:pPr>
    <w:rPr>
      <w:rFonts w:ascii="宋体" w:hAnsi="宋体"/>
      <w:sz w:val="24"/>
      <w:szCs w:val="24"/>
    </w:rPr>
  </w:style>
  <w:style w:type="paragraph" w:styleId="1087" w:customStyle="1">
    <w:name w:val="Char1 Char Char Char2"/>
    <w:basedOn w:val="834"/>
    <w:uiPriority w:val="0"/>
    <w:qFormat/>
    <w:rPr>
      <w:rFonts w:ascii="Tahoma" w:hAnsi="Tahoma"/>
      <w:sz w:val="24"/>
      <w:szCs w:val="20"/>
    </w:rPr>
  </w:style>
  <w:style w:type="paragraph" w:styleId="1088" w:customStyle="1">
    <w:name w:val="Item List in Table"/>
    <w:basedOn w:val="834"/>
    <w:uiPriority w:val="0"/>
    <w:qFormat/>
    <w:pPr>
      <w:numPr>
        <w:ilvl w:val="0"/>
        <w:numId w:val="4"/>
      </w:numPr>
      <w:ind w:firstLine="0"/>
      <w:jc w:val="left"/>
      <w:spacing w:before="80" w:after="80" w:line="240" w:lineRule="atLeast"/>
    </w:pPr>
    <w:rPr>
      <w:color w:val="000000"/>
      <w:szCs w:val="21"/>
    </w:rPr>
  </w:style>
  <w:style w:type="paragraph" w:styleId="1089" w:customStyle="1">
    <w:name w:val="reader-word-layer reader-word-s49-21"/>
    <w:basedOn w:val="834"/>
    <w:uiPriority w:val="0"/>
    <w:qFormat/>
    <w:pPr>
      <w:jc w:val="left"/>
      <w:spacing w:before="100" w:beforeAutospacing="1" w:after="100" w:afterAutospacing="1"/>
      <w:widowControl/>
    </w:pPr>
    <w:rPr>
      <w:rFonts w:ascii="宋体" w:hAnsi="宋体"/>
      <w:sz w:val="24"/>
      <w:szCs w:val="24"/>
    </w:rPr>
  </w:style>
  <w:style w:type="paragraph" w:styleId="1090" w:customStyle="1">
    <w:name w:val="table"/>
    <w:basedOn w:val="834"/>
    <w:uiPriority w:val="0"/>
    <w:qFormat/>
    <w:pPr>
      <w:jc w:val="left"/>
      <w:spacing w:before="100" w:beforeAutospacing="1" w:after="100" w:afterAutospacing="1"/>
      <w:widowControl/>
    </w:pPr>
    <w:rPr>
      <w:rFonts w:ascii="宋体" w:hAnsi="宋体"/>
      <w:sz w:val="24"/>
      <w:szCs w:val="24"/>
    </w:rPr>
  </w:style>
  <w:style w:type="paragraph" w:styleId="1091" w:customStyle="1">
    <w:name w:val="列出段落2"/>
    <w:basedOn w:val="834"/>
    <w:next w:val="834"/>
    <w:uiPriority w:val="0"/>
    <w:qFormat/>
    <w:pPr>
      <w:ind w:firstLine="420"/>
    </w:pPr>
    <w:rPr>
      <w:sz w:val="24"/>
      <w:szCs w:val="24"/>
    </w:rPr>
  </w:style>
  <w:style w:type="paragraph" w:styleId="1092" w:customStyle="1">
    <w:name w:val="reader-word-layer reader-word-s45-7"/>
    <w:basedOn w:val="834"/>
    <w:uiPriority w:val="0"/>
    <w:qFormat/>
    <w:pPr>
      <w:jc w:val="left"/>
      <w:spacing w:before="100" w:beforeAutospacing="1" w:after="100" w:afterAutospacing="1"/>
      <w:widowControl/>
    </w:pPr>
    <w:rPr>
      <w:rFonts w:ascii="宋体" w:hAnsi="宋体"/>
      <w:sz w:val="24"/>
      <w:szCs w:val="24"/>
    </w:rPr>
  </w:style>
  <w:style w:type="paragraph" w:styleId="1093" w:customStyle="1">
    <w:name w:val="Char"/>
    <w:basedOn w:val="834"/>
    <w:uiPriority w:val="0"/>
    <w:qFormat/>
    <w:pPr>
      <w:ind w:left="840" w:hanging="420"/>
      <w:tabs>
        <w:tab w:val="left" w:pos="840" w:leader="none"/>
      </w:tabs>
    </w:pPr>
    <w:rPr>
      <w:sz w:val="24"/>
      <w:szCs w:val="24"/>
    </w:rPr>
  </w:style>
  <w:style w:type="paragraph" w:styleId="1094" w:customStyle="1">
    <w:name w:val="Char1 Char Char Char Char Char Char"/>
    <w:basedOn w:val="834"/>
    <w:uiPriority w:val="0"/>
    <w:qFormat/>
    <w:rPr>
      <w:rFonts w:ascii="Tahoma" w:hAnsi="Tahoma"/>
      <w:sz w:val="24"/>
      <w:szCs w:val="20"/>
    </w:rPr>
  </w:style>
  <w:style w:type="paragraph" w:styleId="1095" w:customStyle="1">
    <w:name w:val="首行缩进"/>
    <w:uiPriority w:val="0"/>
    <w:qFormat/>
    <w:pPr>
      <w:ind w:firstLine="480"/>
      <w:jc w:val="both"/>
      <w:spacing w:line="360" w:lineRule="auto"/>
      <w:widowControl w:val="off"/>
    </w:pPr>
    <w:rPr>
      <w:rFonts w:ascii="Times New Roman" w:hAnsi="Times New Roman" w:eastAsia="微软雅黑" w:cs="Times New Roman"/>
      <w:sz w:val="24"/>
      <w:szCs w:val="22"/>
      <w:lang w:val="zh-CN" w:eastAsia="zh-CN" w:bidi="ar-SA"/>
    </w:rPr>
  </w:style>
  <w:style w:type="paragraph" w:styleId="1096" w:customStyle="1">
    <w:name w:val="文档正文"/>
    <w:basedOn w:val="834"/>
    <w:uiPriority w:val="0"/>
    <w:qFormat/>
    <w:pPr>
      <w:ind w:firstLine="567"/>
    </w:pPr>
    <w:rPr>
      <w:rFonts w:ascii="长城仿宋" w:hAnsi="Calibri" w:eastAsia="长城仿宋"/>
      <w:sz w:val="28"/>
    </w:rPr>
  </w:style>
  <w:style w:type="paragraph" w:styleId="1097" w:customStyle="1">
    <w:name w:val="样式 四号 行距: 1.5 倍行距 首行缩进:  2 字符"/>
    <w:uiPriority w:val="0"/>
    <w:qFormat/>
    <w:pPr>
      <w:ind w:firstLine="560"/>
      <w:spacing w:line="360" w:lineRule="auto"/>
    </w:pPr>
    <w:rPr>
      <w:rFonts w:ascii="Times New Roman" w:hAnsi="Times New Roman" w:eastAsia="宋体" w:cs="Times New Roman"/>
      <w:sz w:val="24"/>
      <w:lang w:val="en-US" w:eastAsia="zh-CN" w:bidi="ar-SA"/>
    </w:rPr>
  </w:style>
  <w:style w:type="paragraph" w:styleId="1098" w:customStyle="1">
    <w:name w:val="LD正文"/>
    <w:basedOn w:val="834"/>
    <w:uiPriority w:val="0"/>
    <w:qFormat/>
    <w:pPr>
      <w:ind w:firstLine="200"/>
      <w:jc w:val="left"/>
      <w:spacing w:line="360" w:lineRule="auto"/>
    </w:pPr>
    <w:rPr>
      <w:color w:val="0000ff"/>
      <w:sz w:val="24"/>
      <w:szCs w:val="21"/>
    </w:rPr>
  </w:style>
  <w:style w:type="paragraph" w:styleId="1099" w:customStyle="1">
    <w:name w:val="a0"/>
    <w:basedOn w:val="834"/>
    <w:uiPriority w:val="0"/>
    <w:qFormat/>
    <w:pPr>
      <w:spacing w:before="100" w:beforeAutospacing="1" w:after="100" w:afterAutospacing="1"/>
      <w:widowControl/>
    </w:pPr>
    <w:rPr>
      <w:rFonts w:eastAsia="Times New Roman"/>
      <w:sz w:val="24"/>
      <w:szCs w:val="24"/>
    </w:rPr>
  </w:style>
  <w:style w:type="paragraph" w:styleId="1100" w:customStyle="1">
    <w:name w:val="reader-word-layer reader-word-s45-11"/>
    <w:basedOn w:val="834"/>
    <w:uiPriority w:val="0"/>
    <w:qFormat/>
    <w:pPr>
      <w:jc w:val="left"/>
      <w:spacing w:before="100" w:beforeAutospacing="1" w:after="100" w:afterAutospacing="1"/>
      <w:widowControl/>
    </w:pPr>
    <w:rPr>
      <w:rFonts w:ascii="宋体" w:hAnsi="宋体"/>
      <w:sz w:val="24"/>
      <w:szCs w:val="24"/>
    </w:rPr>
  </w:style>
  <w:style w:type="paragraph" w:styleId="1101" w:customStyle="1">
    <w:name w:val="List Paragraph1"/>
    <w:basedOn w:val="834"/>
    <w:uiPriority w:val="0"/>
    <w:qFormat/>
    <w:pPr>
      <w:ind w:firstLine="420"/>
    </w:pPr>
  </w:style>
  <w:style w:type="paragraph" w:styleId="1102" w:customStyle="1">
    <w:name w:val="Normal Indent1"/>
    <w:basedOn w:val="834"/>
    <w:uiPriority w:val="0"/>
    <w:qFormat/>
    <w:pPr>
      <w:ind w:firstLine="420"/>
    </w:pPr>
    <w:rPr>
      <w:sz w:val="20"/>
      <w:szCs w:val="20"/>
    </w:rPr>
  </w:style>
  <w:style w:type="character" w:styleId="1103" w:customStyle="1">
    <w:name w:val="active15"/>
    <w:basedOn w:val="800"/>
    <w:uiPriority w:val="0"/>
    <w:qFormat/>
    <w:rPr>
      <w:color w:val="ffffff"/>
      <w:shd w:val="clear" w:color="auto" w:fill="0f5bb9"/>
    </w:rPr>
  </w:style>
  <w:style w:type="character" w:styleId="1104" w:customStyle="1">
    <w:name w:val="font01"/>
    <w:basedOn w:val="800"/>
    <w:uiPriority w:val="0"/>
    <w:qFormat/>
    <w:rPr>
      <w:rFonts w:hint="eastAsia" w:ascii="宋体" w:hAnsi="宋体" w:eastAsia="宋体" w:cs="宋体"/>
      <w:color w:val="000000"/>
      <w:sz w:val="22"/>
      <w:szCs w:val="22"/>
      <w:u w:val="none"/>
    </w:rPr>
  </w:style>
  <w:style w:type="character" w:styleId="1105" w:customStyle="1">
    <w:name w:val="font41"/>
    <w:basedOn w:val="800"/>
    <w:uiPriority w:val="0"/>
    <w:qFormat/>
    <w:rPr>
      <w:rFonts w:hint="eastAsia" w:ascii="宋体" w:hAnsi="宋体" w:eastAsia="宋体" w:cs="宋体"/>
      <w:color w:val="000000"/>
      <w:sz w:val="22"/>
      <w:szCs w:val="22"/>
      <w:u w:val="none"/>
    </w:rPr>
  </w:style>
  <w:style w:type="character" w:styleId="1106" w:customStyle="1">
    <w:name w:val="font21"/>
    <w:basedOn w:val="800"/>
    <w:uiPriority w:val="0"/>
    <w:qFormat/>
    <w:rPr>
      <w:rFonts w:hint="eastAsia" w:ascii="宋体" w:hAnsi="宋体" w:eastAsia="宋体" w:cs="宋体"/>
      <w:color w:val="ff0000"/>
      <w:sz w:val="22"/>
      <w:szCs w:val="22"/>
      <w:u w:val="none"/>
    </w:rPr>
  </w:style>
  <w:style w:type="character" w:styleId="1107" w:customStyle="1">
    <w:name w:val="批注框文本 字符"/>
    <w:basedOn w:val="800"/>
    <w:link w:val="812"/>
    <w:uiPriority w:val="99"/>
    <w:semiHidden/>
    <w:qFormat/>
    <w:rPr>
      <w:sz w:val="18"/>
      <w:szCs w:val="18"/>
    </w:rPr>
  </w:style>
  <w:style w:type="character" w:styleId="1108" w:customStyle="1">
    <w:name w:val="NormalCharacter"/>
    <w:uiPriority w:val="0"/>
    <w:semiHidden/>
    <w:qFormat/>
    <w:rPr>
      <w:color w:val="000000"/>
      <w:sz w:val="21"/>
      <w:u w:val="none"/>
      <w:lang w:val="en-US" w:eastAsia="zh-CN" w:bidi="ar-SA"/>
    </w:rPr>
  </w:style>
  <w:style w:type="paragraph" w:styleId="1109" w:customStyle="1">
    <w:name w:val="WPSOffice手动目录 1"/>
    <w:uiPriority w:val="0"/>
    <w:qFormat/>
    <w:rPr>
      <w:rFonts w:ascii="Times New Roman" w:hAnsi="Times New Roman" w:eastAsia="宋体" w:cs="Times New Roman"/>
      <w:lang w:val="en-US" w:eastAsia="zh-CN" w:bidi="ar-SA"/>
    </w:rPr>
  </w:style>
  <w:style w:type="table" w:styleId="1110" w:customStyle="1">
    <w:name w:val="Table Normal"/>
    <w:uiPriority w:val="0"/>
    <w:semiHidden/>
    <w:unhideWhenUsed/>
    <w:qFormat/>
    <w:tblPr>
      <w:tblCellMar>
        <w:left w:w="0" w:type="dxa"/>
        <w:top w:w="0" w:type="dxa"/>
        <w:right w:w="0" w:type="dxa"/>
        <w:bottom w:w="0" w:type="dxa"/>
      </w:tblCellMar>
    </w:tblPr>
  </w:style>
  <w:style w:type="character" w:styleId="1111" w:customStyle="1">
    <w:name w:val="批注文字 字符"/>
    <w:basedOn w:val="800"/>
    <w:link w:val="805"/>
    <w:uiPriority w:val="99"/>
    <w:semiHidden/>
    <w:qFormat/>
  </w:style>
  <w:style w:type="character" w:styleId="1112" w:customStyle="1">
    <w:name w:val="批注主题 字符"/>
    <w:basedOn w:val="1111"/>
    <w:link w:val="825"/>
    <w:uiPriority w:val="99"/>
    <w:semiHidden/>
    <w:qFormat/>
    <w:rPr>
      <w:b/>
      <w:bCs/>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dc:creator>
  <cp:lastModifiedBy>张梦雅</cp:lastModifiedBy>
  <cp:revision>7</cp:revision>
  <dcterms:created xsi:type="dcterms:W3CDTF">2023-08-17T06:58:00Z</dcterms:created>
  <dcterms:modified xsi:type="dcterms:W3CDTF">2023-08-18T08:08:54Z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2A70DD94494D417BBF2CF0B9EE44AD3F_13</vt:lpwstr>
  </property>
</Properties>
</file>